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292E7" w14:textId="3F344BC2" w:rsidR="001D4076" w:rsidRDefault="00A86951" w:rsidP="001D4076">
      <w:pPr>
        <w:jc w:val="both"/>
        <w:rPr>
          <w:rFonts w:cstheme="minorHAnsi"/>
          <w:sz w:val="24"/>
          <w:szCs w:val="24"/>
        </w:rPr>
      </w:pPr>
      <w:r>
        <w:rPr>
          <w:rFonts w:cstheme="minorHAnsi"/>
          <w:sz w:val="24"/>
          <w:szCs w:val="24"/>
        </w:rPr>
        <w:t>Na temelju članka 8</w:t>
      </w:r>
      <w:r w:rsidR="00DC3D68">
        <w:rPr>
          <w:rFonts w:cstheme="minorHAnsi"/>
          <w:sz w:val="24"/>
          <w:szCs w:val="24"/>
        </w:rPr>
        <w:t>9</w:t>
      </w:r>
      <w:r w:rsidR="007C7946">
        <w:rPr>
          <w:rFonts w:cstheme="minorHAnsi"/>
          <w:sz w:val="24"/>
          <w:szCs w:val="24"/>
        </w:rPr>
        <w:t>.</w:t>
      </w:r>
      <w:r w:rsidR="001D4076" w:rsidRPr="0098702D">
        <w:rPr>
          <w:rFonts w:cstheme="minorHAnsi"/>
          <w:sz w:val="24"/>
          <w:szCs w:val="24"/>
        </w:rPr>
        <w:t xml:space="preserve"> Zakona o proračunu („Narodne novine“ broj </w:t>
      </w:r>
      <w:r w:rsidR="00BA20E4">
        <w:rPr>
          <w:rFonts w:cstheme="minorHAnsi"/>
          <w:sz w:val="24"/>
          <w:szCs w:val="24"/>
        </w:rPr>
        <w:t>144/21</w:t>
      </w:r>
      <w:r w:rsidR="001D4076" w:rsidRPr="0098702D">
        <w:rPr>
          <w:rFonts w:cstheme="minorHAnsi"/>
          <w:sz w:val="24"/>
          <w:szCs w:val="24"/>
        </w:rPr>
        <w:t xml:space="preserve">.), Pravilnika o polugodišnjem i godišnjem izvještaju o izvršenju proračuna </w:t>
      </w:r>
      <w:r w:rsidR="00A6413C">
        <w:rPr>
          <w:rFonts w:cstheme="minorHAnsi"/>
          <w:sz w:val="24"/>
          <w:szCs w:val="24"/>
        </w:rPr>
        <w:t>(„Narod</w:t>
      </w:r>
      <w:r w:rsidR="00380462">
        <w:rPr>
          <w:rFonts w:cstheme="minorHAnsi"/>
          <w:sz w:val="24"/>
          <w:szCs w:val="24"/>
        </w:rPr>
        <w:t>ne novine“ broj</w:t>
      </w:r>
      <w:r w:rsidR="007015B4">
        <w:rPr>
          <w:rFonts w:cstheme="minorHAnsi"/>
          <w:sz w:val="24"/>
          <w:szCs w:val="24"/>
        </w:rPr>
        <w:t xml:space="preserve"> 85/23</w:t>
      </w:r>
      <w:r w:rsidR="001D4076" w:rsidRPr="0098702D">
        <w:rPr>
          <w:rFonts w:cstheme="minorHAnsi"/>
          <w:sz w:val="24"/>
          <w:szCs w:val="24"/>
        </w:rPr>
        <w:t xml:space="preserve">) i članka 26. Statuta Grada Trogira ("Službeni glasnik Grada </w:t>
      </w:r>
      <w:r w:rsidR="000E373F" w:rsidRPr="0098702D">
        <w:rPr>
          <w:rFonts w:cstheme="minorHAnsi"/>
          <w:sz w:val="24"/>
          <w:szCs w:val="24"/>
        </w:rPr>
        <w:t xml:space="preserve">Trogira " br.4/13, 9/13, 6/14, </w:t>
      </w:r>
      <w:r w:rsidR="001D4076" w:rsidRPr="0098702D">
        <w:rPr>
          <w:rFonts w:cstheme="minorHAnsi"/>
          <w:sz w:val="24"/>
          <w:szCs w:val="24"/>
        </w:rPr>
        <w:t>1/18</w:t>
      </w:r>
      <w:r w:rsidR="00C468D9">
        <w:rPr>
          <w:rFonts w:cstheme="minorHAnsi"/>
          <w:sz w:val="24"/>
          <w:szCs w:val="24"/>
        </w:rPr>
        <w:t xml:space="preserve">, </w:t>
      </w:r>
      <w:r w:rsidR="000E373F" w:rsidRPr="0098702D">
        <w:rPr>
          <w:rFonts w:cstheme="minorHAnsi"/>
          <w:sz w:val="24"/>
          <w:szCs w:val="24"/>
        </w:rPr>
        <w:t>3/19</w:t>
      </w:r>
      <w:r w:rsidR="00380462">
        <w:rPr>
          <w:rFonts w:cstheme="minorHAnsi"/>
          <w:sz w:val="24"/>
          <w:szCs w:val="24"/>
        </w:rPr>
        <w:t xml:space="preserve">, </w:t>
      </w:r>
      <w:r w:rsidR="00C468D9">
        <w:rPr>
          <w:rFonts w:cstheme="minorHAnsi"/>
          <w:sz w:val="24"/>
          <w:szCs w:val="24"/>
        </w:rPr>
        <w:t>5/20</w:t>
      </w:r>
      <w:r w:rsidR="007015B4">
        <w:rPr>
          <w:rFonts w:cstheme="minorHAnsi"/>
          <w:sz w:val="24"/>
          <w:szCs w:val="24"/>
        </w:rPr>
        <w:t xml:space="preserve">, </w:t>
      </w:r>
      <w:r w:rsidR="00380462">
        <w:rPr>
          <w:rFonts w:cstheme="minorHAnsi"/>
          <w:sz w:val="24"/>
          <w:szCs w:val="24"/>
        </w:rPr>
        <w:t>9/21</w:t>
      </w:r>
      <w:r w:rsidR="00EF5E68">
        <w:rPr>
          <w:rFonts w:cstheme="minorHAnsi"/>
          <w:sz w:val="24"/>
          <w:szCs w:val="24"/>
        </w:rPr>
        <w:t xml:space="preserve"> i </w:t>
      </w:r>
      <w:r w:rsidR="007015B4">
        <w:rPr>
          <w:rFonts w:cstheme="minorHAnsi"/>
          <w:sz w:val="24"/>
          <w:szCs w:val="24"/>
        </w:rPr>
        <w:t>11/23</w:t>
      </w:r>
      <w:r w:rsidR="00535AE4">
        <w:rPr>
          <w:rFonts w:cstheme="minorHAnsi"/>
          <w:sz w:val="24"/>
          <w:szCs w:val="24"/>
        </w:rPr>
        <w:t>)</w:t>
      </w:r>
      <w:r w:rsidR="001D4076" w:rsidRPr="0098702D">
        <w:rPr>
          <w:rFonts w:cstheme="minorHAnsi"/>
          <w:sz w:val="24"/>
          <w:szCs w:val="24"/>
        </w:rPr>
        <w:t xml:space="preserve">, Gradsko vijeće Grada Trogira na </w:t>
      </w:r>
      <w:r w:rsidR="00A43610">
        <w:rPr>
          <w:rFonts w:cstheme="minorHAnsi"/>
          <w:sz w:val="24"/>
          <w:szCs w:val="24"/>
        </w:rPr>
        <w:t xml:space="preserve">9. </w:t>
      </w:r>
      <w:r w:rsidR="001D4076" w:rsidRPr="0098702D">
        <w:rPr>
          <w:rFonts w:cstheme="minorHAnsi"/>
          <w:sz w:val="24"/>
          <w:szCs w:val="24"/>
        </w:rPr>
        <w:t>sjednic</w:t>
      </w:r>
      <w:r w:rsidR="00156988">
        <w:rPr>
          <w:rFonts w:cstheme="minorHAnsi"/>
          <w:sz w:val="24"/>
          <w:szCs w:val="24"/>
        </w:rPr>
        <w:t xml:space="preserve">i održanoj dana </w:t>
      </w:r>
      <w:r w:rsidR="00A43610">
        <w:rPr>
          <w:rFonts w:cstheme="minorHAnsi"/>
          <w:sz w:val="24"/>
          <w:szCs w:val="24"/>
        </w:rPr>
        <w:t xml:space="preserve">29.svibnja </w:t>
      </w:r>
      <w:r w:rsidR="00156988">
        <w:rPr>
          <w:rFonts w:cstheme="minorHAnsi"/>
          <w:sz w:val="24"/>
          <w:szCs w:val="24"/>
        </w:rPr>
        <w:t>202</w:t>
      </w:r>
      <w:r w:rsidR="003914A4">
        <w:rPr>
          <w:rFonts w:cstheme="minorHAnsi"/>
          <w:sz w:val="24"/>
          <w:szCs w:val="24"/>
        </w:rPr>
        <w:t>6</w:t>
      </w:r>
      <w:r w:rsidR="00A404AC">
        <w:rPr>
          <w:rFonts w:cstheme="minorHAnsi"/>
          <w:sz w:val="24"/>
          <w:szCs w:val="24"/>
        </w:rPr>
        <w:t>.</w:t>
      </w:r>
      <w:r w:rsidR="001D4076" w:rsidRPr="0098702D">
        <w:rPr>
          <w:rFonts w:cstheme="minorHAnsi"/>
          <w:sz w:val="24"/>
          <w:szCs w:val="24"/>
        </w:rPr>
        <w:t xml:space="preserve"> godine donijelo je</w:t>
      </w:r>
    </w:p>
    <w:p w14:paraId="7DCA6009" w14:textId="77777777" w:rsidR="00656292" w:rsidRPr="00656292" w:rsidRDefault="00656292" w:rsidP="001D4076">
      <w:pPr>
        <w:jc w:val="both"/>
        <w:rPr>
          <w:rFonts w:cstheme="minorHAnsi"/>
          <w:sz w:val="24"/>
          <w:szCs w:val="24"/>
        </w:rPr>
      </w:pPr>
    </w:p>
    <w:p w14:paraId="57D33B58" w14:textId="1F5BFE55" w:rsidR="001D4076" w:rsidRDefault="001D4076" w:rsidP="007D1F9F">
      <w:pPr>
        <w:jc w:val="center"/>
        <w:rPr>
          <w:rFonts w:cstheme="minorHAnsi"/>
          <w:b/>
          <w:sz w:val="28"/>
          <w:szCs w:val="28"/>
        </w:rPr>
      </w:pPr>
      <w:r w:rsidRPr="0098702D">
        <w:rPr>
          <w:rFonts w:cstheme="minorHAnsi"/>
          <w:b/>
          <w:sz w:val="28"/>
          <w:szCs w:val="28"/>
        </w:rPr>
        <w:t>GODIŠNJI IZVJEŠTAJ O IZVRŠENJU</w:t>
      </w:r>
      <w:r w:rsidR="00720826">
        <w:rPr>
          <w:rFonts w:cstheme="minorHAnsi"/>
          <w:b/>
          <w:sz w:val="28"/>
          <w:szCs w:val="28"/>
        </w:rPr>
        <w:t xml:space="preserve"> PR</w:t>
      </w:r>
      <w:r w:rsidR="00A86951">
        <w:rPr>
          <w:rFonts w:cstheme="minorHAnsi"/>
          <w:b/>
          <w:sz w:val="28"/>
          <w:szCs w:val="28"/>
        </w:rPr>
        <w:t>ORAČUNA GRADA TROGIRA ZA 202</w:t>
      </w:r>
      <w:r w:rsidR="003914A4">
        <w:rPr>
          <w:rFonts w:cstheme="minorHAnsi"/>
          <w:b/>
          <w:sz w:val="28"/>
          <w:szCs w:val="28"/>
        </w:rPr>
        <w:t>5</w:t>
      </w:r>
      <w:r w:rsidR="007D1F9F">
        <w:rPr>
          <w:rFonts w:cstheme="minorHAnsi"/>
          <w:b/>
          <w:sz w:val="28"/>
          <w:szCs w:val="28"/>
        </w:rPr>
        <w:t>.GODINU</w:t>
      </w:r>
    </w:p>
    <w:p w14:paraId="5D989355" w14:textId="77777777" w:rsidR="007D1F9F" w:rsidRPr="007D1F9F" w:rsidRDefault="007D1F9F" w:rsidP="007D1F9F">
      <w:pPr>
        <w:jc w:val="center"/>
        <w:rPr>
          <w:rFonts w:cstheme="minorHAnsi"/>
          <w:b/>
          <w:sz w:val="28"/>
          <w:szCs w:val="28"/>
        </w:rPr>
      </w:pPr>
    </w:p>
    <w:p w14:paraId="41590117" w14:textId="77777777" w:rsidR="001D4076" w:rsidRPr="0098702D" w:rsidRDefault="001D4076" w:rsidP="001D4076">
      <w:pPr>
        <w:jc w:val="center"/>
        <w:rPr>
          <w:rFonts w:cstheme="minorHAnsi"/>
          <w:b/>
          <w:sz w:val="24"/>
          <w:szCs w:val="24"/>
        </w:rPr>
      </w:pPr>
      <w:r w:rsidRPr="0098702D">
        <w:rPr>
          <w:rFonts w:cstheme="minorHAnsi"/>
          <w:b/>
          <w:sz w:val="24"/>
          <w:szCs w:val="24"/>
        </w:rPr>
        <w:t xml:space="preserve">I.OPĆI DIO PRORAČUNA </w:t>
      </w:r>
    </w:p>
    <w:p w14:paraId="0E8BA7B3" w14:textId="77777777" w:rsidR="001D4076" w:rsidRPr="0098702D" w:rsidRDefault="001D4076" w:rsidP="001D4076">
      <w:pPr>
        <w:jc w:val="center"/>
        <w:rPr>
          <w:rFonts w:cstheme="minorHAnsi"/>
          <w:b/>
          <w:sz w:val="24"/>
          <w:szCs w:val="24"/>
        </w:rPr>
      </w:pPr>
      <w:r w:rsidRPr="0098702D">
        <w:rPr>
          <w:rFonts w:cstheme="minorHAnsi"/>
          <w:b/>
          <w:sz w:val="24"/>
          <w:szCs w:val="24"/>
        </w:rPr>
        <w:t>Članak 1.</w:t>
      </w:r>
    </w:p>
    <w:p w14:paraId="1EAD376D" w14:textId="49A0E5BA" w:rsidR="001D4076" w:rsidRPr="0098702D" w:rsidRDefault="00DC3D68" w:rsidP="00A63D93">
      <w:pPr>
        <w:jc w:val="both"/>
        <w:rPr>
          <w:rFonts w:cstheme="minorHAnsi"/>
          <w:sz w:val="24"/>
          <w:szCs w:val="24"/>
        </w:rPr>
      </w:pPr>
      <w:r>
        <w:rPr>
          <w:rFonts w:cstheme="minorHAnsi"/>
          <w:sz w:val="24"/>
          <w:szCs w:val="24"/>
        </w:rPr>
        <w:t>G</w:t>
      </w:r>
      <w:r w:rsidR="001D4076" w:rsidRPr="0098702D">
        <w:rPr>
          <w:rFonts w:cstheme="minorHAnsi"/>
          <w:sz w:val="24"/>
          <w:szCs w:val="24"/>
        </w:rPr>
        <w:t>odišnji izvještaj o izvršenju Proračuna</w:t>
      </w:r>
      <w:r w:rsidR="00A86951">
        <w:rPr>
          <w:rFonts w:cstheme="minorHAnsi"/>
          <w:sz w:val="24"/>
          <w:szCs w:val="24"/>
        </w:rPr>
        <w:t xml:space="preserve"> Grada Trogira za 202</w:t>
      </w:r>
      <w:r w:rsidR="003914A4">
        <w:rPr>
          <w:rFonts w:cstheme="minorHAnsi"/>
          <w:sz w:val="24"/>
          <w:szCs w:val="24"/>
        </w:rPr>
        <w:t>5</w:t>
      </w:r>
      <w:r w:rsidR="00A63D93" w:rsidRPr="0098702D">
        <w:rPr>
          <w:rFonts w:cstheme="minorHAnsi"/>
          <w:sz w:val="24"/>
          <w:szCs w:val="24"/>
        </w:rPr>
        <w:t>.</w:t>
      </w:r>
      <w:r w:rsidR="000E373F" w:rsidRPr="0098702D">
        <w:rPr>
          <w:rFonts w:cstheme="minorHAnsi"/>
          <w:sz w:val="24"/>
          <w:szCs w:val="24"/>
        </w:rPr>
        <w:t xml:space="preserve"> </w:t>
      </w:r>
      <w:r w:rsidR="00A63D93" w:rsidRPr="0098702D">
        <w:rPr>
          <w:rFonts w:cstheme="minorHAnsi"/>
          <w:sz w:val="24"/>
          <w:szCs w:val="24"/>
        </w:rPr>
        <w:t>godinu (</w:t>
      </w:r>
      <w:r w:rsidR="00D31B00">
        <w:rPr>
          <w:rFonts w:cstheme="minorHAnsi"/>
          <w:sz w:val="24"/>
          <w:szCs w:val="24"/>
        </w:rPr>
        <w:t xml:space="preserve">u daljnjem tekstu: </w:t>
      </w:r>
      <w:r w:rsidR="001D4076" w:rsidRPr="0098702D">
        <w:rPr>
          <w:rFonts w:cstheme="minorHAnsi"/>
          <w:sz w:val="24"/>
          <w:szCs w:val="24"/>
        </w:rPr>
        <w:t>godišnji izvještaj) sadrži:</w:t>
      </w:r>
    </w:p>
    <w:p w14:paraId="76340951" w14:textId="77777777" w:rsidR="001D4076" w:rsidRDefault="006C535E" w:rsidP="00A63D93">
      <w:pPr>
        <w:jc w:val="both"/>
        <w:rPr>
          <w:rFonts w:cstheme="minorHAnsi"/>
          <w:b/>
          <w:sz w:val="24"/>
          <w:szCs w:val="24"/>
        </w:rPr>
      </w:pPr>
      <w:r w:rsidRPr="0098702D">
        <w:rPr>
          <w:rFonts w:cstheme="minorHAnsi"/>
          <w:b/>
          <w:sz w:val="24"/>
          <w:szCs w:val="24"/>
        </w:rPr>
        <w:t xml:space="preserve">SAŽETAK –A. Račun prihoda i rashoda; B. Račun </w:t>
      </w:r>
      <w:r w:rsidR="007D1F9F">
        <w:rPr>
          <w:rFonts w:cstheme="minorHAnsi"/>
          <w:b/>
          <w:sz w:val="24"/>
          <w:szCs w:val="24"/>
        </w:rPr>
        <w:t>zaduživanja/</w:t>
      </w:r>
      <w:r w:rsidRPr="0098702D">
        <w:rPr>
          <w:rFonts w:cstheme="minorHAnsi"/>
          <w:b/>
          <w:sz w:val="24"/>
          <w:szCs w:val="24"/>
        </w:rPr>
        <w:t>financiranja; C. Višak/manjak +neto zaduživanja /financiranja  D. Raspoloživa sredstva višak/manjak iz prethodnih godina; E. Manjak/višak</w:t>
      </w:r>
      <w:r w:rsidR="00A6413C">
        <w:rPr>
          <w:rFonts w:cstheme="minorHAnsi"/>
          <w:b/>
          <w:sz w:val="24"/>
          <w:szCs w:val="24"/>
        </w:rPr>
        <w:t xml:space="preserve"> prihoda</w:t>
      </w:r>
      <w:r w:rsidRPr="0098702D">
        <w:rPr>
          <w:rFonts w:cstheme="minorHAnsi"/>
          <w:b/>
          <w:sz w:val="24"/>
          <w:szCs w:val="24"/>
        </w:rPr>
        <w:t xml:space="preserve"> </w:t>
      </w:r>
      <w:r w:rsidR="00C76E23">
        <w:rPr>
          <w:rFonts w:cstheme="minorHAnsi"/>
          <w:b/>
          <w:sz w:val="24"/>
          <w:szCs w:val="24"/>
        </w:rPr>
        <w:t>+neto zaduživanje/financiranje+ raspoloživa sredstva iz prethodnih godina</w:t>
      </w:r>
    </w:p>
    <w:tbl>
      <w:tblPr>
        <w:tblW w:w="11638" w:type="dxa"/>
        <w:tblInd w:w="-12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63"/>
        <w:gridCol w:w="1507"/>
        <w:gridCol w:w="1507"/>
        <w:gridCol w:w="1474"/>
        <w:gridCol w:w="1556"/>
        <w:gridCol w:w="1020"/>
        <w:gridCol w:w="1011"/>
      </w:tblGrid>
      <w:tr w:rsidR="00DC3D68" w14:paraId="22861279" w14:textId="77777777" w:rsidTr="00A43E12">
        <w:trPr>
          <w:trHeight w:val="428"/>
        </w:trPr>
        <w:tc>
          <w:tcPr>
            <w:tcW w:w="3563" w:type="dxa"/>
            <w:shd w:val="clear" w:color="auto" w:fill="C0C0C0"/>
            <w:noWrap/>
            <w:vAlign w:val="bottom"/>
            <w:hideMark/>
          </w:tcPr>
          <w:p w14:paraId="45565585" w14:textId="77777777" w:rsidR="00DC3D68" w:rsidRPr="005119F9" w:rsidRDefault="00DC3D68" w:rsidP="00D923AD">
            <w:pPr>
              <w:spacing w:after="0" w:line="240" w:lineRule="auto"/>
              <w:jc w:val="center"/>
              <w:rPr>
                <w:rFonts w:eastAsia="Times New Roman" w:cstheme="minorHAnsi"/>
                <w:b/>
                <w:bCs/>
                <w:sz w:val="20"/>
                <w:szCs w:val="20"/>
                <w:lang w:eastAsia="hr-HR"/>
              </w:rPr>
            </w:pPr>
            <w:r w:rsidRPr="005119F9">
              <w:rPr>
                <w:rFonts w:eastAsia="Times New Roman" w:cstheme="minorHAnsi"/>
                <w:b/>
                <w:bCs/>
                <w:sz w:val="20"/>
                <w:szCs w:val="20"/>
                <w:lang w:eastAsia="hr-HR"/>
              </w:rPr>
              <w:t>Račun / opis</w:t>
            </w:r>
          </w:p>
        </w:tc>
        <w:tc>
          <w:tcPr>
            <w:tcW w:w="1507" w:type="dxa"/>
            <w:shd w:val="clear" w:color="auto" w:fill="C0C0C0"/>
            <w:vAlign w:val="bottom"/>
            <w:hideMark/>
          </w:tcPr>
          <w:p w14:paraId="1C1BBB24" w14:textId="5AF59462" w:rsidR="00DC3D68" w:rsidRPr="005119F9" w:rsidRDefault="00DC3D68" w:rsidP="00D923AD">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Izvršenje I.-XII. 202</w:t>
            </w:r>
            <w:r w:rsidR="000869BA">
              <w:rPr>
                <w:rFonts w:eastAsia="Times New Roman" w:cstheme="minorHAnsi"/>
                <w:b/>
                <w:bCs/>
                <w:sz w:val="20"/>
                <w:szCs w:val="20"/>
                <w:lang w:eastAsia="hr-HR"/>
              </w:rPr>
              <w:t>4</w:t>
            </w:r>
            <w:r w:rsidRPr="005119F9">
              <w:rPr>
                <w:rFonts w:eastAsia="Times New Roman" w:cstheme="minorHAnsi"/>
                <w:b/>
                <w:bCs/>
                <w:sz w:val="20"/>
                <w:szCs w:val="20"/>
                <w:lang w:eastAsia="hr-HR"/>
              </w:rPr>
              <w:t>.</w:t>
            </w:r>
            <w:r>
              <w:rPr>
                <w:rFonts w:eastAsia="Times New Roman" w:cstheme="minorHAnsi"/>
                <w:b/>
                <w:bCs/>
                <w:sz w:val="20"/>
                <w:szCs w:val="20"/>
                <w:lang w:eastAsia="hr-HR"/>
              </w:rPr>
              <w:t xml:space="preserve"> (€)</w:t>
            </w:r>
          </w:p>
        </w:tc>
        <w:tc>
          <w:tcPr>
            <w:tcW w:w="1507" w:type="dxa"/>
            <w:shd w:val="clear" w:color="auto" w:fill="C0C0C0"/>
            <w:vAlign w:val="bottom"/>
            <w:hideMark/>
          </w:tcPr>
          <w:p w14:paraId="6EE7162A" w14:textId="30D44ADA" w:rsidR="00DC3D68" w:rsidRPr="005119F9" w:rsidRDefault="00DC3D68" w:rsidP="00D923AD">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Izvorni plan/rebalans 202</w:t>
            </w:r>
            <w:r w:rsidR="000869BA">
              <w:rPr>
                <w:rFonts w:eastAsia="Times New Roman" w:cstheme="minorHAnsi"/>
                <w:b/>
                <w:bCs/>
                <w:sz w:val="20"/>
                <w:szCs w:val="20"/>
                <w:lang w:eastAsia="hr-HR"/>
              </w:rPr>
              <w:t>5</w:t>
            </w:r>
            <w:r w:rsidRPr="005119F9">
              <w:rPr>
                <w:rFonts w:eastAsia="Times New Roman" w:cstheme="minorHAnsi"/>
                <w:b/>
                <w:bCs/>
                <w:sz w:val="20"/>
                <w:szCs w:val="20"/>
                <w:lang w:eastAsia="hr-HR"/>
              </w:rPr>
              <w:t>.</w:t>
            </w:r>
            <w:r>
              <w:rPr>
                <w:rFonts w:eastAsia="Times New Roman" w:cstheme="minorHAnsi"/>
                <w:b/>
                <w:bCs/>
                <w:sz w:val="20"/>
                <w:szCs w:val="20"/>
                <w:lang w:eastAsia="hr-HR"/>
              </w:rPr>
              <w:t>(€)</w:t>
            </w:r>
          </w:p>
        </w:tc>
        <w:tc>
          <w:tcPr>
            <w:tcW w:w="1474" w:type="dxa"/>
            <w:shd w:val="clear" w:color="auto" w:fill="C0C0C0"/>
            <w:vAlign w:val="center"/>
          </w:tcPr>
          <w:p w14:paraId="714E6BF5" w14:textId="018C0E21" w:rsidR="00DC3D68" w:rsidRDefault="00DC3D68" w:rsidP="00D923AD">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Tekući plan      I.-XII.202</w:t>
            </w:r>
            <w:r w:rsidR="000869BA">
              <w:rPr>
                <w:rFonts w:eastAsia="Times New Roman" w:cstheme="minorHAnsi"/>
                <w:b/>
                <w:bCs/>
                <w:sz w:val="20"/>
                <w:szCs w:val="20"/>
                <w:lang w:eastAsia="hr-HR"/>
              </w:rPr>
              <w:t>5</w:t>
            </w:r>
            <w:r>
              <w:rPr>
                <w:rFonts w:eastAsia="Times New Roman" w:cstheme="minorHAnsi"/>
                <w:b/>
                <w:bCs/>
                <w:sz w:val="20"/>
                <w:szCs w:val="20"/>
                <w:lang w:eastAsia="hr-HR"/>
              </w:rPr>
              <w:t>. €</w:t>
            </w:r>
          </w:p>
        </w:tc>
        <w:tc>
          <w:tcPr>
            <w:tcW w:w="1556" w:type="dxa"/>
            <w:shd w:val="clear" w:color="auto" w:fill="C0C0C0"/>
            <w:vAlign w:val="bottom"/>
            <w:hideMark/>
          </w:tcPr>
          <w:p w14:paraId="324A2B0A" w14:textId="1EC2B0DD" w:rsidR="00DC3D68" w:rsidRPr="005119F9" w:rsidRDefault="00DC3D68" w:rsidP="00D923AD">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Izvršenje  I.-XII.  202</w:t>
            </w:r>
            <w:r w:rsidR="000869BA">
              <w:rPr>
                <w:rFonts w:eastAsia="Times New Roman" w:cstheme="minorHAnsi"/>
                <w:b/>
                <w:bCs/>
                <w:sz w:val="20"/>
                <w:szCs w:val="20"/>
                <w:lang w:eastAsia="hr-HR"/>
              </w:rPr>
              <w:t>5</w:t>
            </w:r>
            <w:r w:rsidRPr="005119F9">
              <w:rPr>
                <w:rFonts w:eastAsia="Times New Roman" w:cstheme="minorHAnsi"/>
                <w:b/>
                <w:bCs/>
                <w:sz w:val="20"/>
                <w:szCs w:val="20"/>
                <w:lang w:eastAsia="hr-HR"/>
              </w:rPr>
              <w:t>.</w:t>
            </w:r>
            <w:r>
              <w:rPr>
                <w:rFonts w:eastAsia="Times New Roman" w:cstheme="minorHAnsi"/>
                <w:b/>
                <w:bCs/>
                <w:sz w:val="20"/>
                <w:szCs w:val="20"/>
                <w:lang w:eastAsia="hr-HR"/>
              </w:rPr>
              <w:t xml:space="preserve"> (€)</w:t>
            </w:r>
          </w:p>
        </w:tc>
        <w:tc>
          <w:tcPr>
            <w:tcW w:w="1020" w:type="dxa"/>
            <w:shd w:val="clear" w:color="auto" w:fill="C0C0C0"/>
            <w:vAlign w:val="bottom"/>
            <w:hideMark/>
          </w:tcPr>
          <w:p w14:paraId="6261FA1E" w14:textId="4F9894E3" w:rsidR="00DC3D68" w:rsidRPr="005119F9" w:rsidRDefault="00DC3D68" w:rsidP="00D923AD">
            <w:pPr>
              <w:spacing w:after="0" w:line="240" w:lineRule="auto"/>
              <w:jc w:val="center"/>
              <w:rPr>
                <w:rFonts w:eastAsia="Times New Roman" w:cstheme="minorHAnsi"/>
                <w:b/>
                <w:bCs/>
                <w:sz w:val="20"/>
                <w:szCs w:val="20"/>
                <w:lang w:eastAsia="hr-HR"/>
              </w:rPr>
            </w:pPr>
            <w:r w:rsidRPr="005119F9">
              <w:rPr>
                <w:rFonts w:eastAsia="Times New Roman" w:cstheme="minorHAnsi"/>
                <w:b/>
                <w:bCs/>
                <w:sz w:val="20"/>
                <w:szCs w:val="20"/>
                <w:lang w:eastAsia="hr-HR"/>
              </w:rPr>
              <w:t xml:space="preserve">Indeks  </w:t>
            </w:r>
            <w:r>
              <w:rPr>
                <w:rFonts w:eastAsia="Times New Roman" w:cstheme="minorHAnsi"/>
                <w:b/>
                <w:bCs/>
                <w:sz w:val="20"/>
                <w:szCs w:val="20"/>
                <w:lang w:eastAsia="hr-HR"/>
              </w:rPr>
              <w:t>(4</w:t>
            </w:r>
            <w:r w:rsidRPr="005119F9">
              <w:rPr>
                <w:rFonts w:eastAsia="Times New Roman" w:cstheme="minorHAnsi"/>
                <w:b/>
                <w:bCs/>
                <w:sz w:val="20"/>
                <w:szCs w:val="20"/>
                <w:lang w:eastAsia="hr-HR"/>
              </w:rPr>
              <w:t>/1</w:t>
            </w:r>
            <w:r>
              <w:rPr>
                <w:rFonts w:eastAsia="Times New Roman" w:cstheme="minorHAnsi"/>
                <w:b/>
                <w:bCs/>
                <w:sz w:val="20"/>
                <w:szCs w:val="20"/>
                <w:lang w:eastAsia="hr-HR"/>
              </w:rPr>
              <w:t>)</w:t>
            </w:r>
          </w:p>
        </w:tc>
        <w:tc>
          <w:tcPr>
            <w:tcW w:w="1011" w:type="dxa"/>
            <w:shd w:val="clear" w:color="auto" w:fill="C0C0C0"/>
            <w:vAlign w:val="bottom"/>
            <w:hideMark/>
          </w:tcPr>
          <w:p w14:paraId="63C548C8" w14:textId="219C55B6" w:rsidR="00DC3D68" w:rsidRPr="005119F9" w:rsidRDefault="00DC3D68" w:rsidP="00D923AD">
            <w:pPr>
              <w:spacing w:after="0" w:line="240" w:lineRule="auto"/>
              <w:jc w:val="center"/>
              <w:rPr>
                <w:rFonts w:eastAsia="Times New Roman" w:cstheme="minorHAnsi"/>
                <w:b/>
                <w:bCs/>
                <w:sz w:val="20"/>
                <w:szCs w:val="20"/>
                <w:lang w:eastAsia="hr-HR"/>
              </w:rPr>
            </w:pPr>
            <w:r w:rsidRPr="005119F9">
              <w:rPr>
                <w:rFonts w:eastAsia="Times New Roman" w:cstheme="minorHAnsi"/>
                <w:b/>
                <w:bCs/>
                <w:sz w:val="20"/>
                <w:szCs w:val="20"/>
                <w:lang w:eastAsia="hr-HR"/>
              </w:rPr>
              <w:t xml:space="preserve">Indeks  </w:t>
            </w:r>
            <w:r>
              <w:rPr>
                <w:rFonts w:eastAsia="Times New Roman" w:cstheme="minorHAnsi"/>
                <w:b/>
                <w:bCs/>
                <w:sz w:val="20"/>
                <w:szCs w:val="20"/>
                <w:lang w:eastAsia="hr-HR"/>
              </w:rPr>
              <w:t>(4/3)</w:t>
            </w:r>
          </w:p>
        </w:tc>
      </w:tr>
      <w:tr w:rsidR="00DC3D68" w14:paraId="7158D1F5" w14:textId="77777777" w:rsidTr="00A43E12">
        <w:trPr>
          <w:trHeight w:val="212"/>
        </w:trPr>
        <w:tc>
          <w:tcPr>
            <w:tcW w:w="3563" w:type="dxa"/>
            <w:shd w:val="clear" w:color="auto" w:fill="FFE599" w:themeFill="accent4" w:themeFillTint="66"/>
            <w:noWrap/>
            <w:vAlign w:val="bottom"/>
            <w:hideMark/>
          </w:tcPr>
          <w:p w14:paraId="0C7F826E" w14:textId="77777777" w:rsidR="00DC3D68" w:rsidRPr="004457D4" w:rsidRDefault="00DC3D68" w:rsidP="00D923AD">
            <w:pPr>
              <w:spacing w:after="0" w:line="240" w:lineRule="auto"/>
              <w:rPr>
                <w:rFonts w:eastAsia="Times New Roman" w:cstheme="minorHAnsi"/>
                <w:b/>
                <w:bCs/>
                <w:sz w:val="20"/>
                <w:szCs w:val="20"/>
                <w:lang w:eastAsia="hr-HR"/>
              </w:rPr>
            </w:pPr>
            <w:r w:rsidRPr="004457D4">
              <w:rPr>
                <w:rFonts w:eastAsia="Times New Roman" w:cstheme="minorHAnsi"/>
                <w:b/>
                <w:bCs/>
                <w:sz w:val="20"/>
                <w:szCs w:val="20"/>
                <w:lang w:eastAsia="hr-HR"/>
              </w:rPr>
              <w:t>A. RAČUN PRIHODA I RASHODA</w:t>
            </w:r>
          </w:p>
        </w:tc>
        <w:tc>
          <w:tcPr>
            <w:tcW w:w="1507" w:type="dxa"/>
            <w:shd w:val="clear" w:color="auto" w:fill="FFE599" w:themeFill="accent4" w:themeFillTint="66"/>
            <w:noWrap/>
            <w:vAlign w:val="bottom"/>
            <w:hideMark/>
          </w:tcPr>
          <w:p w14:paraId="12BB5A9B" w14:textId="77777777" w:rsidR="00DC3D68" w:rsidRPr="004457D4" w:rsidRDefault="00DC3D68" w:rsidP="00D923AD">
            <w:pPr>
              <w:spacing w:after="0" w:line="240" w:lineRule="auto"/>
              <w:jc w:val="center"/>
              <w:rPr>
                <w:rFonts w:ascii="Arial" w:eastAsia="Times New Roman" w:hAnsi="Arial" w:cs="Arial"/>
                <w:b/>
                <w:bCs/>
                <w:sz w:val="18"/>
                <w:szCs w:val="18"/>
                <w:lang w:eastAsia="hr-HR"/>
              </w:rPr>
            </w:pPr>
            <w:r w:rsidRPr="004457D4">
              <w:rPr>
                <w:rFonts w:ascii="Arial" w:eastAsia="Times New Roman" w:hAnsi="Arial" w:cs="Arial"/>
                <w:b/>
                <w:bCs/>
                <w:sz w:val="18"/>
                <w:szCs w:val="18"/>
                <w:lang w:eastAsia="hr-HR"/>
              </w:rPr>
              <w:t>1</w:t>
            </w:r>
          </w:p>
        </w:tc>
        <w:tc>
          <w:tcPr>
            <w:tcW w:w="1507" w:type="dxa"/>
            <w:shd w:val="clear" w:color="auto" w:fill="FFE599" w:themeFill="accent4" w:themeFillTint="66"/>
            <w:noWrap/>
            <w:vAlign w:val="bottom"/>
            <w:hideMark/>
          </w:tcPr>
          <w:p w14:paraId="388F98F7" w14:textId="77777777" w:rsidR="00DC3D68" w:rsidRPr="004457D4" w:rsidRDefault="00DC3D68" w:rsidP="00D923AD">
            <w:pPr>
              <w:spacing w:after="0" w:line="240" w:lineRule="auto"/>
              <w:jc w:val="center"/>
              <w:rPr>
                <w:rFonts w:ascii="Arial" w:eastAsia="Times New Roman" w:hAnsi="Arial" w:cs="Arial"/>
                <w:b/>
                <w:bCs/>
                <w:sz w:val="18"/>
                <w:szCs w:val="18"/>
                <w:lang w:eastAsia="hr-HR"/>
              </w:rPr>
            </w:pPr>
            <w:r w:rsidRPr="004457D4">
              <w:rPr>
                <w:rFonts w:ascii="Arial" w:eastAsia="Times New Roman" w:hAnsi="Arial" w:cs="Arial"/>
                <w:b/>
                <w:bCs/>
                <w:sz w:val="18"/>
                <w:szCs w:val="18"/>
                <w:lang w:eastAsia="hr-HR"/>
              </w:rPr>
              <w:t>2</w:t>
            </w:r>
          </w:p>
        </w:tc>
        <w:tc>
          <w:tcPr>
            <w:tcW w:w="1474" w:type="dxa"/>
            <w:shd w:val="clear" w:color="auto" w:fill="FFE599" w:themeFill="accent4" w:themeFillTint="66"/>
          </w:tcPr>
          <w:p w14:paraId="0B8F1BA5" w14:textId="0E0CAAA0" w:rsidR="00DC3D68" w:rsidRDefault="00DC3D68" w:rsidP="00D923AD">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3</w:t>
            </w:r>
          </w:p>
        </w:tc>
        <w:tc>
          <w:tcPr>
            <w:tcW w:w="1556" w:type="dxa"/>
            <w:shd w:val="clear" w:color="auto" w:fill="FFE599" w:themeFill="accent4" w:themeFillTint="66"/>
            <w:noWrap/>
            <w:vAlign w:val="bottom"/>
            <w:hideMark/>
          </w:tcPr>
          <w:p w14:paraId="77EC1F75" w14:textId="225E6430" w:rsidR="00DC3D68" w:rsidRPr="004457D4" w:rsidRDefault="00DC3D68" w:rsidP="00D923AD">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4</w:t>
            </w:r>
          </w:p>
        </w:tc>
        <w:tc>
          <w:tcPr>
            <w:tcW w:w="1020" w:type="dxa"/>
            <w:shd w:val="clear" w:color="auto" w:fill="FFE599" w:themeFill="accent4" w:themeFillTint="66"/>
            <w:noWrap/>
            <w:vAlign w:val="bottom"/>
            <w:hideMark/>
          </w:tcPr>
          <w:p w14:paraId="387FC2A4" w14:textId="2D4939A6" w:rsidR="00DC3D68" w:rsidRPr="004457D4" w:rsidRDefault="00DC3D68" w:rsidP="00D923AD">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5</w:t>
            </w:r>
          </w:p>
        </w:tc>
        <w:tc>
          <w:tcPr>
            <w:tcW w:w="1011" w:type="dxa"/>
            <w:shd w:val="clear" w:color="auto" w:fill="FFE599" w:themeFill="accent4" w:themeFillTint="66"/>
            <w:noWrap/>
            <w:vAlign w:val="bottom"/>
            <w:hideMark/>
          </w:tcPr>
          <w:p w14:paraId="185AE03A" w14:textId="30F3A9CB" w:rsidR="00DC3D68" w:rsidRPr="004457D4" w:rsidRDefault="00DC3D68" w:rsidP="00D923AD">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6</w:t>
            </w:r>
          </w:p>
        </w:tc>
      </w:tr>
      <w:tr w:rsidR="00DC3D68" w14:paraId="07DC8468" w14:textId="77777777" w:rsidTr="00A43E12">
        <w:trPr>
          <w:trHeight w:val="212"/>
        </w:trPr>
        <w:tc>
          <w:tcPr>
            <w:tcW w:w="3563" w:type="dxa"/>
            <w:noWrap/>
            <w:vAlign w:val="bottom"/>
            <w:hideMark/>
          </w:tcPr>
          <w:p w14:paraId="777B8961" w14:textId="77777777" w:rsidR="00DC3D68" w:rsidRPr="005119F9" w:rsidRDefault="00DC3D68" w:rsidP="00D923AD">
            <w:pPr>
              <w:spacing w:after="0" w:line="240" w:lineRule="auto"/>
              <w:rPr>
                <w:rFonts w:eastAsia="Times New Roman" w:cstheme="minorHAnsi"/>
                <w:bCs/>
                <w:sz w:val="20"/>
                <w:szCs w:val="20"/>
                <w:lang w:eastAsia="hr-HR"/>
              </w:rPr>
            </w:pPr>
            <w:r w:rsidRPr="005119F9">
              <w:rPr>
                <w:rFonts w:eastAsia="Times New Roman" w:cstheme="minorHAnsi"/>
                <w:bCs/>
                <w:sz w:val="20"/>
                <w:szCs w:val="20"/>
                <w:lang w:eastAsia="hr-HR"/>
              </w:rPr>
              <w:t>6 Prihodi poslovanja</w:t>
            </w:r>
          </w:p>
        </w:tc>
        <w:tc>
          <w:tcPr>
            <w:tcW w:w="1507" w:type="dxa"/>
            <w:noWrap/>
            <w:vAlign w:val="bottom"/>
          </w:tcPr>
          <w:p w14:paraId="5952454C" w14:textId="669A0FEE" w:rsidR="00DC3D68" w:rsidRPr="005119F9"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17.536.411,55</w:t>
            </w:r>
          </w:p>
        </w:tc>
        <w:tc>
          <w:tcPr>
            <w:tcW w:w="1507" w:type="dxa"/>
            <w:noWrap/>
            <w:vAlign w:val="bottom"/>
          </w:tcPr>
          <w:p w14:paraId="44396693" w14:textId="324F63B4" w:rsidR="00DC3D68" w:rsidRPr="005119F9" w:rsidRDefault="001923A6" w:rsidP="00DC3D6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20.790.572,16</w:t>
            </w:r>
          </w:p>
        </w:tc>
        <w:tc>
          <w:tcPr>
            <w:tcW w:w="1474" w:type="dxa"/>
          </w:tcPr>
          <w:p w14:paraId="66E672C1" w14:textId="4D232A1F" w:rsidR="00DC3D68"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20.790.572,16</w:t>
            </w:r>
          </w:p>
        </w:tc>
        <w:tc>
          <w:tcPr>
            <w:tcW w:w="1556" w:type="dxa"/>
            <w:noWrap/>
            <w:vAlign w:val="bottom"/>
          </w:tcPr>
          <w:p w14:paraId="6920F9CE" w14:textId="0D8F17D5" w:rsidR="00DC3D68" w:rsidRPr="005119F9"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19.626.207,06</w:t>
            </w:r>
          </w:p>
        </w:tc>
        <w:tc>
          <w:tcPr>
            <w:tcW w:w="1020" w:type="dxa"/>
            <w:noWrap/>
            <w:vAlign w:val="bottom"/>
          </w:tcPr>
          <w:p w14:paraId="311C3CF6" w14:textId="48888BBC" w:rsidR="00DC3D68" w:rsidRPr="005119F9"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111,92</w:t>
            </w:r>
            <w:r w:rsidR="00DC3D68">
              <w:rPr>
                <w:rFonts w:eastAsia="Times New Roman" w:cstheme="minorHAnsi"/>
                <w:b/>
                <w:bCs/>
                <w:sz w:val="20"/>
                <w:szCs w:val="20"/>
                <w:lang w:eastAsia="hr-HR"/>
              </w:rPr>
              <w:t>%</w:t>
            </w:r>
          </w:p>
        </w:tc>
        <w:tc>
          <w:tcPr>
            <w:tcW w:w="1011" w:type="dxa"/>
            <w:noWrap/>
            <w:vAlign w:val="bottom"/>
          </w:tcPr>
          <w:p w14:paraId="235B7D24" w14:textId="3E267C14" w:rsidR="00DC3D68" w:rsidRPr="005119F9"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94,40</w:t>
            </w:r>
            <w:r w:rsidR="00DC3D68">
              <w:rPr>
                <w:rFonts w:eastAsia="Times New Roman" w:cstheme="minorHAnsi"/>
                <w:b/>
                <w:bCs/>
                <w:sz w:val="20"/>
                <w:szCs w:val="20"/>
                <w:lang w:eastAsia="hr-HR"/>
              </w:rPr>
              <w:t>%</w:t>
            </w:r>
          </w:p>
        </w:tc>
      </w:tr>
      <w:tr w:rsidR="00DC3D68" w14:paraId="34554B35" w14:textId="77777777" w:rsidTr="001923A6">
        <w:trPr>
          <w:trHeight w:val="212"/>
        </w:trPr>
        <w:tc>
          <w:tcPr>
            <w:tcW w:w="3563" w:type="dxa"/>
            <w:noWrap/>
            <w:vAlign w:val="bottom"/>
            <w:hideMark/>
          </w:tcPr>
          <w:p w14:paraId="31D03158" w14:textId="77777777" w:rsidR="00DC3D68" w:rsidRPr="005119F9" w:rsidRDefault="00DC3D68" w:rsidP="00D923AD">
            <w:pPr>
              <w:spacing w:after="0" w:line="240" w:lineRule="auto"/>
              <w:rPr>
                <w:rFonts w:eastAsia="Times New Roman" w:cstheme="minorHAnsi"/>
                <w:bCs/>
                <w:sz w:val="20"/>
                <w:szCs w:val="20"/>
                <w:lang w:eastAsia="hr-HR"/>
              </w:rPr>
            </w:pPr>
            <w:r w:rsidRPr="005119F9">
              <w:rPr>
                <w:rFonts w:eastAsia="Times New Roman" w:cstheme="minorHAnsi"/>
                <w:bCs/>
                <w:sz w:val="20"/>
                <w:szCs w:val="20"/>
                <w:lang w:eastAsia="hr-HR"/>
              </w:rPr>
              <w:t>7 Prihodi od prodaje nefinancijske imovine</w:t>
            </w:r>
          </w:p>
        </w:tc>
        <w:tc>
          <w:tcPr>
            <w:tcW w:w="1507" w:type="dxa"/>
            <w:noWrap/>
            <w:vAlign w:val="bottom"/>
          </w:tcPr>
          <w:p w14:paraId="1B01D337" w14:textId="0DF9BE19" w:rsidR="00DC3D68" w:rsidRPr="005119F9"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1.309,83</w:t>
            </w:r>
          </w:p>
        </w:tc>
        <w:tc>
          <w:tcPr>
            <w:tcW w:w="1507" w:type="dxa"/>
            <w:noWrap/>
            <w:vAlign w:val="bottom"/>
          </w:tcPr>
          <w:p w14:paraId="30109B14" w14:textId="596137CE" w:rsidR="00DC3D68" w:rsidRPr="005119F9"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38.000,00</w:t>
            </w:r>
          </w:p>
        </w:tc>
        <w:tc>
          <w:tcPr>
            <w:tcW w:w="1474" w:type="dxa"/>
            <w:vAlign w:val="bottom"/>
          </w:tcPr>
          <w:p w14:paraId="2AE2F0B7" w14:textId="2E0F26A3" w:rsidR="00DC3D68"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38.000,00</w:t>
            </w:r>
          </w:p>
        </w:tc>
        <w:tc>
          <w:tcPr>
            <w:tcW w:w="1556" w:type="dxa"/>
            <w:noWrap/>
            <w:vAlign w:val="bottom"/>
          </w:tcPr>
          <w:p w14:paraId="081A2DA7" w14:textId="38922827" w:rsidR="00DC3D68" w:rsidRPr="005119F9"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11.114,76</w:t>
            </w:r>
          </w:p>
        </w:tc>
        <w:tc>
          <w:tcPr>
            <w:tcW w:w="1020" w:type="dxa"/>
            <w:noWrap/>
            <w:vAlign w:val="bottom"/>
          </w:tcPr>
          <w:p w14:paraId="6F561BE8" w14:textId="0D09387F" w:rsidR="00DC3D68" w:rsidRPr="005119F9"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848,57</w:t>
            </w:r>
            <w:r w:rsidR="00DC3D68">
              <w:rPr>
                <w:rFonts w:eastAsia="Times New Roman" w:cstheme="minorHAnsi"/>
                <w:b/>
                <w:bCs/>
                <w:sz w:val="20"/>
                <w:szCs w:val="20"/>
                <w:lang w:eastAsia="hr-HR"/>
              </w:rPr>
              <w:t>%</w:t>
            </w:r>
          </w:p>
        </w:tc>
        <w:tc>
          <w:tcPr>
            <w:tcW w:w="1011" w:type="dxa"/>
            <w:noWrap/>
            <w:vAlign w:val="bottom"/>
          </w:tcPr>
          <w:p w14:paraId="557994FB" w14:textId="232F518A" w:rsidR="00DC3D68" w:rsidRPr="005119F9"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29,25</w:t>
            </w:r>
            <w:r w:rsidR="00DC3D68">
              <w:rPr>
                <w:rFonts w:eastAsia="Times New Roman" w:cstheme="minorHAnsi"/>
                <w:b/>
                <w:bCs/>
                <w:sz w:val="20"/>
                <w:szCs w:val="20"/>
                <w:lang w:eastAsia="hr-HR"/>
              </w:rPr>
              <w:t>%</w:t>
            </w:r>
          </w:p>
        </w:tc>
      </w:tr>
      <w:tr w:rsidR="00DC3D68" w14:paraId="405EC64A" w14:textId="77777777" w:rsidTr="00A43E12">
        <w:trPr>
          <w:trHeight w:val="212"/>
        </w:trPr>
        <w:tc>
          <w:tcPr>
            <w:tcW w:w="3563" w:type="dxa"/>
            <w:noWrap/>
            <w:vAlign w:val="bottom"/>
            <w:hideMark/>
          </w:tcPr>
          <w:p w14:paraId="47330AEB" w14:textId="77777777" w:rsidR="00DC3D68" w:rsidRPr="005119F9" w:rsidRDefault="00DC3D68" w:rsidP="00D923AD">
            <w:pPr>
              <w:spacing w:after="0" w:line="240" w:lineRule="auto"/>
              <w:rPr>
                <w:rFonts w:eastAsia="Times New Roman" w:cstheme="minorHAnsi"/>
                <w:b/>
                <w:bCs/>
                <w:sz w:val="20"/>
                <w:szCs w:val="20"/>
                <w:lang w:eastAsia="hr-HR"/>
              </w:rPr>
            </w:pPr>
            <w:r w:rsidRPr="005119F9">
              <w:rPr>
                <w:rFonts w:eastAsia="Times New Roman" w:cstheme="minorHAnsi"/>
                <w:b/>
                <w:bCs/>
                <w:sz w:val="20"/>
                <w:szCs w:val="20"/>
                <w:lang w:eastAsia="hr-HR"/>
              </w:rPr>
              <w:t xml:space="preserve"> UKUPNI PRIHODI</w:t>
            </w:r>
          </w:p>
        </w:tc>
        <w:tc>
          <w:tcPr>
            <w:tcW w:w="1507" w:type="dxa"/>
            <w:noWrap/>
            <w:vAlign w:val="bottom"/>
          </w:tcPr>
          <w:p w14:paraId="0C36AAF9" w14:textId="78B6B704" w:rsidR="00DC3D68" w:rsidRPr="005119F9"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17.537.721,38</w:t>
            </w:r>
          </w:p>
        </w:tc>
        <w:tc>
          <w:tcPr>
            <w:tcW w:w="1507" w:type="dxa"/>
            <w:noWrap/>
            <w:vAlign w:val="bottom"/>
          </w:tcPr>
          <w:p w14:paraId="2849BE84" w14:textId="43AAF49C" w:rsidR="00DC3D68" w:rsidRPr="005119F9"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20.828.572,16</w:t>
            </w:r>
          </w:p>
        </w:tc>
        <w:tc>
          <w:tcPr>
            <w:tcW w:w="1474" w:type="dxa"/>
          </w:tcPr>
          <w:p w14:paraId="381E74C0" w14:textId="374D5B55" w:rsidR="00DC3D68"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20.828.572,16</w:t>
            </w:r>
          </w:p>
        </w:tc>
        <w:tc>
          <w:tcPr>
            <w:tcW w:w="1556" w:type="dxa"/>
            <w:noWrap/>
            <w:vAlign w:val="bottom"/>
          </w:tcPr>
          <w:p w14:paraId="301EA04D" w14:textId="19F6F189" w:rsidR="00DC3D68" w:rsidRPr="005119F9"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19.637.321,82</w:t>
            </w:r>
          </w:p>
        </w:tc>
        <w:tc>
          <w:tcPr>
            <w:tcW w:w="1020" w:type="dxa"/>
            <w:noWrap/>
            <w:vAlign w:val="bottom"/>
          </w:tcPr>
          <w:p w14:paraId="21F8755A" w14:textId="2D9BBDBB" w:rsidR="00DC3D68" w:rsidRPr="005119F9"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111,97</w:t>
            </w:r>
            <w:r w:rsidR="000B6A32">
              <w:rPr>
                <w:rFonts w:eastAsia="Times New Roman" w:cstheme="minorHAnsi"/>
                <w:b/>
                <w:bCs/>
                <w:sz w:val="20"/>
                <w:szCs w:val="20"/>
                <w:lang w:eastAsia="hr-HR"/>
              </w:rPr>
              <w:t>%</w:t>
            </w:r>
          </w:p>
        </w:tc>
        <w:tc>
          <w:tcPr>
            <w:tcW w:w="1011" w:type="dxa"/>
            <w:noWrap/>
            <w:vAlign w:val="bottom"/>
          </w:tcPr>
          <w:p w14:paraId="53BACD31" w14:textId="5ED4A2D9" w:rsidR="00DC3D68" w:rsidRPr="005119F9"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94,28</w:t>
            </w:r>
            <w:r w:rsidR="000B6A32">
              <w:rPr>
                <w:rFonts w:eastAsia="Times New Roman" w:cstheme="minorHAnsi"/>
                <w:b/>
                <w:bCs/>
                <w:sz w:val="20"/>
                <w:szCs w:val="20"/>
                <w:lang w:eastAsia="hr-HR"/>
              </w:rPr>
              <w:t>%</w:t>
            </w:r>
          </w:p>
        </w:tc>
      </w:tr>
      <w:tr w:rsidR="00DC3D68" w14:paraId="1FF509A3" w14:textId="77777777" w:rsidTr="00A43E12">
        <w:trPr>
          <w:trHeight w:val="212"/>
        </w:trPr>
        <w:tc>
          <w:tcPr>
            <w:tcW w:w="3563" w:type="dxa"/>
            <w:noWrap/>
            <w:vAlign w:val="bottom"/>
            <w:hideMark/>
          </w:tcPr>
          <w:p w14:paraId="0EE9D788" w14:textId="77777777" w:rsidR="00DC3D68" w:rsidRPr="005119F9" w:rsidRDefault="00DC3D68" w:rsidP="00D923AD">
            <w:pPr>
              <w:spacing w:after="0" w:line="240" w:lineRule="auto"/>
              <w:rPr>
                <w:rFonts w:eastAsia="Times New Roman" w:cstheme="minorHAnsi"/>
                <w:bCs/>
                <w:sz w:val="20"/>
                <w:szCs w:val="20"/>
                <w:lang w:eastAsia="hr-HR"/>
              </w:rPr>
            </w:pPr>
            <w:r w:rsidRPr="005119F9">
              <w:rPr>
                <w:rFonts w:eastAsia="Times New Roman" w:cstheme="minorHAnsi"/>
                <w:bCs/>
                <w:sz w:val="20"/>
                <w:szCs w:val="20"/>
                <w:lang w:eastAsia="hr-HR"/>
              </w:rPr>
              <w:t>3 Rashodi poslovanja</w:t>
            </w:r>
          </w:p>
        </w:tc>
        <w:tc>
          <w:tcPr>
            <w:tcW w:w="1507" w:type="dxa"/>
            <w:noWrap/>
            <w:vAlign w:val="bottom"/>
          </w:tcPr>
          <w:p w14:paraId="3BFE3D4B" w14:textId="3BEB3899" w:rsidR="00DC3D68" w:rsidRPr="005119F9"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12.583.788,14</w:t>
            </w:r>
          </w:p>
        </w:tc>
        <w:tc>
          <w:tcPr>
            <w:tcW w:w="1507" w:type="dxa"/>
            <w:noWrap/>
            <w:vAlign w:val="bottom"/>
          </w:tcPr>
          <w:p w14:paraId="23824BA0" w14:textId="1CCB3684" w:rsidR="00DC3D68" w:rsidRPr="005119F9"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16.268.848,50</w:t>
            </w:r>
          </w:p>
        </w:tc>
        <w:tc>
          <w:tcPr>
            <w:tcW w:w="1474" w:type="dxa"/>
          </w:tcPr>
          <w:p w14:paraId="3C6C806B" w14:textId="39EB1A79" w:rsidR="00DC3D68"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16.371.637,50</w:t>
            </w:r>
          </w:p>
        </w:tc>
        <w:tc>
          <w:tcPr>
            <w:tcW w:w="1556" w:type="dxa"/>
            <w:noWrap/>
            <w:vAlign w:val="bottom"/>
          </w:tcPr>
          <w:p w14:paraId="589C09BF" w14:textId="01ADF8FB" w:rsidR="004F5772" w:rsidRPr="005119F9" w:rsidRDefault="001923A6" w:rsidP="004F5772">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14.511.998,34</w:t>
            </w:r>
          </w:p>
        </w:tc>
        <w:tc>
          <w:tcPr>
            <w:tcW w:w="1020" w:type="dxa"/>
            <w:noWrap/>
            <w:vAlign w:val="bottom"/>
          </w:tcPr>
          <w:p w14:paraId="752ECF4E" w14:textId="2B6697FD" w:rsidR="00DC3D68" w:rsidRPr="005119F9"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115,32</w:t>
            </w:r>
            <w:r w:rsidR="000B6A32">
              <w:rPr>
                <w:rFonts w:eastAsia="Times New Roman" w:cstheme="minorHAnsi"/>
                <w:b/>
                <w:bCs/>
                <w:sz w:val="20"/>
                <w:szCs w:val="20"/>
                <w:lang w:eastAsia="hr-HR"/>
              </w:rPr>
              <w:t>%</w:t>
            </w:r>
          </w:p>
        </w:tc>
        <w:tc>
          <w:tcPr>
            <w:tcW w:w="1011" w:type="dxa"/>
            <w:noWrap/>
            <w:vAlign w:val="bottom"/>
          </w:tcPr>
          <w:p w14:paraId="1FD3EB42" w14:textId="22FFADF5" w:rsidR="00DC3D68" w:rsidRPr="005119F9"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88,64</w:t>
            </w:r>
            <w:r w:rsidR="000B6A32">
              <w:rPr>
                <w:rFonts w:eastAsia="Times New Roman" w:cstheme="minorHAnsi"/>
                <w:b/>
                <w:bCs/>
                <w:sz w:val="20"/>
                <w:szCs w:val="20"/>
                <w:lang w:eastAsia="hr-HR"/>
              </w:rPr>
              <w:t>%</w:t>
            </w:r>
          </w:p>
        </w:tc>
      </w:tr>
      <w:tr w:rsidR="00DC3D68" w:rsidRPr="004457D4" w14:paraId="6EC31D3C" w14:textId="77777777" w:rsidTr="001923A6">
        <w:trPr>
          <w:trHeight w:val="212"/>
        </w:trPr>
        <w:tc>
          <w:tcPr>
            <w:tcW w:w="3563" w:type="dxa"/>
            <w:noWrap/>
            <w:vAlign w:val="bottom"/>
            <w:hideMark/>
          </w:tcPr>
          <w:p w14:paraId="167F70B5" w14:textId="77777777" w:rsidR="00DC3D68" w:rsidRPr="004457D4" w:rsidRDefault="00DC3D68" w:rsidP="00D923AD">
            <w:pPr>
              <w:spacing w:after="0" w:line="240" w:lineRule="auto"/>
              <w:rPr>
                <w:rFonts w:eastAsia="Times New Roman" w:cstheme="minorHAnsi"/>
                <w:bCs/>
                <w:sz w:val="20"/>
                <w:szCs w:val="20"/>
                <w:lang w:eastAsia="hr-HR"/>
              </w:rPr>
            </w:pPr>
            <w:r w:rsidRPr="004457D4">
              <w:rPr>
                <w:rFonts w:eastAsia="Times New Roman" w:cstheme="minorHAnsi"/>
                <w:bCs/>
                <w:sz w:val="20"/>
                <w:szCs w:val="20"/>
                <w:lang w:eastAsia="hr-HR"/>
              </w:rPr>
              <w:t>4 Rashodi za nabavu nefinancijske imovine</w:t>
            </w:r>
          </w:p>
        </w:tc>
        <w:tc>
          <w:tcPr>
            <w:tcW w:w="1507" w:type="dxa"/>
            <w:noWrap/>
            <w:vAlign w:val="bottom"/>
          </w:tcPr>
          <w:p w14:paraId="321395F7" w14:textId="340A087E" w:rsidR="00DC3D68" w:rsidRPr="004457D4"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4.169.209,42</w:t>
            </w:r>
          </w:p>
        </w:tc>
        <w:tc>
          <w:tcPr>
            <w:tcW w:w="1507" w:type="dxa"/>
            <w:noWrap/>
            <w:vAlign w:val="bottom"/>
          </w:tcPr>
          <w:p w14:paraId="346CDFC6" w14:textId="3D0FEA37" w:rsidR="00DC3D68" w:rsidRPr="004457D4"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8.793.966,59</w:t>
            </w:r>
          </w:p>
        </w:tc>
        <w:tc>
          <w:tcPr>
            <w:tcW w:w="1474" w:type="dxa"/>
            <w:vAlign w:val="bottom"/>
          </w:tcPr>
          <w:p w14:paraId="49E591A9" w14:textId="1C50DEB7" w:rsidR="00DC3D68"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8.691.177,59</w:t>
            </w:r>
          </w:p>
        </w:tc>
        <w:tc>
          <w:tcPr>
            <w:tcW w:w="1556" w:type="dxa"/>
            <w:noWrap/>
            <w:vAlign w:val="bottom"/>
          </w:tcPr>
          <w:p w14:paraId="4FD18DDD" w14:textId="72290C03" w:rsidR="00DC3D68" w:rsidRPr="004457D4"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5.067.707,85</w:t>
            </w:r>
          </w:p>
        </w:tc>
        <w:tc>
          <w:tcPr>
            <w:tcW w:w="1020" w:type="dxa"/>
            <w:noWrap/>
            <w:vAlign w:val="bottom"/>
          </w:tcPr>
          <w:p w14:paraId="353C3672" w14:textId="743AE255" w:rsidR="00DC3D68" w:rsidRPr="004457D4"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121,55</w:t>
            </w:r>
            <w:r w:rsidR="000B6A32">
              <w:rPr>
                <w:rFonts w:eastAsia="Times New Roman" w:cstheme="minorHAnsi"/>
                <w:b/>
                <w:bCs/>
                <w:sz w:val="20"/>
                <w:szCs w:val="20"/>
                <w:lang w:eastAsia="hr-HR"/>
              </w:rPr>
              <w:t>%</w:t>
            </w:r>
          </w:p>
        </w:tc>
        <w:tc>
          <w:tcPr>
            <w:tcW w:w="1011" w:type="dxa"/>
            <w:noWrap/>
            <w:vAlign w:val="bottom"/>
          </w:tcPr>
          <w:p w14:paraId="6201811D" w14:textId="23ECC587" w:rsidR="00DC3D68" w:rsidRPr="004457D4"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58,31</w:t>
            </w:r>
            <w:r w:rsidR="000B6A32">
              <w:rPr>
                <w:rFonts w:eastAsia="Times New Roman" w:cstheme="minorHAnsi"/>
                <w:b/>
                <w:bCs/>
                <w:sz w:val="20"/>
                <w:szCs w:val="20"/>
                <w:lang w:eastAsia="hr-HR"/>
              </w:rPr>
              <w:t>%</w:t>
            </w:r>
          </w:p>
        </w:tc>
      </w:tr>
      <w:tr w:rsidR="00DC3D68" w14:paraId="26AFB3DB" w14:textId="77777777" w:rsidTr="00A43E12">
        <w:trPr>
          <w:trHeight w:val="212"/>
        </w:trPr>
        <w:tc>
          <w:tcPr>
            <w:tcW w:w="3563" w:type="dxa"/>
            <w:noWrap/>
            <w:vAlign w:val="bottom"/>
            <w:hideMark/>
          </w:tcPr>
          <w:p w14:paraId="4E456F9F" w14:textId="77777777" w:rsidR="00DC3D68" w:rsidRPr="005119F9" w:rsidRDefault="00DC3D68" w:rsidP="00D923AD">
            <w:pPr>
              <w:spacing w:after="0" w:line="240" w:lineRule="auto"/>
              <w:rPr>
                <w:rFonts w:eastAsia="Times New Roman" w:cstheme="minorHAnsi"/>
                <w:b/>
                <w:bCs/>
                <w:sz w:val="20"/>
                <w:szCs w:val="20"/>
                <w:lang w:eastAsia="hr-HR"/>
              </w:rPr>
            </w:pPr>
            <w:r w:rsidRPr="005119F9">
              <w:rPr>
                <w:rFonts w:eastAsia="Times New Roman" w:cstheme="minorHAnsi"/>
                <w:bCs/>
                <w:sz w:val="20"/>
                <w:szCs w:val="20"/>
                <w:lang w:eastAsia="hr-HR"/>
              </w:rPr>
              <w:t xml:space="preserve"> </w:t>
            </w:r>
            <w:r w:rsidRPr="005119F9">
              <w:rPr>
                <w:rFonts w:eastAsia="Times New Roman" w:cstheme="minorHAnsi"/>
                <w:b/>
                <w:bCs/>
                <w:sz w:val="20"/>
                <w:szCs w:val="20"/>
                <w:lang w:eastAsia="hr-HR"/>
              </w:rPr>
              <w:t>UKUPNI RASHODI</w:t>
            </w:r>
          </w:p>
        </w:tc>
        <w:tc>
          <w:tcPr>
            <w:tcW w:w="1507" w:type="dxa"/>
            <w:noWrap/>
            <w:vAlign w:val="bottom"/>
          </w:tcPr>
          <w:p w14:paraId="58D80518" w14:textId="2A3670A0" w:rsidR="00DC3D68" w:rsidRPr="005119F9"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16.752.997,56</w:t>
            </w:r>
          </w:p>
        </w:tc>
        <w:tc>
          <w:tcPr>
            <w:tcW w:w="1507" w:type="dxa"/>
            <w:noWrap/>
            <w:vAlign w:val="bottom"/>
          </w:tcPr>
          <w:p w14:paraId="72485DDB" w14:textId="373A2F88" w:rsidR="00DC3D68" w:rsidRPr="005119F9"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25.062.815,09</w:t>
            </w:r>
          </w:p>
        </w:tc>
        <w:tc>
          <w:tcPr>
            <w:tcW w:w="1474" w:type="dxa"/>
          </w:tcPr>
          <w:p w14:paraId="523EA95B" w14:textId="48DFE60E" w:rsidR="00DC3D68"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25.062.815,09</w:t>
            </w:r>
          </w:p>
        </w:tc>
        <w:tc>
          <w:tcPr>
            <w:tcW w:w="1556" w:type="dxa"/>
            <w:noWrap/>
            <w:vAlign w:val="bottom"/>
          </w:tcPr>
          <w:p w14:paraId="5D45893A" w14:textId="5C2AC8B1" w:rsidR="00DC3D68" w:rsidRPr="005119F9"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19.579.706,19</w:t>
            </w:r>
          </w:p>
        </w:tc>
        <w:tc>
          <w:tcPr>
            <w:tcW w:w="1020" w:type="dxa"/>
            <w:noWrap/>
            <w:vAlign w:val="bottom"/>
          </w:tcPr>
          <w:p w14:paraId="4FAE5AD9" w14:textId="32BE9BED" w:rsidR="00DC3D68" w:rsidRPr="005119F9"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116,87</w:t>
            </w:r>
            <w:r w:rsidR="000B6A32">
              <w:rPr>
                <w:rFonts w:eastAsia="Times New Roman" w:cstheme="minorHAnsi"/>
                <w:b/>
                <w:bCs/>
                <w:sz w:val="20"/>
                <w:szCs w:val="20"/>
                <w:lang w:eastAsia="hr-HR"/>
              </w:rPr>
              <w:t>%</w:t>
            </w:r>
          </w:p>
        </w:tc>
        <w:tc>
          <w:tcPr>
            <w:tcW w:w="1011" w:type="dxa"/>
            <w:noWrap/>
            <w:vAlign w:val="bottom"/>
          </w:tcPr>
          <w:p w14:paraId="6EE01C6F" w14:textId="635E3E91" w:rsidR="00DC3D68" w:rsidRPr="005119F9"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78,12</w:t>
            </w:r>
            <w:r w:rsidR="000B6A32">
              <w:rPr>
                <w:rFonts w:eastAsia="Times New Roman" w:cstheme="minorHAnsi"/>
                <w:b/>
                <w:bCs/>
                <w:sz w:val="20"/>
                <w:szCs w:val="20"/>
                <w:lang w:eastAsia="hr-HR"/>
              </w:rPr>
              <w:t>%</w:t>
            </w:r>
          </w:p>
        </w:tc>
      </w:tr>
      <w:tr w:rsidR="00DC3D68" w14:paraId="42E2EEE1" w14:textId="77777777" w:rsidTr="00A43E12">
        <w:trPr>
          <w:trHeight w:val="212"/>
        </w:trPr>
        <w:tc>
          <w:tcPr>
            <w:tcW w:w="3563" w:type="dxa"/>
            <w:noWrap/>
            <w:vAlign w:val="bottom"/>
            <w:hideMark/>
          </w:tcPr>
          <w:p w14:paraId="3D9390D5" w14:textId="77777777" w:rsidR="00DC3D68" w:rsidRPr="005119F9" w:rsidRDefault="00DC3D68" w:rsidP="00D923AD">
            <w:pPr>
              <w:spacing w:after="0" w:line="240" w:lineRule="auto"/>
              <w:rPr>
                <w:rFonts w:eastAsia="Times New Roman" w:cstheme="minorHAnsi"/>
                <w:b/>
                <w:bCs/>
                <w:sz w:val="20"/>
                <w:szCs w:val="20"/>
                <w:lang w:eastAsia="hr-HR"/>
              </w:rPr>
            </w:pPr>
            <w:r w:rsidRPr="005119F9">
              <w:rPr>
                <w:rFonts w:eastAsia="Times New Roman" w:cstheme="minorHAnsi"/>
                <w:b/>
                <w:bCs/>
                <w:sz w:val="20"/>
                <w:szCs w:val="20"/>
                <w:lang w:eastAsia="hr-HR"/>
              </w:rPr>
              <w:t xml:space="preserve"> VIŠAK / MANJAK</w:t>
            </w:r>
          </w:p>
        </w:tc>
        <w:tc>
          <w:tcPr>
            <w:tcW w:w="1507" w:type="dxa"/>
            <w:noWrap/>
            <w:vAlign w:val="bottom"/>
          </w:tcPr>
          <w:p w14:paraId="6127FEAA" w14:textId="12D0C43B" w:rsidR="00DC3D68" w:rsidRPr="005119F9"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784.723,82</w:t>
            </w:r>
          </w:p>
        </w:tc>
        <w:tc>
          <w:tcPr>
            <w:tcW w:w="1507" w:type="dxa"/>
            <w:noWrap/>
            <w:vAlign w:val="bottom"/>
          </w:tcPr>
          <w:p w14:paraId="56619DF1" w14:textId="4F2262DE" w:rsidR="00DC3D68" w:rsidRPr="005119F9"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-4.234.242,93</w:t>
            </w:r>
          </w:p>
        </w:tc>
        <w:tc>
          <w:tcPr>
            <w:tcW w:w="1474" w:type="dxa"/>
          </w:tcPr>
          <w:p w14:paraId="524A4267" w14:textId="6CD48044" w:rsidR="00DC3D68"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-4.234.242,93</w:t>
            </w:r>
          </w:p>
        </w:tc>
        <w:tc>
          <w:tcPr>
            <w:tcW w:w="1556" w:type="dxa"/>
            <w:noWrap/>
            <w:vAlign w:val="bottom"/>
          </w:tcPr>
          <w:p w14:paraId="79F50CC0" w14:textId="0381432A" w:rsidR="00DC3D68" w:rsidRPr="005119F9"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57.615,63</w:t>
            </w:r>
          </w:p>
        </w:tc>
        <w:tc>
          <w:tcPr>
            <w:tcW w:w="1020" w:type="dxa"/>
            <w:noWrap/>
            <w:vAlign w:val="bottom"/>
          </w:tcPr>
          <w:p w14:paraId="48F718A9" w14:textId="3D9F6FCE" w:rsidR="00DC3D68" w:rsidRPr="005119F9"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7,34</w:t>
            </w:r>
            <w:r w:rsidR="000B6A32">
              <w:rPr>
                <w:rFonts w:eastAsia="Times New Roman" w:cstheme="minorHAnsi"/>
                <w:b/>
                <w:bCs/>
                <w:sz w:val="20"/>
                <w:szCs w:val="20"/>
                <w:lang w:eastAsia="hr-HR"/>
              </w:rPr>
              <w:t>%</w:t>
            </w:r>
          </w:p>
        </w:tc>
        <w:tc>
          <w:tcPr>
            <w:tcW w:w="1011" w:type="dxa"/>
            <w:noWrap/>
            <w:vAlign w:val="bottom"/>
          </w:tcPr>
          <w:p w14:paraId="4A79EF6C" w14:textId="50D6B8B6" w:rsidR="00DC3D68" w:rsidRPr="005119F9"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-1,36</w:t>
            </w:r>
            <w:r w:rsidR="000B6A32">
              <w:rPr>
                <w:rFonts w:eastAsia="Times New Roman" w:cstheme="minorHAnsi"/>
                <w:b/>
                <w:bCs/>
                <w:sz w:val="20"/>
                <w:szCs w:val="20"/>
                <w:lang w:eastAsia="hr-HR"/>
              </w:rPr>
              <w:t>%</w:t>
            </w:r>
          </w:p>
        </w:tc>
      </w:tr>
      <w:tr w:rsidR="00DC3D68" w14:paraId="0554A3AB" w14:textId="77777777" w:rsidTr="00A43E12">
        <w:trPr>
          <w:trHeight w:val="212"/>
        </w:trPr>
        <w:tc>
          <w:tcPr>
            <w:tcW w:w="3563" w:type="dxa"/>
            <w:shd w:val="clear" w:color="auto" w:fill="FFE599" w:themeFill="accent4" w:themeFillTint="66"/>
            <w:noWrap/>
            <w:vAlign w:val="bottom"/>
            <w:hideMark/>
          </w:tcPr>
          <w:p w14:paraId="16F3161E" w14:textId="77777777" w:rsidR="00DC3D68" w:rsidRPr="004457D4" w:rsidRDefault="00DC3D68" w:rsidP="00D923AD">
            <w:pPr>
              <w:spacing w:after="0" w:line="240" w:lineRule="auto"/>
              <w:rPr>
                <w:rFonts w:eastAsia="Times New Roman" w:cstheme="minorHAnsi"/>
                <w:b/>
                <w:bCs/>
                <w:sz w:val="20"/>
                <w:szCs w:val="20"/>
                <w:lang w:eastAsia="hr-HR"/>
              </w:rPr>
            </w:pPr>
            <w:r w:rsidRPr="004457D4">
              <w:rPr>
                <w:rFonts w:eastAsia="Times New Roman" w:cstheme="minorHAnsi"/>
                <w:b/>
                <w:bCs/>
                <w:sz w:val="20"/>
                <w:szCs w:val="20"/>
                <w:lang w:eastAsia="hr-HR"/>
              </w:rPr>
              <w:t>B. RAČUN ZADUŽIVANJA / FINANCIRANJA</w:t>
            </w:r>
          </w:p>
        </w:tc>
        <w:tc>
          <w:tcPr>
            <w:tcW w:w="1507" w:type="dxa"/>
            <w:shd w:val="clear" w:color="auto" w:fill="FFE599" w:themeFill="accent4" w:themeFillTint="66"/>
            <w:noWrap/>
            <w:vAlign w:val="bottom"/>
          </w:tcPr>
          <w:p w14:paraId="06A4315A" w14:textId="77777777" w:rsidR="00DC3D68" w:rsidRPr="005119F9" w:rsidRDefault="00DC3D68" w:rsidP="007822B8">
            <w:pPr>
              <w:spacing w:after="0" w:line="240" w:lineRule="auto"/>
              <w:jc w:val="center"/>
              <w:rPr>
                <w:rFonts w:eastAsia="Times New Roman" w:cstheme="minorHAnsi"/>
                <w:b/>
                <w:bCs/>
                <w:color w:val="FFFFFF"/>
                <w:sz w:val="20"/>
                <w:szCs w:val="20"/>
                <w:lang w:eastAsia="hr-HR"/>
              </w:rPr>
            </w:pPr>
          </w:p>
        </w:tc>
        <w:tc>
          <w:tcPr>
            <w:tcW w:w="1507" w:type="dxa"/>
            <w:shd w:val="clear" w:color="auto" w:fill="FFE599" w:themeFill="accent4" w:themeFillTint="66"/>
            <w:noWrap/>
            <w:vAlign w:val="bottom"/>
          </w:tcPr>
          <w:p w14:paraId="640602DD" w14:textId="77777777" w:rsidR="00DC3D68" w:rsidRPr="005119F9" w:rsidRDefault="00DC3D68" w:rsidP="007822B8">
            <w:pPr>
              <w:spacing w:after="0" w:line="240" w:lineRule="auto"/>
              <w:jc w:val="center"/>
              <w:rPr>
                <w:rFonts w:eastAsia="Times New Roman" w:cstheme="minorHAnsi"/>
                <w:b/>
                <w:bCs/>
                <w:color w:val="FFFFFF"/>
                <w:sz w:val="20"/>
                <w:szCs w:val="20"/>
                <w:lang w:eastAsia="hr-HR"/>
              </w:rPr>
            </w:pPr>
          </w:p>
        </w:tc>
        <w:tc>
          <w:tcPr>
            <w:tcW w:w="1474" w:type="dxa"/>
            <w:shd w:val="clear" w:color="auto" w:fill="FFE599" w:themeFill="accent4" w:themeFillTint="66"/>
          </w:tcPr>
          <w:p w14:paraId="55911D42" w14:textId="77777777" w:rsidR="00DC3D68" w:rsidRPr="005119F9" w:rsidRDefault="00DC3D68" w:rsidP="007822B8">
            <w:pPr>
              <w:spacing w:after="0" w:line="240" w:lineRule="auto"/>
              <w:jc w:val="center"/>
              <w:rPr>
                <w:rFonts w:eastAsia="Times New Roman" w:cstheme="minorHAnsi"/>
                <w:b/>
                <w:bCs/>
                <w:color w:val="FFFFFF"/>
                <w:sz w:val="20"/>
                <w:szCs w:val="20"/>
                <w:lang w:eastAsia="hr-HR"/>
              </w:rPr>
            </w:pPr>
          </w:p>
        </w:tc>
        <w:tc>
          <w:tcPr>
            <w:tcW w:w="1556" w:type="dxa"/>
            <w:shd w:val="clear" w:color="auto" w:fill="FFE599" w:themeFill="accent4" w:themeFillTint="66"/>
            <w:noWrap/>
            <w:vAlign w:val="bottom"/>
          </w:tcPr>
          <w:p w14:paraId="55A8C8D4" w14:textId="05E24C2D" w:rsidR="00DC3D68" w:rsidRPr="005119F9" w:rsidRDefault="00DC3D68" w:rsidP="007822B8">
            <w:pPr>
              <w:spacing w:after="0" w:line="240" w:lineRule="auto"/>
              <w:jc w:val="center"/>
              <w:rPr>
                <w:rFonts w:eastAsia="Times New Roman" w:cstheme="minorHAnsi"/>
                <w:b/>
                <w:bCs/>
                <w:color w:val="FFFFFF"/>
                <w:sz w:val="20"/>
                <w:szCs w:val="20"/>
                <w:lang w:eastAsia="hr-HR"/>
              </w:rPr>
            </w:pPr>
          </w:p>
        </w:tc>
        <w:tc>
          <w:tcPr>
            <w:tcW w:w="1020" w:type="dxa"/>
            <w:shd w:val="clear" w:color="auto" w:fill="FFE599" w:themeFill="accent4" w:themeFillTint="66"/>
            <w:noWrap/>
            <w:vAlign w:val="bottom"/>
          </w:tcPr>
          <w:p w14:paraId="472D401C" w14:textId="77777777" w:rsidR="00DC3D68" w:rsidRPr="005119F9" w:rsidRDefault="00DC3D68" w:rsidP="007822B8">
            <w:pPr>
              <w:spacing w:after="0" w:line="240" w:lineRule="auto"/>
              <w:jc w:val="center"/>
              <w:rPr>
                <w:rFonts w:eastAsia="Times New Roman" w:cstheme="minorHAnsi"/>
                <w:b/>
                <w:bCs/>
                <w:color w:val="FFFFFF"/>
                <w:sz w:val="20"/>
                <w:szCs w:val="20"/>
                <w:lang w:eastAsia="hr-HR"/>
              </w:rPr>
            </w:pPr>
          </w:p>
        </w:tc>
        <w:tc>
          <w:tcPr>
            <w:tcW w:w="1011" w:type="dxa"/>
            <w:shd w:val="clear" w:color="auto" w:fill="FFE599" w:themeFill="accent4" w:themeFillTint="66"/>
            <w:noWrap/>
            <w:vAlign w:val="bottom"/>
          </w:tcPr>
          <w:p w14:paraId="2E015CDF" w14:textId="77777777" w:rsidR="00DC3D68" w:rsidRPr="005119F9" w:rsidRDefault="00DC3D68" w:rsidP="007822B8">
            <w:pPr>
              <w:spacing w:after="0" w:line="240" w:lineRule="auto"/>
              <w:jc w:val="center"/>
              <w:rPr>
                <w:rFonts w:eastAsia="Times New Roman" w:cstheme="minorHAnsi"/>
                <w:b/>
                <w:bCs/>
                <w:color w:val="FFFFFF"/>
                <w:sz w:val="20"/>
                <w:szCs w:val="20"/>
                <w:lang w:eastAsia="hr-HR"/>
              </w:rPr>
            </w:pPr>
          </w:p>
        </w:tc>
      </w:tr>
      <w:tr w:rsidR="00DC3D68" w14:paraId="28B4D291" w14:textId="77777777" w:rsidTr="001923A6">
        <w:trPr>
          <w:trHeight w:val="197"/>
        </w:trPr>
        <w:tc>
          <w:tcPr>
            <w:tcW w:w="3563" w:type="dxa"/>
            <w:noWrap/>
            <w:vAlign w:val="bottom"/>
            <w:hideMark/>
          </w:tcPr>
          <w:p w14:paraId="1B1783A2" w14:textId="77777777" w:rsidR="00DC3D68" w:rsidRPr="005119F9" w:rsidRDefault="00DC3D68" w:rsidP="00D923AD">
            <w:pPr>
              <w:spacing w:after="0" w:line="240" w:lineRule="auto"/>
              <w:rPr>
                <w:rFonts w:eastAsia="Times New Roman" w:cstheme="minorHAnsi"/>
                <w:bCs/>
                <w:sz w:val="20"/>
                <w:szCs w:val="20"/>
                <w:lang w:eastAsia="hr-HR"/>
              </w:rPr>
            </w:pPr>
            <w:r w:rsidRPr="005119F9">
              <w:rPr>
                <w:rFonts w:eastAsia="Times New Roman" w:cstheme="minorHAnsi"/>
                <w:bCs/>
                <w:sz w:val="20"/>
                <w:szCs w:val="20"/>
                <w:lang w:eastAsia="hr-HR"/>
              </w:rPr>
              <w:t>8 Primici od financijske imovine i zaduživanja</w:t>
            </w:r>
          </w:p>
        </w:tc>
        <w:tc>
          <w:tcPr>
            <w:tcW w:w="1507" w:type="dxa"/>
            <w:noWrap/>
            <w:vAlign w:val="bottom"/>
          </w:tcPr>
          <w:p w14:paraId="70218D47" w14:textId="2C1F2160" w:rsidR="00DC3D68" w:rsidRPr="005119F9" w:rsidRDefault="00EF5E68"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0,00</w:t>
            </w:r>
          </w:p>
        </w:tc>
        <w:tc>
          <w:tcPr>
            <w:tcW w:w="1507" w:type="dxa"/>
            <w:noWrap/>
            <w:vAlign w:val="bottom"/>
          </w:tcPr>
          <w:p w14:paraId="5235DC2C" w14:textId="0433F1F7" w:rsidR="00DC3D68" w:rsidRPr="005119F9"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150.000,00</w:t>
            </w:r>
          </w:p>
        </w:tc>
        <w:tc>
          <w:tcPr>
            <w:tcW w:w="1474" w:type="dxa"/>
            <w:vAlign w:val="bottom"/>
          </w:tcPr>
          <w:p w14:paraId="48036405" w14:textId="6B923EE8" w:rsidR="00DC3D68"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150.000,00</w:t>
            </w:r>
          </w:p>
        </w:tc>
        <w:tc>
          <w:tcPr>
            <w:tcW w:w="1556" w:type="dxa"/>
            <w:noWrap/>
            <w:vAlign w:val="bottom"/>
          </w:tcPr>
          <w:p w14:paraId="774C55BA" w14:textId="1A920619" w:rsidR="00DC3D68" w:rsidRPr="005119F9"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150.000,00</w:t>
            </w:r>
          </w:p>
        </w:tc>
        <w:tc>
          <w:tcPr>
            <w:tcW w:w="1020" w:type="dxa"/>
            <w:noWrap/>
            <w:vAlign w:val="bottom"/>
          </w:tcPr>
          <w:p w14:paraId="4681C74B" w14:textId="77777777" w:rsidR="00DC3D68" w:rsidRPr="005119F9" w:rsidRDefault="00DC3D68"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w:t>
            </w:r>
          </w:p>
        </w:tc>
        <w:tc>
          <w:tcPr>
            <w:tcW w:w="1011" w:type="dxa"/>
            <w:noWrap/>
            <w:vAlign w:val="bottom"/>
          </w:tcPr>
          <w:p w14:paraId="7BC7527F" w14:textId="35E2DB33" w:rsidR="00DC3D68" w:rsidRPr="005119F9"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100,00%</w:t>
            </w:r>
          </w:p>
        </w:tc>
      </w:tr>
      <w:tr w:rsidR="00DC3D68" w14:paraId="6F86CE9E" w14:textId="77777777" w:rsidTr="00A43E12">
        <w:trPr>
          <w:trHeight w:val="252"/>
        </w:trPr>
        <w:tc>
          <w:tcPr>
            <w:tcW w:w="3563" w:type="dxa"/>
            <w:noWrap/>
            <w:vAlign w:val="bottom"/>
            <w:hideMark/>
          </w:tcPr>
          <w:p w14:paraId="3BFEC50A" w14:textId="77777777" w:rsidR="00DC3D68" w:rsidRPr="005119F9" w:rsidRDefault="00DC3D68" w:rsidP="00D923AD">
            <w:pPr>
              <w:spacing w:after="0" w:line="240" w:lineRule="auto"/>
              <w:rPr>
                <w:rFonts w:eastAsia="Times New Roman" w:cstheme="minorHAnsi"/>
                <w:bCs/>
                <w:sz w:val="20"/>
                <w:szCs w:val="20"/>
                <w:lang w:eastAsia="hr-HR"/>
              </w:rPr>
            </w:pPr>
            <w:r w:rsidRPr="005119F9">
              <w:rPr>
                <w:rFonts w:eastAsia="Times New Roman" w:cstheme="minorHAnsi"/>
                <w:bCs/>
                <w:sz w:val="20"/>
                <w:szCs w:val="20"/>
                <w:lang w:eastAsia="hr-HR"/>
              </w:rPr>
              <w:t>5 Izdaci za financijsku imovinu i otplate zajmova</w:t>
            </w:r>
          </w:p>
        </w:tc>
        <w:tc>
          <w:tcPr>
            <w:tcW w:w="1507" w:type="dxa"/>
            <w:noWrap/>
            <w:vAlign w:val="bottom"/>
          </w:tcPr>
          <w:p w14:paraId="37D9EB99" w14:textId="2AA59E10" w:rsidR="00DC3D68" w:rsidRPr="005119F9"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632.317,64</w:t>
            </w:r>
          </w:p>
        </w:tc>
        <w:tc>
          <w:tcPr>
            <w:tcW w:w="1507" w:type="dxa"/>
            <w:noWrap/>
            <w:vAlign w:val="bottom"/>
          </w:tcPr>
          <w:p w14:paraId="3E3013B0" w14:textId="0C8CAA08" w:rsidR="00DC3D68" w:rsidRPr="005119F9"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398.700,00</w:t>
            </w:r>
          </w:p>
        </w:tc>
        <w:tc>
          <w:tcPr>
            <w:tcW w:w="1474" w:type="dxa"/>
            <w:vAlign w:val="bottom"/>
          </w:tcPr>
          <w:p w14:paraId="199DCAFA" w14:textId="0BF924DE" w:rsidR="00DC3D68"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398.700,00</w:t>
            </w:r>
          </w:p>
        </w:tc>
        <w:tc>
          <w:tcPr>
            <w:tcW w:w="1556" w:type="dxa"/>
            <w:noWrap/>
            <w:vAlign w:val="bottom"/>
          </w:tcPr>
          <w:p w14:paraId="55702F3D" w14:textId="26705481" w:rsidR="00DC3D68" w:rsidRPr="005119F9"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352.837,33</w:t>
            </w:r>
          </w:p>
        </w:tc>
        <w:tc>
          <w:tcPr>
            <w:tcW w:w="1020" w:type="dxa"/>
            <w:noWrap/>
            <w:vAlign w:val="bottom"/>
          </w:tcPr>
          <w:p w14:paraId="4BD10B01" w14:textId="02EA3674" w:rsidR="00DC3D68" w:rsidRPr="005119F9"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55,80</w:t>
            </w:r>
            <w:r w:rsidR="00F7636F">
              <w:rPr>
                <w:rFonts w:eastAsia="Times New Roman" w:cstheme="minorHAnsi"/>
                <w:b/>
                <w:bCs/>
                <w:sz w:val="20"/>
                <w:szCs w:val="20"/>
                <w:lang w:eastAsia="hr-HR"/>
              </w:rPr>
              <w:t>%</w:t>
            </w:r>
          </w:p>
        </w:tc>
        <w:tc>
          <w:tcPr>
            <w:tcW w:w="1011" w:type="dxa"/>
            <w:noWrap/>
            <w:vAlign w:val="bottom"/>
          </w:tcPr>
          <w:p w14:paraId="2DA00905" w14:textId="18EF802C" w:rsidR="00DC3D68" w:rsidRPr="005119F9"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88,50</w:t>
            </w:r>
            <w:r w:rsidR="00F7636F">
              <w:rPr>
                <w:rFonts w:eastAsia="Times New Roman" w:cstheme="minorHAnsi"/>
                <w:b/>
                <w:bCs/>
                <w:sz w:val="20"/>
                <w:szCs w:val="20"/>
                <w:lang w:eastAsia="hr-HR"/>
              </w:rPr>
              <w:t>%</w:t>
            </w:r>
          </w:p>
        </w:tc>
      </w:tr>
      <w:tr w:rsidR="00DC3D68" w14:paraId="1B9BBBA5" w14:textId="77777777" w:rsidTr="00A43E12">
        <w:trPr>
          <w:trHeight w:val="212"/>
        </w:trPr>
        <w:tc>
          <w:tcPr>
            <w:tcW w:w="3563" w:type="dxa"/>
            <w:noWrap/>
            <w:vAlign w:val="bottom"/>
            <w:hideMark/>
          </w:tcPr>
          <w:p w14:paraId="21B18062" w14:textId="77777777" w:rsidR="00DC3D68" w:rsidRPr="005119F9" w:rsidRDefault="00DC3D68" w:rsidP="00D923AD">
            <w:pPr>
              <w:spacing w:after="0" w:line="240" w:lineRule="auto"/>
              <w:rPr>
                <w:rFonts w:eastAsia="Times New Roman" w:cstheme="minorHAnsi"/>
                <w:b/>
                <w:bCs/>
                <w:sz w:val="20"/>
                <w:szCs w:val="20"/>
                <w:lang w:eastAsia="hr-HR"/>
              </w:rPr>
            </w:pPr>
            <w:r w:rsidRPr="005119F9">
              <w:rPr>
                <w:rFonts w:eastAsia="Times New Roman" w:cstheme="minorHAnsi"/>
                <w:b/>
                <w:bCs/>
                <w:sz w:val="20"/>
                <w:szCs w:val="20"/>
                <w:lang w:eastAsia="hr-HR"/>
              </w:rPr>
              <w:t xml:space="preserve"> NETO ZADUŽIVANJE/FINANCIRANJE</w:t>
            </w:r>
          </w:p>
        </w:tc>
        <w:tc>
          <w:tcPr>
            <w:tcW w:w="1507" w:type="dxa"/>
            <w:noWrap/>
            <w:vAlign w:val="bottom"/>
          </w:tcPr>
          <w:p w14:paraId="3196E22E" w14:textId="563B854B" w:rsidR="00DC3D68" w:rsidRPr="005119F9"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-632.317,64</w:t>
            </w:r>
          </w:p>
        </w:tc>
        <w:tc>
          <w:tcPr>
            <w:tcW w:w="1507" w:type="dxa"/>
            <w:noWrap/>
            <w:vAlign w:val="bottom"/>
          </w:tcPr>
          <w:p w14:paraId="046FC97E" w14:textId="17B96496" w:rsidR="00DC3D68" w:rsidRPr="005119F9"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-248.700,00</w:t>
            </w:r>
          </w:p>
        </w:tc>
        <w:tc>
          <w:tcPr>
            <w:tcW w:w="1474" w:type="dxa"/>
          </w:tcPr>
          <w:p w14:paraId="3F8A71AB" w14:textId="32F4C356" w:rsidR="00DC3D68" w:rsidRDefault="001923A6" w:rsidP="004F5772">
            <w:pPr>
              <w:spacing w:after="0" w:line="240" w:lineRule="auto"/>
              <w:rPr>
                <w:rFonts w:eastAsia="Times New Roman" w:cstheme="minorHAnsi"/>
                <w:b/>
                <w:bCs/>
                <w:sz w:val="20"/>
                <w:szCs w:val="20"/>
                <w:lang w:eastAsia="hr-HR"/>
              </w:rPr>
            </w:pPr>
            <w:r>
              <w:rPr>
                <w:rFonts w:eastAsia="Times New Roman" w:cstheme="minorHAnsi"/>
                <w:b/>
                <w:bCs/>
                <w:sz w:val="20"/>
                <w:szCs w:val="20"/>
                <w:lang w:eastAsia="hr-HR"/>
              </w:rPr>
              <w:t xml:space="preserve">  -248.700,00</w:t>
            </w:r>
          </w:p>
        </w:tc>
        <w:tc>
          <w:tcPr>
            <w:tcW w:w="1556" w:type="dxa"/>
            <w:noWrap/>
            <w:vAlign w:val="bottom"/>
          </w:tcPr>
          <w:p w14:paraId="4F91A4E3" w14:textId="31867588" w:rsidR="00DC3D68" w:rsidRPr="005119F9" w:rsidRDefault="001923A6" w:rsidP="004F5772">
            <w:pPr>
              <w:spacing w:after="0" w:line="240" w:lineRule="auto"/>
              <w:rPr>
                <w:rFonts w:eastAsia="Times New Roman" w:cstheme="minorHAnsi"/>
                <w:b/>
                <w:bCs/>
                <w:sz w:val="20"/>
                <w:szCs w:val="20"/>
                <w:lang w:eastAsia="hr-HR"/>
              </w:rPr>
            </w:pPr>
            <w:r>
              <w:rPr>
                <w:rFonts w:eastAsia="Times New Roman" w:cstheme="minorHAnsi"/>
                <w:b/>
                <w:bCs/>
                <w:sz w:val="20"/>
                <w:szCs w:val="20"/>
                <w:lang w:eastAsia="hr-HR"/>
              </w:rPr>
              <w:t xml:space="preserve">   -202.837,33</w:t>
            </w:r>
          </w:p>
        </w:tc>
        <w:tc>
          <w:tcPr>
            <w:tcW w:w="1020" w:type="dxa"/>
            <w:noWrap/>
            <w:vAlign w:val="bottom"/>
          </w:tcPr>
          <w:p w14:paraId="216F888F" w14:textId="6A112068" w:rsidR="00DC3D68" w:rsidRPr="005119F9"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32,08</w:t>
            </w:r>
            <w:r w:rsidR="00F7636F">
              <w:rPr>
                <w:rFonts w:eastAsia="Times New Roman" w:cstheme="minorHAnsi"/>
                <w:b/>
                <w:bCs/>
                <w:sz w:val="20"/>
                <w:szCs w:val="20"/>
                <w:lang w:eastAsia="hr-HR"/>
              </w:rPr>
              <w:t>%</w:t>
            </w:r>
          </w:p>
        </w:tc>
        <w:tc>
          <w:tcPr>
            <w:tcW w:w="1011" w:type="dxa"/>
            <w:noWrap/>
            <w:vAlign w:val="bottom"/>
          </w:tcPr>
          <w:p w14:paraId="4ED6A599" w14:textId="72E9BD53" w:rsidR="00DC3D68" w:rsidRPr="005119F9" w:rsidRDefault="001923A6" w:rsidP="007822B8">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81,56</w:t>
            </w:r>
            <w:r w:rsidR="00F7636F">
              <w:rPr>
                <w:rFonts w:eastAsia="Times New Roman" w:cstheme="minorHAnsi"/>
                <w:b/>
                <w:bCs/>
                <w:sz w:val="20"/>
                <w:szCs w:val="20"/>
                <w:lang w:eastAsia="hr-HR"/>
              </w:rPr>
              <w:t>%</w:t>
            </w:r>
          </w:p>
        </w:tc>
      </w:tr>
      <w:tr w:rsidR="00DC3D68" w14:paraId="4941ADF5" w14:textId="77777777" w:rsidTr="004F5772">
        <w:trPr>
          <w:trHeight w:val="391"/>
        </w:trPr>
        <w:tc>
          <w:tcPr>
            <w:tcW w:w="3563" w:type="dxa"/>
            <w:shd w:val="clear" w:color="auto" w:fill="FFE599" w:themeFill="accent4" w:themeFillTint="66"/>
            <w:noWrap/>
            <w:vAlign w:val="bottom"/>
            <w:hideMark/>
          </w:tcPr>
          <w:p w14:paraId="407A7358" w14:textId="77777777" w:rsidR="00DC3D68" w:rsidRPr="005119F9" w:rsidRDefault="00DC3D68" w:rsidP="00D923AD">
            <w:pPr>
              <w:spacing w:after="0" w:line="240" w:lineRule="auto"/>
              <w:rPr>
                <w:rFonts w:eastAsia="Times New Roman" w:cstheme="minorHAnsi"/>
                <w:b/>
                <w:bCs/>
                <w:sz w:val="20"/>
                <w:szCs w:val="20"/>
                <w:lang w:eastAsia="hr-HR"/>
              </w:rPr>
            </w:pPr>
            <w:r w:rsidRPr="005119F9">
              <w:rPr>
                <w:rFonts w:eastAsia="Times New Roman" w:cstheme="minorHAnsi"/>
                <w:b/>
                <w:bCs/>
                <w:sz w:val="20"/>
                <w:szCs w:val="20"/>
                <w:lang w:eastAsia="hr-HR"/>
              </w:rPr>
              <w:t>C. VIŠAK/MANJAK +NETO ZADUŽIVANJA/ FINANCIRANJA</w:t>
            </w:r>
          </w:p>
        </w:tc>
        <w:tc>
          <w:tcPr>
            <w:tcW w:w="1507" w:type="dxa"/>
            <w:shd w:val="clear" w:color="auto" w:fill="FFE599" w:themeFill="accent4" w:themeFillTint="66"/>
            <w:noWrap/>
            <w:vAlign w:val="bottom"/>
          </w:tcPr>
          <w:p w14:paraId="34A7DEF8" w14:textId="09962547" w:rsidR="00DC3D68" w:rsidRPr="005119F9" w:rsidRDefault="001923A6" w:rsidP="00187BDF">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152.406,18</w:t>
            </w:r>
          </w:p>
        </w:tc>
        <w:tc>
          <w:tcPr>
            <w:tcW w:w="1507" w:type="dxa"/>
            <w:shd w:val="clear" w:color="auto" w:fill="FFE599" w:themeFill="accent4" w:themeFillTint="66"/>
            <w:noWrap/>
            <w:vAlign w:val="bottom"/>
          </w:tcPr>
          <w:p w14:paraId="2721AE6E" w14:textId="422EAC7A" w:rsidR="00DC3D68" w:rsidRPr="005119F9" w:rsidRDefault="004C634E" w:rsidP="00187BDF">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0,00</w:t>
            </w:r>
          </w:p>
        </w:tc>
        <w:tc>
          <w:tcPr>
            <w:tcW w:w="1474" w:type="dxa"/>
            <w:shd w:val="clear" w:color="auto" w:fill="FFE599" w:themeFill="accent4" w:themeFillTint="66"/>
            <w:vAlign w:val="bottom"/>
          </w:tcPr>
          <w:p w14:paraId="180A687B" w14:textId="553DF8E4" w:rsidR="00DC3D68" w:rsidRDefault="004C634E" w:rsidP="00187BDF">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0,00</w:t>
            </w:r>
          </w:p>
        </w:tc>
        <w:tc>
          <w:tcPr>
            <w:tcW w:w="1556" w:type="dxa"/>
            <w:shd w:val="clear" w:color="auto" w:fill="FFE599" w:themeFill="accent4" w:themeFillTint="66"/>
            <w:noWrap/>
            <w:vAlign w:val="bottom"/>
          </w:tcPr>
          <w:p w14:paraId="522D7FBC" w14:textId="451A76DC" w:rsidR="00DC3D68" w:rsidRPr="005119F9" w:rsidRDefault="001923A6" w:rsidP="00187BDF">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-145.221,70</w:t>
            </w:r>
          </w:p>
        </w:tc>
        <w:tc>
          <w:tcPr>
            <w:tcW w:w="1020" w:type="dxa"/>
            <w:shd w:val="clear" w:color="auto" w:fill="FFE599" w:themeFill="accent4" w:themeFillTint="66"/>
            <w:noWrap/>
            <w:vAlign w:val="bottom"/>
          </w:tcPr>
          <w:p w14:paraId="368A3DF8" w14:textId="20BB5382" w:rsidR="00DC3D68" w:rsidRPr="005119F9" w:rsidRDefault="004F5772" w:rsidP="00187BDF">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w:t>
            </w:r>
          </w:p>
        </w:tc>
        <w:tc>
          <w:tcPr>
            <w:tcW w:w="1011" w:type="dxa"/>
            <w:shd w:val="clear" w:color="auto" w:fill="FFE599" w:themeFill="accent4" w:themeFillTint="66"/>
            <w:noWrap/>
            <w:vAlign w:val="bottom"/>
          </w:tcPr>
          <w:p w14:paraId="7078116E" w14:textId="77777777" w:rsidR="00DC3D68" w:rsidRPr="005119F9" w:rsidRDefault="00DC3D68" w:rsidP="00187BDF">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w:t>
            </w:r>
          </w:p>
        </w:tc>
      </w:tr>
      <w:tr w:rsidR="00DC3D68" w14:paraId="3E14FE07" w14:textId="77777777" w:rsidTr="004F5772">
        <w:trPr>
          <w:trHeight w:val="391"/>
        </w:trPr>
        <w:tc>
          <w:tcPr>
            <w:tcW w:w="3563" w:type="dxa"/>
            <w:shd w:val="clear" w:color="auto" w:fill="FFE599" w:themeFill="accent4" w:themeFillTint="66"/>
            <w:vAlign w:val="bottom"/>
            <w:hideMark/>
          </w:tcPr>
          <w:p w14:paraId="77BB79BA" w14:textId="77777777" w:rsidR="00DC3D68" w:rsidRPr="005119F9" w:rsidRDefault="00DC3D68" w:rsidP="00D923AD">
            <w:pPr>
              <w:spacing w:after="0" w:line="240" w:lineRule="auto"/>
              <w:rPr>
                <w:rFonts w:eastAsia="Times New Roman" w:cstheme="minorHAnsi"/>
                <w:b/>
                <w:bCs/>
                <w:sz w:val="20"/>
                <w:szCs w:val="20"/>
                <w:lang w:eastAsia="hr-HR"/>
              </w:rPr>
            </w:pPr>
            <w:r>
              <w:rPr>
                <w:rFonts w:eastAsia="Times New Roman" w:cstheme="minorHAnsi"/>
                <w:b/>
                <w:bCs/>
                <w:sz w:val="20"/>
                <w:szCs w:val="20"/>
                <w:lang w:eastAsia="hr-HR"/>
              </w:rPr>
              <w:t xml:space="preserve"> D. UKUPAN DONOS VIŠKA / MANJKA </w:t>
            </w:r>
            <w:r w:rsidRPr="005119F9">
              <w:rPr>
                <w:rFonts w:eastAsia="Times New Roman" w:cstheme="minorHAnsi"/>
                <w:b/>
                <w:bCs/>
                <w:sz w:val="20"/>
                <w:szCs w:val="20"/>
                <w:lang w:eastAsia="hr-HR"/>
              </w:rPr>
              <w:t>IZ PRETHODNE(IH) GODINA</w:t>
            </w:r>
          </w:p>
        </w:tc>
        <w:tc>
          <w:tcPr>
            <w:tcW w:w="1507" w:type="dxa"/>
            <w:shd w:val="clear" w:color="auto" w:fill="FFE599" w:themeFill="accent4" w:themeFillTint="66"/>
            <w:noWrap/>
            <w:vAlign w:val="bottom"/>
          </w:tcPr>
          <w:p w14:paraId="6E39B9B9" w14:textId="16E14089" w:rsidR="00DC3D68" w:rsidRPr="005119F9" w:rsidRDefault="001923A6" w:rsidP="00187BDF">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4.180.379,77</w:t>
            </w:r>
          </w:p>
        </w:tc>
        <w:tc>
          <w:tcPr>
            <w:tcW w:w="1507" w:type="dxa"/>
            <w:shd w:val="clear" w:color="auto" w:fill="FFE599" w:themeFill="accent4" w:themeFillTint="66"/>
            <w:noWrap/>
            <w:vAlign w:val="bottom"/>
          </w:tcPr>
          <w:p w14:paraId="3796D070" w14:textId="5B3DDFE6" w:rsidR="00DC3D68" w:rsidRPr="005119F9" w:rsidRDefault="004C634E" w:rsidP="00187BDF">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4.482.942,93</w:t>
            </w:r>
          </w:p>
        </w:tc>
        <w:tc>
          <w:tcPr>
            <w:tcW w:w="1474" w:type="dxa"/>
            <w:shd w:val="clear" w:color="auto" w:fill="FFE599" w:themeFill="accent4" w:themeFillTint="66"/>
            <w:vAlign w:val="bottom"/>
          </w:tcPr>
          <w:p w14:paraId="3ADADEA5" w14:textId="144FB1B6" w:rsidR="00DC3D68" w:rsidRDefault="004C634E" w:rsidP="00187BDF">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4.482.942,93</w:t>
            </w:r>
          </w:p>
        </w:tc>
        <w:tc>
          <w:tcPr>
            <w:tcW w:w="1556" w:type="dxa"/>
            <w:shd w:val="clear" w:color="auto" w:fill="FFE599" w:themeFill="accent4" w:themeFillTint="66"/>
            <w:noWrap/>
            <w:vAlign w:val="bottom"/>
          </w:tcPr>
          <w:p w14:paraId="2FC7379F" w14:textId="178D79A7" w:rsidR="00DC3D68" w:rsidRPr="005119F9" w:rsidRDefault="004C634E" w:rsidP="00187BDF">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4.332.7</w:t>
            </w:r>
            <w:r w:rsidR="00602C15">
              <w:rPr>
                <w:rFonts w:eastAsia="Times New Roman" w:cstheme="minorHAnsi"/>
                <w:b/>
                <w:bCs/>
                <w:sz w:val="20"/>
                <w:szCs w:val="20"/>
                <w:lang w:eastAsia="hr-HR"/>
              </w:rPr>
              <w:t>95,60</w:t>
            </w:r>
          </w:p>
        </w:tc>
        <w:tc>
          <w:tcPr>
            <w:tcW w:w="1020" w:type="dxa"/>
            <w:shd w:val="clear" w:color="auto" w:fill="FFE599" w:themeFill="accent4" w:themeFillTint="66"/>
            <w:noWrap/>
            <w:vAlign w:val="bottom"/>
          </w:tcPr>
          <w:p w14:paraId="08ADADED" w14:textId="0B2B4253" w:rsidR="00DC3D68" w:rsidRPr="005119F9" w:rsidRDefault="004F5772" w:rsidP="00187BDF">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246,06%</w:t>
            </w:r>
          </w:p>
        </w:tc>
        <w:tc>
          <w:tcPr>
            <w:tcW w:w="1011" w:type="dxa"/>
            <w:shd w:val="clear" w:color="auto" w:fill="FFE599" w:themeFill="accent4" w:themeFillTint="66"/>
            <w:noWrap/>
            <w:vAlign w:val="bottom"/>
          </w:tcPr>
          <w:p w14:paraId="09F60470" w14:textId="5CA0A267" w:rsidR="00DC3D68" w:rsidRPr="007017F2" w:rsidRDefault="004F5772" w:rsidP="00187BDF">
            <w:pPr>
              <w:spacing w:after="0" w:line="240" w:lineRule="auto"/>
              <w:jc w:val="center"/>
              <w:rPr>
                <w:rFonts w:eastAsia="Times New Roman" w:cstheme="minorHAnsi"/>
                <w:b/>
                <w:sz w:val="20"/>
                <w:szCs w:val="20"/>
                <w:lang w:eastAsia="hr-HR"/>
              </w:rPr>
            </w:pPr>
            <w:r>
              <w:rPr>
                <w:rFonts w:eastAsia="Times New Roman" w:cstheme="minorHAnsi"/>
                <w:b/>
                <w:sz w:val="20"/>
                <w:szCs w:val="20"/>
                <w:lang w:eastAsia="hr-HR"/>
              </w:rPr>
              <w:t>167,68%</w:t>
            </w:r>
          </w:p>
        </w:tc>
      </w:tr>
      <w:tr w:rsidR="00DC3D68" w14:paraId="7518CDC6" w14:textId="77777777" w:rsidTr="004F5772">
        <w:trPr>
          <w:trHeight w:val="360"/>
        </w:trPr>
        <w:tc>
          <w:tcPr>
            <w:tcW w:w="3563" w:type="dxa"/>
            <w:shd w:val="clear" w:color="auto" w:fill="FFE599" w:themeFill="accent4" w:themeFillTint="66"/>
            <w:vAlign w:val="bottom"/>
            <w:hideMark/>
          </w:tcPr>
          <w:p w14:paraId="46621501" w14:textId="77777777" w:rsidR="00DC3D68" w:rsidRPr="005119F9" w:rsidRDefault="00DC3D68" w:rsidP="00C76E23">
            <w:pPr>
              <w:spacing w:after="0" w:line="240" w:lineRule="auto"/>
              <w:rPr>
                <w:rFonts w:eastAsia="Times New Roman" w:cstheme="minorHAnsi"/>
                <w:b/>
                <w:bCs/>
                <w:sz w:val="20"/>
                <w:szCs w:val="20"/>
                <w:lang w:eastAsia="hr-HR"/>
              </w:rPr>
            </w:pPr>
            <w:r w:rsidRPr="005119F9">
              <w:rPr>
                <w:rFonts w:eastAsia="Times New Roman" w:cstheme="minorHAnsi"/>
                <w:b/>
                <w:bCs/>
                <w:sz w:val="20"/>
                <w:szCs w:val="20"/>
                <w:lang w:eastAsia="hr-HR"/>
              </w:rPr>
              <w:t xml:space="preserve"> E. MANJAK /VIŠAK </w:t>
            </w:r>
            <w:r>
              <w:rPr>
                <w:rFonts w:eastAsia="Times New Roman" w:cstheme="minorHAnsi"/>
                <w:b/>
                <w:bCs/>
                <w:sz w:val="20"/>
                <w:szCs w:val="20"/>
                <w:lang w:eastAsia="hr-HR"/>
              </w:rPr>
              <w:t xml:space="preserve">+ NETO ZADUŽIVANJE/FINANCIRANJE +RASPOLOŽIVA SREDSTVA IZ PRETHODNIH GODINA </w:t>
            </w:r>
          </w:p>
        </w:tc>
        <w:tc>
          <w:tcPr>
            <w:tcW w:w="1507" w:type="dxa"/>
            <w:shd w:val="clear" w:color="auto" w:fill="FFE599" w:themeFill="accent4" w:themeFillTint="66"/>
            <w:noWrap/>
            <w:vAlign w:val="bottom"/>
          </w:tcPr>
          <w:p w14:paraId="3BCCA5A0" w14:textId="624C0657" w:rsidR="00DC3D68" w:rsidRPr="005119F9" w:rsidRDefault="001923A6" w:rsidP="00187BDF">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4.332.785,95</w:t>
            </w:r>
          </w:p>
        </w:tc>
        <w:tc>
          <w:tcPr>
            <w:tcW w:w="1507" w:type="dxa"/>
            <w:shd w:val="clear" w:color="auto" w:fill="FFE599" w:themeFill="accent4" w:themeFillTint="66"/>
            <w:noWrap/>
            <w:vAlign w:val="bottom"/>
          </w:tcPr>
          <w:p w14:paraId="34FAB1EF" w14:textId="637E0DB8" w:rsidR="00DC3D68" w:rsidRPr="005119F9" w:rsidRDefault="004C634E" w:rsidP="00187BDF">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0,00</w:t>
            </w:r>
          </w:p>
        </w:tc>
        <w:tc>
          <w:tcPr>
            <w:tcW w:w="1474" w:type="dxa"/>
            <w:shd w:val="clear" w:color="auto" w:fill="FFE599" w:themeFill="accent4" w:themeFillTint="66"/>
            <w:vAlign w:val="bottom"/>
          </w:tcPr>
          <w:p w14:paraId="79981CDE" w14:textId="1933FBB5" w:rsidR="00DC3D68" w:rsidRDefault="004C634E" w:rsidP="00187BDF">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0,00</w:t>
            </w:r>
          </w:p>
        </w:tc>
        <w:tc>
          <w:tcPr>
            <w:tcW w:w="1556" w:type="dxa"/>
            <w:shd w:val="clear" w:color="auto" w:fill="FFE599" w:themeFill="accent4" w:themeFillTint="66"/>
            <w:noWrap/>
            <w:vAlign w:val="bottom"/>
          </w:tcPr>
          <w:p w14:paraId="1088EA41" w14:textId="47C08021" w:rsidR="00DC3D68" w:rsidRPr="005119F9" w:rsidRDefault="004C634E" w:rsidP="00187BDF">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4.187.5</w:t>
            </w:r>
            <w:r w:rsidR="00602C15">
              <w:rPr>
                <w:rFonts w:eastAsia="Times New Roman" w:cstheme="minorHAnsi"/>
                <w:b/>
                <w:bCs/>
                <w:sz w:val="20"/>
                <w:szCs w:val="20"/>
                <w:lang w:eastAsia="hr-HR"/>
              </w:rPr>
              <w:t>73,90</w:t>
            </w:r>
          </w:p>
        </w:tc>
        <w:tc>
          <w:tcPr>
            <w:tcW w:w="1020" w:type="dxa"/>
            <w:shd w:val="clear" w:color="auto" w:fill="FFE599" w:themeFill="accent4" w:themeFillTint="66"/>
            <w:noWrap/>
            <w:vAlign w:val="bottom"/>
          </w:tcPr>
          <w:p w14:paraId="6F8F7D94" w14:textId="4286D8EF" w:rsidR="00DC3D68" w:rsidRPr="005119F9" w:rsidRDefault="00602C15" w:rsidP="00187BDF">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96,65%</w:t>
            </w:r>
          </w:p>
        </w:tc>
        <w:tc>
          <w:tcPr>
            <w:tcW w:w="1011" w:type="dxa"/>
            <w:shd w:val="clear" w:color="auto" w:fill="FFE599" w:themeFill="accent4" w:themeFillTint="66"/>
            <w:noWrap/>
            <w:vAlign w:val="bottom"/>
          </w:tcPr>
          <w:p w14:paraId="6ED178EB" w14:textId="77777777" w:rsidR="00DC3D68" w:rsidRPr="00FD3A92" w:rsidRDefault="00DC3D68" w:rsidP="00187BDF">
            <w:pPr>
              <w:spacing w:after="0" w:line="240" w:lineRule="auto"/>
              <w:jc w:val="center"/>
              <w:rPr>
                <w:rFonts w:eastAsia="Times New Roman" w:cstheme="minorHAnsi"/>
                <w:b/>
                <w:sz w:val="20"/>
                <w:szCs w:val="20"/>
                <w:lang w:eastAsia="hr-HR"/>
              </w:rPr>
            </w:pPr>
            <w:r>
              <w:rPr>
                <w:rFonts w:eastAsia="Times New Roman" w:cstheme="minorHAnsi"/>
                <w:b/>
                <w:sz w:val="20"/>
                <w:szCs w:val="20"/>
                <w:lang w:eastAsia="hr-HR"/>
              </w:rPr>
              <w:t>-</w:t>
            </w:r>
          </w:p>
        </w:tc>
      </w:tr>
    </w:tbl>
    <w:p w14:paraId="1B1EE65E" w14:textId="77777777" w:rsidR="007822B8" w:rsidRDefault="007822B8" w:rsidP="008C4CC8"/>
    <w:p w14:paraId="0B78741A" w14:textId="77777777" w:rsidR="008C4CC8" w:rsidRPr="00656292" w:rsidRDefault="00146CF7" w:rsidP="008C4CC8">
      <w:pPr>
        <w:rPr>
          <w:rFonts w:cstheme="minorHAnsi"/>
          <w:sz w:val="24"/>
          <w:szCs w:val="24"/>
        </w:rPr>
      </w:pPr>
      <w:r w:rsidRPr="00656292">
        <w:rPr>
          <w:rFonts w:cstheme="minorHAnsi"/>
          <w:b/>
          <w:sz w:val="24"/>
          <w:szCs w:val="24"/>
        </w:rPr>
        <w:lastRenderedPageBreak/>
        <w:t xml:space="preserve">     </w:t>
      </w:r>
      <w:r w:rsidR="008C4CC8" w:rsidRPr="00656292">
        <w:rPr>
          <w:rFonts w:cstheme="minorHAnsi"/>
          <w:b/>
          <w:sz w:val="24"/>
          <w:szCs w:val="24"/>
        </w:rPr>
        <w:t xml:space="preserve">                                                               Članak 2.</w:t>
      </w:r>
    </w:p>
    <w:p w14:paraId="270AB5A8" w14:textId="7B36A0C9" w:rsidR="00A86951" w:rsidRDefault="008D63AC" w:rsidP="00B41498">
      <w:pPr>
        <w:tabs>
          <w:tab w:val="left" w:pos="3075"/>
        </w:tabs>
        <w:jc w:val="both"/>
        <w:rPr>
          <w:rFonts w:cstheme="minorHAnsi"/>
          <w:sz w:val="24"/>
          <w:szCs w:val="24"/>
        </w:rPr>
      </w:pPr>
      <w:r w:rsidRPr="00656292">
        <w:rPr>
          <w:rFonts w:cstheme="minorHAnsi"/>
          <w:sz w:val="24"/>
          <w:szCs w:val="24"/>
        </w:rPr>
        <w:t>Prihodi i rashodi te primici i izdaci po ekonomskoj klasif</w:t>
      </w:r>
      <w:r w:rsidR="00187BDF" w:rsidRPr="00656292">
        <w:rPr>
          <w:rFonts w:cstheme="minorHAnsi"/>
          <w:sz w:val="24"/>
          <w:szCs w:val="24"/>
        </w:rPr>
        <w:t xml:space="preserve">ikaciji, izvorima financiranja te rashodi po </w:t>
      </w:r>
      <w:r w:rsidRPr="00656292">
        <w:rPr>
          <w:rFonts w:cstheme="minorHAnsi"/>
          <w:sz w:val="24"/>
          <w:szCs w:val="24"/>
        </w:rPr>
        <w:t xml:space="preserve"> funkcijskoj klasifikaciji utvrđeni u Računu prihoda i rasho</w:t>
      </w:r>
      <w:r w:rsidR="00187BDF" w:rsidRPr="00656292">
        <w:rPr>
          <w:rFonts w:cstheme="minorHAnsi"/>
          <w:sz w:val="24"/>
          <w:szCs w:val="24"/>
        </w:rPr>
        <w:t>da i Računu financiranja za</w:t>
      </w:r>
      <w:r w:rsidR="007015B4" w:rsidRPr="00656292">
        <w:rPr>
          <w:rFonts w:cstheme="minorHAnsi"/>
          <w:sz w:val="24"/>
          <w:szCs w:val="24"/>
        </w:rPr>
        <w:t xml:space="preserve">  </w:t>
      </w:r>
      <w:r w:rsidR="00187BDF" w:rsidRPr="00656292">
        <w:rPr>
          <w:rFonts w:cstheme="minorHAnsi"/>
          <w:sz w:val="24"/>
          <w:szCs w:val="24"/>
        </w:rPr>
        <w:t>202</w:t>
      </w:r>
      <w:r w:rsidR="000869BA">
        <w:rPr>
          <w:rFonts w:cstheme="minorHAnsi"/>
          <w:sz w:val="24"/>
          <w:szCs w:val="24"/>
        </w:rPr>
        <w:t>5</w:t>
      </w:r>
      <w:r w:rsidRPr="00656292">
        <w:rPr>
          <w:rFonts w:cstheme="minorHAnsi"/>
          <w:sz w:val="24"/>
          <w:szCs w:val="24"/>
        </w:rPr>
        <w:t>.</w:t>
      </w:r>
      <w:r w:rsidR="00E600F7" w:rsidRPr="00656292">
        <w:rPr>
          <w:rFonts w:cstheme="minorHAnsi"/>
          <w:sz w:val="24"/>
          <w:szCs w:val="24"/>
        </w:rPr>
        <w:t xml:space="preserve"> </w:t>
      </w:r>
      <w:r w:rsidR="007015B4" w:rsidRPr="00656292">
        <w:rPr>
          <w:rFonts w:cstheme="minorHAnsi"/>
          <w:sz w:val="24"/>
          <w:szCs w:val="24"/>
        </w:rPr>
        <w:t>godin</w:t>
      </w:r>
      <w:r w:rsidR="00DC3D68">
        <w:rPr>
          <w:rFonts w:cstheme="minorHAnsi"/>
          <w:sz w:val="24"/>
          <w:szCs w:val="24"/>
        </w:rPr>
        <w:t>u</w:t>
      </w:r>
      <w:r w:rsidRPr="00656292">
        <w:rPr>
          <w:rFonts w:cstheme="minorHAnsi"/>
          <w:sz w:val="24"/>
          <w:szCs w:val="24"/>
        </w:rPr>
        <w:t>, ostvareni su kako slijedi:</w:t>
      </w:r>
    </w:p>
    <w:p w14:paraId="60E7A7F3" w14:textId="77777777" w:rsidR="00656292" w:rsidRPr="00656292" w:rsidRDefault="00656292" w:rsidP="00B41498">
      <w:pPr>
        <w:tabs>
          <w:tab w:val="left" w:pos="3075"/>
        </w:tabs>
        <w:jc w:val="both"/>
        <w:rPr>
          <w:rFonts w:cstheme="minorHAnsi"/>
          <w:sz w:val="24"/>
          <w:szCs w:val="24"/>
        </w:rPr>
      </w:pPr>
    </w:p>
    <w:p w14:paraId="3222FEC7" w14:textId="77777777" w:rsidR="00A038FA" w:rsidRPr="0098702D" w:rsidRDefault="008D63AC" w:rsidP="00A72520">
      <w:pPr>
        <w:tabs>
          <w:tab w:val="left" w:pos="3075"/>
        </w:tabs>
        <w:rPr>
          <w:rFonts w:cstheme="minorHAnsi"/>
          <w:b/>
          <w:sz w:val="28"/>
          <w:szCs w:val="28"/>
        </w:rPr>
      </w:pPr>
      <w:r w:rsidRPr="0098702D">
        <w:rPr>
          <w:rFonts w:cstheme="minorHAnsi"/>
          <w:b/>
          <w:sz w:val="28"/>
          <w:szCs w:val="28"/>
        </w:rPr>
        <w:t>A . RAČUN PRIHODA I RASHODA</w:t>
      </w:r>
    </w:p>
    <w:p w14:paraId="0394E88C" w14:textId="77777777" w:rsidR="009C0FCE" w:rsidRDefault="008D63AC" w:rsidP="00A72520">
      <w:pPr>
        <w:tabs>
          <w:tab w:val="left" w:pos="3075"/>
        </w:tabs>
        <w:rPr>
          <w:rFonts w:cstheme="minorHAnsi"/>
          <w:b/>
          <w:sz w:val="28"/>
          <w:szCs w:val="28"/>
        </w:rPr>
      </w:pPr>
      <w:r w:rsidRPr="0098702D">
        <w:rPr>
          <w:rFonts w:cstheme="minorHAnsi"/>
          <w:b/>
          <w:sz w:val="28"/>
          <w:szCs w:val="28"/>
        </w:rPr>
        <w:t xml:space="preserve">1. PRIHODI I RASHODI PREMA EKONOMSKOJ KLASIFIKACIJI </w:t>
      </w:r>
    </w:p>
    <w:tbl>
      <w:tblPr>
        <w:tblW w:w="11588" w:type="dxa"/>
        <w:tblInd w:w="-1139" w:type="dxa"/>
        <w:tblLook w:val="04A0" w:firstRow="1" w:lastRow="0" w:firstColumn="1" w:lastColumn="0" w:noHBand="0" w:noVBand="1"/>
      </w:tblPr>
      <w:tblGrid>
        <w:gridCol w:w="3367"/>
        <w:gridCol w:w="1496"/>
        <w:gridCol w:w="1506"/>
        <w:gridCol w:w="1496"/>
        <w:gridCol w:w="1600"/>
        <w:gridCol w:w="1117"/>
        <w:gridCol w:w="1006"/>
      </w:tblGrid>
      <w:tr w:rsidR="003500F0" w:rsidRPr="006B06B9" w14:paraId="0B8E404A" w14:textId="77777777" w:rsidTr="006C671D">
        <w:trPr>
          <w:trHeight w:val="504"/>
        </w:trPr>
        <w:tc>
          <w:tcPr>
            <w:tcW w:w="3367"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02A9E495" w14:textId="77777777" w:rsidR="007242BD" w:rsidRPr="006B06B9" w:rsidRDefault="007242BD" w:rsidP="006B06B9">
            <w:pPr>
              <w:spacing w:after="0" w:line="240" w:lineRule="auto"/>
              <w:jc w:val="center"/>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Račun / opis</w:t>
            </w:r>
          </w:p>
        </w:tc>
        <w:tc>
          <w:tcPr>
            <w:tcW w:w="1496" w:type="dxa"/>
            <w:tcBorders>
              <w:top w:val="single" w:sz="4" w:space="0" w:color="auto"/>
              <w:left w:val="nil"/>
              <w:bottom w:val="single" w:sz="4" w:space="0" w:color="auto"/>
              <w:right w:val="single" w:sz="4" w:space="0" w:color="auto"/>
            </w:tcBorders>
            <w:shd w:val="clear" w:color="000000" w:fill="C0C0C0"/>
            <w:vAlign w:val="bottom"/>
            <w:hideMark/>
          </w:tcPr>
          <w:p w14:paraId="4AB2D190" w14:textId="79F7668E" w:rsidR="007242BD" w:rsidRPr="006B06B9" w:rsidRDefault="007242BD" w:rsidP="006B06B9">
            <w:pPr>
              <w:spacing w:after="0" w:line="240" w:lineRule="auto"/>
              <w:jc w:val="center"/>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Izvršenje 202</w:t>
            </w:r>
            <w:r w:rsidR="002212C0">
              <w:rPr>
                <w:rFonts w:ascii="Arial" w:eastAsia="Times New Roman" w:hAnsi="Arial" w:cs="Arial"/>
                <w:b/>
                <w:bCs/>
                <w:sz w:val="20"/>
                <w:szCs w:val="20"/>
                <w:lang w:eastAsia="hr-HR"/>
              </w:rPr>
              <w:t>4</w:t>
            </w:r>
            <w:r w:rsidRPr="006B06B9">
              <w:rPr>
                <w:rFonts w:ascii="Arial" w:eastAsia="Times New Roman" w:hAnsi="Arial" w:cs="Arial"/>
                <w:b/>
                <w:bCs/>
                <w:sz w:val="20"/>
                <w:szCs w:val="20"/>
                <w:lang w:eastAsia="hr-HR"/>
              </w:rPr>
              <w:t>. €</w:t>
            </w:r>
          </w:p>
        </w:tc>
        <w:tc>
          <w:tcPr>
            <w:tcW w:w="1506" w:type="dxa"/>
            <w:tcBorders>
              <w:top w:val="single" w:sz="4" w:space="0" w:color="auto"/>
              <w:left w:val="nil"/>
              <w:bottom w:val="single" w:sz="4" w:space="0" w:color="auto"/>
              <w:right w:val="single" w:sz="4" w:space="0" w:color="auto"/>
            </w:tcBorders>
            <w:shd w:val="clear" w:color="000000" w:fill="C0C0C0"/>
            <w:vAlign w:val="bottom"/>
            <w:hideMark/>
          </w:tcPr>
          <w:p w14:paraId="491E6C50" w14:textId="44532196" w:rsidR="007242BD" w:rsidRPr="006B06B9" w:rsidRDefault="007242BD" w:rsidP="006B06B9">
            <w:pPr>
              <w:spacing w:after="0" w:line="240" w:lineRule="auto"/>
              <w:jc w:val="center"/>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Izvorni plan</w:t>
            </w:r>
            <w:r>
              <w:rPr>
                <w:rFonts w:ascii="Arial" w:eastAsia="Times New Roman" w:hAnsi="Arial" w:cs="Arial"/>
                <w:b/>
                <w:bCs/>
                <w:sz w:val="20"/>
                <w:szCs w:val="20"/>
                <w:lang w:eastAsia="hr-HR"/>
              </w:rPr>
              <w:t>/rebalans</w:t>
            </w:r>
            <w:r w:rsidRPr="006B06B9">
              <w:rPr>
                <w:rFonts w:ascii="Arial" w:eastAsia="Times New Roman" w:hAnsi="Arial" w:cs="Arial"/>
                <w:b/>
                <w:bCs/>
                <w:sz w:val="20"/>
                <w:szCs w:val="20"/>
                <w:lang w:eastAsia="hr-HR"/>
              </w:rPr>
              <w:t xml:space="preserve"> 202</w:t>
            </w:r>
            <w:r w:rsidR="002212C0">
              <w:rPr>
                <w:rFonts w:ascii="Arial" w:eastAsia="Times New Roman" w:hAnsi="Arial" w:cs="Arial"/>
                <w:b/>
                <w:bCs/>
                <w:sz w:val="20"/>
                <w:szCs w:val="20"/>
                <w:lang w:eastAsia="hr-HR"/>
              </w:rPr>
              <w:t>5</w:t>
            </w:r>
            <w:r w:rsidRPr="006B06B9">
              <w:rPr>
                <w:rFonts w:ascii="Arial" w:eastAsia="Times New Roman" w:hAnsi="Arial" w:cs="Arial"/>
                <w:b/>
                <w:bCs/>
                <w:sz w:val="20"/>
                <w:szCs w:val="20"/>
                <w:lang w:eastAsia="hr-HR"/>
              </w:rPr>
              <w:t>. €</w:t>
            </w:r>
          </w:p>
        </w:tc>
        <w:tc>
          <w:tcPr>
            <w:tcW w:w="1496" w:type="dxa"/>
            <w:tcBorders>
              <w:top w:val="single" w:sz="4" w:space="0" w:color="auto"/>
              <w:left w:val="nil"/>
              <w:bottom w:val="single" w:sz="4" w:space="0" w:color="auto"/>
              <w:right w:val="single" w:sz="4" w:space="0" w:color="auto"/>
            </w:tcBorders>
            <w:shd w:val="clear" w:color="000000" w:fill="C0C0C0"/>
            <w:vAlign w:val="center"/>
          </w:tcPr>
          <w:p w14:paraId="34DE6BC6" w14:textId="4ABC957F" w:rsidR="007242BD" w:rsidRPr="006B06B9" w:rsidRDefault="007242BD" w:rsidP="006B06B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Tekući plan</w:t>
            </w:r>
            <w:r w:rsidR="0044634D">
              <w:rPr>
                <w:rFonts w:ascii="Arial" w:eastAsia="Times New Roman" w:hAnsi="Arial" w:cs="Arial"/>
                <w:b/>
                <w:bCs/>
                <w:sz w:val="20"/>
                <w:szCs w:val="20"/>
                <w:lang w:eastAsia="hr-HR"/>
              </w:rPr>
              <w:t xml:space="preserve"> </w:t>
            </w:r>
            <w:r>
              <w:rPr>
                <w:rFonts w:ascii="Arial" w:eastAsia="Times New Roman" w:hAnsi="Arial" w:cs="Arial"/>
                <w:b/>
                <w:bCs/>
                <w:sz w:val="20"/>
                <w:szCs w:val="20"/>
                <w:lang w:eastAsia="hr-HR"/>
              </w:rPr>
              <w:t>202</w:t>
            </w:r>
            <w:r w:rsidR="002212C0">
              <w:rPr>
                <w:rFonts w:ascii="Arial" w:eastAsia="Times New Roman" w:hAnsi="Arial" w:cs="Arial"/>
                <w:b/>
                <w:bCs/>
                <w:sz w:val="20"/>
                <w:szCs w:val="20"/>
                <w:lang w:eastAsia="hr-HR"/>
              </w:rPr>
              <w:t>5</w:t>
            </w:r>
            <w:r>
              <w:rPr>
                <w:rFonts w:ascii="Arial" w:eastAsia="Times New Roman" w:hAnsi="Arial" w:cs="Arial"/>
                <w:b/>
                <w:bCs/>
                <w:sz w:val="20"/>
                <w:szCs w:val="20"/>
                <w:lang w:eastAsia="hr-HR"/>
              </w:rPr>
              <w:t>.</w:t>
            </w:r>
            <w:r w:rsidR="0044634D">
              <w:rPr>
                <w:rFonts w:ascii="Arial" w:eastAsia="Times New Roman" w:hAnsi="Arial" w:cs="Arial"/>
                <w:b/>
                <w:bCs/>
                <w:sz w:val="20"/>
                <w:szCs w:val="20"/>
                <w:lang w:eastAsia="hr-HR"/>
              </w:rPr>
              <w:t>(€)</w:t>
            </w:r>
          </w:p>
        </w:tc>
        <w:tc>
          <w:tcPr>
            <w:tcW w:w="1600" w:type="dxa"/>
            <w:tcBorders>
              <w:top w:val="single" w:sz="4" w:space="0" w:color="auto"/>
              <w:left w:val="single" w:sz="4" w:space="0" w:color="auto"/>
              <w:bottom w:val="single" w:sz="4" w:space="0" w:color="auto"/>
              <w:right w:val="single" w:sz="4" w:space="0" w:color="auto"/>
            </w:tcBorders>
            <w:shd w:val="clear" w:color="000000" w:fill="C0C0C0"/>
            <w:vAlign w:val="bottom"/>
            <w:hideMark/>
          </w:tcPr>
          <w:p w14:paraId="2F2E123B" w14:textId="11C42BFA" w:rsidR="007242BD" w:rsidRPr="006B06B9" w:rsidRDefault="007242BD" w:rsidP="006B06B9">
            <w:pPr>
              <w:spacing w:after="0" w:line="240" w:lineRule="auto"/>
              <w:jc w:val="center"/>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Izvršenje 202</w:t>
            </w:r>
            <w:r w:rsidR="002212C0">
              <w:rPr>
                <w:rFonts w:ascii="Arial" w:eastAsia="Times New Roman" w:hAnsi="Arial" w:cs="Arial"/>
                <w:b/>
                <w:bCs/>
                <w:sz w:val="20"/>
                <w:szCs w:val="20"/>
                <w:lang w:eastAsia="hr-HR"/>
              </w:rPr>
              <w:t>5</w:t>
            </w:r>
            <w:r w:rsidRPr="006B06B9">
              <w:rPr>
                <w:rFonts w:ascii="Arial" w:eastAsia="Times New Roman" w:hAnsi="Arial" w:cs="Arial"/>
                <w:b/>
                <w:bCs/>
                <w:sz w:val="20"/>
                <w:szCs w:val="20"/>
                <w:lang w:eastAsia="hr-HR"/>
              </w:rPr>
              <w:t>. €</w:t>
            </w:r>
          </w:p>
        </w:tc>
        <w:tc>
          <w:tcPr>
            <w:tcW w:w="1117" w:type="dxa"/>
            <w:tcBorders>
              <w:top w:val="single" w:sz="4" w:space="0" w:color="auto"/>
              <w:left w:val="nil"/>
              <w:bottom w:val="single" w:sz="4" w:space="0" w:color="auto"/>
              <w:right w:val="single" w:sz="4" w:space="0" w:color="auto"/>
            </w:tcBorders>
            <w:shd w:val="clear" w:color="000000" w:fill="C0C0C0"/>
            <w:vAlign w:val="bottom"/>
            <w:hideMark/>
          </w:tcPr>
          <w:p w14:paraId="157E1AC2" w14:textId="5AC7D4D9" w:rsidR="007242BD" w:rsidRPr="006B06B9" w:rsidRDefault="007242BD" w:rsidP="006B06B9">
            <w:pPr>
              <w:spacing w:after="0" w:line="240" w:lineRule="auto"/>
              <w:jc w:val="center"/>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 xml:space="preserve">Indeks      </w:t>
            </w:r>
            <w:r w:rsidR="00EB4F8D">
              <w:rPr>
                <w:rFonts w:ascii="Arial" w:eastAsia="Times New Roman" w:hAnsi="Arial" w:cs="Arial"/>
                <w:b/>
                <w:bCs/>
                <w:sz w:val="20"/>
                <w:szCs w:val="20"/>
                <w:lang w:eastAsia="hr-HR"/>
              </w:rPr>
              <w:t>4</w:t>
            </w:r>
            <w:r w:rsidRPr="006B06B9">
              <w:rPr>
                <w:rFonts w:ascii="Arial" w:eastAsia="Times New Roman" w:hAnsi="Arial" w:cs="Arial"/>
                <w:b/>
                <w:bCs/>
                <w:sz w:val="20"/>
                <w:szCs w:val="20"/>
                <w:lang w:eastAsia="hr-HR"/>
              </w:rPr>
              <w:t>/1</w:t>
            </w:r>
          </w:p>
        </w:tc>
        <w:tc>
          <w:tcPr>
            <w:tcW w:w="1006" w:type="dxa"/>
            <w:tcBorders>
              <w:top w:val="single" w:sz="4" w:space="0" w:color="auto"/>
              <w:left w:val="nil"/>
              <w:bottom w:val="single" w:sz="4" w:space="0" w:color="auto"/>
              <w:right w:val="single" w:sz="4" w:space="0" w:color="auto"/>
            </w:tcBorders>
            <w:shd w:val="clear" w:color="000000" w:fill="C0C0C0"/>
            <w:vAlign w:val="bottom"/>
            <w:hideMark/>
          </w:tcPr>
          <w:p w14:paraId="21D5363B" w14:textId="03E1B73F" w:rsidR="007242BD" w:rsidRPr="006B06B9" w:rsidRDefault="007242BD" w:rsidP="006B06B9">
            <w:pPr>
              <w:spacing w:after="0" w:line="240" w:lineRule="auto"/>
              <w:jc w:val="center"/>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 xml:space="preserve">Indeks  </w:t>
            </w:r>
            <w:r w:rsidR="00EB4F8D">
              <w:rPr>
                <w:rFonts w:ascii="Arial" w:eastAsia="Times New Roman" w:hAnsi="Arial" w:cs="Arial"/>
                <w:b/>
                <w:bCs/>
                <w:sz w:val="20"/>
                <w:szCs w:val="20"/>
                <w:lang w:eastAsia="hr-HR"/>
              </w:rPr>
              <w:t>4</w:t>
            </w:r>
            <w:r w:rsidRPr="006B06B9">
              <w:rPr>
                <w:rFonts w:ascii="Arial" w:eastAsia="Times New Roman" w:hAnsi="Arial" w:cs="Arial"/>
                <w:b/>
                <w:bCs/>
                <w:sz w:val="20"/>
                <w:szCs w:val="20"/>
                <w:lang w:eastAsia="hr-HR"/>
              </w:rPr>
              <w:t>/</w:t>
            </w:r>
            <w:r w:rsidR="0044634D">
              <w:rPr>
                <w:rFonts w:ascii="Arial" w:eastAsia="Times New Roman" w:hAnsi="Arial" w:cs="Arial"/>
                <w:b/>
                <w:bCs/>
                <w:sz w:val="20"/>
                <w:szCs w:val="20"/>
                <w:lang w:eastAsia="hr-HR"/>
              </w:rPr>
              <w:t>3</w:t>
            </w:r>
          </w:p>
        </w:tc>
      </w:tr>
      <w:tr w:rsidR="003500F0" w:rsidRPr="006B06B9" w14:paraId="727506E5"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6B451BF7" w14:textId="77777777" w:rsidR="007242BD" w:rsidRPr="006B06B9" w:rsidRDefault="007242BD" w:rsidP="006B06B9">
            <w:pPr>
              <w:spacing w:after="0" w:line="240" w:lineRule="auto"/>
              <w:rPr>
                <w:rFonts w:ascii="Arial" w:eastAsia="Times New Roman" w:hAnsi="Arial" w:cs="Arial"/>
                <w:b/>
                <w:bCs/>
                <w:color w:val="FFFFFF"/>
                <w:sz w:val="20"/>
                <w:szCs w:val="20"/>
                <w:lang w:eastAsia="hr-HR"/>
              </w:rPr>
            </w:pPr>
            <w:r w:rsidRPr="006B06B9">
              <w:rPr>
                <w:rFonts w:ascii="Arial" w:eastAsia="Times New Roman" w:hAnsi="Arial" w:cs="Arial"/>
                <w:b/>
                <w:bCs/>
                <w:color w:val="FFFFFF"/>
                <w:sz w:val="20"/>
                <w:szCs w:val="20"/>
                <w:lang w:eastAsia="hr-HR"/>
              </w:rPr>
              <w:t>A. RAČUN PRIHODA I RASHODA</w:t>
            </w:r>
          </w:p>
        </w:tc>
        <w:tc>
          <w:tcPr>
            <w:tcW w:w="1496" w:type="dxa"/>
            <w:tcBorders>
              <w:top w:val="nil"/>
              <w:left w:val="nil"/>
              <w:bottom w:val="single" w:sz="4" w:space="0" w:color="auto"/>
              <w:right w:val="single" w:sz="4" w:space="0" w:color="auto"/>
            </w:tcBorders>
            <w:shd w:val="clear" w:color="000000" w:fill="808080"/>
            <w:noWrap/>
            <w:vAlign w:val="bottom"/>
            <w:hideMark/>
          </w:tcPr>
          <w:p w14:paraId="554EBEB3" w14:textId="77777777" w:rsidR="007242BD" w:rsidRPr="006B06B9" w:rsidRDefault="007242BD" w:rsidP="006B06B9">
            <w:pPr>
              <w:spacing w:after="0" w:line="240" w:lineRule="auto"/>
              <w:jc w:val="center"/>
              <w:rPr>
                <w:rFonts w:ascii="Arial" w:eastAsia="Times New Roman" w:hAnsi="Arial" w:cs="Arial"/>
                <w:b/>
                <w:bCs/>
                <w:color w:val="FFFFFF"/>
                <w:sz w:val="20"/>
                <w:szCs w:val="20"/>
                <w:lang w:eastAsia="hr-HR"/>
              </w:rPr>
            </w:pPr>
            <w:r w:rsidRPr="006B06B9">
              <w:rPr>
                <w:rFonts w:ascii="Arial" w:eastAsia="Times New Roman" w:hAnsi="Arial" w:cs="Arial"/>
                <w:b/>
                <w:bCs/>
                <w:color w:val="FFFFFF"/>
                <w:sz w:val="20"/>
                <w:szCs w:val="20"/>
                <w:lang w:eastAsia="hr-HR"/>
              </w:rPr>
              <w:t>1</w:t>
            </w:r>
          </w:p>
        </w:tc>
        <w:tc>
          <w:tcPr>
            <w:tcW w:w="1506" w:type="dxa"/>
            <w:tcBorders>
              <w:top w:val="nil"/>
              <w:left w:val="nil"/>
              <w:bottom w:val="single" w:sz="4" w:space="0" w:color="auto"/>
              <w:right w:val="single" w:sz="4" w:space="0" w:color="auto"/>
            </w:tcBorders>
            <w:shd w:val="clear" w:color="000000" w:fill="808080"/>
            <w:noWrap/>
            <w:vAlign w:val="bottom"/>
            <w:hideMark/>
          </w:tcPr>
          <w:p w14:paraId="48F6CF7D" w14:textId="77777777" w:rsidR="007242BD" w:rsidRPr="006B06B9" w:rsidRDefault="007242BD" w:rsidP="006B06B9">
            <w:pPr>
              <w:spacing w:after="0" w:line="240" w:lineRule="auto"/>
              <w:jc w:val="center"/>
              <w:rPr>
                <w:rFonts w:ascii="Arial" w:eastAsia="Times New Roman" w:hAnsi="Arial" w:cs="Arial"/>
                <w:b/>
                <w:bCs/>
                <w:color w:val="FFFFFF"/>
                <w:sz w:val="20"/>
                <w:szCs w:val="20"/>
                <w:lang w:eastAsia="hr-HR"/>
              </w:rPr>
            </w:pPr>
            <w:r w:rsidRPr="006B06B9">
              <w:rPr>
                <w:rFonts w:ascii="Arial" w:eastAsia="Times New Roman" w:hAnsi="Arial" w:cs="Arial"/>
                <w:b/>
                <w:bCs/>
                <w:color w:val="FFFFFF"/>
                <w:sz w:val="20"/>
                <w:szCs w:val="20"/>
                <w:lang w:eastAsia="hr-HR"/>
              </w:rPr>
              <w:t>2</w:t>
            </w:r>
          </w:p>
        </w:tc>
        <w:tc>
          <w:tcPr>
            <w:tcW w:w="1496" w:type="dxa"/>
            <w:tcBorders>
              <w:top w:val="nil"/>
              <w:left w:val="nil"/>
              <w:bottom w:val="single" w:sz="4" w:space="0" w:color="auto"/>
              <w:right w:val="nil"/>
            </w:tcBorders>
            <w:shd w:val="clear" w:color="000000" w:fill="808080"/>
          </w:tcPr>
          <w:p w14:paraId="51ABDCE6" w14:textId="41BBDCF8" w:rsidR="007242BD" w:rsidRPr="006B06B9" w:rsidRDefault="00EB4F8D" w:rsidP="006B06B9">
            <w:pPr>
              <w:spacing w:after="0" w:line="240" w:lineRule="auto"/>
              <w:jc w:val="center"/>
              <w:rPr>
                <w:rFonts w:ascii="Arial" w:eastAsia="Times New Roman" w:hAnsi="Arial" w:cs="Arial"/>
                <w:b/>
                <w:bCs/>
                <w:color w:val="FFFFFF"/>
                <w:sz w:val="20"/>
                <w:szCs w:val="20"/>
                <w:lang w:eastAsia="hr-HR"/>
              </w:rPr>
            </w:pPr>
            <w:r>
              <w:rPr>
                <w:rFonts w:ascii="Arial" w:eastAsia="Times New Roman" w:hAnsi="Arial" w:cs="Arial"/>
                <w:b/>
                <w:bCs/>
                <w:color w:val="FFFFFF"/>
                <w:sz w:val="20"/>
                <w:szCs w:val="20"/>
                <w:lang w:eastAsia="hr-HR"/>
              </w:rPr>
              <w:t>3</w:t>
            </w:r>
          </w:p>
        </w:tc>
        <w:tc>
          <w:tcPr>
            <w:tcW w:w="1600" w:type="dxa"/>
            <w:tcBorders>
              <w:top w:val="nil"/>
              <w:left w:val="nil"/>
              <w:bottom w:val="single" w:sz="4" w:space="0" w:color="auto"/>
              <w:right w:val="single" w:sz="4" w:space="0" w:color="auto"/>
            </w:tcBorders>
            <w:shd w:val="clear" w:color="000000" w:fill="808080"/>
            <w:noWrap/>
            <w:vAlign w:val="bottom"/>
            <w:hideMark/>
          </w:tcPr>
          <w:p w14:paraId="3F82CEEB" w14:textId="73E51738" w:rsidR="007242BD" w:rsidRPr="006B06B9" w:rsidRDefault="00EB4F8D" w:rsidP="006B06B9">
            <w:pPr>
              <w:spacing w:after="0" w:line="240" w:lineRule="auto"/>
              <w:jc w:val="center"/>
              <w:rPr>
                <w:rFonts w:ascii="Arial" w:eastAsia="Times New Roman" w:hAnsi="Arial" w:cs="Arial"/>
                <w:b/>
                <w:bCs/>
                <w:color w:val="FFFFFF"/>
                <w:sz w:val="20"/>
                <w:szCs w:val="20"/>
                <w:lang w:eastAsia="hr-HR"/>
              </w:rPr>
            </w:pPr>
            <w:r>
              <w:rPr>
                <w:rFonts w:ascii="Arial" w:eastAsia="Times New Roman" w:hAnsi="Arial" w:cs="Arial"/>
                <w:b/>
                <w:bCs/>
                <w:color w:val="FFFFFF"/>
                <w:sz w:val="20"/>
                <w:szCs w:val="20"/>
                <w:lang w:eastAsia="hr-HR"/>
              </w:rPr>
              <w:t>4</w:t>
            </w:r>
          </w:p>
        </w:tc>
        <w:tc>
          <w:tcPr>
            <w:tcW w:w="1117" w:type="dxa"/>
            <w:tcBorders>
              <w:top w:val="nil"/>
              <w:left w:val="nil"/>
              <w:bottom w:val="single" w:sz="4" w:space="0" w:color="auto"/>
              <w:right w:val="single" w:sz="4" w:space="0" w:color="auto"/>
            </w:tcBorders>
            <w:shd w:val="clear" w:color="000000" w:fill="808080"/>
            <w:noWrap/>
            <w:vAlign w:val="bottom"/>
            <w:hideMark/>
          </w:tcPr>
          <w:p w14:paraId="1848E56A" w14:textId="690C2A6E" w:rsidR="007242BD" w:rsidRPr="006B06B9" w:rsidRDefault="00EB4F8D" w:rsidP="006B06B9">
            <w:pPr>
              <w:spacing w:after="0" w:line="240" w:lineRule="auto"/>
              <w:jc w:val="center"/>
              <w:rPr>
                <w:rFonts w:ascii="Arial" w:eastAsia="Times New Roman" w:hAnsi="Arial" w:cs="Arial"/>
                <w:b/>
                <w:bCs/>
                <w:color w:val="FFFFFF"/>
                <w:sz w:val="20"/>
                <w:szCs w:val="20"/>
                <w:lang w:eastAsia="hr-HR"/>
              </w:rPr>
            </w:pPr>
            <w:r>
              <w:rPr>
                <w:rFonts w:ascii="Arial" w:eastAsia="Times New Roman" w:hAnsi="Arial" w:cs="Arial"/>
                <w:b/>
                <w:bCs/>
                <w:color w:val="FFFFFF"/>
                <w:sz w:val="20"/>
                <w:szCs w:val="20"/>
                <w:lang w:eastAsia="hr-HR"/>
              </w:rPr>
              <w:t>5</w:t>
            </w:r>
          </w:p>
        </w:tc>
        <w:tc>
          <w:tcPr>
            <w:tcW w:w="1006" w:type="dxa"/>
            <w:tcBorders>
              <w:top w:val="nil"/>
              <w:left w:val="nil"/>
              <w:bottom w:val="single" w:sz="4" w:space="0" w:color="auto"/>
              <w:right w:val="single" w:sz="4" w:space="0" w:color="auto"/>
            </w:tcBorders>
            <w:shd w:val="clear" w:color="000000" w:fill="808080"/>
            <w:noWrap/>
            <w:vAlign w:val="bottom"/>
            <w:hideMark/>
          </w:tcPr>
          <w:p w14:paraId="3F95D765" w14:textId="20054B57" w:rsidR="007242BD" w:rsidRPr="006B06B9" w:rsidRDefault="00EB4F8D" w:rsidP="006B06B9">
            <w:pPr>
              <w:spacing w:after="0" w:line="240" w:lineRule="auto"/>
              <w:jc w:val="center"/>
              <w:rPr>
                <w:rFonts w:ascii="Arial" w:eastAsia="Times New Roman" w:hAnsi="Arial" w:cs="Arial"/>
                <w:b/>
                <w:bCs/>
                <w:color w:val="FFFFFF"/>
                <w:sz w:val="20"/>
                <w:szCs w:val="20"/>
                <w:lang w:eastAsia="hr-HR"/>
              </w:rPr>
            </w:pPr>
            <w:r>
              <w:rPr>
                <w:rFonts w:ascii="Arial" w:eastAsia="Times New Roman" w:hAnsi="Arial" w:cs="Arial"/>
                <w:b/>
                <w:bCs/>
                <w:color w:val="FFFFFF"/>
                <w:sz w:val="20"/>
                <w:szCs w:val="20"/>
                <w:lang w:eastAsia="hr-HR"/>
              </w:rPr>
              <w:t>6</w:t>
            </w:r>
          </w:p>
        </w:tc>
      </w:tr>
      <w:tr w:rsidR="00EB4F8D" w:rsidRPr="006B06B9" w14:paraId="427C8886"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0E966ACB" w14:textId="77777777" w:rsidR="007242BD" w:rsidRPr="006B06B9" w:rsidRDefault="007242BD"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6 Prihodi poslovanja</w:t>
            </w:r>
          </w:p>
        </w:tc>
        <w:tc>
          <w:tcPr>
            <w:tcW w:w="1496" w:type="dxa"/>
            <w:tcBorders>
              <w:top w:val="nil"/>
              <w:left w:val="nil"/>
              <w:bottom w:val="single" w:sz="4" w:space="0" w:color="auto"/>
              <w:right w:val="single" w:sz="4" w:space="0" w:color="auto"/>
            </w:tcBorders>
            <w:noWrap/>
            <w:vAlign w:val="bottom"/>
          </w:tcPr>
          <w:p w14:paraId="3B8B9AEE" w14:textId="2E83101C" w:rsidR="007242BD" w:rsidRPr="006B06B9" w:rsidRDefault="00DD7CA7"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17.536.411,55</w:t>
            </w:r>
          </w:p>
        </w:tc>
        <w:tc>
          <w:tcPr>
            <w:tcW w:w="1506" w:type="dxa"/>
            <w:tcBorders>
              <w:top w:val="nil"/>
              <w:left w:val="nil"/>
              <w:bottom w:val="single" w:sz="4" w:space="0" w:color="auto"/>
              <w:right w:val="single" w:sz="4" w:space="0" w:color="auto"/>
            </w:tcBorders>
            <w:noWrap/>
            <w:vAlign w:val="bottom"/>
          </w:tcPr>
          <w:p w14:paraId="75C3643D" w14:textId="2D6790EF" w:rsidR="007242BD" w:rsidRPr="006B06B9" w:rsidRDefault="00DD7CA7"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20.790.572,16</w:t>
            </w:r>
          </w:p>
        </w:tc>
        <w:tc>
          <w:tcPr>
            <w:tcW w:w="1496" w:type="dxa"/>
            <w:tcBorders>
              <w:top w:val="single" w:sz="4" w:space="0" w:color="auto"/>
              <w:left w:val="nil"/>
              <w:bottom w:val="single" w:sz="4" w:space="0" w:color="auto"/>
              <w:right w:val="single" w:sz="4" w:space="0" w:color="auto"/>
            </w:tcBorders>
          </w:tcPr>
          <w:p w14:paraId="280CCD96" w14:textId="5A810885" w:rsidR="007242BD" w:rsidRPr="006B06B9" w:rsidRDefault="00DD7CA7"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20.790.572,16</w:t>
            </w:r>
          </w:p>
        </w:tc>
        <w:tc>
          <w:tcPr>
            <w:tcW w:w="1600" w:type="dxa"/>
            <w:tcBorders>
              <w:top w:val="nil"/>
              <w:left w:val="single" w:sz="4" w:space="0" w:color="auto"/>
              <w:bottom w:val="single" w:sz="4" w:space="0" w:color="auto"/>
              <w:right w:val="single" w:sz="4" w:space="0" w:color="auto"/>
            </w:tcBorders>
            <w:noWrap/>
            <w:vAlign w:val="bottom"/>
          </w:tcPr>
          <w:p w14:paraId="63E978CF" w14:textId="395CA296" w:rsidR="007242BD" w:rsidRPr="006B06B9" w:rsidRDefault="00DD7CA7"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19.626.207,06</w:t>
            </w:r>
          </w:p>
        </w:tc>
        <w:tc>
          <w:tcPr>
            <w:tcW w:w="1117" w:type="dxa"/>
            <w:tcBorders>
              <w:top w:val="nil"/>
              <w:left w:val="nil"/>
              <w:bottom w:val="single" w:sz="4" w:space="0" w:color="auto"/>
              <w:right w:val="single" w:sz="4" w:space="0" w:color="auto"/>
            </w:tcBorders>
            <w:noWrap/>
            <w:vAlign w:val="bottom"/>
          </w:tcPr>
          <w:p w14:paraId="0ECC98C2" w14:textId="2155EAE4" w:rsidR="007242BD" w:rsidRPr="006B06B9" w:rsidRDefault="00DD7CA7"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111,92</w:t>
            </w:r>
            <w:r w:rsidR="00011849">
              <w:rPr>
                <w:rFonts w:ascii="Arial" w:eastAsia="Times New Roman" w:hAnsi="Arial" w:cs="Arial"/>
                <w:b/>
                <w:bCs/>
                <w:sz w:val="20"/>
                <w:szCs w:val="20"/>
                <w:lang w:eastAsia="hr-HR"/>
              </w:rPr>
              <w:t>%</w:t>
            </w:r>
          </w:p>
        </w:tc>
        <w:tc>
          <w:tcPr>
            <w:tcW w:w="1006" w:type="dxa"/>
            <w:tcBorders>
              <w:top w:val="nil"/>
              <w:left w:val="nil"/>
              <w:bottom w:val="single" w:sz="4" w:space="0" w:color="auto"/>
              <w:right w:val="single" w:sz="4" w:space="0" w:color="auto"/>
            </w:tcBorders>
            <w:noWrap/>
            <w:vAlign w:val="bottom"/>
          </w:tcPr>
          <w:p w14:paraId="5A0D121B" w14:textId="7DDB5098" w:rsidR="007242BD" w:rsidRPr="006B06B9" w:rsidRDefault="00DD7CA7"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94,40</w:t>
            </w:r>
            <w:r w:rsidR="00011849">
              <w:rPr>
                <w:rFonts w:ascii="Arial" w:eastAsia="Times New Roman" w:hAnsi="Arial" w:cs="Arial"/>
                <w:b/>
                <w:bCs/>
                <w:sz w:val="20"/>
                <w:szCs w:val="20"/>
                <w:lang w:eastAsia="hr-HR"/>
              </w:rPr>
              <w:t>%</w:t>
            </w:r>
          </w:p>
        </w:tc>
      </w:tr>
      <w:tr w:rsidR="00EB4F8D" w:rsidRPr="006B06B9" w14:paraId="64343C62"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3E8E5A0A" w14:textId="77777777" w:rsidR="007242BD" w:rsidRPr="006B06B9" w:rsidRDefault="007242BD"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61 Prihodi od poreza</w:t>
            </w:r>
          </w:p>
        </w:tc>
        <w:tc>
          <w:tcPr>
            <w:tcW w:w="1496" w:type="dxa"/>
            <w:tcBorders>
              <w:top w:val="nil"/>
              <w:left w:val="nil"/>
              <w:bottom w:val="single" w:sz="4" w:space="0" w:color="auto"/>
              <w:right w:val="single" w:sz="4" w:space="0" w:color="auto"/>
            </w:tcBorders>
            <w:noWrap/>
            <w:vAlign w:val="bottom"/>
          </w:tcPr>
          <w:p w14:paraId="762117E8" w14:textId="6FD959F3" w:rsidR="007242BD" w:rsidRPr="006B06B9" w:rsidRDefault="00DD7CA7"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8.382.104,99</w:t>
            </w:r>
          </w:p>
        </w:tc>
        <w:tc>
          <w:tcPr>
            <w:tcW w:w="1506" w:type="dxa"/>
            <w:tcBorders>
              <w:top w:val="nil"/>
              <w:left w:val="nil"/>
              <w:bottom w:val="single" w:sz="4" w:space="0" w:color="auto"/>
              <w:right w:val="single" w:sz="4" w:space="0" w:color="auto"/>
            </w:tcBorders>
            <w:noWrap/>
            <w:vAlign w:val="bottom"/>
          </w:tcPr>
          <w:p w14:paraId="6E9F1D29" w14:textId="0AFFF4BA" w:rsidR="007242BD" w:rsidRPr="006B06B9" w:rsidRDefault="00DD7CA7"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8.785.954,60</w:t>
            </w:r>
          </w:p>
        </w:tc>
        <w:tc>
          <w:tcPr>
            <w:tcW w:w="1496" w:type="dxa"/>
            <w:tcBorders>
              <w:top w:val="single" w:sz="4" w:space="0" w:color="auto"/>
              <w:left w:val="nil"/>
              <w:bottom w:val="single" w:sz="4" w:space="0" w:color="auto"/>
              <w:right w:val="single" w:sz="4" w:space="0" w:color="auto"/>
            </w:tcBorders>
          </w:tcPr>
          <w:p w14:paraId="0D208F50" w14:textId="77FBCF7D" w:rsidR="007242BD" w:rsidRPr="006B06B9" w:rsidRDefault="00DD7CA7"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8.785.954,60</w:t>
            </w:r>
          </w:p>
        </w:tc>
        <w:tc>
          <w:tcPr>
            <w:tcW w:w="1600" w:type="dxa"/>
            <w:tcBorders>
              <w:top w:val="nil"/>
              <w:left w:val="single" w:sz="4" w:space="0" w:color="auto"/>
              <w:bottom w:val="single" w:sz="4" w:space="0" w:color="auto"/>
              <w:right w:val="single" w:sz="4" w:space="0" w:color="auto"/>
            </w:tcBorders>
            <w:noWrap/>
            <w:vAlign w:val="bottom"/>
          </w:tcPr>
          <w:p w14:paraId="692E8DBA" w14:textId="5FDD607F" w:rsidR="007242BD" w:rsidRPr="006B06B9" w:rsidRDefault="00DD7CA7"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9.176.819,72</w:t>
            </w:r>
          </w:p>
        </w:tc>
        <w:tc>
          <w:tcPr>
            <w:tcW w:w="1117" w:type="dxa"/>
            <w:tcBorders>
              <w:top w:val="nil"/>
              <w:left w:val="nil"/>
              <w:bottom w:val="single" w:sz="4" w:space="0" w:color="auto"/>
              <w:right w:val="single" w:sz="4" w:space="0" w:color="auto"/>
            </w:tcBorders>
            <w:noWrap/>
            <w:vAlign w:val="bottom"/>
          </w:tcPr>
          <w:p w14:paraId="39FFFEB3" w14:textId="5A229782" w:rsidR="007242BD" w:rsidRPr="006B06B9" w:rsidRDefault="00DD7CA7"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109,48</w:t>
            </w:r>
            <w:r w:rsidR="00011849">
              <w:rPr>
                <w:rFonts w:ascii="Arial" w:eastAsia="Times New Roman" w:hAnsi="Arial" w:cs="Arial"/>
                <w:b/>
                <w:bCs/>
                <w:sz w:val="20"/>
                <w:szCs w:val="20"/>
                <w:lang w:eastAsia="hr-HR"/>
              </w:rPr>
              <w:t>%</w:t>
            </w:r>
          </w:p>
        </w:tc>
        <w:tc>
          <w:tcPr>
            <w:tcW w:w="1006" w:type="dxa"/>
            <w:tcBorders>
              <w:top w:val="nil"/>
              <w:left w:val="nil"/>
              <w:bottom w:val="single" w:sz="4" w:space="0" w:color="auto"/>
              <w:right w:val="single" w:sz="4" w:space="0" w:color="auto"/>
            </w:tcBorders>
            <w:noWrap/>
            <w:vAlign w:val="bottom"/>
          </w:tcPr>
          <w:p w14:paraId="2CDAE29C" w14:textId="17570055" w:rsidR="007242BD" w:rsidRPr="006B06B9" w:rsidRDefault="00DD7CA7"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104,45</w:t>
            </w:r>
            <w:r w:rsidR="00011849">
              <w:rPr>
                <w:rFonts w:ascii="Arial" w:eastAsia="Times New Roman" w:hAnsi="Arial" w:cs="Arial"/>
                <w:b/>
                <w:bCs/>
                <w:sz w:val="20"/>
                <w:szCs w:val="20"/>
                <w:lang w:eastAsia="hr-HR"/>
              </w:rPr>
              <w:t>%</w:t>
            </w:r>
          </w:p>
        </w:tc>
      </w:tr>
      <w:tr w:rsidR="00EB4F8D" w:rsidRPr="006B06B9" w14:paraId="0B1807EB"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42FD60E8" w14:textId="384D201B"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611 Porez na dohodak</w:t>
            </w:r>
          </w:p>
        </w:tc>
        <w:tc>
          <w:tcPr>
            <w:tcW w:w="1496" w:type="dxa"/>
            <w:tcBorders>
              <w:top w:val="nil"/>
              <w:left w:val="nil"/>
              <w:bottom w:val="single" w:sz="4" w:space="0" w:color="auto"/>
              <w:right w:val="single" w:sz="4" w:space="0" w:color="auto"/>
            </w:tcBorders>
            <w:noWrap/>
            <w:vAlign w:val="bottom"/>
          </w:tcPr>
          <w:p w14:paraId="0D7B6DF0" w14:textId="5E87F03E"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6.826.997,18</w:t>
            </w:r>
          </w:p>
        </w:tc>
        <w:tc>
          <w:tcPr>
            <w:tcW w:w="1506" w:type="dxa"/>
            <w:tcBorders>
              <w:top w:val="nil"/>
              <w:left w:val="nil"/>
              <w:bottom w:val="single" w:sz="4" w:space="0" w:color="auto"/>
              <w:right w:val="single" w:sz="4" w:space="0" w:color="auto"/>
            </w:tcBorders>
            <w:noWrap/>
            <w:vAlign w:val="bottom"/>
          </w:tcPr>
          <w:p w14:paraId="533558DE" w14:textId="0D741C03"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28DADA19"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409F1DD5" w14:textId="0ABA9083"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7.876.746,48</w:t>
            </w:r>
          </w:p>
        </w:tc>
        <w:tc>
          <w:tcPr>
            <w:tcW w:w="1117" w:type="dxa"/>
            <w:tcBorders>
              <w:top w:val="nil"/>
              <w:left w:val="nil"/>
              <w:bottom w:val="single" w:sz="4" w:space="0" w:color="auto"/>
              <w:right w:val="single" w:sz="4" w:space="0" w:color="auto"/>
            </w:tcBorders>
            <w:noWrap/>
            <w:vAlign w:val="bottom"/>
          </w:tcPr>
          <w:p w14:paraId="33483E69" w14:textId="7D1E2FCF"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115,38</w:t>
            </w:r>
            <w:r w:rsidR="00011849">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758F074D" w14:textId="2057A555" w:rsidR="007242BD" w:rsidRPr="006B06B9" w:rsidRDefault="0001184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10B83651"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33F46810" w14:textId="0A1D0E9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6111 Porez na dohodak od nesamostalnog rada</w:t>
            </w:r>
          </w:p>
        </w:tc>
        <w:tc>
          <w:tcPr>
            <w:tcW w:w="1496" w:type="dxa"/>
            <w:tcBorders>
              <w:top w:val="nil"/>
              <w:left w:val="nil"/>
              <w:bottom w:val="single" w:sz="4" w:space="0" w:color="auto"/>
              <w:right w:val="single" w:sz="4" w:space="0" w:color="auto"/>
            </w:tcBorders>
            <w:noWrap/>
            <w:vAlign w:val="bottom"/>
          </w:tcPr>
          <w:p w14:paraId="4248EF4D" w14:textId="297025F0"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5.784.214,89</w:t>
            </w:r>
          </w:p>
        </w:tc>
        <w:tc>
          <w:tcPr>
            <w:tcW w:w="1506" w:type="dxa"/>
            <w:tcBorders>
              <w:top w:val="nil"/>
              <w:left w:val="nil"/>
              <w:bottom w:val="single" w:sz="4" w:space="0" w:color="auto"/>
              <w:right w:val="single" w:sz="4" w:space="0" w:color="auto"/>
            </w:tcBorders>
            <w:noWrap/>
            <w:vAlign w:val="bottom"/>
          </w:tcPr>
          <w:p w14:paraId="03112D60" w14:textId="429EB952"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2E9DCA50"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45066B88" w14:textId="5A52B573"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6.269.412,96</w:t>
            </w:r>
          </w:p>
        </w:tc>
        <w:tc>
          <w:tcPr>
            <w:tcW w:w="1117" w:type="dxa"/>
            <w:tcBorders>
              <w:top w:val="nil"/>
              <w:left w:val="nil"/>
              <w:bottom w:val="single" w:sz="4" w:space="0" w:color="auto"/>
              <w:right w:val="single" w:sz="4" w:space="0" w:color="auto"/>
            </w:tcBorders>
            <w:noWrap/>
            <w:vAlign w:val="bottom"/>
          </w:tcPr>
          <w:p w14:paraId="225807F8" w14:textId="4E4C2628"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108,39</w:t>
            </w:r>
            <w:r w:rsidR="00011849">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26366B1E" w14:textId="7D424B48" w:rsidR="007242BD" w:rsidRPr="006B06B9" w:rsidRDefault="00EB4F8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23991D3E" w14:textId="77777777" w:rsidTr="006C671D">
        <w:trPr>
          <w:trHeight w:val="578"/>
        </w:trPr>
        <w:tc>
          <w:tcPr>
            <w:tcW w:w="3367" w:type="dxa"/>
            <w:tcBorders>
              <w:top w:val="single" w:sz="4" w:space="0" w:color="auto"/>
              <w:left w:val="single" w:sz="4" w:space="0" w:color="auto"/>
              <w:bottom w:val="single" w:sz="4" w:space="0" w:color="auto"/>
              <w:right w:val="single" w:sz="4" w:space="0" w:color="auto"/>
            </w:tcBorders>
            <w:vAlign w:val="bottom"/>
            <w:hideMark/>
          </w:tcPr>
          <w:p w14:paraId="060881CB" w14:textId="5403C4B0"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6112 Porez na dohodak od samostalnih djelatnosti</w:t>
            </w:r>
          </w:p>
        </w:tc>
        <w:tc>
          <w:tcPr>
            <w:tcW w:w="1496" w:type="dxa"/>
            <w:tcBorders>
              <w:top w:val="nil"/>
              <w:left w:val="nil"/>
              <w:bottom w:val="single" w:sz="4" w:space="0" w:color="auto"/>
              <w:right w:val="single" w:sz="4" w:space="0" w:color="auto"/>
            </w:tcBorders>
            <w:noWrap/>
            <w:vAlign w:val="bottom"/>
          </w:tcPr>
          <w:p w14:paraId="0F67FD59" w14:textId="0FABDEC6"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575.747,52</w:t>
            </w:r>
          </w:p>
        </w:tc>
        <w:tc>
          <w:tcPr>
            <w:tcW w:w="1506" w:type="dxa"/>
            <w:tcBorders>
              <w:top w:val="nil"/>
              <w:left w:val="nil"/>
              <w:bottom w:val="single" w:sz="4" w:space="0" w:color="auto"/>
              <w:right w:val="single" w:sz="4" w:space="0" w:color="auto"/>
            </w:tcBorders>
            <w:noWrap/>
            <w:vAlign w:val="bottom"/>
          </w:tcPr>
          <w:p w14:paraId="236F0671" w14:textId="02D5275E"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6CBA78BB"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7556DEFC" w14:textId="1CB93C1A"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671.107,56</w:t>
            </w:r>
          </w:p>
        </w:tc>
        <w:tc>
          <w:tcPr>
            <w:tcW w:w="1117" w:type="dxa"/>
            <w:tcBorders>
              <w:top w:val="nil"/>
              <w:left w:val="nil"/>
              <w:bottom w:val="single" w:sz="4" w:space="0" w:color="auto"/>
              <w:right w:val="single" w:sz="4" w:space="0" w:color="auto"/>
            </w:tcBorders>
            <w:noWrap/>
            <w:vAlign w:val="bottom"/>
          </w:tcPr>
          <w:p w14:paraId="20B563C2" w14:textId="62551F5C"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116,56</w:t>
            </w:r>
            <w:r w:rsidR="00011849">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69C0C6D7" w14:textId="593AC1EA" w:rsidR="007242BD" w:rsidRPr="006B06B9" w:rsidRDefault="00EB4F8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5C69F730" w14:textId="77777777" w:rsidTr="006C671D">
        <w:trPr>
          <w:trHeight w:val="504"/>
        </w:trPr>
        <w:tc>
          <w:tcPr>
            <w:tcW w:w="3367" w:type="dxa"/>
            <w:tcBorders>
              <w:top w:val="single" w:sz="4" w:space="0" w:color="auto"/>
              <w:left w:val="single" w:sz="4" w:space="0" w:color="auto"/>
              <w:bottom w:val="single" w:sz="4" w:space="0" w:color="auto"/>
              <w:right w:val="single" w:sz="4" w:space="0" w:color="auto"/>
            </w:tcBorders>
            <w:vAlign w:val="bottom"/>
            <w:hideMark/>
          </w:tcPr>
          <w:p w14:paraId="4403A605" w14:textId="16853E78"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6113 Porez na dohodak od imovine i imovinskih prava</w:t>
            </w:r>
          </w:p>
        </w:tc>
        <w:tc>
          <w:tcPr>
            <w:tcW w:w="1496" w:type="dxa"/>
            <w:tcBorders>
              <w:top w:val="nil"/>
              <w:left w:val="nil"/>
              <w:bottom w:val="single" w:sz="4" w:space="0" w:color="auto"/>
              <w:right w:val="single" w:sz="4" w:space="0" w:color="auto"/>
            </w:tcBorders>
            <w:noWrap/>
            <w:vAlign w:val="bottom"/>
          </w:tcPr>
          <w:p w14:paraId="5B04E721" w14:textId="1F447921"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780.614,48</w:t>
            </w:r>
          </w:p>
        </w:tc>
        <w:tc>
          <w:tcPr>
            <w:tcW w:w="1506" w:type="dxa"/>
            <w:tcBorders>
              <w:top w:val="nil"/>
              <w:left w:val="nil"/>
              <w:bottom w:val="single" w:sz="4" w:space="0" w:color="auto"/>
              <w:right w:val="single" w:sz="4" w:space="0" w:color="auto"/>
            </w:tcBorders>
            <w:noWrap/>
            <w:vAlign w:val="bottom"/>
          </w:tcPr>
          <w:p w14:paraId="6623CA9B" w14:textId="5245CAB5"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1FC982E1"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0620928D" w14:textId="1A992DF0"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884.265,17</w:t>
            </w:r>
          </w:p>
        </w:tc>
        <w:tc>
          <w:tcPr>
            <w:tcW w:w="1117" w:type="dxa"/>
            <w:tcBorders>
              <w:top w:val="nil"/>
              <w:left w:val="nil"/>
              <w:bottom w:val="single" w:sz="4" w:space="0" w:color="auto"/>
              <w:right w:val="single" w:sz="4" w:space="0" w:color="auto"/>
            </w:tcBorders>
            <w:noWrap/>
            <w:vAlign w:val="bottom"/>
          </w:tcPr>
          <w:p w14:paraId="2AA2D077" w14:textId="468FA45F"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113,28</w:t>
            </w:r>
            <w:r w:rsidR="00970ABE">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43242345" w14:textId="728A98D4" w:rsidR="007242BD" w:rsidRPr="006B06B9" w:rsidRDefault="00EB4F8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09AE97D4"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683CE692" w14:textId="10BA4675"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6114 Porez na dohodak od kapitala</w:t>
            </w:r>
          </w:p>
        </w:tc>
        <w:tc>
          <w:tcPr>
            <w:tcW w:w="1496" w:type="dxa"/>
            <w:tcBorders>
              <w:top w:val="nil"/>
              <w:left w:val="nil"/>
              <w:bottom w:val="single" w:sz="4" w:space="0" w:color="auto"/>
              <w:right w:val="single" w:sz="4" w:space="0" w:color="auto"/>
            </w:tcBorders>
            <w:noWrap/>
            <w:vAlign w:val="bottom"/>
          </w:tcPr>
          <w:p w14:paraId="03664BBB" w14:textId="2BC70F97"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52.400,85</w:t>
            </w:r>
          </w:p>
        </w:tc>
        <w:tc>
          <w:tcPr>
            <w:tcW w:w="1506" w:type="dxa"/>
            <w:tcBorders>
              <w:top w:val="nil"/>
              <w:left w:val="nil"/>
              <w:bottom w:val="single" w:sz="4" w:space="0" w:color="auto"/>
              <w:right w:val="single" w:sz="4" w:space="0" w:color="auto"/>
            </w:tcBorders>
            <w:noWrap/>
            <w:vAlign w:val="bottom"/>
          </w:tcPr>
          <w:p w14:paraId="0673EC80" w14:textId="6A582D18"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19CB00B6"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28449A62" w14:textId="6578BBBE"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66.425,87</w:t>
            </w:r>
          </w:p>
        </w:tc>
        <w:tc>
          <w:tcPr>
            <w:tcW w:w="1117" w:type="dxa"/>
            <w:tcBorders>
              <w:top w:val="nil"/>
              <w:left w:val="nil"/>
              <w:bottom w:val="single" w:sz="4" w:space="0" w:color="auto"/>
              <w:right w:val="single" w:sz="4" w:space="0" w:color="auto"/>
            </w:tcBorders>
            <w:noWrap/>
            <w:vAlign w:val="bottom"/>
          </w:tcPr>
          <w:p w14:paraId="6AE357B3" w14:textId="520A8356"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126,76</w:t>
            </w:r>
            <w:r w:rsidR="00970ABE">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2EA84D6A" w14:textId="3A3E7193" w:rsidR="007242BD" w:rsidRPr="006B06B9" w:rsidRDefault="00EB4F8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769B6100"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0A035BF6" w14:textId="552DA735"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6115 Porez na dohodak po godišnjoj prijavi</w:t>
            </w:r>
          </w:p>
        </w:tc>
        <w:tc>
          <w:tcPr>
            <w:tcW w:w="1496" w:type="dxa"/>
            <w:tcBorders>
              <w:top w:val="nil"/>
              <w:left w:val="nil"/>
              <w:bottom w:val="single" w:sz="4" w:space="0" w:color="auto"/>
              <w:right w:val="single" w:sz="4" w:space="0" w:color="auto"/>
            </w:tcBorders>
            <w:noWrap/>
            <w:vAlign w:val="bottom"/>
          </w:tcPr>
          <w:p w14:paraId="3DEBABD5" w14:textId="191611F1"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439.170,04</w:t>
            </w:r>
          </w:p>
        </w:tc>
        <w:tc>
          <w:tcPr>
            <w:tcW w:w="1506" w:type="dxa"/>
            <w:tcBorders>
              <w:top w:val="nil"/>
              <w:left w:val="nil"/>
              <w:bottom w:val="single" w:sz="4" w:space="0" w:color="auto"/>
              <w:right w:val="single" w:sz="4" w:space="0" w:color="auto"/>
            </w:tcBorders>
            <w:noWrap/>
            <w:vAlign w:val="bottom"/>
          </w:tcPr>
          <w:p w14:paraId="152BDE74" w14:textId="16F7BAEA"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099FCFC3"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4F01B3F9" w14:textId="78018CAB"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959.230,26</w:t>
            </w:r>
          </w:p>
        </w:tc>
        <w:tc>
          <w:tcPr>
            <w:tcW w:w="1117" w:type="dxa"/>
            <w:tcBorders>
              <w:top w:val="nil"/>
              <w:left w:val="nil"/>
              <w:bottom w:val="single" w:sz="4" w:space="0" w:color="auto"/>
              <w:right w:val="single" w:sz="4" w:space="0" w:color="auto"/>
            </w:tcBorders>
            <w:noWrap/>
            <w:vAlign w:val="bottom"/>
          </w:tcPr>
          <w:p w14:paraId="0F623B44" w14:textId="1E6AC7EE"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218,42</w:t>
            </w:r>
            <w:r w:rsidR="00970ABE">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46885115" w14:textId="2275D773" w:rsidR="007242BD" w:rsidRPr="006B06B9" w:rsidRDefault="00EB4F8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6B311062" w14:textId="77777777" w:rsidTr="006C671D">
        <w:trPr>
          <w:trHeight w:val="519"/>
        </w:trPr>
        <w:tc>
          <w:tcPr>
            <w:tcW w:w="3367" w:type="dxa"/>
            <w:tcBorders>
              <w:top w:val="single" w:sz="4" w:space="0" w:color="auto"/>
              <w:left w:val="single" w:sz="4" w:space="0" w:color="auto"/>
              <w:bottom w:val="single" w:sz="4" w:space="0" w:color="auto"/>
              <w:right w:val="single" w:sz="4" w:space="0" w:color="auto"/>
            </w:tcBorders>
            <w:vAlign w:val="bottom"/>
            <w:hideMark/>
          </w:tcPr>
          <w:p w14:paraId="41E53D0D" w14:textId="4150BEB6"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6117 Povrat poreza</w:t>
            </w:r>
            <w:r w:rsidR="00DD7CA7">
              <w:rPr>
                <w:rFonts w:ascii="Arial" w:eastAsia="Times New Roman" w:hAnsi="Arial" w:cs="Arial"/>
                <w:sz w:val="20"/>
                <w:szCs w:val="20"/>
                <w:lang w:eastAsia="hr-HR"/>
              </w:rPr>
              <w:t xml:space="preserve"> </w:t>
            </w:r>
            <w:r w:rsidRPr="006B06B9">
              <w:rPr>
                <w:rFonts w:ascii="Arial" w:eastAsia="Times New Roman" w:hAnsi="Arial" w:cs="Arial"/>
                <w:sz w:val="20"/>
                <w:szCs w:val="20"/>
                <w:lang w:eastAsia="hr-HR"/>
              </w:rPr>
              <w:t>na dohodak po godišnjoj prijavi</w:t>
            </w:r>
          </w:p>
        </w:tc>
        <w:tc>
          <w:tcPr>
            <w:tcW w:w="1496" w:type="dxa"/>
            <w:tcBorders>
              <w:top w:val="nil"/>
              <w:left w:val="nil"/>
              <w:bottom w:val="single" w:sz="4" w:space="0" w:color="auto"/>
              <w:right w:val="single" w:sz="4" w:space="0" w:color="auto"/>
            </w:tcBorders>
            <w:noWrap/>
            <w:vAlign w:val="bottom"/>
          </w:tcPr>
          <w:p w14:paraId="126405E6" w14:textId="184E2C82"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-805.150,60</w:t>
            </w:r>
          </w:p>
        </w:tc>
        <w:tc>
          <w:tcPr>
            <w:tcW w:w="1506" w:type="dxa"/>
            <w:tcBorders>
              <w:top w:val="nil"/>
              <w:left w:val="nil"/>
              <w:bottom w:val="single" w:sz="4" w:space="0" w:color="auto"/>
              <w:right w:val="single" w:sz="4" w:space="0" w:color="auto"/>
            </w:tcBorders>
            <w:noWrap/>
            <w:vAlign w:val="bottom"/>
          </w:tcPr>
          <w:p w14:paraId="22430ACB" w14:textId="7EBFDAA3"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2D6BDAD1"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0101D71B" w14:textId="7D645750"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-973.695,34</w:t>
            </w:r>
          </w:p>
        </w:tc>
        <w:tc>
          <w:tcPr>
            <w:tcW w:w="1117" w:type="dxa"/>
            <w:tcBorders>
              <w:top w:val="nil"/>
              <w:left w:val="nil"/>
              <w:bottom w:val="single" w:sz="4" w:space="0" w:color="auto"/>
              <w:right w:val="single" w:sz="4" w:space="0" w:color="auto"/>
            </w:tcBorders>
            <w:noWrap/>
            <w:vAlign w:val="bottom"/>
          </w:tcPr>
          <w:p w14:paraId="3EA5D39E" w14:textId="4E3A66B4"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120,93</w:t>
            </w:r>
            <w:r w:rsidR="00970ABE">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7AB41FB3" w14:textId="459BB160" w:rsidR="007242BD" w:rsidRPr="006B06B9" w:rsidRDefault="00EB4F8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4007884E"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544E7144"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613 Porezi na imovinu</w:t>
            </w:r>
          </w:p>
        </w:tc>
        <w:tc>
          <w:tcPr>
            <w:tcW w:w="1496" w:type="dxa"/>
            <w:tcBorders>
              <w:top w:val="nil"/>
              <w:left w:val="nil"/>
              <w:bottom w:val="single" w:sz="4" w:space="0" w:color="auto"/>
              <w:right w:val="single" w:sz="4" w:space="0" w:color="auto"/>
            </w:tcBorders>
            <w:noWrap/>
            <w:vAlign w:val="bottom"/>
          </w:tcPr>
          <w:p w14:paraId="605C2CAC" w14:textId="0377CEE2"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1.179.718,92</w:t>
            </w:r>
          </w:p>
        </w:tc>
        <w:tc>
          <w:tcPr>
            <w:tcW w:w="1506" w:type="dxa"/>
            <w:tcBorders>
              <w:top w:val="nil"/>
              <w:left w:val="nil"/>
              <w:bottom w:val="single" w:sz="4" w:space="0" w:color="auto"/>
              <w:right w:val="single" w:sz="4" w:space="0" w:color="auto"/>
            </w:tcBorders>
            <w:noWrap/>
            <w:vAlign w:val="bottom"/>
          </w:tcPr>
          <w:p w14:paraId="4B2A9CB3" w14:textId="40863E62"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73DF8BEC"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3CCA4D2E" w14:textId="7BD759AD"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894.196,51</w:t>
            </w:r>
          </w:p>
        </w:tc>
        <w:tc>
          <w:tcPr>
            <w:tcW w:w="1117" w:type="dxa"/>
            <w:tcBorders>
              <w:top w:val="nil"/>
              <w:left w:val="nil"/>
              <w:bottom w:val="single" w:sz="4" w:space="0" w:color="auto"/>
              <w:right w:val="single" w:sz="4" w:space="0" w:color="auto"/>
            </w:tcBorders>
            <w:noWrap/>
            <w:vAlign w:val="bottom"/>
          </w:tcPr>
          <w:p w14:paraId="37FFA27F" w14:textId="04A2AD75"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75,80</w:t>
            </w:r>
            <w:r w:rsidR="00970ABE">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6509B23C" w14:textId="1ED57872" w:rsidR="007242BD" w:rsidRPr="006B06B9" w:rsidRDefault="00EB4F8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7DC3E9AB" w14:textId="77777777" w:rsidTr="006C671D">
        <w:trPr>
          <w:trHeight w:val="563"/>
        </w:trPr>
        <w:tc>
          <w:tcPr>
            <w:tcW w:w="3367" w:type="dxa"/>
            <w:tcBorders>
              <w:top w:val="single" w:sz="4" w:space="0" w:color="auto"/>
              <w:left w:val="single" w:sz="4" w:space="0" w:color="auto"/>
              <w:bottom w:val="single" w:sz="4" w:space="0" w:color="auto"/>
              <w:right w:val="single" w:sz="4" w:space="0" w:color="auto"/>
            </w:tcBorders>
            <w:vAlign w:val="bottom"/>
            <w:hideMark/>
          </w:tcPr>
          <w:p w14:paraId="7C04F060"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6131 Stalni porezi na nepokretnu imovinu (zemlju, zgrade, kuće i ostalo)</w:t>
            </w:r>
          </w:p>
        </w:tc>
        <w:tc>
          <w:tcPr>
            <w:tcW w:w="1496" w:type="dxa"/>
            <w:tcBorders>
              <w:top w:val="nil"/>
              <w:left w:val="nil"/>
              <w:bottom w:val="single" w:sz="4" w:space="0" w:color="auto"/>
              <w:right w:val="single" w:sz="4" w:space="0" w:color="auto"/>
            </w:tcBorders>
            <w:noWrap/>
            <w:vAlign w:val="bottom"/>
          </w:tcPr>
          <w:p w14:paraId="64867D1F" w14:textId="6403A2B8"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339.166,37</w:t>
            </w:r>
          </w:p>
        </w:tc>
        <w:tc>
          <w:tcPr>
            <w:tcW w:w="1506" w:type="dxa"/>
            <w:tcBorders>
              <w:top w:val="nil"/>
              <w:left w:val="nil"/>
              <w:bottom w:val="single" w:sz="4" w:space="0" w:color="auto"/>
              <w:right w:val="single" w:sz="4" w:space="0" w:color="auto"/>
            </w:tcBorders>
            <w:noWrap/>
            <w:vAlign w:val="bottom"/>
          </w:tcPr>
          <w:p w14:paraId="167AFDFC" w14:textId="33E91812"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602CF21B"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076E595C" w14:textId="5F269DC0"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290.657,05</w:t>
            </w:r>
          </w:p>
        </w:tc>
        <w:tc>
          <w:tcPr>
            <w:tcW w:w="1117" w:type="dxa"/>
            <w:tcBorders>
              <w:top w:val="nil"/>
              <w:left w:val="nil"/>
              <w:bottom w:val="single" w:sz="4" w:space="0" w:color="auto"/>
              <w:right w:val="single" w:sz="4" w:space="0" w:color="auto"/>
            </w:tcBorders>
            <w:noWrap/>
            <w:vAlign w:val="bottom"/>
          </w:tcPr>
          <w:p w14:paraId="2F66C35D" w14:textId="3CD0E190"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85,70</w:t>
            </w:r>
            <w:r w:rsidR="00970ABE">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14618F52" w14:textId="70D9CF3B" w:rsidR="007242BD" w:rsidRPr="006B06B9" w:rsidRDefault="00EB4F8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606FFDDC"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5FE83DC1"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6134 Povremeni porezi na imovinu</w:t>
            </w:r>
          </w:p>
        </w:tc>
        <w:tc>
          <w:tcPr>
            <w:tcW w:w="1496" w:type="dxa"/>
            <w:tcBorders>
              <w:top w:val="nil"/>
              <w:left w:val="nil"/>
              <w:bottom w:val="single" w:sz="4" w:space="0" w:color="auto"/>
              <w:right w:val="single" w:sz="4" w:space="0" w:color="auto"/>
            </w:tcBorders>
            <w:noWrap/>
            <w:vAlign w:val="bottom"/>
          </w:tcPr>
          <w:p w14:paraId="6B960009" w14:textId="197F0A76"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840.552,55</w:t>
            </w:r>
          </w:p>
        </w:tc>
        <w:tc>
          <w:tcPr>
            <w:tcW w:w="1506" w:type="dxa"/>
            <w:tcBorders>
              <w:top w:val="nil"/>
              <w:left w:val="nil"/>
              <w:bottom w:val="single" w:sz="4" w:space="0" w:color="auto"/>
              <w:right w:val="single" w:sz="4" w:space="0" w:color="auto"/>
            </w:tcBorders>
            <w:noWrap/>
            <w:vAlign w:val="bottom"/>
          </w:tcPr>
          <w:p w14:paraId="748C3AD3" w14:textId="5BC055E4"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353A6273"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42B99DAC" w14:textId="0EC69539"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603.539,46</w:t>
            </w:r>
          </w:p>
        </w:tc>
        <w:tc>
          <w:tcPr>
            <w:tcW w:w="1117" w:type="dxa"/>
            <w:tcBorders>
              <w:top w:val="nil"/>
              <w:left w:val="nil"/>
              <w:bottom w:val="single" w:sz="4" w:space="0" w:color="auto"/>
              <w:right w:val="single" w:sz="4" w:space="0" w:color="auto"/>
            </w:tcBorders>
            <w:noWrap/>
            <w:vAlign w:val="bottom"/>
          </w:tcPr>
          <w:p w14:paraId="65E2B469" w14:textId="5599CD35"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71,80</w:t>
            </w:r>
            <w:r w:rsidR="00EB4F8D">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453013AF" w14:textId="38584E12" w:rsidR="007242BD" w:rsidRPr="006B06B9" w:rsidRDefault="00EB4F8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03D020F9"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436AC03B"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614 Porezi na robu i usluge</w:t>
            </w:r>
          </w:p>
        </w:tc>
        <w:tc>
          <w:tcPr>
            <w:tcW w:w="1496" w:type="dxa"/>
            <w:tcBorders>
              <w:top w:val="nil"/>
              <w:left w:val="nil"/>
              <w:bottom w:val="single" w:sz="4" w:space="0" w:color="auto"/>
              <w:right w:val="single" w:sz="4" w:space="0" w:color="auto"/>
            </w:tcBorders>
            <w:noWrap/>
            <w:vAlign w:val="bottom"/>
          </w:tcPr>
          <w:p w14:paraId="715D7311" w14:textId="5D8AB8CE"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375.388,89</w:t>
            </w:r>
          </w:p>
        </w:tc>
        <w:tc>
          <w:tcPr>
            <w:tcW w:w="1506" w:type="dxa"/>
            <w:tcBorders>
              <w:top w:val="nil"/>
              <w:left w:val="nil"/>
              <w:bottom w:val="single" w:sz="4" w:space="0" w:color="auto"/>
              <w:right w:val="single" w:sz="4" w:space="0" w:color="auto"/>
            </w:tcBorders>
            <w:noWrap/>
            <w:vAlign w:val="bottom"/>
          </w:tcPr>
          <w:p w14:paraId="29145900" w14:textId="1A4AA8F8"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6B649FFB"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0CA7185D" w14:textId="09855577"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405.876,73</w:t>
            </w:r>
          </w:p>
        </w:tc>
        <w:tc>
          <w:tcPr>
            <w:tcW w:w="1117" w:type="dxa"/>
            <w:tcBorders>
              <w:top w:val="nil"/>
              <w:left w:val="nil"/>
              <w:bottom w:val="single" w:sz="4" w:space="0" w:color="auto"/>
              <w:right w:val="single" w:sz="4" w:space="0" w:color="auto"/>
            </w:tcBorders>
            <w:noWrap/>
            <w:vAlign w:val="bottom"/>
          </w:tcPr>
          <w:p w14:paraId="015E6694" w14:textId="566A7FF6"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108,12</w:t>
            </w:r>
            <w:r w:rsidR="00970ABE">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1D91F77C" w14:textId="636E9094" w:rsidR="007242BD" w:rsidRPr="006B06B9" w:rsidRDefault="00EB4F8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1F60B4AF"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628DB607"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6142 Porez na promet</w:t>
            </w:r>
          </w:p>
        </w:tc>
        <w:tc>
          <w:tcPr>
            <w:tcW w:w="1496" w:type="dxa"/>
            <w:tcBorders>
              <w:top w:val="nil"/>
              <w:left w:val="nil"/>
              <w:bottom w:val="single" w:sz="4" w:space="0" w:color="auto"/>
              <w:right w:val="single" w:sz="4" w:space="0" w:color="auto"/>
            </w:tcBorders>
            <w:noWrap/>
            <w:vAlign w:val="bottom"/>
          </w:tcPr>
          <w:p w14:paraId="718D0A43" w14:textId="4DDB0814"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374.548,12</w:t>
            </w:r>
          </w:p>
        </w:tc>
        <w:tc>
          <w:tcPr>
            <w:tcW w:w="1506" w:type="dxa"/>
            <w:tcBorders>
              <w:top w:val="nil"/>
              <w:left w:val="nil"/>
              <w:bottom w:val="single" w:sz="4" w:space="0" w:color="auto"/>
              <w:right w:val="single" w:sz="4" w:space="0" w:color="auto"/>
            </w:tcBorders>
            <w:noWrap/>
            <w:vAlign w:val="bottom"/>
          </w:tcPr>
          <w:p w14:paraId="4ACF9B15" w14:textId="5EBBCE38"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3725E1DB"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197D6074" w14:textId="4580DCF8"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405.867,73</w:t>
            </w:r>
          </w:p>
        </w:tc>
        <w:tc>
          <w:tcPr>
            <w:tcW w:w="1117" w:type="dxa"/>
            <w:tcBorders>
              <w:top w:val="nil"/>
              <w:left w:val="nil"/>
              <w:bottom w:val="single" w:sz="4" w:space="0" w:color="auto"/>
              <w:right w:val="single" w:sz="4" w:space="0" w:color="auto"/>
            </w:tcBorders>
            <w:noWrap/>
            <w:vAlign w:val="bottom"/>
          </w:tcPr>
          <w:p w14:paraId="79EA0439" w14:textId="36766B91"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108,36</w:t>
            </w:r>
            <w:r w:rsidR="00970ABE">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21B106DB" w14:textId="49C1F26D" w:rsidR="007242BD" w:rsidRPr="006B06B9" w:rsidRDefault="00EB4F8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2CF78074"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5C006F18"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6145 Porezi na korištenje dobara ili izvođenje aktivnosti</w:t>
            </w:r>
          </w:p>
        </w:tc>
        <w:tc>
          <w:tcPr>
            <w:tcW w:w="1496" w:type="dxa"/>
            <w:tcBorders>
              <w:top w:val="nil"/>
              <w:left w:val="nil"/>
              <w:bottom w:val="single" w:sz="4" w:space="0" w:color="auto"/>
              <w:right w:val="single" w:sz="4" w:space="0" w:color="auto"/>
            </w:tcBorders>
            <w:noWrap/>
            <w:vAlign w:val="bottom"/>
          </w:tcPr>
          <w:p w14:paraId="17B2DD8A" w14:textId="133E1E2D"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840,77</w:t>
            </w:r>
          </w:p>
        </w:tc>
        <w:tc>
          <w:tcPr>
            <w:tcW w:w="1506" w:type="dxa"/>
            <w:tcBorders>
              <w:top w:val="nil"/>
              <w:left w:val="nil"/>
              <w:bottom w:val="single" w:sz="4" w:space="0" w:color="auto"/>
              <w:right w:val="single" w:sz="4" w:space="0" w:color="auto"/>
            </w:tcBorders>
            <w:noWrap/>
            <w:vAlign w:val="bottom"/>
          </w:tcPr>
          <w:p w14:paraId="43E9A73D" w14:textId="034199F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628B9E45"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75C19A29" w14:textId="38E239C8"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9,00</w:t>
            </w:r>
          </w:p>
        </w:tc>
        <w:tc>
          <w:tcPr>
            <w:tcW w:w="1117" w:type="dxa"/>
            <w:tcBorders>
              <w:top w:val="nil"/>
              <w:left w:val="nil"/>
              <w:bottom w:val="single" w:sz="4" w:space="0" w:color="auto"/>
              <w:right w:val="single" w:sz="4" w:space="0" w:color="auto"/>
            </w:tcBorders>
            <w:noWrap/>
            <w:vAlign w:val="bottom"/>
          </w:tcPr>
          <w:p w14:paraId="1F441048" w14:textId="26AA3340"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1,07</w:t>
            </w:r>
            <w:r w:rsidR="00970ABE">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11315787" w14:textId="52926A32" w:rsidR="007242BD" w:rsidRPr="006B06B9" w:rsidRDefault="00EB4F8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061214D4" w14:textId="77777777" w:rsidTr="006C671D">
        <w:trPr>
          <w:trHeight w:val="534"/>
        </w:trPr>
        <w:tc>
          <w:tcPr>
            <w:tcW w:w="3367" w:type="dxa"/>
            <w:tcBorders>
              <w:top w:val="single" w:sz="4" w:space="0" w:color="auto"/>
              <w:left w:val="single" w:sz="4" w:space="0" w:color="auto"/>
              <w:bottom w:val="single" w:sz="4" w:space="0" w:color="auto"/>
              <w:right w:val="single" w:sz="4" w:space="0" w:color="auto"/>
            </w:tcBorders>
            <w:vAlign w:val="bottom"/>
            <w:hideMark/>
          </w:tcPr>
          <w:p w14:paraId="2E07B4A3" w14:textId="77777777" w:rsidR="007242BD" w:rsidRPr="006B06B9" w:rsidRDefault="007242BD"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63 Pomoći iz inozemstva i od subjekata unutar općeg proračuna</w:t>
            </w:r>
          </w:p>
        </w:tc>
        <w:tc>
          <w:tcPr>
            <w:tcW w:w="1496" w:type="dxa"/>
            <w:tcBorders>
              <w:top w:val="nil"/>
              <w:left w:val="nil"/>
              <w:bottom w:val="single" w:sz="4" w:space="0" w:color="auto"/>
              <w:right w:val="single" w:sz="4" w:space="0" w:color="auto"/>
            </w:tcBorders>
            <w:noWrap/>
            <w:vAlign w:val="bottom"/>
          </w:tcPr>
          <w:p w14:paraId="78A9AA87" w14:textId="478A564B" w:rsidR="007242BD" w:rsidRPr="006B06B9" w:rsidRDefault="00DD7CA7"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1.629.238,09</w:t>
            </w:r>
          </w:p>
        </w:tc>
        <w:tc>
          <w:tcPr>
            <w:tcW w:w="1506" w:type="dxa"/>
            <w:tcBorders>
              <w:top w:val="nil"/>
              <w:left w:val="nil"/>
              <w:bottom w:val="single" w:sz="4" w:space="0" w:color="auto"/>
              <w:right w:val="single" w:sz="4" w:space="0" w:color="auto"/>
            </w:tcBorders>
            <w:noWrap/>
            <w:vAlign w:val="bottom"/>
          </w:tcPr>
          <w:p w14:paraId="1FFFEAAA" w14:textId="64F9CB21" w:rsidR="007242BD" w:rsidRPr="006B06B9" w:rsidRDefault="00DD7CA7"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3.146.185,00</w:t>
            </w:r>
          </w:p>
        </w:tc>
        <w:tc>
          <w:tcPr>
            <w:tcW w:w="1496" w:type="dxa"/>
            <w:tcBorders>
              <w:top w:val="single" w:sz="4" w:space="0" w:color="auto"/>
              <w:left w:val="nil"/>
              <w:bottom w:val="single" w:sz="4" w:space="0" w:color="auto"/>
              <w:right w:val="single" w:sz="4" w:space="0" w:color="auto"/>
            </w:tcBorders>
            <w:vAlign w:val="bottom"/>
          </w:tcPr>
          <w:p w14:paraId="3E003A67" w14:textId="7003F33F" w:rsidR="007242BD" w:rsidRPr="006B06B9" w:rsidRDefault="00DD7CA7"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3.146.185,00</w:t>
            </w:r>
          </w:p>
        </w:tc>
        <w:tc>
          <w:tcPr>
            <w:tcW w:w="1600" w:type="dxa"/>
            <w:tcBorders>
              <w:top w:val="nil"/>
              <w:left w:val="single" w:sz="4" w:space="0" w:color="auto"/>
              <w:bottom w:val="single" w:sz="4" w:space="0" w:color="auto"/>
              <w:right w:val="single" w:sz="4" w:space="0" w:color="auto"/>
            </w:tcBorders>
            <w:noWrap/>
            <w:vAlign w:val="bottom"/>
          </w:tcPr>
          <w:p w14:paraId="37DA4BB5" w14:textId="5E8BD057" w:rsidR="007242BD" w:rsidRPr="006B06B9" w:rsidRDefault="00DD7CA7"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1.830.966,35</w:t>
            </w:r>
          </w:p>
        </w:tc>
        <w:tc>
          <w:tcPr>
            <w:tcW w:w="1117" w:type="dxa"/>
            <w:tcBorders>
              <w:top w:val="nil"/>
              <w:left w:val="nil"/>
              <w:bottom w:val="single" w:sz="4" w:space="0" w:color="auto"/>
              <w:right w:val="single" w:sz="4" w:space="0" w:color="auto"/>
            </w:tcBorders>
            <w:noWrap/>
            <w:vAlign w:val="bottom"/>
          </w:tcPr>
          <w:p w14:paraId="4C973153" w14:textId="76A76981" w:rsidR="007242BD" w:rsidRPr="006B06B9" w:rsidRDefault="00DD7CA7"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112,38</w:t>
            </w:r>
            <w:r w:rsidR="00970ABE">
              <w:rPr>
                <w:rFonts w:ascii="Arial" w:eastAsia="Times New Roman" w:hAnsi="Arial" w:cs="Arial"/>
                <w:b/>
                <w:bCs/>
                <w:sz w:val="20"/>
                <w:szCs w:val="20"/>
                <w:lang w:eastAsia="hr-HR"/>
              </w:rPr>
              <w:t>%</w:t>
            </w:r>
          </w:p>
        </w:tc>
        <w:tc>
          <w:tcPr>
            <w:tcW w:w="1006" w:type="dxa"/>
            <w:tcBorders>
              <w:top w:val="nil"/>
              <w:left w:val="nil"/>
              <w:bottom w:val="single" w:sz="4" w:space="0" w:color="auto"/>
              <w:right w:val="single" w:sz="4" w:space="0" w:color="auto"/>
            </w:tcBorders>
            <w:noWrap/>
            <w:vAlign w:val="bottom"/>
          </w:tcPr>
          <w:p w14:paraId="5F4C1D6F" w14:textId="560210EA" w:rsidR="007242BD" w:rsidRPr="006B06B9" w:rsidRDefault="00DD7CA7"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58,20</w:t>
            </w:r>
            <w:r w:rsidR="00970ABE">
              <w:rPr>
                <w:rFonts w:ascii="Arial" w:eastAsia="Times New Roman" w:hAnsi="Arial" w:cs="Arial"/>
                <w:b/>
                <w:bCs/>
                <w:sz w:val="20"/>
                <w:szCs w:val="20"/>
                <w:lang w:eastAsia="hr-HR"/>
              </w:rPr>
              <w:t>%</w:t>
            </w:r>
          </w:p>
        </w:tc>
      </w:tr>
      <w:tr w:rsidR="00EB4F8D" w:rsidRPr="006B06B9" w14:paraId="699D3F4C" w14:textId="77777777" w:rsidTr="006C671D">
        <w:trPr>
          <w:trHeight w:val="549"/>
        </w:trPr>
        <w:tc>
          <w:tcPr>
            <w:tcW w:w="3367" w:type="dxa"/>
            <w:tcBorders>
              <w:top w:val="single" w:sz="4" w:space="0" w:color="auto"/>
              <w:left w:val="single" w:sz="4" w:space="0" w:color="auto"/>
              <w:bottom w:val="single" w:sz="4" w:space="0" w:color="auto"/>
              <w:right w:val="single" w:sz="4" w:space="0" w:color="auto"/>
            </w:tcBorders>
            <w:vAlign w:val="bottom"/>
            <w:hideMark/>
          </w:tcPr>
          <w:p w14:paraId="7EB5B2E6"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632 Pomoći od međunarodnih organizacija te institucija i tijela EU</w:t>
            </w:r>
          </w:p>
        </w:tc>
        <w:tc>
          <w:tcPr>
            <w:tcW w:w="1496" w:type="dxa"/>
            <w:tcBorders>
              <w:top w:val="nil"/>
              <w:left w:val="nil"/>
              <w:bottom w:val="single" w:sz="4" w:space="0" w:color="auto"/>
              <w:right w:val="single" w:sz="4" w:space="0" w:color="auto"/>
            </w:tcBorders>
            <w:noWrap/>
            <w:vAlign w:val="bottom"/>
          </w:tcPr>
          <w:p w14:paraId="1B9D1000" w14:textId="4822B20F"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38.960,31</w:t>
            </w:r>
          </w:p>
        </w:tc>
        <w:tc>
          <w:tcPr>
            <w:tcW w:w="1506" w:type="dxa"/>
            <w:tcBorders>
              <w:top w:val="nil"/>
              <w:left w:val="nil"/>
              <w:bottom w:val="single" w:sz="4" w:space="0" w:color="auto"/>
              <w:right w:val="single" w:sz="4" w:space="0" w:color="auto"/>
            </w:tcBorders>
            <w:noWrap/>
            <w:vAlign w:val="bottom"/>
          </w:tcPr>
          <w:p w14:paraId="737B9FF2" w14:textId="6BD1C2C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4743D85D"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68B3FFD9" w14:textId="3BFBFF3E"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26.548,00</w:t>
            </w:r>
          </w:p>
        </w:tc>
        <w:tc>
          <w:tcPr>
            <w:tcW w:w="1117" w:type="dxa"/>
            <w:tcBorders>
              <w:top w:val="nil"/>
              <w:left w:val="nil"/>
              <w:bottom w:val="single" w:sz="4" w:space="0" w:color="auto"/>
              <w:right w:val="single" w:sz="4" w:space="0" w:color="auto"/>
            </w:tcBorders>
            <w:noWrap/>
            <w:vAlign w:val="bottom"/>
          </w:tcPr>
          <w:p w14:paraId="5C6B0843" w14:textId="08ED8180"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68,14</w:t>
            </w:r>
            <w:r w:rsidR="00970ABE">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1128E9C7" w14:textId="131FB48A" w:rsidR="007242BD" w:rsidRPr="006B06B9" w:rsidRDefault="00EB4F8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4A4E8F7F"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509235CD"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6321 Tekuće pomoći od međunarodnih organizacija</w:t>
            </w:r>
          </w:p>
        </w:tc>
        <w:tc>
          <w:tcPr>
            <w:tcW w:w="1496" w:type="dxa"/>
            <w:tcBorders>
              <w:top w:val="nil"/>
              <w:left w:val="nil"/>
              <w:bottom w:val="single" w:sz="4" w:space="0" w:color="auto"/>
              <w:right w:val="single" w:sz="4" w:space="0" w:color="auto"/>
            </w:tcBorders>
            <w:noWrap/>
            <w:vAlign w:val="bottom"/>
          </w:tcPr>
          <w:p w14:paraId="1426E898" w14:textId="47AC96BD"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34.928,31</w:t>
            </w:r>
          </w:p>
        </w:tc>
        <w:tc>
          <w:tcPr>
            <w:tcW w:w="1506" w:type="dxa"/>
            <w:tcBorders>
              <w:top w:val="nil"/>
              <w:left w:val="nil"/>
              <w:bottom w:val="single" w:sz="4" w:space="0" w:color="auto"/>
              <w:right w:val="single" w:sz="4" w:space="0" w:color="auto"/>
            </w:tcBorders>
            <w:noWrap/>
            <w:vAlign w:val="bottom"/>
          </w:tcPr>
          <w:p w14:paraId="33B5D102" w14:textId="5EF52FD2"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1F335728"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611FFFA2" w14:textId="1512F8FA"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117" w:type="dxa"/>
            <w:tcBorders>
              <w:top w:val="nil"/>
              <w:left w:val="nil"/>
              <w:bottom w:val="single" w:sz="4" w:space="0" w:color="auto"/>
              <w:right w:val="single" w:sz="4" w:space="0" w:color="auto"/>
            </w:tcBorders>
            <w:noWrap/>
            <w:vAlign w:val="bottom"/>
          </w:tcPr>
          <w:p w14:paraId="239ED5C0" w14:textId="0D6AC6EC" w:rsidR="007242BD" w:rsidRPr="006B06B9"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r w:rsidR="00970ABE">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1F7AEFCF" w14:textId="2EEDA083" w:rsidR="007242BD" w:rsidRPr="006B06B9" w:rsidRDefault="0006038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6C671D" w:rsidRPr="006B06B9" w14:paraId="4EE1A961"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tcPr>
          <w:p w14:paraId="7887C302" w14:textId="13B156C7" w:rsidR="006C671D" w:rsidRPr="006B06B9" w:rsidRDefault="006C671D" w:rsidP="006B06B9">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6323 Tekuće pomoći od institucija i tijela EU</w:t>
            </w:r>
          </w:p>
        </w:tc>
        <w:tc>
          <w:tcPr>
            <w:tcW w:w="1496" w:type="dxa"/>
            <w:tcBorders>
              <w:top w:val="nil"/>
              <w:left w:val="nil"/>
              <w:bottom w:val="single" w:sz="4" w:space="0" w:color="auto"/>
              <w:right w:val="single" w:sz="4" w:space="0" w:color="auto"/>
            </w:tcBorders>
            <w:noWrap/>
            <w:vAlign w:val="bottom"/>
          </w:tcPr>
          <w:p w14:paraId="0B5121FC" w14:textId="1B1BDC7F" w:rsidR="006C671D" w:rsidRDefault="006C671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506" w:type="dxa"/>
            <w:tcBorders>
              <w:top w:val="nil"/>
              <w:left w:val="nil"/>
              <w:bottom w:val="single" w:sz="4" w:space="0" w:color="auto"/>
              <w:right w:val="single" w:sz="4" w:space="0" w:color="auto"/>
            </w:tcBorders>
            <w:noWrap/>
            <w:vAlign w:val="bottom"/>
          </w:tcPr>
          <w:p w14:paraId="42917692" w14:textId="77777777" w:rsidR="006C671D" w:rsidRPr="006B06B9" w:rsidRDefault="006C671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617E9774" w14:textId="77777777" w:rsidR="006C671D" w:rsidRPr="006B06B9" w:rsidRDefault="006C671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508523DE" w14:textId="623B9689" w:rsidR="006C671D" w:rsidRDefault="006C671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25.270,56</w:t>
            </w:r>
          </w:p>
        </w:tc>
        <w:tc>
          <w:tcPr>
            <w:tcW w:w="1117" w:type="dxa"/>
            <w:tcBorders>
              <w:top w:val="nil"/>
              <w:left w:val="nil"/>
              <w:bottom w:val="single" w:sz="4" w:space="0" w:color="auto"/>
              <w:right w:val="single" w:sz="4" w:space="0" w:color="auto"/>
            </w:tcBorders>
            <w:noWrap/>
            <w:vAlign w:val="bottom"/>
          </w:tcPr>
          <w:p w14:paraId="1EBDD69D" w14:textId="2DD5B240" w:rsidR="006C671D" w:rsidRDefault="006C671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006" w:type="dxa"/>
            <w:tcBorders>
              <w:top w:val="nil"/>
              <w:left w:val="nil"/>
              <w:bottom w:val="single" w:sz="4" w:space="0" w:color="auto"/>
              <w:right w:val="single" w:sz="4" w:space="0" w:color="auto"/>
            </w:tcBorders>
            <w:noWrap/>
            <w:vAlign w:val="bottom"/>
          </w:tcPr>
          <w:p w14:paraId="73DF0C24" w14:textId="77777777" w:rsidR="006C671D" w:rsidRDefault="006C671D" w:rsidP="006B06B9">
            <w:pPr>
              <w:spacing w:after="0" w:line="240" w:lineRule="auto"/>
              <w:jc w:val="right"/>
              <w:rPr>
                <w:rFonts w:ascii="Arial" w:eastAsia="Times New Roman" w:hAnsi="Arial" w:cs="Arial"/>
                <w:sz w:val="20"/>
                <w:szCs w:val="20"/>
                <w:lang w:eastAsia="hr-HR"/>
              </w:rPr>
            </w:pPr>
          </w:p>
        </w:tc>
      </w:tr>
      <w:tr w:rsidR="00970ABE" w:rsidRPr="006B06B9" w14:paraId="0FD6F91E"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tcPr>
          <w:p w14:paraId="47664518" w14:textId="538B7C84" w:rsidR="00970ABE" w:rsidRPr="006B06B9" w:rsidRDefault="00970ABE" w:rsidP="006B06B9">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6324 Kapitalne pomoći od institucija i tijela EU</w:t>
            </w:r>
          </w:p>
        </w:tc>
        <w:tc>
          <w:tcPr>
            <w:tcW w:w="1496" w:type="dxa"/>
            <w:tcBorders>
              <w:top w:val="nil"/>
              <w:left w:val="nil"/>
              <w:bottom w:val="single" w:sz="4" w:space="0" w:color="auto"/>
              <w:right w:val="single" w:sz="4" w:space="0" w:color="auto"/>
            </w:tcBorders>
            <w:noWrap/>
            <w:vAlign w:val="bottom"/>
          </w:tcPr>
          <w:p w14:paraId="397577DF" w14:textId="0E660D4F" w:rsidR="00970ABE" w:rsidRDefault="00DD7CA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4.032,00</w:t>
            </w:r>
          </w:p>
        </w:tc>
        <w:tc>
          <w:tcPr>
            <w:tcW w:w="1506" w:type="dxa"/>
            <w:tcBorders>
              <w:top w:val="nil"/>
              <w:left w:val="nil"/>
              <w:bottom w:val="single" w:sz="4" w:space="0" w:color="auto"/>
              <w:right w:val="single" w:sz="4" w:space="0" w:color="auto"/>
            </w:tcBorders>
            <w:noWrap/>
            <w:vAlign w:val="bottom"/>
          </w:tcPr>
          <w:p w14:paraId="6A846ACB" w14:textId="77777777" w:rsidR="00970ABE" w:rsidRPr="006B06B9" w:rsidRDefault="00970ABE"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7501E434" w14:textId="77777777" w:rsidR="00970ABE" w:rsidRPr="006B06B9" w:rsidRDefault="00970ABE"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649CA5C2" w14:textId="5F270C1C" w:rsidR="00970ABE" w:rsidRDefault="006C671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1.277,44</w:t>
            </w:r>
          </w:p>
        </w:tc>
        <w:tc>
          <w:tcPr>
            <w:tcW w:w="1117" w:type="dxa"/>
            <w:tcBorders>
              <w:top w:val="nil"/>
              <w:left w:val="nil"/>
              <w:bottom w:val="single" w:sz="4" w:space="0" w:color="auto"/>
              <w:right w:val="single" w:sz="4" w:space="0" w:color="auto"/>
            </w:tcBorders>
            <w:noWrap/>
            <w:vAlign w:val="bottom"/>
          </w:tcPr>
          <w:p w14:paraId="689001E1" w14:textId="7C7A691A" w:rsidR="00970ABE" w:rsidRDefault="006C671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31,68%</w:t>
            </w:r>
          </w:p>
        </w:tc>
        <w:tc>
          <w:tcPr>
            <w:tcW w:w="1006" w:type="dxa"/>
            <w:tcBorders>
              <w:top w:val="nil"/>
              <w:left w:val="nil"/>
              <w:bottom w:val="single" w:sz="4" w:space="0" w:color="auto"/>
              <w:right w:val="single" w:sz="4" w:space="0" w:color="auto"/>
            </w:tcBorders>
            <w:noWrap/>
            <w:vAlign w:val="bottom"/>
          </w:tcPr>
          <w:p w14:paraId="77A4FEFC" w14:textId="38403B5F" w:rsidR="00970ABE" w:rsidRDefault="00970AB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2F1B78AD"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42E3D6ED" w14:textId="321045DF"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633 Pomoći proračunu </w:t>
            </w:r>
            <w:r w:rsidR="00DC5ABB">
              <w:rPr>
                <w:rFonts w:ascii="Arial" w:eastAsia="Times New Roman" w:hAnsi="Arial" w:cs="Arial"/>
                <w:sz w:val="20"/>
                <w:szCs w:val="20"/>
                <w:lang w:eastAsia="hr-HR"/>
              </w:rPr>
              <w:t xml:space="preserve">i izvanproračunskim korisnicima </w:t>
            </w:r>
            <w:r w:rsidRPr="006B06B9">
              <w:rPr>
                <w:rFonts w:ascii="Arial" w:eastAsia="Times New Roman" w:hAnsi="Arial" w:cs="Arial"/>
                <w:sz w:val="20"/>
                <w:szCs w:val="20"/>
                <w:lang w:eastAsia="hr-HR"/>
              </w:rPr>
              <w:t>iz drugih proračuna</w:t>
            </w:r>
          </w:p>
        </w:tc>
        <w:tc>
          <w:tcPr>
            <w:tcW w:w="1496" w:type="dxa"/>
            <w:tcBorders>
              <w:top w:val="nil"/>
              <w:left w:val="nil"/>
              <w:bottom w:val="single" w:sz="4" w:space="0" w:color="auto"/>
              <w:right w:val="single" w:sz="4" w:space="0" w:color="auto"/>
            </w:tcBorders>
            <w:noWrap/>
            <w:vAlign w:val="bottom"/>
          </w:tcPr>
          <w:p w14:paraId="39B90921" w14:textId="59D18C94" w:rsidR="007242BD" w:rsidRPr="006B06B9" w:rsidRDefault="006C671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1.179.784,41</w:t>
            </w:r>
          </w:p>
        </w:tc>
        <w:tc>
          <w:tcPr>
            <w:tcW w:w="1506" w:type="dxa"/>
            <w:tcBorders>
              <w:top w:val="nil"/>
              <w:left w:val="nil"/>
              <w:bottom w:val="single" w:sz="4" w:space="0" w:color="auto"/>
              <w:right w:val="single" w:sz="4" w:space="0" w:color="auto"/>
            </w:tcBorders>
            <w:noWrap/>
            <w:vAlign w:val="bottom"/>
          </w:tcPr>
          <w:p w14:paraId="0AA01853" w14:textId="3396F530"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064CBD39"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3AD1D9C1" w14:textId="5183493F" w:rsidR="007242BD" w:rsidRPr="006B06B9" w:rsidRDefault="006C671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978.724,00</w:t>
            </w:r>
          </w:p>
        </w:tc>
        <w:tc>
          <w:tcPr>
            <w:tcW w:w="1117" w:type="dxa"/>
            <w:tcBorders>
              <w:top w:val="nil"/>
              <w:left w:val="nil"/>
              <w:bottom w:val="single" w:sz="4" w:space="0" w:color="auto"/>
              <w:right w:val="single" w:sz="4" w:space="0" w:color="auto"/>
            </w:tcBorders>
            <w:noWrap/>
            <w:vAlign w:val="bottom"/>
          </w:tcPr>
          <w:p w14:paraId="1F9BA465" w14:textId="2F224664" w:rsidR="007242BD" w:rsidRPr="006B06B9" w:rsidRDefault="00DC5ABB"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82,96</w:t>
            </w:r>
            <w:r w:rsidR="00970ABE">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30FE8405" w14:textId="38BED63D" w:rsidR="007242BD" w:rsidRPr="006B06B9" w:rsidRDefault="0006038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5AC481CB"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4BF15BEA" w14:textId="51390395"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6331 Tekuće pomoći proračunu</w:t>
            </w:r>
            <w:r w:rsidR="00DC5ABB">
              <w:rPr>
                <w:rFonts w:ascii="Arial" w:eastAsia="Times New Roman" w:hAnsi="Arial" w:cs="Arial"/>
                <w:sz w:val="20"/>
                <w:szCs w:val="20"/>
                <w:lang w:eastAsia="hr-HR"/>
              </w:rPr>
              <w:t xml:space="preserve"> i izvanproračunskim korisnicima</w:t>
            </w:r>
            <w:r w:rsidRPr="006B06B9">
              <w:rPr>
                <w:rFonts w:ascii="Arial" w:eastAsia="Times New Roman" w:hAnsi="Arial" w:cs="Arial"/>
                <w:sz w:val="20"/>
                <w:szCs w:val="20"/>
                <w:lang w:eastAsia="hr-HR"/>
              </w:rPr>
              <w:t xml:space="preserve"> iz drugih proračuna</w:t>
            </w:r>
          </w:p>
        </w:tc>
        <w:tc>
          <w:tcPr>
            <w:tcW w:w="1496" w:type="dxa"/>
            <w:tcBorders>
              <w:top w:val="nil"/>
              <w:left w:val="nil"/>
              <w:bottom w:val="single" w:sz="4" w:space="0" w:color="auto"/>
              <w:right w:val="single" w:sz="4" w:space="0" w:color="auto"/>
            </w:tcBorders>
            <w:noWrap/>
            <w:vAlign w:val="bottom"/>
          </w:tcPr>
          <w:p w14:paraId="055FFC66" w14:textId="658F49EB" w:rsidR="007242BD" w:rsidRPr="006B06B9" w:rsidRDefault="006C671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750.916,77</w:t>
            </w:r>
          </w:p>
        </w:tc>
        <w:tc>
          <w:tcPr>
            <w:tcW w:w="1506" w:type="dxa"/>
            <w:tcBorders>
              <w:top w:val="nil"/>
              <w:left w:val="nil"/>
              <w:bottom w:val="single" w:sz="4" w:space="0" w:color="auto"/>
              <w:right w:val="single" w:sz="4" w:space="0" w:color="auto"/>
            </w:tcBorders>
            <w:noWrap/>
            <w:vAlign w:val="bottom"/>
          </w:tcPr>
          <w:p w14:paraId="4E62871B" w14:textId="37D80991"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34C33384"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34E5FD89" w14:textId="69E4C205" w:rsidR="007242BD" w:rsidRPr="006B06B9" w:rsidRDefault="006C671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560.724,00</w:t>
            </w:r>
          </w:p>
        </w:tc>
        <w:tc>
          <w:tcPr>
            <w:tcW w:w="1117" w:type="dxa"/>
            <w:tcBorders>
              <w:top w:val="nil"/>
              <w:left w:val="nil"/>
              <w:bottom w:val="single" w:sz="4" w:space="0" w:color="auto"/>
              <w:right w:val="single" w:sz="4" w:space="0" w:color="auto"/>
            </w:tcBorders>
            <w:noWrap/>
            <w:vAlign w:val="bottom"/>
          </w:tcPr>
          <w:p w14:paraId="763C4BBB" w14:textId="624C2F0F" w:rsidR="007242BD" w:rsidRPr="006B06B9" w:rsidRDefault="006C671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74,67</w:t>
            </w:r>
            <w:r w:rsidR="00970ABE">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02323268" w14:textId="16713BC7" w:rsidR="007242BD" w:rsidRPr="006B06B9" w:rsidRDefault="0006038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566E9762"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3FB42390" w14:textId="44E716D4"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lastRenderedPageBreak/>
              <w:t xml:space="preserve">6332 Kapitalne pomoći proračunu </w:t>
            </w:r>
            <w:r w:rsidR="00DC5ABB">
              <w:rPr>
                <w:rFonts w:ascii="Arial" w:eastAsia="Times New Roman" w:hAnsi="Arial" w:cs="Arial"/>
                <w:sz w:val="20"/>
                <w:szCs w:val="20"/>
                <w:lang w:eastAsia="hr-HR"/>
              </w:rPr>
              <w:t xml:space="preserve">i izvanproračunskim korisnicima </w:t>
            </w:r>
            <w:r w:rsidRPr="006B06B9">
              <w:rPr>
                <w:rFonts w:ascii="Arial" w:eastAsia="Times New Roman" w:hAnsi="Arial" w:cs="Arial"/>
                <w:sz w:val="20"/>
                <w:szCs w:val="20"/>
                <w:lang w:eastAsia="hr-HR"/>
              </w:rPr>
              <w:t>iz drugih proračuna</w:t>
            </w:r>
          </w:p>
        </w:tc>
        <w:tc>
          <w:tcPr>
            <w:tcW w:w="1496" w:type="dxa"/>
            <w:tcBorders>
              <w:top w:val="nil"/>
              <w:left w:val="nil"/>
              <w:bottom w:val="single" w:sz="4" w:space="0" w:color="auto"/>
              <w:right w:val="single" w:sz="4" w:space="0" w:color="auto"/>
            </w:tcBorders>
            <w:noWrap/>
            <w:vAlign w:val="bottom"/>
          </w:tcPr>
          <w:p w14:paraId="7CC51B7B" w14:textId="0C73282B" w:rsidR="007242BD" w:rsidRPr="006B06B9" w:rsidRDefault="006C671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428.867,64</w:t>
            </w:r>
          </w:p>
        </w:tc>
        <w:tc>
          <w:tcPr>
            <w:tcW w:w="1506" w:type="dxa"/>
            <w:tcBorders>
              <w:top w:val="nil"/>
              <w:left w:val="nil"/>
              <w:bottom w:val="single" w:sz="4" w:space="0" w:color="auto"/>
              <w:right w:val="single" w:sz="4" w:space="0" w:color="auto"/>
            </w:tcBorders>
            <w:noWrap/>
            <w:vAlign w:val="bottom"/>
          </w:tcPr>
          <w:p w14:paraId="30BC4B86" w14:textId="2F89096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6379F511"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42AA27AD" w14:textId="2DA646D0" w:rsidR="007242BD" w:rsidRPr="006B06B9" w:rsidRDefault="006C671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418.000,00</w:t>
            </w:r>
          </w:p>
        </w:tc>
        <w:tc>
          <w:tcPr>
            <w:tcW w:w="1117" w:type="dxa"/>
            <w:tcBorders>
              <w:top w:val="nil"/>
              <w:left w:val="nil"/>
              <w:bottom w:val="single" w:sz="4" w:space="0" w:color="auto"/>
              <w:right w:val="single" w:sz="4" w:space="0" w:color="auto"/>
            </w:tcBorders>
            <w:noWrap/>
            <w:vAlign w:val="bottom"/>
          </w:tcPr>
          <w:p w14:paraId="14C0E314" w14:textId="5C876DD8" w:rsidR="007242BD" w:rsidRPr="006B06B9" w:rsidRDefault="00DC5ABB"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97,47</w:t>
            </w:r>
            <w:r w:rsidR="00970ABE">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46D437D4" w14:textId="58880D56" w:rsidR="007242BD" w:rsidRPr="006B06B9" w:rsidRDefault="0006038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65F816E8"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6BB25C7F"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634 Pomoći od izvanproračunskih korisnika</w:t>
            </w:r>
          </w:p>
        </w:tc>
        <w:tc>
          <w:tcPr>
            <w:tcW w:w="1496" w:type="dxa"/>
            <w:tcBorders>
              <w:top w:val="nil"/>
              <w:left w:val="nil"/>
              <w:bottom w:val="single" w:sz="4" w:space="0" w:color="auto"/>
              <w:right w:val="single" w:sz="4" w:space="0" w:color="auto"/>
            </w:tcBorders>
            <w:noWrap/>
            <w:vAlign w:val="bottom"/>
          </w:tcPr>
          <w:p w14:paraId="3493626F" w14:textId="1996027F" w:rsidR="007242BD" w:rsidRPr="006B06B9" w:rsidRDefault="006C671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40.179,54</w:t>
            </w:r>
          </w:p>
        </w:tc>
        <w:tc>
          <w:tcPr>
            <w:tcW w:w="1506" w:type="dxa"/>
            <w:tcBorders>
              <w:top w:val="nil"/>
              <w:left w:val="nil"/>
              <w:bottom w:val="single" w:sz="4" w:space="0" w:color="auto"/>
              <w:right w:val="single" w:sz="4" w:space="0" w:color="auto"/>
            </w:tcBorders>
            <w:noWrap/>
            <w:vAlign w:val="bottom"/>
          </w:tcPr>
          <w:p w14:paraId="1533FE30" w14:textId="422A0850"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2857B708"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06AB4451" w14:textId="0B0D2BF1" w:rsidR="007242BD" w:rsidRPr="006B06B9" w:rsidRDefault="006C671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252.041,89</w:t>
            </w:r>
          </w:p>
        </w:tc>
        <w:tc>
          <w:tcPr>
            <w:tcW w:w="1117" w:type="dxa"/>
            <w:tcBorders>
              <w:top w:val="nil"/>
              <w:left w:val="nil"/>
              <w:bottom w:val="single" w:sz="4" w:space="0" w:color="auto"/>
              <w:right w:val="single" w:sz="4" w:space="0" w:color="auto"/>
            </w:tcBorders>
            <w:noWrap/>
            <w:vAlign w:val="bottom"/>
          </w:tcPr>
          <w:p w14:paraId="736898D6" w14:textId="63E1CF44" w:rsidR="007242BD" w:rsidRPr="006B06B9" w:rsidRDefault="00DC5ABB"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627,29</w:t>
            </w:r>
            <w:r w:rsidR="00970ABE">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0EBC398A" w14:textId="34EF6FC4" w:rsidR="007242BD" w:rsidRPr="006B06B9" w:rsidRDefault="0006038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4323B76A"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7993AFD3"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6341 Tekuće pomoći od izvanproračunskih korisnika</w:t>
            </w:r>
          </w:p>
        </w:tc>
        <w:tc>
          <w:tcPr>
            <w:tcW w:w="1496" w:type="dxa"/>
            <w:tcBorders>
              <w:top w:val="nil"/>
              <w:left w:val="nil"/>
              <w:bottom w:val="single" w:sz="4" w:space="0" w:color="auto"/>
              <w:right w:val="single" w:sz="4" w:space="0" w:color="auto"/>
            </w:tcBorders>
            <w:noWrap/>
            <w:vAlign w:val="bottom"/>
          </w:tcPr>
          <w:p w14:paraId="31CD20EC" w14:textId="684156AC" w:rsidR="007242BD" w:rsidRPr="006B06B9" w:rsidRDefault="006C671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15.134,75</w:t>
            </w:r>
          </w:p>
        </w:tc>
        <w:tc>
          <w:tcPr>
            <w:tcW w:w="1506" w:type="dxa"/>
            <w:tcBorders>
              <w:top w:val="nil"/>
              <w:left w:val="nil"/>
              <w:bottom w:val="single" w:sz="4" w:space="0" w:color="auto"/>
              <w:right w:val="single" w:sz="4" w:space="0" w:color="auto"/>
            </w:tcBorders>
            <w:noWrap/>
            <w:vAlign w:val="bottom"/>
          </w:tcPr>
          <w:p w14:paraId="2574CD89" w14:textId="44CB4EE3"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7B872D41"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0CFDC568" w14:textId="58AC2398" w:rsidR="007242BD" w:rsidRPr="006B06B9" w:rsidRDefault="006C671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13.750,00</w:t>
            </w:r>
          </w:p>
        </w:tc>
        <w:tc>
          <w:tcPr>
            <w:tcW w:w="1117" w:type="dxa"/>
            <w:tcBorders>
              <w:top w:val="nil"/>
              <w:left w:val="nil"/>
              <w:bottom w:val="single" w:sz="4" w:space="0" w:color="auto"/>
              <w:right w:val="single" w:sz="4" w:space="0" w:color="auto"/>
            </w:tcBorders>
            <w:noWrap/>
            <w:vAlign w:val="bottom"/>
          </w:tcPr>
          <w:p w14:paraId="7E8AE8F0" w14:textId="428027C0" w:rsidR="007242BD" w:rsidRPr="006B06B9" w:rsidRDefault="00DC5ABB"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90,85</w:t>
            </w:r>
            <w:r w:rsidR="00970ABE">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32174E4D" w14:textId="669A7480" w:rsidR="007242BD" w:rsidRPr="006B06B9" w:rsidRDefault="0006038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383FFDEE"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4C40365F"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6342 Kapitalne pomoći od izvanproračunskih korisnika</w:t>
            </w:r>
          </w:p>
        </w:tc>
        <w:tc>
          <w:tcPr>
            <w:tcW w:w="1496" w:type="dxa"/>
            <w:tcBorders>
              <w:top w:val="nil"/>
              <w:left w:val="nil"/>
              <w:bottom w:val="single" w:sz="4" w:space="0" w:color="auto"/>
              <w:right w:val="single" w:sz="4" w:space="0" w:color="auto"/>
            </w:tcBorders>
            <w:noWrap/>
            <w:vAlign w:val="bottom"/>
          </w:tcPr>
          <w:p w14:paraId="5672C4AF" w14:textId="182AF8A2" w:rsidR="007242BD" w:rsidRPr="006B06B9" w:rsidRDefault="006C671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25.044,79</w:t>
            </w:r>
          </w:p>
        </w:tc>
        <w:tc>
          <w:tcPr>
            <w:tcW w:w="1506" w:type="dxa"/>
            <w:tcBorders>
              <w:top w:val="nil"/>
              <w:left w:val="nil"/>
              <w:bottom w:val="single" w:sz="4" w:space="0" w:color="auto"/>
              <w:right w:val="single" w:sz="4" w:space="0" w:color="auto"/>
            </w:tcBorders>
            <w:noWrap/>
            <w:vAlign w:val="bottom"/>
          </w:tcPr>
          <w:p w14:paraId="0BF0562D" w14:textId="2A0E5FE6"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306D6F5D"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1E26C5B4" w14:textId="23021C40" w:rsidR="007242BD" w:rsidRPr="006B06B9" w:rsidRDefault="006C671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238.291,89</w:t>
            </w:r>
          </w:p>
        </w:tc>
        <w:tc>
          <w:tcPr>
            <w:tcW w:w="1117" w:type="dxa"/>
            <w:tcBorders>
              <w:top w:val="nil"/>
              <w:left w:val="nil"/>
              <w:bottom w:val="single" w:sz="4" w:space="0" w:color="auto"/>
              <w:right w:val="single" w:sz="4" w:space="0" w:color="auto"/>
            </w:tcBorders>
            <w:noWrap/>
            <w:vAlign w:val="bottom"/>
          </w:tcPr>
          <w:p w14:paraId="507B5D8F" w14:textId="122C2BB7" w:rsidR="007242BD" w:rsidRPr="006B06B9" w:rsidRDefault="006C671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951,46</w:t>
            </w:r>
            <w:r w:rsidR="00970ABE">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27C1289E" w14:textId="2EC47227" w:rsidR="007242BD" w:rsidRPr="006B06B9" w:rsidRDefault="0006038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6440372C"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09FD66B6" w14:textId="0A380046"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635 Pomoći izravnanja za decentralizirane funkcije</w:t>
            </w:r>
            <w:r w:rsidR="00357173">
              <w:rPr>
                <w:rFonts w:ascii="Arial" w:eastAsia="Times New Roman" w:hAnsi="Arial" w:cs="Arial"/>
                <w:sz w:val="20"/>
                <w:szCs w:val="20"/>
                <w:lang w:eastAsia="hr-HR"/>
              </w:rPr>
              <w:t xml:space="preserve"> i fiskalnog izravnanja</w:t>
            </w:r>
          </w:p>
        </w:tc>
        <w:tc>
          <w:tcPr>
            <w:tcW w:w="1496" w:type="dxa"/>
            <w:tcBorders>
              <w:top w:val="nil"/>
              <w:left w:val="nil"/>
              <w:bottom w:val="single" w:sz="4" w:space="0" w:color="auto"/>
              <w:right w:val="single" w:sz="4" w:space="0" w:color="auto"/>
            </w:tcBorders>
            <w:noWrap/>
            <w:vAlign w:val="bottom"/>
          </w:tcPr>
          <w:p w14:paraId="595A0006" w14:textId="341F9FAA" w:rsidR="007242BD" w:rsidRPr="006B06B9" w:rsidRDefault="006C671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216.011,14</w:t>
            </w:r>
          </w:p>
        </w:tc>
        <w:tc>
          <w:tcPr>
            <w:tcW w:w="1506" w:type="dxa"/>
            <w:tcBorders>
              <w:top w:val="nil"/>
              <w:left w:val="nil"/>
              <w:bottom w:val="single" w:sz="4" w:space="0" w:color="auto"/>
              <w:right w:val="single" w:sz="4" w:space="0" w:color="auto"/>
            </w:tcBorders>
            <w:noWrap/>
            <w:vAlign w:val="bottom"/>
          </w:tcPr>
          <w:p w14:paraId="6CBFD0F3" w14:textId="736A97C3"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0EAC2247"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15BFF443" w14:textId="32FEAA8A" w:rsidR="007242BD" w:rsidRPr="006B06B9" w:rsidRDefault="006C671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447.802,51</w:t>
            </w:r>
          </w:p>
        </w:tc>
        <w:tc>
          <w:tcPr>
            <w:tcW w:w="1117" w:type="dxa"/>
            <w:tcBorders>
              <w:top w:val="nil"/>
              <w:left w:val="nil"/>
              <w:bottom w:val="single" w:sz="4" w:space="0" w:color="auto"/>
              <w:right w:val="single" w:sz="4" w:space="0" w:color="auto"/>
            </w:tcBorders>
            <w:noWrap/>
            <w:vAlign w:val="bottom"/>
          </w:tcPr>
          <w:p w14:paraId="000A7D18" w14:textId="4A7CAA29" w:rsidR="007242BD" w:rsidRPr="006B06B9" w:rsidRDefault="006C671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207,31</w:t>
            </w:r>
            <w:r w:rsidR="00970ABE">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2D6DB186" w14:textId="6057DC72" w:rsidR="007242BD" w:rsidRPr="006B06B9" w:rsidRDefault="0006038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628CF2C7" w14:textId="77777777" w:rsidTr="006C671D">
        <w:trPr>
          <w:trHeight w:val="549"/>
        </w:trPr>
        <w:tc>
          <w:tcPr>
            <w:tcW w:w="3367" w:type="dxa"/>
            <w:tcBorders>
              <w:top w:val="single" w:sz="4" w:space="0" w:color="auto"/>
              <w:left w:val="single" w:sz="4" w:space="0" w:color="auto"/>
              <w:bottom w:val="single" w:sz="4" w:space="0" w:color="auto"/>
              <w:right w:val="single" w:sz="4" w:space="0" w:color="auto"/>
            </w:tcBorders>
            <w:vAlign w:val="bottom"/>
            <w:hideMark/>
          </w:tcPr>
          <w:p w14:paraId="0E918421"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6351 Tekuće pomoći izravnanja za decentralizirane funkcije</w:t>
            </w:r>
          </w:p>
        </w:tc>
        <w:tc>
          <w:tcPr>
            <w:tcW w:w="1496" w:type="dxa"/>
            <w:tcBorders>
              <w:top w:val="nil"/>
              <w:left w:val="nil"/>
              <w:bottom w:val="single" w:sz="4" w:space="0" w:color="auto"/>
              <w:right w:val="single" w:sz="4" w:space="0" w:color="auto"/>
            </w:tcBorders>
            <w:noWrap/>
            <w:vAlign w:val="bottom"/>
          </w:tcPr>
          <w:p w14:paraId="7F86A41A" w14:textId="6DCDA171" w:rsidR="007242BD" w:rsidRPr="006B06B9" w:rsidRDefault="006C671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216.011,14</w:t>
            </w:r>
          </w:p>
        </w:tc>
        <w:tc>
          <w:tcPr>
            <w:tcW w:w="1506" w:type="dxa"/>
            <w:tcBorders>
              <w:top w:val="nil"/>
              <w:left w:val="nil"/>
              <w:bottom w:val="single" w:sz="4" w:space="0" w:color="auto"/>
              <w:right w:val="single" w:sz="4" w:space="0" w:color="auto"/>
            </w:tcBorders>
            <w:noWrap/>
            <w:vAlign w:val="bottom"/>
          </w:tcPr>
          <w:p w14:paraId="6B526989" w14:textId="7F92D9A2"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5FF64A2C"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53A7A2C8" w14:textId="25F4CCD1" w:rsidR="007242BD" w:rsidRPr="006B06B9" w:rsidRDefault="006C671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221.093,34</w:t>
            </w:r>
          </w:p>
        </w:tc>
        <w:tc>
          <w:tcPr>
            <w:tcW w:w="1117" w:type="dxa"/>
            <w:tcBorders>
              <w:top w:val="nil"/>
              <w:left w:val="nil"/>
              <w:bottom w:val="single" w:sz="4" w:space="0" w:color="auto"/>
              <w:right w:val="single" w:sz="4" w:space="0" w:color="auto"/>
            </w:tcBorders>
            <w:noWrap/>
            <w:vAlign w:val="bottom"/>
          </w:tcPr>
          <w:p w14:paraId="611CAFCA" w14:textId="7228AD09" w:rsidR="007242BD" w:rsidRPr="006B06B9" w:rsidRDefault="006C671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102,35</w:t>
            </w:r>
            <w:r w:rsidR="00970ABE">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2490D01F" w14:textId="364DF236" w:rsidR="007242BD" w:rsidRPr="006B06B9" w:rsidRDefault="0006038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6C671D" w:rsidRPr="006B06B9" w14:paraId="2164AEF6" w14:textId="77777777" w:rsidTr="006C671D">
        <w:trPr>
          <w:trHeight w:val="388"/>
        </w:trPr>
        <w:tc>
          <w:tcPr>
            <w:tcW w:w="3367" w:type="dxa"/>
            <w:tcBorders>
              <w:top w:val="single" w:sz="4" w:space="0" w:color="auto"/>
              <w:left w:val="single" w:sz="4" w:space="0" w:color="auto"/>
              <w:bottom w:val="single" w:sz="4" w:space="0" w:color="auto"/>
              <w:right w:val="single" w:sz="4" w:space="0" w:color="auto"/>
            </w:tcBorders>
            <w:vAlign w:val="bottom"/>
          </w:tcPr>
          <w:p w14:paraId="0AA7870C" w14:textId="49648A58" w:rsidR="006C671D" w:rsidRPr="006B06B9" w:rsidRDefault="006C671D" w:rsidP="006B06B9">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 xml:space="preserve">6353 Pomoći fiskalnog izravnanja </w:t>
            </w:r>
          </w:p>
        </w:tc>
        <w:tc>
          <w:tcPr>
            <w:tcW w:w="1496" w:type="dxa"/>
            <w:tcBorders>
              <w:top w:val="nil"/>
              <w:left w:val="nil"/>
              <w:bottom w:val="single" w:sz="4" w:space="0" w:color="auto"/>
              <w:right w:val="single" w:sz="4" w:space="0" w:color="auto"/>
            </w:tcBorders>
            <w:noWrap/>
            <w:vAlign w:val="bottom"/>
          </w:tcPr>
          <w:p w14:paraId="57F486DD" w14:textId="20B1E62F" w:rsidR="006C671D" w:rsidRDefault="006C671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506" w:type="dxa"/>
            <w:tcBorders>
              <w:top w:val="nil"/>
              <w:left w:val="nil"/>
              <w:bottom w:val="single" w:sz="4" w:space="0" w:color="auto"/>
              <w:right w:val="single" w:sz="4" w:space="0" w:color="auto"/>
            </w:tcBorders>
            <w:noWrap/>
            <w:vAlign w:val="bottom"/>
          </w:tcPr>
          <w:p w14:paraId="5AE6AC44" w14:textId="77777777" w:rsidR="006C671D" w:rsidRPr="006B06B9" w:rsidRDefault="006C671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5E6BA0B1" w14:textId="77777777" w:rsidR="006C671D" w:rsidRPr="006B06B9" w:rsidRDefault="006C671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62008708" w14:textId="731D8EB8" w:rsidR="006C671D" w:rsidRDefault="006C671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226.709,17</w:t>
            </w:r>
          </w:p>
        </w:tc>
        <w:tc>
          <w:tcPr>
            <w:tcW w:w="1117" w:type="dxa"/>
            <w:tcBorders>
              <w:top w:val="nil"/>
              <w:left w:val="nil"/>
              <w:bottom w:val="single" w:sz="4" w:space="0" w:color="auto"/>
              <w:right w:val="single" w:sz="4" w:space="0" w:color="auto"/>
            </w:tcBorders>
            <w:noWrap/>
            <w:vAlign w:val="bottom"/>
          </w:tcPr>
          <w:p w14:paraId="49492ADA" w14:textId="12D89972" w:rsidR="006C671D" w:rsidRDefault="00DC5ABB"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16FDCB15" w14:textId="2BBF91CB" w:rsidR="006C671D" w:rsidRDefault="006C671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59061B9B" w14:textId="77777777" w:rsidTr="006C671D">
        <w:trPr>
          <w:trHeight w:val="534"/>
        </w:trPr>
        <w:tc>
          <w:tcPr>
            <w:tcW w:w="3367" w:type="dxa"/>
            <w:tcBorders>
              <w:top w:val="single" w:sz="4" w:space="0" w:color="auto"/>
              <w:left w:val="single" w:sz="4" w:space="0" w:color="auto"/>
              <w:bottom w:val="single" w:sz="4" w:space="0" w:color="auto"/>
              <w:right w:val="single" w:sz="4" w:space="0" w:color="auto"/>
            </w:tcBorders>
            <w:vAlign w:val="bottom"/>
            <w:hideMark/>
          </w:tcPr>
          <w:p w14:paraId="544A9B00"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636 Pomoći proračunskim korisnicima iz proračuna koji im nije nadležan </w:t>
            </w:r>
          </w:p>
        </w:tc>
        <w:tc>
          <w:tcPr>
            <w:tcW w:w="1496" w:type="dxa"/>
            <w:tcBorders>
              <w:top w:val="nil"/>
              <w:left w:val="nil"/>
              <w:bottom w:val="single" w:sz="4" w:space="0" w:color="auto"/>
              <w:right w:val="single" w:sz="4" w:space="0" w:color="auto"/>
            </w:tcBorders>
            <w:noWrap/>
            <w:vAlign w:val="bottom"/>
          </w:tcPr>
          <w:p w14:paraId="4D293F9E" w14:textId="29005A8B" w:rsidR="007242BD" w:rsidRPr="006B06B9" w:rsidRDefault="006C671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81.589,82</w:t>
            </w:r>
          </w:p>
        </w:tc>
        <w:tc>
          <w:tcPr>
            <w:tcW w:w="1506" w:type="dxa"/>
            <w:tcBorders>
              <w:top w:val="nil"/>
              <w:left w:val="nil"/>
              <w:bottom w:val="single" w:sz="4" w:space="0" w:color="auto"/>
              <w:right w:val="single" w:sz="4" w:space="0" w:color="auto"/>
            </w:tcBorders>
            <w:noWrap/>
            <w:vAlign w:val="bottom"/>
          </w:tcPr>
          <w:p w14:paraId="427A6A76" w14:textId="06C1E962"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36CB19E9"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6D531771" w14:textId="531344E1" w:rsidR="007242BD" w:rsidRPr="006B06B9" w:rsidRDefault="006C671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94.444,33</w:t>
            </w:r>
          </w:p>
        </w:tc>
        <w:tc>
          <w:tcPr>
            <w:tcW w:w="1117" w:type="dxa"/>
            <w:tcBorders>
              <w:top w:val="nil"/>
              <w:left w:val="nil"/>
              <w:bottom w:val="single" w:sz="4" w:space="0" w:color="auto"/>
              <w:right w:val="single" w:sz="4" w:space="0" w:color="auto"/>
            </w:tcBorders>
            <w:noWrap/>
            <w:vAlign w:val="bottom"/>
          </w:tcPr>
          <w:p w14:paraId="27B73D71" w14:textId="39071D0C"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115,76</w:t>
            </w:r>
            <w:r w:rsidR="00970ABE">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3BBCE767" w14:textId="4255AEFF" w:rsidR="007242BD" w:rsidRPr="006B06B9" w:rsidRDefault="0006038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4D6D991E" w14:textId="77777777" w:rsidTr="006C671D">
        <w:trPr>
          <w:trHeight w:val="549"/>
        </w:trPr>
        <w:tc>
          <w:tcPr>
            <w:tcW w:w="3367" w:type="dxa"/>
            <w:tcBorders>
              <w:top w:val="single" w:sz="4" w:space="0" w:color="auto"/>
              <w:left w:val="single" w:sz="4" w:space="0" w:color="auto"/>
              <w:bottom w:val="single" w:sz="4" w:space="0" w:color="auto"/>
              <w:right w:val="single" w:sz="4" w:space="0" w:color="auto"/>
            </w:tcBorders>
            <w:vAlign w:val="bottom"/>
            <w:hideMark/>
          </w:tcPr>
          <w:p w14:paraId="5A5DE432"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6361 Tekuće pomoći proračunskim korisnicima iz proračuna koji im nije nadležan </w:t>
            </w:r>
          </w:p>
        </w:tc>
        <w:tc>
          <w:tcPr>
            <w:tcW w:w="1496" w:type="dxa"/>
            <w:tcBorders>
              <w:top w:val="nil"/>
              <w:left w:val="nil"/>
              <w:bottom w:val="single" w:sz="4" w:space="0" w:color="auto"/>
              <w:right w:val="single" w:sz="4" w:space="0" w:color="auto"/>
            </w:tcBorders>
            <w:noWrap/>
            <w:vAlign w:val="bottom"/>
          </w:tcPr>
          <w:p w14:paraId="5F0838AA" w14:textId="0FC9C702"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81.589,82</w:t>
            </w:r>
          </w:p>
        </w:tc>
        <w:tc>
          <w:tcPr>
            <w:tcW w:w="1506" w:type="dxa"/>
            <w:tcBorders>
              <w:top w:val="nil"/>
              <w:left w:val="nil"/>
              <w:bottom w:val="single" w:sz="4" w:space="0" w:color="auto"/>
              <w:right w:val="single" w:sz="4" w:space="0" w:color="auto"/>
            </w:tcBorders>
            <w:noWrap/>
            <w:vAlign w:val="bottom"/>
          </w:tcPr>
          <w:p w14:paraId="5972BE2E" w14:textId="185B90D3"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314672AB"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21F6BE2F" w14:textId="0F7D14C4"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81.644,33</w:t>
            </w:r>
          </w:p>
        </w:tc>
        <w:tc>
          <w:tcPr>
            <w:tcW w:w="1117" w:type="dxa"/>
            <w:tcBorders>
              <w:top w:val="nil"/>
              <w:left w:val="nil"/>
              <w:bottom w:val="single" w:sz="4" w:space="0" w:color="auto"/>
              <w:right w:val="single" w:sz="4" w:space="0" w:color="auto"/>
            </w:tcBorders>
            <w:noWrap/>
            <w:vAlign w:val="bottom"/>
          </w:tcPr>
          <w:p w14:paraId="11EAD1E4" w14:textId="1D5489AB"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100,07</w:t>
            </w:r>
            <w:r w:rsidR="00970ABE">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7882CFDF" w14:textId="068DF2C1" w:rsidR="007242BD" w:rsidRPr="006B06B9" w:rsidRDefault="0006038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75C7E152" w14:textId="77777777" w:rsidTr="006C671D">
        <w:trPr>
          <w:trHeight w:val="519"/>
        </w:trPr>
        <w:tc>
          <w:tcPr>
            <w:tcW w:w="3367" w:type="dxa"/>
            <w:tcBorders>
              <w:top w:val="single" w:sz="4" w:space="0" w:color="auto"/>
              <w:left w:val="single" w:sz="4" w:space="0" w:color="auto"/>
              <w:bottom w:val="single" w:sz="4" w:space="0" w:color="auto"/>
              <w:right w:val="single" w:sz="4" w:space="0" w:color="auto"/>
            </w:tcBorders>
            <w:vAlign w:val="bottom"/>
            <w:hideMark/>
          </w:tcPr>
          <w:p w14:paraId="0097FE87"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6362 Kapitalne pomoći proračunskim korisnicima iz proračuna koji im nije nadležan </w:t>
            </w:r>
          </w:p>
        </w:tc>
        <w:tc>
          <w:tcPr>
            <w:tcW w:w="1496" w:type="dxa"/>
            <w:tcBorders>
              <w:top w:val="nil"/>
              <w:left w:val="nil"/>
              <w:bottom w:val="single" w:sz="4" w:space="0" w:color="auto"/>
              <w:right w:val="single" w:sz="4" w:space="0" w:color="auto"/>
            </w:tcBorders>
            <w:noWrap/>
            <w:vAlign w:val="bottom"/>
          </w:tcPr>
          <w:p w14:paraId="620C205C" w14:textId="006BB1CD"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506" w:type="dxa"/>
            <w:tcBorders>
              <w:top w:val="nil"/>
              <w:left w:val="nil"/>
              <w:bottom w:val="single" w:sz="4" w:space="0" w:color="auto"/>
              <w:right w:val="single" w:sz="4" w:space="0" w:color="auto"/>
            </w:tcBorders>
            <w:noWrap/>
            <w:vAlign w:val="bottom"/>
          </w:tcPr>
          <w:p w14:paraId="064266C8" w14:textId="007C2BB9"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6B8D4937"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3C6DC12D" w14:textId="5B3D0160"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12.80</w:t>
            </w:r>
            <w:r w:rsidR="00970ABE">
              <w:rPr>
                <w:rFonts w:ascii="Arial" w:eastAsia="Times New Roman" w:hAnsi="Arial" w:cs="Arial"/>
                <w:sz w:val="20"/>
                <w:szCs w:val="20"/>
                <w:lang w:eastAsia="hr-HR"/>
              </w:rPr>
              <w:t>0,00</w:t>
            </w:r>
          </w:p>
        </w:tc>
        <w:tc>
          <w:tcPr>
            <w:tcW w:w="1117" w:type="dxa"/>
            <w:tcBorders>
              <w:top w:val="nil"/>
              <w:left w:val="nil"/>
              <w:bottom w:val="single" w:sz="4" w:space="0" w:color="auto"/>
              <w:right w:val="single" w:sz="4" w:space="0" w:color="auto"/>
            </w:tcBorders>
            <w:noWrap/>
            <w:vAlign w:val="bottom"/>
          </w:tcPr>
          <w:p w14:paraId="5998AFDE" w14:textId="297858CF"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006" w:type="dxa"/>
            <w:tcBorders>
              <w:top w:val="nil"/>
              <w:left w:val="nil"/>
              <w:bottom w:val="single" w:sz="4" w:space="0" w:color="auto"/>
              <w:right w:val="single" w:sz="4" w:space="0" w:color="auto"/>
            </w:tcBorders>
            <w:noWrap/>
            <w:vAlign w:val="bottom"/>
          </w:tcPr>
          <w:p w14:paraId="519FAD4A" w14:textId="0C9F40E4" w:rsidR="007242BD" w:rsidRPr="006B06B9" w:rsidRDefault="0006038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4CC3DA44" w14:textId="77777777" w:rsidTr="006C671D">
        <w:trPr>
          <w:trHeight w:val="519"/>
        </w:trPr>
        <w:tc>
          <w:tcPr>
            <w:tcW w:w="3367" w:type="dxa"/>
            <w:tcBorders>
              <w:top w:val="single" w:sz="4" w:space="0" w:color="auto"/>
              <w:left w:val="single" w:sz="4" w:space="0" w:color="auto"/>
              <w:bottom w:val="single" w:sz="4" w:space="0" w:color="auto"/>
              <w:right w:val="single" w:sz="4" w:space="0" w:color="auto"/>
            </w:tcBorders>
            <w:vAlign w:val="bottom"/>
            <w:hideMark/>
          </w:tcPr>
          <w:p w14:paraId="101C0725" w14:textId="1A83609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638 Pomoći temeljem prijenosa EU sredstava</w:t>
            </w:r>
          </w:p>
        </w:tc>
        <w:tc>
          <w:tcPr>
            <w:tcW w:w="1496" w:type="dxa"/>
            <w:tcBorders>
              <w:top w:val="nil"/>
              <w:left w:val="nil"/>
              <w:bottom w:val="single" w:sz="4" w:space="0" w:color="auto"/>
              <w:right w:val="single" w:sz="4" w:space="0" w:color="auto"/>
            </w:tcBorders>
            <w:noWrap/>
            <w:vAlign w:val="bottom"/>
          </w:tcPr>
          <w:p w14:paraId="1E4ACFC4" w14:textId="5CC78719"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72.712,87</w:t>
            </w:r>
          </w:p>
        </w:tc>
        <w:tc>
          <w:tcPr>
            <w:tcW w:w="1506" w:type="dxa"/>
            <w:tcBorders>
              <w:top w:val="nil"/>
              <w:left w:val="nil"/>
              <w:bottom w:val="single" w:sz="4" w:space="0" w:color="auto"/>
              <w:right w:val="single" w:sz="4" w:space="0" w:color="auto"/>
            </w:tcBorders>
            <w:noWrap/>
            <w:vAlign w:val="bottom"/>
          </w:tcPr>
          <w:p w14:paraId="371143F5" w14:textId="6916835A"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4C496811"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2C68D8DC" w14:textId="27B63840"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31.405,62</w:t>
            </w:r>
          </w:p>
        </w:tc>
        <w:tc>
          <w:tcPr>
            <w:tcW w:w="1117" w:type="dxa"/>
            <w:tcBorders>
              <w:top w:val="nil"/>
              <w:left w:val="nil"/>
              <w:bottom w:val="single" w:sz="4" w:space="0" w:color="auto"/>
              <w:right w:val="single" w:sz="4" w:space="0" w:color="auto"/>
            </w:tcBorders>
            <w:noWrap/>
            <w:vAlign w:val="bottom"/>
          </w:tcPr>
          <w:p w14:paraId="4D543501" w14:textId="54EEE748"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43,19</w:t>
            </w:r>
            <w:r w:rsidR="00970ABE">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32825356" w14:textId="2453825A" w:rsidR="007242BD" w:rsidRPr="006B06B9" w:rsidRDefault="0006038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66FD2B90" w14:textId="77777777" w:rsidTr="006C671D">
        <w:trPr>
          <w:trHeight w:val="578"/>
        </w:trPr>
        <w:tc>
          <w:tcPr>
            <w:tcW w:w="3367" w:type="dxa"/>
            <w:tcBorders>
              <w:top w:val="single" w:sz="4" w:space="0" w:color="auto"/>
              <w:left w:val="single" w:sz="4" w:space="0" w:color="auto"/>
              <w:bottom w:val="single" w:sz="4" w:space="0" w:color="auto"/>
              <w:right w:val="single" w:sz="4" w:space="0" w:color="auto"/>
            </w:tcBorders>
            <w:vAlign w:val="bottom"/>
            <w:hideMark/>
          </w:tcPr>
          <w:p w14:paraId="5C72561D" w14:textId="1F35818A"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6382 Kapitalne </w:t>
            </w:r>
            <w:r w:rsidR="00DC5ABB">
              <w:rPr>
                <w:rFonts w:ascii="Arial" w:eastAsia="Times New Roman" w:hAnsi="Arial" w:cs="Arial"/>
                <w:sz w:val="20"/>
                <w:szCs w:val="20"/>
                <w:lang w:eastAsia="hr-HR"/>
              </w:rPr>
              <w:t xml:space="preserve">pomoći </w:t>
            </w:r>
            <w:r w:rsidRPr="006B06B9">
              <w:rPr>
                <w:rFonts w:ascii="Arial" w:eastAsia="Times New Roman" w:hAnsi="Arial" w:cs="Arial"/>
                <w:sz w:val="20"/>
                <w:szCs w:val="20"/>
                <w:lang w:eastAsia="hr-HR"/>
              </w:rPr>
              <w:t>temeljem prijenosa EU sredstava</w:t>
            </w:r>
          </w:p>
        </w:tc>
        <w:tc>
          <w:tcPr>
            <w:tcW w:w="1496" w:type="dxa"/>
            <w:tcBorders>
              <w:top w:val="nil"/>
              <w:left w:val="nil"/>
              <w:bottom w:val="single" w:sz="4" w:space="0" w:color="auto"/>
              <w:right w:val="single" w:sz="4" w:space="0" w:color="auto"/>
            </w:tcBorders>
            <w:noWrap/>
            <w:vAlign w:val="bottom"/>
          </w:tcPr>
          <w:p w14:paraId="295E88A7" w14:textId="51E04A66"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72.712,87</w:t>
            </w:r>
          </w:p>
        </w:tc>
        <w:tc>
          <w:tcPr>
            <w:tcW w:w="1506" w:type="dxa"/>
            <w:tcBorders>
              <w:top w:val="nil"/>
              <w:left w:val="nil"/>
              <w:bottom w:val="single" w:sz="4" w:space="0" w:color="auto"/>
              <w:right w:val="single" w:sz="4" w:space="0" w:color="auto"/>
            </w:tcBorders>
            <w:noWrap/>
            <w:vAlign w:val="bottom"/>
          </w:tcPr>
          <w:p w14:paraId="2AAD3AA6" w14:textId="01C7C765"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3AFE6CAF"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52AFACD3" w14:textId="3C1BD83F"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31.405,62</w:t>
            </w:r>
          </w:p>
        </w:tc>
        <w:tc>
          <w:tcPr>
            <w:tcW w:w="1117" w:type="dxa"/>
            <w:tcBorders>
              <w:top w:val="nil"/>
              <w:left w:val="nil"/>
              <w:bottom w:val="single" w:sz="4" w:space="0" w:color="auto"/>
              <w:right w:val="single" w:sz="4" w:space="0" w:color="auto"/>
            </w:tcBorders>
            <w:noWrap/>
            <w:vAlign w:val="bottom"/>
          </w:tcPr>
          <w:p w14:paraId="3885EF2C" w14:textId="33B3F020"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43,19</w:t>
            </w:r>
            <w:r w:rsidR="00970ABE">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053540A2" w14:textId="298F3B23" w:rsidR="007242BD" w:rsidRPr="006B06B9" w:rsidRDefault="0006038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4FF220B9"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197D33AB" w14:textId="77777777" w:rsidR="007242BD" w:rsidRPr="006B06B9" w:rsidRDefault="007242BD"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64 Prihodi od imovine</w:t>
            </w:r>
          </w:p>
        </w:tc>
        <w:tc>
          <w:tcPr>
            <w:tcW w:w="1496" w:type="dxa"/>
            <w:tcBorders>
              <w:top w:val="nil"/>
              <w:left w:val="nil"/>
              <w:bottom w:val="single" w:sz="4" w:space="0" w:color="auto"/>
              <w:right w:val="single" w:sz="4" w:space="0" w:color="auto"/>
            </w:tcBorders>
            <w:noWrap/>
            <w:vAlign w:val="bottom"/>
          </w:tcPr>
          <w:p w14:paraId="7333E05D" w14:textId="20BB79CB" w:rsidR="007242BD" w:rsidRPr="006B06B9" w:rsidRDefault="001F0D2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3.671.211,51</w:t>
            </w:r>
          </w:p>
        </w:tc>
        <w:tc>
          <w:tcPr>
            <w:tcW w:w="1506" w:type="dxa"/>
            <w:tcBorders>
              <w:top w:val="nil"/>
              <w:left w:val="nil"/>
              <w:bottom w:val="single" w:sz="4" w:space="0" w:color="auto"/>
              <w:right w:val="single" w:sz="4" w:space="0" w:color="auto"/>
            </w:tcBorders>
            <w:noWrap/>
            <w:vAlign w:val="bottom"/>
          </w:tcPr>
          <w:p w14:paraId="2833474C" w14:textId="3A74E695" w:rsidR="007242BD" w:rsidRPr="006B06B9" w:rsidRDefault="001F0D2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4.184.107,00</w:t>
            </w:r>
          </w:p>
        </w:tc>
        <w:tc>
          <w:tcPr>
            <w:tcW w:w="1496" w:type="dxa"/>
            <w:tcBorders>
              <w:top w:val="single" w:sz="4" w:space="0" w:color="auto"/>
              <w:left w:val="nil"/>
              <w:bottom w:val="single" w:sz="4" w:space="0" w:color="auto"/>
              <w:right w:val="single" w:sz="4" w:space="0" w:color="auto"/>
            </w:tcBorders>
          </w:tcPr>
          <w:p w14:paraId="00298C7C" w14:textId="0E8EDBE7" w:rsidR="007242BD" w:rsidRPr="006B06B9" w:rsidRDefault="001F0D2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4.184.107,00</w:t>
            </w:r>
          </w:p>
        </w:tc>
        <w:tc>
          <w:tcPr>
            <w:tcW w:w="1600" w:type="dxa"/>
            <w:tcBorders>
              <w:top w:val="nil"/>
              <w:left w:val="single" w:sz="4" w:space="0" w:color="auto"/>
              <w:bottom w:val="single" w:sz="4" w:space="0" w:color="auto"/>
              <w:right w:val="single" w:sz="4" w:space="0" w:color="auto"/>
            </w:tcBorders>
            <w:noWrap/>
            <w:vAlign w:val="bottom"/>
          </w:tcPr>
          <w:p w14:paraId="5242FDA8" w14:textId="58AAD264" w:rsidR="007242BD" w:rsidRPr="006B06B9" w:rsidRDefault="001F0D2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4.169.128,75</w:t>
            </w:r>
          </w:p>
        </w:tc>
        <w:tc>
          <w:tcPr>
            <w:tcW w:w="1117" w:type="dxa"/>
            <w:tcBorders>
              <w:top w:val="nil"/>
              <w:left w:val="nil"/>
              <w:bottom w:val="single" w:sz="4" w:space="0" w:color="auto"/>
              <w:right w:val="single" w:sz="4" w:space="0" w:color="auto"/>
            </w:tcBorders>
            <w:noWrap/>
            <w:vAlign w:val="bottom"/>
          </w:tcPr>
          <w:p w14:paraId="6F0A0812" w14:textId="0DBE0C95" w:rsidR="007242BD" w:rsidRPr="006B06B9" w:rsidRDefault="001F0D2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113,56</w:t>
            </w:r>
            <w:r w:rsidR="00970ABE">
              <w:rPr>
                <w:rFonts w:ascii="Arial" w:eastAsia="Times New Roman" w:hAnsi="Arial" w:cs="Arial"/>
                <w:b/>
                <w:bCs/>
                <w:sz w:val="20"/>
                <w:szCs w:val="20"/>
                <w:lang w:eastAsia="hr-HR"/>
              </w:rPr>
              <w:t>%</w:t>
            </w:r>
          </w:p>
        </w:tc>
        <w:tc>
          <w:tcPr>
            <w:tcW w:w="1006" w:type="dxa"/>
            <w:tcBorders>
              <w:top w:val="nil"/>
              <w:left w:val="nil"/>
              <w:bottom w:val="single" w:sz="4" w:space="0" w:color="auto"/>
              <w:right w:val="single" w:sz="4" w:space="0" w:color="auto"/>
            </w:tcBorders>
            <w:noWrap/>
            <w:vAlign w:val="bottom"/>
          </w:tcPr>
          <w:p w14:paraId="6EE485E9" w14:textId="21342814" w:rsidR="007242BD" w:rsidRPr="006B06B9" w:rsidRDefault="001F0D2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99,64</w:t>
            </w:r>
            <w:r w:rsidR="00970ABE">
              <w:rPr>
                <w:rFonts w:ascii="Arial" w:eastAsia="Times New Roman" w:hAnsi="Arial" w:cs="Arial"/>
                <w:b/>
                <w:bCs/>
                <w:sz w:val="20"/>
                <w:szCs w:val="20"/>
                <w:lang w:eastAsia="hr-HR"/>
              </w:rPr>
              <w:t>%</w:t>
            </w:r>
          </w:p>
        </w:tc>
      </w:tr>
      <w:tr w:rsidR="00EB4F8D" w:rsidRPr="006B06B9" w14:paraId="2DB14733"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16DE3466"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641 Prihodi od financijske imovine</w:t>
            </w:r>
          </w:p>
        </w:tc>
        <w:tc>
          <w:tcPr>
            <w:tcW w:w="1496" w:type="dxa"/>
            <w:tcBorders>
              <w:top w:val="nil"/>
              <w:left w:val="nil"/>
              <w:bottom w:val="single" w:sz="4" w:space="0" w:color="auto"/>
              <w:right w:val="single" w:sz="4" w:space="0" w:color="auto"/>
            </w:tcBorders>
            <w:noWrap/>
            <w:vAlign w:val="bottom"/>
          </w:tcPr>
          <w:p w14:paraId="658CE2B4" w14:textId="6E06F644"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1.022.267,63</w:t>
            </w:r>
          </w:p>
        </w:tc>
        <w:tc>
          <w:tcPr>
            <w:tcW w:w="1506" w:type="dxa"/>
            <w:tcBorders>
              <w:top w:val="nil"/>
              <w:left w:val="nil"/>
              <w:bottom w:val="single" w:sz="4" w:space="0" w:color="auto"/>
              <w:right w:val="single" w:sz="4" w:space="0" w:color="auto"/>
            </w:tcBorders>
            <w:noWrap/>
            <w:vAlign w:val="bottom"/>
          </w:tcPr>
          <w:p w14:paraId="68E1EF53" w14:textId="1F17EFDC"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5D6AC05B"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3EA73E7C" w14:textId="7BF4C6C6"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1.038.743,90</w:t>
            </w:r>
          </w:p>
        </w:tc>
        <w:tc>
          <w:tcPr>
            <w:tcW w:w="1117" w:type="dxa"/>
            <w:tcBorders>
              <w:top w:val="nil"/>
              <w:left w:val="nil"/>
              <w:bottom w:val="single" w:sz="4" w:space="0" w:color="auto"/>
              <w:right w:val="single" w:sz="4" w:space="0" w:color="auto"/>
            </w:tcBorders>
            <w:noWrap/>
            <w:vAlign w:val="bottom"/>
          </w:tcPr>
          <w:p w14:paraId="3114F423" w14:textId="41E3ADDC"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101,61</w:t>
            </w:r>
            <w:r w:rsidR="00970ABE">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0BE6BB6F" w14:textId="3C011CE5" w:rsidR="007242BD" w:rsidRPr="006B06B9" w:rsidRDefault="0006038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59721CA7"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05053A03"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6413 Kamate na oročena sredstva i depozite po viđenju</w:t>
            </w:r>
          </w:p>
        </w:tc>
        <w:tc>
          <w:tcPr>
            <w:tcW w:w="1496" w:type="dxa"/>
            <w:tcBorders>
              <w:top w:val="nil"/>
              <w:left w:val="nil"/>
              <w:bottom w:val="single" w:sz="4" w:space="0" w:color="auto"/>
              <w:right w:val="single" w:sz="4" w:space="0" w:color="auto"/>
            </w:tcBorders>
            <w:noWrap/>
            <w:vAlign w:val="bottom"/>
          </w:tcPr>
          <w:p w14:paraId="348F2755" w14:textId="49AD4E9D"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94.399,37</w:t>
            </w:r>
          </w:p>
        </w:tc>
        <w:tc>
          <w:tcPr>
            <w:tcW w:w="1506" w:type="dxa"/>
            <w:tcBorders>
              <w:top w:val="nil"/>
              <w:left w:val="nil"/>
              <w:bottom w:val="single" w:sz="4" w:space="0" w:color="auto"/>
              <w:right w:val="single" w:sz="4" w:space="0" w:color="auto"/>
            </w:tcBorders>
            <w:noWrap/>
            <w:vAlign w:val="bottom"/>
          </w:tcPr>
          <w:p w14:paraId="72E4C217" w14:textId="6D98B715"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4F368224"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4CF6E0DE" w14:textId="4B7B5EDF"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54.450,39</w:t>
            </w:r>
          </w:p>
        </w:tc>
        <w:tc>
          <w:tcPr>
            <w:tcW w:w="1117" w:type="dxa"/>
            <w:tcBorders>
              <w:top w:val="nil"/>
              <w:left w:val="nil"/>
              <w:bottom w:val="single" w:sz="4" w:space="0" w:color="auto"/>
              <w:right w:val="single" w:sz="4" w:space="0" w:color="auto"/>
            </w:tcBorders>
            <w:noWrap/>
            <w:vAlign w:val="bottom"/>
          </w:tcPr>
          <w:p w14:paraId="361D8FDF" w14:textId="20696CE7"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57,68</w:t>
            </w:r>
            <w:r w:rsidR="00970ABE">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27253515" w14:textId="03D69AD9" w:rsidR="007242BD" w:rsidRPr="006B06B9" w:rsidRDefault="0006038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33CEA84E"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09C20B16"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6414 Prihodi od zateznih kamata</w:t>
            </w:r>
          </w:p>
        </w:tc>
        <w:tc>
          <w:tcPr>
            <w:tcW w:w="1496" w:type="dxa"/>
            <w:tcBorders>
              <w:top w:val="nil"/>
              <w:left w:val="nil"/>
              <w:bottom w:val="single" w:sz="4" w:space="0" w:color="auto"/>
              <w:right w:val="single" w:sz="4" w:space="0" w:color="auto"/>
            </w:tcBorders>
            <w:noWrap/>
            <w:vAlign w:val="bottom"/>
          </w:tcPr>
          <w:p w14:paraId="74300B5A" w14:textId="083198DF"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85.342,80</w:t>
            </w:r>
          </w:p>
        </w:tc>
        <w:tc>
          <w:tcPr>
            <w:tcW w:w="1506" w:type="dxa"/>
            <w:tcBorders>
              <w:top w:val="nil"/>
              <w:left w:val="nil"/>
              <w:bottom w:val="single" w:sz="4" w:space="0" w:color="auto"/>
              <w:right w:val="single" w:sz="4" w:space="0" w:color="auto"/>
            </w:tcBorders>
            <w:noWrap/>
            <w:vAlign w:val="bottom"/>
          </w:tcPr>
          <w:p w14:paraId="72307D05" w14:textId="6AC246DF"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16FDDC30"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49391670" w14:textId="2E4637A5"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98.107,04</w:t>
            </w:r>
          </w:p>
        </w:tc>
        <w:tc>
          <w:tcPr>
            <w:tcW w:w="1117" w:type="dxa"/>
            <w:tcBorders>
              <w:top w:val="nil"/>
              <w:left w:val="nil"/>
              <w:bottom w:val="single" w:sz="4" w:space="0" w:color="auto"/>
              <w:right w:val="single" w:sz="4" w:space="0" w:color="auto"/>
            </w:tcBorders>
            <w:noWrap/>
            <w:vAlign w:val="bottom"/>
          </w:tcPr>
          <w:p w14:paraId="2E1E96A3" w14:textId="00B81466"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114,96</w:t>
            </w:r>
            <w:r w:rsidR="00970ABE">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6685BDC9" w14:textId="4F273449" w:rsidR="007242BD" w:rsidRPr="006B06B9" w:rsidRDefault="0006038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1932FEA1" w14:textId="77777777" w:rsidTr="006C671D">
        <w:trPr>
          <w:trHeight w:val="549"/>
        </w:trPr>
        <w:tc>
          <w:tcPr>
            <w:tcW w:w="3367" w:type="dxa"/>
            <w:tcBorders>
              <w:top w:val="single" w:sz="4" w:space="0" w:color="auto"/>
              <w:left w:val="single" w:sz="4" w:space="0" w:color="auto"/>
              <w:bottom w:val="single" w:sz="4" w:space="0" w:color="auto"/>
              <w:right w:val="single" w:sz="4" w:space="0" w:color="auto"/>
            </w:tcBorders>
            <w:vAlign w:val="bottom"/>
            <w:hideMark/>
          </w:tcPr>
          <w:p w14:paraId="74416265"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6417 Prihodi iz dobiti trgovačkih društava, kreditnih i ostalih financijskih institucija po posebnim propisima</w:t>
            </w:r>
          </w:p>
        </w:tc>
        <w:tc>
          <w:tcPr>
            <w:tcW w:w="1496" w:type="dxa"/>
            <w:tcBorders>
              <w:top w:val="nil"/>
              <w:left w:val="nil"/>
              <w:bottom w:val="single" w:sz="4" w:space="0" w:color="auto"/>
              <w:right w:val="single" w:sz="4" w:space="0" w:color="auto"/>
            </w:tcBorders>
            <w:noWrap/>
            <w:vAlign w:val="bottom"/>
          </w:tcPr>
          <w:p w14:paraId="0B68ADFD" w14:textId="6161E35D"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842.525,46</w:t>
            </w:r>
          </w:p>
        </w:tc>
        <w:tc>
          <w:tcPr>
            <w:tcW w:w="1506" w:type="dxa"/>
            <w:tcBorders>
              <w:top w:val="nil"/>
              <w:left w:val="nil"/>
              <w:bottom w:val="single" w:sz="4" w:space="0" w:color="auto"/>
              <w:right w:val="single" w:sz="4" w:space="0" w:color="auto"/>
            </w:tcBorders>
            <w:noWrap/>
            <w:vAlign w:val="bottom"/>
          </w:tcPr>
          <w:p w14:paraId="49E76899" w14:textId="127A7526"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6F464719"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4DA49D6F" w14:textId="175A4A84"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886.186,47</w:t>
            </w:r>
          </w:p>
        </w:tc>
        <w:tc>
          <w:tcPr>
            <w:tcW w:w="1117" w:type="dxa"/>
            <w:tcBorders>
              <w:top w:val="nil"/>
              <w:left w:val="nil"/>
              <w:bottom w:val="single" w:sz="4" w:space="0" w:color="auto"/>
              <w:right w:val="single" w:sz="4" w:space="0" w:color="auto"/>
            </w:tcBorders>
            <w:noWrap/>
            <w:vAlign w:val="bottom"/>
          </w:tcPr>
          <w:p w14:paraId="3F387BB9" w14:textId="11418514"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105,18%</w:t>
            </w:r>
          </w:p>
        </w:tc>
        <w:tc>
          <w:tcPr>
            <w:tcW w:w="1006" w:type="dxa"/>
            <w:tcBorders>
              <w:top w:val="nil"/>
              <w:left w:val="nil"/>
              <w:bottom w:val="single" w:sz="4" w:space="0" w:color="auto"/>
              <w:right w:val="single" w:sz="4" w:space="0" w:color="auto"/>
            </w:tcBorders>
            <w:noWrap/>
            <w:vAlign w:val="bottom"/>
          </w:tcPr>
          <w:p w14:paraId="74EF3E39" w14:textId="0A431492" w:rsidR="007242BD" w:rsidRPr="006B06B9" w:rsidRDefault="0006038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62FC666F"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545F2BF2"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642 Prihodi od nefinancijske imovine</w:t>
            </w:r>
          </w:p>
        </w:tc>
        <w:tc>
          <w:tcPr>
            <w:tcW w:w="1496" w:type="dxa"/>
            <w:tcBorders>
              <w:top w:val="nil"/>
              <w:left w:val="nil"/>
              <w:bottom w:val="single" w:sz="4" w:space="0" w:color="auto"/>
              <w:right w:val="single" w:sz="4" w:space="0" w:color="auto"/>
            </w:tcBorders>
            <w:noWrap/>
            <w:vAlign w:val="bottom"/>
          </w:tcPr>
          <w:p w14:paraId="6225CB5D" w14:textId="7998B039"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2.648.943,88</w:t>
            </w:r>
          </w:p>
        </w:tc>
        <w:tc>
          <w:tcPr>
            <w:tcW w:w="1506" w:type="dxa"/>
            <w:tcBorders>
              <w:top w:val="nil"/>
              <w:left w:val="nil"/>
              <w:bottom w:val="single" w:sz="4" w:space="0" w:color="auto"/>
              <w:right w:val="single" w:sz="4" w:space="0" w:color="auto"/>
            </w:tcBorders>
            <w:noWrap/>
            <w:vAlign w:val="bottom"/>
          </w:tcPr>
          <w:p w14:paraId="5EF79091" w14:textId="6D347946"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262B63C0"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5A71E616" w14:textId="369A63D7"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3.130.384,85</w:t>
            </w:r>
          </w:p>
        </w:tc>
        <w:tc>
          <w:tcPr>
            <w:tcW w:w="1117" w:type="dxa"/>
            <w:tcBorders>
              <w:top w:val="nil"/>
              <w:left w:val="nil"/>
              <w:bottom w:val="single" w:sz="4" w:space="0" w:color="auto"/>
              <w:right w:val="single" w:sz="4" w:space="0" w:color="auto"/>
            </w:tcBorders>
            <w:noWrap/>
            <w:vAlign w:val="bottom"/>
          </w:tcPr>
          <w:p w14:paraId="5E94CAE8" w14:textId="76FD8E0E"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118,17%</w:t>
            </w:r>
          </w:p>
        </w:tc>
        <w:tc>
          <w:tcPr>
            <w:tcW w:w="1006" w:type="dxa"/>
            <w:tcBorders>
              <w:top w:val="nil"/>
              <w:left w:val="nil"/>
              <w:bottom w:val="single" w:sz="4" w:space="0" w:color="auto"/>
              <w:right w:val="single" w:sz="4" w:space="0" w:color="auto"/>
            </w:tcBorders>
            <w:noWrap/>
            <w:vAlign w:val="bottom"/>
          </w:tcPr>
          <w:p w14:paraId="0D391C39" w14:textId="5951F9DD" w:rsidR="007242BD" w:rsidRPr="006B06B9" w:rsidRDefault="0006038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0383993A"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07F2A537"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6421 Naknade za koncesije</w:t>
            </w:r>
          </w:p>
        </w:tc>
        <w:tc>
          <w:tcPr>
            <w:tcW w:w="1496" w:type="dxa"/>
            <w:tcBorders>
              <w:top w:val="nil"/>
              <w:left w:val="nil"/>
              <w:bottom w:val="single" w:sz="4" w:space="0" w:color="auto"/>
              <w:right w:val="single" w:sz="4" w:space="0" w:color="auto"/>
            </w:tcBorders>
            <w:noWrap/>
            <w:vAlign w:val="bottom"/>
          </w:tcPr>
          <w:p w14:paraId="02B8F03F" w14:textId="4217DB81"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241.107,92</w:t>
            </w:r>
          </w:p>
        </w:tc>
        <w:tc>
          <w:tcPr>
            <w:tcW w:w="1506" w:type="dxa"/>
            <w:tcBorders>
              <w:top w:val="nil"/>
              <w:left w:val="nil"/>
              <w:bottom w:val="single" w:sz="4" w:space="0" w:color="auto"/>
              <w:right w:val="single" w:sz="4" w:space="0" w:color="auto"/>
            </w:tcBorders>
            <w:noWrap/>
            <w:vAlign w:val="bottom"/>
          </w:tcPr>
          <w:p w14:paraId="0BE55C62" w14:textId="3490F7AC"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0288819A"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7915D79E" w14:textId="2E21000A"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251.080,84</w:t>
            </w:r>
          </w:p>
        </w:tc>
        <w:tc>
          <w:tcPr>
            <w:tcW w:w="1117" w:type="dxa"/>
            <w:tcBorders>
              <w:top w:val="nil"/>
              <w:left w:val="nil"/>
              <w:bottom w:val="single" w:sz="4" w:space="0" w:color="auto"/>
              <w:right w:val="single" w:sz="4" w:space="0" w:color="auto"/>
            </w:tcBorders>
            <w:noWrap/>
            <w:vAlign w:val="bottom"/>
          </w:tcPr>
          <w:p w14:paraId="55FDCC30" w14:textId="2603666B"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104,14</w:t>
            </w:r>
            <w:r w:rsidR="00877393">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048F2B7A" w14:textId="4D4DBF21" w:rsidR="007242BD" w:rsidRPr="006B06B9" w:rsidRDefault="0006038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2A37A4C2"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6A99F87F"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6422 Prihodi od zakupa i iznajmljivanja imovine</w:t>
            </w:r>
          </w:p>
        </w:tc>
        <w:tc>
          <w:tcPr>
            <w:tcW w:w="1496" w:type="dxa"/>
            <w:tcBorders>
              <w:top w:val="nil"/>
              <w:left w:val="nil"/>
              <w:bottom w:val="single" w:sz="4" w:space="0" w:color="auto"/>
              <w:right w:val="single" w:sz="4" w:space="0" w:color="auto"/>
            </w:tcBorders>
            <w:noWrap/>
            <w:vAlign w:val="bottom"/>
          </w:tcPr>
          <w:p w14:paraId="2FDF0358" w14:textId="46E06644"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2.225.954,89</w:t>
            </w:r>
          </w:p>
        </w:tc>
        <w:tc>
          <w:tcPr>
            <w:tcW w:w="1506" w:type="dxa"/>
            <w:tcBorders>
              <w:top w:val="nil"/>
              <w:left w:val="nil"/>
              <w:bottom w:val="single" w:sz="4" w:space="0" w:color="auto"/>
              <w:right w:val="single" w:sz="4" w:space="0" w:color="auto"/>
            </w:tcBorders>
            <w:noWrap/>
            <w:vAlign w:val="bottom"/>
          </w:tcPr>
          <w:p w14:paraId="19900D54" w14:textId="169AEFB8"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4B07C9C9"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465C187F" w14:textId="653CA43A"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2.380.069,97</w:t>
            </w:r>
          </w:p>
        </w:tc>
        <w:tc>
          <w:tcPr>
            <w:tcW w:w="1117" w:type="dxa"/>
            <w:tcBorders>
              <w:top w:val="nil"/>
              <w:left w:val="nil"/>
              <w:bottom w:val="single" w:sz="4" w:space="0" w:color="auto"/>
              <w:right w:val="single" w:sz="4" w:space="0" w:color="auto"/>
            </w:tcBorders>
            <w:noWrap/>
            <w:vAlign w:val="bottom"/>
          </w:tcPr>
          <w:p w14:paraId="562496D4" w14:textId="155EB1DB"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106,92</w:t>
            </w:r>
            <w:r w:rsidR="00877393">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54BB22EC" w14:textId="220BF99E" w:rsidR="007242BD" w:rsidRPr="006B06B9" w:rsidRDefault="0006038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5A9867DA"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33B864F8"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6423 Naknada za korištenje nefinancijske imovine</w:t>
            </w:r>
          </w:p>
        </w:tc>
        <w:tc>
          <w:tcPr>
            <w:tcW w:w="1496" w:type="dxa"/>
            <w:tcBorders>
              <w:top w:val="nil"/>
              <w:left w:val="nil"/>
              <w:bottom w:val="single" w:sz="4" w:space="0" w:color="auto"/>
              <w:right w:val="single" w:sz="4" w:space="0" w:color="auto"/>
            </w:tcBorders>
            <w:noWrap/>
            <w:vAlign w:val="bottom"/>
          </w:tcPr>
          <w:p w14:paraId="4406444D" w14:textId="787CBB5F"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152.170,77</w:t>
            </w:r>
          </w:p>
        </w:tc>
        <w:tc>
          <w:tcPr>
            <w:tcW w:w="1506" w:type="dxa"/>
            <w:tcBorders>
              <w:top w:val="nil"/>
              <w:left w:val="nil"/>
              <w:bottom w:val="single" w:sz="4" w:space="0" w:color="auto"/>
              <w:right w:val="single" w:sz="4" w:space="0" w:color="auto"/>
            </w:tcBorders>
            <w:noWrap/>
            <w:vAlign w:val="bottom"/>
          </w:tcPr>
          <w:p w14:paraId="3F771F61" w14:textId="2312E18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7C1E3B71"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57FBAB2C" w14:textId="169E28B4"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482.468,17</w:t>
            </w:r>
          </w:p>
        </w:tc>
        <w:tc>
          <w:tcPr>
            <w:tcW w:w="1117" w:type="dxa"/>
            <w:tcBorders>
              <w:top w:val="nil"/>
              <w:left w:val="nil"/>
              <w:bottom w:val="single" w:sz="4" w:space="0" w:color="auto"/>
              <w:right w:val="single" w:sz="4" w:space="0" w:color="auto"/>
            </w:tcBorders>
            <w:noWrap/>
            <w:vAlign w:val="bottom"/>
          </w:tcPr>
          <w:p w14:paraId="6CE29624" w14:textId="7A1321AD"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317,06</w:t>
            </w:r>
            <w:r w:rsidR="00877393">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4BA6D724" w14:textId="05F7B3A7" w:rsidR="007242BD" w:rsidRPr="006B06B9" w:rsidRDefault="0006038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6E12B661"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23D505FE"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6429 Ostali prihodi od nefinancijske imovine                                                             </w:t>
            </w:r>
          </w:p>
        </w:tc>
        <w:tc>
          <w:tcPr>
            <w:tcW w:w="1496" w:type="dxa"/>
            <w:tcBorders>
              <w:top w:val="nil"/>
              <w:left w:val="nil"/>
              <w:bottom w:val="single" w:sz="4" w:space="0" w:color="auto"/>
              <w:right w:val="single" w:sz="4" w:space="0" w:color="auto"/>
            </w:tcBorders>
            <w:noWrap/>
            <w:vAlign w:val="bottom"/>
          </w:tcPr>
          <w:p w14:paraId="3E53950D" w14:textId="6F3F8233"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29.710,30</w:t>
            </w:r>
          </w:p>
        </w:tc>
        <w:tc>
          <w:tcPr>
            <w:tcW w:w="1506" w:type="dxa"/>
            <w:tcBorders>
              <w:top w:val="nil"/>
              <w:left w:val="nil"/>
              <w:bottom w:val="single" w:sz="4" w:space="0" w:color="auto"/>
              <w:right w:val="single" w:sz="4" w:space="0" w:color="auto"/>
            </w:tcBorders>
            <w:noWrap/>
            <w:vAlign w:val="bottom"/>
          </w:tcPr>
          <w:p w14:paraId="2789DAE8" w14:textId="5785A8AB"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2F5A2532"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6E9FBF2F" w14:textId="2240C976"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16.765,87</w:t>
            </w:r>
          </w:p>
        </w:tc>
        <w:tc>
          <w:tcPr>
            <w:tcW w:w="1117" w:type="dxa"/>
            <w:tcBorders>
              <w:top w:val="nil"/>
              <w:left w:val="nil"/>
              <w:bottom w:val="single" w:sz="4" w:space="0" w:color="auto"/>
              <w:right w:val="single" w:sz="4" w:space="0" w:color="auto"/>
            </w:tcBorders>
            <w:noWrap/>
            <w:vAlign w:val="bottom"/>
          </w:tcPr>
          <w:p w14:paraId="0176642A" w14:textId="069A17F9"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56,43</w:t>
            </w:r>
            <w:r w:rsidR="00877393">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35ED5CED" w14:textId="7374AF14" w:rsidR="007242BD" w:rsidRPr="006B06B9" w:rsidRDefault="0006038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2F03DEAF" w14:textId="77777777" w:rsidTr="006C671D">
        <w:trPr>
          <w:trHeight w:val="563"/>
        </w:trPr>
        <w:tc>
          <w:tcPr>
            <w:tcW w:w="3367" w:type="dxa"/>
            <w:tcBorders>
              <w:top w:val="single" w:sz="4" w:space="0" w:color="auto"/>
              <w:left w:val="single" w:sz="4" w:space="0" w:color="auto"/>
              <w:bottom w:val="single" w:sz="4" w:space="0" w:color="auto"/>
              <w:right w:val="single" w:sz="4" w:space="0" w:color="auto"/>
            </w:tcBorders>
            <w:vAlign w:val="bottom"/>
            <w:hideMark/>
          </w:tcPr>
          <w:p w14:paraId="5EEB9B13" w14:textId="77777777" w:rsidR="007242BD" w:rsidRPr="006B06B9" w:rsidRDefault="007242BD"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65 Prihodi od upravnih i administrativnih pristojbi, pristojbi po posebnim propisima i naknada</w:t>
            </w:r>
          </w:p>
        </w:tc>
        <w:tc>
          <w:tcPr>
            <w:tcW w:w="1496" w:type="dxa"/>
            <w:tcBorders>
              <w:top w:val="nil"/>
              <w:left w:val="nil"/>
              <w:bottom w:val="single" w:sz="4" w:space="0" w:color="auto"/>
              <w:right w:val="single" w:sz="4" w:space="0" w:color="auto"/>
            </w:tcBorders>
            <w:noWrap/>
            <w:vAlign w:val="bottom"/>
          </w:tcPr>
          <w:p w14:paraId="0FA92137" w14:textId="6BADAB3A" w:rsidR="007242BD" w:rsidRPr="006B06B9" w:rsidRDefault="001F0D2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3.650.392,50</w:t>
            </w:r>
          </w:p>
        </w:tc>
        <w:tc>
          <w:tcPr>
            <w:tcW w:w="1506" w:type="dxa"/>
            <w:tcBorders>
              <w:top w:val="nil"/>
              <w:left w:val="nil"/>
              <w:bottom w:val="single" w:sz="4" w:space="0" w:color="auto"/>
              <w:right w:val="single" w:sz="4" w:space="0" w:color="auto"/>
            </w:tcBorders>
            <w:noWrap/>
            <w:vAlign w:val="bottom"/>
          </w:tcPr>
          <w:p w14:paraId="666BF160" w14:textId="013ED03C" w:rsidR="007242BD" w:rsidRPr="006B06B9" w:rsidRDefault="001F0D2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4.313.548,71</w:t>
            </w:r>
          </w:p>
        </w:tc>
        <w:tc>
          <w:tcPr>
            <w:tcW w:w="1496" w:type="dxa"/>
            <w:tcBorders>
              <w:top w:val="single" w:sz="4" w:space="0" w:color="auto"/>
              <w:left w:val="nil"/>
              <w:bottom w:val="single" w:sz="4" w:space="0" w:color="auto"/>
              <w:right w:val="single" w:sz="4" w:space="0" w:color="auto"/>
            </w:tcBorders>
            <w:vAlign w:val="bottom"/>
          </w:tcPr>
          <w:p w14:paraId="480151EE" w14:textId="2951A156" w:rsidR="007242BD" w:rsidRPr="006B06B9" w:rsidRDefault="001F0D2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4.313.548,71</w:t>
            </w:r>
          </w:p>
        </w:tc>
        <w:tc>
          <w:tcPr>
            <w:tcW w:w="1600" w:type="dxa"/>
            <w:tcBorders>
              <w:top w:val="nil"/>
              <w:left w:val="single" w:sz="4" w:space="0" w:color="auto"/>
              <w:bottom w:val="single" w:sz="4" w:space="0" w:color="auto"/>
              <w:right w:val="single" w:sz="4" w:space="0" w:color="auto"/>
            </w:tcBorders>
            <w:noWrap/>
            <w:vAlign w:val="bottom"/>
          </w:tcPr>
          <w:p w14:paraId="5617EB22" w14:textId="536B4A52" w:rsidR="007242BD" w:rsidRPr="006B06B9" w:rsidRDefault="001F0D2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4.160.400,46</w:t>
            </w:r>
          </w:p>
        </w:tc>
        <w:tc>
          <w:tcPr>
            <w:tcW w:w="1117" w:type="dxa"/>
            <w:tcBorders>
              <w:top w:val="nil"/>
              <w:left w:val="nil"/>
              <w:bottom w:val="single" w:sz="4" w:space="0" w:color="auto"/>
              <w:right w:val="single" w:sz="4" w:space="0" w:color="auto"/>
            </w:tcBorders>
            <w:noWrap/>
            <w:vAlign w:val="bottom"/>
          </w:tcPr>
          <w:p w14:paraId="6EA44978" w14:textId="237AB7F8" w:rsidR="007242BD" w:rsidRPr="006B06B9" w:rsidRDefault="001F0D2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113,97</w:t>
            </w:r>
            <w:r w:rsidR="00877393">
              <w:rPr>
                <w:rFonts w:ascii="Arial" w:eastAsia="Times New Roman" w:hAnsi="Arial" w:cs="Arial"/>
                <w:b/>
                <w:bCs/>
                <w:sz w:val="20"/>
                <w:szCs w:val="20"/>
                <w:lang w:eastAsia="hr-HR"/>
              </w:rPr>
              <w:t>%</w:t>
            </w:r>
          </w:p>
        </w:tc>
        <w:tc>
          <w:tcPr>
            <w:tcW w:w="1006" w:type="dxa"/>
            <w:tcBorders>
              <w:top w:val="nil"/>
              <w:left w:val="nil"/>
              <w:bottom w:val="single" w:sz="4" w:space="0" w:color="auto"/>
              <w:right w:val="single" w:sz="4" w:space="0" w:color="auto"/>
            </w:tcBorders>
            <w:noWrap/>
            <w:vAlign w:val="bottom"/>
          </w:tcPr>
          <w:p w14:paraId="2FA383CB" w14:textId="663B88B5" w:rsidR="007242BD" w:rsidRPr="006B06B9" w:rsidRDefault="001F0D2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96,45</w:t>
            </w:r>
            <w:r w:rsidR="001A2EC9">
              <w:rPr>
                <w:rFonts w:ascii="Arial" w:eastAsia="Times New Roman" w:hAnsi="Arial" w:cs="Arial"/>
                <w:b/>
                <w:bCs/>
                <w:sz w:val="20"/>
                <w:szCs w:val="20"/>
                <w:lang w:eastAsia="hr-HR"/>
              </w:rPr>
              <w:t>%</w:t>
            </w:r>
          </w:p>
        </w:tc>
      </w:tr>
      <w:tr w:rsidR="00EB4F8D" w:rsidRPr="006B06B9" w14:paraId="5B50E372"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4282B48B"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651 Upravne i administrativne pristojbe</w:t>
            </w:r>
          </w:p>
        </w:tc>
        <w:tc>
          <w:tcPr>
            <w:tcW w:w="1496" w:type="dxa"/>
            <w:tcBorders>
              <w:top w:val="nil"/>
              <w:left w:val="nil"/>
              <w:bottom w:val="single" w:sz="4" w:space="0" w:color="auto"/>
              <w:right w:val="single" w:sz="4" w:space="0" w:color="auto"/>
            </w:tcBorders>
            <w:noWrap/>
            <w:vAlign w:val="bottom"/>
          </w:tcPr>
          <w:p w14:paraId="2B551196" w14:textId="7A4D193F"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285.883,65</w:t>
            </w:r>
          </w:p>
        </w:tc>
        <w:tc>
          <w:tcPr>
            <w:tcW w:w="1506" w:type="dxa"/>
            <w:tcBorders>
              <w:top w:val="nil"/>
              <w:left w:val="nil"/>
              <w:bottom w:val="single" w:sz="4" w:space="0" w:color="auto"/>
              <w:right w:val="single" w:sz="4" w:space="0" w:color="auto"/>
            </w:tcBorders>
            <w:noWrap/>
            <w:vAlign w:val="bottom"/>
          </w:tcPr>
          <w:p w14:paraId="79908034" w14:textId="22199D2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1FB5CDB1"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37934D7E" w14:textId="39365A7B"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307.659,19</w:t>
            </w:r>
          </w:p>
        </w:tc>
        <w:tc>
          <w:tcPr>
            <w:tcW w:w="1117" w:type="dxa"/>
            <w:tcBorders>
              <w:top w:val="nil"/>
              <w:left w:val="nil"/>
              <w:bottom w:val="single" w:sz="4" w:space="0" w:color="auto"/>
              <w:right w:val="single" w:sz="4" w:space="0" w:color="auto"/>
            </w:tcBorders>
            <w:noWrap/>
            <w:vAlign w:val="bottom"/>
          </w:tcPr>
          <w:p w14:paraId="2910A554" w14:textId="669AFD08"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107,62</w:t>
            </w:r>
            <w:r w:rsidR="00877393">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7EA35716" w14:textId="3C7D916F" w:rsidR="007242BD" w:rsidRPr="006B06B9" w:rsidRDefault="001A2EC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877393" w:rsidRPr="006B06B9" w14:paraId="41A77A60" w14:textId="77777777" w:rsidTr="006C671D">
        <w:trPr>
          <w:trHeight w:val="233"/>
        </w:trPr>
        <w:tc>
          <w:tcPr>
            <w:tcW w:w="3367" w:type="dxa"/>
            <w:tcBorders>
              <w:top w:val="single" w:sz="4" w:space="0" w:color="auto"/>
              <w:left w:val="single" w:sz="4" w:space="0" w:color="auto"/>
              <w:bottom w:val="single" w:sz="4" w:space="0" w:color="auto"/>
              <w:right w:val="single" w:sz="4" w:space="0" w:color="auto"/>
            </w:tcBorders>
            <w:noWrap/>
            <w:vAlign w:val="bottom"/>
          </w:tcPr>
          <w:p w14:paraId="40897EB6" w14:textId="0FCBD304" w:rsidR="00877393" w:rsidRPr="006B06B9" w:rsidRDefault="00877393"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6513 Ostale upravne pristojbe i naknade</w:t>
            </w:r>
          </w:p>
        </w:tc>
        <w:tc>
          <w:tcPr>
            <w:tcW w:w="1496" w:type="dxa"/>
            <w:tcBorders>
              <w:top w:val="single" w:sz="4" w:space="0" w:color="auto"/>
              <w:left w:val="nil"/>
              <w:bottom w:val="single" w:sz="4" w:space="0" w:color="auto"/>
              <w:right w:val="single" w:sz="4" w:space="0" w:color="auto"/>
            </w:tcBorders>
            <w:noWrap/>
            <w:vAlign w:val="bottom"/>
          </w:tcPr>
          <w:p w14:paraId="75CED17F" w14:textId="7539BB5A" w:rsidR="00877393"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2.114,37</w:t>
            </w:r>
          </w:p>
        </w:tc>
        <w:tc>
          <w:tcPr>
            <w:tcW w:w="1506" w:type="dxa"/>
            <w:tcBorders>
              <w:top w:val="single" w:sz="4" w:space="0" w:color="auto"/>
              <w:left w:val="nil"/>
              <w:bottom w:val="single" w:sz="4" w:space="0" w:color="auto"/>
              <w:right w:val="single" w:sz="4" w:space="0" w:color="auto"/>
            </w:tcBorders>
            <w:noWrap/>
            <w:vAlign w:val="bottom"/>
          </w:tcPr>
          <w:p w14:paraId="1A47FCFC" w14:textId="77777777" w:rsidR="00877393" w:rsidRPr="006B06B9" w:rsidRDefault="00877393"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56C10F29" w14:textId="77777777" w:rsidR="00877393" w:rsidRPr="006B06B9" w:rsidRDefault="00877393" w:rsidP="006B06B9">
            <w:pPr>
              <w:spacing w:after="0" w:line="240" w:lineRule="auto"/>
              <w:jc w:val="right"/>
              <w:rPr>
                <w:rFonts w:ascii="Arial" w:eastAsia="Times New Roman" w:hAnsi="Arial" w:cs="Arial"/>
                <w:sz w:val="20"/>
                <w:szCs w:val="20"/>
                <w:lang w:eastAsia="hr-HR"/>
              </w:rPr>
            </w:pPr>
          </w:p>
        </w:tc>
        <w:tc>
          <w:tcPr>
            <w:tcW w:w="1600" w:type="dxa"/>
            <w:tcBorders>
              <w:top w:val="single" w:sz="4" w:space="0" w:color="auto"/>
              <w:left w:val="single" w:sz="4" w:space="0" w:color="auto"/>
              <w:bottom w:val="single" w:sz="4" w:space="0" w:color="auto"/>
              <w:right w:val="single" w:sz="4" w:space="0" w:color="auto"/>
            </w:tcBorders>
            <w:noWrap/>
            <w:vAlign w:val="bottom"/>
          </w:tcPr>
          <w:p w14:paraId="476F79E7" w14:textId="4B960205" w:rsidR="00877393"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2.387,63</w:t>
            </w:r>
          </w:p>
        </w:tc>
        <w:tc>
          <w:tcPr>
            <w:tcW w:w="1117" w:type="dxa"/>
            <w:tcBorders>
              <w:top w:val="single" w:sz="4" w:space="0" w:color="auto"/>
              <w:left w:val="nil"/>
              <w:bottom w:val="single" w:sz="4" w:space="0" w:color="auto"/>
              <w:right w:val="single" w:sz="4" w:space="0" w:color="auto"/>
            </w:tcBorders>
            <w:noWrap/>
            <w:vAlign w:val="bottom"/>
          </w:tcPr>
          <w:p w14:paraId="1AA45CE0" w14:textId="4192DE48" w:rsidR="00877393"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112,92</w:t>
            </w:r>
            <w:r w:rsidR="00877393">
              <w:rPr>
                <w:rFonts w:ascii="Arial" w:eastAsia="Times New Roman" w:hAnsi="Arial" w:cs="Arial"/>
                <w:sz w:val="20"/>
                <w:szCs w:val="20"/>
                <w:lang w:eastAsia="hr-HR"/>
              </w:rPr>
              <w:t>%</w:t>
            </w:r>
          </w:p>
        </w:tc>
        <w:tc>
          <w:tcPr>
            <w:tcW w:w="1006" w:type="dxa"/>
            <w:tcBorders>
              <w:top w:val="single" w:sz="4" w:space="0" w:color="auto"/>
              <w:left w:val="nil"/>
              <w:bottom w:val="single" w:sz="4" w:space="0" w:color="auto"/>
              <w:right w:val="single" w:sz="4" w:space="0" w:color="auto"/>
            </w:tcBorders>
            <w:noWrap/>
            <w:vAlign w:val="bottom"/>
          </w:tcPr>
          <w:p w14:paraId="2E8BBB91" w14:textId="78A2703A" w:rsidR="00877393" w:rsidRDefault="0087739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0F315FD4"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54BC2255"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6514 Ostale pristojbe i naknade</w:t>
            </w:r>
          </w:p>
        </w:tc>
        <w:tc>
          <w:tcPr>
            <w:tcW w:w="1496" w:type="dxa"/>
            <w:tcBorders>
              <w:left w:val="nil"/>
              <w:bottom w:val="single" w:sz="4" w:space="0" w:color="auto"/>
              <w:right w:val="single" w:sz="4" w:space="0" w:color="auto"/>
            </w:tcBorders>
            <w:noWrap/>
            <w:vAlign w:val="bottom"/>
          </w:tcPr>
          <w:p w14:paraId="507E0C5E" w14:textId="3BB062AE"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283.769,28</w:t>
            </w:r>
          </w:p>
        </w:tc>
        <w:tc>
          <w:tcPr>
            <w:tcW w:w="1506" w:type="dxa"/>
            <w:tcBorders>
              <w:left w:val="nil"/>
              <w:bottom w:val="single" w:sz="4" w:space="0" w:color="auto"/>
              <w:right w:val="single" w:sz="4" w:space="0" w:color="auto"/>
            </w:tcBorders>
            <w:noWrap/>
            <w:vAlign w:val="bottom"/>
          </w:tcPr>
          <w:p w14:paraId="0EAD44CC" w14:textId="6851C0C8"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left w:val="nil"/>
              <w:bottom w:val="single" w:sz="4" w:space="0" w:color="auto"/>
              <w:right w:val="single" w:sz="4" w:space="0" w:color="auto"/>
            </w:tcBorders>
          </w:tcPr>
          <w:p w14:paraId="4E6E0424"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left w:val="single" w:sz="4" w:space="0" w:color="auto"/>
              <w:bottom w:val="single" w:sz="4" w:space="0" w:color="auto"/>
              <w:right w:val="single" w:sz="4" w:space="0" w:color="auto"/>
            </w:tcBorders>
            <w:noWrap/>
            <w:vAlign w:val="bottom"/>
          </w:tcPr>
          <w:p w14:paraId="28350700" w14:textId="26235B1A"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305.271,56</w:t>
            </w:r>
          </w:p>
        </w:tc>
        <w:tc>
          <w:tcPr>
            <w:tcW w:w="1117" w:type="dxa"/>
            <w:tcBorders>
              <w:left w:val="nil"/>
              <w:bottom w:val="single" w:sz="4" w:space="0" w:color="auto"/>
              <w:right w:val="single" w:sz="4" w:space="0" w:color="auto"/>
            </w:tcBorders>
            <w:noWrap/>
            <w:vAlign w:val="bottom"/>
          </w:tcPr>
          <w:p w14:paraId="155A4A05" w14:textId="0AE7BCD1"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107,58</w:t>
            </w:r>
            <w:r w:rsidR="00877393">
              <w:rPr>
                <w:rFonts w:ascii="Arial" w:eastAsia="Times New Roman" w:hAnsi="Arial" w:cs="Arial"/>
                <w:sz w:val="20"/>
                <w:szCs w:val="20"/>
                <w:lang w:eastAsia="hr-HR"/>
              </w:rPr>
              <w:t>%</w:t>
            </w:r>
          </w:p>
        </w:tc>
        <w:tc>
          <w:tcPr>
            <w:tcW w:w="1006" w:type="dxa"/>
            <w:tcBorders>
              <w:left w:val="nil"/>
              <w:bottom w:val="single" w:sz="4" w:space="0" w:color="auto"/>
              <w:right w:val="single" w:sz="4" w:space="0" w:color="auto"/>
            </w:tcBorders>
            <w:noWrap/>
            <w:vAlign w:val="bottom"/>
          </w:tcPr>
          <w:p w14:paraId="43D64C13" w14:textId="7D3B083F" w:rsidR="007242BD" w:rsidRPr="006B06B9" w:rsidRDefault="001A2EC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7DDF1ED3"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74360335"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652 Prihodi po posebnim propisima</w:t>
            </w:r>
          </w:p>
        </w:tc>
        <w:tc>
          <w:tcPr>
            <w:tcW w:w="1496" w:type="dxa"/>
            <w:tcBorders>
              <w:top w:val="nil"/>
              <w:left w:val="nil"/>
              <w:bottom w:val="single" w:sz="4" w:space="0" w:color="auto"/>
              <w:right w:val="single" w:sz="4" w:space="0" w:color="auto"/>
            </w:tcBorders>
            <w:noWrap/>
            <w:vAlign w:val="bottom"/>
          </w:tcPr>
          <w:p w14:paraId="5725F520" w14:textId="1D0B1B05"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572.961,00</w:t>
            </w:r>
          </w:p>
        </w:tc>
        <w:tc>
          <w:tcPr>
            <w:tcW w:w="1506" w:type="dxa"/>
            <w:tcBorders>
              <w:top w:val="nil"/>
              <w:left w:val="nil"/>
              <w:bottom w:val="single" w:sz="4" w:space="0" w:color="auto"/>
              <w:right w:val="single" w:sz="4" w:space="0" w:color="auto"/>
            </w:tcBorders>
            <w:noWrap/>
            <w:vAlign w:val="bottom"/>
          </w:tcPr>
          <w:p w14:paraId="6639A39D" w14:textId="2C398921"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706DA6A0"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4C46B9D1" w14:textId="120B46B7"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650.802,04</w:t>
            </w:r>
          </w:p>
        </w:tc>
        <w:tc>
          <w:tcPr>
            <w:tcW w:w="1117" w:type="dxa"/>
            <w:tcBorders>
              <w:top w:val="nil"/>
              <w:left w:val="nil"/>
              <w:bottom w:val="single" w:sz="4" w:space="0" w:color="auto"/>
              <w:right w:val="single" w:sz="4" w:space="0" w:color="auto"/>
            </w:tcBorders>
            <w:noWrap/>
            <w:vAlign w:val="bottom"/>
          </w:tcPr>
          <w:p w14:paraId="50536376" w14:textId="0E331FD6"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113,59</w:t>
            </w:r>
            <w:r w:rsidR="00877393">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2A1B8C39" w14:textId="5BA86122" w:rsidR="007242BD" w:rsidRPr="006B06B9" w:rsidRDefault="001A2EC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593E8CDD"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73AE86BA"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6526 Ostali nespomenuti prihodi</w:t>
            </w:r>
          </w:p>
        </w:tc>
        <w:tc>
          <w:tcPr>
            <w:tcW w:w="1496" w:type="dxa"/>
            <w:tcBorders>
              <w:top w:val="nil"/>
              <w:left w:val="nil"/>
              <w:bottom w:val="single" w:sz="4" w:space="0" w:color="auto"/>
              <w:right w:val="single" w:sz="4" w:space="0" w:color="auto"/>
            </w:tcBorders>
            <w:noWrap/>
            <w:vAlign w:val="bottom"/>
          </w:tcPr>
          <w:p w14:paraId="09737400" w14:textId="77293843"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572.961,00</w:t>
            </w:r>
          </w:p>
        </w:tc>
        <w:tc>
          <w:tcPr>
            <w:tcW w:w="1506" w:type="dxa"/>
            <w:tcBorders>
              <w:top w:val="nil"/>
              <w:left w:val="nil"/>
              <w:bottom w:val="single" w:sz="4" w:space="0" w:color="auto"/>
              <w:right w:val="single" w:sz="4" w:space="0" w:color="auto"/>
            </w:tcBorders>
            <w:noWrap/>
            <w:vAlign w:val="bottom"/>
          </w:tcPr>
          <w:p w14:paraId="2D35E32B" w14:textId="03EAC62C"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0672257A"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0758A0D2" w14:textId="4370FFDB"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650.802,04</w:t>
            </w:r>
          </w:p>
        </w:tc>
        <w:tc>
          <w:tcPr>
            <w:tcW w:w="1117" w:type="dxa"/>
            <w:tcBorders>
              <w:top w:val="nil"/>
              <w:left w:val="nil"/>
              <w:bottom w:val="single" w:sz="4" w:space="0" w:color="auto"/>
              <w:right w:val="single" w:sz="4" w:space="0" w:color="auto"/>
            </w:tcBorders>
            <w:noWrap/>
            <w:vAlign w:val="bottom"/>
          </w:tcPr>
          <w:p w14:paraId="6E1E549B" w14:textId="63FCFA46"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113,59</w:t>
            </w:r>
            <w:r w:rsidR="00877393">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1CA0A09E" w14:textId="3821F939" w:rsidR="007242BD" w:rsidRPr="006B06B9" w:rsidRDefault="001A2EC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64715E7C"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4FAECE5B"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lastRenderedPageBreak/>
              <w:t xml:space="preserve">653 Komunalni doprinosi i naknade                                                                       </w:t>
            </w:r>
          </w:p>
        </w:tc>
        <w:tc>
          <w:tcPr>
            <w:tcW w:w="1496" w:type="dxa"/>
            <w:tcBorders>
              <w:top w:val="nil"/>
              <w:left w:val="nil"/>
              <w:bottom w:val="single" w:sz="4" w:space="0" w:color="auto"/>
              <w:right w:val="single" w:sz="4" w:space="0" w:color="auto"/>
            </w:tcBorders>
            <w:noWrap/>
            <w:vAlign w:val="bottom"/>
          </w:tcPr>
          <w:p w14:paraId="002F4B42" w14:textId="57A70632"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2.791.547,85</w:t>
            </w:r>
          </w:p>
        </w:tc>
        <w:tc>
          <w:tcPr>
            <w:tcW w:w="1506" w:type="dxa"/>
            <w:tcBorders>
              <w:top w:val="nil"/>
              <w:left w:val="nil"/>
              <w:bottom w:val="single" w:sz="4" w:space="0" w:color="auto"/>
              <w:right w:val="single" w:sz="4" w:space="0" w:color="auto"/>
            </w:tcBorders>
            <w:noWrap/>
            <w:vAlign w:val="bottom"/>
          </w:tcPr>
          <w:p w14:paraId="3166E06B" w14:textId="0C98A594"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7D654DE0"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52BC409D" w14:textId="464F32E1"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3.201.939,23</w:t>
            </w:r>
          </w:p>
        </w:tc>
        <w:tc>
          <w:tcPr>
            <w:tcW w:w="1117" w:type="dxa"/>
            <w:tcBorders>
              <w:top w:val="nil"/>
              <w:left w:val="nil"/>
              <w:bottom w:val="single" w:sz="4" w:space="0" w:color="auto"/>
              <w:right w:val="single" w:sz="4" w:space="0" w:color="auto"/>
            </w:tcBorders>
            <w:noWrap/>
            <w:vAlign w:val="bottom"/>
          </w:tcPr>
          <w:p w14:paraId="1B07A3CD" w14:textId="3F2F7719"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114,70</w:t>
            </w:r>
            <w:r w:rsidR="00877393">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0F239E02" w14:textId="130D725E" w:rsidR="007242BD" w:rsidRPr="006B06B9" w:rsidRDefault="001A2EC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5DBAB754"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6C4297E1"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6531 Komunalni doprinosi                                                                                 </w:t>
            </w:r>
          </w:p>
        </w:tc>
        <w:tc>
          <w:tcPr>
            <w:tcW w:w="1496" w:type="dxa"/>
            <w:tcBorders>
              <w:top w:val="nil"/>
              <w:left w:val="nil"/>
              <w:bottom w:val="single" w:sz="4" w:space="0" w:color="auto"/>
              <w:right w:val="single" w:sz="4" w:space="0" w:color="auto"/>
            </w:tcBorders>
            <w:noWrap/>
            <w:vAlign w:val="bottom"/>
          </w:tcPr>
          <w:p w14:paraId="51C994F7" w14:textId="108EC64F"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1.113.976,61</w:t>
            </w:r>
          </w:p>
        </w:tc>
        <w:tc>
          <w:tcPr>
            <w:tcW w:w="1506" w:type="dxa"/>
            <w:tcBorders>
              <w:top w:val="nil"/>
              <w:left w:val="nil"/>
              <w:bottom w:val="single" w:sz="4" w:space="0" w:color="auto"/>
              <w:right w:val="single" w:sz="4" w:space="0" w:color="auto"/>
            </w:tcBorders>
            <w:noWrap/>
            <w:vAlign w:val="bottom"/>
          </w:tcPr>
          <w:p w14:paraId="3D6495E2" w14:textId="52E9567D"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1438957C"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56D6C3E2" w14:textId="254A28D2"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1.445.037,08</w:t>
            </w:r>
          </w:p>
        </w:tc>
        <w:tc>
          <w:tcPr>
            <w:tcW w:w="1117" w:type="dxa"/>
            <w:tcBorders>
              <w:top w:val="nil"/>
              <w:left w:val="nil"/>
              <w:bottom w:val="single" w:sz="4" w:space="0" w:color="auto"/>
              <w:right w:val="single" w:sz="4" w:space="0" w:color="auto"/>
            </w:tcBorders>
            <w:noWrap/>
            <w:vAlign w:val="bottom"/>
          </w:tcPr>
          <w:p w14:paraId="0825AB91" w14:textId="7C06EEB5"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129,72</w:t>
            </w:r>
            <w:r w:rsidR="00877393">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283393D2" w14:textId="2AA63208" w:rsidR="007242BD" w:rsidRPr="006B06B9" w:rsidRDefault="001A2EC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797015B2"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5F17FBC3"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6532 Komunalne naknade                                                                                   </w:t>
            </w:r>
          </w:p>
        </w:tc>
        <w:tc>
          <w:tcPr>
            <w:tcW w:w="1496" w:type="dxa"/>
            <w:tcBorders>
              <w:top w:val="nil"/>
              <w:left w:val="nil"/>
              <w:bottom w:val="single" w:sz="4" w:space="0" w:color="auto"/>
              <w:right w:val="single" w:sz="4" w:space="0" w:color="auto"/>
            </w:tcBorders>
            <w:noWrap/>
            <w:vAlign w:val="bottom"/>
          </w:tcPr>
          <w:p w14:paraId="36225769" w14:textId="2D3D11CB"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1.677.571,24</w:t>
            </w:r>
          </w:p>
        </w:tc>
        <w:tc>
          <w:tcPr>
            <w:tcW w:w="1506" w:type="dxa"/>
            <w:tcBorders>
              <w:top w:val="nil"/>
              <w:left w:val="nil"/>
              <w:bottom w:val="single" w:sz="4" w:space="0" w:color="auto"/>
              <w:right w:val="single" w:sz="4" w:space="0" w:color="auto"/>
            </w:tcBorders>
            <w:noWrap/>
            <w:vAlign w:val="bottom"/>
          </w:tcPr>
          <w:p w14:paraId="5E801C60" w14:textId="7792F9FB"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6F48010F"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73CD88C8" w14:textId="39E2F365"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1.756.902,15</w:t>
            </w:r>
          </w:p>
        </w:tc>
        <w:tc>
          <w:tcPr>
            <w:tcW w:w="1117" w:type="dxa"/>
            <w:tcBorders>
              <w:top w:val="nil"/>
              <w:left w:val="nil"/>
              <w:bottom w:val="single" w:sz="4" w:space="0" w:color="auto"/>
              <w:right w:val="single" w:sz="4" w:space="0" w:color="auto"/>
            </w:tcBorders>
            <w:noWrap/>
            <w:vAlign w:val="bottom"/>
          </w:tcPr>
          <w:p w14:paraId="2F054ECD" w14:textId="783E0BB9" w:rsidR="007242BD" w:rsidRPr="006B06B9" w:rsidRDefault="001F0D2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104,73</w:t>
            </w:r>
            <w:r w:rsidR="00877393">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79ACE8E8" w14:textId="7EE70835" w:rsidR="007242BD" w:rsidRPr="006B06B9" w:rsidRDefault="001A2EC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4D135056" w14:textId="77777777" w:rsidTr="006C671D">
        <w:trPr>
          <w:trHeight w:val="504"/>
        </w:trPr>
        <w:tc>
          <w:tcPr>
            <w:tcW w:w="3367" w:type="dxa"/>
            <w:tcBorders>
              <w:top w:val="single" w:sz="4" w:space="0" w:color="auto"/>
              <w:left w:val="single" w:sz="4" w:space="0" w:color="auto"/>
              <w:bottom w:val="single" w:sz="4" w:space="0" w:color="auto"/>
              <w:right w:val="single" w:sz="4" w:space="0" w:color="auto"/>
            </w:tcBorders>
            <w:vAlign w:val="bottom"/>
            <w:hideMark/>
          </w:tcPr>
          <w:p w14:paraId="5BFD52F6" w14:textId="77B2333F" w:rsidR="007242BD" w:rsidRPr="006B06B9" w:rsidRDefault="007242BD"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66 Prihodi od prodaje proizvoda i robe te pruženih usluga i prihodi od donacija</w:t>
            </w:r>
            <w:r w:rsidR="00166AAE">
              <w:rPr>
                <w:rFonts w:ascii="Arial" w:eastAsia="Times New Roman" w:hAnsi="Arial" w:cs="Arial"/>
                <w:b/>
                <w:bCs/>
                <w:sz w:val="20"/>
                <w:szCs w:val="20"/>
                <w:lang w:eastAsia="hr-HR"/>
              </w:rPr>
              <w:t xml:space="preserve"> te povrati po protestiranim jamstvima</w:t>
            </w:r>
          </w:p>
        </w:tc>
        <w:tc>
          <w:tcPr>
            <w:tcW w:w="1496" w:type="dxa"/>
            <w:tcBorders>
              <w:top w:val="nil"/>
              <w:left w:val="nil"/>
              <w:bottom w:val="single" w:sz="4" w:space="0" w:color="auto"/>
              <w:right w:val="single" w:sz="4" w:space="0" w:color="auto"/>
            </w:tcBorders>
            <w:noWrap/>
            <w:vAlign w:val="bottom"/>
          </w:tcPr>
          <w:p w14:paraId="2064869A" w14:textId="052D537C" w:rsidR="007242BD" w:rsidRPr="006B06B9" w:rsidRDefault="00166AAE"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123.706,38</w:t>
            </w:r>
          </w:p>
        </w:tc>
        <w:tc>
          <w:tcPr>
            <w:tcW w:w="1506" w:type="dxa"/>
            <w:tcBorders>
              <w:top w:val="nil"/>
              <w:left w:val="nil"/>
              <w:bottom w:val="single" w:sz="4" w:space="0" w:color="auto"/>
              <w:right w:val="single" w:sz="4" w:space="0" w:color="auto"/>
            </w:tcBorders>
            <w:noWrap/>
            <w:vAlign w:val="bottom"/>
          </w:tcPr>
          <w:p w14:paraId="4B8C969D" w14:textId="35A72734" w:rsidR="007242BD" w:rsidRPr="006B06B9" w:rsidRDefault="00166AAE"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149.829,00</w:t>
            </w:r>
          </w:p>
        </w:tc>
        <w:tc>
          <w:tcPr>
            <w:tcW w:w="1496" w:type="dxa"/>
            <w:tcBorders>
              <w:top w:val="single" w:sz="4" w:space="0" w:color="auto"/>
              <w:left w:val="nil"/>
              <w:bottom w:val="single" w:sz="4" w:space="0" w:color="auto"/>
              <w:right w:val="single" w:sz="4" w:space="0" w:color="auto"/>
            </w:tcBorders>
            <w:vAlign w:val="bottom"/>
          </w:tcPr>
          <w:p w14:paraId="79836D85" w14:textId="58DA4990" w:rsidR="007242BD" w:rsidRPr="006B06B9" w:rsidRDefault="00166AAE"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149.829,00</w:t>
            </w:r>
          </w:p>
        </w:tc>
        <w:tc>
          <w:tcPr>
            <w:tcW w:w="1600" w:type="dxa"/>
            <w:tcBorders>
              <w:top w:val="nil"/>
              <w:left w:val="single" w:sz="4" w:space="0" w:color="auto"/>
              <w:bottom w:val="single" w:sz="4" w:space="0" w:color="auto"/>
              <w:right w:val="single" w:sz="4" w:space="0" w:color="auto"/>
            </w:tcBorders>
            <w:noWrap/>
            <w:vAlign w:val="bottom"/>
          </w:tcPr>
          <w:p w14:paraId="6B7AE89D" w14:textId="38B29D9A" w:rsidR="007242BD" w:rsidRPr="006B06B9" w:rsidRDefault="00166AAE"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121.716,76</w:t>
            </w:r>
          </w:p>
        </w:tc>
        <w:tc>
          <w:tcPr>
            <w:tcW w:w="1117" w:type="dxa"/>
            <w:tcBorders>
              <w:top w:val="nil"/>
              <w:left w:val="nil"/>
              <w:bottom w:val="single" w:sz="4" w:space="0" w:color="auto"/>
              <w:right w:val="single" w:sz="4" w:space="0" w:color="auto"/>
            </w:tcBorders>
            <w:noWrap/>
            <w:vAlign w:val="bottom"/>
          </w:tcPr>
          <w:p w14:paraId="653AB83C" w14:textId="71E394D4" w:rsidR="007242BD" w:rsidRPr="006B06B9" w:rsidRDefault="00166AAE"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98,39</w:t>
            </w:r>
            <w:r w:rsidR="00877393">
              <w:rPr>
                <w:rFonts w:ascii="Arial" w:eastAsia="Times New Roman" w:hAnsi="Arial" w:cs="Arial"/>
                <w:b/>
                <w:bCs/>
                <w:sz w:val="20"/>
                <w:szCs w:val="20"/>
                <w:lang w:eastAsia="hr-HR"/>
              </w:rPr>
              <w:t>%</w:t>
            </w:r>
          </w:p>
        </w:tc>
        <w:tc>
          <w:tcPr>
            <w:tcW w:w="1006" w:type="dxa"/>
            <w:tcBorders>
              <w:top w:val="nil"/>
              <w:left w:val="nil"/>
              <w:bottom w:val="single" w:sz="4" w:space="0" w:color="auto"/>
              <w:right w:val="single" w:sz="4" w:space="0" w:color="auto"/>
            </w:tcBorders>
            <w:noWrap/>
            <w:vAlign w:val="bottom"/>
          </w:tcPr>
          <w:p w14:paraId="18BAB08A" w14:textId="74A5763E" w:rsidR="007242BD" w:rsidRPr="006B06B9" w:rsidRDefault="00166AAE"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81,24</w:t>
            </w:r>
            <w:r w:rsidR="001A2EC9">
              <w:rPr>
                <w:rFonts w:ascii="Arial" w:eastAsia="Times New Roman" w:hAnsi="Arial" w:cs="Arial"/>
                <w:b/>
                <w:bCs/>
                <w:sz w:val="20"/>
                <w:szCs w:val="20"/>
                <w:lang w:eastAsia="hr-HR"/>
              </w:rPr>
              <w:t>%</w:t>
            </w:r>
          </w:p>
        </w:tc>
      </w:tr>
      <w:tr w:rsidR="00EB4F8D" w:rsidRPr="006B06B9" w14:paraId="70AA8782" w14:textId="77777777" w:rsidTr="006C671D">
        <w:trPr>
          <w:trHeight w:val="549"/>
        </w:trPr>
        <w:tc>
          <w:tcPr>
            <w:tcW w:w="3367" w:type="dxa"/>
            <w:tcBorders>
              <w:top w:val="single" w:sz="4" w:space="0" w:color="auto"/>
              <w:left w:val="single" w:sz="4" w:space="0" w:color="auto"/>
              <w:bottom w:val="single" w:sz="4" w:space="0" w:color="auto"/>
              <w:right w:val="single" w:sz="4" w:space="0" w:color="auto"/>
            </w:tcBorders>
            <w:vAlign w:val="bottom"/>
            <w:hideMark/>
          </w:tcPr>
          <w:p w14:paraId="78FDC18A"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661 Prihodi od prodaje proizvoda i robe te pruženih usluga</w:t>
            </w:r>
          </w:p>
        </w:tc>
        <w:tc>
          <w:tcPr>
            <w:tcW w:w="1496" w:type="dxa"/>
            <w:tcBorders>
              <w:top w:val="nil"/>
              <w:left w:val="nil"/>
              <w:bottom w:val="single" w:sz="4" w:space="0" w:color="auto"/>
              <w:right w:val="single" w:sz="4" w:space="0" w:color="auto"/>
            </w:tcBorders>
            <w:noWrap/>
            <w:vAlign w:val="bottom"/>
          </w:tcPr>
          <w:p w14:paraId="39F6C438" w14:textId="380CB1DD" w:rsidR="001A2EC9" w:rsidRPr="006B06B9" w:rsidRDefault="00166AA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115.268,02</w:t>
            </w:r>
          </w:p>
        </w:tc>
        <w:tc>
          <w:tcPr>
            <w:tcW w:w="1506" w:type="dxa"/>
            <w:tcBorders>
              <w:top w:val="nil"/>
              <w:left w:val="nil"/>
              <w:bottom w:val="single" w:sz="4" w:space="0" w:color="auto"/>
              <w:right w:val="single" w:sz="4" w:space="0" w:color="auto"/>
            </w:tcBorders>
            <w:noWrap/>
            <w:vAlign w:val="bottom"/>
          </w:tcPr>
          <w:p w14:paraId="4AD26033" w14:textId="3B8C57F8"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19DE849E"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03C165CA" w14:textId="02B9ABF6" w:rsidR="007242BD" w:rsidRPr="006B06B9" w:rsidRDefault="00166AA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114.295,47</w:t>
            </w:r>
          </w:p>
        </w:tc>
        <w:tc>
          <w:tcPr>
            <w:tcW w:w="1117" w:type="dxa"/>
            <w:tcBorders>
              <w:top w:val="nil"/>
              <w:left w:val="nil"/>
              <w:bottom w:val="single" w:sz="4" w:space="0" w:color="auto"/>
              <w:right w:val="single" w:sz="4" w:space="0" w:color="auto"/>
            </w:tcBorders>
            <w:noWrap/>
            <w:vAlign w:val="bottom"/>
          </w:tcPr>
          <w:p w14:paraId="2D6AA105" w14:textId="0FBB1A6F" w:rsidR="007242BD" w:rsidRPr="006B06B9" w:rsidRDefault="00166AA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99,16</w:t>
            </w:r>
            <w:r w:rsidR="00877393">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6EAFFDDA" w14:textId="78717678" w:rsidR="007242BD" w:rsidRPr="006B06B9" w:rsidRDefault="003D34C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19ACA810"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591D750B"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6614 Prihodi od prodaje proizvoda i robe </w:t>
            </w:r>
          </w:p>
        </w:tc>
        <w:tc>
          <w:tcPr>
            <w:tcW w:w="1496" w:type="dxa"/>
            <w:tcBorders>
              <w:top w:val="nil"/>
              <w:left w:val="nil"/>
              <w:bottom w:val="single" w:sz="4" w:space="0" w:color="auto"/>
              <w:right w:val="single" w:sz="4" w:space="0" w:color="auto"/>
            </w:tcBorders>
            <w:noWrap/>
            <w:vAlign w:val="bottom"/>
          </w:tcPr>
          <w:p w14:paraId="5A2019B6" w14:textId="256AB68C" w:rsidR="007242BD" w:rsidRPr="006B06B9" w:rsidRDefault="00166AA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2.213,93</w:t>
            </w:r>
          </w:p>
        </w:tc>
        <w:tc>
          <w:tcPr>
            <w:tcW w:w="1506" w:type="dxa"/>
            <w:tcBorders>
              <w:top w:val="nil"/>
              <w:left w:val="nil"/>
              <w:bottom w:val="single" w:sz="4" w:space="0" w:color="auto"/>
              <w:right w:val="single" w:sz="4" w:space="0" w:color="auto"/>
            </w:tcBorders>
            <w:noWrap/>
            <w:vAlign w:val="bottom"/>
          </w:tcPr>
          <w:p w14:paraId="1C87387B" w14:textId="26BCDE98"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73C2E508"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0A8E869A" w14:textId="407DF392" w:rsidR="007242BD" w:rsidRPr="006B06B9" w:rsidRDefault="00166AA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2.079,49</w:t>
            </w:r>
          </w:p>
        </w:tc>
        <w:tc>
          <w:tcPr>
            <w:tcW w:w="1117" w:type="dxa"/>
            <w:tcBorders>
              <w:top w:val="nil"/>
              <w:left w:val="nil"/>
              <w:bottom w:val="single" w:sz="4" w:space="0" w:color="auto"/>
              <w:right w:val="single" w:sz="4" w:space="0" w:color="auto"/>
            </w:tcBorders>
            <w:noWrap/>
            <w:vAlign w:val="bottom"/>
          </w:tcPr>
          <w:p w14:paraId="18CE731A" w14:textId="68060E55" w:rsidR="007242BD" w:rsidRPr="006B06B9" w:rsidRDefault="00166AA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93,93</w:t>
            </w:r>
            <w:r w:rsidR="00877393">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432265EA" w14:textId="16B10BEE" w:rsidR="007242BD" w:rsidRPr="006B06B9" w:rsidRDefault="003D34C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31AC132C"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0FB8306D"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6615 Prihodi od pruženih usluga                                                                          </w:t>
            </w:r>
          </w:p>
        </w:tc>
        <w:tc>
          <w:tcPr>
            <w:tcW w:w="1496" w:type="dxa"/>
            <w:tcBorders>
              <w:top w:val="nil"/>
              <w:left w:val="nil"/>
              <w:bottom w:val="single" w:sz="4" w:space="0" w:color="auto"/>
              <w:right w:val="single" w:sz="4" w:space="0" w:color="auto"/>
            </w:tcBorders>
            <w:noWrap/>
            <w:vAlign w:val="bottom"/>
          </w:tcPr>
          <w:p w14:paraId="28268B6F" w14:textId="765FA5C9" w:rsidR="007242BD" w:rsidRPr="006B06B9" w:rsidRDefault="00166AA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113.054,09</w:t>
            </w:r>
          </w:p>
        </w:tc>
        <w:tc>
          <w:tcPr>
            <w:tcW w:w="1506" w:type="dxa"/>
            <w:tcBorders>
              <w:top w:val="nil"/>
              <w:left w:val="nil"/>
              <w:bottom w:val="single" w:sz="4" w:space="0" w:color="auto"/>
              <w:right w:val="single" w:sz="4" w:space="0" w:color="auto"/>
            </w:tcBorders>
            <w:noWrap/>
            <w:vAlign w:val="bottom"/>
          </w:tcPr>
          <w:p w14:paraId="69BFDFE3" w14:textId="1684829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2B5E494E"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00FCFB02" w14:textId="1961D1C1" w:rsidR="007242BD" w:rsidRPr="006B06B9" w:rsidRDefault="00166AA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112.215,98</w:t>
            </w:r>
          </w:p>
        </w:tc>
        <w:tc>
          <w:tcPr>
            <w:tcW w:w="1117" w:type="dxa"/>
            <w:tcBorders>
              <w:top w:val="nil"/>
              <w:left w:val="nil"/>
              <w:bottom w:val="single" w:sz="4" w:space="0" w:color="auto"/>
              <w:right w:val="single" w:sz="4" w:space="0" w:color="auto"/>
            </w:tcBorders>
            <w:noWrap/>
            <w:vAlign w:val="bottom"/>
          </w:tcPr>
          <w:p w14:paraId="043632A7" w14:textId="2EEF9722" w:rsidR="007242BD" w:rsidRPr="006B06B9" w:rsidRDefault="00166AA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99,26</w:t>
            </w:r>
            <w:r w:rsidR="00877393">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2E41E99E" w14:textId="6C0B2EC1" w:rsidR="007242BD" w:rsidRPr="006B06B9" w:rsidRDefault="003D34C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6A74DFDB" w14:textId="77777777" w:rsidTr="006C671D">
        <w:trPr>
          <w:trHeight w:val="504"/>
        </w:trPr>
        <w:tc>
          <w:tcPr>
            <w:tcW w:w="3367" w:type="dxa"/>
            <w:tcBorders>
              <w:top w:val="single" w:sz="4" w:space="0" w:color="auto"/>
              <w:left w:val="single" w:sz="4" w:space="0" w:color="auto"/>
              <w:bottom w:val="single" w:sz="4" w:space="0" w:color="auto"/>
              <w:right w:val="single" w:sz="4" w:space="0" w:color="auto"/>
            </w:tcBorders>
            <w:vAlign w:val="bottom"/>
            <w:hideMark/>
          </w:tcPr>
          <w:p w14:paraId="31683F16" w14:textId="1CC12168"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663 Donacije od pravnih i fizičkih osoba izvan općeg proračuna </w:t>
            </w:r>
            <w:r w:rsidR="00725922">
              <w:rPr>
                <w:rFonts w:ascii="Arial" w:eastAsia="Times New Roman" w:hAnsi="Arial" w:cs="Arial"/>
                <w:sz w:val="20"/>
                <w:szCs w:val="20"/>
                <w:lang w:eastAsia="hr-HR"/>
              </w:rPr>
              <w:t>te</w:t>
            </w:r>
            <w:r w:rsidRPr="006B06B9">
              <w:rPr>
                <w:rFonts w:ascii="Arial" w:eastAsia="Times New Roman" w:hAnsi="Arial" w:cs="Arial"/>
                <w:sz w:val="20"/>
                <w:szCs w:val="20"/>
                <w:lang w:eastAsia="hr-HR"/>
              </w:rPr>
              <w:t xml:space="preserve"> povrat donacija</w:t>
            </w:r>
            <w:r w:rsidR="00166AAE">
              <w:rPr>
                <w:rFonts w:ascii="Arial" w:eastAsia="Times New Roman" w:hAnsi="Arial" w:cs="Arial"/>
                <w:sz w:val="20"/>
                <w:szCs w:val="20"/>
                <w:lang w:eastAsia="hr-HR"/>
              </w:rPr>
              <w:t xml:space="preserve"> i kapitalnih pomoći</w:t>
            </w:r>
            <w:r w:rsidRPr="006B06B9">
              <w:rPr>
                <w:rFonts w:ascii="Arial" w:eastAsia="Times New Roman" w:hAnsi="Arial" w:cs="Arial"/>
                <w:sz w:val="20"/>
                <w:szCs w:val="20"/>
                <w:lang w:eastAsia="hr-HR"/>
              </w:rPr>
              <w:t xml:space="preserve"> po protestiranim jamstvima </w:t>
            </w:r>
          </w:p>
        </w:tc>
        <w:tc>
          <w:tcPr>
            <w:tcW w:w="1496" w:type="dxa"/>
            <w:tcBorders>
              <w:top w:val="nil"/>
              <w:left w:val="nil"/>
              <w:bottom w:val="single" w:sz="4" w:space="0" w:color="auto"/>
              <w:right w:val="single" w:sz="4" w:space="0" w:color="auto"/>
            </w:tcBorders>
            <w:noWrap/>
            <w:vAlign w:val="bottom"/>
          </w:tcPr>
          <w:p w14:paraId="074904C0" w14:textId="61EA460C" w:rsidR="007242BD" w:rsidRPr="006B06B9" w:rsidRDefault="00166AA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8.438,36</w:t>
            </w:r>
          </w:p>
        </w:tc>
        <w:tc>
          <w:tcPr>
            <w:tcW w:w="1506" w:type="dxa"/>
            <w:tcBorders>
              <w:top w:val="nil"/>
              <w:left w:val="nil"/>
              <w:bottom w:val="single" w:sz="4" w:space="0" w:color="auto"/>
              <w:right w:val="single" w:sz="4" w:space="0" w:color="auto"/>
            </w:tcBorders>
            <w:noWrap/>
            <w:vAlign w:val="bottom"/>
          </w:tcPr>
          <w:p w14:paraId="1747FC1A" w14:textId="2E01DAB9"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3477C4C6"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3F9F3212" w14:textId="0CF12DFA" w:rsidR="007242BD" w:rsidRPr="006B06B9" w:rsidRDefault="00166AA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7.421,29</w:t>
            </w:r>
          </w:p>
        </w:tc>
        <w:tc>
          <w:tcPr>
            <w:tcW w:w="1117" w:type="dxa"/>
            <w:tcBorders>
              <w:top w:val="nil"/>
              <w:left w:val="nil"/>
              <w:bottom w:val="single" w:sz="4" w:space="0" w:color="auto"/>
              <w:right w:val="single" w:sz="4" w:space="0" w:color="auto"/>
            </w:tcBorders>
            <w:noWrap/>
            <w:vAlign w:val="bottom"/>
          </w:tcPr>
          <w:p w14:paraId="5950BCB5" w14:textId="3E83D1C8" w:rsidR="007242BD" w:rsidRPr="006B06B9" w:rsidRDefault="00166AA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87,95</w:t>
            </w:r>
            <w:r w:rsidR="00DA34B6">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09645DF3" w14:textId="6BE76D49" w:rsidR="007242BD" w:rsidRPr="006B06B9" w:rsidRDefault="003D34C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3D34C7" w:rsidRPr="006B06B9" w14:paraId="733FFBB1"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tcPr>
          <w:p w14:paraId="3722E7D8" w14:textId="746867D1" w:rsidR="003D34C7" w:rsidRPr="006B06B9" w:rsidRDefault="003D34C7" w:rsidP="006B06B9">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 xml:space="preserve">6632 Kapitalne donacije </w:t>
            </w:r>
          </w:p>
        </w:tc>
        <w:tc>
          <w:tcPr>
            <w:tcW w:w="1496" w:type="dxa"/>
            <w:tcBorders>
              <w:top w:val="nil"/>
              <w:left w:val="nil"/>
              <w:bottom w:val="single" w:sz="4" w:space="0" w:color="auto"/>
              <w:right w:val="single" w:sz="4" w:space="0" w:color="auto"/>
            </w:tcBorders>
            <w:noWrap/>
            <w:vAlign w:val="bottom"/>
          </w:tcPr>
          <w:p w14:paraId="51251BF7" w14:textId="07AA8ECF" w:rsidR="003D34C7" w:rsidRDefault="00166AA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8.438,36</w:t>
            </w:r>
          </w:p>
        </w:tc>
        <w:tc>
          <w:tcPr>
            <w:tcW w:w="1506" w:type="dxa"/>
            <w:tcBorders>
              <w:top w:val="nil"/>
              <w:left w:val="nil"/>
              <w:bottom w:val="single" w:sz="4" w:space="0" w:color="auto"/>
              <w:right w:val="single" w:sz="4" w:space="0" w:color="auto"/>
            </w:tcBorders>
            <w:noWrap/>
            <w:vAlign w:val="bottom"/>
          </w:tcPr>
          <w:p w14:paraId="17AEAC0C" w14:textId="77777777" w:rsidR="003D34C7" w:rsidRPr="006B06B9" w:rsidRDefault="003D34C7"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230B0F9E" w14:textId="77777777" w:rsidR="003D34C7" w:rsidRPr="006B06B9" w:rsidRDefault="003D34C7"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7A62F045" w14:textId="3D222747" w:rsidR="003D34C7" w:rsidRDefault="00166AA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7.421,29</w:t>
            </w:r>
          </w:p>
        </w:tc>
        <w:tc>
          <w:tcPr>
            <w:tcW w:w="1117" w:type="dxa"/>
            <w:tcBorders>
              <w:top w:val="nil"/>
              <w:left w:val="nil"/>
              <w:bottom w:val="single" w:sz="4" w:space="0" w:color="auto"/>
              <w:right w:val="single" w:sz="4" w:space="0" w:color="auto"/>
            </w:tcBorders>
            <w:noWrap/>
            <w:vAlign w:val="bottom"/>
          </w:tcPr>
          <w:p w14:paraId="40A87908" w14:textId="104C090C" w:rsidR="003D34C7" w:rsidRDefault="00166AAE" w:rsidP="003D34C7">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 xml:space="preserve">    87,95</w:t>
            </w:r>
            <w:r w:rsidR="00DA34B6">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1A380C63" w14:textId="47100391" w:rsidR="003D34C7" w:rsidRDefault="003D34C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3D34C7" w:rsidRPr="006B06B9" w14:paraId="47ED30A3" w14:textId="77777777" w:rsidTr="00166AAE">
        <w:trPr>
          <w:trHeight w:val="251"/>
        </w:trPr>
        <w:tc>
          <w:tcPr>
            <w:tcW w:w="3367" w:type="dxa"/>
            <w:tcBorders>
              <w:top w:val="single" w:sz="4" w:space="0" w:color="auto"/>
              <w:left w:val="single" w:sz="4" w:space="0" w:color="auto"/>
              <w:bottom w:val="single" w:sz="4" w:space="0" w:color="auto"/>
              <w:right w:val="single" w:sz="4" w:space="0" w:color="auto"/>
            </w:tcBorders>
            <w:noWrap/>
            <w:vAlign w:val="bottom"/>
          </w:tcPr>
          <w:p w14:paraId="4DAF0C92" w14:textId="152C1F65" w:rsidR="003D34C7" w:rsidRDefault="003D34C7" w:rsidP="006B06B9">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67 Prihodi iz nadležnog proračuna i od HZZO-a na temelju ugovornih obveza</w:t>
            </w:r>
          </w:p>
        </w:tc>
        <w:tc>
          <w:tcPr>
            <w:tcW w:w="1496" w:type="dxa"/>
            <w:tcBorders>
              <w:top w:val="nil"/>
              <w:left w:val="nil"/>
              <w:bottom w:val="single" w:sz="4" w:space="0" w:color="auto"/>
              <w:right w:val="single" w:sz="4" w:space="0" w:color="auto"/>
            </w:tcBorders>
            <w:noWrap/>
            <w:vAlign w:val="bottom"/>
          </w:tcPr>
          <w:p w14:paraId="4F8224AA" w14:textId="5C26920D" w:rsidR="003D34C7" w:rsidRDefault="00166AA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506" w:type="dxa"/>
            <w:tcBorders>
              <w:top w:val="nil"/>
              <w:left w:val="nil"/>
              <w:bottom w:val="single" w:sz="4" w:space="0" w:color="auto"/>
              <w:right w:val="single" w:sz="4" w:space="0" w:color="auto"/>
            </w:tcBorders>
            <w:noWrap/>
            <w:vAlign w:val="bottom"/>
          </w:tcPr>
          <w:p w14:paraId="4EC56F9D" w14:textId="7D66B21E" w:rsidR="003D34C7" w:rsidRPr="006B06B9" w:rsidRDefault="00166AA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2.926,00</w:t>
            </w:r>
          </w:p>
        </w:tc>
        <w:tc>
          <w:tcPr>
            <w:tcW w:w="1496" w:type="dxa"/>
            <w:tcBorders>
              <w:top w:val="single" w:sz="4" w:space="0" w:color="auto"/>
              <w:left w:val="nil"/>
              <w:bottom w:val="single" w:sz="4" w:space="0" w:color="auto"/>
              <w:right w:val="single" w:sz="4" w:space="0" w:color="auto"/>
            </w:tcBorders>
            <w:vAlign w:val="bottom"/>
          </w:tcPr>
          <w:p w14:paraId="0757BC6B" w14:textId="455DA611" w:rsidR="003D34C7" w:rsidRPr="006B06B9" w:rsidRDefault="00166AA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2.926,00</w:t>
            </w:r>
          </w:p>
        </w:tc>
        <w:tc>
          <w:tcPr>
            <w:tcW w:w="1600" w:type="dxa"/>
            <w:tcBorders>
              <w:top w:val="nil"/>
              <w:left w:val="single" w:sz="4" w:space="0" w:color="auto"/>
              <w:bottom w:val="single" w:sz="4" w:space="0" w:color="auto"/>
              <w:right w:val="single" w:sz="4" w:space="0" w:color="auto"/>
            </w:tcBorders>
            <w:noWrap/>
            <w:vAlign w:val="bottom"/>
          </w:tcPr>
          <w:p w14:paraId="4BE41B4E" w14:textId="0A1A5684" w:rsidR="003D34C7" w:rsidRDefault="00DA34B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117" w:type="dxa"/>
            <w:tcBorders>
              <w:top w:val="nil"/>
              <w:left w:val="nil"/>
              <w:bottom w:val="single" w:sz="4" w:space="0" w:color="auto"/>
              <w:right w:val="single" w:sz="4" w:space="0" w:color="auto"/>
            </w:tcBorders>
            <w:noWrap/>
            <w:vAlign w:val="bottom"/>
          </w:tcPr>
          <w:p w14:paraId="08F84F4A" w14:textId="661B80C9" w:rsidR="003D34C7" w:rsidRDefault="003D34C7" w:rsidP="003D34C7">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39067617" w14:textId="48289D80" w:rsidR="003D34C7" w:rsidRDefault="003D34C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77CE6D64"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5CB26296" w14:textId="77777777" w:rsidR="007242BD" w:rsidRPr="006B06B9" w:rsidRDefault="007242BD"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 xml:space="preserve">68 Kazne, upravne mjere i ostali prihodi                                                               </w:t>
            </w:r>
          </w:p>
        </w:tc>
        <w:tc>
          <w:tcPr>
            <w:tcW w:w="1496" w:type="dxa"/>
            <w:tcBorders>
              <w:top w:val="nil"/>
              <w:left w:val="nil"/>
              <w:bottom w:val="single" w:sz="4" w:space="0" w:color="auto"/>
              <w:right w:val="single" w:sz="4" w:space="0" w:color="auto"/>
            </w:tcBorders>
            <w:noWrap/>
            <w:vAlign w:val="bottom"/>
          </w:tcPr>
          <w:p w14:paraId="427D0B67" w14:textId="6CBC891B" w:rsidR="007242BD" w:rsidRPr="006B06B9" w:rsidRDefault="00166AAE"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79.758,08</w:t>
            </w:r>
          </w:p>
        </w:tc>
        <w:tc>
          <w:tcPr>
            <w:tcW w:w="1506" w:type="dxa"/>
            <w:tcBorders>
              <w:top w:val="nil"/>
              <w:left w:val="nil"/>
              <w:bottom w:val="single" w:sz="4" w:space="0" w:color="auto"/>
              <w:right w:val="single" w:sz="4" w:space="0" w:color="auto"/>
            </w:tcBorders>
            <w:noWrap/>
            <w:vAlign w:val="bottom"/>
          </w:tcPr>
          <w:p w14:paraId="522B525F" w14:textId="13E113BE" w:rsidR="007242BD" w:rsidRPr="006B06B9" w:rsidRDefault="00166AAE"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208.021,85</w:t>
            </w:r>
          </w:p>
        </w:tc>
        <w:tc>
          <w:tcPr>
            <w:tcW w:w="1496" w:type="dxa"/>
            <w:tcBorders>
              <w:top w:val="single" w:sz="4" w:space="0" w:color="auto"/>
              <w:left w:val="nil"/>
              <w:bottom w:val="single" w:sz="4" w:space="0" w:color="auto"/>
              <w:right w:val="single" w:sz="4" w:space="0" w:color="auto"/>
            </w:tcBorders>
            <w:vAlign w:val="bottom"/>
          </w:tcPr>
          <w:p w14:paraId="4468B6F4" w14:textId="25FB723A" w:rsidR="007242BD" w:rsidRPr="006B06B9" w:rsidRDefault="00166AAE"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208.021,85</w:t>
            </w:r>
          </w:p>
        </w:tc>
        <w:tc>
          <w:tcPr>
            <w:tcW w:w="1600" w:type="dxa"/>
            <w:tcBorders>
              <w:top w:val="nil"/>
              <w:left w:val="single" w:sz="4" w:space="0" w:color="auto"/>
              <w:bottom w:val="single" w:sz="4" w:space="0" w:color="auto"/>
              <w:right w:val="single" w:sz="4" w:space="0" w:color="auto"/>
            </w:tcBorders>
            <w:noWrap/>
            <w:vAlign w:val="bottom"/>
          </w:tcPr>
          <w:p w14:paraId="6303EC30" w14:textId="13A2F3F6" w:rsidR="007242BD" w:rsidRPr="006B06B9" w:rsidRDefault="00166AAE"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167.175,02</w:t>
            </w:r>
          </w:p>
        </w:tc>
        <w:tc>
          <w:tcPr>
            <w:tcW w:w="1117" w:type="dxa"/>
            <w:tcBorders>
              <w:top w:val="nil"/>
              <w:left w:val="nil"/>
              <w:bottom w:val="single" w:sz="4" w:space="0" w:color="auto"/>
              <w:right w:val="single" w:sz="4" w:space="0" w:color="auto"/>
            </w:tcBorders>
            <w:noWrap/>
            <w:vAlign w:val="bottom"/>
          </w:tcPr>
          <w:p w14:paraId="2888D9EF" w14:textId="4431F3F4" w:rsidR="007242BD" w:rsidRPr="006B06B9" w:rsidRDefault="00166AAE"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209,60</w:t>
            </w:r>
            <w:r w:rsidR="00DA34B6">
              <w:rPr>
                <w:rFonts w:ascii="Arial" w:eastAsia="Times New Roman" w:hAnsi="Arial" w:cs="Arial"/>
                <w:b/>
                <w:bCs/>
                <w:sz w:val="20"/>
                <w:szCs w:val="20"/>
                <w:lang w:eastAsia="hr-HR"/>
              </w:rPr>
              <w:t>%</w:t>
            </w:r>
          </w:p>
        </w:tc>
        <w:tc>
          <w:tcPr>
            <w:tcW w:w="1006" w:type="dxa"/>
            <w:tcBorders>
              <w:top w:val="nil"/>
              <w:left w:val="nil"/>
              <w:bottom w:val="single" w:sz="4" w:space="0" w:color="auto"/>
              <w:right w:val="single" w:sz="4" w:space="0" w:color="auto"/>
            </w:tcBorders>
            <w:noWrap/>
            <w:vAlign w:val="bottom"/>
          </w:tcPr>
          <w:p w14:paraId="251D8044" w14:textId="5B0628CE" w:rsidR="007242BD" w:rsidRPr="006B06B9" w:rsidRDefault="00166AAE"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80,36</w:t>
            </w:r>
            <w:r w:rsidR="00DA34B6">
              <w:rPr>
                <w:rFonts w:ascii="Arial" w:eastAsia="Times New Roman" w:hAnsi="Arial" w:cs="Arial"/>
                <w:b/>
                <w:bCs/>
                <w:sz w:val="20"/>
                <w:szCs w:val="20"/>
                <w:lang w:eastAsia="hr-HR"/>
              </w:rPr>
              <w:t>%</w:t>
            </w:r>
          </w:p>
        </w:tc>
      </w:tr>
      <w:tr w:rsidR="00EB4F8D" w:rsidRPr="006B06B9" w14:paraId="2CB6EFA1"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45479A7A"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681 Kazne i upravne mjere                                                                               </w:t>
            </w:r>
          </w:p>
        </w:tc>
        <w:tc>
          <w:tcPr>
            <w:tcW w:w="1496" w:type="dxa"/>
            <w:tcBorders>
              <w:top w:val="nil"/>
              <w:left w:val="nil"/>
              <w:bottom w:val="single" w:sz="4" w:space="0" w:color="auto"/>
              <w:right w:val="single" w:sz="4" w:space="0" w:color="auto"/>
            </w:tcBorders>
            <w:noWrap/>
            <w:vAlign w:val="bottom"/>
          </w:tcPr>
          <w:p w14:paraId="66FE0B9E" w14:textId="72BD8660" w:rsidR="007242BD" w:rsidRPr="006B06B9" w:rsidRDefault="00166AA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41.167,18</w:t>
            </w:r>
          </w:p>
        </w:tc>
        <w:tc>
          <w:tcPr>
            <w:tcW w:w="1506" w:type="dxa"/>
            <w:tcBorders>
              <w:top w:val="nil"/>
              <w:left w:val="nil"/>
              <w:bottom w:val="single" w:sz="4" w:space="0" w:color="auto"/>
              <w:right w:val="single" w:sz="4" w:space="0" w:color="auto"/>
            </w:tcBorders>
            <w:noWrap/>
            <w:vAlign w:val="bottom"/>
          </w:tcPr>
          <w:p w14:paraId="3B10894F" w14:textId="732E0089"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2252121D"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04707E89" w14:textId="0B833C87" w:rsidR="007242BD" w:rsidRPr="006B06B9" w:rsidRDefault="00166AA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166.511,41</w:t>
            </w:r>
          </w:p>
        </w:tc>
        <w:tc>
          <w:tcPr>
            <w:tcW w:w="1117" w:type="dxa"/>
            <w:tcBorders>
              <w:top w:val="nil"/>
              <w:left w:val="nil"/>
              <w:bottom w:val="single" w:sz="4" w:space="0" w:color="auto"/>
              <w:right w:val="single" w:sz="4" w:space="0" w:color="auto"/>
            </w:tcBorders>
            <w:noWrap/>
            <w:vAlign w:val="bottom"/>
          </w:tcPr>
          <w:p w14:paraId="6AB2F149" w14:textId="3A7D3CB3" w:rsidR="007242BD" w:rsidRPr="006B06B9" w:rsidRDefault="00166AA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404,48</w:t>
            </w:r>
            <w:r w:rsidR="000A368F">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6DDF5B1A" w14:textId="204D20B9" w:rsidR="007242BD" w:rsidRPr="006B06B9" w:rsidRDefault="000A368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3D918659" w14:textId="77777777" w:rsidTr="006C671D">
        <w:trPr>
          <w:trHeight w:val="534"/>
        </w:trPr>
        <w:tc>
          <w:tcPr>
            <w:tcW w:w="3367" w:type="dxa"/>
            <w:tcBorders>
              <w:top w:val="single" w:sz="4" w:space="0" w:color="auto"/>
              <w:left w:val="single" w:sz="4" w:space="0" w:color="auto"/>
              <w:bottom w:val="single" w:sz="4" w:space="0" w:color="auto"/>
              <w:right w:val="single" w:sz="4" w:space="0" w:color="auto"/>
            </w:tcBorders>
            <w:vAlign w:val="bottom"/>
            <w:hideMark/>
          </w:tcPr>
          <w:p w14:paraId="0113BEA5"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6815 Kazne za prometne i ostale prekršaje u nadležnosti MUP-a</w:t>
            </w:r>
          </w:p>
        </w:tc>
        <w:tc>
          <w:tcPr>
            <w:tcW w:w="1496" w:type="dxa"/>
            <w:tcBorders>
              <w:top w:val="nil"/>
              <w:left w:val="nil"/>
              <w:bottom w:val="single" w:sz="4" w:space="0" w:color="auto"/>
              <w:right w:val="single" w:sz="4" w:space="0" w:color="auto"/>
            </w:tcBorders>
            <w:noWrap/>
            <w:vAlign w:val="bottom"/>
          </w:tcPr>
          <w:p w14:paraId="6D857A88" w14:textId="7A5C5C52" w:rsidR="007242BD" w:rsidRPr="006B06B9" w:rsidRDefault="00166AA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32.022,38</w:t>
            </w:r>
          </w:p>
        </w:tc>
        <w:tc>
          <w:tcPr>
            <w:tcW w:w="1506" w:type="dxa"/>
            <w:tcBorders>
              <w:top w:val="nil"/>
              <w:left w:val="nil"/>
              <w:bottom w:val="single" w:sz="4" w:space="0" w:color="auto"/>
              <w:right w:val="single" w:sz="4" w:space="0" w:color="auto"/>
            </w:tcBorders>
            <w:noWrap/>
            <w:vAlign w:val="bottom"/>
          </w:tcPr>
          <w:p w14:paraId="34BAB542" w14:textId="492048D8"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72B1EF43"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79C8821C" w14:textId="5788626D" w:rsidR="007242BD" w:rsidRPr="006B06B9" w:rsidRDefault="00166AA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79.909,00</w:t>
            </w:r>
          </w:p>
        </w:tc>
        <w:tc>
          <w:tcPr>
            <w:tcW w:w="1117" w:type="dxa"/>
            <w:tcBorders>
              <w:top w:val="nil"/>
              <w:left w:val="nil"/>
              <w:bottom w:val="single" w:sz="4" w:space="0" w:color="auto"/>
              <w:right w:val="single" w:sz="4" w:space="0" w:color="auto"/>
            </w:tcBorders>
            <w:noWrap/>
            <w:vAlign w:val="bottom"/>
          </w:tcPr>
          <w:p w14:paraId="1C3463E9" w14:textId="232F78AA" w:rsidR="007242BD" w:rsidRPr="006B06B9" w:rsidRDefault="00166AA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249,54</w:t>
            </w:r>
            <w:r w:rsidR="00DA34B6">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20E99F50" w14:textId="41861987" w:rsidR="007242BD" w:rsidRPr="006B06B9" w:rsidRDefault="000A368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40E4C96D"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12DBC659"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6819 Ostale kazne                                                                                        </w:t>
            </w:r>
          </w:p>
        </w:tc>
        <w:tc>
          <w:tcPr>
            <w:tcW w:w="1496" w:type="dxa"/>
            <w:tcBorders>
              <w:top w:val="nil"/>
              <w:left w:val="nil"/>
              <w:bottom w:val="single" w:sz="4" w:space="0" w:color="auto"/>
              <w:right w:val="single" w:sz="4" w:space="0" w:color="auto"/>
            </w:tcBorders>
            <w:noWrap/>
            <w:vAlign w:val="bottom"/>
          </w:tcPr>
          <w:p w14:paraId="1454F8C9" w14:textId="2B665BA5" w:rsidR="007242BD" w:rsidRPr="006B06B9" w:rsidRDefault="00166AA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9.144,80</w:t>
            </w:r>
          </w:p>
        </w:tc>
        <w:tc>
          <w:tcPr>
            <w:tcW w:w="1506" w:type="dxa"/>
            <w:tcBorders>
              <w:top w:val="nil"/>
              <w:left w:val="nil"/>
              <w:bottom w:val="single" w:sz="4" w:space="0" w:color="auto"/>
              <w:right w:val="single" w:sz="4" w:space="0" w:color="auto"/>
            </w:tcBorders>
            <w:noWrap/>
            <w:vAlign w:val="bottom"/>
          </w:tcPr>
          <w:p w14:paraId="1AD8F031" w14:textId="521B6DA1"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188601DE"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0F8351FC" w14:textId="5B94FE88" w:rsidR="007242BD" w:rsidRPr="006B06B9" w:rsidRDefault="00166AA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86.602,41</w:t>
            </w:r>
          </w:p>
        </w:tc>
        <w:tc>
          <w:tcPr>
            <w:tcW w:w="1117" w:type="dxa"/>
            <w:tcBorders>
              <w:top w:val="nil"/>
              <w:left w:val="nil"/>
              <w:bottom w:val="single" w:sz="4" w:space="0" w:color="auto"/>
              <w:right w:val="single" w:sz="4" w:space="0" w:color="auto"/>
            </w:tcBorders>
            <w:noWrap/>
            <w:vAlign w:val="bottom"/>
          </w:tcPr>
          <w:p w14:paraId="3BECDD48" w14:textId="38676C19" w:rsidR="007242BD" w:rsidRPr="006B06B9" w:rsidRDefault="00166AA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947,01</w:t>
            </w:r>
            <w:r w:rsidR="00DA34B6">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08F1D77F" w14:textId="382A123E" w:rsidR="007242BD" w:rsidRPr="006B06B9" w:rsidRDefault="000A368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23AF18A3"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24102D78"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683 Ostali prihodi                                                                                       </w:t>
            </w:r>
          </w:p>
        </w:tc>
        <w:tc>
          <w:tcPr>
            <w:tcW w:w="1496" w:type="dxa"/>
            <w:tcBorders>
              <w:top w:val="nil"/>
              <w:left w:val="nil"/>
              <w:bottom w:val="single" w:sz="4" w:space="0" w:color="auto"/>
              <w:right w:val="single" w:sz="4" w:space="0" w:color="auto"/>
            </w:tcBorders>
            <w:noWrap/>
            <w:vAlign w:val="bottom"/>
          </w:tcPr>
          <w:p w14:paraId="1BAD2A64" w14:textId="29164A7F" w:rsidR="007242BD" w:rsidRPr="006B06B9" w:rsidRDefault="00166AA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38.590,90</w:t>
            </w:r>
          </w:p>
        </w:tc>
        <w:tc>
          <w:tcPr>
            <w:tcW w:w="1506" w:type="dxa"/>
            <w:tcBorders>
              <w:top w:val="nil"/>
              <w:left w:val="nil"/>
              <w:bottom w:val="single" w:sz="4" w:space="0" w:color="auto"/>
              <w:right w:val="single" w:sz="4" w:space="0" w:color="auto"/>
            </w:tcBorders>
            <w:noWrap/>
            <w:vAlign w:val="bottom"/>
          </w:tcPr>
          <w:p w14:paraId="5D3FF0FA" w14:textId="59BB4724"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40347402"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790C9EED" w14:textId="61567543" w:rsidR="007242BD" w:rsidRPr="006B06B9" w:rsidRDefault="00166AA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663,61</w:t>
            </w:r>
          </w:p>
        </w:tc>
        <w:tc>
          <w:tcPr>
            <w:tcW w:w="1117" w:type="dxa"/>
            <w:tcBorders>
              <w:top w:val="nil"/>
              <w:left w:val="nil"/>
              <w:bottom w:val="single" w:sz="4" w:space="0" w:color="auto"/>
              <w:right w:val="single" w:sz="4" w:space="0" w:color="auto"/>
            </w:tcBorders>
            <w:noWrap/>
            <w:vAlign w:val="bottom"/>
          </w:tcPr>
          <w:p w14:paraId="7439F0D1" w14:textId="0493D0C3" w:rsidR="007242BD" w:rsidRPr="006B06B9" w:rsidRDefault="00166AA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1,72%</w:t>
            </w:r>
          </w:p>
        </w:tc>
        <w:tc>
          <w:tcPr>
            <w:tcW w:w="1006" w:type="dxa"/>
            <w:tcBorders>
              <w:top w:val="nil"/>
              <w:left w:val="nil"/>
              <w:bottom w:val="single" w:sz="4" w:space="0" w:color="auto"/>
              <w:right w:val="single" w:sz="4" w:space="0" w:color="auto"/>
            </w:tcBorders>
            <w:noWrap/>
            <w:vAlign w:val="bottom"/>
          </w:tcPr>
          <w:p w14:paraId="6DD8728A" w14:textId="602C9C53" w:rsidR="007242BD" w:rsidRPr="006B06B9" w:rsidRDefault="000A368F" w:rsidP="000A368F">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166AAE" w:rsidRPr="006B06B9" w14:paraId="61B4BF18"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tcPr>
          <w:p w14:paraId="5BCFF532" w14:textId="0BD34E82" w:rsidR="00166AAE" w:rsidRPr="006B06B9" w:rsidRDefault="00166AAE" w:rsidP="006B06B9">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6831 Ostali prihodi</w:t>
            </w:r>
          </w:p>
        </w:tc>
        <w:tc>
          <w:tcPr>
            <w:tcW w:w="1496" w:type="dxa"/>
            <w:tcBorders>
              <w:top w:val="nil"/>
              <w:left w:val="nil"/>
              <w:bottom w:val="single" w:sz="4" w:space="0" w:color="auto"/>
              <w:right w:val="single" w:sz="4" w:space="0" w:color="auto"/>
            </w:tcBorders>
            <w:noWrap/>
            <w:vAlign w:val="bottom"/>
          </w:tcPr>
          <w:p w14:paraId="53FE7314" w14:textId="4A646951" w:rsidR="00166AAE" w:rsidRDefault="00166AA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38.590,90</w:t>
            </w:r>
          </w:p>
        </w:tc>
        <w:tc>
          <w:tcPr>
            <w:tcW w:w="1506" w:type="dxa"/>
            <w:tcBorders>
              <w:top w:val="nil"/>
              <w:left w:val="nil"/>
              <w:bottom w:val="single" w:sz="4" w:space="0" w:color="auto"/>
              <w:right w:val="single" w:sz="4" w:space="0" w:color="auto"/>
            </w:tcBorders>
            <w:noWrap/>
            <w:vAlign w:val="bottom"/>
          </w:tcPr>
          <w:p w14:paraId="6391A007" w14:textId="77777777" w:rsidR="00166AAE" w:rsidRPr="006B06B9" w:rsidRDefault="00166AAE"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64B51D9C" w14:textId="77777777" w:rsidR="00166AAE" w:rsidRPr="006B06B9" w:rsidRDefault="00166AAE"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133DC72F" w14:textId="2911FB19" w:rsidR="00166AAE" w:rsidRDefault="00166AA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663,61</w:t>
            </w:r>
          </w:p>
        </w:tc>
        <w:tc>
          <w:tcPr>
            <w:tcW w:w="1117" w:type="dxa"/>
            <w:tcBorders>
              <w:top w:val="nil"/>
              <w:left w:val="nil"/>
              <w:bottom w:val="single" w:sz="4" w:space="0" w:color="auto"/>
              <w:right w:val="single" w:sz="4" w:space="0" w:color="auto"/>
            </w:tcBorders>
            <w:noWrap/>
            <w:vAlign w:val="bottom"/>
          </w:tcPr>
          <w:p w14:paraId="440F23ED" w14:textId="570D5978" w:rsidR="00166AAE" w:rsidRDefault="00166AA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1,72%</w:t>
            </w:r>
          </w:p>
        </w:tc>
        <w:tc>
          <w:tcPr>
            <w:tcW w:w="1006" w:type="dxa"/>
            <w:tcBorders>
              <w:top w:val="nil"/>
              <w:left w:val="nil"/>
              <w:bottom w:val="single" w:sz="4" w:space="0" w:color="auto"/>
              <w:right w:val="single" w:sz="4" w:space="0" w:color="auto"/>
            </w:tcBorders>
            <w:noWrap/>
            <w:vAlign w:val="bottom"/>
          </w:tcPr>
          <w:p w14:paraId="13E20A60" w14:textId="362E37D9" w:rsidR="00166AAE" w:rsidRDefault="00166AAE" w:rsidP="000A368F">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68232A4E"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0F50EC7A" w14:textId="77777777" w:rsidR="007242BD" w:rsidRPr="006B06B9" w:rsidRDefault="007242BD"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7 Prihodi od prodaje nefinancijske imovine</w:t>
            </w:r>
          </w:p>
        </w:tc>
        <w:tc>
          <w:tcPr>
            <w:tcW w:w="1496" w:type="dxa"/>
            <w:tcBorders>
              <w:top w:val="nil"/>
              <w:left w:val="nil"/>
              <w:bottom w:val="single" w:sz="4" w:space="0" w:color="auto"/>
              <w:right w:val="single" w:sz="4" w:space="0" w:color="auto"/>
            </w:tcBorders>
            <w:noWrap/>
            <w:vAlign w:val="bottom"/>
          </w:tcPr>
          <w:p w14:paraId="2E8CADD5" w14:textId="7316A8A4" w:rsidR="007242BD" w:rsidRPr="006B06B9" w:rsidRDefault="00166AAE"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1.309,83</w:t>
            </w:r>
          </w:p>
        </w:tc>
        <w:tc>
          <w:tcPr>
            <w:tcW w:w="1506" w:type="dxa"/>
            <w:tcBorders>
              <w:top w:val="nil"/>
              <w:left w:val="nil"/>
              <w:bottom w:val="single" w:sz="4" w:space="0" w:color="auto"/>
              <w:right w:val="single" w:sz="4" w:space="0" w:color="auto"/>
            </w:tcBorders>
            <w:noWrap/>
            <w:vAlign w:val="bottom"/>
          </w:tcPr>
          <w:p w14:paraId="65F58FFB" w14:textId="14D958E6" w:rsidR="007242BD" w:rsidRPr="006B06B9" w:rsidRDefault="00166AAE"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38.000,00</w:t>
            </w:r>
          </w:p>
        </w:tc>
        <w:tc>
          <w:tcPr>
            <w:tcW w:w="1496" w:type="dxa"/>
            <w:tcBorders>
              <w:top w:val="single" w:sz="4" w:space="0" w:color="auto"/>
              <w:left w:val="nil"/>
              <w:bottom w:val="single" w:sz="4" w:space="0" w:color="auto"/>
              <w:right w:val="single" w:sz="4" w:space="0" w:color="auto"/>
            </w:tcBorders>
            <w:vAlign w:val="bottom"/>
          </w:tcPr>
          <w:p w14:paraId="10945788" w14:textId="2F20E576" w:rsidR="007242BD" w:rsidRPr="006B06B9" w:rsidRDefault="00166AAE"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38</w:t>
            </w:r>
            <w:r w:rsidR="00DA34B6">
              <w:rPr>
                <w:rFonts w:ascii="Arial" w:eastAsia="Times New Roman" w:hAnsi="Arial" w:cs="Arial"/>
                <w:b/>
                <w:bCs/>
                <w:sz w:val="20"/>
                <w:szCs w:val="20"/>
                <w:lang w:eastAsia="hr-HR"/>
              </w:rPr>
              <w:t>.000,00</w:t>
            </w:r>
          </w:p>
        </w:tc>
        <w:tc>
          <w:tcPr>
            <w:tcW w:w="1600" w:type="dxa"/>
            <w:tcBorders>
              <w:top w:val="nil"/>
              <w:left w:val="single" w:sz="4" w:space="0" w:color="auto"/>
              <w:bottom w:val="single" w:sz="4" w:space="0" w:color="auto"/>
              <w:right w:val="single" w:sz="4" w:space="0" w:color="auto"/>
            </w:tcBorders>
            <w:noWrap/>
            <w:vAlign w:val="bottom"/>
          </w:tcPr>
          <w:p w14:paraId="18A17497" w14:textId="64F0B822" w:rsidR="007242BD" w:rsidRPr="006B06B9" w:rsidRDefault="00166AAE"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11.114,76</w:t>
            </w:r>
          </w:p>
        </w:tc>
        <w:tc>
          <w:tcPr>
            <w:tcW w:w="1117" w:type="dxa"/>
            <w:tcBorders>
              <w:top w:val="nil"/>
              <w:left w:val="nil"/>
              <w:bottom w:val="single" w:sz="4" w:space="0" w:color="auto"/>
              <w:right w:val="single" w:sz="4" w:space="0" w:color="auto"/>
            </w:tcBorders>
            <w:noWrap/>
            <w:vAlign w:val="bottom"/>
          </w:tcPr>
          <w:p w14:paraId="0502879F" w14:textId="1F85CEF5" w:rsidR="007242BD" w:rsidRPr="006B06B9" w:rsidRDefault="00166AAE"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848,57</w:t>
            </w:r>
            <w:r w:rsidR="00DA34B6">
              <w:rPr>
                <w:rFonts w:ascii="Arial" w:eastAsia="Times New Roman" w:hAnsi="Arial" w:cs="Arial"/>
                <w:b/>
                <w:bCs/>
                <w:sz w:val="20"/>
                <w:szCs w:val="20"/>
                <w:lang w:eastAsia="hr-HR"/>
              </w:rPr>
              <w:t>%</w:t>
            </w:r>
          </w:p>
        </w:tc>
        <w:tc>
          <w:tcPr>
            <w:tcW w:w="1006" w:type="dxa"/>
            <w:tcBorders>
              <w:top w:val="nil"/>
              <w:left w:val="nil"/>
              <w:bottom w:val="single" w:sz="4" w:space="0" w:color="auto"/>
              <w:right w:val="single" w:sz="4" w:space="0" w:color="auto"/>
            </w:tcBorders>
            <w:noWrap/>
            <w:vAlign w:val="bottom"/>
          </w:tcPr>
          <w:p w14:paraId="4D198C2B" w14:textId="03D6DE70" w:rsidR="007242BD" w:rsidRPr="006B06B9" w:rsidRDefault="00166AAE"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29,25</w:t>
            </w:r>
            <w:r w:rsidR="00DA34B6">
              <w:rPr>
                <w:rFonts w:ascii="Arial" w:eastAsia="Times New Roman" w:hAnsi="Arial" w:cs="Arial"/>
                <w:b/>
                <w:bCs/>
                <w:sz w:val="20"/>
                <w:szCs w:val="20"/>
                <w:lang w:eastAsia="hr-HR"/>
              </w:rPr>
              <w:t>%</w:t>
            </w:r>
          </w:p>
        </w:tc>
      </w:tr>
      <w:tr w:rsidR="00EB4F8D" w:rsidRPr="006B06B9" w14:paraId="03537F2B" w14:textId="77777777" w:rsidTr="006C671D">
        <w:trPr>
          <w:trHeight w:val="534"/>
        </w:trPr>
        <w:tc>
          <w:tcPr>
            <w:tcW w:w="3367" w:type="dxa"/>
            <w:tcBorders>
              <w:top w:val="single" w:sz="4" w:space="0" w:color="auto"/>
              <w:left w:val="single" w:sz="4" w:space="0" w:color="auto"/>
              <w:bottom w:val="single" w:sz="4" w:space="0" w:color="auto"/>
              <w:right w:val="single" w:sz="4" w:space="0" w:color="auto"/>
            </w:tcBorders>
            <w:vAlign w:val="bottom"/>
            <w:hideMark/>
          </w:tcPr>
          <w:p w14:paraId="281AE6A0" w14:textId="77777777" w:rsidR="007242BD" w:rsidRPr="006B06B9" w:rsidRDefault="007242BD"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 xml:space="preserve">71 Prihodi od prodaje </w:t>
            </w:r>
            <w:proofErr w:type="spellStart"/>
            <w:r w:rsidRPr="006B06B9">
              <w:rPr>
                <w:rFonts w:ascii="Arial" w:eastAsia="Times New Roman" w:hAnsi="Arial" w:cs="Arial"/>
                <w:b/>
                <w:bCs/>
                <w:sz w:val="20"/>
                <w:szCs w:val="20"/>
                <w:lang w:eastAsia="hr-HR"/>
              </w:rPr>
              <w:t>neproizvedene</w:t>
            </w:r>
            <w:proofErr w:type="spellEnd"/>
            <w:r w:rsidRPr="006B06B9">
              <w:rPr>
                <w:rFonts w:ascii="Arial" w:eastAsia="Times New Roman" w:hAnsi="Arial" w:cs="Arial"/>
                <w:b/>
                <w:bCs/>
                <w:sz w:val="20"/>
                <w:szCs w:val="20"/>
                <w:lang w:eastAsia="hr-HR"/>
              </w:rPr>
              <w:t xml:space="preserve"> dugotrajne imovine</w:t>
            </w:r>
          </w:p>
        </w:tc>
        <w:tc>
          <w:tcPr>
            <w:tcW w:w="1496" w:type="dxa"/>
            <w:tcBorders>
              <w:top w:val="nil"/>
              <w:left w:val="nil"/>
              <w:bottom w:val="single" w:sz="4" w:space="0" w:color="auto"/>
              <w:right w:val="single" w:sz="4" w:space="0" w:color="auto"/>
            </w:tcBorders>
            <w:noWrap/>
            <w:vAlign w:val="bottom"/>
          </w:tcPr>
          <w:p w14:paraId="2B0E5E5E" w14:textId="089BD6CB" w:rsidR="007242BD" w:rsidRPr="006B06B9" w:rsidRDefault="00166AAE"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506" w:type="dxa"/>
            <w:tcBorders>
              <w:top w:val="nil"/>
              <w:left w:val="nil"/>
              <w:bottom w:val="single" w:sz="4" w:space="0" w:color="auto"/>
              <w:right w:val="single" w:sz="4" w:space="0" w:color="auto"/>
            </w:tcBorders>
            <w:noWrap/>
            <w:vAlign w:val="bottom"/>
          </w:tcPr>
          <w:p w14:paraId="6147189C" w14:textId="5D8BDB6C" w:rsidR="007242BD" w:rsidRPr="006B06B9" w:rsidRDefault="00166AAE"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w:t>
            </w:r>
            <w:r w:rsidR="00DA34B6">
              <w:rPr>
                <w:rFonts w:ascii="Arial" w:eastAsia="Times New Roman" w:hAnsi="Arial" w:cs="Arial"/>
                <w:b/>
                <w:bCs/>
                <w:sz w:val="20"/>
                <w:szCs w:val="20"/>
                <w:lang w:eastAsia="hr-HR"/>
              </w:rPr>
              <w:t>5.000,00</w:t>
            </w:r>
          </w:p>
        </w:tc>
        <w:tc>
          <w:tcPr>
            <w:tcW w:w="1496" w:type="dxa"/>
            <w:tcBorders>
              <w:top w:val="single" w:sz="4" w:space="0" w:color="auto"/>
              <w:left w:val="nil"/>
              <w:bottom w:val="single" w:sz="4" w:space="0" w:color="auto"/>
              <w:right w:val="single" w:sz="4" w:space="0" w:color="auto"/>
            </w:tcBorders>
            <w:vAlign w:val="bottom"/>
          </w:tcPr>
          <w:p w14:paraId="5467BA09" w14:textId="596DA87B" w:rsidR="007242BD" w:rsidRPr="006B06B9" w:rsidRDefault="00166AAE"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w:t>
            </w:r>
            <w:r w:rsidR="00DA34B6">
              <w:rPr>
                <w:rFonts w:ascii="Arial" w:eastAsia="Times New Roman" w:hAnsi="Arial" w:cs="Arial"/>
                <w:b/>
                <w:bCs/>
                <w:sz w:val="20"/>
                <w:szCs w:val="20"/>
                <w:lang w:eastAsia="hr-HR"/>
              </w:rPr>
              <w:t>5.000,00</w:t>
            </w:r>
          </w:p>
        </w:tc>
        <w:tc>
          <w:tcPr>
            <w:tcW w:w="1600" w:type="dxa"/>
            <w:tcBorders>
              <w:top w:val="nil"/>
              <w:left w:val="single" w:sz="4" w:space="0" w:color="auto"/>
              <w:bottom w:val="single" w:sz="4" w:space="0" w:color="auto"/>
              <w:right w:val="single" w:sz="4" w:space="0" w:color="auto"/>
            </w:tcBorders>
            <w:noWrap/>
            <w:vAlign w:val="bottom"/>
          </w:tcPr>
          <w:p w14:paraId="7F87F80D" w14:textId="6A05CA11" w:rsidR="007242BD" w:rsidRPr="006B06B9" w:rsidRDefault="00166AAE"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7.840,00</w:t>
            </w:r>
          </w:p>
        </w:tc>
        <w:tc>
          <w:tcPr>
            <w:tcW w:w="1117" w:type="dxa"/>
            <w:tcBorders>
              <w:top w:val="nil"/>
              <w:left w:val="nil"/>
              <w:bottom w:val="single" w:sz="4" w:space="0" w:color="auto"/>
              <w:right w:val="single" w:sz="4" w:space="0" w:color="auto"/>
            </w:tcBorders>
            <w:noWrap/>
            <w:vAlign w:val="bottom"/>
          </w:tcPr>
          <w:p w14:paraId="1E4413B2" w14:textId="75DB5793" w:rsidR="007242BD" w:rsidRPr="006B06B9" w:rsidRDefault="00166AAE"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c>
          <w:tcPr>
            <w:tcW w:w="1006" w:type="dxa"/>
            <w:tcBorders>
              <w:top w:val="nil"/>
              <w:left w:val="nil"/>
              <w:bottom w:val="single" w:sz="4" w:space="0" w:color="auto"/>
              <w:right w:val="single" w:sz="4" w:space="0" w:color="auto"/>
            </w:tcBorders>
            <w:noWrap/>
            <w:vAlign w:val="bottom"/>
          </w:tcPr>
          <w:p w14:paraId="34B448A4" w14:textId="565BFC4E" w:rsidR="007242BD" w:rsidRPr="006B06B9" w:rsidRDefault="00166AAE"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52,27%</w:t>
            </w:r>
          </w:p>
        </w:tc>
      </w:tr>
      <w:tr w:rsidR="000A368F" w:rsidRPr="006B06B9" w14:paraId="17E92451" w14:textId="77777777" w:rsidTr="006C671D">
        <w:trPr>
          <w:trHeight w:val="534"/>
        </w:trPr>
        <w:tc>
          <w:tcPr>
            <w:tcW w:w="3367" w:type="dxa"/>
            <w:tcBorders>
              <w:top w:val="single" w:sz="4" w:space="0" w:color="auto"/>
              <w:left w:val="single" w:sz="4" w:space="0" w:color="auto"/>
              <w:bottom w:val="single" w:sz="4" w:space="0" w:color="auto"/>
              <w:right w:val="single" w:sz="4" w:space="0" w:color="auto"/>
            </w:tcBorders>
            <w:vAlign w:val="bottom"/>
          </w:tcPr>
          <w:p w14:paraId="62F48E3A" w14:textId="07CF8494" w:rsidR="000A368F" w:rsidRPr="000A368F" w:rsidRDefault="000A368F" w:rsidP="006B06B9">
            <w:pPr>
              <w:spacing w:after="0" w:line="240" w:lineRule="auto"/>
              <w:rPr>
                <w:rFonts w:ascii="Arial" w:eastAsia="Times New Roman" w:hAnsi="Arial" w:cs="Arial"/>
                <w:sz w:val="20"/>
                <w:szCs w:val="20"/>
                <w:lang w:eastAsia="hr-HR"/>
              </w:rPr>
            </w:pPr>
            <w:r w:rsidRPr="000A368F">
              <w:rPr>
                <w:rFonts w:ascii="Arial" w:eastAsia="Times New Roman" w:hAnsi="Arial" w:cs="Arial"/>
                <w:sz w:val="20"/>
                <w:szCs w:val="20"/>
                <w:lang w:eastAsia="hr-HR"/>
              </w:rPr>
              <w:t xml:space="preserve">711 Prihodi od prodaje materijalne imovine- prirodnih bogatstava </w:t>
            </w:r>
          </w:p>
        </w:tc>
        <w:tc>
          <w:tcPr>
            <w:tcW w:w="1496" w:type="dxa"/>
            <w:tcBorders>
              <w:top w:val="nil"/>
              <w:left w:val="nil"/>
              <w:bottom w:val="single" w:sz="4" w:space="0" w:color="auto"/>
              <w:right w:val="single" w:sz="4" w:space="0" w:color="auto"/>
            </w:tcBorders>
            <w:noWrap/>
            <w:vAlign w:val="bottom"/>
          </w:tcPr>
          <w:p w14:paraId="5B012B40" w14:textId="681E6680" w:rsidR="000A368F" w:rsidRPr="000A368F" w:rsidRDefault="00166AA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506" w:type="dxa"/>
            <w:tcBorders>
              <w:top w:val="nil"/>
              <w:left w:val="nil"/>
              <w:bottom w:val="single" w:sz="4" w:space="0" w:color="auto"/>
              <w:right w:val="single" w:sz="4" w:space="0" w:color="auto"/>
            </w:tcBorders>
            <w:noWrap/>
            <w:vAlign w:val="bottom"/>
          </w:tcPr>
          <w:p w14:paraId="56E50A78" w14:textId="77777777" w:rsidR="000A368F" w:rsidRPr="000A368F" w:rsidRDefault="000A368F"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2BCF7DBA" w14:textId="77777777" w:rsidR="000A368F" w:rsidRPr="000A368F" w:rsidRDefault="000A368F"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52172422" w14:textId="46668DFB" w:rsidR="000A368F" w:rsidRPr="000A368F" w:rsidRDefault="00166AA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7.84</w:t>
            </w:r>
            <w:r w:rsidR="00DA34B6">
              <w:rPr>
                <w:rFonts w:ascii="Arial" w:eastAsia="Times New Roman" w:hAnsi="Arial" w:cs="Arial"/>
                <w:sz w:val="20"/>
                <w:szCs w:val="20"/>
                <w:lang w:eastAsia="hr-HR"/>
              </w:rPr>
              <w:t>0,00</w:t>
            </w:r>
          </w:p>
        </w:tc>
        <w:tc>
          <w:tcPr>
            <w:tcW w:w="1117" w:type="dxa"/>
            <w:tcBorders>
              <w:top w:val="nil"/>
              <w:left w:val="nil"/>
              <w:bottom w:val="single" w:sz="4" w:space="0" w:color="auto"/>
              <w:right w:val="single" w:sz="4" w:space="0" w:color="auto"/>
            </w:tcBorders>
            <w:noWrap/>
            <w:vAlign w:val="bottom"/>
          </w:tcPr>
          <w:p w14:paraId="5CD204D7" w14:textId="7F7CE3D0" w:rsidR="000A368F" w:rsidRPr="000A368F" w:rsidRDefault="000A368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001099CE" w14:textId="753CA948" w:rsidR="000A368F" w:rsidRPr="000A368F" w:rsidRDefault="000A368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0A368F" w:rsidRPr="006B06B9" w14:paraId="5D5C1F20" w14:textId="77777777" w:rsidTr="006C671D">
        <w:trPr>
          <w:trHeight w:val="534"/>
        </w:trPr>
        <w:tc>
          <w:tcPr>
            <w:tcW w:w="3367" w:type="dxa"/>
            <w:tcBorders>
              <w:top w:val="single" w:sz="4" w:space="0" w:color="auto"/>
              <w:left w:val="single" w:sz="4" w:space="0" w:color="auto"/>
              <w:bottom w:val="single" w:sz="4" w:space="0" w:color="auto"/>
              <w:right w:val="single" w:sz="4" w:space="0" w:color="auto"/>
            </w:tcBorders>
            <w:vAlign w:val="bottom"/>
          </w:tcPr>
          <w:p w14:paraId="7D6F93F8" w14:textId="162EB71E" w:rsidR="000A368F" w:rsidRPr="000A368F" w:rsidRDefault="000A368F" w:rsidP="006B06B9">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7111 Zemljište</w:t>
            </w:r>
          </w:p>
        </w:tc>
        <w:tc>
          <w:tcPr>
            <w:tcW w:w="1496" w:type="dxa"/>
            <w:tcBorders>
              <w:top w:val="nil"/>
              <w:left w:val="nil"/>
              <w:bottom w:val="single" w:sz="4" w:space="0" w:color="auto"/>
              <w:right w:val="single" w:sz="4" w:space="0" w:color="auto"/>
            </w:tcBorders>
            <w:noWrap/>
            <w:vAlign w:val="bottom"/>
          </w:tcPr>
          <w:p w14:paraId="3C8C8E26" w14:textId="647978EA" w:rsidR="000A368F" w:rsidRPr="000A368F" w:rsidRDefault="00166AA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506" w:type="dxa"/>
            <w:tcBorders>
              <w:top w:val="nil"/>
              <w:left w:val="nil"/>
              <w:bottom w:val="single" w:sz="4" w:space="0" w:color="auto"/>
              <w:right w:val="single" w:sz="4" w:space="0" w:color="auto"/>
            </w:tcBorders>
            <w:noWrap/>
            <w:vAlign w:val="bottom"/>
          </w:tcPr>
          <w:p w14:paraId="773627C9" w14:textId="77777777" w:rsidR="000A368F" w:rsidRPr="000A368F" w:rsidRDefault="000A368F"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73A13E01" w14:textId="77777777" w:rsidR="000A368F" w:rsidRPr="000A368F" w:rsidRDefault="000A368F"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0BD4B376" w14:textId="2C16BCD4" w:rsidR="000A368F" w:rsidRPr="000A368F" w:rsidRDefault="00166AA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7.84</w:t>
            </w:r>
            <w:r w:rsidR="00DA34B6">
              <w:rPr>
                <w:rFonts w:ascii="Arial" w:eastAsia="Times New Roman" w:hAnsi="Arial" w:cs="Arial"/>
                <w:sz w:val="20"/>
                <w:szCs w:val="20"/>
                <w:lang w:eastAsia="hr-HR"/>
              </w:rPr>
              <w:t>0,00</w:t>
            </w:r>
          </w:p>
        </w:tc>
        <w:tc>
          <w:tcPr>
            <w:tcW w:w="1117" w:type="dxa"/>
            <w:tcBorders>
              <w:top w:val="nil"/>
              <w:left w:val="nil"/>
              <w:bottom w:val="single" w:sz="4" w:space="0" w:color="auto"/>
              <w:right w:val="single" w:sz="4" w:space="0" w:color="auto"/>
            </w:tcBorders>
            <w:noWrap/>
            <w:vAlign w:val="bottom"/>
          </w:tcPr>
          <w:p w14:paraId="79F57C85" w14:textId="237C62AF" w:rsidR="000A368F" w:rsidRDefault="000A368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59B70588" w14:textId="75E29D13" w:rsidR="000A368F" w:rsidRDefault="000A368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3291BDA9" w14:textId="77777777" w:rsidTr="006C671D">
        <w:trPr>
          <w:trHeight w:val="534"/>
        </w:trPr>
        <w:tc>
          <w:tcPr>
            <w:tcW w:w="3367" w:type="dxa"/>
            <w:tcBorders>
              <w:top w:val="single" w:sz="4" w:space="0" w:color="auto"/>
              <w:left w:val="single" w:sz="4" w:space="0" w:color="auto"/>
              <w:bottom w:val="single" w:sz="4" w:space="0" w:color="auto"/>
              <w:right w:val="single" w:sz="4" w:space="0" w:color="auto"/>
            </w:tcBorders>
            <w:vAlign w:val="bottom"/>
            <w:hideMark/>
          </w:tcPr>
          <w:p w14:paraId="315303B1" w14:textId="77777777" w:rsidR="007242BD" w:rsidRPr="006B06B9" w:rsidRDefault="007242BD"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72 Prihodi od prodaje proizvedene dugotrajne imovine</w:t>
            </w:r>
          </w:p>
        </w:tc>
        <w:tc>
          <w:tcPr>
            <w:tcW w:w="1496" w:type="dxa"/>
            <w:tcBorders>
              <w:top w:val="nil"/>
              <w:left w:val="nil"/>
              <w:bottom w:val="single" w:sz="4" w:space="0" w:color="auto"/>
              <w:right w:val="single" w:sz="4" w:space="0" w:color="auto"/>
            </w:tcBorders>
            <w:noWrap/>
            <w:vAlign w:val="bottom"/>
          </w:tcPr>
          <w:p w14:paraId="58C163A8" w14:textId="10EAAB60" w:rsidR="007242BD" w:rsidRPr="006B06B9" w:rsidRDefault="00510105"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1.309,83</w:t>
            </w:r>
          </w:p>
        </w:tc>
        <w:tc>
          <w:tcPr>
            <w:tcW w:w="1506" w:type="dxa"/>
            <w:tcBorders>
              <w:top w:val="nil"/>
              <w:left w:val="nil"/>
              <w:bottom w:val="single" w:sz="4" w:space="0" w:color="auto"/>
              <w:right w:val="single" w:sz="4" w:space="0" w:color="auto"/>
            </w:tcBorders>
            <w:noWrap/>
            <w:vAlign w:val="bottom"/>
          </w:tcPr>
          <w:p w14:paraId="0E191361" w14:textId="16E28D4D" w:rsidR="007242BD" w:rsidRPr="006B06B9" w:rsidRDefault="00DA34B6"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w:t>
            </w:r>
            <w:r w:rsidR="00510105">
              <w:rPr>
                <w:rFonts w:ascii="Arial" w:eastAsia="Times New Roman" w:hAnsi="Arial" w:cs="Arial"/>
                <w:b/>
                <w:bCs/>
                <w:sz w:val="20"/>
                <w:szCs w:val="20"/>
                <w:lang w:eastAsia="hr-HR"/>
              </w:rPr>
              <w:t>3</w:t>
            </w:r>
            <w:r>
              <w:rPr>
                <w:rFonts w:ascii="Arial" w:eastAsia="Times New Roman" w:hAnsi="Arial" w:cs="Arial"/>
                <w:b/>
                <w:bCs/>
                <w:sz w:val="20"/>
                <w:szCs w:val="20"/>
                <w:lang w:eastAsia="hr-HR"/>
              </w:rPr>
              <w:t>.000,00</w:t>
            </w:r>
          </w:p>
        </w:tc>
        <w:tc>
          <w:tcPr>
            <w:tcW w:w="1496" w:type="dxa"/>
            <w:tcBorders>
              <w:top w:val="single" w:sz="4" w:space="0" w:color="auto"/>
              <w:left w:val="nil"/>
              <w:bottom w:val="single" w:sz="4" w:space="0" w:color="auto"/>
              <w:right w:val="single" w:sz="4" w:space="0" w:color="auto"/>
            </w:tcBorders>
            <w:vAlign w:val="bottom"/>
          </w:tcPr>
          <w:p w14:paraId="1E151FBA" w14:textId="7A809999" w:rsidR="007242BD" w:rsidRPr="006B06B9" w:rsidRDefault="00DA34B6"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w:t>
            </w:r>
            <w:r w:rsidR="00510105">
              <w:rPr>
                <w:rFonts w:ascii="Arial" w:eastAsia="Times New Roman" w:hAnsi="Arial" w:cs="Arial"/>
                <w:b/>
                <w:bCs/>
                <w:sz w:val="20"/>
                <w:szCs w:val="20"/>
                <w:lang w:eastAsia="hr-HR"/>
              </w:rPr>
              <w:t>3</w:t>
            </w:r>
            <w:r>
              <w:rPr>
                <w:rFonts w:ascii="Arial" w:eastAsia="Times New Roman" w:hAnsi="Arial" w:cs="Arial"/>
                <w:b/>
                <w:bCs/>
                <w:sz w:val="20"/>
                <w:szCs w:val="20"/>
                <w:lang w:eastAsia="hr-HR"/>
              </w:rPr>
              <w:t>.000,00</w:t>
            </w:r>
          </w:p>
        </w:tc>
        <w:tc>
          <w:tcPr>
            <w:tcW w:w="1600" w:type="dxa"/>
            <w:tcBorders>
              <w:top w:val="nil"/>
              <w:left w:val="single" w:sz="4" w:space="0" w:color="auto"/>
              <w:bottom w:val="single" w:sz="4" w:space="0" w:color="auto"/>
              <w:right w:val="single" w:sz="4" w:space="0" w:color="auto"/>
            </w:tcBorders>
            <w:noWrap/>
            <w:vAlign w:val="bottom"/>
          </w:tcPr>
          <w:p w14:paraId="73092090" w14:textId="1A53B0C7" w:rsidR="007242BD" w:rsidRPr="006B06B9" w:rsidRDefault="00510105"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3.274,76</w:t>
            </w:r>
          </w:p>
        </w:tc>
        <w:tc>
          <w:tcPr>
            <w:tcW w:w="1117" w:type="dxa"/>
            <w:tcBorders>
              <w:top w:val="nil"/>
              <w:left w:val="nil"/>
              <w:bottom w:val="single" w:sz="4" w:space="0" w:color="auto"/>
              <w:right w:val="single" w:sz="4" w:space="0" w:color="auto"/>
            </w:tcBorders>
            <w:noWrap/>
            <w:vAlign w:val="bottom"/>
          </w:tcPr>
          <w:p w14:paraId="40333A96" w14:textId="0958BB16" w:rsidR="007242BD" w:rsidRPr="006B06B9" w:rsidRDefault="00510105"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250,01</w:t>
            </w:r>
            <w:r w:rsidR="00DA34B6">
              <w:rPr>
                <w:rFonts w:ascii="Arial" w:eastAsia="Times New Roman" w:hAnsi="Arial" w:cs="Arial"/>
                <w:b/>
                <w:bCs/>
                <w:sz w:val="20"/>
                <w:szCs w:val="20"/>
                <w:lang w:eastAsia="hr-HR"/>
              </w:rPr>
              <w:t>%</w:t>
            </w:r>
          </w:p>
        </w:tc>
        <w:tc>
          <w:tcPr>
            <w:tcW w:w="1006" w:type="dxa"/>
            <w:tcBorders>
              <w:top w:val="nil"/>
              <w:left w:val="nil"/>
              <w:bottom w:val="single" w:sz="4" w:space="0" w:color="auto"/>
              <w:right w:val="single" w:sz="4" w:space="0" w:color="auto"/>
            </w:tcBorders>
            <w:noWrap/>
            <w:vAlign w:val="bottom"/>
          </w:tcPr>
          <w:p w14:paraId="085B5327" w14:textId="00EE62C3" w:rsidR="007242BD" w:rsidRPr="006B06B9" w:rsidRDefault="00510105"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14,24</w:t>
            </w:r>
            <w:r w:rsidR="00DA34B6">
              <w:rPr>
                <w:rFonts w:ascii="Arial" w:eastAsia="Times New Roman" w:hAnsi="Arial" w:cs="Arial"/>
                <w:b/>
                <w:bCs/>
                <w:sz w:val="20"/>
                <w:szCs w:val="20"/>
                <w:lang w:eastAsia="hr-HR"/>
              </w:rPr>
              <w:t>%</w:t>
            </w:r>
          </w:p>
        </w:tc>
      </w:tr>
      <w:tr w:rsidR="00EB4F8D" w:rsidRPr="006B06B9" w14:paraId="52D71B95"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1C25C29B"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721 Prihodi od prodaje građevinskih objekata</w:t>
            </w:r>
          </w:p>
        </w:tc>
        <w:tc>
          <w:tcPr>
            <w:tcW w:w="1496" w:type="dxa"/>
            <w:tcBorders>
              <w:top w:val="nil"/>
              <w:left w:val="nil"/>
              <w:bottom w:val="single" w:sz="4" w:space="0" w:color="auto"/>
              <w:right w:val="single" w:sz="4" w:space="0" w:color="auto"/>
            </w:tcBorders>
            <w:noWrap/>
            <w:vAlign w:val="bottom"/>
          </w:tcPr>
          <w:p w14:paraId="6FA76F59" w14:textId="7706B1DE" w:rsidR="007242BD" w:rsidRPr="006B06B9" w:rsidRDefault="00510105"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1.309,83</w:t>
            </w:r>
          </w:p>
        </w:tc>
        <w:tc>
          <w:tcPr>
            <w:tcW w:w="1506" w:type="dxa"/>
            <w:tcBorders>
              <w:top w:val="nil"/>
              <w:left w:val="nil"/>
              <w:bottom w:val="single" w:sz="4" w:space="0" w:color="auto"/>
              <w:right w:val="single" w:sz="4" w:space="0" w:color="auto"/>
            </w:tcBorders>
            <w:noWrap/>
            <w:vAlign w:val="bottom"/>
          </w:tcPr>
          <w:p w14:paraId="0567AEA2" w14:textId="346FE625"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55C2FFC8"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75A335B8" w14:textId="5DDE2EB1" w:rsidR="007242BD" w:rsidRPr="006B06B9" w:rsidRDefault="00510105"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513,26</w:t>
            </w:r>
          </w:p>
        </w:tc>
        <w:tc>
          <w:tcPr>
            <w:tcW w:w="1117" w:type="dxa"/>
            <w:tcBorders>
              <w:top w:val="nil"/>
              <w:left w:val="nil"/>
              <w:bottom w:val="single" w:sz="4" w:space="0" w:color="auto"/>
              <w:right w:val="single" w:sz="4" w:space="0" w:color="auto"/>
            </w:tcBorders>
            <w:noWrap/>
            <w:vAlign w:val="bottom"/>
          </w:tcPr>
          <w:p w14:paraId="1150CEE1" w14:textId="1C45A9BD" w:rsidR="007242BD" w:rsidRPr="006B06B9" w:rsidRDefault="00510105"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39,19</w:t>
            </w:r>
            <w:r w:rsidR="00DA34B6">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641D4B1A" w14:textId="0DB08B0B" w:rsidR="007242BD" w:rsidRPr="006B06B9" w:rsidRDefault="00DA34B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5509811C"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2149F5A1"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7211 Stambeni objekti</w:t>
            </w:r>
          </w:p>
        </w:tc>
        <w:tc>
          <w:tcPr>
            <w:tcW w:w="1496" w:type="dxa"/>
            <w:tcBorders>
              <w:top w:val="nil"/>
              <w:left w:val="nil"/>
              <w:bottom w:val="single" w:sz="4" w:space="0" w:color="auto"/>
              <w:right w:val="single" w:sz="4" w:space="0" w:color="auto"/>
            </w:tcBorders>
            <w:noWrap/>
            <w:vAlign w:val="bottom"/>
          </w:tcPr>
          <w:p w14:paraId="2D60D471" w14:textId="06541099" w:rsidR="007242BD" w:rsidRPr="006B06B9" w:rsidRDefault="00510105"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1.309,83</w:t>
            </w:r>
          </w:p>
        </w:tc>
        <w:tc>
          <w:tcPr>
            <w:tcW w:w="1506" w:type="dxa"/>
            <w:tcBorders>
              <w:top w:val="nil"/>
              <w:left w:val="nil"/>
              <w:bottom w:val="single" w:sz="4" w:space="0" w:color="auto"/>
              <w:right w:val="single" w:sz="4" w:space="0" w:color="auto"/>
            </w:tcBorders>
            <w:noWrap/>
            <w:vAlign w:val="bottom"/>
          </w:tcPr>
          <w:p w14:paraId="76C2BA4E" w14:textId="3F29B7DC"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62CFB3F4"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27723893" w14:textId="7A4565EC" w:rsidR="007242BD" w:rsidRPr="006B06B9" w:rsidRDefault="00510105"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513,26</w:t>
            </w:r>
          </w:p>
        </w:tc>
        <w:tc>
          <w:tcPr>
            <w:tcW w:w="1117" w:type="dxa"/>
            <w:tcBorders>
              <w:top w:val="nil"/>
              <w:left w:val="nil"/>
              <w:bottom w:val="single" w:sz="4" w:space="0" w:color="auto"/>
              <w:right w:val="single" w:sz="4" w:space="0" w:color="auto"/>
            </w:tcBorders>
            <w:noWrap/>
            <w:vAlign w:val="bottom"/>
          </w:tcPr>
          <w:p w14:paraId="63F12B27" w14:textId="76A365DD" w:rsidR="007242BD" w:rsidRPr="006B06B9" w:rsidRDefault="00510105"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39,19</w:t>
            </w:r>
            <w:r w:rsidR="000A368F">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36116982" w14:textId="320FD4F0" w:rsidR="007242BD" w:rsidRPr="006B06B9" w:rsidRDefault="000A368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510105" w:rsidRPr="006B06B9" w14:paraId="044531D6"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tcPr>
          <w:p w14:paraId="46B48867" w14:textId="13C55AC7" w:rsidR="00510105" w:rsidRPr="006B06B9" w:rsidRDefault="00510105" w:rsidP="006B06B9">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722 Prihodi od prodaje postrojenja i opreme</w:t>
            </w:r>
          </w:p>
        </w:tc>
        <w:tc>
          <w:tcPr>
            <w:tcW w:w="1496" w:type="dxa"/>
            <w:tcBorders>
              <w:top w:val="nil"/>
              <w:left w:val="nil"/>
              <w:bottom w:val="single" w:sz="4" w:space="0" w:color="auto"/>
              <w:right w:val="single" w:sz="4" w:space="0" w:color="auto"/>
            </w:tcBorders>
            <w:noWrap/>
            <w:vAlign w:val="bottom"/>
          </w:tcPr>
          <w:p w14:paraId="16E1A4D2" w14:textId="0D139818" w:rsidR="00510105" w:rsidRDefault="00510105"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506" w:type="dxa"/>
            <w:tcBorders>
              <w:top w:val="nil"/>
              <w:left w:val="nil"/>
              <w:bottom w:val="single" w:sz="4" w:space="0" w:color="auto"/>
              <w:right w:val="single" w:sz="4" w:space="0" w:color="auto"/>
            </w:tcBorders>
            <w:noWrap/>
            <w:vAlign w:val="bottom"/>
          </w:tcPr>
          <w:p w14:paraId="697CD81D" w14:textId="77777777" w:rsidR="00510105" w:rsidRPr="006B06B9" w:rsidRDefault="00510105"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757BC9D7" w14:textId="77777777" w:rsidR="00510105" w:rsidRPr="006B06B9" w:rsidRDefault="00510105"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28FB403B" w14:textId="043B6A02" w:rsidR="00510105" w:rsidRDefault="00510105"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1.060,00</w:t>
            </w:r>
          </w:p>
        </w:tc>
        <w:tc>
          <w:tcPr>
            <w:tcW w:w="1117" w:type="dxa"/>
            <w:tcBorders>
              <w:top w:val="nil"/>
              <w:left w:val="nil"/>
              <w:bottom w:val="single" w:sz="4" w:space="0" w:color="auto"/>
              <w:right w:val="single" w:sz="4" w:space="0" w:color="auto"/>
            </w:tcBorders>
            <w:noWrap/>
            <w:vAlign w:val="bottom"/>
          </w:tcPr>
          <w:p w14:paraId="49DBEC7A" w14:textId="11359298" w:rsidR="00510105" w:rsidRDefault="00510105"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150BE462" w14:textId="4F45793B" w:rsidR="00510105" w:rsidRDefault="00510105"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510105" w:rsidRPr="006B06B9" w14:paraId="41C291AA"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tcPr>
          <w:p w14:paraId="05483B1C" w14:textId="6E4C8C9E" w:rsidR="00510105" w:rsidRDefault="00510105" w:rsidP="006B06B9">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 xml:space="preserve">7227 Uređaji, strojevi i oprema za ostale namjene </w:t>
            </w:r>
          </w:p>
        </w:tc>
        <w:tc>
          <w:tcPr>
            <w:tcW w:w="1496" w:type="dxa"/>
            <w:tcBorders>
              <w:top w:val="nil"/>
              <w:left w:val="nil"/>
              <w:bottom w:val="single" w:sz="4" w:space="0" w:color="auto"/>
              <w:right w:val="single" w:sz="4" w:space="0" w:color="auto"/>
            </w:tcBorders>
            <w:noWrap/>
            <w:vAlign w:val="bottom"/>
          </w:tcPr>
          <w:p w14:paraId="3F105ED7" w14:textId="0F5924B6" w:rsidR="00510105" w:rsidRDefault="00510105"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506" w:type="dxa"/>
            <w:tcBorders>
              <w:top w:val="nil"/>
              <w:left w:val="nil"/>
              <w:bottom w:val="single" w:sz="4" w:space="0" w:color="auto"/>
              <w:right w:val="single" w:sz="4" w:space="0" w:color="auto"/>
            </w:tcBorders>
            <w:noWrap/>
            <w:vAlign w:val="bottom"/>
          </w:tcPr>
          <w:p w14:paraId="72132463" w14:textId="77777777" w:rsidR="00510105" w:rsidRPr="006B06B9" w:rsidRDefault="00510105"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6367D257" w14:textId="77777777" w:rsidR="00510105" w:rsidRPr="006B06B9" w:rsidRDefault="00510105"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20FD2E7F" w14:textId="4C3292C0" w:rsidR="00510105" w:rsidRDefault="00510105"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1.060,00</w:t>
            </w:r>
          </w:p>
        </w:tc>
        <w:tc>
          <w:tcPr>
            <w:tcW w:w="1117" w:type="dxa"/>
            <w:tcBorders>
              <w:top w:val="nil"/>
              <w:left w:val="nil"/>
              <w:bottom w:val="single" w:sz="4" w:space="0" w:color="auto"/>
              <w:right w:val="single" w:sz="4" w:space="0" w:color="auto"/>
            </w:tcBorders>
            <w:noWrap/>
            <w:vAlign w:val="bottom"/>
          </w:tcPr>
          <w:p w14:paraId="2BED7E47" w14:textId="3748A620" w:rsidR="00510105" w:rsidRDefault="00510105"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51122FDA" w14:textId="7919DD5B" w:rsidR="00510105" w:rsidRDefault="00510105"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510105" w:rsidRPr="006B06B9" w14:paraId="4ABFB52C"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tcPr>
          <w:p w14:paraId="58782250" w14:textId="70F06BBC" w:rsidR="00510105" w:rsidRDefault="00510105" w:rsidP="006B06B9">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723 Prihodi od prodaje prijevoznih sredstava</w:t>
            </w:r>
          </w:p>
        </w:tc>
        <w:tc>
          <w:tcPr>
            <w:tcW w:w="1496" w:type="dxa"/>
            <w:tcBorders>
              <w:top w:val="nil"/>
              <w:left w:val="nil"/>
              <w:bottom w:val="single" w:sz="4" w:space="0" w:color="auto"/>
              <w:right w:val="single" w:sz="4" w:space="0" w:color="auto"/>
            </w:tcBorders>
            <w:noWrap/>
            <w:vAlign w:val="bottom"/>
          </w:tcPr>
          <w:p w14:paraId="13C94B48" w14:textId="3236CD57" w:rsidR="00510105" w:rsidRDefault="00510105"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506" w:type="dxa"/>
            <w:tcBorders>
              <w:top w:val="nil"/>
              <w:left w:val="nil"/>
              <w:bottom w:val="single" w:sz="4" w:space="0" w:color="auto"/>
              <w:right w:val="single" w:sz="4" w:space="0" w:color="auto"/>
            </w:tcBorders>
            <w:noWrap/>
            <w:vAlign w:val="bottom"/>
          </w:tcPr>
          <w:p w14:paraId="2C59B212" w14:textId="77777777" w:rsidR="00510105" w:rsidRPr="006B06B9" w:rsidRDefault="00510105"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081116C3" w14:textId="77777777" w:rsidR="00510105" w:rsidRPr="006B06B9" w:rsidRDefault="00510105"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12A2EF7D" w14:textId="3BAAEC81" w:rsidR="00510105" w:rsidRDefault="00510105"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1.701,50</w:t>
            </w:r>
          </w:p>
        </w:tc>
        <w:tc>
          <w:tcPr>
            <w:tcW w:w="1117" w:type="dxa"/>
            <w:tcBorders>
              <w:top w:val="nil"/>
              <w:left w:val="nil"/>
              <w:bottom w:val="single" w:sz="4" w:space="0" w:color="auto"/>
              <w:right w:val="single" w:sz="4" w:space="0" w:color="auto"/>
            </w:tcBorders>
            <w:noWrap/>
            <w:vAlign w:val="bottom"/>
          </w:tcPr>
          <w:p w14:paraId="0FCA4E2D" w14:textId="704DF40D" w:rsidR="00510105" w:rsidRDefault="00510105"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5F25DDED" w14:textId="79988AA2" w:rsidR="00510105" w:rsidRDefault="00510105"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510105" w:rsidRPr="006B06B9" w14:paraId="60EDDA88"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tcPr>
          <w:p w14:paraId="5D6593B8" w14:textId="42275850" w:rsidR="00510105" w:rsidRDefault="00510105" w:rsidP="006B06B9">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 xml:space="preserve">7231 Prijevozna sredstva u cestovnom prometu </w:t>
            </w:r>
          </w:p>
        </w:tc>
        <w:tc>
          <w:tcPr>
            <w:tcW w:w="1496" w:type="dxa"/>
            <w:tcBorders>
              <w:top w:val="nil"/>
              <w:left w:val="nil"/>
              <w:bottom w:val="single" w:sz="4" w:space="0" w:color="auto"/>
              <w:right w:val="single" w:sz="4" w:space="0" w:color="auto"/>
            </w:tcBorders>
            <w:noWrap/>
            <w:vAlign w:val="bottom"/>
          </w:tcPr>
          <w:p w14:paraId="1CE0E61E" w14:textId="520126AD" w:rsidR="00510105" w:rsidRDefault="00510105"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506" w:type="dxa"/>
            <w:tcBorders>
              <w:top w:val="nil"/>
              <w:left w:val="nil"/>
              <w:bottom w:val="single" w:sz="4" w:space="0" w:color="auto"/>
              <w:right w:val="single" w:sz="4" w:space="0" w:color="auto"/>
            </w:tcBorders>
            <w:noWrap/>
            <w:vAlign w:val="bottom"/>
          </w:tcPr>
          <w:p w14:paraId="7AE8D26E" w14:textId="77777777" w:rsidR="00510105" w:rsidRPr="006B06B9" w:rsidRDefault="00510105"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50DDB561" w14:textId="77777777" w:rsidR="00510105" w:rsidRPr="006B06B9" w:rsidRDefault="00510105"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648427F9" w14:textId="3F28F53F" w:rsidR="00510105" w:rsidRDefault="00510105"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1.701,50</w:t>
            </w:r>
          </w:p>
        </w:tc>
        <w:tc>
          <w:tcPr>
            <w:tcW w:w="1117" w:type="dxa"/>
            <w:tcBorders>
              <w:top w:val="nil"/>
              <w:left w:val="nil"/>
              <w:bottom w:val="single" w:sz="4" w:space="0" w:color="auto"/>
              <w:right w:val="single" w:sz="4" w:space="0" w:color="auto"/>
            </w:tcBorders>
            <w:noWrap/>
            <w:vAlign w:val="bottom"/>
          </w:tcPr>
          <w:p w14:paraId="3CFE5E37" w14:textId="3ECE3ED0" w:rsidR="00510105" w:rsidRDefault="00510105"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057126E5" w14:textId="094C82A3" w:rsidR="00510105" w:rsidRDefault="00510105"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183C8F0E"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68AAE3B0" w14:textId="77777777" w:rsidR="007242BD" w:rsidRPr="006B06B9" w:rsidRDefault="007242BD"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3 Rashodi poslovanja</w:t>
            </w:r>
          </w:p>
        </w:tc>
        <w:tc>
          <w:tcPr>
            <w:tcW w:w="1496" w:type="dxa"/>
            <w:tcBorders>
              <w:top w:val="nil"/>
              <w:left w:val="nil"/>
              <w:bottom w:val="single" w:sz="4" w:space="0" w:color="auto"/>
              <w:right w:val="single" w:sz="4" w:space="0" w:color="auto"/>
            </w:tcBorders>
            <w:noWrap/>
            <w:vAlign w:val="bottom"/>
          </w:tcPr>
          <w:p w14:paraId="7EEDD2F1" w14:textId="536D6FA8" w:rsidR="007242BD" w:rsidRPr="006B06B9" w:rsidRDefault="00510105"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12.583.788,14</w:t>
            </w:r>
          </w:p>
        </w:tc>
        <w:tc>
          <w:tcPr>
            <w:tcW w:w="1506" w:type="dxa"/>
            <w:tcBorders>
              <w:top w:val="nil"/>
              <w:left w:val="nil"/>
              <w:bottom w:val="single" w:sz="4" w:space="0" w:color="auto"/>
              <w:right w:val="single" w:sz="4" w:space="0" w:color="auto"/>
            </w:tcBorders>
            <w:noWrap/>
            <w:vAlign w:val="bottom"/>
          </w:tcPr>
          <w:p w14:paraId="04C258FF" w14:textId="7A1C1A91" w:rsidR="007242BD" w:rsidRPr="006B06B9" w:rsidRDefault="00510105"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16.268.848,50</w:t>
            </w:r>
          </w:p>
        </w:tc>
        <w:tc>
          <w:tcPr>
            <w:tcW w:w="1496" w:type="dxa"/>
            <w:tcBorders>
              <w:top w:val="single" w:sz="4" w:space="0" w:color="auto"/>
              <w:left w:val="nil"/>
              <w:bottom w:val="single" w:sz="4" w:space="0" w:color="auto"/>
              <w:right w:val="single" w:sz="4" w:space="0" w:color="auto"/>
            </w:tcBorders>
          </w:tcPr>
          <w:p w14:paraId="4CBB59D4" w14:textId="0F23741C" w:rsidR="007242BD" w:rsidRPr="006B06B9" w:rsidRDefault="00510105"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16.371.637,50</w:t>
            </w:r>
          </w:p>
        </w:tc>
        <w:tc>
          <w:tcPr>
            <w:tcW w:w="1600" w:type="dxa"/>
            <w:tcBorders>
              <w:top w:val="nil"/>
              <w:left w:val="single" w:sz="4" w:space="0" w:color="auto"/>
              <w:bottom w:val="single" w:sz="4" w:space="0" w:color="auto"/>
              <w:right w:val="single" w:sz="4" w:space="0" w:color="auto"/>
            </w:tcBorders>
            <w:noWrap/>
            <w:vAlign w:val="bottom"/>
          </w:tcPr>
          <w:p w14:paraId="2EDCE26A" w14:textId="21F1E0AA" w:rsidR="007242BD" w:rsidRPr="006B06B9" w:rsidRDefault="00510105"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14.511.998,34</w:t>
            </w:r>
          </w:p>
        </w:tc>
        <w:tc>
          <w:tcPr>
            <w:tcW w:w="1117" w:type="dxa"/>
            <w:tcBorders>
              <w:top w:val="nil"/>
              <w:left w:val="nil"/>
              <w:bottom w:val="single" w:sz="4" w:space="0" w:color="auto"/>
              <w:right w:val="single" w:sz="4" w:space="0" w:color="auto"/>
            </w:tcBorders>
            <w:noWrap/>
            <w:vAlign w:val="bottom"/>
          </w:tcPr>
          <w:p w14:paraId="6AE6C3B0" w14:textId="5BC2CD5B" w:rsidR="007242BD" w:rsidRPr="006B06B9" w:rsidRDefault="00510105"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115,32</w:t>
            </w:r>
            <w:r w:rsidR="00DA34B6">
              <w:rPr>
                <w:rFonts w:ascii="Arial" w:eastAsia="Times New Roman" w:hAnsi="Arial" w:cs="Arial"/>
                <w:b/>
                <w:bCs/>
                <w:sz w:val="20"/>
                <w:szCs w:val="20"/>
                <w:lang w:eastAsia="hr-HR"/>
              </w:rPr>
              <w:t>%</w:t>
            </w:r>
          </w:p>
        </w:tc>
        <w:tc>
          <w:tcPr>
            <w:tcW w:w="1006" w:type="dxa"/>
            <w:tcBorders>
              <w:top w:val="nil"/>
              <w:left w:val="nil"/>
              <w:bottom w:val="single" w:sz="4" w:space="0" w:color="auto"/>
              <w:right w:val="single" w:sz="4" w:space="0" w:color="auto"/>
            </w:tcBorders>
            <w:noWrap/>
            <w:vAlign w:val="bottom"/>
          </w:tcPr>
          <w:p w14:paraId="31EE2635" w14:textId="2AF265FD" w:rsidR="007242BD" w:rsidRPr="006B06B9" w:rsidRDefault="00510105"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88,64</w:t>
            </w:r>
            <w:r w:rsidR="00DA34B6">
              <w:rPr>
                <w:rFonts w:ascii="Arial" w:eastAsia="Times New Roman" w:hAnsi="Arial" w:cs="Arial"/>
                <w:b/>
                <w:bCs/>
                <w:sz w:val="20"/>
                <w:szCs w:val="20"/>
                <w:lang w:eastAsia="hr-HR"/>
              </w:rPr>
              <w:t>%</w:t>
            </w:r>
          </w:p>
        </w:tc>
      </w:tr>
      <w:tr w:rsidR="00EB4F8D" w:rsidRPr="006B06B9" w14:paraId="23F2A0AE"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6648D0B8" w14:textId="77777777" w:rsidR="007242BD" w:rsidRPr="006B06B9" w:rsidRDefault="007242BD"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31 Rashodi za zaposlene</w:t>
            </w:r>
          </w:p>
        </w:tc>
        <w:tc>
          <w:tcPr>
            <w:tcW w:w="1496" w:type="dxa"/>
            <w:tcBorders>
              <w:top w:val="nil"/>
              <w:left w:val="nil"/>
              <w:bottom w:val="single" w:sz="4" w:space="0" w:color="auto"/>
              <w:right w:val="single" w:sz="4" w:space="0" w:color="auto"/>
            </w:tcBorders>
            <w:noWrap/>
            <w:vAlign w:val="bottom"/>
          </w:tcPr>
          <w:p w14:paraId="127C0B5F" w14:textId="1902AC5B" w:rsidR="007242BD" w:rsidRPr="006B06B9" w:rsidRDefault="00510105"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4.678.060,58</w:t>
            </w:r>
          </w:p>
        </w:tc>
        <w:tc>
          <w:tcPr>
            <w:tcW w:w="1506" w:type="dxa"/>
            <w:tcBorders>
              <w:top w:val="nil"/>
              <w:left w:val="nil"/>
              <w:bottom w:val="single" w:sz="4" w:space="0" w:color="auto"/>
              <w:right w:val="single" w:sz="4" w:space="0" w:color="auto"/>
            </w:tcBorders>
            <w:noWrap/>
            <w:vAlign w:val="bottom"/>
          </w:tcPr>
          <w:p w14:paraId="3BCCFDE6" w14:textId="4FB0F1C6" w:rsidR="007242BD" w:rsidRPr="006B06B9" w:rsidRDefault="00510105"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6.352.017,00</w:t>
            </w:r>
          </w:p>
        </w:tc>
        <w:tc>
          <w:tcPr>
            <w:tcW w:w="1496" w:type="dxa"/>
            <w:tcBorders>
              <w:top w:val="single" w:sz="4" w:space="0" w:color="auto"/>
              <w:left w:val="nil"/>
              <w:bottom w:val="single" w:sz="4" w:space="0" w:color="auto"/>
              <w:right w:val="single" w:sz="4" w:space="0" w:color="auto"/>
            </w:tcBorders>
          </w:tcPr>
          <w:p w14:paraId="0F4ED9A0" w14:textId="3BA3F292" w:rsidR="007242BD" w:rsidRPr="006B06B9" w:rsidRDefault="00510105"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6.250.237,00</w:t>
            </w:r>
          </w:p>
        </w:tc>
        <w:tc>
          <w:tcPr>
            <w:tcW w:w="1600" w:type="dxa"/>
            <w:tcBorders>
              <w:top w:val="nil"/>
              <w:left w:val="single" w:sz="4" w:space="0" w:color="auto"/>
              <w:bottom w:val="single" w:sz="4" w:space="0" w:color="auto"/>
              <w:right w:val="single" w:sz="4" w:space="0" w:color="auto"/>
            </w:tcBorders>
            <w:noWrap/>
            <w:vAlign w:val="bottom"/>
          </w:tcPr>
          <w:p w14:paraId="423537D9" w14:textId="214F4601" w:rsidR="007242BD" w:rsidRPr="006B06B9" w:rsidRDefault="00510105"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5.944.242,49</w:t>
            </w:r>
          </w:p>
        </w:tc>
        <w:tc>
          <w:tcPr>
            <w:tcW w:w="1117" w:type="dxa"/>
            <w:tcBorders>
              <w:top w:val="nil"/>
              <w:left w:val="nil"/>
              <w:bottom w:val="single" w:sz="4" w:space="0" w:color="auto"/>
              <w:right w:val="single" w:sz="4" w:space="0" w:color="auto"/>
            </w:tcBorders>
            <w:noWrap/>
            <w:vAlign w:val="bottom"/>
          </w:tcPr>
          <w:p w14:paraId="0EAC4AC3" w14:textId="276BEA51" w:rsidR="007242BD" w:rsidRPr="006B06B9" w:rsidRDefault="00510105"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127,07</w:t>
            </w:r>
            <w:r w:rsidR="00DA34B6">
              <w:rPr>
                <w:rFonts w:ascii="Arial" w:eastAsia="Times New Roman" w:hAnsi="Arial" w:cs="Arial"/>
                <w:b/>
                <w:bCs/>
                <w:sz w:val="20"/>
                <w:szCs w:val="20"/>
                <w:lang w:eastAsia="hr-HR"/>
              </w:rPr>
              <w:t>%</w:t>
            </w:r>
          </w:p>
        </w:tc>
        <w:tc>
          <w:tcPr>
            <w:tcW w:w="1006" w:type="dxa"/>
            <w:tcBorders>
              <w:top w:val="nil"/>
              <w:left w:val="nil"/>
              <w:bottom w:val="single" w:sz="4" w:space="0" w:color="auto"/>
              <w:right w:val="single" w:sz="4" w:space="0" w:color="auto"/>
            </w:tcBorders>
            <w:noWrap/>
            <w:vAlign w:val="bottom"/>
          </w:tcPr>
          <w:p w14:paraId="02BCE6E5" w14:textId="1D76A3F6" w:rsidR="007242BD" w:rsidRPr="006B06B9" w:rsidRDefault="00510105"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95,10</w:t>
            </w:r>
            <w:r w:rsidR="000A368F">
              <w:rPr>
                <w:rFonts w:ascii="Arial" w:eastAsia="Times New Roman" w:hAnsi="Arial" w:cs="Arial"/>
                <w:b/>
                <w:bCs/>
                <w:sz w:val="20"/>
                <w:szCs w:val="20"/>
                <w:lang w:eastAsia="hr-HR"/>
              </w:rPr>
              <w:t>%</w:t>
            </w:r>
          </w:p>
        </w:tc>
      </w:tr>
      <w:tr w:rsidR="00EB4F8D" w:rsidRPr="006B06B9" w14:paraId="0E4727BD"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2E0B039D"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311 Plaće (Bruto)</w:t>
            </w:r>
          </w:p>
        </w:tc>
        <w:tc>
          <w:tcPr>
            <w:tcW w:w="1496" w:type="dxa"/>
            <w:tcBorders>
              <w:top w:val="nil"/>
              <w:left w:val="nil"/>
              <w:bottom w:val="single" w:sz="4" w:space="0" w:color="auto"/>
              <w:right w:val="single" w:sz="4" w:space="0" w:color="auto"/>
            </w:tcBorders>
            <w:noWrap/>
            <w:vAlign w:val="bottom"/>
          </w:tcPr>
          <w:p w14:paraId="779664B1" w14:textId="6830C680" w:rsidR="007242BD" w:rsidRPr="006B06B9" w:rsidRDefault="00510105"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3.658.226,21</w:t>
            </w:r>
          </w:p>
        </w:tc>
        <w:tc>
          <w:tcPr>
            <w:tcW w:w="1506" w:type="dxa"/>
            <w:tcBorders>
              <w:top w:val="nil"/>
              <w:left w:val="nil"/>
              <w:bottom w:val="single" w:sz="4" w:space="0" w:color="auto"/>
              <w:right w:val="single" w:sz="4" w:space="0" w:color="auto"/>
            </w:tcBorders>
            <w:noWrap/>
            <w:vAlign w:val="bottom"/>
          </w:tcPr>
          <w:p w14:paraId="5FA1BF27" w14:textId="19F557FB"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09F1CEC0"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5B2F27E3" w14:textId="50C07FB9" w:rsidR="007242BD" w:rsidRPr="006B06B9" w:rsidRDefault="00510105"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4.678.314,27</w:t>
            </w:r>
          </w:p>
        </w:tc>
        <w:tc>
          <w:tcPr>
            <w:tcW w:w="1117" w:type="dxa"/>
            <w:tcBorders>
              <w:top w:val="nil"/>
              <w:left w:val="nil"/>
              <w:bottom w:val="single" w:sz="4" w:space="0" w:color="auto"/>
              <w:right w:val="single" w:sz="4" w:space="0" w:color="auto"/>
            </w:tcBorders>
            <w:noWrap/>
            <w:vAlign w:val="bottom"/>
          </w:tcPr>
          <w:p w14:paraId="3B1A1ECF" w14:textId="19FE48DA" w:rsidR="007242BD" w:rsidRPr="006B06B9" w:rsidRDefault="00510105"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127,88</w:t>
            </w:r>
            <w:r w:rsidR="000A368F">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741CC1E3" w14:textId="01CD6F38" w:rsidR="007242BD" w:rsidRPr="006B06B9" w:rsidRDefault="000A368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719F6C34"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5ACC4451"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3111 Plaće za redovan rad</w:t>
            </w:r>
          </w:p>
        </w:tc>
        <w:tc>
          <w:tcPr>
            <w:tcW w:w="1496" w:type="dxa"/>
            <w:tcBorders>
              <w:top w:val="nil"/>
              <w:left w:val="nil"/>
              <w:bottom w:val="single" w:sz="4" w:space="0" w:color="auto"/>
              <w:right w:val="single" w:sz="4" w:space="0" w:color="auto"/>
            </w:tcBorders>
            <w:noWrap/>
            <w:vAlign w:val="bottom"/>
          </w:tcPr>
          <w:p w14:paraId="6965BC47" w14:textId="4558FD8A" w:rsidR="007242BD" w:rsidRPr="006B06B9" w:rsidRDefault="00510105"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3.508.213,05</w:t>
            </w:r>
          </w:p>
        </w:tc>
        <w:tc>
          <w:tcPr>
            <w:tcW w:w="1506" w:type="dxa"/>
            <w:tcBorders>
              <w:top w:val="nil"/>
              <w:left w:val="nil"/>
              <w:bottom w:val="single" w:sz="4" w:space="0" w:color="auto"/>
              <w:right w:val="single" w:sz="4" w:space="0" w:color="auto"/>
            </w:tcBorders>
            <w:noWrap/>
            <w:vAlign w:val="bottom"/>
          </w:tcPr>
          <w:p w14:paraId="7EF4DC5C" w14:textId="055661DC"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2A4070E3"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12B6BD32" w14:textId="7B55A76F" w:rsidR="007242BD" w:rsidRPr="006B06B9" w:rsidRDefault="00510105"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4.522.394,50</w:t>
            </w:r>
          </w:p>
        </w:tc>
        <w:tc>
          <w:tcPr>
            <w:tcW w:w="1117" w:type="dxa"/>
            <w:tcBorders>
              <w:top w:val="nil"/>
              <w:left w:val="nil"/>
              <w:bottom w:val="single" w:sz="4" w:space="0" w:color="auto"/>
              <w:right w:val="single" w:sz="4" w:space="0" w:color="auto"/>
            </w:tcBorders>
            <w:noWrap/>
            <w:vAlign w:val="bottom"/>
          </w:tcPr>
          <w:p w14:paraId="0784DFBD" w14:textId="180DB9BC" w:rsidR="007242BD" w:rsidRPr="006B06B9" w:rsidRDefault="00510105"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128,91</w:t>
            </w:r>
            <w:r w:rsidR="000A368F">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0F880E76" w14:textId="1BC45ADE" w:rsidR="007242BD" w:rsidRPr="006B06B9" w:rsidRDefault="000A368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0E52105B"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0C06EE98"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3113 Plaće za prekovremeni rad</w:t>
            </w:r>
          </w:p>
        </w:tc>
        <w:tc>
          <w:tcPr>
            <w:tcW w:w="1496" w:type="dxa"/>
            <w:tcBorders>
              <w:top w:val="nil"/>
              <w:left w:val="nil"/>
              <w:bottom w:val="single" w:sz="4" w:space="0" w:color="auto"/>
              <w:right w:val="single" w:sz="4" w:space="0" w:color="auto"/>
            </w:tcBorders>
            <w:noWrap/>
            <w:vAlign w:val="bottom"/>
          </w:tcPr>
          <w:p w14:paraId="00FBFFAF" w14:textId="2D7273FD" w:rsidR="007242BD" w:rsidRPr="006B06B9" w:rsidRDefault="00510105"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109.836,65</w:t>
            </w:r>
          </w:p>
        </w:tc>
        <w:tc>
          <w:tcPr>
            <w:tcW w:w="1506" w:type="dxa"/>
            <w:tcBorders>
              <w:top w:val="nil"/>
              <w:left w:val="nil"/>
              <w:bottom w:val="single" w:sz="4" w:space="0" w:color="auto"/>
              <w:right w:val="single" w:sz="4" w:space="0" w:color="auto"/>
            </w:tcBorders>
            <w:noWrap/>
            <w:vAlign w:val="bottom"/>
          </w:tcPr>
          <w:p w14:paraId="5E8C9478" w14:textId="1B155958"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3BC06186"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5228ACC4" w14:textId="0698EA48" w:rsidR="007242BD" w:rsidRPr="006B06B9" w:rsidRDefault="00510105"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109.573,00</w:t>
            </w:r>
          </w:p>
        </w:tc>
        <w:tc>
          <w:tcPr>
            <w:tcW w:w="1117" w:type="dxa"/>
            <w:tcBorders>
              <w:top w:val="nil"/>
              <w:left w:val="nil"/>
              <w:bottom w:val="single" w:sz="4" w:space="0" w:color="auto"/>
              <w:right w:val="single" w:sz="4" w:space="0" w:color="auto"/>
            </w:tcBorders>
            <w:noWrap/>
            <w:vAlign w:val="bottom"/>
          </w:tcPr>
          <w:p w14:paraId="7D78B317" w14:textId="74037373" w:rsidR="007242BD" w:rsidRPr="006B06B9" w:rsidRDefault="00510105"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99,76</w:t>
            </w:r>
            <w:r w:rsidR="000A368F">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1A7B7C08" w14:textId="539CBBFA" w:rsidR="007242BD" w:rsidRPr="006B06B9" w:rsidRDefault="000A368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02945636"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7D4A378A"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3114 Plaće za posebne uvjete rada</w:t>
            </w:r>
          </w:p>
        </w:tc>
        <w:tc>
          <w:tcPr>
            <w:tcW w:w="1496" w:type="dxa"/>
            <w:tcBorders>
              <w:top w:val="nil"/>
              <w:left w:val="nil"/>
              <w:bottom w:val="single" w:sz="4" w:space="0" w:color="auto"/>
              <w:right w:val="single" w:sz="4" w:space="0" w:color="auto"/>
            </w:tcBorders>
            <w:noWrap/>
            <w:vAlign w:val="bottom"/>
          </w:tcPr>
          <w:p w14:paraId="2341AA16" w14:textId="391B0109" w:rsidR="007242BD" w:rsidRPr="006B06B9" w:rsidRDefault="005B288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40.176,51</w:t>
            </w:r>
          </w:p>
        </w:tc>
        <w:tc>
          <w:tcPr>
            <w:tcW w:w="1506" w:type="dxa"/>
            <w:tcBorders>
              <w:top w:val="nil"/>
              <w:left w:val="nil"/>
              <w:bottom w:val="single" w:sz="4" w:space="0" w:color="auto"/>
              <w:right w:val="single" w:sz="4" w:space="0" w:color="auto"/>
            </w:tcBorders>
            <w:noWrap/>
            <w:vAlign w:val="bottom"/>
          </w:tcPr>
          <w:p w14:paraId="2926D8B3" w14:textId="74318F88"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2709620A"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5254022C" w14:textId="5D294765" w:rsidR="007242BD" w:rsidRPr="006B06B9" w:rsidRDefault="005B288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46.346,77</w:t>
            </w:r>
          </w:p>
        </w:tc>
        <w:tc>
          <w:tcPr>
            <w:tcW w:w="1117" w:type="dxa"/>
            <w:tcBorders>
              <w:top w:val="nil"/>
              <w:left w:val="nil"/>
              <w:bottom w:val="single" w:sz="4" w:space="0" w:color="auto"/>
              <w:right w:val="single" w:sz="4" w:space="0" w:color="auto"/>
            </w:tcBorders>
            <w:noWrap/>
            <w:vAlign w:val="bottom"/>
          </w:tcPr>
          <w:p w14:paraId="7BE44632" w14:textId="52AF323F" w:rsidR="007242BD" w:rsidRPr="006B06B9" w:rsidRDefault="005B288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115,36</w:t>
            </w:r>
            <w:r w:rsidR="000A368F">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7F65E1CC" w14:textId="007F22D7" w:rsidR="007242BD" w:rsidRPr="006B06B9" w:rsidRDefault="000A368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2273F439"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0FBBF5EA"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lastRenderedPageBreak/>
              <w:t>312 Ostali rashodi za zaposlene</w:t>
            </w:r>
          </w:p>
        </w:tc>
        <w:tc>
          <w:tcPr>
            <w:tcW w:w="1496" w:type="dxa"/>
            <w:tcBorders>
              <w:top w:val="nil"/>
              <w:left w:val="nil"/>
              <w:bottom w:val="single" w:sz="4" w:space="0" w:color="auto"/>
              <w:right w:val="single" w:sz="4" w:space="0" w:color="auto"/>
            </w:tcBorders>
            <w:noWrap/>
            <w:vAlign w:val="bottom"/>
          </w:tcPr>
          <w:p w14:paraId="38D5D080" w14:textId="740713E7" w:rsidR="007242BD" w:rsidRPr="006B06B9" w:rsidRDefault="005B288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356.726,92</w:t>
            </w:r>
          </w:p>
        </w:tc>
        <w:tc>
          <w:tcPr>
            <w:tcW w:w="1506" w:type="dxa"/>
            <w:tcBorders>
              <w:top w:val="nil"/>
              <w:left w:val="nil"/>
              <w:bottom w:val="single" w:sz="4" w:space="0" w:color="auto"/>
              <w:right w:val="single" w:sz="4" w:space="0" w:color="auto"/>
            </w:tcBorders>
            <w:noWrap/>
            <w:vAlign w:val="bottom"/>
          </w:tcPr>
          <w:p w14:paraId="7DAC9BB5" w14:textId="48841C9A"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3D161640"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61DE6D75" w14:textId="3D914560" w:rsidR="007242BD" w:rsidRPr="006B06B9" w:rsidRDefault="005B288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427.227,06</w:t>
            </w:r>
          </w:p>
        </w:tc>
        <w:tc>
          <w:tcPr>
            <w:tcW w:w="1117" w:type="dxa"/>
            <w:tcBorders>
              <w:top w:val="nil"/>
              <w:left w:val="nil"/>
              <w:bottom w:val="single" w:sz="4" w:space="0" w:color="auto"/>
              <w:right w:val="single" w:sz="4" w:space="0" w:color="auto"/>
            </w:tcBorders>
            <w:noWrap/>
            <w:vAlign w:val="bottom"/>
          </w:tcPr>
          <w:p w14:paraId="2D1A0157" w14:textId="0A90A42E" w:rsidR="007242BD" w:rsidRPr="006B06B9" w:rsidRDefault="005B288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119,76</w:t>
            </w:r>
            <w:r w:rsidR="000A368F">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59B2264B" w14:textId="1030202F" w:rsidR="007242BD" w:rsidRPr="006B06B9" w:rsidRDefault="000A368F"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626379" w:rsidRPr="006B06B9" w14:paraId="6728BF59"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tcPr>
          <w:p w14:paraId="03D42041" w14:textId="268720A0" w:rsidR="00626379" w:rsidRPr="006B06B9" w:rsidRDefault="00626379" w:rsidP="006B06B9">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 xml:space="preserve">3121 Ostali rashodi za zaposlene </w:t>
            </w:r>
          </w:p>
        </w:tc>
        <w:tc>
          <w:tcPr>
            <w:tcW w:w="1496" w:type="dxa"/>
            <w:tcBorders>
              <w:top w:val="nil"/>
              <w:left w:val="nil"/>
              <w:bottom w:val="single" w:sz="4" w:space="0" w:color="auto"/>
              <w:right w:val="single" w:sz="4" w:space="0" w:color="auto"/>
            </w:tcBorders>
            <w:noWrap/>
            <w:vAlign w:val="bottom"/>
          </w:tcPr>
          <w:p w14:paraId="7BE5FF8D" w14:textId="65025233" w:rsidR="00626379" w:rsidRDefault="005B288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356.726,92</w:t>
            </w:r>
          </w:p>
        </w:tc>
        <w:tc>
          <w:tcPr>
            <w:tcW w:w="1506" w:type="dxa"/>
            <w:tcBorders>
              <w:top w:val="nil"/>
              <w:left w:val="nil"/>
              <w:bottom w:val="single" w:sz="4" w:space="0" w:color="auto"/>
              <w:right w:val="single" w:sz="4" w:space="0" w:color="auto"/>
            </w:tcBorders>
            <w:noWrap/>
            <w:vAlign w:val="bottom"/>
          </w:tcPr>
          <w:p w14:paraId="4189CF4A" w14:textId="77777777" w:rsidR="00626379" w:rsidRPr="006B06B9" w:rsidRDefault="00626379"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5EE22884" w14:textId="77777777" w:rsidR="00626379" w:rsidRPr="006B06B9" w:rsidRDefault="00626379"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2539399B" w14:textId="07B5D974" w:rsidR="00626379" w:rsidRDefault="005B288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427.227,06</w:t>
            </w:r>
          </w:p>
        </w:tc>
        <w:tc>
          <w:tcPr>
            <w:tcW w:w="1117" w:type="dxa"/>
            <w:tcBorders>
              <w:top w:val="nil"/>
              <w:left w:val="nil"/>
              <w:bottom w:val="single" w:sz="4" w:space="0" w:color="auto"/>
              <w:right w:val="single" w:sz="4" w:space="0" w:color="auto"/>
            </w:tcBorders>
            <w:noWrap/>
            <w:vAlign w:val="bottom"/>
          </w:tcPr>
          <w:p w14:paraId="1F63A722" w14:textId="1C06C1EC" w:rsidR="00626379" w:rsidRDefault="005B288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119,76</w:t>
            </w:r>
            <w:r w:rsidR="00626379">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4D0F8331" w14:textId="4856FE0F" w:rsidR="00626379" w:rsidRDefault="00626379"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3E3A00E4"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556CF48A"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313 Doprinosi na plaće</w:t>
            </w:r>
          </w:p>
        </w:tc>
        <w:tc>
          <w:tcPr>
            <w:tcW w:w="1496" w:type="dxa"/>
            <w:tcBorders>
              <w:top w:val="nil"/>
              <w:left w:val="nil"/>
              <w:bottom w:val="single" w:sz="4" w:space="0" w:color="auto"/>
              <w:right w:val="single" w:sz="4" w:space="0" w:color="auto"/>
            </w:tcBorders>
            <w:noWrap/>
            <w:vAlign w:val="bottom"/>
          </w:tcPr>
          <w:p w14:paraId="4FEE3710" w14:textId="0DED6E8F" w:rsidR="007242BD" w:rsidRPr="006B06B9" w:rsidRDefault="005B288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663.107,45</w:t>
            </w:r>
          </w:p>
        </w:tc>
        <w:tc>
          <w:tcPr>
            <w:tcW w:w="1506" w:type="dxa"/>
            <w:tcBorders>
              <w:top w:val="nil"/>
              <w:left w:val="nil"/>
              <w:bottom w:val="single" w:sz="4" w:space="0" w:color="auto"/>
              <w:right w:val="single" w:sz="4" w:space="0" w:color="auto"/>
            </w:tcBorders>
            <w:noWrap/>
            <w:vAlign w:val="bottom"/>
          </w:tcPr>
          <w:p w14:paraId="00C32DFE" w14:textId="5210BCAA"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72C1177C"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5AC82032" w14:textId="2B6C08D5" w:rsidR="007242BD" w:rsidRPr="006B06B9" w:rsidRDefault="005B288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838.701,16</w:t>
            </w:r>
          </w:p>
        </w:tc>
        <w:tc>
          <w:tcPr>
            <w:tcW w:w="1117" w:type="dxa"/>
            <w:tcBorders>
              <w:top w:val="nil"/>
              <w:left w:val="nil"/>
              <w:bottom w:val="single" w:sz="4" w:space="0" w:color="auto"/>
              <w:right w:val="single" w:sz="4" w:space="0" w:color="auto"/>
            </w:tcBorders>
            <w:noWrap/>
            <w:vAlign w:val="bottom"/>
          </w:tcPr>
          <w:p w14:paraId="4A87FD79" w14:textId="7FCFC0BC" w:rsidR="007242BD" w:rsidRPr="006B06B9" w:rsidRDefault="005B288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126,48</w:t>
            </w:r>
            <w:r w:rsidR="00673927">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5E13F20F" w14:textId="6D879141" w:rsidR="007242BD" w:rsidRPr="006B06B9" w:rsidRDefault="0067392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78C66AAD"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524103B1" w14:textId="2E13621D"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3131 Doprinosi za mirovinsko osiguranje</w:t>
            </w:r>
            <w:r w:rsidR="005B2886">
              <w:rPr>
                <w:rFonts w:ascii="Arial" w:eastAsia="Times New Roman" w:hAnsi="Arial" w:cs="Arial"/>
                <w:sz w:val="20"/>
                <w:szCs w:val="20"/>
                <w:lang w:eastAsia="hr-HR"/>
              </w:rPr>
              <w:t xml:space="preserve"> za staž s povećanim trajanjem</w:t>
            </w:r>
          </w:p>
        </w:tc>
        <w:tc>
          <w:tcPr>
            <w:tcW w:w="1496" w:type="dxa"/>
            <w:tcBorders>
              <w:top w:val="nil"/>
              <w:left w:val="nil"/>
              <w:bottom w:val="single" w:sz="4" w:space="0" w:color="auto"/>
              <w:right w:val="single" w:sz="4" w:space="0" w:color="auto"/>
            </w:tcBorders>
            <w:noWrap/>
            <w:vAlign w:val="bottom"/>
          </w:tcPr>
          <w:p w14:paraId="2337877A" w14:textId="05AD6FD7" w:rsidR="007242BD" w:rsidRPr="006B06B9" w:rsidRDefault="005B288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62.801,82</w:t>
            </w:r>
          </w:p>
        </w:tc>
        <w:tc>
          <w:tcPr>
            <w:tcW w:w="1506" w:type="dxa"/>
            <w:tcBorders>
              <w:top w:val="nil"/>
              <w:left w:val="nil"/>
              <w:bottom w:val="single" w:sz="4" w:space="0" w:color="auto"/>
              <w:right w:val="single" w:sz="4" w:space="0" w:color="auto"/>
            </w:tcBorders>
            <w:noWrap/>
            <w:vAlign w:val="bottom"/>
          </w:tcPr>
          <w:p w14:paraId="2455158F" w14:textId="19CB8455"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75FBBC4D"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6F28D84D" w14:textId="5110DD94" w:rsidR="007242BD" w:rsidRPr="006B06B9" w:rsidRDefault="005B288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72.426,33</w:t>
            </w:r>
          </w:p>
        </w:tc>
        <w:tc>
          <w:tcPr>
            <w:tcW w:w="1117" w:type="dxa"/>
            <w:tcBorders>
              <w:top w:val="nil"/>
              <w:left w:val="nil"/>
              <w:bottom w:val="single" w:sz="4" w:space="0" w:color="auto"/>
              <w:right w:val="single" w:sz="4" w:space="0" w:color="auto"/>
            </w:tcBorders>
            <w:noWrap/>
            <w:vAlign w:val="bottom"/>
          </w:tcPr>
          <w:p w14:paraId="0CFEFB83" w14:textId="55169906" w:rsidR="007242BD" w:rsidRPr="006B06B9" w:rsidRDefault="005B288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115,33</w:t>
            </w:r>
            <w:r w:rsidR="00673927">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2D0375AE" w14:textId="2E576C2D" w:rsidR="007242BD" w:rsidRPr="006B06B9" w:rsidRDefault="0067392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36F2EC35"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6EF76036"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3132 Doprinosi za obvezno zdravstveno osiguranje</w:t>
            </w:r>
          </w:p>
        </w:tc>
        <w:tc>
          <w:tcPr>
            <w:tcW w:w="1496" w:type="dxa"/>
            <w:tcBorders>
              <w:top w:val="nil"/>
              <w:left w:val="nil"/>
              <w:bottom w:val="single" w:sz="4" w:space="0" w:color="auto"/>
              <w:right w:val="single" w:sz="4" w:space="0" w:color="auto"/>
            </w:tcBorders>
            <w:noWrap/>
            <w:vAlign w:val="bottom"/>
          </w:tcPr>
          <w:p w14:paraId="2332F114" w14:textId="6CA5AC94" w:rsidR="007242BD" w:rsidRPr="006B06B9" w:rsidRDefault="005B288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600.305,63</w:t>
            </w:r>
          </w:p>
        </w:tc>
        <w:tc>
          <w:tcPr>
            <w:tcW w:w="1506" w:type="dxa"/>
            <w:tcBorders>
              <w:top w:val="nil"/>
              <w:left w:val="nil"/>
              <w:bottom w:val="single" w:sz="4" w:space="0" w:color="auto"/>
              <w:right w:val="single" w:sz="4" w:space="0" w:color="auto"/>
            </w:tcBorders>
            <w:noWrap/>
            <w:vAlign w:val="bottom"/>
          </w:tcPr>
          <w:p w14:paraId="745750AC" w14:textId="16F0EA72"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5825CB82"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54BED077" w14:textId="28352A60" w:rsidR="007242BD" w:rsidRPr="006B06B9" w:rsidRDefault="005B288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766.274,83</w:t>
            </w:r>
          </w:p>
        </w:tc>
        <w:tc>
          <w:tcPr>
            <w:tcW w:w="1117" w:type="dxa"/>
            <w:tcBorders>
              <w:top w:val="nil"/>
              <w:left w:val="nil"/>
              <w:bottom w:val="single" w:sz="4" w:space="0" w:color="auto"/>
              <w:right w:val="single" w:sz="4" w:space="0" w:color="auto"/>
            </w:tcBorders>
            <w:noWrap/>
            <w:vAlign w:val="bottom"/>
          </w:tcPr>
          <w:p w14:paraId="37505A58" w14:textId="6306BD16" w:rsidR="007242BD" w:rsidRPr="006B06B9" w:rsidRDefault="005B288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127,65</w:t>
            </w:r>
            <w:r w:rsidR="00673927">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20A6B823" w14:textId="79BDAFE6" w:rsidR="007242BD" w:rsidRPr="006B06B9" w:rsidRDefault="0067392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578C8D83"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205C90C3" w14:textId="77777777" w:rsidR="007242BD" w:rsidRPr="006B06B9" w:rsidRDefault="007242BD"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32 Materijalni rashodi</w:t>
            </w:r>
          </w:p>
        </w:tc>
        <w:tc>
          <w:tcPr>
            <w:tcW w:w="1496" w:type="dxa"/>
            <w:tcBorders>
              <w:top w:val="nil"/>
              <w:left w:val="nil"/>
              <w:bottom w:val="single" w:sz="4" w:space="0" w:color="auto"/>
              <w:right w:val="single" w:sz="4" w:space="0" w:color="auto"/>
            </w:tcBorders>
            <w:noWrap/>
            <w:vAlign w:val="bottom"/>
          </w:tcPr>
          <w:p w14:paraId="1A2A44B6" w14:textId="7A5AF1AD" w:rsidR="007242BD" w:rsidRPr="006B06B9" w:rsidRDefault="005B2886"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4.774.690,59</w:t>
            </w:r>
          </w:p>
        </w:tc>
        <w:tc>
          <w:tcPr>
            <w:tcW w:w="1506" w:type="dxa"/>
            <w:tcBorders>
              <w:top w:val="nil"/>
              <w:left w:val="nil"/>
              <w:bottom w:val="single" w:sz="4" w:space="0" w:color="auto"/>
              <w:right w:val="single" w:sz="4" w:space="0" w:color="auto"/>
            </w:tcBorders>
            <w:noWrap/>
            <w:vAlign w:val="bottom"/>
          </w:tcPr>
          <w:p w14:paraId="629AB29D" w14:textId="5AEE40B4" w:rsidR="007242BD" w:rsidRPr="006B06B9" w:rsidRDefault="005B2886"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6.515.027,81</w:t>
            </w:r>
          </w:p>
        </w:tc>
        <w:tc>
          <w:tcPr>
            <w:tcW w:w="1496" w:type="dxa"/>
            <w:tcBorders>
              <w:top w:val="single" w:sz="4" w:space="0" w:color="auto"/>
              <w:left w:val="nil"/>
              <w:bottom w:val="single" w:sz="4" w:space="0" w:color="auto"/>
              <w:right w:val="single" w:sz="4" w:space="0" w:color="auto"/>
            </w:tcBorders>
          </w:tcPr>
          <w:p w14:paraId="5417406D" w14:textId="64D9523F" w:rsidR="007242BD" w:rsidRPr="006B06B9" w:rsidRDefault="005B2886"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6.539.396,81</w:t>
            </w:r>
          </w:p>
        </w:tc>
        <w:tc>
          <w:tcPr>
            <w:tcW w:w="1600" w:type="dxa"/>
            <w:tcBorders>
              <w:top w:val="nil"/>
              <w:left w:val="single" w:sz="4" w:space="0" w:color="auto"/>
              <w:bottom w:val="single" w:sz="4" w:space="0" w:color="auto"/>
              <w:right w:val="single" w:sz="4" w:space="0" w:color="auto"/>
            </w:tcBorders>
            <w:noWrap/>
            <w:vAlign w:val="bottom"/>
          </w:tcPr>
          <w:p w14:paraId="63C30939" w14:textId="631E2870" w:rsidR="007242BD" w:rsidRPr="006B06B9" w:rsidRDefault="005B2886"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5.483.177,58</w:t>
            </w:r>
          </w:p>
        </w:tc>
        <w:tc>
          <w:tcPr>
            <w:tcW w:w="1117" w:type="dxa"/>
            <w:tcBorders>
              <w:top w:val="nil"/>
              <w:left w:val="nil"/>
              <w:bottom w:val="single" w:sz="4" w:space="0" w:color="auto"/>
              <w:right w:val="single" w:sz="4" w:space="0" w:color="auto"/>
            </w:tcBorders>
            <w:noWrap/>
            <w:vAlign w:val="bottom"/>
          </w:tcPr>
          <w:p w14:paraId="4C45C7E4" w14:textId="0B73F1F8" w:rsidR="007242BD" w:rsidRPr="006B06B9" w:rsidRDefault="005B2886"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114,84</w:t>
            </w:r>
            <w:r w:rsidR="00626379">
              <w:rPr>
                <w:rFonts w:ascii="Arial" w:eastAsia="Times New Roman" w:hAnsi="Arial" w:cs="Arial"/>
                <w:b/>
                <w:bCs/>
                <w:sz w:val="20"/>
                <w:szCs w:val="20"/>
                <w:lang w:eastAsia="hr-HR"/>
              </w:rPr>
              <w:t>%</w:t>
            </w:r>
          </w:p>
        </w:tc>
        <w:tc>
          <w:tcPr>
            <w:tcW w:w="1006" w:type="dxa"/>
            <w:tcBorders>
              <w:top w:val="nil"/>
              <w:left w:val="nil"/>
              <w:bottom w:val="single" w:sz="4" w:space="0" w:color="auto"/>
              <w:right w:val="single" w:sz="4" w:space="0" w:color="auto"/>
            </w:tcBorders>
            <w:noWrap/>
            <w:vAlign w:val="bottom"/>
          </w:tcPr>
          <w:p w14:paraId="2C125D28" w14:textId="7A9123D4" w:rsidR="007242BD" w:rsidRPr="006B06B9" w:rsidRDefault="005B2886"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83,85</w:t>
            </w:r>
            <w:r w:rsidR="00626379">
              <w:rPr>
                <w:rFonts w:ascii="Arial" w:eastAsia="Times New Roman" w:hAnsi="Arial" w:cs="Arial"/>
                <w:b/>
                <w:bCs/>
                <w:sz w:val="20"/>
                <w:szCs w:val="20"/>
                <w:lang w:eastAsia="hr-HR"/>
              </w:rPr>
              <w:t>%</w:t>
            </w:r>
          </w:p>
        </w:tc>
      </w:tr>
      <w:tr w:rsidR="00EB4F8D" w:rsidRPr="006B06B9" w14:paraId="565B2595"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461DCD74"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321 Naknade troškova zaposlenima</w:t>
            </w:r>
          </w:p>
        </w:tc>
        <w:tc>
          <w:tcPr>
            <w:tcW w:w="1496" w:type="dxa"/>
            <w:tcBorders>
              <w:top w:val="nil"/>
              <w:left w:val="nil"/>
              <w:bottom w:val="single" w:sz="4" w:space="0" w:color="auto"/>
              <w:right w:val="single" w:sz="4" w:space="0" w:color="auto"/>
            </w:tcBorders>
            <w:noWrap/>
            <w:vAlign w:val="bottom"/>
          </w:tcPr>
          <w:p w14:paraId="005FC671" w14:textId="33D7545D" w:rsidR="007242BD" w:rsidRPr="006B06B9" w:rsidRDefault="005B288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76.231,20</w:t>
            </w:r>
          </w:p>
        </w:tc>
        <w:tc>
          <w:tcPr>
            <w:tcW w:w="1506" w:type="dxa"/>
            <w:tcBorders>
              <w:top w:val="nil"/>
              <w:left w:val="nil"/>
              <w:bottom w:val="single" w:sz="4" w:space="0" w:color="auto"/>
              <w:right w:val="single" w:sz="4" w:space="0" w:color="auto"/>
            </w:tcBorders>
            <w:noWrap/>
            <w:vAlign w:val="bottom"/>
          </w:tcPr>
          <w:p w14:paraId="754C94B8" w14:textId="5317636D"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39165A2A"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15F2557A" w14:textId="2EEE8DC1" w:rsidR="007242BD" w:rsidRPr="006B06B9" w:rsidRDefault="005B288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74.220,50</w:t>
            </w:r>
          </w:p>
        </w:tc>
        <w:tc>
          <w:tcPr>
            <w:tcW w:w="1117" w:type="dxa"/>
            <w:tcBorders>
              <w:top w:val="nil"/>
              <w:left w:val="nil"/>
              <w:bottom w:val="single" w:sz="4" w:space="0" w:color="auto"/>
              <w:right w:val="single" w:sz="4" w:space="0" w:color="auto"/>
            </w:tcBorders>
            <w:noWrap/>
            <w:vAlign w:val="bottom"/>
          </w:tcPr>
          <w:p w14:paraId="0CC5EA23" w14:textId="6B44137E" w:rsidR="007242BD" w:rsidRPr="006B06B9" w:rsidRDefault="005B288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97,36</w:t>
            </w:r>
            <w:r w:rsidR="00673927">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1FB3F8C3" w14:textId="3A1B1320" w:rsidR="007242BD" w:rsidRPr="006B06B9" w:rsidRDefault="0067392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4AF09F28"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01BDAFAE"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3211 Službena putovanja</w:t>
            </w:r>
          </w:p>
        </w:tc>
        <w:tc>
          <w:tcPr>
            <w:tcW w:w="1496" w:type="dxa"/>
            <w:tcBorders>
              <w:top w:val="nil"/>
              <w:left w:val="nil"/>
              <w:bottom w:val="single" w:sz="4" w:space="0" w:color="auto"/>
              <w:right w:val="single" w:sz="4" w:space="0" w:color="auto"/>
            </w:tcBorders>
            <w:noWrap/>
            <w:vAlign w:val="bottom"/>
          </w:tcPr>
          <w:p w14:paraId="650964ED" w14:textId="7AEAF6D7" w:rsidR="007242BD" w:rsidRPr="006B06B9" w:rsidRDefault="005B288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22.383,04</w:t>
            </w:r>
          </w:p>
        </w:tc>
        <w:tc>
          <w:tcPr>
            <w:tcW w:w="1506" w:type="dxa"/>
            <w:tcBorders>
              <w:top w:val="nil"/>
              <w:left w:val="nil"/>
              <w:bottom w:val="single" w:sz="4" w:space="0" w:color="auto"/>
              <w:right w:val="single" w:sz="4" w:space="0" w:color="auto"/>
            </w:tcBorders>
            <w:noWrap/>
            <w:vAlign w:val="bottom"/>
          </w:tcPr>
          <w:p w14:paraId="3471B337" w14:textId="08ACB12B"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3F56E4B7"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08F50AAB" w14:textId="2344F3A8" w:rsidR="007242BD" w:rsidRPr="006B06B9" w:rsidRDefault="005B288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22.337,23</w:t>
            </w:r>
          </w:p>
        </w:tc>
        <w:tc>
          <w:tcPr>
            <w:tcW w:w="1117" w:type="dxa"/>
            <w:tcBorders>
              <w:top w:val="nil"/>
              <w:left w:val="nil"/>
              <w:bottom w:val="single" w:sz="4" w:space="0" w:color="auto"/>
              <w:right w:val="single" w:sz="4" w:space="0" w:color="auto"/>
            </w:tcBorders>
            <w:noWrap/>
            <w:vAlign w:val="bottom"/>
          </w:tcPr>
          <w:p w14:paraId="3BA6F2C0" w14:textId="173A0F4E" w:rsidR="007242BD" w:rsidRPr="006B06B9" w:rsidRDefault="005B288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99,80</w:t>
            </w:r>
            <w:r w:rsidR="00673927">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0EBB852C" w14:textId="57CF3E23" w:rsidR="007242BD" w:rsidRPr="006B06B9" w:rsidRDefault="0067392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6F29BE64" w14:textId="77777777" w:rsidTr="006C671D">
        <w:trPr>
          <w:trHeight w:val="474"/>
        </w:trPr>
        <w:tc>
          <w:tcPr>
            <w:tcW w:w="3367" w:type="dxa"/>
            <w:tcBorders>
              <w:top w:val="single" w:sz="4" w:space="0" w:color="auto"/>
              <w:left w:val="single" w:sz="4" w:space="0" w:color="auto"/>
              <w:bottom w:val="single" w:sz="4" w:space="0" w:color="auto"/>
              <w:right w:val="single" w:sz="4" w:space="0" w:color="auto"/>
            </w:tcBorders>
            <w:vAlign w:val="bottom"/>
            <w:hideMark/>
          </w:tcPr>
          <w:p w14:paraId="0C16A7E3"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3212 Naknade za prijevoz, za rad na terenu i odvojeni život</w:t>
            </w:r>
          </w:p>
        </w:tc>
        <w:tc>
          <w:tcPr>
            <w:tcW w:w="1496" w:type="dxa"/>
            <w:tcBorders>
              <w:top w:val="nil"/>
              <w:left w:val="nil"/>
              <w:bottom w:val="single" w:sz="4" w:space="0" w:color="auto"/>
              <w:right w:val="single" w:sz="4" w:space="0" w:color="auto"/>
            </w:tcBorders>
            <w:noWrap/>
            <w:vAlign w:val="bottom"/>
          </w:tcPr>
          <w:p w14:paraId="5C336796" w14:textId="26E8C553" w:rsidR="007242BD" w:rsidRPr="006B06B9" w:rsidRDefault="005B288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40.077,85</w:t>
            </w:r>
          </w:p>
        </w:tc>
        <w:tc>
          <w:tcPr>
            <w:tcW w:w="1506" w:type="dxa"/>
            <w:tcBorders>
              <w:top w:val="nil"/>
              <w:left w:val="nil"/>
              <w:bottom w:val="single" w:sz="4" w:space="0" w:color="auto"/>
              <w:right w:val="single" w:sz="4" w:space="0" w:color="auto"/>
            </w:tcBorders>
            <w:noWrap/>
            <w:vAlign w:val="bottom"/>
          </w:tcPr>
          <w:p w14:paraId="3B19C134" w14:textId="4E87954C"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6F107FF4"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6615CE51" w14:textId="50B2DEB5" w:rsidR="007242BD" w:rsidRPr="006B06B9" w:rsidRDefault="005B288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40.302,82</w:t>
            </w:r>
          </w:p>
        </w:tc>
        <w:tc>
          <w:tcPr>
            <w:tcW w:w="1117" w:type="dxa"/>
            <w:tcBorders>
              <w:top w:val="nil"/>
              <w:left w:val="nil"/>
              <w:bottom w:val="single" w:sz="4" w:space="0" w:color="auto"/>
              <w:right w:val="single" w:sz="4" w:space="0" w:color="auto"/>
            </w:tcBorders>
            <w:noWrap/>
            <w:vAlign w:val="bottom"/>
          </w:tcPr>
          <w:p w14:paraId="6D98DEE0" w14:textId="21DBE828" w:rsidR="007242BD" w:rsidRPr="006B06B9" w:rsidRDefault="005B288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100,56</w:t>
            </w:r>
            <w:r w:rsidR="00673927">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1CAB3555" w14:textId="15CB875F" w:rsidR="007242BD" w:rsidRPr="006B06B9" w:rsidRDefault="0067392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21D6F7E6"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2F79EB3B"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3213 Stručno usavršavanje zaposlenika</w:t>
            </w:r>
          </w:p>
        </w:tc>
        <w:tc>
          <w:tcPr>
            <w:tcW w:w="1496" w:type="dxa"/>
            <w:tcBorders>
              <w:top w:val="nil"/>
              <w:left w:val="nil"/>
              <w:bottom w:val="single" w:sz="4" w:space="0" w:color="auto"/>
              <w:right w:val="single" w:sz="4" w:space="0" w:color="auto"/>
            </w:tcBorders>
            <w:noWrap/>
            <w:vAlign w:val="bottom"/>
          </w:tcPr>
          <w:p w14:paraId="7341F54C" w14:textId="55B14531" w:rsidR="007242BD" w:rsidRPr="006B06B9" w:rsidRDefault="005B288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12.615,31</w:t>
            </w:r>
          </w:p>
        </w:tc>
        <w:tc>
          <w:tcPr>
            <w:tcW w:w="1506" w:type="dxa"/>
            <w:tcBorders>
              <w:top w:val="nil"/>
              <w:left w:val="nil"/>
              <w:bottom w:val="single" w:sz="4" w:space="0" w:color="auto"/>
              <w:right w:val="single" w:sz="4" w:space="0" w:color="auto"/>
            </w:tcBorders>
            <w:noWrap/>
            <w:vAlign w:val="bottom"/>
          </w:tcPr>
          <w:p w14:paraId="446C4DA9" w14:textId="4D5FA860"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7688025A"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09EC1959" w14:textId="01FC92BE" w:rsidR="007242BD" w:rsidRPr="006B06B9" w:rsidRDefault="005B288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11.376,95</w:t>
            </w:r>
          </w:p>
        </w:tc>
        <w:tc>
          <w:tcPr>
            <w:tcW w:w="1117" w:type="dxa"/>
            <w:tcBorders>
              <w:top w:val="nil"/>
              <w:left w:val="nil"/>
              <w:bottom w:val="single" w:sz="4" w:space="0" w:color="auto"/>
              <w:right w:val="single" w:sz="4" w:space="0" w:color="auto"/>
            </w:tcBorders>
            <w:noWrap/>
            <w:vAlign w:val="bottom"/>
          </w:tcPr>
          <w:p w14:paraId="419533B7" w14:textId="7238A0C3" w:rsidR="007242BD" w:rsidRPr="006B06B9" w:rsidRDefault="005B288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90,18</w:t>
            </w:r>
            <w:r w:rsidR="00673927">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13EDB8CB" w14:textId="39EAAC86" w:rsidR="007242BD" w:rsidRPr="006B06B9" w:rsidRDefault="0067392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57EA2063"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4EF0F637"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3214 Ostale naknade troškova zaposlenima                                                                 </w:t>
            </w:r>
          </w:p>
        </w:tc>
        <w:tc>
          <w:tcPr>
            <w:tcW w:w="1496" w:type="dxa"/>
            <w:tcBorders>
              <w:top w:val="nil"/>
              <w:left w:val="nil"/>
              <w:bottom w:val="single" w:sz="4" w:space="0" w:color="auto"/>
              <w:right w:val="single" w:sz="4" w:space="0" w:color="auto"/>
            </w:tcBorders>
            <w:noWrap/>
            <w:vAlign w:val="bottom"/>
          </w:tcPr>
          <w:p w14:paraId="0D2276A6" w14:textId="6A4EEA78" w:rsidR="007242BD" w:rsidRPr="006B06B9" w:rsidRDefault="005B288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1.155,00</w:t>
            </w:r>
          </w:p>
        </w:tc>
        <w:tc>
          <w:tcPr>
            <w:tcW w:w="1506" w:type="dxa"/>
            <w:tcBorders>
              <w:top w:val="nil"/>
              <w:left w:val="nil"/>
              <w:bottom w:val="single" w:sz="4" w:space="0" w:color="auto"/>
              <w:right w:val="single" w:sz="4" w:space="0" w:color="auto"/>
            </w:tcBorders>
            <w:noWrap/>
            <w:vAlign w:val="bottom"/>
          </w:tcPr>
          <w:p w14:paraId="7E2E6989" w14:textId="523DB49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5B2EFF3A"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5593A58E" w14:textId="7CCA8840" w:rsidR="007242BD" w:rsidRPr="006B06B9" w:rsidRDefault="005B288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203,50</w:t>
            </w:r>
          </w:p>
        </w:tc>
        <w:tc>
          <w:tcPr>
            <w:tcW w:w="1117" w:type="dxa"/>
            <w:tcBorders>
              <w:top w:val="nil"/>
              <w:left w:val="nil"/>
              <w:bottom w:val="single" w:sz="4" w:space="0" w:color="auto"/>
              <w:right w:val="single" w:sz="4" w:space="0" w:color="auto"/>
            </w:tcBorders>
            <w:noWrap/>
            <w:vAlign w:val="bottom"/>
          </w:tcPr>
          <w:p w14:paraId="1C430AEF" w14:textId="373BA399" w:rsidR="007242BD" w:rsidRPr="006B06B9" w:rsidRDefault="005B288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17,62</w:t>
            </w:r>
            <w:r w:rsidR="00673927">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53073E34" w14:textId="22F36C46" w:rsidR="007242BD" w:rsidRPr="006B06B9" w:rsidRDefault="0067392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2D622C5C"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4BE96B74"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322 Rashodi za materijal i energiju</w:t>
            </w:r>
          </w:p>
        </w:tc>
        <w:tc>
          <w:tcPr>
            <w:tcW w:w="1496" w:type="dxa"/>
            <w:tcBorders>
              <w:top w:val="nil"/>
              <w:left w:val="nil"/>
              <w:bottom w:val="single" w:sz="4" w:space="0" w:color="auto"/>
              <w:right w:val="single" w:sz="4" w:space="0" w:color="auto"/>
            </w:tcBorders>
            <w:noWrap/>
            <w:vAlign w:val="bottom"/>
          </w:tcPr>
          <w:p w14:paraId="54CC13C9" w14:textId="388419B5" w:rsidR="007242BD" w:rsidRPr="006B06B9" w:rsidRDefault="005B288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456.524,10</w:t>
            </w:r>
          </w:p>
        </w:tc>
        <w:tc>
          <w:tcPr>
            <w:tcW w:w="1506" w:type="dxa"/>
            <w:tcBorders>
              <w:top w:val="nil"/>
              <w:left w:val="nil"/>
              <w:bottom w:val="single" w:sz="4" w:space="0" w:color="auto"/>
              <w:right w:val="single" w:sz="4" w:space="0" w:color="auto"/>
            </w:tcBorders>
            <w:noWrap/>
            <w:vAlign w:val="bottom"/>
          </w:tcPr>
          <w:p w14:paraId="341FED46" w14:textId="2D9645F2"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33038EA6"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47DE5572" w14:textId="56CBA0D2" w:rsidR="007242BD" w:rsidRPr="006B06B9" w:rsidRDefault="005B288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513.776,62</w:t>
            </w:r>
          </w:p>
        </w:tc>
        <w:tc>
          <w:tcPr>
            <w:tcW w:w="1117" w:type="dxa"/>
            <w:tcBorders>
              <w:top w:val="nil"/>
              <w:left w:val="nil"/>
              <w:bottom w:val="single" w:sz="4" w:space="0" w:color="auto"/>
              <w:right w:val="single" w:sz="4" w:space="0" w:color="auto"/>
            </w:tcBorders>
            <w:noWrap/>
            <w:vAlign w:val="bottom"/>
          </w:tcPr>
          <w:p w14:paraId="3780C70A" w14:textId="5113C51C" w:rsidR="007242BD" w:rsidRPr="006B06B9" w:rsidRDefault="005B288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112,54</w:t>
            </w:r>
            <w:r w:rsidR="00626379">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62608F31" w14:textId="20902AF1" w:rsidR="007242BD" w:rsidRPr="006B06B9" w:rsidRDefault="0067392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259A5DF1"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2A4C8BEE"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3221 Uredski materijal i ostali materijalni rashodi</w:t>
            </w:r>
          </w:p>
        </w:tc>
        <w:tc>
          <w:tcPr>
            <w:tcW w:w="1496" w:type="dxa"/>
            <w:tcBorders>
              <w:top w:val="nil"/>
              <w:left w:val="nil"/>
              <w:bottom w:val="single" w:sz="4" w:space="0" w:color="auto"/>
              <w:right w:val="single" w:sz="4" w:space="0" w:color="auto"/>
            </w:tcBorders>
            <w:noWrap/>
            <w:vAlign w:val="bottom"/>
          </w:tcPr>
          <w:p w14:paraId="55A10060" w14:textId="7D5B2BAF" w:rsidR="007242BD" w:rsidRPr="006B06B9" w:rsidRDefault="005B288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70.461,52</w:t>
            </w:r>
          </w:p>
        </w:tc>
        <w:tc>
          <w:tcPr>
            <w:tcW w:w="1506" w:type="dxa"/>
            <w:tcBorders>
              <w:top w:val="nil"/>
              <w:left w:val="nil"/>
              <w:bottom w:val="single" w:sz="4" w:space="0" w:color="auto"/>
              <w:right w:val="single" w:sz="4" w:space="0" w:color="auto"/>
            </w:tcBorders>
            <w:noWrap/>
            <w:vAlign w:val="bottom"/>
          </w:tcPr>
          <w:p w14:paraId="1C9857B1" w14:textId="2241CCD8"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3042D5C8"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1B68DB99" w14:textId="6ABB5E7B" w:rsidR="007242BD" w:rsidRPr="006B06B9" w:rsidRDefault="005B288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71.520,84</w:t>
            </w:r>
          </w:p>
        </w:tc>
        <w:tc>
          <w:tcPr>
            <w:tcW w:w="1117" w:type="dxa"/>
            <w:tcBorders>
              <w:top w:val="nil"/>
              <w:left w:val="nil"/>
              <w:bottom w:val="single" w:sz="4" w:space="0" w:color="auto"/>
              <w:right w:val="single" w:sz="4" w:space="0" w:color="auto"/>
            </w:tcBorders>
            <w:noWrap/>
            <w:vAlign w:val="bottom"/>
          </w:tcPr>
          <w:p w14:paraId="20BD3C33" w14:textId="3CEDD7C9" w:rsidR="007242BD" w:rsidRPr="006B06B9" w:rsidRDefault="005B288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101,50</w:t>
            </w:r>
            <w:r w:rsidR="00626379">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16BB2C2C" w14:textId="0460D20A" w:rsidR="007242BD" w:rsidRPr="006B06B9" w:rsidRDefault="0067392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23041905"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2E12A4BE"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3222 Materijal i sirovine </w:t>
            </w:r>
          </w:p>
        </w:tc>
        <w:tc>
          <w:tcPr>
            <w:tcW w:w="1496" w:type="dxa"/>
            <w:tcBorders>
              <w:top w:val="nil"/>
              <w:left w:val="nil"/>
              <w:bottom w:val="single" w:sz="4" w:space="0" w:color="auto"/>
              <w:right w:val="single" w:sz="4" w:space="0" w:color="auto"/>
            </w:tcBorders>
            <w:noWrap/>
            <w:vAlign w:val="bottom"/>
          </w:tcPr>
          <w:p w14:paraId="1C46DDB9" w14:textId="7330E7B1"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129.205,51</w:t>
            </w:r>
          </w:p>
        </w:tc>
        <w:tc>
          <w:tcPr>
            <w:tcW w:w="1506" w:type="dxa"/>
            <w:tcBorders>
              <w:top w:val="nil"/>
              <w:left w:val="nil"/>
              <w:bottom w:val="single" w:sz="4" w:space="0" w:color="auto"/>
              <w:right w:val="single" w:sz="4" w:space="0" w:color="auto"/>
            </w:tcBorders>
            <w:noWrap/>
            <w:vAlign w:val="bottom"/>
          </w:tcPr>
          <w:p w14:paraId="65B4CDBC" w14:textId="2DF73381"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76E5B6BC"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644582BB" w14:textId="3C5F6A7B"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156.434,63</w:t>
            </w:r>
          </w:p>
        </w:tc>
        <w:tc>
          <w:tcPr>
            <w:tcW w:w="1117" w:type="dxa"/>
            <w:tcBorders>
              <w:top w:val="nil"/>
              <w:left w:val="nil"/>
              <w:bottom w:val="single" w:sz="4" w:space="0" w:color="auto"/>
              <w:right w:val="single" w:sz="4" w:space="0" w:color="auto"/>
            </w:tcBorders>
            <w:noWrap/>
            <w:vAlign w:val="bottom"/>
          </w:tcPr>
          <w:p w14:paraId="59B52D2E" w14:textId="7153E529"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121,07</w:t>
            </w:r>
            <w:r w:rsidR="00626379">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1693111C" w14:textId="21F62B91" w:rsidR="007242BD" w:rsidRPr="006B06B9" w:rsidRDefault="0067392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3A09DC28"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6F4090FB"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3223 Energija</w:t>
            </w:r>
          </w:p>
        </w:tc>
        <w:tc>
          <w:tcPr>
            <w:tcW w:w="1496" w:type="dxa"/>
            <w:tcBorders>
              <w:top w:val="nil"/>
              <w:left w:val="nil"/>
              <w:bottom w:val="single" w:sz="4" w:space="0" w:color="auto"/>
              <w:right w:val="single" w:sz="4" w:space="0" w:color="auto"/>
            </w:tcBorders>
            <w:noWrap/>
            <w:vAlign w:val="bottom"/>
          </w:tcPr>
          <w:p w14:paraId="1B06E7EB" w14:textId="4F4AF07B"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193.009,26</w:t>
            </w:r>
          </w:p>
        </w:tc>
        <w:tc>
          <w:tcPr>
            <w:tcW w:w="1506" w:type="dxa"/>
            <w:tcBorders>
              <w:top w:val="nil"/>
              <w:left w:val="nil"/>
              <w:bottom w:val="single" w:sz="4" w:space="0" w:color="auto"/>
              <w:right w:val="single" w:sz="4" w:space="0" w:color="auto"/>
            </w:tcBorders>
            <w:noWrap/>
            <w:vAlign w:val="bottom"/>
          </w:tcPr>
          <w:p w14:paraId="72FBEA39" w14:textId="0C5C02A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5017D087"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45559454" w14:textId="7E929C3B"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206.606,11</w:t>
            </w:r>
          </w:p>
        </w:tc>
        <w:tc>
          <w:tcPr>
            <w:tcW w:w="1117" w:type="dxa"/>
            <w:tcBorders>
              <w:top w:val="nil"/>
              <w:left w:val="nil"/>
              <w:bottom w:val="single" w:sz="4" w:space="0" w:color="auto"/>
              <w:right w:val="single" w:sz="4" w:space="0" w:color="auto"/>
            </w:tcBorders>
            <w:noWrap/>
            <w:vAlign w:val="bottom"/>
          </w:tcPr>
          <w:p w14:paraId="7F282BA9" w14:textId="1E0E1971"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107,04</w:t>
            </w:r>
            <w:r w:rsidR="00626379">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431FE7BB" w14:textId="43BDBF2E" w:rsidR="007242BD" w:rsidRPr="006B06B9" w:rsidRDefault="0067392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41859FE2" w14:textId="77777777" w:rsidTr="006C671D">
        <w:trPr>
          <w:trHeight w:val="519"/>
        </w:trPr>
        <w:tc>
          <w:tcPr>
            <w:tcW w:w="3367" w:type="dxa"/>
            <w:tcBorders>
              <w:top w:val="single" w:sz="4" w:space="0" w:color="auto"/>
              <w:left w:val="single" w:sz="4" w:space="0" w:color="auto"/>
              <w:bottom w:val="single" w:sz="4" w:space="0" w:color="auto"/>
              <w:right w:val="single" w:sz="4" w:space="0" w:color="auto"/>
            </w:tcBorders>
            <w:vAlign w:val="bottom"/>
            <w:hideMark/>
          </w:tcPr>
          <w:p w14:paraId="274FC19A"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3224 Materijal i dijelovi za tekuće i investicijsko održavanje</w:t>
            </w:r>
          </w:p>
        </w:tc>
        <w:tc>
          <w:tcPr>
            <w:tcW w:w="1496" w:type="dxa"/>
            <w:tcBorders>
              <w:top w:val="nil"/>
              <w:left w:val="nil"/>
              <w:bottom w:val="single" w:sz="4" w:space="0" w:color="auto"/>
              <w:right w:val="single" w:sz="4" w:space="0" w:color="auto"/>
            </w:tcBorders>
            <w:noWrap/>
            <w:vAlign w:val="bottom"/>
          </w:tcPr>
          <w:p w14:paraId="39C2E6F8" w14:textId="56F07C72"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22.249,44</w:t>
            </w:r>
          </w:p>
        </w:tc>
        <w:tc>
          <w:tcPr>
            <w:tcW w:w="1506" w:type="dxa"/>
            <w:tcBorders>
              <w:top w:val="nil"/>
              <w:left w:val="nil"/>
              <w:bottom w:val="single" w:sz="4" w:space="0" w:color="auto"/>
              <w:right w:val="single" w:sz="4" w:space="0" w:color="auto"/>
            </w:tcBorders>
            <w:noWrap/>
            <w:vAlign w:val="bottom"/>
          </w:tcPr>
          <w:p w14:paraId="05239083" w14:textId="23BBFFEB"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05EBE999"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406BB1F4" w14:textId="0C9AC463"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23.086,34</w:t>
            </w:r>
          </w:p>
        </w:tc>
        <w:tc>
          <w:tcPr>
            <w:tcW w:w="1117" w:type="dxa"/>
            <w:tcBorders>
              <w:top w:val="nil"/>
              <w:left w:val="nil"/>
              <w:bottom w:val="single" w:sz="4" w:space="0" w:color="auto"/>
              <w:right w:val="single" w:sz="4" w:space="0" w:color="auto"/>
            </w:tcBorders>
            <w:noWrap/>
            <w:vAlign w:val="bottom"/>
          </w:tcPr>
          <w:p w14:paraId="7E96B89A" w14:textId="3FCE9E59"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103,76</w:t>
            </w:r>
            <w:r w:rsidR="00626379">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7734D96A" w14:textId="2B7D5CF3" w:rsidR="007242BD" w:rsidRPr="006B06B9" w:rsidRDefault="0067392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3C355BF2"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3E537BFD"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3225 Sitni inventar i auto gume</w:t>
            </w:r>
          </w:p>
        </w:tc>
        <w:tc>
          <w:tcPr>
            <w:tcW w:w="1496" w:type="dxa"/>
            <w:tcBorders>
              <w:top w:val="nil"/>
              <w:left w:val="nil"/>
              <w:bottom w:val="single" w:sz="4" w:space="0" w:color="auto"/>
              <w:right w:val="single" w:sz="4" w:space="0" w:color="auto"/>
            </w:tcBorders>
            <w:noWrap/>
            <w:vAlign w:val="bottom"/>
          </w:tcPr>
          <w:p w14:paraId="23C87F6A" w14:textId="2726D53C"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20.723,46</w:t>
            </w:r>
          </w:p>
        </w:tc>
        <w:tc>
          <w:tcPr>
            <w:tcW w:w="1506" w:type="dxa"/>
            <w:tcBorders>
              <w:top w:val="nil"/>
              <w:left w:val="nil"/>
              <w:bottom w:val="single" w:sz="4" w:space="0" w:color="auto"/>
              <w:right w:val="single" w:sz="4" w:space="0" w:color="auto"/>
            </w:tcBorders>
            <w:noWrap/>
            <w:vAlign w:val="bottom"/>
          </w:tcPr>
          <w:p w14:paraId="5DCCCB90" w14:textId="6F5A2FC6"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681FEAE3"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14AA4D26" w14:textId="372E7D89"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25.869,37</w:t>
            </w:r>
          </w:p>
        </w:tc>
        <w:tc>
          <w:tcPr>
            <w:tcW w:w="1117" w:type="dxa"/>
            <w:tcBorders>
              <w:top w:val="nil"/>
              <w:left w:val="nil"/>
              <w:bottom w:val="single" w:sz="4" w:space="0" w:color="auto"/>
              <w:right w:val="single" w:sz="4" w:space="0" w:color="auto"/>
            </w:tcBorders>
            <w:noWrap/>
            <w:vAlign w:val="bottom"/>
          </w:tcPr>
          <w:p w14:paraId="645E6B9E" w14:textId="4CAA85BE"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124,83</w:t>
            </w:r>
            <w:r w:rsidR="00626379">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15536AD0" w14:textId="37DC9D0A" w:rsidR="007242BD" w:rsidRPr="006B06B9" w:rsidRDefault="0067392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72194A74"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66151719"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3227 Službena, radna i zaštitna odjeća i obuća                                                           </w:t>
            </w:r>
          </w:p>
        </w:tc>
        <w:tc>
          <w:tcPr>
            <w:tcW w:w="1496" w:type="dxa"/>
            <w:tcBorders>
              <w:top w:val="nil"/>
              <w:left w:val="nil"/>
              <w:bottom w:val="single" w:sz="4" w:space="0" w:color="auto"/>
              <w:right w:val="single" w:sz="4" w:space="0" w:color="auto"/>
            </w:tcBorders>
            <w:noWrap/>
            <w:vAlign w:val="bottom"/>
          </w:tcPr>
          <w:p w14:paraId="5223FF29" w14:textId="54DF336E"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20.874,91</w:t>
            </w:r>
          </w:p>
        </w:tc>
        <w:tc>
          <w:tcPr>
            <w:tcW w:w="1506" w:type="dxa"/>
            <w:tcBorders>
              <w:top w:val="nil"/>
              <w:left w:val="nil"/>
              <w:bottom w:val="single" w:sz="4" w:space="0" w:color="auto"/>
              <w:right w:val="single" w:sz="4" w:space="0" w:color="auto"/>
            </w:tcBorders>
            <w:noWrap/>
            <w:vAlign w:val="bottom"/>
          </w:tcPr>
          <w:p w14:paraId="4A00A302" w14:textId="7D122B10"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5B47CF71"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157A58C6" w14:textId="784F8F8F"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30.259,33</w:t>
            </w:r>
          </w:p>
        </w:tc>
        <w:tc>
          <w:tcPr>
            <w:tcW w:w="1117" w:type="dxa"/>
            <w:tcBorders>
              <w:top w:val="nil"/>
              <w:left w:val="nil"/>
              <w:bottom w:val="single" w:sz="4" w:space="0" w:color="auto"/>
              <w:right w:val="single" w:sz="4" w:space="0" w:color="auto"/>
            </w:tcBorders>
            <w:noWrap/>
            <w:vAlign w:val="bottom"/>
          </w:tcPr>
          <w:p w14:paraId="11AC5DA1" w14:textId="5C1584C0"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144,96</w:t>
            </w:r>
            <w:r w:rsidR="00626379">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1C9097B9" w14:textId="04A7A542" w:rsidR="007242BD" w:rsidRPr="006B06B9" w:rsidRDefault="0067392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09E4F13B"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4F4A3176"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323 Rashodi za usluge</w:t>
            </w:r>
          </w:p>
        </w:tc>
        <w:tc>
          <w:tcPr>
            <w:tcW w:w="1496" w:type="dxa"/>
            <w:tcBorders>
              <w:top w:val="nil"/>
              <w:left w:val="nil"/>
              <w:bottom w:val="single" w:sz="4" w:space="0" w:color="auto"/>
              <w:right w:val="single" w:sz="4" w:space="0" w:color="auto"/>
            </w:tcBorders>
            <w:noWrap/>
            <w:vAlign w:val="bottom"/>
          </w:tcPr>
          <w:p w14:paraId="6C58564E" w14:textId="4165EECB"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3.902.598,59</w:t>
            </w:r>
          </w:p>
        </w:tc>
        <w:tc>
          <w:tcPr>
            <w:tcW w:w="1506" w:type="dxa"/>
            <w:tcBorders>
              <w:top w:val="nil"/>
              <w:left w:val="nil"/>
              <w:bottom w:val="single" w:sz="4" w:space="0" w:color="auto"/>
              <w:right w:val="single" w:sz="4" w:space="0" w:color="auto"/>
            </w:tcBorders>
            <w:noWrap/>
            <w:vAlign w:val="bottom"/>
          </w:tcPr>
          <w:p w14:paraId="13F3D165" w14:textId="52324F53"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00D10C69"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0BB4C844" w14:textId="1B4CE0EE"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4.553.410,39</w:t>
            </w:r>
          </w:p>
        </w:tc>
        <w:tc>
          <w:tcPr>
            <w:tcW w:w="1117" w:type="dxa"/>
            <w:tcBorders>
              <w:top w:val="nil"/>
              <w:left w:val="nil"/>
              <w:bottom w:val="single" w:sz="4" w:space="0" w:color="auto"/>
              <w:right w:val="single" w:sz="4" w:space="0" w:color="auto"/>
            </w:tcBorders>
            <w:noWrap/>
            <w:vAlign w:val="bottom"/>
          </w:tcPr>
          <w:p w14:paraId="31739180" w14:textId="50C78B3D"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116,68</w:t>
            </w:r>
            <w:r w:rsidR="00626379">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39A1A934" w14:textId="0BC3DAC3" w:rsidR="007242BD" w:rsidRPr="006B06B9" w:rsidRDefault="0067392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4734D85B"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2F0726E5"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3231 Usluge telefona, pošte i prijevoza</w:t>
            </w:r>
          </w:p>
        </w:tc>
        <w:tc>
          <w:tcPr>
            <w:tcW w:w="1496" w:type="dxa"/>
            <w:tcBorders>
              <w:top w:val="nil"/>
              <w:left w:val="nil"/>
              <w:bottom w:val="single" w:sz="4" w:space="0" w:color="auto"/>
              <w:right w:val="single" w:sz="4" w:space="0" w:color="auto"/>
            </w:tcBorders>
            <w:noWrap/>
            <w:vAlign w:val="bottom"/>
          </w:tcPr>
          <w:p w14:paraId="406BFD74" w14:textId="38622764"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72.113,19</w:t>
            </w:r>
          </w:p>
        </w:tc>
        <w:tc>
          <w:tcPr>
            <w:tcW w:w="1506" w:type="dxa"/>
            <w:tcBorders>
              <w:top w:val="nil"/>
              <w:left w:val="nil"/>
              <w:bottom w:val="single" w:sz="4" w:space="0" w:color="auto"/>
              <w:right w:val="single" w:sz="4" w:space="0" w:color="auto"/>
            </w:tcBorders>
            <w:noWrap/>
            <w:vAlign w:val="bottom"/>
          </w:tcPr>
          <w:p w14:paraId="09E711F4" w14:textId="49E88E55"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1975F582"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00A863B5" w14:textId="74D28933"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83.087,30</w:t>
            </w:r>
          </w:p>
        </w:tc>
        <w:tc>
          <w:tcPr>
            <w:tcW w:w="1117" w:type="dxa"/>
            <w:tcBorders>
              <w:top w:val="nil"/>
              <w:left w:val="nil"/>
              <w:bottom w:val="single" w:sz="4" w:space="0" w:color="auto"/>
              <w:right w:val="single" w:sz="4" w:space="0" w:color="auto"/>
            </w:tcBorders>
            <w:noWrap/>
            <w:vAlign w:val="bottom"/>
          </w:tcPr>
          <w:p w14:paraId="5705D4B8" w14:textId="71E486FF"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115,22</w:t>
            </w:r>
            <w:r w:rsidR="00502E73">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15BE7901" w14:textId="2FD5F523" w:rsidR="007242BD" w:rsidRPr="006B06B9" w:rsidRDefault="0067392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17AC977B"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515CEF5A"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3232 Usluge tekućeg i investicijskog održavanja</w:t>
            </w:r>
          </w:p>
        </w:tc>
        <w:tc>
          <w:tcPr>
            <w:tcW w:w="1496" w:type="dxa"/>
            <w:tcBorders>
              <w:top w:val="nil"/>
              <w:left w:val="nil"/>
              <w:bottom w:val="single" w:sz="4" w:space="0" w:color="auto"/>
              <w:right w:val="single" w:sz="4" w:space="0" w:color="auto"/>
            </w:tcBorders>
            <w:noWrap/>
            <w:vAlign w:val="bottom"/>
          </w:tcPr>
          <w:p w14:paraId="755736CB" w14:textId="2A2356EB"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1.853.356,67</w:t>
            </w:r>
          </w:p>
        </w:tc>
        <w:tc>
          <w:tcPr>
            <w:tcW w:w="1506" w:type="dxa"/>
            <w:tcBorders>
              <w:top w:val="nil"/>
              <w:left w:val="nil"/>
              <w:bottom w:val="single" w:sz="4" w:space="0" w:color="auto"/>
              <w:right w:val="single" w:sz="4" w:space="0" w:color="auto"/>
            </w:tcBorders>
            <w:noWrap/>
            <w:vAlign w:val="bottom"/>
          </w:tcPr>
          <w:p w14:paraId="2DDE078D" w14:textId="1B690EBC"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1DDCBF07"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39D4852A" w14:textId="7BACAF91"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2.068.000,17</w:t>
            </w:r>
          </w:p>
        </w:tc>
        <w:tc>
          <w:tcPr>
            <w:tcW w:w="1117" w:type="dxa"/>
            <w:tcBorders>
              <w:top w:val="nil"/>
              <w:left w:val="nil"/>
              <w:bottom w:val="single" w:sz="4" w:space="0" w:color="auto"/>
              <w:right w:val="single" w:sz="4" w:space="0" w:color="auto"/>
            </w:tcBorders>
            <w:noWrap/>
            <w:vAlign w:val="bottom"/>
          </w:tcPr>
          <w:p w14:paraId="2905670A" w14:textId="54868868"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111,58</w:t>
            </w:r>
            <w:r w:rsidR="00530817">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4F4EA8BF" w14:textId="345BE74F" w:rsidR="007242BD" w:rsidRPr="006B06B9" w:rsidRDefault="0067392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03274B54"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533C1955"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3233 Usluge promidžbe i informiranja</w:t>
            </w:r>
          </w:p>
        </w:tc>
        <w:tc>
          <w:tcPr>
            <w:tcW w:w="1496" w:type="dxa"/>
            <w:tcBorders>
              <w:top w:val="nil"/>
              <w:left w:val="nil"/>
              <w:bottom w:val="single" w:sz="4" w:space="0" w:color="auto"/>
              <w:right w:val="single" w:sz="4" w:space="0" w:color="auto"/>
            </w:tcBorders>
            <w:noWrap/>
            <w:vAlign w:val="bottom"/>
          </w:tcPr>
          <w:p w14:paraId="43A4AEF1" w14:textId="7AB73BA0"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121.700,84</w:t>
            </w:r>
          </w:p>
        </w:tc>
        <w:tc>
          <w:tcPr>
            <w:tcW w:w="1506" w:type="dxa"/>
            <w:tcBorders>
              <w:top w:val="nil"/>
              <w:left w:val="nil"/>
              <w:bottom w:val="single" w:sz="4" w:space="0" w:color="auto"/>
              <w:right w:val="single" w:sz="4" w:space="0" w:color="auto"/>
            </w:tcBorders>
            <w:noWrap/>
            <w:vAlign w:val="bottom"/>
          </w:tcPr>
          <w:p w14:paraId="1FD81DF5" w14:textId="0AE3B8C4"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6711FAC7"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410201A4" w14:textId="2BF4B710"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129.605,72</w:t>
            </w:r>
          </w:p>
        </w:tc>
        <w:tc>
          <w:tcPr>
            <w:tcW w:w="1117" w:type="dxa"/>
            <w:tcBorders>
              <w:top w:val="nil"/>
              <w:left w:val="nil"/>
              <w:bottom w:val="single" w:sz="4" w:space="0" w:color="auto"/>
              <w:right w:val="single" w:sz="4" w:space="0" w:color="auto"/>
            </w:tcBorders>
            <w:noWrap/>
            <w:vAlign w:val="bottom"/>
          </w:tcPr>
          <w:p w14:paraId="0505CEEB" w14:textId="7BD810E4"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106,50</w:t>
            </w:r>
            <w:r w:rsidR="00673927">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4ADFB4C8" w14:textId="30AB172D" w:rsidR="007242BD" w:rsidRPr="006B06B9" w:rsidRDefault="0067392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4260E5BA"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158193DC"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3234 Komunalne usluge</w:t>
            </w:r>
          </w:p>
        </w:tc>
        <w:tc>
          <w:tcPr>
            <w:tcW w:w="1496" w:type="dxa"/>
            <w:tcBorders>
              <w:top w:val="nil"/>
              <w:left w:val="nil"/>
              <w:bottom w:val="single" w:sz="4" w:space="0" w:color="auto"/>
              <w:right w:val="single" w:sz="4" w:space="0" w:color="auto"/>
            </w:tcBorders>
            <w:noWrap/>
            <w:vAlign w:val="bottom"/>
          </w:tcPr>
          <w:p w14:paraId="27121732" w14:textId="56E27BC6"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869.770,19</w:t>
            </w:r>
          </w:p>
        </w:tc>
        <w:tc>
          <w:tcPr>
            <w:tcW w:w="1506" w:type="dxa"/>
            <w:tcBorders>
              <w:top w:val="nil"/>
              <w:left w:val="nil"/>
              <w:bottom w:val="single" w:sz="4" w:space="0" w:color="auto"/>
              <w:right w:val="single" w:sz="4" w:space="0" w:color="auto"/>
            </w:tcBorders>
            <w:noWrap/>
            <w:vAlign w:val="bottom"/>
          </w:tcPr>
          <w:p w14:paraId="7C10B373" w14:textId="7EFEC3EF"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0B3F0832"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27C13E43" w14:textId="79E16E49"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1.200.858,43</w:t>
            </w:r>
          </w:p>
        </w:tc>
        <w:tc>
          <w:tcPr>
            <w:tcW w:w="1117" w:type="dxa"/>
            <w:tcBorders>
              <w:top w:val="nil"/>
              <w:left w:val="nil"/>
              <w:bottom w:val="single" w:sz="4" w:space="0" w:color="auto"/>
              <w:right w:val="single" w:sz="4" w:space="0" w:color="auto"/>
            </w:tcBorders>
            <w:noWrap/>
            <w:vAlign w:val="bottom"/>
          </w:tcPr>
          <w:p w14:paraId="3B7E5101" w14:textId="04A06FA2"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138,07</w:t>
            </w:r>
            <w:r w:rsidR="00673927">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77F663D5" w14:textId="4D62CAF0" w:rsidR="007242BD" w:rsidRPr="006B06B9" w:rsidRDefault="0067392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24F8BD6D"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1A59FA72"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3235 Zakupnine i najamnine</w:t>
            </w:r>
          </w:p>
        </w:tc>
        <w:tc>
          <w:tcPr>
            <w:tcW w:w="1496" w:type="dxa"/>
            <w:tcBorders>
              <w:top w:val="nil"/>
              <w:left w:val="nil"/>
              <w:bottom w:val="single" w:sz="4" w:space="0" w:color="auto"/>
              <w:right w:val="single" w:sz="4" w:space="0" w:color="auto"/>
            </w:tcBorders>
            <w:noWrap/>
            <w:vAlign w:val="bottom"/>
          </w:tcPr>
          <w:p w14:paraId="08E9B425" w14:textId="3726386B"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43.470,41</w:t>
            </w:r>
          </w:p>
        </w:tc>
        <w:tc>
          <w:tcPr>
            <w:tcW w:w="1506" w:type="dxa"/>
            <w:tcBorders>
              <w:top w:val="nil"/>
              <w:left w:val="nil"/>
              <w:bottom w:val="single" w:sz="4" w:space="0" w:color="auto"/>
              <w:right w:val="single" w:sz="4" w:space="0" w:color="auto"/>
            </w:tcBorders>
            <w:noWrap/>
            <w:vAlign w:val="bottom"/>
          </w:tcPr>
          <w:p w14:paraId="08B0A2EC" w14:textId="503C6C84"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4596C0B7"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7B66E30A" w14:textId="4141DF44"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52.997,19</w:t>
            </w:r>
          </w:p>
        </w:tc>
        <w:tc>
          <w:tcPr>
            <w:tcW w:w="1117" w:type="dxa"/>
            <w:tcBorders>
              <w:top w:val="nil"/>
              <w:left w:val="nil"/>
              <w:bottom w:val="single" w:sz="4" w:space="0" w:color="auto"/>
              <w:right w:val="single" w:sz="4" w:space="0" w:color="auto"/>
            </w:tcBorders>
            <w:noWrap/>
            <w:vAlign w:val="bottom"/>
          </w:tcPr>
          <w:p w14:paraId="3520F663" w14:textId="52E3EFDD"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121,92</w:t>
            </w:r>
            <w:r w:rsidR="00673927">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4C990244" w14:textId="3C87F1B5" w:rsidR="007242BD" w:rsidRPr="006B06B9" w:rsidRDefault="0067392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653C050D"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7587C673"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3236 Zdravstvene i veterinarske usluge</w:t>
            </w:r>
          </w:p>
        </w:tc>
        <w:tc>
          <w:tcPr>
            <w:tcW w:w="1496" w:type="dxa"/>
            <w:tcBorders>
              <w:top w:val="nil"/>
              <w:left w:val="nil"/>
              <w:bottom w:val="single" w:sz="4" w:space="0" w:color="auto"/>
              <w:right w:val="single" w:sz="4" w:space="0" w:color="auto"/>
            </w:tcBorders>
            <w:noWrap/>
            <w:vAlign w:val="bottom"/>
          </w:tcPr>
          <w:p w14:paraId="74D53165" w14:textId="2F48DB6F"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8.889,01</w:t>
            </w:r>
          </w:p>
        </w:tc>
        <w:tc>
          <w:tcPr>
            <w:tcW w:w="1506" w:type="dxa"/>
            <w:tcBorders>
              <w:top w:val="nil"/>
              <w:left w:val="nil"/>
              <w:bottom w:val="single" w:sz="4" w:space="0" w:color="auto"/>
              <w:right w:val="single" w:sz="4" w:space="0" w:color="auto"/>
            </w:tcBorders>
            <w:noWrap/>
            <w:vAlign w:val="bottom"/>
          </w:tcPr>
          <w:p w14:paraId="31D4E734" w14:textId="4FBCB9BB"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244C31AB"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4FB684F0" w14:textId="3D695E3E"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15.212,48</w:t>
            </w:r>
          </w:p>
        </w:tc>
        <w:tc>
          <w:tcPr>
            <w:tcW w:w="1117" w:type="dxa"/>
            <w:tcBorders>
              <w:top w:val="nil"/>
              <w:left w:val="nil"/>
              <w:bottom w:val="single" w:sz="4" w:space="0" w:color="auto"/>
              <w:right w:val="single" w:sz="4" w:space="0" w:color="auto"/>
            </w:tcBorders>
            <w:noWrap/>
            <w:vAlign w:val="bottom"/>
          </w:tcPr>
          <w:p w14:paraId="2816DD3B" w14:textId="5C9B5F58"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171,14</w:t>
            </w:r>
            <w:r w:rsidR="003D2D77">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1031E572" w14:textId="1FD78D9B" w:rsidR="007242BD" w:rsidRPr="006B06B9" w:rsidRDefault="003D2D7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5018AEA7"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4A9ABE3B"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3237 Intelektualne i osobne usluge</w:t>
            </w:r>
          </w:p>
        </w:tc>
        <w:tc>
          <w:tcPr>
            <w:tcW w:w="1496" w:type="dxa"/>
            <w:tcBorders>
              <w:top w:val="nil"/>
              <w:left w:val="nil"/>
              <w:bottom w:val="single" w:sz="4" w:space="0" w:color="auto"/>
              <w:right w:val="single" w:sz="4" w:space="0" w:color="auto"/>
            </w:tcBorders>
            <w:noWrap/>
            <w:vAlign w:val="bottom"/>
          </w:tcPr>
          <w:p w14:paraId="2D80B69A" w14:textId="50BA084D"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308.835,65</w:t>
            </w:r>
          </w:p>
        </w:tc>
        <w:tc>
          <w:tcPr>
            <w:tcW w:w="1506" w:type="dxa"/>
            <w:tcBorders>
              <w:top w:val="nil"/>
              <w:left w:val="nil"/>
              <w:bottom w:val="single" w:sz="4" w:space="0" w:color="auto"/>
              <w:right w:val="single" w:sz="4" w:space="0" w:color="auto"/>
            </w:tcBorders>
            <w:noWrap/>
            <w:vAlign w:val="bottom"/>
          </w:tcPr>
          <w:p w14:paraId="3DE9EB44" w14:textId="4DEEF1DE"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78A91082"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51F367D1" w14:textId="1816F08E"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309.070,92</w:t>
            </w:r>
          </w:p>
        </w:tc>
        <w:tc>
          <w:tcPr>
            <w:tcW w:w="1117" w:type="dxa"/>
            <w:tcBorders>
              <w:top w:val="nil"/>
              <w:left w:val="nil"/>
              <w:bottom w:val="single" w:sz="4" w:space="0" w:color="auto"/>
              <w:right w:val="single" w:sz="4" w:space="0" w:color="auto"/>
            </w:tcBorders>
            <w:noWrap/>
            <w:vAlign w:val="bottom"/>
          </w:tcPr>
          <w:p w14:paraId="01E2AE26" w14:textId="263EC19A"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100,08</w:t>
            </w:r>
            <w:r w:rsidR="003D2D77">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703F8686" w14:textId="0202235E" w:rsidR="007242BD" w:rsidRPr="006B06B9" w:rsidRDefault="003D2D7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2278D600"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5DF123B1"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3238 Računalne usluge</w:t>
            </w:r>
          </w:p>
        </w:tc>
        <w:tc>
          <w:tcPr>
            <w:tcW w:w="1496" w:type="dxa"/>
            <w:tcBorders>
              <w:top w:val="nil"/>
              <w:left w:val="nil"/>
              <w:bottom w:val="single" w:sz="4" w:space="0" w:color="auto"/>
              <w:right w:val="single" w:sz="4" w:space="0" w:color="auto"/>
            </w:tcBorders>
            <w:noWrap/>
            <w:vAlign w:val="bottom"/>
          </w:tcPr>
          <w:p w14:paraId="06F33424" w14:textId="2F6CFB71"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82.431,72</w:t>
            </w:r>
          </w:p>
        </w:tc>
        <w:tc>
          <w:tcPr>
            <w:tcW w:w="1506" w:type="dxa"/>
            <w:tcBorders>
              <w:top w:val="nil"/>
              <w:left w:val="nil"/>
              <w:bottom w:val="single" w:sz="4" w:space="0" w:color="auto"/>
              <w:right w:val="single" w:sz="4" w:space="0" w:color="auto"/>
            </w:tcBorders>
            <w:noWrap/>
            <w:vAlign w:val="bottom"/>
          </w:tcPr>
          <w:p w14:paraId="3B23FFB4" w14:textId="78AB6360"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443E1DC7"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6F155FD3" w14:textId="091DDFD6"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105.005,99</w:t>
            </w:r>
          </w:p>
        </w:tc>
        <w:tc>
          <w:tcPr>
            <w:tcW w:w="1117" w:type="dxa"/>
            <w:tcBorders>
              <w:top w:val="nil"/>
              <w:left w:val="nil"/>
              <w:bottom w:val="single" w:sz="4" w:space="0" w:color="auto"/>
              <w:right w:val="single" w:sz="4" w:space="0" w:color="auto"/>
            </w:tcBorders>
            <w:noWrap/>
            <w:vAlign w:val="bottom"/>
          </w:tcPr>
          <w:p w14:paraId="220A0DC7" w14:textId="5A777D19"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127,39</w:t>
            </w:r>
            <w:r w:rsidR="0003144B">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76BF42F6" w14:textId="5E1DAFF9" w:rsidR="007242BD" w:rsidRPr="006B06B9" w:rsidRDefault="003D2D7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71403B4E"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10B67094"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3239 Ostale usluge</w:t>
            </w:r>
          </w:p>
        </w:tc>
        <w:tc>
          <w:tcPr>
            <w:tcW w:w="1496" w:type="dxa"/>
            <w:tcBorders>
              <w:top w:val="nil"/>
              <w:left w:val="nil"/>
              <w:bottom w:val="single" w:sz="4" w:space="0" w:color="auto"/>
              <w:right w:val="single" w:sz="4" w:space="0" w:color="auto"/>
            </w:tcBorders>
            <w:noWrap/>
            <w:vAlign w:val="bottom"/>
          </w:tcPr>
          <w:p w14:paraId="4209A88B" w14:textId="20CEECF1"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542.030,91</w:t>
            </w:r>
          </w:p>
        </w:tc>
        <w:tc>
          <w:tcPr>
            <w:tcW w:w="1506" w:type="dxa"/>
            <w:tcBorders>
              <w:top w:val="nil"/>
              <w:left w:val="nil"/>
              <w:bottom w:val="single" w:sz="4" w:space="0" w:color="auto"/>
              <w:right w:val="single" w:sz="4" w:space="0" w:color="auto"/>
            </w:tcBorders>
            <w:noWrap/>
            <w:vAlign w:val="bottom"/>
          </w:tcPr>
          <w:p w14:paraId="0793C0FB" w14:textId="4DA040A1"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644AB3DF"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4A5F008D" w14:textId="2A13158D"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589.572,19</w:t>
            </w:r>
          </w:p>
        </w:tc>
        <w:tc>
          <w:tcPr>
            <w:tcW w:w="1117" w:type="dxa"/>
            <w:tcBorders>
              <w:top w:val="nil"/>
              <w:left w:val="nil"/>
              <w:bottom w:val="single" w:sz="4" w:space="0" w:color="auto"/>
              <w:right w:val="single" w:sz="4" w:space="0" w:color="auto"/>
            </w:tcBorders>
            <w:noWrap/>
            <w:vAlign w:val="bottom"/>
          </w:tcPr>
          <w:p w14:paraId="39A4F0DF" w14:textId="206FF85F"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108,77</w:t>
            </w:r>
            <w:r w:rsidR="00413A0D">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07B97814" w14:textId="4779C921" w:rsidR="007242BD" w:rsidRPr="006B06B9" w:rsidRDefault="003D2D7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68426B3C"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48300756"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324 Naknade troškova osobama izvan radnog odnosa                                                        </w:t>
            </w:r>
          </w:p>
        </w:tc>
        <w:tc>
          <w:tcPr>
            <w:tcW w:w="1496" w:type="dxa"/>
            <w:tcBorders>
              <w:top w:val="nil"/>
              <w:left w:val="nil"/>
              <w:bottom w:val="single" w:sz="4" w:space="0" w:color="auto"/>
              <w:right w:val="single" w:sz="4" w:space="0" w:color="auto"/>
            </w:tcBorders>
            <w:noWrap/>
            <w:vAlign w:val="bottom"/>
          </w:tcPr>
          <w:p w14:paraId="75964C93" w14:textId="0241FCAA"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6.331,56</w:t>
            </w:r>
          </w:p>
        </w:tc>
        <w:tc>
          <w:tcPr>
            <w:tcW w:w="1506" w:type="dxa"/>
            <w:tcBorders>
              <w:top w:val="nil"/>
              <w:left w:val="nil"/>
              <w:bottom w:val="single" w:sz="4" w:space="0" w:color="auto"/>
              <w:right w:val="single" w:sz="4" w:space="0" w:color="auto"/>
            </w:tcBorders>
            <w:noWrap/>
            <w:vAlign w:val="bottom"/>
          </w:tcPr>
          <w:p w14:paraId="2204978B" w14:textId="4A2491BD"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4F3FE98F"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253677F4" w14:textId="7EF7D679"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117" w:type="dxa"/>
            <w:tcBorders>
              <w:top w:val="nil"/>
              <w:left w:val="nil"/>
              <w:bottom w:val="single" w:sz="4" w:space="0" w:color="auto"/>
              <w:right w:val="single" w:sz="4" w:space="0" w:color="auto"/>
            </w:tcBorders>
            <w:noWrap/>
            <w:vAlign w:val="bottom"/>
          </w:tcPr>
          <w:p w14:paraId="35A497EB" w14:textId="673CFFA3"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0664E8C4" w14:textId="09FD2B17" w:rsidR="007242BD" w:rsidRPr="006B06B9" w:rsidRDefault="003D2D7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547851C7"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5718DA4D"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3241 Naknade troškova osobama izvan radnog odnosa                                                        </w:t>
            </w:r>
          </w:p>
        </w:tc>
        <w:tc>
          <w:tcPr>
            <w:tcW w:w="1496" w:type="dxa"/>
            <w:tcBorders>
              <w:top w:val="nil"/>
              <w:left w:val="nil"/>
              <w:bottom w:val="single" w:sz="4" w:space="0" w:color="auto"/>
              <w:right w:val="single" w:sz="4" w:space="0" w:color="auto"/>
            </w:tcBorders>
            <w:noWrap/>
            <w:vAlign w:val="bottom"/>
          </w:tcPr>
          <w:p w14:paraId="6F7B9F53" w14:textId="66EEA36B"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6.331,56</w:t>
            </w:r>
          </w:p>
        </w:tc>
        <w:tc>
          <w:tcPr>
            <w:tcW w:w="1506" w:type="dxa"/>
            <w:tcBorders>
              <w:top w:val="nil"/>
              <w:left w:val="nil"/>
              <w:bottom w:val="single" w:sz="4" w:space="0" w:color="auto"/>
              <w:right w:val="single" w:sz="4" w:space="0" w:color="auto"/>
            </w:tcBorders>
            <w:noWrap/>
            <w:vAlign w:val="bottom"/>
          </w:tcPr>
          <w:p w14:paraId="749C2DCF" w14:textId="4ED26809"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4D83E5BC"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26964561" w14:textId="55EFF0DE"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117" w:type="dxa"/>
            <w:tcBorders>
              <w:top w:val="nil"/>
              <w:left w:val="nil"/>
              <w:bottom w:val="single" w:sz="4" w:space="0" w:color="auto"/>
              <w:right w:val="single" w:sz="4" w:space="0" w:color="auto"/>
            </w:tcBorders>
            <w:noWrap/>
            <w:vAlign w:val="bottom"/>
          </w:tcPr>
          <w:p w14:paraId="6DF0525B" w14:textId="02F02BAE"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37946F23" w14:textId="5585AB3B" w:rsidR="007242BD" w:rsidRPr="006B06B9" w:rsidRDefault="003D2D7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0737DE67"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26E624BF"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329 Ostali nespomenuti rashodi poslovanja</w:t>
            </w:r>
          </w:p>
        </w:tc>
        <w:tc>
          <w:tcPr>
            <w:tcW w:w="1496" w:type="dxa"/>
            <w:tcBorders>
              <w:top w:val="nil"/>
              <w:left w:val="nil"/>
              <w:bottom w:val="single" w:sz="4" w:space="0" w:color="auto"/>
              <w:right w:val="single" w:sz="4" w:space="0" w:color="auto"/>
            </w:tcBorders>
            <w:noWrap/>
            <w:vAlign w:val="bottom"/>
          </w:tcPr>
          <w:p w14:paraId="661C8AFA" w14:textId="6D838CB5"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333.005,14</w:t>
            </w:r>
          </w:p>
        </w:tc>
        <w:tc>
          <w:tcPr>
            <w:tcW w:w="1506" w:type="dxa"/>
            <w:tcBorders>
              <w:top w:val="nil"/>
              <w:left w:val="nil"/>
              <w:bottom w:val="single" w:sz="4" w:space="0" w:color="auto"/>
              <w:right w:val="single" w:sz="4" w:space="0" w:color="auto"/>
            </w:tcBorders>
            <w:noWrap/>
            <w:vAlign w:val="bottom"/>
          </w:tcPr>
          <w:p w14:paraId="700C7F9F" w14:textId="786732CC"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270CF06F"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2A88D8B2" w14:textId="16DCF022"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341.770,07</w:t>
            </w:r>
          </w:p>
        </w:tc>
        <w:tc>
          <w:tcPr>
            <w:tcW w:w="1117" w:type="dxa"/>
            <w:tcBorders>
              <w:top w:val="nil"/>
              <w:left w:val="nil"/>
              <w:bottom w:val="single" w:sz="4" w:space="0" w:color="auto"/>
              <w:right w:val="single" w:sz="4" w:space="0" w:color="auto"/>
            </w:tcBorders>
            <w:noWrap/>
            <w:vAlign w:val="bottom"/>
          </w:tcPr>
          <w:p w14:paraId="5EEDE7B9" w14:textId="4C25A6E6"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102,63</w:t>
            </w:r>
            <w:r w:rsidR="00413A0D">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67DF93D9" w14:textId="42C31414" w:rsidR="007242BD" w:rsidRPr="006B06B9" w:rsidRDefault="003D2D7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4BB86124" w14:textId="77777777" w:rsidTr="006C671D">
        <w:trPr>
          <w:trHeight w:val="563"/>
        </w:trPr>
        <w:tc>
          <w:tcPr>
            <w:tcW w:w="3367" w:type="dxa"/>
            <w:tcBorders>
              <w:top w:val="single" w:sz="4" w:space="0" w:color="auto"/>
              <w:left w:val="single" w:sz="4" w:space="0" w:color="auto"/>
              <w:bottom w:val="single" w:sz="4" w:space="0" w:color="auto"/>
              <w:right w:val="single" w:sz="4" w:space="0" w:color="auto"/>
            </w:tcBorders>
            <w:vAlign w:val="bottom"/>
            <w:hideMark/>
          </w:tcPr>
          <w:p w14:paraId="055BBE7C"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3291 Naknade za rad predstavničkih i izvršnih tijela, povjerenstava i slično</w:t>
            </w:r>
          </w:p>
        </w:tc>
        <w:tc>
          <w:tcPr>
            <w:tcW w:w="1496" w:type="dxa"/>
            <w:tcBorders>
              <w:top w:val="nil"/>
              <w:left w:val="nil"/>
              <w:bottom w:val="single" w:sz="4" w:space="0" w:color="auto"/>
              <w:right w:val="single" w:sz="4" w:space="0" w:color="auto"/>
            </w:tcBorders>
            <w:noWrap/>
            <w:vAlign w:val="bottom"/>
          </w:tcPr>
          <w:p w14:paraId="2BA73CD7" w14:textId="0466A46D"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79.904,54</w:t>
            </w:r>
          </w:p>
        </w:tc>
        <w:tc>
          <w:tcPr>
            <w:tcW w:w="1506" w:type="dxa"/>
            <w:tcBorders>
              <w:top w:val="nil"/>
              <w:left w:val="nil"/>
              <w:bottom w:val="single" w:sz="4" w:space="0" w:color="auto"/>
              <w:right w:val="single" w:sz="4" w:space="0" w:color="auto"/>
            </w:tcBorders>
            <w:noWrap/>
            <w:vAlign w:val="bottom"/>
          </w:tcPr>
          <w:p w14:paraId="49D5DADF" w14:textId="4168F8E5"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16CF6F61"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2C3A83E4" w14:textId="0D436532"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121.931,61</w:t>
            </w:r>
          </w:p>
        </w:tc>
        <w:tc>
          <w:tcPr>
            <w:tcW w:w="1117" w:type="dxa"/>
            <w:tcBorders>
              <w:top w:val="nil"/>
              <w:left w:val="nil"/>
              <w:bottom w:val="single" w:sz="4" w:space="0" w:color="auto"/>
              <w:right w:val="single" w:sz="4" w:space="0" w:color="auto"/>
            </w:tcBorders>
            <w:noWrap/>
            <w:vAlign w:val="bottom"/>
          </w:tcPr>
          <w:p w14:paraId="5BE2845D" w14:textId="42ECE4D5"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152,60</w:t>
            </w:r>
            <w:r w:rsidR="00EE7451">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1BFCC904" w14:textId="3CFA504D" w:rsidR="007242BD" w:rsidRPr="006B06B9" w:rsidRDefault="003D2D7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0BC57753"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7B736EE0"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3292 Premije osiguranja</w:t>
            </w:r>
          </w:p>
        </w:tc>
        <w:tc>
          <w:tcPr>
            <w:tcW w:w="1496" w:type="dxa"/>
            <w:tcBorders>
              <w:top w:val="nil"/>
              <w:left w:val="nil"/>
              <w:bottom w:val="single" w:sz="4" w:space="0" w:color="auto"/>
              <w:right w:val="single" w:sz="4" w:space="0" w:color="auto"/>
            </w:tcBorders>
            <w:noWrap/>
            <w:vAlign w:val="bottom"/>
          </w:tcPr>
          <w:p w14:paraId="16718E8C" w14:textId="1C3A6E5E"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17.125,67</w:t>
            </w:r>
          </w:p>
        </w:tc>
        <w:tc>
          <w:tcPr>
            <w:tcW w:w="1506" w:type="dxa"/>
            <w:tcBorders>
              <w:top w:val="nil"/>
              <w:left w:val="nil"/>
              <w:bottom w:val="single" w:sz="4" w:space="0" w:color="auto"/>
              <w:right w:val="single" w:sz="4" w:space="0" w:color="auto"/>
            </w:tcBorders>
            <w:noWrap/>
            <w:vAlign w:val="bottom"/>
          </w:tcPr>
          <w:p w14:paraId="1D765E6A" w14:textId="6A8A4FD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5EFF830E"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6110BBE8" w14:textId="2770DBA8"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27.809,71</w:t>
            </w:r>
          </w:p>
        </w:tc>
        <w:tc>
          <w:tcPr>
            <w:tcW w:w="1117" w:type="dxa"/>
            <w:tcBorders>
              <w:top w:val="nil"/>
              <w:left w:val="nil"/>
              <w:bottom w:val="single" w:sz="4" w:space="0" w:color="auto"/>
              <w:right w:val="single" w:sz="4" w:space="0" w:color="auto"/>
            </w:tcBorders>
            <w:noWrap/>
            <w:vAlign w:val="bottom"/>
          </w:tcPr>
          <w:p w14:paraId="5A05A459" w14:textId="4C41E0CB"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162,39</w:t>
            </w:r>
            <w:r w:rsidR="00EE7451">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257EC7D8" w14:textId="467929EB" w:rsidR="007242BD" w:rsidRPr="006B06B9" w:rsidRDefault="003D2D7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295D4031"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317F5410"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3293 Reprezentacija</w:t>
            </w:r>
          </w:p>
        </w:tc>
        <w:tc>
          <w:tcPr>
            <w:tcW w:w="1496" w:type="dxa"/>
            <w:tcBorders>
              <w:top w:val="nil"/>
              <w:left w:val="nil"/>
              <w:bottom w:val="single" w:sz="4" w:space="0" w:color="auto"/>
              <w:right w:val="single" w:sz="4" w:space="0" w:color="auto"/>
            </w:tcBorders>
            <w:noWrap/>
            <w:vAlign w:val="bottom"/>
          </w:tcPr>
          <w:p w14:paraId="7CC8CA64" w14:textId="6869CA45"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55.236,73</w:t>
            </w:r>
          </w:p>
        </w:tc>
        <w:tc>
          <w:tcPr>
            <w:tcW w:w="1506" w:type="dxa"/>
            <w:tcBorders>
              <w:top w:val="nil"/>
              <w:left w:val="nil"/>
              <w:bottom w:val="single" w:sz="4" w:space="0" w:color="auto"/>
              <w:right w:val="single" w:sz="4" w:space="0" w:color="auto"/>
            </w:tcBorders>
            <w:noWrap/>
            <w:vAlign w:val="bottom"/>
          </w:tcPr>
          <w:p w14:paraId="3E0963B3" w14:textId="59DDFD5C"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207A2847"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0942B029" w14:textId="68D5D059"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69.888,01</w:t>
            </w:r>
          </w:p>
        </w:tc>
        <w:tc>
          <w:tcPr>
            <w:tcW w:w="1117" w:type="dxa"/>
            <w:tcBorders>
              <w:top w:val="nil"/>
              <w:left w:val="nil"/>
              <w:bottom w:val="single" w:sz="4" w:space="0" w:color="auto"/>
              <w:right w:val="single" w:sz="4" w:space="0" w:color="auto"/>
            </w:tcBorders>
            <w:noWrap/>
            <w:vAlign w:val="bottom"/>
          </w:tcPr>
          <w:p w14:paraId="5E6CB81C" w14:textId="635A2BBD"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126,52</w:t>
            </w:r>
            <w:r w:rsidR="00EE7451">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0BDFF240" w14:textId="1B6CCF0A" w:rsidR="007242BD" w:rsidRPr="006B06B9" w:rsidRDefault="003D2D7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31B4DCCA"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79746174"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3294 Članarine i norme</w:t>
            </w:r>
          </w:p>
        </w:tc>
        <w:tc>
          <w:tcPr>
            <w:tcW w:w="1496" w:type="dxa"/>
            <w:tcBorders>
              <w:top w:val="nil"/>
              <w:left w:val="nil"/>
              <w:bottom w:val="single" w:sz="4" w:space="0" w:color="auto"/>
              <w:right w:val="single" w:sz="4" w:space="0" w:color="auto"/>
            </w:tcBorders>
            <w:noWrap/>
            <w:vAlign w:val="bottom"/>
          </w:tcPr>
          <w:p w14:paraId="00CB8E30" w14:textId="29EA9C74"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7.635,72</w:t>
            </w:r>
          </w:p>
        </w:tc>
        <w:tc>
          <w:tcPr>
            <w:tcW w:w="1506" w:type="dxa"/>
            <w:tcBorders>
              <w:top w:val="nil"/>
              <w:left w:val="nil"/>
              <w:bottom w:val="single" w:sz="4" w:space="0" w:color="auto"/>
              <w:right w:val="single" w:sz="4" w:space="0" w:color="auto"/>
            </w:tcBorders>
            <w:noWrap/>
            <w:vAlign w:val="bottom"/>
          </w:tcPr>
          <w:p w14:paraId="1C1A8269" w14:textId="67920300"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7487E239"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4009A7C0" w14:textId="68CCF11C"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8.202,56</w:t>
            </w:r>
          </w:p>
        </w:tc>
        <w:tc>
          <w:tcPr>
            <w:tcW w:w="1117" w:type="dxa"/>
            <w:tcBorders>
              <w:top w:val="nil"/>
              <w:left w:val="nil"/>
              <w:bottom w:val="single" w:sz="4" w:space="0" w:color="auto"/>
              <w:right w:val="single" w:sz="4" w:space="0" w:color="auto"/>
            </w:tcBorders>
            <w:noWrap/>
            <w:vAlign w:val="bottom"/>
          </w:tcPr>
          <w:p w14:paraId="4D75392B" w14:textId="3C3AC0DD"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107,42</w:t>
            </w:r>
            <w:r w:rsidR="00EE7451">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251F02A3" w14:textId="2FA47347" w:rsidR="007242BD" w:rsidRPr="006B06B9" w:rsidRDefault="003D2D7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1C704D52"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0287065B"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3295 Pristojbe i naknade                                                                                 </w:t>
            </w:r>
          </w:p>
        </w:tc>
        <w:tc>
          <w:tcPr>
            <w:tcW w:w="1496" w:type="dxa"/>
            <w:tcBorders>
              <w:top w:val="nil"/>
              <w:left w:val="nil"/>
              <w:bottom w:val="single" w:sz="4" w:space="0" w:color="auto"/>
              <w:right w:val="single" w:sz="4" w:space="0" w:color="auto"/>
            </w:tcBorders>
            <w:noWrap/>
            <w:vAlign w:val="bottom"/>
          </w:tcPr>
          <w:p w14:paraId="110B83CA" w14:textId="4A64C684"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60.515,02</w:t>
            </w:r>
          </w:p>
        </w:tc>
        <w:tc>
          <w:tcPr>
            <w:tcW w:w="1506" w:type="dxa"/>
            <w:tcBorders>
              <w:top w:val="nil"/>
              <w:left w:val="nil"/>
              <w:bottom w:val="single" w:sz="4" w:space="0" w:color="auto"/>
              <w:right w:val="single" w:sz="4" w:space="0" w:color="auto"/>
            </w:tcBorders>
            <w:noWrap/>
            <w:vAlign w:val="bottom"/>
          </w:tcPr>
          <w:p w14:paraId="01CB8EBE" w14:textId="24234F11"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10321130"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792FB589" w14:textId="5946CD2B"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59.051,36</w:t>
            </w:r>
          </w:p>
        </w:tc>
        <w:tc>
          <w:tcPr>
            <w:tcW w:w="1117" w:type="dxa"/>
            <w:tcBorders>
              <w:top w:val="nil"/>
              <w:left w:val="nil"/>
              <w:bottom w:val="single" w:sz="4" w:space="0" w:color="auto"/>
              <w:right w:val="single" w:sz="4" w:space="0" w:color="auto"/>
            </w:tcBorders>
            <w:noWrap/>
            <w:vAlign w:val="bottom"/>
          </w:tcPr>
          <w:p w14:paraId="3654308C" w14:textId="0E00E66A" w:rsidR="007242BD" w:rsidRPr="006B06B9" w:rsidRDefault="00F0673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97,58</w:t>
            </w:r>
            <w:r w:rsidR="00EE7451">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56D74B4B" w14:textId="2DA1A1BD" w:rsidR="007242BD" w:rsidRPr="006B06B9" w:rsidRDefault="003D2D7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1C8DFF36"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1B530ACC"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3296 Troškovi sudskih postupaka</w:t>
            </w:r>
          </w:p>
        </w:tc>
        <w:tc>
          <w:tcPr>
            <w:tcW w:w="1496" w:type="dxa"/>
            <w:tcBorders>
              <w:top w:val="nil"/>
              <w:left w:val="nil"/>
              <w:bottom w:val="single" w:sz="4" w:space="0" w:color="auto"/>
              <w:right w:val="single" w:sz="4" w:space="0" w:color="auto"/>
            </w:tcBorders>
            <w:noWrap/>
            <w:vAlign w:val="bottom"/>
          </w:tcPr>
          <w:p w14:paraId="5BD1FCF0" w14:textId="4DAF0BC7" w:rsidR="007242BD" w:rsidRPr="006B06B9" w:rsidRDefault="00060CB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694,24</w:t>
            </w:r>
          </w:p>
        </w:tc>
        <w:tc>
          <w:tcPr>
            <w:tcW w:w="1506" w:type="dxa"/>
            <w:tcBorders>
              <w:top w:val="nil"/>
              <w:left w:val="nil"/>
              <w:bottom w:val="single" w:sz="4" w:space="0" w:color="auto"/>
              <w:right w:val="single" w:sz="4" w:space="0" w:color="auto"/>
            </w:tcBorders>
            <w:noWrap/>
            <w:vAlign w:val="bottom"/>
          </w:tcPr>
          <w:p w14:paraId="21E1724F" w14:textId="50EC7FC0"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45290CA2"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60EB027C" w14:textId="74B2B85F" w:rsidR="007242BD" w:rsidRPr="006B06B9" w:rsidRDefault="00060CB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10.179,77</w:t>
            </w:r>
          </w:p>
        </w:tc>
        <w:tc>
          <w:tcPr>
            <w:tcW w:w="1117" w:type="dxa"/>
            <w:tcBorders>
              <w:top w:val="nil"/>
              <w:left w:val="nil"/>
              <w:bottom w:val="single" w:sz="4" w:space="0" w:color="auto"/>
              <w:right w:val="single" w:sz="4" w:space="0" w:color="auto"/>
            </w:tcBorders>
            <w:noWrap/>
            <w:vAlign w:val="bottom"/>
          </w:tcPr>
          <w:p w14:paraId="32CB3B52" w14:textId="475682F3" w:rsidR="007242BD" w:rsidRPr="006B06B9" w:rsidRDefault="00060CB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1466,32</w:t>
            </w:r>
            <w:r w:rsidR="00EE7451">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39AF7E53" w14:textId="220FF08B" w:rsidR="007242BD" w:rsidRPr="006B06B9" w:rsidRDefault="003D2D7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07CF9078"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0E8471EB"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lastRenderedPageBreak/>
              <w:t>3299 Ostali nespomenuti rashodi poslovanja</w:t>
            </w:r>
          </w:p>
        </w:tc>
        <w:tc>
          <w:tcPr>
            <w:tcW w:w="1496" w:type="dxa"/>
            <w:tcBorders>
              <w:top w:val="nil"/>
              <w:left w:val="nil"/>
              <w:bottom w:val="single" w:sz="4" w:space="0" w:color="auto"/>
              <w:right w:val="single" w:sz="4" w:space="0" w:color="auto"/>
            </w:tcBorders>
            <w:noWrap/>
            <w:vAlign w:val="bottom"/>
          </w:tcPr>
          <w:p w14:paraId="0A12F9CC" w14:textId="026CEBB2" w:rsidR="007242BD" w:rsidRPr="006B06B9" w:rsidRDefault="00060CB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111.893,22</w:t>
            </w:r>
          </w:p>
        </w:tc>
        <w:tc>
          <w:tcPr>
            <w:tcW w:w="1506" w:type="dxa"/>
            <w:tcBorders>
              <w:top w:val="nil"/>
              <w:left w:val="nil"/>
              <w:bottom w:val="single" w:sz="4" w:space="0" w:color="auto"/>
              <w:right w:val="single" w:sz="4" w:space="0" w:color="auto"/>
            </w:tcBorders>
            <w:noWrap/>
            <w:vAlign w:val="bottom"/>
          </w:tcPr>
          <w:p w14:paraId="1505CE25" w14:textId="62DA2D8A"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08C82BFF"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1AC21C6A" w14:textId="0DB6D882" w:rsidR="007242BD" w:rsidRPr="006B06B9" w:rsidRDefault="00060CB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44.707,05</w:t>
            </w:r>
          </w:p>
        </w:tc>
        <w:tc>
          <w:tcPr>
            <w:tcW w:w="1117" w:type="dxa"/>
            <w:tcBorders>
              <w:top w:val="nil"/>
              <w:left w:val="nil"/>
              <w:bottom w:val="single" w:sz="4" w:space="0" w:color="auto"/>
              <w:right w:val="single" w:sz="4" w:space="0" w:color="auto"/>
            </w:tcBorders>
            <w:noWrap/>
            <w:vAlign w:val="bottom"/>
          </w:tcPr>
          <w:p w14:paraId="23C8C01D" w14:textId="22023FC0" w:rsidR="007242BD" w:rsidRPr="006B06B9" w:rsidRDefault="00060CB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39,96</w:t>
            </w:r>
            <w:r w:rsidR="00EE7451">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677ED573" w14:textId="374AD753" w:rsidR="007242BD" w:rsidRPr="006B06B9" w:rsidRDefault="003D2D7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48AFB4D6"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40E61074" w14:textId="77777777" w:rsidR="007242BD" w:rsidRPr="006B06B9" w:rsidRDefault="007242BD"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34 Financijski rashodi</w:t>
            </w:r>
          </w:p>
        </w:tc>
        <w:tc>
          <w:tcPr>
            <w:tcW w:w="1496" w:type="dxa"/>
            <w:tcBorders>
              <w:top w:val="nil"/>
              <w:left w:val="nil"/>
              <w:bottom w:val="single" w:sz="4" w:space="0" w:color="auto"/>
              <w:right w:val="single" w:sz="4" w:space="0" w:color="auto"/>
            </w:tcBorders>
            <w:noWrap/>
            <w:vAlign w:val="bottom"/>
          </w:tcPr>
          <w:p w14:paraId="55120935" w14:textId="76975FB7" w:rsidR="007242BD" w:rsidRPr="006B06B9" w:rsidRDefault="00060CB2"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35.818,55</w:t>
            </w:r>
          </w:p>
        </w:tc>
        <w:tc>
          <w:tcPr>
            <w:tcW w:w="1506" w:type="dxa"/>
            <w:tcBorders>
              <w:top w:val="nil"/>
              <w:left w:val="nil"/>
              <w:bottom w:val="single" w:sz="4" w:space="0" w:color="auto"/>
              <w:right w:val="single" w:sz="4" w:space="0" w:color="auto"/>
            </w:tcBorders>
            <w:noWrap/>
            <w:vAlign w:val="bottom"/>
          </w:tcPr>
          <w:p w14:paraId="2FF812A4" w14:textId="078063C6" w:rsidR="007242BD" w:rsidRPr="006B06B9" w:rsidRDefault="00060CB2"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53.681,00</w:t>
            </w:r>
          </w:p>
        </w:tc>
        <w:tc>
          <w:tcPr>
            <w:tcW w:w="1496" w:type="dxa"/>
            <w:tcBorders>
              <w:top w:val="single" w:sz="4" w:space="0" w:color="auto"/>
              <w:left w:val="nil"/>
              <w:bottom w:val="single" w:sz="4" w:space="0" w:color="auto"/>
              <w:right w:val="single" w:sz="4" w:space="0" w:color="auto"/>
            </w:tcBorders>
          </w:tcPr>
          <w:p w14:paraId="4B2F867C" w14:textId="3A1431ED" w:rsidR="007242BD" w:rsidRPr="006B06B9" w:rsidRDefault="00060CB2"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53.681,00</w:t>
            </w:r>
          </w:p>
        </w:tc>
        <w:tc>
          <w:tcPr>
            <w:tcW w:w="1600" w:type="dxa"/>
            <w:tcBorders>
              <w:top w:val="nil"/>
              <w:left w:val="single" w:sz="4" w:space="0" w:color="auto"/>
              <w:bottom w:val="single" w:sz="4" w:space="0" w:color="auto"/>
              <w:right w:val="single" w:sz="4" w:space="0" w:color="auto"/>
            </w:tcBorders>
            <w:noWrap/>
            <w:vAlign w:val="bottom"/>
          </w:tcPr>
          <w:p w14:paraId="5AEFF5FE" w14:textId="2E26D3FB" w:rsidR="007242BD" w:rsidRPr="006B06B9" w:rsidRDefault="00060CB2"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34.071,34</w:t>
            </w:r>
          </w:p>
        </w:tc>
        <w:tc>
          <w:tcPr>
            <w:tcW w:w="1117" w:type="dxa"/>
            <w:tcBorders>
              <w:top w:val="nil"/>
              <w:left w:val="nil"/>
              <w:bottom w:val="single" w:sz="4" w:space="0" w:color="auto"/>
              <w:right w:val="single" w:sz="4" w:space="0" w:color="auto"/>
            </w:tcBorders>
            <w:noWrap/>
            <w:vAlign w:val="bottom"/>
          </w:tcPr>
          <w:p w14:paraId="42BCF800" w14:textId="7B5DC967" w:rsidR="007242BD" w:rsidRPr="006B06B9" w:rsidRDefault="00060CB2"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95,12</w:t>
            </w:r>
            <w:r w:rsidR="00EE7451">
              <w:rPr>
                <w:rFonts w:ascii="Arial" w:eastAsia="Times New Roman" w:hAnsi="Arial" w:cs="Arial"/>
                <w:b/>
                <w:bCs/>
                <w:sz w:val="20"/>
                <w:szCs w:val="20"/>
                <w:lang w:eastAsia="hr-HR"/>
              </w:rPr>
              <w:t>%</w:t>
            </w:r>
          </w:p>
        </w:tc>
        <w:tc>
          <w:tcPr>
            <w:tcW w:w="1006" w:type="dxa"/>
            <w:tcBorders>
              <w:top w:val="nil"/>
              <w:left w:val="nil"/>
              <w:bottom w:val="single" w:sz="4" w:space="0" w:color="auto"/>
              <w:right w:val="single" w:sz="4" w:space="0" w:color="auto"/>
            </w:tcBorders>
            <w:noWrap/>
            <w:vAlign w:val="bottom"/>
          </w:tcPr>
          <w:p w14:paraId="6682F2F6" w14:textId="38EF4249" w:rsidR="007242BD" w:rsidRPr="006B06B9" w:rsidRDefault="00060CB2"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63,47</w:t>
            </w:r>
            <w:r w:rsidR="00EE7451">
              <w:rPr>
                <w:rFonts w:ascii="Arial" w:eastAsia="Times New Roman" w:hAnsi="Arial" w:cs="Arial"/>
                <w:b/>
                <w:bCs/>
                <w:sz w:val="20"/>
                <w:szCs w:val="20"/>
                <w:lang w:eastAsia="hr-HR"/>
              </w:rPr>
              <w:t>%</w:t>
            </w:r>
          </w:p>
        </w:tc>
      </w:tr>
      <w:tr w:rsidR="00EB4F8D" w:rsidRPr="006B06B9" w14:paraId="6CA2BB9B"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17B95E0C"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342 Kamate za primljene kredite i zajmove                                                               </w:t>
            </w:r>
          </w:p>
        </w:tc>
        <w:tc>
          <w:tcPr>
            <w:tcW w:w="1496" w:type="dxa"/>
            <w:tcBorders>
              <w:top w:val="nil"/>
              <w:left w:val="nil"/>
              <w:bottom w:val="single" w:sz="4" w:space="0" w:color="auto"/>
              <w:right w:val="single" w:sz="4" w:space="0" w:color="auto"/>
            </w:tcBorders>
            <w:noWrap/>
            <w:vAlign w:val="bottom"/>
          </w:tcPr>
          <w:p w14:paraId="3D599FD7" w14:textId="5D01CF21" w:rsidR="007242BD" w:rsidRPr="006B06B9" w:rsidRDefault="00060CB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17.084,77</w:t>
            </w:r>
          </w:p>
        </w:tc>
        <w:tc>
          <w:tcPr>
            <w:tcW w:w="1506" w:type="dxa"/>
            <w:tcBorders>
              <w:top w:val="nil"/>
              <w:left w:val="nil"/>
              <w:bottom w:val="single" w:sz="4" w:space="0" w:color="auto"/>
              <w:right w:val="single" w:sz="4" w:space="0" w:color="auto"/>
            </w:tcBorders>
            <w:noWrap/>
            <w:vAlign w:val="bottom"/>
          </w:tcPr>
          <w:p w14:paraId="3255DEC3" w14:textId="18762925"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3A0943AC"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234FA8A5" w14:textId="318E2BB8" w:rsidR="007242BD" w:rsidRPr="006B06B9" w:rsidRDefault="00060CB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14.894,49</w:t>
            </w:r>
          </w:p>
        </w:tc>
        <w:tc>
          <w:tcPr>
            <w:tcW w:w="1117" w:type="dxa"/>
            <w:tcBorders>
              <w:top w:val="nil"/>
              <w:left w:val="nil"/>
              <w:bottom w:val="single" w:sz="4" w:space="0" w:color="auto"/>
              <w:right w:val="single" w:sz="4" w:space="0" w:color="auto"/>
            </w:tcBorders>
            <w:noWrap/>
            <w:vAlign w:val="bottom"/>
          </w:tcPr>
          <w:p w14:paraId="4205988F" w14:textId="24F14DCD" w:rsidR="007242BD" w:rsidRPr="006B06B9" w:rsidRDefault="00060CB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87,18</w:t>
            </w:r>
            <w:r w:rsidR="00EE7451">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6BBA7EE3" w14:textId="675EA26D" w:rsidR="007242BD" w:rsidRPr="006B06B9" w:rsidRDefault="003D2D7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3B21E94D" w14:textId="77777777" w:rsidTr="006C671D">
        <w:trPr>
          <w:trHeight w:val="801"/>
        </w:trPr>
        <w:tc>
          <w:tcPr>
            <w:tcW w:w="3367" w:type="dxa"/>
            <w:tcBorders>
              <w:top w:val="single" w:sz="4" w:space="0" w:color="auto"/>
              <w:left w:val="single" w:sz="4" w:space="0" w:color="auto"/>
              <w:bottom w:val="single" w:sz="4" w:space="0" w:color="auto"/>
              <w:right w:val="single" w:sz="4" w:space="0" w:color="auto"/>
            </w:tcBorders>
            <w:vAlign w:val="bottom"/>
            <w:hideMark/>
          </w:tcPr>
          <w:p w14:paraId="396F7ECF"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3423 Kamate za primljene kredite i zajmove od kreditnih i ostalih financijskih institucija izvan javnog sektora</w:t>
            </w:r>
          </w:p>
        </w:tc>
        <w:tc>
          <w:tcPr>
            <w:tcW w:w="1496" w:type="dxa"/>
            <w:tcBorders>
              <w:top w:val="nil"/>
              <w:left w:val="nil"/>
              <w:bottom w:val="single" w:sz="4" w:space="0" w:color="auto"/>
              <w:right w:val="single" w:sz="4" w:space="0" w:color="auto"/>
            </w:tcBorders>
            <w:noWrap/>
            <w:vAlign w:val="bottom"/>
          </w:tcPr>
          <w:p w14:paraId="056096A8" w14:textId="4F37E249" w:rsidR="007242BD" w:rsidRPr="006B06B9" w:rsidRDefault="00060CB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17.084,77</w:t>
            </w:r>
          </w:p>
        </w:tc>
        <w:tc>
          <w:tcPr>
            <w:tcW w:w="1506" w:type="dxa"/>
            <w:tcBorders>
              <w:top w:val="nil"/>
              <w:left w:val="nil"/>
              <w:bottom w:val="single" w:sz="4" w:space="0" w:color="auto"/>
              <w:right w:val="single" w:sz="4" w:space="0" w:color="auto"/>
            </w:tcBorders>
            <w:noWrap/>
            <w:vAlign w:val="bottom"/>
          </w:tcPr>
          <w:p w14:paraId="65805B22" w14:textId="4DEC698F"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0B30601D"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083518B9" w14:textId="63CDBD72" w:rsidR="007242BD" w:rsidRPr="006B06B9" w:rsidRDefault="00060CB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14.894,49</w:t>
            </w:r>
          </w:p>
        </w:tc>
        <w:tc>
          <w:tcPr>
            <w:tcW w:w="1117" w:type="dxa"/>
            <w:tcBorders>
              <w:top w:val="nil"/>
              <w:left w:val="nil"/>
              <w:bottom w:val="single" w:sz="4" w:space="0" w:color="auto"/>
              <w:right w:val="single" w:sz="4" w:space="0" w:color="auto"/>
            </w:tcBorders>
            <w:noWrap/>
            <w:vAlign w:val="bottom"/>
          </w:tcPr>
          <w:p w14:paraId="78021DDC" w14:textId="7B39B8A6" w:rsidR="007242BD" w:rsidRPr="006B06B9" w:rsidRDefault="00060CB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87,18</w:t>
            </w:r>
            <w:r w:rsidR="003D2D77">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04408B05" w14:textId="742180D9" w:rsidR="007242BD" w:rsidRPr="006B06B9" w:rsidRDefault="003D2D7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26AAE387"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1F000870"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343 Ostali financijski rashodi</w:t>
            </w:r>
          </w:p>
        </w:tc>
        <w:tc>
          <w:tcPr>
            <w:tcW w:w="1496" w:type="dxa"/>
            <w:tcBorders>
              <w:top w:val="nil"/>
              <w:left w:val="nil"/>
              <w:bottom w:val="single" w:sz="4" w:space="0" w:color="auto"/>
              <w:right w:val="single" w:sz="4" w:space="0" w:color="auto"/>
            </w:tcBorders>
            <w:noWrap/>
            <w:vAlign w:val="bottom"/>
          </w:tcPr>
          <w:p w14:paraId="5F5085E1" w14:textId="0FFD8796" w:rsidR="007242BD" w:rsidRPr="006B06B9" w:rsidRDefault="00060CB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18.733,78</w:t>
            </w:r>
          </w:p>
        </w:tc>
        <w:tc>
          <w:tcPr>
            <w:tcW w:w="1506" w:type="dxa"/>
            <w:tcBorders>
              <w:top w:val="nil"/>
              <w:left w:val="nil"/>
              <w:bottom w:val="single" w:sz="4" w:space="0" w:color="auto"/>
              <w:right w:val="single" w:sz="4" w:space="0" w:color="auto"/>
            </w:tcBorders>
            <w:noWrap/>
            <w:vAlign w:val="bottom"/>
          </w:tcPr>
          <w:p w14:paraId="2F2CF6BC" w14:textId="06274082"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19A26C97"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6B0256A6" w14:textId="79F42C68" w:rsidR="007242BD" w:rsidRPr="006B06B9" w:rsidRDefault="00060CB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19.176,85</w:t>
            </w:r>
          </w:p>
        </w:tc>
        <w:tc>
          <w:tcPr>
            <w:tcW w:w="1117" w:type="dxa"/>
            <w:tcBorders>
              <w:top w:val="nil"/>
              <w:left w:val="nil"/>
              <w:bottom w:val="single" w:sz="4" w:space="0" w:color="auto"/>
              <w:right w:val="single" w:sz="4" w:space="0" w:color="auto"/>
            </w:tcBorders>
            <w:noWrap/>
            <w:vAlign w:val="bottom"/>
          </w:tcPr>
          <w:p w14:paraId="53C2FBAA" w14:textId="1C790C55" w:rsidR="007242BD" w:rsidRPr="006B06B9" w:rsidRDefault="00060CB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102,37</w:t>
            </w:r>
            <w:r w:rsidR="003D2D77">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7A3D8F2E" w14:textId="606A865C" w:rsidR="007242BD" w:rsidRPr="006B06B9" w:rsidRDefault="003D2D7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163C4CFE"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04E789CA"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3431 Bankarske usluge i usluge platnog prometa</w:t>
            </w:r>
          </w:p>
        </w:tc>
        <w:tc>
          <w:tcPr>
            <w:tcW w:w="1496" w:type="dxa"/>
            <w:tcBorders>
              <w:top w:val="nil"/>
              <w:left w:val="nil"/>
              <w:bottom w:val="single" w:sz="4" w:space="0" w:color="auto"/>
              <w:right w:val="single" w:sz="4" w:space="0" w:color="auto"/>
            </w:tcBorders>
            <w:noWrap/>
            <w:vAlign w:val="bottom"/>
          </w:tcPr>
          <w:p w14:paraId="419DB265" w14:textId="48D55C28" w:rsidR="007242BD" w:rsidRPr="006B06B9" w:rsidRDefault="00060CB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17.084,08</w:t>
            </w:r>
          </w:p>
        </w:tc>
        <w:tc>
          <w:tcPr>
            <w:tcW w:w="1506" w:type="dxa"/>
            <w:tcBorders>
              <w:top w:val="nil"/>
              <w:left w:val="nil"/>
              <w:bottom w:val="single" w:sz="4" w:space="0" w:color="auto"/>
              <w:right w:val="single" w:sz="4" w:space="0" w:color="auto"/>
            </w:tcBorders>
            <w:noWrap/>
            <w:vAlign w:val="bottom"/>
          </w:tcPr>
          <w:p w14:paraId="59D1A661" w14:textId="7B01C6A5"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54FD0F4A"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5AE8C156" w14:textId="1EFE9809" w:rsidR="007242BD" w:rsidRPr="006B06B9" w:rsidRDefault="00060CB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16.091,13</w:t>
            </w:r>
          </w:p>
        </w:tc>
        <w:tc>
          <w:tcPr>
            <w:tcW w:w="1117" w:type="dxa"/>
            <w:tcBorders>
              <w:top w:val="nil"/>
              <w:left w:val="nil"/>
              <w:bottom w:val="single" w:sz="4" w:space="0" w:color="auto"/>
              <w:right w:val="single" w:sz="4" w:space="0" w:color="auto"/>
            </w:tcBorders>
            <w:noWrap/>
            <w:vAlign w:val="bottom"/>
          </w:tcPr>
          <w:p w14:paraId="2E4DE1E0" w14:textId="2BEC552B" w:rsidR="007242BD" w:rsidRPr="006B06B9" w:rsidRDefault="00060CB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94,19</w:t>
            </w:r>
            <w:r w:rsidR="003D2D77">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7CDF1BD9" w14:textId="03211A4B" w:rsidR="007242BD" w:rsidRPr="006B06B9" w:rsidRDefault="003D2D7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2BA7FA66" w14:textId="77777777" w:rsidTr="006C671D">
        <w:trPr>
          <w:trHeight w:val="519"/>
        </w:trPr>
        <w:tc>
          <w:tcPr>
            <w:tcW w:w="3367" w:type="dxa"/>
            <w:tcBorders>
              <w:top w:val="single" w:sz="4" w:space="0" w:color="auto"/>
              <w:left w:val="single" w:sz="4" w:space="0" w:color="auto"/>
              <w:bottom w:val="single" w:sz="4" w:space="0" w:color="auto"/>
              <w:right w:val="single" w:sz="4" w:space="0" w:color="auto"/>
            </w:tcBorders>
            <w:vAlign w:val="bottom"/>
            <w:hideMark/>
          </w:tcPr>
          <w:p w14:paraId="22627B2D"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3432 Negativne tečajne razlike i razlike zbog primjene valutne klauzule</w:t>
            </w:r>
          </w:p>
        </w:tc>
        <w:tc>
          <w:tcPr>
            <w:tcW w:w="1496" w:type="dxa"/>
            <w:tcBorders>
              <w:top w:val="nil"/>
              <w:left w:val="nil"/>
              <w:bottom w:val="single" w:sz="4" w:space="0" w:color="auto"/>
              <w:right w:val="single" w:sz="4" w:space="0" w:color="auto"/>
            </w:tcBorders>
            <w:noWrap/>
            <w:vAlign w:val="bottom"/>
          </w:tcPr>
          <w:p w14:paraId="371C2B17" w14:textId="7E3E560C" w:rsidR="007242BD" w:rsidRPr="006B06B9" w:rsidRDefault="00060CB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506" w:type="dxa"/>
            <w:tcBorders>
              <w:top w:val="nil"/>
              <w:left w:val="nil"/>
              <w:bottom w:val="single" w:sz="4" w:space="0" w:color="auto"/>
              <w:right w:val="single" w:sz="4" w:space="0" w:color="auto"/>
            </w:tcBorders>
            <w:noWrap/>
            <w:vAlign w:val="bottom"/>
          </w:tcPr>
          <w:p w14:paraId="4EADDE9B" w14:textId="37DCFAE8"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420A6D30"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7F41C48F" w14:textId="1FDCFC38" w:rsidR="007242BD" w:rsidRPr="006B06B9" w:rsidRDefault="00060CB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0,30</w:t>
            </w:r>
          </w:p>
        </w:tc>
        <w:tc>
          <w:tcPr>
            <w:tcW w:w="1117" w:type="dxa"/>
            <w:tcBorders>
              <w:top w:val="nil"/>
              <w:left w:val="nil"/>
              <w:bottom w:val="single" w:sz="4" w:space="0" w:color="auto"/>
              <w:right w:val="single" w:sz="4" w:space="0" w:color="auto"/>
            </w:tcBorders>
            <w:noWrap/>
            <w:vAlign w:val="bottom"/>
          </w:tcPr>
          <w:p w14:paraId="191EA381" w14:textId="2758BE72" w:rsidR="007242BD" w:rsidRPr="006B06B9" w:rsidRDefault="003D2D7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47734196" w14:textId="128EE812" w:rsidR="007242BD" w:rsidRPr="006B06B9" w:rsidRDefault="003D2D7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0765405B"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663DEBE6"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3433 Zatezne kamate</w:t>
            </w:r>
          </w:p>
        </w:tc>
        <w:tc>
          <w:tcPr>
            <w:tcW w:w="1496" w:type="dxa"/>
            <w:tcBorders>
              <w:top w:val="nil"/>
              <w:left w:val="nil"/>
              <w:bottom w:val="single" w:sz="4" w:space="0" w:color="auto"/>
              <w:right w:val="single" w:sz="4" w:space="0" w:color="auto"/>
            </w:tcBorders>
            <w:noWrap/>
            <w:vAlign w:val="bottom"/>
          </w:tcPr>
          <w:p w14:paraId="708FD661" w14:textId="52F4B7F2" w:rsidR="007242BD" w:rsidRPr="006B06B9" w:rsidRDefault="00060CB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1.649,70</w:t>
            </w:r>
          </w:p>
        </w:tc>
        <w:tc>
          <w:tcPr>
            <w:tcW w:w="1506" w:type="dxa"/>
            <w:tcBorders>
              <w:top w:val="nil"/>
              <w:left w:val="nil"/>
              <w:bottom w:val="single" w:sz="4" w:space="0" w:color="auto"/>
              <w:right w:val="single" w:sz="4" w:space="0" w:color="auto"/>
            </w:tcBorders>
            <w:noWrap/>
            <w:vAlign w:val="bottom"/>
          </w:tcPr>
          <w:p w14:paraId="592042CB" w14:textId="407281DD"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4984D6A8"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45AF53D1" w14:textId="44B177ED" w:rsidR="007242BD" w:rsidRPr="006B06B9" w:rsidRDefault="00060CB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2.335,42</w:t>
            </w:r>
          </w:p>
        </w:tc>
        <w:tc>
          <w:tcPr>
            <w:tcW w:w="1117" w:type="dxa"/>
            <w:tcBorders>
              <w:top w:val="nil"/>
              <w:left w:val="nil"/>
              <w:bottom w:val="single" w:sz="4" w:space="0" w:color="auto"/>
              <w:right w:val="single" w:sz="4" w:space="0" w:color="auto"/>
            </w:tcBorders>
            <w:noWrap/>
            <w:vAlign w:val="bottom"/>
          </w:tcPr>
          <w:p w14:paraId="722F4C3E" w14:textId="727F820F" w:rsidR="007242BD" w:rsidRPr="006B06B9" w:rsidRDefault="00060CB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141,57</w:t>
            </w:r>
            <w:r w:rsidR="003D2D77">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1B8CE621" w14:textId="2E5E0430" w:rsidR="007242BD" w:rsidRPr="006B06B9" w:rsidRDefault="003D2D7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060CB2" w:rsidRPr="006B06B9" w14:paraId="311AC6EA"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tcPr>
          <w:p w14:paraId="4F815554" w14:textId="5DF1D843" w:rsidR="00060CB2" w:rsidRPr="006B06B9" w:rsidRDefault="00060CB2" w:rsidP="006B06B9">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3434 Ostali nespomenuti financijski rashodi</w:t>
            </w:r>
          </w:p>
        </w:tc>
        <w:tc>
          <w:tcPr>
            <w:tcW w:w="1496" w:type="dxa"/>
            <w:tcBorders>
              <w:top w:val="nil"/>
              <w:left w:val="nil"/>
              <w:bottom w:val="single" w:sz="4" w:space="0" w:color="auto"/>
              <w:right w:val="single" w:sz="4" w:space="0" w:color="auto"/>
            </w:tcBorders>
            <w:noWrap/>
            <w:vAlign w:val="bottom"/>
          </w:tcPr>
          <w:p w14:paraId="2FB34FDB" w14:textId="177F5900" w:rsidR="00060CB2" w:rsidRDefault="00060CB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506" w:type="dxa"/>
            <w:tcBorders>
              <w:top w:val="nil"/>
              <w:left w:val="nil"/>
              <w:bottom w:val="single" w:sz="4" w:space="0" w:color="auto"/>
              <w:right w:val="single" w:sz="4" w:space="0" w:color="auto"/>
            </w:tcBorders>
            <w:noWrap/>
            <w:vAlign w:val="bottom"/>
          </w:tcPr>
          <w:p w14:paraId="0D0B6452" w14:textId="77777777" w:rsidR="00060CB2" w:rsidRPr="006B06B9" w:rsidRDefault="00060CB2"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09145683" w14:textId="77777777" w:rsidR="00060CB2" w:rsidRPr="006B06B9" w:rsidRDefault="00060CB2"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6C47A652" w14:textId="6ABD02C7" w:rsidR="00060CB2" w:rsidRDefault="00060CB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750,00</w:t>
            </w:r>
          </w:p>
        </w:tc>
        <w:tc>
          <w:tcPr>
            <w:tcW w:w="1117" w:type="dxa"/>
            <w:tcBorders>
              <w:top w:val="nil"/>
              <w:left w:val="nil"/>
              <w:bottom w:val="single" w:sz="4" w:space="0" w:color="auto"/>
              <w:right w:val="single" w:sz="4" w:space="0" w:color="auto"/>
            </w:tcBorders>
            <w:noWrap/>
            <w:vAlign w:val="bottom"/>
          </w:tcPr>
          <w:p w14:paraId="13C4839D" w14:textId="70208B4B" w:rsidR="00060CB2" w:rsidRDefault="00060CB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74F9E032" w14:textId="2B8CB7E1" w:rsidR="00060CB2" w:rsidRDefault="00060CB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69274DF0"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526297A8" w14:textId="77777777" w:rsidR="007242BD" w:rsidRPr="006B06B9" w:rsidRDefault="007242BD"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35 Subvencije</w:t>
            </w:r>
          </w:p>
        </w:tc>
        <w:tc>
          <w:tcPr>
            <w:tcW w:w="1496" w:type="dxa"/>
            <w:tcBorders>
              <w:top w:val="nil"/>
              <w:left w:val="nil"/>
              <w:bottom w:val="single" w:sz="4" w:space="0" w:color="auto"/>
              <w:right w:val="single" w:sz="4" w:space="0" w:color="auto"/>
            </w:tcBorders>
            <w:noWrap/>
            <w:vAlign w:val="bottom"/>
          </w:tcPr>
          <w:p w14:paraId="2B60F581" w14:textId="6785622C" w:rsidR="007242BD" w:rsidRPr="006B06B9" w:rsidRDefault="00060CB2"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245.323,51</w:t>
            </w:r>
          </w:p>
        </w:tc>
        <w:tc>
          <w:tcPr>
            <w:tcW w:w="1506" w:type="dxa"/>
            <w:tcBorders>
              <w:top w:val="nil"/>
              <w:left w:val="nil"/>
              <w:bottom w:val="single" w:sz="4" w:space="0" w:color="auto"/>
              <w:right w:val="single" w:sz="4" w:space="0" w:color="auto"/>
            </w:tcBorders>
            <w:noWrap/>
            <w:vAlign w:val="bottom"/>
          </w:tcPr>
          <w:p w14:paraId="41B717CD" w14:textId="53F2F791" w:rsidR="007242BD" w:rsidRPr="006B06B9" w:rsidRDefault="00060CB2"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43</w:t>
            </w:r>
            <w:r w:rsidR="00EE7451">
              <w:rPr>
                <w:rFonts w:ascii="Arial" w:eastAsia="Times New Roman" w:hAnsi="Arial" w:cs="Arial"/>
                <w:b/>
                <w:bCs/>
                <w:sz w:val="20"/>
                <w:szCs w:val="20"/>
                <w:lang w:eastAsia="hr-HR"/>
              </w:rPr>
              <w:t>0.000,00</w:t>
            </w:r>
          </w:p>
        </w:tc>
        <w:tc>
          <w:tcPr>
            <w:tcW w:w="1496" w:type="dxa"/>
            <w:tcBorders>
              <w:top w:val="single" w:sz="4" w:space="0" w:color="auto"/>
              <w:left w:val="nil"/>
              <w:bottom w:val="single" w:sz="4" w:space="0" w:color="auto"/>
              <w:right w:val="single" w:sz="4" w:space="0" w:color="auto"/>
            </w:tcBorders>
          </w:tcPr>
          <w:p w14:paraId="11DBF44F" w14:textId="782649DE" w:rsidR="007242BD" w:rsidRPr="006B06B9" w:rsidRDefault="00060CB2"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547.876,00</w:t>
            </w:r>
          </w:p>
        </w:tc>
        <w:tc>
          <w:tcPr>
            <w:tcW w:w="1600" w:type="dxa"/>
            <w:tcBorders>
              <w:top w:val="nil"/>
              <w:left w:val="single" w:sz="4" w:space="0" w:color="auto"/>
              <w:bottom w:val="single" w:sz="4" w:space="0" w:color="auto"/>
              <w:right w:val="single" w:sz="4" w:space="0" w:color="auto"/>
            </w:tcBorders>
            <w:noWrap/>
            <w:vAlign w:val="bottom"/>
          </w:tcPr>
          <w:p w14:paraId="2818E752" w14:textId="5D982049" w:rsidR="007242BD" w:rsidRPr="006B06B9" w:rsidRDefault="00060CB2"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547.875,72</w:t>
            </w:r>
          </w:p>
        </w:tc>
        <w:tc>
          <w:tcPr>
            <w:tcW w:w="1117" w:type="dxa"/>
            <w:tcBorders>
              <w:top w:val="nil"/>
              <w:left w:val="nil"/>
              <w:bottom w:val="single" w:sz="4" w:space="0" w:color="auto"/>
              <w:right w:val="single" w:sz="4" w:space="0" w:color="auto"/>
            </w:tcBorders>
            <w:noWrap/>
            <w:vAlign w:val="bottom"/>
          </w:tcPr>
          <w:p w14:paraId="5E6EF214" w14:textId="321E776F" w:rsidR="007242BD" w:rsidRPr="006B06B9" w:rsidRDefault="00060CB2"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223,33</w:t>
            </w:r>
            <w:r w:rsidR="00EE7451">
              <w:rPr>
                <w:rFonts w:ascii="Arial" w:eastAsia="Times New Roman" w:hAnsi="Arial" w:cs="Arial"/>
                <w:b/>
                <w:bCs/>
                <w:sz w:val="20"/>
                <w:szCs w:val="20"/>
                <w:lang w:eastAsia="hr-HR"/>
              </w:rPr>
              <w:t>%</w:t>
            </w:r>
          </w:p>
        </w:tc>
        <w:tc>
          <w:tcPr>
            <w:tcW w:w="1006" w:type="dxa"/>
            <w:tcBorders>
              <w:top w:val="nil"/>
              <w:left w:val="nil"/>
              <w:bottom w:val="single" w:sz="4" w:space="0" w:color="auto"/>
              <w:right w:val="single" w:sz="4" w:space="0" w:color="auto"/>
            </w:tcBorders>
            <w:noWrap/>
            <w:vAlign w:val="bottom"/>
          </w:tcPr>
          <w:p w14:paraId="6149D96E" w14:textId="32643C0B" w:rsidR="007242BD" w:rsidRPr="006B06B9" w:rsidRDefault="00060CB2"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100,00</w:t>
            </w:r>
            <w:r w:rsidR="00EE7451">
              <w:rPr>
                <w:rFonts w:ascii="Arial" w:eastAsia="Times New Roman" w:hAnsi="Arial" w:cs="Arial"/>
                <w:b/>
                <w:bCs/>
                <w:sz w:val="20"/>
                <w:szCs w:val="20"/>
                <w:lang w:eastAsia="hr-HR"/>
              </w:rPr>
              <w:t>%</w:t>
            </w:r>
          </w:p>
        </w:tc>
      </w:tr>
      <w:tr w:rsidR="00EB4F8D" w:rsidRPr="006B06B9" w14:paraId="4F93C028" w14:textId="77777777" w:rsidTr="006C671D">
        <w:trPr>
          <w:trHeight w:val="296"/>
        </w:trPr>
        <w:tc>
          <w:tcPr>
            <w:tcW w:w="3367" w:type="dxa"/>
            <w:tcBorders>
              <w:top w:val="single" w:sz="4" w:space="0" w:color="auto"/>
              <w:left w:val="single" w:sz="4" w:space="0" w:color="auto"/>
              <w:bottom w:val="single" w:sz="4" w:space="0" w:color="auto"/>
              <w:right w:val="single" w:sz="4" w:space="0" w:color="auto"/>
            </w:tcBorders>
            <w:vAlign w:val="bottom"/>
            <w:hideMark/>
          </w:tcPr>
          <w:p w14:paraId="23E5EF7E" w14:textId="28BAFF3A"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351 Subvencije</w:t>
            </w:r>
            <w:r w:rsidR="00060CB2">
              <w:rPr>
                <w:rFonts w:ascii="Arial" w:eastAsia="Times New Roman" w:hAnsi="Arial" w:cs="Arial"/>
                <w:sz w:val="20"/>
                <w:szCs w:val="20"/>
                <w:lang w:eastAsia="hr-HR"/>
              </w:rPr>
              <w:t xml:space="preserve"> kreditnim i ostalim financijskim institucijama i </w:t>
            </w:r>
            <w:r w:rsidRPr="006B06B9">
              <w:rPr>
                <w:rFonts w:ascii="Arial" w:eastAsia="Times New Roman" w:hAnsi="Arial" w:cs="Arial"/>
                <w:sz w:val="20"/>
                <w:szCs w:val="20"/>
                <w:lang w:eastAsia="hr-HR"/>
              </w:rPr>
              <w:t xml:space="preserve"> trgovačkim društvima u javnom sektoru</w:t>
            </w:r>
          </w:p>
        </w:tc>
        <w:tc>
          <w:tcPr>
            <w:tcW w:w="1496" w:type="dxa"/>
            <w:tcBorders>
              <w:top w:val="nil"/>
              <w:left w:val="nil"/>
              <w:bottom w:val="single" w:sz="4" w:space="0" w:color="auto"/>
              <w:right w:val="single" w:sz="4" w:space="0" w:color="auto"/>
            </w:tcBorders>
            <w:noWrap/>
            <w:vAlign w:val="bottom"/>
          </w:tcPr>
          <w:p w14:paraId="47217F8D" w14:textId="0AEEC870" w:rsidR="007242BD" w:rsidRPr="006B06B9" w:rsidRDefault="00060CB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245.323,51</w:t>
            </w:r>
          </w:p>
        </w:tc>
        <w:tc>
          <w:tcPr>
            <w:tcW w:w="1506" w:type="dxa"/>
            <w:tcBorders>
              <w:top w:val="nil"/>
              <w:left w:val="nil"/>
              <w:bottom w:val="single" w:sz="4" w:space="0" w:color="auto"/>
              <w:right w:val="single" w:sz="4" w:space="0" w:color="auto"/>
            </w:tcBorders>
            <w:noWrap/>
            <w:vAlign w:val="bottom"/>
          </w:tcPr>
          <w:p w14:paraId="6B2728B3" w14:textId="2ED8FC41"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0C4A8648"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58514B1E" w14:textId="31FCC379" w:rsidR="007242BD" w:rsidRPr="006B06B9" w:rsidRDefault="00060CB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547.875,72</w:t>
            </w:r>
          </w:p>
        </w:tc>
        <w:tc>
          <w:tcPr>
            <w:tcW w:w="1117" w:type="dxa"/>
            <w:tcBorders>
              <w:top w:val="nil"/>
              <w:left w:val="nil"/>
              <w:bottom w:val="single" w:sz="4" w:space="0" w:color="auto"/>
              <w:right w:val="single" w:sz="4" w:space="0" w:color="auto"/>
            </w:tcBorders>
            <w:noWrap/>
            <w:vAlign w:val="bottom"/>
          </w:tcPr>
          <w:p w14:paraId="41BBB3E9" w14:textId="41805F9D" w:rsidR="007242BD" w:rsidRPr="006B06B9" w:rsidRDefault="00060CB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223,33</w:t>
            </w:r>
            <w:r w:rsidR="00377D53">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58F1CEB4" w14:textId="7474A3D0" w:rsidR="007242BD" w:rsidRPr="006B06B9" w:rsidRDefault="003D2D7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1EB0A205" w14:textId="77777777" w:rsidTr="006C671D">
        <w:trPr>
          <w:trHeight w:val="519"/>
        </w:trPr>
        <w:tc>
          <w:tcPr>
            <w:tcW w:w="3367" w:type="dxa"/>
            <w:tcBorders>
              <w:top w:val="single" w:sz="4" w:space="0" w:color="auto"/>
              <w:left w:val="single" w:sz="4" w:space="0" w:color="auto"/>
              <w:bottom w:val="single" w:sz="4" w:space="0" w:color="auto"/>
              <w:right w:val="single" w:sz="4" w:space="0" w:color="auto"/>
            </w:tcBorders>
            <w:vAlign w:val="bottom"/>
            <w:hideMark/>
          </w:tcPr>
          <w:p w14:paraId="723FA687"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3512 Subvencije trgovačkim društvima u javnom sektoru</w:t>
            </w:r>
          </w:p>
        </w:tc>
        <w:tc>
          <w:tcPr>
            <w:tcW w:w="1496" w:type="dxa"/>
            <w:tcBorders>
              <w:top w:val="nil"/>
              <w:left w:val="nil"/>
              <w:bottom w:val="single" w:sz="4" w:space="0" w:color="auto"/>
              <w:right w:val="single" w:sz="4" w:space="0" w:color="auto"/>
            </w:tcBorders>
            <w:noWrap/>
            <w:vAlign w:val="bottom"/>
          </w:tcPr>
          <w:p w14:paraId="0EE48DBF" w14:textId="0DB67525" w:rsidR="007242BD" w:rsidRPr="006B06B9" w:rsidRDefault="00060CB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245.323,51</w:t>
            </w:r>
          </w:p>
        </w:tc>
        <w:tc>
          <w:tcPr>
            <w:tcW w:w="1506" w:type="dxa"/>
            <w:tcBorders>
              <w:top w:val="nil"/>
              <w:left w:val="nil"/>
              <w:bottom w:val="single" w:sz="4" w:space="0" w:color="auto"/>
              <w:right w:val="single" w:sz="4" w:space="0" w:color="auto"/>
            </w:tcBorders>
            <w:noWrap/>
            <w:vAlign w:val="bottom"/>
          </w:tcPr>
          <w:p w14:paraId="711E7FDF" w14:textId="7494BA10"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15D7AA14"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3A1C83A6" w14:textId="2A80A534" w:rsidR="007242BD" w:rsidRPr="006B06B9" w:rsidRDefault="00060CB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547.875,72</w:t>
            </w:r>
          </w:p>
        </w:tc>
        <w:tc>
          <w:tcPr>
            <w:tcW w:w="1117" w:type="dxa"/>
            <w:tcBorders>
              <w:top w:val="nil"/>
              <w:left w:val="nil"/>
              <w:bottom w:val="single" w:sz="4" w:space="0" w:color="auto"/>
              <w:right w:val="single" w:sz="4" w:space="0" w:color="auto"/>
            </w:tcBorders>
            <w:noWrap/>
            <w:vAlign w:val="bottom"/>
          </w:tcPr>
          <w:p w14:paraId="72F35809" w14:textId="1396918B" w:rsidR="007242BD" w:rsidRPr="006B06B9" w:rsidRDefault="00060CB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223,33</w:t>
            </w:r>
            <w:r w:rsidR="003D2D77">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7C853E36" w14:textId="41FF6392" w:rsidR="007242BD" w:rsidRPr="006B06B9" w:rsidRDefault="003D2D77"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3A720400" w14:textId="77777777" w:rsidTr="006C671D">
        <w:trPr>
          <w:trHeight w:val="534"/>
        </w:trPr>
        <w:tc>
          <w:tcPr>
            <w:tcW w:w="3367" w:type="dxa"/>
            <w:tcBorders>
              <w:top w:val="single" w:sz="4" w:space="0" w:color="auto"/>
              <w:left w:val="single" w:sz="4" w:space="0" w:color="auto"/>
              <w:bottom w:val="single" w:sz="4" w:space="0" w:color="auto"/>
              <w:right w:val="single" w:sz="4" w:space="0" w:color="auto"/>
            </w:tcBorders>
            <w:vAlign w:val="bottom"/>
            <w:hideMark/>
          </w:tcPr>
          <w:p w14:paraId="79444BCA" w14:textId="77777777" w:rsidR="007242BD" w:rsidRPr="006B06B9" w:rsidRDefault="007242BD"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36 Pomoći dane u inozemstvo i unutar općeg proračuna</w:t>
            </w:r>
          </w:p>
        </w:tc>
        <w:tc>
          <w:tcPr>
            <w:tcW w:w="1496" w:type="dxa"/>
            <w:tcBorders>
              <w:top w:val="nil"/>
              <w:left w:val="nil"/>
              <w:bottom w:val="single" w:sz="4" w:space="0" w:color="auto"/>
              <w:right w:val="single" w:sz="4" w:space="0" w:color="auto"/>
            </w:tcBorders>
            <w:noWrap/>
            <w:vAlign w:val="bottom"/>
          </w:tcPr>
          <w:p w14:paraId="4C1C8A81" w14:textId="25648C62" w:rsidR="007242BD" w:rsidRPr="006B06B9" w:rsidRDefault="00B56CE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232.651,23</w:t>
            </w:r>
          </w:p>
        </w:tc>
        <w:tc>
          <w:tcPr>
            <w:tcW w:w="1506" w:type="dxa"/>
            <w:tcBorders>
              <w:top w:val="nil"/>
              <w:left w:val="nil"/>
              <w:bottom w:val="single" w:sz="4" w:space="0" w:color="auto"/>
              <w:right w:val="single" w:sz="4" w:space="0" w:color="auto"/>
            </w:tcBorders>
            <w:noWrap/>
            <w:vAlign w:val="bottom"/>
          </w:tcPr>
          <w:p w14:paraId="7DFA5618" w14:textId="04866AE9" w:rsidR="007242BD" w:rsidRPr="006B06B9" w:rsidRDefault="00B56CE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417.000,00</w:t>
            </w:r>
          </w:p>
        </w:tc>
        <w:tc>
          <w:tcPr>
            <w:tcW w:w="1496" w:type="dxa"/>
            <w:tcBorders>
              <w:top w:val="single" w:sz="4" w:space="0" w:color="auto"/>
              <w:left w:val="nil"/>
              <w:bottom w:val="single" w:sz="4" w:space="0" w:color="auto"/>
              <w:right w:val="single" w:sz="4" w:space="0" w:color="auto"/>
            </w:tcBorders>
            <w:vAlign w:val="bottom"/>
          </w:tcPr>
          <w:p w14:paraId="78113AD9" w14:textId="0C5F5942" w:rsidR="007242BD" w:rsidRPr="006B06B9" w:rsidRDefault="00B56CE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409.500,00</w:t>
            </w:r>
          </w:p>
        </w:tc>
        <w:tc>
          <w:tcPr>
            <w:tcW w:w="1600" w:type="dxa"/>
            <w:tcBorders>
              <w:top w:val="nil"/>
              <w:left w:val="single" w:sz="4" w:space="0" w:color="auto"/>
              <w:bottom w:val="single" w:sz="4" w:space="0" w:color="auto"/>
              <w:right w:val="single" w:sz="4" w:space="0" w:color="auto"/>
            </w:tcBorders>
            <w:noWrap/>
            <w:vAlign w:val="bottom"/>
          </w:tcPr>
          <w:p w14:paraId="07C5D1C1" w14:textId="12C07692" w:rsidR="007242BD" w:rsidRPr="006B06B9" w:rsidRDefault="00B56CE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241.432,73</w:t>
            </w:r>
          </w:p>
        </w:tc>
        <w:tc>
          <w:tcPr>
            <w:tcW w:w="1117" w:type="dxa"/>
            <w:tcBorders>
              <w:top w:val="nil"/>
              <w:left w:val="nil"/>
              <w:bottom w:val="single" w:sz="4" w:space="0" w:color="auto"/>
              <w:right w:val="single" w:sz="4" w:space="0" w:color="auto"/>
            </w:tcBorders>
            <w:noWrap/>
            <w:vAlign w:val="bottom"/>
          </w:tcPr>
          <w:p w14:paraId="4B0C967B" w14:textId="1BF46931" w:rsidR="007242BD" w:rsidRPr="006B06B9" w:rsidRDefault="00B56CE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103,77</w:t>
            </w:r>
            <w:r w:rsidR="00377D53">
              <w:rPr>
                <w:rFonts w:ascii="Arial" w:eastAsia="Times New Roman" w:hAnsi="Arial" w:cs="Arial"/>
                <w:b/>
                <w:bCs/>
                <w:sz w:val="20"/>
                <w:szCs w:val="20"/>
                <w:lang w:eastAsia="hr-HR"/>
              </w:rPr>
              <w:t>%</w:t>
            </w:r>
          </w:p>
        </w:tc>
        <w:tc>
          <w:tcPr>
            <w:tcW w:w="1006" w:type="dxa"/>
            <w:tcBorders>
              <w:top w:val="nil"/>
              <w:left w:val="nil"/>
              <w:bottom w:val="single" w:sz="4" w:space="0" w:color="auto"/>
              <w:right w:val="single" w:sz="4" w:space="0" w:color="auto"/>
            </w:tcBorders>
            <w:noWrap/>
            <w:vAlign w:val="bottom"/>
          </w:tcPr>
          <w:p w14:paraId="3CF5BD75" w14:textId="67201BA6" w:rsidR="007242BD" w:rsidRPr="006B06B9" w:rsidRDefault="00B56CE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58,96</w:t>
            </w:r>
            <w:r w:rsidR="00377D53">
              <w:rPr>
                <w:rFonts w:ascii="Arial" w:eastAsia="Times New Roman" w:hAnsi="Arial" w:cs="Arial"/>
                <w:b/>
                <w:bCs/>
                <w:sz w:val="20"/>
                <w:szCs w:val="20"/>
                <w:lang w:eastAsia="hr-HR"/>
              </w:rPr>
              <w:t>%</w:t>
            </w:r>
          </w:p>
        </w:tc>
      </w:tr>
      <w:tr w:rsidR="00EB4F8D" w:rsidRPr="006B06B9" w14:paraId="5ECB1129"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43104D51" w14:textId="74851755"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363 Pomoći</w:t>
            </w:r>
            <w:r w:rsidR="00B56CE3">
              <w:rPr>
                <w:rFonts w:ascii="Arial" w:eastAsia="Times New Roman" w:hAnsi="Arial" w:cs="Arial"/>
                <w:sz w:val="20"/>
                <w:szCs w:val="20"/>
                <w:lang w:eastAsia="hr-HR"/>
              </w:rPr>
              <w:t xml:space="preserve"> drugom proračunu i izvanproračunskim korisnicima </w:t>
            </w:r>
          </w:p>
        </w:tc>
        <w:tc>
          <w:tcPr>
            <w:tcW w:w="1496" w:type="dxa"/>
            <w:tcBorders>
              <w:top w:val="nil"/>
              <w:left w:val="nil"/>
              <w:bottom w:val="single" w:sz="4" w:space="0" w:color="auto"/>
              <w:right w:val="single" w:sz="4" w:space="0" w:color="auto"/>
            </w:tcBorders>
            <w:noWrap/>
            <w:vAlign w:val="bottom"/>
          </w:tcPr>
          <w:p w14:paraId="6372E3AE" w14:textId="36E45988" w:rsidR="007242BD" w:rsidRPr="006B06B9" w:rsidRDefault="00B56CE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6.860,83</w:t>
            </w:r>
          </w:p>
        </w:tc>
        <w:tc>
          <w:tcPr>
            <w:tcW w:w="1506" w:type="dxa"/>
            <w:tcBorders>
              <w:top w:val="nil"/>
              <w:left w:val="nil"/>
              <w:bottom w:val="single" w:sz="4" w:space="0" w:color="auto"/>
              <w:right w:val="single" w:sz="4" w:space="0" w:color="auto"/>
            </w:tcBorders>
            <w:noWrap/>
            <w:vAlign w:val="bottom"/>
          </w:tcPr>
          <w:p w14:paraId="49958073" w14:textId="688DACF5"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002C8055"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076D8762" w14:textId="678F265C" w:rsidR="007242BD" w:rsidRPr="006B06B9" w:rsidRDefault="00B56CE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117" w:type="dxa"/>
            <w:tcBorders>
              <w:top w:val="nil"/>
              <w:left w:val="nil"/>
              <w:bottom w:val="single" w:sz="4" w:space="0" w:color="auto"/>
              <w:right w:val="single" w:sz="4" w:space="0" w:color="auto"/>
            </w:tcBorders>
            <w:noWrap/>
            <w:vAlign w:val="bottom"/>
          </w:tcPr>
          <w:p w14:paraId="0FEF78A5" w14:textId="430F4A7E" w:rsidR="007242BD" w:rsidRPr="006B06B9" w:rsidRDefault="00B56CE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70F414B3" w14:textId="0F7CC705" w:rsidR="007242BD" w:rsidRPr="006B06B9" w:rsidRDefault="00BD626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137813C9"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2F5E2EBB" w14:textId="37953E02"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3631 Tekuće pomoći </w:t>
            </w:r>
            <w:r w:rsidR="00B56CE3">
              <w:rPr>
                <w:rFonts w:ascii="Arial" w:eastAsia="Times New Roman" w:hAnsi="Arial" w:cs="Arial"/>
                <w:sz w:val="20"/>
                <w:szCs w:val="20"/>
                <w:lang w:eastAsia="hr-HR"/>
              </w:rPr>
              <w:t xml:space="preserve">drugom proračunu i izvanproračunskim korisnicima </w:t>
            </w:r>
          </w:p>
        </w:tc>
        <w:tc>
          <w:tcPr>
            <w:tcW w:w="1496" w:type="dxa"/>
            <w:tcBorders>
              <w:top w:val="nil"/>
              <w:left w:val="nil"/>
              <w:bottom w:val="single" w:sz="4" w:space="0" w:color="auto"/>
              <w:right w:val="single" w:sz="4" w:space="0" w:color="auto"/>
            </w:tcBorders>
            <w:noWrap/>
            <w:vAlign w:val="bottom"/>
          </w:tcPr>
          <w:p w14:paraId="4B3397CC" w14:textId="70C9E582" w:rsidR="007242BD" w:rsidRPr="006B06B9" w:rsidRDefault="00B56CE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6.860,83</w:t>
            </w:r>
          </w:p>
        </w:tc>
        <w:tc>
          <w:tcPr>
            <w:tcW w:w="1506" w:type="dxa"/>
            <w:tcBorders>
              <w:top w:val="nil"/>
              <w:left w:val="nil"/>
              <w:bottom w:val="single" w:sz="4" w:space="0" w:color="auto"/>
              <w:right w:val="single" w:sz="4" w:space="0" w:color="auto"/>
            </w:tcBorders>
            <w:noWrap/>
            <w:vAlign w:val="bottom"/>
          </w:tcPr>
          <w:p w14:paraId="15533B1D" w14:textId="7D162A6C"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34356997"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350F7E62" w14:textId="32B0D642" w:rsidR="007242BD" w:rsidRPr="006B06B9" w:rsidRDefault="00B56CE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117" w:type="dxa"/>
            <w:tcBorders>
              <w:top w:val="nil"/>
              <w:left w:val="nil"/>
              <w:bottom w:val="single" w:sz="4" w:space="0" w:color="auto"/>
              <w:right w:val="single" w:sz="4" w:space="0" w:color="auto"/>
            </w:tcBorders>
            <w:noWrap/>
            <w:vAlign w:val="bottom"/>
          </w:tcPr>
          <w:p w14:paraId="2E704DF2" w14:textId="5375FF16" w:rsidR="007242BD" w:rsidRPr="006B06B9" w:rsidRDefault="00B56CE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256AF650" w14:textId="2335F26E" w:rsidR="007242BD" w:rsidRPr="006B06B9" w:rsidRDefault="00BD626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60777C91" w14:textId="77777777" w:rsidTr="006C671D">
        <w:trPr>
          <w:trHeight w:val="549"/>
        </w:trPr>
        <w:tc>
          <w:tcPr>
            <w:tcW w:w="3367" w:type="dxa"/>
            <w:tcBorders>
              <w:top w:val="single" w:sz="4" w:space="0" w:color="auto"/>
              <w:left w:val="single" w:sz="4" w:space="0" w:color="auto"/>
              <w:bottom w:val="single" w:sz="4" w:space="0" w:color="auto"/>
              <w:right w:val="single" w:sz="4" w:space="0" w:color="auto"/>
            </w:tcBorders>
            <w:vAlign w:val="bottom"/>
            <w:hideMark/>
          </w:tcPr>
          <w:p w14:paraId="009BCCC2"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366 Pomoći proračunskim korisnicima drugih proračuna</w:t>
            </w:r>
          </w:p>
        </w:tc>
        <w:tc>
          <w:tcPr>
            <w:tcW w:w="1496" w:type="dxa"/>
            <w:tcBorders>
              <w:top w:val="nil"/>
              <w:left w:val="nil"/>
              <w:bottom w:val="single" w:sz="4" w:space="0" w:color="auto"/>
              <w:right w:val="single" w:sz="4" w:space="0" w:color="auto"/>
            </w:tcBorders>
            <w:noWrap/>
            <w:vAlign w:val="bottom"/>
          </w:tcPr>
          <w:p w14:paraId="740ACD92" w14:textId="69DB6C3A" w:rsidR="007242BD" w:rsidRPr="006B06B9" w:rsidRDefault="00B56CE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225.790,40</w:t>
            </w:r>
          </w:p>
        </w:tc>
        <w:tc>
          <w:tcPr>
            <w:tcW w:w="1506" w:type="dxa"/>
            <w:tcBorders>
              <w:top w:val="nil"/>
              <w:left w:val="nil"/>
              <w:bottom w:val="single" w:sz="4" w:space="0" w:color="auto"/>
              <w:right w:val="single" w:sz="4" w:space="0" w:color="auto"/>
            </w:tcBorders>
            <w:noWrap/>
            <w:vAlign w:val="bottom"/>
          </w:tcPr>
          <w:p w14:paraId="5D7D427D" w14:textId="03428D76"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7E7BA2C1"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296CA2BB" w14:textId="159300D4" w:rsidR="007242BD" w:rsidRPr="006B06B9" w:rsidRDefault="00B56CE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241.432,73</w:t>
            </w:r>
          </w:p>
        </w:tc>
        <w:tc>
          <w:tcPr>
            <w:tcW w:w="1117" w:type="dxa"/>
            <w:tcBorders>
              <w:top w:val="nil"/>
              <w:left w:val="nil"/>
              <w:bottom w:val="single" w:sz="4" w:space="0" w:color="auto"/>
              <w:right w:val="single" w:sz="4" w:space="0" w:color="auto"/>
            </w:tcBorders>
            <w:noWrap/>
            <w:vAlign w:val="bottom"/>
          </w:tcPr>
          <w:p w14:paraId="47ABBA4C" w14:textId="6227E233" w:rsidR="007242BD" w:rsidRPr="006B06B9" w:rsidRDefault="00B56CE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106,93</w:t>
            </w:r>
            <w:r w:rsidR="00377D53">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2216D1B3" w14:textId="00F72D26" w:rsidR="007242BD" w:rsidRPr="006B06B9" w:rsidRDefault="00BD626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044A31B0" w14:textId="77777777" w:rsidTr="006C671D">
        <w:trPr>
          <w:trHeight w:val="534"/>
        </w:trPr>
        <w:tc>
          <w:tcPr>
            <w:tcW w:w="3367" w:type="dxa"/>
            <w:tcBorders>
              <w:top w:val="single" w:sz="4" w:space="0" w:color="auto"/>
              <w:left w:val="single" w:sz="4" w:space="0" w:color="auto"/>
              <w:bottom w:val="single" w:sz="4" w:space="0" w:color="auto"/>
              <w:right w:val="single" w:sz="4" w:space="0" w:color="auto"/>
            </w:tcBorders>
            <w:vAlign w:val="bottom"/>
            <w:hideMark/>
          </w:tcPr>
          <w:p w14:paraId="62F2BDE3"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3661 Tekuće pomoći proračunskim korisnicima drugih proračuna</w:t>
            </w:r>
          </w:p>
        </w:tc>
        <w:tc>
          <w:tcPr>
            <w:tcW w:w="1496" w:type="dxa"/>
            <w:tcBorders>
              <w:top w:val="nil"/>
              <w:left w:val="nil"/>
              <w:bottom w:val="single" w:sz="4" w:space="0" w:color="auto"/>
              <w:right w:val="single" w:sz="4" w:space="0" w:color="auto"/>
            </w:tcBorders>
            <w:noWrap/>
            <w:vAlign w:val="bottom"/>
          </w:tcPr>
          <w:p w14:paraId="156B86EF" w14:textId="7D3F478E" w:rsidR="007242BD" w:rsidRPr="006B06B9" w:rsidRDefault="00B56CE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223.790,40</w:t>
            </w:r>
          </w:p>
        </w:tc>
        <w:tc>
          <w:tcPr>
            <w:tcW w:w="1506" w:type="dxa"/>
            <w:tcBorders>
              <w:top w:val="nil"/>
              <w:left w:val="nil"/>
              <w:bottom w:val="single" w:sz="4" w:space="0" w:color="auto"/>
              <w:right w:val="single" w:sz="4" w:space="0" w:color="auto"/>
            </w:tcBorders>
            <w:noWrap/>
            <w:vAlign w:val="bottom"/>
          </w:tcPr>
          <w:p w14:paraId="59242DA7" w14:textId="133AF3E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2702063C"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5BF84DA9" w14:textId="351E6029" w:rsidR="007242BD" w:rsidRPr="006B06B9" w:rsidRDefault="00B56CE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241.432,73</w:t>
            </w:r>
          </w:p>
        </w:tc>
        <w:tc>
          <w:tcPr>
            <w:tcW w:w="1117" w:type="dxa"/>
            <w:tcBorders>
              <w:top w:val="nil"/>
              <w:left w:val="nil"/>
              <w:bottom w:val="single" w:sz="4" w:space="0" w:color="auto"/>
              <w:right w:val="single" w:sz="4" w:space="0" w:color="auto"/>
            </w:tcBorders>
            <w:noWrap/>
            <w:vAlign w:val="bottom"/>
          </w:tcPr>
          <w:p w14:paraId="5FC83F1C" w14:textId="7884FFFE" w:rsidR="007242BD" w:rsidRPr="006B06B9" w:rsidRDefault="00B56CE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107,88</w:t>
            </w:r>
            <w:r w:rsidR="00377D53">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2029F289" w14:textId="127AE733" w:rsidR="007242BD" w:rsidRPr="006B06B9" w:rsidRDefault="00BD626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D6263" w:rsidRPr="006B06B9" w14:paraId="4BD23459" w14:textId="77777777" w:rsidTr="006C671D">
        <w:trPr>
          <w:trHeight w:val="534"/>
        </w:trPr>
        <w:tc>
          <w:tcPr>
            <w:tcW w:w="3367" w:type="dxa"/>
            <w:tcBorders>
              <w:top w:val="single" w:sz="4" w:space="0" w:color="auto"/>
              <w:left w:val="single" w:sz="4" w:space="0" w:color="auto"/>
              <w:bottom w:val="single" w:sz="4" w:space="0" w:color="auto"/>
              <w:right w:val="single" w:sz="4" w:space="0" w:color="auto"/>
            </w:tcBorders>
            <w:vAlign w:val="bottom"/>
          </w:tcPr>
          <w:p w14:paraId="620A1B3B" w14:textId="0F6576BC" w:rsidR="00BD6263" w:rsidRPr="006B06B9" w:rsidRDefault="00BD6263" w:rsidP="006B06B9">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 xml:space="preserve">3662 Kapitalne pomoći proračunskim korisnicima drugih proračuna </w:t>
            </w:r>
          </w:p>
        </w:tc>
        <w:tc>
          <w:tcPr>
            <w:tcW w:w="1496" w:type="dxa"/>
            <w:tcBorders>
              <w:top w:val="nil"/>
              <w:left w:val="nil"/>
              <w:bottom w:val="single" w:sz="4" w:space="0" w:color="auto"/>
              <w:right w:val="single" w:sz="4" w:space="0" w:color="auto"/>
            </w:tcBorders>
            <w:noWrap/>
            <w:vAlign w:val="bottom"/>
          </w:tcPr>
          <w:p w14:paraId="38C39C4C" w14:textId="13D2D042" w:rsidR="00BD6263" w:rsidRDefault="00B56CE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2.000,00</w:t>
            </w:r>
          </w:p>
        </w:tc>
        <w:tc>
          <w:tcPr>
            <w:tcW w:w="1506" w:type="dxa"/>
            <w:tcBorders>
              <w:top w:val="nil"/>
              <w:left w:val="nil"/>
              <w:bottom w:val="single" w:sz="4" w:space="0" w:color="auto"/>
              <w:right w:val="single" w:sz="4" w:space="0" w:color="auto"/>
            </w:tcBorders>
            <w:noWrap/>
            <w:vAlign w:val="bottom"/>
          </w:tcPr>
          <w:p w14:paraId="434FDEBC" w14:textId="77777777" w:rsidR="00BD6263" w:rsidRPr="006B06B9" w:rsidRDefault="00BD6263"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6A20A4F1" w14:textId="77777777" w:rsidR="00BD6263" w:rsidRPr="006B06B9" w:rsidRDefault="00BD6263"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016498CE" w14:textId="2F6B0EFB" w:rsidR="00BD6263" w:rsidRDefault="00B56CE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w:t>
            </w:r>
            <w:r w:rsidR="00377D53">
              <w:rPr>
                <w:rFonts w:ascii="Arial" w:eastAsia="Times New Roman" w:hAnsi="Arial" w:cs="Arial"/>
                <w:sz w:val="20"/>
                <w:szCs w:val="20"/>
                <w:lang w:eastAsia="hr-HR"/>
              </w:rPr>
              <w:t>,00</w:t>
            </w:r>
          </w:p>
        </w:tc>
        <w:tc>
          <w:tcPr>
            <w:tcW w:w="1117" w:type="dxa"/>
            <w:tcBorders>
              <w:top w:val="nil"/>
              <w:left w:val="nil"/>
              <w:bottom w:val="single" w:sz="4" w:space="0" w:color="auto"/>
              <w:right w:val="single" w:sz="4" w:space="0" w:color="auto"/>
            </w:tcBorders>
            <w:noWrap/>
            <w:vAlign w:val="bottom"/>
          </w:tcPr>
          <w:p w14:paraId="0B46D5DB" w14:textId="2D157785" w:rsidR="00BD6263" w:rsidRDefault="00B56CE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3786DCD2" w14:textId="59F18646" w:rsidR="00BD6263" w:rsidRDefault="005924C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7ECC2DF4" w14:textId="77777777" w:rsidTr="006C671D">
        <w:trPr>
          <w:trHeight w:val="519"/>
        </w:trPr>
        <w:tc>
          <w:tcPr>
            <w:tcW w:w="3367" w:type="dxa"/>
            <w:tcBorders>
              <w:top w:val="single" w:sz="4" w:space="0" w:color="auto"/>
              <w:left w:val="single" w:sz="4" w:space="0" w:color="auto"/>
              <w:bottom w:val="single" w:sz="4" w:space="0" w:color="auto"/>
              <w:right w:val="single" w:sz="4" w:space="0" w:color="auto"/>
            </w:tcBorders>
            <w:vAlign w:val="bottom"/>
            <w:hideMark/>
          </w:tcPr>
          <w:p w14:paraId="2D60DE18" w14:textId="77777777" w:rsidR="007242BD" w:rsidRPr="006B06B9" w:rsidRDefault="007242BD"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37 Naknade građanima i kućanstvima na temelju osiguranja i druge naknade</w:t>
            </w:r>
          </w:p>
        </w:tc>
        <w:tc>
          <w:tcPr>
            <w:tcW w:w="1496" w:type="dxa"/>
            <w:tcBorders>
              <w:top w:val="nil"/>
              <w:left w:val="nil"/>
              <w:bottom w:val="single" w:sz="4" w:space="0" w:color="auto"/>
              <w:right w:val="single" w:sz="4" w:space="0" w:color="auto"/>
            </w:tcBorders>
            <w:noWrap/>
            <w:vAlign w:val="bottom"/>
          </w:tcPr>
          <w:p w14:paraId="7834F830" w14:textId="13A614AE" w:rsidR="007242BD" w:rsidRPr="006B06B9" w:rsidRDefault="00B56CE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611.731,88</w:t>
            </w:r>
          </w:p>
        </w:tc>
        <w:tc>
          <w:tcPr>
            <w:tcW w:w="1506" w:type="dxa"/>
            <w:tcBorders>
              <w:top w:val="nil"/>
              <w:left w:val="nil"/>
              <w:bottom w:val="single" w:sz="4" w:space="0" w:color="auto"/>
              <w:right w:val="single" w:sz="4" w:space="0" w:color="auto"/>
            </w:tcBorders>
            <w:noWrap/>
            <w:vAlign w:val="bottom"/>
          </w:tcPr>
          <w:p w14:paraId="23222F7E" w14:textId="17EF81A4" w:rsidR="007242BD" w:rsidRPr="006B06B9" w:rsidRDefault="00B56CE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877.000,00</w:t>
            </w:r>
          </w:p>
        </w:tc>
        <w:tc>
          <w:tcPr>
            <w:tcW w:w="1496" w:type="dxa"/>
            <w:tcBorders>
              <w:top w:val="single" w:sz="4" w:space="0" w:color="auto"/>
              <w:left w:val="nil"/>
              <w:bottom w:val="single" w:sz="4" w:space="0" w:color="auto"/>
              <w:right w:val="single" w:sz="4" w:space="0" w:color="auto"/>
            </w:tcBorders>
            <w:vAlign w:val="bottom"/>
          </w:tcPr>
          <w:p w14:paraId="463D0FD5" w14:textId="60A53D10" w:rsidR="007242BD" w:rsidRPr="006B06B9" w:rsidRDefault="00B56CE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947.324,00</w:t>
            </w:r>
          </w:p>
        </w:tc>
        <w:tc>
          <w:tcPr>
            <w:tcW w:w="1600" w:type="dxa"/>
            <w:tcBorders>
              <w:top w:val="nil"/>
              <w:left w:val="single" w:sz="4" w:space="0" w:color="auto"/>
              <w:bottom w:val="single" w:sz="4" w:space="0" w:color="auto"/>
              <w:right w:val="single" w:sz="4" w:space="0" w:color="auto"/>
            </w:tcBorders>
            <w:noWrap/>
            <w:vAlign w:val="bottom"/>
          </w:tcPr>
          <w:p w14:paraId="7184B788" w14:textId="6DEDD761" w:rsidR="007242BD" w:rsidRPr="006B06B9" w:rsidRDefault="00B56CE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786.951,35</w:t>
            </w:r>
          </w:p>
        </w:tc>
        <w:tc>
          <w:tcPr>
            <w:tcW w:w="1117" w:type="dxa"/>
            <w:tcBorders>
              <w:top w:val="nil"/>
              <w:left w:val="nil"/>
              <w:bottom w:val="single" w:sz="4" w:space="0" w:color="auto"/>
              <w:right w:val="single" w:sz="4" w:space="0" w:color="auto"/>
            </w:tcBorders>
            <w:noWrap/>
            <w:vAlign w:val="bottom"/>
          </w:tcPr>
          <w:p w14:paraId="0B81D68B" w14:textId="063391C2" w:rsidR="007242BD" w:rsidRPr="006B06B9" w:rsidRDefault="00B56CE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128,64</w:t>
            </w:r>
            <w:r w:rsidR="00377D53">
              <w:rPr>
                <w:rFonts w:ascii="Arial" w:eastAsia="Times New Roman" w:hAnsi="Arial" w:cs="Arial"/>
                <w:b/>
                <w:bCs/>
                <w:sz w:val="20"/>
                <w:szCs w:val="20"/>
                <w:lang w:eastAsia="hr-HR"/>
              </w:rPr>
              <w:t>%</w:t>
            </w:r>
          </w:p>
        </w:tc>
        <w:tc>
          <w:tcPr>
            <w:tcW w:w="1006" w:type="dxa"/>
            <w:tcBorders>
              <w:top w:val="nil"/>
              <w:left w:val="nil"/>
              <w:bottom w:val="single" w:sz="4" w:space="0" w:color="auto"/>
              <w:right w:val="single" w:sz="4" w:space="0" w:color="auto"/>
            </w:tcBorders>
            <w:noWrap/>
            <w:vAlign w:val="bottom"/>
          </w:tcPr>
          <w:p w14:paraId="0F1048F9" w14:textId="20E6B106" w:rsidR="007242BD" w:rsidRPr="006B06B9" w:rsidRDefault="00B56CE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83,07</w:t>
            </w:r>
            <w:r w:rsidR="00377D53">
              <w:rPr>
                <w:rFonts w:ascii="Arial" w:eastAsia="Times New Roman" w:hAnsi="Arial" w:cs="Arial"/>
                <w:b/>
                <w:bCs/>
                <w:sz w:val="20"/>
                <w:szCs w:val="20"/>
                <w:lang w:eastAsia="hr-HR"/>
              </w:rPr>
              <w:t>%</w:t>
            </w:r>
          </w:p>
        </w:tc>
      </w:tr>
      <w:tr w:rsidR="00EB4F8D" w:rsidRPr="006B06B9" w14:paraId="3A6CE036" w14:textId="77777777" w:rsidTr="006C671D">
        <w:trPr>
          <w:trHeight w:val="549"/>
        </w:trPr>
        <w:tc>
          <w:tcPr>
            <w:tcW w:w="3367" w:type="dxa"/>
            <w:tcBorders>
              <w:top w:val="single" w:sz="4" w:space="0" w:color="auto"/>
              <w:left w:val="single" w:sz="4" w:space="0" w:color="auto"/>
              <w:bottom w:val="single" w:sz="4" w:space="0" w:color="auto"/>
              <w:right w:val="single" w:sz="4" w:space="0" w:color="auto"/>
            </w:tcBorders>
            <w:vAlign w:val="bottom"/>
            <w:hideMark/>
          </w:tcPr>
          <w:p w14:paraId="7A0BDE00"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372 Ostale naknade građanima i kućanstvima iz proračuna</w:t>
            </w:r>
          </w:p>
        </w:tc>
        <w:tc>
          <w:tcPr>
            <w:tcW w:w="1496" w:type="dxa"/>
            <w:tcBorders>
              <w:top w:val="nil"/>
              <w:left w:val="nil"/>
              <w:bottom w:val="single" w:sz="4" w:space="0" w:color="auto"/>
              <w:right w:val="single" w:sz="4" w:space="0" w:color="auto"/>
            </w:tcBorders>
            <w:noWrap/>
            <w:vAlign w:val="bottom"/>
          </w:tcPr>
          <w:p w14:paraId="3450A9A6" w14:textId="16DF8DC2" w:rsidR="007242BD" w:rsidRPr="006B06B9" w:rsidRDefault="00B56CE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611.731,88</w:t>
            </w:r>
          </w:p>
        </w:tc>
        <w:tc>
          <w:tcPr>
            <w:tcW w:w="1506" w:type="dxa"/>
            <w:tcBorders>
              <w:top w:val="nil"/>
              <w:left w:val="nil"/>
              <w:bottom w:val="single" w:sz="4" w:space="0" w:color="auto"/>
              <w:right w:val="single" w:sz="4" w:space="0" w:color="auto"/>
            </w:tcBorders>
            <w:noWrap/>
            <w:vAlign w:val="bottom"/>
          </w:tcPr>
          <w:p w14:paraId="158924B1" w14:textId="11BE402F"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07DA4DB4"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4951568B" w14:textId="76E456DA" w:rsidR="007242BD" w:rsidRPr="006B06B9" w:rsidRDefault="00B56CE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786.951,35</w:t>
            </w:r>
          </w:p>
        </w:tc>
        <w:tc>
          <w:tcPr>
            <w:tcW w:w="1117" w:type="dxa"/>
            <w:tcBorders>
              <w:top w:val="nil"/>
              <w:left w:val="nil"/>
              <w:bottom w:val="single" w:sz="4" w:space="0" w:color="auto"/>
              <w:right w:val="single" w:sz="4" w:space="0" w:color="auto"/>
            </w:tcBorders>
            <w:noWrap/>
            <w:vAlign w:val="bottom"/>
          </w:tcPr>
          <w:p w14:paraId="5071EDD5" w14:textId="1C3D7221" w:rsidR="007242BD" w:rsidRPr="006B06B9" w:rsidRDefault="00B56CE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128,64</w:t>
            </w:r>
            <w:r w:rsidR="009C39C9">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3DBDEE54" w14:textId="35F2C5C0" w:rsidR="007242BD" w:rsidRPr="006B06B9" w:rsidRDefault="005924C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7F5CEBBF"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7DE24D55"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3721 Naknade građanima i kućanstvima u novcu</w:t>
            </w:r>
          </w:p>
        </w:tc>
        <w:tc>
          <w:tcPr>
            <w:tcW w:w="1496" w:type="dxa"/>
            <w:tcBorders>
              <w:top w:val="nil"/>
              <w:left w:val="nil"/>
              <w:bottom w:val="single" w:sz="4" w:space="0" w:color="auto"/>
              <w:right w:val="single" w:sz="4" w:space="0" w:color="auto"/>
            </w:tcBorders>
            <w:noWrap/>
            <w:vAlign w:val="bottom"/>
          </w:tcPr>
          <w:p w14:paraId="6DBDAE49" w14:textId="7F67A396" w:rsidR="007242BD" w:rsidRPr="006B06B9" w:rsidRDefault="00B56CE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603.469,38</w:t>
            </w:r>
          </w:p>
        </w:tc>
        <w:tc>
          <w:tcPr>
            <w:tcW w:w="1506" w:type="dxa"/>
            <w:tcBorders>
              <w:top w:val="nil"/>
              <w:left w:val="nil"/>
              <w:bottom w:val="single" w:sz="4" w:space="0" w:color="auto"/>
              <w:right w:val="single" w:sz="4" w:space="0" w:color="auto"/>
            </w:tcBorders>
            <w:noWrap/>
            <w:vAlign w:val="bottom"/>
          </w:tcPr>
          <w:p w14:paraId="20D422D4" w14:textId="003ABCF9"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26225305"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0548DFAF" w14:textId="05D20242" w:rsidR="007242BD" w:rsidRPr="006B06B9" w:rsidRDefault="00B56CE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778.669,44</w:t>
            </w:r>
          </w:p>
        </w:tc>
        <w:tc>
          <w:tcPr>
            <w:tcW w:w="1117" w:type="dxa"/>
            <w:tcBorders>
              <w:top w:val="nil"/>
              <w:left w:val="nil"/>
              <w:bottom w:val="single" w:sz="4" w:space="0" w:color="auto"/>
              <w:right w:val="single" w:sz="4" w:space="0" w:color="auto"/>
            </w:tcBorders>
            <w:noWrap/>
            <w:vAlign w:val="bottom"/>
          </w:tcPr>
          <w:p w14:paraId="57B9E6AF" w14:textId="0EF470AF" w:rsidR="007242BD" w:rsidRPr="006B06B9" w:rsidRDefault="00B56CE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129,03</w:t>
            </w:r>
            <w:r w:rsidR="009C39C9">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11D3A490" w14:textId="7A08D1A9" w:rsidR="007242BD" w:rsidRPr="006B06B9" w:rsidRDefault="005924C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6FD2AE80"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2ACCEA83"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3722 Naknade građanima i kućanstvima u naravi</w:t>
            </w:r>
          </w:p>
        </w:tc>
        <w:tc>
          <w:tcPr>
            <w:tcW w:w="1496" w:type="dxa"/>
            <w:tcBorders>
              <w:top w:val="nil"/>
              <w:left w:val="nil"/>
              <w:bottom w:val="single" w:sz="4" w:space="0" w:color="auto"/>
              <w:right w:val="single" w:sz="4" w:space="0" w:color="auto"/>
            </w:tcBorders>
            <w:noWrap/>
            <w:vAlign w:val="bottom"/>
          </w:tcPr>
          <w:p w14:paraId="124D5B44" w14:textId="47615DFA" w:rsidR="007242BD" w:rsidRPr="006B06B9" w:rsidRDefault="00B56CE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8.262,50</w:t>
            </w:r>
          </w:p>
        </w:tc>
        <w:tc>
          <w:tcPr>
            <w:tcW w:w="1506" w:type="dxa"/>
            <w:tcBorders>
              <w:top w:val="nil"/>
              <w:left w:val="nil"/>
              <w:bottom w:val="single" w:sz="4" w:space="0" w:color="auto"/>
              <w:right w:val="single" w:sz="4" w:space="0" w:color="auto"/>
            </w:tcBorders>
            <w:noWrap/>
            <w:vAlign w:val="bottom"/>
          </w:tcPr>
          <w:p w14:paraId="3CB2F19B" w14:textId="5744D7CD"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23FC18C6"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37EBA019" w14:textId="1F8C6DE7" w:rsidR="007242BD" w:rsidRPr="006B06B9" w:rsidRDefault="00B56CE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8.281,91</w:t>
            </w:r>
          </w:p>
        </w:tc>
        <w:tc>
          <w:tcPr>
            <w:tcW w:w="1117" w:type="dxa"/>
            <w:tcBorders>
              <w:top w:val="nil"/>
              <w:left w:val="nil"/>
              <w:bottom w:val="single" w:sz="4" w:space="0" w:color="auto"/>
              <w:right w:val="single" w:sz="4" w:space="0" w:color="auto"/>
            </w:tcBorders>
            <w:noWrap/>
            <w:vAlign w:val="bottom"/>
          </w:tcPr>
          <w:p w14:paraId="6569C249" w14:textId="474EADD8" w:rsidR="007242BD" w:rsidRPr="006B06B9" w:rsidRDefault="00B56CE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100,23</w:t>
            </w:r>
            <w:r w:rsidR="005924CE">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254F573E" w14:textId="66D253A2" w:rsidR="007242BD" w:rsidRPr="006B06B9" w:rsidRDefault="005924C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6B02C944" w14:textId="77777777" w:rsidTr="00B56CE3">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007D618F" w14:textId="0A58DE38" w:rsidR="007242BD" w:rsidRPr="006B06B9" w:rsidRDefault="007242BD"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 xml:space="preserve">38 </w:t>
            </w:r>
            <w:r w:rsidR="00B56CE3">
              <w:rPr>
                <w:rFonts w:ascii="Arial" w:eastAsia="Times New Roman" w:hAnsi="Arial" w:cs="Arial"/>
                <w:b/>
                <w:bCs/>
                <w:sz w:val="20"/>
                <w:szCs w:val="20"/>
                <w:lang w:eastAsia="hr-HR"/>
              </w:rPr>
              <w:t>Rashodi za donacije, kazne, naknade šteta i kapitalne pomoći</w:t>
            </w:r>
          </w:p>
        </w:tc>
        <w:tc>
          <w:tcPr>
            <w:tcW w:w="1496" w:type="dxa"/>
            <w:tcBorders>
              <w:top w:val="nil"/>
              <w:left w:val="nil"/>
              <w:bottom w:val="single" w:sz="4" w:space="0" w:color="auto"/>
              <w:right w:val="single" w:sz="4" w:space="0" w:color="auto"/>
            </w:tcBorders>
            <w:noWrap/>
            <w:vAlign w:val="bottom"/>
          </w:tcPr>
          <w:p w14:paraId="65146491" w14:textId="3F5166CA" w:rsidR="007242BD" w:rsidRPr="006B06B9" w:rsidRDefault="00B56CE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2.005.511,80</w:t>
            </w:r>
          </w:p>
        </w:tc>
        <w:tc>
          <w:tcPr>
            <w:tcW w:w="1506" w:type="dxa"/>
            <w:tcBorders>
              <w:top w:val="nil"/>
              <w:left w:val="nil"/>
              <w:bottom w:val="single" w:sz="4" w:space="0" w:color="auto"/>
              <w:right w:val="single" w:sz="4" w:space="0" w:color="auto"/>
            </w:tcBorders>
            <w:noWrap/>
            <w:vAlign w:val="bottom"/>
          </w:tcPr>
          <w:p w14:paraId="5A6302AA" w14:textId="4F9308B7" w:rsidR="007242BD" w:rsidRPr="006B06B9" w:rsidRDefault="00B56CE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1.624.122,69</w:t>
            </w:r>
          </w:p>
        </w:tc>
        <w:tc>
          <w:tcPr>
            <w:tcW w:w="1496" w:type="dxa"/>
            <w:tcBorders>
              <w:top w:val="single" w:sz="4" w:space="0" w:color="auto"/>
              <w:left w:val="nil"/>
              <w:bottom w:val="single" w:sz="4" w:space="0" w:color="auto"/>
              <w:right w:val="single" w:sz="4" w:space="0" w:color="auto"/>
            </w:tcBorders>
            <w:vAlign w:val="bottom"/>
          </w:tcPr>
          <w:p w14:paraId="0B8693D8" w14:textId="3D3B3C43" w:rsidR="007242BD" w:rsidRPr="006B06B9" w:rsidRDefault="00B56CE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1.623.622,69</w:t>
            </w:r>
          </w:p>
        </w:tc>
        <w:tc>
          <w:tcPr>
            <w:tcW w:w="1600" w:type="dxa"/>
            <w:tcBorders>
              <w:top w:val="nil"/>
              <w:left w:val="single" w:sz="4" w:space="0" w:color="auto"/>
              <w:bottom w:val="single" w:sz="4" w:space="0" w:color="auto"/>
              <w:right w:val="single" w:sz="4" w:space="0" w:color="auto"/>
            </w:tcBorders>
            <w:noWrap/>
            <w:vAlign w:val="bottom"/>
          </w:tcPr>
          <w:p w14:paraId="236A1FF5" w14:textId="4EEBEE94" w:rsidR="007242BD" w:rsidRPr="006B06B9" w:rsidRDefault="00B56CE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1.474.247,13</w:t>
            </w:r>
          </w:p>
        </w:tc>
        <w:tc>
          <w:tcPr>
            <w:tcW w:w="1117" w:type="dxa"/>
            <w:tcBorders>
              <w:top w:val="nil"/>
              <w:left w:val="nil"/>
              <w:bottom w:val="single" w:sz="4" w:space="0" w:color="auto"/>
              <w:right w:val="single" w:sz="4" w:space="0" w:color="auto"/>
            </w:tcBorders>
            <w:noWrap/>
            <w:vAlign w:val="bottom"/>
          </w:tcPr>
          <w:p w14:paraId="3958B892" w14:textId="5227650A" w:rsidR="007242BD" w:rsidRPr="006B06B9" w:rsidRDefault="00B56CE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73,51</w:t>
            </w:r>
            <w:r w:rsidR="009C39C9">
              <w:rPr>
                <w:rFonts w:ascii="Arial" w:eastAsia="Times New Roman" w:hAnsi="Arial" w:cs="Arial"/>
                <w:b/>
                <w:bCs/>
                <w:sz w:val="20"/>
                <w:szCs w:val="20"/>
                <w:lang w:eastAsia="hr-HR"/>
              </w:rPr>
              <w:t>%</w:t>
            </w:r>
          </w:p>
        </w:tc>
        <w:tc>
          <w:tcPr>
            <w:tcW w:w="1006" w:type="dxa"/>
            <w:tcBorders>
              <w:top w:val="nil"/>
              <w:left w:val="nil"/>
              <w:bottom w:val="single" w:sz="4" w:space="0" w:color="auto"/>
              <w:right w:val="single" w:sz="4" w:space="0" w:color="auto"/>
            </w:tcBorders>
            <w:noWrap/>
            <w:vAlign w:val="bottom"/>
          </w:tcPr>
          <w:p w14:paraId="1BAD8638" w14:textId="720CAB75" w:rsidR="007242BD" w:rsidRPr="006B06B9" w:rsidRDefault="00B56CE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90,80</w:t>
            </w:r>
            <w:r w:rsidR="009C39C9">
              <w:rPr>
                <w:rFonts w:ascii="Arial" w:eastAsia="Times New Roman" w:hAnsi="Arial" w:cs="Arial"/>
                <w:b/>
                <w:bCs/>
                <w:sz w:val="20"/>
                <w:szCs w:val="20"/>
                <w:lang w:eastAsia="hr-HR"/>
              </w:rPr>
              <w:t>%</w:t>
            </w:r>
          </w:p>
        </w:tc>
      </w:tr>
      <w:tr w:rsidR="00EB4F8D" w:rsidRPr="006B06B9" w14:paraId="04074819"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64F01503"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381 Tekuće donacije</w:t>
            </w:r>
          </w:p>
        </w:tc>
        <w:tc>
          <w:tcPr>
            <w:tcW w:w="1496" w:type="dxa"/>
            <w:tcBorders>
              <w:top w:val="nil"/>
              <w:left w:val="nil"/>
              <w:bottom w:val="single" w:sz="4" w:space="0" w:color="auto"/>
              <w:right w:val="single" w:sz="4" w:space="0" w:color="auto"/>
            </w:tcBorders>
            <w:noWrap/>
            <w:vAlign w:val="bottom"/>
          </w:tcPr>
          <w:p w14:paraId="6962EFBA" w14:textId="600EEC54" w:rsidR="007242BD" w:rsidRPr="006B06B9" w:rsidRDefault="00B56CE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1.142.670,06</w:t>
            </w:r>
          </w:p>
        </w:tc>
        <w:tc>
          <w:tcPr>
            <w:tcW w:w="1506" w:type="dxa"/>
            <w:tcBorders>
              <w:top w:val="nil"/>
              <w:left w:val="nil"/>
              <w:bottom w:val="single" w:sz="4" w:space="0" w:color="auto"/>
              <w:right w:val="single" w:sz="4" w:space="0" w:color="auto"/>
            </w:tcBorders>
            <w:noWrap/>
            <w:vAlign w:val="bottom"/>
          </w:tcPr>
          <w:p w14:paraId="13939208" w14:textId="70923574"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3E69578B"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1F56001F" w14:textId="2D7E1157" w:rsidR="007242BD" w:rsidRPr="006B06B9" w:rsidRDefault="00B56CE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1.263.966,22</w:t>
            </w:r>
          </w:p>
        </w:tc>
        <w:tc>
          <w:tcPr>
            <w:tcW w:w="1117" w:type="dxa"/>
            <w:tcBorders>
              <w:top w:val="nil"/>
              <w:left w:val="nil"/>
              <w:bottom w:val="single" w:sz="4" w:space="0" w:color="auto"/>
              <w:right w:val="single" w:sz="4" w:space="0" w:color="auto"/>
            </w:tcBorders>
            <w:noWrap/>
            <w:vAlign w:val="bottom"/>
          </w:tcPr>
          <w:p w14:paraId="414F561D" w14:textId="6ADC33EE" w:rsidR="007242BD" w:rsidRPr="006B06B9" w:rsidRDefault="00B56CE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110,62</w:t>
            </w:r>
            <w:r w:rsidR="009C39C9">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1BA780DC" w14:textId="19E0E51F" w:rsidR="007242BD" w:rsidRPr="006B06B9" w:rsidRDefault="005924C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3C16B889"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2665A832"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3811 Tekuće donacije u novcu</w:t>
            </w:r>
          </w:p>
        </w:tc>
        <w:tc>
          <w:tcPr>
            <w:tcW w:w="1496" w:type="dxa"/>
            <w:tcBorders>
              <w:top w:val="nil"/>
              <w:left w:val="nil"/>
              <w:bottom w:val="single" w:sz="4" w:space="0" w:color="auto"/>
              <w:right w:val="single" w:sz="4" w:space="0" w:color="auto"/>
            </w:tcBorders>
            <w:noWrap/>
            <w:vAlign w:val="bottom"/>
          </w:tcPr>
          <w:p w14:paraId="24F25A16" w14:textId="14CC1739" w:rsidR="007242BD" w:rsidRPr="006B06B9" w:rsidRDefault="00B56CE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1.142.670,06</w:t>
            </w:r>
          </w:p>
        </w:tc>
        <w:tc>
          <w:tcPr>
            <w:tcW w:w="1506" w:type="dxa"/>
            <w:tcBorders>
              <w:top w:val="nil"/>
              <w:left w:val="nil"/>
              <w:bottom w:val="single" w:sz="4" w:space="0" w:color="auto"/>
              <w:right w:val="single" w:sz="4" w:space="0" w:color="auto"/>
            </w:tcBorders>
            <w:noWrap/>
            <w:vAlign w:val="bottom"/>
          </w:tcPr>
          <w:p w14:paraId="0076C242" w14:textId="7C4B654F"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269888B7"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6706FD4B" w14:textId="2173BD11" w:rsidR="007242BD" w:rsidRPr="006B06B9" w:rsidRDefault="00B56CE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1.263.966,22</w:t>
            </w:r>
          </w:p>
        </w:tc>
        <w:tc>
          <w:tcPr>
            <w:tcW w:w="1117" w:type="dxa"/>
            <w:tcBorders>
              <w:top w:val="nil"/>
              <w:left w:val="nil"/>
              <w:bottom w:val="single" w:sz="4" w:space="0" w:color="auto"/>
              <w:right w:val="single" w:sz="4" w:space="0" w:color="auto"/>
            </w:tcBorders>
            <w:noWrap/>
            <w:vAlign w:val="bottom"/>
          </w:tcPr>
          <w:p w14:paraId="1230239B" w14:textId="53887BE6" w:rsidR="007242BD" w:rsidRPr="006B06B9" w:rsidRDefault="00B56CE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110,62</w:t>
            </w:r>
            <w:r w:rsidR="009C39C9">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5BD2ABD4" w14:textId="1E104507" w:rsidR="007242BD" w:rsidRPr="006B06B9" w:rsidRDefault="005924C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257D7D09"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2CE83783"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382 Kapitalne donacije</w:t>
            </w:r>
          </w:p>
        </w:tc>
        <w:tc>
          <w:tcPr>
            <w:tcW w:w="1496" w:type="dxa"/>
            <w:tcBorders>
              <w:top w:val="nil"/>
              <w:left w:val="nil"/>
              <w:bottom w:val="single" w:sz="4" w:space="0" w:color="auto"/>
              <w:right w:val="single" w:sz="4" w:space="0" w:color="auto"/>
            </w:tcBorders>
            <w:noWrap/>
            <w:vAlign w:val="bottom"/>
          </w:tcPr>
          <w:p w14:paraId="63A65ADA" w14:textId="0FC452A9" w:rsidR="007242BD" w:rsidRPr="006B06B9" w:rsidRDefault="00B56CE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243.377,95</w:t>
            </w:r>
          </w:p>
        </w:tc>
        <w:tc>
          <w:tcPr>
            <w:tcW w:w="1506" w:type="dxa"/>
            <w:tcBorders>
              <w:top w:val="nil"/>
              <w:left w:val="nil"/>
              <w:bottom w:val="single" w:sz="4" w:space="0" w:color="auto"/>
              <w:right w:val="single" w:sz="4" w:space="0" w:color="auto"/>
            </w:tcBorders>
            <w:noWrap/>
            <w:vAlign w:val="bottom"/>
          </w:tcPr>
          <w:p w14:paraId="7FF85B39" w14:textId="7C330DE0"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0B1FC42F"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75D08779" w14:textId="71F078ED" w:rsidR="007242BD" w:rsidRPr="006B06B9" w:rsidRDefault="00B56CE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199.218,94</w:t>
            </w:r>
          </w:p>
        </w:tc>
        <w:tc>
          <w:tcPr>
            <w:tcW w:w="1117" w:type="dxa"/>
            <w:tcBorders>
              <w:top w:val="nil"/>
              <w:left w:val="nil"/>
              <w:bottom w:val="single" w:sz="4" w:space="0" w:color="auto"/>
              <w:right w:val="single" w:sz="4" w:space="0" w:color="auto"/>
            </w:tcBorders>
            <w:noWrap/>
            <w:vAlign w:val="bottom"/>
          </w:tcPr>
          <w:p w14:paraId="5BEA3134" w14:textId="5E3FEC09" w:rsidR="007242BD" w:rsidRPr="006B06B9" w:rsidRDefault="00B56CE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81,86</w:t>
            </w:r>
            <w:r w:rsidR="005924CE">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426E88A8" w14:textId="24DA1F34" w:rsidR="007242BD" w:rsidRPr="006B06B9" w:rsidRDefault="005924C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3383C12B"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5A327A3D"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3821 Kapitalne donacije neprofitnim organizacijama</w:t>
            </w:r>
          </w:p>
        </w:tc>
        <w:tc>
          <w:tcPr>
            <w:tcW w:w="1496" w:type="dxa"/>
            <w:tcBorders>
              <w:top w:val="nil"/>
              <w:left w:val="nil"/>
              <w:bottom w:val="single" w:sz="4" w:space="0" w:color="auto"/>
              <w:right w:val="single" w:sz="4" w:space="0" w:color="auto"/>
            </w:tcBorders>
            <w:noWrap/>
            <w:vAlign w:val="bottom"/>
          </w:tcPr>
          <w:p w14:paraId="5D886A4C" w14:textId="7AAFB489" w:rsidR="007242BD" w:rsidRPr="006B06B9" w:rsidRDefault="003D4BD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243.377,95</w:t>
            </w:r>
          </w:p>
        </w:tc>
        <w:tc>
          <w:tcPr>
            <w:tcW w:w="1506" w:type="dxa"/>
            <w:tcBorders>
              <w:top w:val="nil"/>
              <w:left w:val="nil"/>
              <w:bottom w:val="single" w:sz="4" w:space="0" w:color="auto"/>
              <w:right w:val="single" w:sz="4" w:space="0" w:color="auto"/>
            </w:tcBorders>
            <w:noWrap/>
            <w:vAlign w:val="bottom"/>
          </w:tcPr>
          <w:p w14:paraId="5562D447" w14:textId="5AB9A7DB"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494C923C"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4B768C7F" w14:textId="67260E79" w:rsidR="007242BD" w:rsidRPr="006B06B9" w:rsidRDefault="003D4BD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195.860,47</w:t>
            </w:r>
          </w:p>
        </w:tc>
        <w:tc>
          <w:tcPr>
            <w:tcW w:w="1117" w:type="dxa"/>
            <w:tcBorders>
              <w:top w:val="nil"/>
              <w:left w:val="nil"/>
              <w:bottom w:val="single" w:sz="4" w:space="0" w:color="auto"/>
              <w:right w:val="single" w:sz="4" w:space="0" w:color="auto"/>
            </w:tcBorders>
            <w:noWrap/>
            <w:vAlign w:val="bottom"/>
          </w:tcPr>
          <w:p w14:paraId="1DF8C2C6" w14:textId="6823B26B" w:rsidR="007242BD" w:rsidRPr="006B06B9" w:rsidRDefault="003D4BD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80,48</w:t>
            </w:r>
            <w:r w:rsidR="009C39C9">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6B54E937" w14:textId="3B6F8C9C" w:rsidR="007242BD" w:rsidRPr="006B06B9" w:rsidRDefault="005924C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5924CE" w:rsidRPr="006B06B9" w14:paraId="6ECC0798"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tcPr>
          <w:p w14:paraId="1B1F3820" w14:textId="2F93B652" w:rsidR="005924CE" w:rsidRPr="006B06B9" w:rsidRDefault="005924CE" w:rsidP="006B06B9">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 xml:space="preserve">3822 Kapitalne donacije građanima i kućanstvima </w:t>
            </w:r>
          </w:p>
        </w:tc>
        <w:tc>
          <w:tcPr>
            <w:tcW w:w="1496" w:type="dxa"/>
            <w:tcBorders>
              <w:top w:val="nil"/>
              <w:left w:val="nil"/>
              <w:bottom w:val="single" w:sz="4" w:space="0" w:color="auto"/>
              <w:right w:val="single" w:sz="4" w:space="0" w:color="auto"/>
            </w:tcBorders>
            <w:noWrap/>
            <w:vAlign w:val="bottom"/>
          </w:tcPr>
          <w:p w14:paraId="17B8E591" w14:textId="3B6CF5D0" w:rsidR="005924CE" w:rsidRPr="006B06B9" w:rsidRDefault="003D4BD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506" w:type="dxa"/>
            <w:tcBorders>
              <w:top w:val="nil"/>
              <w:left w:val="nil"/>
              <w:bottom w:val="single" w:sz="4" w:space="0" w:color="auto"/>
              <w:right w:val="single" w:sz="4" w:space="0" w:color="auto"/>
            </w:tcBorders>
            <w:noWrap/>
            <w:vAlign w:val="bottom"/>
          </w:tcPr>
          <w:p w14:paraId="2B4B9929" w14:textId="77777777" w:rsidR="005924CE" w:rsidRPr="006B06B9" w:rsidRDefault="005924CE"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0E3F7730" w14:textId="77777777" w:rsidR="005924CE" w:rsidRPr="006B06B9" w:rsidRDefault="005924CE"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33CC363E" w14:textId="48F9D62E" w:rsidR="005924CE" w:rsidRPr="006B06B9" w:rsidRDefault="003D4BD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3.358,47</w:t>
            </w:r>
          </w:p>
        </w:tc>
        <w:tc>
          <w:tcPr>
            <w:tcW w:w="1117" w:type="dxa"/>
            <w:tcBorders>
              <w:top w:val="nil"/>
              <w:left w:val="nil"/>
              <w:bottom w:val="single" w:sz="4" w:space="0" w:color="auto"/>
              <w:right w:val="single" w:sz="4" w:space="0" w:color="auto"/>
            </w:tcBorders>
            <w:noWrap/>
            <w:vAlign w:val="bottom"/>
          </w:tcPr>
          <w:p w14:paraId="3C49BF24" w14:textId="28195D74" w:rsidR="005924CE" w:rsidRPr="006B06B9" w:rsidRDefault="005924C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7436A104" w14:textId="7023007B" w:rsidR="005924CE" w:rsidRPr="006B06B9" w:rsidRDefault="005924C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2ABAAF9A"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60964E89"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lastRenderedPageBreak/>
              <w:t>383 Kazne, penali i naknade štete</w:t>
            </w:r>
          </w:p>
        </w:tc>
        <w:tc>
          <w:tcPr>
            <w:tcW w:w="1496" w:type="dxa"/>
            <w:tcBorders>
              <w:top w:val="nil"/>
              <w:left w:val="nil"/>
              <w:bottom w:val="single" w:sz="4" w:space="0" w:color="auto"/>
              <w:right w:val="single" w:sz="4" w:space="0" w:color="auto"/>
            </w:tcBorders>
            <w:noWrap/>
            <w:vAlign w:val="bottom"/>
          </w:tcPr>
          <w:p w14:paraId="014FB54A" w14:textId="2E8B8922" w:rsidR="007242BD" w:rsidRPr="006B06B9" w:rsidRDefault="003D4BD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569.463,79</w:t>
            </w:r>
          </w:p>
        </w:tc>
        <w:tc>
          <w:tcPr>
            <w:tcW w:w="1506" w:type="dxa"/>
            <w:tcBorders>
              <w:top w:val="nil"/>
              <w:left w:val="nil"/>
              <w:bottom w:val="single" w:sz="4" w:space="0" w:color="auto"/>
              <w:right w:val="single" w:sz="4" w:space="0" w:color="auto"/>
            </w:tcBorders>
            <w:noWrap/>
            <w:vAlign w:val="bottom"/>
          </w:tcPr>
          <w:p w14:paraId="69EA915A" w14:textId="2155234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31406EE6"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66D70FBF" w14:textId="6EBD831B" w:rsidR="007242BD" w:rsidRPr="006B06B9" w:rsidRDefault="003D4BD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11.061,97</w:t>
            </w:r>
          </w:p>
        </w:tc>
        <w:tc>
          <w:tcPr>
            <w:tcW w:w="1117" w:type="dxa"/>
            <w:tcBorders>
              <w:top w:val="nil"/>
              <w:left w:val="nil"/>
              <w:bottom w:val="single" w:sz="4" w:space="0" w:color="auto"/>
              <w:right w:val="single" w:sz="4" w:space="0" w:color="auto"/>
            </w:tcBorders>
            <w:noWrap/>
            <w:vAlign w:val="bottom"/>
          </w:tcPr>
          <w:p w14:paraId="638406D3" w14:textId="2B418419" w:rsidR="007242BD" w:rsidRPr="006B06B9" w:rsidRDefault="003D4BD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1,94</w:t>
            </w:r>
            <w:r w:rsidR="005924CE">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5B06B0D5" w14:textId="132896D3" w:rsidR="007242BD" w:rsidRPr="006B06B9" w:rsidRDefault="005924C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0F95A9C5"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56EF60B7"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3831 Naknade šteta pravnim i fizičkim osobama</w:t>
            </w:r>
          </w:p>
        </w:tc>
        <w:tc>
          <w:tcPr>
            <w:tcW w:w="1496" w:type="dxa"/>
            <w:tcBorders>
              <w:top w:val="nil"/>
              <w:left w:val="nil"/>
              <w:bottom w:val="single" w:sz="4" w:space="0" w:color="auto"/>
              <w:right w:val="single" w:sz="4" w:space="0" w:color="auto"/>
            </w:tcBorders>
            <w:noWrap/>
            <w:vAlign w:val="bottom"/>
          </w:tcPr>
          <w:p w14:paraId="385E280B" w14:textId="13FF5276" w:rsidR="007242BD" w:rsidRPr="006B06B9" w:rsidRDefault="003D4BD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569.463,79</w:t>
            </w:r>
          </w:p>
        </w:tc>
        <w:tc>
          <w:tcPr>
            <w:tcW w:w="1506" w:type="dxa"/>
            <w:tcBorders>
              <w:top w:val="nil"/>
              <w:left w:val="nil"/>
              <w:bottom w:val="single" w:sz="4" w:space="0" w:color="auto"/>
              <w:right w:val="single" w:sz="4" w:space="0" w:color="auto"/>
            </w:tcBorders>
            <w:noWrap/>
            <w:vAlign w:val="bottom"/>
          </w:tcPr>
          <w:p w14:paraId="0F33067D" w14:textId="26452FAA"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4ED9EDFA"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338CB0BE" w14:textId="14495AC1" w:rsidR="007242BD" w:rsidRPr="006B06B9" w:rsidRDefault="003D4BD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11.061,97</w:t>
            </w:r>
          </w:p>
        </w:tc>
        <w:tc>
          <w:tcPr>
            <w:tcW w:w="1117" w:type="dxa"/>
            <w:tcBorders>
              <w:top w:val="nil"/>
              <w:left w:val="nil"/>
              <w:bottom w:val="single" w:sz="4" w:space="0" w:color="auto"/>
              <w:right w:val="single" w:sz="4" w:space="0" w:color="auto"/>
            </w:tcBorders>
            <w:noWrap/>
            <w:vAlign w:val="bottom"/>
          </w:tcPr>
          <w:p w14:paraId="37653FDE" w14:textId="5E8772A5" w:rsidR="007242BD" w:rsidRPr="006B06B9" w:rsidRDefault="003D4BD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1,94</w:t>
            </w:r>
            <w:r w:rsidR="005924CE">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424FEF21" w14:textId="2A9146B2" w:rsidR="007242BD" w:rsidRPr="006B06B9" w:rsidRDefault="005924CE"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9C39C9" w:rsidRPr="006B06B9" w14:paraId="78497935"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tcPr>
          <w:p w14:paraId="133DC9C5" w14:textId="048489FA" w:rsidR="009C39C9" w:rsidRPr="006B06B9" w:rsidRDefault="009C39C9" w:rsidP="006B06B9">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 xml:space="preserve">386 Kapitalne pomoći </w:t>
            </w:r>
          </w:p>
        </w:tc>
        <w:tc>
          <w:tcPr>
            <w:tcW w:w="1496" w:type="dxa"/>
            <w:tcBorders>
              <w:top w:val="nil"/>
              <w:left w:val="nil"/>
              <w:bottom w:val="single" w:sz="4" w:space="0" w:color="auto"/>
              <w:right w:val="single" w:sz="4" w:space="0" w:color="auto"/>
            </w:tcBorders>
            <w:noWrap/>
            <w:vAlign w:val="bottom"/>
          </w:tcPr>
          <w:p w14:paraId="4472563E" w14:textId="5BD341C5" w:rsidR="009C39C9" w:rsidRDefault="003D4BD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50.000,00</w:t>
            </w:r>
          </w:p>
        </w:tc>
        <w:tc>
          <w:tcPr>
            <w:tcW w:w="1506" w:type="dxa"/>
            <w:tcBorders>
              <w:top w:val="nil"/>
              <w:left w:val="nil"/>
              <w:bottom w:val="single" w:sz="4" w:space="0" w:color="auto"/>
              <w:right w:val="single" w:sz="4" w:space="0" w:color="auto"/>
            </w:tcBorders>
            <w:noWrap/>
            <w:vAlign w:val="bottom"/>
          </w:tcPr>
          <w:p w14:paraId="716373E5" w14:textId="77777777" w:rsidR="009C39C9" w:rsidRPr="006B06B9" w:rsidRDefault="009C39C9"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0F61FD33" w14:textId="77777777" w:rsidR="009C39C9" w:rsidRPr="006B06B9" w:rsidRDefault="009C39C9"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3D3B3B4F" w14:textId="6849F6CA" w:rsidR="009C39C9" w:rsidRDefault="003D4BD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117" w:type="dxa"/>
            <w:tcBorders>
              <w:top w:val="nil"/>
              <w:left w:val="nil"/>
              <w:bottom w:val="single" w:sz="4" w:space="0" w:color="auto"/>
              <w:right w:val="single" w:sz="4" w:space="0" w:color="auto"/>
            </w:tcBorders>
            <w:noWrap/>
            <w:vAlign w:val="bottom"/>
          </w:tcPr>
          <w:p w14:paraId="245F1EDE" w14:textId="4F7946DB" w:rsidR="009C39C9" w:rsidRDefault="00920D08"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702FE3F7" w14:textId="7AA0259C" w:rsidR="009C39C9" w:rsidRDefault="00920D08"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920D08" w:rsidRPr="006B06B9" w14:paraId="72F27F14"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tcPr>
          <w:p w14:paraId="1DE0F90D" w14:textId="2613097D" w:rsidR="00920D08" w:rsidRDefault="00920D08" w:rsidP="006B06B9">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 xml:space="preserve">3861 Kapitalne pomoći kreditnim i ostalim financijskim institucijama te trgovačkim društvima u javnom sektoru </w:t>
            </w:r>
          </w:p>
        </w:tc>
        <w:tc>
          <w:tcPr>
            <w:tcW w:w="1496" w:type="dxa"/>
            <w:tcBorders>
              <w:top w:val="nil"/>
              <w:left w:val="nil"/>
              <w:bottom w:val="single" w:sz="4" w:space="0" w:color="auto"/>
              <w:right w:val="single" w:sz="4" w:space="0" w:color="auto"/>
            </w:tcBorders>
            <w:noWrap/>
            <w:vAlign w:val="bottom"/>
          </w:tcPr>
          <w:p w14:paraId="5ABF2D08" w14:textId="7F61F9AB" w:rsidR="00920D08" w:rsidRDefault="003D4BD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50.000,00</w:t>
            </w:r>
          </w:p>
        </w:tc>
        <w:tc>
          <w:tcPr>
            <w:tcW w:w="1506" w:type="dxa"/>
            <w:tcBorders>
              <w:top w:val="nil"/>
              <w:left w:val="nil"/>
              <w:bottom w:val="single" w:sz="4" w:space="0" w:color="auto"/>
              <w:right w:val="single" w:sz="4" w:space="0" w:color="auto"/>
            </w:tcBorders>
            <w:noWrap/>
            <w:vAlign w:val="bottom"/>
          </w:tcPr>
          <w:p w14:paraId="732F666B" w14:textId="77777777" w:rsidR="00920D08" w:rsidRPr="006B06B9" w:rsidRDefault="00920D08"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7C7900E4" w14:textId="77777777" w:rsidR="00920D08" w:rsidRPr="006B06B9" w:rsidRDefault="00920D08"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49242BEE" w14:textId="17B9F3B7" w:rsidR="00920D08" w:rsidRDefault="003D4BD3"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117" w:type="dxa"/>
            <w:tcBorders>
              <w:top w:val="nil"/>
              <w:left w:val="nil"/>
              <w:bottom w:val="single" w:sz="4" w:space="0" w:color="auto"/>
              <w:right w:val="single" w:sz="4" w:space="0" w:color="auto"/>
            </w:tcBorders>
            <w:noWrap/>
            <w:vAlign w:val="bottom"/>
          </w:tcPr>
          <w:p w14:paraId="0BB6221B" w14:textId="3040109F" w:rsidR="00920D08" w:rsidRDefault="00920D08"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654714B6" w14:textId="24CA7729" w:rsidR="00920D08" w:rsidRDefault="00920D08"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00CDF6D0"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7B9EA9CD" w14:textId="77777777" w:rsidR="007242BD" w:rsidRPr="006B06B9" w:rsidRDefault="007242BD"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4 Rashodi za nabavu nefinancijske imovine</w:t>
            </w:r>
          </w:p>
        </w:tc>
        <w:tc>
          <w:tcPr>
            <w:tcW w:w="1496" w:type="dxa"/>
            <w:tcBorders>
              <w:top w:val="nil"/>
              <w:left w:val="nil"/>
              <w:bottom w:val="single" w:sz="4" w:space="0" w:color="auto"/>
              <w:right w:val="single" w:sz="4" w:space="0" w:color="auto"/>
            </w:tcBorders>
            <w:noWrap/>
            <w:vAlign w:val="bottom"/>
          </w:tcPr>
          <w:p w14:paraId="10E5295E" w14:textId="683A9906" w:rsidR="007242BD" w:rsidRPr="006B06B9" w:rsidRDefault="003D4BD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4.169.209,42</w:t>
            </w:r>
          </w:p>
        </w:tc>
        <w:tc>
          <w:tcPr>
            <w:tcW w:w="1506" w:type="dxa"/>
            <w:tcBorders>
              <w:top w:val="nil"/>
              <w:left w:val="nil"/>
              <w:bottom w:val="single" w:sz="4" w:space="0" w:color="auto"/>
              <w:right w:val="single" w:sz="4" w:space="0" w:color="auto"/>
            </w:tcBorders>
            <w:noWrap/>
            <w:vAlign w:val="bottom"/>
          </w:tcPr>
          <w:p w14:paraId="4270B36B" w14:textId="1B544B70" w:rsidR="007242BD" w:rsidRPr="006B06B9" w:rsidRDefault="003D4BD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8.793.966,59</w:t>
            </w:r>
          </w:p>
        </w:tc>
        <w:tc>
          <w:tcPr>
            <w:tcW w:w="1496" w:type="dxa"/>
            <w:tcBorders>
              <w:top w:val="single" w:sz="4" w:space="0" w:color="auto"/>
              <w:left w:val="nil"/>
              <w:bottom w:val="single" w:sz="4" w:space="0" w:color="auto"/>
              <w:right w:val="single" w:sz="4" w:space="0" w:color="auto"/>
            </w:tcBorders>
            <w:vAlign w:val="bottom"/>
          </w:tcPr>
          <w:p w14:paraId="151C21AA" w14:textId="5CC5350D" w:rsidR="007242BD" w:rsidRPr="006B06B9" w:rsidRDefault="003D4BD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8.691.177,59</w:t>
            </w:r>
          </w:p>
        </w:tc>
        <w:tc>
          <w:tcPr>
            <w:tcW w:w="1600" w:type="dxa"/>
            <w:tcBorders>
              <w:top w:val="nil"/>
              <w:left w:val="single" w:sz="4" w:space="0" w:color="auto"/>
              <w:bottom w:val="single" w:sz="4" w:space="0" w:color="auto"/>
              <w:right w:val="single" w:sz="4" w:space="0" w:color="auto"/>
            </w:tcBorders>
            <w:noWrap/>
            <w:vAlign w:val="bottom"/>
          </w:tcPr>
          <w:p w14:paraId="789FF984" w14:textId="240D7987" w:rsidR="007242BD" w:rsidRPr="006B06B9" w:rsidRDefault="003D4BD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5.067.707,85</w:t>
            </w:r>
          </w:p>
        </w:tc>
        <w:tc>
          <w:tcPr>
            <w:tcW w:w="1117" w:type="dxa"/>
            <w:tcBorders>
              <w:top w:val="nil"/>
              <w:left w:val="nil"/>
              <w:bottom w:val="single" w:sz="4" w:space="0" w:color="auto"/>
              <w:right w:val="single" w:sz="4" w:space="0" w:color="auto"/>
            </w:tcBorders>
            <w:noWrap/>
            <w:vAlign w:val="bottom"/>
          </w:tcPr>
          <w:p w14:paraId="2C344181" w14:textId="14A4BC91" w:rsidR="007242BD" w:rsidRPr="006B06B9" w:rsidRDefault="003D4BD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121,55</w:t>
            </w:r>
            <w:r w:rsidR="00920D08">
              <w:rPr>
                <w:rFonts w:ascii="Arial" w:eastAsia="Times New Roman" w:hAnsi="Arial" w:cs="Arial"/>
                <w:b/>
                <w:bCs/>
                <w:sz w:val="20"/>
                <w:szCs w:val="20"/>
                <w:lang w:eastAsia="hr-HR"/>
              </w:rPr>
              <w:t>%</w:t>
            </w:r>
          </w:p>
        </w:tc>
        <w:tc>
          <w:tcPr>
            <w:tcW w:w="1006" w:type="dxa"/>
            <w:tcBorders>
              <w:top w:val="nil"/>
              <w:left w:val="nil"/>
              <w:bottom w:val="single" w:sz="4" w:space="0" w:color="auto"/>
              <w:right w:val="single" w:sz="4" w:space="0" w:color="auto"/>
            </w:tcBorders>
            <w:noWrap/>
            <w:vAlign w:val="bottom"/>
          </w:tcPr>
          <w:p w14:paraId="6BC1B1C6" w14:textId="46899052" w:rsidR="007242BD" w:rsidRPr="006B06B9" w:rsidRDefault="003D4BD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58,31</w:t>
            </w:r>
            <w:r w:rsidR="00920D08">
              <w:rPr>
                <w:rFonts w:ascii="Arial" w:eastAsia="Times New Roman" w:hAnsi="Arial" w:cs="Arial"/>
                <w:b/>
                <w:bCs/>
                <w:sz w:val="20"/>
                <w:szCs w:val="20"/>
                <w:lang w:eastAsia="hr-HR"/>
              </w:rPr>
              <w:t>%</w:t>
            </w:r>
          </w:p>
        </w:tc>
      </w:tr>
      <w:tr w:rsidR="00EB4F8D" w:rsidRPr="006B06B9" w14:paraId="6392B967" w14:textId="77777777" w:rsidTr="006C671D">
        <w:trPr>
          <w:trHeight w:val="578"/>
        </w:trPr>
        <w:tc>
          <w:tcPr>
            <w:tcW w:w="3367" w:type="dxa"/>
            <w:tcBorders>
              <w:top w:val="single" w:sz="4" w:space="0" w:color="auto"/>
              <w:left w:val="single" w:sz="4" w:space="0" w:color="auto"/>
              <w:bottom w:val="single" w:sz="4" w:space="0" w:color="auto"/>
              <w:right w:val="single" w:sz="4" w:space="0" w:color="auto"/>
            </w:tcBorders>
            <w:vAlign w:val="bottom"/>
            <w:hideMark/>
          </w:tcPr>
          <w:p w14:paraId="78824308" w14:textId="77777777" w:rsidR="007242BD" w:rsidRPr="006B06B9" w:rsidRDefault="007242BD"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 xml:space="preserve">41 Rashodi za nabavu </w:t>
            </w:r>
            <w:proofErr w:type="spellStart"/>
            <w:r w:rsidRPr="006B06B9">
              <w:rPr>
                <w:rFonts w:ascii="Arial" w:eastAsia="Times New Roman" w:hAnsi="Arial" w:cs="Arial"/>
                <w:b/>
                <w:bCs/>
                <w:sz w:val="20"/>
                <w:szCs w:val="20"/>
                <w:lang w:eastAsia="hr-HR"/>
              </w:rPr>
              <w:t>neproizvedene</w:t>
            </w:r>
            <w:proofErr w:type="spellEnd"/>
            <w:r w:rsidRPr="006B06B9">
              <w:rPr>
                <w:rFonts w:ascii="Arial" w:eastAsia="Times New Roman" w:hAnsi="Arial" w:cs="Arial"/>
                <w:b/>
                <w:bCs/>
                <w:sz w:val="20"/>
                <w:szCs w:val="20"/>
                <w:lang w:eastAsia="hr-HR"/>
              </w:rPr>
              <w:t xml:space="preserve"> dugotrajne imovine</w:t>
            </w:r>
          </w:p>
        </w:tc>
        <w:tc>
          <w:tcPr>
            <w:tcW w:w="1496" w:type="dxa"/>
            <w:tcBorders>
              <w:top w:val="nil"/>
              <w:left w:val="nil"/>
              <w:bottom w:val="single" w:sz="4" w:space="0" w:color="auto"/>
              <w:right w:val="single" w:sz="4" w:space="0" w:color="auto"/>
            </w:tcBorders>
            <w:noWrap/>
            <w:vAlign w:val="bottom"/>
          </w:tcPr>
          <w:p w14:paraId="38526FF6" w14:textId="70E02301" w:rsidR="007242BD" w:rsidRPr="006B06B9" w:rsidRDefault="003D4BD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164.181,13</w:t>
            </w:r>
          </w:p>
        </w:tc>
        <w:tc>
          <w:tcPr>
            <w:tcW w:w="1506" w:type="dxa"/>
            <w:tcBorders>
              <w:top w:val="nil"/>
              <w:left w:val="nil"/>
              <w:bottom w:val="single" w:sz="4" w:space="0" w:color="auto"/>
              <w:right w:val="single" w:sz="4" w:space="0" w:color="auto"/>
            </w:tcBorders>
            <w:noWrap/>
            <w:vAlign w:val="bottom"/>
          </w:tcPr>
          <w:p w14:paraId="4D9DFE84" w14:textId="4B190D0D" w:rsidR="007242BD" w:rsidRPr="006B06B9" w:rsidRDefault="003D4BD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450.800,00</w:t>
            </w:r>
          </w:p>
        </w:tc>
        <w:tc>
          <w:tcPr>
            <w:tcW w:w="1496" w:type="dxa"/>
            <w:tcBorders>
              <w:top w:val="single" w:sz="4" w:space="0" w:color="auto"/>
              <w:left w:val="nil"/>
              <w:bottom w:val="single" w:sz="4" w:space="0" w:color="auto"/>
              <w:right w:val="single" w:sz="4" w:space="0" w:color="auto"/>
            </w:tcBorders>
            <w:vAlign w:val="bottom"/>
          </w:tcPr>
          <w:p w14:paraId="191DB115" w14:textId="64EEE8DA" w:rsidR="007242BD" w:rsidRPr="006B06B9" w:rsidRDefault="003D4BD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469.900,00</w:t>
            </w:r>
          </w:p>
        </w:tc>
        <w:tc>
          <w:tcPr>
            <w:tcW w:w="1600" w:type="dxa"/>
            <w:tcBorders>
              <w:top w:val="nil"/>
              <w:left w:val="single" w:sz="4" w:space="0" w:color="auto"/>
              <w:bottom w:val="single" w:sz="4" w:space="0" w:color="auto"/>
              <w:right w:val="single" w:sz="4" w:space="0" w:color="auto"/>
            </w:tcBorders>
            <w:noWrap/>
            <w:vAlign w:val="bottom"/>
          </w:tcPr>
          <w:p w14:paraId="4139F91A" w14:textId="64D7A43B" w:rsidR="007242BD" w:rsidRPr="006B06B9" w:rsidRDefault="003D4BD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339.114,84</w:t>
            </w:r>
          </w:p>
        </w:tc>
        <w:tc>
          <w:tcPr>
            <w:tcW w:w="1117" w:type="dxa"/>
            <w:tcBorders>
              <w:top w:val="nil"/>
              <w:left w:val="nil"/>
              <w:bottom w:val="single" w:sz="4" w:space="0" w:color="auto"/>
              <w:right w:val="single" w:sz="4" w:space="0" w:color="auto"/>
            </w:tcBorders>
            <w:noWrap/>
            <w:vAlign w:val="bottom"/>
          </w:tcPr>
          <w:p w14:paraId="68162A8B" w14:textId="675C396F" w:rsidR="007242BD" w:rsidRPr="006B06B9" w:rsidRDefault="003D4BD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206,55</w:t>
            </w:r>
            <w:r w:rsidR="00920D08">
              <w:rPr>
                <w:rFonts w:ascii="Arial" w:eastAsia="Times New Roman" w:hAnsi="Arial" w:cs="Arial"/>
                <w:b/>
                <w:bCs/>
                <w:sz w:val="20"/>
                <w:szCs w:val="20"/>
                <w:lang w:eastAsia="hr-HR"/>
              </w:rPr>
              <w:t>%</w:t>
            </w:r>
          </w:p>
        </w:tc>
        <w:tc>
          <w:tcPr>
            <w:tcW w:w="1006" w:type="dxa"/>
            <w:tcBorders>
              <w:top w:val="nil"/>
              <w:left w:val="nil"/>
              <w:bottom w:val="single" w:sz="4" w:space="0" w:color="auto"/>
              <w:right w:val="single" w:sz="4" w:space="0" w:color="auto"/>
            </w:tcBorders>
            <w:noWrap/>
            <w:vAlign w:val="bottom"/>
          </w:tcPr>
          <w:p w14:paraId="356AF701" w14:textId="5013D2AF" w:rsidR="007242BD" w:rsidRPr="006B06B9" w:rsidRDefault="003D4BD3"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72,17</w:t>
            </w:r>
            <w:r w:rsidR="00920D08">
              <w:rPr>
                <w:rFonts w:ascii="Arial" w:eastAsia="Times New Roman" w:hAnsi="Arial" w:cs="Arial"/>
                <w:b/>
                <w:bCs/>
                <w:sz w:val="20"/>
                <w:szCs w:val="20"/>
                <w:lang w:eastAsia="hr-HR"/>
              </w:rPr>
              <w:t>%</w:t>
            </w:r>
          </w:p>
        </w:tc>
      </w:tr>
      <w:tr w:rsidR="00EB4F8D" w:rsidRPr="006B06B9" w14:paraId="31465E98"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0EDF8EAB"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411 Materijalna imovina - prirodna bogatstva</w:t>
            </w:r>
          </w:p>
        </w:tc>
        <w:tc>
          <w:tcPr>
            <w:tcW w:w="1496" w:type="dxa"/>
            <w:tcBorders>
              <w:top w:val="nil"/>
              <w:left w:val="nil"/>
              <w:bottom w:val="single" w:sz="4" w:space="0" w:color="auto"/>
              <w:right w:val="single" w:sz="4" w:space="0" w:color="auto"/>
            </w:tcBorders>
            <w:noWrap/>
            <w:vAlign w:val="bottom"/>
          </w:tcPr>
          <w:p w14:paraId="3170FF54" w14:textId="34C384B8" w:rsidR="007242BD" w:rsidRPr="006B06B9" w:rsidRDefault="00C5565B"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106.640,10</w:t>
            </w:r>
          </w:p>
        </w:tc>
        <w:tc>
          <w:tcPr>
            <w:tcW w:w="1506" w:type="dxa"/>
            <w:tcBorders>
              <w:top w:val="nil"/>
              <w:left w:val="nil"/>
              <w:bottom w:val="single" w:sz="4" w:space="0" w:color="auto"/>
              <w:right w:val="single" w:sz="4" w:space="0" w:color="auto"/>
            </w:tcBorders>
            <w:noWrap/>
            <w:vAlign w:val="bottom"/>
          </w:tcPr>
          <w:p w14:paraId="56FFFEC0" w14:textId="573F2439"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00DCBF41"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35DCDF4C" w14:textId="6B7B7014" w:rsidR="007242BD" w:rsidRPr="006B06B9" w:rsidRDefault="00C8261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290.824,32</w:t>
            </w:r>
          </w:p>
        </w:tc>
        <w:tc>
          <w:tcPr>
            <w:tcW w:w="1117" w:type="dxa"/>
            <w:tcBorders>
              <w:top w:val="nil"/>
              <w:left w:val="nil"/>
              <w:bottom w:val="single" w:sz="4" w:space="0" w:color="auto"/>
              <w:right w:val="single" w:sz="4" w:space="0" w:color="auto"/>
            </w:tcBorders>
            <w:noWrap/>
            <w:vAlign w:val="bottom"/>
          </w:tcPr>
          <w:p w14:paraId="756F2E63" w14:textId="7FEC847A" w:rsidR="007242BD" w:rsidRPr="006B06B9" w:rsidRDefault="00C8261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272,72</w:t>
            </w:r>
            <w:r w:rsidR="0032551A">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45538C9E" w14:textId="732BAA2B" w:rsidR="007242BD" w:rsidRPr="006B06B9" w:rsidRDefault="0032551A"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59AB1A8C"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73A7B4D9"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4111 Zemljište</w:t>
            </w:r>
          </w:p>
        </w:tc>
        <w:tc>
          <w:tcPr>
            <w:tcW w:w="1496" w:type="dxa"/>
            <w:tcBorders>
              <w:top w:val="nil"/>
              <w:left w:val="nil"/>
              <w:bottom w:val="single" w:sz="4" w:space="0" w:color="auto"/>
              <w:right w:val="single" w:sz="4" w:space="0" w:color="auto"/>
            </w:tcBorders>
            <w:noWrap/>
            <w:vAlign w:val="bottom"/>
          </w:tcPr>
          <w:p w14:paraId="03D1DB8D" w14:textId="3AB55FF3" w:rsidR="007242BD" w:rsidRPr="006B06B9" w:rsidRDefault="00C8261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106.640,10</w:t>
            </w:r>
          </w:p>
        </w:tc>
        <w:tc>
          <w:tcPr>
            <w:tcW w:w="1506" w:type="dxa"/>
            <w:tcBorders>
              <w:top w:val="nil"/>
              <w:left w:val="nil"/>
              <w:bottom w:val="single" w:sz="4" w:space="0" w:color="auto"/>
              <w:right w:val="single" w:sz="4" w:space="0" w:color="auto"/>
            </w:tcBorders>
            <w:noWrap/>
            <w:vAlign w:val="bottom"/>
          </w:tcPr>
          <w:p w14:paraId="24E0674C" w14:textId="344077AC"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6FC23779"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4FE7957E" w14:textId="072B59BF" w:rsidR="007242BD" w:rsidRPr="006B06B9" w:rsidRDefault="00C8261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290.824,32</w:t>
            </w:r>
          </w:p>
        </w:tc>
        <w:tc>
          <w:tcPr>
            <w:tcW w:w="1117" w:type="dxa"/>
            <w:tcBorders>
              <w:top w:val="nil"/>
              <w:left w:val="nil"/>
              <w:bottom w:val="single" w:sz="4" w:space="0" w:color="auto"/>
              <w:right w:val="single" w:sz="4" w:space="0" w:color="auto"/>
            </w:tcBorders>
            <w:noWrap/>
            <w:vAlign w:val="bottom"/>
          </w:tcPr>
          <w:p w14:paraId="025ED62C" w14:textId="46C29A10" w:rsidR="007242BD" w:rsidRPr="006B06B9" w:rsidRDefault="00C8261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272,72</w:t>
            </w:r>
            <w:r w:rsidR="0032551A">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0B4B0FD5" w14:textId="7C70F1C0" w:rsidR="007242BD" w:rsidRPr="006B06B9" w:rsidRDefault="0032551A"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526F12C2"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1426583A"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412 Nematerijalna imovina</w:t>
            </w:r>
          </w:p>
        </w:tc>
        <w:tc>
          <w:tcPr>
            <w:tcW w:w="1496" w:type="dxa"/>
            <w:tcBorders>
              <w:top w:val="nil"/>
              <w:left w:val="nil"/>
              <w:bottom w:val="single" w:sz="4" w:space="0" w:color="auto"/>
              <w:right w:val="single" w:sz="4" w:space="0" w:color="auto"/>
            </w:tcBorders>
            <w:noWrap/>
            <w:vAlign w:val="bottom"/>
          </w:tcPr>
          <w:p w14:paraId="1E13586D" w14:textId="30F61948" w:rsidR="007242BD" w:rsidRPr="006B06B9" w:rsidRDefault="00C8261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57.541,03</w:t>
            </w:r>
          </w:p>
        </w:tc>
        <w:tc>
          <w:tcPr>
            <w:tcW w:w="1506" w:type="dxa"/>
            <w:tcBorders>
              <w:top w:val="nil"/>
              <w:left w:val="nil"/>
              <w:bottom w:val="single" w:sz="4" w:space="0" w:color="auto"/>
              <w:right w:val="single" w:sz="4" w:space="0" w:color="auto"/>
            </w:tcBorders>
            <w:noWrap/>
            <w:vAlign w:val="bottom"/>
          </w:tcPr>
          <w:p w14:paraId="67341FA4" w14:textId="4D4C9598"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3CDEAE44"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55AED2CF" w14:textId="767E001B" w:rsidR="007242BD" w:rsidRPr="006B06B9" w:rsidRDefault="00C8261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48.290,52</w:t>
            </w:r>
          </w:p>
        </w:tc>
        <w:tc>
          <w:tcPr>
            <w:tcW w:w="1117" w:type="dxa"/>
            <w:tcBorders>
              <w:top w:val="nil"/>
              <w:left w:val="nil"/>
              <w:bottom w:val="single" w:sz="4" w:space="0" w:color="auto"/>
              <w:right w:val="single" w:sz="4" w:space="0" w:color="auto"/>
            </w:tcBorders>
            <w:noWrap/>
            <w:vAlign w:val="bottom"/>
          </w:tcPr>
          <w:p w14:paraId="2EDA2F2F" w14:textId="17106795" w:rsidR="007242BD" w:rsidRPr="006B06B9" w:rsidRDefault="00C8261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83,92</w:t>
            </w:r>
            <w:r w:rsidR="0032551A">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0350EBB4" w14:textId="0B836196" w:rsidR="007242BD" w:rsidRPr="006B06B9" w:rsidRDefault="0032551A"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2AFCE9B1"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0A2F896E"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4123 Licence</w:t>
            </w:r>
          </w:p>
        </w:tc>
        <w:tc>
          <w:tcPr>
            <w:tcW w:w="1496" w:type="dxa"/>
            <w:tcBorders>
              <w:top w:val="nil"/>
              <w:left w:val="nil"/>
              <w:bottom w:val="single" w:sz="4" w:space="0" w:color="auto"/>
              <w:right w:val="single" w:sz="4" w:space="0" w:color="auto"/>
            </w:tcBorders>
            <w:noWrap/>
            <w:vAlign w:val="bottom"/>
          </w:tcPr>
          <w:p w14:paraId="5CB7E91F" w14:textId="72811541" w:rsidR="007242BD" w:rsidRPr="006B06B9" w:rsidRDefault="00C8261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3.073,75</w:t>
            </w:r>
          </w:p>
        </w:tc>
        <w:tc>
          <w:tcPr>
            <w:tcW w:w="1506" w:type="dxa"/>
            <w:tcBorders>
              <w:top w:val="nil"/>
              <w:left w:val="nil"/>
              <w:bottom w:val="single" w:sz="4" w:space="0" w:color="auto"/>
              <w:right w:val="single" w:sz="4" w:space="0" w:color="auto"/>
            </w:tcBorders>
            <w:noWrap/>
            <w:vAlign w:val="bottom"/>
          </w:tcPr>
          <w:p w14:paraId="167731E4" w14:textId="3D775BC3"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5F5D5C48"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75C1B351" w14:textId="3255D564" w:rsidR="007242BD" w:rsidRPr="006B06B9" w:rsidRDefault="00C8261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6.419,08</w:t>
            </w:r>
          </w:p>
        </w:tc>
        <w:tc>
          <w:tcPr>
            <w:tcW w:w="1117" w:type="dxa"/>
            <w:tcBorders>
              <w:top w:val="nil"/>
              <w:left w:val="nil"/>
              <w:bottom w:val="single" w:sz="4" w:space="0" w:color="auto"/>
              <w:right w:val="single" w:sz="4" w:space="0" w:color="auto"/>
            </w:tcBorders>
            <w:noWrap/>
            <w:vAlign w:val="bottom"/>
          </w:tcPr>
          <w:p w14:paraId="2309332C" w14:textId="4F9E316F" w:rsidR="007242BD" w:rsidRPr="006B06B9" w:rsidRDefault="00C8261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208,84</w:t>
            </w:r>
            <w:r w:rsidR="0032551A">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32FCE57E" w14:textId="477F334C" w:rsidR="007242BD" w:rsidRPr="006B06B9" w:rsidRDefault="0032551A"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71D0B148"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439DF9C0"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4124 Ostala prava</w:t>
            </w:r>
          </w:p>
        </w:tc>
        <w:tc>
          <w:tcPr>
            <w:tcW w:w="1496" w:type="dxa"/>
            <w:tcBorders>
              <w:top w:val="nil"/>
              <w:left w:val="nil"/>
              <w:bottom w:val="single" w:sz="4" w:space="0" w:color="auto"/>
              <w:right w:val="single" w:sz="4" w:space="0" w:color="auto"/>
            </w:tcBorders>
            <w:noWrap/>
            <w:vAlign w:val="bottom"/>
          </w:tcPr>
          <w:p w14:paraId="1E831B69" w14:textId="15AF9C60" w:rsidR="007242BD" w:rsidRPr="006B06B9" w:rsidRDefault="00C8261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21.684,77</w:t>
            </w:r>
          </w:p>
        </w:tc>
        <w:tc>
          <w:tcPr>
            <w:tcW w:w="1506" w:type="dxa"/>
            <w:tcBorders>
              <w:top w:val="nil"/>
              <w:left w:val="nil"/>
              <w:bottom w:val="single" w:sz="4" w:space="0" w:color="auto"/>
              <w:right w:val="single" w:sz="4" w:space="0" w:color="auto"/>
            </w:tcBorders>
            <w:noWrap/>
            <w:vAlign w:val="bottom"/>
          </w:tcPr>
          <w:p w14:paraId="26BF4AC3" w14:textId="7BC11495"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684283A4"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13A3D67C" w14:textId="21A9C528" w:rsidR="007242BD" w:rsidRPr="006B06B9" w:rsidRDefault="00C8261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20.803,94</w:t>
            </w:r>
          </w:p>
        </w:tc>
        <w:tc>
          <w:tcPr>
            <w:tcW w:w="1117" w:type="dxa"/>
            <w:tcBorders>
              <w:top w:val="nil"/>
              <w:left w:val="nil"/>
              <w:bottom w:val="single" w:sz="4" w:space="0" w:color="auto"/>
              <w:right w:val="single" w:sz="4" w:space="0" w:color="auto"/>
            </w:tcBorders>
            <w:noWrap/>
            <w:vAlign w:val="bottom"/>
          </w:tcPr>
          <w:p w14:paraId="0F681D01" w14:textId="230293D5" w:rsidR="007242BD" w:rsidRPr="006B06B9" w:rsidRDefault="00C8261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95,94</w:t>
            </w:r>
            <w:r w:rsidR="0032551A">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282D6D8E" w14:textId="385710AE" w:rsidR="007242BD" w:rsidRPr="006B06B9" w:rsidRDefault="0032551A"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32551A" w:rsidRPr="006B06B9" w14:paraId="50C96B0D"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tcPr>
          <w:p w14:paraId="27A3C887" w14:textId="01FAD7C1" w:rsidR="0032551A" w:rsidRPr="006B06B9" w:rsidRDefault="0032551A" w:rsidP="006B06B9">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 xml:space="preserve">4126 Ostala nematerijalna imovina </w:t>
            </w:r>
          </w:p>
        </w:tc>
        <w:tc>
          <w:tcPr>
            <w:tcW w:w="1496" w:type="dxa"/>
            <w:tcBorders>
              <w:top w:val="nil"/>
              <w:left w:val="nil"/>
              <w:bottom w:val="single" w:sz="4" w:space="0" w:color="auto"/>
              <w:right w:val="single" w:sz="4" w:space="0" w:color="auto"/>
            </w:tcBorders>
            <w:noWrap/>
            <w:vAlign w:val="bottom"/>
          </w:tcPr>
          <w:p w14:paraId="5150A5F4" w14:textId="1765E2F2" w:rsidR="0032551A" w:rsidRDefault="00C8261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32.782,51</w:t>
            </w:r>
          </w:p>
        </w:tc>
        <w:tc>
          <w:tcPr>
            <w:tcW w:w="1506" w:type="dxa"/>
            <w:tcBorders>
              <w:top w:val="nil"/>
              <w:left w:val="nil"/>
              <w:bottom w:val="single" w:sz="4" w:space="0" w:color="auto"/>
              <w:right w:val="single" w:sz="4" w:space="0" w:color="auto"/>
            </w:tcBorders>
            <w:noWrap/>
            <w:vAlign w:val="bottom"/>
          </w:tcPr>
          <w:p w14:paraId="1DFB6359" w14:textId="77777777" w:rsidR="0032551A" w:rsidRPr="006B06B9" w:rsidRDefault="0032551A"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501F21C7" w14:textId="77777777" w:rsidR="0032551A" w:rsidRPr="006B06B9" w:rsidRDefault="0032551A"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555F9DF7" w14:textId="4ABCDB1E" w:rsidR="0032551A" w:rsidRDefault="00C8261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21.067,50</w:t>
            </w:r>
          </w:p>
        </w:tc>
        <w:tc>
          <w:tcPr>
            <w:tcW w:w="1117" w:type="dxa"/>
            <w:tcBorders>
              <w:top w:val="nil"/>
              <w:left w:val="nil"/>
              <w:bottom w:val="single" w:sz="4" w:space="0" w:color="auto"/>
              <w:right w:val="single" w:sz="4" w:space="0" w:color="auto"/>
            </w:tcBorders>
            <w:noWrap/>
            <w:vAlign w:val="bottom"/>
          </w:tcPr>
          <w:p w14:paraId="503C024B" w14:textId="2BFEB675" w:rsidR="0032551A" w:rsidRDefault="00C8261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64,26</w:t>
            </w:r>
            <w:r w:rsidR="00920D08">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2930D0DD" w14:textId="33A004B3" w:rsidR="0032551A" w:rsidRDefault="0032551A"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098BDA4E" w14:textId="77777777" w:rsidTr="006C671D">
        <w:trPr>
          <w:trHeight w:val="504"/>
        </w:trPr>
        <w:tc>
          <w:tcPr>
            <w:tcW w:w="3367" w:type="dxa"/>
            <w:tcBorders>
              <w:top w:val="single" w:sz="4" w:space="0" w:color="auto"/>
              <w:left w:val="single" w:sz="4" w:space="0" w:color="auto"/>
              <w:bottom w:val="single" w:sz="4" w:space="0" w:color="auto"/>
              <w:right w:val="single" w:sz="4" w:space="0" w:color="auto"/>
            </w:tcBorders>
            <w:vAlign w:val="bottom"/>
            <w:hideMark/>
          </w:tcPr>
          <w:p w14:paraId="6E2E090B" w14:textId="77777777" w:rsidR="007242BD" w:rsidRPr="006B06B9" w:rsidRDefault="007242BD"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t>42 Rashodi za nabavu proizvedene dugotrajne imovine</w:t>
            </w:r>
          </w:p>
        </w:tc>
        <w:tc>
          <w:tcPr>
            <w:tcW w:w="1496" w:type="dxa"/>
            <w:tcBorders>
              <w:top w:val="nil"/>
              <w:left w:val="nil"/>
              <w:bottom w:val="single" w:sz="4" w:space="0" w:color="auto"/>
              <w:right w:val="single" w:sz="4" w:space="0" w:color="auto"/>
            </w:tcBorders>
            <w:noWrap/>
            <w:vAlign w:val="bottom"/>
          </w:tcPr>
          <w:p w14:paraId="771DEECB" w14:textId="4D3C497E" w:rsidR="007242BD" w:rsidRPr="006B06B9" w:rsidRDefault="00243171"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4.005.028,29</w:t>
            </w:r>
          </w:p>
        </w:tc>
        <w:tc>
          <w:tcPr>
            <w:tcW w:w="1506" w:type="dxa"/>
            <w:tcBorders>
              <w:top w:val="nil"/>
              <w:left w:val="nil"/>
              <w:bottom w:val="single" w:sz="4" w:space="0" w:color="auto"/>
              <w:right w:val="single" w:sz="4" w:space="0" w:color="auto"/>
            </w:tcBorders>
            <w:noWrap/>
            <w:vAlign w:val="bottom"/>
          </w:tcPr>
          <w:p w14:paraId="525ECF11" w14:textId="2205B2FF" w:rsidR="007242BD" w:rsidRPr="006B06B9" w:rsidRDefault="00243171"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8.101.666,59</w:t>
            </w:r>
          </w:p>
        </w:tc>
        <w:tc>
          <w:tcPr>
            <w:tcW w:w="1496" w:type="dxa"/>
            <w:tcBorders>
              <w:top w:val="single" w:sz="4" w:space="0" w:color="auto"/>
              <w:left w:val="nil"/>
              <w:bottom w:val="single" w:sz="4" w:space="0" w:color="auto"/>
              <w:right w:val="single" w:sz="4" w:space="0" w:color="auto"/>
            </w:tcBorders>
            <w:vAlign w:val="bottom"/>
          </w:tcPr>
          <w:p w14:paraId="3BB918B0" w14:textId="01DD9A10" w:rsidR="007242BD" w:rsidRPr="006B06B9" w:rsidRDefault="00243171"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7.994.777,59</w:t>
            </w:r>
          </w:p>
        </w:tc>
        <w:tc>
          <w:tcPr>
            <w:tcW w:w="1600" w:type="dxa"/>
            <w:tcBorders>
              <w:top w:val="nil"/>
              <w:left w:val="single" w:sz="4" w:space="0" w:color="auto"/>
              <w:bottom w:val="single" w:sz="4" w:space="0" w:color="auto"/>
              <w:right w:val="single" w:sz="4" w:space="0" w:color="auto"/>
            </w:tcBorders>
            <w:noWrap/>
            <w:vAlign w:val="bottom"/>
          </w:tcPr>
          <w:p w14:paraId="1A3A999E" w14:textId="1B1089CD" w:rsidR="007242BD" w:rsidRPr="006B06B9" w:rsidRDefault="00243171"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4.636.213,06</w:t>
            </w:r>
          </w:p>
        </w:tc>
        <w:tc>
          <w:tcPr>
            <w:tcW w:w="1117" w:type="dxa"/>
            <w:tcBorders>
              <w:top w:val="nil"/>
              <w:left w:val="nil"/>
              <w:bottom w:val="single" w:sz="4" w:space="0" w:color="auto"/>
              <w:right w:val="single" w:sz="4" w:space="0" w:color="auto"/>
            </w:tcBorders>
            <w:noWrap/>
            <w:vAlign w:val="bottom"/>
          </w:tcPr>
          <w:p w14:paraId="5523FF17" w14:textId="63D41A66" w:rsidR="007242BD" w:rsidRPr="006B06B9" w:rsidRDefault="00243171"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115,76</w:t>
            </w:r>
            <w:r w:rsidR="00920D08">
              <w:rPr>
                <w:rFonts w:ascii="Arial" w:eastAsia="Times New Roman" w:hAnsi="Arial" w:cs="Arial"/>
                <w:b/>
                <w:bCs/>
                <w:sz w:val="20"/>
                <w:szCs w:val="20"/>
                <w:lang w:eastAsia="hr-HR"/>
              </w:rPr>
              <w:t>%</w:t>
            </w:r>
          </w:p>
        </w:tc>
        <w:tc>
          <w:tcPr>
            <w:tcW w:w="1006" w:type="dxa"/>
            <w:tcBorders>
              <w:top w:val="nil"/>
              <w:left w:val="nil"/>
              <w:bottom w:val="single" w:sz="4" w:space="0" w:color="auto"/>
              <w:right w:val="single" w:sz="4" w:space="0" w:color="auto"/>
            </w:tcBorders>
            <w:noWrap/>
            <w:vAlign w:val="bottom"/>
          </w:tcPr>
          <w:p w14:paraId="60FDF423" w14:textId="6DFE4D8C" w:rsidR="007242BD" w:rsidRPr="006B06B9" w:rsidRDefault="00243171"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57,99</w:t>
            </w:r>
            <w:r w:rsidR="00920D08">
              <w:rPr>
                <w:rFonts w:ascii="Arial" w:eastAsia="Times New Roman" w:hAnsi="Arial" w:cs="Arial"/>
                <w:b/>
                <w:bCs/>
                <w:sz w:val="20"/>
                <w:szCs w:val="20"/>
                <w:lang w:eastAsia="hr-HR"/>
              </w:rPr>
              <w:t>%</w:t>
            </w:r>
          </w:p>
        </w:tc>
      </w:tr>
      <w:tr w:rsidR="00EB4F8D" w:rsidRPr="006B06B9" w14:paraId="3131F1BB"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554291EA"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421 Građevinski objekti</w:t>
            </w:r>
          </w:p>
        </w:tc>
        <w:tc>
          <w:tcPr>
            <w:tcW w:w="1496" w:type="dxa"/>
            <w:tcBorders>
              <w:top w:val="nil"/>
              <w:left w:val="nil"/>
              <w:bottom w:val="single" w:sz="4" w:space="0" w:color="auto"/>
              <w:right w:val="single" w:sz="4" w:space="0" w:color="auto"/>
            </w:tcBorders>
            <w:noWrap/>
            <w:vAlign w:val="bottom"/>
          </w:tcPr>
          <w:p w14:paraId="75E4A4F5" w14:textId="3DBD62FE"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3.242.290,65</w:t>
            </w:r>
          </w:p>
        </w:tc>
        <w:tc>
          <w:tcPr>
            <w:tcW w:w="1506" w:type="dxa"/>
            <w:tcBorders>
              <w:top w:val="nil"/>
              <w:left w:val="nil"/>
              <w:bottom w:val="single" w:sz="4" w:space="0" w:color="auto"/>
              <w:right w:val="single" w:sz="4" w:space="0" w:color="auto"/>
            </w:tcBorders>
            <w:noWrap/>
            <w:vAlign w:val="bottom"/>
          </w:tcPr>
          <w:p w14:paraId="5F993ADF" w14:textId="1BD8D2AB"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3CF7DBF5"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14745E32" w14:textId="1564300D"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4.012.935,16</w:t>
            </w:r>
          </w:p>
        </w:tc>
        <w:tc>
          <w:tcPr>
            <w:tcW w:w="1117" w:type="dxa"/>
            <w:tcBorders>
              <w:top w:val="nil"/>
              <w:left w:val="nil"/>
              <w:bottom w:val="single" w:sz="4" w:space="0" w:color="auto"/>
              <w:right w:val="single" w:sz="4" w:space="0" w:color="auto"/>
            </w:tcBorders>
            <w:noWrap/>
            <w:vAlign w:val="bottom"/>
          </w:tcPr>
          <w:p w14:paraId="4F4E6E31" w14:textId="038A9257"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123,77</w:t>
            </w:r>
            <w:r w:rsidR="0032551A">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0EE63954" w14:textId="2A60A90D" w:rsidR="007242BD" w:rsidRPr="006B06B9" w:rsidRDefault="0032551A"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76F8139C"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1F6D5C2B"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4212 Poslovni objekti</w:t>
            </w:r>
          </w:p>
        </w:tc>
        <w:tc>
          <w:tcPr>
            <w:tcW w:w="1496" w:type="dxa"/>
            <w:tcBorders>
              <w:top w:val="nil"/>
              <w:left w:val="nil"/>
              <w:bottom w:val="single" w:sz="4" w:space="0" w:color="auto"/>
              <w:right w:val="single" w:sz="4" w:space="0" w:color="auto"/>
            </w:tcBorders>
            <w:noWrap/>
            <w:vAlign w:val="bottom"/>
          </w:tcPr>
          <w:p w14:paraId="41758FD3" w14:textId="3C5C4AA1"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532.140,69</w:t>
            </w:r>
          </w:p>
        </w:tc>
        <w:tc>
          <w:tcPr>
            <w:tcW w:w="1506" w:type="dxa"/>
            <w:tcBorders>
              <w:top w:val="nil"/>
              <w:left w:val="nil"/>
              <w:bottom w:val="single" w:sz="4" w:space="0" w:color="auto"/>
              <w:right w:val="single" w:sz="4" w:space="0" w:color="auto"/>
            </w:tcBorders>
            <w:noWrap/>
            <w:vAlign w:val="bottom"/>
          </w:tcPr>
          <w:p w14:paraId="561B5FF4" w14:textId="7245E5E0"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41FBB730"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733CE65C" w14:textId="3CF8E274"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474.372,80</w:t>
            </w:r>
          </w:p>
        </w:tc>
        <w:tc>
          <w:tcPr>
            <w:tcW w:w="1117" w:type="dxa"/>
            <w:tcBorders>
              <w:top w:val="nil"/>
              <w:left w:val="nil"/>
              <w:bottom w:val="single" w:sz="4" w:space="0" w:color="auto"/>
              <w:right w:val="single" w:sz="4" w:space="0" w:color="auto"/>
            </w:tcBorders>
            <w:noWrap/>
            <w:vAlign w:val="bottom"/>
          </w:tcPr>
          <w:p w14:paraId="025E45A5" w14:textId="2815660B"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89,14</w:t>
            </w:r>
            <w:r w:rsidR="00902E92">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75A285E8" w14:textId="411BE6DA" w:rsidR="007242BD" w:rsidRPr="006B06B9" w:rsidRDefault="00902E9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4DC0C3FB"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26154208"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4213 Ceste, željeznice i ostali prometni objekti</w:t>
            </w:r>
          </w:p>
        </w:tc>
        <w:tc>
          <w:tcPr>
            <w:tcW w:w="1496" w:type="dxa"/>
            <w:tcBorders>
              <w:top w:val="nil"/>
              <w:left w:val="nil"/>
              <w:bottom w:val="single" w:sz="4" w:space="0" w:color="auto"/>
              <w:right w:val="single" w:sz="4" w:space="0" w:color="auto"/>
            </w:tcBorders>
            <w:noWrap/>
            <w:vAlign w:val="bottom"/>
          </w:tcPr>
          <w:p w14:paraId="1892F836" w14:textId="736D1145"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2.292.517,09</w:t>
            </w:r>
          </w:p>
        </w:tc>
        <w:tc>
          <w:tcPr>
            <w:tcW w:w="1506" w:type="dxa"/>
            <w:tcBorders>
              <w:top w:val="nil"/>
              <w:left w:val="nil"/>
              <w:bottom w:val="single" w:sz="4" w:space="0" w:color="auto"/>
              <w:right w:val="single" w:sz="4" w:space="0" w:color="auto"/>
            </w:tcBorders>
            <w:noWrap/>
            <w:vAlign w:val="bottom"/>
          </w:tcPr>
          <w:p w14:paraId="5948F826" w14:textId="4F215E2F"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18F00145"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5F649D0C" w14:textId="29A2CAAF"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2.551.474,86</w:t>
            </w:r>
          </w:p>
        </w:tc>
        <w:tc>
          <w:tcPr>
            <w:tcW w:w="1117" w:type="dxa"/>
            <w:tcBorders>
              <w:top w:val="nil"/>
              <w:left w:val="nil"/>
              <w:bottom w:val="single" w:sz="4" w:space="0" w:color="auto"/>
              <w:right w:val="single" w:sz="4" w:space="0" w:color="auto"/>
            </w:tcBorders>
            <w:noWrap/>
            <w:vAlign w:val="bottom"/>
          </w:tcPr>
          <w:p w14:paraId="31E9CDFF" w14:textId="1EF680B5"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111,30</w:t>
            </w:r>
            <w:r w:rsidR="00902E92">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7190740B" w14:textId="41503AE1" w:rsidR="007242BD" w:rsidRPr="006B06B9" w:rsidRDefault="00902E9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115FF27F"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772B42EE"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4214 Ostali građevinski objekti</w:t>
            </w:r>
          </w:p>
        </w:tc>
        <w:tc>
          <w:tcPr>
            <w:tcW w:w="1496" w:type="dxa"/>
            <w:tcBorders>
              <w:top w:val="nil"/>
              <w:left w:val="nil"/>
              <w:bottom w:val="single" w:sz="4" w:space="0" w:color="auto"/>
              <w:right w:val="single" w:sz="4" w:space="0" w:color="auto"/>
            </w:tcBorders>
            <w:noWrap/>
            <w:vAlign w:val="bottom"/>
          </w:tcPr>
          <w:p w14:paraId="51B3A0FE" w14:textId="550D43A9"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417.632,87</w:t>
            </w:r>
          </w:p>
        </w:tc>
        <w:tc>
          <w:tcPr>
            <w:tcW w:w="1506" w:type="dxa"/>
            <w:tcBorders>
              <w:top w:val="nil"/>
              <w:left w:val="nil"/>
              <w:bottom w:val="single" w:sz="4" w:space="0" w:color="auto"/>
              <w:right w:val="single" w:sz="4" w:space="0" w:color="auto"/>
            </w:tcBorders>
            <w:noWrap/>
            <w:vAlign w:val="bottom"/>
          </w:tcPr>
          <w:p w14:paraId="733405EA" w14:textId="43D2921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631B864E"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2DD3D373" w14:textId="15EDB681"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987.087,50</w:t>
            </w:r>
          </w:p>
        </w:tc>
        <w:tc>
          <w:tcPr>
            <w:tcW w:w="1117" w:type="dxa"/>
            <w:tcBorders>
              <w:top w:val="nil"/>
              <w:left w:val="nil"/>
              <w:bottom w:val="single" w:sz="4" w:space="0" w:color="auto"/>
              <w:right w:val="single" w:sz="4" w:space="0" w:color="auto"/>
            </w:tcBorders>
            <w:noWrap/>
            <w:vAlign w:val="bottom"/>
          </w:tcPr>
          <w:p w14:paraId="3263BCEB" w14:textId="7420D09C"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236,35</w:t>
            </w:r>
            <w:r w:rsidR="00902E92">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37534A8E" w14:textId="24CB7D0B" w:rsidR="007242BD" w:rsidRPr="006B06B9" w:rsidRDefault="00902E9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4F886FBA"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28E69B80"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422 Postrojenja i oprema</w:t>
            </w:r>
          </w:p>
        </w:tc>
        <w:tc>
          <w:tcPr>
            <w:tcW w:w="1496" w:type="dxa"/>
            <w:tcBorders>
              <w:top w:val="nil"/>
              <w:left w:val="nil"/>
              <w:bottom w:val="single" w:sz="4" w:space="0" w:color="auto"/>
              <w:right w:val="single" w:sz="4" w:space="0" w:color="auto"/>
            </w:tcBorders>
            <w:noWrap/>
            <w:vAlign w:val="bottom"/>
          </w:tcPr>
          <w:p w14:paraId="31E83B2B" w14:textId="67100A82"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608.185,95</w:t>
            </w:r>
          </w:p>
        </w:tc>
        <w:tc>
          <w:tcPr>
            <w:tcW w:w="1506" w:type="dxa"/>
            <w:tcBorders>
              <w:top w:val="nil"/>
              <w:left w:val="nil"/>
              <w:bottom w:val="single" w:sz="4" w:space="0" w:color="auto"/>
              <w:right w:val="single" w:sz="4" w:space="0" w:color="auto"/>
            </w:tcBorders>
            <w:noWrap/>
            <w:vAlign w:val="bottom"/>
          </w:tcPr>
          <w:p w14:paraId="3532A6E8" w14:textId="567EBA73"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33D02A59"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7339D44A" w14:textId="35AE8D9B"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432.757,69</w:t>
            </w:r>
          </w:p>
        </w:tc>
        <w:tc>
          <w:tcPr>
            <w:tcW w:w="1117" w:type="dxa"/>
            <w:tcBorders>
              <w:top w:val="nil"/>
              <w:left w:val="nil"/>
              <w:bottom w:val="single" w:sz="4" w:space="0" w:color="auto"/>
              <w:right w:val="single" w:sz="4" w:space="0" w:color="auto"/>
            </w:tcBorders>
            <w:noWrap/>
            <w:vAlign w:val="bottom"/>
          </w:tcPr>
          <w:p w14:paraId="0C921C10" w14:textId="62CC31EE"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71,16</w:t>
            </w:r>
            <w:r w:rsidR="00902E92">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5C4B4AFB" w14:textId="4833182A" w:rsidR="007242BD" w:rsidRPr="006B06B9" w:rsidRDefault="00902E9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1A8493A2"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403305AB"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4221 Uredska oprema i namještaj</w:t>
            </w:r>
          </w:p>
        </w:tc>
        <w:tc>
          <w:tcPr>
            <w:tcW w:w="1496" w:type="dxa"/>
            <w:tcBorders>
              <w:top w:val="nil"/>
              <w:left w:val="nil"/>
              <w:bottom w:val="single" w:sz="4" w:space="0" w:color="auto"/>
              <w:right w:val="single" w:sz="4" w:space="0" w:color="auto"/>
            </w:tcBorders>
            <w:noWrap/>
            <w:vAlign w:val="bottom"/>
          </w:tcPr>
          <w:p w14:paraId="006D3576" w14:textId="72CE1B5D"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50.040,77</w:t>
            </w:r>
          </w:p>
        </w:tc>
        <w:tc>
          <w:tcPr>
            <w:tcW w:w="1506" w:type="dxa"/>
            <w:tcBorders>
              <w:top w:val="nil"/>
              <w:left w:val="nil"/>
              <w:bottom w:val="single" w:sz="4" w:space="0" w:color="auto"/>
              <w:right w:val="single" w:sz="4" w:space="0" w:color="auto"/>
            </w:tcBorders>
            <w:noWrap/>
            <w:vAlign w:val="bottom"/>
          </w:tcPr>
          <w:p w14:paraId="78A89627" w14:textId="2F6E3693"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09B6D8D5"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76954F66" w14:textId="588B3886"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58.647,10</w:t>
            </w:r>
          </w:p>
        </w:tc>
        <w:tc>
          <w:tcPr>
            <w:tcW w:w="1117" w:type="dxa"/>
            <w:tcBorders>
              <w:top w:val="nil"/>
              <w:left w:val="nil"/>
              <w:bottom w:val="single" w:sz="4" w:space="0" w:color="auto"/>
              <w:right w:val="single" w:sz="4" w:space="0" w:color="auto"/>
            </w:tcBorders>
            <w:noWrap/>
            <w:vAlign w:val="bottom"/>
          </w:tcPr>
          <w:p w14:paraId="591403C0" w14:textId="59BA19C2"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117,20</w:t>
            </w:r>
            <w:r w:rsidR="00902E92">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6FE0B4CA" w14:textId="3DDB995D" w:rsidR="007242BD" w:rsidRPr="006B06B9" w:rsidRDefault="00902E9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62A1A549"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6B207734"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4222 Komunikacijska oprema</w:t>
            </w:r>
          </w:p>
        </w:tc>
        <w:tc>
          <w:tcPr>
            <w:tcW w:w="1496" w:type="dxa"/>
            <w:tcBorders>
              <w:top w:val="nil"/>
              <w:left w:val="nil"/>
              <w:bottom w:val="single" w:sz="4" w:space="0" w:color="auto"/>
              <w:right w:val="single" w:sz="4" w:space="0" w:color="auto"/>
            </w:tcBorders>
            <w:noWrap/>
            <w:vAlign w:val="bottom"/>
          </w:tcPr>
          <w:p w14:paraId="5789FF6C" w14:textId="4F4E8EFC"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16.815,03</w:t>
            </w:r>
          </w:p>
        </w:tc>
        <w:tc>
          <w:tcPr>
            <w:tcW w:w="1506" w:type="dxa"/>
            <w:tcBorders>
              <w:top w:val="nil"/>
              <w:left w:val="nil"/>
              <w:bottom w:val="single" w:sz="4" w:space="0" w:color="auto"/>
              <w:right w:val="single" w:sz="4" w:space="0" w:color="auto"/>
            </w:tcBorders>
            <w:noWrap/>
            <w:vAlign w:val="bottom"/>
          </w:tcPr>
          <w:p w14:paraId="6418C40C" w14:textId="3A936A5E"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61824E59"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2525FD31" w14:textId="749C0ADF"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6.863,42</w:t>
            </w:r>
          </w:p>
        </w:tc>
        <w:tc>
          <w:tcPr>
            <w:tcW w:w="1117" w:type="dxa"/>
            <w:tcBorders>
              <w:top w:val="nil"/>
              <w:left w:val="nil"/>
              <w:bottom w:val="single" w:sz="4" w:space="0" w:color="auto"/>
              <w:right w:val="single" w:sz="4" w:space="0" w:color="auto"/>
            </w:tcBorders>
            <w:noWrap/>
            <w:vAlign w:val="bottom"/>
          </w:tcPr>
          <w:p w14:paraId="3D6F0BCE" w14:textId="2207B20C"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40,82</w:t>
            </w:r>
            <w:r w:rsidR="00902E92">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6824B0DB" w14:textId="600E82B6" w:rsidR="007242BD" w:rsidRPr="006B06B9" w:rsidRDefault="00902E9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13DC67FF"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6E4ED8A7"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4223 Oprema za održavanje i zaštitu</w:t>
            </w:r>
          </w:p>
        </w:tc>
        <w:tc>
          <w:tcPr>
            <w:tcW w:w="1496" w:type="dxa"/>
            <w:tcBorders>
              <w:top w:val="nil"/>
              <w:left w:val="nil"/>
              <w:bottom w:val="single" w:sz="4" w:space="0" w:color="auto"/>
              <w:right w:val="single" w:sz="4" w:space="0" w:color="auto"/>
            </w:tcBorders>
            <w:noWrap/>
            <w:vAlign w:val="bottom"/>
          </w:tcPr>
          <w:p w14:paraId="61DA7787" w14:textId="2D302B31"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32.600,76</w:t>
            </w:r>
          </w:p>
        </w:tc>
        <w:tc>
          <w:tcPr>
            <w:tcW w:w="1506" w:type="dxa"/>
            <w:tcBorders>
              <w:top w:val="nil"/>
              <w:left w:val="nil"/>
              <w:bottom w:val="single" w:sz="4" w:space="0" w:color="auto"/>
              <w:right w:val="single" w:sz="4" w:space="0" w:color="auto"/>
            </w:tcBorders>
            <w:noWrap/>
            <w:vAlign w:val="bottom"/>
          </w:tcPr>
          <w:p w14:paraId="15284F6F" w14:textId="0DD9B3AB"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4D5C837B"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467C238D" w14:textId="50DED543"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25.749,15</w:t>
            </w:r>
          </w:p>
        </w:tc>
        <w:tc>
          <w:tcPr>
            <w:tcW w:w="1117" w:type="dxa"/>
            <w:tcBorders>
              <w:top w:val="nil"/>
              <w:left w:val="nil"/>
              <w:bottom w:val="single" w:sz="4" w:space="0" w:color="auto"/>
              <w:right w:val="single" w:sz="4" w:space="0" w:color="auto"/>
            </w:tcBorders>
            <w:noWrap/>
            <w:vAlign w:val="bottom"/>
          </w:tcPr>
          <w:p w14:paraId="236CA3FA" w14:textId="462ED9FD"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78,98</w:t>
            </w:r>
            <w:r w:rsidR="00902E92">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19DB79CD" w14:textId="0055513F" w:rsidR="007242BD" w:rsidRPr="006B06B9" w:rsidRDefault="00902E9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243171" w:rsidRPr="006B06B9" w14:paraId="1003AB10"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tcPr>
          <w:p w14:paraId="3F10C2B1" w14:textId="090D264B" w:rsidR="00243171" w:rsidRPr="006B06B9" w:rsidRDefault="00243171" w:rsidP="006B06B9">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4226 Sportska i glazbena oprema</w:t>
            </w:r>
          </w:p>
        </w:tc>
        <w:tc>
          <w:tcPr>
            <w:tcW w:w="1496" w:type="dxa"/>
            <w:tcBorders>
              <w:top w:val="nil"/>
              <w:left w:val="nil"/>
              <w:bottom w:val="single" w:sz="4" w:space="0" w:color="auto"/>
              <w:right w:val="single" w:sz="4" w:space="0" w:color="auto"/>
            </w:tcBorders>
            <w:noWrap/>
            <w:vAlign w:val="bottom"/>
          </w:tcPr>
          <w:p w14:paraId="0109DCFE" w14:textId="615221B1" w:rsidR="00243171"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506" w:type="dxa"/>
            <w:tcBorders>
              <w:top w:val="nil"/>
              <w:left w:val="nil"/>
              <w:bottom w:val="single" w:sz="4" w:space="0" w:color="auto"/>
              <w:right w:val="single" w:sz="4" w:space="0" w:color="auto"/>
            </w:tcBorders>
            <w:noWrap/>
            <w:vAlign w:val="bottom"/>
          </w:tcPr>
          <w:p w14:paraId="726FA3D5" w14:textId="77777777" w:rsidR="00243171" w:rsidRPr="006B06B9" w:rsidRDefault="00243171"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3FED1EFC" w14:textId="77777777" w:rsidR="00243171" w:rsidRPr="006B06B9" w:rsidRDefault="00243171"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06CA91A0" w14:textId="55EA92DF" w:rsidR="00243171"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2.399,88</w:t>
            </w:r>
          </w:p>
        </w:tc>
        <w:tc>
          <w:tcPr>
            <w:tcW w:w="1117" w:type="dxa"/>
            <w:tcBorders>
              <w:top w:val="nil"/>
              <w:left w:val="nil"/>
              <w:bottom w:val="single" w:sz="4" w:space="0" w:color="auto"/>
              <w:right w:val="single" w:sz="4" w:space="0" w:color="auto"/>
            </w:tcBorders>
            <w:noWrap/>
            <w:vAlign w:val="bottom"/>
          </w:tcPr>
          <w:p w14:paraId="24416611" w14:textId="23114E7A" w:rsidR="00243171"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7BF563D4" w14:textId="69FC7383" w:rsidR="00243171"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78EA437C"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7108263E"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4227 Uređaji, strojevi i oprema za ostale namjene</w:t>
            </w:r>
          </w:p>
        </w:tc>
        <w:tc>
          <w:tcPr>
            <w:tcW w:w="1496" w:type="dxa"/>
            <w:tcBorders>
              <w:top w:val="nil"/>
              <w:left w:val="nil"/>
              <w:bottom w:val="single" w:sz="4" w:space="0" w:color="auto"/>
              <w:right w:val="single" w:sz="4" w:space="0" w:color="auto"/>
            </w:tcBorders>
            <w:noWrap/>
            <w:vAlign w:val="bottom"/>
          </w:tcPr>
          <w:p w14:paraId="60B00817" w14:textId="15BD8A50"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508.729,39</w:t>
            </w:r>
          </w:p>
        </w:tc>
        <w:tc>
          <w:tcPr>
            <w:tcW w:w="1506" w:type="dxa"/>
            <w:tcBorders>
              <w:top w:val="nil"/>
              <w:left w:val="nil"/>
              <w:bottom w:val="single" w:sz="4" w:space="0" w:color="auto"/>
              <w:right w:val="single" w:sz="4" w:space="0" w:color="auto"/>
            </w:tcBorders>
            <w:noWrap/>
            <w:vAlign w:val="bottom"/>
          </w:tcPr>
          <w:p w14:paraId="5C334607" w14:textId="28874193"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234D4125"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3612550F" w14:textId="427BD987"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339.098,14</w:t>
            </w:r>
          </w:p>
        </w:tc>
        <w:tc>
          <w:tcPr>
            <w:tcW w:w="1117" w:type="dxa"/>
            <w:tcBorders>
              <w:top w:val="nil"/>
              <w:left w:val="nil"/>
              <w:bottom w:val="single" w:sz="4" w:space="0" w:color="auto"/>
              <w:right w:val="single" w:sz="4" w:space="0" w:color="auto"/>
            </w:tcBorders>
            <w:noWrap/>
            <w:vAlign w:val="bottom"/>
          </w:tcPr>
          <w:p w14:paraId="7855E41B" w14:textId="4437139C"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66,66</w:t>
            </w:r>
            <w:r w:rsidR="00902E92">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121CE0D7" w14:textId="05A047FA" w:rsidR="007242BD" w:rsidRPr="006B06B9" w:rsidRDefault="00902E9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202AEDC0"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4E2BF2C4"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423 Prijevozna sredstva</w:t>
            </w:r>
          </w:p>
        </w:tc>
        <w:tc>
          <w:tcPr>
            <w:tcW w:w="1496" w:type="dxa"/>
            <w:tcBorders>
              <w:top w:val="nil"/>
              <w:left w:val="nil"/>
              <w:bottom w:val="single" w:sz="4" w:space="0" w:color="auto"/>
              <w:right w:val="single" w:sz="4" w:space="0" w:color="auto"/>
            </w:tcBorders>
            <w:noWrap/>
            <w:vAlign w:val="bottom"/>
          </w:tcPr>
          <w:p w14:paraId="070D39D3" w14:textId="2CEAAC5C"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46.589,51</w:t>
            </w:r>
          </w:p>
        </w:tc>
        <w:tc>
          <w:tcPr>
            <w:tcW w:w="1506" w:type="dxa"/>
            <w:tcBorders>
              <w:top w:val="nil"/>
              <w:left w:val="nil"/>
              <w:bottom w:val="single" w:sz="4" w:space="0" w:color="auto"/>
              <w:right w:val="single" w:sz="4" w:space="0" w:color="auto"/>
            </w:tcBorders>
            <w:noWrap/>
            <w:vAlign w:val="bottom"/>
          </w:tcPr>
          <w:p w14:paraId="2170075B" w14:textId="641E13C0"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6A442304"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61D6EE45" w14:textId="4DD947A7"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85.491,00</w:t>
            </w:r>
          </w:p>
        </w:tc>
        <w:tc>
          <w:tcPr>
            <w:tcW w:w="1117" w:type="dxa"/>
            <w:tcBorders>
              <w:top w:val="nil"/>
              <w:left w:val="nil"/>
              <w:bottom w:val="single" w:sz="4" w:space="0" w:color="auto"/>
              <w:right w:val="single" w:sz="4" w:space="0" w:color="auto"/>
            </w:tcBorders>
            <w:noWrap/>
            <w:vAlign w:val="bottom"/>
          </w:tcPr>
          <w:p w14:paraId="0D7FC076" w14:textId="66DB2EE4"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183,50</w:t>
            </w:r>
            <w:r w:rsidR="00902E92">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790717DA" w14:textId="2B688E57" w:rsidR="007242BD" w:rsidRPr="006B06B9" w:rsidRDefault="00902E9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4C757288"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29EF936D"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4231 Prijevozna sredstva u cestovnom prometu</w:t>
            </w:r>
          </w:p>
        </w:tc>
        <w:tc>
          <w:tcPr>
            <w:tcW w:w="1496" w:type="dxa"/>
            <w:tcBorders>
              <w:top w:val="nil"/>
              <w:left w:val="nil"/>
              <w:bottom w:val="single" w:sz="4" w:space="0" w:color="auto"/>
              <w:right w:val="single" w:sz="4" w:space="0" w:color="auto"/>
            </w:tcBorders>
            <w:noWrap/>
            <w:vAlign w:val="bottom"/>
          </w:tcPr>
          <w:p w14:paraId="66F78AAC" w14:textId="38EA9539"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46.589,51</w:t>
            </w:r>
          </w:p>
        </w:tc>
        <w:tc>
          <w:tcPr>
            <w:tcW w:w="1506" w:type="dxa"/>
            <w:tcBorders>
              <w:top w:val="nil"/>
              <w:left w:val="nil"/>
              <w:bottom w:val="single" w:sz="4" w:space="0" w:color="auto"/>
              <w:right w:val="single" w:sz="4" w:space="0" w:color="auto"/>
            </w:tcBorders>
            <w:noWrap/>
            <w:vAlign w:val="bottom"/>
          </w:tcPr>
          <w:p w14:paraId="418FCCAA" w14:textId="3C8F98AD"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4DD29253"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44AB69FA" w14:textId="4030E26E"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85.491,00</w:t>
            </w:r>
          </w:p>
        </w:tc>
        <w:tc>
          <w:tcPr>
            <w:tcW w:w="1117" w:type="dxa"/>
            <w:tcBorders>
              <w:top w:val="nil"/>
              <w:left w:val="nil"/>
              <w:bottom w:val="single" w:sz="4" w:space="0" w:color="auto"/>
              <w:right w:val="single" w:sz="4" w:space="0" w:color="auto"/>
            </w:tcBorders>
            <w:noWrap/>
            <w:vAlign w:val="bottom"/>
          </w:tcPr>
          <w:p w14:paraId="7F0D7BF3" w14:textId="2B25ED55"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183,50</w:t>
            </w:r>
            <w:r w:rsidR="00902E92">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43591B34" w14:textId="153C0FE4" w:rsidR="007242BD" w:rsidRPr="006B06B9" w:rsidRDefault="00902E9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7DCE91F9" w14:textId="77777777" w:rsidTr="006C671D">
        <w:trPr>
          <w:trHeight w:val="563"/>
        </w:trPr>
        <w:tc>
          <w:tcPr>
            <w:tcW w:w="3367" w:type="dxa"/>
            <w:tcBorders>
              <w:top w:val="single" w:sz="4" w:space="0" w:color="auto"/>
              <w:left w:val="single" w:sz="4" w:space="0" w:color="auto"/>
              <w:bottom w:val="single" w:sz="4" w:space="0" w:color="auto"/>
              <w:right w:val="single" w:sz="4" w:space="0" w:color="auto"/>
            </w:tcBorders>
            <w:vAlign w:val="bottom"/>
            <w:hideMark/>
          </w:tcPr>
          <w:p w14:paraId="50B7A0AD"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424 Knjige, umjetnička djela i ostale izložbene vrijednosti</w:t>
            </w:r>
          </w:p>
        </w:tc>
        <w:tc>
          <w:tcPr>
            <w:tcW w:w="1496" w:type="dxa"/>
            <w:tcBorders>
              <w:top w:val="nil"/>
              <w:left w:val="nil"/>
              <w:bottom w:val="single" w:sz="4" w:space="0" w:color="auto"/>
              <w:right w:val="single" w:sz="4" w:space="0" w:color="auto"/>
            </w:tcBorders>
            <w:noWrap/>
            <w:vAlign w:val="bottom"/>
          </w:tcPr>
          <w:p w14:paraId="2F9BDB73" w14:textId="1267954E"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21.015,82</w:t>
            </w:r>
          </w:p>
        </w:tc>
        <w:tc>
          <w:tcPr>
            <w:tcW w:w="1506" w:type="dxa"/>
            <w:tcBorders>
              <w:top w:val="nil"/>
              <w:left w:val="nil"/>
              <w:bottom w:val="single" w:sz="4" w:space="0" w:color="auto"/>
              <w:right w:val="single" w:sz="4" w:space="0" w:color="auto"/>
            </w:tcBorders>
            <w:noWrap/>
            <w:vAlign w:val="bottom"/>
          </w:tcPr>
          <w:p w14:paraId="093E9303" w14:textId="1EACB756"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32514935"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409A9176" w14:textId="6D645B69"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20.804,21</w:t>
            </w:r>
          </w:p>
        </w:tc>
        <w:tc>
          <w:tcPr>
            <w:tcW w:w="1117" w:type="dxa"/>
            <w:tcBorders>
              <w:top w:val="nil"/>
              <w:left w:val="nil"/>
              <w:bottom w:val="single" w:sz="4" w:space="0" w:color="auto"/>
              <w:right w:val="single" w:sz="4" w:space="0" w:color="auto"/>
            </w:tcBorders>
            <w:noWrap/>
            <w:vAlign w:val="bottom"/>
          </w:tcPr>
          <w:p w14:paraId="04CB3EA0" w14:textId="12FAD9A6"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98,99</w:t>
            </w:r>
            <w:r w:rsidR="00902E92">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042E430A" w14:textId="76179D25" w:rsidR="007242BD" w:rsidRPr="006B06B9" w:rsidRDefault="00902E9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0AF52CE8"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78C2F843"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4241 Knjige</w:t>
            </w:r>
          </w:p>
        </w:tc>
        <w:tc>
          <w:tcPr>
            <w:tcW w:w="1496" w:type="dxa"/>
            <w:tcBorders>
              <w:top w:val="nil"/>
              <w:left w:val="nil"/>
              <w:bottom w:val="single" w:sz="4" w:space="0" w:color="auto"/>
              <w:right w:val="single" w:sz="4" w:space="0" w:color="auto"/>
            </w:tcBorders>
            <w:noWrap/>
            <w:vAlign w:val="bottom"/>
          </w:tcPr>
          <w:p w14:paraId="6ABB1773" w14:textId="7000DC8D"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20.815,82</w:t>
            </w:r>
          </w:p>
        </w:tc>
        <w:tc>
          <w:tcPr>
            <w:tcW w:w="1506" w:type="dxa"/>
            <w:tcBorders>
              <w:top w:val="nil"/>
              <w:left w:val="nil"/>
              <w:bottom w:val="single" w:sz="4" w:space="0" w:color="auto"/>
              <w:right w:val="single" w:sz="4" w:space="0" w:color="auto"/>
            </w:tcBorders>
            <w:noWrap/>
            <w:vAlign w:val="bottom"/>
          </w:tcPr>
          <w:p w14:paraId="267F9363" w14:textId="6D44A6C3"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7EE2AF27"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0745F311" w14:textId="33659C2F"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18.804,21</w:t>
            </w:r>
          </w:p>
        </w:tc>
        <w:tc>
          <w:tcPr>
            <w:tcW w:w="1117" w:type="dxa"/>
            <w:tcBorders>
              <w:top w:val="nil"/>
              <w:left w:val="nil"/>
              <w:bottom w:val="single" w:sz="4" w:space="0" w:color="auto"/>
              <w:right w:val="single" w:sz="4" w:space="0" w:color="auto"/>
            </w:tcBorders>
            <w:noWrap/>
            <w:vAlign w:val="bottom"/>
          </w:tcPr>
          <w:p w14:paraId="218A8C33" w14:textId="03CA1974"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90,34</w:t>
            </w:r>
            <w:r w:rsidR="0024737D">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5B313CC5" w14:textId="1B15AA74" w:rsidR="007242BD" w:rsidRPr="006B06B9" w:rsidRDefault="00902E9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19DEE8DD"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7AC883DD"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 xml:space="preserve">4243 Muzejski izlošci i predmeti prirodnih rijetkosti                                                    </w:t>
            </w:r>
          </w:p>
        </w:tc>
        <w:tc>
          <w:tcPr>
            <w:tcW w:w="1496" w:type="dxa"/>
            <w:tcBorders>
              <w:top w:val="nil"/>
              <w:left w:val="nil"/>
              <w:bottom w:val="single" w:sz="4" w:space="0" w:color="auto"/>
              <w:right w:val="single" w:sz="4" w:space="0" w:color="auto"/>
            </w:tcBorders>
            <w:noWrap/>
            <w:vAlign w:val="bottom"/>
          </w:tcPr>
          <w:p w14:paraId="7977AF57" w14:textId="6A10430A"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200,00</w:t>
            </w:r>
          </w:p>
        </w:tc>
        <w:tc>
          <w:tcPr>
            <w:tcW w:w="1506" w:type="dxa"/>
            <w:tcBorders>
              <w:top w:val="nil"/>
              <w:left w:val="nil"/>
              <w:bottom w:val="single" w:sz="4" w:space="0" w:color="auto"/>
              <w:right w:val="single" w:sz="4" w:space="0" w:color="auto"/>
            </w:tcBorders>
            <w:noWrap/>
            <w:vAlign w:val="bottom"/>
          </w:tcPr>
          <w:p w14:paraId="7F8E98C2" w14:textId="5ACA5CAE"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48297928"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1C8749EF" w14:textId="4B52D4F0"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2.000,00</w:t>
            </w:r>
          </w:p>
        </w:tc>
        <w:tc>
          <w:tcPr>
            <w:tcW w:w="1117" w:type="dxa"/>
            <w:tcBorders>
              <w:top w:val="nil"/>
              <w:left w:val="nil"/>
              <w:bottom w:val="single" w:sz="4" w:space="0" w:color="auto"/>
              <w:right w:val="single" w:sz="4" w:space="0" w:color="auto"/>
            </w:tcBorders>
            <w:noWrap/>
            <w:vAlign w:val="bottom"/>
          </w:tcPr>
          <w:p w14:paraId="0D2C0841" w14:textId="263D4899"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1000,00</w:t>
            </w:r>
            <w:r w:rsidR="00902E92">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6D456274" w14:textId="0F10DBBA" w:rsidR="007242BD" w:rsidRPr="006B06B9" w:rsidRDefault="00902E9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24737D" w:rsidRPr="006B06B9" w14:paraId="3544D904"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tcPr>
          <w:p w14:paraId="403B28A3" w14:textId="78D43E3A" w:rsidR="0024737D" w:rsidRPr="006B06B9" w:rsidRDefault="0024737D" w:rsidP="006B06B9">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425 Višegodišnji nasadi i osnovno stado</w:t>
            </w:r>
          </w:p>
        </w:tc>
        <w:tc>
          <w:tcPr>
            <w:tcW w:w="1496" w:type="dxa"/>
            <w:tcBorders>
              <w:top w:val="nil"/>
              <w:left w:val="nil"/>
              <w:bottom w:val="single" w:sz="4" w:space="0" w:color="auto"/>
              <w:right w:val="single" w:sz="4" w:space="0" w:color="auto"/>
            </w:tcBorders>
            <w:noWrap/>
            <w:vAlign w:val="bottom"/>
          </w:tcPr>
          <w:p w14:paraId="3892BBA6" w14:textId="2995A46F" w:rsidR="0024737D"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12.015,50</w:t>
            </w:r>
          </w:p>
        </w:tc>
        <w:tc>
          <w:tcPr>
            <w:tcW w:w="1506" w:type="dxa"/>
            <w:tcBorders>
              <w:top w:val="nil"/>
              <w:left w:val="nil"/>
              <w:bottom w:val="single" w:sz="4" w:space="0" w:color="auto"/>
              <w:right w:val="single" w:sz="4" w:space="0" w:color="auto"/>
            </w:tcBorders>
            <w:noWrap/>
            <w:vAlign w:val="bottom"/>
          </w:tcPr>
          <w:p w14:paraId="70359F40" w14:textId="77777777" w:rsidR="0024737D" w:rsidRPr="006B06B9" w:rsidRDefault="0024737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542B532F" w14:textId="77777777" w:rsidR="0024737D" w:rsidRPr="006B06B9" w:rsidRDefault="0024737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1D231282" w14:textId="64325BBD" w:rsidR="0024737D"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41.281,25</w:t>
            </w:r>
          </w:p>
        </w:tc>
        <w:tc>
          <w:tcPr>
            <w:tcW w:w="1117" w:type="dxa"/>
            <w:tcBorders>
              <w:top w:val="nil"/>
              <w:left w:val="nil"/>
              <w:bottom w:val="single" w:sz="4" w:space="0" w:color="auto"/>
              <w:right w:val="single" w:sz="4" w:space="0" w:color="auto"/>
            </w:tcBorders>
            <w:noWrap/>
            <w:vAlign w:val="bottom"/>
          </w:tcPr>
          <w:p w14:paraId="6589D64C" w14:textId="00BCD1FA" w:rsidR="0024737D"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343,57%</w:t>
            </w:r>
          </w:p>
        </w:tc>
        <w:tc>
          <w:tcPr>
            <w:tcW w:w="1006" w:type="dxa"/>
            <w:tcBorders>
              <w:top w:val="nil"/>
              <w:left w:val="nil"/>
              <w:bottom w:val="single" w:sz="4" w:space="0" w:color="auto"/>
              <w:right w:val="single" w:sz="4" w:space="0" w:color="auto"/>
            </w:tcBorders>
            <w:noWrap/>
            <w:vAlign w:val="bottom"/>
          </w:tcPr>
          <w:p w14:paraId="73EF0FFA" w14:textId="6B2AB7DE" w:rsidR="0024737D" w:rsidRDefault="0024737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24737D" w:rsidRPr="006B06B9" w14:paraId="75F7EB51"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tcPr>
          <w:p w14:paraId="07B578EE" w14:textId="62FE0E71" w:rsidR="0024737D" w:rsidRDefault="0024737D" w:rsidP="006B06B9">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4251 Višegodišnji nasadi</w:t>
            </w:r>
          </w:p>
        </w:tc>
        <w:tc>
          <w:tcPr>
            <w:tcW w:w="1496" w:type="dxa"/>
            <w:tcBorders>
              <w:top w:val="nil"/>
              <w:left w:val="nil"/>
              <w:bottom w:val="single" w:sz="4" w:space="0" w:color="auto"/>
              <w:right w:val="single" w:sz="4" w:space="0" w:color="auto"/>
            </w:tcBorders>
            <w:noWrap/>
            <w:vAlign w:val="bottom"/>
          </w:tcPr>
          <w:p w14:paraId="57ECE5C0" w14:textId="28FB1017" w:rsidR="0024737D"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12.015,50</w:t>
            </w:r>
          </w:p>
        </w:tc>
        <w:tc>
          <w:tcPr>
            <w:tcW w:w="1506" w:type="dxa"/>
            <w:tcBorders>
              <w:top w:val="nil"/>
              <w:left w:val="nil"/>
              <w:bottom w:val="single" w:sz="4" w:space="0" w:color="auto"/>
              <w:right w:val="single" w:sz="4" w:space="0" w:color="auto"/>
            </w:tcBorders>
            <w:noWrap/>
            <w:vAlign w:val="bottom"/>
          </w:tcPr>
          <w:p w14:paraId="3636E5CB" w14:textId="77777777" w:rsidR="0024737D" w:rsidRPr="006B06B9" w:rsidRDefault="0024737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731A7DED" w14:textId="77777777" w:rsidR="0024737D" w:rsidRPr="006B06B9" w:rsidRDefault="0024737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5A5DDD7D" w14:textId="099B674B" w:rsidR="0024737D"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41.281,25</w:t>
            </w:r>
          </w:p>
        </w:tc>
        <w:tc>
          <w:tcPr>
            <w:tcW w:w="1117" w:type="dxa"/>
            <w:tcBorders>
              <w:top w:val="nil"/>
              <w:left w:val="nil"/>
              <w:bottom w:val="single" w:sz="4" w:space="0" w:color="auto"/>
              <w:right w:val="single" w:sz="4" w:space="0" w:color="auto"/>
            </w:tcBorders>
            <w:noWrap/>
            <w:vAlign w:val="bottom"/>
          </w:tcPr>
          <w:p w14:paraId="5E06EFEE" w14:textId="387544DE" w:rsidR="0024737D"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343,57%</w:t>
            </w:r>
          </w:p>
        </w:tc>
        <w:tc>
          <w:tcPr>
            <w:tcW w:w="1006" w:type="dxa"/>
            <w:tcBorders>
              <w:top w:val="nil"/>
              <w:left w:val="nil"/>
              <w:bottom w:val="single" w:sz="4" w:space="0" w:color="auto"/>
              <w:right w:val="single" w:sz="4" w:space="0" w:color="auto"/>
            </w:tcBorders>
            <w:noWrap/>
            <w:vAlign w:val="bottom"/>
          </w:tcPr>
          <w:p w14:paraId="4B2F7067" w14:textId="19211C87" w:rsidR="0024737D" w:rsidRDefault="0024737D"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4C4328EC"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17982F58"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426 Nematerijalna proizvedena imovina</w:t>
            </w:r>
          </w:p>
        </w:tc>
        <w:tc>
          <w:tcPr>
            <w:tcW w:w="1496" w:type="dxa"/>
            <w:tcBorders>
              <w:top w:val="nil"/>
              <w:left w:val="nil"/>
              <w:bottom w:val="single" w:sz="4" w:space="0" w:color="auto"/>
              <w:right w:val="single" w:sz="4" w:space="0" w:color="auto"/>
            </w:tcBorders>
            <w:noWrap/>
            <w:vAlign w:val="bottom"/>
          </w:tcPr>
          <w:p w14:paraId="445CFA44" w14:textId="68EDE819"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74.930,86</w:t>
            </w:r>
          </w:p>
        </w:tc>
        <w:tc>
          <w:tcPr>
            <w:tcW w:w="1506" w:type="dxa"/>
            <w:tcBorders>
              <w:top w:val="nil"/>
              <w:left w:val="nil"/>
              <w:bottom w:val="single" w:sz="4" w:space="0" w:color="auto"/>
              <w:right w:val="single" w:sz="4" w:space="0" w:color="auto"/>
            </w:tcBorders>
            <w:noWrap/>
            <w:vAlign w:val="bottom"/>
          </w:tcPr>
          <w:p w14:paraId="3DF9DE7E" w14:textId="4B9ED899"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4B3623B1"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35D94ECE" w14:textId="7E7EC79F" w:rsidR="007242BD" w:rsidRPr="006B06B9" w:rsidRDefault="00A90FD6" w:rsidP="0024737D">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42.943,75</w:t>
            </w:r>
          </w:p>
        </w:tc>
        <w:tc>
          <w:tcPr>
            <w:tcW w:w="1117" w:type="dxa"/>
            <w:tcBorders>
              <w:top w:val="nil"/>
              <w:left w:val="nil"/>
              <w:bottom w:val="single" w:sz="4" w:space="0" w:color="auto"/>
              <w:right w:val="single" w:sz="4" w:space="0" w:color="auto"/>
            </w:tcBorders>
            <w:noWrap/>
            <w:vAlign w:val="bottom"/>
          </w:tcPr>
          <w:p w14:paraId="6CB1162A" w14:textId="5CCF12B0" w:rsidR="007242BD" w:rsidRPr="006B06B9" w:rsidRDefault="00A90FD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57,31</w:t>
            </w:r>
            <w:r w:rsidR="00902E92">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60AC4796" w14:textId="4991472C" w:rsidR="007242BD" w:rsidRPr="006B06B9" w:rsidRDefault="00902E9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2173708A"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hideMark/>
          </w:tcPr>
          <w:p w14:paraId="4785C0FF" w14:textId="77777777" w:rsidR="007242BD" w:rsidRPr="006B06B9" w:rsidRDefault="007242BD" w:rsidP="006B06B9">
            <w:pPr>
              <w:spacing w:after="0" w:line="240" w:lineRule="auto"/>
              <w:rPr>
                <w:rFonts w:ascii="Arial" w:eastAsia="Times New Roman" w:hAnsi="Arial" w:cs="Arial"/>
                <w:sz w:val="20"/>
                <w:szCs w:val="20"/>
                <w:lang w:eastAsia="hr-HR"/>
              </w:rPr>
            </w:pPr>
            <w:r w:rsidRPr="006B06B9">
              <w:rPr>
                <w:rFonts w:ascii="Arial" w:eastAsia="Times New Roman" w:hAnsi="Arial" w:cs="Arial"/>
                <w:sz w:val="20"/>
                <w:szCs w:val="20"/>
                <w:lang w:eastAsia="hr-HR"/>
              </w:rPr>
              <w:t>4264 Ostala nematerijalna proizvedena imovina</w:t>
            </w:r>
          </w:p>
        </w:tc>
        <w:tc>
          <w:tcPr>
            <w:tcW w:w="1496" w:type="dxa"/>
            <w:tcBorders>
              <w:top w:val="nil"/>
              <w:left w:val="nil"/>
              <w:bottom w:val="single" w:sz="4" w:space="0" w:color="auto"/>
              <w:right w:val="single" w:sz="4" w:space="0" w:color="auto"/>
            </w:tcBorders>
            <w:noWrap/>
            <w:vAlign w:val="bottom"/>
          </w:tcPr>
          <w:p w14:paraId="7149D99D" w14:textId="5F7EC688" w:rsidR="007242BD" w:rsidRPr="006B06B9" w:rsidRDefault="00243171"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74.930,86</w:t>
            </w:r>
          </w:p>
        </w:tc>
        <w:tc>
          <w:tcPr>
            <w:tcW w:w="1506" w:type="dxa"/>
            <w:tcBorders>
              <w:top w:val="nil"/>
              <w:left w:val="nil"/>
              <w:bottom w:val="single" w:sz="4" w:space="0" w:color="auto"/>
              <w:right w:val="single" w:sz="4" w:space="0" w:color="auto"/>
            </w:tcBorders>
            <w:noWrap/>
            <w:vAlign w:val="bottom"/>
          </w:tcPr>
          <w:p w14:paraId="392E5A37" w14:textId="19F9A60B" w:rsidR="007242BD" w:rsidRPr="006B06B9" w:rsidRDefault="007242BD"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737CCBCC" w14:textId="77777777" w:rsidR="007242BD" w:rsidRPr="006B06B9" w:rsidRDefault="007242BD"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4247C553" w14:textId="6986DCB3" w:rsidR="007242BD" w:rsidRPr="006B06B9" w:rsidRDefault="00A90FD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42.943,75</w:t>
            </w:r>
          </w:p>
        </w:tc>
        <w:tc>
          <w:tcPr>
            <w:tcW w:w="1117" w:type="dxa"/>
            <w:tcBorders>
              <w:top w:val="nil"/>
              <w:left w:val="nil"/>
              <w:bottom w:val="single" w:sz="4" w:space="0" w:color="auto"/>
              <w:right w:val="single" w:sz="4" w:space="0" w:color="auto"/>
            </w:tcBorders>
            <w:noWrap/>
            <w:vAlign w:val="bottom"/>
          </w:tcPr>
          <w:p w14:paraId="5669D6B8" w14:textId="192372A8" w:rsidR="007242BD" w:rsidRPr="006B06B9" w:rsidRDefault="00A90FD6"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57,31</w:t>
            </w:r>
            <w:r w:rsidR="00902E92">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355F3B51" w14:textId="67CBCD17" w:rsidR="007242BD" w:rsidRPr="006B06B9" w:rsidRDefault="00902E9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243171" w:rsidRPr="006B06B9" w14:paraId="5D9CFF9F" w14:textId="77777777" w:rsidTr="00FF4822">
        <w:trPr>
          <w:trHeight w:val="251"/>
        </w:trPr>
        <w:tc>
          <w:tcPr>
            <w:tcW w:w="3367" w:type="dxa"/>
            <w:tcBorders>
              <w:top w:val="single" w:sz="4" w:space="0" w:color="auto"/>
              <w:left w:val="single" w:sz="4" w:space="0" w:color="auto"/>
              <w:bottom w:val="single" w:sz="4" w:space="0" w:color="auto"/>
              <w:right w:val="single" w:sz="4" w:space="0" w:color="auto"/>
            </w:tcBorders>
            <w:noWrap/>
            <w:vAlign w:val="bottom"/>
          </w:tcPr>
          <w:p w14:paraId="0D60A3E9" w14:textId="46539615" w:rsidR="00243171" w:rsidRPr="00FF4822" w:rsidRDefault="00243171" w:rsidP="006B06B9">
            <w:pPr>
              <w:spacing w:after="0" w:line="240" w:lineRule="auto"/>
              <w:rPr>
                <w:rFonts w:ascii="Arial" w:eastAsia="Times New Roman" w:hAnsi="Arial" w:cs="Arial"/>
                <w:b/>
                <w:bCs/>
                <w:sz w:val="20"/>
                <w:szCs w:val="20"/>
                <w:lang w:eastAsia="hr-HR"/>
              </w:rPr>
            </w:pPr>
            <w:r w:rsidRPr="00FF4822">
              <w:rPr>
                <w:rFonts w:ascii="Arial" w:eastAsia="Times New Roman" w:hAnsi="Arial" w:cs="Arial"/>
                <w:b/>
                <w:bCs/>
                <w:sz w:val="20"/>
                <w:szCs w:val="20"/>
                <w:lang w:eastAsia="hr-HR"/>
              </w:rPr>
              <w:t xml:space="preserve">43 Rashodi za nabavu plemenitih metala i ostalih pohranjenih vrijednosti </w:t>
            </w:r>
          </w:p>
        </w:tc>
        <w:tc>
          <w:tcPr>
            <w:tcW w:w="1496" w:type="dxa"/>
            <w:tcBorders>
              <w:top w:val="nil"/>
              <w:left w:val="nil"/>
              <w:bottom w:val="single" w:sz="4" w:space="0" w:color="auto"/>
              <w:right w:val="single" w:sz="4" w:space="0" w:color="auto"/>
            </w:tcBorders>
            <w:noWrap/>
            <w:vAlign w:val="bottom"/>
          </w:tcPr>
          <w:p w14:paraId="4F7CE082" w14:textId="6EB305D7" w:rsidR="00243171" w:rsidRPr="00FF4822" w:rsidRDefault="00FF4822" w:rsidP="006B06B9">
            <w:pPr>
              <w:spacing w:after="0" w:line="240" w:lineRule="auto"/>
              <w:jc w:val="right"/>
              <w:rPr>
                <w:rFonts w:ascii="Arial" w:eastAsia="Times New Roman" w:hAnsi="Arial" w:cs="Arial"/>
                <w:b/>
                <w:bCs/>
                <w:sz w:val="20"/>
                <w:szCs w:val="20"/>
                <w:lang w:eastAsia="hr-HR"/>
              </w:rPr>
            </w:pPr>
            <w:r w:rsidRPr="00FF4822">
              <w:rPr>
                <w:rFonts w:ascii="Arial" w:eastAsia="Times New Roman" w:hAnsi="Arial" w:cs="Arial"/>
                <w:b/>
                <w:bCs/>
                <w:sz w:val="20"/>
                <w:szCs w:val="20"/>
                <w:lang w:eastAsia="hr-HR"/>
              </w:rPr>
              <w:t>0,00</w:t>
            </w:r>
          </w:p>
        </w:tc>
        <w:tc>
          <w:tcPr>
            <w:tcW w:w="1506" w:type="dxa"/>
            <w:tcBorders>
              <w:top w:val="nil"/>
              <w:left w:val="nil"/>
              <w:bottom w:val="single" w:sz="4" w:space="0" w:color="auto"/>
              <w:right w:val="single" w:sz="4" w:space="0" w:color="auto"/>
            </w:tcBorders>
            <w:noWrap/>
            <w:vAlign w:val="bottom"/>
          </w:tcPr>
          <w:p w14:paraId="04BDC448" w14:textId="26EE4FD3" w:rsidR="00243171" w:rsidRPr="00FF4822" w:rsidRDefault="00FF4822" w:rsidP="006B06B9">
            <w:pPr>
              <w:spacing w:after="0" w:line="240" w:lineRule="auto"/>
              <w:jc w:val="right"/>
              <w:rPr>
                <w:rFonts w:ascii="Arial" w:eastAsia="Times New Roman" w:hAnsi="Arial" w:cs="Arial"/>
                <w:b/>
                <w:bCs/>
                <w:sz w:val="20"/>
                <w:szCs w:val="20"/>
                <w:lang w:eastAsia="hr-HR"/>
              </w:rPr>
            </w:pPr>
            <w:r w:rsidRPr="00FF4822">
              <w:rPr>
                <w:rFonts w:ascii="Arial" w:eastAsia="Times New Roman" w:hAnsi="Arial" w:cs="Arial"/>
                <w:b/>
                <w:bCs/>
                <w:sz w:val="20"/>
                <w:szCs w:val="20"/>
                <w:lang w:eastAsia="hr-HR"/>
              </w:rPr>
              <w:t>2.500,00</w:t>
            </w:r>
          </w:p>
        </w:tc>
        <w:tc>
          <w:tcPr>
            <w:tcW w:w="1496" w:type="dxa"/>
            <w:tcBorders>
              <w:top w:val="single" w:sz="4" w:space="0" w:color="auto"/>
              <w:left w:val="nil"/>
              <w:bottom w:val="single" w:sz="4" w:space="0" w:color="auto"/>
              <w:right w:val="single" w:sz="4" w:space="0" w:color="auto"/>
            </w:tcBorders>
            <w:vAlign w:val="bottom"/>
          </w:tcPr>
          <w:p w14:paraId="7F1FA497" w14:textId="4B898D2E" w:rsidR="00243171" w:rsidRPr="00FF4822" w:rsidRDefault="00FF4822" w:rsidP="006B06B9">
            <w:pPr>
              <w:spacing w:after="0" w:line="240" w:lineRule="auto"/>
              <w:jc w:val="right"/>
              <w:rPr>
                <w:rFonts w:ascii="Arial" w:eastAsia="Times New Roman" w:hAnsi="Arial" w:cs="Arial"/>
                <w:b/>
                <w:bCs/>
                <w:sz w:val="20"/>
                <w:szCs w:val="20"/>
                <w:lang w:eastAsia="hr-HR"/>
              </w:rPr>
            </w:pPr>
            <w:r w:rsidRPr="00FF4822">
              <w:rPr>
                <w:rFonts w:ascii="Arial" w:eastAsia="Times New Roman" w:hAnsi="Arial" w:cs="Arial"/>
                <w:b/>
                <w:bCs/>
                <w:sz w:val="20"/>
                <w:szCs w:val="20"/>
                <w:lang w:eastAsia="hr-HR"/>
              </w:rPr>
              <w:t>2.500,00</w:t>
            </w:r>
          </w:p>
        </w:tc>
        <w:tc>
          <w:tcPr>
            <w:tcW w:w="1600" w:type="dxa"/>
            <w:tcBorders>
              <w:top w:val="nil"/>
              <w:left w:val="single" w:sz="4" w:space="0" w:color="auto"/>
              <w:bottom w:val="single" w:sz="4" w:space="0" w:color="auto"/>
              <w:right w:val="single" w:sz="4" w:space="0" w:color="auto"/>
            </w:tcBorders>
            <w:noWrap/>
            <w:vAlign w:val="bottom"/>
          </w:tcPr>
          <w:p w14:paraId="7BFA3C06" w14:textId="3FB0E8BA" w:rsidR="00243171" w:rsidRPr="00FF4822" w:rsidRDefault="00FF4822" w:rsidP="006B06B9">
            <w:pPr>
              <w:spacing w:after="0" w:line="240" w:lineRule="auto"/>
              <w:jc w:val="right"/>
              <w:rPr>
                <w:rFonts w:ascii="Arial" w:eastAsia="Times New Roman" w:hAnsi="Arial" w:cs="Arial"/>
                <w:b/>
                <w:bCs/>
                <w:sz w:val="20"/>
                <w:szCs w:val="20"/>
                <w:lang w:eastAsia="hr-HR"/>
              </w:rPr>
            </w:pPr>
            <w:r w:rsidRPr="00FF4822">
              <w:rPr>
                <w:rFonts w:ascii="Arial" w:eastAsia="Times New Roman" w:hAnsi="Arial" w:cs="Arial"/>
                <w:b/>
                <w:bCs/>
                <w:sz w:val="20"/>
                <w:szCs w:val="20"/>
                <w:lang w:eastAsia="hr-HR"/>
              </w:rPr>
              <w:t>2.500,00</w:t>
            </w:r>
          </w:p>
        </w:tc>
        <w:tc>
          <w:tcPr>
            <w:tcW w:w="1117" w:type="dxa"/>
            <w:tcBorders>
              <w:top w:val="nil"/>
              <w:left w:val="nil"/>
              <w:bottom w:val="single" w:sz="4" w:space="0" w:color="auto"/>
              <w:right w:val="single" w:sz="4" w:space="0" w:color="auto"/>
            </w:tcBorders>
            <w:noWrap/>
            <w:vAlign w:val="bottom"/>
          </w:tcPr>
          <w:p w14:paraId="49DDA618" w14:textId="00DD0815" w:rsidR="00243171" w:rsidRPr="00FF4822" w:rsidRDefault="00FF4822" w:rsidP="006B06B9">
            <w:pPr>
              <w:spacing w:after="0" w:line="240" w:lineRule="auto"/>
              <w:jc w:val="right"/>
              <w:rPr>
                <w:rFonts w:ascii="Arial" w:eastAsia="Times New Roman" w:hAnsi="Arial" w:cs="Arial"/>
                <w:b/>
                <w:bCs/>
                <w:sz w:val="20"/>
                <w:szCs w:val="20"/>
                <w:lang w:eastAsia="hr-HR"/>
              </w:rPr>
            </w:pPr>
            <w:r w:rsidRPr="00FF4822">
              <w:rPr>
                <w:rFonts w:ascii="Arial" w:eastAsia="Times New Roman" w:hAnsi="Arial" w:cs="Arial"/>
                <w:b/>
                <w:bCs/>
                <w:sz w:val="20"/>
                <w:szCs w:val="20"/>
                <w:lang w:eastAsia="hr-HR"/>
              </w:rPr>
              <w:t>-</w:t>
            </w:r>
          </w:p>
        </w:tc>
        <w:tc>
          <w:tcPr>
            <w:tcW w:w="1006" w:type="dxa"/>
            <w:tcBorders>
              <w:top w:val="nil"/>
              <w:left w:val="nil"/>
              <w:bottom w:val="single" w:sz="4" w:space="0" w:color="auto"/>
              <w:right w:val="single" w:sz="4" w:space="0" w:color="auto"/>
            </w:tcBorders>
            <w:noWrap/>
            <w:vAlign w:val="bottom"/>
          </w:tcPr>
          <w:p w14:paraId="5739C08F" w14:textId="339487A2" w:rsidR="00243171" w:rsidRPr="00FF4822" w:rsidRDefault="00FF4822" w:rsidP="006B06B9">
            <w:pPr>
              <w:spacing w:after="0" w:line="240" w:lineRule="auto"/>
              <w:jc w:val="right"/>
              <w:rPr>
                <w:rFonts w:ascii="Arial" w:eastAsia="Times New Roman" w:hAnsi="Arial" w:cs="Arial"/>
                <w:b/>
                <w:bCs/>
                <w:sz w:val="20"/>
                <w:szCs w:val="20"/>
                <w:lang w:eastAsia="hr-HR"/>
              </w:rPr>
            </w:pPr>
            <w:r w:rsidRPr="00FF4822">
              <w:rPr>
                <w:rFonts w:ascii="Arial" w:eastAsia="Times New Roman" w:hAnsi="Arial" w:cs="Arial"/>
                <w:b/>
                <w:bCs/>
                <w:sz w:val="20"/>
                <w:szCs w:val="20"/>
                <w:lang w:eastAsia="hr-HR"/>
              </w:rPr>
              <w:t>100,00%</w:t>
            </w:r>
          </w:p>
        </w:tc>
      </w:tr>
      <w:tr w:rsidR="00243171" w:rsidRPr="006B06B9" w14:paraId="12C5BFA0" w14:textId="77777777" w:rsidTr="006C671D">
        <w:trPr>
          <w:trHeight w:val="251"/>
        </w:trPr>
        <w:tc>
          <w:tcPr>
            <w:tcW w:w="3367" w:type="dxa"/>
            <w:tcBorders>
              <w:top w:val="single" w:sz="4" w:space="0" w:color="auto"/>
              <w:left w:val="single" w:sz="4" w:space="0" w:color="auto"/>
              <w:bottom w:val="single" w:sz="4" w:space="0" w:color="auto"/>
              <w:right w:val="single" w:sz="4" w:space="0" w:color="auto"/>
            </w:tcBorders>
            <w:noWrap/>
            <w:vAlign w:val="bottom"/>
          </w:tcPr>
          <w:p w14:paraId="78D26E66" w14:textId="545F3A3A" w:rsidR="00243171" w:rsidRDefault="00243171" w:rsidP="006B06B9">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 xml:space="preserve">431 Plemeniti metali i ostale pohranjene vrijednosti </w:t>
            </w:r>
          </w:p>
        </w:tc>
        <w:tc>
          <w:tcPr>
            <w:tcW w:w="1496" w:type="dxa"/>
            <w:tcBorders>
              <w:top w:val="nil"/>
              <w:left w:val="nil"/>
              <w:bottom w:val="single" w:sz="4" w:space="0" w:color="auto"/>
              <w:right w:val="single" w:sz="4" w:space="0" w:color="auto"/>
            </w:tcBorders>
            <w:noWrap/>
            <w:vAlign w:val="bottom"/>
          </w:tcPr>
          <w:p w14:paraId="3BE224F5" w14:textId="584216A6" w:rsidR="00243171" w:rsidRDefault="00FF482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506" w:type="dxa"/>
            <w:tcBorders>
              <w:top w:val="nil"/>
              <w:left w:val="nil"/>
              <w:bottom w:val="single" w:sz="4" w:space="0" w:color="auto"/>
              <w:right w:val="single" w:sz="4" w:space="0" w:color="auto"/>
            </w:tcBorders>
            <w:noWrap/>
            <w:vAlign w:val="bottom"/>
          </w:tcPr>
          <w:p w14:paraId="6DB0A60A" w14:textId="77777777" w:rsidR="00243171" w:rsidRPr="006B06B9" w:rsidRDefault="00243171"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tcPr>
          <w:p w14:paraId="2CDEC213" w14:textId="77777777" w:rsidR="00243171" w:rsidRPr="006B06B9" w:rsidRDefault="00243171" w:rsidP="006B06B9">
            <w:pPr>
              <w:spacing w:after="0" w:line="240" w:lineRule="auto"/>
              <w:jc w:val="right"/>
              <w:rPr>
                <w:rFonts w:ascii="Arial" w:eastAsia="Times New Roman" w:hAnsi="Arial" w:cs="Arial"/>
                <w:sz w:val="20"/>
                <w:szCs w:val="20"/>
                <w:lang w:eastAsia="hr-HR"/>
              </w:rPr>
            </w:pPr>
          </w:p>
        </w:tc>
        <w:tc>
          <w:tcPr>
            <w:tcW w:w="1600" w:type="dxa"/>
            <w:tcBorders>
              <w:top w:val="nil"/>
              <w:left w:val="single" w:sz="4" w:space="0" w:color="auto"/>
              <w:bottom w:val="single" w:sz="4" w:space="0" w:color="auto"/>
              <w:right w:val="single" w:sz="4" w:space="0" w:color="auto"/>
            </w:tcBorders>
            <w:noWrap/>
            <w:vAlign w:val="bottom"/>
          </w:tcPr>
          <w:p w14:paraId="78C810DD" w14:textId="7E4B8BE1" w:rsidR="00243171" w:rsidRDefault="00FF482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2.500,00</w:t>
            </w:r>
          </w:p>
        </w:tc>
        <w:tc>
          <w:tcPr>
            <w:tcW w:w="1117" w:type="dxa"/>
            <w:tcBorders>
              <w:top w:val="nil"/>
              <w:left w:val="nil"/>
              <w:bottom w:val="single" w:sz="4" w:space="0" w:color="auto"/>
              <w:right w:val="single" w:sz="4" w:space="0" w:color="auto"/>
            </w:tcBorders>
            <w:noWrap/>
            <w:vAlign w:val="bottom"/>
          </w:tcPr>
          <w:p w14:paraId="2E3BF6CE" w14:textId="33423F09" w:rsidR="00243171" w:rsidRDefault="00FF482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noWrap/>
            <w:vAlign w:val="bottom"/>
          </w:tcPr>
          <w:p w14:paraId="4D7814E0" w14:textId="0F78FF55" w:rsidR="00243171" w:rsidRDefault="00FF482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B4F8D" w:rsidRPr="006B06B9" w14:paraId="769ADBCD" w14:textId="77777777" w:rsidTr="006C671D">
        <w:trPr>
          <w:trHeight w:val="519"/>
        </w:trPr>
        <w:tc>
          <w:tcPr>
            <w:tcW w:w="3367" w:type="dxa"/>
            <w:tcBorders>
              <w:top w:val="single" w:sz="4" w:space="0" w:color="auto"/>
              <w:left w:val="single" w:sz="4" w:space="0" w:color="auto"/>
              <w:bottom w:val="single" w:sz="4" w:space="0" w:color="auto"/>
              <w:right w:val="single" w:sz="4" w:space="0" w:color="auto"/>
            </w:tcBorders>
            <w:vAlign w:val="bottom"/>
            <w:hideMark/>
          </w:tcPr>
          <w:p w14:paraId="64B11700" w14:textId="77777777" w:rsidR="007242BD" w:rsidRPr="006B06B9" w:rsidRDefault="007242BD" w:rsidP="006B06B9">
            <w:pPr>
              <w:spacing w:after="0" w:line="240" w:lineRule="auto"/>
              <w:rPr>
                <w:rFonts w:ascii="Arial" w:eastAsia="Times New Roman" w:hAnsi="Arial" w:cs="Arial"/>
                <w:b/>
                <w:bCs/>
                <w:sz w:val="20"/>
                <w:szCs w:val="20"/>
                <w:lang w:eastAsia="hr-HR"/>
              </w:rPr>
            </w:pPr>
            <w:r w:rsidRPr="006B06B9">
              <w:rPr>
                <w:rFonts w:ascii="Arial" w:eastAsia="Times New Roman" w:hAnsi="Arial" w:cs="Arial"/>
                <w:b/>
                <w:bCs/>
                <w:sz w:val="20"/>
                <w:szCs w:val="20"/>
                <w:lang w:eastAsia="hr-HR"/>
              </w:rPr>
              <w:lastRenderedPageBreak/>
              <w:t>45 Rashodi za dodatna ulaganja na nefinancijskoj imovini</w:t>
            </w:r>
          </w:p>
        </w:tc>
        <w:tc>
          <w:tcPr>
            <w:tcW w:w="1496" w:type="dxa"/>
            <w:tcBorders>
              <w:top w:val="nil"/>
              <w:left w:val="nil"/>
              <w:bottom w:val="single" w:sz="4" w:space="0" w:color="auto"/>
              <w:right w:val="single" w:sz="4" w:space="0" w:color="auto"/>
            </w:tcBorders>
            <w:noWrap/>
            <w:vAlign w:val="bottom"/>
          </w:tcPr>
          <w:p w14:paraId="78CC5607" w14:textId="0C94DF63" w:rsidR="007242BD" w:rsidRPr="006B06B9" w:rsidRDefault="00FF4822"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506" w:type="dxa"/>
            <w:tcBorders>
              <w:top w:val="nil"/>
              <w:left w:val="nil"/>
              <w:bottom w:val="single" w:sz="4" w:space="0" w:color="auto"/>
              <w:right w:val="single" w:sz="4" w:space="0" w:color="auto"/>
            </w:tcBorders>
            <w:noWrap/>
            <w:vAlign w:val="bottom"/>
          </w:tcPr>
          <w:p w14:paraId="520D547C" w14:textId="61A09FAA" w:rsidR="007242BD" w:rsidRPr="006B06B9" w:rsidRDefault="00FF4822"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239.000,00</w:t>
            </w:r>
          </w:p>
        </w:tc>
        <w:tc>
          <w:tcPr>
            <w:tcW w:w="1496" w:type="dxa"/>
            <w:tcBorders>
              <w:top w:val="single" w:sz="4" w:space="0" w:color="auto"/>
              <w:left w:val="nil"/>
              <w:bottom w:val="single" w:sz="4" w:space="0" w:color="auto"/>
              <w:right w:val="single" w:sz="4" w:space="0" w:color="auto"/>
            </w:tcBorders>
            <w:vAlign w:val="bottom"/>
          </w:tcPr>
          <w:p w14:paraId="35B838B5" w14:textId="0E926DA6" w:rsidR="007242BD" w:rsidRPr="006B06B9" w:rsidRDefault="00FF4822"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224.000,00</w:t>
            </w:r>
          </w:p>
        </w:tc>
        <w:tc>
          <w:tcPr>
            <w:tcW w:w="1600" w:type="dxa"/>
            <w:tcBorders>
              <w:top w:val="nil"/>
              <w:left w:val="single" w:sz="4" w:space="0" w:color="auto"/>
              <w:bottom w:val="single" w:sz="4" w:space="0" w:color="auto"/>
              <w:right w:val="single" w:sz="4" w:space="0" w:color="auto"/>
            </w:tcBorders>
            <w:noWrap/>
            <w:vAlign w:val="bottom"/>
          </w:tcPr>
          <w:p w14:paraId="646F0252" w14:textId="027825DC" w:rsidR="007242BD" w:rsidRPr="006B06B9" w:rsidRDefault="00FF4822"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89.879,95</w:t>
            </w:r>
          </w:p>
        </w:tc>
        <w:tc>
          <w:tcPr>
            <w:tcW w:w="1117" w:type="dxa"/>
            <w:tcBorders>
              <w:top w:val="nil"/>
              <w:left w:val="nil"/>
              <w:bottom w:val="single" w:sz="4" w:space="0" w:color="auto"/>
              <w:right w:val="single" w:sz="4" w:space="0" w:color="auto"/>
            </w:tcBorders>
            <w:noWrap/>
            <w:vAlign w:val="bottom"/>
          </w:tcPr>
          <w:p w14:paraId="11B8E580" w14:textId="1A24CD0B" w:rsidR="007242BD" w:rsidRPr="006B06B9" w:rsidRDefault="0024737D"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c>
          <w:tcPr>
            <w:tcW w:w="1006" w:type="dxa"/>
            <w:tcBorders>
              <w:top w:val="nil"/>
              <w:left w:val="nil"/>
              <w:bottom w:val="single" w:sz="4" w:space="0" w:color="auto"/>
              <w:right w:val="single" w:sz="4" w:space="0" w:color="auto"/>
            </w:tcBorders>
            <w:noWrap/>
            <w:vAlign w:val="bottom"/>
          </w:tcPr>
          <w:p w14:paraId="7D490D94" w14:textId="4A89C88E" w:rsidR="007242BD" w:rsidRPr="006B06B9" w:rsidRDefault="00FF4822"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40,12%</w:t>
            </w:r>
          </w:p>
        </w:tc>
      </w:tr>
      <w:tr w:rsidR="00902E92" w:rsidRPr="006B06B9" w14:paraId="237DCB5F" w14:textId="77777777" w:rsidTr="006C671D">
        <w:trPr>
          <w:trHeight w:val="519"/>
        </w:trPr>
        <w:tc>
          <w:tcPr>
            <w:tcW w:w="3367" w:type="dxa"/>
            <w:tcBorders>
              <w:top w:val="single" w:sz="4" w:space="0" w:color="auto"/>
              <w:left w:val="single" w:sz="4" w:space="0" w:color="auto"/>
              <w:bottom w:val="single" w:sz="4" w:space="0" w:color="auto"/>
              <w:right w:val="single" w:sz="4" w:space="0" w:color="auto"/>
            </w:tcBorders>
            <w:vAlign w:val="bottom"/>
          </w:tcPr>
          <w:p w14:paraId="493834A2" w14:textId="611C7627" w:rsidR="00902E92" w:rsidRPr="00902E92" w:rsidRDefault="00902E92" w:rsidP="006B06B9">
            <w:pPr>
              <w:spacing w:after="0" w:line="240" w:lineRule="auto"/>
              <w:rPr>
                <w:rFonts w:ascii="Arial" w:eastAsia="Times New Roman" w:hAnsi="Arial" w:cs="Arial"/>
                <w:sz w:val="20"/>
                <w:szCs w:val="20"/>
                <w:lang w:eastAsia="hr-HR"/>
              </w:rPr>
            </w:pPr>
            <w:r w:rsidRPr="00902E92">
              <w:rPr>
                <w:rFonts w:ascii="Arial" w:eastAsia="Times New Roman" w:hAnsi="Arial" w:cs="Arial"/>
                <w:sz w:val="20"/>
                <w:szCs w:val="20"/>
                <w:lang w:eastAsia="hr-HR"/>
              </w:rPr>
              <w:t xml:space="preserve">451 Dodatna ulaganja u građevinskim objektima </w:t>
            </w:r>
          </w:p>
        </w:tc>
        <w:tc>
          <w:tcPr>
            <w:tcW w:w="1496" w:type="dxa"/>
            <w:tcBorders>
              <w:top w:val="single" w:sz="4" w:space="0" w:color="auto"/>
              <w:left w:val="nil"/>
              <w:bottom w:val="single" w:sz="4" w:space="0" w:color="auto"/>
              <w:right w:val="single" w:sz="4" w:space="0" w:color="auto"/>
            </w:tcBorders>
            <w:noWrap/>
            <w:vAlign w:val="bottom"/>
          </w:tcPr>
          <w:p w14:paraId="0C4803A5" w14:textId="7944697E" w:rsidR="00902E92" w:rsidRPr="00902E92" w:rsidRDefault="00FF482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506" w:type="dxa"/>
            <w:tcBorders>
              <w:top w:val="single" w:sz="4" w:space="0" w:color="auto"/>
              <w:left w:val="nil"/>
              <w:bottom w:val="single" w:sz="4" w:space="0" w:color="auto"/>
              <w:right w:val="single" w:sz="4" w:space="0" w:color="auto"/>
            </w:tcBorders>
            <w:noWrap/>
            <w:vAlign w:val="bottom"/>
          </w:tcPr>
          <w:p w14:paraId="41C08DC9" w14:textId="77777777" w:rsidR="00902E92" w:rsidRPr="00902E92" w:rsidRDefault="00902E92"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vAlign w:val="bottom"/>
          </w:tcPr>
          <w:p w14:paraId="130C1E61" w14:textId="77777777" w:rsidR="00902E92" w:rsidRPr="00902E92" w:rsidRDefault="00902E92" w:rsidP="006B06B9">
            <w:pPr>
              <w:spacing w:after="0" w:line="240" w:lineRule="auto"/>
              <w:jc w:val="right"/>
              <w:rPr>
                <w:rFonts w:ascii="Arial" w:eastAsia="Times New Roman" w:hAnsi="Arial" w:cs="Arial"/>
                <w:sz w:val="20"/>
                <w:szCs w:val="20"/>
                <w:lang w:eastAsia="hr-HR"/>
              </w:rPr>
            </w:pPr>
          </w:p>
        </w:tc>
        <w:tc>
          <w:tcPr>
            <w:tcW w:w="1600" w:type="dxa"/>
            <w:tcBorders>
              <w:top w:val="single" w:sz="4" w:space="0" w:color="auto"/>
              <w:left w:val="single" w:sz="4" w:space="0" w:color="auto"/>
              <w:bottom w:val="single" w:sz="4" w:space="0" w:color="auto"/>
              <w:right w:val="single" w:sz="4" w:space="0" w:color="auto"/>
            </w:tcBorders>
            <w:noWrap/>
            <w:vAlign w:val="bottom"/>
          </w:tcPr>
          <w:p w14:paraId="52F63838" w14:textId="5990FB34" w:rsidR="00902E92" w:rsidRPr="00902E92" w:rsidRDefault="00FF482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89.879,95</w:t>
            </w:r>
          </w:p>
        </w:tc>
        <w:tc>
          <w:tcPr>
            <w:tcW w:w="1117" w:type="dxa"/>
            <w:tcBorders>
              <w:top w:val="single" w:sz="4" w:space="0" w:color="auto"/>
              <w:left w:val="nil"/>
              <w:bottom w:val="single" w:sz="4" w:space="0" w:color="auto"/>
              <w:right w:val="single" w:sz="4" w:space="0" w:color="auto"/>
            </w:tcBorders>
            <w:noWrap/>
            <w:vAlign w:val="bottom"/>
          </w:tcPr>
          <w:p w14:paraId="4AD79309" w14:textId="2DD08588" w:rsidR="00902E92" w:rsidRPr="00902E92" w:rsidRDefault="00902E9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c>
          <w:tcPr>
            <w:tcW w:w="1006" w:type="dxa"/>
            <w:tcBorders>
              <w:top w:val="single" w:sz="4" w:space="0" w:color="auto"/>
              <w:left w:val="nil"/>
              <w:bottom w:val="single" w:sz="4" w:space="0" w:color="auto"/>
              <w:right w:val="single" w:sz="4" w:space="0" w:color="auto"/>
            </w:tcBorders>
            <w:noWrap/>
            <w:vAlign w:val="bottom"/>
          </w:tcPr>
          <w:p w14:paraId="4B30A02D" w14:textId="339F789D" w:rsidR="00902E92" w:rsidRPr="00902E92" w:rsidRDefault="00902E9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902E92" w:rsidRPr="006B06B9" w14:paraId="7D250032" w14:textId="77777777" w:rsidTr="006C671D">
        <w:trPr>
          <w:trHeight w:val="519"/>
        </w:trPr>
        <w:tc>
          <w:tcPr>
            <w:tcW w:w="3367" w:type="dxa"/>
            <w:tcBorders>
              <w:top w:val="single" w:sz="4" w:space="0" w:color="auto"/>
              <w:left w:val="single" w:sz="4" w:space="0" w:color="auto"/>
              <w:bottom w:val="single" w:sz="4" w:space="0" w:color="auto"/>
              <w:right w:val="single" w:sz="4" w:space="0" w:color="auto"/>
            </w:tcBorders>
            <w:vAlign w:val="bottom"/>
          </w:tcPr>
          <w:p w14:paraId="104E685F" w14:textId="3C79E2CD" w:rsidR="00902E92" w:rsidRPr="00902E92" w:rsidRDefault="00902E92" w:rsidP="006B06B9">
            <w:pPr>
              <w:spacing w:after="0" w:line="240" w:lineRule="auto"/>
              <w:rPr>
                <w:rFonts w:ascii="Arial" w:eastAsia="Times New Roman" w:hAnsi="Arial" w:cs="Arial"/>
                <w:sz w:val="20"/>
                <w:szCs w:val="20"/>
                <w:lang w:eastAsia="hr-HR"/>
              </w:rPr>
            </w:pPr>
            <w:r w:rsidRPr="00902E92">
              <w:rPr>
                <w:rFonts w:ascii="Arial" w:eastAsia="Times New Roman" w:hAnsi="Arial" w:cs="Arial"/>
                <w:sz w:val="20"/>
                <w:szCs w:val="20"/>
                <w:lang w:eastAsia="hr-HR"/>
              </w:rPr>
              <w:t xml:space="preserve">4511 Dodatna ulaganja na građevinskim objektima </w:t>
            </w:r>
          </w:p>
        </w:tc>
        <w:tc>
          <w:tcPr>
            <w:tcW w:w="1496" w:type="dxa"/>
            <w:tcBorders>
              <w:top w:val="single" w:sz="4" w:space="0" w:color="auto"/>
              <w:left w:val="nil"/>
              <w:bottom w:val="single" w:sz="4" w:space="0" w:color="auto"/>
              <w:right w:val="single" w:sz="4" w:space="0" w:color="auto"/>
            </w:tcBorders>
            <w:noWrap/>
            <w:vAlign w:val="bottom"/>
          </w:tcPr>
          <w:p w14:paraId="2B06B059" w14:textId="47EEB39C" w:rsidR="00902E92" w:rsidRPr="00902E92" w:rsidRDefault="00FF482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506" w:type="dxa"/>
            <w:tcBorders>
              <w:top w:val="single" w:sz="4" w:space="0" w:color="auto"/>
              <w:left w:val="nil"/>
              <w:bottom w:val="single" w:sz="4" w:space="0" w:color="auto"/>
              <w:right w:val="single" w:sz="4" w:space="0" w:color="auto"/>
            </w:tcBorders>
            <w:noWrap/>
            <w:vAlign w:val="bottom"/>
          </w:tcPr>
          <w:p w14:paraId="3AA803C6" w14:textId="77777777" w:rsidR="00902E92" w:rsidRPr="00902E92" w:rsidRDefault="00902E92" w:rsidP="006B06B9">
            <w:pPr>
              <w:spacing w:after="0" w:line="240" w:lineRule="auto"/>
              <w:jc w:val="right"/>
              <w:rPr>
                <w:rFonts w:ascii="Arial" w:eastAsia="Times New Roman" w:hAnsi="Arial" w:cs="Arial"/>
                <w:sz w:val="20"/>
                <w:szCs w:val="20"/>
                <w:lang w:eastAsia="hr-HR"/>
              </w:rPr>
            </w:pPr>
          </w:p>
        </w:tc>
        <w:tc>
          <w:tcPr>
            <w:tcW w:w="1496" w:type="dxa"/>
            <w:tcBorders>
              <w:top w:val="single" w:sz="4" w:space="0" w:color="auto"/>
              <w:left w:val="nil"/>
              <w:bottom w:val="single" w:sz="4" w:space="0" w:color="auto"/>
              <w:right w:val="single" w:sz="4" w:space="0" w:color="auto"/>
            </w:tcBorders>
            <w:vAlign w:val="bottom"/>
          </w:tcPr>
          <w:p w14:paraId="5AA59AAB" w14:textId="77777777" w:rsidR="00902E92" w:rsidRPr="00902E92" w:rsidRDefault="00902E92" w:rsidP="006B06B9">
            <w:pPr>
              <w:spacing w:after="0" w:line="240" w:lineRule="auto"/>
              <w:jc w:val="right"/>
              <w:rPr>
                <w:rFonts w:ascii="Arial" w:eastAsia="Times New Roman" w:hAnsi="Arial" w:cs="Arial"/>
                <w:sz w:val="20"/>
                <w:szCs w:val="20"/>
                <w:lang w:eastAsia="hr-HR"/>
              </w:rPr>
            </w:pPr>
          </w:p>
        </w:tc>
        <w:tc>
          <w:tcPr>
            <w:tcW w:w="1600" w:type="dxa"/>
            <w:tcBorders>
              <w:top w:val="single" w:sz="4" w:space="0" w:color="auto"/>
              <w:left w:val="single" w:sz="4" w:space="0" w:color="auto"/>
              <w:bottom w:val="single" w:sz="4" w:space="0" w:color="auto"/>
              <w:right w:val="single" w:sz="4" w:space="0" w:color="auto"/>
            </w:tcBorders>
            <w:noWrap/>
            <w:vAlign w:val="bottom"/>
          </w:tcPr>
          <w:p w14:paraId="1E2B86DD" w14:textId="5FB56ECC" w:rsidR="00902E92" w:rsidRPr="00902E92" w:rsidRDefault="00FF482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89.879,95</w:t>
            </w:r>
          </w:p>
        </w:tc>
        <w:tc>
          <w:tcPr>
            <w:tcW w:w="1117" w:type="dxa"/>
            <w:tcBorders>
              <w:top w:val="single" w:sz="4" w:space="0" w:color="auto"/>
              <w:left w:val="nil"/>
              <w:bottom w:val="single" w:sz="4" w:space="0" w:color="auto"/>
              <w:right w:val="single" w:sz="4" w:space="0" w:color="auto"/>
            </w:tcBorders>
            <w:noWrap/>
            <w:vAlign w:val="bottom"/>
          </w:tcPr>
          <w:p w14:paraId="06E17F9D" w14:textId="25FB1E92" w:rsidR="00902E92" w:rsidRPr="00902E92" w:rsidRDefault="00902E92" w:rsidP="006B06B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p>
        </w:tc>
        <w:tc>
          <w:tcPr>
            <w:tcW w:w="1006" w:type="dxa"/>
            <w:tcBorders>
              <w:top w:val="single" w:sz="4" w:space="0" w:color="auto"/>
              <w:left w:val="nil"/>
              <w:bottom w:val="single" w:sz="4" w:space="0" w:color="auto"/>
              <w:right w:val="single" w:sz="4" w:space="0" w:color="auto"/>
            </w:tcBorders>
            <w:noWrap/>
            <w:vAlign w:val="bottom"/>
          </w:tcPr>
          <w:p w14:paraId="13E96DC6" w14:textId="07E30072" w:rsidR="00902E92" w:rsidRDefault="00902E92" w:rsidP="006B06B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r>
    </w:tbl>
    <w:p w14:paraId="4EEDA707" w14:textId="77777777" w:rsidR="000869BA" w:rsidRDefault="000869BA" w:rsidP="00A72520">
      <w:pPr>
        <w:tabs>
          <w:tab w:val="left" w:pos="3075"/>
        </w:tabs>
      </w:pPr>
    </w:p>
    <w:p w14:paraId="4E0B1BB3" w14:textId="2E8DD9BD" w:rsidR="00A72520" w:rsidRPr="0098702D" w:rsidRDefault="00A72520" w:rsidP="00A72520">
      <w:pPr>
        <w:tabs>
          <w:tab w:val="left" w:pos="3075"/>
        </w:tabs>
        <w:rPr>
          <w:rFonts w:cstheme="minorHAnsi"/>
          <w:b/>
          <w:sz w:val="28"/>
          <w:szCs w:val="28"/>
        </w:rPr>
      </w:pPr>
      <w:r w:rsidRPr="0098702D">
        <w:rPr>
          <w:rFonts w:cstheme="minorHAnsi"/>
          <w:b/>
          <w:sz w:val="28"/>
          <w:szCs w:val="28"/>
        </w:rPr>
        <w:t xml:space="preserve">2. PRIHODI I RASHODI PREMA IZVORIMA FINANCIRANJA </w:t>
      </w:r>
    </w:p>
    <w:tbl>
      <w:tblPr>
        <w:tblpPr w:leftFromText="180" w:rightFromText="180" w:bottomFromText="160" w:vertAnchor="text" w:horzAnchor="margin" w:tblpXSpec="center" w:tblpY="287"/>
        <w:tblW w:w="11348" w:type="dxa"/>
        <w:tblLook w:val="04A0" w:firstRow="1" w:lastRow="0" w:firstColumn="1" w:lastColumn="0" w:noHBand="0" w:noVBand="1"/>
      </w:tblPr>
      <w:tblGrid>
        <w:gridCol w:w="3093"/>
        <w:gridCol w:w="1680"/>
        <w:gridCol w:w="1508"/>
        <w:gridCol w:w="1525"/>
        <w:gridCol w:w="1525"/>
        <w:gridCol w:w="1067"/>
        <w:gridCol w:w="950"/>
      </w:tblGrid>
      <w:tr w:rsidR="00C23012" w:rsidRPr="00100041" w14:paraId="0C67D175" w14:textId="77777777" w:rsidTr="004B4A45">
        <w:trPr>
          <w:trHeight w:val="456"/>
        </w:trPr>
        <w:tc>
          <w:tcPr>
            <w:tcW w:w="3093" w:type="dxa"/>
            <w:tcBorders>
              <w:top w:val="single" w:sz="4" w:space="0" w:color="auto"/>
              <w:bottom w:val="single" w:sz="4" w:space="0" w:color="auto"/>
            </w:tcBorders>
            <w:shd w:val="clear" w:color="auto" w:fill="FFE599" w:themeFill="accent4" w:themeFillTint="66"/>
            <w:noWrap/>
            <w:vAlign w:val="bottom"/>
            <w:hideMark/>
          </w:tcPr>
          <w:p w14:paraId="1B3283E3" w14:textId="77777777" w:rsidR="00100041" w:rsidRPr="00100041" w:rsidRDefault="00100041" w:rsidP="00A66865">
            <w:pPr>
              <w:spacing w:after="0" w:line="240" w:lineRule="auto"/>
              <w:jc w:val="center"/>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IZVORI FINANCIRANJA</w:t>
            </w:r>
          </w:p>
        </w:tc>
        <w:tc>
          <w:tcPr>
            <w:tcW w:w="1680" w:type="dxa"/>
            <w:tcBorders>
              <w:top w:val="single" w:sz="4" w:space="0" w:color="auto"/>
              <w:bottom w:val="single" w:sz="4" w:space="0" w:color="auto"/>
            </w:tcBorders>
            <w:shd w:val="clear" w:color="auto" w:fill="FFE599" w:themeFill="accent4" w:themeFillTint="66"/>
            <w:vAlign w:val="center"/>
            <w:hideMark/>
          </w:tcPr>
          <w:p w14:paraId="7BFA577B" w14:textId="38CFC4B0" w:rsidR="00100041" w:rsidRPr="00100041" w:rsidRDefault="00100041" w:rsidP="00A66865">
            <w:pPr>
              <w:spacing w:after="0" w:line="240" w:lineRule="auto"/>
              <w:jc w:val="center"/>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Izvršenje 202</w:t>
            </w:r>
            <w:r w:rsidR="000869BA">
              <w:rPr>
                <w:rFonts w:ascii="Arial" w:eastAsia="Times New Roman" w:hAnsi="Arial" w:cs="Arial"/>
                <w:b/>
                <w:bCs/>
                <w:sz w:val="18"/>
                <w:szCs w:val="18"/>
                <w:lang w:eastAsia="hr-HR"/>
              </w:rPr>
              <w:t>4</w:t>
            </w:r>
            <w:r w:rsidRPr="00100041">
              <w:rPr>
                <w:rFonts w:ascii="Arial" w:eastAsia="Times New Roman" w:hAnsi="Arial" w:cs="Arial"/>
                <w:b/>
                <w:bCs/>
                <w:sz w:val="18"/>
                <w:szCs w:val="18"/>
                <w:lang w:eastAsia="hr-HR"/>
              </w:rPr>
              <w:t xml:space="preserve">. </w:t>
            </w:r>
          </w:p>
        </w:tc>
        <w:tc>
          <w:tcPr>
            <w:tcW w:w="1508" w:type="dxa"/>
            <w:tcBorders>
              <w:top w:val="single" w:sz="4" w:space="0" w:color="auto"/>
              <w:bottom w:val="single" w:sz="4" w:space="0" w:color="auto"/>
            </w:tcBorders>
            <w:shd w:val="clear" w:color="auto" w:fill="FFE599" w:themeFill="accent4" w:themeFillTint="66"/>
            <w:vAlign w:val="center"/>
          </w:tcPr>
          <w:p w14:paraId="4DFAF67B" w14:textId="1F8EE063" w:rsidR="00100041" w:rsidRPr="00100041" w:rsidRDefault="00100041" w:rsidP="00A66865">
            <w:pPr>
              <w:spacing w:after="0" w:line="240" w:lineRule="auto"/>
              <w:jc w:val="center"/>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Izvorni  plan</w:t>
            </w:r>
            <w:r w:rsidR="00C23012">
              <w:rPr>
                <w:rFonts w:ascii="Arial" w:eastAsia="Times New Roman" w:hAnsi="Arial" w:cs="Arial"/>
                <w:b/>
                <w:bCs/>
                <w:sz w:val="18"/>
                <w:szCs w:val="18"/>
                <w:lang w:eastAsia="hr-HR"/>
              </w:rPr>
              <w:t>/rebalans</w:t>
            </w:r>
            <w:r w:rsidRPr="00100041">
              <w:rPr>
                <w:rFonts w:ascii="Arial" w:eastAsia="Times New Roman" w:hAnsi="Arial" w:cs="Arial"/>
                <w:b/>
                <w:bCs/>
                <w:sz w:val="18"/>
                <w:szCs w:val="18"/>
                <w:lang w:eastAsia="hr-HR"/>
              </w:rPr>
              <w:t xml:space="preserve"> 202</w:t>
            </w:r>
            <w:r w:rsidR="000869BA">
              <w:rPr>
                <w:rFonts w:ascii="Arial" w:eastAsia="Times New Roman" w:hAnsi="Arial" w:cs="Arial"/>
                <w:b/>
                <w:bCs/>
                <w:sz w:val="18"/>
                <w:szCs w:val="18"/>
                <w:lang w:eastAsia="hr-HR"/>
              </w:rPr>
              <w:t>5</w:t>
            </w:r>
            <w:r w:rsidRPr="00100041">
              <w:rPr>
                <w:rFonts w:ascii="Arial" w:eastAsia="Times New Roman" w:hAnsi="Arial" w:cs="Arial"/>
                <w:b/>
                <w:bCs/>
                <w:sz w:val="18"/>
                <w:szCs w:val="18"/>
                <w:lang w:eastAsia="hr-HR"/>
              </w:rPr>
              <w:t xml:space="preserve">. </w:t>
            </w:r>
          </w:p>
        </w:tc>
        <w:tc>
          <w:tcPr>
            <w:tcW w:w="1525" w:type="dxa"/>
            <w:tcBorders>
              <w:top w:val="single" w:sz="4" w:space="0" w:color="auto"/>
              <w:bottom w:val="single" w:sz="4" w:space="0" w:color="auto"/>
            </w:tcBorders>
            <w:shd w:val="clear" w:color="auto" w:fill="FFE599" w:themeFill="accent4" w:themeFillTint="66"/>
            <w:vAlign w:val="center"/>
          </w:tcPr>
          <w:p w14:paraId="3DF0231F" w14:textId="10BB332E" w:rsidR="00100041" w:rsidRPr="00100041" w:rsidRDefault="00E849F4" w:rsidP="003574D9">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Tekući plan 202</w:t>
            </w:r>
            <w:r w:rsidR="000869BA">
              <w:rPr>
                <w:rFonts w:ascii="Arial" w:eastAsia="Times New Roman" w:hAnsi="Arial" w:cs="Arial"/>
                <w:b/>
                <w:bCs/>
                <w:sz w:val="18"/>
                <w:szCs w:val="18"/>
                <w:lang w:eastAsia="hr-HR"/>
              </w:rPr>
              <w:t>5</w:t>
            </w:r>
            <w:r>
              <w:rPr>
                <w:rFonts w:ascii="Arial" w:eastAsia="Times New Roman" w:hAnsi="Arial" w:cs="Arial"/>
                <w:b/>
                <w:bCs/>
                <w:sz w:val="18"/>
                <w:szCs w:val="18"/>
                <w:lang w:eastAsia="hr-HR"/>
              </w:rPr>
              <w:t>.</w:t>
            </w:r>
          </w:p>
        </w:tc>
        <w:tc>
          <w:tcPr>
            <w:tcW w:w="1525" w:type="dxa"/>
            <w:tcBorders>
              <w:top w:val="single" w:sz="4" w:space="0" w:color="auto"/>
              <w:bottom w:val="single" w:sz="4" w:space="0" w:color="auto"/>
            </w:tcBorders>
            <w:shd w:val="clear" w:color="auto" w:fill="FFE599" w:themeFill="accent4" w:themeFillTint="66"/>
            <w:vAlign w:val="center"/>
            <w:hideMark/>
          </w:tcPr>
          <w:p w14:paraId="2FCE9CA2" w14:textId="19995469" w:rsidR="00100041" w:rsidRPr="00100041" w:rsidRDefault="00100041" w:rsidP="003574D9">
            <w:pPr>
              <w:spacing w:after="0" w:line="240" w:lineRule="auto"/>
              <w:jc w:val="center"/>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Izvršenje 202</w:t>
            </w:r>
            <w:r w:rsidR="000869BA">
              <w:rPr>
                <w:rFonts w:ascii="Arial" w:eastAsia="Times New Roman" w:hAnsi="Arial" w:cs="Arial"/>
                <w:b/>
                <w:bCs/>
                <w:sz w:val="18"/>
                <w:szCs w:val="18"/>
                <w:lang w:eastAsia="hr-HR"/>
              </w:rPr>
              <w:t>5</w:t>
            </w:r>
            <w:r w:rsidRPr="00100041">
              <w:rPr>
                <w:rFonts w:ascii="Arial" w:eastAsia="Times New Roman" w:hAnsi="Arial" w:cs="Arial"/>
                <w:b/>
                <w:bCs/>
                <w:sz w:val="18"/>
                <w:szCs w:val="18"/>
                <w:lang w:eastAsia="hr-HR"/>
              </w:rPr>
              <w:t xml:space="preserve">. </w:t>
            </w:r>
          </w:p>
        </w:tc>
        <w:tc>
          <w:tcPr>
            <w:tcW w:w="1067" w:type="dxa"/>
            <w:tcBorders>
              <w:top w:val="single" w:sz="4" w:space="0" w:color="auto"/>
              <w:bottom w:val="single" w:sz="4" w:space="0" w:color="auto"/>
            </w:tcBorders>
            <w:shd w:val="clear" w:color="auto" w:fill="FFE599" w:themeFill="accent4" w:themeFillTint="66"/>
            <w:vAlign w:val="center"/>
            <w:hideMark/>
          </w:tcPr>
          <w:p w14:paraId="245BC56D" w14:textId="6DFAE383" w:rsidR="00100041" w:rsidRPr="00100041" w:rsidRDefault="00100041" w:rsidP="00A66865">
            <w:pPr>
              <w:spacing w:after="0" w:line="240" w:lineRule="auto"/>
              <w:jc w:val="center"/>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Indeks  (</w:t>
            </w:r>
            <w:r w:rsidR="00E849F4">
              <w:rPr>
                <w:rFonts w:ascii="Arial" w:eastAsia="Times New Roman" w:hAnsi="Arial" w:cs="Arial"/>
                <w:b/>
                <w:bCs/>
                <w:sz w:val="18"/>
                <w:szCs w:val="18"/>
                <w:lang w:eastAsia="hr-HR"/>
              </w:rPr>
              <w:t>4</w:t>
            </w:r>
            <w:r w:rsidRPr="00100041">
              <w:rPr>
                <w:rFonts w:ascii="Arial" w:eastAsia="Times New Roman" w:hAnsi="Arial" w:cs="Arial"/>
                <w:b/>
                <w:bCs/>
                <w:sz w:val="18"/>
                <w:szCs w:val="18"/>
                <w:lang w:eastAsia="hr-HR"/>
              </w:rPr>
              <w:t>/1)</w:t>
            </w:r>
          </w:p>
        </w:tc>
        <w:tc>
          <w:tcPr>
            <w:tcW w:w="950" w:type="dxa"/>
            <w:tcBorders>
              <w:top w:val="single" w:sz="4" w:space="0" w:color="auto"/>
              <w:bottom w:val="single" w:sz="4" w:space="0" w:color="auto"/>
            </w:tcBorders>
            <w:shd w:val="clear" w:color="auto" w:fill="FFE599" w:themeFill="accent4" w:themeFillTint="66"/>
            <w:vAlign w:val="center"/>
            <w:hideMark/>
          </w:tcPr>
          <w:p w14:paraId="6FB1A084" w14:textId="6117802C" w:rsidR="00100041" w:rsidRPr="00100041" w:rsidRDefault="00100041" w:rsidP="00A66865">
            <w:pPr>
              <w:spacing w:after="0" w:line="240" w:lineRule="auto"/>
              <w:jc w:val="center"/>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Indeks  (</w:t>
            </w:r>
            <w:r w:rsidR="00E849F4">
              <w:rPr>
                <w:rFonts w:ascii="Arial" w:eastAsia="Times New Roman" w:hAnsi="Arial" w:cs="Arial"/>
                <w:b/>
                <w:bCs/>
                <w:sz w:val="18"/>
                <w:szCs w:val="18"/>
                <w:lang w:eastAsia="hr-HR"/>
              </w:rPr>
              <w:t>4</w:t>
            </w:r>
            <w:r w:rsidRPr="00100041">
              <w:rPr>
                <w:rFonts w:ascii="Arial" w:eastAsia="Times New Roman" w:hAnsi="Arial" w:cs="Arial"/>
                <w:b/>
                <w:bCs/>
                <w:sz w:val="18"/>
                <w:szCs w:val="18"/>
                <w:lang w:eastAsia="hr-HR"/>
              </w:rPr>
              <w:t>/</w:t>
            </w:r>
            <w:r w:rsidR="00E849F4">
              <w:rPr>
                <w:rFonts w:ascii="Arial" w:eastAsia="Times New Roman" w:hAnsi="Arial" w:cs="Arial"/>
                <w:b/>
                <w:bCs/>
                <w:sz w:val="18"/>
                <w:szCs w:val="18"/>
                <w:lang w:eastAsia="hr-HR"/>
              </w:rPr>
              <w:t>3</w:t>
            </w:r>
            <w:r w:rsidRPr="00100041">
              <w:rPr>
                <w:rFonts w:ascii="Arial" w:eastAsia="Times New Roman" w:hAnsi="Arial" w:cs="Arial"/>
                <w:b/>
                <w:bCs/>
                <w:sz w:val="18"/>
                <w:szCs w:val="18"/>
                <w:lang w:eastAsia="hr-HR"/>
              </w:rPr>
              <w:t>)</w:t>
            </w:r>
          </w:p>
        </w:tc>
      </w:tr>
      <w:tr w:rsidR="00C23012" w:rsidRPr="00100041" w14:paraId="138CE4FD" w14:textId="77777777" w:rsidTr="00C23012">
        <w:trPr>
          <w:trHeight w:val="202"/>
        </w:trPr>
        <w:tc>
          <w:tcPr>
            <w:tcW w:w="3093" w:type="dxa"/>
            <w:tcBorders>
              <w:top w:val="single" w:sz="4" w:space="0" w:color="auto"/>
              <w:bottom w:val="single" w:sz="4" w:space="0" w:color="auto"/>
            </w:tcBorders>
            <w:shd w:val="clear" w:color="auto" w:fill="FFE599" w:themeFill="accent4" w:themeFillTint="66"/>
            <w:noWrap/>
            <w:vAlign w:val="bottom"/>
            <w:hideMark/>
          </w:tcPr>
          <w:p w14:paraId="05DB1F65" w14:textId="77777777" w:rsidR="00100041" w:rsidRPr="00100041" w:rsidRDefault="00100041" w:rsidP="00A66865">
            <w:pPr>
              <w:spacing w:after="0" w:line="240" w:lineRule="auto"/>
              <w:jc w:val="center"/>
              <w:rPr>
                <w:rFonts w:ascii="Arial" w:eastAsia="Times New Roman" w:hAnsi="Arial" w:cs="Arial"/>
                <w:b/>
                <w:bCs/>
                <w:sz w:val="18"/>
                <w:szCs w:val="18"/>
                <w:lang w:eastAsia="hr-HR"/>
              </w:rPr>
            </w:pPr>
          </w:p>
        </w:tc>
        <w:tc>
          <w:tcPr>
            <w:tcW w:w="1680" w:type="dxa"/>
            <w:tcBorders>
              <w:top w:val="single" w:sz="4" w:space="0" w:color="auto"/>
              <w:bottom w:val="single" w:sz="4" w:space="0" w:color="auto"/>
            </w:tcBorders>
            <w:shd w:val="clear" w:color="auto" w:fill="FFE599" w:themeFill="accent4" w:themeFillTint="66"/>
            <w:noWrap/>
            <w:vAlign w:val="bottom"/>
            <w:hideMark/>
          </w:tcPr>
          <w:p w14:paraId="42500769" w14:textId="77777777" w:rsidR="00100041" w:rsidRPr="00100041" w:rsidRDefault="00100041" w:rsidP="00A66865">
            <w:pPr>
              <w:spacing w:after="0" w:line="240" w:lineRule="auto"/>
              <w:jc w:val="center"/>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(1)</w:t>
            </w:r>
          </w:p>
        </w:tc>
        <w:tc>
          <w:tcPr>
            <w:tcW w:w="1508" w:type="dxa"/>
            <w:tcBorders>
              <w:top w:val="single" w:sz="4" w:space="0" w:color="auto"/>
              <w:bottom w:val="single" w:sz="4" w:space="0" w:color="auto"/>
            </w:tcBorders>
            <w:shd w:val="clear" w:color="auto" w:fill="FFE599" w:themeFill="accent4" w:themeFillTint="66"/>
            <w:vAlign w:val="bottom"/>
          </w:tcPr>
          <w:p w14:paraId="133916F2" w14:textId="77777777" w:rsidR="00100041" w:rsidRPr="00100041" w:rsidRDefault="00100041" w:rsidP="00A66865">
            <w:pPr>
              <w:spacing w:after="0" w:line="240" w:lineRule="auto"/>
              <w:jc w:val="center"/>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(2)</w:t>
            </w:r>
          </w:p>
        </w:tc>
        <w:tc>
          <w:tcPr>
            <w:tcW w:w="1525" w:type="dxa"/>
            <w:tcBorders>
              <w:top w:val="single" w:sz="4" w:space="0" w:color="auto"/>
              <w:bottom w:val="single" w:sz="4" w:space="0" w:color="auto"/>
            </w:tcBorders>
            <w:shd w:val="clear" w:color="auto" w:fill="FFE599" w:themeFill="accent4" w:themeFillTint="66"/>
          </w:tcPr>
          <w:p w14:paraId="103865AD" w14:textId="11D35434" w:rsidR="00100041" w:rsidRPr="00100041" w:rsidRDefault="00E849F4" w:rsidP="00A6686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(3)</w:t>
            </w:r>
          </w:p>
        </w:tc>
        <w:tc>
          <w:tcPr>
            <w:tcW w:w="1525" w:type="dxa"/>
            <w:tcBorders>
              <w:top w:val="single" w:sz="4" w:space="0" w:color="auto"/>
              <w:bottom w:val="single" w:sz="4" w:space="0" w:color="auto"/>
            </w:tcBorders>
            <w:shd w:val="clear" w:color="auto" w:fill="FFE599" w:themeFill="accent4" w:themeFillTint="66"/>
            <w:noWrap/>
            <w:vAlign w:val="bottom"/>
            <w:hideMark/>
          </w:tcPr>
          <w:p w14:paraId="1032068D" w14:textId="2D9EB166" w:rsidR="00100041" w:rsidRPr="00100041" w:rsidRDefault="00100041" w:rsidP="00A66865">
            <w:pPr>
              <w:spacing w:after="0" w:line="240" w:lineRule="auto"/>
              <w:jc w:val="center"/>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w:t>
            </w:r>
            <w:r w:rsidR="00E849F4">
              <w:rPr>
                <w:rFonts w:ascii="Arial" w:eastAsia="Times New Roman" w:hAnsi="Arial" w:cs="Arial"/>
                <w:b/>
                <w:bCs/>
                <w:sz w:val="18"/>
                <w:szCs w:val="18"/>
                <w:lang w:eastAsia="hr-HR"/>
              </w:rPr>
              <w:t>4</w:t>
            </w:r>
            <w:r w:rsidRPr="00100041">
              <w:rPr>
                <w:rFonts w:ascii="Arial" w:eastAsia="Times New Roman" w:hAnsi="Arial" w:cs="Arial"/>
                <w:b/>
                <w:bCs/>
                <w:sz w:val="18"/>
                <w:szCs w:val="18"/>
                <w:lang w:eastAsia="hr-HR"/>
              </w:rPr>
              <w:t>)</w:t>
            </w:r>
          </w:p>
        </w:tc>
        <w:tc>
          <w:tcPr>
            <w:tcW w:w="1067" w:type="dxa"/>
            <w:tcBorders>
              <w:top w:val="single" w:sz="4" w:space="0" w:color="auto"/>
              <w:bottom w:val="single" w:sz="4" w:space="0" w:color="auto"/>
            </w:tcBorders>
            <w:shd w:val="clear" w:color="auto" w:fill="FFE599" w:themeFill="accent4" w:themeFillTint="66"/>
            <w:noWrap/>
            <w:vAlign w:val="bottom"/>
            <w:hideMark/>
          </w:tcPr>
          <w:p w14:paraId="6A321162" w14:textId="4983CE69" w:rsidR="00100041" w:rsidRPr="00100041" w:rsidRDefault="00100041" w:rsidP="00A66865">
            <w:pPr>
              <w:spacing w:after="0" w:line="240" w:lineRule="auto"/>
              <w:jc w:val="center"/>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w:t>
            </w:r>
            <w:r w:rsidR="00E849F4">
              <w:rPr>
                <w:rFonts w:ascii="Arial" w:eastAsia="Times New Roman" w:hAnsi="Arial" w:cs="Arial"/>
                <w:b/>
                <w:bCs/>
                <w:sz w:val="18"/>
                <w:szCs w:val="18"/>
                <w:lang w:eastAsia="hr-HR"/>
              </w:rPr>
              <w:t>5</w:t>
            </w:r>
            <w:r w:rsidRPr="00100041">
              <w:rPr>
                <w:rFonts w:ascii="Arial" w:eastAsia="Times New Roman" w:hAnsi="Arial" w:cs="Arial"/>
                <w:b/>
                <w:bCs/>
                <w:sz w:val="18"/>
                <w:szCs w:val="18"/>
                <w:lang w:eastAsia="hr-HR"/>
              </w:rPr>
              <w:t>)</w:t>
            </w:r>
          </w:p>
        </w:tc>
        <w:tc>
          <w:tcPr>
            <w:tcW w:w="950" w:type="dxa"/>
            <w:tcBorders>
              <w:top w:val="single" w:sz="4" w:space="0" w:color="auto"/>
              <w:bottom w:val="single" w:sz="4" w:space="0" w:color="auto"/>
            </w:tcBorders>
            <w:shd w:val="clear" w:color="auto" w:fill="FFE599" w:themeFill="accent4" w:themeFillTint="66"/>
            <w:noWrap/>
            <w:vAlign w:val="bottom"/>
            <w:hideMark/>
          </w:tcPr>
          <w:p w14:paraId="1DD1C55B" w14:textId="123569E1" w:rsidR="00100041" w:rsidRPr="00100041" w:rsidRDefault="00100041" w:rsidP="00A66865">
            <w:pPr>
              <w:spacing w:after="0" w:line="240" w:lineRule="auto"/>
              <w:jc w:val="center"/>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w:t>
            </w:r>
            <w:r w:rsidR="00E849F4">
              <w:rPr>
                <w:rFonts w:ascii="Arial" w:eastAsia="Times New Roman" w:hAnsi="Arial" w:cs="Arial"/>
                <w:b/>
                <w:bCs/>
                <w:sz w:val="18"/>
                <w:szCs w:val="18"/>
                <w:lang w:eastAsia="hr-HR"/>
              </w:rPr>
              <w:t>6</w:t>
            </w:r>
            <w:r w:rsidRPr="00100041">
              <w:rPr>
                <w:rFonts w:ascii="Arial" w:eastAsia="Times New Roman" w:hAnsi="Arial" w:cs="Arial"/>
                <w:b/>
                <w:bCs/>
                <w:sz w:val="18"/>
                <w:szCs w:val="18"/>
                <w:lang w:eastAsia="hr-HR"/>
              </w:rPr>
              <w:t>)</w:t>
            </w:r>
          </w:p>
        </w:tc>
      </w:tr>
      <w:tr w:rsidR="00C23012" w:rsidRPr="00100041" w14:paraId="33FBDB7B" w14:textId="77777777" w:rsidTr="00C23012">
        <w:trPr>
          <w:trHeight w:val="202"/>
        </w:trPr>
        <w:tc>
          <w:tcPr>
            <w:tcW w:w="3093" w:type="dxa"/>
            <w:tcBorders>
              <w:top w:val="single" w:sz="4" w:space="0" w:color="auto"/>
              <w:bottom w:val="single" w:sz="4" w:space="0" w:color="auto"/>
            </w:tcBorders>
            <w:shd w:val="clear" w:color="auto" w:fill="FFE599" w:themeFill="accent4" w:themeFillTint="66"/>
            <w:noWrap/>
            <w:vAlign w:val="bottom"/>
            <w:hideMark/>
          </w:tcPr>
          <w:p w14:paraId="1F3988D7" w14:textId="77777777" w:rsidR="00100041" w:rsidRPr="00100041" w:rsidRDefault="00100041" w:rsidP="00A66865">
            <w:pPr>
              <w:spacing w:after="0" w:line="240" w:lineRule="auto"/>
              <w:rPr>
                <w:rFonts w:ascii="Arial" w:eastAsia="Times New Roman" w:hAnsi="Arial" w:cs="Arial"/>
                <w:b/>
                <w:bCs/>
                <w:color w:val="FFFFFF"/>
                <w:sz w:val="18"/>
                <w:szCs w:val="18"/>
                <w:lang w:eastAsia="hr-HR"/>
              </w:rPr>
            </w:pPr>
            <w:r w:rsidRPr="00100041">
              <w:rPr>
                <w:rFonts w:ascii="Arial" w:eastAsia="Times New Roman" w:hAnsi="Arial" w:cs="Arial"/>
                <w:b/>
                <w:bCs/>
                <w:color w:val="FFFFFF"/>
                <w:sz w:val="18"/>
                <w:szCs w:val="18"/>
                <w:lang w:eastAsia="hr-HR"/>
              </w:rPr>
              <w:t xml:space="preserve"> </w:t>
            </w:r>
            <w:r w:rsidRPr="00100041">
              <w:rPr>
                <w:rFonts w:ascii="Arial" w:eastAsia="Times New Roman" w:hAnsi="Arial" w:cs="Arial"/>
                <w:b/>
                <w:bCs/>
                <w:sz w:val="18"/>
                <w:szCs w:val="18"/>
                <w:lang w:eastAsia="hr-HR"/>
              </w:rPr>
              <w:t>SVEUKUPNI PRIHODI</w:t>
            </w:r>
          </w:p>
        </w:tc>
        <w:tc>
          <w:tcPr>
            <w:tcW w:w="1680" w:type="dxa"/>
            <w:tcBorders>
              <w:top w:val="single" w:sz="4" w:space="0" w:color="auto"/>
              <w:bottom w:val="single" w:sz="4" w:space="0" w:color="auto"/>
            </w:tcBorders>
            <w:shd w:val="clear" w:color="auto" w:fill="FFE599" w:themeFill="accent4" w:themeFillTint="66"/>
            <w:noWrap/>
            <w:vAlign w:val="bottom"/>
          </w:tcPr>
          <w:p w14:paraId="7D436C27" w14:textId="197D94A7" w:rsidR="00100041" w:rsidRPr="00100041" w:rsidRDefault="00DC6681"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17.537.721,38</w:t>
            </w:r>
          </w:p>
        </w:tc>
        <w:tc>
          <w:tcPr>
            <w:tcW w:w="1508" w:type="dxa"/>
            <w:tcBorders>
              <w:top w:val="single" w:sz="4" w:space="0" w:color="auto"/>
              <w:bottom w:val="single" w:sz="4" w:space="0" w:color="auto"/>
            </w:tcBorders>
            <w:shd w:val="clear" w:color="auto" w:fill="FFE599" w:themeFill="accent4" w:themeFillTint="66"/>
            <w:vAlign w:val="bottom"/>
          </w:tcPr>
          <w:p w14:paraId="1E992262" w14:textId="16E45A50" w:rsidR="00100041" w:rsidRPr="00100041" w:rsidRDefault="00257DDA"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20.828.572,16</w:t>
            </w:r>
          </w:p>
        </w:tc>
        <w:tc>
          <w:tcPr>
            <w:tcW w:w="1525" w:type="dxa"/>
            <w:tcBorders>
              <w:top w:val="single" w:sz="4" w:space="0" w:color="auto"/>
              <w:bottom w:val="single" w:sz="4" w:space="0" w:color="auto"/>
            </w:tcBorders>
            <w:shd w:val="clear" w:color="auto" w:fill="FFE599" w:themeFill="accent4" w:themeFillTint="66"/>
          </w:tcPr>
          <w:p w14:paraId="6C388027" w14:textId="342CB464" w:rsidR="00100041" w:rsidRPr="00100041" w:rsidRDefault="00257DDA"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20.828.572,16</w:t>
            </w:r>
          </w:p>
        </w:tc>
        <w:tc>
          <w:tcPr>
            <w:tcW w:w="1525" w:type="dxa"/>
            <w:tcBorders>
              <w:top w:val="single" w:sz="4" w:space="0" w:color="auto"/>
              <w:bottom w:val="single" w:sz="4" w:space="0" w:color="auto"/>
            </w:tcBorders>
            <w:shd w:val="clear" w:color="auto" w:fill="FFE599" w:themeFill="accent4" w:themeFillTint="66"/>
            <w:noWrap/>
            <w:vAlign w:val="bottom"/>
          </w:tcPr>
          <w:p w14:paraId="73C8DA26" w14:textId="2CB2424F" w:rsidR="00100041" w:rsidRPr="00100041" w:rsidRDefault="00257DDA"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19.637.321,82</w:t>
            </w:r>
          </w:p>
        </w:tc>
        <w:tc>
          <w:tcPr>
            <w:tcW w:w="1067" w:type="dxa"/>
            <w:tcBorders>
              <w:top w:val="single" w:sz="4" w:space="0" w:color="auto"/>
              <w:bottom w:val="single" w:sz="4" w:space="0" w:color="auto"/>
            </w:tcBorders>
            <w:shd w:val="clear" w:color="auto" w:fill="FFE599" w:themeFill="accent4" w:themeFillTint="66"/>
            <w:noWrap/>
            <w:vAlign w:val="bottom"/>
          </w:tcPr>
          <w:p w14:paraId="7B65C7C1" w14:textId="1C0739D3" w:rsidR="00100041" w:rsidRPr="00100041" w:rsidRDefault="00257DDA"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111,97</w:t>
            </w:r>
            <w:r w:rsidR="00F512F4">
              <w:rPr>
                <w:rFonts w:ascii="Arial" w:eastAsia="Times New Roman" w:hAnsi="Arial" w:cs="Arial"/>
                <w:b/>
                <w:bCs/>
                <w:sz w:val="18"/>
                <w:szCs w:val="18"/>
                <w:lang w:eastAsia="hr-HR"/>
              </w:rPr>
              <w:t>%</w:t>
            </w:r>
          </w:p>
        </w:tc>
        <w:tc>
          <w:tcPr>
            <w:tcW w:w="950" w:type="dxa"/>
            <w:tcBorders>
              <w:top w:val="single" w:sz="4" w:space="0" w:color="auto"/>
              <w:bottom w:val="single" w:sz="4" w:space="0" w:color="auto"/>
            </w:tcBorders>
            <w:shd w:val="clear" w:color="auto" w:fill="FFE599" w:themeFill="accent4" w:themeFillTint="66"/>
            <w:noWrap/>
            <w:vAlign w:val="bottom"/>
          </w:tcPr>
          <w:p w14:paraId="0AAD434F" w14:textId="7DDDDD5E" w:rsidR="00100041" w:rsidRPr="00100041" w:rsidRDefault="00257DDA"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94,28</w:t>
            </w:r>
            <w:r w:rsidR="00F512F4">
              <w:rPr>
                <w:rFonts w:ascii="Arial" w:eastAsia="Times New Roman" w:hAnsi="Arial" w:cs="Arial"/>
                <w:b/>
                <w:bCs/>
                <w:sz w:val="18"/>
                <w:szCs w:val="18"/>
                <w:lang w:eastAsia="hr-HR"/>
              </w:rPr>
              <w:t>%</w:t>
            </w:r>
          </w:p>
        </w:tc>
      </w:tr>
      <w:tr w:rsidR="00C23012" w:rsidRPr="00100041" w14:paraId="5AEF3304" w14:textId="77777777" w:rsidTr="00C23012">
        <w:trPr>
          <w:trHeight w:val="202"/>
        </w:trPr>
        <w:tc>
          <w:tcPr>
            <w:tcW w:w="3093" w:type="dxa"/>
            <w:tcBorders>
              <w:top w:val="single" w:sz="4" w:space="0" w:color="auto"/>
              <w:bottom w:val="single" w:sz="4" w:space="0" w:color="auto"/>
            </w:tcBorders>
            <w:shd w:val="clear" w:color="auto" w:fill="FFE599" w:themeFill="accent4" w:themeFillTint="66"/>
            <w:noWrap/>
            <w:vAlign w:val="bottom"/>
            <w:hideMark/>
          </w:tcPr>
          <w:p w14:paraId="601FD6D9" w14:textId="77777777" w:rsidR="00100041" w:rsidRPr="00100041" w:rsidRDefault="00100041" w:rsidP="00A66865">
            <w:pPr>
              <w:spacing w:after="0" w:line="240" w:lineRule="auto"/>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Izvor 1. OPĆI PRIHODI I PRIMICI</w:t>
            </w:r>
          </w:p>
        </w:tc>
        <w:tc>
          <w:tcPr>
            <w:tcW w:w="1680" w:type="dxa"/>
            <w:tcBorders>
              <w:top w:val="single" w:sz="4" w:space="0" w:color="auto"/>
              <w:bottom w:val="single" w:sz="4" w:space="0" w:color="auto"/>
            </w:tcBorders>
            <w:shd w:val="clear" w:color="auto" w:fill="FFE599" w:themeFill="accent4" w:themeFillTint="66"/>
            <w:noWrap/>
            <w:vAlign w:val="bottom"/>
          </w:tcPr>
          <w:p w14:paraId="40822284" w14:textId="578C9F41" w:rsidR="00100041" w:rsidRPr="00100041" w:rsidRDefault="00DC6681"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12.109.051,09</w:t>
            </w:r>
          </w:p>
        </w:tc>
        <w:tc>
          <w:tcPr>
            <w:tcW w:w="1508" w:type="dxa"/>
            <w:tcBorders>
              <w:top w:val="single" w:sz="4" w:space="0" w:color="auto"/>
              <w:bottom w:val="single" w:sz="4" w:space="0" w:color="auto"/>
            </w:tcBorders>
            <w:shd w:val="clear" w:color="auto" w:fill="FFE599" w:themeFill="accent4" w:themeFillTint="66"/>
            <w:vAlign w:val="bottom"/>
          </w:tcPr>
          <w:p w14:paraId="5B72FA11" w14:textId="1A378ECD" w:rsidR="00100041" w:rsidRPr="00100041" w:rsidRDefault="00257DDA"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12.949.732,23</w:t>
            </w:r>
          </w:p>
        </w:tc>
        <w:tc>
          <w:tcPr>
            <w:tcW w:w="1525" w:type="dxa"/>
            <w:tcBorders>
              <w:top w:val="single" w:sz="4" w:space="0" w:color="auto"/>
              <w:bottom w:val="single" w:sz="4" w:space="0" w:color="auto"/>
            </w:tcBorders>
            <w:shd w:val="clear" w:color="auto" w:fill="FFE599" w:themeFill="accent4" w:themeFillTint="66"/>
          </w:tcPr>
          <w:p w14:paraId="6853AF20" w14:textId="0C461CE5" w:rsidR="00100041" w:rsidRPr="00100041" w:rsidRDefault="00257DDA"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12.949.732,23</w:t>
            </w:r>
          </w:p>
        </w:tc>
        <w:tc>
          <w:tcPr>
            <w:tcW w:w="1525" w:type="dxa"/>
            <w:tcBorders>
              <w:top w:val="single" w:sz="4" w:space="0" w:color="auto"/>
              <w:bottom w:val="single" w:sz="4" w:space="0" w:color="auto"/>
            </w:tcBorders>
            <w:shd w:val="clear" w:color="auto" w:fill="FFE599" w:themeFill="accent4" w:themeFillTint="66"/>
            <w:noWrap/>
            <w:vAlign w:val="bottom"/>
          </w:tcPr>
          <w:p w14:paraId="64F04F64" w14:textId="27B47525" w:rsidR="00100041" w:rsidRPr="00100041" w:rsidRDefault="00257DDA"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13.308.965,36</w:t>
            </w:r>
          </w:p>
        </w:tc>
        <w:tc>
          <w:tcPr>
            <w:tcW w:w="1067" w:type="dxa"/>
            <w:tcBorders>
              <w:top w:val="single" w:sz="4" w:space="0" w:color="auto"/>
              <w:bottom w:val="single" w:sz="4" w:space="0" w:color="auto"/>
            </w:tcBorders>
            <w:shd w:val="clear" w:color="auto" w:fill="FFE599" w:themeFill="accent4" w:themeFillTint="66"/>
            <w:noWrap/>
            <w:vAlign w:val="bottom"/>
          </w:tcPr>
          <w:p w14:paraId="72229AC6" w14:textId="5A788006" w:rsidR="00100041" w:rsidRPr="00100041" w:rsidRDefault="00257DDA"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109,91</w:t>
            </w:r>
            <w:r w:rsidR="00F512F4">
              <w:rPr>
                <w:rFonts w:ascii="Arial" w:eastAsia="Times New Roman" w:hAnsi="Arial" w:cs="Arial"/>
                <w:b/>
                <w:bCs/>
                <w:sz w:val="18"/>
                <w:szCs w:val="18"/>
                <w:lang w:eastAsia="hr-HR"/>
              </w:rPr>
              <w:t>%</w:t>
            </w:r>
          </w:p>
        </w:tc>
        <w:tc>
          <w:tcPr>
            <w:tcW w:w="950" w:type="dxa"/>
            <w:tcBorders>
              <w:top w:val="single" w:sz="4" w:space="0" w:color="auto"/>
              <w:bottom w:val="single" w:sz="4" w:space="0" w:color="auto"/>
            </w:tcBorders>
            <w:shd w:val="clear" w:color="auto" w:fill="FFE599" w:themeFill="accent4" w:themeFillTint="66"/>
            <w:noWrap/>
            <w:vAlign w:val="bottom"/>
          </w:tcPr>
          <w:p w14:paraId="349889E7" w14:textId="71C36154" w:rsidR="00100041" w:rsidRPr="00100041" w:rsidRDefault="00257DDA"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102,77</w:t>
            </w:r>
            <w:r w:rsidR="00F512F4">
              <w:rPr>
                <w:rFonts w:ascii="Arial" w:eastAsia="Times New Roman" w:hAnsi="Arial" w:cs="Arial"/>
                <w:b/>
                <w:bCs/>
                <w:sz w:val="18"/>
                <w:szCs w:val="18"/>
                <w:lang w:eastAsia="hr-HR"/>
              </w:rPr>
              <w:t>%</w:t>
            </w:r>
          </w:p>
        </w:tc>
      </w:tr>
      <w:tr w:rsidR="00100041" w:rsidRPr="00100041" w14:paraId="7EF2D7B8" w14:textId="77777777" w:rsidTr="00C23012">
        <w:trPr>
          <w:trHeight w:val="202"/>
        </w:trPr>
        <w:tc>
          <w:tcPr>
            <w:tcW w:w="3093" w:type="dxa"/>
            <w:tcBorders>
              <w:top w:val="single" w:sz="4" w:space="0" w:color="auto"/>
              <w:bottom w:val="single" w:sz="4" w:space="0" w:color="auto"/>
            </w:tcBorders>
            <w:noWrap/>
            <w:vAlign w:val="bottom"/>
            <w:hideMark/>
          </w:tcPr>
          <w:p w14:paraId="258500F6" w14:textId="77777777" w:rsidR="00100041" w:rsidRPr="00100041" w:rsidRDefault="00100041" w:rsidP="00A6686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1.1. Opći prihodi i primici</w:t>
            </w:r>
          </w:p>
        </w:tc>
        <w:tc>
          <w:tcPr>
            <w:tcW w:w="1680" w:type="dxa"/>
            <w:tcBorders>
              <w:top w:val="single" w:sz="4" w:space="0" w:color="auto"/>
              <w:bottom w:val="single" w:sz="4" w:space="0" w:color="auto"/>
            </w:tcBorders>
            <w:noWrap/>
            <w:vAlign w:val="bottom"/>
          </w:tcPr>
          <w:p w14:paraId="7A82B568" w14:textId="7860BAB4" w:rsidR="00100041" w:rsidRPr="00100041" w:rsidRDefault="00DC6681"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12.109.051,09</w:t>
            </w:r>
          </w:p>
        </w:tc>
        <w:tc>
          <w:tcPr>
            <w:tcW w:w="1508" w:type="dxa"/>
            <w:tcBorders>
              <w:top w:val="single" w:sz="4" w:space="0" w:color="auto"/>
              <w:bottom w:val="single" w:sz="4" w:space="0" w:color="auto"/>
            </w:tcBorders>
            <w:vAlign w:val="bottom"/>
          </w:tcPr>
          <w:p w14:paraId="03764109" w14:textId="070EDEC9"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12.949.732,23</w:t>
            </w:r>
          </w:p>
        </w:tc>
        <w:tc>
          <w:tcPr>
            <w:tcW w:w="1525" w:type="dxa"/>
            <w:tcBorders>
              <w:top w:val="single" w:sz="4" w:space="0" w:color="auto"/>
              <w:bottom w:val="single" w:sz="4" w:space="0" w:color="auto"/>
            </w:tcBorders>
          </w:tcPr>
          <w:p w14:paraId="52969745" w14:textId="359AA97A"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12.949.732,23</w:t>
            </w:r>
          </w:p>
        </w:tc>
        <w:tc>
          <w:tcPr>
            <w:tcW w:w="1525" w:type="dxa"/>
            <w:tcBorders>
              <w:top w:val="single" w:sz="4" w:space="0" w:color="auto"/>
              <w:bottom w:val="single" w:sz="4" w:space="0" w:color="auto"/>
            </w:tcBorders>
            <w:noWrap/>
            <w:vAlign w:val="bottom"/>
          </w:tcPr>
          <w:p w14:paraId="6AA99942" w14:textId="697870A6"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13.308.965,36</w:t>
            </w:r>
          </w:p>
        </w:tc>
        <w:tc>
          <w:tcPr>
            <w:tcW w:w="1067" w:type="dxa"/>
            <w:tcBorders>
              <w:top w:val="single" w:sz="4" w:space="0" w:color="auto"/>
              <w:bottom w:val="single" w:sz="4" w:space="0" w:color="auto"/>
            </w:tcBorders>
            <w:noWrap/>
            <w:vAlign w:val="bottom"/>
          </w:tcPr>
          <w:p w14:paraId="07697284" w14:textId="2CD0278B"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109,91</w:t>
            </w:r>
            <w:r w:rsidR="000A0558">
              <w:rPr>
                <w:rFonts w:ascii="Arial" w:eastAsia="Times New Roman" w:hAnsi="Arial" w:cs="Arial"/>
                <w:bCs/>
                <w:sz w:val="18"/>
                <w:szCs w:val="18"/>
                <w:lang w:eastAsia="hr-HR"/>
              </w:rPr>
              <w:t>%</w:t>
            </w:r>
          </w:p>
        </w:tc>
        <w:tc>
          <w:tcPr>
            <w:tcW w:w="950" w:type="dxa"/>
            <w:tcBorders>
              <w:top w:val="single" w:sz="4" w:space="0" w:color="auto"/>
              <w:bottom w:val="single" w:sz="4" w:space="0" w:color="auto"/>
            </w:tcBorders>
            <w:noWrap/>
            <w:vAlign w:val="bottom"/>
          </w:tcPr>
          <w:p w14:paraId="735AD6E4" w14:textId="0B9C3ED0"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102,77</w:t>
            </w:r>
            <w:r w:rsidR="000A0558">
              <w:rPr>
                <w:rFonts w:ascii="Arial" w:eastAsia="Times New Roman" w:hAnsi="Arial" w:cs="Arial"/>
                <w:bCs/>
                <w:sz w:val="18"/>
                <w:szCs w:val="18"/>
                <w:lang w:eastAsia="hr-HR"/>
              </w:rPr>
              <w:t>%</w:t>
            </w:r>
          </w:p>
        </w:tc>
      </w:tr>
      <w:tr w:rsidR="00C23012" w:rsidRPr="00100041" w14:paraId="1307FCBC" w14:textId="77777777" w:rsidTr="00C23012">
        <w:trPr>
          <w:trHeight w:val="202"/>
        </w:trPr>
        <w:tc>
          <w:tcPr>
            <w:tcW w:w="3093" w:type="dxa"/>
            <w:tcBorders>
              <w:top w:val="single" w:sz="4" w:space="0" w:color="auto"/>
              <w:bottom w:val="single" w:sz="4" w:space="0" w:color="auto"/>
            </w:tcBorders>
            <w:shd w:val="clear" w:color="auto" w:fill="FFE599" w:themeFill="accent4" w:themeFillTint="66"/>
            <w:noWrap/>
            <w:vAlign w:val="bottom"/>
            <w:hideMark/>
          </w:tcPr>
          <w:p w14:paraId="454AA774" w14:textId="77777777" w:rsidR="00100041" w:rsidRPr="00100041" w:rsidRDefault="00100041" w:rsidP="00A66865">
            <w:pPr>
              <w:spacing w:after="0" w:line="240" w:lineRule="auto"/>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Izvor 3. VLASTITI PRIHODI</w:t>
            </w:r>
          </w:p>
        </w:tc>
        <w:tc>
          <w:tcPr>
            <w:tcW w:w="1680" w:type="dxa"/>
            <w:tcBorders>
              <w:top w:val="single" w:sz="4" w:space="0" w:color="auto"/>
              <w:bottom w:val="single" w:sz="4" w:space="0" w:color="auto"/>
            </w:tcBorders>
            <w:shd w:val="clear" w:color="auto" w:fill="FFE599" w:themeFill="accent4" w:themeFillTint="66"/>
            <w:noWrap/>
            <w:vAlign w:val="bottom"/>
          </w:tcPr>
          <w:p w14:paraId="5C06DF7C" w14:textId="6C0269BA" w:rsidR="00100041" w:rsidRPr="00100041" w:rsidRDefault="00DC6681"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111.123,93</w:t>
            </w:r>
          </w:p>
        </w:tc>
        <w:tc>
          <w:tcPr>
            <w:tcW w:w="1508" w:type="dxa"/>
            <w:tcBorders>
              <w:top w:val="single" w:sz="4" w:space="0" w:color="auto"/>
              <w:bottom w:val="single" w:sz="4" w:space="0" w:color="auto"/>
            </w:tcBorders>
            <w:shd w:val="clear" w:color="auto" w:fill="FFE599" w:themeFill="accent4" w:themeFillTint="66"/>
            <w:vAlign w:val="bottom"/>
          </w:tcPr>
          <w:p w14:paraId="0EB889CB" w14:textId="2556EBCB" w:rsidR="00100041" w:rsidRPr="00100041" w:rsidRDefault="00257DDA"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128.006,00</w:t>
            </w:r>
          </w:p>
        </w:tc>
        <w:tc>
          <w:tcPr>
            <w:tcW w:w="1525" w:type="dxa"/>
            <w:tcBorders>
              <w:top w:val="single" w:sz="4" w:space="0" w:color="auto"/>
              <w:bottom w:val="single" w:sz="4" w:space="0" w:color="auto"/>
            </w:tcBorders>
            <w:shd w:val="clear" w:color="auto" w:fill="FFE599" w:themeFill="accent4" w:themeFillTint="66"/>
          </w:tcPr>
          <w:p w14:paraId="1633A9C3" w14:textId="21C67078" w:rsidR="00100041" w:rsidRPr="00100041" w:rsidRDefault="00257DDA"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128.006,00</w:t>
            </w:r>
          </w:p>
        </w:tc>
        <w:tc>
          <w:tcPr>
            <w:tcW w:w="1525" w:type="dxa"/>
            <w:tcBorders>
              <w:top w:val="single" w:sz="4" w:space="0" w:color="auto"/>
              <w:bottom w:val="single" w:sz="4" w:space="0" w:color="auto"/>
            </w:tcBorders>
            <w:shd w:val="clear" w:color="auto" w:fill="FFE599" w:themeFill="accent4" w:themeFillTint="66"/>
            <w:noWrap/>
            <w:vAlign w:val="bottom"/>
          </w:tcPr>
          <w:p w14:paraId="588AD9E1" w14:textId="61F33711" w:rsidR="00100041" w:rsidRPr="00100041" w:rsidRDefault="00257DDA"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110.765,31</w:t>
            </w:r>
          </w:p>
        </w:tc>
        <w:tc>
          <w:tcPr>
            <w:tcW w:w="1067" w:type="dxa"/>
            <w:tcBorders>
              <w:top w:val="single" w:sz="4" w:space="0" w:color="auto"/>
              <w:bottom w:val="single" w:sz="4" w:space="0" w:color="auto"/>
            </w:tcBorders>
            <w:shd w:val="clear" w:color="auto" w:fill="FFE599" w:themeFill="accent4" w:themeFillTint="66"/>
            <w:noWrap/>
            <w:vAlign w:val="bottom"/>
          </w:tcPr>
          <w:p w14:paraId="61D58239" w14:textId="2E10C433" w:rsidR="00100041" w:rsidRPr="00100041" w:rsidRDefault="00257DDA"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99,68</w:t>
            </w:r>
            <w:r w:rsidR="000A0558">
              <w:rPr>
                <w:rFonts w:ascii="Arial" w:eastAsia="Times New Roman" w:hAnsi="Arial" w:cs="Arial"/>
                <w:b/>
                <w:bCs/>
                <w:sz w:val="18"/>
                <w:szCs w:val="18"/>
                <w:lang w:eastAsia="hr-HR"/>
              </w:rPr>
              <w:t>%</w:t>
            </w:r>
          </w:p>
        </w:tc>
        <w:tc>
          <w:tcPr>
            <w:tcW w:w="950" w:type="dxa"/>
            <w:tcBorders>
              <w:top w:val="single" w:sz="4" w:space="0" w:color="auto"/>
              <w:bottom w:val="single" w:sz="4" w:space="0" w:color="auto"/>
            </w:tcBorders>
            <w:shd w:val="clear" w:color="auto" w:fill="FFE599" w:themeFill="accent4" w:themeFillTint="66"/>
            <w:noWrap/>
            <w:vAlign w:val="bottom"/>
          </w:tcPr>
          <w:p w14:paraId="56F1BDB7" w14:textId="769D42F9" w:rsidR="00100041" w:rsidRPr="00100041" w:rsidRDefault="00257DDA"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86,53</w:t>
            </w:r>
            <w:r w:rsidR="000A0558">
              <w:rPr>
                <w:rFonts w:ascii="Arial" w:eastAsia="Times New Roman" w:hAnsi="Arial" w:cs="Arial"/>
                <w:b/>
                <w:bCs/>
                <w:sz w:val="18"/>
                <w:szCs w:val="18"/>
                <w:lang w:eastAsia="hr-HR"/>
              </w:rPr>
              <w:t>%</w:t>
            </w:r>
          </w:p>
        </w:tc>
      </w:tr>
      <w:tr w:rsidR="00100041" w:rsidRPr="00100041" w14:paraId="2367065F" w14:textId="77777777" w:rsidTr="00F512F4">
        <w:trPr>
          <w:trHeight w:val="395"/>
        </w:trPr>
        <w:tc>
          <w:tcPr>
            <w:tcW w:w="3093" w:type="dxa"/>
            <w:tcBorders>
              <w:top w:val="single" w:sz="4" w:space="0" w:color="auto"/>
              <w:bottom w:val="single" w:sz="4" w:space="0" w:color="auto"/>
            </w:tcBorders>
            <w:noWrap/>
            <w:vAlign w:val="bottom"/>
            <w:hideMark/>
          </w:tcPr>
          <w:p w14:paraId="34777750" w14:textId="77777777" w:rsidR="00100041" w:rsidRPr="00100041" w:rsidRDefault="00100041" w:rsidP="00A6686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3.2. Vlastiti prihodi proračunskih korisnika</w:t>
            </w:r>
          </w:p>
        </w:tc>
        <w:tc>
          <w:tcPr>
            <w:tcW w:w="1680" w:type="dxa"/>
            <w:tcBorders>
              <w:top w:val="single" w:sz="4" w:space="0" w:color="auto"/>
              <w:bottom w:val="single" w:sz="4" w:space="0" w:color="auto"/>
            </w:tcBorders>
            <w:noWrap/>
            <w:vAlign w:val="center"/>
          </w:tcPr>
          <w:p w14:paraId="662908AF" w14:textId="68CD0EFD" w:rsidR="00247B69" w:rsidRPr="00100041" w:rsidRDefault="00DC6681" w:rsidP="00247B69">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111.123,93</w:t>
            </w:r>
          </w:p>
        </w:tc>
        <w:tc>
          <w:tcPr>
            <w:tcW w:w="1508" w:type="dxa"/>
            <w:tcBorders>
              <w:top w:val="single" w:sz="4" w:space="0" w:color="auto"/>
              <w:bottom w:val="single" w:sz="4" w:space="0" w:color="auto"/>
            </w:tcBorders>
            <w:vAlign w:val="center"/>
          </w:tcPr>
          <w:p w14:paraId="4F3F0C7F" w14:textId="7C5BEF32"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128.006,00</w:t>
            </w:r>
          </w:p>
        </w:tc>
        <w:tc>
          <w:tcPr>
            <w:tcW w:w="1525" w:type="dxa"/>
            <w:tcBorders>
              <w:top w:val="single" w:sz="4" w:space="0" w:color="auto"/>
              <w:bottom w:val="single" w:sz="4" w:space="0" w:color="auto"/>
            </w:tcBorders>
            <w:vAlign w:val="center"/>
          </w:tcPr>
          <w:p w14:paraId="5C515ADB" w14:textId="3756B090"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128.006,00</w:t>
            </w:r>
          </w:p>
        </w:tc>
        <w:tc>
          <w:tcPr>
            <w:tcW w:w="1525" w:type="dxa"/>
            <w:tcBorders>
              <w:top w:val="single" w:sz="4" w:space="0" w:color="auto"/>
              <w:bottom w:val="single" w:sz="4" w:space="0" w:color="auto"/>
            </w:tcBorders>
            <w:noWrap/>
            <w:vAlign w:val="center"/>
          </w:tcPr>
          <w:p w14:paraId="40CF45B2" w14:textId="51614CFC"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110.765,31</w:t>
            </w:r>
          </w:p>
        </w:tc>
        <w:tc>
          <w:tcPr>
            <w:tcW w:w="1067" w:type="dxa"/>
            <w:tcBorders>
              <w:top w:val="single" w:sz="4" w:space="0" w:color="auto"/>
              <w:bottom w:val="single" w:sz="4" w:space="0" w:color="auto"/>
            </w:tcBorders>
            <w:noWrap/>
            <w:vAlign w:val="center"/>
          </w:tcPr>
          <w:p w14:paraId="6AB1842B" w14:textId="08A42194"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99,68</w:t>
            </w:r>
            <w:r w:rsidR="000A0558">
              <w:rPr>
                <w:rFonts w:ascii="Arial" w:eastAsia="Times New Roman" w:hAnsi="Arial" w:cs="Arial"/>
                <w:bCs/>
                <w:sz w:val="18"/>
                <w:szCs w:val="18"/>
                <w:lang w:eastAsia="hr-HR"/>
              </w:rPr>
              <w:t>%</w:t>
            </w:r>
          </w:p>
        </w:tc>
        <w:tc>
          <w:tcPr>
            <w:tcW w:w="950" w:type="dxa"/>
            <w:tcBorders>
              <w:top w:val="single" w:sz="4" w:space="0" w:color="auto"/>
              <w:bottom w:val="single" w:sz="4" w:space="0" w:color="auto"/>
            </w:tcBorders>
            <w:noWrap/>
            <w:vAlign w:val="center"/>
          </w:tcPr>
          <w:p w14:paraId="372862E7" w14:textId="1409E961"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86,53</w:t>
            </w:r>
            <w:r w:rsidR="000A0558">
              <w:rPr>
                <w:rFonts w:ascii="Arial" w:eastAsia="Times New Roman" w:hAnsi="Arial" w:cs="Arial"/>
                <w:bCs/>
                <w:sz w:val="18"/>
                <w:szCs w:val="18"/>
                <w:lang w:eastAsia="hr-HR"/>
              </w:rPr>
              <w:t>%</w:t>
            </w:r>
          </w:p>
        </w:tc>
      </w:tr>
      <w:tr w:rsidR="00C23012" w:rsidRPr="00100041" w14:paraId="7190D401" w14:textId="77777777" w:rsidTr="00F512F4">
        <w:trPr>
          <w:trHeight w:val="202"/>
        </w:trPr>
        <w:tc>
          <w:tcPr>
            <w:tcW w:w="3093" w:type="dxa"/>
            <w:tcBorders>
              <w:top w:val="single" w:sz="4" w:space="0" w:color="auto"/>
              <w:bottom w:val="single" w:sz="4" w:space="0" w:color="auto"/>
            </w:tcBorders>
            <w:shd w:val="clear" w:color="auto" w:fill="FFE599" w:themeFill="accent4" w:themeFillTint="66"/>
            <w:noWrap/>
            <w:vAlign w:val="bottom"/>
            <w:hideMark/>
          </w:tcPr>
          <w:p w14:paraId="426C24CE" w14:textId="77777777" w:rsidR="00100041" w:rsidRPr="00100041" w:rsidRDefault="00100041" w:rsidP="00A66865">
            <w:pPr>
              <w:spacing w:after="0" w:line="240" w:lineRule="auto"/>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Izvor 4. PRIHODI ZA POSEBNE NAMJENE</w:t>
            </w:r>
          </w:p>
        </w:tc>
        <w:tc>
          <w:tcPr>
            <w:tcW w:w="1680" w:type="dxa"/>
            <w:tcBorders>
              <w:top w:val="single" w:sz="4" w:space="0" w:color="auto"/>
              <w:bottom w:val="single" w:sz="4" w:space="0" w:color="auto"/>
            </w:tcBorders>
            <w:shd w:val="clear" w:color="auto" w:fill="FFE599" w:themeFill="accent4" w:themeFillTint="66"/>
            <w:noWrap/>
            <w:vAlign w:val="center"/>
          </w:tcPr>
          <w:p w14:paraId="49CCD8D0" w14:textId="42CFFF4E" w:rsidR="00100041" w:rsidRPr="00100041" w:rsidRDefault="00DC6681"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4.175.559,05</w:t>
            </w:r>
          </w:p>
        </w:tc>
        <w:tc>
          <w:tcPr>
            <w:tcW w:w="1508" w:type="dxa"/>
            <w:tcBorders>
              <w:top w:val="single" w:sz="4" w:space="0" w:color="auto"/>
              <w:bottom w:val="single" w:sz="4" w:space="0" w:color="auto"/>
            </w:tcBorders>
            <w:shd w:val="clear" w:color="auto" w:fill="FFE599" w:themeFill="accent4" w:themeFillTint="66"/>
            <w:vAlign w:val="center"/>
          </w:tcPr>
          <w:p w14:paraId="52A68591" w14:textId="3E11FCFF" w:rsidR="00100041" w:rsidRPr="00100041" w:rsidRDefault="00257DDA"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5.173.536,93</w:t>
            </w:r>
          </w:p>
        </w:tc>
        <w:tc>
          <w:tcPr>
            <w:tcW w:w="1525" w:type="dxa"/>
            <w:tcBorders>
              <w:top w:val="single" w:sz="4" w:space="0" w:color="auto"/>
              <w:bottom w:val="single" w:sz="4" w:space="0" w:color="auto"/>
            </w:tcBorders>
            <w:shd w:val="clear" w:color="auto" w:fill="FFE599" w:themeFill="accent4" w:themeFillTint="66"/>
            <w:vAlign w:val="center"/>
          </w:tcPr>
          <w:p w14:paraId="733EA589" w14:textId="5683ED0F" w:rsidR="00100041" w:rsidRPr="00100041" w:rsidRDefault="00257DDA"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5.173.536,93</w:t>
            </w:r>
          </w:p>
        </w:tc>
        <w:tc>
          <w:tcPr>
            <w:tcW w:w="1525" w:type="dxa"/>
            <w:tcBorders>
              <w:top w:val="single" w:sz="4" w:space="0" w:color="auto"/>
              <w:bottom w:val="single" w:sz="4" w:space="0" w:color="auto"/>
            </w:tcBorders>
            <w:shd w:val="clear" w:color="auto" w:fill="FFE599" w:themeFill="accent4" w:themeFillTint="66"/>
            <w:noWrap/>
            <w:vAlign w:val="center"/>
          </w:tcPr>
          <w:p w14:paraId="595EFBFE" w14:textId="250DDC58" w:rsidR="00100041" w:rsidRPr="00100041" w:rsidRDefault="00257DDA"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5.021.220,85</w:t>
            </w:r>
          </w:p>
        </w:tc>
        <w:tc>
          <w:tcPr>
            <w:tcW w:w="1067" w:type="dxa"/>
            <w:tcBorders>
              <w:top w:val="single" w:sz="4" w:space="0" w:color="auto"/>
              <w:bottom w:val="single" w:sz="4" w:space="0" w:color="auto"/>
            </w:tcBorders>
            <w:shd w:val="clear" w:color="auto" w:fill="FFE599" w:themeFill="accent4" w:themeFillTint="66"/>
            <w:noWrap/>
            <w:vAlign w:val="center"/>
          </w:tcPr>
          <w:p w14:paraId="2BF623D4" w14:textId="5C84E45E" w:rsidR="00100041" w:rsidRPr="00100041" w:rsidRDefault="00257DDA"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120,25</w:t>
            </w:r>
            <w:r w:rsidR="000A0558">
              <w:rPr>
                <w:rFonts w:ascii="Arial" w:eastAsia="Times New Roman" w:hAnsi="Arial" w:cs="Arial"/>
                <w:b/>
                <w:bCs/>
                <w:sz w:val="18"/>
                <w:szCs w:val="18"/>
                <w:lang w:eastAsia="hr-HR"/>
              </w:rPr>
              <w:t>%</w:t>
            </w:r>
          </w:p>
        </w:tc>
        <w:tc>
          <w:tcPr>
            <w:tcW w:w="950" w:type="dxa"/>
            <w:tcBorders>
              <w:top w:val="single" w:sz="4" w:space="0" w:color="auto"/>
              <w:bottom w:val="single" w:sz="4" w:space="0" w:color="auto"/>
            </w:tcBorders>
            <w:shd w:val="clear" w:color="auto" w:fill="FFE599" w:themeFill="accent4" w:themeFillTint="66"/>
            <w:noWrap/>
            <w:vAlign w:val="center"/>
          </w:tcPr>
          <w:p w14:paraId="1CC94CB7" w14:textId="0C8AEFF7" w:rsidR="00100041" w:rsidRPr="00100041" w:rsidRDefault="00257DDA"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97,06</w:t>
            </w:r>
            <w:r w:rsidR="000A0558">
              <w:rPr>
                <w:rFonts w:ascii="Arial" w:eastAsia="Times New Roman" w:hAnsi="Arial" w:cs="Arial"/>
                <w:b/>
                <w:bCs/>
                <w:sz w:val="18"/>
                <w:szCs w:val="18"/>
                <w:lang w:eastAsia="hr-HR"/>
              </w:rPr>
              <w:t>%</w:t>
            </w:r>
          </w:p>
        </w:tc>
      </w:tr>
      <w:tr w:rsidR="00100041" w:rsidRPr="00100041" w14:paraId="735E4AB9" w14:textId="77777777" w:rsidTr="00F512F4">
        <w:trPr>
          <w:trHeight w:val="202"/>
        </w:trPr>
        <w:tc>
          <w:tcPr>
            <w:tcW w:w="3093" w:type="dxa"/>
            <w:tcBorders>
              <w:top w:val="single" w:sz="4" w:space="0" w:color="auto"/>
              <w:bottom w:val="single" w:sz="4" w:space="0" w:color="auto"/>
            </w:tcBorders>
            <w:noWrap/>
            <w:vAlign w:val="bottom"/>
            <w:hideMark/>
          </w:tcPr>
          <w:p w14:paraId="5C222E29" w14:textId="77777777" w:rsidR="00100041" w:rsidRPr="00100041" w:rsidRDefault="00100041" w:rsidP="00A6686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4.1. Komunalni doprinos</w:t>
            </w:r>
          </w:p>
        </w:tc>
        <w:tc>
          <w:tcPr>
            <w:tcW w:w="1680" w:type="dxa"/>
            <w:tcBorders>
              <w:top w:val="single" w:sz="4" w:space="0" w:color="auto"/>
              <w:bottom w:val="single" w:sz="4" w:space="0" w:color="auto"/>
            </w:tcBorders>
            <w:noWrap/>
            <w:vAlign w:val="center"/>
          </w:tcPr>
          <w:p w14:paraId="2651C838" w14:textId="14707772" w:rsidR="00100041" w:rsidRPr="00100041" w:rsidRDefault="00DC6681"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1.113.976,61</w:t>
            </w:r>
          </w:p>
        </w:tc>
        <w:tc>
          <w:tcPr>
            <w:tcW w:w="1508" w:type="dxa"/>
            <w:tcBorders>
              <w:top w:val="single" w:sz="4" w:space="0" w:color="auto"/>
              <w:bottom w:val="single" w:sz="4" w:space="0" w:color="auto"/>
            </w:tcBorders>
            <w:vAlign w:val="center"/>
          </w:tcPr>
          <w:p w14:paraId="2A7AC058" w14:textId="4E35D6BE"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1.349.885,93</w:t>
            </w:r>
          </w:p>
        </w:tc>
        <w:tc>
          <w:tcPr>
            <w:tcW w:w="1525" w:type="dxa"/>
            <w:tcBorders>
              <w:top w:val="single" w:sz="4" w:space="0" w:color="auto"/>
              <w:bottom w:val="single" w:sz="4" w:space="0" w:color="auto"/>
            </w:tcBorders>
            <w:vAlign w:val="center"/>
          </w:tcPr>
          <w:p w14:paraId="447F5BD4" w14:textId="3085A7EE"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1.349.885,93</w:t>
            </w:r>
          </w:p>
        </w:tc>
        <w:tc>
          <w:tcPr>
            <w:tcW w:w="1525" w:type="dxa"/>
            <w:tcBorders>
              <w:top w:val="single" w:sz="4" w:space="0" w:color="auto"/>
              <w:bottom w:val="single" w:sz="4" w:space="0" w:color="auto"/>
            </w:tcBorders>
            <w:noWrap/>
            <w:vAlign w:val="center"/>
          </w:tcPr>
          <w:p w14:paraId="4231CC0E" w14:textId="30B842F0"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1.445.037,08</w:t>
            </w:r>
          </w:p>
        </w:tc>
        <w:tc>
          <w:tcPr>
            <w:tcW w:w="1067" w:type="dxa"/>
            <w:tcBorders>
              <w:top w:val="single" w:sz="4" w:space="0" w:color="auto"/>
              <w:bottom w:val="single" w:sz="4" w:space="0" w:color="auto"/>
            </w:tcBorders>
            <w:noWrap/>
            <w:vAlign w:val="center"/>
          </w:tcPr>
          <w:p w14:paraId="0B6E17FF" w14:textId="0777C8E2"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129,72</w:t>
            </w:r>
            <w:r w:rsidR="000A0558">
              <w:rPr>
                <w:rFonts w:ascii="Arial" w:eastAsia="Times New Roman" w:hAnsi="Arial" w:cs="Arial"/>
                <w:bCs/>
                <w:sz w:val="18"/>
                <w:szCs w:val="18"/>
                <w:lang w:eastAsia="hr-HR"/>
              </w:rPr>
              <w:t>%</w:t>
            </w:r>
          </w:p>
        </w:tc>
        <w:tc>
          <w:tcPr>
            <w:tcW w:w="950" w:type="dxa"/>
            <w:tcBorders>
              <w:top w:val="single" w:sz="4" w:space="0" w:color="auto"/>
              <w:bottom w:val="single" w:sz="4" w:space="0" w:color="auto"/>
            </w:tcBorders>
            <w:noWrap/>
            <w:vAlign w:val="center"/>
          </w:tcPr>
          <w:p w14:paraId="199B3C20" w14:textId="0FEB0590"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107,05</w:t>
            </w:r>
            <w:r w:rsidR="000A0558">
              <w:rPr>
                <w:rFonts w:ascii="Arial" w:eastAsia="Times New Roman" w:hAnsi="Arial" w:cs="Arial"/>
                <w:bCs/>
                <w:sz w:val="18"/>
                <w:szCs w:val="18"/>
                <w:lang w:eastAsia="hr-HR"/>
              </w:rPr>
              <w:t>%</w:t>
            </w:r>
          </w:p>
        </w:tc>
      </w:tr>
      <w:tr w:rsidR="00100041" w:rsidRPr="00100041" w14:paraId="71F6FE91" w14:textId="77777777" w:rsidTr="00F512F4">
        <w:trPr>
          <w:trHeight w:val="202"/>
        </w:trPr>
        <w:tc>
          <w:tcPr>
            <w:tcW w:w="3093" w:type="dxa"/>
            <w:tcBorders>
              <w:top w:val="single" w:sz="4" w:space="0" w:color="auto"/>
              <w:bottom w:val="single" w:sz="4" w:space="0" w:color="auto"/>
            </w:tcBorders>
            <w:noWrap/>
            <w:vAlign w:val="bottom"/>
            <w:hideMark/>
          </w:tcPr>
          <w:p w14:paraId="036596C5" w14:textId="77777777" w:rsidR="00100041" w:rsidRPr="00100041" w:rsidRDefault="00100041" w:rsidP="00A6686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4.2. Komunalna naknada</w:t>
            </w:r>
          </w:p>
        </w:tc>
        <w:tc>
          <w:tcPr>
            <w:tcW w:w="1680" w:type="dxa"/>
            <w:tcBorders>
              <w:top w:val="single" w:sz="4" w:space="0" w:color="auto"/>
              <w:bottom w:val="single" w:sz="4" w:space="0" w:color="auto"/>
            </w:tcBorders>
            <w:noWrap/>
            <w:vAlign w:val="center"/>
          </w:tcPr>
          <w:p w14:paraId="6B55A4E8" w14:textId="565E7095" w:rsidR="00100041" w:rsidRPr="00100041" w:rsidRDefault="00DC6681"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1.677.571,24</w:t>
            </w:r>
          </w:p>
        </w:tc>
        <w:tc>
          <w:tcPr>
            <w:tcW w:w="1508" w:type="dxa"/>
            <w:tcBorders>
              <w:top w:val="single" w:sz="4" w:space="0" w:color="auto"/>
              <w:bottom w:val="single" w:sz="4" w:space="0" w:color="auto"/>
            </w:tcBorders>
            <w:vAlign w:val="center"/>
          </w:tcPr>
          <w:p w14:paraId="4FA451F7" w14:textId="570B9C33"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1.873.200,00</w:t>
            </w:r>
          </w:p>
        </w:tc>
        <w:tc>
          <w:tcPr>
            <w:tcW w:w="1525" w:type="dxa"/>
            <w:tcBorders>
              <w:top w:val="single" w:sz="4" w:space="0" w:color="auto"/>
              <w:bottom w:val="single" w:sz="4" w:space="0" w:color="auto"/>
            </w:tcBorders>
            <w:vAlign w:val="center"/>
          </w:tcPr>
          <w:p w14:paraId="4D9715A2" w14:textId="207A01C2"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1.873.200,00</w:t>
            </w:r>
          </w:p>
        </w:tc>
        <w:tc>
          <w:tcPr>
            <w:tcW w:w="1525" w:type="dxa"/>
            <w:tcBorders>
              <w:top w:val="single" w:sz="4" w:space="0" w:color="auto"/>
              <w:bottom w:val="single" w:sz="4" w:space="0" w:color="auto"/>
            </w:tcBorders>
            <w:noWrap/>
            <w:vAlign w:val="center"/>
          </w:tcPr>
          <w:p w14:paraId="6DE949F8" w14:textId="00D5FB67"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1.756.902,15</w:t>
            </w:r>
          </w:p>
        </w:tc>
        <w:tc>
          <w:tcPr>
            <w:tcW w:w="1067" w:type="dxa"/>
            <w:tcBorders>
              <w:top w:val="single" w:sz="4" w:space="0" w:color="auto"/>
              <w:bottom w:val="single" w:sz="4" w:space="0" w:color="auto"/>
            </w:tcBorders>
            <w:noWrap/>
            <w:vAlign w:val="center"/>
          </w:tcPr>
          <w:p w14:paraId="29C795BF" w14:textId="5946FF45"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104,73</w:t>
            </w:r>
            <w:r w:rsidR="000A0558">
              <w:rPr>
                <w:rFonts w:ascii="Arial" w:eastAsia="Times New Roman" w:hAnsi="Arial" w:cs="Arial"/>
                <w:bCs/>
                <w:sz w:val="18"/>
                <w:szCs w:val="18"/>
                <w:lang w:eastAsia="hr-HR"/>
              </w:rPr>
              <w:t>%</w:t>
            </w:r>
          </w:p>
        </w:tc>
        <w:tc>
          <w:tcPr>
            <w:tcW w:w="950" w:type="dxa"/>
            <w:tcBorders>
              <w:top w:val="single" w:sz="4" w:space="0" w:color="auto"/>
              <w:bottom w:val="single" w:sz="4" w:space="0" w:color="auto"/>
            </w:tcBorders>
            <w:noWrap/>
            <w:vAlign w:val="center"/>
          </w:tcPr>
          <w:p w14:paraId="68C89487" w14:textId="42EF18FD"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93,79</w:t>
            </w:r>
            <w:r w:rsidR="000A0558">
              <w:rPr>
                <w:rFonts w:ascii="Arial" w:eastAsia="Times New Roman" w:hAnsi="Arial" w:cs="Arial"/>
                <w:bCs/>
                <w:sz w:val="18"/>
                <w:szCs w:val="18"/>
                <w:lang w:eastAsia="hr-HR"/>
              </w:rPr>
              <w:t>%</w:t>
            </w:r>
          </w:p>
        </w:tc>
      </w:tr>
      <w:tr w:rsidR="00100041" w:rsidRPr="00100041" w14:paraId="4750BD2C" w14:textId="77777777" w:rsidTr="00F512F4">
        <w:trPr>
          <w:trHeight w:val="395"/>
        </w:trPr>
        <w:tc>
          <w:tcPr>
            <w:tcW w:w="3093" w:type="dxa"/>
            <w:tcBorders>
              <w:top w:val="single" w:sz="4" w:space="0" w:color="auto"/>
              <w:bottom w:val="single" w:sz="4" w:space="0" w:color="auto"/>
            </w:tcBorders>
            <w:noWrap/>
            <w:vAlign w:val="bottom"/>
            <w:hideMark/>
          </w:tcPr>
          <w:p w14:paraId="2B9106B9" w14:textId="77777777" w:rsidR="00100041" w:rsidRPr="00100041" w:rsidRDefault="00100041" w:rsidP="00A6686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4.3. Ostali prihodi za posebne namjene</w:t>
            </w:r>
          </w:p>
        </w:tc>
        <w:tc>
          <w:tcPr>
            <w:tcW w:w="1680" w:type="dxa"/>
            <w:tcBorders>
              <w:top w:val="single" w:sz="4" w:space="0" w:color="auto"/>
              <w:bottom w:val="single" w:sz="4" w:space="0" w:color="auto"/>
            </w:tcBorders>
            <w:noWrap/>
            <w:vAlign w:val="center"/>
          </w:tcPr>
          <w:p w14:paraId="75BBBF65" w14:textId="26F0A6B9" w:rsidR="00100041" w:rsidRPr="00100041" w:rsidRDefault="00DC6681"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800.929,90</w:t>
            </w:r>
          </w:p>
        </w:tc>
        <w:tc>
          <w:tcPr>
            <w:tcW w:w="1508" w:type="dxa"/>
            <w:tcBorders>
              <w:top w:val="single" w:sz="4" w:space="0" w:color="auto"/>
              <w:bottom w:val="single" w:sz="4" w:space="0" w:color="auto"/>
            </w:tcBorders>
            <w:vAlign w:val="center"/>
          </w:tcPr>
          <w:p w14:paraId="3EAA7DE0" w14:textId="41BBF6B8"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1.320.600,00</w:t>
            </w:r>
          </w:p>
        </w:tc>
        <w:tc>
          <w:tcPr>
            <w:tcW w:w="1525" w:type="dxa"/>
            <w:tcBorders>
              <w:top w:val="single" w:sz="4" w:space="0" w:color="auto"/>
              <w:bottom w:val="single" w:sz="4" w:space="0" w:color="auto"/>
            </w:tcBorders>
            <w:vAlign w:val="center"/>
          </w:tcPr>
          <w:p w14:paraId="1E72B339" w14:textId="4E189BCE"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1.320.600,00</w:t>
            </w:r>
          </w:p>
        </w:tc>
        <w:tc>
          <w:tcPr>
            <w:tcW w:w="1525" w:type="dxa"/>
            <w:tcBorders>
              <w:top w:val="single" w:sz="4" w:space="0" w:color="auto"/>
              <w:bottom w:val="single" w:sz="4" w:space="0" w:color="auto"/>
            </w:tcBorders>
            <w:noWrap/>
            <w:vAlign w:val="center"/>
          </w:tcPr>
          <w:p w14:paraId="2DABE1B4" w14:textId="0ACB5EE3"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1.210.478,00</w:t>
            </w:r>
          </w:p>
        </w:tc>
        <w:tc>
          <w:tcPr>
            <w:tcW w:w="1067" w:type="dxa"/>
            <w:tcBorders>
              <w:top w:val="single" w:sz="4" w:space="0" w:color="auto"/>
              <w:bottom w:val="single" w:sz="4" w:space="0" w:color="auto"/>
            </w:tcBorders>
            <w:noWrap/>
            <w:vAlign w:val="center"/>
          </w:tcPr>
          <w:p w14:paraId="35FE7C60" w14:textId="67546766"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151,13</w:t>
            </w:r>
            <w:r w:rsidR="000A0558">
              <w:rPr>
                <w:rFonts w:ascii="Arial" w:eastAsia="Times New Roman" w:hAnsi="Arial" w:cs="Arial"/>
                <w:bCs/>
                <w:sz w:val="18"/>
                <w:szCs w:val="18"/>
                <w:lang w:eastAsia="hr-HR"/>
              </w:rPr>
              <w:t>%</w:t>
            </w:r>
          </w:p>
        </w:tc>
        <w:tc>
          <w:tcPr>
            <w:tcW w:w="950" w:type="dxa"/>
            <w:tcBorders>
              <w:top w:val="single" w:sz="4" w:space="0" w:color="auto"/>
              <w:bottom w:val="single" w:sz="4" w:space="0" w:color="auto"/>
            </w:tcBorders>
            <w:noWrap/>
            <w:vAlign w:val="center"/>
          </w:tcPr>
          <w:p w14:paraId="7EF63B60" w14:textId="4E3803AE"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91,66</w:t>
            </w:r>
            <w:r w:rsidR="000A0558">
              <w:rPr>
                <w:rFonts w:ascii="Arial" w:eastAsia="Times New Roman" w:hAnsi="Arial" w:cs="Arial"/>
                <w:bCs/>
                <w:sz w:val="18"/>
                <w:szCs w:val="18"/>
                <w:lang w:eastAsia="hr-HR"/>
              </w:rPr>
              <w:t>%</w:t>
            </w:r>
          </w:p>
        </w:tc>
      </w:tr>
      <w:tr w:rsidR="00100041" w:rsidRPr="00100041" w14:paraId="24DE1E72" w14:textId="77777777" w:rsidTr="00F512F4">
        <w:trPr>
          <w:trHeight w:val="407"/>
        </w:trPr>
        <w:tc>
          <w:tcPr>
            <w:tcW w:w="3093" w:type="dxa"/>
            <w:tcBorders>
              <w:top w:val="single" w:sz="4" w:space="0" w:color="auto"/>
              <w:bottom w:val="single" w:sz="4" w:space="0" w:color="auto"/>
            </w:tcBorders>
            <w:vAlign w:val="bottom"/>
            <w:hideMark/>
          </w:tcPr>
          <w:p w14:paraId="7F761F04" w14:textId="77777777" w:rsidR="00100041" w:rsidRPr="00100041" w:rsidRDefault="00100041" w:rsidP="00A6686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 xml:space="preserve">Izvor 4.4. Ostali prihodi za posebne namjene proračunskih korisnika </w:t>
            </w:r>
          </w:p>
        </w:tc>
        <w:tc>
          <w:tcPr>
            <w:tcW w:w="1680" w:type="dxa"/>
            <w:tcBorders>
              <w:top w:val="single" w:sz="4" w:space="0" w:color="auto"/>
              <w:bottom w:val="single" w:sz="4" w:space="0" w:color="auto"/>
            </w:tcBorders>
            <w:noWrap/>
            <w:vAlign w:val="center"/>
          </w:tcPr>
          <w:p w14:paraId="7190DB14" w14:textId="1ED8B3A3" w:rsidR="00100041" w:rsidRPr="00100041" w:rsidRDefault="00DC6681"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276.045,81</w:t>
            </w:r>
          </w:p>
        </w:tc>
        <w:tc>
          <w:tcPr>
            <w:tcW w:w="1508" w:type="dxa"/>
            <w:tcBorders>
              <w:top w:val="single" w:sz="4" w:space="0" w:color="auto"/>
              <w:bottom w:val="single" w:sz="4" w:space="0" w:color="auto"/>
            </w:tcBorders>
            <w:vAlign w:val="center"/>
          </w:tcPr>
          <w:p w14:paraId="5D318D91" w14:textId="29B97894"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303.737,00</w:t>
            </w:r>
          </w:p>
        </w:tc>
        <w:tc>
          <w:tcPr>
            <w:tcW w:w="1525" w:type="dxa"/>
            <w:tcBorders>
              <w:top w:val="single" w:sz="4" w:space="0" w:color="auto"/>
              <w:bottom w:val="single" w:sz="4" w:space="0" w:color="auto"/>
            </w:tcBorders>
            <w:vAlign w:val="center"/>
          </w:tcPr>
          <w:p w14:paraId="3BED10FB" w14:textId="501C1292"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303.737,00</w:t>
            </w:r>
          </w:p>
        </w:tc>
        <w:tc>
          <w:tcPr>
            <w:tcW w:w="1525" w:type="dxa"/>
            <w:tcBorders>
              <w:top w:val="single" w:sz="4" w:space="0" w:color="auto"/>
              <w:bottom w:val="single" w:sz="4" w:space="0" w:color="auto"/>
            </w:tcBorders>
            <w:noWrap/>
            <w:vAlign w:val="center"/>
          </w:tcPr>
          <w:p w14:paraId="5110E4E4" w14:textId="4C9FF0AE"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282.689,62</w:t>
            </w:r>
          </w:p>
        </w:tc>
        <w:tc>
          <w:tcPr>
            <w:tcW w:w="1067" w:type="dxa"/>
            <w:tcBorders>
              <w:top w:val="single" w:sz="4" w:space="0" w:color="auto"/>
              <w:bottom w:val="single" w:sz="4" w:space="0" w:color="auto"/>
            </w:tcBorders>
            <w:noWrap/>
            <w:vAlign w:val="center"/>
          </w:tcPr>
          <w:p w14:paraId="1029EA47" w14:textId="128DD663"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102,41</w:t>
            </w:r>
            <w:r w:rsidR="000A0558">
              <w:rPr>
                <w:rFonts w:ascii="Arial" w:eastAsia="Times New Roman" w:hAnsi="Arial" w:cs="Arial"/>
                <w:bCs/>
                <w:sz w:val="18"/>
                <w:szCs w:val="18"/>
                <w:lang w:eastAsia="hr-HR"/>
              </w:rPr>
              <w:t>%</w:t>
            </w:r>
          </w:p>
        </w:tc>
        <w:tc>
          <w:tcPr>
            <w:tcW w:w="950" w:type="dxa"/>
            <w:tcBorders>
              <w:top w:val="single" w:sz="4" w:space="0" w:color="auto"/>
              <w:bottom w:val="single" w:sz="4" w:space="0" w:color="auto"/>
            </w:tcBorders>
            <w:noWrap/>
            <w:vAlign w:val="center"/>
          </w:tcPr>
          <w:p w14:paraId="330D6B67" w14:textId="5D66D894"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93,07</w:t>
            </w:r>
            <w:r w:rsidR="000A0558">
              <w:rPr>
                <w:rFonts w:ascii="Arial" w:eastAsia="Times New Roman" w:hAnsi="Arial" w:cs="Arial"/>
                <w:bCs/>
                <w:sz w:val="18"/>
                <w:szCs w:val="18"/>
                <w:lang w:eastAsia="hr-HR"/>
              </w:rPr>
              <w:t>%</w:t>
            </w:r>
          </w:p>
        </w:tc>
      </w:tr>
      <w:tr w:rsidR="00100041" w:rsidRPr="00100041" w14:paraId="45D20AA2" w14:textId="77777777" w:rsidTr="00F512F4">
        <w:trPr>
          <w:trHeight w:val="407"/>
        </w:trPr>
        <w:tc>
          <w:tcPr>
            <w:tcW w:w="3093" w:type="dxa"/>
            <w:tcBorders>
              <w:top w:val="single" w:sz="4" w:space="0" w:color="auto"/>
              <w:bottom w:val="single" w:sz="4" w:space="0" w:color="auto"/>
            </w:tcBorders>
            <w:vAlign w:val="bottom"/>
          </w:tcPr>
          <w:p w14:paraId="7842AE96" w14:textId="77777777" w:rsidR="00100041" w:rsidRPr="00100041" w:rsidRDefault="00100041" w:rsidP="00A6686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4.5. Ostali prihodi za posebne namjene -decentralizacija –JVP</w:t>
            </w:r>
          </w:p>
        </w:tc>
        <w:tc>
          <w:tcPr>
            <w:tcW w:w="1680" w:type="dxa"/>
            <w:tcBorders>
              <w:top w:val="single" w:sz="4" w:space="0" w:color="auto"/>
              <w:bottom w:val="single" w:sz="4" w:space="0" w:color="auto"/>
            </w:tcBorders>
            <w:noWrap/>
            <w:vAlign w:val="center"/>
          </w:tcPr>
          <w:p w14:paraId="3130B305" w14:textId="51AD1740" w:rsidR="00100041" w:rsidRPr="00100041" w:rsidRDefault="00DC6681"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216.011,14</w:t>
            </w:r>
          </w:p>
        </w:tc>
        <w:tc>
          <w:tcPr>
            <w:tcW w:w="1508" w:type="dxa"/>
            <w:tcBorders>
              <w:top w:val="single" w:sz="4" w:space="0" w:color="auto"/>
              <w:bottom w:val="single" w:sz="4" w:space="0" w:color="auto"/>
            </w:tcBorders>
            <w:vAlign w:val="center"/>
          </w:tcPr>
          <w:p w14:paraId="34508A7A" w14:textId="0BB33D65"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326.114,00</w:t>
            </w:r>
          </w:p>
        </w:tc>
        <w:tc>
          <w:tcPr>
            <w:tcW w:w="1525" w:type="dxa"/>
            <w:tcBorders>
              <w:top w:val="single" w:sz="4" w:space="0" w:color="auto"/>
              <w:bottom w:val="single" w:sz="4" w:space="0" w:color="auto"/>
            </w:tcBorders>
            <w:vAlign w:val="center"/>
          </w:tcPr>
          <w:p w14:paraId="7A1E7872" w14:textId="20FD0AF8"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326.114,00</w:t>
            </w:r>
          </w:p>
        </w:tc>
        <w:tc>
          <w:tcPr>
            <w:tcW w:w="1525" w:type="dxa"/>
            <w:tcBorders>
              <w:top w:val="single" w:sz="4" w:space="0" w:color="auto"/>
              <w:bottom w:val="single" w:sz="4" w:space="0" w:color="auto"/>
            </w:tcBorders>
            <w:noWrap/>
            <w:vAlign w:val="center"/>
          </w:tcPr>
          <w:p w14:paraId="10DD44FD" w14:textId="4EA238E8"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326.114,00</w:t>
            </w:r>
          </w:p>
        </w:tc>
        <w:tc>
          <w:tcPr>
            <w:tcW w:w="1067" w:type="dxa"/>
            <w:tcBorders>
              <w:top w:val="single" w:sz="4" w:space="0" w:color="auto"/>
              <w:bottom w:val="single" w:sz="4" w:space="0" w:color="auto"/>
            </w:tcBorders>
            <w:noWrap/>
            <w:vAlign w:val="center"/>
          </w:tcPr>
          <w:p w14:paraId="13AC4926" w14:textId="48E83D70"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150,97</w:t>
            </w:r>
            <w:r w:rsidR="000A0558">
              <w:rPr>
                <w:rFonts w:ascii="Arial" w:eastAsia="Times New Roman" w:hAnsi="Arial" w:cs="Arial"/>
                <w:bCs/>
                <w:sz w:val="18"/>
                <w:szCs w:val="18"/>
                <w:lang w:eastAsia="hr-HR"/>
              </w:rPr>
              <w:t>%</w:t>
            </w:r>
          </w:p>
        </w:tc>
        <w:tc>
          <w:tcPr>
            <w:tcW w:w="950" w:type="dxa"/>
            <w:tcBorders>
              <w:top w:val="single" w:sz="4" w:space="0" w:color="auto"/>
              <w:bottom w:val="single" w:sz="4" w:space="0" w:color="auto"/>
            </w:tcBorders>
            <w:noWrap/>
            <w:vAlign w:val="center"/>
          </w:tcPr>
          <w:p w14:paraId="537EE2DD" w14:textId="6E6D01AB"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100,00</w:t>
            </w:r>
            <w:r w:rsidR="000A0558">
              <w:rPr>
                <w:rFonts w:ascii="Arial" w:eastAsia="Times New Roman" w:hAnsi="Arial" w:cs="Arial"/>
                <w:bCs/>
                <w:sz w:val="18"/>
                <w:szCs w:val="18"/>
                <w:lang w:eastAsia="hr-HR"/>
              </w:rPr>
              <w:t>%</w:t>
            </w:r>
          </w:p>
        </w:tc>
      </w:tr>
      <w:tr w:rsidR="00100041" w:rsidRPr="00100041" w14:paraId="33EA67C3" w14:textId="77777777" w:rsidTr="00F512F4">
        <w:trPr>
          <w:trHeight w:val="407"/>
        </w:trPr>
        <w:tc>
          <w:tcPr>
            <w:tcW w:w="3093" w:type="dxa"/>
            <w:tcBorders>
              <w:top w:val="single" w:sz="4" w:space="0" w:color="auto"/>
              <w:bottom w:val="single" w:sz="4" w:space="0" w:color="auto"/>
            </w:tcBorders>
            <w:vAlign w:val="bottom"/>
          </w:tcPr>
          <w:p w14:paraId="25EEB43B" w14:textId="77777777" w:rsidR="00100041" w:rsidRPr="00100041" w:rsidRDefault="00100041" w:rsidP="00A6686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4.6. Ostali prihodi za posebne namjene –ustupljeni dio za JVP</w:t>
            </w:r>
          </w:p>
        </w:tc>
        <w:tc>
          <w:tcPr>
            <w:tcW w:w="1680" w:type="dxa"/>
            <w:tcBorders>
              <w:top w:val="single" w:sz="4" w:space="0" w:color="auto"/>
              <w:bottom w:val="single" w:sz="4" w:space="0" w:color="auto"/>
            </w:tcBorders>
            <w:noWrap/>
            <w:vAlign w:val="center"/>
          </w:tcPr>
          <w:p w14:paraId="51850AEF" w14:textId="5224601E" w:rsidR="00100041" w:rsidRPr="00100041" w:rsidRDefault="00DC6681"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91.024,35</w:t>
            </w:r>
          </w:p>
        </w:tc>
        <w:tc>
          <w:tcPr>
            <w:tcW w:w="1508" w:type="dxa"/>
            <w:tcBorders>
              <w:top w:val="single" w:sz="4" w:space="0" w:color="auto"/>
              <w:bottom w:val="single" w:sz="4" w:space="0" w:color="auto"/>
            </w:tcBorders>
            <w:vAlign w:val="center"/>
          </w:tcPr>
          <w:p w14:paraId="780141F2" w14:textId="2072CE5C"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25" w:type="dxa"/>
            <w:tcBorders>
              <w:top w:val="single" w:sz="4" w:space="0" w:color="auto"/>
              <w:bottom w:val="single" w:sz="4" w:space="0" w:color="auto"/>
            </w:tcBorders>
            <w:vAlign w:val="center"/>
          </w:tcPr>
          <w:p w14:paraId="5449FD01" w14:textId="3A1FA263"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25" w:type="dxa"/>
            <w:tcBorders>
              <w:top w:val="single" w:sz="4" w:space="0" w:color="auto"/>
              <w:bottom w:val="single" w:sz="4" w:space="0" w:color="auto"/>
            </w:tcBorders>
            <w:noWrap/>
            <w:vAlign w:val="center"/>
          </w:tcPr>
          <w:p w14:paraId="634BD9EC" w14:textId="48574945"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067" w:type="dxa"/>
            <w:tcBorders>
              <w:top w:val="single" w:sz="4" w:space="0" w:color="auto"/>
              <w:bottom w:val="single" w:sz="4" w:space="0" w:color="auto"/>
            </w:tcBorders>
            <w:noWrap/>
            <w:vAlign w:val="center"/>
          </w:tcPr>
          <w:p w14:paraId="6FF41A0F" w14:textId="2D08B2DA"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r w:rsidR="000A0558">
              <w:rPr>
                <w:rFonts w:ascii="Arial" w:eastAsia="Times New Roman" w:hAnsi="Arial" w:cs="Arial"/>
                <w:bCs/>
                <w:sz w:val="18"/>
                <w:szCs w:val="18"/>
                <w:lang w:eastAsia="hr-HR"/>
              </w:rPr>
              <w:t>%</w:t>
            </w:r>
          </w:p>
        </w:tc>
        <w:tc>
          <w:tcPr>
            <w:tcW w:w="950" w:type="dxa"/>
            <w:tcBorders>
              <w:top w:val="single" w:sz="4" w:space="0" w:color="auto"/>
              <w:bottom w:val="single" w:sz="4" w:space="0" w:color="auto"/>
            </w:tcBorders>
            <w:noWrap/>
            <w:vAlign w:val="center"/>
          </w:tcPr>
          <w:p w14:paraId="02989DCD" w14:textId="570C30D9"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r>
      <w:tr w:rsidR="00C23012" w:rsidRPr="00100041" w14:paraId="129E1C27" w14:textId="77777777" w:rsidTr="00F512F4">
        <w:trPr>
          <w:trHeight w:val="202"/>
        </w:trPr>
        <w:tc>
          <w:tcPr>
            <w:tcW w:w="3093" w:type="dxa"/>
            <w:tcBorders>
              <w:top w:val="single" w:sz="4" w:space="0" w:color="auto"/>
              <w:bottom w:val="single" w:sz="4" w:space="0" w:color="auto"/>
            </w:tcBorders>
            <w:shd w:val="clear" w:color="auto" w:fill="FFE599" w:themeFill="accent4" w:themeFillTint="66"/>
            <w:noWrap/>
            <w:vAlign w:val="bottom"/>
            <w:hideMark/>
          </w:tcPr>
          <w:p w14:paraId="429B76B7" w14:textId="77777777" w:rsidR="00100041" w:rsidRPr="00100041" w:rsidRDefault="00100041" w:rsidP="00A66865">
            <w:pPr>
              <w:spacing w:after="0" w:line="240" w:lineRule="auto"/>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Izvor 5. POMOĆI</w:t>
            </w:r>
          </w:p>
        </w:tc>
        <w:tc>
          <w:tcPr>
            <w:tcW w:w="1680" w:type="dxa"/>
            <w:tcBorders>
              <w:top w:val="single" w:sz="4" w:space="0" w:color="auto"/>
              <w:bottom w:val="single" w:sz="4" w:space="0" w:color="auto"/>
            </w:tcBorders>
            <w:shd w:val="clear" w:color="auto" w:fill="FFE599" w:themeFill="accent4" w:themeFillTint="66"/>
            <w:noWrap/>
            <w:vAlign w:val="center"/>
          </w:tcPr>
          <w:p w14:paraId="612610E9" w14:textId="5BF7FA60" w:rsidR="00100041" w:rsidRPr="00100041" w:rsidRDefault="00DC6681"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1.133.548,95</w:t>
            </w:r>
          </w:p>
        </w:tc>
        <w:tc>
          <w:tcPr>
            <w:tcW w:w="1508" w:type="dxa"/>
            <w:tcBorders>
              <w:top w:val="single" w:sz="4" w:space="0" w:color="auto"/>
              <w:bottom w:val="single" w:sz="4" w:space="0" w:color="auto"/>
            </w:tcBorders>
            <w:shd w:val="clear" w:color="auto" w:fill="FFE599" w:themeFill="accent4" w:themeFillTint="66"/>
            <w:vAlign w:val="center"/>
          </w:tcPr>
          <w:p w14:paraId="0C63B0F6" w14:textId="4087D534" w:rsidR="00100041" w:rsidRPr="00100041" w:rsidRDefault="00257DDA"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2.562.397,00</w:t>
            </w:r>
          </w:p>
        </w:tc>
        <w:tc>
          <w:tcPr>
            <w:tcW w:w="1525" w:type="dxa"/>
            <w:tcBorders>
              <w:top w:val="single" w:sz="4" w:space="0" w:color="auto"/>
              <w:bottom w:val="single" w:sz="4" w:space="0" w:color="auto"/>
            </w:tcBorders>
            <w:shd w:val="clear" w:color="auto" w:fill="FFE599" w:themeFill="accent4" w:themeFillTint="66"/>
            <w:vAlign w:val="center"/>
          </w:tcPr>
          <w:p w14:paraId="6F912BD5" w14:textId="1F969098" w:rsidR="00100041" w:rsidRPr="00100041" w:rsidRDefault="00257DDA"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2.562.397,00</w:t>
            </w:r>
          </w:p>
        </w:tc>
        <w:tc>
          <w:tcPr>
            <w:tcW w:w="1525" w:type="dxa"/>
            <w:tcBorders>
              <w:top w:val="single" w:sz="4" w:space="0" w:color="auto"/>
              <w:bottom w:val="single" w:sz="4" w:space="0" w:color="auto"/>
            </w:tcBorders>
            <w:shd w:val="clear" w:color="auto" w:fill="FFE599" w:themeFill="accent4" w:themeFillTint="66"/>
            <w:noWrap/>
            <w:vAlign w:val="center"/>
          </w:tcPr>
          <w:p w14:paraId="67887993" w14:textId="37EA0422" w:rsidR="00100041" w:rsidRPr="00100041" w:rsidRDefault="00257DDA"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1.188.949,01</w:t>
            </w:r>
          </w:p>
        </w:tc>
        <w:tc>
          <w:tcPr>
            <w:tcW w:w="1067" w:type="dxa"/>
            <w:tcBorders>
              <w:top w:val="single" w:sz="4" w:space="0" w:color="auto"/>
              <w:bottom w:val="single" w:sz="4" w:space="0" w:color="auto"/>
            </w:tcBorders>
            <w:shd w:val="clear" w:color="auto" w:fill="FFE599" w:themeFill="accent4" w:themeFillTint="66"/>
            <w:noWrap/>
            <w:vAlign w:val="center"/>
          </w:tcPr>
          <w:p w14:paraId="79ACDCAF" w14:textId="6A924837" w:rsidR="00100041" w:rsidRPr="00100041" w:rsidRDefault="00257DDA"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104,89</w:t>
            </w:r>
            <w:r w:rsidR="000A0558">
              <w:rPr>
                <w:rFonts w:ascii="Arial" w:eastAsia="Times New Roman" w:hAnsi="Arial" w:cs="Arial"/>
                <w:b/>
                <w:bCs/>
                <w:sz w:val="18"/>
                <w:szCs w:val="18"/>
                <w:lang w:eastAsia="hr-HR"/>
              </w:rPr>
              <w:t>%</w:t>
            </w:r>
          </w:p>
        </w:tc>
        <w:tc>
          <w:tcPr>
            <w:tcW w:w="950" w:type="dxa"/>
            <w:tcBorders>
              <w:top w:val="single" w:sz="4" w:space="0" w:color="auto"/>
              <w:bottom w:val="single" w:sz="4" w:space="0" w:color="auto"/>
            </w:tcBorders>
            <w:shd w:val="clear" w:color="auto" w:fill="FFE599" w:themeFill="accent4" w:themeFillTint="66"/>
            <w:noWrap/>
            <w:vAlign w:val="center"/>
          </w:tcPr>
          <w:p w14:paraId="779B0F12" w14:textId="7D6CC3FB" w:rsidR="00100041" w:rsidRPr="00100041" w:rsidRDefault="00257DDA"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46,40</w:t>
            </w:r>
            <w:r w:rsidR="000A0558">
              <w:rPr>
                <w:rFonts w:ascii="Arial" w:eastAsia="Times New Roman" w:hAnsi="Arial" w:cs="Arial"/>
                <w:b/>
                <w:bCs/>
                <w:sz w:val="18"/>
                <w:szCs w:val="18"/>
                <w:lang w:eastAsia="hr-HR"/>
              </w:rPr>
              <w:t>%</w:t>
            </w:r>
          </w:p>
        </w:tc>
      </w:tr>
      <w:tr w:rsidR="00100041" w:rsidRPr="00100041" w14:paraId="72198244" w14:textId="77777777" w:rsidTr="00F512F4">
        <w:trPr>
          <w:trHeight w:val="202"/>
        </w:trPr>
        <w:tc>
          <w:tcPr>
            <w:tcW w:w="3093" w:type="dxa"/>
            <w:tcBorders>
              <w:top w:val="single" w:sz="4" w:space="0" w:color="auto"/>
              <w:bottom w:val="single" w:sz="4" w:space="0" w:color="auto"/>
            </w:tcBorders>
            <w:noWrap/>
            <w:vAlign w:val="bottom"/>
            <w:hideMark/>
          </w:tcPr>
          <w:p w14:paraId="56AACC53" w14:textId="77777777" w:rsidR="00100041" w:rsidRPr="00100041" w:rsidRDefault="00100041" w:rsidP="00A6686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5.1. Ostale pomoći</w:t>
            </w:r>
          </w:p>
        </w:tc>
        <w:tc>
          <w:tcPr>
            <w:tcW w:w="1680" w:type="dxa"/>
            <w:tcBorders>
              <w:top w:val="single" w:sz="4" w:space="0" w:color="auto"/>
              <w:bottom w:val="single" w:sz="4" w:space="0" w:color="auto"/>
            </w:tcBorders>
            <w:noWrap/>
            <w:vAlign w:val="center"/>
          </w:tcPr>
          <w:p w14:paraId="716D62EB" w14:textId="336EC9DA" w:rsidR="00100041" w:rsidRPr="00100041" w:rsidRDefault="00DC6681"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951.705,58</w:t>
            </w:r>
          </w:p>
        </w:tc>
        <w:tc>
          <w:tcPr>
            <w:tcW w:w="1508" w:type="dxa"/>
            <w:tcBorders>
              <w:top w:val="single" w:sz="4" w:space="0" w:color="auto"/>
              <w:bottom w:val="single" w:sz="4" w:space="0" w:color="auto"/>
            </w:tcBorders>
            <w:vAlign w:val="center"/>
          </w:tcPr>
          <w:p w14:paraId="0C78B840" w14:textId="18C42115"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1.312.696,00</w:t>
            </w:r>
          </w:p>
        </w:tc>
        <w:tc>
          <w:tcPr>
            <w:tcW w:w="1525" w:type="dxa"/>
            <w:tcBorders>
              <w:top w:val="single" w:sz="4" w:space="0" w:color="auto"/>
              <w:bottom w:val="single" w:sz="4" w:space="0" w:color="auto"/>
            </w:tcBorders>
            <w:vAlign w:val="center"/>
          </w:tcPr>
          <w:p w14:paraId="7FBA0BC0" w14:textId="788F86A6"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1.312.696,00</w:t>
            </w:r>
          </w:p>
        </w:tc>
        <w:tc>
          <w:tcPr>
            <w:tcW w:w="1525" w:type="dxa"/>
            <w:tcBorders>
              <w:top w:val="single" w:sz="4" w:space="0" w:color="auto"/>
              <w:bottom w:val="single" w:sz="4" w:space="0" w:color="auto"/>
            </w:tcBorders>
            <w:noWrap/>
            <w:vAlign w:val="center"/>
          </w:tcPr>
          <w:p w14:paraId="0E4131DD" w14:textId="17087E4C"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1.036.551,06</w:t>
            </w:r>
          </w:p>
        </w:tc>
        <w:tc>
          <w:tcPr>
            <w:tcW w:w="1067" w:type="dxa"/>
            <w:tcBorders>
              <w:top w:val="single" w:sz="4" w:space="0" w:color="auto"/>
              <w:bottom w:val="single" w:sz="4" w:space="0" w:color="auto"/>
            </w:tcBorders>
            <w:noWrap/>
            <w:vAlign w:val="center"/>
          </w:tcPr>
          <w:p w14:paraId="7622B11E" w14:textId="211266F9"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108,92</w:t>
            </w:r>
            <w:r w:rsidR="000A0558">
              <w:rPr>
                <w:rFonts w:ascii="Arial" w:eastAsia="Times New Roman" w:hAnsi="Arial" w:cs="Arial"/>
                <w:bCs/>
                <w:sz w:val="18"/>
                <w:szCs w:val="18"/>
                <w:lang w:eastAsia="hr-HR"/>
              </w:rPr>
              <w:t>%</w:t>
            </w:r>
          </w:p>
        </w:tc>
        <w:tc>
          <w:tcPr>
            <w:tcW w:w="950" w:type="dxa"/>
            <w:tcBorders>
              <w:top w:val="single" w:sz="4" w:space="0" w:color="auto"/>
              <w:bottom w:val="single" w:sz="4" w:space="0" w:color="auto"/>
            </w:tcBorders>
            <w:noWrap/>
            <w:vAlign w:val="center"/>
          </w:tcPr>
          <w:p w14:paraId="2BF1B0D4" w14:textId="42FE9E8B"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78,96</w:t>
            </w:r>
            <w:r w:rsidR="000A0558">
              <w:rPr>
                <w:rFonts w:ascii="Arial" w:eastAsia="Times New Roman" w:hAnsi="Arial" w:cs="Arial"/>
                <w:bCs/>
                <w:sz w:val="18"/>
                <w:szCs w:val="18"/>
                <w:lang w:eastAsia="hr-HR"/>
              </w:rPr>
              <w:t>%</w:t>
            </w:r>
          </w:p>
        </w:tc>
      </w:tr>
      <w:tr w:rsidR="00100041" w:rsidRPr="00100041" w14:paraId="6821852D" w14:textId="77777777" w:rsidTr="00F512F4">
        <w:trPr>
          <w:trHeight w:val="202"/>
        </w:trPr>
        <w:tc>
          <w:tcPr>
            <w:tcW w:w="3093" w:type="dxa"/>
            <w:tcBorders>
              <w:top w:val="single" w:sz="4" w:space="0" w:color="auto"/>
              <w:bottom w:val="single" w:sz="4" w:space="0" w:color="auto"/>
            </w:tcBorders>
            <w:noWrap/>
            <w:vAlign w:val="bottom"/>
            <w:hideMark/>
          </w:tcPr>
          <w:p w14:paraId="57A74EF5" w14:textId="77777777" w:rsidR="00100041" w:rsidRPr="00100041" w:rsidRDefault="00100041" w:rsidP="00A6686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5.2. Pomoći EU</w:t>
            </w:r>
          </w:p>
        </w:tc>
        <w:tc>
          <w:tcPr>
            <w:tcW w:w="1680" w:type="dxa"/>
            <w:tcBorders>
              <w:top w:val="single" w:sz="4" w:space="0" w:color="auto"/>
              <w:bottom w:val="single" w:sz="4" w:space="0" w:color="auto"/>
            </w:tcBorders>
            <w:noWrap/>
            <w:vAlign w:val="center"/>
          </w:tcPr>
          <w:p w14:paraId="488CE857" w14:textId="265DAADE" w:rsidR="00100041" w:rsidRPr="00100041" w:rsidRDefault="00DC6681"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71.235,49</w:t>
            </w:r>
          </w:p>
        </w:tc>
        <w:tc>
          <w:tcPr>
            <w:tcW w:w="1508" w:type="dxa"/>
            <w:tcBorders>
              <w:top w:val="single" w:sz="4" w:space="0" w:color="auto"/>
              <w:bottom w:val="single" w:sz="4" w:space="0" w:color="auto"/>
            </w:tcBorders>
            <w:vAlign w:val="center"/>
          </w:tcPr>
          <w:p w14:paraId="60BA3B8D" w14:textId="7A7C136B"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406.650,00</w:t>
            </w:r>
          </w:p>
        </w:tc>
        <w:tc>
          <w:tcPr>
            <w:tcW w:w="1525" w:type="dxa"/>
            <w:tcBorders>
              <w:top w:val="single" w:sz="4" w:space="0" w:color="auto"/>
              <w:bottom w:val="single" w:sz="4" w:space="0" w:color="auto"/>
            </w:tcBorders>
            <w:vAlign w:val="center"/>
          </w:tcPr>
          <w:p w14:paraId="070F5C52" w14:textId="6777C689"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406.650,00</w:t>
            </w:r>
          </w:p>
        </w:tc>
        <w:tc>
          <w:tcPr>
            <w:tcW w:w="1525" w:type="dxa"/>
            <w:tcBorders>
              <w:top w:val="single" w:sz="4" w:space="0" w:color="auto"/>
              <w:bottom w:val="single" w:sz="4" w:space="0" w:color="auto"/>
            </w:tcBorders>
            <w:noWrap/>
            <w:vAlign w:val="center"/>
          </w:tcPr>
          <w:p w14:paraId="638B8A47" w14:textId="70F2E5F0"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57.953,62</w:t>
            </w:r>
          </w:p>
        </w:tc>
        <w:tc>
          <w:tcPr>
            <w:tcW w:w="1067" w:type="dxa"/>
            <w:tcBorders>
              <w:top w:val="single" w:sz="4" w:space="0" w:color="auto"/>
              <w:bottom w:val="single" w:sz="4" w:space="0" w:color="auto"/>
            </w:tcBorders>
            <w:noWrap/>
            <w:vAlign w:val="center"/>
          </w:tcPr>
          <w:p w14:paraId="7B44C1DF" w14:textId="4E4A760E"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81,35</w:t>
            </w:r>
            <w:r w:rsidR="000A0558">
              <w:rPr>
                <w:rFonts w:ascii="Arial" w:eastAsia="Times New Roman" w:hAnsi="Arial" w:cs="Arial"/>
                <w:bCs/>
                <w:sz w:val="18"/>
                <w:szCs w:val="18"/>
                <w:lang w:eastAsia="hr-HR"/>
              </w:rPr>
              <w:t>%</w:t>
            </w:r>
          </w:p>
        </w:tc>
        <w:tc>
          <w:tcPr>
            <w:tcW w:w="950" w:type="dxa"/>
            <w:tcBorders>
              <w:top w:val="single" w:sz="4" w:space="0" w:color="auto"/>
              <w:bottom w:val="single" w:sz="4" w:space="0" w:color="auto"/>
            </w:tcBorders>
            <w:noWrap/>
            <w:vAlign w:val="center"/>
          </w:tcPr>
          <w:p w14:paraId="17CE806D" w14:textId="59E249C5"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14,25</w:t>
            </w:r>
            <w:r w:rsidR="000A0558">
              <w:rPr>
                <w:rFonts w:ascii="Arial" w:eastAsia="Times New Roman" w:hAnsi="Arial" w:cs="Arial"/>
                <w:bCs/>
                <w:sz w:val="18"/>
                <w:szCs w:val="18"/>
                <w:lang w:eastAsia="hr-HR"/>
              </w:rPr>
              <w:t>%</w:t>
            </w:r>
          </w:p>
        </w:tc>
      </w:tr>
      <w:tr w:rsidR="00100041" w:rsidRPr="00100041" w14:paraId="134E28F7" w14:textId="77777777" w:rsidTr="00F512F4">
        <w:trPr>
          <w:trHeight w:val="202"/>
        </w:trPr>
        <w:tc>
          <w:tcPr>
            <w:tcW w:w="3093" w:type="dxa"/>
            <w:tcBorders>
              <w:top w:val="single" w:sz="4" w:space="0" w:color="auto"/>
              <w:bottom w:val="single" w:sz="4" w:space="0" w:color="auto"/>
            </w:tcBorders>
            <w:noWrap/>
            <w:vAlign w:val="bottom"/>
            <w:hideMark/>
          </w:tcPr>
          <w:p w14:paraId="68FEF64C" w14:textId="77777777" w:rsidR="00100041" w:rsidRPr="00100041" w:rsidRDefault="00100041" w:rsidP="00A6686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5.4. Pomoći EU  proračunskih korisnika</w:t>
            </w:r>
          </w:p>
        </w:tc>
        <w:tc>
          <w:tcPr>
            <w:tcW w:w="1680" w:type="dxa"/>
            <w:tcBorders>
              <w:top w:val="single" w:sz="4" w:space="0" w:color="auto"/>
              <w:bottom w:val="single" w:sz="4" w:space="0" w:color="auto"/>
            </w:tcBorders>
            <w:noWrap/>
            <w:vAlign w:val="center"/>
          </w:tcPr>
          <w:p w14:paraId="183BB17B" w14:textId="185E9594" w:rsidR="00100041" w:rsidRPr="00100041" w:rsidRDefault="00DC6681"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5.509,38</w:t>
            </w:r>
          </w:p>
        </w:tc>
        <w:tc>
          <w:tcPr>
            <w:tcW w:w="1508" w:type="dxa"/>
            <w:tcBorders>
              <w:top w:val="single" w:sz="4" w:space="0" w:color="auto"/>
              <w:bottom w:val="single" w:sz="4" w:space="0" w:color="auto"/>
            </w:tcBorders>
            <w:vAlign w:val="center"/>
          </w:tcPr>
          <w:p w14:paraId="4514766D" w14:textId="6B89E66E"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665.125,00</w:t>
            </w:r>
          </w:p>
        </w:tc>
        <w:tc>
          <w:tcPr>
            <w:tcW w:w="1525" w:type="dxa"/>
            <w:tcBorders>
              <w:top w:val="single" w:sz="4" w:space="0" w:color="auto"/>
              <w:bottom w:val="single" w:sz="4" w:space="0" w:color="auto"/>
            </w:tcBorders>
            <w:vAlign w:val="center"/>
          </w:tcPr>
          <w:p w14:paraId="30FBAD20" w14:textId="161CCAE5"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665.125,00</w:t>
            </w:r>
          </w:p>
        </w:tc>
        <w:tc>
          <w:tcPr>
            <w:tcW w:w="1525" w:type="dxa"/>
            <w:tcBorders>
              <w:top w:val="single" w:sz="4" w:space="0" w:color="auto"/>
              <w:bottom w:val="single" w:sz="4" w:space="0" w:color="auto"/>
            </w:tcBorders>
            <w:noWrap/>
            <w:vAlign w:val="center"/>
          </w:tcPr>
          <w:p w14:paraId="3D101D06" w14:textId="7DBD472B"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067" w:type="dxa"/>
            <w:tcBorders>
              <w:top w:val="single" w:sz="4" w:space="0" w:color="auto"/>
              <w:bottom w:val="single" w:sz="4" w:space="0" w:color="auto"/>
            </w:tcBorders>
            <w:noWrap/>
            <w:vAlign w:val="center"/>
          </w:tcPr>
          <w:p w14:paraId="2E363876" w14:textId="4750CA97" w:rsidR="00100041" w:rsidRPr="00100041" w:rsidRDefault="0003637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c>
          <w:tcPr>
            <w:tcW w:w="950" w:type="dxa"/>
            <w:tcBorders>
              <w:top w:val="single" w:sz="4" w:space="0" w:color="auto"/>
              <w:bottom w:val="single" w:sz="4" w:space="0" w:color="auto"/>
            </w:tcBorders>
            <w:noWrap/>
            <w:vAlign w:val="center"/>
          </w:tcPr>
          <w:p w14:paraId="7120D311" w14:textId="13BA75B8" w:rsidR="00100041" w:rsidRPr="00100041" w:rsidRDefault="0003637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r>
      <w:tr w:rsidR="00100041" w:rsidRPr="00100041" w14:paraId="09354EED" w14:textId="77777777" w:rsidTr="00F512F4">
        <w:trPr>
          <w:trHeight w:val="363"/>
        </w:trPr>
        <w:tc>
          <w:tcPr>
            <w:tcW w:w="3093" w:type="dxa"/>
            <w:tcBorders>
              <w:top w:val="single" w:sz="4" w:space="0" w:color="auto"/>
              <w:bottom w:val="single" w:sz="4" w:space="0" w:color="auto"/>
            </w:tcBorders>
            <w:noWrap/>
            <w:vAlign w:val="bottom"/>
            <w:hideMark/>
          </w:tcPr>
          <w:p w14:paraId="388653E3" w14:textId="77777777" w:rsidR="00100041" w:rsidRPr="00100041" w:rsidRDefault="00100041" w:rsidP="00A6686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5.5. Ostale pomoći  proračunskih korisnika</w:t>
            </w:r>
          </w:p>
        </w:tc>
        <w:tc>
          <w:tcPr>
            <w:tcW w:w="1680" w:type="dxa"/>
            <w:tcBorders>
              <w:top w:val="single" w:sz="4" w:space="0" w:color="auto"/>
              <w:bottom w:val="single" w:sz="4" w:space="0" w:color="auto"/>
            </w:tcBorders>
            <w:noWrap/>
            <w:vAlign w:val="center"/>
          </w:tcPr>
          <w:p w14:paraId="144D023C" w14:textId="1BDB74CF" w:rsidR="00100041" w:rsidRPr="00100041" w:rsidRDefault="00DC6681"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105.098,50</w:t>
            </w:r>
          </w:p>
        </w:tc>
        <w:tc>
          <w:tcPr>
            <w:tcW w:w="1508" w:type="dxa"/>
            <w:tcBorders>
              <w:top w:val="single" w:sz="4" w:space="0" w:color="auto"/>
              <w:bottom w:val="single" w:sz="4" w:space="0" w:color="auto"/>
            </w:tcBorders>
            <w:vAlign w:val="center"/>
          </w:tcPr>
          <w:p w14:paraId="695B784F" w14:textId="3BFB66B8"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177.926,00</w:t>
            </w:r>
          </w:p>
        </w:tc>
        <w:tc>
          <w:tcPr>
            <w:tcW w:w="1525" w:type="dxa"/>
            <w:tcBorders>
              <w:top w:val="single" w:sz="4" w:space="0" w:color="auto"/>
              <w:bottom w:val="single" w:sz="4" w:space="0" w:color="auto"/>
            </w:tcBorders>
            <w:vAlign w:val="center"/>
          </w:tcPr>
          <w:p w14:paraId="61A7E2F5" w14:textId="74B9EF62"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177.926,00</w:t>
            </w:r>
          </w:p>
        </w:tc>
        <w:tc>
          <w:tcPr>
            <w:tcW w:w="1525" w:type="dxa"/>
            <w:tcBorders>
              <w:top w:val="single" w:sz="4" w:space="0" w:color="auto"/>
              <w:bottom w:val="single" w:sz="4" w:space="0" w:color="auto"/>
            </w:tcBorders>
            <w:noWrap/>
            <w:vAlign w:val="center"/>
          </w:tcPr>
          <w:p w14:paraId="75235799" w14:textId="641CC38F"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94.444,33</w:t>
            </w:r>
          </w:p>
        </w:tc>
        <w:tc>
          <w:tcPr>
            <w:tcW w:w="1067" w:type="dxa"/>
            <w:tcBorders>
              <w:top w:val="single" w:sz="4" w:space="0" w:color="auto"/>
              <w:bottom w:val="single" w:sz="4" w:space="0" w:color="auto"/>
            </w:tcBorders>
            <w:noWrap/>
            <w:vAlign w:val="center"/>
          </w:tcPr>
          <w:p w14:paraId="67E46DCF" w14:textId="6B258DF4"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89,86</w:t>
            </w:r>
            <w:r w:rsidR="00203590">
              <w:rPr>
                <w:rFonts w:ascii="Arial" w:eastAsia="Times New Roman" w:hAnsi="Arial" w:cs="Arial"/>
                <w:bCs/>
                <w:sz w:val="18"/>
                <w:szCs w:val="18"/>
                <w:lang w:eastAsia="hr-HR"/>
              </w:rPr>
              <w:t>%</w:t>
            </w:r>
          </w:p>
        </w:tc>
        <w:tc>
          <w:tcPr>
            <w:tcW w:w="950" w:type="dxa"/>
            <w:tcBorders>
              <w:top w:val="single" w:sz="4" w:space="0" w:color="auto"/>
              <w:bottom w:val="single" w:sz="4" w:space="0" w:color="auto"/>
            </w:tcBorders>
            <w:noWrap/>
            <w:vAlign w:val="center"/>
          </w:tcPr>
          <w:p w14:paraId="41558753" w14:textId="047DF8E6"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53,08</w:t>
            </w:r>
            <w:r w:rsidR="00203590">
              <w:rPr>
                <w:rFonts w:ascii="Arial" w:eastAsia="Times New Roman" w:hAnsi="Arial" w:cs="Arial"/>
                <w:bCs/>
                <w:sz w:val="18"/>
                <w:szCs w:val="18"/>
                <w:lang w:eastAsia="hr-HR"/>
              </w:rPr>
              <w:t>%</w:t>
            </w:r>
          </w:p>
        </w:tc>
      </w:tr>
      <w:tr w:rsidR="00100041" w:rsidRPr="00100041" w14:paraId="00E6E16B" w14:textId="77777777" w:rsidTr="00F512F4">
        <w:trPr>
          <w:trHeight w:val="202"/>
        </w:trPr>
        <w:tc>
          <w:tcPr>
            <w:tcW w:w="3093" w:type="dxa"/>
            <w:tcBorders>
              <w:top w:val="single" w:sz="4" w:space="0" w:color="auto"/>
              <w:bottom w:val="single" w:sz="4" w:space="0" w:color="auto"/>
            </w:tcBorders>
            <w:noWrap/>
            <w:vAlign w:val="bottom"/>
            <w:hideMark/>
          </w:tcPr>
          <w:p w14:paraId="5D21906B" w14:textId="77777777" w:rsidR="00100041" w:rsidRPr="00100041" w:rsidRDefault="00100041" w:rsidP="00A66865">
            <w:pPr>
              <w:spacing w:after="0" w:line="240" w:lineRule="auto"/>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Izvor 6. DONACIJE</w:t>
            </w:r>
          </w:p>
        </w:tc>
        <w:tc>
          <w:tcPr>
            <w:tcW w:w="1680" w:type="dxa"/>
            <w:tcBorders>
              <w:top w:val="single" w:sz="4" w:space="0" w:color="auto"/>
              <w:bottom w:val="single" w:sz="4" w:space="0" w:color="auto"/>
            </w:tcBorders>
            <w:noWrap/>
            <w:vAlign w:val="center"/>
          </w:tcPr>
          <w:p w14:paraId="6BAE4D28" w14:textId="491C4786" w:rsidR="00100041" w:rsidRPr="00100041" w:rsidRDefault="00DC6681"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8.438,36</w:t>
            </w:r>
          </w:p>
        </w:tc>
        <w:tc>
          <w:tcPr>
            <w:tcW w:w="1508" w:type="dxa"/>
            <w:tcBorders>
              <w:top w:val="single" w:sz="4" w:space="0" w:color="auto"/>
              <w:bottom w:val="single" w:sz="4" w:space="0" w:color="auto"/>
            </w:tcBorders>
            <w:vAlign w:val="center"/>
          </w:tcPr>
          <w:p w14:paraId="18D2F424" w14:textId="59B09D1B" w:rsidR="00100041" w:rsidRPr="00100041" w:rsidRDefault="00257DDA"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11.900,00</w:t>
            </w:r>
          </w:p>
        </w:tc>
        <w:tc>
          <w:tcPr>
            <w:tcW w:w="1525" w:type="dxa"/>
            <w:tcBorders>
              <w:top w:val="single" w:sz="4" w:space="0" w:color="auto"/>
              <w:bottom w:val="single" w:sz="4" w:space="0" w:color="auto"/>
            </w:tcBorders>
            <w:vAlign w:val="center"/>
          </w:tcPr>
          <w:p w14:paraId="1957B72C" w14:textId="79164569" w:rsidR="00100041" w:rsidRPr="00100041" w:rsidRDefault="00257DDA"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11.900,00</w:t>
            </w:r>
          </w:p>
        </w:tc>
        <w:tc>
          <w:tcPr>
            <w:tcW w:w="1525" w:type="dxa"/>
            <w:tcBorders>
              <w:top w:val="single" w:sz="4" w:space="0" w:color="auto"/>
              <w:bottom w:val="single" w:sz="4" w:space="0" w:color="auto"/>
            </w:tcBorders>
            <w:noWrap/>
            <w:vAlign w:val="center"/>
          </w:tcPr>
          <w:p w14:paraId="6FECBF40" w14:textId="1013FC65" w:rsidR="00100041" w:rsidRPr="00100041" w:rsidRDefault="00257DDA"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7.421,29</w:t>
            </w:r>
          </w:p>
        </w:tc>
        <w:tc>
          <w:tcPr>
            <w:tcW w:w="1067" w:type="dxa"/>
            <w:tcBorders>
              <w:top w:val="single" w:sz="4" w:space="0" w:color="auto"/>
              <w:bottom w:val="single" w:sz="4" w:space="0" w:color="auto"/>
            </w:tcBorders>
            <w:noWrap/>
            <w:vAlign w:val="center"/>
          </w:tcPr>
          <w:p w14:paraId="6871E09A" w14:textId="064F3AD1" w:rsidR="00100041" w:rsidRPr="00100041" w:rsidRDefault="00257DDA"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87,95</w:t>
            </w:r>
            <w:r w:rsidR="00203590">
              <w:rPr>
                <w:rFonts w:ascii="Arial" w:eastAsia="Times New Roman" w:hAnsi="Arial" w:cs="Arial"/>
                <w:b/>
                <w:bCs/>
                <w:sz w:val="18"/>
                <w:szCs w:val="18"/>
                <w:lang w:eastAsia="hr-HR"/>
              </w:rPr>
              <w:t>%</w:t>
            </w:r>
          </w:p>
        </w:tc>
        <w:tc>
          <w:tcPr>
            <w:tcW w:w="950" w:type="dxa"/>
            <w:tcBorders>
              <w:top w:val="single" w:sz="4" w:space="0" w:color="auto"/>
              <w:bottom w:val="single" w:sz="4" w:space="0" w:color="auto"/>
            </w:tcBorders>
            <w:noWrap/>
            <w:vAlign w:val="center"/>
          </w:tcPr>
          <w:p w14:paraId="73C25294" w14:textId="4F86D677" w:rsidR="00100041" w:rsidRPr="00100041" w:rsidRDefault="00257DDA"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62,36</w:t>
            </w:r>
            <w:r w:rsidR="00203590">
              <w:rPr>
                <w:rFonts w:ascii="Arial" w:eastAsia="Times New Roman" w:hAnsi="Arial" w:cs="Arial"/>
                <w:b/>
                <w:bCs/>
                <w:sz w:val="18"/>
                <w:szCs w:val="18"/>
                <w:lang w:eastAsia="hr-HR"/>
              </w:rPr>
              <w:t>%</w:t>
            </w:r>
          </w:p>
        </w:tc>
      </w:tr>
      <w:tr w:rsidR="00100041" w:rsidRPr="00100041" w14:paraId="573A8672" w14:textId="77777777" w:rsidTr="00F512F4">
        <w:trPr>
          <w:trHeight w:val="202"/>
        </w:trPr>
        <w:tc>
          <w:tcPr>
            <w:tcW w:w="3093" w:type="dxa"/>
            <w:tcBorders>
              <w:top w:val="single" w:sz="4" w:space="0" w:color="auto"/>
              <w:bottom w:val="single" w:sz="4" w:space="0" w:color="auto"/>
            </w:tcBorders>
            <w:noWrap/>
            <w:vAlign w:val="bottom"/>
            <w:hideMark/>
          </w:tcPr>
          <w:p w14:paraId="34627DD8" w14:textId="77777777" w:rsidR="00100041" w:rsidRPr="00100041" w:rsidRDefault="00100041" w:rsidP="00A6686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6.1. Donacije</w:t>
            </w:r>
          </w:p>
        </w:tc>
        <w:tc>
          <w:tcPr>
            <w:tcW w:w="1680" w:type="dxa"/>
            <w:tcBorders>
              <w:top w:val="single" w:sz="4" w:space="0" w:color="auto"/>
              <w:bottom w:val="single" w:sz="4" w:space="0" w:color="auto"/>
            </w:tcBorders>
            <w:noWrap/>
            <w:vAlign w:val="center"/>
          </w:tcPr>
          <w:p w14:paraId="4182953F" w14:textId="3517122B" w:rsidR="00100041" w:rsidRPr="00100041" w:rsidRDefault="00DC6681"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6.569,78</w:t>
            </w:r>
          </w:p>
        </w:tc>
        <w:tc>
          <w:tcPr>
            <w:tcW w:w="1508" w:type="dxa"/>
            <w:tcBorders>
              <w:top w:val="single" w:sz="4" w:space="0" w:color="auto"/>
              <w:bottom w:val="single" w:sz="4" w:space="0" w:color="auto"/>
            </w:tcBorders>
            <w:vAlign w:val="center"/>
          </w:tcPr>
          <w:p w14:paraId="49A465B2" w14:textId="291D3316"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7.300,00</w:t>
            </w:r>
          </w:p>
        </w:tc>
        <w:tc>
          <w:tcPr>
            <w:tcW w:w="1525" w:type="dxa"/>
            <w:tcBorders>
              <w:top w:val="single" w:sz="4" w:space="0" w:color="auto"/>
              <w:bottom w:val="single" w:sz="4" w:space="0" w:color="auto"/>
            </w:tcBorders>
            <w:vAlign w:val="center"/>
          </w:tcPr>
          <w:p w14:paraId="7F4239C7" w14:textId="3B4737B7"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7.300,00</w:t>
            </w:r>
          </w:p>
        </w:tc>
        <w:tc>
          <w:tcPr>
            <w:tcW w:w="1525" w:type="dxa"/>
            <w:tcBorders>
              <w:top w:val="single" w:sz="4" w:space="0" w:color="auto"/>
              <w:bottom w:val="single" w:sz="4" w:space="0" w:color="auto"/>
            </w:tcBorders>
            <w:noWrap/>
            <w:vAlign w:val="center"/>
          </w:tcPr>
          <w:p w14:paraId="42DE2AB1" w14:textId="00B7CA15"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6.983,29</w:t>
            </w:r>
          </w:p>
        </w:tc>
        <w:tc>
          <w:tcPr>
            <w:tcW w:w="1067" w:type="dxa"/>
            <w:tcBorders>
              <w:top w:val="single" w:sz="4" w:space="0" w:color="auto"/>
              <w:bottom w:val="single" w:sz="4" w:space="0" w:color="auto"/>
            </w:tcBorders>
            <w:noWrap/>
            <w:vAlign w:val="center"/>
          </w:tcPr>
          <w:p w14:paraId="601897A6" w14:textId="540AD6AC" w:rsidR="00100041" w:rsidRPr="00100041" w:rsidRDefault="00257DD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106,29%</w:t>
            </w:r>
          </w:p>
        </w:tc>
        <w:tc>
          <w:tcPr>
            <w:tcW w:w="950" w:type="dxa"/>
            <w:tcBorders>
              <w:top w:val="single" w:sz="4" w:space="0" w:color="auto"/>
              <w:bottom w:val="single" w:sz="4" w:space="0" w:color="auto"/>
            </w:tcBorders>
            <w:noWrap/>
            <w:vAlign w:val="center"/>
          </w:tcPr>
          <w:p w14:paraId="2A7EA2DB" w14:textId="5BA25C5E" w:rsidR="00100041" w:rsidRPr="00100041" w:rsidRDefault="00EB0ECB" w:rsidP="00FE12D9">
            <w:pPr>
              <w:spacing w:after="0" w:line="240" w:lineRule="auto"/>
              <w:rPr>
                <w:rFonts w:ascii="Arial" w:eastAsia="Times New Roman" w:hAnsi="Arial" w:cs="Arial"/>
                <w:bCs/>
                <w:sz w:val="18"/>
                <w:szCs w:val="18"/>
                <w:lang w:eastAsia="hr-HR"/>
              </w:rPr>
            </w:pPr>
            <w:r>
              <w:rPr>
                <w:rFonts w:ascii="Arial" w:eastAsia="Times New Roman" w:hAnsi="Arial" w:cs="Arial"/>
                <w:bCs/>
                <w:sz w:val="18"/>
                <w:szCs w:val="18"/>
                <w:lang w:eastAsia="hr-HR"/>
              </w:rPr>
              <w:t xml:space="preserve">  </w:t>
            </w:r>
            <w:r w:rsidR="00257DDA">
              <w:rPr>
                <w:rFonts w:ascii="Arial" w:eastAsia="Times New Roman" w:hAnsi="Arial" w:cs="Arial"/>
                <w:bCs/>
                <w:sz w:val="18"/>
                <w:szCs w:val="18"/>
                <w:lang w:eastAsia="hr-HR"/>
              </w:rPr>
              <w:t>95,66</w:t>
            </w:r>
            <w:r w:rsidR="00203590">
              <w:rPr>
                <w:rFonts w:ascii="Arial" w:eastAsia="Times New Roman" w:hAnsi="Arial" w:cs="Arial"/>
                <w:bCs/>
                <w:sz w:val="18"/>
                <w:szCs w:val="18"/>
                <w:lang w:eastAsia="hr-HR"/>
              </w:rPr>
              <w:t>%</w:t>
            </w:r>
          </w:p>
        </w:tc>
      </w:tr>
      <w:tr w:rsidR="00100041" w:rsidRPr="00100041" w14:paraId="3B63E511" w14:textId="77777777" w:rsidTr="00F512F4">
        <w:trPr>
          <w:trHeight w:val="391"/>
        </w:trPr>
        <w:tc>
          <w:tcPr>
            <w:tcW w:w="3093" w:type="dxa"/>
            <w:tcBorders>
              <w:top w:val="single" w:sz="4" w:space="0" w:color="auto"/>
              <w:bottom w:val="single" w:sz="4" w:space="0" w:color="auto"/>
            </w:tcBorders>
            <w:noWrap/>
            <w:vAlign w:val="bottom"/>
            <w:hideMark/>
          </w:tcPr>
          <w:p w14:paraId="7B44A9EA" w14:textId="77777777" w:rsidR="00100041" w:rsidRPr="00100041" w:rsidRDefault="00100041" w:rsidP="00A6686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6.2. Donacije proračunskih korisnika</w:t>
            </w:r>
          </w:p>
        </w:tc>
        <w:tc>
          <w:tcPr>
            <w:tcW w:w="1680" w:type="dxa"/>
            <w:tcBorders>
              <w:top w:val="single" w:sz="4" w:space="0" w:color="auto"/>
              <w:bottom w:val="single" w:sz="4" w:space="0" w:color="auto"/>
            </w:tcBorders>
            <w:noWrap/>
            <w:vAlign w:val="center"/>
          </w:tcPr>
          <w:p w14:paraId="1437626F" w14:textId="239F58D7" w:rsidR="00100041" w:rsidRPr="00100041" w:rsidRDefault="00DC6681"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1.868,58</w:t>
            </w:r>
          </w:p>
        </w:tc>
        <w:tc>
          <w:tcPr>
            <w:tcW w:w="1508" w:type="dxa"/>
            <w:tcBorders>
              <w:top w:val="single" w:sz="4" w:space="0" w:color="auto"/>
              <w:bottom w:val="single" w:sz="4" w:space="0" w:color="auto"/>
            </w:tcBorders>
            <w:vAlign w:val="center"/>
          </w:tcPr>
          <w:p w14:paraId="2BC7E982" w14:textId="06CC4224" w:rsidR="00100041" w:rsidRPr="00100041" w:rsidRDefault="00EB0ECB"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4.600,00</w:t>
            </w:r>
          </w:p>
        </w:tc>
        <w:tc>
          <w:tcPr>
            <w:tcW w:w="1525" w:type="dxa"/>
            <w:tcBorders>
              <w:top w:val="single" w:sz="4" w:space="0" w:color="auto"/>
              <w:bottom w:val="single" w:sz="4" w:space="0" w:color="auto"/>
            </w:tcBorders>
            <w:vAlign w:val="center"/>
          </w:tcPr>
          <w:p w14:paraId="2BD0FABE" w14:textId="20734838" w:rsidR="00100041" w:rsidRPr="00100041" w:rsidRDefault="00EB0ECB"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4.600,00</w:t>
            </w:r>
          </w:p>
        </w:tc>
        <w:tc>
          <w:tcPr>
            <w:tcW w:w="1525" w:type="dxa"/>
            <w:tcBorders>
              <w:top w:val="single" w:sz="4" w:space="0" w:color="auto"/>
              <w:bottom w:val="single" w:sz="4" w:space="0" w:color="auto"/>
            </w:tcBorders>
            <w:noWrap/>
            <w:vAlign w:val="center"/>
          </w:tcPr>
          <w:p w14:paraId="2F55E802" w14:textId="6793230E" w:rsidR="00100041" w:rsidRPr="00100041" w:rsidRDefault="00EB0ECB"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438,00</w:t>
            </w:r>
          </w:p>
        </w:tc>
        <w:tc>
          <w:tcPr>
            <w:tcW w:w="1067" w:type="dxa"/>
            <w:tcBorders>
              <w:top w:val="single" w:sz="4" w:space="0" w:color="auto"/>
              <w:bottom w:val="single" w:sz="4" w:space="0" w:color="auto"/>
            </w:tcBorders>
            <w:noWrap/>
            <w:vAlign w:val="center"/>
          </w:tcPr>
          <w:p w14:paraId="0DB26F05" w14:textId="2E84B0A2" w:rsidR="00100041" w:rsidRPr="00100041" w:rsidRDefault="00EB0ECB"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23,44</w:t>
            </w:r>
            <w:r w:rsidR="00203590">
              <w:rPr>
                <w:rFonts w:ascii="Arial" w:eastAsia="Times New Roman" w:hAnsi="Arial" w:cs="Arial"/>
                <w:bCs/>
                <w:sz w:val="18"/>
                <w:szCs w:val="18"/>
                <w:lang w:eastAsia="hr-HR"/>
              </w:rPr>
              <w:t>%</w:t>
            </w:r>
          </w:p>
        </w:tc>
        <w:tc>
          <w:tcPr>
            <w:tcW w:w="950" w:type="dxa"/>
            <w:tcBorders>
              <w:top w:val="single" w:sz="4" w:space="0" w:color="auto"/>
              <w:bottom w:val="single" w:sz="4" w:space="0" w:color="auto"/>
            </w:tcBorders>
            <w:noWrap/>
            <w:vAlign w:val="center"/>
          </w:tcPr>
          <w:p w14:paraId="1159C193" w14:textId="75CFEBE2" w:rsidR="00100041" w:rsidRPr="00100041" w:rsidRDefault="00EB0ECB"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9,52</w:t>
            </w:r>
            <w:r w:rsidR="00203590">
              <w:rPr>
                <w:rFonts w:ascii="Arial" w:eastAsia="Times New Roman" w:hAnsi="Arial" w:cs="Arial"/>
                <w:bCs/>
                <w:sz w:val="18"/>
                <w:szCs w:val="18"/>
                <w:lang w:eastAsia="hr-HR"/>
              </w:rPr>
              <w:t>%</w:t>
            </w:r>
          </w:p>
        </w:tc>
      </w:tr>
      <w:tr w:rsidR="00203590" w:rsidRPr="00100041" w14:paraId="42DAFAA7" w14:textId="77777777" w:rsidTr="00203590">
        <w:trPr>
          <w:trHeight w:val="391"/>
        </w:trPr>
        <w:tc>
          <w:tcPr>
            <w:tcW w:w="3093" w:type="dxa"/>
            <w:tcBorders>
              <w:top w:val="single" w:sz="4" w:space="0" w:color="auto"/>
              <w:bottom w:val="single" w:sz="4" w:space="0" w:color="auto"/>
            </w:tcBorders>
            <w:shd w:val="clear" w:color="auto" w:fill="FFE599" w:themeFill="accent4" w:themeFillTint="66"/>
            <w:noWrap/>
            <w:vAlign w:val="bottom"/>
          </w:tcPr>
          <w:p w14:paraId="17F1AAEB" w14:textId="7B708C4A" w:rsidR="00203590" w:rsidRPr="00203590" w:rsidRDefault="00203590" w:rsidP="00A66865">
            <w:pPr>
              <w:spacing w:after="0" w:line="240" w:lineRule="auto"/>
              <w:rPr>
                <w:rFonts w:ascii="Arial" w:eastAsia="Times New Roman" w:hAnsi="Arial" w:cs="Arial"/>
                <w:b/>
                <w:sz w:val="18"/>
                <w:szCs w:val="18"/>
                <w:lang w:eastAsia="hr-HR"/>
              </w:rPr>
            </w:pPr>
            <w:r w:rsidRPr="00203590">
              <w:rPr>
                <w:rFonts w:ascii="Arial" w:eastAsia="Times New Roman" w:hAnsi="Arial" w:cs="Arial"/>
                <w:b/>
                <w:sz w:val="18"/>
                <w:szCs w:val="18"/>
                <w:lang w:eastAsia="hr-HR"/>
              </w:rPr>
              <w:t>Izvor 7. PRIHODI OD PRODAJE ILI ZAMJENE NEFIN.IMOVINE I NAK.OSIG.</w:t>
            </w:r>
          </w:p>
        </w:tc>
        <w:tc>
          <w:tcPr>
            <w:tcW w:w="1680" w:type="dxa"/>
            <w:tcBorders>
              <w:top w:val="single" w:sz="4" w:space="0" w:color="auto"/>
              <w:bottom w:val="single" w:sz="4" w:space="0" w:color="auto"/>
            </w:tcBorders>
            <w:shd w:val="clear" w:color="auto" w:fill="FFE599" w:themeFill="accent4" w:themeFillTint="66"/>
            <w:noWrap/>
            <w:vAlign w:val="center"/>
          </w:tcPr>
          <w:p w14:paraId="2D36B82A" w14:textId="0B0F7FE5" w:rsidR="00203590" w:rsidRPr="00203590" w:rsidRDefault="00DC6681" w:rsidP="00E319A3">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0,00</w:t>
            </w:r>
          </w:p>
        </w:tc>
        <w:tc>
          <w:tcPr>
            <w:tcW w:w="1508" w:type="dxa"/>
            <w:tcBorders>
              <w:top w:val="single" w:sz="4" w:space="0" w:color="auto"/>
              <w:bottom w:val="single" w:sz="4" w:space="0" w:color="auto"/>
            </w:tcBorders>
            <w:shd w:val="clear" w:color="auto" w:fill="FFE599" w:themeFill="accent4" w:themeFillTint="66"/>
            <w:vAlign w:val="center"/>
          </w:tcPr>
          <w:p w14:paraId="2743DEFA" w14:textId="5D2E7058" w:rsidR="00203590" w:rsidRPr="00203590" w:rsidRDefault="00EB0ECB" w:rsidP="00E319A3">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3.000,00</w:t>
            </w:r>
          </w:p>
        </w:tc>
        <w:tc>
          <w:tcPr>
            <w:tcW w:w="1525" w:type="dxa"/>
            <w:tcBorders>
              <w:top w:val="single" w:sz="4" w:space="0" w:color="auto"/>
              <w:bottom w:val="single" w:sz="4" w:space="0" w:color="auto"/>
            </w:tcBorders>
            <w:shd w:val="clear" w:color="auto" w:fill="FFE599" w:themeFill="accent4" w:themeFillTint="66"/>
            <w:vAlign w:val="center"/>
          </w:tcPr>
          <w:p w14:paraId="71CDEDBD" w14:textId="0DA43EE4" w:rsidR="00203590" w:rsidRPr="00203590" w:rsidRDefault="00EB0ECB" w:rsidP="00E319A3">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3.000,00</w:t>
            </w:r>
          </w:p>
        </w:tc>
        <w:tc>
          <w:tcPr>
            <w:tcW w:w="1525" w:type="dxa"/>
            <w:tcBorders>
              <w:top w:val="single" w:sz="4" w:space="0" w:color="auto"/>
              <w:bottom w:val="single" w:sz="4" w:space="0" w:color="auto"/>
            </w:tcBorders>
            <w:shd w:val="clear" w:color="auto" w:fill="FFE599" w:themeFill="accent4" w:themeFillTint="66"/>
            <w:noWrap/>
            <w:vAlign w:val="center"/>
          </w:tcPr>
          <w:p w14:paraId="04267276" w14:textId="6092C11C" w:rsidR="00203590" w:rsidRPr="00203590" w:rsidRDefault="00203590" w:rsidP="00E319A3">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0,00</w:t>
            </w:r>
          </w:p>
        </w:tc>
        <w:tc>
          <w:tcPr>
            <w:tcW w:w="1067" w:type="dxa"/>
            <w:tcBorders>
              <w:top w:val="single" w:sz="4" w:space="0" w:color="auto"/>
              <w:bottom w:val="single" w:sz="4" w:space="0" w:color="auto"/>
            </w:tcBorders>
            <w:shd w:val="clear" w:color="auto" w:fill="FFE599" w:themeFill="accent4" w:themeFillTint="66"/>
            <w:noWrap/>
            <w:vAlign w:val="center"/>
          </w:tcPr>
          <w:p w14:paraId="5201C3A7" w14:textId="06C9CF0B" w:rsidR="00203590" w:rsidRPr="00203590" w:rsidRDefault="00203590" w:rsidP="00E319A3">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w:t>
            </w:r>
          </w:p>
        </w:tc>
        <w:tc>
          <w:tcPr>
            <w:tcW w:w="950" w:type="dxa"/>
            <w:tcBorders>
              <w:top w:val="single" w:sz="4" w:space="0" w:color="auto"/>
              <w:bottom w:val="single" w:sz="4" w:space="0" w:color="auto"/>
            </w:tcBorders>
            <w:shd w:val="clear" w:color="auto" w:fill="FFE599" w:themeFill="accent4" w:themeFillTint="66"/>
            <w:noWrap/>
            <w:vAlign w:val="center"/>
          </w:tcPr>
          <w:p w14:paraId="28BBACA5" w14:textId="07187EEA" w:rsidR="00203590" w:rsidRPr="00203590" w:rsidRDefault="00203590" w:rsidP="00E319A3">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w:t>
            </w:r>
          </w:p>
        </w:tc>
      </w:tr>
      <w:tr w:rsidR="00203590" w:rsidRPr="00100041" w14:paraId="099D6310" w14:textId="77777777" w:rsidTr="00F512F4">
        <w:trPr>
          <w:trHeight w:val="391"/>
        </w:trPr>
        <w:tc>
          <w:tcPr>
            <w:tcW w:w="3093" w:type="dxa"/>
            <w:tcBorders>
              <w:top w:val="single" w:sz="4" w:space="0" w:color="auto"/>
              <w:bottom w:val="single" w:sz="4" w:space="0" w:color="auto"/>
            </w:tcBorders>
            <w:noWrap/>
            <w:vAlign w:val="bottom"/>
          </w:tcPr>
          <w:p w14:paraId="6436674D" w14:textId="51C364FF" w:rsidR="00203590" w:rsidRDefault="00203590" w:rsidP="00A66865">
            <w:pPr>
              <w:spacing w:after="0" w:line="240" w:lineRule="auto"/>
              <w:rPr>
                <w:rFonts w:ascii="Arial" w:eastAsia="Times New Roman" w:hAnsi="Arial" w:cs="Arial"/>
                <w:bCs/>
                <w:sz w:val="18"/>
                <w:szCs w:val="18"/>
                <w:lang w:eastAsia="hr-HR"/>
              </w:rPr>
            </w:pPr>
            <w:r>
              <w:rPr>
                <w:rFonts w:ascii="Arial" w:eastAsia="Times New Roman" w:hAnsi="Arial" w:cs="Arial"/>
                <w:bCs/>
                <w:sz w:val="18"/>
                <w:szCs w:val="18"/>
                <w:lang w:eastAsia="hr-HR"/>
              </w:rPr>
              <w:t xml:space="preserve">Izvor 7.1. Prihodi od prodaje ili zamjene </w:t>
            </w:r>
            <w:proofErr w:type="spellStart"/>
            <w:r>
              <w:rPr>
                <w:rFonts w:ascii="Arial" w:eastAsia="Times New Roman" w:hAnsi="Arial" w:cs="Arial"/>
                <w:bCs/>
                <w:sz w:val="18"/>
                <w:szCs w:val="18"/>
                <w:lang w:eastAsia="hr-HR"/>
              </w:rPr>
              <w:t>nef.imovine</w:t>
            </w:r>
            <w:proofErr w:type="spellEnd"/>
            <w:r>
              <w:rPr>
                <w:rFonts w:ascii="Arial" w:eastAsia="Times New Roman" w:hAnsi="Arial" w:cs="Arial"/>
                <w:bCs/>
                <w:sz w:val="18"/>
                <w:szCs w:val="18"/>
                <w:lang w:eastAsia="hr-HR"/>
              </w:rPr>
              <w:t xml:space="preserve"> i </w:t>
            </w:r>
            <w:proofErr w:type="spellStart"/>
            <w:r>
              <w:rPr>
                <w:rFonts w:ascii="Arial" w:eastAsia="Times New Roman" w:hAnsi="Arial" w:cs="Arial"/>
                <w:bCs/>
                <w:sz w:val="18"/>
                <w:szCs w:val="18"/>
                <w:lang w:eastAsia="hr-HR"/>
              </w:rPr>
              <w:t>nak</w:t>
            </w:r>
            <w:proofErr w:type="spellEnd"/>
            <w:r>
              <w:rPr>
                <w:rFonts w:ascii="Arial" w:eastAsia="Times New Roman" w:hAnsi="Arial" w:cs="Arial"/>
                <w:bCs/>
                <w:sz w:val="18"/>
                <w:szCs w:val="18"/>
                <w:lang w:eastAsia="hr-HR"/>
              </w:rPr>
              <w:t xml:space="preserve">  .osiguranja</w:t>
            </w:r>
          </w:p>
        </w:tc>
        <w:tc>
          <w:tcPr>
            <w:tcW w:w="1680" w:type="dxa"/>
            <w:tcBorders>
              <w:top w:val="single" w:sz="4" w:space="0" w:color="auto"/>
              <w:bottom w:val="single" w:sz="4" w:space="0" w:color="auto"/>
            </w:tcBorders>
            <w:noWrap/>
            <w:vAlign w:val="center"/>
          </w:tcPr>
          <w:p w14:paraId="1625E465" w14:textId="11CCF905" w:rsidR="00203590" w:rsidRDefault="00DC6681"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08" w:type="dxa"/>
            <w:tcBorders>
              <w:top w:val="single" w:sz="4" w:space="0" w:color="auto"/>
              <w:bottom w:val="single" w:sz="4" w:space="0" w:color="auto"/>
            </w:tcBorders>
            <w:vAlign w:val="center"/>
          </w:tcPr>
          <w:p w14:paraId="46B7C4FE" w14:textId="46A60C02" w:rsidR="00203590" w:rsidRDefault="00EB0ECB"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3.000,00</w:t>
            </w:r>
          </w:p>
        </w:tc>
        <w:tc>
          <w:tcPr>
            <w:tcW w:w="1525" w:type="dxa"/>
            <w:tcBorders>
              <w:top w:val="single" w:sz="4" w:space="0" w:color="auto"/>
              <w:bottom w:val="single" w:sz="4" w:space="0" w:color="auto"/>
            </w:tcBorders>
            <w:vAlign w:val="center"/>
          </w:tcPr>
          <w:p w14:paraId="130D16FF" w14:textId="6C814330" w:rsidR="00203590" w:rsidRDefault="00EB0ECB"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3.000,00</w:t>
            </w:r>
          </w:p>
        </w:tc>
        <w:tc>
          <w:tcPr>
            <w:tcW w:w="1525" w:type="dxa"/>
            <w:tcBorders>
              <w:top w:val="single" w:sz="4" w:space="0" w:color="auto"/>
              <w:bottom w:val="single" w:sz="4" w:space="0" w:color="auto"/>
            </w:tcBorders>
            <w:noWrap/>
            <w:vAlign w:val="center"/>
          </w:tcPr>
          <w:p w14:paraId="7837FC7D" w14:textId="628AED98" w:rsidR="00203590" w:rsidRDefault="00203590"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067" w:type="dxa"/>
            <w:tcBorders>
              <w:top w:val="single" w:sz="4" w:space="0" w:color="auto"/>
              <w:bottom w:val="single" w:sz="4" w:space="0" w:color="auto"/>
            </w:tcBorders>
            <w:noWrap/>
            <w:vAlign w:val="center"/>
          </w:tcPr>
          <w:p w14:paraId="16DE4F09" w14:textId="51C98709" w:rsidR="00203590" w:rsidRDefault="00203590"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c>
          <w:tcPr>
            <w:tcW w:w="950" w:type="dxa"/>
            <w:tcBorders>
              <w:top w:val="single" w:sz="4" w:space="0" w:color="auto"/>
              <w:bottom w:val="single" w:sz="4" w:space="0" w:color="auto"/>
            </w:tcBorders>
            <w:noWrap/>
            <w:vAlign w:val="center"/>
          </w:tcPr>
          <w:p w14:paraId="698AB70D" w14:textId="3B4E4EAB" w:rsidR="00203590" w:rsidRDefault="00203590"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r>
      <w:tr w:rsidR="00C23012" w:rsidRPr="00100041" w14:paraId="14D6B2C9" w14:textId="77777777" w:rsidTr="00FE12D9">
        <w:trPr>
          <w:trHeight w:val="202"/>
        </w:trPr>
        <w:tc>
          <w:tcPr>
            <w:tcW w:w="3093" w:type="dxa"/>
            <w:tcBorders>
              <w:top w:val="single" w:sz="4" w:space="0" w:color="auto"/>
              <w:bottom w:val="single" w:sz="4" w:space="0" w:color="auto"/>
            </w:tcBorders>
            <w:shd w:val="clear" w:color="auto" w:fill="FFE599" w:themeFill="accent4" w:themeFillTint="66"/>
            <w:noWrap/>
            <w:vAlign w:val="bottom"/>
            <w:hideMark/>
          </w:tcPr>
          <w:p w14:paraId="02578DA7" w14:textId="77777777" w:rsidR="00100041" w:rsidRPr="00100041" w:rsidRDefault="00100041" w:rsidP="00A66865">
            <w:pPr>
              <w:spacing w:after="0" w:line="240" w:lineRule="auto"/>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 xml:space="preserve"> SVEUKUPNI RASHODI</w:t>
            </w:r>
          </w:p>
        </w:tc>
        <w:tc>
          <w:tcPr>
            <w:tcW w:w="1680" w:type="dxa"/>
            <w:tcBorders>
              <w:top w:val="single" w:sz="4" w:space="0" w:color="auto"/>
              <w:bottom w:val="single" w:sz="4" w:space="0" w:color="auto"/>
            </w:tcBorders>
            <w:shd w:val="clear" w:color="auto" w:fill="FFE599" w:themeFill="accent4" w:themeFillTint="66"/>
            <w:noWrap/>
            <w:vAlign w:val="center"/>
          </w:tcPr>
          <w:p w14:paraId="73E1F64A" w14:textId="797F3D75" w:rsidR="00100041" w:rsidRPr="00100041" w:rsidRDefault="00EB0ECB"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16.752.997,56</w:t>
            </w:r>
          </w:p>
        </w:tc>
        <w:tc>
          <w:tcPr>
            <w:tcW w:w="1508" w:type="dxa"/>
            <w:tcBorders>
              <w:top w:val="single" w:sz="4" w:space="0" w:color="auto"/>
              <w:bottom w:val="single" w:sz="4" w:space="0" w:color="auto"/>
            </w:tcBorders>
            <w:shd w:val="clear" w:color="auto" w:fill="FFE599" w:themeFill="accent4" w:themeFillTint="66"/>
            <w:vAlign w:val="center"/>
          </w:tcPr>
          <w:p w14:paraId="3EB25EAF" w14:textId="2F098F2D" w:rsidR="00100041" w:rsidRPr="00100041" w:rsidRDefault="00EB0ECB"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25.062.815,09</w:t>
            </w:r>
          </w:p>
        </w:tc>
        <w:tc>
          <w:tcPr>
            <w:tcW w:w="1525" w:type="dxa"/>
            <w:tcBorders>
              <w:top w:val="single" w:sz="4" w:space="0" w:color="auto"/>
              <w:bottom w:val="single" w:sz="4" w:space="0" w:color="auto"/>
            </w:tcBorders>
            <w:shd w:val="clear" w:color="auto" w:fill="FFE599" w:themeFill="accent4" w:themeFillTint="66"/>
            <w:vAlign w:val="center"/>
          </w:tcPr>
          <w:p w14:paraId="503CACE1" w14:textId="5281B23E" w:rsidR="00100041" w:rsidRPr="00100041" w:rsidRDefault="00EB0ECB"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25.062.815,09</w:t>
            </w:r>
          </w:p>
        </w:tc>
        <w:tc>
          <w:tcPr>
            <w:tcW w:w="1525" w:type="dxa"/>
            <w:tcBorders>
              <w:top w:val="single" w:sz="4" w:space="0" w:color="auto"/>
              <w:bottom w:val="single" w:sz="4" w:space="0" w:color="auto"/>
            </w:tcBorders>
            <w:shd w:val="clear" w:color="auto" w:fill="FFE599" w:themeFill="accent4" w:themeFillTint="66"/>
            <w:noWrap/>
            <w:vAlign w:val="center"/>
          </w:tcPr>
          <w:p w14:paraId="5BE73C69" w14:textId="68A196B0" w:rsidR="00100041" w:rsidRPr="00100041" w:rsidRDefault="0003637A"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19.579.706,19</w:t>
            </w:r>
          </w:p>
        </w:tc>
        <w:tc>
          <w:tcPr>
            <w:tcW w:w="1067" w:type="dxa"/>
            <w:tcBorders>
              <w:top w:val="single" w:sz="4" w:space="0" w:color="auto"/>
              <w:bottom w:val="single" w:sz="4" w:space="0" w:color="auto"/>
            </w:tcBorders>
            <w:shd w:val="clear" w:color="auto" w:fill="FFE599" w:themeFill="accent4" w:themeFillTint="66"/>
            <w:noWrap/>
            <w:vAlign w:val="center"/>
          </w:tcPr>
          <w:p w14:paraId="51056402" w14:textId="56A12221" w:rsidR="00100041" w:rsidRPr="00100041" w:rsidRDefault="0003637A"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116,87</w:t>
            </w:r>
            <w:r w:rsidR="00203590">
              <w:rPr>
                <w:rFonts w:ascii="Arial" w:eastAsia="Times New Roman" w:hAnsi="Arial" w:cs="Arial"/>
                <w:b/>
                <w:bCs/>
                <w:sz w:val="18"/>
                <w:szCs w:val="18"/>
                <w:lang w:eastAsia="hr-HR"/>
              </w:rPr>
              <w:t>%</w:t>
            </w:r>
          </w:p>
        </w:tc>
        <w:tc>
          <w:tcPr>
            <w:tcW w:w="950" w:type="dxa"/>
            <w:tcBorders>
              <w:top w:val="single" w:sz="4" w:space="0" w:color="auto"/>
              <w:bottom w:val="single" w:sz="4" w:space="0" w:color="auto"/>
            </w:tcBorders>
            <w:shd w:val="clear" w:color="auto" w:fill="FFE599" w:themeFill="accent4" w:themeFillTint="66"/>
            <w:noWrap/>
            <w:vAlign w:val="center"/>
          </w:tcPr>
          <w:p w14:paraId="56DA6EBA" w14:textId="4E6F1452" w:rsidR="00100041" w:rsidRPr="00100041" w:rsidRDefault="0003637A" w:rsidP="003E2A6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78,12</w:t>
            </w:r>
            <w:r w:rsidR="00203590">
              <w:rPr>
                <w:rFonts w:ascii="Arial" w:eastAsia="Times New Roman" w:hAnsi="Arial" w:cs="Arial"/>
                <w:b/>
                <w:bCs/>
                <w:sz w:val="18"/>
                <w:szCs w:val="18"/>
                <w:lang w:eastAsia="hr-HR"/>
              </w:rPr>
              <w:t>%</w:t>
            </w:r>
          </w:p>
        </w:tc>
      </w:tr>
      <w:tr w:rsidR="00C23012" w:rsidRPr="00100041" w14:paraId="2627DBD1" w14:textId="77777777" w:rsidTr="00FE12D9">
        <w:trPr>
          <w:trHeight w:val="202"/>
        </w:trPr>
        <w:tc>
          <w:tcPr>
            <w:tcW w:w="3093" w:type="dxa"/>
            <w:tcBorders>
              <w:top w:val="single" w:sz="4" w:space="0" w:color="auto"/>
              <w:bottom w:val="single" w:sz="4" w:space="0" w:color="auto"/>
            </w:tcBorders>
            <w:shd w:val="clear" w:color="auto" w:fill="FFE599" w:themeFill="accent4" w:themeFillTint="66"/>
            <w:noWrap/>
            <w:vAlign w:val="bottom"/>
            <w:hideMark/>
          </w:tcPr>
          <w:p w14:paraId="0B957B00" w14:textId="77777777" w:rsidR="00100041" w:rsidRPr="00100041" w:rsidRDefault="00100041" w:rsidP="00A66865">
            <w:pPr>
              <w:spacing w:after="0" w:line="240" w:lineRule="auto"/>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Izvor 1. OPĆI PRIHODI I PRIMICI</w:t>
            </w:r>
          </w:p>
        </w:tc>
        <w:tc>
          <w:tcPr>
            <w:tcW w:w="1680" w:type="dxa"/>
            <w:tcBorders>
              <w:top w:val="single" w:sz="4" w:space="0" w:color="auto"/>
              <w:bottom w:val="single" w:sz="4" w:space="0" w:color="auto"/>
            </w:tcBorders>
            <w:shd w:val="clear" w:color="auto" w:fill="FFE599" w:themeFill="accent4" w:themeFillTint="66"/>
            <w:noWrap/>
            <w:vAlign w:val="center"/>
          </w:tcPr>
          <w:p w14:paraId="009C6866" w14:textId="102E92F1" w:rsidR="00100041" w:rsidRPr="00100041" w:rsidRDefault="00EB0ECB"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10.401.979,87</w:t>
            </w:r>
          </w:p>
        </w:tc>
        <w:tc>
          <w:tcPr>
            <w:tcW w:w="1508" w:type="dxa"/>
            <w:tcBorders>
              <w:top w:val="single" w:sz="4" w:space="0" w:color="auto"/>
              <w:bottom w:val="single" w:sz="4" w:space="0" w:color="auto"/>
            </w:tcBorders>
            <w:shd w:val="clear" w:color="auto" w:fill="FFE599" w:themeFill="accent4" w:themeFillTint="66"/>
            <w:vAlign w:val="center"/>
          </w:tcPr>
          <w:p w14:paraId="0B5DC9C7" w14:textId="6C326F5D" w:rsidR="00100041" w:rsidRPr="00100041" w:rsidRDefault="00EB0ECB"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13.704.767,00</w:t>
            </w:r>
          </w:p>
        </w:tc>
        <w:tc>
          <w:tcPr>
            <w:tcW w:w="1525" w:type="dxa"/>
            <w:tcBorders>
              <w:top w:val="single" w:sz="4" w:space="0" w:color="auto"/>
              <w:bottom w:val="single" w:sz="4" w:space="0" w:color="auto"/>
            </w:tcBorders>
            <w:shd w:val="clear" w:color="auto" w:fill="FFE599" w:themeFill="accent4" w:themeFillTint="66"/>
            <w:vAlign w:val="center"/>
          </w:tcPr>
          <w:p w14:paraId="057FFDEE" w14:textId="37DCDBA7" w:rsidR="00100041" w:rsidRPr="00100041" w:rsidRDefault="00EB0ECB"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13.660.538,50</w:t>
            </w:r>
          </w:p>
        </w:tc>
        <w:tc>
          <w:tcPr>
            <w:tcW w:w="1525" w:type="dxa"/>
            <w:tcBorders>
              <w:top w:val="single" w:sz="4" w:space="0" w:color="auto"/>
              <w:bottom w:val="single" w:sz="4" w:space="0" w:color="auto"/>
            </w:tcBorders>
            <w:shd w:val="clear" w:color="auto" w:fill="FFE599" w:themeFill="accent4" w:themeFillTint="66"/>
            <w:noWrap/>
            <w:vAlign w:val="center"/>
          </w:tcPr>
          <w:p w14:paraId="28129E07" w14:textId="4EE1A7BC" w:rsidR="00100041" w:rsidRPr="00100041" w:rsidRDefault="0003637A"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11.383.336,98</w:t>
            </w:r>
          </w:p>
        </w:tc>
        <w:tc>
          <w:tcPr>
            <w:tcW w:w="1067" w:type="dxa"/>
            <w:tcBorders>
              <w:top w:val="single" w:sz="4" w:space="0" w:color="auto"/>
              <w:bottom w:val="single" w:sz="4" w:space="0" w:color="auto"/>
            </w:tcBorders>
            <w:shd w:val="clear" w:color="auto" w:fill="FFE599" w:themeFill="accent4" w:themeFillTint="66"/>
            <w:noWrap/>
            <w:vAlign w:val="center"/>
          </w:tcPr>
          <w:p w14:paraId="6D454380" w14:textId="2FB1C5E7" w:rsidR="00100041" w:rsidRPr="00100041" w:rsidRDefault="0003637A"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109,43</w:t>
            </w:r>
            <w:r w:rsidR="00203590">
              <w:rPr>
                <w:rFonts w:ascii="Arial" w:eastAsia="Times New Roman" w:hAnsi="Arial" w:cs="Arial"/>
                <w:b/>
                <w:bCs/>
                <w:sz w:val="18"/>
                <w:szCs w:val="18"/>
                <w:lang w:eastAsia="hr-HR"/>
              </w:rPr>
              <w:t>%</w:t>
            </w:r>
          </w:p>
        </w:tc>
        <w:tc>
          <w:tcPr>
            <w:tcW w:w="950" w:type="dxa"/>
            <w:tcBorders>
              <w:top w:val="single" w:sz="4" w:space="0" w:color="auto"/>
              <w:bottom w:val="single" w:sz="4" w:space="0" w:color="auto"/>
            </w:tcBorders>
            <w:shd w:val="clear" w:color="auto" w:fill="FFE599" w:themeFill="accent4" w:themeFillTint="66"/>
            <w:noWrap/>
            <w:vAlign w:val="center"/>
          </w:tcPr>
          <w:p w14:paraId="153B7C9A" w14:textId="1FC21270" w:rsidR="00100041" w:rsidRPr="00100041" w:rsidRDefault="0003637A" w:rsidP="00E319A3">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83,33</w:t>
            </w:r>
            <w:r w:rsidR="00203590">
              <w:rPr>
                <w:rFonts w:ascii="Arial" w:eastAsia="Times New Roman" w:hAnsi="Arial" w:cs="Arial"/>
                <w:b/>
                <w:bCs/>
                <w:sz w:val="18"/>
                <w:szCs w:val="18"/>
                <w:lang w:eastAsia="hr-HR"/>
              </w:rPr>
              <w:t>%</w:t>
            </w:r>
          </w:p>
        </w:tc>
      </w:tr>
      <w:tr w:rsidR="00100041" w:rsidRPr="00100041" w14:paraId="0C97CA6B" w14:textId="77777777" w:rsidTr="00FE12D9">
        <w:trPr>
          <w:trHeight w:val="202"/>
        </w:trPr>
        <w:tc>
          <w:tcPr>
            <w:tcW w:w="3093" w:type="dxa"/>
            <w:tcBorders>
              <w:top w:val="single" w:sz="4" w:space="0" w:color="auto"/>
              <w:bottom w:val="single" w:sz="4" w:space="0" w:color="auto"/>
            </w:tcBorders>
            <w:noWrap/>
            <w:vAlign w:val="bottom"/>
            <w:hideMark/>
          </w:tcPr>
          <w:p w14:paraId="6228996C" w14:textId="77777777" w:rsidR="00100041" w:rsidRPr="00100041" w:rsidRDefault="00100041" w:rsidP="00A6686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1.1. Opći prihodi i primici</w:t>
            </w:r>
          </w:p>
        </w:tc>
        <w:tc>
          <w:tcPr>
            <w:tcW w:w="1680" w:type="dxa"/>
            <w:tcBorders>
              <w:top w:val="single" w:sz="4" w:space="0" w:color="auto"/>
              <w:bottom w:val="single" w:sz="4" w:space="0" w:color="auto"/>
            </w:tcBorders>
            <w:noWrap/>
            <w:vAlign w:val="center"/>
          </w:tcPr>
          <w:p w14:paraId="4A929C6D" w14:textId="260B01D7" w:rsidR="00100041" w:rsidRPr="00100041" w:rsidRDefault="00B77AE4"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10.401.979,87</w:t>
            </w:r>
          </w:p>
        </w:tc>
        <w:tc>
          <w:tcPr>
            <w:tcW w:w="1508" w:type="dxa"/>
            <w:tcBorders>
              <w:top w:val="single" w:sz="4" w:space="0" w:color="auto"/>
              <w:bottom w:val="single" w:sz="4" w:space="0" w:color="auto"/>
            </w:tcBorders>
            <w:vAlign w:val="center"/>
          </w:tcPr>
          <w:p w14:paraId="7587D36B" w14:textId="5A0FD0C5" w:rsidR="00100041" w:rsidRPr="00100041" w:rsidRDefault="00B77AE4"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13.650.967,00</w:t>
            </w:r>
          </w:p>
        </w:tc>
        <w:tc>
          <w:tcPr>
            <w:tcW w:w="1525" w:type="dxa"/>
            <w:tcBorders>
              <w:top w:val="single" w:sz="4" w:space="0" w:color="auto"/>
              <w:bottom w:val="single" w:sz="4" w:space="0" w:color="auto"/>
            </w:tcBorders>
            <w:vAlign w:val="center"/>
          </w:tcPr>
          <w:p w14:paraId="3BA6590F" w14:textId="404E4D1E" w:rsidR="00100041" w:rsidRPr="00100041" w:rsidRDefault="00B77AE4"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13.607.623,50</w:t>
            </w:r>
          </w:p>
        </w:tc>
        <w:tc>
          <w:tcPr>
            <w:tcW w:w="1525" w:type="dxa"/>
            <w:tcBorders>
              <w:top w:val="single" w:sz="4" w:space="0" w:color="auto"/>
              <w:bottom w:val="single" w:sz="4" w:space="0" w:color="auto"/>
            </w:tcBorders>
            <w:noWrap/>
            <w:vAlign w:val="center"/>
          </w:tcPr>
          <w:p w14:paraId="76C69732" w14:textId="695807C3" w:rsidR="00100041" w:rsidRPr="00100041" w:rsidRDefault="0003637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11.364.260,99</w:t>
            </w:r>
          </w:p>
        </w:tc>
        <w:tc>
          <w:tcPr>
            <w:tcW w:w="1067" w:type="dxa"/>
            <w:tcBorders>
              <w:top w:val="single" w:sz="4" w:space="0" w:color="auto"/>
              <w:bottom w:val="single" w:sz="4" w:space="0" w:color="auto"/>
            </w:tcBorders>
            <w:noWrap/>
            <w:vAlign w:val="center"/>
          </w:tcPr>
          <w:p w14:paraId="3BA34596" w14:textId="00D6BF16" w:rsidR="00100041" w:rsidRPr="00100041" w:rsidRDefault="0003637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109,25</w:t>
            </w:r>
            <w:r w:rsidR="00203590">
              <w:rPr>
                <w:rFonts w:ascii="Arial" w:eastAsia="Times New Roman" w:hAnsi="Arial" w:cs="Arial"/>
                <w:bCs/>
                <w:sz w:val="18"/>
                <w:szCs w:val="18"/>
                <w:lang w:eastAsia="hr-HR"/>
              </w:rPr>
              <w:t>%</w:t>
            </w:r>
          </w:p>
        </w:tc>
        <w:tc>
          <w:tcPr>
            <w:tcW w:w="950" w:type="dxa"/>
            <w:tcBorders>
              <w:top w:val="single" w:sz="4" w:space="0" w:color="auto"/>
              <w:bottom w:val="single" w:sz="4" w:space="0" w:color="auto"/>
            </w:tcBorders>
            <w:noWrap/>
            <w:vAlign w:val="center"/>
          </w:tcPr>
          <w:p w14:paraId="01B15F0B" w14:textId="0803E9C1" w:rsidR="00100041" w:rsidRPr="00100041" w:rsidRDefault="0003637A"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83,51</w:t>
            </w:r>
            <w:r w:rsidR="00203590">
              <w:rPr>
                <w:rFonts w:ascii="Arial" w:eastAsia="Times New Roman" w:hAnsi="Arial" w:cs="Arial"/>
                <w:bCs/>
                <w:sz w:val="18"/>
                <w:szCs w:val="18"/>
                <w:lang w:eastAsia="hr-HR"/>
              </w:rPr>
              <w:t>%</w:t>
            </w:r>
          </w:p>
        </w:tc>
      </w:tr>
      <w:tr w:rsidR="00B77AE4" w:rsidRPr="00100041" w14:paraId="0CD58825" w14:textId="77777777" w:rsidTr="00FE12D9">
        <w:trPr>
          <w:trHeight w:val="202"/>
        </w:trPr>
        <w:tc>
          <w:tcPr>
            <w:tcW w:w="3093" w:type="dxa"/>
            <w:tcBorders>
              <w:top w:val="single" w:sz="4" w:space="0" w:color="auto"/>
              <w:bottom w:val="single" w:sz="4" w:space="0" w:color="auto"/>
            </w:tcBorders>
            <w:noWrap/>
            <w:vAlign w:val="bottom"/>
          </w:tcPr>
          <w:p w14:paraId="1967521C" w14:textId="48B6B98A" w:rsidR="00B77AE4" w:rsidRPr="00100041" w:rsidRDefault="00B77AE4" w:rsidP="00A66865">
            <w:pPr>
              <w:spacing w:after="0" w:line="240" w:lineRule="auto"/>
              <w:rPr>
                <w:rFonts w:ascii="Arial" w:eastAsia="Times New Roman" w:hAnsi="Arial" w:cs="Arial"/>
                <w:bCs/>
                <w:sz w:val="18"/>
                <w:szCs w:val="18"/>
                <w:lang w:eastAsia="hr-HR"/>
              </w:rPr>
            </w:pPr>
            <w:r>
              <w:rPr>
                <w:rFonts w:ascii="Arial" w:eastAsia="Times New Roman" w:hAnsi="Arial" w:cs="Arial"/>
                <w:bCs/>
                <w:sz w:val="18"/>
                <w:szCs w:val="18"/>
                <w:lang w:eastAsia="hr-HR"/>
              </w:rPr>
              <w:t xml:space="preserve">Izvor 1.9. Preneseni viška/manjak-opći prihodi i primici </w:t>
            </w:r>
          </w:p>
        </w:tc>
        <w:tc>
          <w:tcPr>
            <w:tcW w:w="1680" w:type="dxa"/>
            <w:tcBorders>
              <w:top w:val="single" w:sz="4" w:space="0" w:color="auto"/>
              <w:bottom w:val="single" w:sz="4" w:space="0" w:color="auto"/>
            </w:tcBorders>
            <w:noWrap/>
            <w:vAlign w:val="center"/>
          </w:tcPr>
          <w:p w14:paraId="2BC5CB26" w14:textId="1F003AA7" w:rsidR="00B77AE4" w:rsidRDefault="00B77AE4"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08" w:type="dxa"/>
            <w:tcBorders>
              <w:top w:val="single" w:sz="4" w:space="0" w:color="auto"/>
              <w:bottom w:val="single" w:sz="4" w:space="0" w:color="auto"/>
            </w:tcBorders>
            <w:vAlign w:val="center"/>
          </w:tcPr>
          <w:p w14:paraId="5E0F3583" w14:textId="23D74963" w:rsidR="00B77AE4" w:rsidRDefault="00B77AE4"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53.800,00</w:t>
            </w:r>
          </w:p>
        </w:tc>
        <w:tc>
          <w:tcPr>
            <w:tcW w:w="1525" w:type="dxa"/>
            <w:tcBorders>
              <w:top w:val="single" w:sz="4" w:space="0" w:color="auto"/>
              <w:bottom w:val="single" w:sz="4" w:space="0" w:color="auto"/>
            </w:tcBorders>
            <w:vAlign w:val="center"/>
          </w:tcPr>
          <w:p w14:paraId="0884D216" w14:textId="472880BF" w:rsidR="00B77AE4" w:rsidRDefault="00B77AE4"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52.915,00</w:t>
            </w:r>
          </w:p>
        </w:tc>
        <w:tc>
          <w:tcPr>
            <w:tcW w:w="1525" w:type="dxa"/>
            <w:tcBorders>
              <w:top w:val="single" w:sz="4" w:space="0" w:color="auto"/>
              <w:bottom w:val="single" w:sz="4" w:space="0" w:color="auto"/>
            </w:tcBorders>
            <w:noWrap/>
            <w:vAlign w:val="center"/>
          </w:tcPr>
          <w:p w14:paraId="6A7C5441" w14:textId="53C0F8D1" w:rsidR="00B77AE4" w:rsidRDefault="00B77AE4"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19.075,99</w:t>
            </w:r>
          </w:p>
        </w:tc>
        <w:tc>
          <w:tcPr>
            <w:tcW w:w="1067" w:type="dxa"/>
            <w:tcBorders>
              <w:top w:val="single" w:sz="4" w:space="0" w:color="auto"/>
              <w:bottom w:val="single" w:sz="4" w:space="0" w:color="auto"/>
            </w:tcBorders>
            <w:noWrap/>
            <w:vAlign w:val="center"/>
          </w:tcPr>
          <w:p w14:paraId="3EB93FA5" w14:textId="581F6A43" w:rsidR="00B77AE4" w:rsidRDefault="00B77AE4"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950" w:type="dxa"/>
            <w:tcBorders>
              <w:top w:val="single" w:sz="4" w:space="0" w:color="auto"/>
              <w:bottom w:val="single" w:sz="4" w:space="0" w:color="auto"/>
            </w:tcBorders>
            <w:noWrap/>
            <w:vAlign w:val="center"/>
          </w:tcPr>
          <w:p w14:paraId="63CB6459" w14:textId="2CCBF896" w:rsidR="00B77AE4" w:rsidRDefault="00B77AE4" w:rsidP="00E319A3">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36,05%</w:t>
            </w:r>
          </w:p>
        </w:tc>
      </w:tr>
      <w:tr w:rsidR="00C23012" w:rsidRPr="00100041" w14:paraId="3A45F317" w14:textId="77777777" w:rsidTr="00FE12D9">
        <w:trPr>
          <w:trHeight w:val="202"/>
        </w:trPr>
        <w:tc>
          <w:tcPr>
            <w:tcW w:w="3093" w:type="dxa"/>
            <w:tcBorders>
              <w:top w:val="single" w:sz="4" w:space="0" w:color="auto"/>
              <w:bottom w:val="single" w:sz="4" w:space="0" w:color="auto"/>
            </w:tcBorders>
            <w:shd w:val="clear" w:color="auto" w:fill="FFE599" w:themeFill="accent4" w:themeFillTint="66"/>
            <w:noWrap/>
            <w:vAlign w:val="bottom"/>
            <w:hideMark/>
          </w:tcPr>
          <w:p w14:paraId="363D1ECD" w14:textId="77777777" w:rsidR="00100041" w:rsidRPr="00100041" w:rsidRDefault="00100041" w:rsidP="00A66865">
            <w:pPr>
              <w:spacing w:after="0" w:line="240" w:lineRule="auto"/>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Izvor 3. VLASTITI PRIHODI</w:t>
            </w:r>
          </w:p>
        </w:tc>
        <w:tc>
          <w:tcPr>
            <w:tcW w:w="1680" w:type="dxa"/>
            <w:tcBorders>
              <w:top w:val="single" w:sz="4" w:space="0" w:color="auto"/>
              <w:bottom w:val="single" w:sz="4" w:space="0" w:color="auto"/>
            </w:tcBorders>
            <w:shd w:val="clear" w:color="auto" w:fill="FFE599" w:themeFill="accent4" w:themeFillTint="66"/>
            <w:noWrap/>
            <w:vAlign w:val="center"/>
          </w:tcPr>
          <w:p w14:paraId="61D36438" w14:textId="0E53A6C9" w:rsidR="00100041" w:rsidRPr="00100041" w:rsidRDefault="00B77AE4" w:rsidP="003E2A6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82.453,46</w:t>
            </w:r>
          </w:p>
        </w:tc>
        <w:tc>
          <w:tcPr>
            <w:tcW w:w="1508" w:type="dxa"/>
            <w:tcBorders>
              <w:top w:val="single" w:sz="4" w:space="0" w:color="auto"/>
              <w:bottom w:val="single" w:sz="4" w:space="0" w:color="auto"/>
            </w:tcBorders>
            <w:shd w:val="clear" w:color="auto" w:fill="FFE599" w:themeFill="accent4" w:themeFillTint="66"/>
            <w:vAlign w:val="center"/>
          </w:tcPr>
          <w:p w14:paraId="05B8AD63" w14:textId="3A5E4904" w:rsidR="00100041" w:rsidRPr="00100041" w:rsidRDefault="00B77AE4" w:rsidP="003E2A6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128.006,00</w:t>
            </w:r>
          </w:p>
        </w:tc>
        <w:tc>
          <w:tcPr>
            <w:tcW w:w="1525" w:type="dxa"/>
            <w:tcBorders>
              <w:top w:val="single" w:sz="4" w:space="0" w:color="auto"/>
              <w:bottom w:val="single" w:sz="4" w:space="0" w:color="auto"/>
            </w:tcBorders>
            <w:shd w:val="clear" w:color="auto" w:fill="FFE599" w:themeFill="accent4" w:themeFillTint="66"/>
            <w:vAlign w:val="center"/>
          </w:tcPr>
          <w:p w14:paraId="3889CAD7" w14:textId="70E72633" w:rsidR="00100041" w:rsidRPr="00100041" w:rsidRDefault="00B77AE4" w:rsidP="003E2A6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128.006,00</w:t>
            </w:r>
          </w:p>
        </w:tc>
        <w:tc>
          <w:tcPr>
            <w:tcW w:w="1525" w:type="dxa"/>
            <w:tcBorders>
              <w:top w:val="single" w:sz="4" w:space="0" w:color="auto"/>
              <w:bottom w:val="single" w:sz="4" w:space="0" w:color="auto"/>
            </w:tcBorders>
            <w:shd w:val="clear" w:color="auto" w:fill="FFE599" w:themeFill="accent4" w:themeFillTint="66"/>
            <w:noWrap/>
            <w:vAlign w:val="center"/>
          </w:tcPr>
          <w:p w14:paraId="18E057CE" w14:textId="62C8D09B" w:rsidR="00100041" w:rsidRPr="00100041" w:rsidRDefault="00B77AE4" w:rsidP="003E2A6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104.852,82</w:t>
            </w:r>
          </w:p>
        </w:tc>
        <w:tc>
          <w:tcPr>
            <w:tcW w:w="1067" w:type="dxa"/>
            <w:tcBorders>
              <w:top w:val="single" w:sz="4" w:space="0" w:color="auto"/>
              <w:bottom w:val="single" w:sz="4" w:space="0" w:color="auto"/>
            </w:tcBorders>
            <w:shd w:val="clear" w:color="auto" w:fill="FFE599" w:themeFill="accent4" w:themeFillTint="66"/>
            <w:noWrap/>
            <w:vAlign w:val="center"/>
          </w:tcPr>
          <w:p w14:paraId="71952D16" w14:textId="44938999" w:rsidR="00100041" w:rsidRPr="00100041" w:rsidRDefault="00B77AE4" w:rsidP="003E2A6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127,17</w:t>
            </w:r>
            <w:r w:rsidR="0099663B">
              <w:rPr>
                <w:rFonts w:ascii="Arial" w:eastAsia="Times New Roman" w:hAnsi="Arial" w:cs="Arial"/>
                <w:b/>
                <w:bCs/>
                <w:sz w:val="18"/>
                <w:szCs w:val="18"/>
                <w:lang w:eastAsia="hr-HR"/>
              </w:rPr>
              <w:t>%</w:t>
            </w:r>
          </w:p>
        </w:tc>
        <w:tc>
          <w:tcPr>
            <w:tcW w:w="950" w:type="dxa"/>
            <w:tcBorders>
              <w:top w:val="single" w:sz="4" w:space="0" w:color="auto"/>
              <w:bottom w:val="single" w:sz="4" w:space="0" w:color="auto"/>
            </w:tcBorders>
            <w:shd w:val="clear" w:color="auto" w:fill="FFE599" w:themeFill="accent4" w:themeFillTint="66"/>
            <w:noWrap/>
            <w:vAlign w:val="center"/>
          </w:tcPr>
          <w:p w14:paraId="02EF8820" w14:textId="31D96A01" w:rsidR="00100041" w:rsidRPr="00100041" w:rsidRDefault="00B77AE4" w:rsidP="003E2A6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81,91</w:t>
            </w:r>
            <w:r w:rsidR="0099663B">
              <w:rPr>
                <w:rFonts w:ascii="Arial" w:eastAsia="Times New Roman" w:hAnsi="Arial" w:cs="Arial"/>
                <w:b/>
                <w:bCs/>
                <w:sz w:val="18"/>
                <w:szCs w:val="18"/>
                <w:lang w:eastAsia="hr-HR"/>
              </w:rPr>
              <w:t>%</w:t>
            </w:r>
          </w:p>
        </w:tc>
      </w:tr>
      <w:tr w:rsidR="00100041" w:rsidRPr="00100041" w14:paraId="276B7884" w14:textId="77777777" w:rsidTr="00FE12D9">
        <w:trPr>
          <w:trHeight w:val="342"/>
        </w:trPr>
        <w:tc>
          <w:tcPr>
            <w:tcW w:w="3093" w:type="dxa"/>
            <w:tcBorders>
              <w:top w:val="single" w:sz="4" w:space="0" w:color="auto"/>
              <w:bottom w:val="single" w:sz="4" w:space="0" w:color="auto"/>
            </w:tcBorders>
            <w:noWrap/>
            <w:vAlign w:val="bottom"/>
            <w:hideMark/>
          </w:tcPr>
          <w:p w14:paraId="288B8D6E" w14:textId="77777777" w:rsidR="00100041" w:rsidRPr="00100041" w:rsidRDefault="00100041" w:rsidP="00A6686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3.2. Vlastiti prihodi proračunskih korisnika</w:t>
            </w:r>
          </w:p>
        </w:tc>
        <w:tc>
          <w:tcPr>
            <w:tcW w:w="1680" w:type="dxa"/>
            <w:tcBorders>
              <w:top w:val="single" w:sz="4" w:space="0" w:color="auto"/>
              <w:bottom w:val="single" w:sz="4" w:space="0" w:color="auto"/>
            </w:tcBorders>
            <w:noWrap/>
            <w:vAlign w:val="center"/>
          </w:tcPr>
          <w:p w14:paraId="0CBD77CD" w14:textId="1CB2379D" w:rsidR="00100041" w:rsidRPr="00100041" w:rsidRDefault="00B77AE4"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82.453,46</w:t>
            </w:r>
          </w:p>
        </w:tc>
        <w:tc>
          <w:tcPr>
            <w:tcW w:w="1508" w:type="dxa"/>
            <w:tcBorders>
              <w:top w:val="single" w:sz="4" w:space="0" w:color="auto"/>
              <w:bottom w:val="single" w:sz="4" w:space="0" w:color="auto"/>
            </w:tcBorders>
            <w:vAlign w:val="center"/>
          </w:tcPr>
          <w:p w14:paraId="5BA9A7D9" w14:textId="47DA8F21" w:rsidR="00100041" w:rsidRPr="00100041" w:rsidRDefault="00B77AE4"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128.006,00</w:t>
            </w:r>
          </w:p>
        </w:tc>
        <w:tc>
          <w:tcPr>
            <w:tcW w:w="1525" w:type="dxa"/>
            <w:tcBorders>
              <w:top w:val="single" w:sz="4" w:space="0" w:color="auto"/>
              <w:bottom w:val="single" w:sz="4" w:space="0" w:color="auto"/>
            </w:tcBorders>
            <w:vAlign w:val="center"/>
          </w:tcPr>
          <w:p w14:paraId="00874FA8" w14:textId="0200CA92" w:rsidR="00100041" w:rsidRPr="00100041" w:rsidRDefault="00B77AE4"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128.006,00</w:t>
            </w:r>
          </w:p>
        </w:tc>
        <w:tc>
          <w:tcPr>
            <w:tcW w:w="1525" w:type="dxa"/>
            <w:tcBorders>
              <w:top w:val="single" w:sz="4" w:space="0" w:color="auto"/>
              <w:bottom w:val="single" w:sz="4" w:space="0" w:color="auto"/>
            </w:tcBorders>
            <w:noWrap/>
            <w:vAlign w:val="center"/>
          </w:tcPr>
          <w:p w14:paraId="16990866" w14:textId="07FEB8EF" w:rsidR="00100041" w:rsidRPr="00100041" w:rsidRDefault="00B77AE4"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104.852,82</w:t>
            </w:r>
          </w:p>
        </w:tc>
        <w:tc>
          <w:tcPr>
            <w:tcW w:w="1067" w:type="dxa"/>
            <w:tcBorders>
              <w:top w:val="single" w:sz="4" w:space="0" w:color="auto"/>
              <w:bottom w:val="single" w:sz="4" w:space="0" w:color="auto"/>
            </w:tcBorders>
            <w:noWrap/>
            <w:vAlign w:val="center"/>
          </w:tcPr>
          <w:p w14:paraId="07E3FF5C" w14:textId="5EECA5CC" w:rsidR="00100041" w:rsidRPr="00100041" w:rsidRDefault="00B77AE4"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127,17</w:t>
            </w:r>
            <w:r w:rsidR="0099663B">
              <w:rPr>
                <w:rFonts w:ascii="Arial" w:eastAsia="Times New Roman" w:hAnsi="Arial" w:cs="Arial"/>
                <w:bCs/>
                <w:sz w:val="18"/>
                <w:szCs w:val="18"/>
                <w:lang w:eastAsia="hr-HR"/>
              </w:rPr>
              <w:t>%</w:t>
            </w:r>
          </w:p>
        </w:tc>
        <w:tc>
          <w:tcPr>
            <w:tcW w:w="950" w:type="dxa"/>
            <w:tcBorders>
              <w:top w:val="single" w:sz="4" w:space="0" w:color="auto"/>
              <w:bottom w:val="single" w:sz="4" w:space="0" w:color="auto"/>
            </w:tcBorders>
            <w:noWrap/>
            <w:vAlign w:val="center"/>
          </w:tcPr>
          <w:p w14:paraId="50C818C7" w14:textId="43EF2645" w:rsidR="00100041" w:rsidRPr="00100041" w:rsidRDefault="00B77AE4"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81,91</w:t>
            </w:r>
            <w:r w:rsidR="0099663B">
              <w:rPr>
                <w:rFonts w:ascii="Arial" w:eastAsia="Times New Roman" w:hAnsi="Arial" w:cs="Arial"/>
                <w:bCs/>
                <w:sz w:val="18"/>
                <w:szCs w:val="18"/>
                <w:lang w:eastAsia="hr-HR"/>
              </w:rPr>
              <w:t>%</w:t>
            </w:r>
          </w:p>
        </w:tc>
      </w:tr>
      <w:tr w:rsidR="00C23012" w:rsidRPr="00100041" w14:paraId="7D4D9D47" w14:textId="77777777" w:rsidTr="00FE12D9">
        <w:trPr>
          <w:trHeight w:val="367"/>
        </w:trPr>
        <w:tc>
          <w:tcPr>
            <w:tcW w:w="3093" w:type="dxa"/>
            <w:tcBorders>
              <w:top w:val="single" w:sz="4" w:space="0" w:color="auto"/>
              <w:bottom w:val="single" w:sz="4" w:space="0" w:color="auto"/>
            </w:tcBorders>
            <w:shd w:val="clear" w:color="auto" w:fill="FFE599" w:themeFill="accent4" w:themeFillTint="66"/>
            <w:noWrap/>
            <w:vAlign w:val="bottom"/>
            <w:hideMark/>
          </w:tcPr>
          <w:p w14:paraId="60FB1AD8" w14:textId="77777777" w:rsidR="00100041" w:rsidRPr="00100041" w:rsidRDefault="00100041" w:rsidP="00A66865">
            <w:pPr>
              <w:spacing w:after="0" w:line="240" w:lineRule="auto"/>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Izvor 4. PRIHODI ZA POSEBNE NAMJENE</w:t>
            </w:r>
          </w:p>
        </w:tc>
        <w:tc>
          <w:tcPr>
            <w:tcW w:w="1680" w:type="dxa"/>
            <w:tcBorders>
              <w:top w:val="single" w:sz="4" w:space="0" w:color="auto"/>
              <w:bottom w:val="single" w:sz="4" w:space="0" w:color="auto"/>
            </w:tcBorders>
            <w:shd w:val="clear" w:color="auto" w:fill="FFE599" w:themeFill="accent4" w:themeFillTint="66"/>
            <w:noWrap/>
            <w:vAlign w:val="center"/>
          </w:tcPr>
          <w:p w14:paraId="1C41C7D5" w14:textId="4D7C8DC5" w:rsidR="00100041" w:rsidRPr="00100041" w:rsidRDefault="00D476DA" w:rsidP="003E2A6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3.670.761,64</w:t>
            </w:r>
          </w:p>
        </w:tc>
        <w:tc>
          <w:tcPr>
            <w:tcW w:w="1508" w:type="dxa"/>
            <w:tcBorders>
              <w:top w:val="single" w:sz="4" w:space="0" w:color="auto"/>
              <w:bottom w:val="single" w:sz="4" w:space="0" w:color="auto"/>
            </w:tcBorders>
            <w:shd w:val="clear" w:color="auto" w:fill="FFE599" w:themeFill="accent4" w:themeFillTint="66"/>
            <w:vAlign w:val="center"/>
          </w:tcPr>
          <w:p w14:paraId="229BF76B" w14:textId="2FA5D1AD" w:rsidR="00100041" w:rsidRPr="00100041" w:rsidRDefault="00D476DA" w:rsidP="003E2A6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6.753.330,50</w:t>
            </w:r>
          </w:p>
        </w:tc>
        <w:tc>
          <w:tcPr>
            <w:tcW w:w="1525" w:type="dxa"/>
            <w:tcBorders>
              <w:top w:val="single" w:sz="4" w:space="0" w:color="auto"/>
              <w:bottom w:val="single" w:sz="4" w:space="0" w:color="auto"/>
            </w:tcBorders>
            <w:shd w:val="clear" w:color="auto" w:fill="FFE599" w:themeFill="accent4" w:themeFillTint="66"/>
            <w:vAlign w:val="center"/>
          </w:tcPr>
          <w:p w14:paraId="591CE39A" w14:textId="747DBDBE" w:rsidR="00100041" w:rsidRPr="00100041" w:rsidRDefault="00D476DA" w:rsidP="003E2A6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6.789.551,50</w:t>
            </w:r>
          </w:p>
        </w:tc>
        <w:tc>
          <w:tcPr>
            <w:tcW w:w="1525" w:type="dxa"/>
            <w:tcBorders>
              <w:top w:val="single" w:sz="4" w:space="0" w:color="auto"/>
              <w:bottom w:val="single" w:sz="4" w:space="0" w:color="auto"/>
            </w:tcBorders>
            <w:shd w:val="clear" w:color="auto" w:fill="FFE599" w:themeFill="accent4" w:themeFillTint="66"/>
            <w:noWrap/>
            <w:vAlign w:val="center"/>
          </w:tcPr>
          <w:p w14:paraId="546F90D2" w14:textId="2C797439" w:rsidR="00100041" w:rsidRPr="00100041" w:rsidRDefault="00D476DA" w:rsidP="003E2A6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5.121.512,33</w:t>
            </w:r>
          </w:p>
        </w:tc>
        <w:tc>
          <w:tcPr>
            <w:tcW w:w="1067" w:type="dxa"/>
            <w:tcBorders>
              <w:top w:val="single" w:sz="4" w:space="0" w:color="auto"/>
              <w:bottom w:val="single" w:sz="4" w:space="0" w:color="auto"/>
            </w:tcBorders>
            <w:shd w:val="clear" w:color="auto" w:fill="FFE599" w:themeFill="accent4" w:themeFillTint="66"/>
            <w:noWrap/>
            <w:vAlign w:val="center"/>
          </w:tcPr>
          <w:p w14:paraId="5713B708" w14:textId="079D62B6" w:rsidR="00100041" w:rsidRPr="00100041" w:rsidRDefault="00D476DA" w:rsidP="003E2A6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139,52</w:t>
            </w:r>
            <w:r w:rsidR="0099663B">
              <w:rPr>
                <w:rFonts w:ascii="Arial" w:eastAsia="Times New Roman" w:hAnsi="Arial" w:cs="Arial"/>
                <w:b/>
                <w:bCs/>
                <w:sz w:val="18"/>
                <w:szCs w:val="18"/>
                <w:lang w:eastAsia="hr-HR"/>
              </w:rPr>
              <w:t>%</w:t>
            </w:r>
          </w:p>
        </w:tc>
        <w:tc>
          <w:tcPr>
            <w:tcW w:w="950" w:type="dxa"/>
            <w:tcBorders>
              <w:top w:val="single" w:sz="4" w:space="0" w:color="auto"/>
              <w:bottom w:val="single" w:sz="4" w:space="0" w:color="auto"/>
            </w:tcBorders>
            <w:shd w:val="clear" w:color="auto" w:fill="FFE599" w:themeFill="accent4" w:themeFillTint="66"/>
            <w:noWrap/>
            <w:vAlign w:val="center"/>
          </w:tcPr>
          <w:p w14:paraId="2A619994" w14:textId="76DF164F" w:rsidR="00100041" w:rsidRPr="00100041" w:rsidRDefault="00D476DA" w:rsidP="003E2A6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75,43</w:t>
            </w:r>
            <w:r w:rsidR="0099663B">
              <w:rPr>
                <w:rFonts w:ascii="Arial" w:eastAsia="Times New Roman" w:hAnsi="Arial" w:cs="Arial"/>
                <w:b/>
                <w:bCs/>
                <w:sz w:val="18"/>
                <w:szCs w:val="18"/>
                <w:lang w:eastAsia="hr-HR"/>
              </w:rPr>
              <w:t>%</w:t>
            </w:r>
          </w:p>
        </w:tc>
      </w:tr>
      <w:tr w:rsidR="00100041" w:rsidRPr="00100041" w14:paraId="21153256" w14:textId="77777777" w:rsidTr="00FE12D9">
        <w:trPr>
          <w:trHeight w:val="202"/>
        </w:trPr>
        <w:tc>
          <w:tcPr>
            <w:tcW w:w="3093" w:type="dxa"/>
            <w:tcBorders>
              <w:top w:val="single" w:sz="4" w:space="0" w:color="auto"/>
              <w:bottom w:val="single" w:sz="4" w:space="0" w:color="auto"/>
            </w:tcBorders>
            <w:noWrap/>
            <w:vAlign w:val="bottom"/>
            <w:hideMark/>
          </w:tcPr>
          <w:p w14:paraId="259796D2" w14:textId="77777777" w:rsidR="00100041" w:rsidRPr="00100041" w:rsidRDefault="00100041" w:rsidP="00A6686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4.1. Komunalni doprinos</w:t>
            </w:r>
          </w:p>
        </w:tc>
        <w:tc>
          <w:tcPr>
            <w:tcW w:w="1680" w:type="dxa"/>
            <w:tcBorders>
              <w:top w:val="single" w:sz="4" w:space="0" w:color="auto"/>
              <w:bottom w:val="single" w:sz="4" w:space="0" w:color="auto"/>
            </w:tcBorders>
            <w:noWrap/>
            <w:vAlign w:val="center"/>
          </w:tcPr>
          <w:p w14:paraId="4381AAAA" w14:textId="3C33892B" w:rsidR="00100041" w:rsidRPr="00100041" w:rsidRDefault="00D476DA"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368.201,05</w:t>
            </w:r>
          </w:p>
        </w:tc>
        <w:tc>
          <w:tcPr>
            <w:tcW w:w="1508" w:type="dxa"/>
            <w:tcBorders>
              <w:top w:val="single" w:sz="4" w:space="0" w:color="auto"/>
              <w:bottom w:val="single" w:sz="4" w:space="0" w:color="auto"/>
            </w:tcBorders>
            <w:vAlign w:val="center"/>
          </w:tcPr>
          <w:p w14:paraId="607D1452" w14:textId="32EF7483" w:rsidR="00100041" w:rsidRPr="00100041" w:rsidRDefault="00D476DA"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1.349.885,93</w:t>
            </w:r>
          </w:p>
        </w:tc>
        <w:tc>
          <w:tcPr>
            <w:tcW w:w="1525" w:type="dxa"/>
            <w:tcBorders>
              <w:top w:val="single" w:sz="4" w:space="0" w:color="auto"/>
              <w:bottom w:val="single" w:sz="4" w:space="0" w:color="auto"/>
            </w:tcBorders>
            <w:vAlign w:val="center"/>
          </w:tcPr>
          <w:p w14:paraId="78FDF2E6" w14:textId="30CEA5AC" w:rsidR="00100041" w:rsidRPr="00100041" w:rsidRDefault="00D476DA"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1.326.645,93</w:t>
            </w:r>
          </w:p>
        </w:tc>
        <w:tc>
          <w:tcPr>
            <w:tcW w:w="1525" w:type="dxa"/>
            <w:tcBorders>
              <w:top w:val="single" w:sz="4" w:space="0" w:color="auto"/>
              <w:bottom w:val="single" w:sz="4" w:space="0" w:color="auto"/>
            </w:tcBorders>
            <w:noWrap/>
            <w:vAlign w:val="center"/>
          </w:tcPr>
          <w:p w14:paraId="39818274" w14:textId="31E82DC8" w:rsidR="00100041" w:rsidRPr="00100041" w:rsidRDefault="00D476DA"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557.596,17</w:t>
            </w:r>
          </w:p>
        </w:tc>
        <w:tc>
          <w:tcPr>
            <w:tcW w:w="1067" w:type="dxa"/>
            <w:tcBorders>
              <w:top w:val="single" w:sz="4" w:space="0" w:color="auto"/>
              <w:bottom w:val="single" w:sz="4" w:space="0" w:color="auto"/>
            </w:tcBorders>
            <w:noWrap/>
            <w:vAlign w:val="center"/>
          </w:tcPr>
          <w:p w14:paraId="38766EDD" w14:textId="63E71003" w:rsidR="00100041" w:rsidRPr="00100041" w:rsidRDefault="00D476DA"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151,44</w:t>
            </w:r>
            <w:r w:rsidR="00FE12D9">
              <w:rPr>
                <w:rFonts w:ascii="Arial" w:eastAsia="Times New Roman" w:hAnsi="Arial" w:cs="Arial"/>
                <w:bCs/>
                <w:sz w:val="18"/>
                <w:szCs w:val="18"/>
                <w:lang w:eastAsia="hr-HR"/>
              </w:rPr>
              <w:t>%</w:t>
            </w:r>
          </w:p>
        </w:tc>
        <w:tc>
          <w:tcPr>
            <w:tcW w:w="950" w:type="dxa"/>
            <w:tcBorders>
              <w:top w:val="single" w:sz="4" w:space="0" w:color="auto"/>
              <w:bottom w:val="single" w:sz="4" w:space="0" w:color="auto"/>
            </w:tcBorders>
            <w:noWrap/>
            <w:vAlign w:val="center"/>
          </w:tcPr>
          <w:p w14:paraId="3287DC24" w14:textId="30AE3F41" w:rsidR="00100041" w:rsidRPr="00100041" w:rsidRDefault="00D476DA"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42,03</w:t>
            </w:r>
            <w:r w:rsidR="00FE12D9">
              <w:rPr>
                <w:rFonts w:ascii="Arial" w:eastAsia="Times New Roman" w:hAnsi="Arial" w:cs="Arial"/>
                <w:bCs/>
                <w:sz w:val="18"/>
                <w:szCs w:val="18"/>
                <w:lang w:eastAsia="hr-HR"/>
              </w:rPr>
              <w:t>%</w:t>
            </w:r>
          </w:p>
        </w:tc>
      </w:tr>
      <w:tr w:rsidR="00100041" w:rsidRPr="00100041" w14:paraId="387B1712" w14:textId="77777777" w:rsidTr="00FE12D9">
        <w:trPr>
          <w:trHeight w:val="202"/>
        </w:trPr>
        <w:tc>
          <w:tcPr>
            <w:tcW w:w="3093" w:type="dxa"/>
            <w:tcBorders>
              <w:top w:val="single" w:sz="4" w:space="0" w:color="auto"/>
              <w:bottom w:val="single" w:sz="4" w:space="0" w:color="auto"/>
            </w:tcBorders>
            <w:noWrap/>
            <w:vAlign w:val="bottom"/>
            <w:hideMark/>
          </w:tcPr>
          <w:p w14:paraId="4538DE3D" w14:textId="77777777" w:rsidR="00100041" w:rsidRPr="00100041" w:rsidRDefault="00100041" w:rsidP="00A6686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4.2. Komunalna naknada</w:t>
            </w:r>
          </w:p>
        </w:tc>
        <w:tc>
          <w:tcPr>
            <w:tcW w:w="1680" w:type="dxa"/>
            <w:tcBorders>
              <w:top w:val="single" w:sz="4" w:space="0" w:color="auto"/>
              <w:bottom w:val="single" w:sz="4" w:space="0" w:color="auto"/>
            </w:tcBorders>
            <w:noWrap/>
            <w:vAlign w:val="center"/>
          </w:tcPr>
          <w:p w14:paraId="31B2B190" w14:textId="5C5DA996" w:rsidR="00100041" w:rsidRPr="00100041" w:rsidRDefault="00D476DA"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2.045.863,37</w:t>
            </w:r>
          </w:p>
        </w:tc>
        <w:tc>
          <w:tcPr>
            <w:tcW w:w="1508" w:type="dxa"/>
            <w:tcBorders>
              <w:top w:val="single" w:sz="4" w:space="0" w:color="auto"/>
              <w:bottom w:val="single" w:sz="4" w:space="0" w:color="auto"/>
            </w:tcBorders>
            <w:vAlign w:val="center"/>
          </w:tcPr>
          <w:p w14:paraId="2F52AE44" w14:textId="02859FBE" w:rsidR="00100041" w:rsidRPr="00100041" w:rsidRDefault="00D476DA"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2.627.612,50</w:t>
            </w:r>
          </w:p>
        </w:tc>
        <w:tc>
          <w:tcPr>
            <w:tcW w:w="1525" w:type="dxa"/>
            <w:tcBorders>
              <w:top w:val="single" w:sz="4" w:space="0" w:color="auto"/>
              <w:bottom w:val="single" w:sz="4" w:space="0" w:color="auto"/>
            </w:tcBorders>
            <w:vAlign w:val="center"/>
          </w:tcPr>
          <w:p w14:paraId="0DFFD9BF" w14:textId="14AE7749" w:rsidR="00100041" w:rsidRPr="00100041" w:rsidRDefault="00D476DA"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2.630.018,50</w:t>
            </w:r>
          </w:p>
        </w:tc>
        <w:tc>
          <w:tcPr>
            <w:tcW w:w="1525" w:type="dxa"/>
            <w:tcBorders>
              <w:top w:val="single" w:sz="4" w:space="0" w:color="auto"/>
              <w:bottom w:val="single" w:sz="4" w:space="0" w:color="auto"/>
            </w:tcBorders>
            <w:noWrap/>
            <w:vAlign w:val="center"/>
          </w:tcPr>
          <w:p w14:paraId="11F42F16" w14:textId="5B6EA936" w:rsidR="00100041" w:rsidRPr="00100041" w:rsidRDefault="00D476DA"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2.445.393,29</w:t>
            </w:r>
          </w:p>
        </w:tc>
        <w:tc>
          <w:tcPr>
            <w:tcW w:w="1067" w:type="dxa"/>
            <w:tcBorders>
              <w:top w:val="single" w:sz="4" w:space="0" w:color="auto"/>
              <w:bottom w:val="single" w:sz="4" w:space="0" w:color="auto"/>
            </w:tcBorders>
            <w:noWrap/>
            <w:vAlign w:val="center"/>
          </w:tcPr>
          <w:p w14:paraId="5FBF244D" w14:textId="5FE11AED" w:rsidR="00100041" w:rsidRPr="00100041" w:rsidRDefault="00D476DA"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119,53</w:t>
            </w:r>
            <w:r w:rsidR="00365A82">
              <w:rPr>
                <w:rFonts w:ascii="Arial" w:eastAsia="Times New Roman" w:hAnsi="Arial" w:cs="Arial"/>
                <w:bCs/>
                <w:sz w:val="18"/>
                <w:szCs w:val="18"/>
                <w:lang w:eastAsia="hr-HR"/>
              </w:rPr>
              <w:t>%</w:t>
            </w:r>
          </w:p>
        </w:tc>
        <w:tc>
          <w:tcPr>
            <w:tcW w:w="950" w:type="dxa"/>
            <w:tcBorders>
              <w:top w:val="single" w:sz="4" w:space="0" w:color="auto"/>
              <w:bottom w:val="single" w:sz="4" w:space="0" w:color="auto"/>
            </w:tcBorders>
            <w:noWrap/>
            <w:vAlign w:val="center"/>
          </w:tcPr>
          <w:p w14:paraId="42E0787C" w14:textId="4D4C275E" w:rsidR="00100041" w:rsidRPr="00100041" w:rsidRDefault="00D476DA"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92,98</w:t>
            </w:r>
            <w:r w:rsidR="00365A82">
              <w:rPr>
                <w:rFonts w:ascii="Arial" w:eastAsia="Times New Roman" w:hAnsi="Arial" w:cs="Arial"/>
                <w:bCs/>
                <w:sz w:val="18"/>
                <w:szCs w:val="18"/>
                <w:lang w:eastAsia="hr-HR"/>
              </w:rPr>
              <w:t>%</w:t>
            </w:r>
          </w:p>
        </w:tc>
      </w:tr>
      <w:tr w:rsidR="00100041" w:rsidRPr="00100041" w14:paraId="14E1B26C" w14:textId="77777777" w:rsidTr="00FE12D9">
        <w:trPr>
          <w:trHeight w:val="394"/>
        </w:trPr>
        <w:tc>
          <w:tcPr>
            <w:tcW w:w="3093" w:type="dxa"/>
            <w:tcBorders>
              <w:top w:val="single" w:sz="4" w:space="0" w:color="auto"/>
              <w:bottom w:val="single" w:sz="4" w:space="0" w:color="auto"/>
            </w:tcBorders>
            <w:noWrap/>
            <w:vAlign w:val="bottom"/>
            <w:hideMark/>
          </w:tcPr>
          <w:p w14:paraId="6530E833" w14:textId="77777777" w:rsidR="00100041" w:rsidRPr="00100041" w:rsidRDefault="00100041" w:rsidP="00A6686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lastRenderedPageBreak/>
              <w:t>Izvor 4.3. Ostali prihodi za posebne namjene</w:t>
            </w:r>
          </w:p>
        </w:tc>
        <w:tc>
          <w:tcPr>
            <w:tcW w:w="1680" w:type="dxa"/>
            <w:tcBorders>
              <w:top w:val="single" w:sz="4" w:space="0" w:color="auto"/>
              <w:bottom w:val="single" w:sz="4" w:space="0" w:color="auto"/>
            </w:tcBorders>
            <w:noWrap/>
            <w:vAlign w:val="center"/>
          </w:tcPr>
          <w:p w14:paraId="2048E47D" w14:textId="2B37A047" w:rsidR="00100041" w:rsidRPr="00100041" w:rsidRDefault="00D476DA"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699.047,77</w:t>
            </w:r>
          </w:p>
        </w:tc>
        <w:tc>
          <w:tcPr>
            <w:tcW w:w="1508" w:type="dxa"/>
            <w:tcBorders>
              <w:top w:val="single" w:sz="4" w:space="0" w:color="auto"/>
              <w:bottom w:val="single" w:sz="4" w:space="0" w:color="auto"/>
            </w:tcBorders>
            <w:vAlign w:val="center"/>
          </w:tcPr>
          <w:p w14:paraId="277261D5" w14:textId="28B2B81E" w:rsidR="00100041" w:rsidRPr="00100041" w:rsidRDefault="00D476DA"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1.078.850,00</w:t>
            </w:r>
          </w:p>
        </w:tc>
        <w:tc>
          <w:tcPr>
            <w:tcW w:w="1525" w:type="dxa"/>
            <w:tcBorders>
              <w:top w:val="single" w:sz="4" w:space="0" w:color="auto"/>
              <w:bottom w:val="single" w:sz="4" w:space="0" w:color="auto"/>
            </w:tcBorders>
            <w:vAlign w:val="center"/>
          </w:tcPr>
          <w:p w14:paraId="617651D9" w14:textId="34FBFFA0" w:rsidR="00100041" w:rsidRPr="00100041" w:rsidRDefault="00D476DA"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1.157.609,00</w:t>
            </w:r>
          </w:p>
        </w:tc>
        <w:tc>
          <w:tcPr>
            <w:tcW w:w="1525" w:type="dxa"/>
            <w:tcBorders>
              <w:top w:val="single" w:sz="4" w:space="0" w:color="auto"/>
              <w:bottom w:val="single" w:sz="4" w:space="0" w:color="auto"/>
            </w:tcBorders>
            <w:noWrap/>
            <w:vAlign w:val="center"/>
          </w:tcPr>
          <w:p w14:paraId="6A1FFAB9" w14:textId="58110C15" w:rsidR="00100041" w:rsidRPr="00100041" w:rsidRDefault="00D476DA"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921.852,97</w:t>
            </w:r>
          </w:p>
        </w:tc>
        <w:tc>
          <w:tcPr>
            <w:tcW w:w="1067" w:type="dxa"/>
            <w:tcBorders>
              <w:top w:val="single" w:sz="4" w:space="0" w:color="auto"/>
              <w:bottom w:val="single" w:sz="4" w:space="0" w:color="auto"/>
            </w:tcBorders>
            <w:noWrap/>
            <w:vAlign w:val="center"/>
          </w:tcPr>
          <w:p w14:paraId="67E27CF2" w14:textId="49761342" w:rsidR="00100041" w:rsidRPr="00100041" w:rsidRDefault="00D476DA"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131,87</w:t>
            </w:r>
            <w:r w:rsidR="00365A82">
              <w:rPr>
                <w:rFonts w:ascii="Arial" w:eastAsia="Times New Roman" w:hAnsi="Arial" w:cs="Arial"/>
                <w:bCs/>
                <w:sz w:val="18"/>
                <w:szCs w:val="18"/>
                <w:lang w:eastAsia="hr-HR"/>
              </w:rPr>
              <w:t>%</w:t>
            </w:r>
          </w:p>
        </w:tc>
        <w:tc>
          <w:tcPr>
            <w:tcW w:w="950" w:type="dxa"/>
            <w:tcBorders>
              <w:top w:val="single" w:sz="4" w:space="0" w:color="auto"/>
              <w:bottom w:val="single" w:sz="4" w:space="0" w:color="auto"/>
            </w:tcBorders>
            <w:noWrap/>
            <w:vAlign w:val="center"/>
          </w:tcPr>
          <w:p w14:paraId="76E045C6" w14:textId="5E052357" w:rsidR="00100041" w:rsidRPr="00100041" w:rsidRDefault="00D476DA"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79,63</w:t>
            </w:r>
            <w:r w:rsidR="00365A82">
              <w:rPr>
                <w:rFonts w:ascii="Arial" w:eastAsia="Times New Roman" w:hAnsi="Arial" w:cs="Arial"/>
                <w:bCs/>
                <w:sz w:val="18"/>
                <w:szCs w:val="18"/>
                <w:lang w:eastAsia="hr-HR"/>
              </w:rPr>
              <w:t>%</w:t>
            </w:r>
          </w:p>
        </w:tc>
      </w:tr>
      <w:tr w:rsidR="00100041" w:rsidRPr="00100041" w14:paraId="4F109731" w14:textId="77777777" w:rsidTr="00FE12D9">
        <w:trPr>
          <w:trHeight w:val="419"/>
        </w:trPr>
        <w:tc>
          <w:tcPr>
            <w:tcW w:w="3093" w:type="dxa"/>
            <w:tcBorders>
              <w:top w:val="single" w:sz="4" w:space="0" w:color="auto"/>
              <w:bottom w:val="single" w:sz="4" w:space="0" w:color="auto"/>
            </w:tcBorders>
            <w:vAlign w:val="bottom"/>
            <w:hideMark/>
          </w:tcPr>
          <w:p w14:paraId="31868585" w14:textId="77777777" w:rsidR="00100041" w:rsidRPr="00100041" w:rsidRDefault="00100041" w:rsidP="00A6686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 xml:space="preserve">Izvor 4.4. Ostali prihodi za posebne namjene proračunskih korisnika </w:t>
            </w:r>
          </w:p>
        </w:tc>
        <w:tc>
          <w:tcPr>
            <w:tcW w:w="1680" w:type="dxa"/>
            <w:tcBorders>
              <w:top w:val="single" w:sz="4" w:space="0" w:color="auto"/>
              <w:bottom w:val="single" w:sz="4" w:space="0" w:color="auto"/>
            </w:tcBorders>
            <w:noWrap/>
            <w:vAlign w:val="center"/>
          </w:tcPr>
          <w:p w14:paraId="10BD0035" w14:textId="48179AE3" w:rsidR="00100041" w:rsidRPr="00100041" w:rsidRDefault="00D476DA"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252.870,45</w:t>
            </w:r>
          </w:p>
        </w:tc>
        <w:tc>
          <w:tcPr>
            <w:tcW w:w="1508" w:type="dxa"/>
            <w:tcBorders>
              <w:top w:val="single" w:sz="4" w:space="0" w:color="auto"/>
              <w:bottom w:val="single" w:sz="4" w:space="0" w:color="auto"/>
            </w:tcBorders>
            <w:vAlign w:val="center"/>
          </w:tcPr>
          <w:p w14:paraId="3DBDB045" w14:textId="2C1F8424" w:rsidR="00100041" w:rsidRPr="00100041" w:rsidRDefault="00D476DA"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303.737,00</w:t>
            </w:r>
          </w:p>
        </w:tc>
        <w:tc>
          <w:tcPr>
            <w:tcW w:w="1525" w:type="dxa"/>
            <w:tcBorders>
              <w:top w:val="single" w:sz="4" w:space="0" w:color="auto"/>
              <w:bottom w:val="single" w:sz="4" w:space="0" w:color="auto"/>
            </w:tcBorders>
            <w:vAlign w:val="center"/>
          </w:tcPr>
          <w:p w14:paraId="054B3708" w14:textId="2DEA35FB" w:rsidR="00100041" w:rsidRPr="00100041" w:rsidRDefault="00D476DA"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303.737,00</w:t>
            </w:r>
          </w:p>
        </w:tc>
        <w:tc>
          <w:tcPr>
            <w:tcW w:w="1525" w:type="dxa"/>
            <w:tcBorders>
              <w:top w:val="single" w:sz="4" w:space="0" w:color="auto"/>
              <w:bottom w:val="single" w:sz="4" w:space="0" w:color="auto"/>
            </w:tcBorders>
            <w:noWrap/>
            <w:vAlign w:val="center"/>
          </w:tcPr>
          <w:p w14:paraId="312017B1" w14:textId="555290E4" w:rsidR="00100041" w:rsidRPr="00100041" w:rsidRDefault="00D476DA"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250.227,64</w:t>
            </w:r>
          </w:p>
        </w:tc>
        <w:tc>
          <w:tcPr>
            <w:tcW w:w="1067" w:type="dxa"/>
            <w:tcBorders>
              <w:top w:val="single" w:sz="4" w:space="0" w:color="auto"/>
              <w:bottom w:val="single" w:sz="4" w:space="0" w:color="auto"/>
            </w:tcBorders>
            <w:noWrap/>
            <w:vAlign w:val="center"/>
          </w:tcPr>
          <w:p w14:paraId="3739A5DC" w14:textId="56A99423" w:rsidR="00100041" w:rsidRPr="00100041" w:rsidRDefault="00D476DA"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98,95</w:t>
            </w:r>
            <w:r w:rsidR="00365A82">
              <w:rPr>
                <w:rFonts w:ascii="Arial" w:eastAsia="Times New Roman" w:hAnsi="Arial" w:cs="Arial"/>
                <w:bCs/>
                <w:sz w:val="18"/>
                <w:szCs w:val="18"/>
                <w:lang w:eastAsia="hr-HR"/>
              </w:rPr>
              <w:t>%</w:t>
            </w:r>
          </w:p>
        </w:tc>
        <w:tc>
          <w:tcPr>
            <w:tcW w:w="950" w:type="dxa"/>
            <w:tcBorders>
              <w:top w:val="single" w:sz="4" w:space="0" w:color="auto"/>
              <w:bottom w:val="single" w:sz="4" w:space="0" w:color="auto"/>
            </w:tcBorders>
            <w:noWrap/>
            <w:vAlign w:val="center"/>
          </w:tcPr>
          <w:p w14:paraId="399CCA7B" w14:textId="6A1703D5" w:rsidR="00100041" w:rsidRPr="00100041" w:rsidRDefault="00D476DA"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82,38</w:t>
            </w:r>
            <w:r w:rsidR="00365A82">
              <w:rPr>
                <w:rFonts w:ascii="Arial" w:eastAsia="Times New Roman" w:hAnsi="Arial" w:cs="Arial"/>
                <w:bCs/>
                <w:sz w:val="18"/>
                <w:szCs w:val="18"/>
                <w:lang w:eastAsia="hr-HR"/>
              </w:rPr>
              <w:t>%</w:t>
            </w:r>
          </w:p>
        </w:tc>
      </w:tr>
      <w:tr w:rsidR="00100041" w:rsidRPr="00100041" w14:paraId="14B9DEA5" w14:textId="77777777" w:rsidTr="00FE12D9">
        <w:trPr>
          <w:trHeight w:val="419"/>
        </w:trPr>
        <w:tc>
          <w:tcPr>
            <w:tcW w:w="3093" w:type="dxa"/>
            <w:tcBorders>
              <w:top w:val="single" w:sz="4" w:space="0" w:color="auto"/>
              <w:bottom w:val="single" w:sz="4" w:space="0" w:color="auto"/>
            </w:tcBorders>
            <w:vAlign w:val="bottom"/>
          </w:tcPr>
          <w:p w14:paraId="4A8509B8" w14:textId="77777777" w:rsidR="00100041" w:rsidRPr="00100041" w:rsidRDefault="00100041" w:rsidP="00A6686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 xml:space="preserve">Izvor 4.5.Ostali prihodi za posebne namjene-decentralizacija- JVP </w:t>
            </w:r>
          </w:p>
        </w:tc>
        <w:tc>
          <w:tcPr>
            <w:tcW w:w="1680" w:type="dxa"/>
            <w:tcBorders>
              <w:top w:val="single" w:sz="4" w:space="0" w:color="auto"/>
              <w:bottom w:val="single" w:sz="4" w:space="0" w:color="auto"/>
            </w:tcBorders>
            <w:noWrap/>
            <w:vAlign w:val="center"/>
          </w:tcPr>
          <w:p w14:paraId="6CD2A64B" w14:textId="7E37A58C" w:rsidR="00100041" w:rsidRPr="00100041" w:rsidRDefault="00D476DA"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213.754,64</w:t>
            </w:r>
          </w:p>
        </w:tc>
        <w:tc>
          <w:tcPr>
            <w:tcW w:w="1508" w:type="dxa"/>
            <w:tcBorders>
              <w:top w:val="single" w:sz="4" w:space="0" w:color="auto"/>
              <w:bottom w:val="single" w:sz="4" w:space="0" w:color="auto"/>
            </w:tcBorders>
            <w:vAlign w:val="center"/>
          </w:tcPr>
          <w:p w14:paraId="68426BE7" w14:textId="74EFFA75" w:rsidR="00100041" w:rsidRPr="00100041" w:rsidRDefault="00D476DA"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326.114,00</w:t>
            </w:r>
          </w:p>
        </w:tc>
        <w:tc>
          <w:tcPr>
            <w:tcW w:w="1525" w:type="dxa"/>
            <w:tcBorders>
              <w:top w:val="single" w:sz="4" w:space="0" w:color="auto"/>
              <w:bottom w:val="single" w:sz="4" w:space="0" w:color="auto"/>
            </w:tcBorders>
            <w:vAlign w:val="center"/>
          </w:tcPr>
          <w:p w14:paraId="3745E62A" w14:textId="1891998C" w:rsidR="00100041" w:rsidRPr="00100041" w:rsidRDefault="00D476DA"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326.114,00</w:t>
            </w:r>
          </w:p>
        </w:tc>
        <w:tc>
          <w:tcPr>
            <w:tcW w:w="1525" w:type="dxa"/>
            <w:tcBorders>
              <w:top w:val="single" w:sz="4" w:space="0" w:color="auto"/>
              <w:bottom w:val="single" w:sz="4" w:space="0" w:color="auto"/>
            </w:tcBorders>
            <w:noWrap/>
            <w:vAlign w:val="center"/>
          </w:tcPr>
          <w:p w14:paraId="5732630B" w14:textId="3E382615" w:rsidR="00100041" w:rsidRPr="00100041" w:rsidRDefault="00D476DA"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326.114,00</w:t>
            </w:r>
          </w:p>
        </w:tc>
        <w:tc>
          <w:tcPr>
            <w:tcW w:w="1067" w:type="dxa"/>
            <w:tcBorders>
              <w:top w:val="single" w:sz="4" w:space="0" w:color="auto"/>
              <w:bottom w:val="single" w:sz="4" w:space="0" w:color="auto"/>
            </w:tcBorders>
            <w:noWrap/>
            <w:vAlign w:val="center"/>
          </w:tcPr>
          <w:p w14:paraId="430E8CF0" w14:textId="1A9B5D1F" w:rsidR="00100041" w:rsidRPr="00100041" w:rsidRDefault="00D476DA"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152,56</w:t>
            </w:r>
            <w:r w:rsidR="00365A82">
              <w:rPr>
                <w:rFonts w:ascii="Arial" w:eastAsia="Times New Roman" w:hAnsi="Arial" w:cs="Arial"/>
                <w:bCs/>
                <w:sz w:val="18"/>
                <w:szCs w:val="18"/>
                <w:lang w:eastAsia="hr-HR"/>
              </w:rPr>
              <w:t>%</w:t>
            </w:r>
          </w:p>
        </w:tc>
        <w:tc>
          <w:tcPr>
            <w:tcW w:w="950" w:type="dxa"/>
            <w:tcBorders>
              <w:top w:val="single" w:sz="4" w:space="0" w:color="auto"/>
              <w:bottom w:val="single" w:sz="4" w:space="0" w:color="auto"/>
            </w:tcBorders>
            <w:noWrap/>
            <w:vAlign w:val="center"/>
          </w:tcPr>
          <w:p w14:paraId="2041BB44" w14:textId="42248EFC" w:rsidR="00100041" w:rsidRPr="00100041" w:rsidRDefault="00D476DA"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100,00</w:t>
            </w:r>
            <w:r w:rsidR="00365A82">
              <w:rPr>
                <w:rFonts w:ascii="Arial" w:eastAsia="Times New Roman" w:hAnsi="Arial" w:cs="Arial"/>
                <w:bCs/>
                <w:sz w:val="18"/>
                <w:szCs w:val="18"/>
                <w:lang w:eastAsia="hr-HR"/>
              </w:rPr>
              <w:t>%</w:t>
            </w:r>
          </w:p>
        </w:tc>
      </w:tr>
      <w:tr w:rsidR="00100041" w:rsidRPr="00100041" w14:paraId="36B80B6B" w14:textId="77777777" w:rsidTr="00FE12D9">
        <w:trPr>
          <w:trHeight w:val="419"/>
        </w:trPr>
        <w:tc>
          <w:tcPr>
            <w:tcW w:w="3093" w:type="dxa"/>
            <w:tcBorders>
              <w:top w:val="single" w:sz="4" w:space="0" w:color="auto"/>
              <w:bottom w:val="single" w:sz="4" w:space="0" w:color="auto"/>
            </w:tcBorders>
            <w:vAlign w:val="bottom"/>
          </w:tcPr>
          <w:p w14:paraId="399F2999" w14:textId="77777777" w:rsidR="00100041" w:rsidRPr="00100041" w:rsidRDefault="00100041" w:rsidP="00A6686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4.6. Ostali prihodi za posebne namjene- ustupljeni dio za JVP</w:t>
            </w:r>
          </w:p>
        </w:tc>
        <w:tc>
          <w:tcPr>
            <w:tcW w:w="1680" w:type="dxa"/>
            <w:tcBorders>
              <w:top w:val="single" w:sz="4" w:space="0" w:color="auto"/>
              <w:bottom w:val="single" w:sz="4" w:space="0" w:color="auto"/>
            </w:tcBorders>
            <w:noWrap/>
            <w:vAlign w:val="center"/>
          </w:tcPr>
          <w:p w14:paraId="2A0B9B44" w14:textId="2D15CBD7" w:rsidR="00100041" w:rsidRPr="00100041" w:rsidRDefault="00D476DA"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91.024,36</w:t>
            </w:r>
          </w:p>
        </w:tc>
        <w:tc>
          <w:tcPr>
            <w:tcW w:w="1508" w:type="dxa"/>
            <w:tcBorders>
              <w:top w:val="single" w:sz="4" w:space="0" w:color="auto"/>
              <w:bottom w:val="single" w:sz="4" w:space="0" w:color="auto"/>
            </w:tcBorders>
            <w:vAlign w:val="center"/>
          </w:tcPr>
          <w:p w14:paraId="1A503A86" w14:textId="2B6D08CF" w:rsidR="00100041" w:rsidRPr="00100041" w:rsidRDefault="00D476DA"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25" w:type="dxa"/>
            <w:tcBorders>
              <w:top w:val="single" w:sz="4" w:space="0" w:color="auto"/>
              <w:bottom w:val="single" w:sz="4" w:space="0" w:color="auto"/>
            </w:tcBorders>
            <w:vAlign w:val="center"/>
          </w:tcPr>
          <w:p w14:paraId="608F1625" w14:textId="060EA42E" w:rsidR="00100041" w:rsidRPr="00100041" w:rsidRDefault="00D476DA"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25" w:type="dxa"/>
            <w:tcBorders>
              <w:top w:val="single" w:sz="4" w:space="0" w:color="auto"/>
              <w:bottom w:val="single" w:sz="4" w:space="0" w:color="auto"/>
            </w:tcBorders>
            <w:noWrap/>
            <w:vAlign w:val="center"/>
          </w:tcPr>
          <w:p w14:paraId="12E1F0B6" w14:textId="694BDFE4" w:rsidR="00100041" w:rsidRPr="00100041" w:rsidRDefault="00D476DA"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067" w:type="dxa"/>
            <w:tcBorders>
              <w:top w:val="single" w:sz="4" w:space="0" w:color="auto"/>
              <w:bottom w:val="single" w:sz="4" w:space="0" w:color="auto"/>
            </w:tcBorders>
            <w:noWrap/>
            <w:vAlign w:val="center"/>
          </w:tcPr>
          <w:p w14:paraId="00DC3B48" w14:textId="35F32080" w:rsidR="00100041" w:rsidRPr="00100041" w:rsidRDefault="002F584A"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c>
          <w:tcPr>
            <w:tcW w:w="950" w:type="dxa"/>
            <w:tcBorders>
              <w:top w:val="single" w:sz="4" w:space="0" w:color="auto"/>
              <w:bottom w:val="single" w:sz="4" w:space="0" w:color="auto"/>
            </w:tcBorders>
            <w:noWrap/>
            <w:vAlign w:val="center"/>
          </w:tcPr>
          <w:p w14:paraId="1BDADF5F" w14:textId="6FCD3628" w:rsidR="00100041" w:rsidRPr="00100041" w:rsidRDefault="002F584A"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r>
      <w:tr w:rsidR="00D476DA" w:rsidRPr="00100041" w14:paraId="20C2853B" w14:textId="77777777" w:rsidTr="003F5F3E">
        <w:trPr>
          <w:trHeight w:val="414"/>
        </w:trPr>
        <w:tc>
          <w:tcPr>
            <w:tcW w:w="3093" w:type="dxa"/>
            <w:tcBorders>
              <w:top w:val="single" w:sz="4" w:space="0" w:color="auto"/>
              <w:bottom w:val="single" w:sz="4" w:space="0" w:color="auto"/>
            </w:tcBorders>
            <w:vAlign w:val="bottom"/>
          </w:tcPr>
          <w:p w14:paraId="1F935B46" w14:textId="53F4BCF0" w:rsidR="003F5F3E" w:rsidRPr="00100041" w:rsidRDefault="003F5F3E" w:rsidP="00A66865">
            <w:pPr>
              <w:spacing w:after="0" w:line="240" w:lineRule="auto"/>
              <w:rPr>
                <w:rFonts w:ascii="Arial" w:eastAsia="Times New Roman" w:hAnsi="Arial" w:cs="Arial"/>
                <w:bCs/>
                <w:sz w:val="18"/>
                <w:szCs w:val="18"/>
                <w:lang w:eastAsia="hr-HR"/>
              </w:rPr>
            </w:pPr>
            <w:r>
              <w:rPr>
                <w:rFonts w:ascii="Arial" w:eastAsia="Times New Roman" w:hAnsi="Arial" w:cs="Arial"/>
                <w:bCs/>
                <w:sz w:val="18"/>
                <w:szCs w:val="18"/>
                <w:lang w:eastAsia="hr-HR"/>
              </w:rPr>
              <w:t xml:space="preserve">Izvor 4.9. Preneseni višak/manjak-prihodi za posebne namjene </w:t>
            </w:r>
          </w:p>
        </w:tc>
        <w:tc>
          <w:tcPr>
            <w:tcW w:w="1680" w:type="dxa"/>
            <w:tcBorders>
              <w:top w:val="single" w:sz="4" w:space="0" w:color="auto"/>
              <w:bottom w:val="single" w:sz="4" w:space="0" w:color="auto"/>
            </w:tcBorders>
            <w:noWrap/>
            <w:vAlign w:val="center"/>
          </w:tcPr>
          <w:p w14:paraId="73215EA0" w14:textId="51659ACD" w:rsidR="00D476DA"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08" w:type="dxa"/>
            <w:tcBorders>
              <w:top w:val="single" w:sz="4" w:space="0" w:color="auto"/>
              <w:bottom w:val="single" w:sz="4" w:space="0" w:color="auto"/>
            </w:tcBorders>
            <w:vAlign w:val="center"/>
          </w:tcPr>
          <w:p w14:paraId="623803ED" w14:textId="04111CFF" w:rsidR="00D476DA"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1.067.131,07</w:t>
            </w:r>
          </w:p>
        </w:tc>
        <w:tc>
          <w:tcPr>
            <w:tcW w:w="1525" w:type="dxa"/>
            <w:tcBorders>
              <w:top w:val="single" w:sz="4" w:space="0" w:color="auto"/>
              <w:bottom w:val="single" w:sz="4" w:space="0" w:color="auto"/>
            </w:tcBorders>
            <w:vAlign w:val="center"/>
          </w:tcPr>
          <w:p w14:paraId="19FB9934" w14:textId="07FF36FB" w:rsidR="00D476DA"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1.045.427,07</w:t>
            </w:r>
          </w:p>
        </w:tc>
        <w:tc>
          <w:tcPr>
            <w:tcW w:w="1525" w:type="dxa"/>
            <w:tcBorders>
              <w:top w:val="single" w:sz="4" w:space="0" w:color="auto"/>
              <w:bottom w:val="single" w:sz="4" w:space="0" w:color="auto"/>
            </w:tcBorders>
            <w:noWrap/>
            <w:vAlign w:val="center"/>
          </w:tcPr>
          <w:p w14:paraId="64312E44" w14:textId="3B7BDD6A" w:rsidR="00D476DA"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620.328,26</w:t>
            </w:r>
          </w:p>
        </w:tc>
        <w:tc>
          <w:tcPr>
            <w:tcW w:w="1067" w:type="dxa"/>
            <w:tcBorders>
              <w:top w:val="single" w:sz="4" w:space="0" w:color="auto"/>
              <w:bottom w:val="single" w:sz="4" w:space="0" w:color="auto"/>
            </w:tcBorders>
            <w:noWrap/>
            <w:vAlign w:val="center"/>
          </w:tcPr>
          <w:p w14:paraId="4DC8C064" w14:textId="53DDBFC5" w:rsidR="00D476DA" w:rsidRDefault="002F584A"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c>
          <w:tcPr>
            <w:tcW w:w="950" w:type="dxa"/>
            <w:tcBorders>
              <w:top w:val="single" w:sz="4" w:space="0" w:color="auto"/>
              <w:bottom w:val="single" w:sz="4" w:space="0" w:color="auto"/>
            </w:tcBorders>
            <w:noWrap/>
            <w:vAlign w:val="center"/>
          </w:tcPr>
          <w:p w14:paraId="2989A66E" w14:textId="623CA357" w:rsidR="00D476DA"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59,34%</w:t>
            </w:r>
          </w:p>
        </w:tc>
      </w:tr>
      <w:tr w:rsidR="00C23012" w:rsidRPr="00100041" w14:paraId="5D377A7F" w14:textId="77777777" w:rsidTr="00FE12D9">
        <w:trPr>
          <w:trHeight w:val="202"/>
        </w:trPr>
        <w:tc>
          <w:tcPr>
            <w:tcW w:w="3093" w:type="dxa"/>
            <w:tcBorders>
              <w:top w:val="single" w:sz="4" w:space="0" w:color="auto"/>
              <w:bottom w:val="single" w:sz="4" w:space="0" w:color="auto"/>
            </w:tcBorders>
            <w:shd w:val="clear" w:color="auto" w:fill="FFE599" w:themeFill="accent4" w:themeFillTint="66"/>
            <w:noWrap/>
            <w:vAlign w:val="bottom"/>
            <w:hideMark/>
          </w:tcPr>
          <w:p w14:paraId="4D9AC6EC" w14:textId="77777777" w:rsidR="00100041" w:rsidRPr="00100041" w:rsidRDefault="00100041" w:rsidP="00A66865">
            <w:pPr>
              <w:spacing w:after="0" w:line="240" w:lineRule="auto"/>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Izvor 5. POMOĆI</w:t>
            </w:r>
          </w:p>
        </w:tc>
        <w:tc>
          <w:tcPr>
            <w:tcW w:w="1680" w:type="dxa"/>
            <w:tcBorders>
              <w:top w:val="single" w:sz="4" w:space="0" w:color="auto"/>
              <w:bottom w:val="single" w:sz="4" w:space="0" w:color="auto"/>
            </w:tcBorders>
            <w:shd w:val="clear" w:color="auto" w:fill="FFE599" w:themeFill="accent4" w:themeFillTint="66"/>
            <w:noWrap/>
            <w:vAlign w:val="center"/>
          </w:tcPr>
          <w:p w14:paraId="45CE32FC" w14:textId="7F484755" w:rsidR="00100041" w:rsidRPr="00100041" w:rsidRDefault="003F5F3E" w:rsidP="003E2A6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500.644,65</w:t>
            </w:r>
          </w:p>
        </w:tc>
        <w:tc>
          <w:tcPr>
            <w:tcW w:w="1508" w:type="dxa"/>
            <w:tcBorders>
              <w:top w:val="single" w:sz="4" w:space="0" w:color="auto"/>
              <w:bottom w:val="single" w:sz="4" w:space="0" w:color="auto"/>
            </w:tcBorders>
            <w:shd w:val="clear" w:color="auto" w:fill="FFE599" w:themeFill="accent4" w:themeFillTint="66"/>
            <w:vAlign w:val="center"/>
          </w:tcPr>
          <w:p w14:paraId="1286D2EE" w14:textId="735AEC3D" w:rsidR="00100041" w:rsidRPr="00100041" w:rsidRDefault="003F5F3E" w:rsidP="003E2A6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4.311.811,59</w:t>
            </w:r>
          </w:p>
        </w:tc>
        <w:tc>
          <w:tcPr>
            <w:tcW w:w="1525" w:type="dxa"/>
            <w:tcBorders>
              <w:top w:val="single" w:sz="4" w:space="0" w:color="auto"/>
              <w:bottom w:val="single" w:sz="4" w:space="0" w:color="auto"/>
            </w:tcBorders>
            <w:shd w:val="clear" w:color="auto" w:fill="FFE599" w:themeFill="accent4" w:themeFillTint="66"/>
            <w:vAlign w:val="center"/>
          </w:tcPr>
          <w:p w14:paraId="0AB0A371" w14:textId="7D607E15" w:rsidR="00100041" w:rsidRPr="00100041" w:rsidRDefault="003F5F3E" w:rsidP="003E2A6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4.319.819,09</w:t>
            </w:r>
          </w:p>
        </w:tc>
        <w:tc>
          <w:tcPr>
            <w:tcW w:w="1525" w:type="dxa"/>
            <w:tcBorders>
              <w:top w:val="single" w:sz="4" w:space="0" w:color="auto"/>
              <w:bottom w:val="single" w:sz="4" w:space="0" w:color="auto"/>
            </w:tcBorders>
            <w:shd w:val="clear" w:color="auto" w:fill="FFE599" w:themeFill="accent4" w:themeFillTint="66"/>
            <w:noWrap/>
            <w:vAlign w:val="center"/>
          </w:tcPr>
          <w:p w14:paraId="59569EB8" w14:textId="0E59A98E" w:rsidR="00100041" w:rsidRPr="00100041" w:rsidRDefault="003F5F3E" w:rsidP="003E2A6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2.817.340,88</w:t>
            </w:r>
          </w:p>
        </w:tc>
        <w:tc>
          <w:tcPr>
            <w:tcW w:w="1067" w:type="dxa"/>
            <w:tcBorders>
              <w:top w:val="single" w:sz="4" w:space="0" w:color="auto"/>
              <w:bottom w:val="single" w:sz="4" w:space="0" w:color="auto"/>
            </w:tcBorders>
            <w:shd w:val="clear" w:color="auto" w:fill="FFE599" w:themeFill="accent4" w:themeFillTint="66"/>
            <w:noWrap/>
            <w:vAlign w:val="center"/>
          </w:tcPr>
          <w:p w14:paraId="6B13E3C4" w14:textId="45D8F362" w:rsidR="00100041" w:rsidRPr="00100041" w:rsidRDefault="003F5F3E" w:rsidP="003E2A6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786,04</w:t>
            </w:r>
            <w:r w:rsidR="0099663B">
              <w:rPr>
                <w:rFonts w:ascii="Arial" w:eastAsia="Times New Roman" w:hAnsi="Arial" w:cs="Arial"/>
                <w:b/>
                <w:bCs/>
                <w:sz w:val="18"/>
                <w:szCs w:val="18"/>
                <w:lang w:eastAsia="hr-HR"/>
              </w:rPr>
              <w:t>%</w:t>
            </w:r>
          </w:p>
        </w:tc>
        <w:tc>
          <w:tcPr>
            <w:tcW w:w="950" w:type="dxa"/>
            <w:tcBorders>
              <w:top w:val="single" w:sz="4" w:space="0" w:color="auto"/>
              <w:bottom w:val="single" w:sz="4" w:space="0" w:color="auto"/>
            </w:tcBorders>
            <w:shd w:val="clear" w:color="auto" w:fill="FFE599" w:themeFill="accent4" w:themeFillTint="66"/>
            <w:noWrap/>
            <w:vAlign w:val="center"/>
          </w:tcPr>
          <w:p w14:paraId="7515B7C2" w14:textId="3E0FE9DB" w:rsidR="00100041" w:rsidRPr="00100041" w:rsidRDefault="003F5F3E" w:rsidP="003E2A6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65,22</w:t>
            </w:r>
            <w:r w:rsidR="0099663B">
              <w:rPr>
                <w:rFonts w:ascii="Arial" w:eastAsia="Times New Roman" w:hAnsi="Arial" w:cs="Arial"/>
                <w:b/>
                <w:bCs/>
                <w:sz w:val="18"/>
                <w:szCs w:val="18"/>
                <w:lang w:eastAsia="hr-HR"/>
              </w:rPr>
              <w:t>%</w:t>
            </w:r>
          </w:p>
        </w:tc>
      </w:tr>
      <w:tr w:rsidR="00100041" w:rsidRPr="00100041" w14:paraId="449F5285" w14:textId="77777777" w:rsidTr="00FE12D9">
        <w:trPr>
          <w:trHeight w:val="202"/>
        </w:trPr>
        <w:tc>
          <w:tcPr>
            <w:tcW w:w="3093" w:type="dxa"/>
            <w:tcBorders>
              <w:top w:val="single" w:sz="4" w:space="0" w:color="auto"/>
              <w:bottom w:val="single" w:sz="4" w:space="0" w:color="auto"/>
            </w:tcBorders>
            <w:noWrap/>
            <w:vAlign w:val="bottom"/>
            <w:hideMark/>
          </w:tcPr>
          <w:p w14:paraId="34633F11" w14:textId="77777777" w:rsidR="00100041" w:rsidRPr="00100041" w:rsidRDefault="00100041" w:rsidP="00A6686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5.1. Ostale pomoći</w:t>
            </w:r>
          </w:p>
        </w:tc>
        <w:tc>
          <w:tcPr>
            <w:tcW w:w="1680" w:type="dxa"/>
            <w:tcBorders>
              <w:top w:val="single" w:sz="4" w:space="0" w:color="auto"/>
              <w:bottom w:val="single" w:sz="4" w:space="0" w:color="auto"/>
            </w:tcBorders>
            <w:noWrap/>
            <w:vAlign w:val="center"/>
          </w:tcPr>
          <w:p w14:paraId="5E773C5A" w14:textId="40F41573" w:rsidR="00100041" w:rsidRPr="00100041"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322.269,29</w:t>
            </w:r>
          </w:p>
        </w:tc>
        <w:tc>
          <w:tcPr>
            <w:tcW w:w="1508" w:type="dxa"/>
            <w:tcBorders>
              <w:top w:val="single" w:sz="4" w:space="0" w:color="auto"/>
              <w:bottom w:val="single" w:sz="4" w:space="0" w:color="auto"/>
            </w:tcBorders>
            <w:vAlign w:val="center"/>
          </w:tcPr>
          <w:p w14:paraId="1F5325FC" w14:textId="18290F9F" w:rsidR="00100041" w:rsidRPr="00100041"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1.312.696,00</w:t>
            </w:r>
          </w:p>
        </w:tc>
        <w:tc>
          <w:tcPr>
            <w:tcW w:w="1525" w:type="dxa"/>
            <w:tcBorders>
              <w:top w:val="single" w:sz="4" w:space="0" w:color="auto"/>
              <w:bottom w:val="single" w:sz="4" w:space="0" w:color="auto"/>
            </w:tcBorders>
            <w:vAlign w:val="center"/>
          </w:tcPr>
          <w:p w14:paraId="46289402" w14:textId="39868241" w:rsidR="00100041" w:rsidRPr="00100041"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1.399.063,50</w:t>
            </w:r>
          </w:p>
        </w:tc>
        <w:tc>
          <w:tcPr>
            <w:tcW w:w="1525" w:type="dxa"/>
            <w:tcBorders>
              <w:top w:val="single" w:sz="4" w:space="0" w:color="auto"/>
              <w:bottom w:val="single" w:sz="4" w:space="0" w:color="auto"/>
            </w:tcBorders>
            <w:noWrap/>
            <w:vAlign w:val="center"/>
          </w:tcPr>
          <w:p w14:paraId="53E4ED7E" w14:textId="6022906E" w:rsidR="00100041" w:rsidRPr="00100041"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1.120.220,49</w:t>
            </w:r>
          </w:p>
        </w:tc>
        <w:tc>
          <w:tcPr>
            <w:tcW w:w="1067" w:type="dxa"/>
            <w:tcBorders>
              <w:top w:val="single" w:sz="4" w:space="0" w:color="auto"/>
              <w:bottom w:val="single" w:sz="4" w:space="0" w:color="auto"/>
            </w:tcBorders>
            <w:noWrap/>
            <w:vAlign w:val="center"/>
          </w:tcPr>
          <w:p w14:paraId="1077D66A" w14:textId="228302C1" w:rsidR="00100041" w:rsidRPr="00100041"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347,60</w:t>
            </w:r>
            <w:r w:rsidR="0099663B">
              <w:rPr>
                <w:rFonts w:ascii="Arial" w:eastAsia="Times New Roman" w:hAnsi="Arial" w:cs="Arial"/>
                <w:bCs/>
                <w:sz w:val="18"/>
                <w:szCs w:val="18"/>
                <w:lang w:eastAsia="hr-HR"/>
              </w:rPr>
              <w:t>%</w:t>
            </w:r>
          </w:p>
        </w:tc>
        <w:tc>
          <w:tcPr>
            <w:tcW w:w="950" w:type="dxa"/>
            <w:tcBorders>
              <w:top w:val="single" w:sz="4" w:space="0" w:color="auto"/>
              <w:bottom w:val="single" w:sz="4" w:space="0" w:color="auto"/>
            </w:tcBorders>
            <w:noWrap/>
            <w:vAlign w:val="center"/>
          </w:tcPr>
          <w:p w14:paraId="6069599A" w14:textId="6C28A6C7" w:rsidR="00100041" w:rsidRPr="00100041"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80,07</w:t>
            </w:r>
            <w:r w:rsidR="0099663B">
              <w:rPr>
                <w:rFonts w:ascii="Arial" w:eastAsia="Times New Roman" w:hAnsi="Arial" w:cs="Arial"/>
                <w:bCs/>
                <w:sz w:val="18"/>
                <w:szCs w:val="18"/>
                <w:lang w:eastAsia="hr-HR"/>
              </w:rPr>
              <w:t>%</w:t>
            </w:r>
          </w:p>
        </w:tc>
      </w:tr>
      <w:tr w:rsidR="00100041" w:rsidRPr="00100041" w14:paraId="0769852F" w14:textId="77777777" w:rsidTr="00FE12D9">
        <w:trPr>
          <w:trHeight w:val="202"/>
        </w:trPr>
        <w:tc>
          <w:tcPr>
            <w:tcW w:w="3093" w:type="dxa"/>
            <w:tcBorders>
              <w:top w:val="single" w:sz="4" w:space="0" w:color="auto"/>
              <w:bottom w:val="single" w:sz="4" w:space="0" w:color="auto"/>
            </w:tcBorders>
            <w:noWrap/>
            <w:vAlign w:val="bottom"/>
            <w:hideMark/>
          </w:tcPr>
          <w:p w14:paraId="2F2D8F89" w14:textId="77777777" w:rsidR="00100041" w:rsidRPr="00100041" w:rsidRDefault="00100041" w:rsidP="00A6686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5.2. Pomoći EU</w:t>
            </w:r>
          </w:p>
        </w:tc>
        <w:tc>
          <w:tcPr>
            <w:tcW w:w="1680" w:type="dxa"/>
            <w:tcBorders>
              <w:top w:val="single" w:sz="4" w:space="0" w:color="auto"/>
              <w:bottom w:val="single" w:sz="4" w:space="0" w:color="auto"/>
            </w:tcBorders>
            <w:noWrap/>
            <w:vAlign w:val="center"/>
          </w:tcPr>
          <w:p w14:paraId="01E83EBC" w14:textId="5DC2CE81" w:rsidR="00100041" w:rsidRPr="00100041"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32.536,66</w:t>
            </w:r>
          </w:p>
        </w:tc>
        <w:tc>
          <w:tcPr>
            <w:tcW w:w="1508" w:type="dxa"/>
            <w:tcBorders>
              <w:top w:val="single" w:sz="4" w:space="0" w:color="auto"/>
              <w:bottom w:val="single" w:sz="4" w:space="0" w:color="auto"/>
            </w:tcBorders>
            <w:vAlign w:val="center"/>
          </w:tcPr>
          <w:p w14:paraId="45BB5C1B" w14:textId="693648F9" w:rsidR="00100041" w:rsidRPr="00100041"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406.650,00</w:t>
            </w:r>
          </w:p>
        </w:tc>
        <w:tc>
          <w:tcPr>
            <w:tcW w:w="1525" w:type="dxa"/>
            <w:tcBorders>
              <w:top w:val="single" w:sz="4" w:space="0" w:color="auto"/>
              <w:bottom w:val="single" w:sz="4" w:space="0" w:color="auto"/>
            </w:tcBorders>
            <w:vAlign w:val="center"/>
          </w:tcPr>
          <w:p w14:paraId="576328BB" w14:textId="08093505" w:rsidR="00100041" w:rsidRPr="00100041"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366.650,00</w:t>
            </w:r>
          </w:p>
        </w:tc>
        <w:tc>
          <w:tcPr>
            <w:tcW w:w="1525" w:type="dxa"/>
            <w:tcBorders>
              <w:top w:val="single" w:sz="4" w:space="0" w:color="auto"/>
              <w:bottom w:val="single" w:sz="4" w:space="0" w:color="auto"/>
            </w:tcBorders>
            <w:noWrap/>
            <w:vAlign w:val="center"/>
          </w:tcPr>
          <w:p w14:paraId="3FC95F4A" w14:textId="0451260F" w:rsidR="00100041" w:rsidRPr="003256CD"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51.584,24</w:t>
            </w:r>
          </w:p>
        </w:tc>
        <w:tc>
          <w:tcPr>
            <w:tcW w:w="1067" w:type="dxa"/>
            <w:tcBorders>
              <w:top w:val="single" w:sz="4" w:space="0" w:color="auto"/>
              <w:bottom w:val="single" w:sz="4" w:space="0" w:color="auto"/>
            </w:tcBorders>
            <w:noWrap/>
            <w:vAlign w:val="center"/>
          </w:tcPr>
          <w:p w14:paraId="2B595E72" w14:textId="3109ED3B" w:rsidR="00100041" w:rsidRPr="00100041"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158,54</w:t>
            </w:r>
            <w:r w:rsidR="003256CD">
              <w:rPr>
                <w:rFonts w:ascii="Arial" w:eastAsia="Times New Roman" w:hAnsi="Arial" w:cs="Arial"/>
                <w:bCs/>
                <w:sz w:val="18"/>
                <w:szCs w:val="18"/>
                <w:lang w:eastAsia="hr-HR"/>
              </w:rPr>
              <w:t>%</w:t>
            </w:r>
          </w:p>
        </w:tc>
        <w:tc>
          <w:tcPr>
            <w:tcW w:w="950" w:type="dxa"/>
            <w:tcBorders>
              <w:top w:val="single" w:sz="4" w:space="0" w:color="auto"/>
              <w:bottom w:val="single" w:sz="4" w:space="0" w:color="auto"/>
            </w:tcBorders>
            <w:noWrap/>
            <w:vAlign w:val="center"/>
          </w:tcPr>
          <w:p w14:paraId="1E88F69C" w14:textId="63EF3AF5" w:rsidR="00100041" w:rsidRPr="00100041"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14,07</w:t>
            </w:r>
            <w:r w:rsidR="003256CD">
              <w:rPr>
                <w:rFonts w:ascii="Arial" w:eastAsia="Times New Roman" w:hAnsi="Arial" w:cs="Arial"/>
                <w:bCs/>
                <w:sz w:val="18"/>
                <w:szCs w:val="18"/>
                <w:lang w:eastAsia="hr-HR"/>
              </w:rPr>
              <w:t>%</w:t>
            </w:r>
          </w:p>
        </w:tc>
      </w:tr>
      <w:tr w:rsidR="00100041" w:rsidRPr="00100041" w14:paraId="058B8225" w14:textId="77777777" w:rsidTr="00FE12D9">
        <w:trPr>
          <w:trHeight w:val="202"/>
        </w:trPr>
        <w:tc>
          <w:tcPr>
            <w:tcW w:w="3093" w:type="dxa"/>
            <w:tcBorders>
              <w:top w:val="single" w:sz="4" w:space="0" w:color="auto"/>
              <w:bottom w:val="single" w:sz="4" w:space="0" w:color="auto"/>
            </w:tcBorders>
            <w:noWrap/>
            <w:vAlign w:val="bottom"/>
            <w:hideMark/>
          </w:tcPr>
          <w:p w14:paraId="76270CA0" w14:textId="77777777" w:rsidR="00100041" w:rsidRPr="00100041" w:rsidRDefault="00100041" w:rsidP="00A6686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5.4. Pomoći EU  proračunskih korisnika</w:t>
            </w:r>
          </w:p>
        </w:tc>
        <w:tc>
          <w:tcPr>
            <w:tcW w:w="1680" w:type="dxa"/>
            <w:tcBorders>
              <w:top w:val="single" w:sz="4" w:space="0" w:color="auto"/>
              <w:bottom w:val="single" w:sz="4" w:space="0" w:color="auto"/>
            </w:tcBorders>
            <w:noWrap/>
            <w:vAlign w:val="center"/>
          </w:tcPr>
          <w:p w14:paraId="531C4AF0" w14:textId="47FB3F2C" w:rsidR="00100041" w:rsidRPr="00100041"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29.115,80</w:t>
            </w:r>
          </w:p>
        </w:tc>
        <w:tc>
          <w:tcPr>
            <w:tcW w:w="1508" w:type="dxa"/>
            <w:tcBorders>
              <w:top w:val="single" w:sz="4" w:space="0" w:color="auto"/>
              <w:bottom w:val="single" w:sz="4" w:space="0" w:color="auto"/>
            </w:tcBorders>
            <w:vAlign w:val="center"/>
          </w:tcPr>
          <w:p w14:paraId="7F73B9EB" w14:textId="1A65FDC6" w:rsidR="00100041" w:rsidRPr="00100041"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665.125,00</w:t>
            </w:r>
          </w:p>
        </w:tc>
        <w:tc>
          <w:tcPr>
            <w:tcW w:w="1525" w:type="dxa"/>
            <w:tcBorders>
              <w:top w:val="single" w:sz="4" w:space="0" w:color="auto"/>
              <w:bottom w:val="single" w:sz="4" w:space="0" w:color="auto"/>
            </w:tcBorders>
            <w:vAlign w:val="center"/>
          </w:tcPr>
          <w:p w14:paraId="32F02F12" w14:textId="1ED909A0" w:rsidR="00100041" w:rsidRPr="00100041"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665.125,00</w:t>
            </w:r>
          </w:p>
        </w:tc>
        <w:tc>
          <w:tcPr>
            <w:tcW w:w="1525" w:type="dxa"/>
            <w:tcBorders>
              <w:top w:val="single" w:sz="4" w:space="0" w:color="auto"/>
              <w:bottom w:val="single" w:sz="4" w:space="0" w:color="auto"/>
            </w:tcBorders>
            <w:noWrap/>
            <w:vAlign w:val="center"/>
          </w:tcPr>
          <w:p w14:paraId="15B05952" w14:textId="0AE8546E" w:rsidR="00100041" w:rsidRPr="003256CD"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067" w:type="dxa"/>
            <w:tcBorders>
              <w:top w:val="single" w:sz="4" w:space="0" w:color="auto"/>
              <w:bottom w:val="single" w:sz="4" w:space="0" w:color="auto"/>
            </w:tcBorders>
            <w:noWrap/>
            <w:vAlign w:val="center"/>
          </w:tcPr>
          <w:p w14:paraId="295F5676" w14:textId="54F7F319" w:rsidR="00100041" w:rsidRPr="00100041" w:rsidRDefault="002F584A"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c>
          <w:tcPr>
            <w:tcW w:w="950" w:type="dxa"/>
            <w:tcBorders>
              <w:top w:val="single" w:sz="4" w:space="0" w:color="auto"/>
              <w:bottom w:val="single" w:sz="4" w:space="0" w:color="auto"/>
            </w:tcBorders>
            <w:noWrap/>
            <w:vAlign w:val="center"/>
          </w:tcPr>
          <w:p w14:paraId="4984C522" w14:textId="793DEE02" w:rsidR="00100041" w:rsidRPr="00100041" w:rsidRDefault="002F584A"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r>
      <w:tr w:rsidR="00100041" w:rsidRPr="00100041" w14:paraId="391B51E9" w14:textId="77777777" w:rsidTr="00FE12D9">
        <w:trPr>
          <w:trHeight w:val="202"/>
        </w:trPr>
        <w:tc>
          <w:tcPr>
            <w:tcW w:w="3093" w:type="dxa"/>
            <w:tcBorders>
              <w:top w:val="single" w:sz="4" w:space="0" w:color="auto"/>
              <w:bottom w:val="single" w:sz="4" w:space="0" w:color="auto"/>
            </w:tcBorders>
            <w:noWrap/>
            <w:vAlign w:val="bottom"/>
            <w:hideMark/>
          </w:tcPr>
          <w:p w14:paraId="540C8248" w14:textId="77777777" w:rsidR="00100041" w:rsidRPr="00100041" w:rsidRDefault="00100041" w:rsidP="00A6686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5.5. Ostale pomoći  proračunskih korisnika</w:t>
            </w:r>
          </w:p>
        </w:tc>
        <w:tc>
          <w:tcPr>
            <w:tcW w:w="1680" w:type="dxa"/>
            <w:tcBorders>
              <w:top w:val="single" w:sz="4" w:space="0" w:color="auto"/>
              <w:bottom w:val="single" w:sz="4" w:space="0" w:color="auto"/>
            </w:tcBorders>
            <w:noWrap/>
            <w:vAlign w:val="center"/>
          </w:tcPr>
          <w:p w14:paraId="7EEEF0E0" w14:textId="635F342F" w:rsidR="00100041" w:rsidRPr="00100041"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116.722,90</w:t>
            </w:r>
          </w:p>
        </w:tc>
        <w:tc>
          <w:tcPr>
            <w:tcW w:w="1508" w:type="dxa"/>
            <w:tcBorders>
              <w:top w:val="single" w:sz="4" w:space="0" w:color="auto"/>
              <w:bottom w:val="single" w:sz="4" w:space="0" w:color="auto"/>
            </w:tcBorders>
            <w:vAlign w:val="center"/>
          </w:tcPr>
          <w:p w14:paraId="2F9BB0B8" w14:textId="0FF9EB0F" w:rsidR="00100041" w:rsidRPr="00100041"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177.926,00</w:t>
            </w:r>
          </w:p>
        </w:tc>
        <w:tc>
          <w:tcPr>
            <w:tcW w:w="1525" w:type="dxa"/>
            <w:tcBorders>
              <w:top w:val="single" w:sz="4" w:space="0" w:color="auto"/>
              <w:bottom w:val="single" w:sz="4" w:space="0" w:color="auto"/>
            </w:tcBorders>
            <w:vAlign w:val="center"/>
          </w:tcPr>
          <w:p w14:paraId="1D224855" w14:textId="13315C3B" w:rsidR="00100041" w:rsidRPr="00100041"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177.926,00</w:t>
            </w:r>
          </w:p>
        </w:tc>
        <w:tc>
          <w:tcPr>
            <w:tcW w:w="1525" w:type="dxa"/>
            <w:tcBorders>
              <w:top w:val="single" w:sz="4" w:space="0" w:color="auto"/>
              <w:bottom w:val="single" w:sz="4" w:space="0" w:color="auto"/>
            </w:tcBorders>
            <w:noWrap/>
            <w:vAlign w:val="center"/>
          </w:tcPr>
          <w:p w14:paraId="02D759B1" w14:textId="553F7CF4" w:rsidR="00100041" w:rsidRPr="003256CD"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97.255,31</w:t>
            </w:r>
          </w:p>
        </w:tc>
        <w:tc>
          <w:tcPr>
            <w:tcW w:w="1067" w:type="dxa"/>
            <w:tcBorders>
              <w:top w:val="single" w:sz="4" w:space="0" w:color="auto"/>
              <w:bottom w:val="single" w:sz="4" w:space="0" w:color="auto"/>
            </w:tcBorders>
            <w:noWrap/>
            <w:vAlign w:val="center"/>
          </w:tcPr>
          <w:p w14:paraId="1A987C6C" w14:textId="60D1A22D" w:rsidR="00100041" w:rsidRPr="00100041" w:rsidRDefault="002F584A"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c>
          <w:tcPr>
            <w:tcW w:w="950" w:type="dxa"/>
            <w:tcBorders>
              <w:top w:val="single" w:sz="4" w:space="0" w:color="auto"/>
              <w:bottom w:val="single" w:sz="4" w:space="0" w:color="auto"/>
            </w:tcBorders>
            <w:noWrap/>
            <w:vAlign w:val="center"/>
          </w:tcPr>
          <w:p w14:paraId="66E9F9A6" w14:textId="50616751" w:rsidR="00100041" w:rsidRPr="00100041"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54,66</w:t>
            </w:r>
            <w:r w:rsidR="003256CD">
              <w:rPr>
                <w:rFonts w:ascii="Arial" w:eastAsia="Times New Roman" w:hAnsi="Arial" w:cs="Arial"/>
                <w:bCs/>
                <w:sz w:val="18"/>
                <w:szCs w:val="18"/>
                <w:lang w:eastAsia="hr-HR"/>
              </w:rPr>
              <w:t>%</w:t>
            </w:r>
          </w:p>
        </w:tc>
      </w:tr>
      <w:tr w:rsidR="003F5F3E" w:rsidRPr="00100041" w14:paraId="19347AE6" w14:textId="77777777" w:rsidTr="00FE12D9">
        <w:trPr>
          <w:trHeight w:val="202"/>
        </w:trPr>
        <w:tc>
          <w:tcPr>
            <w:tcW w:w="3093" w:type="dxa"/>
            <w:tcBorders>
              <w:top w:val="single" w:sz="4" w:space="0" w:color="auto"/>
              <w:bottom w:val="single" w:sz="4" w:space="0" w:color="auto"/>
            </w:tcBorders>
            <w:noWrap/>
            <w:vAlign w:val="bottom"/>
          </w:tcPr>
          <w:p w14:paraId="159CE523" w14:textId="74970680" w:rsidR="003F5F3E" w:rsidRPr="00100041" w:rsidRDefault="003F5F3E" w:rsidP="00A66865">
            <w:pPr>
              <w:spacing w:after="0" w:line="240" w:lineRule="auto"/>
              <w:rPr>
                <w:rFonts w:ascii="Arial" w:eastAsia="Times New Roman" w:hAnsi="Arial" w:cs="Arial"/>
                <w:bCs/>
                <w:sz w:val="18"/>
                <w:szCs w:val="18"/>
                <w:lang w:eastAsia="hr-HR"/>
              </w:rPr>
            </w:pPr>
            <w:r>
              <w:rPr>
                <w:rFonts w:ascii="Arial" w:eastAsia="Times New Roman" w:hAnsi="Arial" w:cs="Arial"/>
                <w:bCs/>
                <w:sz w:val="18"/>
                <w:szCs w:val="18"/>
                <w:lang w:eastAsia="hr-HR"/>
              </w:rPr>
              <w:t>Izvor 5.9. Preneseni višak/manjak-pomoći</w:t>
            </w:r>
          </w:p>
        </w:tc>
        <w:tc>
          <w:tcPr>
            <w:tcW w:w="1680" w:type="dxa"/>
            <w:tcBorders>
              <w:top w:val="single" w:sz="4" w:space="0" w:color="auto"/>
              <w:bottom w:val="single" w:sz="4" w:space="0" w:color="auto"/>
            </w:tcBorders>
            <w:noWrap/>
            <w:vAlign w:val="center"/>
          </w:tcPr>
          <w:p w14:paraId="3F0F3BFE" w14:textId="5785E12C" w:rsidR="003F5F3E"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08" w:type="dxa"/>
            <w:tcBorders>
              <w:top w:val="single" w:sz="4" w:space="0" w:color="auto"/>
              <w:bottom w:val="single" w:sz="4" w:space="0" w:color="auto"/>
            </w:tcBorders>
            <w:vAlign w:val="center"/>
          </w:tcPr>
          <w:p w14:paraId="467D55AA" w14:textId="70308910" w:rsidR="003F5F3E"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1.749.414,59</w:t>
            </w:r>
          </w:p>
        </w:tc>
        <w:tc>
          <w:tcPr>
            <w:tcW w:w="1525" w:type="dxa"/>
            <w:tcBorders>
              <w:top w:val="single" w:sz="4" w:space="0" w:color="auto"/>
              <w:bottom w:val="single" w:sz="4" w:space="0" w:color="auto"/>
            </w:tcBorders>
            <w:vAlign w:val="center"/>
          </w:tcPr>
          <w:p w14:paraId="514C4528" w14:textId="28EAB66F" w:rsidR="003F5F3E"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1.711.054,59</w:t>
            </w:r>
          </w:p>
        </w:tc>
        <w:tc>
          <w:tcPr>
            <w:tcW w:w="1525" w:type="dxa"/>
            <w:tcBorders>
              <w:top w:val="single" w:sz="4" w:space="0" w:color="auto"/>
              <w:bottom w:val="single" w:sz="4" w:space="0" w:color="auto"/>
            </w:tcBorders>
            <w:noWrap/>
            <w:vAlign w:val="center"/>
          </w:tcPr>
          <w:p w14:paraId="7605E6AB" w14:textId="6C0A197C" w:rsidR="003F5F3E"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1.548.280,84</w:t>
            </w:r>
          </w:p>
        </w:tc>
        <w:tc>
          <w:tcPr>
            <w:tcW w:w="1067" w:type="dxa"/>
            <w:tcBorders>
              <w:top w:val="single" w:sz="4" w:space="0" w:color="auto"/>
              <w:bottom w:val="single" w:sz="4" w:space="0" w:color="auto"/>
            </w:tcBorders>
            <w:noWrap/>
            <w:vAlign w:val="center"/>
          </w:tcPr>
          <w:p w14:paraId="5B6F37D7" w14:textId="04F0DF34" w:rsidR="003F5F3E" w:rsidRDefault="002F584A"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c>
          <w:tcPr>
            <w:tcW w:w="950" w:type="dxa"/>
            <w:tcBorders>
              <w:top w:val="single" w:sz="4" w:space="0" w:color="auto"/>
              <w:bottom w:val="single" w:sz="4" w:space="0" w:color="auto"/>
            </w:tcBorders>
            <w:noWrap/>
            <w:vAlign w:val="center"/>
          </w:tcPr>
          <w:p w14:paraId="54BE078C" w14:textId="290D6108" w:rsidR="003F5F3E"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90,49%</w:t>
            </w:r>
          </w:p>
        </w:tc>
      </w:tr>
      <w:tr w:rsidR="00C23012" w:rsidRPr="00100041" w14:paraId="3711DF32" w14:textId="77777777" w:rsidTr="00FE12D9">
        <w:trPr>
          <w:trHeight w:val="202"/>
        </w:trPr>
        <w:tc>
          <w:tcPr>
            <w:tcW w:w="3093" w:type="dxa"/>
            <w:tcBorders>
              <w:top w:val="single" w:sz="4" w:space="0" w:color="auto"/>
              <w:bottom w:val="single" w:sz="4" w:space="0" w:color="auto"/>
            </w:tcBorders>
            <w:shd w:val="clear" w:color="auto" w:fill="FFE599" w:themeFill="accent4" w:themeFillTint="66"/>
            <w:noWrap/>
            <w:vAlign w:val="bottom"/>
            <w:hideMark/>
          </w:tcPr>
          <w:p w14:paraId="6822341B" w14:textId="77777777" w:rsidR="00100041" w:rsidRPr="00100041" w:rsidRDefault="00100041" w:rsidP="00A66865">
            <w:pPr>
              <w:spacing w:after="0" w:line="240" w:lineRule="auto"/>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Izvor 6. DONACIJE</w:t>
            </w:r>
          </w:p>
        </w:tc>
        <w:tc>
          <w:tcPr>
            <w:tcW w:w="1680" w:type="dxa"/>
            <w:tcBorders>
              <w:top w:val="single" w:sz="4" w:space="0" w:color="auto"/>
              <w:bottom w:val="single" w:sz="4" w:space="0" w:color="auto"/>
            </w:tcBorders>
            <w:shd w:val="clear" w:color="auto" w:fill="FFE599" w:themeFill="accent4" w:themeFillTint="66"/>
            <w:noWrap/>
            <w:vAlign w:val="center"/>
          </w:tcPr>
          <w:p w14:paraId="0335CF32" w14:textId="47B6F51A" w:rsidR="00100041" w:rsidRPr="00100041" w:rsidRDefault="003F5F3E" w:rsidP="003E2A6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1.114,00</w:t>
            </w:r>
          </w:p>
        </w:tc>
        <w:tc>
          <w:tcPr>
            <w:tcW w:w="1508" w:type="dxa"/>
            <w:tcBorders>
              <w:top w:val="single" w:sz="4" w:space="0" w:color="auto"/>
              <w:bottom w:val="single" w:sz="4" w:space="0" w:color="auto"/>
            </w:tcBorders>
            <w:shd w:val="clear" w:color="auto" w:fill="FFE599" w:themeFill="accent4" w:themeFillTint="66"/>
            <w:vAlign w:val="center"/>
          </w:tcPr>
          <w:p w14:paraId="425A6D68" w14:textId="34CC84C3" w:rsidR="00100041" w:rsidRPr="00100041" w:rsidRDefault="003F5F3E" w:rsidP="003E2A6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11.900,00</w:t>
            </w:r>
          </w:p>
        </w:tc>
        <w:tc>
          <w:tcPr>
            <w:tcW w:w="1525" w:type="dxa"/>
            <w:tcBorders>
              <w:top w:val="single" w:sz="4" w:space="0" w:color="auto"/>
              <w:bottom w:val="single" w:sz="4" w:space="0" w:color="auto"/>
            </w:tcBorders>
            <w:shd w:val="clear" w:color="auto" w:fill="FFE599" w:themeFill="accent4" w:themeFillTint="66"/>
            <w:vAlign w:val="center"/>
          </w:tcPr>
          <w:p w14:paraId="22525DFD" w14:textId="23914268" w:rsidR="00100041" w:rsidRPr="00100041" w:rsidRDefault="003F5F3E" w:rsidP="003E2A6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11.900,00</w:t>
            </w:r>
          </w:p>
        </w:tc>
        <w:tc>
          <w:tcPr>
            <w:tcW w:w="1525" w:type="dxa"/>
            <w:tcBorders>
              <w:top w:val="single" w:sz="4" w:space="0" w:color="auto"/>
              <w:bottom w:val="single" w:sz="4" w:space="0" w:color="auto"/>
            </w:tcBorders>
            <w:shd w:val="clear" w:color="auto" w:fill="FFE599" w:themeFill="accent4" w:themeFillTint="66"/>
            <w:noWrap/>
            <w:vAlign w:val="center"/>
          </w:tcPr>
          <w:p w14:paraId="22240A20" w14:textId="4B0994FD" w:rsidR="00100041" w:rsidRPr="00100041" w:rsidRDefault="003F5F3E" w:rsidP="003E2A6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2.663,18</w:t>
            </w:r>
          </w:p>
        </w:tc>
        <w:tc>
          <w:tcPr>
            <w:tcW w:w="1067" w:type="dxa"/>
            <w:tcBorders>
              <w:top w:val="single" w:sz="4" w:space="0" w:color="auto"/>
              <w:bottom w:val="single" w:sz="4" w:space="0" w:color="auto"/>
            </w:tcBorders>
            <w:shd w:val="clear" w:color="auto" w:fill="FFE599" w:themeFill="accent4" w:themeFillTint="66"/>
            <w:noWrap/>
            <w:vAlign w:val="center"/>
          </w:tcPr>
          <w:p w14:paraId="5BA521D9" w14:textId="122B2E86" w:rsidR="00100041" w:rsidRPr="00100041" w:rsidRDefault="002F584A" w:rsidP="003E2A6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w:t>
            </w:r>
          </w:p>
        </w:tc>
        <w:tc>
          <w:tcPr>
            <w:tcW w:w="950" w:type="dxa"/>
            <w:tcBorders>
              <w:top w:val="single" w:sz="4" w:space="0" w:color="auto"/>
              <w:bottom w:val="single" w:sz="4" w:space="0" w:color="auto"/>
            </w:tcBorders>
            <w:shd w:val="clear" w:color="auto" w:fill="FFE599" w:themeFill="accent4" w:themeFillTint="66"/>
            <w:noWrap/>
            <w:vAlign w:val="center"/>
          </w:tcPr>
          <w:p w14:paraId="691072D2" w14:textId="592C8D78" w:rsidR="00100041" w:rsidRPr="00100041" w:rsidRDefault="003F5F3E" w:rsidP="003E2A6B">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22,38</w:t>
            </w:r>
            <w:r w:rsidR="003256CD">
              <w:rPr>
                <w:rFonts w:ascii="Arial" w:eastAsia="Times New Roman" w:hAnsi="Arial" w:cs="Arial"/>
                <w:b/>
                <w:bCs/>
                <w:sz w:val="18"/>
                <w:szCs w:val="18"/>
                <w:lang w:eastAsia="hr-HR"/>
              </w:rPr>
              <w:t>%</w:t>
            </w:r>
          </w:p>
        </w:tc>
      </w:tr>
      <w:tr w:rsidR="00100041" w:rsidRPr="00100041" w14:paraId="699B0220" w14:textId="77777777" w:rsidTr="00365A82">
        <w:trPr>
          <w:trHeight w:val="202"/>
        </w:trPr>
        <w:tc>
          <w:tcPr>
            <w:tcW w:w="3093" w:type="dxa"/>
            <w:tcBorders>
              <w:top w:val="single" w:sz="4" w:space="0" w:color="auto"/>
              <w:bottom w:val="single" w:sz="4" w:space="0" w:color="auto"/>
            </w:tcBorders>
            <w:noWrap/>
            <w:vAlign w:val="bottom"/>
            <w:hideMark/>
          </w:tcPr>
          <w:p w14:paraId="43AC5323" w14:textId="77777777" w:rsidR="00100041" w:rsidRPr="00100041" w:rsidRDefault="00100041" w:rsidP="00A6686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6.1. Donacije</w:t>
            </w:r>
          </w:p>
        </w:tc>
        <w:tc>
          <w:tcPr>
            <w:tcW w:w="1680" w:type="dxa"/>
            <w:tcBorders>
              <w:top w:val="single" w:sz="4" w:space="0" w:color="auto"/>
              <w:bottom w:val="single" w:sz="4" w:space="0" w:color="auto"/>
            </w:tcBorders>
            <w:noWrap/>
            <w:vAlign w:val="center"/>
          </w:tcPr>
          <w:p w14:paraId="44FE349D" w14:textId="5BA90185" w:rsidR="00100041" w:rsidRPr="00100041"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08" w:type="dxa"/>
            <w:tcBorders>
              <w:top w:val="single" w:sz="4" w:space="0" w:color="auto"/>
              <w:bottom w:val="single" w:sz="4" w:space="0" w:color="auto"/>
            </w:tcBorders>
            <w:vAlign w:val="center"/>
          </w:tcPr>
          <w:p w14:paraId="67354F23" w14:textId="0B0A016D" w:rsidR="00100041" w:rsidRPr="00100041"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7.300,00</w:t>
            </w:r>
          </w:p>
        </w:tc>
        <w:tc>
          <w:tcPr>
            <w:tcW w:w="1525" w:type="dxa"/>
            <w:tcBorders>
              <w:top w:val="single" w:sz="4" w:space="0" w:color="auto"/>
              <w:bottom w:val="single" w:sz="4" w:space="0" w:color="auto"/>
            </w:tcBorders>
            <w:vAlign w:val="center"/>
          </w:tcPr>
          <w:p w14:paraId="2865047F" w14:textId="1AD951FB" w:rsidR="00100041" w:rsidRPr="00100041"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7.300,00</w:t>
            </w:r>
          </w:p>
        </w:tc>
        <w:tc>
          <w:tcPr>
            <w:tcW w:w="1525" w:type="dxa"/>
            <w:tcBorders>
              <w:top w:val="single" w:sz="4" w:space="0" w:color="auto"/>
              <w:bottom w:val="single" w:sz="4" w:space="0" w:color="auto"/>
            </w:tcBorders>
            <w:noWrap/>
            <w:vAlign w:val="center"/>
          </w:tcPr>
          <w:p w14:paraId="0329E555" w14:textId="2830E628" w:rsidR="00100041" w:rsidRPr="00100041"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2.225,18</w:t>
            </w:r>
          </w:p>
        </w:tc>
        <w:tc>
          <w:tcPr>
            <w:tcW w:w="1067" w:type="dxa"/>
            <w:tcBorders>
              <w:top w:val="single" w:sz="4" w:space="0" w:color="auto"/>
              <w:bottom w:val="single" w:sz="4" w:space="0" w:color="auto"/>
            </w:tcBorders>
            <w:noWrap/>
            <w:vAlign w:val="center"/>
          </w:tcPr>
          <w:p w14:paraId="794FABC4" w14:textId="4ACAB33A" w:rsidR="00100041" w:rsidRPr="00100041" w:rsidRDefault="002F584A"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c>
          <w:tcPr>
            <w:tcW w:w="950" w:type="dxa"/>
            <w:tcBorders>
              <w:top w:val="single" w:sz="4" w:space="0" w:color="auto"/>
              <w:bottom w:val="single" w:sz="4" w:space="0" w:color="auto"/>
            </w:tcBorders>
            <w:noWrap/>
            <w:vAlign w:val="center"/>
          </w:tcPr>
          <w:p w14:paraId="007D7FC3" w14:textId="6F8895A4" w:rsidR="00100041" w:rsidRPr="00100041"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30,48%</w:t>
            </w:r>
          </w:p>
        </w:tc>
      </w:tr>
      <w:tr w:rsidR="00100041" w:rsidRPr="00100041" w14:paraId="39C78736" w14:textId="77777777" w:rsidTr="00365A82">
        <w:trPr>
          <w:trHeight w:val="368"/>
        </w:trPr>
        <w:tc>
          <w:tcPr>
            <w:tcW w:w="3093" w:type="dxa"/>
            <w:tcBorders>
              <w:top w:val="single" w:sz="4" w:space="0" w:color="auto"/>
              <w:bottom w:val="single" w:sz="4" w:space="0" w:color="auto"/>
            </w:tcBorders>
            <w:noWrap/>
            <w:vAlign w:val="bottom"/>
            <w:hideMark/>
          </w:tcPr>
          <w:p w14:paraId="7AAD7EDB" w14:textId="77777777" w:rsidR="00100041" w:rsidRPr="00100041" w:rsidRDefault="00100041" w:rsidP="00A6686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6.2. Donacije proračunskih korisnika</w:t>
            </w:r>
          </w:p>
        </w:tc>
        <w:tc>
          <w:tcPr>
            <w:tcW w:w="1680" w:type="dxa"/>
            <w:tcBorders>
              <w:top w:val="single" w:sz="4" w:space="0" w:color="auto"/>
              <w:bottom w:val="single" w:sz="4" w:space="0" w:color="auto"/>
            </w:tcBorders>
            <w:noWrap/>
            <w:vAlign w:val="center"/>
          </w:tcPr>
          <w:p w14:paraId="6CE89F2D" w14:textId="659234A8" w:rsidR="00100041" w:rsidRPr="00100041"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08" w:type="dxa"/>
            <w:tcBorders>
              <w:top w:val="single" w:sz="4" w:space="0" w:color="auto"/>
              <w:bottom w:val="single" w:sz="4" w:space="0" w:color="auto"/>
            </w:tcBorders>
            <w:vAlign w:val="center"/>
          </w:tcPr>
          <w:p w14:paraId="332F78DC" w14:textId="18771EA7" w:rsidR="00100041" w:rsidRPr="00100041"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4.600,00</w:t>
            </w:r>
          </w:p>
        </w:tc>
        <w:tc>
          <w:tcPr>
            <w:tcW w:w="1525" w:type="dxa"/>
            <w:tcBorders>
              <w:top w:val="single" w:sz="4" w:space="0" w:color="auto"/>
              <w:bottom w:val="single" w:sz="4" w:space="0" w:color="auto"/>
            </w:tcBorders>
            <w:vAlign w:val="center"/>
          </w:tcPr>
          <w:p w14:paraId="73A8A095" w14:textId="43CB9723" w:rsidR="00100041" w:rsidRPr="00100041"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4.600,00</w:t>
            </w:r>
          </w:p>
        </w:tc>
        <w:tc>
          <w:tcPr>
            <w:tcW w:w="1525" w:type="dxa"/>
            <w:tcBorders>
              <w:top w:val="single" w:sz="4" w:space="0" w:color="auto"/>
              <w:bottom w:val="single" w:sz="4" w:space="0" w:color="auto"/>
            </w:tcBorders>
            <w:noWrap/>
            <w:vAlign w:val="center"/>
          </w:tcPr>
          <w:p w14:paraId="3F3C5EF9" w14:textId="7B54BF5D" w:rsidR="00100041" w:rsidRPr="00100041"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438,00</w:t>
            </w:r>
          </w:p>
        </w:tc>
        <w:tc>
          <w:tcPr>
            <w:tcW w:w="1067" w:type="dxa"/>
            <w:tcBorders>
              <w:top w:val="single" w:sz="4" w:space="0" w:color="auto"/>
              <w:bottom w:val="single" w:sz="4" w:space="0" w:color="auto"/>
            </w:tcBorders>
            <w:noWrap/>
            <w:vAlign w:val="center"/>
          </w:tcPr>
          <w:p w14:paraId="0A144223" w14:textId="13C6270C" w:rsidR="00100041" w:rsidRPr="00100041" w:rsidRDefault="002F584A"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c>
          <w:tcPr>
            <w:tcW w:w="950" w:type="dxa"/>
            <w:tcBorders>
              <w:top w:val="single" w:sz="4" w:space="0" w:color="auto"/>
              <w:bottom w:val="single" w:sz="4" w:space="0" w:color="auto"/>
            </w:tcBorders>
            <w:noWrap/>
            <w:vAlign w:val="center"/>
          </w:tcPr>
          <w:p w14:paraId="4639FDB9" w14:textId="47C39557" w:rsidR="00100041" w:rsidRPr="00100041"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9,52</w:t>
            </w:r>
            <w:r w:rsidR="003256CD">
              <w:rPr>
                <w:rFonts w:ascii="Arial" w:eastAsia="Times New Roman" w:hAnsi="Arial" w:cs="Arial"/>
                <w:bCs/>
                <w:sz w:val="18"/>
                <w:szCs w:val="18"/>
                <w:lang w:eastAsia="hr-HR"/>
              </w:rPr>
              <w:t>%</w:t>
            </w:r>
          </w:p>
        </w:tc>
      </w:tr>
      <w:tr w:rsidR="005B2CF2" w:rsidRPr="00100041" w14:paraId="77D1CDC8" w14:textId="77777777" w:rsidTr="005B2CF2">
        <w:trPr>
          <w:trHeight w:val="368"/>
        </w:trPr>
        <w:tc>
          <w:tcPr>
            <w:tcW w:w="3093" w:type="dxa"/>
            <w:tcBorders>
              <w:top w:val="single" w:sz="4" w:space="0" w:color="auto"/>
              <w:bottom w:val="single" w:sz="4" w:space="0" w:color="auto"/>
            </w:tcBorders>
            <w:shd w:val="clear" w:color="auto" w:fill="FFE599" w:themeFill="accent4" w:themeFillTint="66"/>
            <w:noWrap/>
            <w:vAlign w:val="bottom"/>
          </w:tcPr>
          <w:p w14:paraId="356E4957" w14:textId="5D0CD41C" w:rsidR="005B2CF2" w:rsidRPr="005B2CF2" w:rsidRDefault="005B2CF2" w:rsidP="00A66865">
            <w:pPr>
              <w:spacing w:after="0" w:line="240" w:lineRule="auto"/>
              <w:rPr>
                <w:rFonts w:ascii="Arial" w:eastAsia="Times New Roman" w:hAnsi="Arial" w:cs="Arial"/>
                <w:b/>
                <w:sz w:val="18"/>
                <w:szCs w:val="18"/>
                <w:lang w:eastAsia="hr-HR"/>
              </w:rPr>
            </w:pPr>
            <w:r w:rsidRPr="005B2CF2">
              <w:rPr>
                <w:rFonts w:ascii="Arial" w:eastAsia="Times New Roman" w:hAnsi="Arial" w:cs="Arial"/>
                <w:b/>
                <w:sz w:val="18"/>
                <w:szCs w:val="18"/>
                <w:lang w:eastAsia="hr-HR"/>
              </w:rPr>
              <w:t>Izvor 8. NAMJENSKI PRIMICI</w:t>
            </w:r>
          </w:p>
        </w:tc>
        <w:tc>
          <w:tcPr>
            <w:tcW w:w="1680" w:type="dxa"/>
            <w:tcBorders>
              <w:top w:val="single" w:sz="4" w:space="0" w:color="auto"/>
              <w:bottom w:val="single" w:sz="4" w:space="0" w:color="auto"/>
            </w:tcBorders>
            <w:shd w:val="clear" w:color="auto" w:fill="FFE599" w:themeFill="accent4" w:themeFillTint="66"/>
            <w:noWrap/>
            <w:vAlign w:val="center"/>
          </w:tcPr>
          <w:p w14:paraId="630061D9" w14:textId="1E6ECEAF" w:rsidR="005B2CF2" w:rsidRPr="005B2CF2" w:rsidRDefault="005B2CF2" w:rsidP="003E2A6B">
            <w:pPr>
              <w:spacing w:after="0" w:line="240" w:lineRule="auto"/>
              <w:jc w:val="center"/>
              <w:rPr>
                <w:rFonts w:ascii="Arial" w:eastAsia="Times New Roman" w:hAnsi="Arial" w:cs="Arial"/>
                <w:b/>
                <w:sz w:val="18"/>
                <w:szCs w:val="18"/>
                <w:lang w:eastAsia="hr-HR"/>
              </w:rPr>
            </w:pPr>
            <w:r w:rsidRPr="005B2CF2">
              <w:rPr>
                <w:rFonts w:ascii="Arial" w:eastAsia="Times New Roman" w:hAnsi="Arial" w:cs="Arial"/>
                <w:b/>
                <w:sz w:val="18"/>
                <w:szCs w:val="18"/>
                <w:lang w:eastAsia="hr-HR"/>
              </w:rPr>
              <w:t>0,00</w:t>
            </w:r>
          </w:p>
        </w:tc>
        <w:tc>
          <w:tcPr>
            <w:tcW w:w="1508" w:type="dxa"/>
            <w:tcBorders>
              <w:top w:val="single" w:sz="4" w:space="0" w:color="auto"/>
              <w:bottom w:val="single" w:sz="4" w:space="0" w:color="auto"/>
            </w:tcBorders>
            <w:shd w:val="clear" w:color="auto" w:fill="FFE599" w:themeFill="accent4" w:themeFillTint="66"/>
            <w:vAlign w:val="center"/>
          </w:tcPr>
          <w:p w14:paraId="20B6BA78" w14:textId="03E16294" w:rsidR="005B2CF2" w:rsidRPr="005B2CF2" w:rsidRDefault="005B2CF2" w:rsidP="003E2A6B">
            <w:pPr>
              <w:spacing w:after="0" w:line="240" w:lineRule="auto"/>
              <w:jc w:val="center"/>
              <w:rPr>
                <w:rFonts w:ascii="Arial" w:eastAsia="Times New Roman" w:hAnsi="Arial" w:cs="Arial"/>
                <w:b/>
                <w:sz w:val="18"/>
                <w:szCs w:val="18"/>
                <w:lang w:eastAsia="hr-HR"/>
              </w:rPr>
            </w:pPr>
            <w:r w:rsidRPr="005B2CF2">
              <w:rPr>
                <w:rFonts w:ascii="Arial" w:eastAsia="Times New Roman" w:hAnsi="Arial" w:cs="Arial"/>
                <w:b/>
                <w:sz w:val="18"/>
                <w:szCs w:val="18"/>
                <w:lang w:eastAsia="hr-HR"/>
              </w:rPr>
              <w:t>150.000,00</w:t>
            </w:r>
          </w:p>
        </w:tc>
        <w:tc>
          <w:tcPr>
            <w:tcW w:w="1525" w:type="dxa"/>
            <w:tcBorders>
              <w:top w:val="single" w:sz="4" w:space="0" w:color="auto"/>
              <w:bottom w:val="single" w:sz="4" w:space="0" w:color="auto"/>
            </w:tcBorders>
            <w:shd w:val="clear" w:color="auto" w:fill="FFE599" w:themeFill="accent4" w:themeFillTint="66"/>
            <w:vAlign w:val="center"/>
          </w:tcPr>
          <w:p w14:paraId="1D1C5201" w14:textId="109218DF" w:rsidR="005B2CF2" w:rsidRPr="005B2CF2" w:rsidRDefault="005B2CF2" w:rsidP="005B2CF2">
            <w:pPr>
              <w:spacing w:after="0" w:line="240" w:lineRule="auto"/>
              <w:jc w:val="center"/>
              <w:rPr>
                <w:rFonts w:ascii="Arial" w:eastAsia="Times New Roman" w:hAnsi="Arial" w:cs="Arial"/>
                <w:b/>
                <w:sz w:val="18"/>
                <w:szCs w:val="18"/>
                <w:lang w:eastAsia="hr-HR"/>
              </w:rPr>
            </w:pPr>
            <w:r w:rsidRPr="005B2CF2">
              <w:rPr>
                <w:rFonts w:ascii="Arial" w:eastAsia="Times New Roman" w:hAnsi="Arial" w:cs="Arial"/>
                <w:b/>
                <w:sz w:val="18"/>
                <w:szCs w:val="18"/>
                <w:lang w:eastAsia="hr-HR"/>
              </w:rPr>
              <w:t>150.000,00</w:t>
            </w:r>
          </w:p>
        </w:tc>
        <w:tc>
          <w:tcPr>
            <w:tcW w:w="1525" w:type="dxa"/>
            <w:tcBorders>
              <w:top w:val="single" w:sz="4" w:space="0" w:color="auto"/>
              <w:bottom w:val="single" w:sz="4" w:space="0" w:color="auto"/>
            </w:tcBorders>
            <w:shd w:val="clear" w:color="auto" w:fill="FFE599" w:themeFill="accent4" w:themeFillTint="66"/>
            <w:noWrap/>
            <w:vAlign w:val="center"/>
          </w:tcPr>
          <w:p w14:paraId="6282C3FB" w14:textId="19D1BEC4" w:rsidR="005B2CF2" w:rsidRPr="005B2CF2" w:rsidRDefault="005B2CF2" w:rsidP="003E2A6B">
            <w:pPr>
              <w:spacing w:after="0" w:line="240" w:lineRule="auto"/>
              <w:jc w:val="center"/>
              <w:rPr>
                <w:rFonts w:ascii="Arial" w:eastAsia="Times New Roman" w:hAnsi="Arial" w:cs="Arial"/>
                <w:b/>
                <w:sz w:val="18"/>
                <w:szCs w:val="18"/>
                <w:lang w:eastAsia="hr-HR"/>
              </w:rPr>
            </w:pPr>
            <w:r w:rsidRPr="005B2CF2">
              <w:rPr>
                <w:rFonts w:ascii="Arial" w:eastAsia="Times New Roman" w:hAnsi="Arial" w:cs="Arial"/>
                <w:b/>
                <w:sz w:val="18"/>
                <w:szCs w:val="18"/>
                <w:lang w:eastAsia="hr-HR"/>
              </w:rPr>
              <w:t>150.000,00</w:t>
            </w:r>
          </w:p>
        </w:tc>
        <w:tc>
          <w:tcPr>
            <w:tcW w:w="1067" w:type="dxa"/>
            <w:tcBorders>
              <w:top w:val="single" w:sz="4" w:space="0" w:color="auto"/>
              <w:bottom w:val="single" w:sz="4" w:space="0" w:color="auto"/>
            </w:tcBorders>
            <w:shd w:val="clear" w:color="auto" w:fill="FFE599" w:themeFill="accent4" w:themeFillTint="66"/>
            <w:noWrap/>
            <w:vAlign w:val="center"/>
          </w:tcPr>
          <w:p w14:paraId="4DA5694C" w14:textId="1E90183B" w:rsidR="005B2CF2" w:rsidRPr="005B2CF2" w:rsidRDefault="005B2CF2" w:rsidP="003E2A6B">
            <w:pPr>
              <w:spacing w:after="0" w:line="240" w:lineRule="auto"/>
              <w:jc w:val="center"/>
              <w:rPr>
                <w:rFonts w:ascii="Arial" w:eastAsia="Times New Roman" w:hAnsi="Arial" w:cs="Arial"/>
                <w:b/>
                <w:sz w:val="18"/>
                <w:szCs w:val="18"/>
                <w:lang w:eastAsia="hr-HR"/>
              </w:rPr>
            </w:pPr>
            <w:r w:rsidRPr="005B2CF2">
              <w:rPr>
                <w:rFonts w:ascii="Arial" w:eastAsia="Times New Roman" w:hAnsi="Arial" w:cs="Arial"/>
                <w:b/>
                <w:sz w:val="18"/>
                <w:szCs w:val="18"/>
                <w:lang w:eastAsia="hr-HR"/>
              </w:rPr>
              <w:t>-</w:t>
            </w:r>
          </w:p>
        </w:tc>
        <w:tc>
          <w:tcPr>
            <w:tcW w:w="950" w:type="dxa"/>
            <w:tcBorders>
              <w:top w:val="single" w:sz="4" w:space="0" w:color="auto"/>
              <w:bottom w:val="single" w:sz="4" w:space="0" w:color="auto"/>
            </w:tcBorders>
            <w:shd w:val="clear" w:color="auto" w:fill="FFE599" w:themeFill="accent4" w:themeFillTint="66"/>
            <w:noWrap/>
            <w:vAlign w:val="center"/>
          </w:tcPr>
          <w:p w14:paraId="5DC55EC7" w14:textId="22E16AB1" w:rsidR="005B2CF2" w:rsidRPr="005B2CF2" w:rsidRDefault="005B2CF2" w:rsidP="003E2A6B">
            <w:pPr>
              <w:spacing w:after="0" w:line="240" w:lineRule="auto"/>
              <w:jc w:val="center"/>
              <w:rPr>
                <w:rFonts w:ascii="Arial" w:eastAsia="Times New Roman" w:hAnsi="Arial" w:cs="Arial"/>
                <w:b/>
                <w:sz w:val="18"/>
                <w:szCs w:val="18"/>
                <w:lang w:eastAsia="hr-HR"/>
              </w:rPr>
            </w:pPr>
            <w:r w:rsidRPr="005B2CF2">
              <w:rPr>
                <w:rFonts w:ascii="Arial" w:eastAsia="Times New Roman" w:hAnsi="Arial" w:cs="Arial"/>
                <w:b/>
                <w:sz w:val="18"/>
                <w:szCs w:val="18"/>
                <w:lang w:eastAsia="hr-HR"/>
              </w:rPr>
              <w:t>100%</w:t>
            </w:r>
          </w:p>
        </w:tc>
      </w:tr>
      <w:tr w:rsidR="005B2CF2" w:rsidRPr="00100041" w14:paraId="5C56D299" w14:textId="77777777" w:rsidTr="005B2CF2">
        <w:trPr>
          <w:trHeight w:val="368"/>
        </w:trPr>
        <w:tc>
          <w:tcPr>
            <w:tcW w:w="3093" w:type="dxa"/>
            <w:tcBorders>
              <w:top w:val="single" w:sz="4" w:space="0" w:color="auto"/>
              <w:bottom w:val="single" w:sz="4" w:space="0" w:color="auto"/>
            </w:tcBorders>
            <w:noWrap/>
            <w:vAlign w:val="bottom"/>
          </w:tcPr>
          <w:p w14:paraId="32AEC1F4" w14:textId="73D9F691" w:rsidR="005B2CF2" w:rsidRDefault="005B2CF2" w:rsidP="00A66865">
            <w:pPr>
              <w:spacing w:after="0" w:line="240" w:lineRule="auto"/>
              <w:rPr>
                <w:rFonts w:ascii="Arial" w:eastAsia="Times New Roman" w:hAnsi="Arial" w:cs="Arial"/>
                <w:bCs/>
                <w:sz w:val="18"/>
                <w:szCs w:val="18"/>
                <w:lang w:eastAsia="hr-HR"/>
              </w:rPr>
            </w:pPr>
            <w:r>
              <w:rPr>
                <w:rFonts w:ascii="Arial" w:eastAsia="Times New Roman" w:hAnsi="Arial" w:cs="Arial"/>
                <w:bCs/>
                <w:sz w:val="18"/>
                <w:szCs w:val="18"/>
                <w:lang w:eastAsia="hr-HR"/>
              </w:rPr>
              <w:t>Izvor 8.2. Namjenski primici od zaduživanja -PK</w:t>
            </w:r>
          </w:p>
        </w:tc>
        <w:tc>
          <w:tcPr>
            <w:tcW w:w="1680" w:type="dxa"/>
            <w:tcBorders>
              <w:top w:val="single" w:sz="4" w:space="0" w:color="auto"/>
              <w:bottom w:val="single" w:sz="4" w:space="0" w:color="auto"/>
            </w:tcBorders>
            <w:noWrap/>
            <w:vAlign w:val="center"/>
          </w:tcPr>
          <w:p w14:paraId="75538B86" w14:textId="29AAAF4C" w:rsidR="005B2CF2" w:rsidRDefault="005B2CF2"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08" w:type="dxa"/>
            <w:tcBorders>
              <w:top w:val="single" w:sz="4" w:space="0" w:color="auto"/>
              <w:bottom w:val="single" w:sz="4" w:space="0" w:color="auto"/>
            </w:tcBorders>
            <w:vAlign w:val="center"/>
          </w:tcPr>
          <w:p w14:paraId="211C8460" w14:textId="2F443E4A" w:rsidR="005B2CF2" w:rsidRDefault="005B2CF2"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150.000,00</w:t>
            </w:r>
          </w:p>
        </w:tc>
        <w:tc>
          <w:tcPr>
            <w:tcW w:w="1525" w:type="dxa"/>
            <w:tcBorders>
              <w:top w:val="single" w:sz="4" w:space="0" w:color="auto"/>
              <w:bottom w:val="single" w:sz="4" w:space="0" w:color="auto"/>
            </w:tcBorders>
            <w:vAlign w:val="center"/>
          </w:tcPr>
          <w:p w14:paraId="5E0F118B" w14:textId="60E9DD47" w:rsidR="005B2CF2" w:rsidRDefault="005B2CF2" w:rsidP="005B2CF2">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150.000,00</w:t>
            </w:r>
          </w:p>
        </w:tc>
        <w:tc>
          <w:tcPr>
            <w:tcW w:w="1525" w:type="dxa"/>
            <w:tcBorders>
              <w:top w:val="single" w:sz="4" w:space="0" w:color="auto"/>
              <w:bottom w:val="single" w:sz="4" w:space="0" w:color="auto"/>
            </w:tcBorders>
            <w:noWrap/>
            <w:vAlign w:val="center"/>
          </w:tcPr>
          <w:p w14:paraId="0320E3F5" w14:textId="48B760E9" w:rsidR="005B2CF2" w:rsidRDefault="005B2CF2"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150.000,00</w:t>
            </w:r>
          </w:p>
        </w:tc>
        <w:tc>
          <w:tcPr>
            <w:tcW w:w="1067" w:type="dxa"/>
            <w:tcBorders>
              <w:top w:val="single" w:sz="4" w:space="0" w:color="auto"/>
              <w:bottom w:val="single" w:sz="4" w:space="0" w:color="auto"/>
            </w:tcBorders>
            <w:noWrap/>
            <w:vAlign w:val="center"/>
          </w:tcPr>
          <w:p w14:paraId="1FD5D50B" w14:textId="3E0D95DF" w:rsidR="005B2CF2" w:rsidRDefault="005B2CF2"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c>
          <w:tcPr>
            <w:tcW w:w="950" w:type="dxa"/>
            <w:tcBorders>
              <w:top w:val="single" w:sz="4" w:space="0" w:color="auto"/>
              <w:bottom w:val="single" w:sz="4" w:space="0" w:color="auto"/>
            </w:tcBorders>
            <w:noWrap/>
            <w:vAlign w:val="center"/>
          </w:tcPr>
          <w:p w14:paraId="695AD2D3" w14:textId="27A16EFB" w:rsidR="005B2CF2" w:rsidRDefault="005B2CF2"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100%</w:t>
            </w:r>
          </w:p>
        </w:tc>
      </w:tr>
      <w:tr w:rsidR="003256CD" w:rsidRPr="003256CD" w14:paraId="72525335" w14:textId="77777777" w:rsidTr="003256CD">
        <w:trPr>
          <w:trHeight w:val="368"/>
        </w:trPr>
        <w:tc>
          <w:tcPr>
            <w:tcW w:w="3093" w:type="dxa"/>
            <w:tcBorders>
              <w:top w:val="single" w:sz="4" w:space="0" w:color="auto"/>
              <w:bottom w:val="single" w:sz="4" w:space="0" w:color="auto"/>
            </w:tcBorders>
            <w:shd w:val="clear" w:color="auto" w:fill="FFE599" w:themeFill="accent4" w:themeFillTint="66"/>
            <w:noWrap/>
            <w:vAlign w:val="bottom"/>
          </w:tcPr>
          <w:p w14:paraId="0F5F11D6" w14:textId="69B17F39" w:rsidR="003256CD" w:rsidRPr="003256CD" w:rsidRDefault="003256CD" w:rsidP="00A66865">
            <w:pPr>
              <w:spacing w:after="0" w:line="240" w:lineRule="auto"/>
              <w:rPr>
                <w:rFonts w:ascii="Arial" w:eastAsia="Times New Roman" w:hAnsi="Arial" w:cs="Arial"/>
                <w:b/>
                <w:sz w:val="18"/>
                <w:szCs w:val="18"/>
                <w:lang w:eastAsia="hr-HR"/>
              </w:rPr>
            </w:pPr>
            <w:r w:rsidRPr="003256CD">
              <w:rPr>
                <w:rFonts w:ascii="Arial" w:eastAsia="Times New Roman" w:hAnsi="Arial" w:cs="Arial"/>
                <w:b/>
                <w:sz w:val="18"/>
                <w:szCs w:val="18"/>
                <w:lang w:eastAsia="hr-HR"/>
              </w:rPr>
              <w:t xml:space="preserve">Izvor 7. PRIHODI OD PRODAJE ILI ZAMJENE NEFINANCIJSKE IMOVINE I NAKNADE OSIGURANJA </w:t>
            </w:r>
          </w:p>
        </w:tc>
        <w:tc>
          <w:tcPr>
            <w:tcW w:w="1680" w:type="dxa"/>
            <w:tcBorders>
              <w:top w:val="single" w:sz="4" w:space="0" w:color="auto"/>
              <w:bottom w:val="single" w:sz="4" w:space="0" w:color="auto"/>
            </w:tcBorders>
            <w:shd w:val="clear" w:color="auto" w:fill="FFE599" w:themeFill="accent4" w:themeFillTint="66"/>
            <w:noWrap/>
            <w:vAlign w:val="center"/>
          </w:tcPr>
          <w:p w14:paraId="4D3C0387" w14:textId="174FB6DD" w:rsidR="003256CD" w:rsidRPr="003256CD" w:rsidRDefault="003F5F3E" w:rsidP="003E2A6B">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0,00</w:t>
            </w:r>
          </w:p>
        </w:tc>
        <w:tc>
          <w:tcPr>
            <w:tcW w:w="1508" w:type="dxa"/>
            <w:tcBorders>
              <w:top w:val="single" w:sz="4" w:space="0" w:color="auto"/>
              <w:bottom w:val="single" w:sz="4" w:space="0" w:color="auto"/>
            </w:tcBorders>
            <w:shd w:val="clear" w:color="auto" w:fill="FFE599" w:themeFill="accent4" w:themeFillTint="66"/>
            <w:vAlign w:val="center"/>
          </w:tcPr>
          <w:p w14:paraId="12602225" w14:textId="47611AEB" w:rsidR="003256CD" w:rsidRPr="003256CD" w:rsidRDefault="003F5F3E" w:rsidP="003E2A6B">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3.000,00</w:t>
            </w:r>
          </w:p>
        </w:tc>
        <w:tc>
          <w:tcPr>
            <w:tcW w:w="1525" w:type="dxa"/>
            <w:tcBorders>
              <w:top w:val="single" w:sz="4" w:space="0" w:color="auto"/>
              <w:bottom w:val="single" w:sz="4" w:space="0" w:color="auto"/>
            </w:tcBorders>
            <w:shd w:val="clear" w:color="auto" w:fill="FFE599" w:themeFill="accent4" w:themeFillTint="66"/>
            <w:vAlign w:val="center"/>
          </w:tcPr>
          <w:p w14:paraId="0D0A9F97" w14:textId="3E76B24C" w:rsidR="003256CD" w:rsidRPr="003256CD" w:rsidRDefault="003F5F3E" w:rsidP="003E2A6B">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3.000,00</w:t>
            </w:r>
          </w:p>
        </w:tc>
        <w:tc>
          <w:tcPr>
            <w:tcW w:w="1525" w:type="dxa"/>
            <w:tcBorders>
              <w:top w:val="single" w:sz="4" w:space="0" w:color="auto"/>
              <w:bottom w:val="single" w:sz="4" w:space="0" w:color="auto"/>
            </w:tcBorders>
            <w:shd w:val="clear" w:color="auto" w:fill="FFE599" w:themeFill="accent4" w:themeFillTint="66"/>
            <w:noWrap/>
            <w:vAlign w:val="center"/>
          </w:tcPr>
          <w:p w14:paraId="6B991588" w14:textId="12379A4A" w:rsidR="003256CD" w:rsidRPr="003256CD" w:rsidRDefault="003256CD" w:rsidP="003E2A6B">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0,00</w:t>
            </w:r>
          </w:p>
        </w:tc>
        <w:tc>
          <w:tcPr>
            <w:tcW w:w="1067" w:type="dxa"/>
            <w:tcBorders>
              <w:top w:val="single" w:sz="4" w:space="0" w:color="auto"/>
              <w:bottom w:val="single" w:sz="4" w:space="0" w:color="auto"/>
            </w:tcBorders>
            <w:shd w:val="clear" w:color="auto" w:fill="FFE599" w:themeFill="accent4" w:themeFillTint="66"/>
            <w:noWrap/>
            <w:vAlign w:val="center"/>
          </w:tcPr>
          <w:p w14:paraId="6ADBECA7" w14:textId="7A26C87E" w:rsidR="003256CD" w:rsidRPr="003256CD" w:rsidRDefault="003256CD" w:rsidP="003E2A6B">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w:t>
            </w:r>
          </w:p>
        </w:tc>
        <w:tc>
          <w:tcPr>
            <w:tcW w:w="950" w:type="dxa"/>
            <w:tcBorders>
              <w:top w:val="single" w:sz="4" w:space="0" w:color="auto"/>
              <w:bottom w:val="single" w:sz="4" w:space="0" w:color="auto"/>
            </w:tcBorders>
            <w:shd w:val="clear" w:color="auto" w:fill="FFE599" w:themeFill="accent4" w:themeFillTint="66"/>
            <w:noWrap/>
            <w:vAlign w:val="center"/>
          </w:tcPr>
          <w:p w14:paraId="1212B264" w14:textId="3CE69225" w:rsidR="003256CD" w:rsidRPr="003256CD" w:rsidRDefault="003256CD" w:rsidP="003E2A6B">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w:t>
            </w:r>
          </w:p>
        </w:tc>
      </w:tr>
      <w:tr w:rsidR="003256CD" w:rsidRPr="00100041" w14:paraId="6BC165FA" w14:textId="77777777" w:rsidTr="00365A82">
        <w:trPr>
          <w:trHeight w:val="368"/>
        </w:trPr>
        <w:tc>
          <w:tcPr>
            <w:tcW w:w="3093" w:type="dxa"/>
            <w:tcBorders>
              <w:top w:val="single" w:sz="4" w:space="0" w:color="auto"/>
              <w:bottom w:val="single" w:sz="4" w:space="0" w:color="auto"/>
            </w:tcBorders>
            <w:noWrap/>
            <w:vAlign w:val="bottom"/>
          </w:tcPr>
          <w:p w14:paraId="555ACD8D" w14:textId="54768C2C" w:rsidR="003256CD" w:rsidRDefault="003256CD" w:rsidP="00A66865">
            <w:pPr>
              <w:spacing w:after="0" w:line="240" w:lineRule="auto"/>
              <w:rPr>
                <w:rFonts w:ascii="Arial" w:eastAsia="Times New Roman" w:hAnsi="Arial" w:cs="Arial"/>
                <w:bCs/>
                <w:sz w:val="18"/>
                <w:szCs w:val="18"/>
                <w:lang w:eastAsia="hr-HR"/>
              </w:rPr>
            </w:pPr>
            <w:r>
              <w:rPr>
                <w:rFonts w:ascii="Arial" w:eastAsia="Times New Roman" w:hAnsi="Arial" w:cs="Arial"/>
                <w:bCs/>
                <w:sz w:val="18"/>
                <w:szCs w:val="18"/>
                <w:lang w:eastAsia="hr-HR"/>
              </w:rPr>
              <w:t xml:space="preserve">Izvor 7.1. Prihodi od prodaje nefinancijske imovine i naknade osiguranja </w:t>
            </w:r>
          </w:p>
        </w:tc>
        <w:tc>
          <w:tcPr>
            <w:tcW w:w="1680" w:type="dxa"/>
            <w:tcBorders>
              <w:top w:val="single" w:sz="4" w:space="0" w:color="auto"/>
              <w:bottom w:val="single" w:sz="4" w:space="0" w:color="auto"/>
            </w:tcBorders>
            <w:noWrap/>
            <w:vAlign w:val="center"/>
          </w:tcPr>
          <w:p w14:paraId="178C79C2" w14:textId="1A8D14D0" w:rsidR="003256CD"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08" w:type="dxa"/>
            <w:tcBorders>
              <w:top w:val="single" w:sz="4" w:space="0" w:color="auto"/>
              <w:bottom w:val="single" w:sz="4" w:space="0" w:color="auto"/>
            </w:tcBorders>
            <w:vAlign w:val="center"/>
          </w:tcPr>
          <w:p w14:paraId="0327D1A9" w14:textId="78C5FD8F" w:rsidR="003256CD"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3.000,00</w:t>
            </w:r>
          </w:p>
        </w:tc>
        <w:tc>
          <w:tcPr>
            <w:tcW w:w="1525" w:type="dxa"/>
            <w:tcBorders>
              <w:top w:val="single" w:sz="4" w:space="0" w:color="auto"/>
              <w:bottom w:val="single" w:sz="4" w:space="0" w:color="auto"/>
            </w:tcBorders>
            <w:vAlign w:val="center"/>
          </w:tcPr>
          <w:p w14:paraId="29A2ED21" w14:textId="0E860937" w:rsidR="003256CD" w:rsidRDefault="003F5F3E"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3.000,00</w:t>
            </w:r>
          </w:p>
        </w:tc>
        <w:tc>
          <w:tcPr>
            <w:tcW w:w="1525" w:type="dxa"/>
            <w:tcBorders>
              <w:top w:val="single" w:sz="4" w:space="0" w:color="auto"/>
              <w:bottom w:val="single" w:sz="4" w:space="0" w:color="auto"/>
            </w:tcBorders>
            <w:noWrap/>
            <w:vAlign w:val="center"/>
          </w:tcPr>
          <w:p w14:paraId="6A6FCF53" w14:textId="4F6E2377" w:rsidR="003256CD" w:rsidRDefault="003256CD"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067" w:type="dxa"/>
            <w:tcBorders>
              <w:top w:val="single" w:sz="4" w:space="0" w:color="auto"/>
              <w:bottom w:val="single" w:sz="4" w:space="0" w:color="auto"/>
            </w:tcBorders>
            <w:noWrap/>
            <w:vAlign w:val="center"/>
          </w:tcPr>
          <w:p w14:paraId="5E7186CE" w14:textId="4F5363E5" w:rsidR="003256CD" w:rsidRDefault="003256CD"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c>
          <w:tcPr>
            <w:tcW w:w="950" w:type="dxa"/>
            <w:tcBorders>
              <w:top w:val="single" w:sz="4" w:space="0" w:color="auto"/>
              <w:bottom w:val="single" w:sz="4" w:space="0" w:color="auto"/>
            </w:tcBorders>
            <w:noWrap/>
            <w:vAlign w:val="center"/>
          </w:tcPr>
          <w:p w14:paraId="444D7D01" w14:textId="4D2C35F6" w:rsidR="003256CD" w:rsidRDefault="003256CD"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r>
      <w:tr w:rsidR="003256CD" w:rsidRPr="003256CD" w14:paraId="710ABC56" w14:textId="77777777" w:rsidTr="003256CD">
        <w:trPr>
          <w:trHeight w:val="368"/>
        </w:trPr>
        <w:tc>
          <w:tcPr>
            <w:tcW w:w="3093" w:type="dxa"/>
            <w:tcBorders>
              <w:top w:val="single" w:sz="4" w:space="0" w:color="auto"/>
              <w:bottom w:val="single" w:sz="4" w:space="0" w:color="auto"/>
            </w:tcBorders>
            <w:shd w:val="clear" w:color="auto" w:fill="FFE599" w:themeFill="accent4" w:themeFillTint="66"/>
            <w:noWrap/>
            <w:vAlign w:val="bottom"/>
          </w:tcPr>
          <w:p w14:paraId="74553892" w14:textId="7D9AFFE5" w:rsidR="003256CD" w:rsidRPr="003256CD" w:rsidRDefault="003256CD" w:rsidP="00A66865">
            <w:pPr>
              <w:spacing w:after="0" w:line="240" w:lineRule="auto"/>
              <w:rPr>
                <w:rFonts w:ascii="Arial" w:eastAsia="Times New Roman" w:hAnsi="Arial" w:cs="Arial"/>
                <w:b/>
                <w:sz w:val="18"/>
                <w:szCs w:val="18"/>
                <w:lang w:eastAsia="hr-HR"/>
              </w:rPr>
            </w:pPr>
            <w:r w:rsidRPr="003256CD">
              <w:rPr>
                <w:rFonts w:ascii="Arial" w:eastAsia="Times New Roman" w:hAnsi="Arial" w:cs="Arial"/>
                <w:b/>
                <w:sz w:val="18"/>
                <w:szCs w:val="18"/>
                <w:lang w:eastAsia="hr-HR"/>
              </w:rPr>
              <w:t>Izvor 9.REZULTAT</w:t>
            </w:r>
          </w:p>
        </w:tc>
        <w:tc>
          <w:tcPr>
            <w:tcW w:w="1680" w:type="dxa"/>
            <w:tcBorders>
              <w:top w:val="single" w:sz="4" w:space="0" w:color="auto"/>
              <w:bottom w:val="single" w:sz="4" w:space="0" w:color="auto"/>
            </w:tcBorders>
            <w:shd w:val="clear" w:color="auto" w:fill="FFE599" w:themeFill="accent4" w:themeFillTint="66"/>
            <w:noWrap/>
            <w:vAlign w:val="center"/>
          </w:tcPr>
          <w:p w14:paraId="04683666" w14:textId="6A341074" w:rsidR="003256CD" w:rsidRPr="003256CD" w:rsidRDefault="008F7033" w:rsidP="003E2A6B">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2.096.043,94</w:t>
            </w:r>
          </w:p>
        </w:tc>
        <w:tc>
          <w:tcPr>
            <w:tcW w:w="1508" w:type="dxa"/>
            <w:tcBorders>
              <w:top w:val="single" w:sz="4" w:space="0" w:color="auto"/>
              <w:bottom w:val="single" w:sz="4" w:space="0" w:color="auto"/>
            </w:tcBorders>
            <w:shd w:val="clear" w:color="auto" w:fill="FFE599" w:themeFill="accent4" w:themeFillTint="66"/>
            <w:vAlign w:val="center"/>
          </w:tcPr>
          <w:p w14:paraId="2CFB9630" w14:textId="63B5DB8C" w:rsidR="003256CD" w:rsidRPr="003256CD" w:rsidRDefault="00FE0B90" w:rsidP="003E2A6B">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0,00</w:t>
            </w:r>
          </w:p>
        </w:tc>
        <w:tc>
          <w:tcPr>
            <w:tcW w:w="1525" w:type="dxa"/>
            <w:tcBorders>
              <w:top w:val="single" w:sz="4" w:space="0" w:color="auto"/>
              <w:bottom w:val="single" w:sz="4" w:space="0" w:color="auto"/>
            </w:tcBorders>
            <w:shd w:val="clear" w:color="auto" w:fill="FFE599" w:themeFill="accent4" w:themeFillTint="66"/>
            <w:vAlign w:val="center"/>
          </w:tcPr>
          <w:p w14:paraId="4ABD6C94" w14:textId="55975101" w:rsidR="003256CD" w:rsidRPr="003256CD" w:rsidRDefault="00FE0B90" w:rsidP="003E2A6B">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0,00</w:t>
            </w:r>
          </w:p>
        </w:tc>
        <w:tc>
          <w:tcPr>
            <w:tcW w:w="1525" w:type="dxa"/>
            <w:tcBorders>
              <w:top w:val="single" w:sz="4" w:space="0" w:color="auto"/>
              <w:bottom w:val="single" w:sz="4" w:space="0" w:color="auto"/>
            </w:tcBorders>
            <w:shd w:val="clear" w:color="auto" w:fill="FFE599" w:themeFill="accent4" w:themeFillTint="66"/>
            <w:noWrap/>
            <w:vAlign w:val="center"/>
          </w:tcPr>
          <w:p w14:paraId="5FFB4BFF" w14:textId="77648890" w:rsidR="003256CD" w:rsidRPr="003256CD" w:rsidRDefault="00FE0B90" w:rsidP="003E2A6B">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0,00</w:t>
            </w:r>
          </w:p>
        </w:tc>
        <w:tc>
          <w:tcPr>
            <w:tcW w:w="1067" w:type="dxa"/>
            <w:tcBorders>
              <w:top w:val="single" w:sz="4" w:space="0" w:color="auto"/>
              <w:bottom w:val="single" w:sz="4" w:space="0" w:color="auto"/>
            </w:tcBorders>
            <w:shd w:val="clear" w:color="auto" w:fill="FFE599" w:themeFill="accent4" w:themeFillTint="66"/>
            <w:noWrap/>
            <w:vAlign w:val="center"/>
          </w:tcPr>
          <w:p w14:paraId="469F547F" w14:textId="627267DA" w:rsidR="003256CD" w:rsidRPr="003256CD" w:rsidRDefault="003256CD" w:rsidP="003E2A6B">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w:t>
            </w:r>
          </w:p>
        </w:tc>
        <w:tc>
          <w:tcPr>
            <w:tcW w:w="950" w:type="dxa"/>
            <w:tcBorders>
              <w:top w:val="single" w:sz="4" w:space="0" w:color="auto"/>
              <w:bottom w:val="single" w:sz="4" w:space="0" w:color="auto"/>
            </w:tcBorders>
            <w:shd w:val="clear" w:color="auto" w:fill="FFE599" w:themeFill="accent4" w:themeFillTint="66"/>
            <w:noWrap/>
            <w:vAlign w:val="center"/>
          </w:tcPr>
          <w:p w14:paraId="69796453" w14:textId="4CFD771C" w:rsidR="003256CD" w:rsidRPr="003256CD" w:rsidRDefault="00FE0B90" w:rsidP="003E2A6B">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w:t>
            </w:r>
          </w:p>
        </w:tc>
      </w:tr>
      <w:tr w:rsidR="003256CD" w:rsidRPr="00100041" w14:paraId="457C8E5A" w14:textId="77777777" w:rsidTr="00365A82">
        <w:trPr>
          <w:trHeight w:val="368"/>
        </w:trPr>
        <w:tc>
          <w:tcPr>
            <w:tcW w:w="3093" w:type="dxa"/>
            <w:tcBorders>
              <w:top w:val="single" w:sz="4" w:space="0" w:color="auto"/>
              <w:bottom w:val="single" w:sz="4" w:space="0" w:color="auto"/>
            </w:tcBorders>
            <w:noWrap/>
            <w:vAlign w:val="bottom"/>
          </w:tcPr>
          <w:p w14:paraId="452C563A" w14:textId="30541B7E" w:rsidR="003256CD" w:rsidRDefault="003256CD" w:rsidP="00A66865">
            <w:pPr>
              <w:spacing w:after="0" w:line="240" w:lineRule="auto"/>
              <w:rPr>
                <w:rFonts w:ascii="Arial" w:eastAsia="Times New Roman" w:hAnsi="Arial" w:cs="Arial"/>
                <w:bCs/>
                <w:sz w:val="18"/>
                <w:szCs w:val="18"/>
                <w:lang w:eastAsia="hr-HR"/>
              </w:rPr>
            </w:pPr>
            <w:r>
              <w:rPr>
                <w:rFonts w:ascii="Arial" w:eastAsia="Times New Roman" w:hAnsi="Arial" w:cs="Arial"/>
                <w:bCs/>
                <w:sz w:val="18"/>
                <w:szCs w:val="18"/>
                <w:lang w:eastAsia="hr-HR"/>
              </w:rPr>
              <w:t>Izvor 9.1. VIŠAK PRENESENI</w:t>
            </w:r>
          </w:p>
        </w:tc>
        <w:tc>
          <w:tcPr>
            <w:tcW w:w="1680" w:type="dxa"/>
            <w:tcBorders>
              <w:top w:val="single" w:sz="4" w:space="0" w:color="auto"/>
              <w:bottom w:val="single" w:sz="4" w:space="0" w:color="auto"/>
            </w:tcBorders>
            <w:noWrap/>
            <w:vAlign w:val="center"/>
          </w:tcPr>
          <w:p w14:paraId="50F4BFD8" w14:textId="60B9D01C" w:rsidR="003256CD" w:rsidRDefault="008F7033"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2.096.043,94</w:t>
            </w:r>
          </w:p>
        </w:tc>
        <w:tc>
          <w:tcPr>
            <w:tcW w:w="1508" w:type="dxa"/>
            <w:tcBorders>
              <w:top w:val="single" w:sz="4" w:space="0" w:color="auto"/>
              <w:bottom w:val="single" w:sz="4" w:space="0" w:color="auto"/>
            </w:tcBorders>
            <w:vAlign w:val="center"/>
          </w:tcPr>
          <w:p w14:paraId="587093F7" w14:textId="16F79236" w:rsidR="003256CD" w:rsidRDefault="00FE0B90"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25" w:type="dxa"/>
            <w:tcBorders>
              <w:top w:val="single" w:sz="4" w:space="0" w:color="auto"/>
              <w:bottom w:val="single" w:sz="4" w:space="0" w:color="auto"/>
            </w:tcBorders>
            <w:vAlign w:val="center"/>
          </w:tcPr>
          <w:p w14:paraId="71E9440B" w14:textId="783AF836" w:rsidR="003256CD" w:rsidRDefault="00FE0B90"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25" w:type="dxa"/>
            <w:tcBorders>
              <w:top w:val="single" w:sz="4" w:space="0" w:color="auto"/>
              <w:bottom w:val="single" w:sz="4" w:space="0" w:color="auto"/>
            </w:tcBorders>
            <w:noWrap/>
            <w:vAlign w:val="center"/>
          </w:tcPr>
          <w:p w14:paraId="1CE4479E" w14:textId="4B5E4722" w:rsidR="003256CD" w:rsidRDefault="00FE0B90"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067" w:type="dxa"/>
            <w:tcBorders>
              <w:top w:val="single" w:sz="4" w:space="0" w:color="auto"/>
              <w:bottom w:val="single" w:sz="4" w:space="0" w:color="auto"/>
            </w:tcBorders>
            <w:noWrap/>
            <w:vAlign w:val="center"/>
          </w:tcPr>
          <w:p w14:paraId="7C9C4858" w14:textId="09F160FA" w:rsidR="003256CD" w:rsidRDefault="003256CD"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c>
          <w:tcPr>
            <w:tcW w:w="950" w:type="dxa"/>
            <w:tcBorders>
              <w:top w:val="single" w:sz="4" w:space="0" w:color="auto"/>
              <w:bottom w:val="single" w:sz="4" w:space="0" w:color="auto"/>
            </w:tcBorders>
            <w:noWrap/>
            <w:vAlign w:val="center"/>
          </w:tcPr>
          <w:p w14:paraId="129050E8" w14:textId="32CF4570" w:rsidR="003256CD" w:rsidRDefault="00FE0B90" w:rsidP="003E2A6B">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r>
    </w:tbl>
    <w:p w14:paraId="369AF6C3" w14:textId="77777777" w:rsidR="00A66865" w:rsidRDefault="00A66865" w:rsidP="008D63AC">
      <w:pPr>
        <w:rPr>
          <w:rFonts w:ascii="Times New Roman" w:hAnsi="Times New Roman" w:cs="Times New Roman"/>
          <w:b/>
          <w:sz w:val="24"/>
          <w:szCs w:val="24"/>
        </w:rPr>
      </w:pPr>
    </w:p>
    <w:p w14:paraId="71F97000" w14:textId="77777777" w:rsidR="002358F9" w:rsidRPr="0098702D" w:rsidRDefault="002358F9" w:rsidP="008D63AC">
      <w:pPr>
        <w:rPr>
          <w:rFonts w:cstheme="minorHAnsi"/>
          <w:b/>
          <w:sz w:val="28"/>
          <w:szCs w:val="28"/>
        </w:rPr>
      </w:pPr>
      <w:r w:rsidRPr="0098702D">
        <w:rPr>
          <w:rFonts w:cstheme="minorHAnsi"/>
          <w:b/>
          <w:sz w:val="28"/>
          <w:szCs w:val="28"/>
        </w:rPr>
        <w:t>3. RASHODI P</w:t>
      </w:r>
      <w:r w:rsidR="0056544D" w:rsidRPr="0098702D">
        <w:rPr>
          <w:rFonts w:cstheme="minorHAnsi"/>
          <w:b/>
          <w:sz w:val="28"/>
          <w:szCs w:val="28"/>
        </w:rPr>
        <w:t xml:space="preserve">REMA FUNKCIJSKOJ KLASIFIKACIJI </w:t>
      </w:r>
    </w:p>
    <w:tbl>
      <w:tblPr>
        <w:tblW w:w="1134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1439"/>
        <w:gridCol w:w="1455"/>
        <w:gridCol w:w="1368"/>
        <w:gridCol w:w="1368"/>
        <w:gridCol w:w="1096"/>
        <w:gridCol w:w="927"/>
      </w:tblGrid>
      <w:tr w:rsidR="00F915B8" w:rsidRPr="002358F9" w14:paraId="070B0C06" w14:textId="77777777" w:rsidTr="005E3779">
        <w:trPr>
          <w:trHeight w:val="438"/>
        </w:trPr>
        <w:tc>
          <w:tcPr>
            <w:tcW w:w="3687" w:type="dxa"/>
            <w:shd w:val="clear" w:color="000000" w:fill="969696"/>
            <w:noWrap/>
            <w:vAlign w:val="bottom"/>
            <w:hideMark/>
          </w:tcPr>
          <w:p w14:paraId="094AB60D" w14:textId="77777777" w:rsidR="00F915B8" w:rsidRPr="002358F9" w:rsidRDefault="00F915B8" w:rsidP="002358F9">
            <w:pPr>
              <w:spacing w:after="0" w:line="240" w:lineRule="auto"/>
              <w:jc w:val="center"/>
              <w:rPr>
                <w:rFonts w:ascii="Arial" w:eastAsia="Times New Roman" w:hAnsi="Arial" w:cs="Arial"/>
                <w:b/>
                <w:bCs/>
                <w:sz w:val="18"/>
                <w:szCs w:val="18"/>
                <w:lang w:eastAsia="hr-HR"/>
              </w:rPr>
            </w:pPr>
            <w:r w:rsidRPr="002358F9">
              <w:rPr>
                <w:rFonts w:ascii="Arial" w:eastAsia="Times New Roman" w:hAnsi="Arial" w:cs="Arial"/>
                <w:b/>
                <w:bCs/>
                <w:sz w:val="18"/>
                <w:szCs w:val="18"/>
                <w:lang w:eastAsia="hr-HR"/>
              </w:rPr>
              <w:t> </w:t>
            </w:r>
          </w:p>
        </w:tc>
        <w:tc>
          <w:tcPr>
            <w:tcW w:w="1439" w:type="dxa"/>
            <w:shd w:val="clear" w:color="000000" w:fill="969696"/>
            <w:vAlign w:val="bottom"/>
            <w:hideMark/>
          </w:tcPr>
          <w:p w14:paraId="1236C28E" w14:textId="42678DAC" w:rsidR="00F915B8" w:rsidRPr="002358F9" w:rsidRDefault="00F915B8" w:rsidP="002358F9">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Izvršenje 202</w:t>
            </w:r>
            <w:r w:rsidR="000869BA">
              <w:rPr>
                <w:rFonts w:ascii="Arial" w:eastAsia="Times New Roman" w:hAnsi="Arial" w:cs="Arial"/>
                <w:b/>
                <w:bCs/>
                <w:sz w:val="18"/>
                <w:szCs w:val="18"/>
                <w:lang w:eastAsia="hr-HR"/>
              </w:rPr>
              <w:t>4</w:t>
            </w:r>
            <w:r>
              <w:rPr>
                <w:rFonts w:ascii="Arial" w:eastAsia="Times New Roman" w:hAnsi="Arial" w:cs="Arial"/>
                <w:b/>
                <w:bCs/>
                <w:sz w:val="18"/>
                <w:szCs w:val="18"/>
                <w:lang w:eastAsia="hr-HR"/>
              </w:rPr>
              <w:t xml:space="preserve">. </w:t>
            </w:r>
          </w:p>
        </w:tc>
        <w:tc>
          <w:tcPr>
            <w:tcW w:w="1458" w:type="dxa"/>
            <w:shd w:val="clear" w:color="000000" w:fill="969696"/>
            <w:vAlign w:val="bottom"/>
          </w:tcPr>
          <w:p w14:paraId="59D26D0B" w14:textId="0902E0FA" w:rsidR="00F915B8" w:rsidRDefault="00F915B8" w:rsidP="002358F9">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Izvorni plan/rebalans 202</w:t>
            </w:r>
            <w:r w:rsidR="000869BA">
              <w:rPr>
                <w:rFonts w:ascii="Arial" w:eastAsia="Times New Roman" w:hAnsi="Arial" w:cs="Arial"/>
                <w:b/>
                <w:bCs/>
                <w:sz w:val="18"/>
                <w:szCs w:val="18"/>
                <w:lang w:eastAsia="hr-HR"/>
              </w:rPr>
              <w:t>5</w:t>
            </w:r>
            <w:r>
              <w:rPr>
                <w:rFonts w:ascii="Arial" w:eastAsia="Times New Roman" w:hAnsi="Arial" w:cs="Arial"/>
                <w:b/>
                <w:bCs/>
                <w:sz w:val="18"/>
                <w:szCs w:val="18"/>
                <w:lang w:eastAsia="hr-HR"/>
              </w:rPr>
              <w:t xml:space="preserve">. </w:t>
            </w:r>
          </w:p>
        </w:tc>
        <w:tc>
          <w:tcPr>
            <w:tcW w:w="1368" w:type="dxa"/>
            <w:shd w:val="clear" w:color="000000" w:fill="969696"/>
            <w:vAlign w:val="bottom"/>
          </w:tcPr>
          <w:p w14:paraId="1DF37ED4" w14:textId="53225669" w:rsidR="00F915B8" w:rsidRDefault="00F915B8" w:rsidP="002358F9">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Tekući plan 202</w:t>
            </w:r>
            <w:r w:rsidR="000869BA">
              <w:rPr>
                <w:rFonts w:ascii="Arial" w:eastAsia="Times New Roman" w:hAnsi="Arial" w:cs="Arial"/>
                <w:b/>
                <w:bCs/>
                <w:sz w:val="18"/>
                <w:szCs w:val="18"/>
                <w:lang w:eastAsia="hr-HR"/>
              </w:rPr>
              <w:t>5</w:t>
            </w:r>
            <w:r>
              <w:rPr>
                <w:rFonts w:ascii="Arial" w:eastAsia="Times New Roman" w:hAnsi="Arial" w:cs="Arial"/>
                <w:b/>
                <w:bCs/>
                <w:sz w:val="18"/>
                <w:szCs w:val="18"/>
                <w:lang w:eastAsia="hr-HR"/>
              </w:rPr>
              <w:t xml:space="preserve">. </w:t>
            </w:r>
          </w:p>
        </w:tc>
        <w:tc>
          <w:tcPr>
            <w:tcW w:w="1368" w:type="dxa"/>
            <w:shd w:val="clear" w:color="000000" w:fill="969696"/>
            <w:vAlign w:val="bottom"/>
            <w:hideMark/>
          </w:tcPr>
          <w:p w14:paraId="78AE2652" w14:textId="47FEE49E" w:rsidR="00F915B8" w:rsidRPr="002358F9" w:rsidRDefault="00F915B8" w:rsidP="002358F9">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Izvršenje 202</w:t>
            </w:r>
            <w:r w:rsidR="000869BA">
              <w:rPr>
                <w:rFonts w:ascii="Arial" w:eastAsia="Times New Roman" w:hAnsi="Arial" w:cs="Arial"/>
                <w:b/>
                <w:bCs/>
                <w:sz w:val="18"/>
                <w:szCs w:val="18"/>
                <w:lang w:eastAsia="hr-HR"/>
              </w:rPr>
              <w:t>5</w:t>
            </w:r>
            <w:r>
              <w:rPr>
                <w:rFonts w:ascii="Arial" w:eastAsia="Times New Roman" w:hAnsi="Arial" w:cs="Arial"/>
                <w:b/>
                <w:bCs/>
                <w:sz w:val="18"/>
                <w:szCs w:val="18"/>
                <w:lang w:eastAsia="hr-HR"/>
              </w:rPr>
              <w:t xml:space="preserve">. </w:t>
            </w:r>
          </w:p>
        </w:tc>
        <w:tc>
          <w:tcPr>
            <w:tcW w:w="1096" w:type="dxa"/>
            <w:shd w:val="clear" w:color="000000" w:fill="969696"/>
            <w:vAlign w:val="bottom"/>
            <w:hideMark/>
          </w:tcPr>
          <w:p w14:paraId="4C010423" w14:textId="3B3BE742" w:rsidR="00F915B8" w:rsidRPr="002358F9" w:rsidRDefault="00F915B8" w:rsidP="002358F9">
            <w:pPr>
              <w:spacing w:after="0" w:line="240" w:lineRule="auto"/>
              <w:jc w:val="center"/>
              <w:rPr>
                <w:rFonts w:ascii="Arial" w:eastAsia="Times New Roman" w:hAnsi="Arial" w:cs="Arial"/>
                <w:b/>
                <w:bCs/>
                <w:sz w:val="18"/>
                <w:szCs w:val="18"/>
                <w:lang w:eastAsia="hr-HR"/>
              </w:rPr>
            </w:pPr>
            <w:r w:rsidRPr="002358F9">
              <w:rPr>
                <w:rFonts w:ascii="Arial" w:eastAsia="Times New Roman" w:hAnsi="Arial" w:cs="Arial"/>
                <w:b/>
                <w:bCs/>
                <w:sz w:val="18"/>
                <w:szCs w:val="18"/>
                <w:lang w:eastAsia="hr-HR"/>
              </w:rPr>
              <w:t xml:space="preserve">Indeks </w:t>
            </w:r>
            <w:r>
              <w:rPr>
                <w:rFonts w:ascii="Arial" w:eastAsia="Times New Roman" w:hAnsi="Arial" w:cs="Arial"/>
                <w:b/>
                <w:bCs/>
                <w:sz w:val="18"/>
                <w:szCs w:val="18"/>
                <w:lang w:eastAsia="hr-HR"/>
              </w:rPr>
              <w:t>(4</w:t>
            </w:r>
            <w:r w:rsidRPr="002358F9">
              <w:rPr>
                <w:rFonts w:ascii="Arial" w:eastAsia="Times New Roman" w:hAnsi="Arial" w:cs="Arial"/>
                <w:b/>
                <w:bCs/>
                <w:sz w:val="18"/>
                <w:szCs w:val="18"/>
                <w:lang w:eastAsia="hr-HR"/>
              </w:rPr>
              <w:t>/1</w:t>
            </w:r>
            <w:r>
              <w:rPr>
                <w:rFonts w:ascii="Arial" w:eastAsia="Times New Roman" w:hAnsi="Arial" w:cs="Arial"/>
                <w:b/>
                <w:bCs/>
                <w:sz w:val="18"/>
                <w:szCs w:val="18"/>
                <w:lang w:eastAsia="hr-HR"/>
              </w:rPr>
              <w:t>)</w:t>
            </w:r>
          </w:p>
        </w:tc>
        <w:tc>
          <w:tcPr>
            <w:tcW w:w="924" w:type="dxa"/>
            <w:shd w:val="clear" w:color="000000" w:fill="969696"/>
            <w:vAlign w:val="bottom"/>
            <w:hideMark/>
          </w:tcPr>
          <w:p w14:paraId="5E087F5D" w14:textId="3681A8C9" w:rsidR="00F915B8" w:rsidRPr="002358F9" w:rsidRDefault="00F915B8" w:rsidP="00EF028B">
            <w:pPr>
              <w:spacing w:after="0" w:line="240" w:lineRule="auto"/>
              <w:jc w:val="center"/>
              <w:rPr>
                <w:rFonts w:ascii="Arial" w:eastAsia="Times New Roman" w:hAnsi="Arial" w:cs="Arial"/>
                <w:b/>
                <w:bCs/>
                <w:sz w:val="18"/>
                <w:szCs w:val="18"/>
                <w:lang w:eastAsia="hr-HR"/>
              </w:rPr>
            </w:pPr>
            <w:r w:rsidRPr="002358F9">
              <w:rPr>
                <w:rFonts w:ascii="Arial" w:eastAsia="Times New Roman" w:hAnsi="Arial" w:cs="Arial"/>
                <w:b/>
                <w:bCs/>
                <w:sz w:val="18"/>
                <w:szCs w:val="18"/>
                <w:lang w:eastAsia="hr-HR"/>
              </w:rPr>
              <w:t xml:space="preserve">Indeks </w:t>
            </w:r>
            <w:r>
              <w:rPr>
                <w:rFonts w:ascii="Arial" w:eastAsia="Times New Roman" w:hAnsi="Arial" w:cs="Arial"/>
                <w:b/>
                <w:bCs/>
                <w:sz w:val="18"/>
                <w:szCs w:val="18"/>
                <w:lang w:eastAsia="hr-HR"/>
              </w:rPr>
              <w:t>(4/</w:t>
            </w:r>
            <w:r w:rsidR="004C71E1">
              <w:rPr>
                <w:rFonts w:ascii="Arial" w:eastAsia="Times New Roman" w:hAnsi="Arial" w:cs="Arial"/>
                <w:b/>
                <w:bCs/>
                <w:sz w:val="18"/>
                <w:szCs w:val="18"/>
                <w:lang w:eastAsia="hr-HR"/>
              </w:rPr>
              <w:t>3</w:t>
            </w:r>
            <w:r>
              <w:rPr>
                <w:rFonts w:ascii="Arial" w:eastAsia="Times New Roman" w:hAnsi="Arial" w:cs="Arial"/>
                <w:b/>
                <w:bCs/>
                <w:sz w:val="18"/>
                <w:szCs w:val="18"/>
                <w:lang w:eastAsia="hr-HR"/>
              </w:rPr>
              <w:t>)</w:t>
            </w:r>
          </w:p>
        </w:tc>
      </w:tr>
      <w:tr w:rsidR="00F915B8" w:rsidRPr="002358F9" w14:paraId="740FE818" w14:textId="77777777" w:rsidTr="005E3779">
        <w:trPr>
          <w:trHeight w:val="231"/>
        </w:trPr>
        <w:tc>
          <w:tcPr>
            <w:tcW w:w="3687" w:type="dxa"/>
            <w:shd w:val="clear" w:color="000000" w:fill="969696"/>
            <w:noWrap/>
            <w:vAlign w:val="bottom"/>
            <w:hideMark/>
          </w:tcPr>
          <w:p w14:paraId="4DD8F19C" w14:textId="77777777" w:rsidR="00F915B8" w:rsidRPr="002358F9" w:rsidRDefault="00F915B8" w:rsidP="002358F9">
            <w:pPr>
              <w:spacing w:after="0" w:line="240" w:lineRule="auto"/>
              <w:jc w:val="center"/>
              <w:rPr>
                <w:rFonts w:ascii="Arial" w:eastAsia="Times New Roman" w:hAnsi="Arial" w:cs="Arial"/>
                <w:b/>
                <w:bCs/>
                <w:sz w:val="18"/>
                <w:szCs w:val="18"/>
                <w:lang w:eastAsia="hr-HR"/>
              </w:rPr>
            </w:pPr>
            <w:r w:rsidRPr="002358F9">
              <w:rPr>
                <w:rFonts w:ascii="Arial" w:eastAsia="Times New Roman" w:hAnsi="Arial" w:cs="Arial"/>
                <w:b/>
                <w:bCs/>
                <w:sz w:val="18"/>
                <w:szCs w:val="18"/>
                <w:lang w:eastAsia="hr-HR"/>
              </w:rPr>
              <w:t> </w:t>
            </w:r>
          </w:p>
        </w:tc>
        <w:tc>
          <w:tcPr>
            <w:tcW w:w="1439" w:type="dxa"/>
            <w:shd w:val="clear" w:color="000000" w:fill="969696"/>
            <w:noWrap/>
            <w:vAlign w:val="bottom"/>
            <w:hideMark/>
          </w:tcPr>
          <w:p w14:paraId="16B9C6B1" w14:textId="77777777" w:rsidR="00F915B8" w:rsidRPr="002358F9" w:rsidRDefault="00F915B8" w:rsidP="002358F9">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w:t>
            </w:r>
          </w:p>
        </w:tc>
        <w:tc>
          <w:tcPr>
            <w:tcW w:w="1458" w:type="dxa"/>
            <w:shd w:val="clear" w:color="000000" w:fill="969696"/>
            <w:vAlign w:val="bottom"/>
          </w:tcPr>
          <w:p w14:paraId="70081FAF" w14:textId="77777777" w:rsidR="00F915B8" w:rsidRPr="002358F9" w:rsidRDefault="00F915B8" w:rsidP="002358F9">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w:t>
            </w:r>
          </w:p>
        </w:tc>
        <w:tc>
          <w:tcPr>
            <w:tcW w:w="1368" w:type="dxa"/>
            <w:shd w:val="clear" w:color="000000" w:fill="969696"/>
            <w:vAlign w:val="bottom"/>
          </w:tcPr>
          <w:p w14:paraId="5F1FEFE0" w14:textId="3A5AB4B7" w:rsidR="00F915B8" w:rsidRDefault="00F915B8" w:rsidP="002358F9">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(3)</w:t>
            </w:r>
          </w:p>
        </w:tc>
        <w:tc>
          <w:tcPr>
            <w:tcW w:w="1368" w:type="dxa"/>
            <w:shd w:val="clear" w:color="000000" w:fill="969696"/>
            <w:noWrap/>
            <w:vAlign w:val="bottom"/>
            <w:hideMark/>
          </w:tcPr>
          <w:p w14:paraId="02B45CF0" w14:textId="050396F1" w:rsidR="00F915B8" w:rsidRPr="002358F9" w:rsidRDefault="00F915B8" w:rsidP="002358F9">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(4)</w:t>
            </w:r>
          </w:p>
        </w:tc>
        <w:tc>
          <w:tcPr>
            <w:tcW w:w="1096" w:type="dxa"/>
            <w:shd w:val="clear" w:color="000000" w:fill="969696"/>
            <w:noWrap/>
            <w:vAlign w:val="bottom"/>
            <w:hideMark/>
          </w:tcPr>
          <w:p w14:paraId="5C5E0714" w14:textId="5C18B27B" w:rsidR="00F915B8" w:rsidRPr="002358F9" w:rsidRDefault="00F915B8" w:rsidP="002358F9">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(5)</w:t>
            </w:r>
          </w:p>
        </w:tc>
        <w:tc>
          <w:tcPr>
            <w:tcW w:w="924" w:type="dxa"/>
            <w:shd w:val="clear" w:color="000000" w:fill="969696"/>
            <w:noWrap/>
            <w:vAlign w:val="bottom"/>
            <w:hideMark/>
          </w:tcPr>
          <w:p w14:paraId="1E426456" w14:textId="77E117F6" w:rsidR="00F915B8" w:rsidRPr="002358F9" w:rsidRDefault="00F915B8" w:rsidP="002358F9">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(6)</w:t>
            </w:r>
          </w:p>
        </w:tc>
      </w:tr>
      <w:tr w:rsidR="00F915B8" w:rsidRPr="002358F9" w14:paraId="21EED519" w14:textId="77777777" w:rsidTr="005E3779">
        <w:trPr>
          <w:trHeight w:val="440"/>
        </w:trPr>
        <w:tc>
          <w:tcPr>
            <w:tcW w:w="3687" w:type="dxa"/>
            <w:shd w:val="clear" w:color="auto" w:fill="FFE599" w:themeFill="accent4" w:themeFillTint="66"/>
            <w:noWrap/>
            <w:vAlign w:val="bottom"/>
            <w:hideMark/>
          </w:tcPr>
          <w:p w14:paraId="2147CB0B" w14:textId="77777777" w:rsidR="00F915B8" w:rsidRPr="002358F9" w:rsidRDefault="00F915B8" w:rsidP="002358F9">
            <w:pPr>
              <w:spacing w:after="0" w:line="240" w:lineRule="auto"/>
              <w:rPr>
                <w:rFonts w:ascii="Arial" w:eastAsia="Times New Roman" w:hAnsi="Arial" w:cs="Arial"/>
                <w:b/>
                <w:bCs/>
                <w:sz w:val="18"/>
                <w:szCs w:val="18"/>
                <w:lang w:eastAsia="hr-HR"/>
              </w:rPr>
            </w:pPr>
            <w:r w:rsidRPr="002358F9">
              <w:rPr>
                <w:rFonts w:ascii="Arial" w:eastAsia="Times New Roman" w:hAnsi="Arial" w:cs="Arial"/>
                <w:b/>
                <w:bCs/>
                <w:sz w:val="18"/>
                <w:szCs w:val="18"/>
                <w:lang w:eastAsia="hr-HR"/>
              </w:rPr>
              <w:t xml:space="preserve">Funkcijska klasifikacija </w:t>
            </w:r>
            <w:r>
              <w:rPr>
                <w:rFonts w:ascii="Arial" w:eastAsia="Times New Roman" w:hAnsi="Arial" w:cs="Arial"/>
                <w:b/>
                <w:bCs/>
                <w:sz w:val="18"/>
                <w:szCs w:val="18"/>
                <w:lang w:eastAsia="hr-HR"/>
              </w:rPr>
              <w:t>SVEUKUPNO RASHODI</w:t>
            </w:r>
          </w:p>
        </w:tc>
        <w:tc>
          <w:tcPr>
            <w:tcW w:w="1439" w:type="dxa"/>
            <w:shd w:val="clear" w:color="auto" w:fill="FFE599" w:themeFill="accent4" w:themeFillTint="66"/>
            <w:noWrap/>
            <w:vAlign w:val="center"/>
          </w:tcPr>
          <w:p w14:paraId="5A45353E" w14:textId="6DC09363" w:rsidR="00F915B8" w:rsidRPr="002358F9" w:rsidRDefault="00BD592B" w:rsidP="002358F9">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16.752.997,56</w:t>
            </w:r>
          </w:p>
        </w:tc>
        <w:tc>
          <w:tcPr>
            <w:tcW w:w="1458" w:type="dxa"/>
            <w:shd w:val="clear" w:color="auto" w:fill="FFE599" w:themeFill="accent4" w:themeFillTint="66"/>
            <w:vAlign w:val="center"/>
          </w:tcPr>
          <w:p w14:paraId="2C1879F8" w14:textId="4ECF716A" w:rsidR="00F915B8" w:rsidRDefault="00B20BC3" w:rsidP="002358F9">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25.062.815,09</w:t>
            </w:r>
          </w:p>
        </w:tc>
        <w:tc>
          <w:tcPr>
            <w:tcW w:w="1368" w:type="dxa"/>
            <w:shd w:val="clear" w:color="auto" w:fill="FFE599" w:themeFill="accent4" w:themeFillTint="66"/>
            <w:vAlign w:val="center"/>
          </w:tcPr>
          <w:p w14:paraId="73931310" w14:textId="4A65B28E" w:rsidR="00F915B8" w:rsidRDefault="005E3779" w:rsidP="002358F9">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25.062.815,09</w:t>
            </w:r>
          </w:p>
        </w:tc>
        <w:tc>
          <w:tcPr>
            <w:tcW w:w="1368" w:type="dxa"/>
            <w:shd w:val="clear" w:color="auto" w:fill="FFE599" w:themeFill="accent4" w:themeFillTint="66"/>
            <w:noWrap/>
            <w:vAlign w:val="center"/>
          </w:tcPr>
          <w:p w14:paraId="420BEEE5" w14:textId="3BB4F4EB" w:rsidR="00F915B8" w:rsidRPr="002358F9" w:rsidRDefault="005E3779" w:rsidP="002358F9">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19.579.706,19</w:t>
            </w:r>
          </w:p>
        </w:tc>
        <w:tc>
          <w:tcPr>
            <w:tcW w:w="1096" w:type="dxa"/>
            <w:shd w:val="clear" w:color="auto" w:fill="FFE599" w:themeFill="accent4" w:themeFillTint="66"/>
            <w:noWrap/>
            <w:vAlign w:val="center"/>
          </w:tcPr>
          <w:p w14:paraId="5ED88BD3" w14:textId="2B96A1EF" w:rsidR="00F915B8" w:rsidRPr="002358F9" w:rsidRDefault="005E3779" w:rsidP="002358F9">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116,87</w:t>
            </w:r>
            <w:r w:rsidR="007C6049">
              <w:rPr>
                <w:rFonts w:ascii="Arial" w:eastAsia="Times New Roman" w:hAnsi="Arial" w:cs="Arial"/>
                <w:b/>
                <w:bCs/>
                <w:sz w:val="18"/>
                <w:szCs w:val="18"/>
                <w:lang w:eastAsia="hr-HR"/>
              </w:rPr>
              <w:t>%</w:t>
            </w:r>
          </w:p>
        </w:tc>
        <w:tc>
          <w:tcPr>
            <w:tcW w:w="924" w:type="dxa"/>
            <w:shd w:val="clear" w:color="auto" w:fill="FFE599" w:themeFill="accent4" w:themeFillTint="66"/>
            <w:noWrap/>
            <w:vAlign w:val="center"/>
          </w:tcPr>
          <w:p w14:paraId="3479062E" w14:textId="677BCB2C" w:rsidR="00F915B8" w:rsidRPr="002358F9" w:rsidRDefault="005E3779" w:rsidP="002358F9">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78,12</w:t>
            </w:r>
            <w:r w:rsidR="007C6049">
              <w:rPr>
                <w:rFonts w:ascii="Arial" w:eastAsia="Times New Roman" w:hAnsi="Arial" w:cs="Arial"/>
                <w:b/>
                <w:bCs/>
                <w:sz w:val="18"/>
                <w:szCs w:val="18"/>
                <w:lang w:eastAsia="hr-HR"/>
              </w:rPr>
              <w:t>%</w:t>
            </w:r>
          </w:p>
        </w:tc>
      </w:tr>
      <w:tr w:rsidR="00F915B8" w:rsidRPr="002358F9" w14:paraId="72E18AE9" w14:textId="77777777" w:rsidTr="005E3779">
        <w:trPr>
          <w:trHeight w:val="231"/>
        </w:trPr>
        <w:tc>
          <w:tcPr>
            <w:tcW w:w="3687" w:type="dxa"/>
            <w:noWrap/>
            <w:vAlign w:val="bottom"/>
            <w:hideMark/>
          </w:tcPr>
          <w:p w14:paraId="6271F75F" w14:textId="77777777" w:rsidR="00F915B8" w:rsidRPr="002358F9" w:rsidRDefault="00F915B8"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01 Opće javne usluge</w:t>
            </w:r>
          </w:p>
        </w:tc>
        <w:tc>
          <w:tcPr>
            <w:tcW w:w="1439" w:type="dxa"/>
            <w:noWrap/>
            <w:vAlign w:val="center"/>
          </w:tcPr>
          <w:p w14:paraId="492BE8CE" w14:textId="45EAFE7E" w:rsidR="00F915B8" w:rsidRPr="002358F9" w:rsidRDefault="00BD592B"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3.355.488,01</w:t>
            </w:r>
          </w:p>
        </w:tc>
        <w:tc>
          <w:tcPr>
            <w:tcW w:w="1458" w:type="dxa"/>
            <w:vAlign w:val="center"/>
          </w:tcPr>
          <w:p w14:paraId="348EF2E4" w14:textId="0D334E3A" w:rsidR="00F915B8" w:rsidRDefault="005E3779"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3.797.452,31</w:t>
            </w:r>
          </w:p>
        </w:tc>
        <w:tc>
          <w:tcPr>
            <w:tcW w:w="1368" w:type="dxa"/>
            <w:vAlign w:val="center"/>
          </w:tcPr>
          <w:p w14:paraId="385EAECE" w14:textId="64A041D3" w:rsidR="00F915B8" w:rsidRDefault="005E3779"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3.689.226,31</w:t>
            </w:r>
          </w:p>
        </w:tc>
        <w:tc>
          <w:tcPr>
            <w:tcW w:w="1368" w:type="dxa"/>
            <w:noWrap/>
            <w:vAlign w:val="center"/>
          </w:tcPr>
          <w:p w14:paraId="6B08D650" w14:textId="01137C7F" w:rsidR="00F915B8" w:rsidRPr="002358F9" w:rsidRDefault="005E3779"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3.168.472,00</w:t>
            </w:r>
          </w:p>
        </w:tc>
        <w:tc>
          <w:tcPr>
            <w:tcW w:w="1096" w:type="dxa"/>
            <w:noWrap/>
            <w:vAlign w:val="center"/>
          </w:tcPr>
          <w:p w14:paraId="4D12B1D3" w14:textId="32858610" w:rsidR="00F915B8" w:rsidRPr="002358F9" w:rsidRDefault="005E3779"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94,43</w:t>
            </w:r>
            <w:r w:rsidR="00336124">
              <w:rPr>
                <w:rFonts w:ascii="Arial" w:eastAsia="Times New Roman" w:hAnsi="Arial" w:cs="Arial"/>
                <w:b/>
                <w:bCs/>
                <w:color w:val="000000"/>
                <w:sz w:val="18"/>
                <w:szCs w:val="18"/>
                <w:lang w:eastAsia="hr-HR"/>
              </w:rPr>
              <w:t>%</w:t>
            </w:r>
          </w:p>
        </w:tc>
        <w:tc>
          <w:tcPr>
            <w:tcW w:w="924" w:type="dxa"/>
            <w:noWrap/>
            <w:vAlign w:val="center"/>
          </w:tcPr>
          <w:p w14:paraId="613CC1BE" w14:textId="1E827309" w:rsidR="00F915B8" w:rsidRPr="002358F9" w:rsidRDefault="005E3779"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85,88</w:t>
            </w:r>
            <w:r w:rsidR="00336124">
              <w:rPr>
                <w:rFonts w:ascii="Arial" w:eastAsia="Times New Roman" w:hAnsi="Arial" w:cs="Arial"/>
                <w:b/>
                <w:bCs/>
                <w:color w:val="000000"/>
                <w:sz w:val="18"/>
                <w:szCs w:val="18"/>
                <w:lang w:eastAsia="hr-HR"/>
              </w:rPr>
              <w:t>%</w:t>
            </w:r>
          </w:p>
        </w:tc>
      </w:tr>
      <w:tr w:rsidR="00F915B8" w:rsidRPr="002358F9" w14:paraId="4CF4A9AE" w14:textId="77777777" w:rsidTr="005E3779">
        <w:trPr>
          <w:trHeight w:val="521"/>
        </w:trPr>
        <w:tc>
          <w:tcPr>
            <w:tcW w:w="3687" w:type="dxa"/>
            <w:vAlign w:val="bottom"/>
            <w:hideMark/>
          </w:tcPr>
          <w:p w14:paraId="519AF445" w14:textId="77777777" w:rsidR="00F915B8" w:rsidRPr="004C71E1" w:rsidRDefault="00F915B8" w:rsidP="002358F9">
            <w:pPr>
              <w:spacing w:after="0" w:line="240" w:lineRule="auto"/>
              <w:rPr>
                <w:rFonts w:ascii="Arial" w:eastAsia="Times New Roman" w:hAnsi="Arial" w:cs="Arial"/>
                <w:color w:val="000000"/>
                <w:sz w:val="18"/>
                <w:szCs w:val="18"/>
                <w:lang w:eastAsia="hr-HR"/>
              </w:rPr>
            </w:pPr>
            <w:r w:rsidRPr="004C71E1">
              <w:rPr>
                <w:rFonts w:ascii="Arial" w:eastAsia="Times New Roman" w:hAnsi="Arial" w:cs="Arial"/>
                <w:color w:val="000000"/>
                <w:sz w:val="18"/>
                <w:szCs w:val="18"/>
                <w:lang w:eastAsia="hr-HR"/>
              </w:rPr>
              <w:t>Funkcijska klasifikacija 011 "Izvršna  i zakonodavna tijela, financijski i fiskalni poslovi, vanjski poslovi"</w:t>
            </w:r>
          </w:p>
        </w:tc>
        <w:tc>
          <w:tcPr>
            <w:tcW w:w="1439" w:type="dxa"/>
            <w:noWrap/>
            <w:vAlign w:val="center"/>
          </w:tcPr>
          <w:p w14:paraId="4099DCFF" w14:textId="4D0FC918" w:rsidR="00F915B8" w:rsidRPr="004C71E1" w:rsidRDefault="00BD592B" w:rsidP="002358F9">
            <w:pPr>
              <w:spacing w:after="0" w:line="240" w:lineRule="auto"/>
              <w:jc w:val="center"/>
              <w:rPr>
                <w:rFonts w:ascii="Arial" w:eastAsia="Times New Roman" w:hAnsi="Arial" w:cs="Arial"/>
                <w:b/>
                <w:color w:val="000000"/>
                <w:sz w:val="18"/>
                <w:szCs w:val="18"/>
                <w:lang w:eastAsia="hr-HR"/>
              </w:rPr>
            </w:pPr>
            <w:r>
              <w:rPr>
                <w:rFonts w:ascii="Arial" w:eastAsia="Times New Roman" w:hAnsi="Arial" w:cs="Arial"/>
                <w:b/>
                <w:color w:val="000000"/>
                <w:sz w:val="18"/>
                <w:szCs w:val="18"/>
                <w:lang w:eastAsia="hr-HR"/>
              </w:rPr>
              <w:t>3.336.992,76</w:t>
            </w:r>
          </w:p>
        </w:tc>
        <w:tc>
          <w:tcPr>
            <w:tcW w:w="1458" w:type="dxa"/>
            <w:vAlign w:val="center"/>
          </w:tcPr>
          <w:p w14:paraId="69C00BFC" w14:textId="1777D3A2" w:rsidR="00F915B8" w:rsidRPr="004C71E1" w:rsidRDefault="005E3779" w:rsidP="002358F9">
            <w:pPr>
              <w:spacing w:after="0" w:line="240" w:lineRule="auto"/>
              <w:jc w:val="center"/>
              <w:rPr>
                <w:rFonts w:ascii="Arial" w:eastAsia="Times New Roman" w:hAnsi="Arial" w:cs="Arial"/>
                <w:b/>
                <w:color w:val="000000"/>
                <w:sz w:val="18"/>
                <w:szCs w:val="18"/>
                <w:lang w:eastAsia="hr-HR"/>
              </w:rPr>
            </w:pPr>
            <w:r>
              <w:rPr>
                <w:rFonts w:ascii="Arial" w:eastAsia="Times New Roman" w:hAnsi="Arial" w:cs="Arial"/>
                <w:b/>
                <w:color w:val="000000"/>
                <w:sz w:val="18"/>
                <w:szCs w:val="18"/>
                <w:lang w:eastAsia="hr-HR"/>
              </w:rPr>
              <w:t>3.775.352,31</w:t>
            </w:r>
          </w:p>
        </w:tc>
        <w:tc>
          <w:tcPr>
            <w:tcW w:w="1368" w:type="dxa"/>
            <w:vAlign w:val="center"/>
          </w:tcPr>
          <w:p w14:paraId="720875CF" w14:textId="32493808" w:rsidR="00F915B8" w:rsidRPr="004C71E1" w:rsidRDefault="005E3779" w:rsidP="002358F9">
            <w:pPr>
              <w:spacing w:after="0" w:line="240" w:lineRule="auto"/>
              <w:jc w:val="center"/>
              <w:rPr>
                <w:rFonts w:ascii="Arial" w:eastAsia="Times New Roman" w:hAnsi="Arial" w:cs="Arial"/>
                <w:b/>
                <w:color w:val="000000"/>
                <w:sz w:val="18"/>
                <w:szCs w:val="18"/>
                <w:lang w:eastAsia="hr-HR"/>
              </w:rPr>
            </w:pPr>
            <w:r>
              <w:rPr>
                <w:rFonts w:ascii="Arial" w:eastAsia="Times New Roman" w:hAnsi="Arial" w:cs="Arial"/>
                <w:b/>
                <w:color w:val="000000"/>
                <w:sz w:val="18"/>
                <w:szCs w:val="18"/>
                <w:lang w:eastAsia="hr-HR"/>
              </w:rPr>
              <w:t>3.667.126,31</w:t>
            </w:r>
          </w:p>
        </w:tc>
        <w:tc>
          <w:tcPr>
            <w:tcW w:w="1368" w:type="dxa"/>
            <w:noWrap/>
            <w:vAlign w:val="center"/>
          </w:tcPr>
          <w:p w14:paraId="0798AB3A" w14:textId="423A0D99" w:rsidR="00F915B8" w:rsidRPr="004C71E1" w:rsidRDefault="005E3779" w:rsidP="002358F9">
            <w:pPr>
              <w:spacing w:after="0" w:line="240" w:lineRule="auto"/>
              <w:jc w:val="center"/>
              <w:rPr>
                <w:rFonts w:ascii="Arial" w:eastAsia="Times New Roman" w:hAnsi="Arial" w:cs="Arial"/>
                <w:b/>
                <w:color w:val="000000"/>
                <w:sz w:val="18"/>
                <w:szCs w:val="18"/>
                <w:lang w:eastAsia="hr-HR"/>
              </w:rPr>
            </w:pPr>
            <w:r>
              <w:rPr>
                <w:rFonts w:ascii="Arial" w:eastAsia="Times New Roman" w:hAnsi="Arial" w:cs="Arial"/>
                <w:b/>
                <w:color w:val="000000"/>
                <w:sz w:val="18"/>
                <w:szCs w:val="18"/>
                <w:lang w:eastAsia="hr-HR"/>
              </w:rPr>
              <w:t>3.147.259,12</w:t>
            </w:r>
          </w:p>
        </w:tc>
        <w:tc>
          <w:tcPr>
            <w:tcW w:w="1096" w:type="dxa"/>
            <w:noWrap/>
            <w:vAlign w:val="center"/>
          </w:tcPr>
          <w:p w14:paraId="06ED7A09" w14:textId="61085DA7" w:rsidR="00F915B8" w:rsidRPr="004C71E1" w:rsidRDefault="005E3779" w:rsidP="002358F9">
            <w:pPr>
              <w:spacing w:after="0" w:line="240" w:lineRule="auto"/>
              <w:jc w:val="center"/>
              <w:rPr>
                <w:rFonts w:ascii="Arial" w:eastAsia="Times New Roman" w:hAnsi="Arial" w:cs="Arial"/>
                <w:b/>
                <w:color w:val="000000"/>
                <w:sz w:val="18"/>
                <w:szCs w:val="18"/>
                <w:lang w:eastAsia="hr-HR"/>
              </w:rPr>
            </w:pPr>
            <w:r>
              <w:rPr>
                <w:rFonts w:ascii="Arial" w:eastAsia="Times New Roman" w:hAnsi="Arial" w:cs="Arial"/>
                <w:b/>
                <w:color w:val="000000"/>
                <w:sz w:val="18"/>
                <w:szCs w:val="18"/>
                <w:lang w:eastAsia="hr-HR"/>
              </w:rPr>
              <w:t>94,31</w:t>
            </w:r>
            <w:r w:rsidR="00336124">
              <w:rPr>
                <w:rFonts w:ascii="Arial" w:eastAsia="Times New Roman" w:hAnsi="Arial" w:cs="Arial"/>
                <w:b/>
                <w:color w:val="000000"/>
                <w:sz w:val="18"/>
                <w:szCs w:val="18"/>
                <w:lang w:eastAsia="hr-HR"/>
              </w:rPr>
              <w:t>%</w:t>
            </w:r>
          </w:p>
        </w:tc>
        <w:tc>
          <w:tcPr>
            <w:tcW w:w="924" w:type="dxa"/>
            <w:noWrap/>
            <w:vAlign w:val="center"/>
          </w:tcPr>
          <w:p w14:paraId="5F6F53F4" w14:textId="5F43F0CA" w:rsidR="00F915B8" w:rsidRPr="004C71E1" w:rsidRDefault="005E3779" w:rsidP="002358F9">
            <w:pPr>
              <w:spacing w:after="0" w:line="240" w:lineRule="auto"/>
              <w:jc w:val="center"/>
              <w:rPr>
                <w:rFonts w:ascii="Arial" w:eastAsia="Times New Roman" w:hAnsi="Arial" w:cs="Arial"/>
                <w:b/>
                <w:color w:val="000000"/>
                <w:sz w:val="18"/>
                <w:szCs w:val="18"/>
                <w:lang w:eastAsia="hr-HR"/>
              </w:rPr>
            </w:pPr>
            <w:r>
              <w:rPr>
                <w:rFonts w:ascii="Arial" w:eastAsia="Times New Roman" w:hAnsi="Arial" w:cs="Arial"/>
                <w:b/>
                <w:color w:val="000000"/>
                <w:sz w:val="18"/>
                <w:szCs w:val="18"/>
                <w:lang w:eastAsia="hr-HR"/>
              </w:rPr>
              <w:t>85,82</w:t>
            </w:r>
            <w:r w:rsidR="00336124">
              <w:rPr>
                <w:rFonts w:ascii="Arial" w:eastAsia="Times New Roman" w:hAnsi="Arial" w:cs="Arial"/>
                <w:b/>
                <w:color w:val="000000"/>
                <w:sz w:val="18"/>
                <w:szCs w:val="18"/>
                <w:lang w:eastAsia="hr-HR"/>
              </w:rPr>
              <w:t>%</w:t>
            </w:r>
          </w:p>
        </w:tc>
      </w:tr>
      <w:tr w:rsidR="00F915B8" w:rsidRPr="002358F9" w14:paraId="482C3FA8" w14:textId="77777777" w:rsidTr="005E3779">
        <w:trPr>
          <w:trHeight w:val="466"/>
        </w:trPr>
        <w:tc>
          <w:tcPr>
            <w:tcW w:w="3687" w:type="dxa"/>
            <w:vAlign w:val="bottom"/>
            <w:hideMark/>
          </w:tcPr>
          <w:p w14:paraId="611E6395" w14:textId="77777777" w:rsidR="00F915B8" w:rsidRPr="004C71E1" w:rsidRDefault="00F915B8" w:rsidP="002358F9">
            <w:pPr>
              <w:spacing w:after="0" w:line="240" w:lineRule="auto"/>
              <w:rPr>
                <w:rFonts w:ascii="Arial" w:eastAsia="Times New Roman" w:hAnsi="Arial" w:cs="Arial"/>
                <w:color w:val="000000"/>
                <w:sz w:val="18"/>
                <w:szCs w:val="18"/>
                <w:lang w:eastAsia="hr-HR"/>
              </w:rPr>
            </w:pPr>
            <w:r w:rsidRPr="004C71E1">
              <w:rPr>
                <w:rFonts w:ascii="Arial" w:eastAsia="Times New Roman" w:hAnsi="Arial" w:cs="Arial"/>
                <w:color w:val="000000"/>
                <w:sz w:val="18"/>
                <w:szCs w:val="18"/>
                <w:lang w:eastAsia="hr-HR"/>
              </w:rPr>
              <w:t>Funkcijska klasifikacija 016 Opće javne usluge koje nisu drugdje svrstane</w:t>
            </w:r>
          </w:p>
        </w:tc>
        <w:tc>
          <w:tcPr>
            <w:tcW w:w="1439" w:type="dxa"/>
            <w:noWrap/>
            <w:vAlign w:val="center"/>
          </w:tcPr>
          <w:p w14:paraId="65DF3021" w14:textId="45914ECB" w:rsidR="00F915B8" w:rsidRPr="004C71E1" w:rsidRDefault="00BD592B" w:rsidP="002358F9">
            <w:pPr>
              <w:spacing w:after="0" w:line="240" w:lineRule="auto"/>
              <w:jc w:val="center"/>
              <w:rPr>
                <w:rFonts w:ascii="Arial" w:eastAsia="Times New Roman" w:hAnsi="Arial" w:cs="Arial"/>
                <w:b/>
                <w:color w:val="000000"/>
                <w:sz w:val="18"/>
                <w:szCs w:val="18"/>
                <w:lang w:eastAsia="hr-HR"/>
              </w:rPr>
            </w:pPr>
            <w:r>
              <w:rPr>
                <w:rFonts w:ascii="Arial" w:eastAsia="Times New Roman" w:hAnsi="Arial" w:cs="Arial"/>
                <w:b/>
                <w:color w:val="000000"/>
                <w:sz w:val="18"/>
                <w:szCs w:val="18"/>
                <w:lang w:eastAsia="hr-HR"/>
              </w:rPr>
              <w:t>18.495,25</w:t>
            </w:r>
          </w:p>
        </w:tc>
        <w:tc>
          <w:tcPr>
            <w:tcW w:w="1458" w:type="dxa"/>
            <w:vAlign w:val="center"/>
          </w:tcPr>
          <w:p w14:paraId="3E465C7F" w14:textId="42323A87" w:rsidR="00F915B8" w:rsidRPr="004C71E1" w:rsidRDefault="005E3779" w:rsidP="002358F9">
            <w:pPr>
              <w:spacing w:after="0" w:line="240" w:lineRule="auto"/>
              <w:jc w:val="center"/>
              <w:rPr>
                <w:rFonts w:ascii="Arial" w:eastAsia="Times New Roman" w:hAnsi="Arial" w:cs="Arial"/>
                <w:b/>
                <w:color w:val="000000"/>
                <w:sz w:val="18"/>
                <w:szCs w:val="18"/>
                <w:lang w:eastAsia="hr-HR"/>
              </w:rPr>
            </w:pPr>
            <w:r>
              <w:rPr>
                <w:rFonts w:ascii="Arial" w:eastAsia="Times New Roman" w:hAnsi="Arial" w:cs="Arial"/>
                <w:b/>
                <w:color w:val="000000"/>
                <w:sz w:val="18"/>
                <w:szCs w:val="18"/>
                <w:lang w:eastAsia="hr-HR"/>
              </w:rPr>
              <w:t>22.100,00</w:t>
            </w:r>
          </w:p>
        </w:tc>
        <w:tc>
          <w:tcPr>
            <w:tcW w:w="1368" w:type="dxa"/>
            <w:vAlign w:val="center"/>
          </w:tcPr>
          <w:p w14:paraId="1538EB07" w14:textId="78605DBB" w:rsidR="00F915B8" w:rsidRPr="004C71E1" w:rsidRDefault="005E3779" w:rsidP="002358F9">
            <w:pPr>
              <w:spacing w:after="0" w:line="240" w:lineRule="auto"/>
              <w:jc w:val="center"/>
              <w:rPr>
                <w:rFonts w:ascii="Arial" w:eastAsia="Times New Roman" w:hAnsi="Arial" w:cs="Arial"/>
                <w:b/>
                <w:color w:val="000000"/>
                <w:sz w:val="18"/>
                <w:szCs w:val="18"/>
                <w:lang w:eastAsia="hr-HR"/>
              </w:rPr>
            </w:pPr>
            <w:r>
              <w:rPr>
                <w:rFonts w:ascii="Arial" w:eastAsia="Times New Roman" w:hAnsi="Arial" w:cs="Arial"/>
                <w:b/>
                <w:color w:val="000000"/>
                <w:sz w:val="18"/>
                <w:szCs w:val="18"/>
                <w:lang w:eastAsia="hr-HR"/>
              </w:rPr>
              <w:t>22.100,00</w:t>
            </w:r>
          </w:p>
        </w:tc>
        <w:tc>
          <w:tcPr>
            <w:tcW w:w="1368" w:type="dxa"/>
            <w:noWrap/>
            <w:vAlign w:val="center"/>
          </w:tcPr>
          <w:p w14:paraId="2C574D4E" w14:textId="4F5CF78B" w:rsidR="00F915B8" w:rsidRPr="004C71E1" w:rsidRDefault="005E3779" w:rsidP="002358F9">
            <w:pPr>
              <w:spacing w:after="0" w:line="240" w:lineRule="auto"/>
              <w:jc w:val="center"/>
              <w:rPr>
                <w:rFonts w:ascii="Arial" w:eastAsia="Times New Roman" w:hAnsi="Arial" w:cs="Arial"/>
                <w:b/>
                <w:color w:val="000000"/>
                <w:sz w:val="18"/>
                <w:szCs w:val="18"/>
                <w:lang w:eastAsia="hr-HR"/>
              </w:rPr>
            </w:pPr>
            <w:r>
              <w:rPr>
                <w:rFonts w:ascii="Arial" w:eastAsia="Times New Roman" w:hAnsi="Arial" w:cs="Arial"/>
                <w:b/>
                <w:color w:val="000000"/>
                <w:sz w:val="18"/>
                <w:szCs w:val="18"/>
                <w:lang w:eastAsia="hr-HR"/>
              </w:rPr>
              <w:t>21.212,88</w:t>
            </w:r>
          </w:p>
        </w:tc>
        <w:tc>
          <w:tcPr>
            <w:tcW w:w="1096" w:type="dxa"/>
            <w:noWrap/>
            <w:vAlign w:val="center"/>
          </w:tcPr>
          <w:p w14:paraId="2C3D62A8" w14:textId="746B5618" w:rsidR="00F915B8" w:rsidRPr="004C71E1" w:rsidRDefault="005E3779" w:rsidP="002358F9">
            <w:pPr>
              <w:spacing w:after="0" w:line="240" w:lineRule="auto"/>
              <w:jc w:val="center"/>
              <w:rPr>
                <w:rFonts w:ascii="Arial" w:eastAsia="Times New Roman" w:hAnsi="Arial" w:cs="Arial"/>
                <w:b/>
                <w:color w:val="000000"/>
                <w:sz w:val="18"/>
                <w:szCs w:val="18"/>
                <w:lang w:eastAsia="hr-HR"/>
              </w:rPr>
            </w:pPr>
            <w:r>
              <w:rPr>
                <w:rFonts w:ascii="Arial" w:eastAsia="Times New Roman" w:hAnsi="Arial" w:cs="Arial"/>
                <w:b/>
                <w:color w:val="000000"/>
                <w:sz w:val="18"/>
                <w:szCs w:val="18"/>
                <w:lang w:eastAsia="hr-HR"/>
              </w:rPr>
              <w:t>114,69</w:t>
            </w:r>
            <w:r w:rsidR="00336124">
              <w:rPr>
                <w:rFonts w:ascii="Arial" w:eastAsia="Times New Roman" w:hAnsi="Arial" w:cs="Arial"/>
                <w:b/>
                <w:color w:val="000000"/>
                <w:sz w:val="18"/>
                <w:szCs w:val="18"/>
                <w:lang w:eastAsia="hr-HR"/>
              </w:rPr>
              <w:t>%</w:t>
            </w:r>
          </w:p>
        </w:tc>
        <w:tc>
          <w:tcPr>
            <w:tcW w:w="924" w:type="dxa"/>
            <w:noWrap/>
            <w:vAlign w:val="center"/>
          </w:tcPr>
          <w:p w14:paraId="49FE9F26" w14:textId="44EAD27A" w:rsidR="00F915B8" w:rsidRPr="004C71E1" w:rsidRDefault="005E3779" w:rsidP="002358F9">
            <w:pPr>
              <w:spacing w:after="0" w:line="240" w:lineRule="auto"/>
              <w:jc w:val="center"/>
              <w:rPr>
                <w:rFonts w:ascii="Arial" w:eastAsia="Times New Roman" w:hAnsi="Arial" w:cs="Arial"/>
                <w:b/>
                <w:color w:val="000000"/>
                <w:sz w:val="18"/>
                <w:szCs w:val="18"/>
                <w:lang w:eastAsia="hr-HR"/>
              </w:rPr>
            </w:pPr>
            <w:r>
              <w:rPr>
                <w:rFonts w:ascii="Arial" w:eastAsia="Times New Roman" w:hAnsi="Arial" w:cs="Arial"/>
                <w:b/>
                <w:color w:val="000000"/>
                <w:sz w:val="18"/>
                <w:szCs w:val="18"/>
                <w:lang w:eastAsia="hr-HR"/>
              </w:rPr>
              <w:t>95,99</w:t>
            </w:r>
            <w:r w:rsidR="004C71E1">
              <w:rPr>
                <w:rFonts w:ascii="Arial" w:eastAsia="Times New Roman" w:hAnsi="Arial" w:cs="Arial"/>
                <w:b/>
                <w:color w:val="000000"/>
                <w:sz w:val="18"/>
                <w:szCs w:val="18"/>
                <w:lang w:eastAsia="hr-HR"/>
              </w:rPr>
              <w:t>%</w:t>
            </w:r>
          </w:p>
        </w:tc>
      </w:tr>
      <w:tr w:rsidR="00F915B8" w:rsidRPr="002358F9" w14:paraId="0D187353" w14:textId="77777777" w:rsidTr="005E3779">
        <w:trPr>
          <w:trHeight w:val="231"/>
        </w:trPr>
        <w:tc>
          <w:tcPr>
            <w:tcW w:w="3687" w:type="dxa"/>
            <w:noWrap/>
            <w:vAlign w:val="bottom"/>
            <w:hideMark/>
          </w:tcPr>
          <w:p w14:paraId="6492FB7A" w14:textId="77777777" w:rsidR="00F915B8" w:rsidRPr="002358F9" w:rsidRDefault="00F915B8"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03 Javni red i sigurnost</w:t>
            </w:r>
          </w:p>
        </w:tc>
        <w:tc>
          <w:tcPr>
            <w:tcW w:w="1439" w:type="dxa"/>
            <w:noWrap/>
            <w:vAlign w:val="center"/>
          </w:tcPr>
          <w:p w14:paraId="75C6634A" w14:textId="05BC4A9A" w:rsidR="00F915B8" w:rsidRPr="0052187E" w:rsidRDefault="00BD592B"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1.474.816,58</w:t>
            </w:r>
          </w:p>
        </w:tc>
        <w:tc>
          <w:tcPr>
            <w:tcW w:w="1458" w:type="dxa"/>
            <w:vAlign w:val="center"/>
          </w:tcPr>
          <w:p w14:paraId="56DC0445" w14:textId="64F7DFB7" w:rsidR="00F915B8" w:rsidRDefault="005E3779"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2.558.561,47</w:t>
            </w:r>
          </w:p>
        </w:tc>
        <w:tc>
          <w:tcPr>
            <w:tcW w:w="1368" w:type="dxa"/>
            <w:vAlign w:val="center"/>
          </w:tcPr>
          <w:p w14:paraId="01F1C3FF" w14:textId="4864E26B" w:rsidR="00F915B8" w:rsidRDefault="005E3779"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2.556.561,47</w:t>
            </w:r>
          </w:p>
        </w:tc>
        <w:tc>
          <w:tcPr>
            <w:tcW w:w="1368" w:type="dxa"/>
            <w:noWrap/>
            <w:vAlign w:val="center"/>
          </w:tcPr>
          <w:p w14:paraId="519CA49B" w14:textId="2A4D7BB8" w:rsidR="00F915B8" w:rsidRPr="0052187E" w:rsidRDefault="005E3779"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1.651.861,45</w:t>
            </w:r>
          </w:p>
        </w:tc>
        <w:tc>
          <w:tcPr>
            <w:tcW w:w="1096" w:type="dxa"/>
            <w:noWrap/>
            <w:vAlign w:val="center"/>
          </w:tcPr>
          <w:p w14:paraId="0163AA79" w14:textId="1E565F0E" w:rsidR="00F915B8" w:rsidRPr="0052187E" w:rsidRDefault="005E3779"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112,00</w:t>
            </w:r>
            <w:r w:rsidR="00336124">
              <w:rPr>
                <w:rFonts w:ascii="Arial" w:eastAsia="Times New Roman" w:hAnsi="Arial" w:cs="Arial"/>
                <w:b/>
                <w:bCs/>
                <w:color w:val="000000"/>
                <w:sz w:val="18"/>
                <w:szCs w:val="18"/>
                <w:lang w:eastAsia="hr-HR"/>
              </w:rPr>
              <w:t>%</w:t>
            </w:r>
          </w:p>
        </w:tc>
        <w:tc>
          <w:tcPr>
            <w:tcW w:w="924" w:type="dxa"/>
            <w:noWrap/>
            <w:vAlign w:val="center"/>
          </w:tcPr>
          <w:p w14:paraId="678FA777" w14:textId="40635E86" w:rsidR="00F915B8" w:rsidRPr="0052187E" w:rsidRDefault="005E3779"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64,61</w:t>
            </w:r>
            <w:r w:rsidR="00336124">
              <w:rPr>
                <w:rFonts w:ascii="Arial" w:eastAsia="Times New Roman" w:hAnsi="Arial" w:cs="Arial"/>
                <w:b/>
                <w:bCs/>
                <w:color w:val="000000"/>
                <w:sz w:val="18"/>
                <w:szCs w:val="18"/>
                <w:lang w:eastAsia="hr-HR"/>
              </w:rPr>
              <w:t>%</w:t>
            </w:r>
          </w:p>
        </w:tc>
      </w:tr>
      <w:tr w:rsidR="00F915B8" w:rsidRPr="002358F9" w14:paraId="1DF244C1" w14:textId="77777777" w:rsidTr="005E3779">
        <w:trPr>
          <w:trHeight w:val="231"/>
        </w:trPr>
        <w:tc>
          <w:tcPr>
            <w:tcW w:w="3687" w:type="dxa"/>
            <w:noWrap/>
            <w:vAlign w:val="bottom"/>
            <w:hideMark/>
          </w:tcPr>
          <w:p w14:paraId="7E0CF617" w14:textId="77777777" w:rsidR="00F915B8" w:rsidRPr="004C71E1" w:rsidRDefault="00F915B8" w:rsidP="002358F9">
            <w:pPr>
              <w:spacing w:after="0" w:line="240" w:lineRule="auto"/>
              <w:rPr>
                <w:rFonts w:ascii="Arial" w:eastAsia="Times New Roman" w:hAnsi="Arial" w:cs="Arial"/>
                <w:color w:val="000000"/>
                <w:sz w:val="18"/>
                <w:szCs w:val="18"/>
                <w:lang w:eastAsia="hr-HR"/>
              </w:rPr>
            </w:pPr>
            <w:r w:rsidRPr="004C71E1">
              <w:rPr>
                <w:rFonts w:ascii="Arial" w:eastAsia="Times New Roman" w:hAnsi="Arial" w:cs="Arial"/>
                <w:color w:val="000000"/>
                <w:sz w:val="18"/>
                <w:szCs w:val="18"/>
                <w:lang w:eastAsia="hr-HR"/>
              </w:rPr>
              <w:t>Funkcijska klasifikacija 032 Usluge protupožarne zaštite</w:t>
            </w:r>
          </w:p>
        </w:tc>
        <w:tc>
          <w:tcPr>
            <w:tcW w:w="1439" w:type="dxa"/>
            <w:noWrap/>
            <w:vAlign w:val="center"/>
          </w:tcPr>
          <w:p w14:paraId="5249C05F" w14:textId="3BC69AB0" w:rsidR="00F915B8" w:rsidRPr="004C71E1" w:rsidRDefault="00BD592B"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1.474.816,58</w:t>
            </w:r>
          </w:p>
        </w:tc>
        <w:tc>
          <w:tcPr>
            <w:tcW w:w="1458" w:type="dxa"/>
            <w:vAlign w:val="center"/>
          </w:tcPr>
          <w:p w14:paraId="7265EBA1" w14:textId="680E238B" w:rsidR="00F915B8" w:rsidRPr="004C71E1" w:rsidRDefault="005E377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2.558.561,47</w:t>
            </w:r>
          </w:p>
        </w:tc>
        <w:tc>
          <w:tcPr>
            <w:tcW w:w="1368" w:type="dxa"/>
            <w:vAlign w:val="center"/>
          </w:tcPr>
          <w:p w14:paraId="0A633ABE" w14:textId="7E507210" w:rsidR="00F915B8" w:rsidRPr="004C71E1" w:rsidRDefault="005E3779" w:rsidP="009E1FC0">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2.556.561,47</w:t>
            </w:r>
          </w:p>
        </w:tc>
        <w:tc>
          <w:tcPr>
            <w:tcW w:w="1368" w:type="dxa"/>
            <w:noWrap/>
            <w:vAlign w:val="center"/>
          </w:tcPr>
          <w:p w14:paraId="4B0D67A3" w14:textId="495EAB56" w:rsidR="00F915B8" w:rsidRPr="004C71E1" w:rsidRDefault="005E3779" w:rsidP="009E1FC0">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1.651.861,45</w:t>
            </w:r>
          </w:p>
        </w:tc>
        <w:tc>
          <w:tcPr>
            <w:tcW w:w="1096" w:type="dxa"/>
            <w:noWrap/>
            <w:vAlign w:val="center"/>
          </w:tcPr>
          <w:p w14:paraId="5C4DC4A2" w14:textId="5B98B70A" w:rsidR="00F915B8" w:rsidRPr="004C71E1" w:rsidRDefault="005E377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112,00</w:t>
            </w:r>
            <w:r w:rsidR="00336124">
              <w:rPr>
                <w:rFonts w:ascii="Arial" w:eastAsia="Times New Roman" w:hAnsi="Arial" w:cs="Arial"/>
                <w:bCs/>
                <w:color w:val="000000"/>
                <w:sz w:val="18"/>
                <w:szCs w:val="18"/>
                <w:lang w:eastAsia="hr-HR"/>
              </w:rPr>
              <w:t>%</w:t>
            </w:r>
          </w:p>
        </w:tc>
        <w:tc>
          <w:tcPr>
            <w:tcW w:w="924" w:type="dxa"/>
            <w:noWrap/>
            <w:vAlign w:val="center"/>
          </w:tcPr>
          <w:p w14:paraId="2E7D74B0" w14:textId="300CE13B" w:rsidR="00F915B8" w:rsidRPr="004C71E1" w:rsidRDefault="005E377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64,61</w:t>
            </w:r>
            <w:r w:rsidR="00336124">
              <w:rPr>
                <w:rFonts w:ascii="Arial" w:eastAsia="Times New Roman" w:hAnsi="Arial" w:cs="Arial"/>
                <w:bCs/>
                <w:color w:val="000000"/>
                <w:sz w:val="18"/>
                <w:szCs w:val="18"/>
                <w:lang w:eastAsia="hr-HR"/>
              </w:rPr>
              <w:t>%</w:t>
            </w:r>
          </w:p>
        </w:tc>
      </w:tr>
      <w:tr w:rsidR="00F915B8" w:rsidRPr="002358F9" w14:paraId="746F82C8" w14:textId="77777777" w:rsidTr="005E3779">
        <w:trPr>
          <w:trHeight w:val="231"/>
        </w:trPr>
        <w:tc>
          <w:tcPr>
            <w:tcW w:w="3687" w:type="dxa"/>
            <w:noWrap/>
            <w:vAlign w:val="bottom"/>
            <w:hideMark/>
          </w:tcPr>
          <w:p w14:paraId="72445828" w14:textId="77777777" w:rsidR="00F915B8" w:rsidRPr="002358F9" w:rsidRDefault="00F915B8"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04 Ekonomski poslovi</w:t>
            </w:r>
          </w:p>
        </w:tc>
        <w:tc>
          <w:tcPr>
            <w:tcW w:w="1439" w:type="dxa"/>
            <w:noWrap/>
            <w:vAlign w:val="center"/>
          </w:tcPr>
          <w:p w14:paraId="42F6F1A3" w14:textId="1D85451C" w:rsidR="00F915B8" w:rsidRPr="002358F9" w:rsidRDefault="00BD592B"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928.876,67</w:t>
            </w:r>
          </w:p>
        </w:tc>
        <w:tc>
          <w:tcPr>
            <w:tcW w:w="1458" w:type="dxa"/>
            <w:vAlign w:val="center"/>
          </w:tcPr>
          <w:p w14:paraId="16A0E4D7" w14:textId="0A9BC8D0" w:rsidR="00F915B8" w:rsidRDefault="005E3779"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2.429.000,00</w:t>
            </w:r>
          </w:p>
        </w:tc>
        <w:tc>
          <w:tcPr>
            <w:tcW w:w="1368" w:type="dxa"/>
            <w:vAlign w:val="center"/>
          </w:tcPr>
          <w:p w14:paraId="443DD2D9" w14:textId="22A9D76B" w:rsidR="00F915B8" w:rsidRDefault="005E3779"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2.376.750,00</w:t>
            </w:r>
          </w:p>
        </w:tc>
        <w:tc>
          <w:tcPr>
            <w:tcW w:w="1368" w:type="dxa"/>
            <w:noWrap/>
            <w:vAlign w:val="center"/>
          </w:tcPr>
          <w:p w14:paraId="3577D1CA" w14:textId="626F8798" w:rsidR="00F915B8" w:rsidRPr="002358F9" w:rsidRDefault="005E3779"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1.778.397,51</w:t>
            </w:r>
          </w:p>
        </w:tc>
        <w:tc>
          <w:tcPr>
            <w:tcW w:w="1096" w:type="dxa"/>
            <w:noWrap/>
            <w:vAlign w:val="center"/>
          </w:tcPr>
          <w:p w14:paraId="50B80960" w14:textId="176D97AD" w:rsidR="00F915B8" w:rsidRPr="002358F9" w:rsidRDefault="005E3779"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191,46</w:t>
            </w:r>
            <w:r w:rsidR="00336124">
              <w:rPr>
                <w:rFonts w:ascii="Arial" w:eastAsia="Times New Roman" w:hAnsi="Arial" w:cs="Arial"/>
                <w:b/>
                <w:bCs/>
                <w:color w:val="000000"/>
                <w:sz w:val="18"/>
                <w:szCs w:val="18"/>
                <w:lang w:eastAsia="hr-HR"/>
              </w:rPr>
              <w:t>%</w:t>
            </w:r>
          </w:p>
        </w:tc>
        <w:tc>
          <w:tcPr>
            <w:tcW w:w="924" w:type="dxa"/>
            <w:noWrap/>
            <w:vAlign w:val="center"/>
          </w:tcPr>
          <w:p w14:paraId="3F4C7D4B" w14:textId="0A4FFDE8" w:rsidR="00F915B8" w:rsidRPr="002358F9" w:rsidRDefault="005E3779"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74,82</w:t>
            </w:r>
            <w:r w:rsidR="00336124">
              <w:rPr>
                <w:rFonts w:ascii="Arial" w:eastAsia="Times New Roman" w:hAnsi="Arial" w:cs="Arial"/>
                <w:b/>
                <w:bCs/>
                <w:color w:val="000000"/>
                <w:sz w:val="18"/>
                <w:szCs w:val="18"/>
                <w:lang w:eastAsia="hr-HR"/>
              </w:rPr>
              <w:t>%</w:t>
            </w:r>
          </w:p>
        </w:tc>
      </w:tr>
      <w:tr w:rsidR="00F915B8" w:rsidRPr="002358F9" w14:paraId="3AFAB218" w14:textId="77777777" w:rsidTr="005E3779">
        <w:trPr>
          <w:trHeight w:val="494"/>
        </w:trPr>
        <w:tc>
          <w:tcPr>
            <w:tcW w:w="3687" w:type="dxa"/>
            <w:vAlign w:val="bottom"/>
            <w:hideMark/>
          </w:tcPr>
          <w:p w14:paraId="07C96018" w14:textId="77777777" w:rsidR="00F915B8" w:rsidRPr="004C71E1" w:rsidRDefault="00F915B8" w:rsidP="002358F9">
            <w:pPr>
              <w:spacing w:after="0" w:line="240" w:lineRule="auto"/>
              <w:rPr>
                <w:rFonts w:ascii="Arial" w:eastAsia="Times New Roman" w:hAnsi="Arial" w:cs="Arial"/>
                <w:color w:val="000000"/>
                <w:sz w:val="18"/>
                <w:szCs w:val="18"/>
                <w:lang w:eastAsia="hr-HR"/>
              </w:rPr>
            </w:pPr>
            <w:r w:rsidRPr="004C71E1">
              <w:rPr>
                <w:rFonts w:ascii="Arial" w:eastAsia="Times New Roman" w:hAnsi="Arial" w:cs="Arial"/>
                <w:color w:val="000000"/>
                <w:sz w:val="18"/>
                <w:szCs w:val="18"/>
                <w:lang w:eastAsia="hr-HR"/>
              </w:rPr>
              <w:t>Funkcijska klasifikacija 042 "Poljoprivreda, šumarstvo, ribarstvo i lov"</w:t>
            </w:r>
          </w:p>
        </w:tc>
        <w:tc>
          <w:tcPr>
            <w:tcW w:w="1439" w:type="dxa"/>
            <w:noWrap/>
            <w:vAlign w:val="center"/>
          </w:tcPr>
          <w:p w14:paraId="53781ABC" w14:textId="6FCFDA9B" w:rsidR="00F915B8" w:rsidRPr="0052187E" w:rsidRDefault="00BD592B"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7.000,00</w:t>
            </w:r>
          </w:p>
        </w:tc>
        <w:tc>
          <w:tcPr>
            <w:tcW w:w="1458" w:type="dxa"/>
            <w:vAlign w:val="center"/>
          </w:tcPr>
          <w:p w14:paraId="41A689F8" w14:textId="1B4D6031" w:rsidR="00F915B8" w:rsidRDefault="005E377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14.000,00</w:t>
            </w:r>
          </w:p>
        </w:tc>
        <w:tc>
          <w:tcPr>
            <w:tcW w:w="1368" w:type="dxa"/>
            <w:vAlign w:val="center"/>
          </w:tcPr>
          <w:p w14:paraId="0BD334AD" w14:textId="42A87B63" w:rsidR="00F915B8" w:rsidRDefault="005E377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14.000,00</w:t>
            </w:r>
          </w:p>
        </w:tc>
        <w:tc>
          <w:tcPr>
            <w:tcW w:w="1368" w:type="dxa"/>
            <w:noWrap/>
            <w:vAlign w:val="center"/>
          </w:tcPr>
          <w:p w14:paraId="2D07C99C" w14:textId="4B0794D9" w:rsidR="00F915B8" w:rsidRPr="007705A9" w:rsidRDefault="005E377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7.000,00</w:t>
            </w:r>
          </w:p>
        </w:tc>
        <w:tc>
          <w:tcPr>
            <w:tcW w:w="1096" w:type="dxa"/>
            <w:noWrap/>
            <w:vAlign w:val="center"/>
          </w:tcPr>
          <w:p w14:paraId="1ECE2956" w14:textId="48F05FEA" w:rsidR="00F915B8" w:rsidRPr="002849C3" w:rsidRDefault="005E377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100,00</w:t>
            </w:r>
            <w:r w:rsidR="004C71E1">
              <w:rPr>
                <w:rFonts w:ascii="Arial" w:eastAsia="Times New Roman" w:hAnsi="Arial" w:cs="Arial"/>
                <w:bCs/>
                <w:color w:val="000000"/>
                <w:sz w:val="18"/>
                <w:szCs w:val="18"/>
                <w:lang w:eastAsia="hr-HR"/>
              </w:rPr>
              <w:t>%</w:t>
            </w:r>
          </w:p>
        </w:tc>
        <w:tc>
          <w:tcPr>
            <w:tcW w:w="924" w:type="dxa"/>
            <w:noWrap/>
            <w:vAlign w:val="center"/>
          </w:tcPr>
          <w:p w14:paraId="66147C8A" w14:textId="3B6F4646" w:rsidR="00F915B8" w:rsidRPr="002849C3" w:rsidRDefault="005E377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50,00</w:t>
            </w:r>
            <w:r w:rsidR="004C71E1">
              <w:rPr>
                <w:rFonts w:ascii="Arial" w:eastAsia="Times New Roman" w:hAnsi="Arial" w:cs="Arial"/>
                <w:bCs/>
                <w:color w:val="000000"/>
                <w:sz w:val="18"/>
                <w:szCs w:val="18"/>
                <w:lang w:eastAsia="hr-HR"/>
              </w:rPr>
              <w:t>%</w:t>
            </w:r>
          </w:p>
        </w:tc>
      </w:tr>
      <w:tr w:rsidR="00F915B8" w:rsidRPr="002358F9" w14:paraId="4045B2FF" w14:textId="77777777" w:rsidTr="005E3779">
        <w:trPr>
          <w:trHeight w:val="231"/>
        </w:trPr>
        <w:tc>
          <w:tcPr>
            <w:tcW w:w="3687" w:type="dxa"/>
            <w:noWrap/>
            <w:vAlign w:val="bottom"/>
            <w:hideMark/>
          </w:tcPr>
          <w:p w14:paraId="3E8F1524" w14:textId="77777777" w:rsidR="00F915B8" w:rsidRPr="004C71E1" w:rsidRDefault="00F915B8" w:rsidP="002358F9">
            <w:pPr>
              <w:spacing w:after="0" w:line="240" w:lineRule="auto"/>
              <w:rPr>
                <w:rFonts w:ascii="Arial" w:eastAsia="Times New Roman" w:hAnsi="Arial" w:cs="Arial"/>
                <w:color w:val="000000"/>
                <w:sz w:val="18"/>
                <w:szCs w:val="18"/>
                <w:lang w:eastAsia="hr-HR"/>
              </w:rPr>
            </w:pPr>
            <w:r w:rsidRPr="004C71E1">
              <w:rPr>
                <w:rFonts w:ascii="Arial" w:eastAsia="Times New Roman" w:hAnsi="Arial" w:cs="Arial"/>
                <w:color w:val="000000"/>
                <w:sz w:val="18"/>
                <w:szCs w:val="18"/>
                <w:lang w:eastAsia="hr-HR"/>
              </w:rPr>
              <w:t>Funkcijska klasifikacija 045 Promet</w:t>
            </w:r>
          </w:p>
        </w:tc>
        <w:tc>
          <w:tcPr>
            <w:tcW w:w="1439" w:type="dxa"/>
            <w:noWrap/>
            <w:vAlign w:val="center"/>
          </w:tcPr>
          <w:p w14:paraId="122AD86D" w14:textId="21E67924" w:rsidR="00F915B8" w:rsidRPr="0052187E" w:rsidRDefault="00BD592B"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921.876,67</w:t>
            </w:r>
          </w:p>
        </w:tc>
        <w:tc>
          <w:tcPr>
            <w:tcW w:w="1458" w:type="dxa"/>
            <w:vAlign w:val="center"/>
          </w:tcPr>
          <w:p w14:paraId="10BD98FB" w14:textId="284FA1F0" w:rsidR="00F915B8" w:rsidRDefault="005E377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2.415.000,00</w:t>
            </w:r>
          </w:p>
        </w:tc>
        <w:tc>
          <w:tcPr>
            <w:tcW w:w="1368" w:type="dxa"/>
            <w:vAlign w:val="center"/>
          </w:tcPr>
          <w:p w14:paraId="38639B71" w14:textId="6FC2409D" w:rsidR="00F915B8" w:rsidRDefault="005E377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2.362.750,00</w:t>
            </w:r>
          </w:p>
        </w:tc>
        <w:tc>
          <w:tcPr>
            <w:tcW w:w="1368" w:type="dxa"/>
            <w:noWrap/>
            <w:vAlign w:val="center"/>
          </w:tcPr>
          <w:p w14:paraId="54A27E51" w14:textId="4003A211" w:rsidR="00F915B8" w:rsidRPr="007705A9" w:rsidRDefault="005E377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1.771.397,51</w:t>
            </w:r>
          </w:p>
        </w:tc>
        <w:tc>
          <w:tcPr>
            <w:tcW w:w="1096" w:type="dxa"/>
            <w:noWrap/>
            <w:vAlign w:val="center"/>
          </w:tcPr>
          <w:p w14:paraId="78D4DEE9" w14:textId="2EEBE0CD" w:rsidR="00F915B8" w:rsidRPr="002849C3" w:rsidRDefault="005E377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192,15</w:t>
            </w:r>
            <w:r w:rsidR="00336124">
              <w:rPr>
                <w:rFonts w:ascii="Arial" w:eastAsia="Times New Roman" w:hAnsi="Arial" w:cs="Arial"/>
                <w:bCs/>
                <w:color w:val="000000"/>
                <w:sz w:val="18"/>
                <w:szCs w:val="18"/>
                <w:lang w:eastAsia="hr-HR"/>
              </w:rPr>
              <w:t>%</w:t>
            </w:r>
          </w:p>
        </w:tc>
        <w:tc>
          <w:tcPr>
            <w:tcW w:w="924" w:type="dxa"/>
            <w:noWrap/>
            <w:vAlign w:val="center"/>
          </w:tcPr>
          <w:p w14:paraId="197889A8" w14:textId="08879E4A" w:rsidR="00F915B8" w:rsidRPr="002849C3" w:rsidRDefault="005E377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74,97</w:t>
            </w:r>
            <w:r w:rsidR="00336124">
              <w:rPr>
                <w:rFonts w:ascii="Arial" w:eastAsia="Times New Roman" w:hAnsi="Arial" w:cs="Arial"/>
                <w:bCs/>
                <w:color w:val="000000"/>
                <w:sz w:val="18"/>
                <w:szCs w:val="18"/>
                <w:lang w:eastAsia="hr-HR"/>
              </w:rPr>
              <w:t>%</w:t>
            </w:r>
          </w:p>
        </w:tc>
      </w:tr>
      <w:tr w:rsidR="00F915B8" w:rsidRPr="002358F9" w14:paraId="77BF754D" w14:textId="77777777" w:rsidTr="005E3779">
        <w:trPr>
          <w:trHeight w:val="231"/>
        </w:trPr>
        <w:tc>
          <w:tcPr>
            <w:tcW w:w="3687" w:type="dxa"/>
            <w:noWrap/>
            <w:vAlign w:val="bottom"/>
            <w:hideMark/>
          </w:tcPr>
          <w:p w14:paraId="4CF0A69F" w14:textId="77777777" w:rsidR="00F915B8" w:rsidRPr="002358F9" w:rsidRDefault="00F915B8"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lastRenderedPageBreak/>
              <w:t>Funkcijska klasifikacija 05 Zaštita okoliša</w:t>
            </w:r>
          </w:p>
        </w:tc>
        <w:tc>
          <w:tcPr>
            <w:tcW w:w="1439" w:type="dxa"/>
            <w:noWrap/>
            <w:vAlign w:val="center"/>
          </w:tcPr>
          <w:p w14:paraId="4734EE43" w14:textId="25E04970" w:rsidR="00F915B8" w:rsidRPr="002358F9" w:rsidRDefault="00BD592B"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68.869,48</w:t>
            </w:r>
          </w:p>
        </w:tc>
        <w:tc>
          <w:tcPr>
            <w:tcW w:w="1458" w:type="dxa"/>
            <w:vAlign w:val="center"/>
          </w:tcPr>
          <w:p w14:paraId="54A56BA3" w14:textId="149A1A10" w:rsidR="00F915B8" w:rsidRDefault="005E3779"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153.750,00</w:t>
            </w:r>
          </w:p>
        </w:tc>
        <w:tc>
          <w:tcPr>
            <w:tcW w:w="1368" w:type="dxa"/>
            <w:vAlign w:val="center"/>
          </w:tcPr>
          <w:p w14:paraId="55C19296" w14:textId="50B881DB" w:rsidR="00F915B8" w:rsidRDefault="005E3779"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153.750,00</w:t>
            </w:r>
          </w:p>
        </w:tc>
        <w:tc>
          <w:tcPr>
            <w:tcW w:w="1368" w:type="dxa"/>
            <w:noWrap/>
            <w:vAlign w:val="center"/>
          </w:tcPr>
          <w:p w14:paraId="691F2A3F" w14:textId="2EA5CBF9" w:rsidR="00F915B8" w:rsidRPr="002358F9" w:rsidRDefault="005E3779"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98.567,63</w:t>
            </w:r>
          </w:p>
        </w:tc>
        <w:tc>
          <w:tcPr>
            <w:tcW w:w="1096" w:type="dxa"/>
            <w:noWrap/>
            <w:vAlign w:val="center"/>
          </w:tcPr>
          <w:p w14:paraId="6BA4B183" w14:textId="2B5C482D" w:rsidR="00F915B8" w:rsidRPr="002358F9" w:rsidRDefault="005E3779"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143,12</w:t>
            </w:r>
            <w:r w:rsidR="00336124">
              <w:rPr>
                <w:rFonts w:ascii="Arial" w:eastAsia="Times New Roman" w:hAnsi="Arial" w:cs="Arial"/>
                <w:b/>
                <w:bCs/>
                <w:color w:val="000000"/>
                <w:sz w:val="18"/>
                <w:szCs w:val="18"/>
                <w:lang w:eastAsia="hr-HR"/>
              </w:rPr>
              <w:t>%</w:t>
            </w:r>
          </w:p>
        </w:tc>
        <w:tc>
          <w:tcPr>
            <w:tcW w:w="924" w:type="dxa"/>
            <w:noWrap/>
            <w:vAlign w:val="center"/>
          </w:tcPr>
          <w:p w14:paraId="283AEDBF" w14:textId="0A726E5F" w:rsidR="00F915B8" w:rsidRPr="002358F9" w:rsidRDefault="005E3779"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64,11</w:t>
            </w:r>
            <w:r w:rsidR="00336124">
              <w:rPr>
                <w:rFonts w:ascii="Arial" w:eastAsia="Times New Roman" w:hAnsi="Arial" w:cs="Arial"/>
                <w:b/>
                <w:bCs/>
                <w:color w:val="000000"/>
                <w:sz w:val="18"/>
                <w:szCs w:val="18"/>
                <w:lang w:eastAsia="hr-HR"/>
              </w:rPr>
              <w:t>%</w:t>
            </w:r>
          </w:p>
        </w:tc>
      </w:tr>
      <w:tr w:rsidR="00F915B8" w:rsidRPr="002358F9" w14:paraId="042455DA" w14:textId="77777777" w:rsidTr="005E3779">
        <w:trPr>
          <w:trHeight w:val="231"/>
        </w:trPr>
        <w:tc>
          <w:tcPr>
            <w:tcW w:w="3687" w:type="dxa"/>
            <w:noWrap/>
            <w:vAlign w:val="bottom"/>
            <w:hideMark/>
          </w:tcPr>
          <w:p w14:paraId="0703FEAA" w14:textId="77777777" w:rsidR="00F915B8" w:rsidRPr="004C71E1" w:rsidRDefault="00F915B8" w:rsidP="002358F9">
            <w:pPr>
              <w:spacing w:after="0" w:line="240" w:lineRule="auto"/>
              <w:rPr>
                <w:rFonts w:ascii="Arial" w:eastAsia="Times New Roman" w:hAnsi="Arial" w:cs="Arial"/>
                <w:color w:val="000000"/>
                <w:sz w:val="18"/>
                <w:szCs w:val="18"/>
                <w:lang w:eastAsia="hr-HR"/>
              </w:rPr>
            </w:pPr>
            <w:r w:rsidRPr="004C71E1">
              <w:rPr>
                <w:rFonts w:ascii="Arial" w:eastAsia="Times New Roman" w:hAnsi="Arial" w:cs="Arial"/>
                <w:color w:val="000000"/>
                <w:sz w:val="18"/>
                <w:szCs w:val="18"/>
                <w:lang w:eastAsia="hr-HR"/>
              </w:rPr>
              <w:t>Funkcijska klasifikacija 051 Gospodarenje otpadom</w:t>
            </w:r>
          </w:p>
        </w:tc>
        <w:tc>
          <w:tcPr>
            <w:tcW w:w="1439" w:type="dxa"/>
            <w:noWrap/>
            <w:vAlign w:val="center"/>
          </w:tcPr>
          <w:p w14:paraId="3F4D849E" w14:textId="247ED88D" w:rsidR="00F915B8" w:rsidRPr="0052187E" w:rsidRDefault="00BD592B"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29.318,75</w:t>
            </w:r>
          </w:p>
        </w:tc>
        <w:tc>
          <w:tcPr>
            <w:tcW w:w="1458" w:type="dxa"/>
            <w:vAlign w:val="center"/>
          </w:tcPr>
          <w:p w14:paraId="1BE57878" w14:textId="23FAC656" w:rsidR="00F915B8" w:rsidRDefault="005E377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47.000,00</w:t>
            </w:r>
          </w:p>
        </w:tc>
        <w:tc>
          <w:tcPr>
            <w:tcW w:w="1368" w:type="dxa"/>
            <w:vAlign w:val="center"/>
          </w:tcPr>
          <w:p w14:paraId="60A2BAC2" w14:textId="738326E9" w:rsidR="00F915B8" w:rsidRDefault="005E377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47.000,00</w:t>
            </w:r>
          </w:p>
        </w:tc>
        <w:tc>
          <w:tcPr>
            <w:tcW w:w="1368" w:type="dxa"/>
            <w:noWrap/>
            <w:vAlign w:val="center"/>
          </w:tcPr>
          <w:p w14:paraId="4D4B499E" w14:textId="6A511E42" w:rsidR="00F915B8" w:rsidRPr="007705A9" w:rsidRDefault="005E377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23.903,13</w:t>
            </w:r>
          </w:p>
        </w:tc>
        <w:tc>
          <w:tcPr>
            <w:tcW w:w="1096" w:type="dxa"/>
            <w:noWrap/>
            <w:vAlign w:val="center"/>
          </w:tcPr>
          <w:p w14:paraId="5C540AD0" w14:textId="7AC3B59F" w:rsidR="00F915B8" w:rsidRPr="002849C3" w:rsidRDefault="005E377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81,53</w:t>
            </w:r>
            <w:r w:rsidR="00336124">
              <w:rPr>
                <w:rFonts w:ascii="Arial" w:eastAsia="Times New Roman" w:hAnsi="Arial" w:cs="Arial"/>
                <w:bCs/>
                <w:color w:val="000000"/>
                <w:sz w:val="18"/>
                <w:szCs w:val="18"/>
                <w:lang w:eastAsia="hr-HR"/>
              </w:rPr>
              <w:t>%</w:t>
            </w:r>
          </w:p>
        </w:tc>
        <w:tc>
          <w:tcPr>
            <w:tcW w:w="924" w:type="dxa"/>
            <w:noWrap/>
            <w:vAlign w:val="center"/>
          </w:tcPr>
          <w:p w14:paraId="1F2FB44B" w14:textId="060A47C8" w:rsidR="00F915B8" w:rsidRPr="002849C3" w:rsidRDefault="005E377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50,86</w:t>
            </w:r>
            <w:r w:rsidR="00336124">
              <w:rPr>
                <w:rFonts w:ascii="Arial" w:eastAsia="Times New Roman" w:hAnsi="Arial" w:cs="Arial"/>
                <w:bCs/>
                <w:color w:val="000000"/>
                <w:sz w:val="18"/>
                <w:szCs w:val="18"/>
                <w:lang w:eastAsia="hr-HR"/>
              </w:rPr>
              <w:t>%</w:t>
            </w:r>
          </w:p>
        </w:tc>
      </w:tr>
      <w:tr w:rsidR="00F915B8" w:rsidRPr="002358F9" w14:paraId="3BE0A580" w14:textId="77777777" w:rsidTr="005E3779">
        <w:trPr>
          <w:trHeight w:val="231"/>
        </w:trPr>
        <w:tc>
          <w:tcPr>
            <w:tcW w:w="3687" w:type="dxa"/>
            <w:noWrap/>
            <w:vAlign w:val="bottom"/>
            <w:hideMark/>
          </w:tcPr>
          <w:p w14:paraId="00FE2CF1" w14:textId="77777777" w:rsidR="00F915B8" w:rsidRPr="004C71E1" w:rsidRDefault="00F915B8" w:rsidP="002358F9">
            <w:pPr>
              <w:spacing w:after="0" w:line="240" w:lineRule="auto"/>
              <w:rPr>
                <w:rFonts w:ascii="Arial" w:eastAsia="Times New Roman" w:hAnsi="Arial" w:cs="Arial"/>
                <w:color w:val="000000"/>
                <w:sz w:val="18"/>
                <w:szCs w:val="18"/>
                <w:lang w:eastAsia="hr-HR"/>
              </w:rPr>
            </w:pPr>
            <w:r w:rsidRPr="004C71E1">
              <w:rPr>
                <w:rFonts w:ascii="Arial" w:eastAsia="Times New Roman" w:hAnsi="Arial" w:cs="Arial"/>
                <w:color w:val="000000"/>
                <w:sz w:val="18"/>
                <w:szCs w:val="18"/>
                <w:lang w:eastAsia="hr-HR"/>
              </w:rPr>
              <w:t>Funkcijska klasifikacija 055 Istraživanje i razvoj: Zaštita okoliša</w:t>
            </w:r>
          </w:p>
        </w:tc>
        <w:tc>
          <w:tcPr>
            <w:tcW w:w="1439" w:type="dxa"/>
            <w:noWrap/>
            <w:vAlign w:val="center"/>
          </w:tcPr>
          <w:p w14:paraId="320EDB7D" w14:textId="3341E2D0" w:rsidR="00F915B8" w:rsidRPr="0052187E" w:rsidRDefault="00BD592B"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27.535,23</w:t>
            </w:r>
          </w:p>
        </w:tc>
        <w:tc>
          <w:tcPr>
            <w:tcW w:w="1458" w:type="dxa"/>
            <w:vAlign w:val="center"/>
          </w:tcPr>
          <w:p w14:paraId="7F071E41" w14:textId="1D57BC5C" w:rsidR="00F915B8" w:rsidRDefault="00336124" w:rsidP="007705A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5</w:t>
            </w:r>
            <w:r w:rsidR="005E3779">
              <w:rPr>
                <w:rFonts w:ascii="Arial" w:eastAsia="Times New Roman" w:hAnsi="Arial" w:cs="Arial"/>
                <w:bCs/>
                <w:color w:val="000000"/>
                <w:sz w:val="18"/>
                <w:szCs w:val="18"/>
                <w:lang w:eastAsia="hr-HR"/>
              </w:rPr>
              <w:t>5</w:t>
            </w:r>
            <w:r>
              <w:rPr>
                <w:rFonts w:ascii="Arial" w:eastAsia="Times New Roman" w:hAnsi="Arial" w:cs="Arial"/>
                <w:bCs/>
                <w:color w:val="000000"/>
                <w:sz w:val="18"/>
                <w:szCs w:val="18"/>
                <w:lang w:eastAsia="hr-HR"/>
              </w:rPr>
              <w:t>.000,00</w:t>
            </w:r>
          </w:p>
        </w:tc>
        <w:tc>
          <w:tcPr>
            <w:tcW w:w="1368" w:type="dxa"/>
            <w:vAlign w:val="center"/>
          </w:tcPr>
          <w:p w14:paraId="7C4C3144" w14:textId="7A711CD9" w:rsidR="00F915B8" w:rsidRDefault="00336124" w:rsidP="007705A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5</w:t>
            </w:r>
            <w:r w:rsidR="005E3779">
              <w:rPr>
                <w:rFonts w:ascii="Arial" w:eastAsia="Times New Roman" w:hAnsi="Arial" w:cs="Arial"/>
                <w:bCs/>
                <w:color w:val="000000"/>
                <w:sz w:val="18"/>
                <w:szCs w:val="18"/>
                <w:lang w:eastAsia="hr-HR"/>
              </w:rPr>
              <w:t>5</w:t>
            </w:r>
            <w:r>
              <w:rPr>
                <w:rFonts w:ascii="Arial" w:eastAsia="Times New Roman" w:hAnsi="Arial" w:cs="Arial"/>
                <w:bCs/>
                <w:color w:val="000000"/>
                <w:sz w:val="18"/>
                <w:szCs w:val="18"/>
                <w:lang w:eastAsia="hr-HR"/>
              </w:rPr>
              <w:t>.000,00</w:t>
            </w:r>
          </w:p>
        </w:tc>
        <w:tc>
          <w:tcPr>
            <w:tcW w:w="1368" w:type="dxa"/>
            <w:noWrap/>
            <w:vAlign w:val="center"/>
          </w:tcPr>
          <w:p w14:paraId="4F2092C5" w14:textId="41A43FAF" w:rsidR="00F915B8" w:rsidRPr="007705A9" w:rsidRDefault="005E3779" w:rsidP="007705A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23.237,50</w:t>
            </w:r>
          </w:p>
        </w:tc>
        <w:tc>
          <w:tcPr>
            <w:tcW w:w="1096" w:type="dxa"/>
            <w:noWrap/>
            <w:vAlign w:val="center"/>
          </w:tcPr>
          <w:p w14:paraId="2FAB680F" w14:textId="35C39F13" w:rsidR="00F915B8" w:rsidRPr="002849C3" w:rsidRDefault="005E377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84,39</w:t>
            </w:r>
            <w:r w:rsidR="00336124">
              <w:rPr>
                <w:rFonts w:ascii="Arial" w:eastAsia="Times New Roman" w:hAnsi="Arial" w:cs="Arial"/>
                <w:bCs/>
                <w:color w:val="000000"/>
                <w:sz w:val="18"/>
                <w:szCs w:val="18"/>
                <w:lang w:eastAsia="hr-HR"/>
              </w:rPr>
              <w:t>%</w:t>
            </w:r>
          </w:p>
        </w:tc>
        <w:tc>
          <w:tcPr>
            <w:tcW w:w="924" w:type="dxa"/>
            <w:noWrap/>
            <w:vAlign w:val="center"/>
          </w:tcPr>
          <w:p w14:paraId="5DC3CEC8" w14:textId="3BC4F03F" w:rsidR="00F915B8" w:rsidRPr="002849C3" w:rsidRDefault="005E377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42,25</w:t>
            </w:r>
            <w:r w:rsidR="00336124">
              <w:rPr>
                <w:rFonts w:ascii="Arial" w:eastAsia="Times New Roman" w:hAnsi="Arial" w:cs="Arial"/>
                <w:bCs/>
                <w:color w:val="000000"/>
                <w:sz w:val="18"/>
                <w:szCs w:val="18"/>
                <w:lang w:eastAsia="hr-HR"/>
              </w:rPr>
              <w:t>%</w:t>
            </w:r>
          </w:p>
        </w:tc>
      </w:tr>
      <w:tr w:rsidR="00336124" w:rsidRPr="002358F9" w14:paraId="0E8C356A" w14:textId="77777777" w:rsidTr="005E3779">
        <w:trPr>
          <w:trHeight w:val="231"/>
        </w:trPr>
        <w:tc>
          <w:tcPr>
            <w:tcW w:w="3687" w:type="dxa"/>
            <w:noWrap/>
            <w:vAlign w:val="bottom"/>
          </w:tcPr>
          <w:p w14:paraId="00205FB4" w14:textId="78A99F5E" w:rsidR="00336124" w:rsidRPr="004C71E1" w:rsidRDefault="00336124" w:rsidP="002358F9">
            <w:pPr>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Funkcijska klasifikacija 056 Poslovi i usluge zaštite okoliša koji nisu drugdje svrstani</w:t>
            </w:r>
          </w:p>
        </w:tc>
        <w:tc>
          <w:tcPr>
            <w:tcW w:w="1439" w:type="dxa"/>
            <w:noWrap/>
            <w:vAlign w:val="center"/>
          </w:tcPr>
          <w:p w14:paraId="75043C4D" w14:textId="22597105" w:rsidR="00336124" w:rsidRDefault="00BD592B"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12.015,50</w:t>
            </w:r>
          </w:p>
        </w:tc>
        <w:tc>
          <w:tcPr>
            <w:tcW w:w="1458" w:type="dxa"/>
            <w:vAlign w:val="center"/>
          </w:tcPr>
          <w:p w14:paraId="3E8A53DB" w14:textId="1B10B576" w:rsidR="00336124" w:rsidRDefault="005E3779" w:rsidP="007705A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51.750,00</w:t>
            </w:r>
          </w:p>
        </w:tc>
        <w:tc>
          <w:tcPr>
            <w:tcW w:w="1368" w:type="dxa"/>
            <w:vAlign w:val="center"/>
          </w:tcPr>
          <w:p w14:paraId="5BBFC06A" w14:textId="078ED175" w:rsidR="00336124" w:rsidRDefault="005E3779" w:rsidP="007705A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51.750,00</w:t>
            </w:r>
          </w:p>
        </w:tc>
        <w:tc>
          <w:tcPr>
            <w:tcW w:w="1368" w:type="dxa"/>
            <w:noWrap/>
            <w:vAlign w:val="center"/>
          </w:tcPr>
          <w:p w14:paraId="664583C3" w14:textId="5299E473" w:rsidR="00336124" w:rsidRDefault="005E3779" w:rsidP="007705A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51.427,00</w:t>
            </w:r>
          </w:p>
        </w:tc>
        <w:tc>
          <w:tcPr>
            <w:tcW w:w="1096" w:type="dxa"/>
            <w:noWrap/>
            <w:vAlign w:val="center"/>
          </w:tcPr>
          <w:p w14:paraId="13DCC734" w14:textId="76AFB5AE" w:rsidR="00336124" w:rsidRDefault="005E377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428,01%</w:t>
            </w:r>
          </w:p>
        </w:tc>
        <w:tc>
          <w:tcPr>
            <w:tcW w:w="924" w:type="dxa"/>
            <w:noWrap/>
            <w:vAlign w:val="center"/>
          </w:tcPr>
          <w:p w14:paraId="17D2D6EE" w14:textId="57E95096" w:rsidR="00336124" w:rsidRDefault="005E377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99,38</w:t>
            </w:r>
            <w:r w:rsidR="00336124">
              <w:rPr>
                <w:rFonts w:ascii="Arial" w:eastAsia="Times New Roman" w:hAnsi="Arial" w:cs="Arial"/>
                <w:bCs/>
                <w:color w:val="000000"/>
                <w:sz w:val="18"/>
                <w:szCs w:val="18"/>
                <w:lang w:eastAsia="hr-HR"/>
              </w:rPr>
              <w:t>%</w:t>
            </w:r>
          </w:p>
        </w:tc>
      </w:tr>
      <w:tr w:rsidR="00F915B8" w:rsidRPr="002358F9" w14:paraId="736A2BE6" w14:textId="77777777" w:rsidTr="005E3779">
        <w:trPr>
          <w:trHeight w:val="508"/>
        </w:trPr>
        <w:tc>
          <w:tcPr>
            <w:tcW w:w="3687" w:type="dxa"/>
            <w:vAlign w:val="bottom"/>
            <w:hideMark/>
          </w:tcPr>
          <w:p w14:paraId="3439E6FC" w14:textId="77777777" w:rsidR="00F915B8" w:rsidRPr="002358F9" w:rsidRDefault="00F915B8"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06 Usluge unapređenja stanovanja i zajednice</w:t>
            </w:r>
          </w:p>
        </w:tc>
        <w:tc>
          <w:tcPr>
            <w:tcW w:w="1439" w:type="dxa"/>
            <w:noWrap/>
            <w:vAlign w:val="center"/>
          </w:tcPr>
          <w:p w14:paraId="2C5F0FF7" w14:textId="3C0CD73E" w:rsidR="00F915B8" w:rsidRPr="002358F9" w:rsidRDefault="00BD592B"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6.581.859,72</w:t>
            </w:r>
          </w:p>
        </w:tc>
        <w:tc>
          <w:tcPr>
            <w:tcW w:w="1458" w:type="dxa"/>
            <w:vAlign w:val="center"/>
          </w:tcPr>
          <w:p w14:paraId="55F435F8" w14:textId="2F2E7CED" w:rsidR="00F915B8" w:rsidRDefault="005E3779"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10.025.855,31</w:t>
            </w:r>
          </w:p>
        </w:tc>
        <w:tc>
          <w:tcPr>
            <w:tcW w:w="1368" w:type="dxa"/>
            <w:vAlign w:val="center"/>
          </w:tcPr>
          <w:p w14:paraId="49B8CAAB" w14:textId="308C04C1" w:rsidR="00F915B8" w:rsidRDefault="005E3779"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10.088.872,31</w:t>
            </w:r>
          </w:p>
        </w:tc>
        <w:tc>
          <w:tcPr>
            <w:tcW w:w="1368" w:type="dxa"/>
            <w:noWrap/>
            <w:vAlign w:val="center"/>
          </w:tcPr>
          <w:p w14:paraId="14C750A0" w14:textId="06C74266" w:rsidR="00F915B8" w:rsidRPr="002358F9" w:rsidRDefault="00360881"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7.130.408,11</w:t>
            </w:r>
          </w:p>
        </w:tc>
        <w:tc>
          <w:tcPr>
            <w:tcW w:w="1096" w:type="dxa"/>
            <w:noWrap/>
            <w:vAlign w:val="center"/>
          </w:tcPr>
          <w:p w14:paraId="3D6CC252" w14:textId="312AD240" w:rsidR="00F915B8" w:rsidRPr="002358F9" w:rsidRDefault="00360881"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108,33</w:t>
            </w:r>
            <w:r w:rsidR="00336124">
              <w:rPr>
                <w:rFonts w:ascii="Arial" w:eastAsia="Times New Roman" w:hAnsi="Arial" w:cs="Arial"/>
                <w:b/>
                <w:bCs/>
                <w:color w:val="000000"/>
                <w:sz w:val="18"/>
                <w:szCs w:val="18"/>
                <w:lang w:eastAsia="hr-HR"/>
              </w:rPr>
              <w:t>%</w:t>
            </w:r>
          </w:p>
        </w:tc>
        <w:tc>
          <w:tcPr>
            <w:tcW w:w="924" w:type="dxa"/>
            <w:noWrap/>
            <w:vAlign w:val="center"/>
          </w:tcPr>
          <w:p w14:paraId="1067A679" w14:textId="578C76A1" w:rsidR="00F915B8" w:rsidRPr="002358F9" w:rsidRDefault="00360881"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70,68</w:t>
            </w:r>
            <w:r w:rsidR="00336124">
              <w:rPr>
                <w:rFonts w:ascii="Arial" w:eastAsia="Times New Roman" w:hAnsi="Arial" w:cs="Arial"/>
                <w:b/>
                <w:bCs/>
                <w:color w:val="000000"/>
                <w:sz w:val="18"/>
                <w:szCs w:val="18"/>
                <w:lang w:eastAsia="hr-HR"/>
              </w:rPr>
              <w:t>%</w:t>
            </w:r>
          </w:p>
        </w:tc>
      </w:tr>
      <w:tr w:rsidR="00F915B8" w:rsidRPr="002358F9" w14:paraId="7B65EDBA" w14:textId="77777777" w:rsidTr="005E3779">
        <w:trPr>
          <w:trHeight w:val="231"/>
        </w:trPr>
        <w:tc>
          <w:tcPr>
            <w:tcW w:w="3687" w:type="dxa"/>
            <w:noWrap/>
            <w:vAlign w:val="bottom"/>
            <w:hideMark/>
          </w:tcPr>
          <w:p w14:paraId="4B22FC62" w14:textId="77777777" w:rsidR="00F915B8" w:rsidRPr="004C71E1" w:rsidRDefault="00F915B8" w:rsidP="002358F9">
            <w:pPr>
              <w:spacing w:after="0" w:line="240" w:lineRule="auto"/>
              <w:rPr>
                <w:rFonts w:ascii="Arial" w:eastAsia="Times New Roman" w:hAnsi="Arial" w:cs="Arial"/>
                <w:color w:val="000000"/>
                <w:sz w:val="18"/>
                <w:szCs w:val="18"/>
                <w:lang w:eastAsia="hr-HR"/>
              </w:rPr>
            </w:pPr>
            <w:r w:rsidRPr="004C71E1">
              <w:rPr>
                <w:rFonts w:ascii="Arial" w:eastAsia="Times New Roman" w:hAnsi="Arial" w:cs="Arial"/>
                <w:color w:val="000000"/>
                <w:sz w:val="18"/>
                <w:szCs w:val="18"/>
                <w:lang w:eastAsia="hr-HR"/>
              </w:rPr>
              <w:t>Funkcijska klasifikacija 061 Razvoj stanovanja</w:t>
            </w:r>
          </w:p>
        </w:tc>
        <w:tc>
          <w:tcPr>
            <w:tcW w:w="1439" w:type="dxa"/>
            <w:noWrap/>
            <w:vAlign w:val="center"/>
          </w:tcPr>
          <w:p w14:paraId="18390FC0" w14:textId="43909BF2" w:rsidR="00F915B8" w:rsidRPr="0052187E" w:rsidRDefault="00BD592B"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74.748,58</w:t>
            </w:r>
          </w:p>
        </w:tc>
        <w:tc>
          <w:tcPr>
            <w:tcW w:w="1458" w:type="dxa"/>
            <w:vAlign w:val="center"/>
          </w:tcPr>
          <w:p w14:paraId="601DEB8D" w14:textId="636AC39B" w:rsidR="00F915B8" w:rsidRDefault="005E377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336.000,00</w:t>
            </w:r>
          </w:p>
        </w:tc>
        <w:tc>
          <w:tcPr>
            <w:tcW w:w="1368" w:type="dxa"/>
            <w:vAlign w:val="center"/>
          </w:tcPr>
          <w:p w14:paraId="326BA8C6" w14:textId="2C314572" w:rsidR="00F915B8" w:rsidRDefault="005E377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328.500,00</w:t>
            </w:r>
          </w:p>
        </w:tc>
        <w:tc>
          <w:tcPr>
            <w:tcW w:w="1368" w:type="dxa"/>
            <w:noWrap/>
            <w:vAlign w:val="center"/>
          </w:tcPr>
          <w:p w14:paraId="76E25FE7" w14:textId="22837B08" w:rsidR="00F915B8" w:rsidRPr="007705A9" w:rsidRDefault="005E377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72.882,84</w:t>
            </w:r>
          </w:p>
        </w:tc>
        <w:tc>
          <w:tcPr>
            <w:tcW w:w="1096" w:type="dxa"/>
            <w:noWrap/>
            <w:vAlign w:val="center"/>
          </w:tcPr>
          <w:p w14:paraId="65861F65" w14:textId="73123FAF" w:rsidR="00F915B8" w:rsidRPr="002849C3" w:rsidRDefault="005E377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97,50</w:t>
            </w:r>
            <w:r w:rsidR="00336124">
              <w:rPr>
                <w:rFonts w:ascii="Arial" w:eastAsia="Times New Roman" w:hAnsi="Arial" w:cs="Arial"/>
                <w:bCs/>
                <w:color w:val="000000"/>
                <w:sz w:val="18"/>
                <w:szCs w:val="18"/>
                <w:lang w:eastAsia="hr-HR"/>
              </w:rPr>
              <w:t>%</w:t>
            </w:r>
          </w:p>
        </w:tc>
        <w:tc>
          <w:tcPr>
            <w:tcW w:w="924" w:type="dxa"/>
            <w:noWrap/>
            <w:vAlign w:val="center"/>
          </w:tcPr>
          <w:p w14:paraId="656F56E8" w14:textId="4D38237C" w:rsidR="00F915B8" w:rsidRPr="002849C3" w:rsidRDefault="005E377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22,19</w:t>
            </w:r>
            <w:r w:rsidR="00336124">
              <w:rPr>
                <w:rFonts w:ascii="Arial" w:eastAsia="Times New Roman" w:hAnsi="Arial" w:cs="Arial"/>
                <w:bCs/>
                <w:color w:val="000000"/>
                <w:sz w:val="18"/>
                <w:szCs w:val="18"/>
                <w:lang w:eastAsia="hr-HR"/>
              </w:rPr>
              <w:t>%</w:t>
            </w:r>
          </w:p>
        </w:tc>
      </w:tr>
      <w:tr w:rsidR="00F915B8" w:rsidRPr="002358F9" w14:paraId="1E82CCC9" w14:textId="77777777" w:rsidTr="005E3779">
        <w:trPr>
          <w:trHeight w:val="231"/>
        </w:trPr>
        <w:tc>
          <w:tcPr>
            <w:tcW w:w="3687" w:type="dxa"/>
            <w:noWrap/>
            <w:vAlign w:val="bottom"/>
            <w:hideMark/>
          </w:tcPr>
          <w:p w14:paraId="105DE48C" w14:textId="77777777" w:rsidR="00F915B8" w:rsidRPr="004C71E1" w:rsidRDefault="00F915B8" w:rsidP="002358F9">
            <w:pPr>
              <w:spacing w:after="0" w:line="240" w:lineRule="auto"/>
              <w:rPr>
                <w:rFonts w:ascii="Arial" w:eastAsia="Times New Roman" w:hAnsi="Arial" w:cs="Arial"/>
                <w:color w:val="000000"/>
                <w:sz w:val="18"/>
                <w:szCs w:val="18"/>
                <w:lang w:eastAsia="hr-HR"/>
              </w:rPr>
            </w:pPr>
            <w:r w:rsidRPr="004C71E1">
              <w:rPr>
                <w:rFonts w:ascii="Arial" w:eastAsia="Times New Roman" w:hAnsi="Arial" w:cs="Arial"/>
                <w:color w:val="000000"/>
                <w:sz w:val="18"/>
                <w:szCs w:val="18"/>
                <w:lang w:eastAsia="hr-HR"/>
              </w:rPr>
              <w:t>Funkcijska klasifikacija 062 Razvoj zajednice</w:t>
            </w:r>
          </w:p>
        </w:tc>
        <w:tc>
          <w:tcPr>
            <w:tcW w:w="1439" w:type="dxa"/>
            <w:noWrap/>
            <w:vAlign w:val="center"/>
          </w:tcPr>
          <w:p w14:paraId="7D157897" w14:textId="28C2E223" w:rsidR="00F915B8" w:rsidRPr="0052187E" w:rsidRDefault="00BD592B"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5.994.820,97</w:t>
            </w:r>
          </w:p>
        </w:tc>
        <w:tc>
          <w:tcPr>
            <w:tcW w:w="1458" w:type="dxa"/>
            <w:vAlign w:val="center"/>
          </w:tcPr>
          <w:p w14:paraId="3BC03FBA" w14:textId="7AD07902" w:rsidR="00F915B8" w:rsidRDefault="005E377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9.022.470,31</w:t>
            </w:r>
          </w:p>
        </w:tc>
        <w:tc>
          <w:tcPr>
            <w:tcW w:w="1368" w:type="dxa"/>
            <w:vAlign w:val="center"/>
          </w:tcPr>
          <w:p w14:paraId="325CB694" w14:textId="37C29F41" w:rsidR="00F915B8" w:rsidRDefault="005E377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9.093.577,31</w:t>
            </w:r>
          </w:p>
        </w:tc>
        <w:tc>
          <w:tcPr>
            <w:tcW w:w="1368" w:type="dxa"/>
            <w:noWrap/>
            <w:vAlign w:val="center"/>
          </w:tcPr>
          <w:p w14:paraId="59599A9C" w14:textId="601F1229" w:rsidR="00F915B8" w:rsidRPr="007705A9" w:rsidRDefault="000F6EDE"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6.436.464,31</w:t>
            </w:r>
          </w:p>
        </w:tc>
        <w:tc>
          <w:tcPr>
            <w:tcW w:w="1096" w:type="dxa"/>
            <w:noWrap/>
            <w:vAlign w:val="center"/>
          </w:tcPr>
          <w:p w14:paraId="5D8D3CEB" w14:textId="48276F6D" w:rsidR="00F915B8" w:rsidRPr="002849C3" w:rsidRDefault="000F6EDE"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107,37</w:t>
            </w:r>
            <w:r w:rsidR="00C97C46">
              <w:rPr>
                <w:rFonts w:ascii="Arial" w:eastAsia="Times New Roman" w:hAnsi="Arial" w:cs="Arial"/>
                <w:bCs/>
                <w:color w:val="000000"/>
                <w:sz w:val="18"/>
                <w:szCs w:val="18"/>
                <w:lang w:eastAsia="hr-HR"/>
              </w:rPr>
              <w:t>%</w:t>
            </w:r>
          </w:p>
        </w:tc>
        <w:tc>
          <w:tcPr>
            <w:tcW w:w="924" w:type="dxa"/>
            <w:noWrap/>
            <w:vAlign w:val="center"/>
          </w:tcPr>
          <w:p w14:paraId="0E66F2F1" w14:textId="657199EB" w:rsidR="00F915B8" w:rsidRPr="002849C3" w:rsidRDefault="000F6EDE"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70,78</w:t>
            </w:r>
            <w:r w:rsidR="00C97C46">
              <w:rPr>
                <w:rFonts w:ascii="Arial" w:eastAsia="Times New Roman" w:hAnsi="Arial" w:cs="Arial"/>
                <w:bCs/>
                <w:color w:val="000000"/>
                <w:sz w:val="18"/>
                <w:szCs w:val="18"/>
                <w:lang w:eastAsia="hr-HR"/>
              </w:rPr>
              <w:t>%</w:t>
            </w:r>
          </w:p>
        </w:tc>
      </w:tr>
      <w:tr w:rsidR="00F915B8" w:rsidRPr="002358F9" w14:paraId="5263C4C1" w14:textId="77777777" w:rsidTr="005E3779">
        <w:trPr>
          <w:trHeight w:val="231"/>
        </w:trPr>
        <w:tc>
          <w:tcPr>
            <w:tcW w:w="3687" w:type="dxa"/>
            <w:noWrap/>
            <w:vAlign w:val="bottom"/>
            <w:hideMark/>
          </w:tcPr>
          <w:p w14:paraId="1AF70E91" w14:textId="77777777" w:rsidR="00F915B8" w:rsidRPr="004C71E1" w:rsidRDefault="00F915B8" w:rsidP="002358F9">
            <w:pPr>
              <w:spacing w:after="0" w:line="240" w:lineRule="auto"/>
              <w:rPr>
                <w:rFonts w:ascii="Arial" w:eastAsia="Times New Roman" w:hAnsi="Arial" w:cs="Arial"/>
                <w:color w:val="000000"/>
                <w:sz w:val="18"/>
                <w:szCs w:val="18"/>
                <w:lang w:eastAsia="hr-HR"/>
              </w:rPr>
            </w:pPr>
            <w:r w:rsidRPr="004C71E1">
              <w:rPr>
                <w:rFonts w:ascii="Arial" w:eastAsia="Times New Roman" w:hAnsi="Arial" w:cs="Arial"/>
                <w:color w:val="000000"/>
                <w:sz w:val="18"/>
                <w:szCs w:val="18"/>
                <w:lang w:eastAsia="hr-HR"/>
              </w:rPr>
              <w:t>Funkcijska klasifikacija 064 Ulična rasvjeta</w:t>
            </w:r>
          </w:p>
        </w:tc>
        <w:tc>
          <w:tcPr>
            <w:tcW w:w="1439" w:type="dxa"/>
            <w:noWrap/>
            <w:vAlign w:val="center"/>
          </w:tcPr>
          <w:p w14:paraId="12F69876" w14:textId="203ECB00" w:rsidR="00F915B8" w:rsidRPr="0052187E" w:rsidRDefault="00BD592B" w:rsidP="0052187E">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505.415,17</w:t>
            </w:r>
          </w:p>
        </w:tc>
        <w:tc>
          <w:tcPr>
            <w:tcW w:w="1458" w:type="dxa"/>
            <w:vAlign w:val="center"/>
          </w:tcPr>
          <w:p w14:paraId="19439ACC" w14:textId="4FB2507D" w:rsidR="00F915B8" w:rsidRDefault="0018149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647.385,00</w:t>
            </w:r>
          </w:p>
        </w:tc>
        <w:tc>
          <w:tcPr>
            <w:tcW w:w="1368" w:type="dxa"/>
            <w:vAlign w:val="center"/>
          </w:tcPr>
          <w:p w14:paraId="6CC38E83" w14:textId="07945950" w:rsidR="00F915B8" w:rsidRDefault="0018149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647.385,00</w:t>
            </w:r>
          </w:p>
        </w:tc>
        <w:tc>
          <w:tcPr>
            <w:tcW w:w="1368" w:type="dxa"/>
            <w:noWrap/>
            <w:vAlign w:val="center"/>
          </w:tcPr>
          <w:p w14:paraId="519632DD" w14:textId="3305472D" w:rsidR="00F915B8" w:rsidRPr="007705A9" w:rsidRDefault="0018149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620.564,73</w:t>
            </w:r>
          </w:p>
        </w:tc>
        <w:tc>
          <w:tcPr>
            <w:tcW w:w="1096" w:type="dxa"/>
            <w:noWrap/>
            <w:vAlign w:val="center"/>
          </w:tcPr>
          <w:p w14:paraId="0A2A2F51" w14:textId="553843B8" w:rsidR="00F915B8" w:rsidRPr="002849C3" w:rsidRDefault="0018149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122,78</w:t>
            </w:r>
            <w:r w:rsidR="00063925">
              <w:rPr>
                <w:rFonts w:ascii="Arial" w:eastAsia="Times New Roman" w:hAnsi="Arial" w:cs="Arial"/>
                <w:bCs/>
                <w:color w:val="000000"/>
                <w:sz w:val="18"/>
                <w:szCs w:val="18"/>
                <w:lang w:eastAsia="hr-HR"/>
              </w:rPr>
              <w:t>%</w:t>
            </w:r>
          </w:p>
        </w:tc>
        <w:tc>
          <w:tcPr>
            <w:tcW w:w="924" w:type="dxa"/>
            <w:noWrap/>
            <w:vAlign w:val="center"/>
          </w:tcPr>
          <w:p w14:paraId="0F65E08A" w14:textId="5BF1EB16" w:rsidR="00F915B8" w:rsidRPr="002849C3" w:rsidRDefault="0018149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95,86</w:t>
            </w:r>
            <w:r w:rsidR="00063925">
              <w:rPr>
                <w:rFonts w:ascii="Arial" w:eastAsia="Times New Roman" w:hAnsi="Arial" w:cs="Arial"/>
                <w:bCs/>
                <w:color w:val="000000"/>
                <w:sz w:val="18"/>
                <w:szCs w:val="18"/>
                <w:lang w:eastAsia="hr-HR"/>
              </w:rPr>
              <w:t>%</w:t>
            </w:r>
          </w:p>
        </w:tc>
      </w:tr>
      <w:tr w:rsidR="00F915B8" w:rsidRPr="002358F9" w14:paraId="7F70920B" w14:textId="77777777" w:rsidTr="005E3779">
        <w:trPr>
          <w:trHeight w:val="231"/>
        </w:trPr>
        <w:tc>
          <w:tcPr>
            <w:tcW w:w="3687" w:type="dxa"/>
            <w:noWrap/>
            <w:vAlign w:val="bottom"/>
          </w:tcPr>
          <w:p w14:paraId="588009E9" w14:textId="77777777" w:rsidR="00F915B8" w:rsidRPr="004C71E1" w:rsidRDefault="00F915B8" w:rsidP="002358F9">
            <w:pPr>
              <w:spacing w:after="0" w:line="240" w:lineRule="auto"/>
              <w:rPr>
                <w:rFonts w:ascii="Arial" w:eastAsia="Times New Roman" w:hAnsi="Arial" w:cs="Arial"/>
                <w:color w:val="000000"/>
                <w:sz w:val="18"/>
                <w:szCs w:val="18"/>
                <w:lang w:eastAsia="hr-HR"/>
              </w:rPr>
            </w:pPr>
            <w:r w:rsidRPr="004C71E1">
              <w:rPr>
                <w:rFonts w:ascii="Arial" w:eastAsia="Times New Roman" w:hAnsi="Arial" w:cs="Arial"/>
                <w:color w:val="000000"/>
                <w:sz w:val="18"/>
                <w:szCs w:val="18"/>
                <w:lang w:eastAsia="hr-HR"/>
              </w:rPr>
              <w:t xml:space="preserve">Funkcijska klasifikacija 065 Istraživanje i razvoj stanovanja i komunalnih pogodnosti </w:t>
            </w:r>
          </w:p>
        </w:tc>
        <w:tc>
          <w:tcPr>
            <w:tcW w:w="1439" w:type="dxa"/>
            <w:noWrap/>
            <w:vAlign w:val="center"/>
          </w:tcPr>
          <w:p w14:paraId="43091BC4" w14:textId="4BDBB52D" w:rsidR="00F915B8" w:rsidRDefault="00BD592B" w:rsidP="0052187E">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6.875,00</w:t>
            </w:r>
          </w:p>
        </w:tc>
        <w:tc>
          <w:tcPr>
            <w:tcW w:w="1458" w:type="dxa"/>
            <w:vAlign w:val="center"/>
          </w:tcPr>
          <w:p w14:paraId="4F7B0C2A" w14:textId="1388CA9D" w:rsidR="00F915B8" w:rsidRDefault="0018149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20.000,00</w:t>
            </w:r>
          </w:p>
        </w:tc>
        <w:tc>
          <w:tcPr>
            <w:tcW w:w="1368" w:type="dxa"/>
            <w:vAlign w:val="center"/>
          </w:tcPr>
          <w:p w14:paraId="004D121F" w14:textId="2521C6EB" w:rsidR="00F915B8" w:rsidRDefault="0018149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19.410,00</w:t>
            </w:r>
          </w:p>
        </w:tc>
        <w:tc>
          <w:tcPr>
            <w:tcW w:w="1368" w:type="dxa"/>
            <w:noWrap/>
            <w:vAlign w:val="center"/>
          </w:tcPr>
          <w:p w14:paraId="3E8E788E" w14:textId="2D26E408" w:rsidR="00F915B8" w:rsidRDefault="0018149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496,23</w:t>
            </w:r>
          </w:p>
        </w:tc>
        <w:tc>
          <w:tcPr>
            <w:tcW w:w="1096" w:type="dxa"/>
            <w:noWrap/>
            <w:vAlign w:val="center"/>
          </w:tcPr>
          <w:p w14:paraId="7AB3BC7E" w14:textId="6EDD18B5" w:rsidR="00F915B8" w:rsidRDefault="0018149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7,22%</w:t>
            </w:r>
          </w:p>
        </w:tc>
        <w:tc>
          <w:tcPr>
            <w:tcW w:w="924" w:type="dxa"/>
            <w:noWrap/>
            <w:vAlign w:val="center"/>
          </w:tcPr>
          <w:p w14:paraId="5C5336F7" w14:textId="7D523ECC" w:rsidR="00F915B8" w:rsidRDefault="0018149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2,56</w:t>
            </w:r>
            <w:r w:rsidR="00D67BBF">
              <w:rPr>
                <w:rFonts w:ascii="Arial" w:eastAsia="Times New Roman" w:hAnsi="Arial" w:cs="Arial"/>
                <w:bCs/>
                <w:color w:val="000000"/>
                <w:sz w:val="18"/>
                <w:szCs w:val="18"/>
                <w:lang w:eastAsia="hr-HR"/>
              </w:rPr>
              <w:t>%</w:t>
            </w:r>
          </w:p>
        </w:tc>
      </w:tr>
      <w:tr w:rsidR="00F915B8" w:rsidRPr="002358F9" w14:paraId="36778921" w14:textId="77777777" w:rsidTr="005E3779">
        <w:trPr>
          <w:trHeight w:val="231"/>
        </w:trPr>
        <w:tc>
          <w:tcPr>
            <w:tcW w:w="3687" w:type="dxa"/>
            <w:noWrap/>
            <w:vAlign w:val="bottom"/>
            <w:hideMark/>
          </w:tcPr>
          <w:p w14:paraId="1C9FBAEA" w14:textId="77777777" w:rsidR="00F915B8" w:rsidRPr="002358F9" w:rsidRDefault="00F915B8"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07 Zdravstvo</w:t>
            </w:r>
          </w:p>
        </w:tc>
        <w:tc>
          <w:tcPr>
            <w:tcW w:w="1439" w:type="dxa"/>
            <w:noWrap/>
            <w:vAlign w:val="center"/>
          </w:tcPr>
          <w:p w14:paraId="36D273DB" w14:textId="2B0D0295" w:rsidR="00F915B8" w:rsidRPr="002358F9" w:rsidRDefault="00BD592B"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21.500,00</w:t>
            </w:r>
          </w:p>
        </w:tc>
        <w:tc>
          <w:tcPr>
            <w:tcW w:w="1458" w:type="dxa"/>
            <w:vAlign w:val="center"/>
          </w:tcPr>
          <w:p w14:paraId="42B37206" w14:textId="6677D57A" w:rsidR="00F915B8" w:rsidRDefault="00181499"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30.000,00</w:t>
            </w:r>
          </w:p>
        </w:tc>
        <w:tc>
          <w:tcPr>
            <w:tcW w:w="1368" w:type="dxa"/>
            <w:vAlign w:val="center"/>
          </w:tcPr>
          <w:p w14:paraId="1536541F" w14:textId="4491B060" w:rsidR="00F915B8" w:rsidRDefault="00181499"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30.000,00</w:t>
            </w:r>
          </w:p>
        </w:tc>
        <w:tc>
          <w:tcPr>
            <w:tcW w:w="1368" w:type="dxa"/>
            <w:noWrap/>
            <w:vAlign w:val="center"/>
          </w:tcPr>
          <w:p w14:paraId="792A255F" w14:textId="55470A92" w:rsidR="00883311" w:rsidRPr="002358F9" w:rsidRDefault="00D67BBF" w:rsidP="00883311">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w:t>
            </w:r>
            <w:r w:rsidR="00181499">
              <w:rPr>
                <w:rFonts w:ascii="Arial" w:eastAsia="Times New Roman" w:hAnsi="Arial" w:cs="Arial"/>
                <w:b/>
                <w:bCs/>
                <w:color w:val="000000"/>
                <w:sz w:val="18"/>
                <w:szCs w:val="18"/>
                <w:lang w:eastAsia="hr-HR"/>
              </w:rPr>
              <w:t>3.0</w:t>
            </w:r>
            <w:r>
              <w:rPr>
                <w:rFonts w:ascii="Arial" w:eastAsia="Times New Roman" w:hAnsi="Arial" w:cs="Arial"/>
                <w:b/>
                <w:bCs/>
                <w:color w:val="000000"/>
                <w:sz w:val="18"/>
                <w:szCs w:val="18"/>
                <w:lang w:eastAsia="hr-HR"/>
              </w:rPr>
              <w:t>00,00</w:t>
            </w:r>
          </w:p>
        </w:tc>
        <w:tc>
          <w:tcPr>
            <w:tcW w:w="1096" w:type="dxa"/>
            <w:noWrap/>
            <w:vAlign w:val="center"/>
          </w:tcPr>
          <w:p w14:paraId="60E89B81" w14:textId="5CAA72B8" w:rsidR="00F915B8" w:rsidRPr="002358F9" w:rsidRDefault="00181499"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106,98</w:t>
            </w:r>
            <w:r w:rsidR="00D67BBF">
              <w:rPr>
                <w:rFonts w:ascii="Arial" w:eastAsia="Times New Roman" w:hAnsi="Arial" w:cs="Arial"/>
                <w:b/>
                <w:bCs/>
                <w:color w:val="000000"/>
                <w:sz w:val="18"/>
                <w:szCs w:val="18"/>
                <w:lang w:eastAsia="hr-HR"/>
              </w:rPr>
              <w:t>%</w:t>
            </w:r>
          </w:p>
        </w:tc>
        <w:tc>
          <w:tcPr>
            <w:tcW w:w="924" w:type="dxa"/>
            <w:noWrap/>
            <w:vAlign w:val="center"/>
          </w:tcPr>
          <w:p w14:paraId="56A29694" w14:textId="027247E1" w:rsidR="00F915B8" w:rsidRPr="002358F9" w:rsidRDefault="00181499"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76,67</w:t>
            </w:r>
            <w:r w:rsidR="00D67BBF">
              <w:rPr>
                <w:rFonts w:ascii="Arial" w:eastAsia="Times New Roman" w:hAnsi="Arial" w:cs="Arial"/>
                <w:b/>
                <w:bCs/>
                <w:color w:val="000000"/>
                <w:sz w:val="18"/>
                <w:szCs w:val="18"/>
                <w:lang w:eastAsia="hr-HR"/>
              </w:rPr>
              <w:t>%</w:t>
            </w:r>
          </w:p>
        </w:tc>
      </w:tr>
      <w:tr w:rsidR="00F915B8" w:rsidRPr="002358F9" w14:paraId="1C5C9761" w14:textId="77777777" w:rsidTr="005E3779">
        <w:trPr>
          <w:trHeight w:val="231"/>
        </w:trPr>
        <w:tc>
          <w:tcPr>
            <w:tcW w:w="3687" w:type="dxa"/>
            <w:noWrap/>
            <w:vAlign w:val="bottom"/>
            <w:hideMark/>
          </w:tcPr>
          <w:p w14:paraId="22D476E7" w14:textId="77777777" w:rsidR="00F915B8" w:rsidRPr="004C71E1" w:rsidRDefault="00F915B8" w:rsidP="002358F9">
            <w:pPr>
              <w:spacing w:after="0" w:line="240" w:lineRule="auto"/>
              <w:rPr>
                <w:rFonts w:ascii="Arial" w:eastAsia="Times New Roman" w:hAnsi="Arial" w:cs="Arial"/>
                <w:color w:val="000000"/>
                <w:sz w:val="18"/>
                <w:szCs w:val="18"/>
                <w:lang w:eastAsia="hr-HR"/>
              </w:rPr>
            </w:pPr>
            <w:r w:rsidRPr="004C71E1">
              <w:rPr>
                <w:rFonts w:ascii="Arial" w:eastAsia="Times New Roman" w:hAnsi="Arial" w:cs="Arial"/>
                <w:color w:val="000000"/>
                <w:sz w:val="18"/>
                <w:szCs w:val="18"/>
                <w:lang w:eastAsia="hr-HR"/>
              </w:rPr>
              <w:t>Funkcijska klasifikacija 072 Službe za vanjske pacijente</w:t>
            </w:r>
          </w:p>
        </w:tc>
        <w:tc>
          <w:tcPr>
            <w:tcW w:w="1439" w:type="dxa"/>
            <w:noWrap/>
            <w:vAlign w:val="center"/>
          </w:tcPr>
          <w:p w14:paraId="4BE2536F" w14:textId="79DD2804" w:rsidR="00F915B8" w:rsidRPr="0052187E" w:rsidRDefault="00BD592B"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21.500,00</w:t>
            </w:r>
          </w:p>
        </w:tc>
        <w:tc>
          <w:tcPr>
            <w:tcW w:w="1458" w:type="dxa"/>
            <w:vAlign w:val="center"/>
          </w:tcPr>
          <w:p w14:paraId="44A7A928" w14:textId="0A76531E" w:rsidR="00F915B8" w:rsidRDefault="0018149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30.000,00</w:t>
            </w:r>
          </w:p>
        </w:tc>
        <w:tc>
          <w:tcPr>
            <w:tcW w:w="1368" w:type="dxa"/>
            <w:vAlign w:val="center"/>
          </w:tcPr>
          <w:p w14:paraId="727CF87A" w14:textId="1278222F" w:rsidR="00F915B8" w:rsidRDefault="0018149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30.000,00</w:t>
            </w:r>
          </w:p>
        </w:tc>
        <w:tc>
          <w:tcPr>
            <w:tcW w:w="1368" w:type="dxa"/>
            <w:noWrap/>
            <w:vAlign w:val="center"/>
          </w:tcPr>
          <w:p w14:paraId="6F114995" w14:textId="71A988A5" w:rsidR="00F915B8" w:rsidRPr="007705A9" w:rsidRDefault="0018149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23.000,00</w:t>
            </w:r>
          </w:p>
        </w:tc>
        <w:tc>
          <w:tcPr>
            <w:tcW w:w="1096" w:type="dxa"/>
            <w:noWrap/>
            <w:vAlign w:val="center"/>
          </w:tcPr>
          <w:p w14:paraId="0540C21B" w14:textId="1ABD9624" w:rsidR="00F915B8" w:rsidRPr="002358F9" w:rsidRDefault="00181499"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106,98</w:t>
            </w:r>
            <w:r w:rsidR="00D67BBF">
              <w:rPr>
                <w:rFonts w:ascii="Arial" w:eastAsia="Times New Roman" w:hAnsi="Arial" w:cs="Arial"/>
                <w:b/>
                <w:bCs/>
                <w:color w:val="000000"/>
                <w:sz w:val="18"/>
                <w:szCs w:val="18"/>
                <w:lang w:eastAsia="hr-HR"/>
              </w:rPr>
              <w:t>%</w:t>
            </w:r>
          </w:p>
        </w:tc>
        <w:tc>
          <w:tcPr>
            <w:tcW w:w="924" w:type="dxa"/>
            <w:noWrap/>
            <w:vAlign w:val="center"/>
          </w:tcPr>
          <w:p w14:paraId="20634BB8" w14:textId="7A09CEF1" w:rsidR="00F915B8" w:rsidRPr="002358F9" w:rsidRDefault="00181499"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76,67</w:t>
            </w:r>
            <w:r w:rsidR="00D67BBF">
              <w:rPr>
                <w:rFonts w:ascii="Arial" w:eastAsia="Times New Roman" w:hAnsi="Arial" w:cs="Arial"/>
                <w:b/>
                <w:bCs/>
                <w:color w:val="000000"/>
                <w:sz w:val="18"/>
                <w:szCs w:val="18"/>
                <w:lang w:eastAsia="hr-HR"/>
              </w:rPr>
              <w:t>%</w:t>
            </w:r>
          </w:p>
        </w:tc>
      </w:tr>
      <w:tr w:rsidR="00F915B8" w:rsidRPr="002358F9" w14:paraId="312501D1" w14:textId="77777777" w:rsidTr="005E3779">
        <w:trPr>
          <w:trHeight w:val="231"/>
        </w:trPr>
        <w:tc>
          <w:tcPr>
            <w:tcW w:w="3687" w:type="dxa"/>
            <w:noWrap/>
            <w:vAlign w:val="bottom"/>
            <w:hideMark/>
          </w:tcPr>
          <w:p w14:paraId="27282D4C" w14:textId="77777777" w:rsidR="00F915B8" w:rsidRPr="002358F9" w:rsidRDefault="00F915B8"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08 "Rekreacija, kultura i religija"</w:t>
            </w:r>
          </w:p>
        </w:tc>
        <w:tc>
          <w:tcPr>
            <w:tcW w:w="1439" w:type="dxa"/>
            <w:noWrap/>
            <w:vAlign w:val="center"/>
          </w:tcPr>
          <w:p w14:paraId="4B5E73E8" w14:textId="604A3D85" w:rsidR="00F915B8" w:rsidRPr="002358F9" w:rsidRDefault="00BD592B" w:rsidP="0052187E">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1.514.109,36</w:t>
            </w:r>
          </w:p>
        </w:tc>
        <w:tc>
          <w:tcPr>
            <w:tcW w:w="1458" w:type="dxa"/>
            <w:vAlign w:val="center"/>
          </w:tcPr>
          <w:p w14:paraId="01916713" w14:textId="5BFDF3A2" w:rsidR="00F915B8" w:rsidRDefault="00181499"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2.059.596,00</w:t>
            </w:r>
          </w:p>
        </w:tc>
        <w:tc>
          <w:tcPr>
            <w:tcW w:w="1368" w:type="dxa"/>
            <w:vAlign w:val="center"/>
          </w:tcPr>
          <w:p w14:paraId="47FD76AB" w14:textId="11FF0E0B" w:rsidR="00F915B8" w:rsidRDefault="00181499"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2.088.731,00</w:t>
            </w:r>
          </w:p>
        </w:tc>
        <w:tc>
          <w:tcPr>
            <w:tcW w:w="1368" w:type="dxa"/>
            <w:noWrap/>
            <w:vAlign w:val="center"/>
          </w:tcPr>
          <w:p w14:paraId="422BE492" w14:textId="5E2AB268" w:rsidR="00F915B8" w:rsidRPr="002358F9" w:rsidRDefault="00360881"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2.000.669,89</w:t>
            </w:r>
          </w:p>
        </w:tc>
        <w:tc>
          <w:tcPr>
            <w:tcW w:w="1096" w:type="dxa"/>
            <w:noWrap/>
            <w:vAlign w:val="center"/>
          </w:tcPr>
          <w:p w14:paraId="28EC9660" w14:textId="61446E18" w:rsidR="00F915B8" w:rsidRPr="002358F9" w:rsidRDefault="00360881"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132,14</w:t>
            </w:r>
            <w:r w:rsidR="00D67BBF">
              <w:rPr>
                <w:rFonts w:ascii="Arial" w:eastAsia="Times New Roman" w:hAnsi="Arial" w:cs="Arial"/>
                <w:b/>
                <w:bCs/>
                <w:color w:val="000000"/>
                <w:sz w:val="18"/>
                <w:szCs w:val="18"/>
                <w:lang w:eastAsia="hr-HR"/>
              </w:rPr>
              <w:t>%</w:t>
            </w:r>
          </w:p>
        </w:tc>
        <w:tc>
          <w:tcPr>
            <w:tcW w:w="924" w:type="dxa"/>
            <w:noWrap/>
            <w:vAlign w:val="center"/>
          </w:tcPr>
          <w:p w14:paraId="17519DF2" w14:textId="7D41D01D" w:rsidR="00F915B8" w:rsidRPr="002358F9" w:rsidRDefault="00360881"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95,78</w:t>
            </w:r>
            <w:r w:rsidR="00883311">
              <w:rPr>
                <w:rFonts w:ascii="Arial" w:eastAsia="Times New Roman" w:hAnsi="Arial" w:cs="Arial"/>
                <w:b/>
                <w:bCs/>
                <w:color w:val="000000"/>
                <w:sz w:val="18"/>
                <w:szCs w:val="18"/>
                <w:lang w:eastAsia="hr-HR"/>
              </w:rPr>
              <w:t>%</w:t>
            </w:r>
          </w:p>
        </w:tc>
      </w:tr>
      <w:tr w:rsidR="00F915B8" w:rsidRPr="002358F9" w14:paraId="71CEBAED" w14:textId="77777777" w:rsidTr="005E3779">
        <w:trPr>
          <w:trHeight w:val="231"/>
        </w:trPr>
        <w:tc>
          <w:tcPr>
            <w:tcW w:w="3687" w:type="dxa"/>
            <w:noWrap/>
            <w:vAlign w:val="bottom"/>
            <w:hideMark/>
          </w:tcPr>
          <w:p w14:paraId="73C36B8A" w14:textId="77777777" w:rsidR="00F915B8" w:rsidRPr="004C71E1" w:rsidRDefault="00F915B8" w:rsidP="002358F9">
            <w:pPr>
              <w:spacing w:after="0" w:line="240" w:lineRule="auto"/>
              <w:rPr>
                <w:rFonts w:ascii="Arial" w:eastAsia="Times New Roman" w:hAnsi="Arial" w:cs="Arial"/>
                <w:color w:val="000000"/>
                <w:sz w:val="18"/>
                <w:szCs w:val="18"/>
                <w:lang w:eastAsia="hr-HR"/>
              </w:rPr>
            </w:pPr>
            <w:r w:rsidRPr="004C71E1">
              <w:rPr>
                <w:rFonts w:ascii="Arial" w:eastAsia="Times New Roman" w:hAnsi="Arial" w:cs="Arial"/>
                <w:color w:val="000000"/>
                <w:sz w:val="18"/>
                <w:szCs w:val="18"/>
                <w:lang w:eastAsia="hr-HR"/>
              </w:rPr>
              <w:t>Funkcijska klasifikacija 081 Službe rekreacije i sporta</w:t>
            </w:r>
          </w:p>
        </w:tc>
        <w:tc>
          <w:tcPr>
            <w:tcW w:w="1439" w:type="dxa"/>
            <w:noWrap/>
            <w:vAlign w:val="center"/>
          </w:tcPr>
          <w:p w14:paraId="2B018B50" w14:textId="615B138D" w:rsidR="00F915B8" w:rsidRPr="00567469" w:rsidRDefault="00BD592B"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897.181,67</w:t>
            </w:r>
          </w:p>
        </w:tc>
        <w:tc>
          <w:tcPr>
            <w:tcW w:w="1458" w:type="dxa"/>
            <w:vAlign w:val="center"/>
          </w:tcPr>
          <w:p w14:paraId="754A5167" w14:textId="77B7BA37" w:rsidR="00F915B8" w:rsidRDefault="0018149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1.123.400,00</w:t>
            </w:r>
          </w:p>
        </w:tc>
        <w:tc>
          <w:tcPr>
            <w:tcW w:w="1368" w:type="dxa"/>
            <w:vAlign w:val="center"/>
          </w:tcPr>
          <w:p w14:paraId="5CFC78A7" w14:textId="2196AD17" w:rsidR="00F915B8" w:rsidRDefault="0018149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1.152.535,00</w:t>
            </w:r>
          </w:p>
        </w:tc>
        <w:tc>
          <w:tcPr>
            <w:tcW w:w="1368" w:type="dxa"/>
            <w:noWrap/>
            <w:vAlign w:val="center"/>
          </w:tcPr>
          <w:p w14:paraId="3F21D85A" w14:textId="0B77F448" w:rsidR="00F915B8" w:rsidRPr="007705A9" w:rsidRDefault="00360881"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1.194.159,36</w:t>
            </w:r>
          </w:p>
        </w:tc>
        <w:tc>
          <w:tcPr>
            <w:tcW w:w="1096" w:type="dxa"/>
            <w:noWrap/>
            <w:vAlign w:val="center"/>
          </w:tcPr>
          <w:p w14:paraId="1075B8F5" w14:textId="3E4EACE5" w:rsidR="00F915B8" w:rsidRPr="002849C3" w:rsidRDefault="00360881"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133,10</w:t>
            </w:r>
            <w:r w:rsidR="00883311">
              <w:rPr>
                <w:rFonts w:ascii="Arial" w:eastAsia="Times New Roman" w:hAnsi="Arial" w:cs="Arial"/>
                <w:bCs/>
                <w:color w:val="000000"/>
                <w:sz w:val="18"/>
                <w:szCs w:val="18"/>
                <w:lang w:eastAsia="hr-HR"/>
              </w:rPr>
              <w:t>%</w:t>
            </w:r>
          </w:p>
        </w:tc>
        <w:tc>
          <w:tcPr>
            <w:tcW w:w="924" w:type="dxa"/>
            <w:noWrap/>
            <w:vAlign w:val="center"/>
          </w:tcPr>
          <w:p w14:paraId="0F4554B1" w14:textId="49099B27" w:rsidR="00F915B8" w:rsidRPr="002849C3" w:rsidRDefault="00360881"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103,61</w:t>
            </w:r>
            <w:r w:rsidR="00883311">
              <w:rPr>
                <w:rFonts w:ascii="Arial" w:eastAsia="Times New Roman" w:hAnsi="Arial" w:cs="Arial"/>
                <w:bCs/>
                <w:color w:val="000000"/>
                <w:sz w:val="18"/>
                <w:szCs w:val="18"/>
                <w:lang w:eastAsia="hr-HR"/>
              </w:rPr>
              <w:t>%</w:t>
            </w:r>
          </w:p>
        </w:tc>
      </w:tr>
      <w:tr w:rsidR="00F915B8" w:rsidRPr="002358F9" w14:paraId="213B2886" w14:textId="77777777" w:rsidTr="005E3779">
        <w:trPr>
          <w:trHeight w:val="231"/>
        </w:trPr>
        <w:tc>
          <w:tcPr>
            <w:tcW w:w="3687" w:type="dxa"/>
            <w:noWrap/>
            <w:vAlign w:val="bottom"/>
            <w:hideMark/>
          </w:tcPr>
          <w:p w14:paraId="22E611E2" w14:textId="77777777" w:rsidR="00F915B8" w:rsidRPr="004C71E1" w:rsidRDefault="00F915B8" w:rsidP="002358F9">
            <w:pPr>
              <w:spacing w:after="0" w:line="240" w:lineRule="auto"/>
              <w:rPr>
                <w:rFonts w:ascii="Arial" w:eastAsia="Times New Roman" w:hAnsi="Arial" w:cs="Arial"/>
                <w:color w:val="000000"/>
                <w:sz w:val="18"/>
                <w:szCs w:val="18"/>
                <w:lang w:eastAsia="hr-HR"/>
              </w:rPr>
            </w:pPr>
            <w:r w:rsidRPr="004C71E1">
              <w:rPr>
                <w:rFonts w:ascii="Arial" w:eastAsia="Times New Roman" w:hAnsi="Arial" w:cs="Arial"/>
                <w:color w:val="000000"/>
                <w:sz w:val="18"/>
                <w:szCs w:val="18"/>
                <w:lang w:eastAsia="hr-HR"/>
              </w:rPr>
              <w:t>Funkcijska klasifikacija 082 Službe kulture</w:t>
            </w:r>
          </w:p>
        </w:tc>
        <w:tc>
          <w:tcPr>
            <w:tcW w:w="1439" w:type="dxa"/>
            <w:noWrap/>
            <w:vAlign w:val="center"/>
          </w:tcPr>
          <w:p w14:paraId="6F48C146" w14:textId="74552591" w:rsidR="00F915B8" w:rsidRPr="00567469" w:rsidRDefault="00BD592B"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614.401,19</w:t>
            </w:r>
          </w:p>
        </w:tc>
        <w:tc>
          <w:tcPr>
            <w:tcW w:w="1458" w:type="dxa"/>
            <w:vAlign w:val="center"/>
          </w:tcPr>
          <w:p w14:paraId="552B80C8" w14:textId="3CFFCEB4" w:rsidR="00F915B8" w:rsidRDefault="0018149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881.196,00</w:t>
            </w:r>
          </w:p>
        </w:tc>
        <w:tc>
          <w:tcPr>
            <w:tcW w:w="1368" w:type="dxa"/>
            <w:vAlign w:val="center"/>
          </w:tcPr>
          <w:p w14:paraId="06AFBC7F" w14:textId="2126AA48" w:rsidR="00F915B8" w:rsidRDefault="0018149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881.196,00</w:t>
            </w:r>
          </w:p>
        </w:tc>
        <w:tc>
          <w:tcPr>
            <w:tcW w:w="1368" w:type="dxa"/>
            <w:noWrap/>
            <w:vAlign w:val="center"/>
          </w:tcPr>
          <w:p w14:paraId="00F8574B" w14:textId="450E7D4A" w:rsidR="00F915B8" w:rsidRPr="007705A9" w:rsidRDefault="0018149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755.621,25</w:t>
            </w:r>
          </w:p>
        </w:tc>
        <w:tc>
          <w:tcPr>
            <w:tcW w:w="1096" w:type="dxa"/>
            <w:noWrap/>
            <w:vAlign w:val="center"/>
          </w:tcPr>
          <w:p w14:paraId="52399B88" w14:textId="62C3FB2F" w:rsidR="00F915B8" w:rsidRPr="002849C3" w:rsidRDefault="0018149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122,98</w:t>
            </w:r>
            <w:r w:rsidR="00883311">
              <w:rPr>
                <w:rFonts w:ascii="Arial" w:eastAsia="Times New Roman" w:hAnsi="Arial" w:cs="Arial"/>
                <w:bCs/>
                <w:color w:val="000000"/>
                <w:sz w:val="18"/>
                <w:szCs w:val="18"/>
                <w:lang w:eastAsia="hr-HR"/>
              </w:rPr>
              <w:t>%</w:t>
            </w:r>
          </w:p>
        </w:tc>
        <w:tc>
          <w:tcPr>
            <w:tcW w:w="924" w:type="dxa"/>
            <w:noWrap/>
            <w:vAlign w:val="center"/>
          </w:tcPr>
          <w:p w14:paraId="07108E99" w14:textId="1F8467D4" w:rsidR="00F915B8" w:rsidRPr="002849C3" w:rsidRDefault="0018149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85,75</w:t>
            </w:r>
            <w:r w:rsidR="00883311">
              <w:rPr>
                <w:rFonts w:ascii="Arial" w:eastAsia="Times New Roman" w:hAnsi="Arial" w:cs="Arial"/>
                <w:bCs/>
                <w:color w:val="000000"/>
                <w:sz w:val="18"/>
                <w:szCs w:val="18"/>
                <w:lang w:eastAsia="hr-HR"/>
              </w:rPr>
              <w:t>%</w:t>
            </w:r>
          </w:p>
        </w:tc>
      </w:tr>
      <w:tr w:rsidR="00F915B8" w:rsidRPr="002358F9" w14:paraId="70556F20" w14:textId="77777777" w:rsidTr="005E3779">
        <w:trPr>
          <w:trHeight w:val="231"/>
        </w:trPr>
        <w:tc>
          <w:tcPr>
            <w:tcW w:w="3687" w:type="dxa"/>
            <w:noWrap/>
            <w:vAlign w:val="bottom"/>
            <w:hideMark/>
          </w:tcPr>
          <w:p w14:paraId="758E6535" w14:textId="77777777" w:rsidR="00F915B8" w:rsidRPr="004C71E1" w:rsidRDefault="00F915B8" w:rsidP="002358F9">
            <w:pPr>
              <w:spacing w:after="0" w:line="240" w:lineRule="auto"/>
              <w:rPr>
                <w:rFonts w:ascii="Arial" w:eastAsia="Times New Roman" w:hAnsi="Arial" w:cs="Arial"/>
                <w:color w:val="000000"/>
                <w:sz w:val="18"/>
                <w:szCs w:val="18"/>
                <w:lang w:eastAsia="hr-HR"/>
              </w:rPr>
            </w:pPr>
            <w:r w:rsidRPr="004C71E1">
              <w:rPr>
                <w:rFonts w:ascii="Arial" w:eastAsia="Times New Roman" w:hAnsi="Arial" w:cs="Arial"/>
                <w:color w:val="000000"/>
                <w:sz w:val="18"/>
                <w:szCs w:val="18"/>
                <w:lang w:eastAsia="hr-HR"/>
              </w:rPr>
              <w:t>Funkcijska klasifikacija 084 Religijske i druge službe zajednice</w:t>
            </w:r>
          </w:p>
        </w:tc>
        <w:tc>
          <w:tcPr>
            <w:tcW w:w="1439" w:type="dxa"/>
            <w:noWrap/>
            <w:vAlign w:val="center"/>
          </w:tcPr>
          <w:p w14:paraId="72CD9BDC" w14:textId="1EBF1E23" w:rsidR="00F915B8" w:rsidRPr="00567469" w:rsidRDefault="00BD592B"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2.526,50</w:t>
            </w:r>
          </w:p>
        </w:tc>
        <w:tc>
          <w:tcPr>
            <w:tcW w:w="1458" w:type="dxa"/>
            <w:vAlign w:val="center"/>
          </w:tcPr>
          <w:p w14:paraId="54E13FA1" w14:textId="17355396" w:rsidR="00F915B8" w:rsidRDefault="0018149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55.000,00</w:t>
            </w:r>
          </w:p>
        </w:tc>
        <w:tc>
          <w:tcPr>
            <w:tcW w:w="1368" w:type="dxa"/>
            <w:vAlign w:val="center"/>
          </w:tcPr>
          <w:p w14:paraId="6D3C8351" w14:textId="0243AE3D" w:rsidR="00F915B8" w:rsidRDefault="0018149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55.000,00</w:t>
            </w:r>
          </w:p>
        </w:tc>
        <w:tc>
          <w:tcPr>
            <w:tcW w:w="1368" w:type="dxa"/>
            <w:noWrap/>
            <w:vAlign w:val="center"/>
          </w:tcPr>
          <w:p w14:paraId="6052F54D" w14:textId="769E67E8" w:rsidR="00F915B8" w:rsidRPr="007705A9" w:rsidRDefault="0018149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50.889,28</w:t>
            </w:r>
          </w:p>
        </w:tc>
        <w:tc>
          <w:tcPr>
            <w:tcW w:w="1096" w:type="dxa"/>
            <w:noWrap/>
            <w:vAlign w:val="center"/>
          </w:tcPr>
          <w:p w14:paraId="699987CD" w14:textId="46CD6577" w:rsidR="00F915B8" w:rsidRPr="002849C3" w:rsidRDefault="0018149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2014,22</w:t>
            </w:r>
            <w:r w:rsidR="00883311">
              <w:rPr>
                <w:rFonts w:ascii="Arial" w:eastAsia="Times New Roman" w:hAnsi="Arial" w:cs="Arial"/>
                <w:bCs/>
                <w:color w:val="000000"/>
                <w:sz w:val="18"/>
                <w:szCs w:val="18"/>
                <w:lang w:eastAsia="hr-HR"/>
              </w:rPr>
              <w:t>%</w:t>
            </w:r>
          </w:p>
        </w:tc>
        <w:tc>
          <w:tcPr>
            <w:tcW w:w="924" w:type="dxa"/>
            <w:noWrap/>
            <w:vAlign w:val="center"/>
          </w:tcPr>
          <w:p w14:paraId="41FBB4D7" w14:textId="7500E312" w:rsidR="00F915B8" w:rsidRPr="002849C3" w:rsidRDefault="0018149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92,53</w:t>
            </w:r>
            <w:r w:rsidR="00883311">
              <w:rPr>
                <w:rFonts w:ascii="Arial" w:eastAsia="Times New Roman" w:hAnsi="Arial" w:cs="Arial"/>
                <w:bCs/>
                <w:color w:val="000000"/>
                <w:sz w:val="18"/>
                <w:szCs w:val="18"/>
                <w:lang w:eastAsia="hr-HR"/>
              </w:rPr>
              <w:t>%</w:t>
            </w:r>
          </w:p>
        </w:tc>
      </w:tr>
      <w:tr w:rsidR="00F915B8" w:rsidRPr="002358F9" w14:paraId="452C532A" w14:textId="77777777" w:rsidTr="005E3779">
        <w:trPr>
          <w:trHeight w:val="231"/>
        </w:trPr>
        <w:tc>
          <w:tcPr>
            <w:tcW w:w="3687" w:type="dxa"/>
            <w:noWrap/>
            <w:vAlign w:val="bottom"/>
            <w:hideMark/>
          </w:tcPr>
          <w:p w14:paraId="1895025B" w14:textId="77777777" w:rsidR="00F915B8" w:rsidRPr="002358F9" w:rsidRDefault="00F915B8"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09 Obrazovanje</w:t>
            </w:r>
          </w:p>
        </w:tc>
        <w:tc>
          <w:tcPr>
            <w:tcW w:w="1439" w:type="dxa"/>
            <w:noWrap/>
            <w:vAlign w:val="center"/>
          </w:tcPr>
          <w:p w14:paraId="27882DE8" w14:textId="31F80BCD" w:rsidR="00F915B8" w:rsidRPr="002358F9" w:rsidRDefault="00BD592B"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2.321.737,64</w:t>
            </w:r>
          </w:p>
        </w:tc>
        <w:tc>
          <w:tcPr>
            <w:tcW w:w="1458" w:type="dxa"/>
            <w:vAlign w:val="center"/>
          </w:tcPr>
          <w:p w14:paraId="2E55F6BF" w14:textId="10010714" w:rsidR="00F915B8" w:rsidRDefault="00161265"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3.365.300,00</w:t>
            </w:r>
          </w:p>
        </w:tc>
        <w:tc>
          <w:tcPr>
            <w:tcW w:w="1368" w:type="dxa"/>
            <w:vAlign w:val="center"/>
          </w:tcPr>
          <w:p w14:paraId="5AC6FA46" w14:textId="482E19E9" w:rsidR="00F915B8" w:rsidRDefault="00161265"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3.435.624,00</w:t>
            </w:r>
          </w:p>
        </w:tc>
        <w:tc>
          <w:tcPr>
            <w:tcW w:w="1368" w:type="dxa"/>
            <w:noWrap/>
            <w:vAlign w:val="center"/>
          </w:tcPr>
          <w:p w14:paraId="32E7D295" w14:textId="4A684467" w:rsidR="00F915B8" w:rsidRPr="002358F9" w:rsidRDefault="00161265"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3.154.2</w:t>
            </w:r>
            <w:r w:rsidR="00360881">
              <w:rPr>
                <w:rFonts w:ascii="Arial" w:eastAsia="Times New Roman" w:hAnsi="Arial" w:cs="Arial"/>
                <w:b/>
                <w:bCs/>
                <w:color w:val="000000"/>
                <w:sz w:val="18"/>
                <w:szCs w:val="18"/>
                <w:lang w:eastAsia="hr-HR"/>
              </w:rPr>
              <w:t>5</w:t>
            </w:r>
            <w:r>
              <w:rPr>
                <w:rFonts w:ascii="Arial" w:eastAsia="Times New Roman" w:hAnsi="Arial" w:cs="Arial"/>
                <w:b/>
                <w:bCs/>
                <w:color w:val="000000"/>
                <w:sz w:val="18"/>
                <w:szCs w:val="18"/>
                <w:lang w:eastAsia="hr-HR"/>
              </w:rPr>
              <w:t>2,25</w:t>
            </w:r>
          </w:p>
        </w:tc>
        <w:tc>
          <w:tcPr>
            <w:tcW w:w="1096" w:type="dxa"/>
            <w:noWrap/>
            <w:vAlign w:val="center"/>
          </w:tcPr>
          <w:p w14:paraId="028665C4" w14:textId="01B3F04C" w:rsidR="00F915B8" w:rsidRPr="002358F9" w:rsidRDefault="00161265"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135,86</w:t>
            </w:r>
            <w:r w:rsidR="008563B9">
              <w:rPr>
                <w:rFonts w:ascii="Arial" w:eastAsia="Times New Roman" w:hAnsi="Arial" w:cs="Arial"/>
                <w:b/>
                <w:bCs/>
                <w:color w:val="000000"/>
                <w:sz w:val="18"/>
                <w:szCs w:val="18"/>
                <w:lang w:eastAsia="hr-HR"/>
              </w:rPr>
              <w:t>%</w:t>
            </w:r>
          </w:p>
        </w:tc>
        <w:tc>
          <w:tcPr>
            <w:tcW w:w="924" w:type="dxa"/>
            <w:noWrap/>
            <w:vAlign w:val="center"/>
          </w:tcPr>
          <w:p w14:paraId="78FAB630" w14:textId="5A6D995C" w:rsidR="00F915B8" w:rsidRPr="002358F9" w:rsidRDefault="00161265"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91,81</w:t>
            </w:r>
            <w:r w:rsidR="008563B9">
              <w:rPr>
                <w:rFonts w:ascii="Arial" w:eastAsia="Times New Roman" w:hAnsi="Arial" w:cs="Arial"/>
                <w:b/>
                <w:bCs/>
                <w:color w:val="000000"/>
                <w:sz w:val="18"/>
                <w:szCs w:val="18"/>
                <w:lang w:eastAsia="hr-HR"/>
              </w:rPr>
              <w:t>%</w:t>
            </w:r>
          </w:p>
        </w:tc>
      </w:tr>
      <w:tr w:rsidR="00F915B8" w:rsidRPr="002358F9" w14:paraId="25FE40D2" w14:textId="77777777" w:rsidTr="005E3779">
        <w:trPr>
          <w:trHeight w:val="231"/>
        </w:trPr>
        <w:tc>
          <w:tcPr>
            <w:tcW w:w="3687" w:type="dxa"/>
            <w:noWrap/>
            <w:vAlign w:val="bottom"/>
            <w:hideMark/>
          </w:tcPr>
          <w:p w14:paraId="507F4940" w14:textId="77777777" w:rsidR="00F915B8" w:rsidRPr="004C71E1" w:rsidRDefault="00F915B8" w:rsidP="002358F9">
            <w:pPr>
              <w:spacing w:after="0" w:line="240" w:lineRule="auto"/>
              <w:rPr>
                <w:rFonts w:ascii="Arial" w:eastAsia="Times New Roman" w:hAnsi="Arial" w:cs="Arial"/>
                <w:color w:val="000000"/>
                <w:sz w:val="18"/>
                <w:szCs w:val="18"/>
                <w:lang w:eastAsia="hr-HR"/>
              </w:rPr>
            </w:pPr>
            <w:r w:rsidRPr="004C71E1">
              <w:rPr>
                <w:rFonts w:ascii="Arial" w:eastAsia="Times New Roman" w:hAnsi="Arial" w:cs="Arial"/>
                <w:color w:val="000000"/>
                <w:sz w:val="18"/>
                <w:szCs w:val="18"/>
                <w:lang w:eastAsia="hr-HR"/>
              </w:rPr>
              <w:t>Funkcijska klasifikacija 091 Predškolsko i osnovno obrazovanje</w:t>
            </w:r>
          </w:p>
        </w:tc>
        <w:tc>
          <w:tcPr>
            <w:tcW w:w="1439" w:type="dxa"/>
            <w:noWrap/>
            <w:vAlign w:val="center"/>
          </w:tcPr>
          <w:p w14:paraId="3E29F1AB" w14:textId="5279774A" w:rsidR="00F915B8" w:rsidRPr="0052187E" w:rsidRDefault="00BD592B"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1.932.472,14</w:t>
            </w:r>
          </w:p>
        </w:tc>
        <w:tc>
          <w:tcPr>
            <w:tcW w:w="1458" w:type="dxa"/>
            <w:vAlign w:val="center"/>
          </w:tcPr>
          <w:p w14:paraId="6A2909A8" w14:textId="26C0EF51" w:rsidR="00F915B8" w:rsidRDefault="00352B77"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3.011.300,00</w:t>
            </w:r>
          </w:p>
        </w:tc>
        <w:tc>
          <w:tcPr>
            <w:tcW w:w="1368" w:type="dxa"/>
            <w:vAlign w:val="center"/>
          </w:tcPr>
          <w:p w14:paraId="1E561613" w14:textId="4869EB06" w:rsidR="00F915B8" w:rsidRDefault="00352B77"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3.081.624,00</w:t>
            </w:r>
          </w:p>
        </w:tc>
        <w:tc>
          <w:tcPr>
            <w:tcW w:w="1368" w:type="dxa"/>
            <w:noWrap/>
            <w:vAlign w:val="center"/>
          </w:tcPr>
          <w:p w14:paraId="43645862" w14:textId="76AFC3B5" w:rsidR="00F915B8" w:rsidRPr="007705A9" w:rsidRDefault="00360881"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2.705.456,10</w:t>
            </w:r>
          </w:p>
        </w:tc>
        <w:tc>
          <w:tcPr>
            <w:tcW w:w="1096" w:type="dxa"/>
            <w:noWrap/>
            <w:vAlign w:val="center"/>
          </w:tcPr>
          <w:p w14:paraId="7B9F8615" w14:textId="6F47E6D2" w:rsidR="00F915B8" w:rsidRPr="002849C3" w:rsidRDefault="00360881"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140,00</w:t>
            </w:r>
            <w:r w:rsidR="008563B9">
              <w:rPr>
                <w:rFonts w:ascii="Arial" w:eastAsia="Times New Roman" w:hAnsi="Arial" w:cs="Arial"/>
                <w:bCs/>
                <w:color w:val="000000"/>
                <w:sz w:val="18"/>
                <w:szCs w:val="18"/>
                <w:lang w:eastAsia="hr-HR"/>
              </w:rPr>
              <w:t>%</w:t>
            </w:r>
          </w:p>
        </w:tc>
        <w:tc>
          <w:tcPr>
            <w:tcW w:w="924" w:type="dxa"/>
            <w:noWrap/>
            <w:vAlign w:val="center"/>
          </w:tcPr>
          <w:p w14:paraId="31E7D5B5" w14:textId="2E6FC891" w:rsidR="00F915B8" w:rsidRPr="002849C3" w:rsidRDefault="00360881"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87,79</w:t>
            </w:r>
            <w:r w:rsidR="008563B9">
              <w:rPr>
                <w:rFonts w:ascii="Arial" w:eastAsia="Times New Roman" w:hAnsi="Arial" w:cs="Arial"/>
                <w:bCs/>
                <w:color w:val="000000"/>
                <w:sz w:val="18"/>
                <w:szCs w:val="18"/>
                <w:lang w:eastAsia="hr-HR"/>
              </w:rPr>
              <w:t>%</w:t>
            </w:r>
          </w:p>
        </w:tc>
      </w:tr>
      <w:tr w:rsidR="00F915B8" w:rsidRPr="002358F9" w14:paraId="3CB7E612" w14:textId="77777777" w:rsidTr="005E3779">
        <w:trPr>
          <w:trHeight w:val="480"/>
        </w:trPr>
        <w:tc>
          <w:tcPr>
            <w:tcW w:w="3687" w:type="dxa"/>
            <w:vAlign w:val="bottom"/>
            <w:hideMark/>
          </w:tcPr>
          <w:p w14:paraId="26097761" w14:textId="77777777" w:rsidR="00F915B8" w:rsidRPr="004C71E1" w:rsidRDefault="00F915B8" w:rsidP="002358F9">
            <w:pPr>
              <w:spacing w:after="0" w:line="240" w:lineRule="auto"/>
              <w:rPr>
                <w:rFonts w:ascii="Arial" w:eastAsia="Times New Roman" w:hAnsi="Arial" w:cs="Arial"/>
                <w:color w:val="000000"/>
                <w:sz w:val="18"/>
                <w:szCs w:val="18"/>
                <w:lang w:eastAsia="hr-HR"/>
              </w:rPr>
            </w:pPr>
            <w:r w:rsidRPr="004C71E1">
              <w:rPr>
                <w:rFonts w:ascii="Arial" w:eastAsia="Times New Roman" w:hAnsi="Arial" w:cs="Arial"/>
                <w:color w:val="000000"/>
                <w:sz w:val="18"/>
                <w:szCs w:val="18"/>
                <w:lang w:eastAsia="hr-HR"/>
              </w:rPr>
              <w:t>Funkcijska klasifikacija 095 Obrazovanje koje se ne može definirati po stupnju</w:t>
            </w:r>
          </w:p>
        </w:tc>
        <w:tc>
          <w:tcPr>
            <w:tcW w:w="1439" w:type="dxa"/>
            <w:noWrap/>
            <w:vAlign w:val="center"/>
          </w:tcPr>
          <w:p w14:paraId="54359BD4" w14:textId="09DD858D" w:rsidR="00F915B8" w:rsidRPr="0052187E" w:rsidRDefault="00BD592B"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289.900,40</w:t>
            </w:r>
          </w:p>
        </w:tc>
        <w:tc>
          <w:tcPr>
            <w:tcW w:w="1458" w:type="dxa"/>
            <w:vAlign w:val="center"/>
          </w:tcPr>
          <w:p w14:paraId="27A7FAD2" w14:textId="700DCBD7" w:rsidR="00F915B8" w:rsidRDefault="00352B77"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354.000,00</w:t>
            </w:r>
          </w:p>
        </w:tc>
        <w:tc>
          <w:tcPr>
            <w:tcW w:w="1368" w:type="dxa"/>
            <w:vAlign w:val="center"/>
          </w:tcPr>
          <w:p w14:paraId="0A44470F" w14:textId="45CBA26C" w:rsidR="00F915B8" w:rsidRDefault="00352B77"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354.000,00</w:t>
            </w:r>
          </w:p>
        </w:tc>
        <w:tc>
          <w:tcPr>
            <w:tcW w:w="1368" w:type="dxa"/>
            <w:noWrap/>
            <w:vAlign w:val="center"/>
          </w:tcPr>
          <w:p w14:paraId="724E05DB" w14:textId="26590BEB" w:rsidR="00F915B8" w:rsidRPr="007705A9" w:rsidRDefault="00352B77"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339.144,64</w:t>
            </w:r>
          </w:p>
        </w:tc>
        <w:tc>
          <w:tcPr>
            <w:tcW w:w="1096" w:type="dxa"/>
            <w:noWrap/>
            <w:vAlign w:val="center"/>
          </w:tcPr>
          <w:p w14:paraId="36438BE9" w14:textId="662272D0" w:rsidR="00F915B8" w:rsidRPr="002849C3" w:rsidRDefault="00352B77"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116,99</w:t>
            </w:r>
            <w:r w:rsidR="008563B9">
              <w:rPr>
                <w:rFonts w:ascii="Arial" w:eastAsia="Times New Roman" w:hAnsi="Arial" w:cs="Arial"/>
                <w:bCs/>
                <w:color w:val="000000"/>
                <w:sz w:val="18"/>
                <w:szCs w:val="18"/>
                <w:lang w:eastAsia="hr-HR"/>
              </w:rPr>
              <w:t>%</w:t>
            </w:r>
          </w:p>
        </w:tc>
        <w:tc>
          <w:tcPr>
            <w:tcW w:w="924" w:type="dxa"/>
            <w:noWrap/>
            <w:vAlign w:val="center"/>
          </w:tcPr>
          <w:p w14:paraId="585B2C1B" w14:textId="55F74F2E" w:rsidR="00F915B8" w:rsidRPr="002849C3" w:rsidRDefault="00352B77"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95,80</w:t>
            </w:r>
            <w:r w:rsidR="00883311">
              <w:rPr>
                <w:rFonts w:ascii="Arial" w:eastAsia="Times New Roman" w:hAnsi="Arial" w:cs="Arial"/>
                <w:bCs/>
                <w:color w:val="000000"/>
                <w:sz w:val="18"/>
                <w:szCs w:val="18"/>
                <w:lang w:eastAsia="hr-HR"/>
              </w:rPr>
              <w:t>%</w:t>
            </w:r>
          </w:p>
        </w:tc>
      </w:tr>
      <w:tr w:rsidR="00F915B8" w:rsidRPr="002358F9" w14:paraId="4944C47C" w14:textId="77777777" w:rsidTr="00360881">
        <w:trPr>
          <w:trHeight w:val="449"/>
        </w:trPr>
        <w:tc>
          <w:tcPr>
            <w:tcW w:w="3687" w:type="dxa"/>
            <w:vAlign w:val="bottom"/>
          </w:tcPr>
          <w:p w14:paraId="76020758" w14:textId="77777777" w:rsidR="00F915B8" w:rsidRPr="004C71E1" w:rsidRDefault="00F915B8" w:rsidP="002358F9">
            <w:pPr>
              <w:spacing w:after="0" w:line="240" w:lineRule="auto"/>
              <w:rPr>
                <w:rFonts w:ascii="Arial" w:eastAsia="Times New Roman" w:hAnsi="Arial" w:cs="Arial"/>
                <w:color w:val="000000"/>
                <w:sz w:val="18"/>
                <w:szCs w:val="18"/>
                <w:lang w:eastAsia="hr-HR"/>
              </w:rPr>
            </w:pPr>
            <w:r w:rsidRPr="004C71E1">
              <w:rPr>
                <w:rFonts w:ascii="Arial" w:eastAsia="Times New Roman" w:hAnsi="Arial" w:cs="Arial"/>
                <w:color w:val="000000"/>
                <w:sz w:val="18"/>
                <w:szCs w:val="18"/>
                <w:lang w:eastAsia="hr-HR"/>
              </w:rPr>
              <w:t>Funkcijska klasifikacija 096 Dodatne usluge u obrazovanju</w:t>
            </w:r>
          </w:p>
        </w:tc>
        <w:tc>
          <w:tcPr>
            <w:tcW w:w="1439" w:type="dxa"/>
            <w:noWrap/>
            <w:vAlign w:val="center"/>
          </w:tcPr>
          <w:p w14:paraId="46E0ADC2" w14:textId="7DDB328E" w:rsidR="00F915B8" w:rsidRDefault="00BD592B"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99.365,10</w:t>
            </w:r>
          </w:p>
        </w:tc>
        <w:tc>
          <w:tcPr>
            <w:tcW w:w="1458" w:type="dxa"/>
            <w:vAlign w:val="center"/>
          </w:tcPr>
          <w:p w14:paraId="1DDC5755" w14:textId="77777777" w:rsidR="00360881" w:rsidRDefault="00360881" w:rsidP="002358F9">
            <w:pPr>
              <w:spacing w:after="0" w:line="240" w:lineRule="auto"/>
              <w:jc w:val="center"/>
              <w:rPr>
                <w:rFonts w:ascii="Arial" w:eastAsia="Times New Roman" w:hAnsi="Arial" w:cs="Arial"/>
                <w:bCs/>
                <w:color w:val="000000"/>
                <w:sz w:val="18"/>
                <w:szCs w:val="18"/>
                <w:lang w:eastAsia="hr-HR"/>
              </w:rPr>
            </w:pPr>
          </w:p>
          <w:p w14:paraId="4DC08CAD" w14:textId="41ACD10A" w:rsidR="00F915B8" w:rsidRDefault="00360881"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144.000,00</w:t>
            </w:r>
          </w:p>
          <w:p w14:paraId="3476CFCE" w14:textId="615FD3C3" w:rsidR="00663DE6" w:rsidRDefault="00663DE6" w:rsidP="00663DE6">
            <w:pPr>
              <w:spacing w:after="0" w:line="240" w:lineRule="auto"/>
              <w:rPr>
                <w:rFonts w:ascii="Arial" w:eastAsia="Times New Roman" w:hAnsi="Arial" w:cs="Arial"/>
                <w:bCs/>
                <w:color w:val="000000"/>
                <w:sz w:val="18"/>
                <w:szCs w:val="18"/>
                <w:lang w:eastAsia="hr-HR"/>
              </w:rPr>
            </w:pPr>
          </w:p>
        </w:tc>
        <w:tc>
          <w:tcPr>
            <w:tcW w:w="1368" w:type="dxa"/>
            <w:vAlign w:val="center"/>
          </w:tcPr>
          <w:p w14:paraId="179CA9C4" w14:textId="3D09F29A" w:rsidR="00F915B8" w:rsidRDefault="00360881"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144.000,00</w:t>
            </w:r>
          </w:p>
        </w:tc>
        <w:tc>
          <w:tcPr>
            <w:tcW w:w="1368" w:type="dxa"/>
            <w:noWrap/>
            <w:vAlign w:val="center"/>
          </w:tcPr>
          <w:p w14:paraId="4D0EF3FE" w14:textId="40F4ED67" w:rsidR="00F915B8" w:rsidRDefault="00360881"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109.651,51</w:t>
            </w:r>
          </w:p>
        </w:tc>
        <w:tc>
          <w:tcPr>
            <w:tcW w:w="1096" w:type="dxa"/>
            <w:noWrap/>
            <w:vAlign w:val="center"/>
          </w:tcPr>
          <w:p w14:paraId="51B32F2A" w14:textId="408AD1AE" w:rsidR="00F915B8" w:rsidRDefault="00360881"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110,35</w:t>
            </w:r>
            <w:r w:rsidR="008563B9">
              <w:rPr>
                <w:rFonts w:ascii="Arial" w:eastAsia="Times New Roman" w:hAnsi="Arial" w:cs="Arial"/>
                <w:bCs/>
                <w:color w:val="000000"/>
                <w:sz w:val="18"/>
                <w:szCs w:val="18"/>
                <w:lang w:eastAsia="hr-HR"/>
              </w:rPr>
              <w:t>%</w:t>
            </w:r>
          </w:p>
        </w:tc>
        <w:tc>
          <w:tcPr>
            <w:tcW w:w="924" w:type="dxa"/>
            <w:noWrap/>
            <w:vAlign w:val="center"/>
          </w:tcPr>
          <w:p w14:paraId="62253A91" w14:textId="32FB4A2C" w:rsidR="00F915B8" w:rsidRDefault="00360881"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76,15</w:t>
            </w:r>
            <w:r w:rsidR="008563B9">
              <w:rPr>
                <w:rFonts w:ascii="Arial" w:eastAsia="Times New Roman" w:hAnsi="Arial" w:cs="Arial"/>
                <w:bCs/>
                <w:color w:val="000000"/>
                <w:sz w:val="18"/>
                <w:szCs w:val="18"/>
                <w:lang w:eastAsia="hr-HR"/>
              </w:rPr>
              <w:t>%</w:t>
            </w:r>
          </w:p>
        </w:tc>
      </w:tr>
      <w:tr w:rsidR="00F915B8" w:rsidRPr="002358F9" w14:paraId="41139AD8" w14:textId="77777777" w:rsidTr="005E3779">
        <w:trPr>
          <w:trHeight w:val="231"/>
        </w:trPr>
        <w:tc>
          <w:tcPr>
            <w:tcW w:w="3687" w:type="dxa"/>
            <w:noWrap/>
            <w:vAlign w:val="bottom"/>
            <w:hideMark/>
          </w:tcPr>
          <w:p w14:paraId="6E32B3E4" w14:textId="77777777" w:rsidR="00F915B8" w:rsidRPr="002358F9" w:rsidRDefault="00F915B8"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10 Socijalna zaštita</w:t>
            </w:r>
          </w:p>
        </w:tc>
        <w:tc>
          <w:tcPr>
            <w:tcW w:w="1439" w:type="dxa"/>
            <w:noWrap/>
            <w:vAlign w:val="center"/>
          </w:tcPr>
          <w:p w14:paraId="2A2C32C8" w14:textId="203FF804" w:rsidR="00F915B8" w:rsidRPr="002358F9" w:rsidRDefault="00BD592B"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485.740,10</w:t>
            </w:r>
          </w:p>
        </w:tc>
        <w:tc>
          <w:tcPr>
            <w:tcW w:w="1458" w:type="dxa"/>
            <w:vAlign w:val="center"/>
          </w:tcPr>
          <w:p w14:paraId="7CA4ED5B" w14:textId="6A6DE1CA" w:rsidR="00F915B8" w:rsidRDefault="00352B77"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643.300,00</w:t>
            </w:r>
          </w:p>
        </w:tc>
        <w:tc>
          <w:tcPr>
            <w:tcW w:w="1368" w:type="dxa"/>
            <w:vAlign w:val="center"/>
          </w:tcPr>
          <w:p w14:paraId="029357DE" w14:textId="13470D92" w:rsidR="00F915B8" w:rsidRDefault="00352B77"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643.300,00</w:t>
            </w:r>
          </w:p>
        </w:tc>
        <w:tc>
          <w:tcPr>
            <w:tcW w:w="1368" w:type="dxa"/>
            <w:noWrap/>
            <w:vAlign w:val="center"/>
          </w:tcPr>
          <w:p w14:paraId="5E32BFEE" w14:textId="5531D3D8" w:rsidR="00F915B8" w:rsidRPr="007705A9" w:rsidRDefault="00352B77"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574.077,35</w:t>
            </w:r>
          </w:p>
        </w:tc>
        <w:tc>
          <w:tcPr>
            <w:tcW w:w="1096" w:type="dxa"/>
            <w:noWrap/>
            <w:vAlign w:val="center"/>
          </w:tcPr>
          <w:p w14:paraId="5BFA01AC" w14:textId="5E6168FE" w:rsidR="00F915B8" w:rsidRPr="007705A9" w:rsidRDefault="00352B77"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118,19</w:t>
            </w:r>
            <w:r w:rsidR="008563B9">
              <w:rPr>
                <w:rFonts w:ascii="Arial" w:eastAsia="Times New Roman" w:hAnsi="Arial" w:cs="Arial"/>
                <w:b/>
                <w:bCs/>
                <w:color w:val="000000"/>
                <w:sz w:val="18"/>
                <w:szCs w:val="18"/>
                <w:lang w:eastAsia="hr-HR"/>
              </w:rPr>
              <w:t>%</w:t>
            </w:r>
          </w:p>
        </w:tc>
        <w:tc>
          <w:tcPr>
            <w:tcW w:w="924" w:type="dxa"/>
            <w:noWrap/>
            <w:vAlign w:val="center"/>
          </w:tcPr>
          <w:p w14:paraId="211F1920" w14:textId="53410E22" w:rsidR="00F915B8" w:rsidRPr="007705A9" w:rsidRDefault="00352B77"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89,24</w:t>
            </w:r>
            <w:r w:rsidR="008563B9">
              <w:rPr>
                <w:rFonts w:ascii="Arial" w:eastAsia="Times New Roman" w:hAnsi="Arial" w:cs="Arial"/>
                <w:b/>
                <w:bCs/>
                <w:color w:val="000000"/>
                <w:sz w:val="18"/>
                <w:szCs w:val="18"/>
                <w:lang w:eastAsia="hr-HR"/>
              </w:rPr>
              <w:t>%</w:t>
            </w:r>
          </w:p>
        </w:tc>
      </w:tr>
      <w:tr w:rsidR="00F915B8" w:rsidRPr="002358F9" w14:paraId="55C2249E" w14:textId="77777777" w:rsidTr="005E3779">
        <w:trPr>
          <w:trHeight w:val="231"/>
        </w:trPr>
        <w:tc>
          <w:tcPr>
            <w:tcW w:w="3687" w:type="dxa"/>
            <w:noWrap/>
            <w:vAlign w:val="bottom"/>
            <w:hideMark/>
          </w:tcPr>
          <w:p w14:paraId="28282F7B" w14:textId="77777777" w:rsidR="00F915B8" w:rsidRPr="004C71E1" w:rsidRDefault="00F915B8" w:rsidP="002358F9">
            <w:pPr>
              <w:spacing w:after="0" w:line="240" w:lineRule="auto"/>
              <w:rPr>
                <w:rFonts w:ascii="Arial" w:eastAsia="Times New Roman" w:hAnsi="Arial" w:cs="Arial"/>
                <w:color w:val="000000"/>
                <w:sz w:val="18"/>
                <w:szCs w:val="18"/>
                <w:lang w:eastAsia="hr-HR"/>
              </w:rPr>
            </w:pPr>
            <w:r w:rsidRPr="004C71E1">
              <w:rPr>
                <w:rFonts w:ascii="Arial" w:eastAsia="Times New Roman" w:hAnsi="Arial" w:cs="Arial"/>
                <w:color w:val="000000"/>
                <w:sz w:val="18"/>
                <w:szCs w:val="18"/>
                <w:lang w:eastAsia="hr-HR"/>
              </w:rPr>
              <w:t>Funkcijska klasifikacija 104 Obitelj i djeca</w:t>
            </w:r>
          </w:p>
        </w:tc>
        <w:tc>
          <w:tcPr>
            <w:tcW w:w="1439" w:type="dxa"/>
            <w:noWrap/>
            <w:vAlign w:val="center"/>
          </w:tcPr>
          <w:p w14:paraId="28B24173" w14:textId="6EEE5835" w:rsidR="00F915B8" w:rsidRPr="0052187E" w:rsidRDefault="00BD592B"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334.746,38</w:t>
            </w:r>
          </w:p>
        </w:tc>
        <w:tc>
          <w:tcPr>
            <w:tcW w:w="1458" w:type="dxa"/>
            <w:vAlign w:val="center"/>
          </w:tcPr>
          <w:p w14:paraId="5985A25B" w14:textId="0F650228" w:rsidR="00F915B8" w:rsidRDefault="00352B77"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451.000,00</w:t>
            </w:r>
          </w:p>
        </w:tc>
        <w:tc>
          <w:tcPr>
            <w:tcW w:w="1368" w:type="dxa"/>
            <w:vAlign w:val="center"/>
          </w:tcPr>
          <w:p w14:paraId="0561EE94" w14:textId="0C7FECCA" w:rsidR="00F915B8" w:rsidRDefault="00352B77"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451.000,00</w:t>
            </w:r>
          </w:p>
        </w:tc>
        <w:tc>
          <w:tcPr>
            <w:tcW w:w="1368" w:type="dxa"/>
            <w:noWrap/>
            <w:vAlign w:val="center"/>
          </w:tcPr>
          <w:p w14:paraId="76B26522" w14:textId="5C6240DA" w:rsidR="00F915B8" w:rsidRPr="007705A9" w:rsidRDefault="00352B77"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403.302,96</w:t>
            </w:r>
          </w:p>
        </w:tc>
        <w:tc>
          <w:tcPr>
            <w:tcW w:w="1096" w:type="dxa"/>
            <w:noWrap/>
            <w:vAlign w:val="center"/>
          </w:tcPr>
          <w:p w14:paraId="34DEAEA8" w14:textId="751D9A72" w:rsidR="00F915B8" w:rsidRPr="002849C3" w:rsidRDefault="00352B77"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120,48</w:t>
            </w:r>
            <w:r w:rsidR="008563B9">
              <w:rPr>
                <w:rFonts w:ascii="Arial" w:eastAsia="Times New Roman" w:hAnsi="Arial" w:cs="Arial"/>
                <w:bCs/>
                <w:color w:val="000000"/>
                <w:sz w:val="18"/>
                <w:szCs w:val="18"/>
                <w:lang w:eastAsia="hr-HR"/>
              </w:rPr>
              <w:t>%</w:t>
            </w:r>
          </w:p>
        </w:tc>
        <w:tc>
          <w:tcPr>
            <w:tcW w:w="924" w:type="dxa"/>
            <w:noWrap/>
            <w:vAlign w:val="center"/>
          </w:tcPr>
          <w:p w14:paraId="5DDF2CAF" w14:textId="487D58CF" w:rsidR="00F915B8" w:rsidRPr="002849C3" w:rsidRDefault="00352B77"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89,42</w:t>
            </w:r>
            <w:r w:rsidR="008563B9">
              <w:rPr>
                <w:rFonts w:ascii="Arial" w:eastAsia="Times New Roman" w:hAnsi="Arial" w:cs="Arial"/>
                <w:bCs/>
                <w:color w:val="000000"/>
                <w:sz w:val="18"/>
                <w:szCs w:val="18"/>
                <w:lang w:eastAsia="hr-HR"/>
              </w:rPr>
              <w:t>%</w:t>
            </w:r>
          </w:p>
        </w:tc>
      </w:tr>
      <w:tr w:rsidR="00F915B8" w:rsidRPr="002358F9" w14:paraId="4B7E241F" w14:textId="77777777" w:rsidTr="005E3779">
        <w:trPr>
          <w:trHeight w:val="453"/>
        </w:trPr>
        <w:tc>
          <w:tcPr>
            <w:tcW w:w="3687" w:type="dxa"/>
            <w:vAlign w:val="bottom"/>
            <w:hideMark/>
          </w:tcPr>
          <w:p w14:paraId="1403A295" w14:textId="77777777" w:rsidR="00F915B8" w:rsidRPr="004C71E1" w:rsidRDefault="00F915B8" w:rsidP="002358F9">
            <w:pPr>
              <w:spacing w:after="0" w:line="240" w:lineRule="auto"/>
              <w:rPr>
                <w:rFonts w:ascii="Arial" w:eastAsia="Times New Roman" w:hAnsi="Arial" w:cs="Arial"/>
                <w:color w:val="000000"/>
                <w:sz w:val="18"/>
                <w:szCs w:val="18"/>
                <w:lang w:eastAsia="hr-HR"/>
              </w:rPr>
            </w:pPr>
            <w:r w:rsidRPr="004C71E1">
              <w:rPr>
                <w:rFonts w:ascii="Arial" w:eastAsia="Times New Roman" w:hAnsi="Arial" w:cs="Arial"/>
                <w:color w:val="000000"/>
                <w:sz w:val="18"/>
                <w:szCs w:val="18"/>
                <w:lang w:eastAsia="hr-HR"/>
              </w:rPr>
              <w:t>Funkcijska klasifikacija 107 Socijalna pomoć stanovništvu koje nije obuhvaćeno redovnim socijalnim programima</w:t>
            </w:r>
          </w:p>
        </w:tc>
        <w:tc>
          <w:tcPr>
            <w:tcW w:w="1439" w:type="dxa"/>
            <w:noWrap/>
            <w:vAlign w:val="center"/>
          </w:tcPr>
          <w:p w14:paraId="6A80F828" w14:textId="7893D041" w:rsidR="00F915B8" w:rsidRPr="0052187E" w:rsidRDefault="00BD592B"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41.670,00</w:t>
            </w:r>
          </w:p>
        </w:tc>
        <w:tc>
          <w:tcPr>
            <w:tcW w:w="1458" w:type="dxa"/>
            <w:vAlign w:val="center"/>
          </w:tcPr>
          <w:p w14:paraId="70BD020D" w14:textId="28825133" w:rsidR="00F915B8" w:rsidRDefault="00352B77"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50.000,00</w:t>
            </w:r>
          </w:p>
        </w:tc>
        <w:tc>
          <w:tcPr>
            <w:tcW w:w="1368" w:type="dxa"/>
            <w:vAlign w:val="center"/>
          </w:tcPr>
          <w:p w14:paraId="3A1E3596" w14:textId="79742F10" w:rsidR="00F915B8" w:rsidRDefault="00352B77"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50.000,00</w:t>
            </w:r>
          </w:p>
        </w:tc>
        <w:tc>
          <w:tcPr>
            <w:tcW w:w="1368" w:type="dxa"/>
            <w:noWrap/>
            <w:vAlign w:val="center"/>
          </w:tcPr>
          <w:p w14:paraId="1E049FAA" w14:textId="7242B653" w:rsidR="00F915B8" w:rsidRPr="007705A9" w:rsidRDefault="00352B77"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37.000,00</w:t>
            </w:r>
          </w:p>
        </w:tc>
        <w:tc>
          <w:tcPr>
            <w:tcW w:w="1096" w:type="dxa"/>
            <w:noWrap/>
            <w:vAlign w:val="center"/>
          </w:tcPr>
          <w:p w14:paraId="326E08D0" w14:textId="6A86415F" w:rsidR="00F915B8" w:rsidRPr="002849C3" w:rsidRDefault="007D5EC7"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88,79</w:t>
            </w:r>
            <w:r w:rsidR="00B30378">
              <w:rPr>
                <w:rFonts w:ascii="Arial" w:eastAsia="Times New Roman" w:hAnsi="Arial" w:cs="Arial"/>
                <w:bCs/>
                <w:color w:val="000000"/>
                <w:sz w:val="18"/>
                <w:szCs w:val="18"/>
                <w:lang w:eastAsia="hr-HR"/>
              </w:rPr>
              <w:t>%</w:t>
            </w:r>
          </w:p>
        </w:tc>
        <w:tc>
          <w:tcPr>
            <w:tcW w:w="924" w:type="dxa"/>
            <w:noWrap/>
            <w:vAlign w:val="center"/>
          </w:tcPr>
          <w:p w14:paraId="4254D50D" w14:textId="0E950513" w:rsidR="00F915B8" w:rsidRPr="002849C3" w:rsidRDefault="007D5EC7"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74,00</w:t>
            </w:r>
            <w:r w:rsidR="00B30378">
              <w:rPr>
                <w:rFonts w:ascii="Arial" w:eastAsia="Times New Roman" w:hAnsi="Arial" w:cs="Arial"/>
                <w:bCs/>
                <w:color w:val="000000"/>
                <w:sz w:val="18"/>
                <w:szCs w:val="18"/>
                <w:lang w:eastAsia="hr-HR"/>
              </w:rPr>
              <w:t>%</w:t>
            </w:r>
          </w:p>
        </w:tc>
      </w:tr>
      <w:tr w:rsidR="00F915B8" w:rsidRPr="002358F9" w14:paraId="61A23DE8" w14:textId="77777777" w:rsidTr="005E3779">
        <w:trPr>
          <w:trHeight w:val="480"/>
        </w:trPr>
        <w:tc>
          <w:tcPr>
            <w:tcW w:w="3687" w:type="dxa"/>
            <w:vAlign w:val="bottom"/>
            <w:hideMark/>
          </w:tcPr>
          <w:p w14:paraId="413C8F48" w14:textId="77777777" w:rsidR="00F915B8" w:rsidRPr="004C71E1" w:rsidRDefault="00F915B8" w:rsidP="002358F9">
            <w:pPr>
              <w:spacing w:after="0" w:line="240" w:lineRule="auto"/>
              <w:rPr>
                <w:rFonts w:ascii="Arial" w:eastAsia="Times New Roman" w:hAnsi="Arial" w:cs="Arial"/>
                <w:color w:val="000000"/>
                <w:sz w:val="18"/>
                <w:szCs w:val="18"/>
                <w:lang w:eastAsia="hr-HR"/>
              </w:rPr>
            </w:pPr>
            <w:r w:rsidRPr="004C71E1">
              <w:rPr>
                <w:rFonts w:ascii="Arial" w:eastAsia="Times New Roman" w:hAnsi="Arial" w:cs="Arial"/>
                <w:color w:val="000000"/>
                <w:sz w:val="18"/>
                <w:szCs w:val="18"/>
                <w:lang w:eastAsia="hr-HR"/>
              </w:rPr>
              <w:t>Funkcijska klasifikacija 109 Aktivnosti socijalne zaštite koje nisu drugdje svrstane</w:t>
            </w:r>
          </w:p>
        </w:tc>
        <w:tc>
          <w:tcPr>
            <w:tcW w:w="1439" w:type="dxa"/>
            <w:noWrap/>
            <w:vAlign w:val="center"/>
          </w:tcPr>
          <w:p w14:paraId="4B5184B6" w14:textId="761BE525" w:rsidR="00F915B8" w:rsidRPr="0052187E" w:rsidRDefault="00BD592B"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109.323,72</w:t>
            </w:r>
          </w:p>
        </w:tc>
        <w:tc>
          <w:tcPr>
            <w:tcW w:w="1458" w:type="dxa"/>
            <w:vAlign w:val="center"/>
          </w:tcPr>
          <w:p w14:paraId="115D25DE" w14:textId="3C4BF7A2" w:rsidR="00F915B8" w:rsidRDefault="00352B77"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142.300,00</w:t>
            </w:r>
          </w:p>
        </w:tc>
        <w:tc>
          <w:tcPr>
            <w:tcW w:w="1368" w:type="dxa"/>
            <w:vAlign w:val="center"/>
          </w:tcPr>
          <w:p w14:paraId="3095C02A" w14:textId="1CD1AD65" w:rsidR="00F915B8" w:rsidRDefault="00352B77"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142.300,00</w:t>
            </w:r>
          </w:p>
        </w:tc>
        <w:tc>
          <w:tcPr>
            <w:tcW w:w="1368" w:type="dxa"/>
            <w:noWrap/>
            <w:vAlign w:val="center"/>
          </w:tcPr>
          <w:p w14:paraId="3D8270C4" w14:textId="7D5655A7" w:rsidR="00F915B8" w:rsidRPr="007705A9" w:rsidRDefault="00352B77"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133.774,39</w:t>
            </w:r>
          </w:p>
        </w:tc>
        <w:tc>
          <w:tcPr>
            <w:tcW w:w="1096" w:type="dxa"/>
            <w:noWrap/>
            <w:vAlign w:val="center"/>
          </w:tcPr>
          <w:p w14:paraId="502CF51B" w14:textId="4CAB6AA2" w:rsidR="00F915B8" w:rsidRPr="002849C3" w:rsidRDefault="00352B77"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122,37</w:t>
            </w:r>
            <w:r w:rsidR="00B30378">
              <w:rPr>
                <w:rFonts w:ascii="Arial" w:eastAsia="Times New Roman" w:hAnsi="Arial" w:cs="Arial"/>
                <w:bCs/>
                <w:color w:val="000000"/>
                <w:sz w:val="18"/>
                <w:szCs w:val="18"/>
                <w:lang w:eastAsia="hr-HR"/>
              </w:rPr>
              <w:t>%</w:t>
            </w:r>
          </w:p>
        </w:tc>
        <w:tc>
          <w:tcPr>
            <w:tcW w:w="924" w:type="dxa"/>
            <w:noWrap/>
            <w:vAlign w:val="center"/>
          </w:tcPr>
          <w:p w14:paraId="67C3E7D8" w14:textId="2AE7DD67" w:rsidR="00F915B8" w:rsidRPr="002849C3" w:rsidRDefault="00352B77"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94,01</w:t>
            </w:r>
            <w:r w:rsidR="002354AD">
              <w:rPr>
                <w:rFonts w:ascii="Arial" w:eastAsia="Times New Roman" w:hAnsi="Arial" w:cs="Arial"/>
                <w:bCs/>
                <w:color w:val="000000"/>
                <w:sz w:val="18"/>
                <w:szCs w:val="18"/>
                <w:lang w:eastAsia="hr-HR"/>
              </w:rPr>
              <w:t>%</w:t>
            </w:r>
          </w:p>
        </w:tc>
      </w:tr>
    </w:tbl>
    <w:p w14:paraId="52C8B582" w14:textId="77777777" w:rsidR="00E00050" w:rsidRDefault="00E00050" w:rsidP="008D63AC">
      <w:pPr>
        <w:rPr>
          <w:sz w:val="28"/>
          <w:szCs w:val="28"/>
        </w:rPr>
      </w:pPr>
    </w:p>
    <w:p w14:paraId="00C97017" w14:textId="28835E63" w:rsidR="00DE5481" w:rsidRPr="0098702D" w:rsidRDefault="00B7034B" w:rsidP="008D63AC">
      <w:pPr>
        <w:rPr>
          <w:rFonts w:cstheme="minorHAnsi"/>
          <w:b/>
          <w:sz w:val="28"/>
          <w:szCs w:val="28"/>
        </w:rPr>
      </w:pPr>
      <w:r w:rsidRPr="005E571E">
        <w:rPr>
          <w:sz w:val="28"/>
          <w:szCs w:val="28"/>
        </w:rPr>
        <w:t xml:space="preserve"> </w:t>
      </w:r>
      <w:r w:rsidRPr="0098702D">
        <w:rPr>
          <w:rFonts w:cstheme="minorHAnsi"/>
          <w:b/>
          <w:sz w:val="28"/>
          <w:szCs w:val="28"/>
        </w:rPr>
        <w:t xml:space="preserve">B. </w:t>
      </w:r>
      <w:r w:rsidR="002358F9" w:rsidRPr="0098702D">
        <w:rPr>
          <w:rFonts w:cstheme="minorHAnsi"/>
          <w:b/>
          <w:sz w:val="28"/>
          <w:szCs w:val="28"/>
        </w:rPr>
        <w:t>RAČUN FINANCIRANJA</w:t>
      </w:r>
    </w:p>
    <w:p w14:paraId="4ADDDC20" w14:textId="77777777" w:rsidR="002B1939" w:rsidRDefault="00B7034B" w:rsidP="008D63AC">
      <w:pPr>
        <w:rPr>
          <w:rFonts w:cstheme="minorHAnsi"/>
          <w:b/>
          <w:sz w:val="28"/>
          <w:szCs w:val="28"/>
        </w:rPr>
      </w:pPr>
      <w:r w:rsidRPr="0098702D">
        <w:rPr>
          <w:rFonts w:cstheme="minorHAnsi"/>
          <w:b/>
          <w:sz w:val="28"/>
          <w:szCs w:val="28"/>
        </w:rPr>
        <w:t>1. RAČUN FINANCIRANJA PREMA EKONOMSKOJ KLASIFIKACIJ</w:t>
      </w:r>
      <w:r w:rsidR="00042522" w:rsidRPr="0098702D">
        <w:rPr>
          <w:rFonts w:cstheme="minorHAnsi"/>
          <w:b/>
          <w:sz w:val="28"/>
          <w:szCs w:val="28"/>
        </w:rPr>
        <w:t xml:space="preserve">I </w:t>
      </w:r>
    </w:p>
    <w:tbl>
      <w:tblPr>
        <w:tblpPr w:leftFromText="180" w:rightFromText="180" w:vertAnchor="text" w:horzAnchor="page" w:tblpX="138" w:tblpY="50"/>
        <w:tblW w:w="11633" w:type="dxa"/>
        <w:tblLook w:val="04A0" w:firstRow="1" w:lastRow="0" w:firstColumn="1" w:lastColumn="0" w:noHBand="0" w:noVBand="1"/>
      </w:tblPr>
      <w:tblGrid>
        <w:gridCol w:w="3982"/>
        <w:gridCol w:w="1377"/>
        <w:gridCol w:w="1506"/>
        <w:gridCol w:w="1384"/>
        <w:gridCol w:w="1377"/>
        <w:gridCol w:w="1006"/>
        <w:gridCol w:w="1006"/>
      </w:tblGrid>
      <w:tr w:rsidR="00E00050" w:rsidRPr="00C14C91" w14:paraId="501D1770" w14:textId="77777777" w:rsidTr="00E00050">
        <w:trPr>
          <w:trHeight w:val="403"/>
        </w:trPr>
        <w:tc>
          <w:tcPr>
            <w:tcW w:w="3982"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bottom"/>
            <w:hideMark/>
          </w:tcPr>
          <w:p w14:paraId="5BF9D48C" w14:textId="77777777" w:rsidR="00E00050" w:rsidRPr="00C14C91" w:rsidRDefault="00E00050" w:rsidP="009D32D6">
            <w:pPr>
              <w:spacing w:after="0" w:line="240" w:lineRule="auto"/>
              <w:jc w:val="center"/>
              <w:rPr>
                <w:rFonts w:ascii="Arial" w:eastAsia="Times New Roman" w:hAnsi="Arial" w:cs="Arial"/>
                <w:b/>
                <w:bCs/>
                <w:sz w:val="20"/>
                <w:szCs w:val="20"/>
                <w:lang w:eastAsia="hr-HR"/>
              </w:rPr>
            </w:pPr>
            <w:r w:rsidRPr="00C14C91">
              <w:rPr>
                <w:rFonts w:ascii="Arial" w:eastAsia="Times New Roman" w:hAnsi="Arial" w:cs="Arial"/>
                <w:b/>
                <w:bCs/>
                <w:sz w:val="20"/>
                <w:szCs w:val="20"/>
                <w:lang w:eastAsia="hr-HR"/>
              </w:rPr>
              <w:t>Ra</w:t>
            </w:r>
            <w:r>
              <w:rPr>
                <w:rFonts w:ascii="Arial" w:eastAsia="Times New Roman" w:hAnsi="Arial" w:cs="Arial"/>
                <w:b/>
                <w:bCs/>
                <w:sz w:val="20"/>
                <w:szCs w:val="20"/>
                <w:lang w:eastAsia="hr-HR"/>
              </w:rPr>
              <w:t>č</w:t>
            </w:r>
            <w:r w:rsidRPr="00C14C91">
              <w:rPr>
                <w:rFonts w:ascii="Arial" w:eastAsia="Times New Roman" w:hAnsi="Arial" w:cs="Arial"/>
                <w:b/>
                <w:bCs/>
                <w:sz w:val="20"/>
                <w:szCs w:val="20"/>
                <w:lang w:eastAsia="hr-HR"/>
              </w:rPr>
              <w:t>un/Opis</w:t>
            </w:r>
          </w:p>
        </w:tc>
        <w:tc>
          <w:tcPr>
            <w:tcW w:w="1377" w:type="dxa"/>
            <w:tcBorders>
              <w:top w:val="single" w:sz="4" w:space="0" w:color="auto"/>
              <w:left w:val="nil"/>
              <w:bottom w:val="single" w:sz="4" w:space="0" w:color="auto"/>
              <w:right w:val="single" w:sz="4" w:space="0" w:color="auto"/>
            </w:tcBorders>
            <w:shd w:val="clear" w:color="auto" w:fill="FFE599" w:themeFill="accent4" w:themeFillTint="66"/>
            <w:vAlign w:val="bottom"/>
            <w:hideMark/>
          </w:tcPr>
          <w:p w14:paraId="5272473B" w14:textId="4C7F88F1" w:rsidR="00E00050" w:rsidRDefault="00E00050" w:rsidP="00E00050">
            <w:pPr>
              <w:spacing w:after="0" w:line="240" w:lineRule="auto"/>
              <w:jc w:val="center"/>
              <w:rPr>
                <w:rFonts w:ascii="Arial" w:eastAsia="Times New Roman" w:hAnsi="Arial" w:cs="Arial"/>
                <w:b/>
                <w:bCs/>
                <w:sz w:val="20"/>
                <w:szCs w:val="20"/>
                <w:lang w:eastAsia="hr-HR"/>
              </w:rPr>
            </w:pPr>
            <w:r w:rsidRPr="00C14C91">
              <w:rPr>
                <w:rFonts w:ascii="Arial" w:eastAsia="Times New Roman" w:hAnsi="Arial" w:cs="Arial"/>
                <w:b/>
                <w:bCs/>
                <w:sz w:val="20"/>
                <w:szCs w:val="20"/>
                <w:lang w:eastAsia="hr-HR"/>
              </w:rPr>
              <w:t>Izvršenje</w:t>
            </w:r>
            <w:r>
              <w:rPr>
                <w:rFonts w:ascii="Arial" w:eastAsia="Times New Roman" w:hAnsi="Arial" w:cs="Arial"/>
                <w:b/>
                <w:bCs/>
                <w:sz w:val="20"/>
                <w:szCs w:val="20"/>
                <w:lang w:eastAsia="hr-HR"/>
              </w:rPr>
              <w:t xml:space="preserve">     </w:t>
            </w:r>
          </w:p>
          <w:p w14:paraId="05238245" w14:textId="20B81037" w:rsidR="00E00050" w:rsidRPr="00C14C91"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2024</w:t>
            </w:r>
            <w:r w:rsidRPr="00C14C91">
              <w:rPr>
                <w:rFonts w:ascii="Arial" w:eastAsia="Times New Roman" w:hAnsi="Arial" w:cs="Arial"/>
                <w:b/>
                <w:bCs/>
                <w:sz w:val="20"/>
                <w:szCs w:val="20"/>
                <w:lang w:eastAsia="hr-HR"/>
              </w:rPr>
              <w:t>.</w:t>
            </w:r>
            <w:r>
              <w:rPr>
                <w:rFonts w:ascii="Arial" w:eastAsia="Times New Roman" w:hAnsi="Arial" w:cs="Arial"/>
                <w:b/>
                <w:bCs/>
                <w:sz w:val="20"/>
                <w:szCs w:val="20"/>
                <w:lang w:eastAsia="hr-HR"/>
              </w:rPr>
              <w:t xml:space="preserve"> </w:t>
            </w:r>
          </w:p>
        </w:tc>
        <w:tc>
          <w:tcPr>
            <w:tcW w:w="1506"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E4950C2" w14:textId="41391A6A" w:rsidR="00E00050" w:rsidRPr="00C14C91"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Izvorni plan/rebalans  2025</w:t>
            </w:r>
            <w:r w:rsidRPr="00C14C91">
              <w:rPr>
                <w:rFonts w:ascii="Arial" w:eastAsia="Times New Roman" w:hAnsi="Arial" w:cs="Arial"/>
                <w:b/>
                <w:bCs/>
                <w:sz w:val="20"/>
                <w:szCs w:val="20"/>
                <w:lang w:eastAsia="hr-HR"/>
              </w:rPr>
              <w:t>.</w:t>
            </w:r>
          </w:p>
        </w:tc>
        <w:tc>
          <w:tcPr>
            <w:tcW w:w="1384" w:type="dxa"/>
            <w:tcBorders>
              <w:top w:val="single" w:sz="4" w:space="0" w:color="auto"/>
              <w:left w:val="nil"/>
              <w:bottom w:val="single" w:sz="4" w:space="0" w:color="auto"/>
              <w:right w:val="nil"/>
            </w:tcBorders>
            <w:shd w:val="clear" w:color="auto" w:fill="FFE599" w:themeFill="accent4" w:themeFillTint="66"/>
            <w:vAlign w:val="center"/>
          </w:tcPr>
          <w:p w14:paraId="1DABE517" w14:textId="0DAFA87A" w:rsidR="00E00050"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 xml:space="preserve">Tekući plan 2025. </w:t>
            </w:r>
          </w:p>
        </w:tc>
        <w:tc>
          <w:tcPr>
            <w:tcW w:w="1377" w:type="dxa"/>
            <w:tcBorders>
              <w:top w:val="single" w:sz="4" w:space="0" w:color="auto"/>
              <w:left w:val="nil"/>
              <w:bottom w:val="single" w:sz="4" w:space="0" w:color="auto"/>
              <w:right w:val="single" w:sz="4" w:space="0" w:color="auto"/>
            </w:tcBorders>
            <w:shd w:val="clear" w:color="auto" w:fill="FFE599" w:themeFill="accent4" w:themeFillTint="66"/>
            <w:vAlign w:val="bottom"/>
            <w:hideMark/>
          </w:tcPr>
          <w:p w14:paraId="66806930" w14:textId="4A51FF5E" w:rsidR="00E00050" w:rsidRPr="00C14C91"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Izvršenje   2025.</w:t>
            </w:r>
          </w:p>
        </w:tc>
        <w:tc>
          <w:tcPr>
            <w:tcW w:w="1001" w:type="dxa"/>
            <w:tcBorders>
              <w:top w:val="single" w:sz="4" w:space="0" w:color="auto"/>
              <w:left w:val="nil"/>
              <w:bottom w:val="single" w:sz="4" w:space="0" w:color="auto"/>
              <w:right w:val="single" w:sz="4" w:space="0" w:color="auto"/>
            </w:tcBorders>
            <w:shd w:val="clear" w:color="auto" w:fill="FFE599" w:themeFill="accent4" w:themeFillTint="66"/>
            <w:vAlign w:val="bottom"/>
            <w:hideMark/>
          </w:tcPr>
          <w:p w14:paraId="67503B5D" w14:textId="77777777" w:rsidR="00E00050" w:rsidRPr="00C14C91"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Indeks   (4</w:t>
            </w:r>
            <w:r w:rsidRPr="00C14C91">
              <w:rPr>
                <w:rFonts w:ascii="Arial" w:eastAsia="Times New Roman" w:hAnsi="Arial" w:cs="Arial"/>
                <w:b/>
                <w:bCs/>
                <w:sz w:val="20"/>
                <w:szCs w:val="20"/>
                <w:lang w:eastAsia="hr-HR"/>
              </w:rPr>
              <w:t>/1)</w:t>
            </w:r>
          </w:p>
        </w:tc>
        <w:tc>
          <w:tcPr>
            <w:tcW w:w="1006" w:type="dxa"/>
            <w:tcBorders>
              <w:top w:val="single" w:sz="4" w:space="0" w:color="auto"/>
              <w:left w:val="nil"/>
              <w:bottom w:val="single" w:sz="4" w:space="0" w:color="auto"/>
              <w:right w:val="single" w:sz="4" w:space="0" w:color="auto"/>
            </w:tcBorders>
            <w:shd w:val="clear" w:color="auto" w:fill="FFE599" w:themeFill="accent4" w:themeFillTint="66"/>
            <w:vAlign w:val="bottom"/>
            <w:hideMark/>
          </w:tcPr>
          <w:p w14:paraId="0C025254" w14:textId="77777777" w:rsidR="00E00050" w:rsidRPr="00C14C91"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Indeks (4/3</w:t>
            </w:r>
            <w:r w:rsidRPr="00C14C91">
              <w:rPr>
                <w:rFonts w:ascii="Arial" w:eastAsia="Times New Roman" w:hAnsi="Arial" w:cs="Arial"/>
                <w:b/>
                <w:bCs/>
                <w:sz w:val="20"/>
                <w:szCs w:val="20"/>
                <w:lang w:eastAsia="hr-HR"/>
              </w:rPr>
              <w:t>)</w:t>
            </w:r>
          </w:p>
        </w:tc>
      </w:tr>
      <w:tr w:rsidR="00E00050" w:rsidRPr="00C14C91" w14:paraId="6F34D1BC" w14:textId="77777777" w:rsidTr="00641E4B">
        <w:trPr>
          <w:trHeight w:val="201"/>
        </w:trPr>
        <w:tc>
          <w:tcPr>
            <w:tcW w:w="3982"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bottom"/>
            <w:hideMark/>
          </w:tcPr>
          <w:p w14:paraId="07190300" w14:textId="77777777" w:rsidR="00E00050" w:rsidRPr="00C14C91" w:rsidRDefault="00E00050" w:rsidP="009D32D6">
            <w:pPr>
              <w:spacing w:after="0" w:line="240" w:lineRule="auto"/>
              <w:jc w:val="center"/>
              <w:rPr>
                <w:rFonts w:ascii="Arial" w:eastAsia="Times New Roman" w:hAnsi="Arial" w:cs="Arial"/>
                <w:b/>
                <w:bCs/>
                <w:sz w:val="20"/>
                <w:szCs w:val="20"/>
                <w:lang w:eastAsia="hr-HR"/>
              </w:rPr>
            </w:pPr>
            <w:r w:rsidRPr="00C14C91">
              <w:rPr>
                <w:rFonts w:ascii="Arial" w:eastAsia="Times New Roman" w:hAnsi="Arial" w:cs="Arial"/>
                <w:b/>
                <w:bCs/>
                <w:sz w:val="20"/>
                <w:szCs w:val="20"/>
                <w:lang w:eastAsia="hr-HR"/>
              </w:rPr>
              <w:t>B. RAČUN ZADUŽIVANJA FINANCIRANJA</w:t>
            </w:r>
          </w:p>
        </w:tc>
        <w:tc>
          <w:tcPr>
            <w:tcW w:w="1377" w:type="dxa"/>
            <w:tcBorders>
              <w:top w:val="nil"/>
              <w:left w:val="nil"/>
              <w:bottom w:val="single" w:sz="4" w:space="0" w:color="auto"/>
              <w:right w:val="single" w:sz="4" w:space="0" w:color="auto"/>
            </w:tcBorders>
            <w:shd w:val="clear" w:color="auto" w:fill="FFE599" w:themeFill="accent4" w:themeFillTint="66"/>
            <w:noWrap/>
            <w:vAlign w:val="center"/>
            <w:hideMark/>
          </w:tcPr>
          <w:p w14:paraId="6594CC46" w14:textId="77777777" w:rsidR="00E00050" w:rsidRPr="00C14C91"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(1)</w:t>
            </w:r>
          </w:p>
        </w:tc>
        <w:tc>
          <w:tcPr>
            <w:tcW w:w="1506" w:type="dxa"/>
            <w:tcBorders>
              <w:top w:val="nil"/>
              <w:left w:val="nil"/>
              <w:bottom w:val="single" w:sz="4" w:space="0" w:color="auto"/>
              <w:right w:val="single" w:sz="4" w:space="0" w:color="auto"/>
            </w:tcBorders>
            <w:shd w:val="clear" w:color="auto" w:fill="FFE599" w:themeFill="accent4" w:themeFillTint="66"/>
            <w:noWrap/>
            <w:vAlign w:val="center"/>
            <w:hideMark/>
          </w:tcPr>
          <w:p w14:paraId="186D78E4" w14:textId="77777777" w:rsidR="00E00050" w:rsidRPr="00C14C91"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(2)</w:t>
            </w:r>
          </w:p>
        </w:tc>
        <w:tc>
          <w:tcPr>
            <w:tcW w:w="1384" w:type="dxa"/>
            <w:tcBorders>
              <w:top w:val="nil"/>
              <w:left w:val="nil"/>
              <w:bottom w:val="single" w:sz="4" w:space="0" w:color="auto"/>
              <w:right w:val="nil"/>
            </w:tcBorders>
            <w:shd w:val="clear" w:color="auto" w:fill="FFE599" w:themeFill="accent4" w:themeFillTint="66"/>
            <w:vAlign w:val="center"/>
          </w:tcPr>
          <w:p w14:paraId="3AC3860A" w14:textId="77777777" w:rsidR="00E00050"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(3)</w:t>
            </w:r>
          </w:p>
        </w:tc>
        <w:tc>
          <w:tcPr>
            <w:tcW w:w="1377" w:type="dxa"/>
            <w:tcBorders>
              <w:top w:val="nil"/>
              <w:left w:val="nil"/>
              <w:bottom w:val="single" w:sz="4" w:space="0" w:color="auto"/>
              <w:right w:val="single" w:sz="4" w:space="0" w:color="auto"/>
            </w:tcBorders>
            <w:shd w:val="clear" w:color="auto" w:fill="FFE599" w:themeFill="accent4" w:themeFillTint="66"/>
            <w:noWrap/>
            <w:vAlign w:val="center"/>
            <w:hideMark/>
          </w:tcPr>
          <w:p w14:paraId="79FA04D9" w14:textId="77777777" w:rsidR="00E00050" w:rsidRPr="00C14C91"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(4)</w:t>
            </w:r>
          </w:p>
        </w:tc>
        <w:tc>
          <w:tcPr>
            <w:tcW w:w="1001" w:type="dxa"/>
            <w:tcBorders>
              <w:top w:val="nil"/>
              <w:left w:val="nil"/>
              <w:bottom w:val="single" w:sz="4" w:space="0" w:color="auto"/>
              <w:right w:val="single" w:sz="4" w:space="0" w:color="auto"/>
            </w:tcBorders>
            <w:shd w:val="clear" w:color="auto" w:fill="FFE599" w:themeFill="accent4" w:themeFillTint="66"/>
            <w:noWrap/>
            <w:vAlign w:val="center"/>
            <w:hideMark/>
          </w:tcPr>
          <w:p w14:paraId="0798E329" w14:textId="77777777" w:rsidR="00E00050" w:rsidRPr="00C14C91"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(5)</w:t>
            </w:r>
          </w:p>
        </w:tc>
        <w:tc>
          <w:tcPr>
            <w:tcW w:w="1006" w:type="dxa"/>
            <w:tcBorders>
              <w:top w:val="nil"/>
              <w:left w:val="nil"/>
              <w:bottom w:val="single" w:sz="4" w:space="0" w:color="auto"/>
              <w:right w:val="single" w:sz="4" w:space="0" w:color="auto"/>
            </w:tcBorders>
            <w:shd w:val="clear" w:color="auto" w:fill="FFE599" w:themeFill="accent4" w:themeFillTint="66"/>
            <w:noWrap/>
            <w:vAlign w:val="center"/>
            <w:hideMark/>
          </w:tcPr>
          <w:p w14:paraId="0F4F45C8" w14:textId="77777777" w:rsidR="00E00050" w:rsidRPr="00C14C91"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(6)</w:t>
            </w:r>
          </w:p>
        </w:tc>
      </w:tr>
      <w:tr w:rsidR="00E00050" w:rsidRPr="00C14C91" w14:paraId="637C015D" w14:textId="77777777" w:rsidTr="00E00050">
        <w:trPr>
          <w:trHeight w:val="201"/>
        </w:trPr>
        <w:tc>
          <w:tcPr>
            <w:tcW w:w="3982"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bottom"/>
          </w:tcPr>
          <w:p w14:paraId="585F0F75" w14:textId="77777777" w:rsidR="00E00050" w:rsidRPr="00C14C91" w:rsidRDefault="00E00050" w:rsidP="009D32D6">
            <w:pPr>
              <w:spacing w:after="0" w:line="240" w:lineRule="auto"/>
              <w:rPr>
                <w:rFonts w:ascii="Arial" w:eastAsia="Times New Roman" w:hAnsi="Arial" w:cs="Arial"/>
                <w:b/>
                <w:bCs/>
                <w:sz w:val="20"/>
                <w:szCs w:val="20"/>
                <w:lang w:eastAsia="hr-HR"/>
              </w:rPr>
            </w:pPr>
            <w:r>
              <w:rPr>
                <w:rFonts w:ascii="Arial" w:eastAsia="Times New Roman" w:hAnsi="Arial" w:cs="Arial"/>
                <w:b/>
                <w:bCs/>
                <w:sz w:val="20"/>
                <w:szCs w:val="20"/>
                <w:lang w:eastAsia="hr-HR"/>
              </w:rPr>
              <w:t xml:space="preserve">8 Primici od financijske imovine i zaduživanja </w:t>
            </w:r>
          </w:p>
        </w:tc>
        <w:tc>
          <w:tcPr>
            <w:tcW w:w="1377" w:type="dxa"/>
            <w:tcBorders>
              <w:top w:val="nil"/>
              <w:left w:val="nil"/>
              <w:bottom w:val="single" w:sz="4" w:space="0" w:color="auto"/>
              <w:right w:val="single" w:sz="4" w:space="0" w:color="auto"/>
            </w:tcBorders>
            <w:shd w:val="clear" w:color="auto" w:fill="FFE599" w:themeFill="accent4" w:themeFillTint="66"/>
            <w:noWrap/>
            <w:vAlign w:val="bottom"/>
          </w:tcPr>
          <w:p w14:paraId="51E0E693" w14:textId="77777777" w:rsidR="00E00050"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506" w:type="dxa"/>
            <w:tcBorders>
              <w:top w:val="nil"/>
              <w:left w:val="nil"/>
              <w:bottom w:val="single" w:sz="4" w:space="0" w:color="auto"/>
              <w:right w:val="single" w:sz="4" w:space="0" w:color="auto"/>
            </w:tcBorders>
            <w:shd w:val="clear" w:color="auto" w:fill="FFE599" w:themeFill="accent4" w:themeFillTint="66"/>
            <w:noWrap/>
            <w:vAlign w:val="bottom"/>
          </w:tcPr>
          <w:p w14:paraId="3BFA84E5" w14:textId="77777777" w:rsidR="00E00050"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150.000,00</w:t>
            </w:r>
          </w:p>
        </w:tc>
        <w:tc>
          <w:tcPr>
            <w:tcW w:w="1384" w:type="dxa"/>
            <w:tcBorders>
              <w:top w:val="nil"/>
              <w:left w:val="nil"/>
              <w:bottom w:val="single" w:sz="4" w:space="0" w:color="auto"/>
              <w:right w:val="nil"/>
            </w:tcBorders>
            <w:shd w:val="clear" w:color="auto" w:fill="FFE599" w:themeFill="accent4" w:themeFillTint="66"/>
            <w:vAlign w:val="bottom"/>
          </w:tcPr>
          <w:p w14:paraId="14C929D3" w14:textId="77777777" w:rsidR="00E00050"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150.000,00</w:t>
            </w:r>
          </w:p>
        </w:tc>
        <w:tc>
          <w:tcPr>
            <w:tcW w:w="1377" w:type="dxa"/>
            <w:tcBorders>
              <w:top w:val="nil"/>
              <w:left w:val="nil"/>
              <w:bottom w:val="single" w:sz="4" w:space="0" w:color="auto"/>
              <w:right w:val="single" w:sz="4" w:space="0" w:color="auto"/>
            </w:tcBorders>
            <w:shd w:val="clear" w:color="auto" w:fill="FFE599" w:themeFill="accent4" w:themeFillTint="66"/>
            <w:noWrap/>
            <w:vAlign w:val="bottom"/>
          </w:tcPr>
          <w:p w14:paraId="045634F6" w14:textId="4A568F48" w:rsidR="00E00050"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150.000,00</w:t>
            </w:r>
          </w:p>
        </w:tc>
        <w:tc>
          <w:tcPr>
            <w:tcW w:w="1001" w:type="dxa"/>
            <w:tcBorders>
              <w:top w:val="nil"/>
              <w:left w:val="nil"/>
              <w:bottom w:val="single" w:sz="4" w:space="0" w:color="auto"/>
              <w:right w:val="single" w:sz="4" w:space="0" w:color="auto"/>
            </w:tcBorders>
            <w:shd w:val="clear" w:color="auto" w:fill="FFE599" w:themeFill="accent4" w:themeFillTint="66"/>
            <w:noWrap/>
            <w:vAlign w:val="bottom"/>
          </w:tcPr>
          <w:p w14:paraId="7A3A6268" w14:textId="77777777" w:rsidR="00E00050"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c>
          <w:tcPr>
            <w:tcW w:w="1006" w:type="dxa"/>
            <w:tcBorders>
              <w:top w:val="nil"/>
              <w:left w:val="nil"/>
              <w:bottom w:val="single" w:sz="4" w:space="0" w:color="auto"/>
              <w:right w:val="single" w:sz="4" w:space="0" w:color="auto"/>
            </w:tcBorders>
            <w:shd w:val="clear" w:color="auto" w:fill="FFE599" w:themeFill="accent4" w:themeFillTint="66"/>
            <w:noWrap/>
            <w:vAlign w:val="bottom"/>
          </w:tcPr>
          <w:p w14:paraId="2CDE33F5" w14:textId="572C3AE9" w:rsidR="00E00050" w:rsidRDefault="00E00050" w:rsidP="00E00050">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100,00%</w:t>
            </w:r>
          </w:p>
        </w:tc>
      </w:tr>
      <w:tr w:rsidR="00E00050" w:rsidRPr="00C14C91" w14:paraId="186EB7EC" w14:textId="77777777" w:rsidTr="00E00050">
        <w:trPr>
          <w:trHeight w:val="201"/>
        </w:trPr>
        <w:tc>
          <w:tcPr>
            <w:tcW w:w="39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74D31F1" w14:textId="77777777" w:rsidR="00E00050" w:rsidRDefault="00E00050" w:rsidP="009D32D6">
            <w:pPr>
              <w:spacing w:after="0" w:line="240" w:lineRule="auto"/>
              <w:rPr>
                <w:rFonts w:ascii="Arial" w:eastAsia="Times New Roman" w:hAnsi="Arial" w:cs="Arial"/>
                <w:b/>
                <w:bCs/>
                <w:sz w:val="20"/>
                <w:szCs w:val="20"/>
                <w:lang w:eastAsia="hr-HR"/>
              </w:rPr>
            </w:pPr>
            <w:r>
              <w:rPr>
                <w:rFonts w:ascii="Arial" w:eastAsia="Times New Roman" w:hAnsi="Arial" w:cs="Arial"/>
                <w:b/>
                <w:bCs/>
                <w:sz w:val="20"/>
                <w:szCs w:val="20"/>
                <w:lang w:eastAsia="hr-HR"/>
              </w:rPr>
              <w:t xml:space="preserve">84 Primici od zaduživanja </w:t>
            </w:r>
          </w:p>
        </w:tc>
        <w:tc>
          <w:tcPr>
            <w:tcW w:w="1377" w:type="dxa"/>
            <w:tcBorders>
              <w:top w:val="nil"/>
              <w:left w:val="nil"/>
              <w:bottom w:val="single" w:sz="4" w:space="0" w:color="auto"/>
              <w:right w:val="single" w:sz="4" w:space="0" w:color="auto"/>
            </w:tcBorders>
            <w:shd w:val="clear" w:color="auto" w:fill="FFFFFF" w:themeFill="background1"/>
            <w:noWrap/>
            <w:vAlign w:val="bottom"/>
          </w:tcPr>
          <w:p w14:paraId="5781A644" w14:textId="77777777" w:rsidR="00E00050"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506" w:type="dxa"/>
            <w:tcBorders>
              <w:top w:val="nil"/>
              <w:left w:val="nil"/>
              <w:bottom w:val="single" w:sz="4" w:space="0" w:color="auto"/>
              <w:right w:val="single" w:sz="4" w:space="0" w:color="auto"/>
            </w:tcBorders>
            <w:shd w:val="clear" w:color="auto" w:fill="FFFFFF" w:themeFill="background1"/>
            <w:noWrap/>
            <w:vAlign w:val="bottom"/>
          </w:tcPr>
          <w:p w14:paraId="23D475FE" w14:textId="77777777" w:rsidR="00E00050"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150.000,00</w:t>
            </w:r>
          </w:p>
        </w:tc>
        <w:tc>
          <w:tcPr>
            <w:tcW w:w="1384" w:type="dxa"/>
            <w:tcBorders>
              <w:top w:val="nil"/>
              <w:left w:val="nil"/>
              <w:bottom w:val="single" w:sz="4" w:space="0" w:color="auto"/>
              <w:right w:val="nil"/>
            </w:tcBorders>
            <w:shd w:val="clear" w:color="auto" w:fill="FFFFFF" w:themeFill="background1"/>
            <w:vAlign w:val="bottom"/>
          </w:tcPr>
          <w:p w14:paraId="28BF4B58" w14:textId="77777777" w:rsidR="00E00050"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150.000,00</w:t>
            </w:r>
          </w:p>
        </w:tc>
        <w:tc>
          <w:tcPr>
            <w:tcW w:w="1377" w:type="dxa"/>
            <w:tcBorders>
              <w:top w:val="nil"/>
              <w:left w:val="nil"/>
              <w:bottom w:val="single" w:sz="4" w:space="0" w:color="auto"/>
              <w:right w:val="single" w:sz="4" w:space="0" w:color="auto"/>
            </w:tcBorders>
            <w:shd w:val="clear" w:color="auto" w:fill="FFFFFF" w:themeFill="background1"/>
            <w:noWrap/>
            <w:vAlign w:val="bottom"/>
          </w:tcPr>
          <w:p w14:paraId="4DBA400A" w14:textId="43C3A746" w:rsidR="00E00050"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150.000,00</w:t>
            </w:r>
          </w:p>
        </w:tc>
        <w:tc>
          <w:tcPr>
            <w:tcW w:w="1001" w:type="dxa"/>
            <w:tcBorders>
              <w:top w:val="nil"/>
              <w:left w:val="nil"/>
              <w:bottom w:val="single" w:sz="4" w:space="0" w:color="auto"/>
              <w:right w:val="single" w:sz="4" w:space="0" w:color="auto"/>
            </w:tcBorders>
            <w:shd w:val="clear" w:color="auto" w:fill="FFFFFF" w:themeFill="background1"/>
            <w:noWrap/>
            <w:vAlign w:val="bottom"/>
          </w:tcPr>
          <w:p w14:paraId="7D37AE00" w14:textId="77777777" w:rsidR="00E00050"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c>
          <w:tcPr>
            <w:tcW w:w="1006" w:type="dxa"/>
            <w:tcBorders>
              <w:top w:val="nil"/>
              <w:left w:val="nil"/>
              <w:bottom w:val="single" w:sz="4" w:space="0" w:color="auto"/>
              <w:right w:val="single" w:sz="4" w:space="0" w:color="auto"/>
            </w:tcBorders>
            <w:shd w:val="clear" w:color="auto" w:fill="FFFFFF" w:themeFill="background1"/>
            <w:noWrap/>
            <w:vAlign w:val="bottom"/>
          </w:tcPr>
          <w:p w14:paraId="5C1B2531" w14:textId="3108CFB8" w:rsidR="00E00050"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100,00%</w:t>
            </w:r>
          </w:p>
        </w:tc>
      </w:tr>
      <w:tr w:rsidR="00E00050" w:rsidRPr="00C14C91" w14:paraId="2F9AF1CE" w14:textId="77777777" w:rsidTr="00E00050">
        <w:trPr>
          <w:trHeight w:val="201"/>
        </w:trPr>
        <w:tc>
          <w:tcPr>
            <w:tcW w:w="39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A06C6AF" w14:textId="46752299" w:rsidR="00E00050" w:rsidRPr="00E00050" w:rsidRDefault="00E00050" w:rsidP="009D32D6">
            <w:pPr>
              <w:spacing w:after="0" w:line="240" w:lineRule="auto"/>
              <w:rPr>
                <w:rFonts w:ascii="Arial" w:eastAsia="Times New Roman" w:hAnsi="Arial" w:cs="Arial"/>
                <w:sz w:val="20"/>
                <w:szCs w:val="20"/>
                <w:lang w:eastAsia="hr-HR"/>
              </w:rPr>
            </w:pPr>
            <w:r w:rsidRPr="00E00050">
              <w:rPr>
                <w:rFonts w:ascii="Arial" w:eastAsia="Times New Roman" w:hAnsi="Arial" w:cs="Arial"/>
                <w:sz w:val="20"/>
                <w:szCs w:val="20"/>
                <w:lang w:eastAsia="hr-HR"/>
              </w:rPr>
              <w:t xml:space="preserve">8422 Primljeni krediti od kreditnih institucija u javnom sektoru </w:t>
            </w:r>
          </w:p>
        </w:tc>
        <w:tc>
          <w:tcPr>
            <w:tcW w:w="1377" w:type="dxa"/>
            <w:tcBorders>
              <w:top w:val="nil"/>
              <w:left w:val="nil"/>
              <w:bottom w:val="single" w:sz="4" w:space="0" w:color="auto"/>
              <w:right w:val="single" w:sz="4" w:space="0" w:color="auto"/>
            </w:tcBorders>
            <w:shd w:val="clear" w:color="auto" w:fill="FFFFFF" w:themeFill="background1"/>
            <w:noWrap/>
            <w:vAlign w:val="bottom"/>
          </w:tcPr>
          <w:p w14:paraId="3100F4E7" w14:textId="2B577360" w:rsidR="00E00050" w:rsidRPr="00E00050" w:rsidRDefault="00E00050" w:rsidP="009D32D6">
            <w:pPr>
              <w:spacing w:after="0" w:line="240" w:lineRule="auto"/>
              <w:jc w:val="center"/>
              <w:rPr>
                <w:rFonts w:ascii="Arial" w:eastAsia="Times New Roman" w:hAnsi="Arial" w:cs="Arial"/>
                <w:sz w:val="20"/>
                <w:szCs w:val="20"/>
                <w:lang w:eastAsia="hr-HR"/>
              </w:rPr>
            </w:pPr>
            <w:r w:rsidRPr="00E00050">
              <w:rPr>
                <w:rFonts w:ascii="Arial" w:eastAsia="Times New Roman" w:hAnsi="Arial" w:cs="Arial"/>
                <w:sz w:val="20"/>
                <w:szCs w:val="20"/>
                <w:lang w:eastAsia="hr-HR"/>
              </w:rPr>
              <w:t>0,00</w:t>
            </w:r>
          </w:p>
        </w:tc>
        <w:tc>
          <w:tcPr>
            <w:tcW w:w="1506" w:type="dxa"/>
            <w:tcBorders>
              <w:top w:val="nil"/>
              <w:left w:val="nil"/>
              <w:bottom w:val="single" w:sz="4" w:space="0" w:color="auto"/>
              <w:right w:val="single" w:sz="4" w:space="0" w:color="auto"/>
            </w:tcBorders>
            <w:shd w:val="clear" w:color="auto" w:fill="FFFFFF" w:themeFill="background1"/>
            <w:noWrap/>
            <w:vAlign w:val="bottom"/>
          </w:tcPr>
          <w:p w14:paraId="0CC006C8" w14:textId="54BDC07A" w:rsidR="00E00050" w:rsidRPr="00E00050" w:rsidRDefault="00E00050" w:rsidP="009D32D6">
            <w:pPr>
              <w:spacing w:after="0" w:line="240" w:lineRule="auto"/>
              <w:jc w:val="center"/>
              <w:rPr>
                <w:rFonts w:ascii="Arial" w:eastAsia="Times New Roman" w:hAnsi="Arial" w:cs="Arial"/>
                <w:sz w:val="20"/>
                <w:szCs w:val="20"/>
                <w:lang w:eastAsia="hr-HR"/>
              </w:rPr>
            </w:pPr>
            <w:r w:rsidRPr="00E00050">
              <w:rPr>
                <w:rFonts w:ascii="Arial" w:eastAsia="Times New Roman" w:hAnsi="Arial" w:cs="Arial"/>
                <w:sz w:val="20"/>
                <w:szCs w:val="20"/>
                <w:lang w:eastAsia="hr-HR"/>
              </w:rPr>
              <w:t>0,00</w:t>
            </w:r>
          </w:p>
        </w:tc>
        <w:tc>
          <w:tcPr>
            <w:tcW w:w="1384" w:type="dxa"/>
            <w:tcBorders>
              <w:top w:val="nil"/>
              <w:left w:val="nil"/>
              <w:bottom w:val="single" w:sz="4" w:space="0" w:color="auto"/>
              <w:right w:val="nil"/>
            </w:tcBorders>
            <w:shd w:val="clear" w:color="auto" w:fill="FFFFFF" w:themeFill="background1"/>
            <w:vAlign w:val="bottom"/>
          </w:tcPr>
          <w:p w14:paraId="3DD0D75C" w14:textId="4F2EFDEC" w:rsidR="00E00050" w:rsidRPr="00E00050" w:rsidRDefault="00E00050" w:rsidP="009D32D6">
            <w:pPr>
              <w:spacing w:after="0" w:line="240" w:lineRule="auto"/>
              <w:jc w:val="center"/>
              <w:rPr>
                <w:rFonts w:ascii="Arial" w:eastAsia="Times New Roman" w:hAnsi="Arial" w:cs="Arial"/>
                <w:sz w:val="20"/>
                <w:szCs w:val="20"/>
                <w:lang w:eastAsia="hr-HR"/>
              </w:rPr>
            </w:pPr>
            <w:r w:rsidRPr="00E00050">
              <w:rPr>
                <w:rFonts w:ascii="Arial" w:eastAsia="Times New Roman" w:hAnsi="Arial" w:cs="Arial"/>
                <w:sz w:val="20"/>
                <w:szCs w:val="20"/>
                <w:lang w:eastAsia="hr-HR"/>
              </w:rPr>
              <w:t>0,00</w:t>
            </w:r>
          </w:p>
        </w:tc>
        <w:tc>
          <w:tcPr>
            <w:tcW w:w="1377" w:type="dxa"/>
            <w:tcBorders>
              <w:top w:val="nil"/>
              <w:left w:val="nil"/>
              <w:bottom w:val="single" w:sz="4" w:space="0" w:color="auto"/>
              <w:right w:val="single" w:sz="4" w:space="0" w:color="auto"/>
            </w:tcBorders>
            <w:shd w:val="clear" w:color="auto" w:fill="FFFFFF" w:themeFill="background1"/>
            <w:noWrap/>
            <w:vAlign w:val="bottom"/>
          </w:tcPr>
          <w:p w14:paraId="0FE2C0D0" w14:textId="25C469F4" w:rsidR="00E00050" w:rsidRPr="00E00050" w:rsidRDefault="00E00050" w:rsidP="009D32D6">
            <w:pPr>
              <w:spacing w:after="0" w:line="240" w:lineRule="auto"/>
              <w:jc w:val="center"/>
              <w:rPr>
                <w:rFonts w:ascii="Arial" w:eastAsia="Times New Roman" w:hAnsi="Arial" w:cs="Arial"/>
                <w:sz w:val="20"/>
                <w:szCs w:val="20"/>
                <w:lang w:eastAsia="hr-HR"/>
              </w:rPr>
            </w:pPr>
            <w:r w:rsidRPr="00E00050">
              <w:rPr>
                <w:rFonts w:ascii="Arial" w:eastAsia="Times New Roman" w:hAnsi="Arial" w:cs="Arial"/>
                <w:sz w:val="20"/>
                <w:szCs w:val="20"/>
                <w:lang w:eastAsia="hr-HR"/>
              </w:rPr>
              <w:t>150.000,00</w:t>
            </w:r>
          </w:p>
        </w:tc>
        <w:tc>
          <w:tcPr>
            <w:tcW w:w="1001" w:type="dxa"/>
            <w:tcBorders>
              <w:top w:val="nil"/>
              <w:left w:val="nil"/>
              <w:bottom w:val="single" w:sz="4" w:space="0" w:color="auto"/>
              <w:right w:val="single" w:sz="4" w:space="0" w:color="auto"/>
            </w:tcBorders>
            <w:shd w:val="clear" w:color="auto" w:fill="FFFFFF" w:themeFill="background1"/>
            <w:noWrap/>
            <w:vAlign w:val="bottom"/>
          </w:tcPr>
          <w:p w14:paraId="090B9D9E" w14:textId="22B6D69B" w:rsidR="00E00050" w:rsidRPr="00E00050" w:rsidRDefault="00E00050" w:rsidP="009D32D6">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shd w:val="clear" w:color="auto" w:fill="FFFFFF" w:themeFill="background1"/>
            <w:noWrap/>
            <w:vAlign w:val="bottom"/>
          </w:tcPr>
          <w:p w14:paraId="1DAA76C4" w14:textId="5B53B3F3" w:rsidR="00E00050" w:rsidRPr="00E00050" w:rsidRDefault="00E00050" w:rsidP="009D32D6">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00050" w:rsidRPr="00C14C91" w14:paraId="6F792FED" w14:textId="77777777" w:rsidTr="00E00050">
        <w:trPr>
          <w:trHeight w:val="201"/>
        </w:trPr>
        <w:tc>
          <w:tcPr>
            <w:tcW w:w="398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hideMark/>
          </w:tcPr>
          <w:p w14:paraId="6A929A85" w14:textId="77777777" w:rsidR="00E00050" w:rsidRPr="00C14C91" w:rsidRDefault="00E00050" w:rsidP="009D32D6">
            <w:pPr>
              <w:spacing w:after="0" w:line="240" w:lineRule="auto"/>
              <w:rPr>
                <w:rFonts w:ascii="Arial" w:eastAsia="Times New Roman" w:hAnsi="Arial" w:cs="Arial"/>
                <w:b/>
                <w:bCs/>
                <w:sz w:val="20"/>
                <w:szCs w:val="20"/>
                <w:lang w:eastAsia="hr-HR"/>
              </w:rPr>
            </w:pPr>
            <w:r w:rsidRPr="00C14C91">
              <w:rPr>
                <w:rFonts w:ascii="Arial" w:eastAsia="Times New Roman" w:hAnsi="Arial" w:cs="Arial"/>
                <w:b/>
                <w:bCs/>
                <w:sz w:val="20"/>
                <w:szCs w:val="20"/>
                <w:lang w:eastAsia="hr-HR"/>
              </w:rPr>
              <w:t>5 Izdaci za financijsku imovinu i otplate zajmova</w:t>
            </w:r>
          </w:p>
        </w:tc>
        <w:tc>
          <w:tcPr>
            <w:tcW w:w="1377" w:type="dxa"/>
            <w:tcBorders>
              <w:top w:val="nil"/>
              <w:left w:val="nil"/>
              <w:bottom w:val="single" w:sz="4" w:space="0" w:color="auto"/>
              <w:right w:val="single" w:sz="4" w:space="0" w:color="auto"/>
            </w:tcBorders>
            <w:shd w:val="clear" w:color="auto" w:fill="FFE599" w:themeFill="accent4" w:themeFillTint="66"/>
            <w:vAlign w:val="bottom"/>
          </w:tcPr>
          <w:p w14:paraId="153ECC97" w14:textId="580BBD3E" w:rsidR="00E00050" w:rsidRPr="00C14C91" w:rsidRDefault="00641E4B"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632.317,64</w:t>
            </w:r>
          </w:p>
        </w:tc>
        <w:tc>
          <w:tcPr>
            <w:tcW w:w="1506" w:type="dxa"/>
            <w:tcBorders>
              <w:top w:val="nil"/>
              <w:left w:val="nil"/>
              <w:bottom w:val="single" w:sz="4" w:space="0" w:color="auto"/>
              <w:right w:val="single" w:sz="4" w:space="0" w:color="auto"/>
            </w:tcBorders>
            <w:shd w:val="clear" w:color="auto" w:fill="FFE599" w:themeFill="accent4" w:themeFillTint="66"/>
            <w:vAlign w:val="bottom"/>
          </w:tcPr>
          <w:p w14:paraId="253B8264" w14:textId="77777777" w:rsidR="00E00050" w:rsidRPr="00C14C91"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398.700,00</w:t>
            </w:r>
          </w:p>
        </w:tc>
        <w:tc>
          <w:tcPr>
            <w:tcW w:w="1384" w:type="dxa"/>
            <w:tcBorders>
              <w:top w:val="nil"/>
              <w:left w:val="nil"/>
              <w:bottom w:val="single" w:sz="4" w:space="0" w:color="auto"/>
              <w:right w:val="nil"/>
            </w:tcBorders>
            <w:shd w:val="clear" w:color="auto" w:fill="FFE599" w:themeFill="accent4" w:themeFillTint="66"/>
            <w:vAlign w:val="bottom"/>
          </w:tcPr>
          <w:p w14:paraId="7705FF61" w14:textId="77777777" w:rsidR="00E00050"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398.700,00</w:t>
            </w:r>
          </w:p>
        </w:tc>
        <w:tc>
          <w:tcPr>
            <w:tcW w:w="1377" w:type="dxa"/>
            <w:tcBorders>
              <w:top w:val="nil"/>
              <w:left w:val="nil"/>
              <w:bottom w:val="single" w:sz="4" w:space="0" w:color="auto"/>
              <w:right w:val="single" w:sz="4" w:space="0" w:color="auto"/>
            </w:tcBorders>
            <w:shd w:val="clear" w:color="auto" w:fill="FFE599" w:themeFill="accent4" w:themeFillTint="66"/>
            <w:vAlign w:val="bottom"/>
          </w:tcPr>
          <w:p w14:paraId="3C233043" w14:textId="535E58FD" w:rsidR="00E00050" w:rsidRPr="00C14C91"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352.837,33</w:t>
            </w:r>
          </w:p>
        </w:tc>
        <w:tc>
          <w:tcPr>
            <w:tcW w:w="1001" w:type="dxa"/>
            <w:tcBorders>
              <w:top w:val="nil"/>
              <w:left w:val="nil"/>
              <w:bottom w:val="single" w:sz="4" w:space="0" w:color="auto"/>
              <w:right w:val="single" w:sz="4" w:space="0" w:color="auto"/>
            </w:tcBorders>
            <w:shd w:val="clear" w:color="auto" w:fill="FFE599" w:themeFill="accent4" w:themeFillTint="66"/>
            <w:vAlign w:val="bottom"/>
          </w:tcPr>
          <w:p w14:paraId="2CFF5647" w14:textId="50E561EC" w:rsidR="00E00050" w:rsidRPr="00C14C91"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55,8</w:t>
            </w:r>
            <w:r w:rsidR="00207E5A">
              <w:rPr>
                <w:rFonts w:ascii="Arial" w:eastAsia="Times New Roman" w:hAnsi="Arial" w:cs="Arial"/>
                <w:b/>
                <w:bCs/>
                <w:sz w:val="20"/>
                <w:szCs w:val="20"/>
                <w:lang w:eastAsia="hr-HR"/>
              </w:rPr>
              <w:t>0</w:t>
            </w:r>
            <w:r>
              <w:rPr>
                <w:rFonts w:ascii="Arial" w:eastAsia="Times New Roman" w:hAnsi="Arial" w:cs="Arial"/>
                <w:b/>
                <w:bCs/>
                <w:sz w:val="20"/>
                <w:szCs w:val="20"/>
                <w:lang w:eastAsia="hr-HR"/>
              </w:rPr>
              <w:t>%</w:t>
            </w:r>
          </w:p>
        </w:tc>
        <w:tc>
          <w:tcPr>
            <w:tcW w:w="1006" w:type="dxa"/>
            <w:tcBorders>
              <w:top w:val="nil"/>
              <w:left w:val="nil"/>
              <w:bottom w:val="single" w:sz="4" w:space="0" w:color="auto"/>
              <w:right w:val="single" w:sz="4" w:space="0" w:color="auto"/>
            </w:tcBorders>
            <w:shd w:val="clear" w:color="auto" w:fill="FFE599" w:themeFill="accent4" w:themeFillTint="66"/>
            <w:vAlign w:val="bottom"/>
          </w:tcPr>
          <w:p w14:paraId="5A9DB6C3" w14:textId="3D3FE908" w:rsidR="00E00050" w:rsidRPr="00C14C91" w:rsidRDefault="00207E5A"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88,50</w:t>
            </w:r>
            <w:r w:rsidR="00E00050">
              <w:rPr>
                <w:rFonts w:ascii="Arial" w:eastAsia="Times New Roman" w:hAnsi="Arial" w:cs="Arial"/>
                <w:b/>
                <w:bCs/>
                <w:sz w:val="20"/>
                <w:szCs w:val="20"/>
                <w:lang w:eastAsia="hr-HR"/>
              </w:rPr>
              <w:t>%</w:t>
            </w:r>
          </w:p>
        </w:tc>
      </w:tr>
      <w:tr w:rsidR="00E00050" w:rsidRPr="00C14C91" w14:paraId="55324360" w14:textId="77777777" w:rsidTr="00E00050">
        <w:trPr>
          <w:trHeight w:val="201"/>
        </w:trPr>
        <w:tc>
          <w:tcPr>
            <w:tcW w:w="3982" w:type="dxa"/>
            <w:tcBorders>
              <w:top w:val="single" w:sz="4" w:space="0" w:color="auto"/>
              <w:left w:val="single" w:sz="4" w:space="0" w:color="auto"/>
              <w:bottom w:val="single" w:sz="4" w:space="0" w:color="auto"/>
              <w:right w:val="single" w:sz="4" w:space="0" w:color="auto"/>
            </w:tcBorders>
            <w:vAlign w:val="bottom"/>
          </w:tcPr>
          <w:p w14:paraId="1730962E" w14:textId="77777777" w:rsidR="00E00050" w:rsidRPr="00C14C91" w:rsidRDefault="00E00050" w:rsidP="009D32D6">
            <w:pPr>
              <w:spacing w:after="0" w:line="240" w:lineRule="auto"/>
              <w:rPr>
                <w:rFonts w:ascii="Arial" w:eastAsia="Times New Roman" w:hAnsi="Arial" w:cs="Arial"/>
                <w:b/>
                <w:bCs/>
                <w:sz w:val="20"/>
                <w:szCs w:val="20"/>
                <w:lang w:eastAsia="hr-HR"/>
              </w:rPr>
            </w:pPr>
            <w:r>
              <w:rPr>
                <w:rFonts w:ascii="Arial" w:eastAsia="Times New Roman" w:hAnsi="Arial" w:cs="Arial"/>
                <w:b/>
                <w:bCs/>
                <w:sz w:val="20"/>
                <w:szCs w:val="20"/>
                <w:lang w:eastAsia="hr-HR"/>
              </w:rPr>
              <w:lastRenderedPageBreak/>
              <w:t xml:space="preserve">53 Izdaci za ulaganja u financijske instrumente- dionice i udjele u glavnici </w:t>
            </w:r>
          </w:p>
        </w:tc>
        <w:tc>
          <w:tcPr>
            <w:tcW w:w="1377" w:type="dxa"/>
            <w:tcBorders>
              <w:top w:val="nil"/>
              <w:left w:val="nil"/>
              <w:bottom w:val="single" w:sz="4" w:space="0" w:color="auto"/>
              <w:right w:val="single" w:sz="4" w:space="0" w:color="auto"/>
            </w:tcBorders>
            <w:vAlign w:val="bottom"/>
          </w:tcPr>
          <w:p w14:paraId="3DFE1896" w14:textId="666F0493" w:rsidR="00E00050" w:rsidRDefault="00641E4B"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435.341,84</w:t>
            </w:r>
          </w:p>
        </w:tc>
        <w:tc>
          <w:tcPr>
            <w:tcW w:w="1506" w:type="dxa"/>
            <w:tcBorders>
              <w:top w:val="nil"/>
              <w:left w:val="nil"/>
              <w:bottom w:val="single" w:sz="4" w:space="0" w:color="auto"/>
              <w:right w:val="single" w:sz="4" w:space="0" w:color="auto"/>
            </w:tcBorders>
            <w:vAlign w:val="bottom"/>
          </w:tcPr>
          <w:p w14:paraId="5801FCF8" w14:textId="77777777" w:rsidR="00E00050"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384" w:type="dxa"/>
            <w:tcBorders>
              <w:top w:val="nil"/>
              <w:left w:val="nil"/>
              <w:bottom w:val="single" w:sz="4" w:space="0" w:color="auto"/>
              <w:right w:val="nil"/>
            </w:tcBorders>
            <w:vAlign w:val="bottom"/>
          </w:tcPr>
          <w:p w14:paraId="5F52A510" w14:textId="77777777" w:rsidR="00E00050"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377" w:type="dxa"/>
            <w:tcBorders>
              <w:top w:val="nil"/>
              <w:left w:val="nil"/>
              <w:bottom w:val="single" w:sz="4" w:space="0" w:color="auto"/>
              <w:right w:val="single" w:sz="4" w:space="0" w:color="auto"/>
            </w:tcBorders>
            <w:vAlign w:val="bottom"/>
          </w:tcPr>
          <w:p w14:paraId="00933108" w14:textId="77777777" w:rsidR="00E00050" w:rsidRPr="00C14C91"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001" w:type="dxa"/>
            <w:tcBorders>
              <w:top w:val="nil"/>
              <w:left w:val="nil"/>
              <w:bottom w:val="single" w:sz="4" w:space="0" w:color="auto"/>
              <w:right w:val="single" w:sz="4" w:space="0" w:color="auto"/>
            </w:tcBorders>
            <w:vAlign w:val="bottom"/>
          </w:tcPr>
          <w:p w14:paraId="29CCA7B2" w14:textId="77777777" w:rsidR="00E00050" w:rsidRPr="00C14C91"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c>
          <w:tcPr>
            <w:tcW w:w="1006" w:type="dxa"/>
            <w:tcBorders>
              <w:top w:val="nil"/>
              <w:left w:val="nil"/>
              <w:bottom w:val="single" w:sz="4" w:space="0" w:color="auto"/>
              <w:right w:val="single" w:sz="4" w:space="0" w:color="auto"/>
            </w:tcBorders>
            <w:vAlign w:val="bottom"/>
          </w:tcPr>
          <w:p w14:paraId="2B4A1C73" w14:textId="77777777" w:rsidR="00E00050" w:rsidRPr="00C14C91"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r>
      <w:tr w:rsidR="00E00050" w:rsidRPr="00C14C91" w14:paraId="618EE855" w14:textId="77777777" w:rsidTr="00E00050">
        <w:trPr>
          <w:trHeight w:val="201"/>
        </w:trPr>
        <w:tc>
          <w:tcPr>
            <w:tcW w:w="3982" w:type="dxa"/>
            <w:tcBorders>
              <w:top w:val="single" w:sz="4" w:space="0" w:color="auto"/>
              <w:left w:val="single" w:sz="4" w:space="0" w:color="auto"/>
              <w:bottom w:val="single" w:sz="4" w:space="0" w:color="auto"/>
              <w:right w:val="single" w:sz="4" w:space="0" w:color="auto"/>
            </w:tcBorders>
            <w:vAlign w:val="bottom"/>
          </w:tcPr>
          <w:p w14:paraId="044FA909" w14:textId="77777777" w:rsidR="00E00050" w:rsidRPr="00AE3D7B" w:rsidRDefault="00E00050" w:rsidP="009D32D6">
            <w:pPr>
              <w:spacing w:after="0" w:line="240" w:lineRule="auto"/>
              <w:rPr>
                <w:rFonts w:ascii="Arial" w:eastAsia="Times New Roman" w:hAnsi="Arial" w:cs="Arial"/>
                <w:sz w:val="20"/>
                <w:szCs w:val="20"/>
                <w:lang w:eastAsia="hr-HR"/>
              </w:rPr>
            </w:pPr>
            <w:r w:rsidRPr="00AE3D7B">
              <w:rPr>
                <w:rFonts w:ascii="Arial" w:eastAsia="Times New Roman" w:hAnsi="Arial" w:cs="Arial"/>
                <w:sz w:val="20"/>
                <w:szCs w:val="20"/>
                <w:lang w:eastAsia="hr-HR"/>
              </w:rPr>
              <w:t xml:space="preserve">532 </w:t>
            </w:r>
            <w:r>
              <w:rPr>
                <w:rFonts w:ascii="Arial" w:eastAsia="Times New Roman" w:hAnsi="Arial" w:cs="Arial"/>
                <w:sz w:val="20"/>
                <w:szCs w:val="20"/>
                <w:lang w:eastAsia="hr-HR"/>
              </w:rPr>
              <w:t xml:space="preserve">Izdaci za ulaganja u dionice i udjele u </w:t>
            </w:r>
            <w:r w:rsidRPr="00AE3D7B">
              <w:rPr>
                <w:rFonts w:ascii="Arial" w:eastAsia="Times New Roman" w:hAnsi="Arial" w:cs="Arial"/>
                <w:sz w:val="20"/>
                <w:szCs w:val="20"/>
                <w:lang w:eastAsia="hr-HR"/>
              </w:rPr>
              <w:t xml:space="preserve">glavnici trgovačkih društava u  javnom sektoru </w:t>
            </w:r>
          </w:p>
        </w:tc>
        <w:tc>
          <w:tcPr>
            <w:tcW w:w="1377" w:type="dxa"/>
            <w:tcBorders>
              <w:top w:val="nil"/>
              <w:left w:val="nil"/>
              <w:bottom w:val="single" w:sz="4" w:space="0" w:color="auto"/>
              <w:right w:val="single" w:sz="4" w:space="0" w:color="auto"/>
            </w:tcBorders>
            <w:vAlign w:val="bottom"/>
          </w:tcPr>
          <w:p w14:paraId="7F147051" w14:textId="22EDC2B9" w:rsidR="00E00050" w:rsidRPr="00AC1472" w:rsidRDefault="00641E4B" w:rsidP="009D32D6">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435.341,84</w:t>
            </w:r>
          </w:p>
        </w:tc>
        <w:tc>
          <w:tcPr>
            <w:tcW w:w="1506" w:type="dxa"/>
            <w:tcBorders>
              <w:top w:val="nil"/>
              <w:left w:val="nil"/>
              <w:bottom w:val="single" w:sz="4" w:space="0" w:color="auto"/>
              <w:right w:val="single" w:sz="4" w:space="0" w:color="auto"/>
            </w:tcBorders>
            <w:vAlign w:val="bottom"/>
          </w:tcPr>
          <w:p w14:paraId="4E25E084" w14:textId="77777777" w:rsidR="00E00050" w:rsidRPr="00AC1472" w:rsidRDefault="00E00050" w:rsidP="009D32D6">
            <w:pPr>
              <w:spacing w:after="0" w:line="240" w:lineRule="auto"/>
              <w:jc w:val="center"/>
              <w:rPr>
                <w:rFonts w:ascii="Arial" w:eastAsia="Times New Roman" w:hAnsi="Arial" w:cs="Arial"/>
                <w:sz w:val="20"/>
                <w:szCs w:val="20"/>
                <w:lang w:eastAsia="hr-HR"/>
              </w:rPr>
            </w:pPr>
            <w:r w:rsidRPr="00AC1472">
              <w:rPr>
                <w:rFonts w:ascii="Arial" w:eastAsia="Times New Roman" w:hAnsi="Arial" w:cs="Arial"/>
                <w:sz w:val="20"/>
                <w:szCs w:val="20"/>
                <w:lang w:eastAsia="hr-HR"/>
              </w:rPr>
              <w:t>0,00</w:t>
            </w:r>
          </w:p>
        </w:tc>
        <w:tc>
          <w:tcPr>
            <w:tcW w:w="1384" w:type="dxa"/>
            <w:tcBorders>
              <w:top w:val="nil"/>
              <w:left w:val="nil"/>
              <w:bottom w:val="single" w:sz="4" w:space="0" w:color="auto"/>
              <w:right w:val="nil"/>
            </w:tcBorders>
            <w:vAlign w:val="bottom"/>
          </w:tcPr>
          <w:p w14:paraId="1E2302FE" w14:textId="77777777" w:rsidR="00E00050" w:rsidRPr="00AC1472" w:rsidRDefault="00E00050" w:rsidP="009D32D6">
            <w:pPr>
              <w:spacing w:after="0" w:line="240" w:lineRule="auto"/>
              <w:jc w:val="center"/>
              <w:rPr>
                <w:rFonts w:ascii="Arial" w:eastAsia="Times New Roman" w:hAnsi="Arial" w:cs="Arial"/>
                <w:sz w:val="20"/>
                <w:szCs w:val="20"/>
                <w:lang w:eastAsia="hr-HR"/>
              </w:rPr>
            </w:pPr>
            <w:r w:rsidRPr="00AC1472">
              <w:rPr>
                <w:rFonts w:ascii="Arial" w:eastAsia="Times New Roman" w:hAnsi="Arial" w:cs="Arial"/>
                <w:sz w:val="20"/>
                <w:szCs w:val="20"/>
                <w:lang w:eastAsia="hr-HR"/>
              </w:rPr>
              <w:t>0,00</w:t>
            </w:r>
          </w:p>
        </w:tc>
        <w:tc>
          <w:tcPr>
            <w:tcW w:w="1377" w:type="dxa"/>
            <w:tcBorders>
              <w:top w:val="nil"/>
              <w:left w:val="nil"/>
              <w:bottom w:val="single" w:sz="4" w:space="0" w:color="auto"/>
              <w:right w:val="single" w:sz="4" w:space="0" w:color="auto"/>
            </w:tcBorders>
            <w:vAlign w:val="bottom"/>
          </w:tcPr>
          <w:p w14:paraId="40369859" w14:textId="77777777" w:rsidR="00E00050" w:rsidRPr="00AC1472" w:rsidRDefault="00E00050" w:rsidP="009D32D6">
            <w:pPr>
              <w:spacing w:after="0" w:line="240" w:lineRule="auto"/>
              <w:jc w:val="center"/>
              <w:rPr>
                <w:rFonts w:ascii="Arial" w:eastAsia="Times New Roman" w:hAnsi="Arial" w:cs="Arial"/>
                <w:sz w:val="20"/>
                <w:szCs w:val="20"/>
                <w:lang w:eastAsia="hr-HR"/>
              </w:rPr>
            </w:pPr>
            <w:r w:rsidRPr="00AC1472">
              <w:rPr>
                <w:rFonts w:ascii="Arial" w:eastAsia="Times New Roman" w:hAnsi="Arial" w:cs="Arial"/>
                <w:sz w:val="20"/>
                <w:szCs w:val="20"/>
                <w:lang w:eastAsia="hr-HR"/>
              </w:rPr>
              <w:t>0,00</w:t>
            </w:r>
          </w:p>
        </w:tc>
        <w:tc>
          <w:tcPr>
            <w:tcW w:w="1001" w:type="dxa"/>
            <w:tcBorders>
              <w:top w:val="nil"/>
              <w:left w:val="nil"/>
              <w:bottom w:val="single" w:sz="4" w:space="0" w:color="auto"/>
              <w:right w:val="single" w:sz="4" w:space="0" w:color="auto"/>
            </w:tcBorders>
            <w:vAlign w:val="bottom"/>
          </w:tcPr>
          <w:p w14:paraId="097F7284" w14:textId="77777777" w:rsidR="00E00050" w:rsidRPr="00C14C91"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c>
          <w:tcPr>
            <w:tcW w:w="1006" w:type="dxa"/>
            <w:tcBorders>
              <w:top w:val="nil"/>
              <w:left w:val="nil"/>
              <w:bottom w:val="single" w:sz="4" w:space="0" w:color="auto"/>
              <w:right w:val="single" w:sz="4" w:space="0" w:color="auto"/>
            </w:tcBorders>
            <w:vAlign w:val="bottom"/>
          </w:tcPr>
          <w:p w14:paraId="7958DFCE" w14:textId="77777777" w:rsidR="00E00050" w:rsidRPr="00C14C91"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r>
      <w:tr w:rsidR="00E00050" w:rsidRPr="00C14C91" w14:paraId="73454805" w14:textId="77777777" w:rsidTr="00E00050">
        <w:trPr>
          <w:trHeight w:val="201"/>
        </w:trPr>
        <w:tc>
          <w:tcPr>
            <w:tcW w:w="3982" w:type="dxa"/>
            <w:tcBorders>
              <w:top w:val="single" w:sz="4" w:space="0" w:color="auto"/>
              <w:left w:val="single" w:sz="4" w:space="0" w:color="auto"/>
              <w:bottom w:val="single" w:sz="4" w:space="0" w:color="auto"/>
              <w:right w:val="single" w:sz="4" w:space="0" w:color="auto"/>
            </w:tcBorders>
            <w:vAlign w:val="bottom"/>
          </w:tcPr>
          <w:p w14:paraId="4273E084" w14:textId="77777777" w:rsidR="00E00050" w:rsidRPr="00AE3D7B" w:rsidRDefault="00E00050" w:rsidP="009D32D6">
            <w:pPr>
              <w:spacing w:after="0" w:line="240" w:lineRule="auto"/>
              <w:rPr>
                <w:rFonts w:ascii="Arial" w:eastAsia="Times New Roman" w:hAnsi="Arial" w:cs="Arial"/>
                <w:sz w:val="20"/>
                <w:szCs w:val="20"/>
                <w:lang w:eastAsia="hr-HR"/>
              </w:rPr>
            </w:pPr>
            <w:r w:rsidRPr="00AE3D7B">
              <w:rPr>
                <w:rFonts w:ascii="Arial" w:eastAsia="Times New Roman" w:hAnsi="Arial" w:cs="Arial"/>
                <w:sz w:val="20"/>
                <w:szCs w:val="20"/>
                <w:lang w:eastAsia="hr-HR"/>
              </w:rPr>
              <w:t>5321  Dionice i udjeli u glavnici trgovačkih društava u  javnom sektoru</w:t>
            </w:r>
          </w:p>
        </w:tc>
        <w:tc>
          <w:tcPr>
            <w:tcW w:w="1377" w:type="dxa"/>
            <w:tcBorders>
              <w:top w:val="nil"/>
              <w:left w:val="nil"/>
              <w:bottom w:val="single" w:sz="4" w:space="0" w:color="auto"/>
              <w:right w:val="single" w:sz="4" w:space="0" w:color="auto"/>
            </w:tcBorders>
            <w:vAlign w:val="bottom"/>
          </w:tcPr>
          <w:p w14:paraId="72790769" w14:textId="2E354385" w:rsidR="00E00050" w:rsidRPr="00AC1472" w:rsidRDefault="00641E4B" w:rsidP="009D32D6">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435.341,84</w:t>
            </w:r>
          </w:p>
        </w:tc>
        <w:tc>
          <w:tcPr>
            <w:tcW w:w="1506" w:type="dxa"/>
            <w:tcBorders>
              <w:top w:val="nil"/>
              <w:left w:val="nil"/>
              <w:bottom w:val="single" w:sz="4" w:space="0" w:color="auto"/>
              <w:right w:val="single" w:sz="4" w:space="0" w:color="auto"/>
            </w:tcBorders>
            <w:vAlign w:val="bottom"/>
          </w:tcPr>
          <w:p w14:paraId="281E30B8" w14:textId="77777777" w:rsidR="00E00050" w:rsidRPr="00AC1472" w:rsidRDefault="00E00050" w:rsidP="009D32D6">
            <w:pPr>
              <w:spacing w:after="0" w:line="240" w:lineRule="auto"/>
              <w:jc w:val="center"/>
              <w:rPr>
                <w:rFonts w:ascii="Arial" w:eastAsia="Times New Roman" w:hAnsi="Arial" w:cs="Arial"/>
                <w:sz w:val="20"/>
                <w:szCs w:val="20"/>
                <w:lang w:eastAsia="hr-HR"/>
              </w:rPr>
            </w:pPr>
            <w:r w:rsidRPr="00AC1472">
              <w:rPr>
                <w:rFonts w:ascii="Arial" w:eastAsia="Times New Roman" w:hAnsi="Arial" w:cs="Arial"/>
                <w:sz w:val="20"/>
                <w:szCs w:val="20"/>
                <w:lang w:eastAsia="hr-HR"/>
              </w:rPr>
              <w:t>0,00</w:t>
            </w:r>
          </w:p>
        </w:tc>
        <w:tc>
          <w:tcPr>
            <w:tcW w:w="1384" w:type="dxa"/>
            <w:tcBorders>
              <w:top w:val="nil"/>
              <w:left w:val="nil"/>
              <w:bottom w:val="single" w:sz="4" w:space="0" w:color="auto"/>
              <w:right w:val="nil"/>
            </w:tcBorders>
            <w:vAlign w:val="bottom"/>
          </w:tcPr>
          <w:p w14:paraId="293FDA23" w14:textId="77777777" w:rsidR="00E00050" w:rsidRPr="00AC1472" w:rsidRDefault="00E00050" w:rsidP="009D32D6">
            <w:pPr>
              <w:spacing w:after="0" w:line="240" w:lineRule="auto"/>
              <w:jc w:val="center"/>
              <w:rPr>
                <w:rFonts w:ascii="Arial" w:eastAsia="Times New Roman" w:hAnsi="Arial" w:cs="Arial"/>
                <w:sz w:val="20"/>
                <w:szCs w:val="20"/>
                <w:lang w:eastAsia="hr-HR"/>
              </w:rPr>
            </w:pPr>
            <w:r w:rsidRPr="00AC1472">
              <w:rPr>
                <w:rFonts w:ascii="Arial" w:eastAsia="Times New Roman" w:hAnsi="Arial" w:cs="Arial"/>
                <w:sz w:val="20"/>
                <w:szCs w:val="20"/>
                <w:lang w:eastAsia="hr-HR"/>
              </w:rPr>
              <w:t>0,00</w:t>
            </w:r>
          </w:p>
        </w:tc>
        <w:tc>
          <w:tcPr>
            <w:tcW w:w="1377" w:type="dxa"/>
            <w:tcBorders>
              <w:top w:val="nil"/>
              <w:left w:val="nil"/>
              <w:bottom w:val="single" w:sz="4" w:space="0" w:color="auto"/>
              <w:right w:val="single" w:sz="4" w:space="0" w:color="auto"/>
            </w:tcBorders>
            <w:vAlign w:val="bottom"/>
          </w:tcPr>
          <w:p w14:paraId="11A03BA5" w14:textId="77777777" w:rsidR="00E00050" w:rsidRPr="00AC1472" w:rsidRDefault="00E00050" w:rsidP="009D32D6">
            <w:pPr>
              <w:spacing w:after="0" w:line="240" w:lineRule="auto"/>
              <w:jc w:val="center"/>
              <w:rPr>
                <w:rFonts w:ascii="Arial" w:eastAsia="Times New Roman" w:hAnsi="Arial" w:cs="Arial"/>
                <w:sz w:val="20"/>
                <w:szCs w:val="20"/>
                <w:lang w:eastAsia="hr-HR"/>
              </w:rPr>
            </w:pPr>
            <w:r w:rsidRPr="00AC1472">
              <w:rPr>
                <w:rFonts w:ascii="Arial" w:eastAsia="Times New Roman" w:hAnsi="Arial" w:cs="Arial"/>
                <w:sz w:val="20"/>
                <w:szCs w:val="20"/>
                <w:lang w:eastAsia="hr-HR"/>
              </w:rPr>
              <w:t>0,00</w:t>
            </w:r>
          </w:p>
        </w:tc>
        <w:tc>
          <w:tcPr>
            <w:tcW w:w="1001" w:type="dxa"/>
            <w:tcBorders>
              <w:top w:val="nil"/>
              <w:left w:val="nil"/>
              <w:bottom w:val="single" w:sz="4" w:space="0" w:color="auto"/>
              <w:right w:val="single" w:sz="4" w:space="0" w:color="auto"/>
            </w:tcBorders>
            <w:vAlign w:val="bottom"/>
          </w:tcPr>
          <w:p w14:paraId="4B1CF4FE" w14:textId="77777777" w:rsidR="00E00050" w:rsidRPr="00C14C91"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c>
          <w:tcPr>
            <w:tcW w:w="1006" w:type="dxa"/>
            <w:tcBorders>
              <w:top w:val="nil"/>
              <w:left w:val="nil"/>
              <w:bottom w:val="single" w:sz="4" w:space="0" w:color="auto"/>
              <w:right w:val="single" w:sz="4" w:space="0" w:color="auto"/>
            </w:tcBorders>
            <w:vAlign w:val="bottom"/>
          </w:tcPr>
          <w:p w14:paraId="30EF9C20" w14:textId="77777777" w:rsidR="00E00050" w:rsidRPr="00C14C91"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r>
      <w:tr w:rsidR="00E00050" w:rsidRPr="00C14C91" w14:paraId="27082D9C" w14:textId="77777777" w:rsidTr="00EB2CEE">
        <w:trPr>
          <w:trHeight w:val="403"/>
        </w:trPr>
        <w:tc>
          <w:tcPr>
            <w:tcW w:w="398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hideMark/>
          </w:tcPr>
          <w:p w14:paraId="43E8E433" w14:textId="77777777" w:rsidR="00E00050" w:rsidRPr="00C14C91" w:rsidRDefault="00E00050" w:rsidP="009D32D6">
            <w:pPr>
              <w:spacing w:after="0" w:line="240" w:lineRule="auto"/>
              <w:rPr>
                <w:rFonts w:ascii="Arial" w:eastAsia="Times New Roman" w:hAnsi="Arial" w:cs="Arial"/>
                <w:b/>
                <w:bCs/>
                <w:sz w:val="20"/>
                <w:szCs w:val="20"/>
                <w:lang w:eastAsia="hr-HR"/>
              </w:rPr>
            </w:pPr>
            <w:r w:rsidRPr="00C14C91">
              <w:rPr>
                <w:rFonts w:ascii="Arial" w:eastAsia="Times New Roman" w:hAnsi="Arial" w:cs="Arial"/>
                <w:b/>
                <w:bCs/>
                <w:sz w:val="20"/>
                <w:szCs w:val="20"/>
                <w:lang w:eastAsia="hr-HR"/>
              </w:rPr>
              <w:t>54 Izdaci za otplatu glavnice primljenih kredita i zajmova</w:t>
            </w:r>
          </w:p>
        </w:tc>
        <w:tc>
          <w:tcPr>
            <w:tcW w:w="1377" w:type="dxa"/>
            <w:tcBorders>
              <w:top w:val="nil"/>
              <w:left w:val="nil"/>
              <w:bottom w:val="single" w:sz="4" w:space="0" w:color="auto"/>
              <w:right w:val="single" w:sz="4" w:space="0" w:color="auto"/>
            </w:tcBorders>
            <w:shd w:val="clear" w:color="auto" w:fill="FFE599" w:themeFill="accent4" w:themeFillTint="66"/>
            <w:vAlign w:val="bottom"/>
          </w:tcPr>
          <w:p w14:paraId="58874015" w14:textId="5B077407" w:rsidR="00E00050" w:rsidRPr="00C14C91" w:rsidRDefault="00641E4B"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196.975,80</w:t>
            </w:r>
          </w:p>
        </w:tc>
        <w:tc>
          <w:tcPr>
            <w:tcW w:w="1506" w:type="dxa"/>
            <w:tcBorders>
              <w:top w:val="nil"/>
              <w:left w:val="nil"/>
              <w:bottom w:val="single" w:sz="4" w:space="0" w:color="auto"/>
              <w:right w:val="single" w:sz="4" w:space="0" w:color="auto"/>
            </w:tcBorders>
            <w:shd w:val="clear" w:color="auto" w:fill="FFE599" w:themeFill="accent4" w:themeFillTint="66"/>
            <w:vAlign w:val="bottom"/>
          </w:tcPr>
          <w:p w14:paraId="57B25160" w14:textId="77777777" w:rsidR="00E00050" w:rsidRPr="00C14C91"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398.700,00</w:t>
            </w:r>
          </w:p>
        </w:tc>
        <w:tc>
          <w:tcPr>
            <w:tcW w:w="1384" w:type="dxa"/>
            <w:tcBorders>
              <w:top w:val="nil"/>
              <w:left w:val="nil"/>
              <w:bottom w:val="single" w:sz="4" w:space="0" w:color="auto"/>
              <w:right w:val="nil"/>
            </w:tcBorders>
            <w:shd w:val="clear" w:color="auto" w:fill="FFE599" w:themeFill="accent4" w:themeFillTint="66"/>
            <w:vAlign w:val="bottom"/>
          </w:tcPr>
          <w:p w14:paraId="6EE8B15B" w14:textId="77777777" w:rsidR="00E00050"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398.700,00</w:t>
            </w:r>
          </w:p>
        </w:tc>
        <w:tc>
          <w:tcPr>
            <w:tcW w:w="1377" w:type="dxa"/>
            <w:tcBorders>
              <w:top w:val="nil"/>
              <w:left w:val="nil"/>
              <w:bottom w:val="single" w:sz="4" w:space="0" w:color="auto"/>
              <w:right w:val="single" w:sz="4" w:space="0" w:color="auto"/>
            </w:tcBorders>
            <w:shd w:val="clear" w:color="auto" w:fill="FFE599" w:themeFill="accent4" w:themeFillTint="66"/>
            <w:vAlign w:val="bottom"/>
          </w:tcPr>
          <w:p w14:paraId="6FE8D5F5" w14:textId="1A2FCA25" w:rsidR="00E00050" w:rsidRPr="00C14C91" w:rsidRDefault="00641E4B"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352.837,33</w:t>
            </w:r>
          </w:p>
        </w:tc>
        <w:tc>
          <w:tcPr>
            <w:tcW w:w="1001" w:type="dxa"/>
            <w:tcBorders>
              <w:top w:val="nil"/>
              <w:left w:val="nil"/>
              <w:bottom w:val="single" w:sz="4" w:space="0" w:color="auto"/>
              <w:right w:val="single" w:sz="4" w:space="0" w:color="auto"/>
            </w:tcBorders>
            <w:shd w:val="clear" w:color="auto" w:fill="FFE599" w:themeFill="accent4" w:themeFillTint="66"/>
            <w:vAlign w:val="bottom"/>
          </w:tcPr>
          <w:p w14:paraId="52651967" w14:textId="4A198A8F" w:rsidR="00E00050" w:rsidRPr="00C14C91" w:rsidRDefault="00207E5A"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179,13</w:t>
            </w:r>
            <w:r w:rsidR="00E00050">
              <w:rPr>
                <w:rFonts w:ascii="Arial" w:eastAsia="Times New Roman" w:hAnsi="Arial" w:cs="Arial"/>
                <w:b/>
                <w:bCs/>
                <w:sz w:val="20"/>
                <w:szCs w:val="20"/>
                <w:lang w:eastAsia="hr-HR"/>
              </w:rPr>
              <w:t>%</w:t>
            </w:r>
          </w:p>
        </w:tc>
        <w:tc>
          <w:tcPr>
            <w:tcW w:w="1006" w:type="dxa"/>
            <w:tcBorders>
              <w:top w:val="nil"/>
              <w:left w:val="nil"/>
              <w:bottom w:val="single" w:sz="4" w:space="0" w:color="auto"/>
              <w:right w:val="single" w:sz="4" w:space="0" w:color="auto"/>
            </w:tcBorders>
            <w:shd w:val="clear" w:color="auto" w:fill="FFE599" w:themeFill="accent4" w:themeFillTint="66"/>
            <w:vAlign w:val="bottom"/>
          </w:tcPr>
          <w:p w14:paraId="0B8C78EF" w14:textId="4DF9162E" w:rsidR="00E00050" w:rsidRPr="00C14C91" w:rsidRDefault="00207E5A"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88,50</w:t>
            </w:r>
            <w:r w:rsidR="00E00050">
              <w:rPr>
                <w:rFonts w:ascii="Arial" w:eastAsia="Times New Roman" w:hAnsi="Arial" w:cs="Arial"/>
                <w:b/>
                <w:bCs/>
                <w:sz w:val="20"/>
                <w:szCs w:val="20"/>
                <w:lang w:eastAsia="hr-HR"/>
              </w:rPr>
              <w:t>%</w:t>
            </w:r>
          </w:p>
        </w:tc>
      </w:tr>
      <w:tr w:rsidR="00E00050" w:rsidRPr="00C14C91" w14:paraId="779DE425" w14:textId="77777777" w:rsidTr="00E00050">
        <w:trPr>
          <w:trHeight w:val="618"/>
        </w:trPr>
        <w:tc>
          <w:tcPr>
            <w:tcW w:w="3982" w:type="dxa"/>
            <w:tcBorders>
              <w:top w:val="single" w:sz="4" w:space="0" w:color="auto"/>
              <w:left w:val="single" w:sz="4" w:space="0" w:color="auto"/>
              <w:bottom w:val="single" w:sz="4" w:space="0" w:color="auto"/>
              <w:right w:val="single" w:sz="4" w:space="0" w:color="auto"/>
            </w:tcBorders>
            <w:vAlign w:val="bottom"/>
            <w:hideMark/>
          </w:tcPr>
          <w:p w14:paraId="7FCA89C4" w14:textId="77777777" w:rsidR="00E00050" w:rsidRPr="00AC1472" w:rsidRDefault="00E00050" w:rsidP="009D32D6">
            <w:pPr>
              <w:spacing w:after="0" w:line="240" w:lineRule="auto"/>
              <w:rPr>
                <w:rFonts w:ascii="Arial" w:eastAsia="Times New Roman" w:hAnsi="Arial" w:cs="Arial"/>
                <w:sz w:val="20"/>
                <w:szCs w:val="20"/>
                <w:lang w:eastAsia="hr-HR"/>
              </w:rPr>
            </w:pPr>
            <w:r w:rsidRPr="00AC1472">
              <w:rPr>
                <w:rFonts w:ascii="Arial" w:eastAsia="Times New Roman" w:hAnsi="Arial" w:cs="Arial"/>
                <w:sz w:val="20"/>
                <w:szCs w:val="20"/>
                <w:lang w:eastAsia="hr-HR"/>
              </w:rPr>
              <w:t>542 Otplata glavnice primljenih kredita i zajmova od kreditnih i ostalih financijskih institucija u javnom sektoru</w:t>
            </w:r>
          </w:p>
        </w:tc>
        <w:tc>
          <w:tcPr>
            <w:tcW w:w="1377" w:type="dxa"/>
            <w:tcBorders>
              <w:top w:val="nil"/>
              <w:left w:val="nil"/>
              <w:bottom w:val="single" w:sz="4" w:space="0" w:color="auto"/>
              <w:right w:val="single" w:sz="4" w:space="0" w:color="auto"/>
            </w:tcBorders>
            <w:vAlign w:val="bottom"/>
          </w:tcPr>
          <w:p w14:paraId="18142B14" w14:textId="366C695C" w:rsidR="00E00050" w:rsidRPr="00AC1472" w:rsidRDefault="00641E4B" w:rsidP="009D32D6">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170.862,60</w:t>
            </w:r>
          </w:p>
        </w:tc>
        <w:tc>
          <w:tcPr>
            <w:tcW w:w="1506" w:type="dxa"/>
            <w:tcBorders>
              <w:top w:val="nil"/>
              <w:left w:val="nil"/>
              <w:bottom w:val="single" w:sz="4" w:space="0" w:color="auto"/>
              <w:right w:val="single" w:sz="4" w:space="0" w:color="auto"/>
            </w:tcBorders>
            <w:vAlign w:val="bottom"/>
          </w:tcPr>
          <w:p w14:paraId="58C54FF1" w14:textId="77777777" w:rsidR="00E00050" w:rsidRPr="00AC1472" w:rsidRDefault="00E00050" w:rsidP="009D32D6">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384" w:type="dxa"/>
            <w:tcBorders>
              <w:top w:val="nil"/>
              <w:left w:val="nil"/>
              <w:bottom w:val="single" w:sz="4" w:space="0" w:color="auto"/>
              <w:right w:val="nil"/>
            </w:tcBorders>
            <w:vAlign w:val="bottom"/>
          </w:tcPr>
          <w:p w14:paraId="2498BACD" w14:textId="77777777" w:rsidR="00E00050" w:rsidRPr="00AC1472" w:rsidRDefault="00E00050" w:rsidP="009D32D6">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377" w:type="dxa"/>
            <w:tcBorders>
              <w:top w:val="nil"/>
              <w:left w:val="nil"/>
              <w:bottom w:val="single" w:sz="4" w:space="0" w:color="auto"/>
              <w:right w:val="single" w:sz="4" w:space="0" w:color="auto"/>
            </w:tcBorders>
            <w:vAlign w:val="bottom"/>
          </w:tcPr>
          <w:p w14:paraId="124313AE" w14:textId="0E909A80" w:rsidR="00E00050" w:rsidRPr="00AC1472" w:rsidRDefault="00641E4B" w:rsidP="009D32D6">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156.624,05</w:t>
            </w:r>
          </w:p>
        </w:tc>
        <w:tc>
          <w:tcPr>
            <w:tcW w:w="1001" w:type="dxa"/>
            <w:tcBorders>
              <w:top w:val="nil"/>
              <w:left w:val="nil"/>
              <w:bottom w:val="single" w:sz="4" w:space="0" w:color="auto"/>
              <w:right w:val="single" w:sz="4" w:space="0" w:color="auto"/>
            </w:tcBorders>
            <w:vAlign w:val="bottom"/>
          </w:tcPr>
          <w:p w14:paraId="3256BF72" w14:textId="0995909E" w:rsidR="00E00050" w:rsidRPr="00AC1472" w:rsidRDefault="00207E5A" w:rsidP="009D32D6">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91,67</w:t>
            </w:r>
            <w:r w:rsidR="00E00050">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vAlign w:val="bottom"/>
          </w:tcPr>
          <w:p w14:paraId="44FB4BF6" w14:textId="77777777" w:rsidR="00E00050" w:rsidRPr="00AC1472" w:rsidRDefault="00E00050" w:rsidP="009D32D6">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00050" w:rsidRPr="00C14C91" w14:paraId="4793018B" w14:textId="77777777" w:rsidTr="00E00050">
        <w:trPr>
          <w:trHeight w:val="451"/>
        </w:trPr>
        <w:tc>
          <w:tcPr>
            <w:tcW w:w="3982" w:type="dxa"/>
            <w:tcBorders>
              <w:top w:val="single" w:sz="4" w:space="0" w:color="auto"/>
              <w:left w:val="single" w:sz="4" w:space="0" w:color="auto"/>
              <w:bottom w:val="single" w:sz="4" w:space="0" w:color="auto"/>
              <w:right w:val="single" w:sz="4" w:space="0" w:color="auto"/>
            </w:tcBorders>
            <w:vAlign w:val="bottom"/>
            <w:hideMark/>
          </w:tcPr>
          <w:p w14:paraId="7F466017" w14:textId="77777777" w:rsidR="00E00050" w:rsidRPr="00C14C91" w:rsidRDefault="00E00050" w:rsidP="009D32D6">
            <w:pPr>
              <w:spacing w:after="0" w:line="240" w:lineRule="auto"/>
              <w:rPr>
                <w:rFonts w:ascii="Arial" w:eastAsia="Times New Roman" w:hAnsi="Arial" w:cs="Arial"/>
                <w:sz w:val="20"/>
                <w:szCs w:val="20"/>
                <w:lang w:eastAsia="hr-HR"/>
              </w:rPr>
            </w:pPr>
            <w:r w:rsidRPr="00C14C91">
              <w:rPr>
                <w:rFonts w:ascii="Arial" w:eastAsia="Times New Roman" w:hAnsi="Arial" w:cs="Arial"/>
                <w:sz w:val="20"/>
                <w:szCs w:val="20"/>
                <w:lang w:eastAsia="hr-HR"/>
              </w:rPr>
              <w:t xml:space="preserve">5422 Otplata glavnice primljenih kredita od kreditnih institucija u javnom sektoru                       </w:t>
            </w:r>
          </w:p>
        </w:tc>
        <w:tc>
          <w:tcPr>
            <w:tcW w:w="1377" w:type="dxa"/>
            <w:tcBorders>
              <w:top w:val="nil"/>
              <w:left w:val="nil"/>
              <w:bottom w:val="single" w:sz="4" w:space="0" w:color="auto"/>
              <w:right w:val="single" w:sz="4" w:space="0" w:color="auto"/>
            </w:tcBorders>
            <w:vAlign w:val="bottom"/>
          </w:tcPr>
          <w:p w14:paraId="49E14DE9" w14:textId="0A9659FE" w:rsidR="00E00050" w:rsidRPr="00C14C91" w:rsidRDefault="00641E4B" w:rsidP="009D32D6">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170.862,60</w:t>
            </w:r>
          </w:p>
        </w:tc>
        <w:tc>
          <w:tcPr>
            <w:tcW w:w="1506" w:type="dxa"/>
            <w:tcBorders>
              <w:top w:val="nil"/>
              <w:left w:val="nil"/>
              <w:bottom w:val="single" w:sz="4" w:space="0" w:color="auto"/>
              <w:right w:val="single" w:sz="4" w:space="0" w:color="auto"/>
            </w:tcBorders>
            <w:vAlign w:val="bottom"/>
          </w:tcPr>
          <w:p w14:paraId="6376D1B6" w14:textId="77777777" w:rsidR="00E00050" w:rsidRPr="00C14C91" w:rsidRDefault="00E00050" w:rsidP="009D32D6">
            <w:pPr>
              <w:spacing w:after="0" w:line="240" w:lineRule="auto"/>
              <w:jc w:val="center"/>
              <w:rPr>
                <w:rFonts w:ascii="Arial" w:eastAsia="Times New Roman" w:hAnsi="Arial" w:cs="Arial"/>
                <w:sz w:val="20"/>
                <w:szCs w:val="20"/>
                <w:lang w:eastAsia="hr-HR"/>
              </w:rPr>
            </w:pPr>
          </w:p>
        </w:tc>
        <w:tc>
          <w:tcPr>
            <w:tcW w:w="1384" w:type="dxa"/>
            <w:tcBorders>
              <w:top w:val="nil"/>
              <w:left w:val="nil"/>
              <w:bottom w:val="single" w:sz="4" w:space="0" w:color="auto"/>
              <w:right w:val="nil"/>
            </w:tcBorders>
            <w:vAlign w:val="bottom"/>
          </w:tcPr>
          <w:p w14:paraId="60582CCD" w14:textId="77777777" w:rsidR="00E00050" w:rsidRDefault="00E00050" w:rsidP="009D32D6">
            <w:pPr>
              <w:spacing w:after="0" w:line="240" w:lineRule="auto"/>
              <w:jc w:val="center"/>
              <w:rPr>
                <w:rFonts w:ascii="Arial" w:eastAsia="Times New Roman" w:hAnsi="Arial" w:cs="Arial"/>
                <w:sz w:val="20"/>
                <w:szCs w:val="20"/>
                <w:lang w:eastAsia="hr-HR"/>
              </w:rPr>
            </w:pPr>
          </w:p>
        </w:tc>
        <w:tc>
          <w:tcPr>
            <w:tcW w:w="1377" w:type="dxa"/>
            <w:tcBorders>
              <w:top w:val="nil"/>
              <w:left w:val="nil"/>
              <w:bottom w:val="single" w:sz="4" w:space="0" w:color="auto"/>
              <w:right w:val="single" w:sz="4" w:space="0" w:color="auto"/>
            </w:tcBorders>
            <w:vAlign w:val="bottom"/>
          </w:tcPr>
          <w:p w14:paraId="31BB8DB7" w14:textId="401735AA" w:rsidR="00E00050" w:rsidRPr="00C14C91" w:rsidRDefault="00641E4B" w:rsidP="009D32D6">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156.624,05</w:t>
            </w:r>
          </w:p>
        </w:tc>
        <w:tc>
          <w:tcPr>
            <w:tcW w:w="1001" w:type="dxa"/>
            <w:tcBorders>
              <w:top w:val="nil"/>
              <w:left w:val="nil"/>
              <w:bottom w:val="single" w:sz="4" w:space="0" w:color="auto"/>
              <w:right w:val="single" w:sz="4" w:space="0" w:color="auto"/>
            </w:tcBorders>
            <w:vAlign w:val="bottom"/>
          </w:tcPr>
          <w:p w14:paraId="033865C6" w14:textId="36544D5D" w:rsidR="00E00050" w:rsidRPr="00C14C91" w:rsidRDefault="00207E5A" w:rsidP="009D32D6">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91,67</w:t>
            </w:r>
            <w:r w:rsidR="00E00050">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vAlign w:val="bottom"/>
          </w:tcPr>
          <w:p w14:paraId="25A50A90" w14:textId="77777777" w:rsidR="00E00050" w:rsidRPr="00C14C91" w:rsidRDefault="00E00050" w:rsidP="009D32D6">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00050" w:rsidRPr="00C14C91" w14:paraId="5697AF0D" w14:textId="77777777" w:rsidTr="00E00050">
        <w:trPr>
          <w:trHeight w:val="451"/>
        </w:trPr>
        <w:tc>
          <w:tcPr>
            <w:tcW w:w="3982" w:type="dxa"/>
            <w:tcBorders>
              <w:top w:val="single" w:sz="4" w:space="0" w:color="auto"/>
              <w:left w:val="single" w:sz="4" w:space="0" w:color="auto"/>
              <w:bottom w:val="single" w:sz="4" w:space="0" w:color="auto"/>
              <w:right w:val="single" w:sz="4" w:space="0" w:color="auto"/>
            </w:tcBorders>
            <w:vAlign w:val="bottom"/>
          </w:tcPr>
          <w:p w14:paraId="6DAF0A0F" w14:textId="77777777" w:rsidR="00E00050" w:rsidRPr="00C14C91" w:rsidRDefault="00E00050" w:rsidP="009D32D6">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 xml:space="preserve">544 Otplata glavnice primljenih kredita i zajmova od kreditnih i ostalih financijskih institucija izvan javnog sektora </w:t>
            </w:r>
          </w:p>
        </w:tc>
        <w:tc>
          <w:tcPr>
            <w:tcW w:w="1377" w:type="dxa"/>
            <w:tcBorders>
              <w:top w:val="nil"/>
              <w:left w:val="nil"/>
              <w:bottom w:val="single" w:sz="4" w:space="0" w:color="auto"/>
              <w:right w:val="single" w:sz="4" w:space="0" w:color="auto"/>
            </w:tcBorders>
            <w:vAlign w:val="bottom"/>
          </w:tcPr>
          <w:p w14:paraId="6F21D61C" w14:textId="01D3E1CB" w:rsidR="00E00050" w:rsidRDefault="00641E4B" w:rsidP="009D32D6">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26.113,20</w:t>
            </w:r>
          </w:p>
        </w:tc>
        <w:tc>
          <w:tcPr>
            <w:tcW w:w="1506" w:type="dxa"/>
            <w:tcBorders>
              <w:top w:val="nil"/>
              <w:left w:val="nil"/>
              <w:bottom w:val="single" w:sz="4" w:space="0" w:color="auto"/>
              <w:right w:val="single" w:sz="4" w:space="0" w:color="auto"/>
            </w:tcBorders>
            <w:vAlign w:val="bottom"/>
          </w:tcPr>
          <w:p w14:paraId="001FE956" w14:textId="77777777" w:rsidR="00E00050" w:rsidRPr="00C14C91" w:rsidRDefault="00E00050" w:rsidP="009D32D6">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384" w:type="dxa"/>
            <w:tcBorders>
              <w:top w:val="nil"/>
              <w:left w:val="nil"/>
              <w:bottom w:val="single" w:sz="4" w:space="0" w:color="auto"/>
              <w:right w:val="nil"/>
            </w:tcBorders>
            <w:vAlign w:val="bottom"/>
          </w:tcPr>
          <w:p w14:paraId="634730C7" w14:textId="77777777" w:rsidR="00E00050" w:rsidRDefault="00E00050" w:rsidP="009D32D6">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377" w:type="dxa"/>
            <w:tcBorders>
              <w:top w:val="nil"/>
              <w:left w:val="nil"/>
              <w:bottom w:val="single" w:sz="4" w:space="0" w:color="auto"/>
              <w:right w:val="single" w:sz="4" w:space="0" w:color="auto"/>
            </w:tcBorders>
            <w:vAlign w:val="bottom"/>
          </w:tcPr>
          <w:p w14:paraId="3D272666" w14:textId="2A72AED0" w:rsidR="00E00050" w:rsidRDefault="00641E4B" w:rsidP="009D32D6">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26.113,20</w:t>
            </w:r>
          </w:p>
        </w:tc>
        <w:tc>
          <w:tcPr>
            <w:tcW w:w="1001" w:type="dxa"/>
            <w:tcBorders>
              <w:top w:val="nil"/>
              <w:left w:val="nil"/>
              <w:bottom w:val="single" w:sz="4" w:space="0" w:color="auto"/>
              <w:right w:val="single" w:sz="4" w:space="0" w:color="auto"/>
            </w:tcBorders>
            <w:vAlign w:val="bottom"/>
          </w:tcPr>
          <w:p w14:paraId="21F8F2B2" w14:textId="4E52E9B1" w:rsidR="00E00050" w:rsidRPr="00C14C91" w:rsidRDefault="00207E5A" w:rsidP="009D32D6">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100,00%</w:t>
            </w:r>
          </w:p>
        </w:tc>
        <w:tc>
          <w:tcPr>
            <w:tcW w:w="1006" w:type="dxa"/>
            <w:tcBorders>
              <w:top w:val="nil"/>
              <w:left w:val="nil"/>
              <w:bottom w:val="single" w:sz="4" w:space="0" w:color="auto"/>
              <w:right w:val="single" w:sz="4" w:space="0" w:color="auto"/>
            </w:tcBorders>
            <w:vAlign w:val="bottom"/>
          </w:tcPr>
          <w:p w14:paraId="66834FC2" w14:textId="77777777" w:rsidR="00E00050" w:rsidRPr="00C14C91" w:rsidRDefault="00E00050" w:rsidP="009D32D6">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00050" w:rsidRPr="00C14C91" w14:paraId="002FCFEA" w14:textId="77777777" w:rsidTr="00E00050">
        <w:trPr>
          <w:trHeight w:val="451"/>
        </w:trPr>
        <w:tc>
          <w:tcPr>
            <w:tcW w:w="3982" w:type="dxa"/>
            <w:tcBorders>
              <w:top w:val="single" w:sz="4" w:space="0" w:color="auto"/>
              <w:left w:val="single" w:sz="4" w:space="0" w:color="auto"/>
              <w:bottom w:val="single" w:sz="4" w:space="0" w:color="auto"/>
              <w:right w:val="single" w:sz="4" w:space="0" w:color="auto"/>
            </w:tcBorders>
            <w:vAlign w:val="bottom"/>
          </w:tcPr>
          <w:p w14:paraId="14235CF1" w14:textId="77777777" w:rsidR="00E00050" w:rsidRDefault="00E00050" w:rsidP="009D32D6">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 xml:space="preserve">5443 Otplata glavnice primljenih kredita od tuzemnih kreditnih institucija izvan javnog sektora </w:t>
            </w:r>
          </w:p>
        </w:tc>
        <w:tc>
          <w:tcPr>
            <w:tcW w:w="1377" w:type="dxa"/>
            <w:tcBorders>
              <w:top w:val="nil"/>
              <w:left w:val="nil"/>
              <w:bottom w:val="single" w:sz="4" w:space="0" w:color="auto"/>
              <w:right w:val="single" w:sz="4" w:space="0" w:color="auto"/>
            </w:tcBorders>
            <w:vAlign w:val="bottom"/>
          </w:tcPr>
          <w:p w14:paraId="2BB14D83" w14:textId="5545178B" w:rsidR="00E00050" w:rsidRDefault="00641E4B" w:rsidP="009D32D6">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26.113,20</w:t>
            </w:r>
          </w:p>
        </w:tc>
        <w:tc>
          <w:tcPr>
            <w:tcW w:w="1506" w:type="dxa"/>
            <w:tcBorders>
              <w:top w:val="nil"/>
              <w:left w:val="nil"/>
              <w:bottom w:val="single" w:sz="4" w:space="0" w:color="auto"/>
              <w:right w:val="single" w:sz="4" w:space="0" w:color="auto"/>
            </w:tcBorders>
            <w:vAlign w:val="bottom"/>
          </w:tcPr>
          <w:p w14:paraId="4BF76AC3" w14:textId="77777777" w:rsidR="00E00050" w:rsidRPr="00C14C91" w:rsidRDefault="00E00050" w:rsidP="009D32D6">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384" w:type="dxa"/>
            <w:tcBorders>
              <w:top w:val="nil"/>
              <w:left w:val="nil"/>
              <w:bottom w:val="single" w:sz="4" w:space="0" w:color="auto"/>
              <w:right w:val="nil"/>
            </w:tcBorders>
            <w:vAlign w:val="bottom"/>
          </w:tcPr>
          <w:p w14:paraId="6DC7A250" w14:textId="77777777" w:rsidR="00E00050" w:rsidRDefault="00E00050" w:rsidP="009D32D6">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377" w:type="dxa"/>
            <w:tcBorders>
              <w:top w:val="nil"/>
              <w:left w:val="nil"/>
              <w:bottom w:val="single" w:sz="4" w:space="0" w:color="auto"/>
              <w:right w:val="single" w:sz="4" w:space="0" w:color="auto"/>
            </w:tcBorders>
            <w:vAlign w:val="bottom"/>
          </w:tcPr>
          <w:p w14:paraId="1EAAD159" w14:textId="174989B7" w:rsidR="00E00050" w:rsidRDefault="00641E4B" w:rsidP="009D32D6">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26.113,20</w:t>
            </w:r>
          </w:p>
        </w:tc>
        <w:tc>
          <w:tcPr>
            <w:tcW w:w="1001" w:type="dxa"/>
            <w:tcBorders>
              <w:top w:val="nil"/>
              <w:left w:val="nil"/>
              <w:bottom w:val="single" w:sz="4" w:space="0" w:color="auto"/>
              <w:right w:val="single" w:sz="4" w:space="0" w:color="auto"/>
            </w:tcBorders>
            <w:vAlign w:val="bottom"/>
          </w:tcPr>
          <w:p w14:paraId="1A2E0798" w14:textId="2FB4CE53" w:rsidR="00E00050" w:rsidRPr="00C14C91" w:rsidRDefault="00207E5A" w:rsidP="009D32D6">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100,00%</w:t>
            </w:r>
          </w:p>
        </w:tc>
        <w:tc>
          <w:tcPr>
            <w:tcW w:w="1006" w:type="dxa"/>
            <w:tcBorders>
              <w:top w:val="nil"/>
              <w:left w:val="nil"/>
              <w:bottom w:val="single" w:sz="4" w:space="0" w:color="auto"/>
              <w:right w:val="single" w:sz="4" w:space="0" w:color="auto"/>
            </w:tcBorders>
            <w:vAlign w:val="bottom"/>
          </w:tcPr>
          <w:p w14:paraId="72E617E6" w14:textId="77777777" w:rsidR="00E00050" w:rsidRPr="00C14C91" w:rsidRDefault="00E00050" w:rsidP="009D32D6">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207E5A" w:rsidRPr="00C14C91" w14:paraId="7747B5B1" w14:textId="77777777" w:rsidTr="00E00050">
        <w:trPr>
          <w:trHeight w:val="451"/>
        </w:trPr>
        <w:tc>
          <w:tcPr>
            <w:tcW w:w="3982" w:type="dxa"/>
            <w:tcBorders>
              <w:top w:val="single" w:sz="4" w:space="0" w:color="auto"/>
              <w:left w:val="single" w:sz="4" w:space="0" w:color="auto"/>
              <w:bottom w:val="single" w:sz="4" w:space="0" w:color="auto"/>
              <w:right w:val="single" w:sz="4" w:space="0" w:color="auto"/>
            </w:tcBorders>
            <w:vAlign w:val="bottom"/>
          </w:tcPr>
          <w:p w14:paraId="63349DE1" w14:textId="74770E7E" w:rsidR="00207E5A" w:rsidRDefault="00207E5A" w:rsidP="009D32D6">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 xml:space="preserve">547 Otplata glavnice primljenih zajmova od drugih razina vlasti </w:t>
            </w:r>
          </w:p>
        </w:tc>
        <w:tc>
          <w:tcPr>
            <w:tcW w:w="1377" w:type="dxa"/>
            <w:tcBorders>
              <w:top w:val="nil"/>
              <w:left w:val="nil"/>
              <w:bottom w:val="single" w:sz="4" w:space="0" w:color="auto"/>
              <w:right w:val="single" w:sz="4" w:space="0" w:color="auto"/>
            </w:tcBorders>
            <w:vAlign w:val="bottom"/>
          </w:tcPr>
          <w:p w14:paraId="7499B879" w14:textId="1EEF5BF1" w:rsidR="00207E5A" w:rsidRDefault="00207E5A" w:rsidP="009D32D6">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506" w:type="dxa"/>
            <w:tcBorders>
              <w:top w:val="nil"/>
              <w:left w:val="nil"/>
              <w:bottom w:val="single" w:sz="4" w:space="0" w:color="auto"/>
              <w:right w:val="single" w:sz="4" w:space="0" w:color="auto"/>
            </w:tcBorders>
            <w:vAlign w:val="bottom"/>
          </w:tcPr>
          <w:p w14:paraId="4846DDD6" w14:textId="394E83A1" w:rsidR="00207E5A" w:rsidRDefault="00207E5A" w:rsidP="009D32D6">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384" w:type="dxa"/>
            <w:tcBorders>
              <w:top w:val="nil"/>
              <w:left w:val="nil"/>
              <w:bottom w:val="single" w:sz="4" w:space="0" w:color="auto"/>
              <w:right w:val="nil"/>
            </w:tcBorders>
            <w:vAlign w:val="bottom"/>
          </w:tcPr>
          <w:p w14:paraId="61B93986" w14:textId="007F8DCD" w:rsidR="00207E5A" w:rsidRDefault="00207E5A" w:rsidP="009D32D6">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377" w:type="dxa"/>
            <w:tcBorders>
              <w:top w:val="nil"/>
              <w:left w:val="nil"/>
              <w:bottom w:val="single" w:sz="4" w:space="0" w:color="auto"/>
              <w:right w:val="single" w:sz="4" w:space="0" w:color="auto"/>
            </w:tcBorders>
            <w:vAlign w:val="bottom"/>
          </w:tcPr>
          <w:p w14:paraId="19E0C145" w14:textId="3F671BA5" w:rsidR="00207E5A" w:rsidRDefault="00207E5A" w:rsidP="009D32D6">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170.100,08</w:t>
            </w:r>
          </w:p>
        </w:tc>
        <w:tc>
          <w:tcPr>
            <w:tcW w:w="1001" w:type="dxa"/>
            <w:tcBorders>
              <w:top w:val="nil"/>
              <w:left w:val="nil"/>
              <w:bottom w:val="single" w:sz="4" w:space="0" w:color="auto"/>
              <w:right w:val="single" w:sz="4" w:space="0" w:color="auto"/>
            </w:tcBorders>
            <w:vAlign w:val="bottom"/>
          </w:tcPr>
          <w:p w14:paraId="5E6323A5" w14:textId="57DBB378" w:rsidR="00207E5A" w:rsidRDefault="00207E5A" w:rsidP="009D32D6">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vAlign w:val="bottom"/>
          </w:tcPr>
          <w:p w14:paraId="1C5B57E5" w14:textId="2280DB16" w:rsidR="00207E5A" w:rsidRDefault="00207E5A" w:rsidP="009D32D6">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207E5A" w:rsidRPr="00C14C91" w14:paraId="2F40FC8C" w14:textId="77777777" w:rsidTr="00E00050">
        <w:trPr>
          <w:trHeight w:val="451"/>
        </w:trPr>
        <w:tc>
          <w:tcPr>
            <w:tcW w:w="3982" w:type="dxa"/>
            <w:tcBorders>
              <w:top w:val="single" w:sz="4" w:space="0" w:color="auto"/>
              <w:left w:val="single" w:sz="4" w:space="0" w:color="auto"/>
              <w:bottom w:val="single" w:sz="4" w:space="0" w:color="auto"/>
              <w:right w:val="single" w:sz="4" w:space="0" w:color="auto"/>
            </w:tcBorders>
            <w:vAlign w:val="bottom"/>
          </w:tcPr>
          <w:p w14:paraId="58EA3F99" w14:textId="0A53093F" w:rsidR="00207E5A" w:rsidRDefault="00207E5A" w:rsidP="009D32D6">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 xml:space="preserve">5471 Otplata glavnice primljenih zajmova od državnog proračuna </w:t>
            </w:r>
          </w:p>
        </w:tc>
        <w:tc>
          <w:tcPr>
            <w:tcW w:w="1377" w:type="dxa"/>
            <w:tcBorders>
              <w:top w:val="nil"/>
              <w:left w:val="nil"/>
              <w:bottom w:val="single" w:sz="4" w:space="0" w:color="auto"/>
              <w:right w:val="single" w:sz="4" w:space="0" w:color="auto"/>
            </w:tcBorders>
            <w:vAlign w:val="bottom"/>
          </w:tcPr>
          <w:p w14:paraId="2D96C1A6" w14:textId="10E800EF" w:rsidR="00207E5A" w:rsidRDefault="00207E5A" w:rsidP="009D32D6">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506" w:type="dxa"/>
            <w:tcBorders>
              <w:top w:val="nil"/>
              <w:left w:val="nil"/>
              <w:bottom w:val="single" w:sz="4" w:space="0" w:color="auto"/>
              <w:right w:val="single" w:sz="4" w:space="0" w:color="auto"/>
            </w:tcBorders>
            <w:vAlign w:val="bottom"/>
          </w:tcPr>
          <w:p w14:paraId="0B8FDAD2" w14:textId="4701C02B" w:rsidR="00207E5A" w:rsidRDefault="00207E5A" w:rsidP="009D32D6">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384" w:type="dxa"/>
            <w:tcBorders>
              <w:top w:val="nil"/>
              <w:left w:val="nil"/>
              <w:bottom w:val="single" w:sz="4" w:space="0" w:color="auto"/>
              <w:right w:val="nil"/>
            </w:tcBorders>
            <w:vAlign w:val="bottom"/>
          </w:tcPr>
          <w:p w14:paraId="28CA51C7" w14:textId="454D1640" w:rsidR="00207E5A" w:rsidRDefault="00207E5A" w:rsidP="009D32D6">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377" w:type="dxa"/>
            <w:tcBorders>
              <w:top w:val="nil"/>
              <w:left w:val="nil"/>
              <w:bottom w:val="single" w:sz="4" w:space="0" w:color="auto"/>
              <w:right w:val="single" w:sz="4" w:space="0" w:color="auto"/>
            </w:tcBorders>
            <w:vAlign w:val="bottom"/>
          </w:tcPr>
          <w:p w14:paraId="74B00E90" w14:textId="6D80DD69" w:rsidR="00207E5A" w:rsidRDefault="00207E5A" w:rsidP="009D32D6">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170.100,08</w:t>
            </w:r>
          </w:p>
        </w:tc>
        <w:tc>
          <w:tcPr>
            <w:tcW w:w="1001" w:type="dxa"/>
            <w:tcBorders>
              <w:top w:val="nil"/>
              <w:left w:val="nil"/>
              <w:bottom w:val="single" w:sz="4" w:space="0" w:color="auto"/>
              <w:right w:val="single" w:sz="4" w:space="0" w:color="auto"/>
            </w:tcBorders>
            <w:vAlign w:val="bottom"/>
          </w:tcPr>
          <w:p w14:paraId="212BB143" w14:textId="4461A253" w:rsidR="00207E5A" w:rsidRDefault="00207E5A" w:rsidP="009D32D6">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c>
          <w:tcPr>
            <w:tcW w:w="1006" w:type="dxa"/>
            <w:tcBorders>
              <w:top w:val="nil"/>
              <w:left w:val="nil"/>
              <w:bottom w:val="single" w:sz="4" w:space="0" w:color="auto"/>
              <w:right w:val="single" w:sz="4" w:space="0" w:color="auto"/>
            </w:tcBorders>
            <w:vAlign w:val="bottom"/>
          </w:tcPr>
          <w:p w14:paraId="243C1010" w14:textId="709D20FE" w:rsidR="00207E5A" w:rsidRDefault="00207E5A" w:rsidP="009D32D6">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E00050" w:rsidRPr="00C14C91" w14:paraId="1B8F508A" w14:textId="77777777" w:rsidTr="00E00050">
        <w:trPr>
          <w:trHeight w:val="201"/>
        </w:trPr>
        <w:tc>
          <w:tcPr>
            <w:tcW w:w="3982"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bottom"/>
            <w:hideMark/>
          </w:tcPr>
          <w:p w14:paraId="4547F323" w14:textId="77777777" w:rsidR="00E00050" w:rsidRPr="00C14C91" w:rsidRDefault="00E00050" w:rsidP="009D32D6">
            <w:pPr>
              <w:spacing w:after="0" w:line="240" w:lineRule="auto"/>
              <w:rPr>
                <w:rFonts w:ascii="Arial" w:eastAsia="Times New Roman" w:hAnsi="Arial" w:cs="Arial"/>
                <w:b/>
                <w:bCs/>
                <w:sz w:val="20"/>
                <w:szCs w:val="20"/>
                <w:lang w:eastAsia="hr-HR"/>
              </w:rPr>
            </w:pPr>
            <w:r w:rsidRPr="00C14C91">
              <w:rPr>
                <w:rFonts w:ascii="Arial" w:eastAsia="Times New Roman" w:hAnsi="Arial" w:cs="Arial"/>
                <w:b/>
                <w:bCs/>
                <w:sz w:val="20"/>
                <w:szCs w:val="20"/>
                <w:lang w:eastAsia="hr-HR"/>
              </w:rPr>
              <w:t xml:space="preserve"> NETO FINANCIRANJE</w:t>
            </w:r>
          </w:p>
        </w:tc>
        <w:tc>
          <w:tcPr>
            <w:tcW w:w="1377" w:type="dxa"/>
            <w:tcBorders>
              <w:top w:val="nil"/>
              <w:left w:val="nil"/>
              <w:bottom w:val="single" w:sz="4" w:space="0" w:color="auto"/>
              <w:right w:val="single" w:sz="4" w:space="0" w:color="auto"/>
            </w:tcBorders>
            <w:shd w:val="clear" w:color="auto" w:fill="FFE599" w:themeFill="accent4" w:themeFillTint="66"/>
            <w:noWrap/>
            <w:vAlign w:val="bottom"/>
          </w:tcPr>
          <w:p w14:paraId="74476938" w14:textId="27E475FA" w:rsidR="00E00050" w:rsidRPr="00C14C91" w:rsidRDefault="000F6EDE"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-632.317,64</w:t>
            </w:r>
          </w:p>
        </w:tc>
        <w:tc>
          <w:tcPr>
            <w:tcW w:w="1506" w:type="dxa"/>
            <w:tcBorders>
              <w:top w:val="nil"/>
              <w:left w:val="nil"/>
              <w:bottom w:val="single" w:sz="4" w:space="0" w:color="auto"/>
              <w:right w:val="single" w:sz="4" w:space="0" w:color="auto"/>
            </w:tcBorders>
            <w:shd w:val="clear" w:color="auto" w:fill="FFE599" w:themeFill="accent4" w:themeFillTint="66"/>
            <w:noWrap/>
            <w:vAlign w:val="bottom"/>
          </w:tcPr>
          <w:p w14:paraId="729C79F5" w14:textId="0243C541" w:rsidR="00E00050" w:rsidRPr="00C14C91" w:rsidRDefault="00207E5A"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4.482.942,93</w:t>
            </w:r>
          </w:p>
        </w:tc>
        <w:tc>
          <w:tcPr>
            <w:tcW w:w="1384" w:type="dxa"/>
            <w:tcBorders>
              <w:top w:val="nil"/>
              <w:left w:val="nil"/>
              <w:bottom w:val="single" w:sz="4" w:space="0" w:color="auto"/>
              <w:right w:val="nil"/>
            </w:tcBorders>
            <w:shd w:val="clear" w:color="auto" w:fill="FFE599" w:themeFill="accent4" w:themeFillTint="66"/>
            <w:vAlign w:val="bottom"/>
          </w:tcPr>
          <w:p w14:paraId="77FFAC81" w14:textId="6B37E84E" w:rsidR="00E00050" w:rsidRPr="00C14C91" w:rsidRDefault="00207E5A"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4.482.942,93</w:t>
            </w:r>
          </w:p>
        </w:tc>
        <w:tc>
          <w:tcPr>
            <w:tcW w:w="1377" w:type="dxa"/>
            <w:tcBorders>
              <w:top w:val="nil"/>
              <w:left w:val="nil"/>
              <w:bottom w:val="single" w:sz="4" w:space="0" w:color="auto"/>
              <w:right w:val="single" w:sz="4" w:space="0" w:color="auto"/>
            </w:tcBorders>
            <w:shd w:val="clear" w:color="auto" w:fill="FFE599" w:themeFill="accent4" w:themeFillTint="66"/>
            <w:noWrap/>
            <w:vAlign w:val="bottom"/>
          </w:tcPr>
          <w:p w14:paraId="2689BE7C" w14:textId="69D76243" w:rsidR="00E00050" w:rsidRPr="00C14C91" w:rsidRDefault="00207E5A"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-352.837,33</w:t>
            </w:r>
          </w:p>
        </w:tc>
        <w:tc>
          <w:tcPr>
            <w:tcW w:w="1001" w:type="dxa"/>
            <w:tcBorders>
              <w:top w:val="nil"/>
              <w:left w:val="nil"/>
              <w:bottom w:val="single" w:sz="4" w:space="0" w:color="auto"/>
              <w:right w:val="single" w:sz="4" w:space="0" w:color="auto"/>
            </w:tcBorders>
            <w:shd w:val="clear" w:color="auto" w:fill="FFE599" w:themeFill="accent4" w:themeFillTint="66"/>
            <w:noWrap/>
            <w:vAlign w:val="bottom"/>
          </w:tcPr>
          <w:p w14:paraId="0D5D6B00" w14:textId="14E39BE2" w:rsidR="00E00050" w:rsidRPr="00C14C91" w:rsidRDefault="006C50BA"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55,80</w:t>
            </w:r>
            <w:r w:rsidR="00E00050">
              <w:rPr>
                <w:rFonts w:ascii="Arial" w:eastAsia="Times New Roman" w:hAnsi="Arial" w:cs="Arial"/>
                <w:b/>
                <w:bCs/>
                <w:sz w:val="20"/>
                <w:szCs w:val="20"/>
                <w:lang w:eastAsia="hr-HR"/>
              </w:rPr>
              <w:t>%</w:t>
            </w:r>
          </w:p>
        </w:tc>
        <w:tc>
          <w:tcPr>
            <w:tcW w:w="1006" w:type="dxa"/>
            <w:tcBorders>
              <w:top w:val="nil"/>
              <w:left w:val="nil"/>
              <w:bottom w:val="single" w:sz="4" w:space="0" w:color="auto"/>
              <w:right w:val="single" w:sz="4" w:space="0" w:color="auto"/>
            </w:tcBorders>
            <w:shd w:val="clear" w:color="auto" w:fill="FFE599" w:themeFill="accent4" w:themeFillTint="66"/>
            <w:noWrap/>
            <w:vAlign w:val="bottom"/>
          </w:tcPr>
          <w:p w14:paraId="53DE8B35" w14:textId="26A78DF1" w:rsidR="00E00050" w:rsidRPr="00C14C91"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r w:rsidR="006C50BA">
              <w:rPr>
                <w:rFonts w:ascii="Arial" w:eastAsia="Times New Roman" w:hAnsi="Arial" w:cs="Arial"/>
                <w:b/>
                <w:bCs/>
                <w:sz w:val="20"/>
                <w:szCs w:val="20"/>
                <w:lang w:eastAsia="hr-HR"/>
              </w:rPr>
              <w:t>8,33</w:t>
            </w:r>
            <w:r>
              <w:rPr>
                <w:rFonts w:ascii="Arial" w:eastAsia="Times New Roman" w:hAnsi="Arial" w:cs="Arial"/>
                <w:b/>
                <w:bCs/>
                <w:sz w:val="20"/>
                <w:szCs w:val="20"/>
                <w:lang w:eastAsia="hr-HR"/>
              </w:rPr>
              <w:t>%</w:t>
            </w:r>
          </w:p>
        </w:tc>
      </w:tr>
      <w:tr w:rsidR="00E00050" w:rsidRPr="00C14C91" w14:paraId="0339D023" w14:textId="77777777" w:rsidTr="00E00050">
        <w:trPr>
          <w:trHeight w:val="201"/>
        </w:trPr>
        <w:tc>
          <w:tcPr>
            <w:tcW w:w="3982" w:type="dxa"/>
            <w:tcBorders>
              <w:top w:val="single" w:sz="4" w:space="0" w:color="auto"/>
              <w:left w:val="single" w:sz="4" w:space="0" w:color="auto"/>
              <w:bottom w:val="single" w:sz="4" w:space="0" w:color="auto"/>
              <w:right w:val="single" w:sz="4" w:space="0" w:color="auto"/>
            </w:tcBorders>
            <w:noWrap/>
            <w:vAlign w:val="bottom"/>
            <w:hideMark/>
          </w:tcPr>
          <w:p w14:paraId="64118144" w14:textId="77777777" w:rsidR="00E00050" w:rsidRPr="00C14C91" w:rsidRDefault="00E00050" w:rsidP="009D32D6">
            <w:pPr>
              <w:spacing w:after="0" w:line="240" w:lineRule="auto"/>
              <w:rPr>
                <w:rFonts w:ascii="Arial" w:eastAsia="Times New Roman" w:hAnsi="Arial" w:cs="Arial"/>
                <w:b/>
                <w:bCs/>
                <w:sz w:val="20"/>
                <w:szCs w:val="20"/>
                <w:lang w:eastAsia="hr-HR"/>
              </w:rPr>
            </w:pPr>
            <w:r w:rsidRPr="00C14C91">
              <w:rPr>
                <w:rFonts w:ascii="Arial" w:eastAsia="Times New Roman" w:hAnsi="Arial" w:cs="Arial"/>
                <w:b/>
                <w:bCs/>
                <w:sz w:val="20"/>
                <w:szCs w:val="20"/>
                <w:lang w:eastAsia="hr-HR"/>
              </w:rPr>
              <w:t>9 Vlastiti izvori</w:t>
            </w:r>
          </w:p>
        </w:tc>
        <w:tc>
          <w:tcPr>
            <w:tcW w:w="1377" w:type="dxa"/>
            <w:tcBorders>
              <w:top w:val="nil"/>
              <w:left w:val="nil"/>
              <w:bottom w:val="single" w:sz="4" w:space="0" w:color="auto"/>
              <w:right w:val="single" w:sz="4" w:space="0" w:color="auto"/>
            </w:tcBorders>
            <w:noWrap/>
            <w:vAlign w:val="bottom"/>
          </w:tcPr>
          <w:p w14:paraId="0E990451" w14:textId="77777777" w:rsidR="00E00050" w:rsidRPr="00C14C91"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506" w:type="dxa"/>
            <w:tcBorders>
              <w:top w:val="nil"/>
              <w:left w:val="nil"/>
              <w:bottom w:val="single" w:sz="4" w:space="0" w:color="auto"/>
              <w:right w:val="single" w:sz="4" w:space="0" w:color="auto"/>
            </w:tcBorders>
            <w:noWrap/>
            <w:vAlign w:val="bottom"/>
          </w:tcPr>
          <w:p w14:paraId="1F475F82" w14:textId="24B07B5E" w:rsidR="00E00050" w:rsidRPr="00C14C91" w:rsidRDefault="00BB768C"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4.482.942,93</w:t>
            </w:r>
          </w:p>
        </w:tc>
        <w:tc>
          <w:tcPr>
            <w:tcW w:w="1384" w:type="dxa"/>
            <w:tcBorders>
              <w:top w:val="nil"/>
              <w:left w:val="nil"/>
              <w:bottom w:val="single" w:sz="4" w:space="0" w:color="auto"/>
              <w:right w:val="nil"/>
            </w:tcBorders>
            <w:vAlign w:val="bottom"/>
          </w:tcPr>
          <w:p w14:paraId="1027CE07" w14:textId="241F57AB" w:rsidR="00E00050" w:rsidRDefault="00BB768C"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4.482.942,93</w:t>
            </w:r>
          </w:p>
        </w:tc>
        <w:tc>
          <w:tcPr>
            <w:tcW w:w="1377" w:type="dxa"/>
            <w:tcBorders>
              <w:top w:val="nil"/>
              <w:left w:val="nil"/>
              <w:bottom w:val="single" w:sz="4" w:space="0" w:color="auto"/>
              <w:right w:val="single" w:sz="4" w:space="0" w:color="auto"/>
            </w:tcBorders>
            <w:noWrap/>
            <w:vAlign w:val="bottom"/>
          </w:tcPr>
          <w:p w14:paraId="6217A72D" w14:textId="6CABC908" w:rsidR="00E00050" w:rsidRPr="00C14C91" w:rsidRDefault="00BB768C"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001" w:type="dxa"/>
            <w:tcBorders>
              <w:top w:val="nil"/>
              <w:left w:val="nil"/>
              <w:bottom w:val="single" w:sz="4" w:space="0" w:color="auto"/>
              <w:right w:val="single" w:sz="4" w:space="0" w:color="auto"/>
            </w:tcBorders>
            <w:noWrap/>
            <w:vAlign w:val="bottom"/>
          </w:tcPr>
          <w:p w14:paraId="407551DF" w14:textId="77777777" w:rsidR="00E00050" w:rsidRPr="00C14C91"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c>
          <w:tcPr>
            <w:tcW w:w="1006" w:type="dxa"/>
            <w:tcBorders>
              <w:top w:val="nil"/>
              <w:left w:val="nil"/>
              <w:bottom w:val="single" w:sz="4" w:space="0" w:color="auto"/>
              <w:right w:val="single" w:sz="4" w:space="0" w:color="auto"/>
            </w:tcBorders>
            <w:noWrap/>
            <w:vAlign w:val="bottom"/>
          </w:tcPr>
          <w:p w14:paraId="6FD2C0C2" w14:textId="77777777" w:rsidR="00E00050" w:rsidRPr="00C14C91"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r>
      <w:tr w:rsidR="00E00050" w:rsidRPr="00C14C91" w14:paraId="7E4626AA" w14:textId="77777777" w:rsidTr="00E00050">
        <w:trPr>
          <w:trHeight w:val="201"/>
        </w:trPr>
        <w:tc>
          <w:tcPr>
            <w:tcW w:w="3982" w:type="dxa"/>
            <w:tcBorders>
              <w:top w:val="single" w:sz="4" w:space="0" w:color="auto"/>
              <w:left w:val="single" w:sz="4" w:space="0" w:color="auto"/>
              <w:bottom w:val="single" w:sz="4" w:space="0" w:color="auto"/>
              <w:right w:val="single" w:sz="4" w:space="0" w:color="auto"/>
            </w:tcBorders>
            <w:noWrap/>
            <w:vAlign w:val="bottom"/>
            <w:hideMark/>
          </w:tcPr>
          <w:p w14:paraId="5BF2735A" w14:textId="77777777" w:rsidR="00E00050" w:rsidRPr="00C14C91" w:rsidRDefault="00E00050" w:rsidP="009D32D6">
            <w:pPr>
              <w:spacing w:after="0" w:line="240" w:lineRule="auto"/>
              <w:rPr>
                <w:rFonts w:ascii="Arial" w:eastAsia="Times New Roman" w:hAnsi="Arial" w:cs="Arial"/>
                <w:b/>
                <w:bCs/>
                <w:sz w:val="20"/>
                <w:szCs w:val="20"/>
                <w:lang w:eastAsia="hr-HR"/>
              </w:rPr>
            </w:pPr>
            <w:r w:rsidRPr="00C14C91">
              <w:rPr>
                <w:rFonts w:ascii="Arial" w:eastAsia="Times New Roman" w:hAnsi="Arial" w:cs="Arial"/>
                <w:b/>
                <w:bCs/>
                <w:sz w:val="20"/>
                <w:szCs w:val="20"/>
                <w:lang w:eastAsia="hr-HR"/>
              </w:rPr>
              <w:t>92 Rezultat poslovanja</w:t>
            </w:r>
          </w:p>
        </w:tc>
        <w:tc>
          <w:tcPr>
            <w:tcW w:w="1377" w:type="dxa"/>
            <w:tcBorders>
              <w:top w:val="nil"/>
              <w:left w:val="nil"/>
              <w:bottom w:val="single" w:sz="4" w:space="0" w:color="auto"/>
              <w:right w:val="single" w:sz="4" w:space="0" w:color="auto"/>
            </w:tcBorders>
            <w:noWrap/>
            <w:vAlign w:val="bottom"/>
          </w:tcPr>
          <w:p w14:paraId="7F403D14" w14:textId="77777777" w:rsidR="00E00050" w:rsidRPr="00C14C91"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506" w:type="dxa"/>
            <w:tcBorders>
              <w:top w:val="nil"/>
              <w:left w:val="nil"/>
              <w:bottom w:val="single" w:sz="4" w:space="0" w:color="auto"/>
              <w:right w:val="single" w:sz="4" w:space="0" w:color="auto"/>
            </w:tcBorders>
            <w:noWrap/>
            <w:vAlign w:val="bottom"/>
          </w:tcPr>
          <w:p w14:paraId="5E7422FF" w14:textId="5F92C4E6" w:rsidR="00E00050" w:rsidRPr="00C14C91" w:rsidRDefault="00BB768C"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4.482.942,93</w:t>
            </w:r>
          </w:p>
        </w:tc>
        <w:tc>
          <w:tcPr>
            <w:tcW w:w="1384" w:type="dxa"/>
            <w:tcBorders>
              <w:top w:val="nil"/>
              <w:left w:val="nil"/>
              <w:bottom w:val="single" w:sz="4" w:space="0" w:color="auto"/>
              <w:right w:val="nil"/>
            </w:tcBorders>
            <w:vAlign w:val="bottom"/>
          </w:tcPr>
          <w:p w14:paraId="286F7EDC" w14:textId="378EA7D4" w:rsidR="00E00050" w:rsidRDefault="00BB768C"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4.482.942,93</w:t>
            </w:r>
          </w:p>
        </w:tc>
        <w:tc>
          <w:tcPr>
            <w:tcW w:w="1377" w:type="dxa"/>
            <w:tcBorders>
              <w:top w:val="nil"/>
              <w:left w:val="nil"/>
              <w:bottom w:val="single" w:sz="4" w:space="0" w:color="auto"/>
              <w:right w:val="single" w:sz="4" w:space="0" w:color="auto"/>
            </w:tcBorders>
            <w:noWrap/>
            <w:vAlign w:val="bottom"/>
          </w:tcPr>
          <w:p w14:paraId="586278D0" w14:textId="7999774C" w:rsidR="00E00050" w:rsidRPr="00C14C91" w:rsidRDefault="00BB768C"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001" w:type="dxa"/>
            <w:tcBorders>
              <w:top w:val="nil"/>
              <w:left w:val="nil"/>
              <w:bottom w:val="single" w:sz="4" w:space="0" w:color="auto"/>
              <w:right w:val="single" w:sz="4" w:space="0" w:color="auto"/>
            </w:tcBorders>
            <w:noWrap/>
            <w:vAlign w:val="bottom"/>
          </w:tcPr>
          <w:p w14:paraId="54C1BAEC" w14:textId="77777777" w:rsidR="00E00050" w:rsidRPr="00C14C91"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c>
          <w:tcPr>
            <w:tcW w:w="1006" w:type="dxa"/>
            <w:tcBorders>
              <w:top w:val="nil"/>
              <w:left w:val="nil"/>
              <w:bottom w:val="single" w:sz="4" w:space="0" w:color="auto"/>
              <w:right w:val="single" w:sz="4" w:space="0" w:color="auto"/>
            </w:tcBorders>
            <w:noWrap/>
            <w:vAlign w:val="bottom"/>
          </w:tcPr>
          <w:p w14:paraId="272CD723" w14:textId="77777777" w:rsidR="00E00050" w:rsidRPr="00C14C91"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r>
      <w:tr w:rsidR="00E00050" w:rsidRPr="00C14C91" w14:paraId="570FCA8C" w14:textId="77777777" w:rsidTr="00E00050">
        <w:trPr>
          <w:trHeight w:val="201"/>
        </w:trPr>
        <w:tc>
          <w:tcPr>
            <w:tcW w:w="3982" w:type="dxa"/>
            <w:tcBorders>
              <w:top w:val="single" w:sz="4" w:space="0" w:color="auto"/>
              <w:left w:val="single" w:sz="4" w:space="0" w:color="auto"/>
              <w:bottom w:val="single" w:sz="4" w:space="0" w:color="auto"/>
              <w:right w:val="single" w:sz="4" w:space="0" w:color="auto"/>
            </w:tcBorders>
            <w:noWrap/>
            <w:vAlign w:val="bottom"/>
            <w:hideMark/>
          </w:tcPr>
          <w:p w14:paraId="64463680" w14:textId="77777777" w:rsidR="00E00050" w:rsidRPr="00C14C91" w:rsidRDefault="00E00050" w:rsidP="009D32D6">
            <w:pPr>
              <w:spacing w:after="0" w:line="240" w:lineRule="auto"/>
              <w:rPr>
                <w:rFonts w:ascii="Arial" w:eastAsia="Times New Roman" w:hAnsi="Arial" w:cs="Arial"/>
                <w:b/>
                <w:bCs/>
                <w:sz w:val="20"/>
                <w:szCs w:val="20"/>
                <w:lang w:eastAsia="hr-HR"/>
              </w:rPr>
            </w:pPr>
            <w:r w:rsidRPr="00C14C91">
              <w:rPr>
                <w:rFonts w:ascii="Arial" w:eastAsia="Times New Roman" w:hAnsi="Arial" w:cs="Arial"/>
                <w:b/>
                <w:bCs/>
                <w:sz w:val="20"/>
                <w:szCs w:val="20"/>
                <w:lang w:eastAsia="hr-HR"/>
              </w:rPr>
              <w:t>922 Višak/manjak prihoda</w:t>
            </w:r>
          </w:p>
        </w:tc>
        <w:tc>
          <w:tcPr>
            <w:tcW w:w="1377" w:type="dxa"/>
            <w:tcBorders>
              <w:top w:val="nil"/>
              <w:left w:val="nil"/>
              <w:bottom w:val="single" w:sz="4" w:space="0" w:color="auto"/>
              <w:right w:val="single" w:sz="4" w:space="0" w:color="auto"/>
            </w:tcBorders>
            <w:noWrap/>
            <w:vAlign w:val="bottom"/>
          </w:tcPr>
          <w:p w14:paraId="74A5B852" w14:textId="77777777" w:rsidR="00E00050" w:rsidRPr="00C14C91"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506" w:type="dxa"/>
            <w:tcBorders>
              <w:top w:val="nil"/>
              <w:left w:val="nil"/>
              <w:bottom w:val="single" w:sz="4" w:space="0" w:color="auto"/>
              <w:right w:val="single" w:sz="4" w:space="0" w:color="auto"/>
            </w:tcBorders>
            <w:noWrap/>
            <w:vAlign w:val="bottom"/>
          </w:tcPr>
          <w:p w14:paraId="149D0A3E" w14:textId="73A402ED" w:rsidR="00E00050" w:rsidRPr="00C14C91" w:rsidRDefault="00BB768C"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4.482.942,93</w:t>
            </w:r>
          </w:p>
        </w:tc>
        <w:tc>
          <w:tcPr>
            <w:tcW w:w="1384" w:type="dxa"/>
            <w:tcBorders>
              <w:top w:val="nil"/>
              <w:left w:val="nil"/>
              <w:bottom w:val="single" w:sz="4" w:space="0" w:color="auto"/>
              <w:right w:val="nil"/>
            </w:tcBorders>
          </w:tcPr>
          <w:p w14:paraId="679EA817" w14:textId="7CAFA604" w:rsidR="00E00050" w:rsidRDefault="00BB768C"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4.482.942,93</w:t>
            </w:r>
          </w:p>
        </w:tc>
        <w:tc>
          <w:tcPr>
            <w:tcW w:w="1377" w:type="dxa"/>
            <w:tcBorders>
              <w:top w:val="nil"/>
              <w:left w:val="nil"/>
              <w:bottom w:val="single" w:sz="4" w:space="0" w:color="auto"/>
              <w:right w:val="single" w:sz="4" w:space="0" w:color="auto"/>
            </w:tcBorders>
            <w:noWrap/>
            <w:vAlign w:val="bottom"/>
          </w:tcPr>
          <w:p w14:paraId="4CA363B4" w14:textId="79DF23F0" w:rsidR="00E00050" w:rsidRPr="00C14C91" w:rsidRDefault="00BB768C"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001" w:type="dxa"/>
            <w:tcBorders>
              <w:top w:val="nil"/>
              <w:left w:val="nil"/>
              <w:bottom w:val="single" w:sz="4" w:space="0" w:color="auto"/>
              <w:right w:val="single" w:sz="4" w:space="0" w:color="auto"/>
            </w:tcBorders>
            <w:noWrap/>
            <w:vAlign w:val="bottom"/>
          </w:tcPr>
          <w:p w14:paraId="3334D911" w14:textId="77777777" w:rsidR="00E00050" w:rsidRPr="00C14C91"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c>
          <w:tcPr>
            <w:tcW w:w="1006" w:type="dxa"/>
            <w:tcBorders>
              <w:top w:val="nil"/>
              <w:left w:val="nil"/>
              <w:bottom w:val="single" w:sz="4" w:space="0" w:color="auto"/>
              <w:right w:val="single" w:sz="4" w:space="0" w:color="auto"/>
            </w:tcBorders>
            <w:noWrap/>
            <w:vAlign w:val="bottom"/>
          </w:tcPr>
          <w:p w14:paraId="0D783181" w14:textId="77777777" w:rsidR="00E00050" w:rsidRPr="00C14C91" w:rsidRDefault="00E00050"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r>
    </w:tbl>
    <w:p w14:paraId="47F04056" w14:textId="77777777" w:rsidR="00BB768C" w:rsidRDefault="00BB768C" w:rsidP="00B055EC">
      <w:pPr>
        <w:jc w:val="both"/>
        <w:rPr>
          <w:rFonts w:cstheme="minorHAnsi"/>
          <w:b/>
          <w:sz w:val="28"/>
          <w:szCs w:val="28"/>
        </w:rPr>
      </w:pPr>
    </w:p>
    <w:p w14:paraId="4B68EBA8" w14:textId="257C19D7" w:rsidR="004A065E" w:rsidRPr="004C7A63" w:rsidRDefault="004A065E" w:rsidP="00B055EC">
      <w:pPr>
        <w:jc w:val="both"/>
        <w:rPr>
          <w:rFonts w:cstheme="minorHAnsi"/>
          <w:b/>
          <w:sz w:val="28"/>
          <w:szCs w:val="28"/>
        </w:rPr>
      </w:pPr>
      <w:r w:rsidRPr="0098702D">
        <w:rPr>
          <w:rFonts w:cstheme="minorHAnsi"/>
          <w:b/>
          <w:sz w:val="28"/>
          <w:szCs w:val="28"/>
        </w:rPr>
        <w:t xml:space="preserve">2. RAČUN FINANCIRANJA PREMA IZVORIMA FINANCIRANJA </w:t>
      </w:r>
    </w:p>
    <w:tbl>
      <w:tblPr>
        <w:tblW w:w="12008" w:type="dxa"/>
        <w:tblInd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1"/>
        <w:gridCol w:w="1178"/>
        <w:gridCol w:w="1377"/>
        <w:gridCol w:w="1340"/>
        <w:gridCol w:w="1318"/>
        <w:gridCol w:w="927"/>
        <w:gridCol w:w="977"/>
      </w:tblGrid>
      <w:tr w:rsidR="00BB768C" w:rsidRPr="00397A59" w14:paraId="57E81F39" w14:textId="77777777" w:rsidTr="002B4BCC">
        <w:trPr>
          <w:trHeight w:val="554"/>
        </w:trPr>
        <w:tc>
          <w:tcPr>
            <w:tcW w:w="4891" w:type="dxa"/>
            <w:shd w:val="clear" w:color="000000" w:fill="C0C0C0"/>
            <w:noWrap/>
            <w:vAlign w:val="bottom"/>
            <w:hideMark/>
          </w:tcPr>
          <w:p w14:paraId="0E0D5A24" w14:textId="77777777" w:rsidR="00BB768C" w:rsidRPr="00C32A0C" w:rsidRDefault="00BB768C" w:rsidP="009D32D6">
            <w:pPr>
              <w:spacing w:after="0" w:line="240" w:lineRule="auto"/>
              <w:jc w:val="center"/>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Račun / opis</w:t>
            </w:r>
          </w:p>
        </w:tc>
        <w:tc>
          <w:tcPr>
            <w:tcW w:w="1178" w:type="dxa"/>
            <w:shd w:val="clear" w:color="000000" w:fill="C0C0C0"/>
            <w:vAlign w:val="bottom"/>
            <w:hideMark/>
          </w:tcPr>
          <w:p w14:paraId="3147E169" w14:textId="647FBDC7" w:rsidR="00BB768C" w:rsidRPr="00C32A0C" w:rsidRDefault="00BB768C" w:rsidP="009D32D6">
            <w:pPr>
              <w:spacing w:after="0" w:line="240" w:lineRule="auto"/>
              <w:jc w:val="center"/>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Izvršenje 2024.</w:t>
            </w:r>
          </w:p>
        </w:tc>
        <w:tc>
          <w:tcPr>
            <w:tcW w:w="1377" w:type="dxa"/>
            <w:shd w:val="clear" w:color="000000" w:fill="C0C0C0"/>
            <w:vAlign w:val="bottom"/>
            <w:hideMark/>
          </w:tcPr>
          <w:p w14:paraId="2D9F33D1" w14:textId="4C31C1A4" w:rsidR="00BB768C" w:rsidRPr="00C32A0C" w:rsidRDefault="00BB768C" w:rsidP="009D32D6">
            <w:pPr>
              <w:spacing w:after="0" w:line="240" w:lineRule="auto"/>
              <w:jc w:val="center"/>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Izvorni plan</w:t>
            </w:r>
            <w:r>
              <w:rPr>
                <w:rFonts w:ascii="Arial" w:eastAsia="Times New Roman" w:hAnsi="Arial" w:cs="Arial"/>
                <w:b/>
                <w:bCs/>
                <w:sz w:val="18"/>
                <w:szCs w:val="18"/>
                <w:lang w:eastAsia="hr-HR"/>
              </w:rPr>
              <w:t>/rebalans</w:t>
            </w:r>
            <w:r w:rsidRPr="00C32A0C">
              <w:rPr>
                <w:rFonts w:ascii="Arial" w:eastAsia="Times New Roman" w:hAnsi="Arial" w:cs="Arial"/>
                <w:b/>
                <w:bCs/>
                <w:sz w:val="18"/>
                <w:szCs w:val="18"/>
                <w:lang w:eastAsia="hr-HR"/>
              </w:rPr>
              <w:t xml:space="preserve"> 2025.</w:t>
            </w:r>
          </w:p>
        </w:tc>
        <w:tc>
          <w:tcPr>
            <w:tcW w:w="1340" w:type="dxa"/>
            <w:shd w:val="clear" w:color="000000" w:fill="C0C0C0"/>
            <w:vAlign w:val="bottom"/>
            <w:hideMark/>
          </w:tcPr>
          <w:p w14:paraId="4F939505" w14:textId="77777777" w:rsidR="00BB768C" w:rsidRPr="00C32A0C" w:rsidRDefault="00BB768C" w:rsidP="009D32D6">
            <w:pPr>
              <w:spacing w:after="0" w:line="240" w:lineRule="auto"/>
              <w:jc w:val="center"/>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Tekući plan 2025.</w:t>
            </w:r>
          </w:p>
        </w:tc>
        <w:tc>
          <w:tcPr>
            <w:tcW w:w="1318" w:type="dxa"/>
            <w:shd w:val="clear" w:color="000000" w:fill="C0C0C0"/>
            <w:vAlign w:val="bottom"/>
            <w:hideMark/>
          </w:tcPr>
          <w:p w14:paraId="6BC8AE37" w14:textId="2ED533C4" w:rsidR="00BB768C" w:rsidRPr="00C32A0C" w:rsidRDefault="00BB768C" w:rsidP="009D32D6">
            <w:pPr>
              <w:spacing w:after="0" w:line="240" w:lineRule="auto"/>
              <w:jc w:val="center"/>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Izvršenje 2025.</w:t>
            </w:r>
          </w:p>
        </w:tc>
        <w:tc>
          <w:tcPr>
            <w:tcW w:w="927" w:type="dxa"/>
            <w:shd w:val="clear" w:color="000000" w:fill="C0C0C0"/>
            <w:vAlign w:val="bottom"/>
            <w:hideMark/>
          </w:tcPr>
          <w:p w14:paraId="0CD0662D" w14:textId="77777777" w:rsidR="00BB768C" w:rsidRPr="00C32A0C" w:rsidRDefault="00BB768C" w:rsidP="009D32D6">
            <w:pPr>
              <w:spacing w:after="0" w:line="240" w:lineRule="auto"/>
              <w:jc w:val="center"/>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Indeks    4/1</w:t>
            </w:r>
          </w:p>
        </w:tc>
        <w:tc>
          <w:tcPr>
            <w:tcW w:w="977" w:type="dxa"/>
            <w:shd w:val="clear" w:color="000000" w:fill="C0C0C0"/>
            <w:vAlign w:val="bottom"/>
            <w:hideMark/>
          </w:tcPr>
          <w:p w14:paraId="31EC78EE" w14:textId="77777777" w:rsidR="00BB768C" w:rsidRPr="00C32A0C" w:rsidRDefault="00BB768C" w:rsidP="009D32D6">
            <w:pPr>
              <w:spacing w:after="0" w:line="240" w:lineRule="auto"/>
              <w:jc w:val="center"/>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Indeks  4/3</w:t>
            </w:r>
          </w:p>
        </w:tc>
      </w:tr>
      <w:tr w:rsidR="00BB768C" w:rsidRPr="00397A59" w14:paraId="6ED18AF6" w14:textId="77777777" w:rsidTr="002B4BCC">
        <w:trPr>
          <w:trHeight w:val="276"/>
        </w:trPr>
        <w:tc>
          <w:tcPr>
            <w:tcW w:w="4891" w:type="dxa"/>
            <w:shd w:val="clear" w:color="000000" w:fill="C0C0C0"/>
            <w:noWrap/>
            <w:vAlign w:val="bottom"/>
            <w:hideMark/>
          </w:tcPr>
          <w:p w14:paraId="7F02A299" w14:textId="77777777" w:rsidR="00BB768C" w:rsidRPr="00C32A0C" w:rsidRDefault="00BB768C" w:rsidP="009D32D6">
            <w:pPr>
              <w:spacing w:after="0" w:line="240" w:lineRule="auto"/>
              <w:jc w:val="center"/>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B. RAČUN ZADUŽIVANJA FINANCIRANJA</w:t>
            </w:r>
          </w:p>
        </w:tc>
        <w:tc>
          <w:tcPr>
            <w:tcW w:w="1178" w:type="dxa"/>
            <w:shd w:val="clear" w:color="000000" w:fill="C0C0C0"/>
            <w:noWrap/>
            <w:vAlign w:val="bottom"/>
            <w:hideMark/>
          </w:tcPr>
          <w:p w14:paraId="2324C012" w14:textId="77777777" w:rsidR="00BB768C" w:rsidRPr="00C32A0C" w:rsidRDefault="00BB768C" w:rsidP="009D32D6">
            <w:pPr>
              <w:spacing w:after="0" w:line="240" w:lineRule="auto"/>
              <w:jc w:val="center"/>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1</w:t>
            </w:r>
          </w:p>
        </w:tc>
        <w:tc>
          <w:tcPr>
            <w:tcW w:w="1377" w:type="dxa"/>
            <w:shd w:val="clear" w:color="000000" w:fill="C0C0C0"/>
            <w:noWrap/>
            <w:vAlign w:val="bottom"/>
            <w:hideMark/>
          </w:tcPr>
          <w:p w14:paraId="53E92903" w14:textId="77777777" w:rsidR="00BB768C" w:rsidRPr="00C32A0C" w:rsidRDefault="00BB768C" w:rsidP="009D32D6">
            <w:pPr>
              <w:spacing w:after="0" w:line="240" w:lineRule="auto"/>
              <w:jc w:val="center"/>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2</w:t>
            </w:r>
          </w:p>
        </w:tc>
        <w:tc>
          <w:tcPr>
            <w:tcW w:w="1340" w:type="dxa"/>
            <w:shd w:val="clear" w:color="000000" w:fill="C0C0C0"/>
            <w:noWrap/>
            <w:vAlign w:val="bottom"/>
            <w:hideMark/>
          </w:tcPr>
          <w:p w14:paraId="32D733F4" w14:textId="77777777" w:rsidR="00BB768C" w:rsidRPr="00C32A0C" w:rsidRDefault="00BB768C" w:rsidP="009D32D6">
            <w:pPr>
              <w:spacing w:after="0" w:line="240" w:lineRule="auto"/>
              <w:jc w:val="center"/>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3</w:t>
            </w:r>
          </w:p>
        </w:tc>
        <w:tc>
          <w:tcPr>
            <w:tcW w:w="1318" w:type="dxa"/>
            <w:shd w:val="clear" w:color="000000" w:fill="C0C0C0"/>
            <w:noWrap/>
            <w:vAlign w:val="bottom"/>
            <w:hideMark/>
          </w:tcPr>
          <w:p w14:paraId="04F0E5A5" w14:textId="77777777" w:rsidR="00BB768C" w:rsidRPr="00C32A0C" w:rsidRDefault="00BB768C" w:rsidP="009D32D6">
            <w:pPr>
              <w:spacing w:after="0" w:line="240" w:lineRule="auto"/>
              <w:jc w:val="center"/>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4</w:t>
            </w:r>
          </w:p>
        </w:tc>
        <w:tc>
          <w:tcPr>
            <w:tcW w:w="927" w:type="dxa"/>
            <w:shd w:val="clear" w:color="000000" w:fill="C0C0C0"/>
            <w:noWrap/>
            <w:vAlign w:val="bottom"/>
            <w:hideMark/>
          </w:tcPr>
          <w:p w14:paraId="28A6A1CA" w14:textId="77777777" w:rsidR="00BB768C" w:rsidRPr="00C32A0C" w:rsidRDefault="00BB768C" w:rsidP="009D32D6">
            <w:pPr>
              <w:spacing w:after="0" w:line="240" w:lineRule="auto"/>
              <w:jc w:val="center"/>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5</w:t>
            </w:r>
          </w:p>
        </w:tc>
        <w:tc>
          <w:tcPr>
            <w:tcW w:w="977" w:type="dxa"/>
            <w:shd w:val="clear" w:color="000000" w:fill="C0C0C0"/>
            <w:noWrap/>
            <w:vAlign w:val="bottom"/>
            <w:hideMark/>
          </w:tcPr>
          <w:p w14:paraId="1B999ABA" w14:textId="77777777" w:rsidR="00BB768C" w:rsidRPr="00C32A0C" w:rsidRDefault="00BB768C" w:rsidP="009D32D6">
            <w:pPr>
              <w:spacing w:after="0" w:line="240" w:lineRule="auto"/>
              <w:jc w:val="center"/>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6</w:t>
            </w:r>
          </w:p>
        </w:tc>
      </w:tr>
      <w:tr w:rsidR="00BB768C" w:rsidRPr="00397A59" w14:paraId="65637E22" w14:textId="77777777" w:rsidTr="002B4BCC">
        <w:trPr>
          <w:trHeight w:val="276"/>
        </w:trPr>
        <w:tc>
          <w:tcPr>
            <w:tcW w:w="4891" w:type="dxa"/>
            <w:noWrap/>
            <w:vAlign w:val="bottom"/>
            <w:hideMark/>
          </w:tcPr>
          <w:p w14:paraId="77CD04D0" w14:textId="4AC07923" w:rsidR="00BB768C" w:rsidRPr="001141CC" w:rsidRDefault="00BB768C" w:rsidP="009D32D6">
            <w:pPr>
              <w:spacing w:after="0" w:line="240" w:lineRule="auto"/>
              <w:rPr>
                <w:rFonts w:ascii="Arial" w:eastAsia="Times New Roman" w:hAnsi="Arial" w:cs="Arial"/>
                <w:b/>
                <w:bCs/>
                <w:color w:val="FFFFFF"/>
                <w:sz w:val="18"/>
                <w:szCs w:val="18"/>
                <w:lang w:eastAsia="hr-HR"/>
              </w:rPr>
            </w:pPr>
            <w:r w:rsidRPr="001141CC">
              <w:rPr>
                <w:rFonts w:ascii="Arial" w:eastAsia="Times New Roman" w:hAnsi="Arial" w:cs="Arial"/>
                <w:color w:val="FFFFFF"/>
                <w:sz w:val="18"/>
                <w:szCs w:val="18"/>
                <w:lang w:eastAsia="hr-HR"/>
              </w:rPr>
              <w:t xml:space="preserve"> </w:t>
            </w:r>
            <w:r w:rsidRPr="001141CC">
              <w:rPr>
                <w:rFonts w:ascii="Arial" w:eastAsia="Times New Roman" w:hAnsi="Arial" w:cs="Arial"/>
                <w:b/>
                <w:bCs/>
                <w:sz w:val="18"/>
                <w:szCs w:val="18"/>
                <w:lang w:eastAsia="hr-HR"/>
              </w:rPr>
              <w:t>UKUP</w:t>
            </w:r>
            <w:r w:rsidR="001141CC" w:rsidRPr="001141CC">
              <w:rPr>
                <w:rFonts w:ascii="Arial" w:eastAsia="Times New Roman" w:hAnsi="Arial" w:cs="Arial"/>
                <w:b/>
                <w:bCs/>
                <w:sz w:val="18"/>
                <w:szCs w:val="18"/>
                <w:lang w:eastAsia="hr-HR"/>
              </w:rPr>
              <w:t xml:space="preserve">NO PRIMICI </w:t>
            </w:r>
          </w:p>
        </w:tc>
        <w:tc>
          <w:tcPr>
            <w:tcW w:w="1178" w:type="dxa"/>
            <w:noWrap/>
            <w:vAlign w:val="bottom"/>
            <w:hideMark/>
          </w:tcPr>
          <w:p w14:paraId="0F3E8CBD" w14:textId="4FA7526B" w:rsidR="00BB768C" w:rsidRPr="001141CC" w:rsidRDefault="001141CC" w:rsidP="009D32D6">
            <w:pPr>
              <w:spacing w:after="0" w:line="240" w:lineRule="auto"/>
              <w:jc w:val="right"/>
              <w:rPr>
                <w:rFonts w:ascii="Arial" w:eastAsia="Times New Roman" w:hAnsi="Arial" w:cs="Arial"/>
                <w:sz w:val="18"/>
                <w:szCs w:val="18"/>
                <w:lang w:eastAsia="hr-HR"/>
              </w:rPr>
            </w:pPr>
            <w:r w:rsidRPr="001141CC">
              <w:rPr>
                <w:rFonts w:ascii="Arial" w:eastAsia="Times New Roman" w:hAnsi="Arial" w:cs="Arial"/>
                <w:sz w:val="18"/>
                <w:szCs w:val="18"/>
                <w:lang w:eastAsia="hr-HR"/>
              </w:rPr>
              <w:t>0,00</w:t>
            </w:r>
            <w:r w:rsidR="00BB768C" w:rsidRPr="001141CC">
              <w:rPr>
                <w:rFonts w:ascii="Arial" w:eastAsia="Times New Roman" w:hAnsi="Arial" w:cs="Arial"/>
                <w:sz w:val="18"/>
                <w:szCs w:val="18"/>
                <w:lang w:eastAsia="hr-HR"/>
              </w:rPr>
              <w:t> </w:t>
            </w:r>
          </w:p>
        </w:tc>
        <w:tc>
          <w:tcPr>
            <w:tcW w:w="1377" w:type="dxa"/>
            <w:noWrap/>
            <w:vAlign w:val="bottom"/>
            <w:hideMark/>
          </w:tcPr>
          <w:p w14:paraId="6DA9D4CC" w14:textId="77777777" w:rsidR="00BB768C" w:rsidRPr="001141CC" w:rsidRDefault="00BB768C" w:rsidP="009D32D6">
            <w:pPr>
              <w:spacing w:after="0" w:line="240" w:lineRule="auto"/>
              <w:jc w:val="right"/>
              <w:rPr>
                <w:rFonts w:ascii="Arial" w:eastAsia="Times New Roman" w:hAnsi="Arial" w:cs="Arial"/>
                <w:sz w:val="18"/>
                <w:szCs w:val="18"/>
                <w:lang w:eastAsia="hr-HR"/>
              </w:rPr>
            </w:pPr>
            <w:r w:rsidRPr="001141CC">
              <w:rPr>
                <w:rFonts w:ascii="Arial" w:eastAsia="Times New Roman" w:hAnsi="Arial" w:cs="Arial"/>
                <w:sz w:val="18"/>
                <w:szCs w:val="18"/>
                <w:lang w:eastAsia="hr-HR"/>
              </w:rPr>
              <w:t>150.000,00</w:t>
            </w:r>
          </w:p>
        </w:tc>
        <w:tc>
          <w:tcPr>
            <w:tcW w:w="1340" w:type="dxa"/>
            <w:noWrap/>
            <w:vAlign w:val="bottom"/>
            <w:hideMark/>
          </w:tcPr>
          <w:p w14:paraId="27558169" w14:textId="77777777" w:rsidR="00BB768C" w:rsidRPr="001141CC" w:rsidRDefault="00BB768C" w:rsidP="009D32D6">
            <w:pPr>
              <w:spacing w:after="0" w:line="240" w:lineRule="auto"/>
              <w:jc w:val="right"/>
              <w:rPr>
                <w:rFonts w:ascii="Arial" w:eastAsia="Times New Roman" w:hAnsi="Arial" w:cs="Arial"/>
                <w:sz w:val="18"/>
                <w:szCs w:val="18"/>
                <w:lang w:eastAsia="hr-HR"/>
              </w:rPr>
            </w:pPr>
            <w:r w:rsidRPr="001141CC">
              <w:rPr>
                <w:rFonts w:ascii="Arial" w:eastAsia="Times New Roman" w:hAnsi="Arial" w:cs="Arial"/>
                <w:sz w:val="18"/>
                <w:szCs w:val="18"/>
                <w:lang w:eastAsia="hr-HR"/>
              </w:rPr>
              <w:t>150.000,00</w:t>
            </w:r>
          </w:p>
        </w:tc>
        <w:tc>
          <w:tcPr>
            <w:tcW w:w="1318" w:type="dxa"/>
            <w:noWrap/>
            <w:vAlign w:val="bottom"/>
            <w:hideMark/>
          </w:tcPr>
          <w:p w14:paraId="165250D2" w14:textId="2E67A1C9" w:rsidR="00BB768C" w:rsidRPr="001141CC" w:rsidRDefault="001141CC" w:rsidP="009D32D6">
            <w:pPr>
              <w:spacing w:after="0" w:line="240" w:lineRule="auto"/>
              <w:jc w:val="right"/>
              <w:rPr>
                <w:rFonts w:ascii="Arial" w:eastAsia="Times New Roman" w:hAnsi="Arial" w:cs="Arial"/>
                <w:sz w:val="18"/>
                <w:szCs w:val="18"/>
                <w:lang w:eastAsia="hr-HR"/>
              </w:rPr>
            </w:pPr>
            <w:r w:rsidRPr="001141CC">
              <w:rPr>
                <w:rFonts w:ascii="Arial" w:eastAsia="Times New Roman" w:hAnsi="Arial" w:cs="Arial"/>
                <w:sz w:val="18"/>
                <w:szCs w:val="18"/>
                <w:lang w:eastAsia="hr-HR"/>
              </w:rPr>
              <w:t>150.000,00</w:t>
            </w:r>
            <w:r w:rsidR="00BB768C" w:rsidRPr="001141CC">
              <w:rPr>
                <w:rFonts w:ascii="Arial" w:eastAsia="Times New Roman" w:hAnsi="Arial" w:cs="Arial"/>
                <w:sz w:val="18"/>
                <w:szCs w:val="18"/>
                <w:lang w:eastAsia="hr-HR"/>
              </w:rPr>
              <w:t> </w:t>
            </w:r>
          </w:p>
        </w:tc>
        <w:tc>
          <w:tcPr>
            <w:tcW w:w="927" w:type="dxa"/>
            <w:noWrap/>
            <w:vAlign w:val="bottom"/>
            <w:hideMark/>
          </w:tcPr>
          <w:p w14:paraId="6EF33A30" w14:textId="6111A2BE" w:rsidR="00BB768C" w:rsidRPr="001141CC" w:rsidRDefault="001141CC" w:rsidP="009D32D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w:t>
            </w:r>
            <w:r w:rsidR="00BB768C" w:rsidRPr="001141CC">
              <w:rPr>
                <w:rFonts w:ascii="Arial" w:eastAsia="Times New Roman" w:hAnsi="Arial" w:cs="Arial"/>
                <w:sz w:val="18"/>
                <w:szCs w:val="18"/>
                <w:lang w:eastAsia="hr-HR"/>
              </w:rPr>
              <w:t> </w:t>
            </w:r>
          </w:p>
        </w:tc>
        <w:tc>
          <w:tcPr>
            <w:tcW w:w="977" w:type="dxa"/>
            <w:noWrap/>
            <w:vAlign w:val="bottom"/>
            <w:hideMark/>
          </w:tcPr>
          <w:p w14:paraId="040C4298" w14:textId="1E01CF77" w:rsidR="00BB768C" w:rsidRPr="001141CC" w:rsidRDefault="001141CC" w:rsidP="009D32D6">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100,00%</w:t>
            </w:r>
            <w:r w:rsidR="00BB768C" w:rsidRPr="001141CC">
              <w:rPr>
                <w:rFonts w:ascii="Arial" w:eastAsia="Times New Roman" w:hAnsi="Arial" w:cs="Arial"/>
                <w:sz w:val="18"/>
                <w:szCs w:val="18"/>
                <w:lang w:eastAsia="hr-HR"/>
              </w:rPr>
              <w:t> </w:t>
            </w:r>
          </w:p>
        </w:tc>
      </w:tr>
      <w:tr w:rsidR="00BB768C" w:rsidRPr="00397A59" w14:paraId="39A8730C" w14:textId="77777777" w:rsidTr="002B4BCC">
        <w:trPr>
          <w:trHeight w:val="276"/>
        </w:trPr>
        <w:tc>
          <w:tcPr>
            <w:tcW w:w="4891" w:type="dxa"/>
            <w:shd w:val="clear" w:color="auto" w:fill="FFE599" w:themeFill="accent4" w:themeFillTint="66"/>
            <w:noWrap/>
            <w:vAlign w:val="bottom"/>
            <w:hideMark/>
          </w:tcPr>
          <w:p w14:paraId="34EAD20B" w14:textId="77777777" w:rsidR="00BB768C" w:rsidRPr="00C32A0C" w:rsidRDefault="00BB768C" w:rsidP="009D32D6">
            <w:pPr>
              <w:spacing w:after="0" w:line="240" w:lineRule="auto"/>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 xml:space="preserve">8. NAMJENSKI PRIMICI </w:t>
            </w:r>
          </w:p>
        </w:tc>
        <w:tc>
          <w:tcPr>
            <w:tcW w:w="1178" w:type="dxa"/>
            <w:shd w:val="clear" w:color="auto" w:fill="FFE599" w:themeFill="accent4" w:themeFillTint="66"/>
            <w:noWrap/>
            <w:vAlign w:val="bottom"/>
            <w:hideMark/>
          </w:tcPr>
          <w:p w14:paraId="2F88B4DB" w14:textId="77777777" w:rsidR="00BB768C" w:rsidRPr="00C32A0C" w:rsidRDefault="00BB768C" w:rsidP="009D32D6">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0,00</w:t>
            </w:r>
          </w:p>
        </w:tc>
        <w:tc>
          <w:tcPr>
            <w:tcW w:w="1377" w:type="dxa"/>
            <w:shd w:val="clear" w:color="auto" w:fill="FFE599" w:themeFill="accent4" w:themeFillTint="66"/>
            <w:noWrap/>
            <w:vAlign w:val="bottom"/>
            <w:hideMark/>
          </w:tcPr>
          <w:p w14:paraId="2A8F0CA0" w14:textId="77777777" w:rsidR="00BB768C" w:rsidRPr="00C32A0C" w:rsidRDefault="00BB768C" w:rsidP="009D32D6">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150.000,00</w:t>
            </w:r>
          </w:p>
        </w:tc>
        <w:tc>
          <w:tcPr>
            <w:tcW w:w="1340" w:type="dxa"/>
            <w:shd w:val="clear" w:color="auto" w:fill="FFE599" w:themeFill="accent4" w:themeFillTint="66"/>
            <w:noWrap/>
            <w:vAlign w:val="bottom"/>
            <w:hideMark/>
          </w:tcPr>
          <w:p w14:paraId="4CE43283" w14:textId="77777777" w:rsidR="00BB768C" w:rsidRPr="00C32A0C" w:rsidRDefault="00BB768C" w:rsidP="009D32D6">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150.000,00</w:t>
            </w:r>
          </w:p>
        </w:tc>
        <w:tc>
          <w:tcPr>
            <w:tcW w:w="1318" w:type="dxa"/>
            <w:shd w:val="clear" w:color="auto" w:fill="FFE599" w:themeFill="accent4" w:themeFillTint="66"/>
            <w:noWrap/>
            <w:vAlign w:val="bottom"/>
            <w:hideMark/>
          </w:tcPr>
          <w:p w14:paraId="6972A401" w14:textId="7E048986" w:rsidR="00BB768C" w:rsidRPr="00C32A0C" w:rsidRDefault="001141CC"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150.00</w:t>
            </w:r>
            <w:r w:rsidR="00BB768C" w:rsidRPr="00C32A0C">
              <w:rPr>
                <w:rFonts w:ascii="Arial" w:eastAsia="Times New Roman" w:hAnsi="Arial" w:cs="Arial"/>
                <w:b/>
                <w:bCs/>
                <w:sz w:val="18"/>
                <w:szCs w:val="18"/>
                <w:lang w:eastAsia="hr-HR"/>
              </w:rPr>
              <w:t>0,00</w:t>
            </w:r>
          </w:p>
        </w:tc>
        <w:tc>
          <w:tcPr>
            <w:tcW w:w="927" w:type="dxa"/>
            <w:shd w:val="clear" w:color="auto" w:fill="FFE599" w:themeFill="accent4" w:themeFillTint="66"/>
            <w:noWrap/>
            <w:vAlign w:val="bottom"/>
            <w:hideMark/>
          </w:tcPr>
          <w:p w14:paraId="6E0AA116" w14:textId="77777777" w:rsidR="00BB768C" w:rsidRPr="00C32A0C" w:rsidRDefault="00BB768C"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w:t>
            </w:r>
            <w:r w:rsidRPr="00C32A0C">
              <w:rPr>
                <w:rFonts w:ascii="Arial" w:eastAsia="Times New Roman" w:hAnsi="Arial" w:cs="Arial"/>
                <w:b/>
                <w:bCs/>
                <w:sz w:val="18"/>
                <w:szCs w:val="18"/>
                <w:lang w:eastAsia="hr-HR"/>
              </w:rPr>
              <w:t> </w:t>
            </w:r>
          </w:p>
        </w:tc>
        <w:tc>
          <w:tcPr>
            <w:tcW w:w="977" w:type="dxa"/>
            <w:shd w:val="clear" w:color="auto" w:fill="FFE599" w:themeFill="accent4" w:themeFillTint="66"/>
            <w:noWrap/>
            <w:vAlign w:val="bottom"/>
            <w:hideMark/>
          </w:tcPr>
          <w:p w14:paraId="28D2CA52" w14:textId="5DE386A1" w:rsidR="00BB768C" w:rsidRPr="00C32A0C" w:rsidRDefault="001141CC"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100,00%</w:t>
            </w:r>
          </w:p>
        </w:tc>
      </w:tr>
      <w:tr w:rsidR="00BB768C" w:rsidRPr="00397A59" w14:paraId="3BC108D1" w14:textId="77777777" w:rsidTr="002B4BCC">
        <w:trPr>
          <w:trHeight w:val="276"/>
        </w:trPr>
        <w:tc>
          <w:tcPr>
            <w:tcW w:w="4891" w:type="dxa"/>
            <w:noWrap/>
            <w:vAlign w:val="bottom"/>
            <w:hideMark/>
          </w:tcPr>
          <w:p w14:paraId="0E52633C" w14:textId="77777777" w:rsidR="00BB768C" w:rsidRPr="00C32A0C" w:rsidRDefault="00BB768C" w:rsidP="009D32D6">
            <w:pPr>
              <w:spacing w:after="0" w:line="240" w:lineRule="auto"/>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8.2. Namjenski primici od zaduživanja - PK</w:t>
            </w:r>
          </w:p>
        </w:tc>
        <w:tc>
          <w:tcPr>
            <w:tcW w:w="1178" w:type="dxa"/>
            <w:noWrap/>
            <w:vAlign w:val="bottom"/>
            <w:hideMark/>
          </w:tcPr>
          <w:p w14:paraId="09B5C067" w14:textId="77777777" w:rsidR="00BB768C" w:rsidRPr="00C32A0C" w:rsidRDefault="00BB768C" w:rsidP="009D32D6">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0,00</w:t>
            </w:r>
          </w:p>
        </w:tc>
        <w:tc>
          <w:tcPr>
            <w:tcW w:w="1377" w:type="dxa"/>
            <w:noWrap/>
            <w:vAlign w:val="bottom"/>
            <w:hideMark/>
          </w:tcPr>
          <w:p w14:paraId="1CA2ED76" w14:textId="77777777" w:rsidR="00BB768C" w:rsidRPr="00C32A0C" w:rsidRDefault="00BB768C" w:rsidP="009D32D6">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150.000,00</w:t>
            </w:r>
          </w:p>
        </w:tc>
        <w:tc>
          <w:tcPr>
            <w:tcW w:w="1340" w:type="dxa"/>
            <w:noWrap/>
            <w:vAlign w:val="bottom"/>
            <w:hideMark/>
          </w:tcPr>
          <w:p w14:paraId="317C8AA1" w14:textId="77777777" w:rsidR="00BB768C" w:rsidRPr="00C32A0C" w:rsidRDefault="00BB768C" w:rsidP="009D32D6">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150.000,00</w:t>
            </w:r>
          </w:p>
        </w:tc>
        <w:tc>
          <w:tcPr>
            <w:tcW w:w="1318" w:type="dxa"/>
            <w:noWrap/>
            <w:vAlign w:val="bottom"/>
            <w:hideMark/>
          </w:tcPr>
          <w:p w14:paraId="11DF1643" w14:textId="14410CE4" w:rsidR="00BB768C" w:rsidRPr="00C32A0C" w:rsidRDefault="001141CC"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150.00</w:t>
            </w:r>
            <w:r w:rsidR="00BB768C" w:rsidRPr="00C32A0C">
              <w:rPr>
                <w:rFonts w:ascii="Arial" w:eastAsia="Times New Roman" w:hAnsi="Arial" w:cs="Arial"/>
                <w:b/>
                <w:bCs/>
                <w:sz w:val="18"/>
                <w:szCs w:val="18"/>
                <w:lang w:eastAsia="hr-HR"/>
              </w:rPr>
              <w:t>0,00</w:t>
            </w:r>
          </w:p>
        </w:tc>
        <w:tc>
          <w:tcPr>
            <w:tcW w:w="927" w:type="dxa"/>
            <w:noWrap/>
            <w:vAlign w:val="bottom"/>
            <w:hideMark/>
          </w:tcPr>
          <w:p w14:paraId="3665BEAA" w14:textId="77777777" w:rsidR="00BB768C" w:rsidRPr="00C32A0C" w:rsidRDefault="00BB768C"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w:t>
            </w:r>
          </w:p>
        </w:tc>
        <w:tc>
          <w:tcPr>
            <w:tcW w:w="977" w:type="dxa"/>
            <w:noWrap/>
            <w:vAlign w:val="bottom"/>
            <w:hideMark/>
          </w:tcPr>
          <w:p w14:paraId="78504DAE" w14:textId="22FEF5E8" w:rsidR="00BB768C" w:rsidRPr="001141CC" w:rsidRDefault="001141CC" w:rsidP="009D32D6">
            <w:pPr>
              <w:spacing w:after="0" w:line="240" w:lineRule="auto"/>
              <w:jc w:val="right"/>
              <w:rPr>
                <w:rFonts w:ascii="Arial" w:eastAsia="Times New Roman" w:hAnsi="Arial" w:cs="Arial"/>
                <w:sz w:val="18"/>
                <w:szCs w:val="18"/>
                <w:lang w:eastAsia="hr-HR"/>
              </w:rPr>
            </w:pPr>
            <w:r w:rsidRPr="001141CC">
              <w:rPr>
                <w:rFonts w:ascii="Arial" w:eastAsia="Times New Roman" w:hAnsi="Arial" w:cs="Arial"/>
                <w:sz w:val="18"/>
                <w:szCs w:val="18"/>
                <w:lang w:eastAsia="hr-HR"/>
              </w:rPr>
              <w:t>100,00%</w:t>
            </w:r>
          </w:p>
        </w:tc>
      </w:tr>
      <w:tr w:rsidR="00BB768C" w:rsidRPr="00397A59" w14:paraId="07119CC3" w14:textId="77777777" w:rsidTr="002B4BCC">
        <w:trPr>
          <w:trHeight w:val="276"/>
        </w:trPr>
        <w:tc>
          <w:tcPr>
            <w:tcW w:w="4891" w:type="dxa"/>
            <w:noWrap/>
            <w:vAlign w:val="bottom"/>
            <w:hideMark/>
          </w:tcPr>
          <w:p w14:paraId="0A84A6B5" w14:textId="2914A513" w:rsidR="00BB768C" w:rsidRPr="001141CC" w:rsidRDefault="00BB768C" w:rsidP="009D32D6">
            <w:pPr>
              <w:spacing w:after="0" w:line="240" w:lineRule="auto"/>
              <w:rPr>
                <w:rFonts w:ascii="Arial" w:eastAsia="Times New Roman" w:hAnsi="Arial" w:cs="Arial"/>
                <w:b/>
                <w:bCs/>
                <w:sz w:val="18"/>
                <w:szCs w:val="18"/>
                <w:lang w:eastAsia="hr-HR"/>
              </w:rPr>
            </w:pPr>
            <w:r w:rsidRPr="001141CC">
              <w:rPr>
                <w:rFonts w:ascii="Arial" w:eastAsia="Times New Roman" w:hAnsi="Arial" w:cs="Arial"/>
                <w:b/>
                <w:bCs/>
                <w:sz w:val="18"/>
                <w:szCs w:val="18"/>
                <w:lang w:eastAsia="hr-HR"/>
              </w:rPr>
              <w:t xml:space="preserve"> UKUPN</w:t>
            </w:r>
            <w:r w:rsidR="001141CC" w:rsidRPr="001141CC">
              <w:rPr>
                <w:rFonts w:ascii="Arial" w:eastAsia="Times New Roman" w:hAnsi="Arial" w:cs="Arial"/>
                <w:b/>
                <w:bCs/>
                <w:sz w:val="18"/>
                <w:szCs w:val="18"/>
                <w:lang w:eastAsia="hr-HR"/>
              </w:rPr>
              <w:t>O</w:t>
            </w:r>
            <w:r w:rsidRPr="001141CC">
              <w:rPr>
                <w:rFonts w:ascii="Arial" w:eastAsia="Times New Roman" w:hAnsi="Arial" w:cs="Arial"/>
                <w:b/>
                <w:bCs/>
                <w:sz w:val="18"/>
                <w:szCs w:val="18"/>
                <w:lang w:eastAsia="hr-HR"/>
              </w:rPr>
              <w:t xml:space="preserve"> IZDACI</w:t>
            </w:r>
          </w:p>
        </w:tc>
        <w:tc>
          <w:tcPr>
            <w:tcW w:w="1178" w:type="dxa"/>
            <w:noWrap/>
            <w:vAlign w:val="bottom"/>
            <w:hideMark/>
          </w:tcPr>
          <w:p w14:paraId="1DFC165E" w14:textId="28266AC7" w:rsidR="00BB768C" w:rsidRPr="001141CC" w:rsidRDefault="00B55C00"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632.317,64</w:t>
            </w:r>
          </w:p>
        </w:tc>
        <w:tc>
          <w:tcPr>
            <w:tcW w:w="1377" w:type="dxa"/>
            <w:noWrap/>
            <w:vAlign w:val="bottom"/>
            <w:hideMark/>
          </w:tcPr>
          <w:p w14:paraId="6AF2D8DB" w14:textId="77777777" w:rsidR="00BB768C" w:rsidRPr="001141CC" w:rsidRDefault="00BB768C" w:rsidP="009D32D6">
            <w:pPr>
              <w:spacing w:after="0" w:line="240" w:lineRule="auto"/>
              <w:jc w:val="right"/>
              <w:rPr>
                <w:rFonts w:ascii="Arial" w:eastAsia="Times New Roman" w:hAnsi="Arial" w:cs="Arial"/>
                <w:b/>
                <w:bCs/>
                <w:sz w:val="18"/>
                <w:szCs w:val="18"/>
                <w:lang w:eastAsia="hr-HR"/>
              </w:rPr>
            </w:pPr>
            <w:r w:rsidRPr="001141CC">
              <w:rPr>
                <w:rFonts w:ascii="Arial" w:eastAsia="Times New Roman" w:hAnsi="Arial" w:cs="Arial"/>
                <w:b/>
                <w:bCs/>
                <w:sz w:val="18"/>
                <w:szCs w:val="18"/>
                <w:lang w:eastAsia="hr-HR"/>
              </w:rPr>
              <w:t>398.700,00</w:t>
            </w:r>
          </w:p>
        </w:tc>
        <w:tc>
          <w:tcPr>
            <w:tcW w:w="1340" w:type="dxa"/>
            <w:noWrap/>
            <w:vAlign w:val="bottom"/>
            <w:hideMark/>
          </w:tcPr>
          <w:p w14:paraId="0176390E" w14:textId="77777777" w:rsidR="00BB768C" w:rsidRPr="001141CC" w:rsidRDefault="00BB768C" w:rsidP="009D32D6">
            <w:pPr>
              <w:spacing w:after="0" w:line="240" w:lineRule="auto"/>
              <w:jc w:val="right"/>
              <w:rPr>
                <w:rFonts w:ascii="Arial" w:eastAsia="Times New Roman" w:hAnsi="Arial" w:cs="Arial"/>
                <w:b/>
                <w:bCs/>
                <w:sz w:val="18"/>
                <w:szCs w:val="18"/>
                <w:lang w:eastAsia="hr-HR"/>
              </w:rPr>
            </w:pPr>
            <w:r w:rsidRPr="001141CC">
              <w:rPr>
                <w:rFonts w:ascii="Arial" w:eastAsia="Times New Roman" w:hAnsi="Arial" w:cs="Arial"/>
                <w:b/>
                <w:bCs/>
                <w:sz w:val="18"/>
                <w:szCs w:val="18"/>
                <w:lang w:eastAsia="hr-HR"/>
              </w:rPr>
              <w:t>398.700,00</w:t>
            </w:r>
          </w:p>
        </w:tc>
        <w:tc>
          <w:tcPr>
            <w:tcW w:w="1318" w:type="dxa"/>
            <w:noWrap/>
            <w:vAlign w:val="bottom"/>
            <w:hideMark/>
          </w:tcPr>
          <w:p w14:paraId="2F778C5A" w14:textId="553335AA" w:rsidR="00BB768C" w:rsidRPr="001141CC" w:rsidRDefault="00B55C00"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352.837,33</w:t>
            </w:r>
          </w:p>
        </w:tc>
        <w:tc>
          <w:tcPr>
            <w:tcW w:w="927" w:type="dxa"/>
            <w:noWrap/>
            <w:vAlign w:val="bottom"/>
            <w:hideMark/>
          </w:tcPr>
          <w:p w14:paraId="1850305E" w14:textId="0447CE40" w:rsidR="00BB768C" w:rsidRPr="001141CC" w:rsidRDefault="00B55C00"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55,80</w:t>
            </w:r>
            <w:r w:rsidR="00BB768C" w:rsidRPr="001141CC">
              <w:rPr>
                <w:rFonts w:ascii="Arial" w:eastAsia="Times New Roman" w:hAnsi="Arial" w:cs="Arial"/>
                <w:b/>
                <w:bCs/>
                <w:sz w:val="18"/>
                <w:szCs w:val="18"/>
                <w:lang w:eastAsia="hr-HR"/>
              </w:rPr>
              <w:t>%</w:t>
            </w:r>
          </w:p>
        </w:tc>
        <w:tc>
          <w:tcPr>
            <w:tcW w:w="977" w:type="dxa"/>
            <w:noWrap/>
            <w:vAlign w:val="bottom"/>
            <w:hideMark/>
          </w:tcPr>
          <w:p w14:paraId="575C32B1" w14:textId="4E5313D8" w:rsidR="00BB768C" w:rsidRPr="001141CC" w:rsidRDefault="00B55C00"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88,5</w:t>
            </w:r>
            <w:r w:rsidR="00BB768C" w:rsidRPr="001141CC">
              <w:rPr>
                <w:rFonts w:ascii="Arial" w:eastAsia="Times New Roman" w:hAnsi="Arial" w:cs="Arial"/>
                <w:b/>
                <w:bCs/>
                <w:sz w:val="18"/>
                <w:szCs w:val="18"/>
                <w:lang w:eastAsia="hr-HR"/>
              </w:rPr>
              <w:t>0%</w:t>
            </w:r>
          </w:p>
        </w:tc>
      </w:tr>
      <w:tr w:rsidR="00BB768C" w:rsidRPr="00397A59" w14:paraId="53168F91" w14:textId="77777777" w:rsidTr="002B4BCC">
        <w:trPr>
          <w:trHeight w:val="276"/>
        </w:trPr>
        <w:tc>
          <w:tcPr>
            <w:tcW w:w="4891" w:type="dxa"/>
            <w:shd w:val="clear" w:color="auto" w:fill="FFE599" w:themeFill="accent4" w:themeFillTint="66"/>
            <w:noWrap/>
            <w:vAlign w:val="bottom"/>
            <w:hideMark/>
          </w:tcPr>
          <w:p w14:paraId="49B7A893" w14:textId="77777777" w:rsidR="00BB768C" w:rsidRPr="00C32A0C" w:rsidRDefault="00BB768C" w:rsidP="009D32D6">
            <w:pPr>
              <w:spacing w:after="0" w:line="240" w:lineRule="auto"/>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1. OPĆI PRIHODI I PRIMICI</w:t>
            </w:r>
          </w:p>
        </w:tc>
        <w:tc>
          <w:tcPr>
            <w:tcW w:w="1178" w:type="dxa"/>
            <w:shd w:val="clear" w:color="auto" w:fill="FFE599" w:themeFill="accent4" w:themeFillTint="66"/>
            <w:noWrap/>
            <w:vAlign w:val="bottom"/>
            <w:hideMark/>
          </w:tcPr>
          <w:p w14:paraId="25CAF109" w14:textId="31510E6C" w:rsidR="00BB768C" w:rsidRPr="00C32A0C" w:rsidRDefault="00B55C00"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196.975,80</w:t>
            </w:r>
          </w:p>
        </w:tc>
        <w:tc>
          <w:tcPr>
            <w:tcW w:w="1377" w:type="dxa"/>
            <w:shd w:val="clear" w:color="auto" w:fill="FFE599" w:themeFill="accent4" w:themeFillTint="66"/>
            <w:noWrap/>
            <w:vAlign w:val="bottom"/>
            <w:hideMark/>
          </w:tcPr>
          <w:p w14:paraId="758DB3BE" w14:textId="77777777" w:rsidR="00BB768C" w:rsidRPr="00C32A0C" w:rsidRDefault="00BB768C" w:rsidP="009D32D6">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398.700,00</w:t>
            </w:r>
          </w:p>
        </w:tc>
        <w:tc>
          <w:tcPr>
            <w:tcW w:w="1340" w:type="dxa"/>
            <w:shd w:val="clear" w:color="auto" w:fill="FFE599" w:themeFill="accent4" w:themeFillTint="66"/>
            <w:noWrap/>
            <w:vAlign w:val="bottom"/>
            <w:hideMark/>
          </w:tcPr>
          <w:p w14:paraId="5835792E" w14:textId="77777777" w:rsidR="00BB768C" w:rsidRPr="00C32A0C" w:rsidRDefault="00BB768C" w:rsidP="009D32D6">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398.700,00</w:t>
            </w:r>
          </w:p>
        </w:tc>
        <w:tc>
          <w:tcPr>
            <w:tcW w:w="1318" w:type="dxa"/>
            <w:shd w:val="clear" w:color="auto" w:fill="FFE599" w:themeFill="accent4" w:themeFillTint="66"/>
            <w:noWrap/>
            <w:vAlign w:val="bottom"/>
            <w:hideMark/>
          </w:tcPr>
          <w:p w14:paraId="1676CEFA" w14:textId="601AED94" w:rsidR="00BB768C" w:rsidRPr="00C32A0C" w:rsidRDefault="00B55C00"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352.837,33</w:t>
            </w:r>
          </w:p>
        </w:tc>
        <w:tc>
          <w:tcPr>
            <w:tcW w:w="927" w:type="dxa"/>
            <w:shd w:val="clear" w:color="auto" w:fill="FFE599" w:themeFill="accent4" w:themeFillTint="66"/>
            <w:noWrap/>
            <w:vAlign w:val="bottom"/>
            <w:hideMark/>
          </w:tcPr>
          <w:p w14:paraId="66EF0A8F" w14:textId="1D64A6C5" w:rsidR="00BB768C" w:rsidRPr="00C32A0C" w:rsidRDefault="00B55C00"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179,13</w:t>
            </w:r>
            <w:r w:rsidR="00BB768C" w:rsidRPr="00C32A0C">
              <w:rPr>
                <w:rFonts w:ascii="Arial" w:eastAsia="Times New Roman" w:hAnsi="Arial" w:cs="Arial"/>
                <w:b/>
                <w:bCs/>
                <w:sz w:val="18"/>
                <w:szCs w:val="18"/>
                <w:lang w:eastAsia="hr-HR"/>
              </w:rPr>
              <w:t>%</w:t>
            </w:r>
          </w:p>
        </w:tc>
        <w:tc>
          <w:tcPr>
            <w:tcW w:w="977" w:type="dxa"/>
            <w:shd w:val="clear" w:color="auto" w:fill="FFE599" w:themeFill="accent4" w:themeFillTint="66"/>
            <w:noWrap/>
            <w:vAlign w:val="bottom"/>
            <w:hideMark/>
          </w:tcPr>
          <w:p w14:paraId="7B75038F" w14:textId="1D5EEC20" w:rsidR="00BB768C" w:rsidRPr="00C32A0C" w:rsidRDefault="00B55C00"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88,50</w:t>
            </w:r>
            <w:r w:rsidR="00BB768C" w:rsidRPr="00C32A0C">
              <w:rPr>
                <w:rFonts w:ascii="Arial" w:eastAsia="Times New Roman" w:hAnsi="Arial" w:cs="Arial"/>
                <w:b/>
                <w:bCs/>
                <w:sz w:val="18"/>
                <w:szCs w:val="18"/>
                <w:lang w:eastAsia="hr-HR"/>
              </w:rPr>
              <w:t>%</w:t>
            </w:r>
          </w:p>
        </w:tc>
      </w:tr>
      <w:tr w:rsidR="00BB768C" w:rsidRPr="00397A59" w14:paraId="03AC89B3" w14:textId="77777777" w:rsidTr="002B4BCC">
        <w:trPr>
          <w:trHeight w:val="276"/>
        </w:trPr>
        <w:tc>
          <w:tcPr>
            <w:tcW w:w="4891" w:type="dxa"/>
            <w:noWrap/>
            <w:vAlign w:val="bottom"/>
            <w:hideMark/>
          </w:tcPr>
          <w:p w14:paraId="238E8904" w14:textId="77777777" w:rsidR="00BB768C" w:rsidRPr="00C32A0C" w:rsidRDefault="00BB768C" w:rsidP="009D32D6">
            <w:pPr>
              <w:spacing w:after="0" w:line="240" w:lineRule="auto"/>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1.1. Opći prihodi i primici</w:t>
            </w:r>
          </w:p>
        </w:tc>
        <w:tc>
          <w:tcPr>
            <w:tcW w:w="1178" w:type="dxa"/>
            <w:noWrap/>
            <w:vAlign w:val="bottom"/>
            <w:hideMark/>
          </w:tcPr>
          <w:p w14:paraId="2E2B220A" w14:textId="581B0878" w:rsidR="00BB768C" w:rsidRPr="00C32A0C" w:rsidRDefault="00B55C00"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196.975,80</w:t>
            </w:r>
          </w:p>
        </w:tc>
        <w:tc>
          <w:tcPr>
            <w:tcW w:w="1377" w:type="dxa"/>
            <w:noWrap/>
            <w:vAlign w:val="bottom"/>
            <w:hideMark/>
          </w:tcPr>
          <w:p w14:paraId="47C5AD54" w14:textId="77777777" w:rsidR="00BB768C" w:rsidRPr="00C32A0C" w:rsidRDefault="00BB768C" w:rsidP="009D32D6">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398.700,00</w:t>
            </w:r>
          </w:p>
        </w:tc>
        <w:tc>
          <w:tcPr>
            <w:tcW w:w="1340" w:type="dxa"/>
            <w:noWrap/>
            <w:vAlign w:val="bottom"/>
            <w:hideMark/>
          </w:tcPr>
          <w:p w14:paraId="0597453D" w14:textId="77777777" w:rsidR="00BB768C" w:rsidRPr="00C32A0C" w:rsidRDefault="00BB768C" w:rsidP="009D32D6">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398.700,00</w:t>
            </w:r>
          </w:p>
        </w:tc>
        <w:tc>
          <w:tcPr>
            <w:tcW w:w="1318" w:type="dxa"/>
            <w:noWrap/>
            <w:vAlign w:val="bottom"/>
            <w:hideMark/>
          </w:tcPr>
          <w:p w14:paraId="1747E0D9" w14:textId="3F8876B9" w:rsidR="00BB768C" w:rsidRPr="00C32A0C" w:rsidRDefault="00B55C00"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352.837,33</w:t>
            </w:r>
          </w:p>
        </w:tc>
        <w:tc>
          <w:tcPr>
            <w:tcW w:w="927" w:type="dxa"/>
            <w:noWrap/>
            <w:vAlign w:val="bottom"/>
            <w:hideMark/>
          </w:tcPr>
          <w:p w14:paraId="3B899456" w14:textId="194B3C2D" w:rsidR="00BB768C" w:rsidRPr="00C32A0C" w:rsidRDefault="00B55C00"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179,13</w:t>
            </w:r>
            <w:r w:rsidR="00BB768C" w:rsidRPr="00C32A0C">
              <w:rPr>
                <w:rFonts w:ascii="Arial" w:eastAsia="Times New Roman" w:hAnsi="Arial" w:cs="Arial"/>
                <w:b/>
                <w:bCs/>
                <w:sz w:val="18"/>
                <w:szCs w:val="18"/>
                <w:lang w:eastAsia="hr-HR"/>
              </w:rPr>
              <w:t>%</w:t>
            </w:r>
          </w:p>
        </w:tc>
        <w:tc>
          <w:tcPr>
            <w:tcW w:w="977" w:type="dxa"/>
            <w:noWrap/>
            <w:vAlign w:val="bottom"/>
            <w:hideMark/>
          </w:tcPr>
          <w:p w14:paraId="280C873A" w14:textId="0FCFF794" w:rsidR="00BB768C" w:rsidRPr="00C32A0C" w:rsidRDefault="00B55C00"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88,50</w:t>
            </w:r>
            <w:r w:rsidR="00BB768C" w:rsidRPr="00C32A0C">
              <w:rPr>
                <w:rFonts w:ascii="Arial" w:eastAsia="Times New Roman" w:hAnsi="Arial" w:cs="Arial"/>
                <w:b/>
                <w:bCs/>
                <w:sz w:val="18"/>
                <w:szCs w:val="18"/>
                <w:lang w:eastAsia="hr-HR"/>
              </w:rPr>
              <w:t>%</w:t>
            </w:r>
          </w:p>
        </w:tc>
      </w:tr>
      <w:tr w:rsidR="00BB768C" w:rsidRPr="00397A59" w14:paraId="2DF212BB" w14:textId="77777777" w:rsidTr="002B4BCC">
        <w:trPr>
          <w:trHeight w:val="276"/>
        </w:trPr>
        <w:tc>
          <w:tcPr>
            <w:tcW w:w="4891" w:type="dxa"/>
            <w:shd w:val="clear" w:color="auto" w:fill="FFE599" w:themeFill="accent4" w:themeFillTint="66"/>
            <w:noWrap/>
            <w:vAlign w:val="bottom"/>
            <w:hideMark/>
          </w:tcPr>
          <w:p w14:paraId="0D2B5266" w14:textId="77777777" w:rsidR="00BB768C" w:rsidRPr="00C32A0C" w:rsidRDefault="00BB768C" w:rsidP="009D32D6">
            <w:pPr>
              <w:spacing w:after="0" w:line="240" w:lineRule="auto"/>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5. POMOĆI</w:t>
            </w:r>
          </w:p>
        </w:tc>
        <w:tc>
          <w:tcPr>
            <w:tcW w:w="1178" w:type="dxa"/>
            <w:shd w:val="clear" w:color="auto" w:fill="FFE599" w:themeFill="accent4" w:themeFillTint="66"/>
            <w:noWrap/>
            <w:vAlign w:val="bottom"/>
            <w:hideMark/>
          </w:tcPr>
          <w:p w14:paraId="5204D9A3" w14:textId="6E1FB5F6" w:rsidR="00BB768C" w:rsidRPr="00C32A0C" w:rsidRDefault="00B55C00"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435.341,84</w:t>
            </w:r>
          </w:p>
        </w:tc>
        <w:tc>
          <w:tcPr>
            <w:tcW w:w="1377" w:type="dxa"/>
            <w:shd w:val="clear" w:color="auto" w:fill="FFE599" w:themeFill="accent4" w:themeFillTint="66"/>
            <w:noWrap/>
            <w:vAlign w:val="bottom"/>
            <w:hideMark/>
          </w:tcPr>
          <w:p w14:paraId="1F1E201A" w14:textId="77777777" w:rsidR="00BB768C" w:rsidRPr="00C32A0C" w:rsidRDefault="00BB768C" w:rsidP="009D32D6">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0,00</w:t>
            </w:r>
          </w:p>
        </w:tc>
        <w:tc>
          <w:tcPr>
            <w:tcW w:w="1340" w:type="dxa"/>
            <w:shd w:val="clear" w:color="auto" w:fill="FFE599" w:themeFill="accent4" w:themeFillTint="66"/>
            <w:noWrap/>
            <w:vAlign w:val="bottom"/>
            <w:hideMark/>
          </w:tcPr>
          <w:p w14:paraId="61C24FC6" w14:textId="77777777" w:rsidR="00BB768C" w:rsidRPr="00C32A0C" w:rsidRDefault="00BB768C" w:rsidP="009D32D6">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0,00</w:t>
            </w:r>
          </w:p>
        </w:tc>
        <w:tc>
          <w:tcPr>
            <w:tcW w:w="1318" w:type="dxa"/>
            <w:shd w:val="clear" w:color="auto" w:fill="FFE599" w:themeFill="accent4" w:themeFillTint="66"/>
            <w:noWrap/>
            <w:vAlign w:val="bottom"/>
            <w:hideMark/>
          </w:tcPr>
          <w:p w14:paraId="767B3FF5" w14:textId="77777777" w:rsidR="00BB768C" w:rsidRPr="00C32A0C" w:rsidRDefault="00BB768C" w:rsidP="009D32D6">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0,00</w:t>
            </w:r>
          </w:p>
        </w:tc>
        <w:tc>
          <w:tcPr>
            <w:tcW w:w="927" w:type="dxa"/>
            <w:shd w:val="clear" w:color="auto" w:fill="FFE599" w:themeFill="accent4" w:themeFillTint="66"/>
            <w:noWrap/>
            <w:vAlign w:val="bottom"/>
            <w:hideMark/>
          </w:tcPr>
          <w:p w14:paraId="7151A2D2" w14:textId="77777777" w:rsidR="00BB768C" w:rsidRPr="00C32A0C" w:rsidRDefault="00BB768C"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w:t>
            </w:r>
            <w:r w:rsidRPr="00C32A0C">
              <w:rPr>
                <w:rFonts w:ascii="Arial" w:eastAsia="Times New Roman" w:hAnsi="Arial" w:cs="Arial"/>
                <w:b/>
                <w:bCs/>
                <w:sz w:val="18"/>
                <w:szCs w:val="18"/>
                <w:lang w:eastAsia="hr-HR"/>
              </w:rPr>
              <w:t> </w:t>
            </w:r>
          </w:p>
        </w:tc>
        <w:tc>
          <w:tcPr>
            <w:tcW w:w="977" w:type="dxa"/>
            <w:shd w:val="clear" w:color="auto" w:fill="FFE599" w:themeFill="accent4" w:themeFillTint="66"/>
            <w:noWrap/>
            <w:vAlign w:val="bottom"/>
            <w:hideMark/>
          </w:tcPr>
          <w:p w14:paraId="63E04634" w14:textId="77777777" w:rsidR="00BB768C" w:rsidRPr="00C32A0C" w:rsidRDefault="00BB768C"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w:t>
            </w:r>
            <w:r w:rsidRPr="00C32A0C">
              <w:rPr>
                <w:rFonts w:ascii="Arial" w:eastAsia="Times New Roman" w:hAnsi="Arial" w:cs="Arial"/>
                <w:b/>
                <w:bCs/>
                <w:sz w:val="18"/>
                <w:szCs w:val="18"/>
                <w:lang w:eastAsia="hr-HR"/>
              </w:rPr>
              <w:t> </w:t>
            </w:r>
          </w:p>
        </w:tc>
      </w:tr>
      <w:tr w:rsidR="00BB768C" w:rsidRPr="00397A59" w14:paraId="3B195408" w14:textId="77777777" w:rsidTr="002B4BCC">
        <w:trPr>
          <w:trHeight w:val="276"/>
        </w:trPr>
        <w:tc>
          <w:tcPr>
            <w:tcW w:w="4891" w:type="dxa"/>
            <w:noWrap/>
            <w:vAlign w:val="bottom"/>
            <w:hideMark/>
          </w:tcPr>
          <w:p w14:paraId="3AC5619B" w14:textId="77777777" w:rsidR="00BB768C" w:rsidRPr="00C32A0C" w:rsidRDefault="00BB768C" w:rsidP="009D32D6">
            <w:pPr>
              <w:spacing w:after="0" w:line="240" w:lineRule="auto"/>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5.1. Ostale pomoći</w:t>
            </w:r>
          </w:p>
        </w:tc>
        <w:tc>
          <w:tcPr>
            <w:tcW w:w="1178" w:type="dxa"/>
            <w:noWrap/>
            <w:vAlign w:val="bottom"/>
            <w:hideMark/>
          </w:tcPr>
          <w:p w14:paraId="413E50B3" w14:textId="77777777" w:rsidR="00BB768C" w:rsidRPr="00C32A0C" w:rsidRDefault="00BB768C" w:rsidP="009D32D6">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435.341,84</w:t>
            </w:r>
          </w:p>
        </w:tc>
        <w:tc>
          <w:tcPr>
            <w:tcW w:w="1377" w:type="dxa"/>
            <w:noWrap/>
            <w:vAlign w:val="bottom"/>
            <w:hideMark/>
          </w:tcPr>
          <w:p w14:paraId="0EAAB141" w14:textId="77777777" w:rsidR="00BB768C" w:rsidRPr="00C32A0C" w:rsidRDefault="00BB768C" w:rsidP="009D32D6">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0,00</w:t>
            </w:r>
          </w:p>
        </w:tc>
        <w:tc>
          <w:tcPr>
            <w:tcW w:w="1340" w:type="dxa"/>
            <w:noWrap/>
            <w:vAlign w:val="bottom"/>
            <w:hideMark/>
          </w:tcPr>
          <w:p w14:paraId="455ED65E" w14:textId="77777777" w:rsidR="00BB768C" w:rsidRPr="00C32A0C" w:rsidRDefault="00BB768C" w:rsidP="009D32D6">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0,00</w:t>
            </w:r>
          </w:p>
        </w:tc>
        <w:tc>
          <w:tcPr>
            <w:tcW w:w="1318" w:type="dxa"/>
            <w:noWrap/>
            <w:vAlign w:val="bottom"/>
            <w:hideMark/>
          </w:tcPr>
          <w:p w14:paraId="6252A020" w14:textId="77777777" w:rsidR="00BB768C" w:rsidRPr="00C32A0C" w:rsidRDefault="00BB768C" w:rsidP="009D32D6">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0,00</w:t>
            </w:r>
          </w:p>
        </w:tc>
        <w:tc>
          <w:tcPr>
            <w:tcW w:w="927" w:type="dxa"/>
            <w:noWrap/>
            <w:vAlign w:val="bottom"/>
            <w:hideMark/>
          </w:tcPr>
          <w:p w14:paraId="16D5CC83" w14:textId="77777777" w:rsidR="00BB768C" w:rsidRPr="00C32A0C" w:rsidRDefault="00BB768C"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w:t>
            </w:r>
          </w:p>
        </w:tc>
        <w:tc>
          <w:tcPr>
            <w:tcW w:w="977" w:type="dxa"/>
            <w:noWrap/>
            <w:vAlign w:val="bottom"/>
            <w:hideMark/>
          </w:tcPr>
          <w:p w14:paraId="23136BBF" w14:textId="77777777" w:rsidR="00BB768C" w:rsidRPr="00C32A0C" w:rsidRDefault="00BB768C" w:rsidP="009D32D6">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w:t>
            </w:r>
          </w:p>
        </w:tc>
      </w:tr>
      <w:tr w:rsidR="00BB768C" w:rsidRPr="00397A59" w14:paraId="17B4E8A9" w14:textId="77777777" w:rsidTr="002B4BCC">
        <w:trPr>
          <w:trHeight w:val="276"/>
        </w:trPr>
        <w:tc>
          <w:tcPr>
            <w:tcW w:w="4891" w:type="dxa"/>
            <w:shd w:val="clear" w:color="auto" w:fill="FFE599" w:themeFill="accent4" w:themeFillTint="66"/>
            <w:noWrap/>
            <w:vAlign w:val="bottom"/>
            <w:hideMark/>
          </w:tcPr>
          <w:p w14:paraId="55B981FC" w14:textId="77777777" w:rsidR="00BB768C" w:rsidRPr="00EB31C8" w:rsidRDefault="00BB768C" w:rsidP="009D32D6">
            <w:pPr>
              <w:spacing w:after="0" w:line="240" w:lineRule="auto"/>
              <w:rPr>
                <w:rFonts w:ascii="Arial" w:eastAsia="Times New Roman" w:hAnsi="Arial" w:cs="Arial"/>
                <w:b/>
                <w:bCs/>
                <w:sz w:val="18"/>
                <w:szCs w:val="18"/>
                <w:lang w:eastAsia="hr-HR"/>
              </w:rPr>
            </w:pPr>
            <w:r w:rsidRPr="00EB31C8">
              <w:rPr>
                <w:rFonts w:ascii="Arial" w:eastAsia="Times New Roman" w:hAnsi="Arial" w:cs="Arial"/>
                <w:b/>
                <w:bCs/>
                <w:sz w:val="18"/>
                <w:szCs w:val="18"/>
                <w:lang w:eastAsia="hr-HR"/>
              </w:rPr>
              <w:t xml:space="preserve"> NETO FINANCIRANJE</w:t>
            </w:r>
          </w:p>
        </w:tc>
        <w:tc>
          <w:tcPr>
            <w:tcW w:w="1178" w:type="dxa"/>
            <w:shd w:val="clear" w:color="auto" w:fill="FFE599" w:themeFill="accent4" w:themeFillTint="66"/>
            <w:noWrap/>
            <w:vAlign w:val="bottom"/>
            <w:hideMark/>
          </w:tcPr>
          <w:p w14:paraId="48BC7A89" w14:textId="4D9E4DA9" w:rsidR="00BB768C" w:rsidRPr="00EB31C8" w:rsidRDefault="00B55C00"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-632.317,64</w:t>
            </w:r>
          </w:p>
        </w:tc>
        <w:tc>
          <w:tcPr>
            <w:tcW w:w="1377" w:type="dxa"/>
            <w:shd w:val="clear" w:color="auto" w:fill="FFE599" w:themeFill="accent4" w:themeFillTint="66"/>
            <w:noWrap/>
            <w:vAlign w:val="bottom"/>
            <w:hideMark/>
          </w:tcPr>
          <w:p w14:paraId="01B5B962" w14:textId="77777777" w:rsidR="00BB768C" w:rsidRPr="00EB31C8" w:rsidRDefault="00BB768C" w:rsidP="009D32D6">
            <w:pPr>
              <w:spacing w:after="0" w:line="240" w:lineRule="auto"/>
              <w:jc w:val="right"/>
              <w:rPr>
                <w:rFonts w:ascii="Arial" w:eastAsia="Times New Roman" w:hAnsi="Arial" w:cs="Arial"/>
                <w:b/>
                <w:bCs/>
                <w:sz w:val="18"/>
                <w:szCs w:val="18"/>
                <w:lang w:eastAsia="hr-HR"/>
              </w:rPr>
            </w:pPr>
            <w:r w:rsidRPr="00EB31C8">
              <w:rPr>
                <w:rFonts w:ascii="Arial" w:eastAsia="Times New Roman" w:hAnsi="Arial" w:cs="Arial"/>
                <w:b/>
                <w:bCs/>
                <w:sz w:val="18"/>
                <w:szCs w:val="18"/>
                <w:lang w:eastAsia="hr-HR"/>
              </w:rPr>
              <w:t>-248.700,00</w:t>
            </w:r>
          </w:p>
        </w:tc>
        <w:tc>
          <w:tcPr>
            <w:tcW w:w="1340" w:type="dxa"/>
            <w:shd w:val="clear" w:color="auto" w:fill="FFE599" w:themeFill="accent4" w:themeFillTint="66"/>
            <w:noWrap/>
            <w:vAlign w:val="bottom"/>
            <w:hideMark/>
          </w:tcPr>
          <w:p w14:paraId="33958F63" w14:textId="77777777" w:rsidR="00BB768C" w:rsidRPr="00EB31C8" w:rsidRDefault="00BB768C" w:rsidP="009D32D6">
            <w:pPr>
              <w:spacing w:after="0" w:line="240" w:lineRule="auto"/>
              <w:jc w:val="right"/>
              <w:rPr>
                <w:rFonts w:ascii="Arial" w:eastAsia="Times New Roman" w:hAnsi="Arial" w:cs="Arial"/>
                <w:b/>
                <w:bCs/>
                <w:sz w:val="18"/>
                <w:szCs w:val="18"/>
                <w:lang w:eastAsia="hr-HR"/>
              </w:rPr>
            </w:pPr>
            <w:r w:rsidRPr="00EB31C8">
              <w:rPr>
                <w:rFonts w:ascii="Arial" w:eastAsia="Times New Roman" w:hAnsi="Arial" w:cs="Arial"/>
                <w:b/>
                <w:bCs/>
                <w:sz w:val="18"/>
                <w:szCs w:val="18"/>
                <w:lang w:eastAsia="hr-HR"/>
              </w:rPr>
              <w:t>-248.700,00</w:t>
            </w:r>
          </w:p>
        </w:tc>
        <w:tc>
          <w:tcPr>
            <w:tcW w:w="1318" w:type="dxa"/>
            <w:shd w:val="clear" w:color="auto" w:fill="FFE599" w:themeFill="accent4" w:themeFillTint="66"/>
            <w:noWrap/>
            <w:vAlign w:val="bottom"/>
            <w:hideMark/>
          </w:tcPr>
          <w:p w14:paraId="0BAA97F2" w14:textId="7248B66E" w:rsidR="00BB768C" w:rsidRPr="00EB31C8" w:rsidRDefault="00B55C00"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-352.837,33</w:t>
            </w:r>
          </w:p>
        </w:tc>
        <w:tc>
          <w:tcPr>
            <w:tcW w:w="927" w:type="dxa"/>
            <w:shd w:val="clear" w:color="auto" w:fill="FFE599" w:themeFill="accent4" w:themeFillTint="66"/>
            <w:noWrap/>
            <w:vAlign w:val="bottom"/>
            <w:hideMark/>
          </w:tcPr>
          <w:p w14:paraId="2A93D444" w14:textId="77777777" w:rsidR="00BB768C" w:rsidRPr="00EB31C8" w:rsidRDefault="00BB768C" w:rsidP="009D32D6">
            <w:pPr>
              <w:spacing w:after="0" w:line="240" w:lineRule="auto"/>
              <w:jc w:val="right"/>
              <w:rPr>
                <w:rFonts w:ascii="Arial" w:eastAsia="Times New Roman" w:hAnsi="Arial" w:cs="Arial"/>
                <w:b/>
                <w:bCs/>
                <w:sz w:val="18"/>
                <w:szCs w:val="18"/>
                <w:lang w:eastAsia="hr-HR"/>
              </w:rPr>
            </w:pPr>
            <w:r w:rsidRPr="00EB31C8">
              <w:rPr>
                <w:rFonts w:ascii="Arial" w:eastAsia="Times New Roman" w:hAnsi="Arial" w:cs="Arial"/>
                <w:b/>
                <w:bCs/>
                <w:sz w:val="18"/>
                <w:szCs w:val="18"/>
                <w:lang w:eastAsia="hr-HR"/>
              </w:rPr>
              <w:t> </w:t>
            </w:r>
          </w:p>
        </w:tc>
        <w:tc>
          <w:tcPr>
            <w:tcW w:w="977" w:type="dxa"/>
            <w:shd w:val="clear" w:color="auto" w:fill="FFE599" w:themeFill="accent4" w:themeFillTint="66"/>
            <w:noWrap/>
            <w:vAlign w:val="bottom"/>
            <w:hideMark/>
          </w:tcPr>
          <w:p w14:paraId="0442F4C5" w14:textId="77777777" w:rsidR="00BB768C" w:rsidRPr="00EB31C8" w:rsidRDefault="00BB768C" w:rsidP="009D32D6">
            <w:pPr>
              <w:spacing w:after="0" w:line="240" w:lineRule="auto"/>
              <w:jc w:val="right"/>
              <w:rPr>
                <w:rFonts w:ascii="Arial" w:eastAsia="Times New Roman" w:hAnsi="Arial" w:cs="Arial"/>
                <w:b/>
                <w:bCs/>
                <w:sz w:val="18"/>
                <w:szCs w:val="18"/>
                <w:lang w:eastAsia="hr-HR"/>
              </w:rPr>
            </w:pPr>
            <w:r w:rsidRPr="00EB31C8">
              <w:rPr>
                <w:rFonts w:ascii="Arial" w:eastAsia="Times New Roman" w:hAnsi="Arial" w:cs="Arial"/>
                <w:b/>
                <w:bCs/>
                <w:sz w:val="18"/>
                <w:szCs w:val="18"/>
                <w:lang w:eastAsia="hr-HR"/>
              </w:rPr>
              <w:t> </w:t>
            </w:r>
          </w:p>
        </w:tc>
      </w:tr>
      <w:tr w:rsidR="00BB768C" w:rsidRPr="00397A59" w14:paraId="4DA3A866" w14:textId="77777777" w:rsidTr="002B4BCC">
        <w:trPr>
          <w:trHeight w:val="276"/>
        </w:trPr>
        <w:tc>
          <w:tcPr>
            <w:tcW w:w="4891" w:type="dxa"/>
            <w:shd w:val="clear" w:color="auto" w:fill="FFE599" w:themeFill="accent4" w:themeFillTint="66"/>
            <w:noWrap/>
            <w:vAlign w:val="bottom"/>
            <w:hideMark/>
          </w:tcPr>
          <w:p w14:paraId="124E4CA0" w14:textId="77777777" w:rsidR="00BB768C" w:rsidRPr="00EB31C8" w:rsidRDefault="00BB768C" w:rsidP="009D32D6">
            <w:pPr>
              <w:spacing w:after="0" w:line="240" w:lineRule="auto"/>
              <w:rPr>
                <w:rFonts w:ascii="Arial" w:eastAsia="Times New Roman" w:hAnsi="Arial" w:cs="Arial"/>
                <w:b/>
                <w:bCs/>
                <w:sz w:val="18"/>
                <w:szCs w:val="18"/>
                <w:lang w:eastAsia="hr-HR"/>
              </w:rPr>
            </w:pPr>
            <w:r w:rsidRPr="00EB31C8">
              <w:rPr>
                <w:rFonts w:ascii="Arial" w:eastAsia="Times New Roman" w:hAnsi="Arial" w:cs="Arial"/>
                <w:b/>
                <w:bCs/>
                <w:sz w:val="18"/>
                <w:szCs w:val="18"/>
                <w:lang w:eastAsia="hr-HR"/>
              </w:rPr>
              <w:t xml:space="preserve"> KORIŠTENJE SREDSTAVA IZ PRETHODNIH GODINA</w:t>
            </w:r>
          </w:p>
        </w:tc>
        <w:tc>
          <w:tcPr>
            <w:tcW w:w="1178" w:type="dxa"/>
            <w:shd w:val="clear" w:color="auto" w:fill="FFE599" w:themeFill="accent4" w:themeFillTint="66"/>
            <w:noWrap/>
            <w:vAlign w:val="bottom"/>
            <w:hideMark/>
          </w:tcPr>
          <w:p w14:paraId="60DE5690" w14:textId="62C210A7" w:rsidR="00BB768C" w:rsidRPr="00EB31C8" w:rsidRDefault="005E1426"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0,00</w:t>
            </w:r>
            <w:r w:rsidR="00BB768C" w:rsidRPr="00EB31C8">
              <w:rPr>
                <w:rFonts w:ascii="Arial" w:eastAsia="Times New Roman" w:hAnsi="Arial" w:cs="Arial"/>
                <w:b/>
                <w:bCs/>
                <w:sz w:val="18"/>
                <w:szCs w:val="18"/>
                <w:lang w:eastAsia="hr-HR"/>
              </w:rPr>
              <w:t> </w:t>
            </w:r>
          </w:p>
        </w:tc>
        <w:tc>
          <w:tcPr>
            <w:tcW w:w="1377" w:type="dxa"/>
            <w:shd w:val="clear" w:color="auto" w:fill="FFE599" w:themeFill="accent4" w:themeFillTint="66"/>
            <w:noWrap/>
            <w:vAlign w:val="bottom"/>
            <w:hideMark/>
          </w:tcPr>
          <w:p w14:paraId="4CABB43E" w14:textId="0D149A41" w:rsidR="00BB768C" w:rsidRPr="00EB31C8" w:rsidRDefault="00B55C00"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4.482.942,93</w:t>
            </w:r>
          </w:p>
        </w:tc>
        <w:tc>
          <w:tcPr>
            <w:tcW w:w="1340" w:type="dxa"/>
            <w:shd w:val="clear" w:color="auto" w:fill="FFE599" w:themeFill="accent4" w:themeFillTint="66"/>
            <w:noWrap/>
            <w:vAlign w:val="bottom"/>
            <w:hideMark/>
          </w:tcPr>
          <w:p w14:paraId="722E97DF" w14:textId="4D954CA2" w:rsidR="00BB768C" w:rsidRPr="00EB31C8" w:rsidRDefault="00B55C00"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4.482.942,93</w:t>
            </w:r>
          </w:p>
        </w:tc>
        <w:tc>
          <w:tcPr>
            <w:tcW w:w="1318" w:type="dxa"/>
            <w:shd w:val="clear" w:color="auto" w:fill="FFE599" w:themeFill="accent4" w:themeFillTint="66"/>
            <w:noWrap/>
            <w:vAlign w:val="bottom"/>
            <w:hideMark/>
          </w:tcPr>
          <w:p w14:paraId="00852EB1" w14:textId="77777777" w:rsidR="00BB768C" w:rsidRPr="00EB31C8" w:rsidRDefault="00BB768C" w:rsidP="009D32D6">
            <w:pPr>
              <w:spacing w:after="0" w:line="240" w:lineRule="auto"/>
              <w:jc w:val="right"/>
              <w:rPr>
                <w:rFonts w:ascii="Arial" w:eastAsia="Times New Roman" w:hAnsi="Arial" w:cs="Arial"/>
                <w:b/>
                <w:bCs/>
                <w:sz w:val="18"/>
                <w:szCs w:val="18"/>
                <w:lang w:eastAsia="hr-HR"/>
              </w:rPr>
            </w:pPr>
            <w:r w:rsidRPr="00EB31C8">
              <w:rPr>
                <w:rFonts w:ascii="Arial" w:eastAsia="Times New Roman" w:hAnsi="Arial" w:cs="Arial"/>
                <w:b/>
                <w:bCs/>
                <w:sz w:val="18"/>
                <w:szCs w:val="18"/>
                <w:lang w:eastAsia="hr-HR"/>
              </w:rPr>
              <w:t> </w:t>
            </w:r>
          </w:p>
        </w:tc>
        <w:tc>
          <w:tcPr>
            <w:tcW w:w="927" w:type="dxa"/>
            <w:shd w:val="clear" w:color="auto" w:fill="FFE599" w:themeFill="accent4" w:themeFillTint="66"/>
            <w:noWrap/>
            <w:vAlign w:val="bottom"/>
            <w:hideMark/>
          </w:tcPr>
          <w:p w14:paraId="105CE657" w14:textId="77777777" w:rsidR="00BB768C" w:rsidRPr="00EB31C8" w:rsidRDefault="00BB768C" w:rsidP="009D32D6">
            <w:pPr>
              <w:spacing w:after="0" w:line="240" w:lineRule="auto"/>
              <w:jc w:val="right"/>
              <w:rPr>
                <w:rFonts w:ascii="Arial" w:eastAsia="Times New Roman" w:hAnsi="Arial" w:cs="Arial"/>
                <w:b/>
                <w:bCs/>
                <w:sz w:val="18"/>
                <w:szCs w:val="18"/>
                <w:lang w:eastAsia="hr-HR"/>
              </w:rPr>
            </w:pPr>
            <w:r w:rsidRPr="00EB31C8">
              <w:rPr>
                <w:rFonts w:ascii="Arial" w:eastAsia="Times New Roman" w:hAnsi="Arial" w:cs="Arial"/>
                <w:b/>
                <w:bCs/>
                <w:sz w:val="18"/>
                <w:szCs w:val="18"/>
                <w:lang w:eastAsia="hr-HR"/>
              </w:rPr>
              <w:t> </w:t>
            </w:r>
          </w:p>
        </w:tc>
        <w:tc>
          <w:tcPr>
            <w:tcW w:w="977" w:type="dxa"/>
            <w:shd w:val="clear" w:color="auto" w:fill="FFE599" w:themeFill="accent4" w:themeFillTint="66"/>
            <w:noWrap/>
            <w:vAlign w:val="bottom"/>
            <w:hideMark/>
          </w:tcPr>
          <w:p w14:paraId="56FD4743" w14:textId="77777777" w:rsidR="00BB768C" w:rsidRPr="00EB31C8" w:rsidRDefault="00BB768C" w:rsidP="009D32D6">
            <w:pPr>
              <w:spacing w:after="0" w:line="240" w:lineRule="auto"/>
              <w:jc w:val="right"/>
              <w:rPr>
                <w:rFonts w:ascii="Arial" w:eastAsia="Times New Roman" w:hAnsi="Arial" w:cs="Arial"/>
                <w:b/>
                <w:bCs/>
                <w:sz w:val="18"/>
                <w:szCs w:val="18"/>
                <w:lang w:eastAsia="hr-HR"/>
              </w:rPr>
            </w:pPr>
            <w:r w:rsidRPr="00EB31C8">
              <w:rPr>
                <w:rFonts w:ascii="Arial" w:eastAsia="Times New Roman" w:hAnsi="Arial" w:cs="Arial"/>
                <w:b/>
                <w:bCs/>
                <w:sz w:val="18"/>
                <w:szCs w:val="18"/>
                <w:lang w:eastAsia="hr-HR"/>
              </w:rPr>
              <w:t> </w:t>
            </w:r>
          </w:p>
        </w:tc>
      </w:tr>
      <w:tr w:rsidR="00BB768C" w:rsidRPr="00397A59" w14:paraId="1F795A1D" w14:textId="77777777" w:rsidTr="002B4BCC">
        <w:trPr>
          <w:trHeight w:val="276"/>
        </w:trPr>
        <w:tc>
          <w:tcPr>
            <w:tcW w:w="4891" w:type="dxa"/>
            <w:shd w:val="clear" w:color="auto" w:fill="FFE599" w:themeFill="accent4" w:themeFillTint="66"/>
            <w:noWrap/>
            <w:vAlign w:val="bottom"/>
            <w:hideMark/>
          </w:tcPr>
          <w:p w14:paraId="1A802520" w14:textId="77777777" w:rsidR="00BB768C" w:rsidRPr="00C32A0C" w:rsidRDefault="00BB768C" w:rsidP="009D32D6">
            <w:pPr>
              <w:spacing w:after="0" w:line="240" w:lineRule="auto"/>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1. OPĆI PRIHODI I PRIMICI</w:t>
            </w:r>
          </w:p>
        </w:tc>
        <w:tc>
          <w:tcPr>
            <w:tcW w:w="1178" w:type="dxa"/>
            <w:shd w:val="clear" w:color="auto" w:fill="FFE599" w:themeFill="accent4" w:themeFillTint="66"/>
            <w:noWrap/>
            <w:vAlign w:val="bottom"/>
            <w:hideMark/>
          </w:tcPr>
          <w:p w14:paraId="411D0ED2" w14:textId="60AA0457" w:rsidR="00BB768C" w:rsidRPr="00C32A0C" w:rsidRDefault="00B55C00"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0,00</w:t>
            </w:r>
            <w:r w:rsidR="00BB768C" w:rsidRPr="00C32A0C">
              <w:rPr>
                <w:rFonts w:ascii="Arial" w:eastAsia="Times New Roman" w:hAnsi="Arial" w:cs="Arial"/>
                <w:b/>
                <w:bCs/>
                <w:sz w:val="18"/>
                <w:szCs w:val="18"/>
                <w:lang w:eastAsia="hr-HR"/>
              </w:rPr>
              <w:t> </w:t>
            </w:r>
          </w:p>
        </w:tc>
        <w:tc>
          <w:tcPr>
            <w:tcW w:w="1377" w:type="dxa"/>
            <w:shd w:val="clear" w:color="auto" w:fill="FFE599" w:themeFill="accent4" w:themeFillTint="66"/>
            <w:noWrap/>
            <w:vAlign w:val="bottom"/>
          </w:tcPr>
          <w:p w14:paraId="12CE7219" w14:textId="568E4596" w:rsidR="00BB768C" w:rsidRPr="00C32A0C" w:rsidRDefault="00B55C00"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1.666.397,27</w:t>
            </w:r>
          </w:p>
        </w:tc>
        <w:tc>
          <w:tcPr>
            <w:tcW w:w="1340" w:type="dxa"/>
            <w:shd w:val="clear" w:color="auto" w:fill="FFE599" w:themeFill="accent4" w:themeFillTint="66"/>
            <w:noWrap/>
            <w:vAlign w:val="bottom"/>
          </w:tcPr>
          <w:p w14:paraId="14FBDA76" w14:textId="7EE44249" w:rsidR="00BB768C" w:rsidRPr="00C32A0C" w:rsidRDefault="00B55C00"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1.666.397,27</w:t>
            </w:r>
          </w:p>
        </w:tc>
        <w:tc>
          <w:tcPr>
            <w:tcW w:w="1318" w:type="dxa"/>
            <w:shd w:val="clear" w:color="auto" w:fill="FFE599" w:themeFill="accent4" w:themeFillTint="66"/>
            <w:noWrap/>
            <w:vAlign w:val="bottom"/>
            <w:hideMark/>
          </w:tcPr>
          <w:p w14:paraId="1CF8AF3F" w14:textId="77777777" w:rsidR="00BB768C" w:rsidRPr="00C32A0C" w:rsidRDefault="00BB768C" w:rsidP="009D32D6">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 </w:t>
            </w:r>
          </w:p>
        </w:tc>
        <w:tc>
          <w:tcPr>
            <w:tcW w:w="927" w:type="dxa"/>
            <w:shd w:val="clear" w:color="auto" w:fill="FFE599" w:themeFill="accent4" w:themeFillTint="66"/>
            <w:noWrap/>
            <w:vAlign w:val="bottom"/>
            <w:hideMark/>
          </w:tcPr>
          <w:p w14:paraId="0B67B737" w14:textId="77777777" w:rsidR="00BB768C" w:rsidRPr="00C32A0C" w:rsidRDefault="00BB768C" w:rsidP="009D32D6">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 </w:t>
            </w:r>
          </w:p>
        </w:tc>
        <w:tc>
          <w:tcPr>
            <w:tcW w:w="977" w:type="dxa"/>
            <w:shd w:val="clear" w:color="auto" w:fill="FFE599" w:themeFill="accent4" w:themeFillTint="66"/>
            <w:noWrap/>
            <w:vAlign w:val="bottom"/>
            <w:hideMark/>
          </w:tcPr>
          <w:p w14:paraId="24EC7CB8" w14:textId="77777777" w:rsidR="00BB768C" w:rsidRPr="00C32A0C" w:rsidRDefault="00BB768C" w:rsidP="009D32D6">
            <w:pPr>
              <w:spacing w:after="0" w:line="240" w:lineRule="auto"/>
              <w:jc w:val="right"/>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 </w:t>
            </w:r>
          </w:p>
        </w:tc>
      </w:tr>
      <w:tr w:rsidR="00B55C00" w:rsidRPr="00397A59" w14:paraId="76391872" w14:textId="77777777" w:rsidTr="002B4BCC">
        <w:trPr>
          <w:trHeight w:val="276"/>
        </w:trPr>
        <w:tc>
          <w:tcPr>
            <w:tcW w:w="4891" w:type="dxa"/>
            <w:shd w:val="clear" w:color="auto" w:fill="FFE599" w:themeFill="accent4" w:themeFillTint="66"/>
            <w:noWrap/>
            <w:vAlign w:val="bottom"/>
          </w:tcPr>
          <w:p w14:paraId="0CD93D85" w14:textId="6AFC8EFA" w:rsidR="00B55C00" w:rsidRPr="00B55C00" w:rsidRDefault="00B55C00">
            <w:pPr>
              <w:pStyle w:val="Odlomakpopisa"/>
              <w:numPr>
                <w:ilvl w:val="1"/>
                <w:numId w:val="33"/>
              </w:numPr>
              <w:spacing w:after="0" w:line="240" w:lineRule="auto"/>
              <w:rPr>
                <w:rFonts w:ascii="Arial" w:eastAsia="Times New Roman" w:hAnsi="Arial" w:cs="Arial"/>
                <w:b/>
                <w:bCs/>
                <w:sz w:val="18"/>
                <w:szCs w:val="18"/>
                <w:lang w:eastAsia="hr-HR"/>
              </w:rPr>
            </w:pPr>
            <w:r>
              <w:rPr>
                <w:rFonts w:ascii="Arial" w:eastAsia="Times New Roman" w:hAnsi="Arial" w:cs="Arial"/>
                <w:b/>
                <w:bCs/>
                <w:sz w:val="18"/>
                <w:szCs w:val="18"/>
                <w:lang w:eastAsia="hr-HR"/>
              </w:rPr>
              <w:t xml:space="preserve">OPĆI PRIHODI I PRIMICI </w:t>
            </w:r>
          </w:p>
        </w:tc>
        <w:tc>
          <w:tcPr>
            <w:tcW w:w="1178" w:type="dxa"/>
            <w:shd w:val="clear" w:color="auto" w:fill="FFE599" w:themeFill="accent4" w:themeFillTint="66"/>
            <w:noWrap/>
            <w:vAlign w:val="bottom"/>
          </w:tcPr>
          <w:p w14:paraId="0519D3B6" w14:textId="6BFC700D" w:rsidR="00B55C00" w:rsidRDefault="00B55C00" w:rsidP="00B55C00">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 xml:space="preserve">           0,00</w:t>
            </w:r>
          </w:p>
        </w:tc>
        <w:tc>
          <w:tcPr>
            <w:tcW w:w="1377" w:type="dxa"/>
            <w:shd w:val="clear" w:color="auto" w:fill="FFE599" w:themeFill="accent4" w:themeFillTint="66"/>
            <w:noWrap/>
            <w:vAlign w:val="bottom"/>
          </w:tcPr>
          <w:p w14:paraId="4ADBB007" w14:textId="35F0ABE4" w:rsidR="00B55C00" w:rsidRDefault="00B55C00"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1.612.597,27</w:t>
            </w:r>
          </w:p>
        </w:tc>
        <w:tc>
          <w:tcPr>
            <w:tcW w:w="1340" w:type="dxa"/>
            <w:shd w:val="clear" w:color="auto" w:fill="FFE599" w:themeFill="accent4" w:themeFillTint="66"/>
            <w:noWrap/>
            <w:vAlign w:val="bottom"/>
          </w:tcPr>
          <w:p w14:paraId="68FCDE3F" w14:textId="1ABBD648" w:rsidR="00B55C00" w:rsidRPr="00C32A0C" w:rsidRDefault="00B55C00"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1.612.597,27</w:t>
            </w:r>
          </w:p>
        </w:tc>
        <w:tc>
          <w:tcPr>
            <w:tcW w:w="1318" w:type="dxa"/>
            <w:shd w:val="clear" w:color="auto" w:fill="FFE599" w:themeFill="accent4" w:themeFillTint="66"/>
            <w:noWrap/>
            <w:vAlign w:val="bottom"/>
          </w:tcPr>
          <w:p w14:paraId="47E711B2" w14:textId="77777777" w:rsidR="00B55C00" w:rsidRPr="00C32A0C" w:rsidRDefault="00B55C00" w:rsidP="009D32D6">
            <w:pPr>
              <w:spacing w:after="0" w:line="240" w:lineRule="auto"/>
              <w:jc w:val="right"/>
              <w:rPr>
                <w:rFonts w:ascii="Arial" w:eastAsia="Times New Roman" w:hAnsi="Arial" w:cs="Arial"/>
                <w:b/>
                <w:bCs/>
                <w:sz w:val="18"/>
                <w:szCs w:val="18"/>
                <w:lang w:eastAsia="hr-HR"/>
              </w:rPr>
            </w:pPr>
          </w:p>
        </w:tc>
        <w:tc>
          <w:tcPr>
            <w:tcW w:w="927" w:type="dxa"/>
            <w:shd w:val="clear" w:color="auto" w:fill="FFE599" w:themeFill="accent4" w:themeFillTint="66"/>
            <w:noWrap/>
            <w:vAlign w:val="bottom"/>
          </w:tcPr>
          <w:p w14:paraId="069EA858" w14:textId="77777777" w:rsidR="00B55C00" w:rsidRPr="00C32A0C" w:rsidRDefault="00B55C00" w:rsidP="009D32D6">
            <w:pPr>
              <w:spacing w:after="0" w:line="240" w:lineRule="auto"/>
              <w:jc w:val="right"/>
              <w:rPr>
                <w:rFonts w:ascii="Arial" w:eastAsia="Times New Roman" w:hAnsi="Arial" w:cs="Arial"/>
                <w:b/>
                <w:bCs/>
                <w:sz w:val="18"/>
                <w:szCs w:val="18"/>
                <w:lang w:eastAsia="hr-HR"/>
              </w:rPr>
            </w:pPr>
          </w:p>
        </w:tc>
        <w:tc>
          <w:tcPr>
            <w:tcW w:w="977" w:type="dxa"/>
            <w:shd w:val="clear" w:color="auto" w:fill="FFE599" w:themeFill="accent4" w:themeFillTint="66"/>
            <w:noWrap/>
            <w:vAlign w:val="bottom"/>
          </w:tcPr>
          <w:p w14:paraId="0FACE0CF" w14:textId="77777777" w:rsidR="00B55C00" w:rsidRPr="00C32A0C" w:rsidRDefault="00B55C00" w:rsidP="009D32D6">
            <w:pPr>
              <w:spacing w:after="0" w:line="240" w:lineRule="auto"/>
              <w:jc w:val="right"/>
              <w:rPr>
                <w:rFonts w:ascii="Arial" w:eastAsia="Times New Roman" w:hAnsi="Arial" w:cs="Arial"/>
                <w:b/>
                <w:bCs/>
                <w:sz w:val="18"/>
                <w:szCs w:val="18"/>
                <w:lang w:eastAsia="hr-HR"/>
              </w:rPr>
            </w:pPr>
          </w:p>
        </w:tc>
      </w:tr>
      <w:tr w:rsidR="00BB768C" w:rsidRPr="00397A59" w14:paraId="6598E8E6" w14:textId="77777777" w:rsidTr="002B4BCC">
        <w:trPr>
          <w:trHeight w:val="276"/>
        </w:trPr>
        <w:tc>
          <w:tcPr>
            <w:tcW w:w="4891" w:type="dxa"/>
            <w:shd w:val="clear" w:color="auto" w:fill="FFFFFF" w:themeFill="background1"/>
            <w:noWrap/>
            <w:vAlign w:val="bottom"/>
            <w:hideMark/>
          </w:tcPr>
          <w:p w14:paraId="0D82D804" w14:textId="77777777" w:rsidR="00BB768C" w:rsidRPr="00C32A0C" w:rsidRDefault="00BB768C" w:rsidP="009D32D6">
            <w:pPr>
              <w:spacing w:after="0" w:line="240" w:lineRule="auto"/>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1.9. PRENESENI VIŠAK/ MANJAK- OPĆI PRIHODI I PRIMICI</w:t>
            </w:r>
          </w:p>
        </w:tc>
        <w:tc>
          <w:tcPr>
            <w:tcW w:w="1178" w:type="dxa"/>
            <w:shd w:val="clear" w:color="auto" w:fill="FFFFFF" w:themeFill="background1"/>
            <w:noWrap/>
            <w:vAlign w:val="bottom"/>
            <w:hideMark/>
          </w:tcPr>
          <w:p w14:paraId="6FA5BDE2" w14:textId="0B825C39" w:rsidR="00BB768C" w:rsidRPr="00C32A0C" w:rsidRDefault="00B55C00"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0,00</w:t>
            </w:r>
            <w:r w:rsidR="00BB768C" w:rsidRPr="00C32A0C">
              <w:rPr>
                <w:rFonts w:ascii="Arial" w:eastAsia="Times New Roman" w:hAnsi="Arial" w:cs="Arial"/>
                <w:b/>
                <w:bCs/>
                <w:sz w:val="18"/>
                <w:szCs w:val="18"/>
                <w:lang w:eastAsia="hr-HR"/>
              </w:rPr>
              <w:t> </w:t>
            </w:r>
          </w:p>
        </w:tc>
        <w:tc>
          <w:tcPr>
            <w:tcW w:w="1377" w:type="dxa"/>
            <w:shd w:val="clear" w:color="auto" w:fill="FFFFFF" w:themeFill="background1"/>
            <w:noWrap/>
            <w:vAlign w:val="bottom"/>
          </w:tcPr>
          <w:p w14:paraId="44727C4A" w14:textId="1ED650AE" w:rsidR="00BB768C" w:rsidRPr="00C32A0C" w:rsidRDefault="00B55C00"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53.800,00</w:t>
            </w:r>
          </w:p>
        </w:tc>
        <w:tc>
          <w:tcPr>
            <w:tcW w:w="1340" w:type="dxa"/>
            <w:shd w:val="clear" w:color="auto" w:fill="FFFFFF" w:themeFill="background1"/>
            <w:noWrap/>
            <w:vAlign w:val="bottom"/>
          </w:tcPr>
          <w:p w14:paraId="77170004" w14:textId="5A3AD47C" w:rsidR="00BB768C" w:rsidRPr="00C32A0C" w:rsidRDefault="002B4BCC"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52.915,00</w:t>
            </w:r>
          </w:p>
        </w:tc>
        <w:tc>
          <w:tcPr>
            <w:tcW w:w="1318" w:type="dxa"/>
            <w:shd w:val="clear" w:color="auto" w:fill="FFFFFF" w:themeFill="background1"/>
            <w:noWrap/>
            <w:vAlign w:val="bottom"/>
            <w:hideMark/>
          </w:tcPr>
          <w:p w14:paraId="48689130" w14:textId="5B6BB58C" w:rsidR="00BB768C" w:rsidRPr="00C32A0C" w:rsidRDefault="002B4BCC"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19.075,99</w:t>
            </w:r>
            <w:r w:rsidR="00BB768C" w:rsidRPr="00C32A0C">
              <w:rPr>
                <w:rFonts w:ascii="Arial" w:eastAsia="Times New Roman" w:hAnsi="Arial" w:cs="Arial"/>
                <w:b/>
                <w:bCs/>
                <w:sz w:val="18"/>
                <w:szCs w:val="18"/>
                <w:lang w:eastAsia="hr-HR"/>
              </w:rPr>
              <w:t> </w:t>
            </w:r>
          </w:p>
        </w:tc>
        <w:tc>
          <w:tcPr>
            <w:tcW w:w="927" w:type="dxa"/>
            <w:shd w:val="clear" w:color="auto" w:fill="FFFFFF" w:themeFill="background1"/>
            <w:noWrap/>
            <w:vAlign w:val="bottom"/>
            <w:hideMark/>
          </w:tcPr>
          <w:p w14:paraId="6E96C277" w14:textId="450567E6" w:rsidR="00BB768C" w:rsidRPr="00C32A0C" w:rsidRDefault="002E1FE8"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w:t>
            </w:r>
            <w:r w:rsidR="00BB768C" w:rsidRPr="00C32A0C">
              <w:rPr>
                <w:rFonts w:ascii="Arial" w:eastAsia="Times New Roman" w:hAnsi="Arial" w:cs="Arial"/>
                <w:b/>
                <w:bCs/>
                <w:sz w:val="18"/>
                <w:szCs w:val="18"/>
                <w:lang w:eastAsia="hr-HR"/>
              </w:rPr>
              <w:t> </w:t>
            </w:r>
          </w:p>
        </w:tc>
        <w:tc>
          <w:tcPr>
            <w:tcW w:w="977" w:type="dxa"/>
            <w:shd w:val="clear" w:color="auto" w:fill="FFFFFF" w:themeFill="background1"/>
            <w:noWrap/>
            <w:vAlign w:val="bottom"/>
            <w:hideMark/>
          </w:tcPr>
          <w:p w14:paraId="28AF3BE1" w14:textId="1E5F31C7" w:rsidR="00BB768C" w:rsidRPr="00C32A0C" w:rsidRDefault="002E1FE8"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36,05%</w:t>
            </w:r>
            <w:r w:rsidR="00BB768C" w:rsidRPr="00C32A0C">
              <w:rPr>
                <w:rFonts w:ascii="Arial" w:eastAsia="Times New Roman" w:hAnsi="Arial" w:cs="Arial"/>
                <w:b/>
                <w:bCs/>
                <w:sz w:val="18"/>
                <w:szCs w:val="18"/>
                <w:lang w:eastAsia="hr-HR"/>
              </w:rPr>
              <w:t> </w:t>
            </w:r>
          </w:p>
        </w:tc>
      </w:tr>
      <w:tr w:rsidR="00BB768C" w:rsidRPr="00397A59" w14:paraId="78895963" w14:textId="77777777" w:rsidTr="002B4BCC">
        <w:trPr>
          <w:trHeight w:val="276"/>
        </w:trPr>
        <w:tc>
          <w:tcPr>
            <w:tcW w:w="4891" w:type="dxa"/>
            <w:shd w:val="clear" w:color="auto" w:fill="FFE599" w:themeFill="accent4" w:themeFillTint="66"/>
            <w:noWrap/>
            <w:vAlign w:val="bottom"/>
            <w:hideMark/>
          </w:tcPr>
          <w:p w14:paraId="362BA84E" w14:textId="77777777" w:rsidR="00BB768C" w:rsidRPr="00C32A0C" w:rsidRDefault="00BB768C" w:rsidP="009D32D6">
            <w:pPr>
              <w:spacing w:after="0" w:line="240" w:lineRule="auto"/>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4. PRIHODI ZA POSEBNE NAMJENE</w:t>
            </w:r>
          </w:p>
        </w:tc>
        <w:tc>
          <w:tcPr>
            <w:tcW w:w="1178" w:type="dxa"/>
            <w:shd w:val="clear" w:color="auto" w:fill="FFE599" w:themeFill="accent4" w:themeFillTint="66"/>
            <w:noWrap/>
            <w:vAlign w:val="bottom"/>
            <w:hideMark/>
          </w:tcPr>
          <w:p w14:paraId="43E48FA1" w14:textId="3365E73B" w:rsidR="00BB768C" w:rsidRPr="00C32A0C" w:rsidRDefault="002B4BCC"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0,00</w:t>
            </w:r>
            <w:r w:rsidR="00BB768C" w:rsidRPr="00C32A0C">
              <w:rPr>
                <w:rFonts w:ascii="Arial" w:eastAsia="Times New Roman" w:hAnsi="Arial" w:cs="Arial"/>
                <w:b/>
                <w:bCs/>
                <w:sz w:val="18"/>
                <w:szCs w:val="18"/>
                <w:lang w:eastAsia="hr-HR"/>
              </w:rPr>
              <w:t> </w:t>
            </w:r>
          </w:p>
        </w:tc>
        <w:tc>
          <w:tcPr>
            <w:tcW w:w="1377" w:type="dxa"/>
            <w:shd w:val="clear" w:color="auto" w:fill="FFE599" w:themeFill="accent4" w:themeFillTint="66"/>
            <w:noWrap/>
            <w:vAlign w:val="bottom"/>
          </w:tcPr>
          <w:p w14:paraId="3266DE6B" w14:textId="670E8D17" w:rsidR="00BB768C" w:rsidRPr="00C32A0C" w:rsidRDefault="002B4BCC"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1.067.131,07</w:t>
            </w:r>
          </w:p>
        </w:tc>
        <w:tc>
          <w:tcPr>
            <w:tcW w:w="1340" w:type="dxa"/>
            <w:shd w:val="clear" w:color="auto" w:fill="FFE599" w:themeFill="accent4" w:themeFillTint="66"/>
            <w:noWrap/>
            <w:vAlign w:val="bottom"/>
          </w:tcPr>
          <w:p w14:paraId="2F6F7AED" w14:textId="592B1FC1" w:rsidR="00BB768C" w:rsidRPr="00C32A0C" w:rsidRDefault="002B4BCC"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1.045.427,07</w:t>
            </w:r>
          </w:p>
        </w:tc>
        <w:tc>
          <w:tcPr>
            <w:tcW w:w="1318" w:type="dxa"/>
            <w:shd w:val="clear" w:color="auto" w:fill="FFE599" w:themeFill="accent4" w:themeFillTint="66"/>
            <w:noWrap/>
            <w:vAlign w:val="bottom"/>
            <w:hideMark/>
          </w:tcPr>
          <w:p w14:paraId="62CB9795" w14:textId="4D946D55" w:rsidR="00BB768C" w:rsidRPr="00C32A0C" w:rsidRDefault="002B4BCC"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620.328,26</w:t>
            </w:r>
            <w:r w:rsidR="00BB768C" w:rsidRPr="00C32A0C">
              <w:rPr>
                <w:rFonts w:ascii="Arial" w:eastAsia="Times New Roman" w:hAnsi="Arial" w:cs="Arial"/>
                <w:b/>
                <w:bCs/>
                <w:sz w:val="18"/>
                <w:szCs w:val="18"/>
                <w:lang w:eastAsia="hr-HR"/>
              </w:rPr>
              <w:t> </w:t>
            </w:r>
          </w:p>
        </w:tc>
        <w:tc>
          <w:tcPr>
            <w:tcW w:w="927" w:type="dxa"/>
            <w:shd w:val="clear" w:color="auto" w:fill="FFE599" w:themeFill="accent4" w:themeFillTint="66"/>
            <w:noWrap/>
            <w:vAlign w:val="bottom"/>
            <w:hideMark/>
          </w:tcPr>
          <w:p w14:paraId="378325E4" w14:textId="7B6FBCC4" w:rsidR="00BB768C" w:rsidRPr="00C32A0C" w:rsidRDefault="002E1FE8"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w:t>
            </w:r>
            <w:r w:rsidR="00BB768C" w:rsidRPr="00C32A0C">
              <w:rPr>
                <w:rFonts w:ascii="Arial" w:eastAsia="Times New Roman" w:hAnsi="Arial" w:cs="Arial"/>
                <w:b/>
                <w:bCs/>
                <w:sz w:val="18"/>
                <w:szCs w:val="18"/>
                <w:lang w:eastAsia="hr-HR"/>
              </w:rPr>
              <w:t> </w:t>
            </w:r>
          </w:p>
        </w:tc>
        <w:tc>
          <w:tcPr>
            <w:tcW w:w="977" w:type="dxa"/>
            <w:shd w:val="clear" w:color="auto" w:fill="FFE599" w:themeFill="accent4" w:themeFillTint="66"/>
            <w:noWrap/>
            <w:vAlign w:val="bottom"/>
            <w:hideMark/>
          </w:tcPr>
          <w:p w14:paraId="3D5171D9" w14:textId="6C5F39DB" w:rsidR="00BB768C" w:rsidRPr="00C32A0C" w:rsidRDefault="002E1FE8"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59,34%</w:t>
            </w:r>
            <w:r w:rsidR="00BB768C" w:rsidRPr="00C32A0C">
              <w:rPr>
                <w:rFonts w:ascii="Arial" w:eastAsia="Times New Roman" w:hAnsi="Arial" w:cs="Arial"/>
                <w:b/>
                <w:bCs/>
                <w:sz w:val="18"/>
                <w:szCs w:val="18"/>
                <w:lang w:eastAsia="hr-HR"/>
              </w:rPr>
              <w:t> </w:t>
            </w:r>
          </w:p>
        </w:tc>
      </w:tr>
      <w:tr w:rsidR="00BB768C" w:rsidRPr="00397A59" w14:paraId="2FBB153C" w14:textId="77777777" w:rsidTr="002B4BCC">
        <w:trPr>
          <w:trHeight w:val="276"/>
        </w:trPr>
        <w:tc>
          <w:tcPr>
            <w:tcW w:w="4891" w:type="dxa"/>
            <w:shd w:val="clear" w:color="auto" w:fill="FFFFFF" w:themeFill="background1"/>
            <w:noWrap/>
            <w:vAlign w:val="bottom"/>
            <w:hideMark/>
          </w:tcPr>
          <w:p w14:paraId="483716B6" w14:textId="77777777" w:rsidR="00BB768C" w:rsidRPr="00C32A0C" w:rsidRDefault="00BB768C" w:rsidP="009D32D6">
            <w:pPr>
              <w:spacing w:after="0" w:line="240" w:lineRule="auto"/>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4.9. PRENESENI VIŠAK/MANJAK- PRIHODI ZA POSEBNE NAMJENE</w:t>
            </w:r>
          </w:p>
        </w:tc>
        <w:tc>
          <w:tcPr>
            <w:tcW w:w="1178" w:type="dxa"/>
            <w:shd w:val="clear" w:color="auto" w:fill="FFFFFF" w:themeFill="background1"/>
            <w:noWrap/>
            <w:vAlign w:val="bottom"/>
            <w:hideMark/>
          </w:tcPr>
          <w:p w14:paraId="046F25C1" w14:textId="6BD27EA9" w:rsidR="00BB768C" w:rsidRPr="00C32A0C" w:rsidRDefault="002B4BCC"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0,00</w:t>
            </w:r>
            <w:r w:rsidR="00BB768C" w:rsidRPr="00C32A0C">
              <w:rPr>
                <w:rFonts w:ascii="Arial" w:eastAsia="Times New Roman" w:hAnsi="Arial" w:cs="Arial"/>
                <w:b/>
                <w:bCs/>
                <w:sz w:val="18"/>
                <w:szCs w:val="18"/>
                <w:lang w:eastAsia="hr-HR"/>
              </w:rPr>
              <w:t> </w:t>
            </w:r>
          </w:p>
        </w:tc>
        <w:tc>
          <w:tcPr>
            <w:tcW w:w="1377" w:type="dxa"/>
            <w:shd w:val="clear" w:color="auto" w:fill="FFFFFF" w:themeFill="background1"/>
            <w:noWrap/>
            <w:vAlign w:val="bottom"/>
          </w:tcPr>
          <w:p w14:paraId="3708043A" w14:textId="367ADD29" w:rsidR="00BB768C" w:rsidRPr="00C32A0C" w:rsidRDefault="00B55C00"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1.067.131,07</w:t>
            </w:r>
          </w:p>
        </w:tc>
        <w:tc>
          <w:tcPr>
            <w:tcW w:w="1340" w:type="dxa"/>
            <w:shd w:val="clear" w:color="auto" w:fill="FFFFFF" w:themeFill="background1"/>
            <w:noWrap/>
            <w:vAlign w:val="bottom"/>
          </w:tcPr>
          <w:p w14:paraId="4996F7DE" w14:textId="6DFD8DBF" w:rsidR="00BB768C" w:rsidRPr="00C32A0C" w:rsidRDefault="002B4BCC"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1.045.427,07</w:t>
            </w:r>
          </w:p>
        </w:tc>
        <w:tc>
          <w:tcPr>
            <w:tcW w:w="1318" w:type="dxa"/>
            <w:shd w:val="clear" w:color="auto" w:fill="FFFFFF" w:themeFill="background1"/>
            <w:noWrap/>
            <w:vAlign w:val="bottom"/>
            <w:hideMark/>
          </w:tcPr>
          <w:p w14:paraId="3FAFCE79" w14:textId="77DE2FBB" w:rsidR="00BB768C" w:rsidRPr="00C32A0C" w:rsidRDefault="002B4BCC"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620.328,26</w:t>
            </w:r>
            <w:r w:rsidR="00BB768C" w:rsidRPr="00C32A0C">
              <w:rPr>
                <w:rFonts w:ascii="Arial" w:eastAsia="Times New Roman" w:hAnsi="Arial" w:cs="Arial"/>
                <w:b/>
                <w:bCs/>
                <w:sz w:val="18"/>
                <w:szCs w:val="18"/>
                <w:lang w:eastAsia="hr-HR"/>
              </w:rPr>
              <w:t> </w:t>
            </w:r>
          </w:p>
        </w:tc>
        <w:tc>
          <w:tcPr>
            <w:tcW w:w="927" w:type="dxa"/>
            <w:shd w:val="clear" w:color="auto" w:fill="FFFFFF" w:themeFill="background1"/>
            <w:noWrap/>
            <w:vAlign w:val="bottom"/>
            <w:hideMark/>
          </w:tcPr>
          <w:p w14:paraId="5690D518" w14:textId="08A99FB8" w:rsidR="00BB768C" w:rsidRPr="00C32A0C" w:rsidRDefault="002E1FE8"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w:t>
            </w:r>
            <w:r w:rsidR="00BB768C" w:rsidRPr="00C32A0C">
              <w:rPr>
                <w:rFonts w:ascii="Arial" w:eastAsia="Times New Roman" w:hAnsi="Arial" w:cs="Arial"/>
                <w:b/>
                <w:bCs/>
                <w:sz w:val="18"/>
                <w:szCs w:val="18"/>
                <w:lang w:eastAsia="hr-HR"/>
              </w:rPr>
              <w:t> </w:t>
            </w:r>
          </w:p>
        </w:tc>
        <w:tc>
          <w:tcPr>
            <w:tcW w:w="977" w:type="dxa"/>
            <w:shd w:val="clear" w:color="auto" w:fill="FFFFFF" w:themeFill="background1"/>
            <w:noWrap/>
            <w:vAlign w:val="bottom"/>
            <w:hideMark/>
          </w:tcPr>
          <w:p w14:paraId="0D4BCB18" w14:textId="18382CB4" w:rsidR="00BB768C" w:rsidRPr="00C32A0C" w:rsidRDefault="002E1FE8"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59,34%</w:t>
            </w:r>
            <w:r w:rsidR="00BB768C" w:rsidRPr="00C32A0C">
              <w:rPr>
                <w:rFonts w:ascii="Arial" w:eastAsia="Times New Roman" w:hAnsi="Arial" w:cs="Arial"/>
                <w:b/>
                <w:bCs/>
                <w:sz w:val="18"/>
                <w:szCs w:val="18"/>
                <w:lang w:eastAsia="hr-HR"/>
              </w:rPr>
              <w:t> </w:t>
            </w:r>
          </w:p>
        </w:tc>
      </w:tr>
      <w:tr w:rsidR="00BB768C" w:rsidRPr="00397A59" w14:paraId="061C32A2" w14:textId="77777777" w:rsidTr="002B4BCC">
        <w:trPr>
          <w:trHeight w:val="276"/>
        </w:trPr>
        <w:tc>
          <w:tcPr>
            <w:tcW w:w="4891" w:type="dxa"/>
            <w:shd w:val="clear" w:color="auto" w:fill="FFE599" w:themeFill="accent4" w:themeFillTint="66"/>
            <w:noWrap/>
            <w:vAlign w:val="bottom"/>
            <w:hideMark/>
          </w:tcPr>
          <w:p w14:paraId="372A7D82" w14:textId="77777777" w:rsidR="00BB768C" w:rsidRPr="00C32A0C" w:rsidRDefault="00BB768C" w:rsidP="009D32D6">
            <w:pPr>
              <w:spacing w:after="0" w:line="240" w:lineRule="auto"/>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5. POMOĆI</w:t>
            </w:r>
          </w:p>
        </w:tc>
        <w:tc>
          <w:tcPr>
            <w:tcW w:w="1178" w:type="dxa"/>
            <w:shd w:val="clear" w:color="auto" w:fill="FFE599" w:themeFill="accent4" w:themeFillTint="66"/>
            <w:noWrap/>
            <w:vAlign w:val="bottom"/>
            <w:hideMark/>
          </w:tcPr>
          <w:p w14:paraId="741DAE7A" w14:textId="7684B3B3" w:rsidR="00BB768C" w:rsidRPr="00C32A0C" w:rsidRDefault="002B4BCC"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0,00</w:t>
            </w:r>
            <w:r w:rsidR="00BB768C" w:rsidRPr="00C32A0C">
              <w:rPr>
                <w:rFonts w:ascii="Arial" w:eastAsia="Times New Roman" w:hAnsi="Arial" w:cs="Arial"/>
                <w:b/>
                <w:bCs/>
                <w:sz w:val="18"/>
                <w:szCs w:val="18"/>
                <w:lang w:eastAsia="hr-HR"/>
              </w:rPr>
              <w:t> </w:t>
            </w:r>
          </w:p>
        </w:tc>
        <w:tc>
          <w:tcPr>
            <w:tcW w:w="1377" w:type="dxa"/>
            <w:shd w:val="clear" w:color="auto" w:fill="FFE599" w:themeFill="accent4" w:themeFillTint="66"/>
            <w:noWrap/>
            <w:vAlign w:val="bottom"/>
          </w:tcPr>
          <w:p w14:paraId="31BB7EC0" w14:textId="3C74FC33" w:rsidR="00BB768C" w:rsidRPr="00C32A0C" w:rsidRDefault="00B55C00"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1.749.414,59</w:t>
            </w:r>
          </w:p>
        </w:tc>
        <w:tc>
          <w:tcPr>
            <w:tcW w:w="1340" w:type="dxa"/>
            <w:shd w:val="clear" w:color="auto" w:fill="FFE599" w:themeFill="accent4" w:themeFillTint="66"/>
            <w:noWrap/>
            <w:vAlign w:val="bottom"/>
          </w:tcPr>
          <w:p w14:paraId="00FA4C1E" w14:textId="691A9F4D" w:rsidR="00BB768C" w:rsidRPr="00C32A0C" w:rsidRDefault="002B4BCC"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1.711.054,59</w:t>
            </w:r>
          </w:p>
        </w:tc>
        <w:tc>
          <w:tcPr>
            <w:tcW w:w="1318" w:type="dxa"/>
            <w:shd w:val="clear" w:color="auto" w:fill="FFE599" w:themeFill="accent4" w:themeFillTint="66"/>
            <w:noWrap/>
            <w:vAlign w:val="bottom"/>
            <w:hideMark/>
          </w:tcPr>
          <w:p w14:paraId="1D46CF80" w14:textId="7518B548" w:rsidR="00BB768C" w:rsidRPr="00C32A0C" w:rsidRDefault="002B4BCC"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1.548.280,84</w:t>
            </w:r>
            <w:r w:rsidR="00BB768C" w:rsidRPr="00C32A0C">
              <w:rPr>
                <w:rFonts w:ascii="Arial" w:eastAsia="Times New Roman" w:hAnsi="Arial" w:cs="Arial"/>
                <w:b/>
                <w:bCs/>
                <w:sz w:val="18"/>
                <w:szCs w:val="18"/>
                <w:lang w:eastAsia="hr-HR"/>
              </w:rPr>
              <w:t> </w:t>
            </w:r>
          </w:p>
        </w:tc>
        <w:tc>
          <w:tcPr>
            <w:tcW w:w="927" w:type="dxa"/>
            <w:shd w:val="clear" w:color="auto" w:fill="FFE599" w:themeFill="accent4" w:themeFillTint="66"/>
            <w:noWrap/>
            <w:vAlign w:val="bottom"/>
            <w:hideMark/>
          </w:tcPr>
          <w:p w14:paraId="4093289C" w14:textId="6E611AB3" w:rsidR="00BB768C" w:rsidRPr="00C32A0C" w:rsidRDefault="002E1FE8"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w:t>
            </w:r>
            <w:r w:rsidR="00BB768C" w:rsidRPr="00C32A0C">
              <w:rPr>
                <w:rFonts w:ascii="Arial" w:eastAsia="Times New Roman" w:hAnsi="Arial" w:cs="Arial"/>
                <w:b/>
                <w:bCs/>
                <w:sz w:val="18"/>
                <w:szCs w:val="18"/>
                <w:lang w:eastAsia="hr-HR"/>
              </w:rPr>
              <w:t> </w:t>
            </w:r>
          </w:p>
        </w:tc>
        <w:tc>
          <w:tcPr>
            <w:tcW w:w="977" w:type="dxa"/>
            <w:shd w:val="clear" w:color="auto" w:fill="FFE599" w:themeFill="accent4" w:themeFillTint="66"/>
            <w:noWrap/>
            <w:vAlign w:val="bottom"/>
            <w:hideMark/>
          </w:tcPr>
          <w:p w14:paraId="6889B61C" w14:textId="45C99B5D" w:rsidR="00BB768C" w:rsidRPr="00C32A0C" w:rsidRDefault="002E1FE8"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90,49%</w:t>
            </w:r>
            <w:r w:rsidR="00BB768C" w:rsidRPr="00C32A0C">
              <w:rPr>
                <w:rFonts w:ascii="Arial" w:eastAsia="Times New Roman" w:hAnsi="Arial" w:cs="Arial"/>
                <w:b/>
                <w:bCs/>
                <w:sz w:val="18"/>
                <w:szCs w:val="18"/>
                <w:lang w:eastAsia="hr-HR"/>
              </w:rPr>
              <w:t> </w:t>
            </w:r>
          </w:p>
        </w:tc>
      </w:tr>
      <w:tr w:rsidR="00BB768C" w:rsidRPr="00397A59" w14:paraId="65DC3957" w14:textId="77777777" w:rsidTr="002B4BCC">
        <w:trPr>
          <w:trHeight w:val="276"/>
        </w:trPr>
        <w:tc>
          <w:tcPr>
            <w:tcW w:w="4891" w:type="dxa"/>
            <w:shd w:val="clear" w:color="auto" w:fill="FFFFFF" w:themeFill="background1"/>
            <w:noWrap/>
            <w:vAlign w:val="bottom"/>
            <w:hideMark/>
          </w:tcPr>
          <w:p w14:paraId="02CF17E5" w14:textId="77777777" w:rsidR="00BB768C" w:rsidRPr="00C32A0C" w:rsidRDefault="00BB768C" w:rsidP="009D32D6">
            <w:pPr>
              <w:spacing w:after="0" w:line="240" w:lineRule="auto"/>
              <w:rPr>
                <w:rFonts w:ascii="Arial" w:eastAsia="Times New Roman" w:hAnsi="Arial" w:cs="Arial"/>
                <w:b/>
                <w:bCs/>
                <w:sz w:val="18"/>
                <w:szCs w:val="18"/>
                <w:lang w:eastAsia="hr-HR"/>
              </w:rPr>
            </w:pPr>
            <w:r w:rsidRPr="00C32A0C">
              <w:rPr>
                <w:rFonts w:ascii="Arial" w:eastAsia="Times New Roman" w:hAnsi="Arial" w:cs="Arial"/>
                <w:b/>
                <w:bCs/>
                <w:sz w:val="18"/>
                <w:szCs w:val="18"/>
                <w:lang w:eastAsia="hr-HR"/>
              </w:rPr>
              <w:t>5.9. PRENESENI VIŠAK/MANJAK- POMOĆI</w:t>
            </w:r>
          </w:p>
        </w:tc>
        <w:tc>
          <w:tcPr>
            <w:tcW w:w="1178" w:type="dxa"/>
            <w:shd w:val="clear" w:color="auto" w:fill="FFFFFF" w:themeFill="background1"/>
            <w:noWrap/>
            <w:vAlign w:val="bottom"/>
            <w:hideMark/>
          </w:tcPr>
          <w:p w14:paraId="5DD451A7" w14:textId="63DE32D1" w:rsidR="00BB768C" w:rsidRPr="00C32A0C" w:rsidRDefault="002B4BCC"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0,00</w:t>
            </w:r>
            <w:r w:rsidR="00BB768C" w:rsidRPr="00C32A0C">
              <w:rPr>
                <w:rFonts w:ascii="Arial" w:eastAsia="Times New Roman" w:hAnsi="Arial" w:cs="Arial"/>
                <w:b/>
                <w:bCs/>
                <w:sz w:val="18"/>
                <w:szCs w:val="18"/>
                <w:lang w:eastAsia="hr-HR"/>
              </w:rPr>
              <w:t> </w:t>
            </w:r>
          </w:p>
        </w:tc>
        <w:tc>
          <w:tcPr>
            <w:tcW w:w="1377" w:type="dxa"/>
            <w:shd w:val="clear" w:color="auto" w:fill="FFFFFF" w:themeFill="background1"/>
            <w:noWrap/>
            <w:vAlign w:val="bottom"/>
          </w:tcPr>
          <w:p w14:paraId="354D6CFB" w14:textId="0607D3C2" w:rsidR="00BB768C" w:rsidRPr="00C32A0C" w:rsidRDefault="00B55C00"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1.749.414,59</w:t>
            </w:r>
          </w:p>
        </w:tc>
        <w:tc>
          <w:tcPr>
            <w:tcW w:w="1340" w:type="dxa"/>
            <w:shd w:val="clear" w:color="auto" w:fill="FFFFFF" w:themeFill="background1"/>
            <w:noWrap/>
            <w:vAlign w:val="bottom"/>
          </w:tcPr>
          <w:p w14:paraId="765AA695" w14:textId="5059F6FC" w:rsidR="00BB768C" w:rsidRPr="00C32A0C" w:rsidRDefault="002B4BCC"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1.711.054,59</w:t>
            </w:r>
          </w:p>
        </w:tc>
        <w:tc>
          <w:tcPr>
            <w:tcW w:w="1318" w:type="dxa"/>
            <w:shd w:val="clear" w:color="auto" w:fill="FFFFFF" w:themeFill="background1"/>
            <w:noWrap/>
            <w:vAlign w:val="bottom"/>
            <w:hideMark/>
          </w:tcPr>
          <w:p w14:paraId="0EB59453" w14:textId="1C7C9FB2" w:rsidR="00BB768C" w:rsidRPr="00C32A0C" w:rsidRDefault="002B4BCC"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1.548.280,84</w:t>
            </w:r>
            <w:r w:rsidR="00BB768C" w:rsidRPr="00C32A0C">
              <w:rPr>
                <w:rFonts w:ascii="Arial" w:eastAsia="Times New Roman" w:hAnsi="Arial" w:cs="Arial"/>
                <w:b/>
                <w:bCs/>
                <w:sz w:val="18"/>
                <w:szCs w:val="18"/>
                <w:lang w:eastAsia="hr-HR"/>
              </w:rPr>
              <w:t> </w:t>
            </w:r>
          </w:p>
        </w:tc>
        <w:tc>
          <w:tcPr>
            <w:tcW w:w="927" w:type="dxa"/>
            <w:shd w:val="clear" w:color="auto" w:fill="FFFFFF" w:themeFill="background1"/>
            <w:noWrap/>
            <w:vAlign w:val="bottom"/>
            <w:hideMark/>
          </w:tcPr>
          <w:p w14:paraId="6707E0BC" w14:textId="1E4A4276" w:rsidR="00BB768C" w:rsidRPr="00C32A0C" w:rsidRDefault="002E1FE8"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w:t>
            </w:r>
            <w:r w:rsidR="00BB768C" w:rsidRPr="00C32A0C">
              <w:rPr>
                <w:rFonts w:ascii="Arial" w:eastAsia="Times New Roman" w:hAnsi="Arial" w:cs="Arial"/>
                <w:b/>
                <w:bCs/>
                <w:sz w:val="18"/>
                <w:szCs w:val="18"/>
                <w:lang w:eastAsia="hr-HR"/>
              </w:rPr>
              <w:t> </w:t>
            </w:r>
          </w:p>
        </w:tc>
        <w:tc>
          <w:tcPr>
            <w:tcW w:w="977" w:type="dxa"/>
            <w:shd w:val="clear" w:color="auto" w:fill="FFFFFF" w:themeFill="background1"/>
            <w:noWrap/>
            <w:vAlign w:val="bottom"/>
            <w:hideMark/>
          </w:tcPr>
          <w:p w14:paraId="3445690F" w14:textId="3EC08F6E" w:rsidR="00BB768C" w:rsidRPr="00C32A0C" w:rsidRDefault="002E1FE8" w:rsidP="009D32D6">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90,49%</w:t>
            </w:r>
            <w:r w:rsidR="00BB768C" w:rsidRPr="00C32A0C">
              <w:rPr>
                <w:rFonts w:ascii="Arial" w:eastAsia="Times New Roman" w:hAnsi="Arial" w:cs="Arial"/>
                <w:b/>
                <w:bCs/>
                <w:sz w:val="18"/>
                <w:szCs w:val="18"/>
                <w:lang w:eastAsia="hr-HR"/>
              </w:rPr>
              <w:t> </w:t>
            </w:r>
          </w:p>
        </w:tc>
      </w:tr>
    </w:tbl>
    <w:p w14:paraId="399FB8F6" w14:textId="77777777" w:rsidR="008B7A0C" w:rsidRDefault="008B7A0C" w:rsidP="0056544D">
      <w:pPr>
        <w:rPr>
          <w:rFonts w:ascii="Times New Roman" w:hAnsi="Times New Roman" w:cs="Times New Roman"/>
          <w:b/>
          <w:sz w:val="24"/>
          <w:szCs w:val="24"/>
        </w:rPr>
      </w:pPr>
    </w:p>
    <w:p w14:paraId="32A6E4B5" w14:textId="77777777" w:rsidR="00656292" w:rsidRDefault="00B055EC" w:rsidP="00656292">
      <w:pPr>
        <w:jc w:val="center"/>
        <w:rPr>
          <w:rFonts w:cstheme="minorHAnsi"/>
          <w:b/>
          <w:sz w:val="28"/>
          <w:szCs w:val="28"/>
        </w:rPr>
      </w:pPr>
      <w:r w:rsidRPr="0098702D">
        <w:rPr>
          <w:rFonts w:cstheme="minorHAnsi"/>
          <w:b/>
          <w:sz w:val="28"/>
          <w:szCs w:val="28"/>
        </w:rPr>
        <w:lastRenderedPageBreak/>
        <w:t>II. POSEBNI DIO PRORAČUNA</w:t>
      </w:r>
    </w:p>
    <w:p w14:paraId="47A0B89D" w14:textId="77777777" w:rsidR="00656292" w:rsidRDefault="00656292" w:rsidP="00656292">
      <w:pPr>
        <w:jc w:val="center"/>
        <w:rPr>
          <w:rFonts w:cstheme="minorHAnsi"/>
          <w:b/>
          <w:sz w:val="28"/>
          <w:szCs w:val="28"/>
        </w:rPr>
      </w:pPr>
    </w:p>
    <w:p w14:paraId="7BD73619" w14:textId="77777777" w:rsidR="00B055EC" w:rsidRPr="00656292" w:rsidRDefault="00B055EC" w:rsidP="00B055EC">
      <w:pPr>
        <w:jc w:val="center"/>
        <w:rPr>
          <w:rFonts w:cstheme="minorHAnsi"/>
          <w:b/>
          <w:sz w:val="24"/>
          <w:szCs w:val="24"/>
        </w:rPr>
      </w:pPr>
      <w:r w:rsidRPr="00656292">
        <w:rPr>
          <w:rFonts w:cstheme="minorHAnsi"/>
          <w:b/>
          <w:sz w:val="24"/>
          <w:szCs w:val="24"/>
        </w:rPr>
        <w:t>Članak 3.</w:t>
      </w:r>
    </w:p>
    <w:p w14:paraId="2FD632B0" w14:textId="616EDC21" w:rsidR="00850E0F" w:rsidRDefault="00B055EC" w:rsidP="004A44DB">
      <w:pPr>
        <w:jc w:val="both"/>
        <w:rPr>
          <w:rFonts w:cstheme="minorHAnsi"/>
          <w:sz w:val="24"/>
          <w:szCs w:val="24"/>
        </w:rPr>
      </w:pPr>
      <w:r w:rsidRPr="00656292">
        <w:rPr>
          <w:rFonts w:cstheme="minorHAnsi"/>
          <w:sz w:val="24"/>
          <w:szCs w:val="24"/>
        </w:rPr>
        <w:t xml:space="preserve">Rashodi i izdaci </w:t>
      </w:r>
      <w:r w:rsidR="00E115A1" w:rsidRPr="00656292">
        <w:rPr>
          <w:rFonts w:cstheme="minorHAnsi"/>
          <w:sz w:val="24"/>
          <w:szCs w:val="24"/>
        </w:rPr>
        <w:t xml:space="preserve"> utvrđeni u Posebnom dijelu </w:t>
      </w:r>
      <w:r w:rsidRPr="00656292">
        <w:rPr>
          <w:rFonts w:cstheme="minorHAnsi"/>
          <w:sz w:val="24"/>
          <w:szCs w:val="24"/>
        </w:rPr>
        <w:t xml:space="preserve">Proračuna Grada </w:t>
      </w:r>
      <w:r w:rsidR="002E6184" w:rsidRPr="00656292">
        <w:rPr>
          <w:rFonts w:cstheme="minorHAnsi"/>
          <w:sz w:val="24"/>
          <w:szCs w:val="24"/>
        </w:rPr>
        <w:t>Tr</w:t>
      </w:r>
      <w:r w:rsidR="006F5C61" w:rsidRPr="00656292">
        <w:rPr>
          <w:rFonts w:cstheme="minorHAnsi"/>
          <w:sz w:val="24"/>
          <w:szCs w:val="24"/>
        </w:rPr>
        <w:t xml:space="preserve">ogira za </w:t>
      </w:r>
      <w:r w:rsidR="00187BDF" w:rsidRPr="00656292">
        <w:rPr>
          <w:rFonts w:cstheme="minorHAnsi"/>
          <w:sz w:val="24"/>
          <w:szCs w:val="24"/>
        </w:rPr>
        <w:t>202</w:t>
      </w:r>
      <w:r w:rsidR="004A44DB">
        <w:rPr>
          <w:rFonts w:cstheme="minorHAnsi"/>
          <w:sz w:val="24"/>
          <w:szCs w:val="24"/>
        </w:rPr>
        <w:t>5</w:t>
      </w:r>
      <w:r w:rsidR="00BE63F0" w:rsidRPr="00656292">
        <w:rPr>
          <w:rFonts w:cstheme="minorHAnsi"/>
          <w:sz w:val="24"/>
          <w:szCs w:val="24"/>
        </w:rPr>
        <w:t>.</w:t>
      </w:r>
      <w:r w:rsidR="00904EDA" w:rsidRPr="00656292">
        <w:rPr>
          <w:rFonts w:cstheme="minorHAnsi"/>
          <w:sz w:val="24"/>
          <w:szCs w:val="24"/>
        </w:rPr>
        <w:t xml:space="preserve"> </w:t>
      </w:r>
      <w:r w:rsidR="007015B4" w:rsidRPr="00656292">
        <w:rPr>
          <w:rFonts w:cstheme="minorHAnsi"/>
          <w:sz w:val="24"/>
          <w:szCs w:val="24"/>
        </w:rPr>
        <w:t>godinu</w:t>
      </w:r>
      <w:r w:rsidR="00E115A1" w:rsidRPr="00656292">
        <w:rPr>
          <w:rFonts w:cstheme="minorHAnsi"/>
          <w:sz w:val="24"/>
          <w:szCs w:val="24"/>
        </w:rPr>
        <w:t xml:space="preserve">, iskazani </w:t>
      </w:r>
      <w:r w:rsidRPr="00656292">
        <w:rPr>
          <w:rFonts w:cstheme="minorHAnsi"/>
          <w:sz w:val="24"/>
          <w:szCs w:val="24"/>
        </w:rPr>
        <w:t xml:space="preserve"> prema organizacijskoj i programskoj klasifikac</w:t>
      </w:r>
      <w:r w:rsidR="009C0FCE" w:rsidRPr="00656292">
        <w:rPr>
          <w:rFonts w:cstheme="minorHAnsi"/>
          <w:sz w:val="24"/>
          <w:szCs w:val="24"/>
        </w:rPr>
        <w:t xml:space="preserve">iji, izvršeni su </w:t>
      </w:r>
      <w:r w:rsidR="007015B4" w:rsidRPr="00656292">
        <w:rPr>
          <w:rFonts w:cstheme="minorHAnsi"/>
          <w:sz w:val="24"/>
          <w:szCs w:val="24"/>
        </w:rPr>
        <w:t xml:space="preserve">za </w:t>
      </w:r>
      <w:r w:rsidR="007242BD">
        <w:rPr>
          <w:rFonts w:cstheme="minorHAnsi"/>
          <w:sz w:val="24"/>
          <w:szCs w:val="24"/>
        </w:rPr>
        <w:t xml:space="preserve">izvještajno razdoblje </w:t>
      </w:r>
      <w:r w:rsidR="007015B4" w:rsidRPr="00656292">
        <w:rPr>
          <w:rFonts w:cstheme="minorHAnsi"/>
          <w:sz w:val="24"/>
          <w:szCs w:val="24"/>
        </w:rPr>
        <w:t>202</w:t>
      </w:r>
      <w:r w:rsidR="00850E0F">
        <w:rPr>
          <w:rFonts w:cstheme="minorHAnsi"/>
          <w:sz w:val="24"/>
          <w:szCs w:val="24"/>
        </w:rPr>
        <w:t>5</w:t>
      </w:r>
      <w:r w:rsidR="007015B4" w:rsidRPr="00656292">
        <w:rPr>
          <w:rFonts w:cstheme="minorHAnsi"/>
          <w:sz w:val="24"/>
          <w:szCs w:val="24"/>
        </w:rPr>
        <w:t xml:space="preserve">.godine </w:t>
      </w:r>
      <w:r w:rsidR="009C0FCE" w:rsidRPr="00656292">
        <w:rPr>
          <w:rFonts w:cstheme="minorHAnsi"/>
          <w:sz w:val="24"/>
          <w:szCs w:val="24"/>
        </w:rPr>
        <w:t xml:space="preserve">kako slijedi: </w:t>
      </w:r>
    </w:p>
    <w:p w14:paraId="048F8EFD" w14:textId="77777777" w:rsidR="002A1F95" w:rsidRPr="004A44DB" w:rsidRDefault="002A1F95" w:rsidP="004A44DB">
      <w:pPr>
        <w:jc w:val="both"/>
        <w:rPr>
          <w:rFonts w:cstheme="minorHAnsi"/>
          <w:sz w:val="24"/>
          <w:szCs w:val="24"/>
        </w:rPr>
      </w:pPr>
    </w:p>
    <w:p w14:paraId="6B0EA7C6" w14:textId="1FDDE437" w:rsidR="00B055EC" w:rsidRPr="0098702D" w:rsidRDefault="00B055EC" w:rsidP="00B055EC">
      <w:pPr>
        <w:tabs>
          <w:tab w:val="center" w:pos="4536"/>
        </w:tabs>
        <w:rPr>
          <w:rFonts w:cstheme="minorHAnsi"/>
          <w:b/>
          <w:sz w:val="28"/>
          <w:szCs w:val="28"/>
        </w:rPr>
      </w:pPr>
      <w:r w:rsidRPr="0098702D">
        <w:rPr>
          <w:rFonts w:cstheme="minorHAnsi"/>
          <w:b/>
          <w:sz w:val="28"/>
          <w:szCs w:val="28"/>
        </w:rPr>
        <w:t xml:space="preserve">1. IZVRŠENJE PO ORGANIZACIJSKOJ KLASIFIKACIJI </w:t>
      </w:r>
      <w:r w:rsidRPr="0098702D">
        <w:rPr>
          <w:rFonts w:cstheme="minorHAnsi"/>
          <w:b/>
          <w:sz w:val="28"/>
          <w:szCs w:val="28"/>
        </w:rPr>
        <w:tab/>
        <w:t xml:space="preserve"> </w:t>
      </w:r>
    </w:p>
    <w:tbl>
      <w:tblPr>
        <w:tblW w:w="11725" w:type="dxa"/>
        <w:jc w:val="center"/>
        <w:tblBorders>
          <w:top w:val="single" w:sz="4" w:space="0" w:color="000000"/>
          <w:bottom w:val="single" w:sz="4" w:space="0" w:color="000000"/>
          <w:insideH w:val="single" w:sz="4" w:space="0" w:color="000000"/>
        </w:tblBorders>
        <w:tblLook w:val="00A0" w:firstRow="1" w:lastRow="0" w:firstColumn="1" w:lastColumn="0" w:noHBand="0" w:noVBand="0"/>
      </w:tblPr>
      <w:tblGrid>
        <w:gridCol w:w="1662"/>
        <w:gridCol w:w="4439"/>
        <w:gridCol w:w="1759"/>
        <w:gridCol w:w="1455"/>
        <w:gridCol w:w="1459"/>
        <w:gridCol w:w="951"/>
      </w:tblGrid>
      <w:tr w:rsidR="00863A89" w:rsidRPr="000A5F83" w14:paraId="2479B3CF" w14:textId="77777777" w:rsidTr="008B7A0C">
        <w:trPr>
          <w:trHeight w:val="291"/>
          <w:jc w:val="center"/>
        </w:trPr>
        <w:tc>
          <w:tcPr>
            <w:tcW w:w="1662" w:type="dxa"/>
            <w:shd w:val="clear" w:color="auto" w:fill="DBE5F1"/>
            <w:vAlign w:val="center"/>
          </w:tcPr>
          <w:p w14:paraId="2C473C89" w14:textId="77777777" w:rsidR="00863A89" w:rsidRPr="000A5F83" w:rsidRDefault="00863A89" w:rsidP="00F435FF">
            <w:pPr>
              <w:rPr>
                <w:rFonts w:ascii="Arial" w:hAnsi="Arial" w:cs="Arial"/>
                <w:b/>
                <w:color w:val="000000"/>
                <w:sz w:val="18"/>
                <w:szCs w:val="18"/>
                <w:lang w:eastAsia="hr-HR"/>
              </w:rPr>
            </w:pPr>
          </w:p>
        </w:tc>
        <w:tc>
          <w:tcPr>
            <w:tcW w:w="4439" w:type="dxa"/>
            <w:shd w:val="clear" w:color="auto" w:fill="DBE5F1"/>
            <w:vAlign w:val="center"/>
          </w:tcPr>
          <w:p w14:paraId="43EA12EF" w14:textId="77777777" w:rsidR="00863A89" w:rsidRPr="000A5F83" w:rsidRDefault="00863A89" w:rsidP="00F435FF">
            <w:pPr>
              <w:rPr>
                <w:rFonts w:ascii="Arial" w:hAnsi="Arial" w:cs="Arial"/>
                <w:b/>
                <w:color w:val="000000"/>
                <w:sz w:val="18"/>
                <w:szCs w:val="18"/>
                <w:lang w:eastAsia="hr-HR"/>
              </w:rPr>
            </w:pPr>
            <w:r w:rsidRPr="000A5F83">
              <w:rPr>
                <w:rFonts w:ascii="Arial" w:hAnsi="Arial" w:cs="Arial"/>
                <w:b/>
                <w:color w:val="000000"/>
                <w:sz w:val="18"/>
                <w:szCs w:val="18"/>
                <w:lang w:eastAsia="hr-HR"/>
              </w:rPr>
              <w:t>VRSTA RASHODA / IZDATKA</w:t>
            </w:r>
          </w:p>
        </w:tc>
        <w:tc>
          <w:tcPr>
            <w:tcW w:w="1759" w:type="dxa"/>
            <w:shd w:val="clear" w:color="auto" w:fill="DBE5F1"/>
          </w:tcPr>
          <w:p w14:paraId="05E53963" w14:textId="050C04C0" w:rsidR="00863A89" w:rsidRPr="000A5F83" w:rsidRDefault="00863A89" w:rsidP="00F435FF">
            <w:pPr>
              <w:jc w:val="center"/>
              <w:rPr>
                <w:rFonts w:ascii="Arial" w:hAnsi="Arial" w:cs="Arial"/>
                <w:b/>
                <w:color w:val="000000"/>
                <w:sz w:val="18"/>
                <w:szCs w:val="18"/>
                <w:lang w:eastAsia="hr-HR"/>
              </w:rPr>
            </w:pPr>
            <w:r>
              <w:rPr>
                <w:rFonts w:ascii="Arial" w:hAnsi="Arial" w:cs="Arial"/>
                <w:b/>
                <w:color w:val="000000"/>
                <w:sz w:val="18"/>
                <w:szCs w:val="18"/>
                <w:lang w:eastAsia="hr-HR"/>
              </w:rPr>
              <w:t>IZVORNI PLAN/REBALANS  202</w:t>
            </w:r>
            <w:r w:rsidR="00850E0F">
              <w:rPr>
                <w:rFonts w:ascii="Arial" w:hAnsi="Arial" w:cs="Arial"/>
                <w:b/>
                <w:color w:val="000000"/>
                <w:sz w:val="18"/>
                <w:szCs w:val="18"/>
                <w:lang w:eastAsia="hr-HR"/>
              </w:rPr>
              <w:t>5</w:t>
            </w:r>
            <w:r>
              <w:rPr>
                <w:rFonts w:ascii="Arial" w:hAnsi="Arial" w:cs="Arial"/>
                <w:b/>
                <w:color w:val="000000"/>
                <w:sz w:val="18"/>
                <w:szCs w:val="18"/>
                <w:lang w:eastAsia="hr-HR"/>
              </w:rPr>
              <w:t>.</w:t>
            </w:r>
          </w:p>
        </w:tc>
        <w:tc>
          <w:tcPr>
            <w:tcW w:w="1455" w:type="dxa"/>
            <w:shd w:val="clear" w:color="auto" w:fill="DBE5F1"/>
            <w:vAlign w:val="center"/>
          </w:tcPr>
          <w:p w14:paraId="2A5CB585" w14:textId="1311697B" w:rsidR="00863A89" w:rsidRDefault="00863A89" w:rsidP="0079692F">
            <w:pPr>
              <w:spacing w:after="0"/>
              <w:jc w:val="center"/>
              <w:rPr>
                <w:rFonts w:ascii="Arial" w:hAnsi="Arial" w:cs="Arial"/>
                <w:b/>
                <w:color w:val="000000"/>
                <w:sz w:val="18"/>
                <w:szCs w:val="18"/>
                <w:lang w:eastAsia="hr-HR"/>
              </w:rPr>
            </w:pPr>
            <w:r>
              <w:rPr>
                <w:rFonts w:ascii="Arial" w:hAnsi="Arial" w:cs="Arial"/>
                <w:b/>
                <w:color w:val="000000"/>
                <w:sz w:val="18"/>
                <w:szCs w:val="18"/>
                <w:lang w:eastAsia="hr-HR"/>
              </w:rPr>
              <w:t>TEKUĆI PLAN 202</w:t>
            </w:r>
            <w:r w:rsidR="00850E0F">
              <w:rPr>
                <w:rFonts w:ascii="Arial" w:hAnsi="Arial" w:cs="Arial"/>
                <w:b/>
                <w:color w:val="000000"/>
                <w:sz w:val="18"/>
                <w:szCs w:val="18"/>
                <w:lang w:eastAsia="hr-HR"/>
              </w:rPr>
              <w:t>5</w:t>
            </w:r>
            <w:r w:rsidR="002A1F95">
              <w:rPr>
                <w:rFonts w:ascii="Arial" w:hAnsi="Arial" w:cs="Arial"/>
                <w:b/>
                <w:color w:val="000000"/>
                <w:sz w:val="18"/>
                <w:szCs w:val="18"/>
                <w:lang w:eastAsia="hr-HR"/>
              </w:rPr>
              <w:t>.</w:t>
            </w:r>
          </w:p>
        </w:tc>
        <w:tc>
          <w:tcPr>
            <w:tcW w:w="1459" w:type="dxa"/>
            <w:shd w:val="clear" w:color="auto" w:fill="DBE5F1"/>
            <w:vAlign w:val="center"/>
          </w:tcPr>
          <w:p w14:paraId="45D74748" w14:textId="68596BC2" w:rsidR="00863A89" w:rsidRDefault="00863A89" w:rsidP="0079692F">
            <w:pPr>
              <w:spacing w:after="0"/>
              <w:jc w:val="center"/>
              <w:rPr>
                <w:rFonts w:ascii="Arial" w:hAnsi="Arial" w:cs="Arial"/>
                <w:b/>
                <w:color w:val="000000"/>
                <w:sz w:val="18"/>
                <w:szCs w:val="18"/>
                <w:lang w:eastAsia="hr-HR"/>
              </w:rPr>
            </w:pPr>
            <w:r>
              <w:rPr>
                <w:rFonts w:ascii="Arial" w:hAnsi="Arial" w:cs="Arial"/>
                <w:b/>
                <w:color w:val="000000"/>
                <w:sz w:val="18"/>
                <w:szCs w:val="18"/>
                <w:lang w:eastAsia="hr-HR"/>
              </w:rPr>
              <w:t>IZVRŠENJE</w:t>
            </w:r>
          </w:p>
          <w:p w14:paraId="6ED67776" w14:textId="7138EBCF" w:rsidR="00863A89" w:rsidRPr="000A5F83" w:rsidRDefault="00863A89" w:rsidP="0079692F">
            <w:pPr>
              <w:spacing w:after="0"/>
              <w:jc w:val="center"/>
              <w:rPr>
                <w:rFonts w:ascii="Arial" w:hAnsi="Arial" w:cs="Arial"/>
                <w:b/>
                <w:color w:val="000000"/>
                <w:sz w:val="18"/>
                <w:szCs w:val="18"/>
                <w:lang w:eastAsia="hr-HR"/>
              </w:rPr>
            </w:pPr>
            <w:r>
              <w:rPr>
                <w:rFonts w:ascii="Arial" w:hAnsi="Arial" w:cs="Arial"/>
                <w:b/>
                <w:color w:val="000000"/>
                <w:sz w:val="18"/>
                <w:szCs w:val="18"/>
                <w:lang w:eastAsia="hr-HR"/>
              </w:rPr>
              <w:t>202</w:t>
            </w:r>
            <w:r w:rsidR="00850E0F">
              <w:rPr>
                <w:rFonts w:ascii="Arial" w:hAnsi="Arial" w:cs="Arial"/>
                <w:b/>
                <w:color w:val="000000"/>
                <w:sz w:val="18"/>
                <w:szCs w:val="18"/>
                <w:lang w:eastAsia="hr-HR"/>
              </w:rPr>
              <w:t>5</w:t>
            </w:r>
            <w:r w:rsidRPr="000A5F83">
              <w:rPr>
                <w:rFonts w:ascii="Arial" w:hAnsi="Arial" w:cs="Arial"/>
                <w:b/>
                <w:color w:val="000000"/>
                <w:sz w:val="18"/>
                <w:szCs w:val="18"/>
                <w:lang w:eastAsia="hr-HR"/>
              </w:rPr>
              <w:t>.</w:t>
            </w:r>
          </w:p>
        </w:tc>
        <w:tc>
          <w:tcPr>
            <w:tcW w:w="951" w:type="dxa"/>
            <w:shd w:val="clear" w:color="auto" w:fill="DBE5F1"/>
            <w:vAlign w:val="center"/>
          </w:tcPr>
          <w:p w14:paraId="34B1CFB2" w14:textId="0C10875D" w:rsidR="00863A89" w:rsidRPr="000A5F83" w:rsidRDefault="00863A89" w:rsidP="00F435FF">
            <w:pPr>
              <w:jc w:val="center"/>
              <w:rPr>
                <w:rFonts w:ascii="Arial" w:hAnsi="Arial" w:cs="Arial"/>
                <w:b/>
                <w:color w:val="000000"/>
                <w:sz w:val="18"/>
                <w:szCs w:val="18"/>
                <w:lang w:eastAsia="hr-HR"/>
              </w:rPr>
            </w:pPr>
            <w:r w:rsidRPr="000A5F83">
              <w:rPr>
                <w:rFonts w:ascii="Arial" w:hAnsi="Arial" w:cs="Arial"/>
                <w:b/>
                <w:color w:val="000000"/>
                <w:sz w:val="18"/>
                <w:szCs w:val="18"/>
                <w:lang w:eastAsia="hr-HR"/>
              </w:rPr>
              <w:t>INDEKS</w:t>
            </w:r>
            <w:r>
              <w:rPr>
                <w:rFonts w:ascii="Arial" w:hAnsi="Arial" w:cs="Arial"/>
                <w:b/>
                <w:color w:val="000000"/>
                <w:sz w:val="18"/>
                <w:szCs w:val="18"/>
                <w:lang w:eastAsia="hr-HR"/>
              </w:rPr>
              <w:t xml:space="preserve"> (3/</w:t>
            </w:r>
            <w:r w:rsidR="00973095">
              <w:rPr>
                <w:rFonts w:ascii="Arial" w:hAnsi="Arial" w:cs="Arial"/>
                <w:b/>
                <w:color w:val="000000"/>
                <w:sz w:val="18"/>
                <w:szCs w:val="18"/>
                <w:lang w:eastAsia="hr-HR"/>
              </w:rPr>
              <w:t>2</w:t>
            </w:r>
            <w:r>
              <w:rPr>
                <w:rFonts w:ascii="Arial" w:hAnsi="Arial" w:cs="Arial"/>
                <w:b/>
                <w:color w:val="000000"/>
                <w:sz w:val="18"/>
                <w:szCs w:val="18"/>
                <w:lang w:eastAsia="hr-HR"/>
              </w:rPr>
              <w:t>)</w:t>
            </w:r>
          </w:p>
        </w:tc>
      </w:tr>
      <w:tr w:rsidR="00863A89" w:rsidRPr="000A5F83" w14:paraId="47973A62" w14:textId="77777777" w:rsidTr="002A1F95">
        <w:trPr>
          <w:trHeight w:val="175"/>
          <w:jc w:val="center"/>
        </w:trPr>
        <w:tc>
          <w:tcPr>
            <w:tcW w:w="1662" w:type="dxa"/>
            <w:shd w:val="clear" w:color="auto" w:fill="DBE5F1"/>
            <w:vAlign w:val="center"/>
          </w:tcPr>
          <w:p w14:paraId="6BF3E55D" w14:textId="77777777" w:rsidR="00863A89" w:rsidRPr="000A5F83" w:rsidRDefault="00863A89" w:rsidP="00F435FF">
            <w:pPr>
              <w:rPr>
                <w:rFonts w:ascii="Arial" w:hAnsi="Arial" w:cs="Arial"/>
                <w:b/>
                <w:color w:val="000000"/>
                <w:sz w:val="18"/>
                <w:szCs w:val="18"/>
                <w:lang w:eastAsia="hr-HR"/>
              </w:rPr>
            </w:pPr>
          </w:p>
        </w:tc>
        <w:tc>
          <w:tcPr>
            <w:tcW w:w="4439" w:type="dxa"/>
            <w:shd w:val="clear" w:color="auto" w:fill="DBE5F1"/>
            <w:vAlign w:val="center"/>
          </w:tcPr>
          <w:p w14:paraId="06B30079" w14:textId="77777777" w:rsidR="00863A89" w:rsidRPr="000A5F83" w:rsidRDefault="00863A89" w:rsidP="00F435FF">
            <w:pPr>
              <w:rPr>
                <w:rFonts w:ascii="Arial" w:hAnsi="Arial" w:cs="Arial"/>
                <w:b/>
                <w:color w:val="000000"/>
                <w:sz w:val="18"/>
                <w:szCs w:val="18"/>
                <w:lang w:eastAsia="hr-HR"/>
              </w:rPr>
            </w:pPr>
          </w:p>
        </w:tc>
        <w:tc>
          <w:tcPr>
            <w:tcW w:w="1759" w:type="dxa"/>
            <w:shd w:val="clear" w:color="auto" w:fill="DBE5F1"/>
            <w:vAlign w:val="center"/>
          </w:tcPr>
          <w:p w14:paraId="1C25D3C9" w14:textId="77777777" w:rsidR="00863A89" w:rsidRDefault="00863A89" w:rsidP="0079692F">
            <w:pPr>
              <w:jc w:val="center"/>
              <w:rPr>
                <w:rFonts w:ascii="Arial" w:hAnsi="Arial" w:cs="Arial"/>
                <w:b/>
                <w:color w:val="000000"/>
                <w:sz w:val="18"/>
                <w:szCs w:val="18"/>
                <w:lang w:eastAsia="hr-HR"/>
              </w:rPr>
            </w:pPr>
            <w:r>
              <w:rPr>
                <w:rFonts w:ascii="Arial" w:hAnsi="Arial" w:cs="Arial"/>
                <w:b/>
                <w:color w:val="000000"/>
                <w:sz w:val="18"/>
                <w:szCs w:val="18"/>
                <w:lang w:eastAsia="hr-HR"/>
              </w:rPr>
              <w:t>(1)</w:t>
            </w:r>
          </w:p>
        </w:tc>
        <w:tc>
          <w:tcPr>
            <w:tcW w:w="1455" w:type="dxa"/>
            <w:shd w:val="clear" w:color="auto" w:fill="DBE5F1"/>
            <w:vAlign w:val="center"/>
          </w:tcPr>
          <w:p w14:paraId="0FB83C01" w14:textId="0E3F7238" w:rsidR="00863A89" w:rsidRDefault="00863A89" w:rsidP="0079692F">
            <w:pPr>
              <w:spacing w:after="0"/>
              <w:jc w:val="center"/>
              <w:rPr>
                <w:rFonts w:ascii="Arial" w:hAnsi="Arial" w:cs="Arial"/>
                <w:b/>
                <w:color w:val="000000"/>
                <w:sz w:val="18"/>
                <w:szCs w:val="18"/>
                <w:lang w:eastAsia="hr-HR"/>
              </w:rPr>
            </w:pPr>
            <w:r>
              <w:rPr>
                <w:rFonts w:ascii="Arial" w:hAnsi="Arial" w:cs="Arial"/>
                <w:b/>
                <w:color w:val="000000"/>
                <w:sz w:val="18"/>
                <w:szCs w:val="18"/>
                <w:lang w:eastAsia="hr-HR"/>
              </w:rPr>
              <w:t>(2)</w:t>
            </w:r>
          </w:p>
        </w:tc>
        <w:tc>
          <w:tcPr>
            <w:tcW w:w="1459" w:type="dxa"/>
            <w:shd w:val="clear" w:color="auto" w:fill="DBE5F1"/>
            <w:vAlign w:val="center"/>
          </w:tcPr>
          <w:p w14:paraId="723A97D7" w14:textId="2AFD4726" w:rsidR="00863A89" w:rsidRDefault="00863A89" w:rsidP="0079692F">
            <w:pPr>
              <w:spacing w:after="0"/>
              <w:jc w:val="center"/>
              <w:rPr>
                <w:rFonts w:ascii="Arial" w:hAnsi="Arial" w:cs="Arial"/>
                <w:b/>
                <w:color w:val="000000"/>
                <w:sz w:val="18"/>
                <w:szCs w:val="18"/>
                <w:lang w:eastAsia="hr-HR"/>
              </w:rPr>
            </w:pPr>
            <w:r>
              <w:rPr>
                <w:rFonts w:ascii="Arial" w:hAnsi="Arial" w:cs="Arial"/>
                <w:b/>
                <w:color w:val="000000"/>
                <w:sz w:val="18"/>
                <w:szCs w:val="18"/>
                <w:lang w:eastAsia="hr-HR"/>
              </w:rPr>
              <w:t>(3)</w:t>
            </w:r>
          </w:p>
        </w:tc>
        <w:tc>
          <w:tcPr>
            <w:tcW w:w="951" w:type="dxa"/>
            <w:shd w:val="clear" w:color="auto" w:fill="DBE5F1"/>
            <w:vAlign w:val="center"/>
          </w:tcPr>
          <w:p w14:paraId="4CDFFA6E" w14:textId="4B413E17" w:rsidR="00863A89" w:rsidRPr="000A5F83" w:rsidRDefault="00863A89" w:rsidP="0079692F">
            <w:pPr>
              <w:jc w:val="center"/>
              <w:rPr>
                <w:rFonts w:ascii="Arial" w:hAnsi="Arial" w:cs="Arial"/>
                <w:b/>
                <w:color w:val="000000"/>
                <w:sz w:val="18"/>
                <w:szCs w:val="18"/>
                <w:lang w:eastAsia="hr-HR"/>
              </w:rPr>
            </w:pPr>
            <w:r>
              <w:rPr>
                <w:rFonts w:ascii="Arial" w:hAnsi="Arial" w:cs="Arial"/>
                <w:b/>
                <w:color w:val="000000"/>
                <w:sz w:val="18"/>
                <w:szCs w:val="18"/>
                <w:lang w:eastAsia="hr-HR"/>
              </w:rPr>
              <w:t>(4)</w:t>
            </w:r>
          </w:p>
        </w:tc>
      </w:tr>
      <w:tr w:rsidR="00863A89" w:rsidRPr="000A5F83" w14:paraId="3F8A8171" w14:textId="77777777" w:rsidTr="004B4A45">
        <w:trPr>
          <w:trHeight w:val="291"/>
          <w:jc w:val="center"/>
        </w:trPr>
        <w:tc>
          <w:tcPr>
            <w:tcW w:w="1662" w:type="dxa"/>
            <w:shd w:val="clear" w:color="auto" w:fill="FDE9D9"/>
            <w:vAlign w:val="center"/>
          </w:tcPr>
          <w:p w14:paraId="0FA79513" w14:textId="77777777" w:rsidR="00863A89" w:rsidRPr="000A5F83" w:rsidRDefault="00863A89" w:rsidP="00F435FF">
            <w:pPr>
              <w:rPr>
                <w:rFonts w:ascii="Arial" w:hAnsi="Arial" w:cs="Arial"/>
                <w:b/>
                <w:bCs/>
                <w:sz w:val="18"/>
                <w:szCs w:val="18"/>
                <w:lang w:eastAsia="hr-HR"/>
              </w:rPr>
            </w:pPr>
          </w:p>
        </w:tc>
        <w:tc>
          <w:tcPr>
            <w:tcW w:w="4439" w:type="dxa"/>
            <w:shd w:val="clear" w:color="auto" w:fill="FDE9D9"/>
            <w:vAlign w:val="center"/>
          </w:tcPr>
          <w:p w14:paraId="2B0EBAB8" w14:textId="77777777" w:rsidR="00863A89" w:rsidRPr="00A42A4E" w:rsidRDefault="00863A89" w:rsidP="00F435FF">
            <w:pPr>
              <w:rPr>
                <w:rFonts w:ascii="Arial" w:hAnsi="Arial" w:cs="Arial"/>
                <w:b/>
                <w:bCs/>
                <w:sz w:val="18"/>
                <w:szCs w:val="18"/>
                <w:lang w:eastAsia="hr-HR"/>
              </w:rPr>
            </w:pPr>
            <w:r w:rsidRPr="00A42A4E">
              <w:rPr>
                <w:rFonts w:ascii="Arial" w:hAnsi="Arial" w:cs="Arial"/>
                <w:b/>
                <w:bCs/>
                <w:sz w:val="18"/>
                <w:szCs w:val="18"/>
                <w:lang w:eastAsia="hr-HR"/>
              </w:rPr>
              <w:t>SVEUKUPNO RASHODI / IZDACI</w:t>
            </w:r>
          </w:p>
        </w:tc>
        <w:tc>
          <w:tcPr>
            <w:tcW w:w="1759" w:type="dxa"/>
            <w:shd w:val="clear" w:color="auto" w:fill="FDE9D9"/>
            <w:vAlign w:val="center"/>
          </w:tcPr>
          <w:p w14:paraId="6F1DDCE3" w14:textId="4D9D9C1E" w:rsidR="00863A89" w:rsidRDefault="002A1F95" w:rsidP="00BB409D">
            <w:pPr>
              <w:jc w:val="center"/>
              <w:rPr>
                <w:rFonts w:ascii="Arial" w:hAnsi="Arial" w:cs="Arial"/>
                <w:b/>
                <w:bCs/>
                <w:sz w:val="18"/>
                <w:szCs w:val="18"/>
              </w:rPr>
            </w:pPr>
            <w:r>
              <w:rPr>
                <w:rFonts w:ascii="Arial" w:hAnsi="Arial" w:cs="Arial"/>
                <w:b/>
                <w:bCs/>
                <w:sz w:val="18"/>
                <w:szCs w:val="18"/>
              </w:rPr>
              <w:t>25.461.515,09</w:t>
            </w:r>
          </w:p>
        </w:tc>
        <w:tc>
          <w:tcPr>
            <w:tcW w:w="1455" w:type="dxa"/>
            <w:shd w:val="clear" w:color="auto" w:fill="FDE9D9"/>
            <w:vAlign w:val="center"/>
          </w:tcPr>
          <w:p w14:paraId="783D2C8C" w14:textId="19D035F3" w:rsidR="00863A89" w:rsidRDefault="002A1F95" w:rsidP="00BB409D">
            <w:pPr>
              <w:jc w:val="center"/>
              <w:rPr>
                <w:rFonts w:ascii="Arial" w:hAnsi="Arial" w:cs="Arial"/>
                <w:b/>
                <w:bCs/>
                <w:sz w:val="18"/>
                <w:szCs w:val="18"/>
              </w:rPr>
            </w:pPr>
            <w:r>
              <w:rPr>
                <w:rFonts w:ascii="Arial" w:hAnsi="Arial" w:cs="Arial"/>
                <w:b/>
                <w:bCs/>
                <w:sz w:val="18"/>
                <w:szCs w:val="18"/>
              </w:rPr>
              <w:t>25.461.515,09</w:t>
            </w:r>
          </w:p>
        </w:tc>
        <w:tc>
          <w:tcPr>
            <w:tcW w:w="1459" w:type="dxa"/>
            <w:shd w:val="clear" w:color="auto" w:fill="FDE9D9"/>
            <w:vAlign w:val="center"/>
          </w:tcPr>
          <w:p w14:paraId="67AFEB92" w14:textId="0B467101" w:rsidR="00863A89" w:rsidRPr="00A42A4E" w:rsidRDefault="002A1F95" w:rsidP="00BB409D">
            <w:pPr>
              <w:jc w:val="center"/>
              <w:rPr>
                <w:rFonts w:ascii="Arial" w:hAnsi="Arial" w:cs="Arial"/>
                <w:b/>
                <w:bCs/>
                <w:sz w:val="18"/>
                <w:szCs w:val="18"/>
              </w:rPr>
            </w:pPr>
            <w:r>
              <w:rPr>
                <w:rFonts w:ascii="Arial" w:hAnsi="Arial" w:cs="Arial"/>
                <w:b/>
                <w:bCs/>
                <w:sz w:val="18"/>
                <w:szCs w:val="18"/>
              </w:rPr>
              <w:t>19.932.543,62</w:t>
            </w:r>
          </w:p>
        </w:tc>
        <w:tc>
          <w:tcPr>
            <w:tcW w:w="951" w:type="dxa"/>
            <w:shd w:val="clear" w:color="auto" w:fill="FDE9D9"/>
            <w:vAlign w:val="center"/>
          </w:tcPr>
          <w:p w14:paraId="62ED2AA9" w14:textId="5316032A" w:rsidR="00863A89" w:rsidRPr="00A42A4E" w:rsidRDefault="002A1F95" w:rsidP="00BB409D">
            <w:pPr>
              <w:jc w:val="center"/>
              <w:rPr>
                <w:rFonts w:ascii="Arial" w:hAnsi="Arial" w:cs="Arial"/>
                <w:b/>
                <w:bCs/>
                <w:sz w:val="18"/>
                <w:szCs w:val="18"/>
              </w:rPr>
            </w:pPr>
            <w:r>
              <w:rPr>
                <w:rFonts w:ascii="Arial" w:hAnsi="Arial" w:cs="Arial"/>
                <w:b/>
                <w:bCs/>
                <w:sz w:val="18"/>
                <w:szCs w:val="18"/>
              </w:rPr>
              <w:t>78,28</w:t>
            </w:r>
            <w:r w:rsidR="00973095">
              <w:rPr>
                <w:rFonts w:ascii="Arial" w:hAnsi="Arial" w:cs="Arial"/>
                <w:b/>
                <w:bCs/>
                <w:sz w:val="18"/>
                <w:szCs w:val="18"/>
              </w:rPr>
              <w:t>%</w:t>
            </w:r>
          </w:p>
        </w:tc>
      </w:tr>
      <w:tr w:rsidR="00863A89" w:rsidRPr="000A5F83" w14:paraId="49970AA3" w14:textId="77777777" w:rsidTr="004B4A45">
        <w:trPr>
          <w:trHeight w:val="291"/>
          <w:jc w:val="center"/>
        </w:trPr>
        <w:tc>
          <w:tcPr>
            <w:tcW w:w="1662" w:type="dxa"/>
            <w:shd w:val="clear" w:color="auto" w:fill="DBE5F1"/>
            <w:vAlign w:val="center"/>
          </w:tcPr>
          <w:p w14:paraId="3F94A30B" w14:textId="77777777" w:rsidR="00863A89" w:rsidRPr="000A5F83" w:rsidRDefault="00863A89" w:rsidP="00F435FF">
            <w:pPr>
              <w:rPr>
                <w:rFonts w:ascii="Arial" w:hAnsi="Arial" w:cs="Arial"/>
                <w:b/>
                <w:bCs/>
                <w:sz w:val="18"/>
                <w:szCs w:val="18"/>
                <w:lang w:eastAsia="hr-HR"/>
              </w:rPr>
            </w:pPr>
            <w:r>
              <w:rPr>
                <w:rFonts w:ascii="Arial" w:hAnsi="Arial" w:cs="Arial"/>
                <w:b/>
                <w:bCs/>
                <w:sz w:val="18"/>
                <w:szCs w:val="18"/>
                <w:lang w:eastAsia="hr-HR"/>
              </w:rPr>
              <w:t>Razdjel  020</w:t>
            </w:r>
          </w:p>
        </w:tc>
        <w:tc>
          <w:tcPr>
            <w:tcW w:w="4439" w:type="dxa"/>
            <w:shd w:val="clear" w:color="auto" w:fill="DBE5F1"/>
            <w:vAlign w:val="center"/>
          </w:tcPr>
          <w:p w14:paraId="443FB26A" w14:textId="77777777" w:rsidR="00863A89" w:rsidRPr="000A5F83" w:rsidRDefault="00863A89" w:rsidP="00F435FF">
            <w:pPr>
              <w:rPr>
                <w:rFonts w:ascii="Arial" w:hAnsi="Arial" w:cs="Arial"/>
                <w:b/>
                <w:bCs/>
                <w:sz w:val="18"/>
                <w:szCs w:val="18"/>
                <w:lang w:eastAsia="hr-HR"/>
              </w:rPr>
            </w:pPr>
            <w:r>
              <w:rPr>
                <w:rFonts w:ascii="Arial" w:hAnsi="Arial" w:cs="Arial"/>
                <w:b/>
                <w:bCs/>
                <w:sz w:val="18"/>
                <w:szCs w:val="18"/>
                <w:lang w:eastAsia="hr-HR"/>
              </w:rPr>
              <w:t xml:space="preserve">UPRAVNI ODJEL ZA LOKALNU SAMOUPRAVU I IMOVINU GRADA </w:t>
            </w:r>
          </w:p>
        </w:tc>
        <w:tc>
          <w:tcPr>
            <w:tcW w:w="1759" w:type="dxa"/>
            <w:shd w:val="clear" w:color="auto" w:fill="DBE5F1"/>
            <w:vAlign w:val="center"/>
          </w:tcPr>
          <w:p w14:paraId="5AAC690B" w14:textId="1347F17B" w:rsidR="00863A89" w:rsidRDefault="002A1F95" w:rsidP="00BB409D">
            <w:pPr>
              <w:jc w:val="center"/>
              <w:rPr>
                <w:rFonts w:ascii="Arial" w:hAnsi="Arial" w:cs="Arial"/>
                <w:b/>
                <w:bCs/>
                <w:sz w:val="18"/>
                <w:szCs w:val="18"/>
              </w:rPr>
            </w:pPr>
            <w:r>
              <w:rPr>
                <w:rFonts w:ascii="Arial" w:hAnsi="Arial" w:cs="Arial"/>
                <w:b/>
                <w:bCs/>
                <w:sz w:val="18"/>
                <w:szCs w:val="18"/>
              </w:rPr>
              <w:t>3.906.865,00</w:t>
            </w:r>
          </w:p>
        </w:tc>
        <w:tc>
          <w:tcPr>
            <w:tcW w:w="1455" w:type="dxa"/>
            <w:shd w:val="clear" w:color="auto" w:fill="DBE5F1"/>
            <w:vAlign w:val="center"/>
          </w:tcPr>
          <w:p w14:paraId="6829E72D" w14:textId="67770911" w:rsidR="00863A89" w:rsidRDefault="002A1F95" w:rsidP="00BB409D">
            <w:pPr>
              <w:jc w:val="center"/>
              <w:rPr>
                <w:rFonts w:ascii="Arial" w:hAnsi="Arial" w:cs="Arial"/>
                <w:b/>
                <w:bCs/>
                <w:sz w:val="18"/>
                <w:szCs w:val="18"/>
              </w:rPr>
            </w:pPr>
            <w:r>
              <w:rPr>
                <w:rFonts w:ascii="Arial" w:hAnsi="Arial" w:cs="Arial"/>
                <w:b/>
                <w:bCs/>
                <w:sz w:val="18"/>
                <w:szCs w:val="18"/>
              </w:rPr>
              <w:t>3.916.865,00</w:t>
            </w:r>
          </w:p>
        </w:tc>
        <w:tc>
          <w:tcPr>
            <w:tcW w:w="1459" w:type="dxa"/>
            <w:shd w:val="clear" w:color="auto" w:fill="DBE5F1"/>
            <w:vAlign w:val="center"/>
          </w:tcPr>
          <w:p w14:paraId="2346B15A" w14:textId="031A0020" w:rsidR="00863A89" w:rsidRPr="00A42A4E" w:rsidRDefault="002A1F95" w:rsidP="00BB409D">
            <w:pPr>
              <w:jc w:val="center"/>
              <w:rPr>
                <w:rFonts w:ascii="Arial" w:hAnsi="Arial" w:cs="Arial"/>
                <w:b/>
                <w:bCs/>
                <w:sz w:val="18"/>
                <w:szCs w:val="18"/>
              </w:rPr>
            </w:pPr>
            <w:r>
              <w:rPr>
                <w:rFonts w:ascii="Arial" w:hAnsi="Arial" w:cs="Arial"/>
                <w:b/>
                <w:bCs/>
                <w:sz w:val="18"/>
                <w:szCs w:val="18"/>
              </w:rPr>
              <w:t>3.286.573,84</w:t>
            </w:r>
          </w:p>
        </w:tc>
        <w:tc>
          <w:tcPr>
            <w:tcW w:w="951" w:type="dxa"/>
            <w:shd w:val="clear" w:color="auto" w:fill="DBE5F1"/>
            <w:vAlign w:val="center"/>
          </w:tcPr>
          <w:p w14:paraId="6A0E81D0" w14:textId="42C0BFE2" w:rsidR="00863A89" w:rsidRPr="00A42A4E" w:rsidRDefault="002A1F95" w:rsidP="00BB409D">
            <w:pPr>
              <w:jc w:val="center"/>
              <w:rPr>
                <w:rFonts w:ascii="Arial" w:hAnsi="Arial" w:cs="Arial"/>
                <w:b/>
                <w:bCs/>
                <w:sz w:val="18"/>
                <w:szCs w:val="18"/>
              </w:rPr>
            </w:pPr>
            <w:r>
              <w:rPr>
                <w:rFonts w:ascii="Arial" w:hAnsi="Arial" w:cs="Arial"/>
                <w:b/>
                <w:bCs/>
                <w:sz w:val="18"/>
                <w:szCs w:val="18"/>
              </w:rPr>
              <w:t>83,91</w:t>
            </w:r>
            <w:r w:rsidR="00973095">
              <w:rPr>
                <w:rFonts w:ascii="Arial" w:hAnsi="Arial" w:cs="Arial"/>
                <w:b/>
                <w:bCs/>
                <w:sz w:val="18"/>
                <w:szCs w:val="18"/>
              </w:rPr>
              <w:t>%</w:t>
            </w:r>
          </w:p>
        </w:tc>
      </w:tr>
      <w:tr w:rsidR="00863A89" w:rsidRPr="000A5F83" w14:paraId="558CF2DC" w14:textId="77777777" w:rsidTr="004B4A45">
        <w:trPr>
          <w:trHeight w:val="291"/>
          <w:jc w:val="center"/>
        </w:trPr>
        <w:tc>
          <w:tcPr>
            <w:tcW w:w="1662" w:type="dxa"/>
            <w:shd w:val="clear" w:color="auto" w:fill="DBE5F1"/>
            <w:vAlign w:val="center"/>
          </w:tcPr>
          <w:p w14:paraId="427FF5A4" w14:textId="77777777" w:rsidR="00863A89" w:rsidRDefault="00863A89" w:rsidP="00F435FF">
            <w:pPr>
              <w:rPr>
                <w:rFonts w:ascii="Arial" w:hAnsi="Arial" w:cs="Arial"/>
                <w:b/>
                <w:bCs/>
                <w:sz w:val="18"/>
                <w:szCs w:val="18"/>
                <w:lang w:eastAsia="hr-HR"/>
              </w:rPr>
            </w:pPr>
            <w:r>
              <w:rPr>
                <w:rFonts w:ascii="Arial" w:hAnsi="Arial" w:cs="Arial"/>
                <w:b/>
                <w:bCs/>
                <w:sz w:val="18"/>
                <w:szCs w:val="18"/>
                <w:lang w:eastAsia="hr-HR"/>
              </w:rPr>
              <w:t>Glava 02001</w:t>
            </w:r>
          </w:p>
        </w:tc>
        <w:tc>
          <w:tcPr>
            <w:tcW w:w="4439" w:type="dxa"/>
            <w:shd w:val="clear" w:color="auto" w:fill="DBE5F1"/>
            <w:vAlign w:val="center"/>
          </w:tcPr>
          <w:p w14:paraId="41FF7A08" w14:textId="77777777" w:rsidR="00863A89" w:rsidRDefault="00863A89" w:rsidP="00F435FF">
            <w:pPr>
              <w:rPr>
                <w:rFonts w:ascii="Arial" w:hAnsi="Arial" w:cs="Arial"/>
                <w:b/>
                <w:bCs/>
                <w:sz w:val="18"/>
                <w:szCs w:val="18"/>
                <w:lang w:eastAsia="hr-HR"/>
              </w:rPr>
            </w:pPr>
            <w:r>
              <w:rPr>
                <w:rFonts w:ascii="Arial" w:hAnsi="Arial" w:cs="Arial"/>
                <w:b/>
                <w:bCs/>
                <w:sz w:val="18"/>
                <w:szCs w:val="18"/>
                <w:lang w:eastAsia="hr-HR"/>
              </w:rPr>
              <w:t>UPRAVNI ODJEL ZA LOKALNU SAMOUPRAVU I IMOVINU GRADA</w:t>
            </w:r>
          </w:p>
        </w:tc>
        <w:tc>
          <w:tcPr>
            <w:tcW w:w="1759" w:type="dxa"/>
            <w:shd w:val="clear" w:color="auto" w:fill="DBE5F1"/>
            <w:vAlign w:val="center"/>
          </w:tcPr>
          <w:p w14:paraId="00F95C80" w14:textId="36F0DB2B" w:rsidR="00863A89" w:rsidRDefault="002A1F95" w:rsidP="00BB409D">
            <w:pPr>
              <w:jc w:val="center"/>
              <w:rPr>
                <w:rFonts w:ascii="Arial" w:hAnsi="Arial" w:cs="Arial"/>
                <w:b/>
                <w:bCs/>
                <w:sz w:val="18"/>
                <w:szCs w:val="18"/>
              </w:rPr>
            </w:pPr>
            <w:r>
              <w:rPr>
                <w:rFonts w:ascii="Arial" w:hAnsi="Arial" w:cs="Arial"/>
                <w:b/>
                <w:bCs/>
                <w:sz w:val="18"/>
                <w:szCs w:val="18"/>
              </w:rPr>
              <w:t>3.906.865,00</w:t>
            </w:r>
          </w:p>
        </w:tc>
        <w:tc>
          <w:tcPr>
            <w:tcW w:w="1455" w:type="dxa"/>
            <w:shd w:val="clear" w:color="auto" w:fill="DBE5F1"/>
            <w:vAlign w:val="center"/>
          </w:tcPr>
          <w:p w14:paraId="6F528AA5" w14:textId="7AF43F78" w:rsidR="00863A89" w:rsidRDefault="002A1F95" w:rsidP="00BB409D">
            <w:pPr>
              <w:jc w:val="center"/>
              <w:rPr>
                <w:rFonts w:ascii="Arial" w:hAnsi="Arial" w:cs="Arial"/>
                <w:b/>
                <w:bCs/>
                <w:sz w:val="18"/>
                <w:szCs w:val="18"/>
              </w:rPr>
            </w:pPr>
            <w:r>
              <w:rPr>
                <w:rFonts w:ascii="Arial" w:hAnsi="Arial" w:cs="Arial"/>
                <w:b/>
                <w:bCs/>
                <w:sz w:val="18"/>
                <w:szCs w:val="18"/>
              </w:rPr>
              <w:t>3.916.865,00</w:t>
            </w:r>
          </w:p>
        </w:tc>
        <w:tc>
          <w:tcPr>
            <w:tcW w:w="1459" w:type="dxa"/>
            <w:shd w:val="clear" w:color="auto" w:fill="DBE5F1"/>
            <w:vAlign w:val="center"/>
          </w:tcPr>
          <w:p w14:paraId="795E5AEF" w14:textId="5BEB2EB3" w:rsidR="00863A89" w:rsidRPr="00A42A4E" w:rsidRDefault="002A1F95" w:rsidP="00BB409D">
            <w:pPr>
              <w:jc w:val="center"/>
              <w:rPr>
                <w:rFonts w:ascii="Arial" w:hAnsi="Arial" w:cs="Arial"/>
                <w:b/>
                <w:bCs/>
                <w:sz w:val="18"/>
                <w:szCs w:val="18"/>
              </w:rPr>
            </w:pPr>
            <w:r>
              <w:rPr>
                <w:rFonts w:ascii="Arial" w:hAnsi="Arial" w:cs="Arial"/>
                <w:b/>
                <w:bCs/>
                <w:sz w:val="18"/>
                <w:szCs w:val="18"/>
              </w:rPr>
              <w:t>3.286.573,84</w:t>
            </w:r>
          </w:p>
        </w:tc>
        <w:tc>
          <w:tcPr>
            <w:tcW w:w="951" w:type="dxa"/>
            <w:shd w:val="clear" w:color="auto" w:fill="DBE5F1"/>
            <w:vAlign w:val="center"/>
          </w:tcPr>
          <w:p w14:paraId="33D38B1F" w14:textId="52943587" w:rsidR="00863A89" w:rsidRPr="00A42A4E" w:rsidRDefault="002A1F95" w:rsidP="00BB409D">
            <w:pPr>
              <w:jc w:val="center"/>
              <w:rPr>
                <w:rFonts w:ascii="Arial" w:hAnsi="Arial" w:cs="Arial"/>
                <w:b/>
                <w:bCs/>
                <w:sz w:val="18"/>
                <w:szCs w:val="18"/>
              </w:rPr>
            </w:pPr>
            <w:r>
              <w:rPr>
                <w:rFonts w:ascii="Arial" w:hAnsi="Arial" w:cs="Arial"/>
                <w:b/>
                <w:bCs/>
                <w:sz w:val="18"/>
                <w:szCs w:val="18"/>
              </w:rPr>
              <w:t>83,91%</w:t>
            </w:r>
          </w:p>
        </w:tc>
      </w:tr>
      <w:tr w:rsidR="00863A89" w:rsidRPr="000A5F83" w14:paraId="3266619E" w14:textId="77777777" w:rsidTr="004B4A45">
        <w:trPr>
          <w:trHeight w:val="291"/>
          <w:jc w:val="center"/>
        </w:trPr>
        <w:tc>
          <w:tcPr>
            <w:tcW w:w="1662" w:type="dxa"/>
            <w:shd w:val="clear" w:color="auto" w:fill="DBE5F1"/>
            <w:vAlign w:val="center"/>
          </w:tcPr>
          <w:p w14:paraId="1B4DD085" w14:textId="77777777" w:rsidR="00863A89" w:rsidRDefault="00863A89" w:rsidP="00F435FF">
            <w:pPr>
              <w:rPr>
                <w:rFonts w:ascii="Arial" w:hAnsi="Arial" w:cs="Arial"/>
                <w:b/>
                <w:bCs/>
                <w:sz w:val="18"/>
                <w:szCs w:val="18"/>
                <w:lang w:eastAsia="hr-HR"/>
              </w:rPr>
            </w:pPr>
            <w:r>
              <w:rPr>
                <w:rFonts w:ascii="Arial" w:hAnsi="Arial" w:cs="Arial"/>
                <w:b/>
                <w:bCs/>
                <w:sz w:val="18"/>
                <w:szCs w:val="18"/>
                <w:lang w:eastAsia="hr-HR"/>
              </w:rPr>
              <w:t>Razdjel 021</w:t>
            </w:r>
          </w:p>
        </w:tc>
        <w:tc>
          <w:tcPr>
            <w:tcW w:w="4439" w:type="dxa"/>
            <w:shd w:val="clear" w:color="auto" w:fill="DBE5F1"/>
            <w:vAlign w:val="center"/>
          </w:tcPr>
          <w:p w14:paraId="134535B1" w14:textId="77777777" w:rsidR="00863A89" w:rsidRDefault="00863A89" w:rsidP="00F435FF">
            <w:pPr>
              <w:rPr>
                <w:rFonts w:ascii="Arial" w:hAnsi="Arial" w:cs="Arial"/>
                <w:b/>
                <w:bCs/>
                <w:sz w:val="18"/>
                <w:szCs w:val="18"/>
                <w:lang w:eastAsia="hr-HR"/>
              </w:rPr>
            </w:pPr>
            <w:r>
              <w:rPr>
                <w:rFonts w:ascii="Arial" w:hAnsi="Arial" w:cs="Arial"/>
                <w:b/>
                <w:bCs/>
                <w:sz w:val="18"/>
                <w:szCs w:val="18"/>
                <w:lang w:eastAsia="hr-HR"/>
              </w:rPr>
              <w:t>UPRAVNI ODJEL ZA DRUŠTVENE DJELATNOSTI</w:t>
            </w:r>
          </w:p>
        </w:tc>
        <w:tc>
          <w:tcPr>
            <w:tcW w:w="1759" w:type="dxa"/>
            <w:shd w:val="clear" w:color="auto" w:fill="DBE5F1"/>
            <w:vAlign w:val="center"/>
          </w:tcPr>
          <w:p w14:paraId="612983B1" w14:textId="2EE2DAA1" w:rsidR="00863A89" w:rsidRDefault="002A1F95" w:rsidP="00BB409D">
            <w:pPr>
              <w:jc w:val="center"/>
              <w:rPr>
                <w:rFonts w:ascii="Arial" w:hAnsi="Arial" w:cs="Arial"/>
                <w:b/>
                <w:bCs/>
                <w:sz w:val="18"/>
                <w:szCs w:val="18"/>
              </w:rPr>
            </w:pPr>
            <w:r>
              <w:rPr>
                <w:rFonts w:ascii="Arial" w:hAnsi="Arial" w:cs="Arial"/>
                <w:b/>
                <w:bCs/>
                <w:sz w:val="18"/>
                <w:szCs w:val="18"/>
              </w:rPr>
              <w:t>9.589.015,00</w:t>
            </w:r>
          </w:p>
        </w:tc>
        <w:tc>
          <w:tcPr>
            <w:tcW w:w="1455" w:type="dxa"/>
            <w:shd w:val="clear" w:color="auto" w:fill="DBE5F1"/>
            <w:vAlign w:val="center"/>
          </w:tcPr>
          <w:p w14:paraId="5C9245F4" w14:textId="4C8E77A5" w:rsidR="00863A89" w:rsidRDefault="002A1F95" w:rsidP="00BB409D">
            <w:pPr>
              <w:jc w:val="center"/>
              <w:rPr>
                <w:rFonts w:ascii="Arial" w:hAnsi="Arial" w:cs="Arial"/>
                <w:b/>
                <w:bCs/>
                <w:sz w:val="18"/>
                <w:szCs w:val="18"/>
              </w:rPr>
            </w:pPr>
            <w:r>
              <w:rPr>
                <w:rFonts w:ascii="Arial" w:hAnsi="Arial" w:cs="Arial"/>
                <w:b/>
                <w:bCs/>
                <w:sz w:val="18"/>
                <w:szCs w:val="18"/>
              </w:rPr>
              <w:t>9.688.374,00</w:t>
            </w:r>
          </w:p>
        </w:tc>
        <w:tc>
          <w:tcPr>
            <w:tcW w:w="1459" w:type="dxa"/>
            <w:shd w:val="clear" w:color="auto" w:fill="DBE5F1"/>
            <w:vAlign w:val="center"/>
          </w:tcPr>
          <w:p w14:paraId="10AE0694" w14:textId="15315FAF" w:rsidR="00863A89" w:rsidRPr="00A42A4E" w:rsidRDefault="002A1F95" w:rsidP="00BB409D">
            <w:pPr>
              <w:jc w:val="center"/>
              <w:rPr>
                <w:rFonts w:ascii="Arial" w:hAnsi="Arial" w:cs="Arial"/>
                <w:b/>
                <w:bCs/>
                <w:sz w:val="18"/>
                <w:szCs w:val="18"/>
              </w:rPr>
            </w:pPr>
            <w:r>
              <w:rPr>
                <w:rFonts w:ascii="Arial" w:hAnsi="Arial" w:cs="Arial"/>
                <w:b/>
                <w:bCs/>
                <w:sz w:val="18"/>
                <w:szCs w:val="18"/>
              </w:rPr>
              <w:t>8.049.710,67</w:t>
            </w:r>
          </w:p>
        </w:tc>
        <w:tc>
          <w:tcPr>
            <w:tcW w:w="951" w:type="dxa"/>
            <w:shd w:val="clear" w:color="auto" w:fill="DBE5F1"/>
            <w:vAlign w:val="center"/>
          </w:tcPr>
          <w:p w14:paraId="7F3F171B" w14:textId="11D4EAC3" w:rsidR="00863A89" w:rsidRPr="00A42A4E" w:rsidRDefault="002A1F95" w:rsidP="00BB409D">
            <w:pPr>
              <w:jc w:val="center"/>
              <w:rPr>
                <w:rFonts w:ascii="Arial" w:hAnsi="Arial" w:cs="Arial"/>
                <w:b/>
                <w:bCs/>
                <w:sz w:val="18"/>
                <w:szCs w:val="18"/>
              </w:rPr>
            </w:pPr>
            <w:r>
              <w:rPr>
                <w:rFonts w:ascii="Arial" w:hAnsi="Arial" w:cs="Arial"/>
                <w:b/>
                <w:bCs/>
                <w:sz w:val="18"/>
                <w:szCs w:val="18"/>
              </w:rPr>
              <w:t>83,09%</w:t>
            </w:r>
          </w:p>
        </w:tc>
      </w:tr>
      <w:tr w:rsidR="00863A89" w:rsidRPr="000A5F83" w14:paraId="5EA4BF53" w14:textId="77777777" w:rsidTr="004B4A45">
        <w:trPr>
          <w:trHeight w:val="291"/>
          <w:jc w:val="center"/>
        </w:trPr>
        <w:tc>
          <w:tcPr>
            <w:tcW w:w="1662" w:type="dxa"/>
            <w:shd w:val="clear" w:color="auto" w:fill="DBE5F1"/>
            <w:vAlign w:val="center"/>
          </w:tcPr>
          <w:p w14:paraId="1CBBB927" w14:textId="77777777" w:rsidR="00863A89" w:rsidRDefault="00863A89" w:rsidP="00F435FF">
            <w:pPr>
              <w:rPr>
                <w:rFonts w:ascii="Arial" w:hAnsi="Arial" w:cs="Arial"/>
                <w:b/>
                <w:bCs/>
                <w:sz w:val="18"/>
                <w:szCs w:val="18"/>
                <w:lang w:eastAsia="hr-HR"/>
              </w:rPr>
            </w:pPr>
            <w:r>
              <w:rPr>
                <w:rFonts w:ascii="Arial" w:hAnsi="Arial" w:cs="Arial"/>
                <w:b/>
                <w:bCs/>
                <w:sz w:val="18"/>
                <w:szCs w:val="18"/>
                <w:lang w:eastAsia="hr-HR"/>
              </w:rPr>
              <w:t>Glava 02101</w:t>
            </w:r>
          </w:p>
        </w:tc>
        <w:tc>
          <w:tcPr>
            <w:tcW w:w="4439" w:type="dxa"/>
            <w:shd w:val="clear" w:color="auto" w:fill="DBE5F1"/>
            <w:vAlign w:val="center"/>
          </w:tcPr>
          <w:p w14:paraId="68BABCF8" w14:textId="77777777" w:rsidR="00863A89" w:rsidRDefault="00863A89" w:rsidP="00F435FF">
            <w:pPr>
              <w:rPr>
                <w:rFonts w:ascii="Arial" w:hAnsi="Arial" w:cs="Arial"/>
                <w:b/>
                <w:bCs/>
                <w:sz w:val="18"/>
                <w:szCs w:val="18"/>
                <w:lang w:eastAsia="hr-HR"/>
              </w:rPr>
            </w:pPr>
            <w:r>
              <w:rPr>
                <w:rFonts w:ascii="Arial" w:hAnsi="Arial" w:cs="Arial"/>
                <w:b/>
                <w:bCs/>
                <w:sz w:val="18"/>
                <w:szCs w:val="18"/>
                <w:lang w:eastAsia="hr-HR"/>
              </w:rPr>
              <w:t xml:space="preserve">UPRAVNI ODJEL ZA DRUŠTVENE DJELATNOSTI </w:t>
            </w:r>
          </w:p>
        </w:tc>
        <w:tc>
          <w:tcPr>
            <w:tcW w:w="1759" w:type="dxa"/>
            <w:shd w:val="clear" w:color="auto" w:fill="DBE5F1"/>
            <w:vAlign w:val="center"/>
          </w:tcPr>
          <w:p w14:paraId="5EF071F3" w14:textId="4C589FB3" w:rsidR="00863A89" w:rsidRDefault="002A1F95" w:rsidP="00BB409D">
            <w:pPr>
              <w:jc w:val="center"/>
              <w:rPr>
                <w:rFonts w:ascii="Arial" w:hAnsi="Arial" w:cs="Arial"/>
                <w:b/>
                <w:bCs/>
                <w:sz w:val="18"/>
                <w:szCs w:val="18"/>
              </w:rPr>
            </w:pPr>
            <w:r>
              <w:rPr>
                <w:rFonts w:ascii="Arial" w:hAnsi="Arial" w:cs="Arial"/>
                <w:b/>
                <w:bCs/>
                <w:sz w:val="18"/>
                <w:szCs w:val="18"/>
              </w:rPr>
              <w:t>2.964.100,00</w:t>
            </w:r>
          </w:p>
        </w:tc>
        <w:tc>
          <w:tcPr>
            <w:tcW w:w="1455" w:type="dxa"/>
            <w:shd w:val="clear" w:color="auto" w:fill="DBE5F1"/>
            <w:vAlign w:val="center"/>
          </w:tcPr>
          <w:p w14:paraId="7844931A" w14:textId="71E28547" w:rsidR="00863A89" w:rsidRDefault="002A1F95" w:rsidP="00BB409D">
            <w:pPr>
              <w:jc w:val="center"/>
              <w:rPr>
                <w:rFonts w:ascii="Arial" w:hAnsi="Arial" w:cs="Arial"/>
                <w:b/>
                <w:bCs/>
                <w:sz w:val="18"/>
                <w:szCs w:val="18"/>
              </w:rPr>
            </w:pPr>
            <w:r>
              <w:rPr>
                <w:rFonts w:ascii="Arial" w:hAnsi="Arial" w:cs="Arial"/>
                <w:b/>
                <w:bCs/>
                <w:sz w:val="18"/>
                <w:szCs w:val="18"/>
              </w:rPr>
              <w:t>3.036.109,00</w:t>
            </w:r>
          </w:p>
        </w:tc>
        <w:tc>
          <w:tcPr>
            <w:tcW w:w="1459" w:type="dxa"/>
            <w:shd w:val="clear" w:color="auto" w:fill="DBE5F1"/>
            <w:vAlign w:val="center"/>
          </w:tcPr>
          <w:p w14:paraId="49505AC8" w14:textId="51DA39E2" w:rsidR="00863A89" w:rsidRPr="00A42A4E" w:rsidRDefault="002A1F95" w:rsidP="00BB409D">
            <w:pPr>
              <w:jc w:val="center"/>
              <w:rPr>
                <w:rFonts w:ascii="Arial" w:hAnsi="Arial" w:cs="Arial"/>
                <w:b/>
                <w:bCs/>
                <w:sz w:val="18"/>
                <w:szCs w:val="18"/>
              </w:rPr>
            </w:pPr>
            <w:r>
              <w:rPr>
                <w:rFonts w:ascii="Arial" w:hAnsi="Arial" w:cs="Arial"/>
                <w:b/>
                <w:bCs/>
                <w:sz w:val="18"/>
                <w:szCs w:val="18"/>
              </w:rPr>
              <w:t>2.739.233,53</w:t>
            </w:r>
          </w:p>
        </w:tc>
        <w:tc>
          <w:tcPr>
            <w:tcW w:w="951" w:type="dxa"/>
            <w:shd w:val="clear" w:color="auto" w:fill="DBE5F1"/>
            <w:vAlign w:val="center"/>
          </w:tcPr>
          <w:p w14:paraId="2AB78CE4" w14:textId="6221BF8F" w:rsidR="00863A89" w:rsidRPr="00A42A4E" w:rsidRDefault="002A1F95" w:rsidP="00BB409D">
            <w:pPr>
              <w:jc w:val="center"/>
              <w:rPr>
                <w:rFonts w:ascii="Arial" w:hAnsi="Arial" w:cs="Arial"/>
                <w:b/>
                <w:bCs/>
                <w:sz w:val="18"/>
                <w:szCs w:val="18"/>
              </w:rPr>
            </w:pPr>
            <w:r>
              <w:rPr>
                <w:rFonts w:ascii="Arial" w:hAnsi="Arial" w:cs="Arial"/>
                <w:b/>
                <w:bCs/>
                <w:sz w:val="18"/>
                <w:szCs w:val="18"/>
              </w:rPr>
              <w:t>90,22%</w:t>
            </w:r>
          </w:p>
        </w:tc>
      </w:tr>
      <w:tr w:rsidR="00863A89" w:rsidRPr="000A5F83" w14:paraId="6A42A3F3" w14:textId="77777777" w:rsidTr="004B4A45">
        <w:trPr>
          <w:trHeight w:val="291"/>
          <w:jc w:val="center"/>
        </w:trPr>
        <w:tc>
          <w:tcPr>
            <w:tcW w:w="1662" w:type="dxa"/>
            <w:vAlign w:val="center"/>
          </w:tcPr>
          <w:p w14:paraId="714CAB57" w14:textId="77777777" w:rsidR="00863A89" w:rsidRPr="000A5F83" w:rsidRDefault="00863A89" w:rsidP="00F435FF">
            <w:pPr>
              <w:rPr>
                <w:rFonts w:ascii="Arial" w:hAnsi="Arial" w:cs="Arial"/>
                <w:sz w:val="18"/>
                <w:szCs w:val="18"/>
                <w:lang w:eastAsia="hr-HR"/>
              </w:rPr>
            </w:pPr>
            <w:r>
              <w:rPr>
                <w:rFonts w:ascii="Arial" w:hAnsi="Arial" w:cs="Arial"/>
                <w:sz w:val="18"/>
                <w:szCs w:val="18"/>
                <w:lang w:eastAsia="hr-HR"/>
              </w:rPr>
              <w:t>Glava 02101</w:t>
            </w:r>
          </w:p>
        </w:tc>
        <w:tc>
          <w:tcPr>
            <w:tcW w:w="4439" w:type="dxa"/>
            <w:vAlign w:val="center"/>
          </w:tcPr>
          <w:p w14:paraId="255620CB" w14:textId="77777777" w:rsidR="00863A89" w:rsidRPr="000A5F83" w:rsidRDefault="00863A89" w:rsidP="00F435FF">
            <w:pPr>
              <w:rPr>
                <w:rFonts w:ascii="Arial" w:hAnsi="Arial" w:cs="Arial"/>
                <w:sz w:val="18"/>
                <w:szCs w:val="18"/>
                <w:lang w:eastAsia="hr-HR"/>
              </w:rPr>
            </w:pPr>
            <w:r>
              <w:rPr>
                <w:rFonts w:ascii="Arial" w:hAnsi="Arial" w:cs="Arial"/>
                <w:sz w:val="18"/>
                <w:szCs w:val="18"/>
                <w:lang w:eastAsia="hr-HR"/>
              </w:rPr>
              <w:t xml:space="preserve">DJEČJI VRTIĆ TROGIR </w:t>
            </w:r>
          </w:p>
        </w:tc>
        <w:tc>
          <w:tcPr>
            <w:tcW w:w="1759" w:type="dxa"/>
            <w:vAlign w:val="center"/>
          </w:tcPr>
          <w:p w14:paraId="7434CCB5" w14:textId="521FB3BA" w:rsidR="00863A89" w:rsidRDefault="002A1F95" w:rsidP="00BB409D">
            <w:pPr>
              <w:jc w:val="center"/>
              <w:rPr>
                <w:rFonts w:ascii="Arial" w:hAnsi="Arial" w:cs="Arial"/>
                <w:bCs/>
                <w:sz w:val="18"/>
                <w:szCs w:val="18"/>
              </w:rPr>
            </w:pPr>
            <w:r>
              <w:rPr>
                <w:rFonts w:ascii="Arial" w:hAnsi="Arial" w:cs="Arial"/>
                <w:bCs/>
                <w:sz w:val="18"/>
                <w:szCs w:val="18"/>
              </w:rPr>
              <w:t>2.740.300,00</w:t>
            </w:r>
          </w:p>
        </w:tc>
        <w:tc>
          <w:tcPr>
            <w:tcW w:w="1455" w:type="dxa"/>
            <w:vAlign w:val="center"/>
          </w:tcPr>
          <w:p w14:paraId="2E408712" w14:textId="4C807F41" w:rsidR="00863A89" w:rsidRDefault="002A1F95" w:rsidP="00BB409D">
            <w:pPr>
              <w:jc w:val="center"/>
              <w:rPr>
                <w:rFonts w:ascii="Arial" w:hAnsi="Arial" w:cs="Arial"/>
                <w:bCs/>
                <w:sz w:val="18"/>
                <w:szCs w:val="18"/>
              </w:rPr>
            </w:pPr>
            <w:r>
              <w:rPr>
                <w:rFonts w:ascii="Arial" w:hAnsi="Arial" w:cs="Arial"/>
                <w:bCs/>
                <w:sz w:val="18"/>
                <w:szCs w:val="18"/>
              </w:rPr>
              <w:t>2.740.300,00</w:t>
            </w:r>
          </w:p>
        </w:tc>
        <w:tc>
          <w:tcPr>
            <w:tcW w:w="1459" w:type="dxa"/>
            <w:vAlign w:val="center"/>
          </w:tcPr>
          <w:p w14:paraId="289E281A" w14:textId="543BC716" w:rsidR="00863A89" w:rsidRPr="00A42A4E" w:rsidRDefault="002A1F95" w:rsidP="00BB409D">
            <w:pPr>
              <w:jc w:val="center"/>
              <w:rPr>
                <w:rFonts w:ascii="Arial" w:hAnsi="Arial" w:cs="Arial"/>
                <w:bCs/>
                <w:sz w:val="18"/>
                <w:szCs w:val="18"/>
              </w:rPr>
            </w:pPr>
            <w:r>
              <w:rPr>
                <w:rFonts w:ascii="Arial" w:hAnsi="Arial" w:cs="Arial"/>
                <w:bCs/>
                <w:sz w:val="18"/>
                <w:szCs w:val="18"/>
              </w:rPr>
              <w:t>2.551.841,23</w:t>
            </w:r>
          </w:p>
        </w:tc>
        <w:tc>
          <w:tcPr>
            <w:tcW w:w="951" w:type="dxa"/>
            <w:vAlign w:val="center"/>
          </w:tcPr>
          <w:p w14:paraId="56753A19" w14:textId="7B102F41" w:rsidR="00863A89" w:rsidRPr="00A42A4E" w:rsidRDefault="002A1F95" w:rsidP="00BB409D">
            <w:pPr>
              <w:jc w:val="center"/>
              <w:rPr>
                <w:rFonts w:ascii="Arial" w:hAnsi="Arial" w:cs="Arial"/>
                <w:bCs/>
                <w:sz w:val="18"/>
                <w:szCs w:val="18"/>
              </w:rPr>
            </w:pPr>
            <w:r>
              <w:rPr>
                <w:rFonts w:ascii="Arial" w:hAnsi="Arial" w:cs="Arial"/>
                <w:bCs/>
                <w:sz w:val="18"/>
                <w:szCs w:val="18"/>
              </w:rPr>
              <w:t>93,12%</w:t>
            </w:r>
          </w:p>
        </w:tc>
      </w:tr>
      <w:tr w:rsidR="00863A89" w:rsidRPr="000A5F83" w14:paraId="2F37F3FF" w14:textId="77777777" w:rsidTr="004B4A45">
        <w:trPr>
          <w:trHeight w:val="291"/>
          <w:jc w:val="center"/>
        </w:trPr>
        <w:tc>
          <w:tcPr>
            <w:tcW w:w="1662" w:type="dxa"/>
            <w:vAlign w:val="center"/>
          </w:tcPr>
          <w:p w14:paraId="217534EB" w14:textId="77777777" w:rsidR="00863A89" w:rsidRDefault="00863A89" w:rsidP="00F435FF">
            <w:pPr>
              <w:rPr>
                <w:rFonts w:ascii="Arial" w:hAnsi="Arial" w:cs="Arial"/>
                <w:sz w:val="18"/>
                <w:szCs w:val="18"/>
                <w:lang w:eastAsia="hr-HR"/>
              </w:rPr>
            </w:pPr>
            <w:r>
              <w:rPr>
                <w:rFonts w:ascii="Arial" w:hAnsi="Arial" w:cs="Arial"/>
                <w:sz w:val="18"/>
                <w:szCs w:val="18"/>
                <w:lang w:eastAsia="hr-HR"/>
              </w:rPr>
              <w:t xml:space="preserve">Proračunski korisnik  </w:t>
            </w:r>
          </w:p>
        </w:tc>
        <w:tc>
          <w:tcPr>
            <w:tcW w:w="4439" w:type="dxa"/>
            <w:vAlign w:val="center"/>
          </w:tcPr>
          <w:p w14:paraId="287BE7A6" w14:textId="77777777" w:rsidR="00863A89" w:rsidRDefault="00863A89" w:rsidP="00F435FF">
            <w:pPr>
              <w:rPr>
                <w:rFonts w:ascii="Arial" w:hAnsi="Arial" w:cs="Arial"/>
                <w:sz w:val="18"/>
                <w:szCs w:val="18"/>
                <w:lang w:eastAsia="hr-HR"/>
              </w:rPr>
            </w:pPr>
            <w:r>
              <w:rPr>
                <w:rFonts w:ascii="Arial" w:hAnsi="Arial" w:cs="Arial"/>
                <w:sz w:val="18"/>
                <w:szCs w:val="18"/>
                <w:lang w:eastAsia="hr-HR"/>
              </w:rPr>
              <w:t xml:space="preserve">GRADSKA KNJIŽNICA TROGIR </w:t>
            </w:r>
          </w:p>
        </w:tc>
        <w:tc>
          <w:tcPr>
            <w:tcW w:w="1759" w:type="dxa"/>
            <w:vAlign w:val="center"/>
          </w:tcPr>
          <w:p w14:paraId="3472A1B3" w14:textId="59E886C2" w:rsidR="00863A89" w:rsidRDefault="002A1F95" w:rsidP="00BB409D">
            <w:pPr>
              <w:jc w:val="center"/>
              <w:rPr>
                <w:rFonts w:ascii="Arial" w:hAnsi="Arial" w:cs="Arial"/>
                <w:bCs/>
                <w:sz w:val="18"/>
                <w:szCs w:val="18"/>
              </w:rPr>
            </w:pPr>
            <w:r>
              <w:rPr>
                <w:rFonts w:ascii="Arial" w:hAnsi="Arial" w:cs="Arial"/>
                <w:bCs/>
                <w:sz w:val="18"/>
                <w:szCs w:val="18"/>
              </w:rPr>
              <w:t>204.544,00</w:t>
            </w:r>
          </w:p>
        </w:tc>
        <w:tc>
          <w:tcPr>
            <w:tcW w:w="1455" w:type="dxa"/>
            <w:vAlign w:val="center"/>
          </w:tcPr>
          <w:p w14:paraId="361C1734" w14:textId="19B46FD3" w:rsidR="00863A89" w:rsidRDefault="002A1F95" w:rsidP="00BB409D">
            <w:pPr>
              <w:jc w:val="center"/>
              <w:rPr>
                <w:rFonts w:ascii="Arial" w:hAnsi="Arial" w:cs="Arial"/>
                <w:bCs/>
                <w:sz w:val="18"/>
                <w:szCs w:val="18"/>
              </w:rPr>
            </w:pPr>
            <w:r>
              <w:rPr>
                <w:rFonts w:ascii="Arial" w:hAnsi="Arial" w:cs="Arial"/>
                <w:bCs/>
                <w:sz w:val="18"/>
                <w:szCs w:val="18"/>
              </w:rPr>
              <w:t>204.544,00</w:t>
            </w:r>
          </w:p>
        </w:tc>
        <w:tc>
          <w:tcPr>
            <w:tcW w:w="1459" w:type="dxa"/>
            <w:vAlign w:val="center"/>
          </w:tcPr>
          <w:p w14:paraId="2CB21410" w14:textId="3F0D272A" w:rsidR="00863A89" w:rsidRDefault="002A1F95" w:rsidP="00BB409D">
            <w:pPr>
              <w:jc w:val="center"/>
              <w:rPr>
                <w:rFonts w:ascii="Arial" w:hAnsi="Arial" w:cs="Arial"/>
                <w:bCs/>
                <w:sz w:val="18"/>
                <w:szCs w:val="18"/>
              </w:rPr>
            </w:pPr>
            <w:r>
              <w:rPr>
                <w:rFonts w:ascii="Arial" w:hAnsi="Arial" w:cs="Arial"/>
                <w:bCs/>
                <w:sz w:val="18"/>
                <w:szCs w:val="18"/>
              </w:rPr>
              <w:t>195.627,61</w:t>
            </w:r>
          </w:p>
        </w:tc>
        <w:tc>
          <w:tcPr>
            <w:tcW w:w="951" w:type="dxa"/>
            <w:vAlign w:val="center"/>
          </w:tcPr>
          <w:p w14:paraId="46B880F4" w14:textId="3C32E63F" w:rsidR="00863A89" w:rsidRDefault="002A1F95" w:rsidP="00BB409D">
            <w:pPr>
              <w:jc w:val="center"/>
              <w:rPr>
                <w:rFonts w:ascii="Arial" w:hAnsi="Arial" w:cs="Arial"/>
                <w:bCs/>
                <w:sz w:val="18"/>
                <w:szCs w:val="18"/>
              </w:rPr>
            </w:pPr>
            <w:r>
              <w:rPr>
                <w:rFonts w:ascii="Arial" w:hAnsi="Arial" w:cs="Arial"/>
                <w:bCs/>
                <w:sz w:val="18"/>
                <w:szCs w:val="18"/>
              </w:rPr>
              <w:t>95,64%</w:t>
            </w:r>
          </w:p>
        </w:tc>
      </w:tr>
      <w:tr w:rsidR="00863A89" w:rsidRPr="000A5F83" w14:paraId="1BFF31E0" w14:textId="77777777" w:rsidTr="004B4A45">
        <w:trPr>
          <w:trHeight w:val="291"/>
          <w:jc w:val="center"/>
        </w:trPr>
        <w:tc>
          <w:tcPr>
            <w:tcW w:w="1662" w:type="dxa"/>
            <w:vAlign w:val="center"/>
          </w:tcPr>
          <w:p w14:paraId="109851EF" w14:textId="77777777" w:rsidR="00863A89" w:rsidRDefault="00863A89" w:rsidP="00F435FF">
            <w:pPr>
              <w:rPr>
                <w:rFonts w:ascii="Arial" w:hAnsi="Arial" w:cs="Arial"/>
                <w:sz w:val="18"/>
                <w:szCs w:val="18"/>
                <w:lang w:eastAsia="hr-HR"/>
              </w:rPr>
            </w:pPr>
            <w:r>
              <w:rPr>
                <w:rFonts w:ascii="Arial" w:hAnsi="Arial" w:cs="Arial"/>
                <w:sz w:val="18"/>
                <w:szCs w:val="18"/>
                <w:lang w:eastAsia="hr-HR"/>
              </w:rPr>
              <w:t xml:space="preserve">Proračunski korisnik </w:t>
            </w:r>
          </w:p>
        </w:tc>
        <w:tc>
          <w:tcPr>
            <w:tcW w:w="4439" w:type="dxa"/>
            <w:vAlign w:val="center"/>
          </w:tcPr>
          <w:p w14:paraId="3E8BFE90" w14:textId="77777777" w:rsidR="00863A89" w:rsidRDefault="00863A89" w:rsidP="00F435FF">
            <w:pPr>
              <w:rPr>
                <w:rFonts w:ascii="Arial" w:hAnsi="Arial" w:cs="Arial"/>
                <w:sz w:val="18"/>
                <w:szCs w:val="18"/>
                <w:lang w:eastAsia="hr-HR"/>
              </w:rPr>
            </w:pPr>
            <w:r>
              <w:rPr>
                <w:rFonts w:ascii="Arial" w:hAnsi="Arial" w:cs="Arial"/>
                <w:sz w:val="18"/>
                <w:szCs w:val="18"/>
                <w:lang w:eastAsia="hr-HR"/>
              </w:rPr>
              <w:t xml:space="preserve">MUZEJ GRADA TROGIRA </w:t>
            </w:r>
          </w:p>
        </w:tc>
        <w:tc>
          <w:tcPr>
            <w:tcW w:w="1759" w:type="dxa"/>
            <w:vAlign w:val="center"/>
          </w:tcPr>
          <w:p w14:paraId="1BB1B1C2" w14:textId="66694556" w:rsidR="00863A89" w:rsidRDefault="002A1F95" w:rsidP="00BB409D">
            <w:pPr>
              <w:jc w:val="center"/>
              <w:rPr>
                <w:rFonts w:ascii="Arial" w:hAnsi="Arial" w:cs="Arial"/>
                <w:bCs/>
                <w:sz w:val="18"/>
                <w:szCs w:val="18"/>
              </w:rPr>
            </w:pPr>
            <w:r>
              <w:rPr>
                <w:rFonts w:ascii="Arial" w:hAnsi="Arial" w:cs="Arial"/>
                <w:bCs/>
                <w:sz w:val="18"/>
                <w:szCs w:val="18"/>
              </w:rPr>
              <w:t>566.852,00</w:t>
            </w:r>
          </w:p>
        </w:tc>
        <w:tc>
          <w:tcPr>
            <w:tcW w:w="1455" w:type="dxa"/>
            <w:vAlign w:val="center"/>
          </w:tcPr>
          <w:p w14:paraId="65232DEE" w14:textId="2E6CC30B" w:rsidR="00863A89" w:rsidRDefault="002A1F95" w:rsidP="00BB409D">
            <w:pPr>
              <w:jc w:val="center"/>
              <w:rPr>
                <w:rFonts w:ascii="Arial" w:hAnsi="Arial" w:cs="Arial"/>
                <w:bCs/>
                <w:sz w:val="18"/>
                <w:szCs w:val="18"/>
              </w:rPr>
            </w:pPr>
            <w:r>
              <w:rPr>
                <w:rFonts w:ascii="Arial" w:hAnsi="Arial" w:cs="Arial"/>
                <w:bCs/>
                <w:sz w:val="18"/>
                <w:szCs w:val="18"/>
              </w:rPr>
              <w:t>566.852,00</w:t>
            </w:r>
          </w:p>
        </w:tc>
        <w:tc>
          <w:tcPr>
            <w:tcW w:w="1459" w:type="dxa"/>
            <w:vAlign w:val="center"/>
          </w:tcPr>
          <w:p w14:paraId="0AFD11FB" w14:textId="1E3581E6" w:rsidR="00863A89" w:rsidRDefault="002A1F95" w:rsidP="00BB409D">
            <w:pPr>
              <w:jc w:val="center"/>
              <w:rPr>
                <w:rFonts w:ascii="Arial" w:hAnsi="Arial" w:cs="Arial"/>
                <w:bCs/>
                <w:sz w:val="18"/>
                <w:szCs w:val="18"/>
              </w:rPr>
            </w:pPr>
            <w:r>
              <w:rPr>
                <w:rFonts w:ascii="Arial" w:hAnsi="Arial" w:cs="Arial"/>
                <w:bCs/>
                <w:sz w:val="18"/>
                <w:szCs w:val="18"/>
              </w:rPr>
              <w:t>442.051,25</w:t>
            </w:r>
          </w:p>
        </w:tc>
        <w:tc>
          <w:tcPr>
            <w:tcW w:w="951" w:type="dxa"/>
            <w:vAlign w:val="center"/>
          </w:tcPr>
          <w:p w14:paraId="29A78DFF" w14:textId="48B43994" w:rsidR="00863A89" w:rsidRDefault="002A1F95" w:rsidP="00BB409D">
            <w:pPr>
              <w:jc w:val="center"/>
              <w:rPr>
                <w:rFonts w:ascii="Arial" w:hAnsi="Arial" w:cs="Arial"/>
                <w:bCs/>
                <w:sz w:val="18"/>
                <w:szCs w:val="18"/>
              </w:rPr>
            </w:pPr>
            <w:r>
              <w:rPr>
                <w:rFonts w:ascii="Arial" w:hAnsi="Arial" w:cs="Arial"/>
                <w:bCs/>
                <w:sz w:val="18"/>
                <w:szCs w:val="18"/>
              </w:rPr>
              <w:t>77,98%</w:t>
            </w:r>
          </w:p>
        </w:tc>
      </w:tr>
      <w:tr w:rsidR="00863A89" w:rsidRPr="000A5F83" w14:paraId="454DE481" w14:textId="77777777" w:rsidTr="004B4A45">
        <w:trPr>
          <w:trHeight w:val="291"/>
          <w:jc w:val="center"/>
        </w:trPr>
        <w:tc>
          <w:tcPr>
            <w:tcW w:w="1662" w:type="dxa"/>
            <w:vAlign w:val="center"/>
          </w:tcPr>
          <w:p w14:paraId="282927BB" w14:textId="77777777" w:rsidR="00863A89" w:rsidRDefault="00863A89" w:rsidP="00F435FF">
            <w:pPr>
              <w:rPr>
                <w:rFonts w:ascii="Arial" w:hAnsi="Arial" w:cs="Arial"/>
                <w:sz w:val="18"/>
                <w:szCs w:val="18"/>
                <w:lang w:eastAsia="hr-HR"/>
              </w:rPr>
            </w:pPr>
            <w:r>
              <w:rPr>
                <w:rFonts w:ascii="Arial" w:hAnsi="Arial" w:cs="Arial"/>
                <w:sz w:val="18"/>
                <w:szCs w:val="18"/>
                <w:lang w:eastAsia="hr-HR"/>
              </w:rPr>
              <w:t>Glava 02103</w:t>
            </w:r>
          </w:p>
        </w:tc>
        <w:tc>
          <w:tcPr>
            <w:tcW w:w="4439" w:type="dxa"/>
            <w:vAlign w:val="center"/>
          </w:tcPr>
          <w:p w14:paraId="4DE6041A" w14:textId="77777777" w:rsidR="00863A89" w:rsidRDefault="00863A89" w:rsidP="00F435FF">
            <w:pPr>
              <w:rPr>
                <w:rFonts w:ascii="Arial" w:hAnsi="Arial" w:cs="Arial"/>
                <w:sz w:val="18"/>
                <w:szCs w:val="18"/>
                <w:lang w:eastAsia="hr-HR"/>
              </w:rPr>
            </w:pPr>
            <w:r>
              <w:rPr>
                <w:rFonts w:ascii="Arial" w:hAnsi="Arial" w:cs="Arial"/>
                <w:sz w:val="18"/>
                <w:szCs w:val="18"/>
                <w:lang w:eastAsia="hr-HR"/>
              </w:rPr>
              <w:t xml:space="preserve">ŠPORTSKI OBJEKTI TROGIR </w:t>
            </w:r>
          </w:p>
        </w:tc>
        <w:tc>
          <w:tcPr>
            <w:tcW w:w="1759" w:type="dxa"/>
            <w:vAlign w:val="center"/>
          </w:tcPr>
          <w:p w14:paraId="0C384B1D" w14:textId="548695ED" w:rsidR="00863A89" w:rsidRDefault="002A1F95" w:rsidP="00BB409D">
            <w:pPr>
              <w:jc w:val="center"/>
              <w:rPr>
                <w:rFonts w:ascii="Arial" w:hAnsi="Arial" w:cs="Arial"/>
                <w:bCs/>
                <w:sz w:val="18"/>
                <w:szCs w:val="18"/>
              </w:rPr>
            </w:pPr>
            <w:r>
              <w:rPr>
                <w:rFonts w:ascii="Arial" w:hAnsi="Arial" w:cs="Arial"/>
                <w:bCs/>
                <w:sz w:val="18"/>
                <w:szCs w:val="18"/>
              </w:rPr>
              <w:t>789.500,00</w:t>
            </w:r>
          </w:p>
        </w:tc>
        <w:tc>
          <w:tcPr>
            <w:tcW w:w="1455" w:type="dxa"/>
            <w:vAlign w:val="center"/>
          </w:tcPr>
          <w:p w14:paraId="25CE0620" w14:textId="2945C6AE" w:rsidR="00863A89" w:rsidRDefault="002A1F95" w:rsidP="00BB409D">
            <w:pPr>
              <w:jc w:val="center"/>
              <w:rPr>
                <w:rFonts w:ascii="Arial" w:hAnsi="Arial" w:cs="Arial"/>
                <w:bCs/>
                <w:sz w:val="18"/>
                <w:szCs w:val="18"/>
              </w:rPr>
            </w:pPr>
            <w:r>
              <w:rPr>
                <w:rFonts w:ascii="Arial" w:hAnsi="Arial" w:cs="Arial"/>
                <w:bCs/>
                <w:sz w:val="18"/>
                <w:szCs w:val="18"/>
              </w:rPr>
              <w:t>816.850,00</w:t>
            </w:r>
          </w:p>
        </w:tc>
        <w:tc>
          <w:tcPr>
            <w:tcW w:w="1459" w:type="dxa"/>
            <w:vAlign w:val="center"/>
          </w:tcPr>
          <w:p w14:paraId="66A66010" w14:textId="22026B76" w:rsidR="00863A89" w:rsidRDefault="002A1F95" w:rsidP="00BB409D">
            <w:pPr>
              <w:jc w:val="center"/>
              <w:rPr>
                <w:rFonts w:ascii="Arial" w:hAnsi="Arial" w:cs="Arial"/>
                <w:bCs/>
                <w:sz w:val="18"/>
                <w:szCs w:val="18"/>
              </w:rPr>
            </w:pPr>
            <w:r>
              <w:rPr>
                <w:rFonts w:ascii="Arial" w:hAnsi="Arial" w:cs="Arial"/>
                <w:bCs/>
                <w:sz w:val="18"/>
                <w:szCs w:val="18"/>
              </w:rPr>
              <w:t>658.878,11</w:t>
            </w:r>
          </w:p>
        </w:tc>
        <w:tc>
          <w:tcPr>
            <w:tcW w:w="951" w:type="dxa"/>
            <w:vAlign w:val="center"/>
          </w:tcPr>
          <w:p w14:paraId="17C03F6D" w14:textId="25DB41A5" w:rsidR="00863A89" w:rsidRPr="00A42A4E" w:rsidRDefault="002A1F95" w:rsidP="00BB409D">
            <w:pPr>
              <w:jc w:val="center"/>
              <w:rPr>
                <w:rFonts w:ascii="Arial" w:hAnsi="Arial" w:cs="Arial"/>
                <w:bCs/>
                <w:sz w:val="18"/>
                <w:szCs w:val="18"/>
              </w:rPr>
            </w:pPr>
            <w:r>
              <w:rPr>
                <w:rFonts w:ascii="Arial" w:hAnsi="Arial" w:cs="Arial"/>
                <w:bCs/>
                <w:sz w:val="18"/>
                <w:szCs w:val="18"/>
              </w:rPr>
              <w:t>80,66%</w:t>
            </w:r>
          </w:p>
        </w:tc>
      </w:tr>
      <w:tr w:rsidR="00863A89" w:rsidRPr="000A5F83" w14:paraId="7AEDB67F" w14:textId="77777777" w:rsidTr="004B4A45">
        <w:trPr>
          <w:trHeight w:val="291"/>
          <w:jc w:val="center"/>
        </w:trPr>
        <w:tc>
          <w:tcPr>
            <w:tcW w:w="1662" w:type="dxa"/>
            <w:vAlign w:val="center"/>
          </w:tcPr>
          <w:p w14:paraId="584413A3" w14:textId="77777777" w:rsidR="00863A89" w:rsidRDefault="00863A89" w:rsidP="00F435FF">
            <w:pPr>
              <w:rPr>
                <w:rFonts w:ascii="Arial" w:hAnsi="Arial" w:cs="Arial"/>
                <w:sz w:val="18"/>
                <w:szCs w:val="18"/>
                <w:lang w:eastAsia="hr-HR"/>
              </w:rPr>
            </w:pPr>
            <w:r>
              <w:rPr>
                <w:rFonts w:ascii="Arial" w:hAnsi="Arial" w:cs="Arial"/>
                <w:sz w:val="18"/>
                <w:szCs w:val="18"/>
                <w:lang w:eastAsia="hr-HR"/>
              </w:rPr>
              <w:t>Glava 02104</w:t>
            </w:r>
          </w:p>
        </w:tc>
        <w:tc>
          <w:tcPr>
            <w:tcW w:w="4439" w:type="dxa"/>
            <w:vAlign w:val="center"/>
          </w:tcPr>
          <w:p w14:paraId="46B227D6" w14:textId="77777777" w:rsidR="00863A89" w:rsidRDefault="00863A89" w:rsidP="00F435FF">
            <w:pPr>
              <w:rPr>
                <w:rFonts w:ascii="Arial" w:hAnsi="Arial" w:cs="Arial"/>
                <w:sz w:val="18"/>
                <w:szCs w:val="18"/>
                <w:lang w:eastAsia="hr-HR"/>
              </w:rPr>
            </w:pPr>
            <w:r>
              <w:rPr>
                <w:rFonts w:ascii="Arial" w:hAnsi="Arial" w:cs="Arial"/>
                <w:sz w:val="18"/>
                <w:szCs w:val="18"/>
                <w:lang w:eastAsia="hr-HR"/>
              </w:rPr>
              <w:t>JAVNA VATROGASNA POSTROJBA TROGIR</w:t>
            </w:r>
          </w:p>
        </w:tc>
        <w:tc>
          <w:tcPr>
            <w:tcW w:w="1759" w:type="dxa"/>
            <w:vAlign w:val="center"/>
          </w:tcPr>
          <w:p w14:paraId="3BAF0B7E" w14:textId="130C1B97" w:rsidR="00863A89" w:rsidRDefault="002A1F95" w:rsidP="00BB409D">
            <w:pPr>
              <w:jc w:val="center"/>
              <w:rPr>
                <w:rFonts w:ascii="Arial" w:hAnsi="Arial" w:cs="Arial"/>
                <w:bCs/>
                <w:sz w:val="18"/>
                <w:szCs w:val="18"/>
              </w:rPr>
            </w:pPr>
            <w:r>
              <w:rPr>
                <w:rFonts w:ascii="Arial" w:hAnsi="Arial" w:cs="Arial"/>
                <w:bCs/>
                <w:sz w:val="18"/>
                <w:szCs w:val="18"/>
              </w:rPr>
              <w:t>2.323.719,00</w:t>
            </w:r>
          </w:p>
        </w:tc>
        <w:tc>
          <w:tcPr>
            <w:tcW w:w="1455" w:type="dxa"/>
            <w:vAlign w:val="center"/>
          </w:tcPr>
          <w:p w14:paraId="501FA5F5" w14:textId="1ABA26D5" w:rsidR="00863A89" w:rsidRDefault="002A1F95" w:rsidP="00BB409D">
            <w:pPr>
              <w:jc w:val="center"/>
              <w:rPr>
                <w:rFonts w:ascii="Arial" w:hAnsi="Arial" w:cs="Arial"/>
                <w:bCs/>
                <w:sz w:val="18"/>
                <w:szCs w:val="18"/>
              </w:rPr>
            </w:pPr>
            <w:r>
              <w:rPr>
                <w:rFonts w:ascii="Arial" w:hAnsi="Arial" w:cs="Arial"/>
                <w:bCs/>
                <w:sz w:val="18"/>
                <w:szCs w:val="18"/>
              </w:rPr>
              <w:t>2.323.719,00</w:t>
            </w:r>
          </w:p>
        </w:tc>
        <w:tc>
          <w:tcPr>
            <w:tcW w:w="1459" w:type="dxa"/>
            <w:vAlign w:val="center"/>
          </w:tcPr>
          <w:p w14:paraId="4558B6F1" w14:textId="3AD49180" w:rsidR="00863A89" w:rsidRDefault="002A1F95" w:rsidP="00BB409D">
            <w:pPr>
              <w:jc w:val="center"/>
              <w:rPr>
                <w:rFonts w:ascii="Arial" w:hAnsi="Arial" w:cs="Arial"/>
                <w:bCs/>
                <w:sz w:val="18"/>
                <w:szCs w:val="18"/>
              </w:rPr>
            </w:pPr>
            <w:r>
              <w:rPr>
                <w:rFonts w:ascii="Arial" w:hAnsi="Arial" w:cs="Arial"/>
                <w:bCs/>
                <w:sz w:val="18"/>
                <w:szCs w:val="18"/>
              </w:rPr>
              <w:t>1.462.078,94</w:t>
            </w:r>
          </w:p>
        </w:tc>
        <w:tc>
          <w:tcPr>
            <w:tcW w:w="951" w:type="dxa"/>
            <w:vAlign w:val="center"/>
          </w:tcPr>
          <w:p w14:paraId="776F110A" w14:textId="0E37C03F" w:rsidR="00863A89" w:rsidRPr="00A42A4E" w:rsidRDefault="002A1F95" w:rsidP="00BB409D">
            <w:pPr>
              <w:jc w:val="center"/>
              <w:rPr>
                <w:rFonts w:ascii="Arial" w:hAnsi="Arial" w:cs="Arial"/>
                <w:bCs/>
                <w:sz w:val="18"/>
                <w:szCs w:val="18"/>
              </w:rPr>
            </w:pPr>
            <w:r>
              <w:rPr>
                <w:rFonts w:ascii="Arial" w:hAnsi="Arial" w:cs="Arial"/>
                <w:bCs/>
                <w:sz w:val="18"/>
                <w:szCs w:val="18"/>
              </w:rPr>
              <w:t>62,92%</w:t>
            </w:r>
          </w:p>
        </w:tc>
      </w:tr>
      <w:tr w:rsidR="00863A89" w:rsidRPr="000A5F83" w14:paraId="28BA7471" w14:textId="77777777" w:rsidTr="004B4A45">
        <w:trPr>
          <w:trHeight w:val="467"/>
          <w:jc w:val="center"/>
        </w:trPr>
        <w:tc>
          <w:tcPr>
            <w:tcW w:w="1662" w:type="dxa"/>
            <w:shd w:val="clear" w:color="auto" w:fill="DBE5F1"/>
            <w:vAlign w:val="center"/>
          </w:tcPr>
          <w:p w14:paraId="0C7F2EBC" w14:textId="77777777" w:rsidR="00863A89" w:rsidRPr="000A5F83" w:rsidRDefault="00863A89" w:rsidP="00F435FF">
            <w:pPr>
              <w:rPr>
                <w:rFonts w:ascii="Arial" w:hAnsi="Arial" w:cs="Arial"/>
                <w:b/>
                <w:bCs/>
                <w:sz w:val="18"/>
                <w:szCs w:val="18"/>
                <w:lang w:eastAsia="hr-HR"/>
              </w:rPr>
            </w:pPr>
            <w:r>
              <w:rPr>
                <w:rFonts w:ascii="Arial" w:hAnsi="Arial" w:cs="Arial"/>
                <w:b/>
                <w:bCs/>
                <w:sz w:val="18"/>
                <w:szCs w:val="18"/>
                <w:lang w:eastAsia="hr-HR"/>
              </w:rPr>
              <w:t>Razdjel  022</w:t>
            </w:r>
          </w:p>
        </w:tc>
        <w:tc>
          <w:tcPr>
            <w:tcW w:w="4439" w:type="dxa"/>
            <w:shd w:val="clear" w:color="auto" w:fill="DBE5F1"/>
            <w:vAlign w:val="center"/>
          </w:tcPr>
          <w:p w14:paraId="06309ADF" w14:textId="77777777" w:rsidR="00863A89" w:rsidRPr="000A5F83" w:rsidRDefault="00863A89" w:rsidP="00F435FF">
            <w:pPr>
              <w:rPr>
                <w:rFonts w:ascii="Arial" w:hAnsi="Arial" w:cs="Arial"/>
                <w:b/>
                <w:bCs/>
                <w:sz w:val="18"/>
                <w:szCs w:val="18"/>
                <w:lang w:eastAsia="hr-HR"/>
              </w:rPr>
            </w:pPr>
            <w:r>
              <w:rPr>
                <w:rFonts w:ascii="Arial" w:hAnsi="Arial" w:cs="Arial"/>
                <w:b/>
                <w:bCs/>
                <w:sz w:val="18"/>
                <w:szCs w:val="18"/>
                <w:lang w:eastAsia="hr-HR"/>
              </w:rPr>
              <w:t>UPRAVNI ODJEL ZA FINANCIJE, PRORAČUN I NAPLATU POTRAŽIVANJA</w:t>
            </w:r>
          </w:p>
        </w:tc>
        <w:tc>
          <w:tcPr>
            <w:tcW w:w="1759" w:type="dxa"/>
            <w:shd w:val="clear" w:color="auto" w:fill="DBE5F1"/>
            <w:vAlign w:val="center"/>
          </w:tcPr>
          <w:p w14:paraId="11B215CF" w14:textId="56D11454" w:rsidR="00863A89" w:rsidRDefault="002A1F95" w:rsidP="00BB409D">
            <w:pPr>
              <w:jc w:val="center"/>
              <w:rPr>
                <w:rFonts w:ascii="Arial" w:hAnsi="Arial" w:cs="Arial"/>
                <w:b/>
                <w:bCs/>
                <w:sz w:val="18"/>
                <w:szCs w:val="18"/>
              </w:rPr>
            </w:pPr>
            <w:r>
              <w:rPr>
                <w:rFonts w:ascii="Arial" w:hAnsi="Arial" w:cs="Arial"/>
                <w:b/>
                <w:bCs/>
                <w:sz w:val="18"/>
                <w:szCs w:val="18"/>
              </w:rPr>
              <w:t>609.200,00</w:t>
            </w:r>
          </w:p>
        </w:tc>
        <w:tc>
          <w:tcPr>
            <w:tcW w:w="1455" w:type="dxa"/>
            <w:shd w:val="clear" w:color="auto" w:fill="DBE5F1"/>
            <w:vAlign w:val="center"/>
          </w:tcPr>
          <w:p w14:paraId="380A0F36" w14:textId="31C57260" w:rsidR="00863A89" w:rsidRDefault="002A1F95" w:rsidP="00BB409D">
            <w:pPr>
              <w:jc w:val="center"/>
              <w:rPr>
                <w:rFonts w:ascii="Arial" w:hAnsi="Arial" w:cs="Arial"/>
                <w:b/>
                <w:bCs/>
                <w:sz w:val="18"/>
                <w:szCs w:val="18"/>
              </w:rPr>
            </w:pPr>
            <w:r>
              <w:rPr>
                <w:rFonts w:ascii="Arial" w:hAnsi="Arial" w:cs="Arial"/>
                <w:b/>
                <w:bCs/>
                <w:sz w:val="18"/>
                <w:szCs w:val="18"/>
              </w:rPr>
              <w:t>602.700,00</w:t>
            </w:r>
          </w:p>
        </w:tc>
        <w:tc>
          <w:tcPr>
            <w:tcW w:w="1459" w:type="dxa"/>
            <w:shd w:val="clear" w:color="auto" w:fill="DBE5F1"/>
            <w:vAlign w:val="center"/>
          </w:tcPr>
          <w:p w14:paraId="77FB73E6" w14:textId="01830583" w:rsidR="00863A89" w:rsidRPr="00A42A4E" w:rsidRDefault="002A1F95" w:rsidP="00BB409D">
            <w:pPr>
              <w:jc w:val="center"/>
              <w:rPr>
                <w:rFonts w:ascii="Arial" w:hAnsi="Arial" w:cs="Arial"/>
                <w:b/>
                <w:bCs/>
                <w:sz w:val="18"/>
                <w:szCs w:val="18"/>
              </w:rPr>
            </w:pPr>
            <w:r>
              <w:rPr>
                <w:rFonts w:ascii="Arial" w:hAnsi="Arial" w:cs="Arial"/>
                <w:b/>
                <w:bCs/>
                <w:sz w:val="18"/>
                <w:szCs w:val="18"/>
              </w:rPr>
              <w:t>504.509,77</w:t>
            </w:r>
          </w:p>
        </w:tc>
        <w:tc>
          <w:tcPr>
            <w:tcW w:w="951" w:type="dxa"/>
            <w:shd w:val="clear" w:color="auto" w:fill="DBE5F1"/>
            <w:vAlign w:val="center"/>
          </w:tcPr>
          <w:p w14:paraId="049A2642" w14:textId="591D108D" w:rsidR="00863A89" w:rsidRPr="00A42A4E" w:rsidRDefault="002A1F95" w:rsidP="00BB409D">
            <w:pPr>
              <w:jc w:val="center"/>
              <w:rPr>
                <w:rFonts w:ascii="Arial" w:hAnsi="Arial" w:cs="Arial"/>
                <w:b/>
                <w:bCs/>
                <w:sz w:val="18"/>
                <w:szCs w:val="18"/>
              </w:rPr>
            </w:pPr>
            <w:r>
              <w:rPr>
                <w:rFonts w:ascii="Arial" w:hAnsi="Arial" w:cs="Arial"/>
                <w:b/>
                <w:bCs/>
                <w:sz w:val="18"/>
                <w:szCs w:val="18"/>
              </w:rPr>
              <w:t>83,71%</w:t>
            </w:r>
          </w:p>
        </w:tc>
      </w:tr>
      <w:tr w:rsidR="00863A89" w:rsidRPr="000A5F83" w14:paraId="65EF4F77" w14:textId="77777777" w:rsidTr="004B4A45">
        <w:trPr>
          <w:trHeight w:val="467"/>
          <w:jc w:val="center"/>
        </w:trPr>
        <w:tc>
          <w:tcPr>
            <w:tcW w:w="1662" w:type="dxa"/>
            <w:shd w:val="clear" w:color="auto" w:fill="DBE5F1"/>
            <w:vAlign w:val="center"/>
          </w:tcPr>
          <w:p w14:paraId="1411CAF3" w14:textId="77777777" w:rsidR="00863A89" w:rsidRDefault="00863A89" w:rsidP="00F435FF">
            <w:pPr>
              <w:rPr>
                <w:rFonts w:ascii="Arial" w:hAnsi="Arial" w:cs="Arial"/>
                <w:b/>
                <w:bCs/>
                <w:sz w:val="18"/>
                <w:szCs w:val="18"/>
                <w:lang w:eastAsia="hr-HR"/>
              </w:rPr>
            </w:pPr>
            <w:r>
              <w:rPr>
                <w:rFonts w:ascii="Arial" w:hAnsi="Arial" w:cs="Arial"/>
                <w:b/>
                <w:bCs/>
                <w:sz w:val="18"/>
                <w:szCs w:val="18"/>
                <w:lang w:eastAsia="hr-HR"/>
              </w:rPr>
              <w:t>Glava 02201</w:t>
            </w:r>
          </w:p>
        </w:tc>
        <w:tc>
          <w:tcPr>
            <w:tcW w:w="4439" w:type="dxa"/>
            <w:shd w:val="clear" w:color="auto" w:fill="DBE5F1"/>
            <w:vAlign w:val="center"/>
          </w:tcPr>
          <w:p w14:paraId="09A39317" w14:textId="77777777" w:rsidR="00863A89" w:rsidRDefault="00863A89" w:rsidP="00F435FF">
            <w:pPr>
              <w:rPr>
                <w:rFonts w:ascii="Arial" w:hAnsi="Arial" w:cs="Arial"/>
                <w:b/>
                <w:bCs/>
                <w:sz w:val="18"/>
                <w:szCs w:val="18"/>
                <w:lang w:eastAsia="hr-HR"/>
              </w:rPr>
            </w:pPr>
            <w:r>
              <w:rPr>
                <w:rFonts w:ascii="Arial" w:hAnsi="Arial" w:cs="Arial"/>
                <w:b/>
                <w:bCs/>
                <w:sz w:val="18"/>
                <w:szCs w:val="18"/>
                <w:lang w:eastAsia="hr-HR"/>
              </w:rPr>
              <w:t xml:space="preserve">UPRAVNI ODJEL ZA FINANCIJE, PRORAČUN I NAPLATU POTRAŽIVANJA </w:t>
            </w:r>
          </w:p>
        </w:tc>
        <w:tc>
          <w:tcPr>
            <w:tcW w:w="1759" w:type="dxa"/>
            <w:shd w:val="clear" w:color="auto" w:fill="DBE5F1"/>
            <w:vAlign w:val="center"/>
          </w:tcPr>
          <w:p w14:paraId="634E7F6B" w14:textId="710B33B3" w:rsidR="00863A89" w:rsidRDefault="002A1F95" w:rsidP="00BB409D">
            <w:pPr>
              <w:jc w:val="center"/>
              <w:rPr>
                <w:rFonts w:ascii="Arial" w:hAnsi="Arial" w:cs="Arial"/>
                <w:b/>
                <w:bCs/>
                <w:sz w:val="18"/>
                <w:szCs w:val="18"/>
              </w:rPr>
            </w:pPr>
            <w:r>
              <w:rPr>
                <w:rFonts w:ascii="Arial" w:hAnsi="Arial" w:cs="Arial"/>
                <w:b/>
                <w:bCs/>
                <w:sz w:val="18"/>
                <w:szCs w:val="18"/>
              </w:rPr>
              <w:t>609.200,00</w:t>
            </w:r>
          </w:p>
        </w:tc>
        <w:tc>
          <w:tcPr>
            <w:tcW w:w="1455" w:type="dxa"/>
            <w:shd w:val="clear" w:color="auto" w:fill="DBE5F1"/>
            <w:vAlign w:val="center"/>
          </w:tcPr>
          <w:p w14:paraId="29C98194" w14:textId="0FD64EB0" w:rsidR="00863A89" w:rsidRDefault="002A1F95" w:rsidP="00BB409D">
            <w:pPr>
              <w:jc w:val="center"/>
              <w:rPr>
                <w:rFonts w:ascii="Arial" w:hAnsi="Arial" w:cs="Arial"/>
                <w:b/>
                <w:bCs/>
                <w:sz w:val="18"/>
                <w:szCs w:val="18"/>
              </w:rPr>
            </w:pPr>
            <w:r>
              <w:rPr>
                <w:rFonts w:ascii="Arial" w:hAnsi="Arial" w:cs="Arial"/>
                <w:b/>
                <w:bCs/>
                <w:sz w:val="18"/>
                <w:szCs w:val="18"/>
              </w:rPr>
              <w:t>602.700,00</w:t>
            </w:r>
          </w:p>
        </w:tc>
        <w:tc>
          <w:tcPr>
            <w:tcW w:w="1459" w:type="dxa"/>
            <w:shd w:val="clear" w:color="auto" w:fill="DBE5F1"/>
            <w:vAlign w:val="center"/>
          </w:tcPr>
          <w:p w14:paraId="557B1033" w14:textId="53EAD402" w:rsidR="00863A89" w:rsidRPr="00A42A4E" w:rsidRDefault="002A1F95" w:rsidP="00BB409D">
            <w:pPr>
              <w:jc w:val="center"/>
              <w:rPr>
                <w:rFonts w:ascii="Arial" w:hAnsi="Arial" w:cs="Arial"/>
                <w:b/>
                <w:bCs/>
                <w:sz w:val="18"/>
                <w:szCs w:val="18"/>
              </w:rPr>
            </w:pPr>
            <w:r>
              <w:rPr>
                <w:rFonts w:ascii="Arial" w:hAnsi="Arial" w:cs="Arial"/>
                <w:b/>
                <w:bCs/>
                <w:sz w:val="18"/>
                <w:szCs w:val="18"/>
              </w:rPr>
              <w:t>504.509,77</w:t>
            </w:r>
          </w:p>
        </w:tc>
        <w:tc>
          <w:tcPr>
            <w:tcW w:w="951" w:type="dxa"/>
            <w:shd w:val="clear" w:color="auto" w:fill="DBE5F1"/>
            <w:vAlign w:val="center"/>
          </w:tcPr>
          <w:p w14:paraId="6D2956AE" w14:textId="0459BEC1" w:rsidR="00863A89" w:rsidRPr="00A42A4E" w:rsidRDefault="002A1F95" w:rsidP="00BB409D">
            <w:pPr>
              <w:jc w:val="center"/>
              <w:rPr>
                <w:rFonts w:ascii="Arial" w:hAnsi="Arial" w:cs="Arial"/>
                <w:b/>
                <w:bCs/>
                <w:sz w:val="18"/>
                <w:szCs w:val="18"/>
              </w:rPr>
            </w:pPr>
            <w:r>
              <w:rPr>
                <w:rFonts w:ascii="Arial" w:hAnsi="Arial" w:cs="Arial"/>
                <w:b/>
                <w:bCs/>
                <w:sz w:val="18"/>
                <w:szCs w:val="18"/>
              </w:rPr>
              <w:t>83,71%</w:t>
            </w:r>
          </w:p>
        </w:tc>
      </w:tr>
      <w:tr w:rsidR="00863A89" w:rsidRPr="000A5F83" w14:paraId="1EBA9A3B" w14:textId="77777777" w:rsidTr="004B4A45">
        <w:trPr>
          <w:trHeight w:val="467"/>
          <w:jc w:val="center"/>
        </w:trPr>
        <w:tc>
          <w:tcPr>
            <w:tcW w:w="1662" w:type="dxa"/>
            <w:shd w:val="clear" w:color="auto" w:fill="DBE5F1"/>
            <w:vAlign w:val="center"/>
          </w:tcPr>
          <w:p w14:paraId="28C8649E" w14:textId="77777777" w:rsidR="00863A89" w:rsidRPr="000A5F83" w:rsidRDefault="00863A89" w:rsidP="00F435FF">
            <w:pPr>
              <w:rPr>
                <w:rFonts w:ascii="Arial" w:hAnsi="Arial" w:cs="Arial"/>
                <w:b/>
                <w:bCs/>
                <w:sz w:val="18"/>
                <w:szCs w:val="18"/>
                <w:lang w:eastAsia="hr-HR"/>
              </w:rPr>
            </w:pPr>
            <w:r>
              <w:rPr>
                <w:rFonts w:ascii="Arial" w:hAnsi="Arial" w:cs="Arial"/>
                <w:b/>
                <w:bCs/>
                <w:sz w:val="18"/>
                <w:szCs w:val="18"/>
                <w:lang w:eastAsia="hr-HR"/>
              </w:rPr>
              <w:t>Razdjel  023</w:t>
            </w:r>
          </w:p>
        </w:tc>
        <w:tc>
          <w:tcPr>
            <w:tcW w:w="4439" w:type="dxa"/>
            <w:shd w:val="clear" w:color="auto" w:fill="DBE5F1"/>
            <w:vAlign w:val="center"/>
          </w:tcPr>
          <w:p w14:paraId="2AC8D9D1" w14:textId="77777777" w:rsidR="00863A89" w:rsidRPr="000A5F83" w:rsidRDefault="00863A89" w:rsidP="00F435FF">
            <w:pPr>
              <w:rPr>
                <w:rFonts w:ascii="Arial" w:hAnsi="Arial" w:cs="Arial"/>
                <w:b/>
                <w:bCs/>
                <w:sz w:val="18"/>
                <w:szCs w:val="18"/>
                <w:lang w:eastAsia="hr-HR"/>
              </w:rPr>
            </w:pPr>
            <w:r>
              <w:rPr>
                <w:rFonts w:ascii="Arial" w:hAnsi="Arial" w:cs="Arial"/>
                <w:b/>
                <w:bCs/>
                <w:sz w:val="18"/>
                <w:szCs w:val="18"/>
                <w:lang w:eastAsia="hr-HR"/>
              </w:rPr>
              <w:t xml:space="preserve">UPRAVNI ODJEL ZA KOMUNALNO GOSPODARSTVO I INVESTICIJE </w:t>
            </w:r>
          </w:p>
        </w:tc>
        <w:tc>
          <w:tcPr>
            <w:tcW w:w="1759" w:type="dxa"/>
            <w:shd w:val="clear" w:color="auto" w:fill="DBE5F1"/>
            <w:vAlign w:val="center"/>
          </w:tcPr>
          <w:p w14:paraId="7658E749" w14:textId="553046B1" w:rsidR="00863A89" w:rsidRDefault="002A1F95" w:rsidP="00BB409D">
            <w:pPr>
              <w:jc w:val="center"/>
              <w:rPr>
                <w:rFonts w:ascii="Arial" w:hAnsi="Arial" w:cs="Arial"/>
                <w:b/>
                <w:bCs/>
                <w:sz w:val="18"/>
                <w:szCs w:val="18"/>
              </w:rPr>
            </w:pPr>
            <w:r>
              <w:rPr>
                <w:rFonts w:ascii="Arial" w:hAnsi="Arial" w:cs="Arial"/>
                <w:b/>
                <w:bCs/>
                <w:sz w:val="18"/>
                <w:szCs w:val="18"/>
              </w:rPr>
              <w:t>11.078.135,09</w:t>
            </w:r>
          </w:p>
        </w:tc>
        <w:tc>
          <w:tcPr>
            <w:tcW w:w="1455" w:type="dxa"/>
            <w:shd w:val="clear" w:color="auto" w:fill="DBE5F1"/>
            <w:vAlign w:val="center"/>
          </w:tcPr>
          <w:p w14:paraId="77309B78" w14:textId="04720E44" w:rsidR="00863A89" w:rsidRDefault="002A1F95" w:rsidP="00BB409D">
            <w:pPr>
              <w:jc w:val="center"/>
              <w:rPr>
                <w:rFonts w:ascii="Arial" w:hAnsi="Arial" w:cs="Arial"/>
                <w:b/>
                <w:bCs/>
                <w:sz w:val="18"/>
                <w:szCs w:val="18"/>
              </w:rPr>
            </w:pPr>
            <w:r>
              <w:rPr>
                <w:rFonts w:ascii="Arial" w:hAnsi="Arial" w:cs="Arial"/>
                <w:b/>
                <w:bCs/>
                <w:sz w:val="18"/>
                <w:szCs w:val="18"/>
              </w:rPr>
              <w:t>10.981.181,09</w:t>
            </w:r>
          </w:p>
        </w:tc>
        <w:tc>
          <w:tcPr>
            <w:tcW w:w="1459" w:type="dxa"/>
            <w:shd w:val="clear" w:color="auto" w:fill="DBE5F1"/>
            <w:vAlign w:val="center"/>
          </w:tcPr>
          <w:p w14:paraId="4BADDCD8" w14:textId="039B705A" w:rsidR="00863A89" w:rsidRPr="00A42A4E" w:rsidRDefault="002A1F95" w:rsidP="00BB409D">
            <w:pPr>
              <w:jc w:val="center"/>
              <w:rPr>
                <w:rFonts w:ascii="Arial" w:hAnsi="Arial" w:cs="Arial"/>
                <w:b/>
                <w:bCs/>
                <w:sz w:val="18"/>
                <w:szCs w:val="18"/>
              </w:rPr>
            </w:pPr>
            <w:r>
              <w:rPr>
                <w:rFonts w:ascii="Arial" w:hAnsi="Arial" w:cs="Arial"/>
                <w:b/>
                <w:bCs/>
                <w:sz w:val="18"/>
                <w:szCs w:val="18"/>
              </w:rPr>
              <w:t>8.008.315,52</w:t>
            </w:r>
          </w:p>
        </w:tc>
        <w:tc>
          <w:tcPr>
            <w:tcW w:w="951" w:type="dxa"/>
            <w:shd w:val="clear" w:color="auto" w:fill="DBE5F1"/>
            <w:vAlign w:val="center"/>
          </w:tcPr>
          <w:p w14:paraId="67FE3816" w14:textId="0F57348F" w:rsidR="00863A89" w:rsidRPr="00A42A4E" w:rsidRDefault="002A1F95" w:rsidP="00BB409D">
            <w:pPr>
              <w:jc w:val="center"/>
              <w:rPr>
                <w:rFonts w:ascii="Arial" w:hAnsi="Arial" w:cs="Arial"/>
                <w:b/>
                <w:bCs/>
                <w:sz w:val="18"/>
                <w:szCs w:val="18"/>
              </w:rPr>
            </w:pPr>
            <w:r>
              <w:rPr>
                <w:rFonts w:ascii="Arial" w:hAnsi="Arial" w:cs="Arial"/>
                <w:b/>
                <w:bCs/>
                <w:sz w:val="18"/>
                <w:szCs w:val="18"/>
              </w:rPr>
              <w:t>72,93%</w:t>
            </w:r>
          </w:p>
        </w:tc>
      </w:tr>
      <w:tr w:rsidR="00863A89" w:rsidRPr="000A5F83" w14:paraId="73EE4679" w14:textId="77777777" w:rsidTr="004B4A45">
        <w:trPr>
          <w:trHeight w:val="467"/>
          <w:jc w:val="center"/>
        </w:trPr>
        <w:tc>
          <w:tcPr>
            <w:tcW w:w="1662" w:type="dxa"/>
            <w:vAlign w:val="center"/>
          </w:tcPr>
          <w:p w14:paraId="77BB9508" w14:textId="77777777" w:rsidR="00863A89" w:rsidRPr="000A5F83" w:rsidRDefault="00863A89" w:rsidP="00F435FF">
            <w:pPr>
              <w:rPr>
                <w:rFonts w:ascii="Arial" w:hAnsi="Arial" w:cs="Arial"/>
                <w:sz w:val="18"/>
                <w:szCs w:val="18"/>
                <w:lang w:eastAsia="hr-HR"/>
              </w:rPr>
            </w:pPr>
            <w:r>
              <w:rPr>
                <w:rFonts w:ascii="Arial" w:hAnsi="Arial" w:cs="Arial"/>
                <w:sz w:val="18"/>
                <w:szCs w:val="18"/>
                <w:lang w:eastAsia="hr-HR"/>
              </w:rPr>
              <w:t>Glava  02301</w:t>
            </w:r>
          </w:p>
        </w:tc>
        <w:tc>
          <w:tcPr>
            <w:tcW w:w="4439" w:type="dxa"/>
            <w:vAlign w:val="center"/>
          </w:tcPr>
          <w:p w14:paraId="72515EAC" w14:textId="77777777" w:rsidR="00863A89" w:rsidRPr="000A5F83" w:rsidRDefault="00863A89" w:rsidP="00F435FF">
            <w:pPr>
              <w:rPr>
                <w:rFonts w:ascii="Arial" w:hAnsi="Arial" w:cs="Arial"/>
                <w:sz w:val="18"/>
                <w:szCs w:val="18"/>
                <w:lang w:eastAsia="hr-HR"/>
              </w:rPr>
            </w:pPr>
            <w:r>
              <w:rPr>
                <w:rFonts w:ascii="Arial" w:hAnsi="Arial" w:cs="Arial"/>
                <w:sz w:val="18"/>
                <w:szCs w:val="18"/>
                <w:lang w:eastAsia="hr-HR"/>
              </w:rPr>
              <w:t xml:space="preserve">UPRAVNI ODJEL ZA KOMUNALNO GOSPODARSTVO I INVESTICIJE </w:t>
            </w:r>
          </w:p>
        </w:tc>
        <w:tc>
          <w:tcPr>
            <w:tcW w:w="1759" w:type="dxa"/>
            <w:vAlign w:val="center"/>
          </w:tcPr>
          <w:p w14:paraId="36A9D59C" w14:textId="7EDC423E" w:rsidR="00863A89" w:rsidRDefault="002A1F95" w:rsidP="00BB409D">
            <w:pPr>
              <w:jc w:val="center"/>
              <w:rPr>
                <w:rFonts w:ascii="Arial" w:hAnsi="Arial" w:cs="Arial"/>
                <w:bCs/>
                <w:sz w:val="18"/>
                <w:szCs w:val="18"/>
              </w:rPr>
            </w:pPr>
            <w:r>
              <w:rPr>
                <w:rFonts w:ascii="Arial" w:hAnsi="Arial" w:cs="Arial"/>
                <w:bCs/>
                <w:sz w:val="18"/>
                <w:szCs w:val="18"/>
              </w:rPr>
              <w:t>11.078.135,09</w:t>
            </w:r>
          </w:p>
        </w:tc>
        <w:tc>
          <w:tcPr>
            <w:tcW w:w="1455" w:type="dxa"/>
            <w:vAlign w:val="center"/>
          </w:tcPr>
          <w:p w14:paraId="27D7AD6F" w14:textId="0F391006" w:rsidR="00863A89" w:rsidRDefault="002A1F95" w:rsidP="00BB409D">
            <w:pPr>
              <w:jc w:val="center"/>
              <w:rPr>
                <w:rFonts w:ascii="Arial" w:hAnsi="Arial" w:cs="Arial"/>
                <w:bCs/>
                <w:sz w:val="18"/>
                <w:szCs w:val="18"/>
              </w:rPr>
            </w:pPr>
            <w:r>
              <w:rPr>
                <w:rFonts w:ascii="Arial" w:hAnsi="Arial" w:cs="Arial"/>
                <w:bCs/>
                <w:sz w:val="18"/>
                <w:szCs w:val="18"/>
              </w:rPr>
              <w:t>10.981.181,09</w:t>
            </w:r>
          </w:p>
        </w:tc>
        <w:tc>
          <w:tcPr>
            <w:tcW w:w="1459" w:type="dxa"/>
            <w:vAlign w:val="center"/>
          </w:tcPr>
          <w:p w14:paraId="2C749585" w14:textId="65B1956E" w:rsidR="00863A89" w:rsidRPr="00A42A4E" w:rsidRDefault="002A1F95" w:rsidP="00BB409D">
            <w:pPr>
              <w:jc w:val="center"/>
              <w:rPr>
                <w:rFonts w:ascii="Arial" w:hAnsi="Arial" w:cs="Arial"/>
                <w:bCs/>
                <w:sz w:val="18"/>
                <w:szCs w:val="18"/>
              </w:rPr>
            </w:pPr>
            <w:r>
              <w:rPr>
                <w:rFonts w:ascii="Arial" w:hAnsi="Arial" w:cs="Arial"/>
                <w:bCs/>
                <w:sz w:val="18"/>
                <w:szCs w:val="18"/>
              </w:rPr>
              <w:t>8.008.315,52</w:t>
            </w:r>
          </w:p>
        </w:tc>
        <w:tc>
          <w:tcPr>
            <w:tcW w:w="951" w:type="dxa"/>
            <w:vAlign w:val="center"/>
          </w:tcPr>
          <w:p w14:paraId="0F98CC9C" w14:textId="00D33C7A" w:rsidR="00863A89" w:rsidRPr="00A42A4E" w:rsidRDefault="002A1F95" w:rsidP="00BB409D">
            <w:pPr>
              <w:jc w:val="center"/>
              <w:rPr>
                <w:rFonts w:ascii="Arial" w:hAnsi="Arial" w:cs="Arial"/>
                <w:bCs/>
                <w:sz w:val="18"/>
                <w:szCs w:val="18"/>
              </w:rPr>
            </w:pPr>
            <w:r>
              <w:rPr>
                <w:rFonts w:ascii="Arial" w:hAnsi="Arial" w:cs="Arial"/>
                <w:bCs/>
                <w:sz w:val="18"/>
                <w:szCs w:val="18"/>
              </w:rPr>
              <w:t>72,93%</w:t>
            </w:r>
          </w:p>
        </w:tc>
      </w:tr>
      <w:tr w:rsidR="00863A89" w:rsidRPr="000A5F83" w14:paraId="171D29EF" w14:textId="77777777" w:rsidTr="004B4A45">
        <w:trPr>
          <w:trHeight w:val="467"/>
          <w:jc w:val="center"/>
        </w:trPr>
        <w:tc>
          <w:tcPr>
            <w:tcW w:w="1662" w:type="dxa"/>
            <w:shd w:val="clear" w:color="auto" w:fill="DBE5F1"/>
            <w:vAlign w:val="center"/>
          </w:tcPr>
          <w:p w14:paraId="17128CF1" w14:textId="77777777" w:rsidR="00863A89" w:rsidRPr="000A5F83" w:rsidRDefault="00863A89" w:rsidP="00F435FF">
            <w:pPr>
              <w:rPr>
                <w:rFonts w:ascii="Arial" w:hAnsi="Arial" w:cs="Arial"/>
                <w:b/>
                <w:bCs/>
                <w:sz w:val="18"/>
                <w:szCs w:val="18"/>
                <w:lang w:eastAsia="hr-HR"/>
              </w:rPr>
            </w:pPr>
            <w:r>
              <w:rPr>
                <w:rFonts w:ascii="Arial" w:hAnsi="Arial" w:cs="Arial"/>
                <w:b/>
                <w:bCs/>
                <w:sz w:val="18"/>
                <w:szCs w:val="18"/>
                <w:lang w:eastAsia="hr-HR"/>
              </w:rPr>
              <w:t>Razdjel  024</w:t>
            </w:r>
          </w:p>
        </w:tc>
        <w:tc>
          <w:tcPr>
            <w:tcW w:w="4439" w:type="dxa"/>
            <w:shd w:val="clear" w:color="auto" w:fill="DBE5F1"/>
            <w:vAlign w:val="center"/>
          </w:tcPr>
          <w:p w14:paraId="3DB5AC21" w14:textId="77777777" w:rsidR="00863A89" w:rsidRPr="000A5F83" w:rsidRDefault="00863A89" w:rsidP="00F435FF">
            <w:pPr>
              <w:rPr>
                <w:rFonts w:ascii="Arial" w:hAnsi="Arial" w:cs="Arial"/>
                <w:b/>
                <w:bCs/>
                <w:sz w:val="18"/>
                <w:szCs w:val="18"/>
                <w:lang w:eastAsia="hr-HR"/>
              </w:rPr>
            </w:pPr>
            <w:r w:rsidRPr="000A5F83">
              <w:rPr>
                <w:rFonts w:ascii="Arial" w:hAnsi="Arial" w:cs="Arial"/>
                <w:b/>
                <w:bCs/>
                <w:sz w:val="18"/>
                <w:szCs w:val="18"/>
                <w:lang w:eastAsia="hr-HR"/>
              </w:rPr>
              <w:t>UPRAV</w:t>
            </w:r>
            <w:r>
              <w:rPr>
                <w:rFonts w:ascii="Arial" w:hAnsi="Arial" w:cs="Arial"/>
                <w:b/>
                <w:bCs/>
                <w:sz w:val="18"/>
                <w:szCs w:val="18"/>
                <w:lang w:eastAsia="hr-HR"/>
              </w:rPr>
              <w:t>NI ODJEL ZA URBANIZAM I PROSTORNO UREĐENJE</w:t>
            </w:r>
          </w:p>
        </w:tc>
        <w:tc>
          <w:tcPr>
            <w:tcW w:w="1759" w:type="dxa"/>
            <w:shd w:val="clear" w:color="auto" w:fill="DBE5F1"/>
            <w:vAlign w:val="center"/>
          </w:tcPr>
          <w:p w14:paraId="7D9938C3" w14:textId="2BBE312E" w:rsidR="00863A89" w:rsidRDefault="002A1F95" w:rsidP="00BB409D">
            <w:pPr>
              <w:jc w:val="center"/>
              <w:rPr>
                <w:rFonts w:ascii="Arial" w:hAnsi="Arial" w:cs="Arial"/>
                <w:b/>
                <w:bCs/>
                <w:sz w:val="18"/>
                <w:szCs w:val="18"/>
              </w:rPr>
            </w:pPr>
            <w:r>
              <w:rPr>
                <w:rFonts w:ascii="Arial" w:hAnsi="Arial" w:cs="Arial"/>
                <w:b/>
                <w:bCs/>
                <w:sz w:val="18"/>
                <w:szCs w:val="18"/>
              </w:rPr>
              <w:t>278.300,00</w:t>
            </w:r>
          </w:p>
        </w:tc>
        <w:tc>
          <w:tcPr>
            <w:tcW w:w="1455" w:type="dxa"/>
            <w:shd w:val="clear" w:color="auto" w:fill="DBE5F1"/>
            <w:vAlign w:val="center"/>
          </w:tcPr>
          <w:p w14:paraId="65BD9D6D" w14:textId="682BFE40" w:rsidR="00863A89" w:rsidRDefault="002A1F95" w:rsidP="00BB409D">
            <w:pPr>
              <w:jc w:val="center"/>
              <w:rPr>
                <w:rFonts w:ascii="Arial" w:hAnsi="Arial" w:cs="Arial"/>
                <w:b/>
                <w:bCs/>
                <w:sz w:val="18"/>
                <w:szCs w:val="18"/>
              </w:rPr>
            </w:pPr>
            <w:r>
              <w:rPr>
                <w:rFonts w:ascii="Arial" w:hAnsi="Arial" w:cs="Arial"/>
                <w:b/>
                <w:bCs/>
                <w:sz w:val="18"/>
                <w:szCs w:val="18"/>
              </w:rPr>
              <w:t>272.395,00</w:t>
            </w:r>
          </w:p>
        </w:tc>
        <w:tc>
          <w:tcPr>
            <w:tcW w:w="1459" w:type="dxa"/>
            <w:shd w:val="clear" w:color="auto" w:fill="DBE5F1"/>
            <w:vAlign w:val="center"/>
          </w:tcPr>
          <w:p w14:paraId="7A239BAE" w14:textId="36A3AF5D" w:rsidR="00863A89" w:rsidRPr="00A42A4E" w:rsidRDefault="002A1F95" w:rsidP="00BB409D">
            <w:pPr>
              <w:jc w:val="center"/>
              <w:rPr>
                <w:rFonts w:ascii="Arial" w:hAnsi="Arial" w:cs="Arial"/>
                <w:b/>
                <w:bCs/>
                <w:sz w:val="18"/>
                <w:szCs w:val="18"/>
              </w:rPr>
            </w:pPr>
            <w:r>
              <w:rPr>
                <w:rFonts w:ascii="Arial" w:hAnsi="Arial" w:cs="Arial"/>
                <w:b/>
                <w:bCs/>
                <w:sz w:val="18"/>
                <w:szCs w:val="18"/>
              </w:rPr>
              <w:t>83.433,82</w:t>
            </w:r>
          </w:p>
        </w:tc>
        <w:tc>
          <w:tcPr>
            <w:tcW w:w="951" w:type="dxa"/>
            <w:shd w:val="clear" w:color="auto" w:fill="DBE5F1"/>
            <w:vAlign w:val="center"/>
          </w:tcPr>
          <w:p w14:paraId="43185261" w14:textId="1341EF5A" w:rsidR="00863A89" w:rsidRPr="00A42A4E" w:rsidRDefault="002A1F95" w:rsidP="00BB409D">
            <w:pPr>
              <w:jc w:val="center"/>
              <w:rPr>
                <w:rFonts w:ascii="Arial" w:hAnsi="Arial" w:cs="Arial"/>
                <w:b/>
                <w:bCs/>
                <w:sz w:val="18"/>
                <w:szCs w:val="18"/>
              </w:rPr>
            </w:pPr>
            <w:r>
              <w:rPr>
                <w:rFonts w:ascii="Arial" w:hAnsi="Arial" w:cs="Arial"/>
                <w:b/>
                <w:bCs/>
                <w:sz w:val="18"/>
                <w:szCs w:val="18"/>
              </w:rPr>
              <w:t>30,63%</w:t>
            </w:r>
          </w:p>
        </w:tc>
      </w:tr>
      <w:tr w:rsidR="00863A89" w:rsidRPr="000A5F83" w14:paraId="28D5FC7F" w14:textId="77777777" w:rsidTr="004B4A45">
        <w:trPr>
          <w:trHeight w:val="467"/>
          <w:jc w:val="center"/>
        </w:trPr>
        <w:tc>
          <w:tcPr>
            <w:tcW w:w="1662" w:type="dxa"/>
            <w:shd w:val="clear" w:color="auto" w:fill="DBE5F1"/>
            <w:vAlign w:val="center"/>
          </w:tcPr>
          <w:p w14:paraId="54DE6F5E" w14:textId="77777777" w:rsidR="00863A89" w:rsidRDefault="00863A89" w:rsidP="00F435FF">
            <w:pPr>
              <w:rPr>
                <w:rFonts w:ascii="Arial" w:hAnsi="Arial" w:cs="Arial"/>
                <w:b/>
                <w:bCs/>
                <w:sz w:val="18"/>
                <w:szCs w:val="18"/>
                <w:lang w:eastAsia="hr-HR"/>
              </w:rPr>
            </w:pPr>
            <w:r>
              <w:rPr>
                <w:rFonts w:ascii="Arial" w:hAnsi="Arial" w:cs="Arial"/>
                <w:b/>
                <w:bCs/>
                <w:sz w:val="18"/>
                <w:szCs w:val="18"/>
                <w:lang w:eastAsia="hr-HR"/>
              </w:rPr>
              <w:t>Glava 02401</w:t>
            </w:r>
          </w:p>
        </w:tc>
        <w:tc>
          <w:tcPr>
            <w:tcW w:w="4439" w:type="dxa"/>
            <w:shd w:val="clear" w:color="auto" w:fill="DBE5F1"/>
            <w:vAlign w:val="center"/>
          </w:tcPr>
          <w:p w14:paraId="7463562B" w14:textId="77777777" w:rsidR="00863A89" w:rsidRPr="000A5F83" w:rsidRDefault="00863A89" w:rsidP="00F435FF">
            <w:pPr>
              <w:rPr>
                <w:rFonts w:ascii="Arial" w:hAnsi="Arial" w:cs="Arial"/>
                <w:b/>
                <w:bCs/>
                <w:sz w:val="18"/>
                <w:szCs w:val="18"/>
                <w:lang w:eastAsia="hr-HR"/>
              </w:rPr>
            </w:pPr>
            <w:r>
              <w:rPr>
                <w:rFonts w:ascii="Arial" w:hAnsi="Arial" w:cs="Arial"/>
                <w:b/>
                <w:bCs/>
                <w:sz w:val="18"/>
                <w:szCs w:val="18"/>
                <w:lang w:eastAsia="hr-HR"/>
              </w:rPr>
              <w:t xml:space="preserve">UPRAVNI ODJEL ZA URBANIZAM I PROSTORNO UREĐENJE </w:t>
            </w:r>
          </w:p>
        </w:tc>
        <w:tc>
          <w:tcPr>
            <w:tcW w:w="1759" w:type="dxa"/>
            <w:shd w:val="clear" w:color="auto" w:fill="DBE5F1"/>
            <w:vAlign w:val="center"/>
          </w:tcPr>
          <w:p w14:paraId="21ED947A" w14:textId="20C54D1D" w:rsidR="00863A89" w:rsidRDefault="002A1F95" w:rsidP="00BB409D">
            <w:pPr>
              <w:jc w:val="center"/>
              <w:rPr>
                <w:rFonts w:ascii="Arial" w:hAnsi="Arial" w:cs="Arial"/>
                <w:b/>
                <w:bCs/>
                <w:sz w:val="18"/>
                <w:szCs w:val="18"/>
              </w:rPr>
            </w:pPr>
            <w:r>
              <w:rPr>
                <w:rFonts w:ascii="Arial" w:hAnsi="Arial" w:cs="Arial"/>
                <w:b/>
                <w:bCs/>
                <w:sz w:val="18"/>
                <w:szCs w:val="18"/>
              </w:rPr>
              <w:t>278.300,00</w:t>
            </w:r>
          </w:p>
        </w:tc>
        <w:tc>
          <w:tcPr>
            <w:tcW w:w="1455" w:type="dxa"/>
            <w:shd w:val="clear" w:color="auto" w:fill="DBE5F1"/>
            <w:vAlign w:val="center"/>
          </w:tcPr>
          <w:p w14:paraId="4FB0E1DD" w14:textId="252D06AE" w:rsidR="00863A89" w:rsidRDefault="002A1F95" w:rsidP="00BB409D">
            <w:pPr>
              <w:jc w:val="center"/>
              <w:rPr>
                <w:rFonts w:ascii="Arial" w:hAnsi="Arial" w:cs="Arial"/>
                <w:b/>
                <w:bCs/>
                <w:sz w:val="18"/>
                <w:szCs w:val="18"/>
              </w:rPr>
            </w:pPr>
            <w:r>
              <w:rPr>
                <w:rFonts w:ascii="Arial" w:hAnsi="Arial" w:cs="Arial"/>
                <w:b/>
                <w:bCs/>
                <w:sz w:val="18"/>
                <w:szCs w:val="18"/>
              </w:rPr>
              <w:t>272.395,00</w:t>
            </w:r>
          </w:p>
        </w:tc>
        <w:tc>
          <w:tcPr>
            <w:tcW w:w="1459" w:type="dxa"/>
            <w:shd w:val="clear" w:color="auto" w:fill="DBE5F1"/>
            <w:vAlign w:val="center"/>
          </w:tcPr>
          <w:p w14:paraId="3265D2AE" w14:textId="03D27494" w:rsidR="00863A89" w:rsidRPr="00A42A4E" w:rsidRDefault="002A1F95" w:rsidP="00BB409D">
            <w:pPr>
              <w:jc w:val="center"/>
              <w:rPr>
                <w:rFonts w:ascii="Arial" w:hAnsi="Arial" w:cs="Arial"/>
                <w:b/>
                <w:bCs/>
                <w:sz w:val="18"/>
                <w:szCs w:val="18"/>
              </w:rPr>
            </w:pPr>
            <w:r>
              <w:rPr>
                <w:rFonts w:ascii="Arial" w:hAnsi="Arial" w:cs="Arial"/>
                <w:b/>
                <w:bCs/>
                <w:sz w:val="18"/>
                <w:szCs w:val="18"/>
              </w:rPr>
              <w:t>83.433,82</w:t>
            </w:r>
          </w:p>
        </w:tc>
        <w:tc>
          <w:tcPr>
            <w:tcW w:w="951" w:type="dxa"/>
            <w:shd w:val="clear" w:color="auto" w:fill="DBE5F1"/>
            <w:vAlign w:val="center"/>
          </w:tcPr>
          <w:p w14:paraId="07502632" w14:textId="685792C5" w:rsidR="00863A89" w:rsidRPr="00A42A4E" w:rsidRDefault="002A1F95" w:rsidP="00BB409D">
            <w:pPr>
              <w:jc w:val="center"/>
              <w:rPr>
                <w:rFonts w:ascii="Arial" w:hAnsi="Arial" w:cs="Arial"/>
                <w:b/>
                <w:bCs/>
                <w:sz w:val="18"/>
                <w:szCs w:val="18"/>
              </w:rPr>
            </w:pPr>
            <w:r>
              <w:rPr>
                <w:rFonts w:ascii="Arial" w:hAnsi="Arial" w:cs="Arial"/>
                <w:b/>
                <w:bCs/>
                <w:sz w:val="18"/>
                <w:szCs w:val="18"/>
              </w:rPr>
              <w:t>30,63%</w:t>
            </w:r>
          </w:p>
        </w:tc>
      </w:tr>
    </w:tbl>
    <w:p w14:paraId="26E59501" w14:textId="77777777" w:rsidR="00DC0B4B" w:rsidRDefault="00DC0B4B" w:rsidP="00DC0B4B"/>
    <w:p w14:paraId="0498E9B6" w14:textId="77777777" w:rsidR="002A1F95" w:rsidRDefault="002A1F95" w:rsidP="00DC0B4B"/>
    <w:p w14:paraId="48314FC9" w14:textId="77777777" w:rsidR="00A43610" w:rsidRDefault="00A43610" w:rsidP="00DC0B4B">
      <w:pPr>
        <w:rPr>
          <w:rFonts w:cstheme="minorHAnsi"/>
          <w:b/>
          <w:sz w:val="28"/>
          <w:szCs w:val="28"/>
        </w:rPr>
      </w:pPr>
    </w:p>
    <w:p w14:paraId="5F69693B" w14:textId="77777777" w:rsidR="00A43610" w:rsidRDefault="00A43610" w:rsidP="00DC0B4B">
      <w:pPr>
        <w:rPr>
          <w:rFonts w:cstheme="minorHAnsi"/>
          <w:b/>
          <w:sz w:val="28"/>
          <w:szCs w:val="28"/>
        </w:rPr>
      </w:pPr>
    </w:p>
    <w:p w14:paraId="3D700E23" w14:textId="77777777" w:rsidR="00A43610" w:rsidRDefault="00A43610" w:rsidP="00DC0B4B">
      <w:pPr>
        <w:rPr>
          <w:rFonts w:cstheme="minorHAnsi"/>
          <w:b/>
          <w:sz w:val="28"/>
          <w:szCs w:val="28"/>
        </w:rPr>
      </w:pPr>
    </w:p>
    <w:p w14:paraId="340E00FB" w14:textId="39C8ACE5" w:rsidR="00DC0B4B" w:rsidRDefault="00DC0B4B" w:rsidP="00DC0B4B">
      <w:pPr>
        <w:rPr>
          <w:rFonts w:cstheme="minorHAnsi"/>
          <w:b/>
          <w:sz w:val="28"/>
          <w:szCs w:val="28"/>
        </w:rPr>
      </w:pPr>
      <w:r w:rsidRPr="0098702D">
        <w:rPr>
          <w:rFonts w:cstheme="minorHAnsi"/>
          <w:b/>
          <w:sz w:val="28"/>
          <w:szCs w:val="28"/>
        </w:rPr>
        <w:t xml:space="preserve">2. RASHODI PREMA  PROGRAMSKOJ KLASIFIKACIJI </w:t>
      </w:r>
    </w:p>
    <w:p w14:paraId="18487142" w14:textId="77777777" w:rsidR="00DC0B4B" w:rsidRDefault="00DC0B4B" w:rsidP="00DC0B4B"/>
    <w:p w14:paraId="53497DD8" w14:textId="77777777" w:rsidR="006161CD" w:rsidRDefault="006161CD" w:rsidP="00535AE4"/>
    <w:p w14:paraId="648D52C7" w14:textId="77777777" w:rsidR="00625E02" w:rsidRDefault="00625E02" w:rsidP="00535AE4"/>
    <w:p w14:paraId="499EE530" w14:textId="77777777" w:rsidR="00625E02" w:rsidRDefault="00625E02" w:rsidP="00535AE4"/>
    <w:p w14:paraId="65E86939" w14:textId="77777777" w:rsidR="006967F8" w:rsidRDefault="006967F8" w:rsidP="00535AE4"/>
    <w:p w14:paraId="0F768942" w14:textId="77777777" w:rsidR="006967F8" w:rsidRDefault="006967F8" w:rsidP="00535AE4"/>
    <w:p w14:paraId="2B9A5850" w14:textId="77777777" w:rsidR="006967F8" w:rsidRDefault="006967F8" w:rsidP="00535AE4"/>
    <w:p w14:paraId="78BBD5A0" w14:textId="77777777" w:rsidR="006967F8" w:rsidRDefault="006967F8" w:rsidP="00535AE4"/>
    <w:p w14:paraId="5365E50B" w14:textId="77777777" w:rsidR="006967F8" w:rsidRDefault="006967F8" w:rsidP="00535AE4"/>
    <w:p w14:paraId="277F265B" w14:textId="77777777" w:rsidR="006967F8" w:rsidRDefault="006967F8" w:rsidP="00535AE4"/>
    <w:p w14:paraId="19258443" w14:textId="77777777" w:rsidR="006967F8" w:rsidRDefault="006967F8" w:rsidP="00535AE4"/>
    <w:p w14:paraId="417938AC" w14:textId="77777777" w:rsidR="006967F8" w:rsidRDefault="006967F8" w:rsidP="00535AE4"/>
    <w:p w14:paraId="630FF231" w14:textId="77777777" w:rsidR="006967F8" w:rsidRDefault="006967F8" w:rsidP="00535AE4"/>
    <w:p w14:paraId="0FAD6930" w14:textId="77777777" w:rsidR="006967F8" w:rsidRDefault="006967F8" w:rsidP="00535AE4"/>
    <w:p w14:paraId="13301933" w14:textId="77777777" w:rsidR="006967F8" w:rsidRDefault="006967F8" w:rsidP="00535AE4"/>
    <w:p w14:paraId="307A53E2" w14:textId="77777777" w:rsidR="006967F8" w:rsidRDefault="006967F8" w:rsidP="00535AE4"/>
    <w:p w14:paraId="32EB4029" w14:textId="77777777" w:rsidR="006967F8" w:rsidRDefault="006967F8" w:rsidP="00535AE4"/>
    <w:p w14:paraId="29B8DAFE" w14:textId="77777777" w:rsidR="006967F8" w:rsidRDefault="006967F8" w:rsidP="00535AE4"/>
    <w:p w14:paraId="6742912D" w14:textId="77777777" w:rsidR="006967F8" w:rsidRDefault="006967F8" w:rsidP="00535AE4"/>
    <w:p w14:paraId="46AA93B4" w14:textId="77777777" w:rsidR="006967F8" w:rsidRDefault="006967F8" w:rsidP="00535AE4"/>
    <w:p w14:paraId="7C281A83" w14:textId="77777777" w:rsidR="006967F8" w:rsidRDefault="006967F8" w:rsidP="00535AE4"/>
    <w:p w14:paraId="4A2169ED" w14:textId="77777777" w:rsidR="006967F8" w:rsidRDefault="006967F8" w:rsidP="00535AE4"/>
    <w:p w14:paraId="5D7C77F0" w14:textId="77777777" w:rsidR="006967F8" w:rsidRDefault="006967F8" w:rsidP="00535AE4"/>
    <w:p w14:paraId="416BD5CD" w14:textId="77777777" w:rsidR="006967F8" w:rsidRDefault="006967F8" w:rsidP="00535AE4"/>
    <w:p w14:paraId="53AA0D96" w14:textId="77777777" w:rsidR="006967F8" w:rsidRDefault="006967F8" w:rsidP="00535AE4"/>
    <w:tbl>
      <w:tblPr>
        <w:tblpPr w:leftFromText="180" w:rightFromText="180" w:horzAnchor="page" w:tblpX="1" w:tblpY="-855"/>
        <w:tblW w:w="11766" w:type="dxa"/>
        <w:tblLayout w:type="fixed"/>
        <w:tblLook w:val="04A0" w:firstRow="1" w:lastRow="0" w:firstColumn="1" w:lastColumn="0" w:noHBand="0" w:noVBand="1"/>
      </w:tblPr>
      <w:tblGrid>
        <w:gridCol w:w="1134"/>
        <w:gridCol w:w="4962"/>
        <w:gridCol w:w="1559"/>
        <w:gridCol w:w="1559"/>
        <w:gridCol w:w="1559"/>
        <w:gridCol w:w="993"/>
      </w:tblGrid>
      <w:tr w:rsidR="006967F8" w:rsidRPr="006967F8" w14:paraId="6EA3D1DC" w14:textId="77777777" w:rsidTr="008A61B1">
        <w:trPr>
          <w:trHeight w:val="255"/>
        </w:trPr>
        <w:tc>
          <w:tcPr>
            <w:tcW w:w="6096" w:type="dxa"/>
            <w:gridSpan w:val="2"/>
            <w:tcBorders>
              <w:top w:val="nil"/>
              <w:left w:val="nil"/>
              <w:bottom w:val="nil"/>
              <w:right w:val="nil"/>
            </w:tcBorders>
            <w:shd w:val="clear" w:color="auto" w:fill="D4D4D4"/>
            <w:noWrap/>
            <w:vAlign w:val="bottom"/>
            <w:hideMark/>
          </w:tcPr>
          <w:p w14:paraId="00D1F1EC" w14:textId="77777777" w:rsidR="006967F8" w:rsidRPr="006967F8" w:rsidRDefault="006967F8" w:rsidP="008A61B1">
            <w:pPr>
              <w:spacing w:after="0" w:line="240" w:lineRule="auto"/>
              <w:jc w:val="center"/>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lastRenderedPageBreak/>
              <w:t>Organizacijska klasifikacija</w:t>
            </w:r>
          </w:p>
        </w:tc>
        <w:tc>
          <w:tcPr>
            <w:tcW w:w="1559" w:type="dxa"/>
            <w:tcBorders>
              <w:top w:val="nil"/>
              <w:left w:val="nil"/>
              <w:bottom w:val="nil"/>
              <w:right w:val="nil"/>
            </w:tcBorders>
            <w:shd w:val="clear" w:color="auto" w:fill="D4D4D4"/>
            <w:noWrap/>
            <w:vAlign w:val="bottom"/>
            <w:hideMark/>
          </w:tcPr>
          <w:p w14:paraId="113AA5B5" w14:textId="77777777" w:rsidR="006967F8" w:rsidRPr="006967F8" w:rsidRDefault="006967F8" w:rsidP="006967F8">
            <w:pPr>
              <w:spacing w:after="0" w:line="240" w:lineRule="auto"/>
              <w:jc w:val="center"/>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w:t>
            </w:r>
          </w:p>
        </w:tc>
        <w:tc>
          <w:tcPr>
            <w:tcW w:w="1559" w:type="dxa"/>
            <w:tcBorders>
              <w:top w:val="nil"/>
              <w:left w:val="nil"/>
              <w:bottom w:val="nil"/>
              <w:right w:val="nil"/>
            </w:tcBorders>
            <w:shd w:val="clear" w:color="auto" w:fill="D4D4D4"/>
            <w:noWrap/>
            <w:vAlign w:val="bottom"/>
            <w:hideMark/>
          </w:tcPr>
          <w:p w14:paraId="11F3C25C" w14:textId="77777777" w:rsidR="006967F8" w:rsidRPr="006967F8" w:rsidRDefault="006967F8" w:rsidP="006967F8">
            <w:pPr>
              <w:spacing w:after="0" w:line="240" w:lineRule="auto"/>
              <w:jc w:val="center"/>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w:t>
            </w:r>
          </w:p>
        </w:tc>
        <w:tc>
          <w:tcPr>
            <w:tcW w:w="1559" w:type="dxa"/>
            <w:tcBorders>
              <w:top w:val="nil"/>
              <w:left w:val="nil"/>
              <w:bottom w:val="nil"/>
              <w:right w:val="nil"/>
            </w:tcBorders>
            <w:shd w:val="clear" w:color="auto" w:fill="D4D4D4"/>
            <w:noWrap/>
            <w:vAlign w:val="bottom"/>
            <w:hideMark/>
          </w:tcPr>
          <w:p w14:paraId="4F740BD7" w14:textId="77777777" w:rsidR="006967F8" w:rsidRPr="006967F8" w:rsidRDefault="006967F8" w:rsidP="006967F8">
            <w:pPr>
              <w:spacing w:after="0" w:line="240" w:lineRule="auto"/>
              <w:jc w:val="center"/>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w:t>
            </w:r>
          </w:p>
        </w:tc>
        <w:tc>
          <w:tcPr>
            <w:tcW w:w="993" w:type="dxa"/>
            <w:tcBorders>
              <w:top w:val="nil"/>
              <w:left w:val="nil"/>
              <w:bottom w:val="nil"/>
              <w:right w:val="nil"/>
            </w:tcBorders>
            <w:shd w:val="clear" w:color="auto" w:fill="D4D4D4"/>
            <w:noWrap/>
            <w:vAlign w:val="bottom"/>
            <w:hideMark/>
          </w:tcPr>
          <w:p w14:paraId="31F71315" w14:textId="77777777" w:rsidR="006967F8" w:rsidRPr="006967F8" w:rsidRDefault="006967F8" w:rsidP="006967F8">
            <w:pPr>
              <w:spacing w:after="0" w:line="240" w:lineRule="auto"/>
              <w:jc w:val="center"/>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w:t>
            </w:r>
          </w:p>
        </w:tc>
      </w:tr>
      <w:tr w:rsidR="006967F8" w:rsidRPr="006967F8" w14:paraId="50C476DC" w14:textId="77777777" w:rsidTr="008A61B1">
        <w:trPr>
          <w:trHeight w:val="255"/>
        </w:trPr>
        <w:tc>
          <w:tcPr>
            <w:tcW w:w="6096" w:type="dxa"/>
            <w:gridSpan w:val="2"/>
            <w:tcBorders>
              <w:top w:val="nil"/>
              <w:left w:val="nil"/>
              <w:bottom w:val="nil"/>
              <w:right w:val="nil"/>
            </w:tcBorders>
            <w:shd w:val="clear" w:color="auto" w:fill="D4D4D4"/>
            <w:noWrap/>
            <w:vAlign w:val="bottom"/>
            <w:hideMark/>
          </w:tcPr>
          <w:p w14:paraId="1DB6DED5" w14:textId="77777777" w:rsidR="006967F8" w:rsidRPr="006967F8" w:rsidRDefault="006967F8" w:rsidP="008A61B1">
            <w:pPr>
              <w:spacing w:after="0" w:line="240" w:lineRule="auto"/>
              <w:jc w:val="center"/>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Izvori</w:t>
            </w:r>
          </w:p>
        </w:tc>
        <w:tc>
          <w:tcPr>
            <w:tcW w:w="1559" w:type="dxa"/>
            <w:tcBorders>
              <w:top w:val="nil"/>
              <w:left w:val="nil"/>
              <w:bottom w:val="nil"/>
              <w:right w:val="nil"/>
            </w:tcBorders>
            <w:shd w:val="clear" w:color="auto" w:fill="D4D4D4"/>
            <w:noWrap/>
            <w:vAlign w:val="bottom"/>
            <w:hideMark/>
          </w:tcPr>
          <w:p w14:paraId="0B8F593D" w14:textId="77777777" w:rsidR="006967F8" w:rsidRPr="006967F8" w:rsidRDefault="006967F8" w:rsidP="006967F8">
            <w:pPr>
              <w:spacing w:after="0" w:line="240" w:lineRule="auto"/>
              <w:jc w:val="center"/>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w:t>
            </w:r>
          </w:p>
        </w:tc>
        <w:tc>
          <w:tcPr>
            <w:tcW w:w="1559" w:type="dxa"/>
            <w:tcBorders>
              <w:top w:val="nil"/>
              <w:left w:val="nil"/>
              <w:bottom w:val="nil"/>
              <w:right w:val="nil"/>
            </w:tcBorders>
            <w:shd w:val="clear" w:color="auto" w:fill="D4D4D4"/>
            <w:noWrap/>
            <w:vAlign w:val="bottom"/>
            <w:hideMark/>
          </w:tcPr>
          <w:p w14:paraId="155F340F" w14:textId="77777777" w:rsidR="006967F8" w:rsidRPr="006967F8" w:rsidRDefault="006967F8" w:rsidP="006967F8">
            <w:pPr>
              <w:spacing w:after="0" w:line="240" w:lineRule="auto"/>
              <w:jc w:val="center"/>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w:t>
            </w:r>
          </w:p>
        </w:tc>
        <w:tc>
          <w:tcPr>
            <w:tcW w:w="1559" w:type="dxa"/>
            <w:tcBorders>
              <w:top w:val="nil"/>
              <w:left w:val="nil"/>
              <w:bottom w:val="nil"/>
              <w:right w:val="nil"/>
            </w:tcBorders>
            <w:shd w:val="clear" w:color="auto" w:fill="D4D4D4"/>
            <w:noWrap/>
            <w:vAlign w:val="bottom"/>
            <w:hideMark/>
          </w:tcPr>
          <w:p w14:paraId="005CCE16" w14:textId="77777777" w:rsidR="006967F8" w:rsidRPr="006967F8" w:rsidRDefault="006967F8" w:rsidP="006967F8">
            <w:pPr>
              <w:spacing w:after="0" w:line="240" w:lineRule="auto"/>
              <w:jc w:val="center"/>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w:t>
            </w:r>
          </w:p>
        </w:tc>
        <w:tc>
          <w:tcPr>
            <w:tcW w:w="993" w:type="dxa"/>
            <w:tcBorders>
              <w:top w:val="nil"/>
              <w:left w:val="nil"/>
              <w:bottom w:val="nil"/>
              <w:right w:val="nil"/>
            </w:tcBorders>
            <w:shd w:val="clear" w:color="auto" w:fill="D4D4D4"/>
            <w:noWrap/>
            <w:vAlign w:val="bottom"/>
            <w:hideMark/>
          </w:tcPr>
          <w:p w14:paraId="035AE309" w14:textId="77777777" w:rsidR="006967F8" w:rsidRPr="006967F8" w:rsidRDefault="006967F8" w:rsidP="006967F8">
            <w:pPr>
              <w:spacing w:after="0" w:line="240" w:lineRule="auto"/>
              <w:jc w:val="center"/>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w:t>
            </w:r>
          </w:p>
        </w:tc>
      </w:tr>
      <w:tr w:rsidR="006967F8" w:rsidRPr="006967F8" w14:paraId="4ED7B533" w14:textId="77777777" w:rsidTr="008A61B1">
        <w:trPr>
          <w:trHeight w:val="525"/>
        </w:trPr>
        <w:tc>
          <w:tcPr>
            <w:tcW w:w="1134" w:type="dxa"/>
            <w:tcBorders>
              <w:top w:val="nil"/>
              <w:left w:val="nil"/>
              <w:bottom w:val="nil"/>
              <w:right w:val="nil"/>
            </w:tcBorders>
            <w:shd w:val="clear" w:color="auto" w:fill="D4D4D4"/>
            <w:vAlign w:val="bottom"/>
            <w:hideMark/>
          </w:tcPr>
          <w:p w14:paraId="1C10ACAD" w14:textId="07D3ECFD"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Projekt/</w:t>
            </w:r>
            <w:r w:rsidR="008A61B1">
              <w:rPr>
                <w:rFonts w:ascii="Arial" w:eastAsia="Times New Roman" w:hAnsi="Arial" w:cs="Arial"/>
                <w:b/>
                <w:bCs/>
                <w:sz w:val="20"/>
                <w:szCs w:val="20"/>
                <w:lang w:eastAsia="hr-HR"/>
              </w:rPr>
              <w:t xml:space="preserve"> </w:t>
            </w:r>
            <w:r w:rsidRPr="006967F8">
              <w:rPr>
                <w:rFonts w:ascii="Arial" w:eastAsia="Times New Roman" w:hAnsi="Arial" w:cs="Arial"/>
                <w:b/>
                <w:bCs/>
                <w:sz w:val="20"/>
                <w:szCs w:val="20"/>
                <w:lang w:eastAsia="hr-HR"/>
              </w:rPr>
              <w:t>Aktivnost</w:t>
            </w:r>
          </w:p>
        </w:tc>
        <w:tc>
          <w:tcPr>
            <w:tcW w:w="4962" w:type="dxa"/>
            <w:tcBorders>
              <w:top w:val="nil"/>
              <w:left w:val="nil"/>
              <w:bottom w:val="nil"/>
              <w:right w:val="nil"/>
            </w:tcBorders>
            <w:shd w:val="clear" w:color="auto" w:fill="D4D4D4"/>
            <w:noWrap/>
            <w:vAlign w:val="bottom"/>
            <w:hideMark/>
          </w:tcPr>
          <w:p w14:paraId="46BD38DF" w14:textId="77777777" w:rsidR="006967F8" w:rsidRPr="006967F8" w:rsidRDefault="006967F8" w:rsidP="008A61B1">
            <w:pPr>
              <w:spacing w:after="0" w:line="240" w:lineRule="auto"/>
              <w:jc w:val="center"/>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VRSTA RASHODA I IZDATAKA</w:t>
            </w:r>
          </w:p>
        </w:tc>
        <w:tc>
          <w:tcPr>
            <w:tcW w:w="1559" w:type="dxa"/>
            <w:tcBorders>
              <w:top w:val="nil"/>
              <w:left w:val="nil"/>
              <w:bottom w:val="nil"/>
              <w:right w:val="nil"/>
            </w:tcBorders>
            <w:shd w:val="clear" w:color="auto" w:fill="D4D4D4"/>
            <w:noWrap/>
            <w:vAlign w:val="bottom"/>
            <w:hideMark/>
          </w:tcPr>
          <w:p w14:paraId="643B9C8D" w14:textId="084B73B1" w:rsidR="006967F8" w:rsidRPr="006967F8" w:rsidRDefault="006967F8" w:rsidP="006967F8">
            <w:pPr>
              <w:spacing w:after="0" w:line="240" w:lineRule="auto"/>
              <w:jc w:val="center"/>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Izvorni plan</w:t>
            </w:r>
            <w:r w:rsidR="008A61B1">
              <w:rPr>
                <w:rFonts w:ascii="Arial" w:eastAsia="Times New Roman" w:hAnsi="Arial" w:cs="Arial"/>
                <w:b/>
                <w:bCs/>
                <w:sz w:val="20"/>
                <w:szCs w:val="20"/>
                <w:lang w:eastAsia="hr-HR"/>
              </w:rPr>
              <w:t>/rebalans</w:t>
            </w:r>
            <w:r w:rsidRPr="006967F8">
              <w:rPr>
                <w:rFonts w:ascii="Arial" w:eastAsia="Times New Roman" w:hAnsi="Arial" w:cs="Arial"/>
                <w:b/>
                <w:bCs/>
                <w:sz w:val="20"/>
                <w:szCs w:val="20"/>
                <w:lang w:eastAsia="hr-HR"/>
              </w:rPr>
              <w:t xml:space="preserve"> 2025</w:t>
            </w:r>
            <w:r w:rsidR="00443561">
              <w:rPr>
                <w:rFonts w:ascii="Arial" w:eastAsia="Times New Roman" w:hAnsi="Arial" w:cs="Arial"/>
                <w:b/>
                <w:bCs/>
                <w:sz w:val="20"/>
                <w:szCs w:val="20"/>
                <w:lang w:eastAsia="hr-HR"/>
              </w:rPr>
              <w:t>.</w:t>
            </w:r>
          </w:p>
        </w:tc>
        <w:tc>
          <w:tcPr>
            <w:tcW w:w="1559" w:type="dxa"/>
            <w:tcBorders>
              <w:top w:val="nil"/>
              <w:left w:val="nil"/>
              <w:bottom w:val="nil"/>
              <w:right w:val="nil"/>
            </w:tcBorders>
            <w:shd w:val="clear" w:color="auto" w:fill="D4D4D4"/>
            <w:noWrap/>
            <w:vAlign w:val="bottom"/>
            <w:hideMark/>
          </w:tcPr>
          <w:p w14:paraId="5DF1A962" w14:textId="51A2105C" w:rsidR="006967F8" w:rsidRPr="006967F8" w:rsidRDefault="006967F8" w:rsidP="006967F8">
            <w:pPr>
              <w:spacing w:after="0" w:line="240" w:lineRule="auto"/>
              <w:jc w:val="center"/>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Tekući plan 2025</w:t>
            </w:r>
            <w:r w:rsidR="00443561">
              <w:rPr>
                <w:rFonts w:ascii="Arial" w:eastAsia="Times New Roman" w:hAnsi="Arial" w:cs="Arial"/>
                <w:b/>
                <w:bCs/>
                <w:sz w:val="20"/>
                <w:szCs w:val="20"/>
                <w:lang w:eastAsia="hr-HR"/>
              </w:rPr>
              <w:t>.</w:t>
            </w:r>
          </w:p>
        </w:tc>
        <w:tc>
          <w:tcPr>
            <w:tcW w:w="1559" w:type="dxa"/>
            <w:tcBorders>
              <w:top w:val="nil"/>
              <w:left w:val="nil"/>
              <w:bottom w:val="nil"/>
              <w:right w:val="nil"/>
            </w:tcBorders>
            <w:shd w:val="clear" w:color="auto" w:fill="D4D4D4"/>
            <w:noWrap/>
            <w:vAlign w:val="bottom"/>
            <w:hideMark/>
          </w:tcPr>
          <w:p w14:paraId="1AFBFE7A" w14:textId="515A8910" w:rsidR="006967F8" w:rsidRPr="006967F8" w:rsidRDefault="006967F8" w:rsidP="006967F8">
            <w:pPr>
              <w:spacing w:after="0" w:line="240" w:lineRule="auto"/>
              <w:jc w:val="center"/>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Izvršenje 2025</w:t>
            </w:r>
            <w:r w:rsidR="00443561">
              <w:rPr>
                <w:rFonts w:ascii="Arial" w:eastAsia="Times New Roman" w:hAnsi="Arial" w:cs="Arial"/>
                <w:b/>
                <w:bCs/>
                <w:sz w:val="20"/>
                <w:szCs w:val="20"/>
                <w:lang w:eastAsia="hr-HR"/>
              </w:rPr>
              <w:t>.</w:t>
            </w:r>
          </w:p>
        </w:tc>
        <w:tc>
          <w:tcPr>
            <w:tcW w:w="993" w:type="dxa"/>
            <w:tcBorders>
              <w:top w:val="nil"/>
              <w:left w:val="nil"/>
              <w:bottom w:val="nil"/>
              <w:right w:val="nil"/>
            </w:tcBorders>
            <w:shd w:val="clear" w:color="auto" w:fill="D4D4D4"/>
            <w:noWrap/>
            <w:vAlign w:val="bottom"/>
            <w:hideMark/>
          </w:tcPr>
          <w:p w14:paraId="505E5B0C" w14:textId="24F8E1AA" w:rsidR="006967F8" w:rsidRPr="006967F8" w:rsidRDefault="006967F8" w:rsidP="006967F8">
            <w:pPr>
              <w:spacing w:after="0" w:line="240" w:lineRule="auto"/>
              <w:jc w:val="center"/>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Indeks </w:t>
            </w:r>
            <w:r w:rsidR="00443561">
              <w:rPr>
                <w:rFonts w:ascii="Arial" w:eastAsia="Times New Roman" w:hAnsi="Arial" w:cs="Arial"/>
                <w:b/>
                <w:bCs/>
                <w:sz w:val="20"/>
                <w:szCs w:val="20"/>
                <w:lang w:eastAsia="hr-HR"/>
              </w:rPr>
              <w:t>(</w:t>
            </w:r>
            <w:r w:rsidRPr="006967F8">
              <w:rPr>
                <w:rFonts w:ascii="Arial" w:eastAsia="Times New Roman" w:hAnsi="Arial" w:cs="Arial"/>
                <w:b/>
                <w:bCs/>
                <w:sz w:val="20"/>
                <w:szCs w:val="20"/>
                <w:lang w:eastAsia="hr-HR"/>
              </w:rPr>
              <w:t>3/2</w:t>
            </w:r>
            <w:r w:rsidR="00443561">
              <w:rPr>
                <w:rFonts w:ascii="Arial" w:eastAsia="Times New Roman" w:hAnsi="Arial" w:cs="Arial"/>
                <w:b/>
                <w:bCs/>
                <w:sz w:val="20"/>
                <w:szCs w:val="20"/>
                <w:lang w:eastAsia="hr-HR"/>
              </w:rPr>
              <w:t>)</w:t>
            </w:r>
          </w:p>
        </w:tc>
      </w:tr>
      <w:tr w:rsidR="006967F8" w:rsidRPr="006967F8" w14:paraId="699C2A39" w14:textId="77777777" w:rsidTr="008A61B1">
        <w:trPr>
          <w:trHeight w:val="255"/>
        </w:trPr>
        <w:tc>
          <w:tcPr>
            <w:tcW w:w="6096" w:type="dxa"/>
            <w:gridSpan w:val="2"/>
            <w:tcBorders>
              <w:top w:val="nil"/>
              <w:left w:val="nil"/>
              <w:bottom w:val="nil"/>
              <w:right w:val="nil"/>
            </w:tcBorders>
            <w:noWrap/>
            <w:vAlign w:val="bottom"/>
            <w:hideMark/>
          </w:tcPr>
          <w:p w14:paraId="444F3733" w14:textId="77777777" w:rsidR="006967F8" w:rsidRPr="006967F8" w:rsidRDefault="006967F8" w:rsidP="006967F8">
            <w:pPr>
              <w:spacing w:after="0" w:line="240" w:lineRule="auto"/>
              <w:jc w:val="center"/>
              <w:rPr>
                <w:rFonts w:ascii="Arial" w:eastAsia="Times New Roman" w:hAnsi="Arial" w:cs="Arial"/>
                <w:b/>
                <w:bCs/>
                <w:sz w:val="20"/>
                <w:szCs w:val="20"/>
                <w:lang w:eastAsia="hr-HR"/>
              </w:rPr>
            </w:pPr>
          </w:p>
        </w:tc>
        <w:tc>
          <w:tcPr>
            <w:tcW w:w="1559" w:type="dxa"/>
            <w:tcBorders>
              <w:top w:val="nil"/>
              <w:left w:val="nil"/>
              <w:bottom w:val="nil"/>
              <w:right w:val="nil"/>
            </w:tcBorders>
            <w:noWrap/>
            <w:vAlign w:val="bottom"/>
            <w:hideMark/>
          </w:tcPr>
          <w:p w14:paraId="2E0578EB" w14:textId="77777777" w:rsidR="006967F8" w:rsidRPr="006967F8" w:rsidRDefault="006967F8" w:rsidP="006967F8">
            <w:pPr>
              <w:spacing w:after="0" w:line="240" w:lineRule="auto"/>
              <w:jc w:val="center"/>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w:t>
            </w:r>
          </w:p>
        </w:tc>
        <w:tc>
          <w:tcPr>
            <w:tcW w:w="1559" w:type="dxa"/>
            <w:tcBorders>
              <w:top w:val="nil"/>
              <w:left w:val="nil"/>
              <w:bottom w:val="nil"/>
              <w:right w:val="nil"/>
            </w:tcBorders>
            <w:noWrap/>
            <w:vAlign w:val="bottom"/>
            <w:hideMark/>
          </w:tcPr>
          <w:p w14:paraId="22FC9D99" w14:textId="77777777" w:rsidR="006967F8" w:rsidRPr="006967F8" w:rsidRDefault="006967F8" w:rsidP="006967F8">
            <w:pPr>
              <w:spacing w:after="0" w:line="240" w:lineRule="auto"/>
              <w:jc w:val="center"/>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w:t>
            </w:r>
          </w:p>
        </w:tc>
        <w:tc>
          <w:tcPr>
            <w:tcW w:w="1559" w:type="dxa"/>
            <w:tcBorders>
              <w:top w:val="nil"/>
              <w:left w:val="nil"/>
              <w:bottom w:val="nil"/>
              <w:right w:val="nil"/>
            </w:tcBorders>
            <w:noWrap/>
            <w:vAlign w:val="bottom"/>
            <w:hideMark/>
          </w:tcPr>
          <w:p w14:paraId="5036C255" w14:textId="77777777" w:rsidR="006967F8" w:rsidRPr="006967F8" w:rsidRDefault="006967F8" w:rsidP="006967F8">
            <w:pPr>
              <w:spacing w:after="0" w:line="240" w:lineRule="auto"/>
              <w:jc w:val="center"/>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w:t>
            </w:r>
          </w:p>
        </w:tc>
        <w:tc>
          <w:tcPr>
            <w:tcW w:w="993" w:type="dxa"/>
            <w:tcBorders>
              <w:top w:val="nil"/>
              <w:left w:val="nil"/>
              <w:bottom w:val="nil"/>
              <w:right w:val="nil"/>
            </w:tcBorders>
            <w:noWrap/>
            <w:vAlign w:val="bottom"/>
            <w:hideMark/>
          </w:tcPr>
          <w:p w14:paraId="5FCA2938" w14:textId="77777777" w:rsidR="006967F8" w:rsidRPr="006967F8" w:rsidRDefault="006967F8" w:rsidP="006967F8">
            <w:pPr>
              <w:spacing w:after="0" w:line="240" w:lineRule="auto"/>
              <w:jc w:val="center"/>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w:t>
            </w:r>
          </w:p>
        </w:tc>
      </w:tr>
      <w:tr w:rsidR="006967F8" w:rsidRPr="006967F8" w14:paraId="45B2365B" w14:textId="77777777" w:rsidTr="008A61B1">
        <w:trPr>
          <w:trHeight w:val="255"/>
        </w:trPr>
        <w:tc>
          <w:tcPr>
            <w:tcW w:w="6096" w:type="dxa"/>
            <w:gridSpan w:val="2"/>
            <w:tcBorders>
              <w:top w:val="nil"/>
              <w:left w:val="nil"/>
              <w:bottom w:val="nil"/>
              <w:right w:val="nil"/>
            </w:tcBorders>
            <w:noWrap/>
            <w:vAlign w:val="bottom"/>
            <w:hideMark/>
          </w:tcPr>
          <w:p w14:paraId="270CC797" w14:textId="77777777" w:rsidR="006967F8" w:rsidRPr="008A61B1" w:rsidRDefault="006967F8" w:rsidP="008A61B1">
            <w:pPr>
              <w:spacing w:after="0" w:line="240" w:lineRule="auto"/>
              <w:jc w:val="center"/>
              <w:rPr>
                <w:rFonts w:ascii="Arial" w:eastAsia="Times New Roman" w:hAnsi="Arial" w:cs="Arial"/>
                <w:b/>
                <w:bCs/>
                <w:color w:val="FFFFFF"/>
                <w:sz w:val="20"/>
                <w:szCs w:val="20"/>
                <w:lang w:eastAsia="hr-HR"/>
              </w:rPr>
            </w:pPr>
            <w:r w:rsidRPr="008A61B1">
              <w:rPr>
                <w:rFonts w:ascii="Arial" w:eastAsia="Times New Roman" w:hAnsi="Arial" w:cs="Arial"/>
                <w:b/>
                <w:bCs/>
                <w:sz w:val="20"/>
                <w:szCs w:val="20"/>
                <w:lang w:eastAsia="hr-HR"/>
              </w:rPr>
              <w:t>UKUPNO RASHODI I IZDATCI</w:t>
            </w:r>
          </w:p>
        </w:tc>
        <w:tc>
          <w:tcPr>
            <w:tcW w:w="1559" w:type="dxa"/>
            <w:tcBorders>
              <w:top w:val="nil"/>
              <w:left w:val="nil"/>
              <w:bottom w:val="nil"/>
              <w:right w:val="nil"/>
            </w:tcBorders>
            <w:noWrap/>
            <w:vAlign w:val="bottom"/>
            <w:hideMark/>
          </w:tcPr>
          <w:p w14:paraId="3051C180" w14:textId="77777777" w:rsidR="006967F8" w:rsidRPr="008A61B1" w:rsidRDefault="006967F8" w:rsidP="006967F8">
            <w:pPr>
              <w:spacing w:after="0" w:line="240" w:lineRule="auto"/>
              <w:jc w:val="right"/>
              <w:rPr>
                <w:rFonts w:ascii="Arial" w:eastAsia="Times New Roman" w:hAnsi="Arial" w:cs="Arial"/>
                <w:b/>
                <w:bCs/>
                <w:sz w:val="20"/>
                <w:szCs w:val="20"/>
                <w:lang w:eastAsia="hr-HR"/>
              </w:rPr>
            </w:pPr>
            <w:r w:rsidRPr="008A61B1">
              <w:rPr>
                <w:rFonts w:ascii="Arial" w:eastAsia="Times New Roman" w:hAnsi="Arial" w:cs="Arial"/>
                <w:b/>
                <w:bCs/>
                <w:sz w:val="20"/>
                <w:szCs w:val="20"/>
                <w:lang w:eastAsia="hr-HR"/>
              </w:rPr>
              <w:t>25.461.515,09</w:t>
            </w:r>
          </w:p>
        </w:tc>
        <w:tc>
          <w:tcPr>
            <w:tcW w:w="1559" w:type="dxa"/>
            <w:tcBorders>
              <w:top w:val="nil"/>
              <w:left w:val="nil"/>
              <w:bottom w:val="nil"/>
              <w:right w:val="nil"/>
            </w:tcBorders>
            <w:noWrap/>
            <w:vAlign w:val="bottom"/>
            <w:hideMark/>
          </w:tcPr>
          <w:p w14:paraId="4B791694" w14:textId="77777777" w:rsidR="006967F8" w:rsidRPr="008A61B1" w:rsidRDefault="006967F8" w:rsidP="006967F8">
            <w:pPr>
              <w:spacing w:after="0" w:line="240" w:lineRule="auto"/>
              <w:jc w:val="right"/>
              <w:rPr>
                <w:rFonts w:ascii="Arial" w:eastAsia="Times New Roman" w:hAnsi="Arial" w:cs="Arial"/>
                <w:b/>
                <w:bCs/>
                <w:sz w:val="20"/>
                <w:szCs w:val="20"/>
                <w:lang w:eastAsia="hr-HR"/>
              </w:rPr>
            </w:pPr>
            <w:r w:rsidRPr="008A61B1">
              <w:rPr>
                <w:rFonts w:ascii="Arial" w:eastAsia="Times New Roman" w:hAnsi="Arial" w:cs="Arial"/>
                <w:b/>
                <w:bCs/>
                <w:sz w:val="20"/>
                <w:szCs w:val="20"/>
                <w:lang w:eastAsia="hr-HR"/>
              </w:rPr>
              <w:t>25.461.515,09</w:t>
            </w:r>
          </w:p>
        </w:tc>
        <w:tc>
          <w:tcPr>
            <w:tcW w:w="1559" w:type="dxa"/>
            <w:tcBorders>
              <w:top w:val="nil"/>
              <w:left w:val="nil"/>
              <w:bottom w:val="nil"/>
              <w:right w:val="nil"/>
            </w:tcBorders>
            <w:noWrap/>
            <w:vAlign w:val="bottom"/>
            <w:hideMark/>
          </w:tcPr>
          <w:p w14:paraId="7F6405C0" w14:textId="77777777" w:rsidR="006967F8" w:rsidRPr="008A61B1" w:rsidRDefault="006967F8" w:rsidP="006967F8">
            <w:pPr>
              <w:spacing w:after="0" w:line="240" w:lineRule="auto"/>
              <w:jc w:val="right"/>
              <w:rPr>
                <w:rFonts w:ascii="Arial" w:eastAsia="Times New Roman" w:hAnsi="Arial" w:cs="Arial"/>
                <w:b/>
                <w:bCs/>
                <w:sz w:val="20"/>
                <w:szCs w:val="20"/>
                <w:lang w:eastAsia="hr-HR"/>
              </w:rPr>
            </w:pPr>
            <w:r w:rsidRPr="008A61B1">
              <w:rPr>
                <w:rFonts w:ascii="Arial" w:eastAsia="Times New Roman" w:hAnsi="Arial" w:cs="Arial"/>
                <w:b/>
                <w:bCs/>
                <w:sz w:val="20"/>
                <w:szCs w:val="20"/>
                <w:lang w:eastAsia="hr-HR"/>
              </w:rPr>
              <w:t>19.932.543,52</w:t>
            </w:r>
          </w:p>
        </w:tc>
        <w:tc>
          <w:tcPr>
            <w:tcW w:w="993" w:type="dxa"/>
            <w:tcBorders>
              <w:top w:val="nil"/>
              <w:left w:val="nil"/>
              <w:bottom w:val="nil"/>
              <w:right w:val="nil"/>
            </w:tcBorders>
            <w:noWrap/>
            <w:vAlign w:val="bottom"/>
            <w:hideMark/>
          </w:tcPr>
          <w:p w14:paraId="3B3D9CB9" w14:textId="77777777" w:rsidR="006967F8" w:rsidRPr="008A61B1" w:rsidRDefault="006967F8" w:rsidP="006967F8">
            <w:pPr>
              <w:spacing w:after="0" w:line="240" w:lineRule="auto"/>
              <w:jc w:val="right"/>
              <w:rPr>
                <w:rFonts w:ascii="Arial" w:eastAsia="Times New Roman" w:hAnsi="Arial" w:cs="Arial"/>
                <w:b/>
                <w:bCs/>
                <w:sz w:val="20"/>
                <w:szCs w:val="20"/>
                <w:lang w:eastAsia="hr-HR"/>
              </w:rPr>
            </w:pPr>
            <w:r w:rsidRPr="008A61B1">
              <w:rPr>
                <w:rFonts w:ascii="Arial" w:eastAsia="Times New Roman" w:hAnsi="Arial" w:cs="Arial"/>
                <w:b/>
                <w:bCs/>
                <w:sz w:val="20"/>
                <w:szCs w:val="20"/>
                <w:lang w:eastAsia="hr-HR"/>
              </w:rPr>
              <w:t>78,28%</w:t>
            </w:r>
          </w:p>
        </w:tc>
      </w:tr>
      <w:tr w:rsidR="006967F8" w:rsidRPr="006967F8" w14:paraId="594CBE5F" w14:textId="77777777" w:rsidTr="008A61B1">
        <w:trPr>
          <w:trHeight w:val="525"/>
        </w:trPr>
        <w:tc>
          <w:tcPr>
            <w:tcW w:w="6096" w:type="dxa"/>
            <w:gridSpan w:val="2"/>
            <w:tcBorders>
              <w:top w:val="nil"/>
              <w:left w:val="nil"/>
              <w:bottom w:val="nil"/>
              <w:right w:val="nil"/>
            </w:tcBorders>
            <w:shd w:val="clear" w:color="000000" w:fill="9999FF"/>
            <w:vAlign w:val="bottom"/>
            <w:hideMark/>
          </w:tcPr>
          <w:p w14:paraId="60DC100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RAZDJEL 020 UPRAVNI ODJEL ZA LOKALNU SAMOUPRAVU I IMOVINU GRADA</w:t>
            </w:r>
          </w:p>
        </w:tc>
        <w:tc>
          <w:tcPr>
            <w:tcW w:w="1559" w:type="dxa"/>
            <w:tcBorders>
              <w:top w:val="nil"/>
              <w:left w:val="nil"/>
              <w:bottom w:val="nil"/>
              <w:right w:val="nil"/>
            </w:tcBorders>
            <w:shd w:val="clear" w:color="000000" w:fill="9999FF"/>
            <w:noWrap/>
            <w:vAlign w:val="bottom"/>
            <w:hideMark/>
          </w:tcPr>
          <w:p w14:paraId="755FEDF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3.906.865,00</w:t>
            </w:r>
          </w:p>
        </w:tc>
        <w:tc>
          <w:tcPr>
            <w:tcW w:w="1559" w:type="dxa"/>
            <w:tcBorders>
              <w:top w:val="nil"/>
              <w:left w:val="nil"/>
              <w:bottom w:val="nil"/>
              <w:right w:val="nil"/>
            </w:tcBorders>
            <w:shd w:val="clear" w:color="000000" w:fill="9999FF"/>
            <w:noWrap/>
            <w:vAlign w:val="bottom"/>
            <w:hideMark/>
          </w:tcPr>
          <w:p w14:paraId="7C397F4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3.916.865,00</w:t>
            </w:r>
          </w:p>
        </w:tc>
        <w:tc>
          <w:tcPr>
            <w:tcW w:w="1559" w:type="dxa"/>
            <w:tcBorders>
              <w:top w:val="nil"/>
              <w:left w:val="nil"/>
              <w:bottom w:val="nil"/>
              <w:right w:val="nil"/>
            </w:tcBorders>
            <w:shd w:val="clear" w:color="000000" w:fill="9999FF"/>
            <w:noWrap/>
            <w:vAlign w:val="bottom"/>
            <w:hideMark/>
          </w:tcPr>
          <w:p w14:paraId="44D604B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3.286.573,84</w:t>
            </w:r>
          </w:p>
        </w:tc>
        <w:tc>
          <w:tcPr>
            <w:tcW w:w="993" w:type="dxa"/>
            <w:tcBorders>
              <w:top w:val="nil"/>
              <w:left w:val="nil"/>
              <w:bottom w:val="nil"/>
              <w:right w:val="nil"/>
            </w:tcBorders>
            <w:shd w:val="clear" w:color="000000" w:fill="9999FF"/>
            <w:noWrap/>
            <w:vAlign w:val="bottom"/>
            <w:hideMark/>
          </w:tcPr>
          <w:p w14:paraId="617ED20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83,91%</w:t>
            </w:r>
          </w:p>
        </w:tc>
      </w:tr>
      <w:tr w:rsidR="006967F8" w:rsidRPr="006967F8" w14:paraId="1ED27299" w14:textId="77777777" w:rsidTr="008A61B1">
        <w:trPr>
          <w:trHeight w:val="525"/>
        </w:trPr>
        <w:tc>
          <w:tcPr>
            <w:tcW w:w="6096" w:type="dxa"/>
            <w:gridSpan w:val="2"/>
            <w:tcBorders>
              <w:top w:val="nil"/>
              <w:left w:val="nil"/>
              <w:bottom w:val="nil"/>
              <w:right w:val="nil"/>
            </w:tcBorders>
            <w:shd w:val="clear" w:color="000000" w:fill="9999FF"/>
            <w:vAlign w:val="bottom"/>
            <w:hideMark/>
          </w:tcPr>
          <w:p w14:paraId="70301C3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GLAVA 02001 UPRAVNI ODJEL ZA LOKALNU SAMOUPRAVU I IMOVINU GRADA</w:t>
            </w:r>
          </w:p>
        </w:tc>
        <w:tc>
          <w:tcPr>
            <w:tcW w:w="1559" w:type="dxa"/>
            <w:tcBorders>
              <w:top w:val="nil"/>
              <w:left w:val="nil"/>
              <w:bottom w:val="nil"/>
              <w:right w:val="nil"/>
            </w:tcBorders>
            <w:shd w:val="clear" w:color="000000" w:fill="9999FF"/>
            <w:noWrap/>
            <w:vAlign w:val="bottom"/>
            <w:hideMark/>
          </w:tcPr>
          <w:p w14:paraId="00B6BAA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3.906.865,00</w:t>
            </w:r>
          </w:p>
        </w:tc>
        <w:tc>
          <w:tcPr>
            <w:tcW w:w="1559" w:type="dxa"/>
            <w:tcBorders>
              <w:top w:val="nil"/>
              <w:left w:val="nil"/>
              <w:bottom w:val="nil"/>
              <w:right w:val="nil"/>
            </w:tcBorders>
            <w:shd w:val="clear" w:color="000000" w:fill="9999FF"/>
            <w:noWrap/>
            <w:vAlign w:val="bottom"/>
            <w:hideMark/>
          </w:tcPr>
          <w:p w14:paraId="7D226DC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3.916.865,00</w:t>
            </w:r>
          </w:p>
        </w:tc>
        <w:tc>
          <w:tcPr>
            <w:tcW w:w="1559" w:type="dxa"/>
            <w:tcBorders>
              <w:top w:val="nil"/>
              <w:left w:val="nil"/>
              <w:bottom w:val="nil"/>
              <w:right w:val="nil"/>
            </w:tcBorders>
            <w:shd w:val="clear" w:color="000000" w:fill="9999FF"/>
            <w:noWrap/>
            <w:vAlign w:val="bottom"/>
            <w:hideMark/>
          </w:tcPr>
          <w:p w14:paraId="2CD978F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3.286.573,84</w:t>
            </w:r>
          </w:p>
        </w:tc>
        <w:tc>
          <w:tcPr>
            <w:tcW w:w="993" w:type="dxa"/>
            <w:tcBorders>
              <w:top w:val="nil"/>
              <w:left w:val="nil"/>
              <w:bottom w:val="nil"/>
              <w:right w:val="nil"/>
            </w:tcBorders>
            <w:shd w:val="clear" w:color="000000" w:fill="9999FF"/>
            <w:noWrap/>
            <w:vAlign w:val="bottom"/>
            <w:hideMark/>
          </w:tcPr>
          <w:p w14:paraId="2E0206F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83,91%</w:t>
            </w:r>
          </w:p>
        </w:tc>
      </w:tr>
      <w:tr w:rsidR="006967F8" w:rsidRPr="006967F8" w14:paraId="470ADDE2"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A831FE4"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636B2C2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3.800.065,00</w:t>
            </w:r>
          </w:p>
        </w:tc>
        <w:tc>
          <w:tcPr>
            <w:tcW w:w="1559" w:type="dxa"/>
            <w:tcBorders>
              <w:top w:val="nil"/>
              <w:left w:val="nil"/>
              <w:bottom w:val="nil"/>
              <w:right w:val="nil"/>
            </w:tcBorders>
            <w:shd w:val="clear" w:color="000000" w:fill="CCCCFF"/>
            <w:noWrap/>
            <w:vAlign w:val="bottom"/>
            <w:hideMark/>
          </w:tcPr>
          <w:p w14:paraId="218A4C4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3.725.592,50</w:t>
            </w:r>
          </w:p>
        </w:tc>
        <w:tc>
          <w:tcPr>
            <w:tcW w:w="1559" w:type="dxa"/>
            <w:tcBorders>
              <w:top w:val="nil"/>
              <w:left w:val="nil"/>
              <w:bottom w:val="nil"/>
              <w:right w:val="nil"/>
            </w:tcBorders>
            <w:shd w:val="clear" w:color="000000" w:fill="CCCCFF"/>
            <w:noWrap/>
            <w:vAlign w:val="bottom"/>
            <w:hideMark/>
          </w:tcPr>
          <w:p w14:paraId="519C434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3.138.311,62</w:t>
            </w:r>
          </w:p>
        </w:tc>
        <w:tc>
          <w:tcPr>
            <w:tcW w:w="993" w:type="dxa"/>
            <w:tcBorders>
              <w:top w:val="nil"/>
              <w:left w:val="nil"/>
              <w:bottom w:val="nil"/>
              <w:right w:val="nil"/>
            </w:tcBorders>
            <w:shd w:val="clear" w:color="000000" w:fill="CCCCFF"/>
            <w:noWrap/>
            <w:vAlign w:val="bottom"/>
            <w:hideMark/>
          </w:tcPr>
          <w:p w14:paraId="72CD3F8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84,24%</w:t>
            </w:r>
          </w:p>
        </w:tc>
      </w:tr>
      <w:tr w:rsidR="006967F8" w:rsidRPr="006967F8" w14:paraId="109667B9"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6EEF7A7"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189F7F4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3.800.065,00</w:t>
            </w:r>
          </w:p>
        </w:tc>
        <w:tc>
          <w:tcPr>
            <w:tcW w:w="1559" w:type="dxa"/>
            <w:tcBorders>
              <w:top w:val="nil"/>
              <w:left w:val="nil"/>
              <w:bottom w:val="nil"/>
              <w:right w:val="nil"/>
            </w:tcBorders>
            <w:shd w:val="clear" w:color="000000" w:fill="CCCCFF"/>
            <w:noWrap/>
            <w:vAlign w:val="bottom"/>
            <w:hideMark/>
          </w:tcPr>
          <w:p w14:paraId="39E1ECA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3.725.592,50</w:t>
            </w:r>
          </w:p>
        </w:tc>
        <w:tc>
          <w:tcPr>
            <w:tcW w:w="1559" w:type="dxa"/>
            <w:tcBorders>
              <w:top w:val="nil"/>
              <w:left w:val="nil"/>
              <w:bottom w:val="nil"/>
              <w:right w:val="nil"/>
            </w:tcBorders>
            <w:shd w:val="clear" w:color="000000" w:fill="CCCCFF"/>
            <w:noWrap/>
            <w:vAlign w:val="bottom"/>
            <w:hideMark/>
          </w:tcPr>
          <w:p w14:paraId="2B40AF2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3.138.311,62</w:t>
            </w:r>
          </w:p>
        </w:tc>
        <w:tc>
          <w:tcPr>
            <w:tcW w:w="993" w:type="dxa"/>
            <w:tcBorders>
              <w:top w:val="nil"/>
              <w:left w:val="nil"/>
              <w:bottom w:val="nil"/>
              <w:right w:val="nil"/>
            </w:tcBorders>
            <w:shd w:val="clear" w:color="000000" w:fill="CCCCFF"/>
            <w:noWrap/>
            <w:vAlign w:val="bottom"/>
            <w:hideMark/>
          </w:tcPr>
          <w:p w14:paraId="6B8CB8B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84,24%</w:t>
            </w:r>
          </w:p>
        </w:tc>
      </w:tr>
      <w:tr w:rsidR="006967F8" w:rsidRPr="006967F8" w14:paraId="16AD8C10"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515DCC6"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62C39D7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104.700,00</w:t>
            </w:r>
          </w:p>
        </w:tc>
        <w:tc>
          <w:tcPr>
            <w:tcW w:w="1559" w:type="dxa"/>
            <w:tcBorders>
              <w:top w:val="nil"/>
              <w:left w:val="nil"/>
              <w:bottom w:val="nil"/>
              <w:right w:val="nil"/>
            </w:tcBorders>
            <w:shd w:val="clear" w:color="000000" w:fill="CCCCFF"/>
            <w:noWrap/>
            <w:vAlign w:val="bottom"/>
            <w:hideMark/>
          </w:tcPr>
          <w:p w14:paraId="057C38F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189.172,50</w:t>
            </w:r>
          </w:p>
        </w:tc>
        <w:tc>
          <w:tcPr>
            <w:tcW w:w="1559" w:type="dxa"/>
            <w:tcBorders>
              <w:top w:val="nil"/>
              <w:left w:val="nil"/>
              <w:bottom w:val="nil"/>
              <w:right w:val="nil"/>
            </w:tcBorders>
            <w:shd w:val="clear" w:color="000000" w:fill="CCCCFF"/>
            <w:noWrap/>
            <w:vAlign w:val="bottom"/>
            <w:hideMark/>
          </w:tcPr>
          <w:p w14:paraId="09A3378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146.199,52</w:t>
            </w:r>
          </w:p>
        </w:tc>
        <w:tc>
          <w:tcPr>
            <w:tcW w:w="993" w:type="dxa"/>
            <w:tcBorders>
              <w:top w:val="nil"/>
              <w:left w:val="nil"/>
              <w:bottom w:val="nil"/>
              <w:right w:val="nil"/>
            </w:tcBorders>
            <w:shd w:val="clear" w:color="000000" w:fill="CCCCFF"/>
            <w:noWrap/>
            <w:vAlign w:val="bottom"/>
            <w:hideMark/>
          </w:tcPr>
          <w:p w14:paraId="5596D67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77,28%</w:t>
            </w:r>
          </w:p>
        </w:tc>
      </w:tr>
      <w:tr w:rsidR="006967F8" w:rsidRPr="006967F8" w14:paraId="516A3F3E"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AE30194"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5.1. Ostale pomoći</w:t>
            </w:r>
          </w:p>
        </w:tc>
        <w:tc>
          <w:tcPr>
            <w:tcW w:w="1559" w:type="dxa"/>
            <w:tcBorders>
              <w:top w:val="nil"/>
              <w:left w:val="nil"/>
              <w:bottom w:val="nil"/>
              <w:right w:val="nil"/>
            </w:tcBorders>
            <w:shd w:val="clear" w:color="000000" w:fill="CCCCFF"/>
            <w:noWrap/>
            <w:vAlign w:val="bottom"/>
            <w:hideMark/>
          </w:tcPr>
          <w:p w14:paraId="11C0545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104.700,00</w:t>
            </w:r>
          </w:p>
        </w:tc>
        <w:tc>
          <w:tcPr>
            <w:tcW w:w="1559" w:type="dxa"/>
            <w:tcBorders>
              <w:top w:val="nil"/>
              <w:left w:val="nil"/>
              <w:bottom w:val="nil"/>
              <w:right w:val="nil"/>
            </w:tcBorders>
            <w:shd w:val="clear" w:color="000000" w:fill="CCCCFF"/>
            <w:noWrap/>
            <w:vAlign w:val="bottom"/>
            <w:hideMark/>
          </w:tcPr>
          <w:p w14:paraId="1A709C0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189.172,50</w:t>
            </w:r>
          </w:p>
        </w:tc>
        <w:tc>
          <w:tcPr>
            <w:tcW w:w="1559" w:type="dxa"/>
            <w:tcBorders>
              <w:top w:val="nil"/>
              <w:left w:val="nil"/>
              <w:bottom w:val="nil"/>
              <w:right w:val="nil"/>
            </w:tcBorders>
            <w:shd w:val="clear" w:color="000000" w:fill="CCCCFF"/>
            <w:noWrap/>
            <w:vAlign w:val="bottom"/>
            <w:hideMark/>
          </w:tcPr>
          <w:p w14:paraId="6D1F374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146.199,52</w:t>
            </w:r>
          </w:p>
        </w:tc>
        <w:tc>
          <w:tcPr>
            <w:tcW w:w="993" w:type="dxa"/>
            <w:tcBorders>
              <w:top w:val="nil"/>
              <w:left w:val="nil"/>
              <w:bottom w:val="nil"/>
              <w:right w:val="nil"/>
            </w:tcBorders>
            <w:shd w:val="clear" w:color="000000" w:fill="CCCCFF"/>
            <w:noWrap/>
            <w:vAlign w:val="bottom"/>
            <w:hideMark/>
          </w:tcPr>
          <w:p w14:paraId="61994EA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77,28%</w:t>
            </w:r>
          </w:p>
        </w:tc>
      </w:tr>
      <w:tr w:rsidR="006967F8" w:rsidRPr="006967F8" w14:paraId="10EE4D70"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40915AC"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6. DONACIJE</w:t>
            </w:r>
          </w:p>
        </w:tc>
        <w:tc>
          <w:tcPr>
            <w:tcW w:w="1559" w:type="dxa"/>
            <w:tcBorders>
              <w:top w:val="nil"/>
              <w:left w:val="nil"/>
              <w:bottom w:val="nil"/>
              <w:right w:val="nil"/>
            </w:tcBorders>
            <w:shd w:val="clear" w:color="000000" w:fill="CCCCFF"/>
            <w:noWrap/>
            <w:vAlign w:val="bottom"/>
            <w:hideMark/>
          </w:tcPr>
          <w:p w14:paraId="1B9153C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2.100,00</w:t>
            </w:r>
          </w:p>
        </w:tc>
        <w:tc>
          <w:tcPr>
            <w:tcW w:w="1559" w:type="dxa"/>
            <w:tcBorders>
              <w:top w:val="nil"/>
              <w:left w:val="nil"/>
              <w:bottom w:val="nil"/>
              <w:right w:val="nil"/>
            </w:tcBorders>
            <w:shd w:val="clear" w:color="000000" w:fill="CCCCFF"/>
            <w:noWrap/>
            <w:vAlign w:val="bottom"/>
            <w:hideMark/>
          </w:tcPr>
          <w:p w14:paraId="3146FF1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2.100,00</w:t>
            </w:r>
          </w:p>
        </w:tc>
        <w:tc>
          <w:tcPr>
            <w:tcW w:w="1559" w:type="dxa"/>
            <w:tcBorders>
              <w:top w:val="nil"/>
              <w:left w:val="nil"/>
              <w:bottom w:val="nil"/>
              <w:right w:val="nil"/>
            </w:tcBorders>
            <w:shd w:val="clear" w:color="000000" w:fill="CCCCFF"/>
            <w:noWrap/>
            <w:vAlign w:val="bottom"/>
            <w:hideMark/>
          </w:tcPr>
          <w:p w14:paraId="0BB4BF0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2.062,70</w:t>
            </w:r>
          </w:p>
        </w:tc>
        <w:tc>
          <w:tcPr>
            <w:tcW w:w="993" w:type="dxa"/>
            <w:tcBorders>
              <w:top w:val="nil"/>
              <w:left w:val="nil"/>
              <w:bottom w:val="nil"/>
              <w:right w:val="nil"/>
            </w:tcBorders>
            <w:shd w:val="clear" w:color="000000" w:fill="CCCCFF"/>
            <w:noWrap/>
            <w:vAlign w:val="bottom"/>
            <w:hideMark/>
          </w:tcPr>
          <w:p w14:paraId="3010D5F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98,22%</w:t>
            </w:r>
          </w:p>
        </w:tc>
      </w:tr>
      <w:tr w:rsidR="006967F8" w:rsidRPr="006967F8" w14:paraId="79B43E54"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11D8533"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6.1. Donacije</w:t>
            </w:r>
          </w:p>
        </w:tc>
        <w:tc>
          <w:tcPr>
            <w:tcW w:w="1559" w:type="dxa"/>
            <w:tcBorders>
              <w:top w:val="nil"/>
              <w:left w:val="nil"/>
              <w:bottom w:val="nil"/>
              <w:right w:val="nil"/>
            </w:tcBorders>
            <w:shd w:val="clear" w:color="000000" w:fill="CCCCFF"/>
            <w:noWrap/>
            <w:vAlign w:val="bottom"/>
            <w:hideMark/>
          </w:tcPr>
          <w:p w14:paraId="048BC24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2.100,00</w:t>
            </w:r>
          </w:p>
        </w:tc>
        <w:tc>
          <w:tcPr>
            <w:tcW w:w="1559" w:type="dxa"/>
            <w:tcBorders>
              <w:top w:val="nil"/>
              <w:left w:val="nil"/>
              <w:bottom w:val="nil"/>
              <w:right w:val="nil"/>
            </w:tcBorders>
            <w:shd w:val="clear" w:color="000000" w:fill="CCCCFF"/>
            <w:noWrap/>
            <w:vAlign w:val="bottom"/>
            <w:hideMark/>
          </w:tcPr>
          <w:p w14:paraId="00A8117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2.100,00</w:t>
            </w:r>
          </w:p>
        </w:tc>
        <w:tc>
          <w:tcPr>
            <w:tcW w:w="1559" w:type="dxa"/>
            <w:tcBorders>
              <w:top w:val="nil"/>
              <w:left w:val="nil"/>
              <w:bottom w:val="nil"/>
              <w:right w:val="nil"/>
            </w:tcBorders>
            <w:shd w:val="clear" w:color="000000" w:fill="CCCCFF"/>
            <w:noWrap/>
            <w:vAlign w:val="bottom"/>
            <w:hideMark/>
          </w:tcPr>
          <w:p w14:paraId="4AB260D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2.062,70</w:t>
            </w:r>
          </w:p>
        </w:tc>
        <w:tc>
          <w:tcPr>
            <w:tcW w:w="993" w:type="dxa"/>
            <w:tcBorders>
              <w:top w:val="nil"/>
              <w:left w:val="nil"/>
              <w:bottom w:val="nil"/>
              <w:right w:val="nil"/>
            </w:tcBorders>
            <w:shd w:val="clear" w:color="000000" w:fill="CCCCFF"/>
            <w:noWrap/>
            <w:vAlign w:val="bottom"/>
            <w:hideMark/>
          </w:tcPr>
          <w:p w14:paraId="3838E4F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98,22%</w:t>
            </w:r>
          </w:p>
        </w:tc>
      </w:tr>
      <w:tr w:rsidR="006967F8" w:rsidRPr="006967F8" w14:paraId="04EE91F4" w14:textId="77777777" w:rsidTr="008A61B1">
        <w:trPr>
          <w:trHeight w:val="255"/>
        </w:trPr>
        <w:tc>
          <w:tcPr>
            <w:tcW w:w="6096" w:type="dxa"/>
            <w:gridSpan w:val="2"/>
            <w:tcBorders>
              <w:top w:val="nil"/>
              <w:left w:val="nil"/>
              <w:bottom w:val="nil"/>
              <w:right w:val="nil"/>
            </w:tcBorders>
            <w:shd w:val="clear" w:color="000000" w:fill="FF9900"/>
            <w:vAlign w:val="bottom"/>
            <w:hideMark/>
          </w:tcPr>
          <w:p w14:paraId="12C8069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1101 Program: JAVNA UPRAVA I ADMINISTRACIJA</w:t>
            </w:r>
          </w:p>
        </w:tc>
        <w:tc>
          <w:tcPr>
            <w:tcW w:w="1559" w:type="dxa"/>
            <w:tcBorders>
              <w:top w:val="nil"/>
              <w:left w:val="nil"/>
              <w:bottom w:val="nil"/>
              <w:right w:val="nil"/>
            </w:tcBorders>
            <w:shd w:val="clear" w:color="000000" w:fill="FF9900"/>
            <w:noWrap/>
            <w:vAlign w:val="bottom"/>
            <w:hideMark/>
          </w:tcPr>
          <w:p w14:paraId="1EB296A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3.172.375,00</w:t>
            </w:r>
          </w:p>
        </w:tc>
        <w:tc>
          <w:tcPr>
            <w:tcW w:w="1559" w:type="dxa"/>
            <w:tcBorders>
              <w:top w:val="nil"/>
              <w:left w:val="nil"/>
              <w:bottom w:val="nil"/>
              <w:right w:val="nil"/>
            </w:tcBorders>
            <w:shd w:val="clear" w:color="000000" w:fill="FF9900"/>
            <w:noWrap/>
            <w:vAlign w:val="bottom"/>
            <w:hideMark/>
          </w:tcPr>
          <w:p w14:paraId="444AEB9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3.073.999,00</w:t>
            </w:r>
          </w:p>
        </w:tc>
        <w:tc>
          <w:tcPr>
            <w:tcW w:w="1559" w:type="dxa"/>
            <w:tcBorders>
              <w:top w:val="nil"/>
              <w:left w:val="nil"/>
              <w:bottom w:val="nil"/>
              <w:right w:val="nil"/>
            </w:tcBorders>
            <w:shd w:val="clear" w:color="000000" w:fill="FF9900"/>
            <w:noWrap/>
            <w:vAlign w:val="bottom"/>
            <w:hideMark/>
          </w:tcPr>
          <w:p w14:paraId="093D1F6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2.693.420,72</w:t>
            </w:r>
          </w:p>
        </w:tc>
        <w:tc>
          <w:tcPr>
            <w:tcW w:w="993" w:type="dxa"/>
            <w:tcBorders>
              <w:top w:val="nil"/>
              <w:left w:val="nil"/>
              <w:bottom w:val="nil"/>
              <w:right w:val="nil"/>
            </w:tcBorders>
            <w:shd w:val="clear" w:color="000000" w:fill="FF9900"/>
            <w:noWrap/>
            <w:vAlign w:val="bottom"/>
            <w:hideMark/>
          </w:tcPr>
          <w:p w14:paraId="08E99B1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87,62%</w:t>
            </w:r>
          </w:p>
        </w:tc>
      </w:tr>
      <w:tr w:rsidR="006967F8" w:rsidRPr="006967F8" w14:paraId="535AAD59" w14:textId="77777777" w:rsidTr="008A61B1">
        <w:trPr>
          <w:trHeight w:val="255"/>
        </w:trPr>
        <w:tc>
          <w:tcPr>
            <w:tcW w:w="6096" w:type="dxa"/>
            <w:gridSpan w:val="2"/>
            <w:tcBorders>
              <w:top w:val="nil"/>
              <w:left w:val="nil"/>
              <w:bottom w:val="nil"/>
              <w:right w:val="nil"/>
            </w:tcBorders>
            <w:shd w:val="clear" w:color="000000" w:fill="FFFF99"/>
            <w:vAlign w:val="bottom"/>
            <w:hideMark/>
          </w:tcPr>
          <w:p w14:paraId="4F61E8A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A100001 Aktivnost: FINANCIRANJE TEKUĆIH RASHODA</w:t>
            </w:r>
          </w:p>
        </w:tc>
        <w:tc>
          <w:tcPr>
            <w:tcW w:w="1559" w:type="dxa"/>
            <w:tcBorders>
              <w:top w:val="nil"/>
              <w:left w:val="nil"/>
              <w:bottom w:val="nil"/>
              <w:right w:val="nil"/>
            </w:tcBorders>
            <w:shd w:val="clear" w:color="000000" w:fill="FFFF99"/>
            <w:noWrap/>
            <w:vAlign w:val="bottom"/>
            <w:hideMark/>
          </w:tcPr>
          <w:p w14:paraId="7A270C2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2.710.000,00</w:t>
            </w:r>
          </w:p>
        </w:tc>
        <w:tc>
          <w:tcPr>
            <w:tcW w:w="1559" w:type="dxa"/>
            <w:tcBorders>
              <w:top w:val="nil"/>
              <w:left w:val="nil"/>
              <w:bottom w:val="nil"/>
              <w:right w:val="nil"/>
            </w:tcBorders>
            <w:shd w:val="clear" w:color="000000" w:fill="FFFF99"/>
            <w:noWrap/>
            <w:vAlign w:val="bottom"/>
            <w:hideMark/>
          </w:tcPr>
          <w:p w14:paraId="470B45C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2.616.000,00</w:t>
            </w:r>
          </w:p>
        </w:tc>
        <w:tc>
          <w:tcPr>
            <w:tcW w:w="1559" w:type="dxa"/>
            <w:tcBorders>
              <w:top w:val="nil"/>
              <w:left w:val="nil"/>
              <w:bottom w:val="nil"/>
              <w:right w:val="nil"/>
            </w:tcBorders>
            <w:shd w:val="clear" w:color="000000" w:fill="FFFF99"/>
            <w:noWrap/>
            <w:vAlign w:val="bottom"/>
            <w:hideMark/>
          </w:tcPr>
          <w:p w14:paraId="1680FA4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2.456.706,94</w:t>
            </w:r>
          </w:p>
        </w:tc>
        <w:tc>
          <w:tcPr>
            <w:tcW w:w="993" w:type="dxa"/>
            <w:tcBorders>
              <w:top w:val="nil"/>
              <w:left w:val="nil"/>
              <w:bottom w:val="nil"/>
              <w:right w:val="nil"/>
            </w:tcBorders>
            <w:shd w:val="clear" w:color="000000" w:fill="FFFF99"/>
            <w:noWrap/>
            <w:vAlign w:val="bottom"/>
            <w:hideMark/>
          </w:tcPr>
          <w:p w14:paraId="6D0E297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93,91%</w:t>
            </w:r>
          </w:p>
        </w:tc>
      </w:tr>
      <w:tr w:rsidR="006967F8" w:rsidRPr="006967F8" w14:paraId="03EB24BF"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8B922CC"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5178C26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2.710.000,00</w:t>
            </w:r>
          </w:p>
        </w:tc>
        <w:tc>
          <w:tcPr>
            <w:tcW w:w="1559" w:type="dxa"/>
            <w:tcBorders>
              <w:top w:val="nil"/>
              <w:left w:val="nil"/>
              <w:bottom w:val="nil"/>
              <w:right w:val="nil"/>
            </w:tcBorders>
            <w:shd w:val="clear" w:color="000000" w:fill="CCCCFF"/>
            <w:noWrap/>
            <w:vAlign w:val="bottom"/>
            <w:hideMark/>
          </w:tcPr>
          <w:p w14:paraId="20C7B30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2.616.000,00</w:t>
            </w:r>
          </w:p>
        </w:tc>
        <w:tc>
          <w:tcPr>
            <w:tcW w:w="1559" w:type="dxa"/>
            <w:tcBorders>
              <w:top w:val="nil"/>
              <w:left w:val="nil"/>
              <w:bottom w:val="nil"/>
              <w:right w:val="nil"/>
            </w:tcBorders>
            <w:shd w:val="clear" w:color="000000" w:fill="CCCCFF"/>
            <w:noWrap/>
            <w:vAlign w:val="bottom"/>
            <w:hideMark/>
          </w:tcPr>
          <w:p w14:paraId="282BEEC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2.456.706,94</w:t>
            </w:r>
          </w:p>
        </w:tc>
        <w:tc>
          <w:tcPr>
            <w:tcW w:w="993" w:type="dxa"/>
            <w:tcBorders>
              <w:top w:val="nil"/>
              <w:left w:val="nil"/>
              <w:bottom w:val="nil"/>
              <w:right w:val="nil"/>
            </w:tcBorders>
            <w:shd w:val="clear" w:color="000000" w:fill="CCCCFF"/>
            <w:noWrap/>
            <w:vAlign w:val="bottom"/>
            <w:hideMark/>
          </w:tcPr>
          <w:p w14:paraId="387537D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93,91%</w:t>
            </w:r>
          </w:p>
        </w:tc>
      </w:tr>
      <w:tr w:rsidR="006967F8" w:rsidRPr="006967F8" w14:paraId="7C856D9E"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EED625D"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23E385B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2.710.000,00</w:t>
            </w:r>
          </w:p>
        </w:tc>
        <w:tc>
          <w:tcPr>
            <w:tcW w:w="1559" w:type="dxa"/>
            <w:tcBorders>
              <w:top w:val="nil"/>
              <w:left w:val="nil"/>
              <w:bottom w:val="nil"/>
              <w:right w:val="nil"/>
            </w:tcBorders>
            <w:shd w:val="clear" w:color="000000" w:fill="CCCCFF"/>
            <w:noWrap/>
            <w:vAlign w:val="bottom"/>
            <w:hideMark/>
          </w:tcPr>
          <w:p w14:paraId="6A8DA81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2.616.000,00</w:t>
            </w:r>
          </w:p>
        </w:tc>
        <w:tc>
          <w:tcPr>
            <w:tcW w:w="1559" w:type="dxa"/>
            <w:tcBorders>
              <w:top w:val="nil"/>
              <w:left w:val="nil"/>
              <w:bottom w:val="nil"/>
              <w:right w:val="nil"/>
            </w:tcBorders>
            <w:shd w:val="clear" w:color="000000" w:fill="CCCCFF"/>
            <w:noWrap/>
            <w:vAlign w:val="bottom"/>
            <w:hideMark/>
          </w:tcPr>
          <w:p w14:paraId="5776D97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2.456.706,94</w:t>
            </w:r>
          </w:p>
        </w:tc>
        <w:tc>
          <w:tcPr>
            <w:tcW w:w="993" w:type="dxa"/>
            <w:tcBorders>
              <w:top w:val="nil"/>
              <w:left w:val="nil"/>
              <w:bottom w:val="nil"/>
              <w:right w:val="nil"/>
            </w:tcBorders>
            <w:shd w:val="clear" w:color="000000" w:fill="CCCCFF"/>
            <w:noWrap/>
            <w:vAlign w:val="bottom"/>
            <w:hideMark/>
          </w:tcPr>
          <w:p w14:paraId="05828DC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93,91%</w:t>
            </w:r>
          </w:p>
        </w:tc>
      </w:tr>
      <w:tr w:rsidR="006967F8" w:rsidRPr="006967F8" w14:paraId="41CE522F" w14:textId="77777777" w:rsidTr="008A61B1">
        <w:trPr>
          <w:trHeight w:val="255"/>
        </w:trPr>
        <w:tc>
          <w:tcPr>
            <w:tcW w:w="1134" w:type="dxa"/>
            <w:tcBorders>
              <w:top w:val="nil"/>
              <w:left w:val="nil"/>
              <w:bottom w:val="nil"/>
              <w:right w:val="nil"/>
            </w:tcBorders>
            <w:noWrap/>
            <w:vAlign w:val="bottom"/>
            <w:hideMark/>
          </w:tcPr>
          <w:p w14:paraId="25CB494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31</w:t>
            </w:r>
          </w:p>
        </w:tc>
        <w:tc>
          <w:tcPr>
            <w:tcW w:w="4962" w:type="dxa"/>
            <w:tcBorders>
              <w:top w:val="nil"/>
              <w:left w:val="nil"/>
              <w:bottom w:val="nil"/>
              <w:right w:val="nil"/>
            </w:tcBorders>
            <w:noWrap/>
            <w:vAlign w:val="bottom"/>
            <w:hideMark/>
          </w:tcPr>
          <w:p w14:paraId="02C7CF0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zaposlene</w:t>
            </w:r>
          </w:p>
        </w:tc>
        <w:tc>
          <w:tcPr>
            <w:tcW w:w="1559" w:type="dxa"/>
            <w:tcBorders>
              <w:top w:val="nil"/>
              <w:left w:val="nil"/>
              <w:bottom w:val="nil"/>
              <w:right w:val="nil"/>
            </w:tcBorders>
            <w:noWrap/>
            <w:vAlign w:val="bottom"/>
            <w:hideMark/>
          </w:tcPr>
          <w:p w14:paraId="465E71B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2.091.000,00</w:t>
            </w:r>
          </w:p>
        </w:tc>
        <w:tc>
          <w:tcPr>
            <w:tcW w:w="1559" w:type="dxa"/>
            <w:tcBorders>
              <w:top w:val="nil"/>
              <w:left w:val="nil"/>
              <w:bottom w:val="nil"/>
              <w:right w:val="nil"/>
            </w:tcBorders>
            <w:noWrap/>
            <w:vAlign w:val="bottom"/>
            <w:hideMark/>
          </w:tcPr>
          <w:p w14:paraId="303D9DC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1.997.000,00</w:t>
            </w:r>
          </w:p>
        </w:tc>
        <w:tc>
          <w:tcPr>
            <w:tcW w:w="1559" w:type="dxa"/>
            <w:tcBorders>
              <w:top w:val="nil"/>
              <w:left w:val="nil"/>
              <w:bottom w:val="nil"/>
              <w:right w:val="nil"/>
            </w:tcBorders>
            <w:noWrap/>
            <w:vAlign w:val="bottom"/>
            <w:hideMark/>
          </w:tcPr>
          <w:p w14:paraId="46DB98E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1.902.922,49</w:t>
            </w:r>
          </w:p>
        </w:tc>
        <w:tc>
          <w:tcPr>
            <w:tcW w:w="993" w:type="dxa"/>
            <w:tcBorders>
              <w:top w:val="nil"/>
              <w:left w:val="nil"/>
              <w:bottom w:val="nil"/>
              <w:right w:val="nil"/>
            </w:tcBorders>
            <w:noWrap/>
            <w:vAlign w:val="bottom"/>
            <w:hideMark/>
          </w:tcPr>
          <w:p w14:paraId="718621D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95,29%</w:t>
            </w:r>
          </w:p>
        </w:tc>
      </w:tr>
      <w:tr w:rsidR="006967F8" w:rsidRPr="006967F8" w14:paraId="0028AF77" w14:textId="77777777" w:rsidTr="008A61B1">
        <w:trPr>
          <w:trHeight w:val="255"/>
        </w:trPr>
        <w:tc>
          <w:tcPr>
            <w:tcW w:w="1134" w:type="dxa"/>
            <w:tcBorders>
              <w:top w:val="nil"/>
              <w:left w:val="nil"/>
              <w:bottom w:val="nil"/>
              <w:right w:val="nil"/>
            </w:tcBorders>
            <w:noWrap/>
            <w:vAlign w:val="bottom"/>
            <w:hideMark/>
          </w:tcPr>
          <w:p w14:paraId="2333BDC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3111</w:t>
            </w:r>
          </w:p>
        </w:tc>
        <w:tc>
          <w:tcPr>
            <w:tcW w:w="4962" w:type="dxa"/>
            <w:tcBorders>
              <w:top w:val="nil"/>
              <w:left w:val="nil"/>
              <w:bottom w:val="nil"/>
              <w:right w:val="nil"/>
            </w:tcBorders>
            <w:noWrap/>
            <w:vAlign w:val="bottom"/>
            <w:hideMark/>
          </w:tcPr>
          <w:p w14:paraId="13033F1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Plaće za redovan rad</w:t>
            </w:r>
          </w:p>
        </w:tc>
        <w:tc>
          <w:tcPr>
            <w:tcW w:w="1559" w:type="dxa"/>
            <w:tcBorders>
              <w:top w:val="nil"/>
              <w:left w:val="nil"/>
              <w:bottom w:val="nil"/>
              <w:right w:val="nil"/>
            </w:tcBorders>
            <w:noWrap/>
            <w:vAlign w:val="bottom"/>
            <w:hideMark/>
          </w:tcPr>
          <w:p w14:paraId="7E978AF3"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6BA7E52"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B8CD4F4"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1.469.501,01</w:t>
            </w:r>
          </w:p>
        </w:tc>
        <w:tc>
          <w:tcPr>
            <w:tcW w:w="993" w:type="dxa"/>
            <w:tcBorders>
              <w:top w:val="nil"/>
              <w:left w:val="nil"/>
              <w:bottom w:val="nil"/>
              <w:right w:val="nil"/>
            </w:tcBorders>
            <w:noWrap/>
            <w:vAlign w:val="bottom"/>
            <w:hideMark/>
          </w:tcPr>
          <w:p w14:paraId="34D23ADB"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7F813EC" w14:textId="77777777" w:rsidTr="008A61B1">
        <w:trPr>
          <w:trHeight w:val="255"/>
        </w:trPr>
        <w:tc>
          <w:tcPr>
            <w:tcW w:w="1134" w:type="dxa"/>
            <w:tcBorders>
              <w:top w:val="nil"/>
              <w:left w:val="nil"/>
              <w:bottom w:val="nil"/>
              <w:right w:val="nil"/>
            </w:tcBorders>
            <w:noWrap/>
            <w:vAlign w:val="bottom"/>
            <w:hideMark/>
          </w:tcPr>
          <w:p w14:paraId="33E01BC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3113</w:t>
            </w:r>
          </w:p>
        </w:tc>
        <w:tc>
          <w:tcPr>
            <w:tcW w:w="4962" w:type="dxa"/>
            <w:tcBorders>
              <w:top w:val="nil"/>
              <w:left w:val="nil"/>
              <w:bottom w:val="nil"/>
              <w:right w:val="nil"/>
            </w:tcBorders>
            <w:noWrap/>
            <w:vAlign w:val="bottom"/>
            <w:hideMark/>
          </w:tcPr>
          <w:p w14:paraId="3796A04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Plaće za prekovremeni rad</w:t>
            </w:r>
          </w:p>
        </w:tc>
        <w:tc>
          <w:tcPr>
            <w:tcW w:w="1559" w:type="dxa"/>
            <w:tcBorders>
              <w:top w:val="nil"/>
              <w:left w:val="nil"/>
              <w:bottom w:val="nil"/>
              <w:right w:val="nil"/>
            </w:tcBorders>
            <w:noWrap/>
            <w:vAlign w:val="bottom"/>
            <w:hideMark/>
          </w:tcPr>
          <w:p w14:paraId="28906744"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6D66582"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A0102D8"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39.566,04</w:t>
            </w:r>
          </w:p>
        </w:tc>
        <w:tc>
          <w:tcPr>
            <w:tcW w:w="993" w:type="dxa"/>
            <w:tcBorders>
              <w:top w:val="nil"/>
              <w:left w:val="nil"/>
              <w:bottom w:val="nil"/>
              <w:right w:val="nil"/>
            </w:tcBorders>
            <w:noWrap/>
            <w:vAlign w:val="bottom"/>
            <w:hideMark/>
          </w:tcPr>
          <w:p w14:paraId="03D6F16A"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EC80A88" w14:textId="77777777" w:rsidTr="008A61B1">
        <w:trPr>
          <w:trHeight w:val="255"/>
        </w:trPr>
        <w:tc>
          <w:tcPr>
            <w:tcW w:w="1134" w:type="dxa"/>
            <w:tcBorders>
              <w:top w:val="nil"/>
              <w:left w:val="nil"/>
              <w:bottom w:val="nil"/>
              <w:right w:val="nil"/>
            </w:tcBorders>
            <w:noWrap/>
            <w:vAlign w:val="bottom"/>
            <w:hideMark/>
          </w:tcPr>
          <w:p w14:paraId="3321293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3121</w:t>
            </w:r>
          </w:p>
        </w:tc>
        <w:tc>
          <w:tcPr>
            <w:tcW w:w="4962" w:type="dxa"/>
            <w:tcBorders>
              <w:top w:val="nil"/>
              <w:left w:val="nil"/>
              <w:bottom w:val="nil"/>
              <w:right w:val="nil"/>
            </w:tcBorders>
            <w:noWrap/>
            <w:vAlign w:val="bottom"/>
            <w:hideMark/>
          </w:tcPr>
          <w:p w14:paraId="1A36ECB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rashodi za zaposlene</w:t>
            </w:r>
          </w:p>
        </w:tc>
        <w:tc>
          <w:tcPr>
            <w:tcW w:w="1559" w:type="dxa"/>
            <w:tcBorders>
              <w:top w:val="nil"/>
              <w:left w:val="nil"/>
              <w:bottom w:val="nil"/>
              <w:right w:val="nil"/>
            </w:tcBorders>
            <w:noWrap/>
            <w:vAlign w:val="bottom"/>
            <w:hideMark/>
          </w:tcPr>
          <w:p w14:paraId="4823D1C4"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1332944"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2C2E01B"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147.300,40</w:t>
            </w:r>
          </w:p>
        </w:tc>
        <w:tc>
          <w:tcPr>
            <w:tcW w:w="993" w:type="dxa"/>
            <w:tcBorders>
              <w:top w:val="nil"/>
              <w:left w:val="nil"/>
              <w:bottom w:val="nil"/>
              <w:right w:val="nil"/>
            </w:tcBorders>
            <w:noWrap/>
            <w:vAlign w:val="bottom"/>
            <w:hideMark/>
          </w:tcPr>
          <w:p w14:paraId="491C53CF"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0E2499E" w14:textId="77777777" w:rsidTr="008A61B1">
        <w:trPr>
          <w:trHeight w:val="255"/>
        </w:trPr>
        <w:tc>
          <w:tcPr>
            <w:tcW w:w="1134" w:type="dxa"/>
            <w:tcBorders>
              <w:top w:val="nil"/>
              <w:left w:val="nil"/>
              <w:bottom w:val="nil"/>
              <w:right w:val="nil"/>
            </w:tcBorders>
            <w:noWrap/>
            <w:vAlign w:val="bottom"/>
            <w:hideMark/>
          </w:tcPr>
          <w:p w14:paraId="3B48F78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3132</w:t>
            </w:r>
          </w:p>
        </w:tc>
        <w:tc>
          <w:tcPr>
            <w:tcW w:w="4962" w:type="dxa"/>
            <w:tcBorders>
              <w:top w:val="nil"/>
              <w:left w:val="nil"/>
              <w:bottom w:val="nil"/>
              <w:right w:val="nil"/>
            </w:tcBorders>
            <w:noWrap/>
            <w:vAlign w:val="bottom"/>
            <w:hideMark/>
          </w:tcPr>
          <w:p w14:paraId="794D7E2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Doprinosi za obvezno zdravstveno osiguranje</w:t>
            </w:r>
          </w:p>
        </w:tc>
        <w:tc>
          <w:tcPr>
            <w:tcW w:w="1559" w:type="dxa"/>
            <w:tcBorders>
              <w:top w:val="nil"/>
              <w:left w:val="nil"/>
              <w:bottom w:val="nil"/>
              <w:right w:val="nil"/>
            </w:tcBorders>
            <w:noWrap/>
            <w:vAlign w:val="bottom"/>
            <w:hideMark/>
          </w:tcPr>
          <w:p w14:paraId="2CEDF5F7"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001BD00"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DBC92A7"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246.555,04</w:t>
            </w:r>
          </w:p>
        </w:tc>
        <w:tc>
          <w:tcPr>
            <w:tcW w:w="993" w:type="dxa"/>
            <w:tcBorders>
              <w:top w:val="nil"/>
              <w:left w:val="nil"/>
              <w:bottom w:val="nil"/>
              <w:right w:val="nil"/>
            </w:tcBorders>
            <w:noWrap/>
            <w:vAlign w:val="bottom"/>
            <w:hideMark/>
          </w:tcPr>
          <w:p w14:paraId="6652C87D"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E8347D7" w14:textId="77777777" w:rsidTr="008A61B1">
        <w:trPr>
          <w:trHeight w:val="255"/>
        </w:trPr>
        <w:tc>
          <w:tcPr>
            <w:tcW w:w="1134" w:type="dxa"/>
            <w:tcBorders>
              <w:top w:val="nil"/>
              <w:left w:val="nil"/>
              <w:bottom w:val="nil"/>
              <w:right w:val="nil"/>
            </w:tcBorders>
            <w:noWrap/>
            <w:vAlign w:val="bottom"/>
            <w:hideMark/>
          </w:tcPr>
          <w:p w14:paraId="542EDC9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24D1241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06621F4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589.000,00</w:t>
            </w:r>
          </w:p>
        </w:tc>
        <w:tc>
          <w:tcPr>
            <w:tcW w:w="1559" w:type="dxa"/>
            <w:tcBorders>
              <w:top w:val="nil"/>
              <w:left w:val="nil"/>
              <w:bottom w:val="nil"/>
              <w:right w:val="nil"/>
            </w:tcBorders>
            <w:noWrap/>
            <w:vAlign w:val="bottom"/>
            <w:hideMark/>
          </w:tcPr>
          <w:p w14:paraId="7D57DFD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589.000,00</w:t>
            </w:r>
          </w:p>
        </w:tc>
        <w:tc>
          <w:tcPr>
            <w:tcW w:w="1559" w:type="dxa"/>
            <w:tcBorders>
              <w:top w:val="nil"/>
              <w:left w:val="nil"/>
              <w:bottom w:val="nil"/>
              <w:right w:val="nil"/>
            </w:tcBorders>
            <w:noWrap/>
            <w:vAlign w:val="bottom"/>
            <w:hideMark/>
          </w:tcPr>
          <w:p w14:paraId="2F32C8D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542.722,48</w:t>
            </w:r>
          </w:p>
        </w:tc>
        <w:tc>
          <w:tcPr>
            <w:tcW w:w="993" w:type="dxa"/>
            <w:tcBorders>
              <w:top w:val="nil"/>
              <w:left w:val="nil"/>
              <w:bottom w:val="nil"/>
              <w:right w:val="nil"/>
            </w:tcBorders>
            <w:noWrap/>
            <w:vAlign w:val="bottom"/>
            <w:hideMark/>
          </w:tcPr>
          <w:p w14:paraId="4A4EDD0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92,14%</w:t>
            </w:r>
          </w:p>
        </w:tc>
      </w:tr>
      <w:tr w:rsidR="006967F8" w:rsidRPr="006967F8" w14:paraId="30FB7567" w14:textId="77777777" w:rsidTr="008A61B1">
        <w:trPr>
          <w:trHeight w:val="255"/>
        </w:trPr>
        <w:tc>
          <w:tcPr>
            <w:tcW w:w="1134" w:type="dxa"/>
            <w:tcBorders>
              <w:top w:val="nil"/>
              <w:left w:val="nil"/>
              <w:bottom w:val="nil"/>
              <w:right w:val="nil"/>
            </w:tcBorders>
            <w:noWrap/>
            <w:vAlign w:val="bottom"/>
            <w:hideMark/>
          </w:tcPr>
          <w:p w14:paraId="1D67D03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3211</w:t>
            </w:r>
          </w:p>
        </w:tc>
        <w:tc>
          <w:tcPr>
            <w:tcW w:w="4962" w:type="dxa"/>
            <w:tcBorders>
              <w:top w:val="nil"/>
              <w:left w:val="nil"/>
              <w:bottom w:val="nil"/>
              <w:right w:val="nil"/>
            </w:tcBorders>
            <w:noWrap/>
            <w:vAlign w:val="bottom"/>
            <w:hideMark/>
          </w:tcPr>
          <w:p w14:paraId="32AB579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Službena putovanja</w:t>
            </w:r>
          </w:p>
        </w:tc>
        <w:tc>
          <w:tcPr>
            <w:tcW w:w="1559" w:type="dxa"/>
            <w:tcBorders>
              <w:top w:val="nil"/>
              <w:left w:val="nil"/>
              <w:bottom w:val="nil"/>
              <w:right w:val="nil"/>
            </w:tcBorders>
            <w:noWrap/>
            <w:vAlign w:val="bottom"/>
            <w:hideMark/>
          </w:tcPr>
          <w:p w14:paraId="724B5F77"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09A59DB"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C7609B0"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11.734,54</w:t>
            </w:r>
          </w:p>
        </w:tc>
        <w:tc>
          <w:tcPr>
            <w:tcW w:w="993" w:type="dxa"/>
            <w:tcBorders>
              <w:top w:val="nil"/>
              <w:left w:val="nil"/>
              <w:bottom w:val="nil"/>
              <w:right w:val="nil"/>
            </w:tcBorders>
            <w:noWrap/>
            <w:vAlign w:val="bottom"/>
            <w:hideMark/>
          </w:tcPr>
          <w:p w14:paraId="675E8AB0"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9522181" w14:textId="77777777" w:rsidTr="008A61B1">
        <w:trPr>
          <w:trHeight w:val="255"/>
        </w:trPr>
        <w:tc>
          <w:tcPr>
            <w:tcW w:w="1134" w:type="dxa"/>
            <w:tcBorders>
              <w:top w:val="nil"/>
              <w:left w:val="nil"/>
              <w:bottom w:val="nil"/>
              <w:right w:val="nil"/>
            </w:tcBorders>
            <w:noWrap/>
            <w:vAlign w:val="bottom"/>
            <w:hideMark/>
          </w:tcPr>
          <w:p w14:paraId="39D3C6B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3212</w:t>
            </w:r>
          </w:p>
        </w:tc>
        <w:tc>
          <w:tcPr>
            <w:tcW w:w="4962" w:type="dxa"/>
            <w:tcBorders>
              <w:top w:val="nil"/>
              <w:left w:val="nil"/>
              <w:bottom w:val="nil"/>
              <w:right w:val="nil"/>
            </w:tcBorders>
            <w:noWrap/>
            <w:vAlign w:val="bottom"/>
            <w:hideMark/>
          </w:tcPr>
          <w:p w14:paraId="0C7BFDB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Naknade za prijevoz, za rad na terenu i odvojeni život</w:t>
            </w:r>
          </w:p>
        </w:tc>
        <w:tc>
          <w:tcPr>
            <w:tcW w:w="1559" w:type="dxa"/>
            <w:tcBorders>
              <w:top w:val="nil"/>
              <w:left w:val="nil"/>
              <w:bottom w:val="nil"/>
              <w:right w:val="nil"/>
            </w:tcBorders>
            <w:noWrap/>
            <w:vAlign w:val="bottom"/>
            <w:hideMark/>
          </w:tcPr>
          <w:p w14:paraId="0BC1A3D6"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EB7055D"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E55723C"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11.176,00</w:t>
            </w:r>
          </w:p>
        </w:tc>
        <w:tc>
          <w:tcPr>
            <w:tcW w:w="993" w:type="dxa"/>
            <w:tcBorders>
              <w:top w:val="nil"/>
              <w:left w:val="nil"/>
              <w:bottom w:val="nil"/>
              <w:right w:val="nil"/>
            </w:tcBorders>
            <w:noWrap/>
            <w:vAlign w:val="bottom"/>
            <w:hideMark/>
          </w:tcPr>
          <w:p w14:paraId="5F0C6380"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AAE834A" w14:textId="77777777" w:rsidTr="008A61B1">
        <w:trPr>
          <w:trHeight w:val="255"/>
        </w:trPr>
        <w:tc>
          <w:tcPr>
            <w:tcW w:w="1134" w:type="dxa"/>
            <w:tcBorders>
              <w:top w:val="nil"/>
              <w:left w:val="nil"/>
              <w:bottom w:val="nil"/>
              <w:right w:val="nil"/>
            </w:tcBorders>
            <w:noWrap/>
            <w:vAlign w:val="bottom"/>
            <w:hideMark/>
          </w:tcPr>
          <w:p w14:paraId="5EDC434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3213</w:t>
            </w:r>
          </w:p>
        </w:tc>
        <w:tc>
          <w:tcPr>
            <w:tcW w:w="4962" w:type="dxa"/>
            <w:tcBorders>
              <w:top w:val="nil"/>
              <w:left w:val="nil"/>
              <w:bottom w:val="nil"/>
              <w:right w:val="nil"/>
            </w:tcBorders>
            <w:noWrap/>
            <w:vAlign w:val="bottom"/>
            <w:hideMark/>
          </w:tcPr>
          <w:p w14:paraId="430EE17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Stručno usavršavanje zaposlenika</w:t>
            </w:r>
          </w:p>
        </w:tc>
        <w:tc>
          <w:tcPr>
            <w:tcW w:w="1559" w:type="dxa"/>
            <w:tcBorders>
              <w:top w:val="nil"/>
              <w:left w:val="nil"/>
              <w:bottom w:val="nil"/>
              <w:right w:val="nil"/>
            </w:tcBorders>
            <w:noWrap/>
            <w:vAlign w:val="bottom"/>
            <w:hideMark/>
          </w:tcPr>
          <w:p w14:paraId="2CECCC81"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36E39C6"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6AB0A4B"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1.235,00</w:t>
            </w:r>
          </w:p>
        </w:tc>
        <w:tc>
          <w:tcPr>
            <w:tcW w:w="993" w:type="dxa"/>
            <w:tcBorders>
              <w:top w:val="nil"/>
              <w:left w:val="nil"/>
              <w:bottom w:val="nil"/>
              <w:right w:val="nil"/>
            </w:tcBorders>
            <w:noWrap/>
            <w:vAlign w:val="bottom"/>
            <w:hideMark/>
          </w:tcPr>
          <w:p w14:paraId="6AB69CE9"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9BA7A42" w14:textId="77777777" w:rsidTr="008A61B1">
        <w:trPr>
          <w:trHeight w:val="255"/>
        </w:trPr>
        <w:tc>
          <w:tcPr>
            <w:tcW w:w="1134" w:type="dxa"/>
            <w:tcBorders>
              <w:top w:val="nil"/>
              <w:left w:val="nil"/>
              <w:bottom w:val="nil"/>
              <w:right w:val="nil"/>
            </w:tcBorders>
            <w:noWrap/>
            <w:vAlign w:val="bottom"/>
            <w:hideMark/>
          </w:tcPr>
          <w:p w14:paraId="13EF964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3221</w:t>
            </w:r>
          </w:p>
        </w:tc>
        <w:tc>
          <w:tcPr>
            <w:tcW w:w="4962" w:type="dxa"/>
            <w:tcBorders>
              <w:top w:val="nil"/>
              <w:left w:val="nil"/>
              <w:bottom w:val="nil"/>
              <w:right w:val="nil"/>
            </w:tcBorders>
            <w:noWrap/>
            <w:vAlign w:val="bottom"/>
            <w:hideMark/>
          </w:tcPr>
          <w:p w14:paraId="69643CD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Uredski materijal i ostali materijalni rashodi</w:t>
            </w:r>
          </w:p>
        </w:tc>
        <w:tc>
          <w:tcPr>
            <w:tcW w:w="1559" w:type="dxa"/>
            <w:tcBorders>
              <w:top w:val="nil"/>
              <w:left w:val="nil"/>
              <w:bottom w:val="nil"/>
              <w:right w:val="nil"/>
            </w:tcBorders>
            <w:noWrap/>
            <w:vAlign w:val="bottom"/>
            <w:hideMark/>
          </w:tcPr>
          <w:p w14:paraId="457FD0C9"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3799B71"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B4D1185"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36.086,90</w:t>
            </w:r>
          </w:p>
        </w:tc>
        <w:tc>
          <w:tcPr>
            <w:tcW w:w="993" w:type="dxa"/>
            <w:tcBorders>
              <w:top w:val="nil"/>
              <w:left w:val="nil"/>
              <w:bottom w:val="nil"/>
              <w:right w:val="nil"/>
            </w:tcBorders>
            <w:noWrap/>
            <w:vAlign w:val="bottom"/>
            <w:hideMark/>
          </w:tcPr>
          <w:p w14:paraId="56A6027E"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1D32784" w14:textId="77777777" w:rsidTr="008A61B1">
        <w:trPr>
          <w:trHeight w:val="255"/>
        </w:trPr>
        <w:tc>
          <w:tcPr>
            <w:tcW w:w="1134" w:type="dxa"/>
            <w:tcBorders>
              <w:top w:val="nil"/>
              <w:left w:val="nil"/>
              <w:bottom w:val="nil"/>
              <w:right w:val="nil"/>
            </w:tcBorders>
            <w:noWrap/>
            <w:vAlign w:val="bottom"/>
            <w:hideMark/>
          </w:tcPr>
          <w:p w14:paraId="41F111B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3223</w:t>
            </w:r>
          </w:p>
        </w:tc>
        <w:tc>
          <w:tcPr>
            <w:tcW w:w="4962" w:type="dxa"/>
            <w:tcBorders>
              <w:top w:val="nil"/>
              <w:left w:val="nil"/>
              <w:bottom w:val="nil"/>
              <w:right w:val="nil"/>
            </w:tcBorders>
            <w:noWrap/>
            <w:vAlign w:val="bottom"/>
            <w:hideMark/>
          </w:tcPr>
          <w:p w14:paraId="5840735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Energija</w:t>
            </w:r>
          </w:p>
        </w:tc>
        <w:tc>
          <w:tcPr>
            <w:tcW w:w="1559" w:type="dxa"/>
            <w:tcBorders>
              <w:top w:val="nil"/>
              <w:left w:val="nil"/>
              <w:bottom w:val="nil"/>
              <w:right w:val="nil"/>
            </w:tcBorders>
            <w:noWrap/>
            <w:vAlign w:val="bottom"/>
            <w:hideMark/>
          </w:tcPr>
          <w:p w14:paraId="3B969C3D"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BF4A7C1"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3D4578E"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80.344,75</w:t>
            </w:r>
          </w:p>
        </w:tc>
        <w:tc>
          <w:tcPr>
            <w:tcW w:w="993" w:type="dxa"/>
            <w:tcBorders>
              <w:top w:val="nil"/>
              <w:left w:val="nil"/>
              <w:bottom w:val="nil"/>
              <w:right w:val="nil"/>
            </w:tcBorders>
            <w:noWrap/>
            <w:vAlign w:val="bottom"/>
            <w:hideMark/>
          </w:tcPr>
          <w:p w14:paraId="542F9E27"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CA2E6DA" w14:textId="77777777" w:rsidTr="008A61B1">
        <w:trPr>
          <w:trHeight w:val="255"/>
        </w:trPr>
        <w:tc>
          <w:tcPr>
            <w:tcW w:w="1134" w:type="dxa"/>
            <w:tcBorders>
              <w:top w:val="nil"/>
              <w:left w:val="nil"/>
              <w:bottom w:val="nil"/>
              <w:right w:val="nil"/>
            </w:tcBorders>
            <w:noWrap/>
            <w:vAlign w:val="bottom"/>
            <w:hideMark/>
          </w:tcPr>
          <w:p w14:paraId="5C9FDBA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3224</w:t>
            </w:r>
          </w:p>
        </w:tc>
        <w:tc>
          <w:tcPr>
            <w:tcW w:w="4962" w:type="dxa"/>
            <w:tcBorders>
              <w:top w:val="nil"/>
              <w:left w:val="nil"/>
              <w:bottom w:val="nil"/>
              <w:right w:val="nil"/>
            </w:tcBorders>
            <w:noWrap/>
            <w:vAlign w:val="bottom"/>
            <w:hideMark/>
          </w:tcPr>
          <w:p w14:paraId="7BB97FC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Materijal i dijelovi za tekuće i investicijsko održavanje</w:t>
            </w:r>
          </w:p>
        </w:tc>
        <w:tc>
          <w:tcPr>
            <w:tcW w:w="1559" w:type="dxa"/>
            <w:tcBorders>
              <w:top w:val="nil"/>
              <w:left w:val="nil"/>
              <w:bottom w:val="nil"/>
              <w:right w:val="nil"/>
            </w:tcBorders>
            <w:noWrap/>
            <w:vAlign w:val="bottom"/>
            <w:hideMark/>
          </w:tcPr>
          <w:p w14:paraId="16691D9D"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9A1DBC9"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179A05C"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470,99</w:t>
            </w:r>
          </w:p>
        </w:tc>
        <w:tc>
          <w:tcPr>
            <w:tcW w:w="993" w:type="dxa"/>
            <w:tcBorders>
              <w:top w:val="nil"/>
              <w:left w:val="nil"/>
              <w:bottom w:val="nil"/>
              <w:right w:val="nil"/>
            </w:tcBorders>
            <w:noWrap/>
            <w:vAlign w:val="bottom"/>
            <w:hideMark/>
          </w:tcPr>
          <w:p w14:paraId="2209CA4E"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3555DF1" w14:textId="77777777" w:rsidTr="008A61B1">
        <w:trPr>
          <w:trHeight w:val="255"/>
        </w:trPr>
        <w:tc>
          <w:tcPr>
            <w:tcW w:w="1134" w:type="dxa"/>
            <w:tcBorders>
              <w:top w:val="nil"/>
              <w:left w:val="nil"/>
              <w:bottom w:val="nil"/>
              <w:right w:val="nil"/>
            </w:tcBorders>
            <w:noWrap/>
            <w:vAlign w:val="bottom"/>
            <w:hideMark/>
          </w:tcPr>
          <w:p w14:paraId="407F353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3231</w:t>
            </w:r>
          </w:p>
        </w:tc>
        <w:tc>
          <w:tcPr>
            <w:tcW w:w="4962" w:type="dxa"/>
            <w:tcBorders>
              <w:top w:val="nil"/>
              <w:left w:val="nil"/>
              <w:bottom w:val="nil"/>
              <w:right w:val="nil"/>
            </w:tcBorders>
            <w:noWrap/>
            <w:vAlign w:val="bottom"/>
            <w:hideMark/>
          </w:tcPr>
          <w:p w14:paraId="6B28D70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telefona, interneta, pošte i prijevoza</w:t>
            </w:r>
          </w:p>
        </w:tc>
        <w:tc>
          <w:tcPr>
            <w:tcW w:w="1559" w:type="dxa"/>
            <w:tcBorders>
              <w:top w:val="nil"/>
              <w:left w:val="nil"/>
              <w:bottom w:val="nil"/>
              <w:right w:val="nil"/>
            </w:tcBorders>
            <w:noWrap/>
            <w:vAlign w:val="bottom"/>
            <w:hideMark/>
          </w:tcPr>
          <w:p w14:paraId="18CEA1F5"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A27E947"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82D2840"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57.317,28</w:t>
            </w:r>
          </w:p>
        </w:tc>
        <w:tc>
          <w:tcPr>
            <w:tcW w:w="993" w:type="dxa"/>
            <w:tcBorders>
              <w:top w:val="nil"/>
              <w:left w:val="nil"/>
              <w:bottom w:val="nil"/>
              <w:right w:val="nil"/>
            </w:tcBorders>
            <w:noWrap/>
            <w:vAlign w:val="bottom"/>
            <w:hideMark/>
          </w:tcPr>
          <w:p w14:paraId="776E08D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8B7C282" w14:textId="77777777" w:rsidTr="008A61B1">
        <w:trPr>
          <w:trHeight w:val="255"/>
        </w:trPr>
        <w:tc>
          <w:tcPr>
            <w:tcW w:w="1134" w:type="dxa"/>
            <w:tcBorders>
              <w:top w:val="nil"/>
              <w:left w:val="nil"/>
              <w:bottom w:val="nil"/>
              <w:right w:val="nil"/>
            </w:tcBorders>
            <w:noWrap/>
            <w:vAlign w:val="bottom"/>
            <w:hideMark/>
          </w:tcPr>
          <w:p w14:paraId="0D01D7E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3232</w:t>
            </w:r>
          </w:p>
        </w:tc>
        <w:tc>
          <w:tcPr>
            <w:tcW w:w="4962" w:type="dxa"/>
            <w:tcBorders>
              <w:top w:val="nil"/>
              <w:left w:val="nil"/>
              <w:bottom w:val="nil"/>
              <w:right w:val="nil"/>
            </w:tcBorders>
            <w:noWrap/>
            <w:vAlign w:val="bottom"/>
            <w:hideMark/>
          </w:tcPr>
          <w:p w14:paraId="1AC5256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noWrap/>
            <w:vAlign w:val="bottom"/>
            <w:hideMark/>
          </w:tcPr>
          <w:p w14:paraId="1838510F"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38A7D39"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2F2C634"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18.904,97</w:t>
            </w:r>
          </w:p>
        </w:tc>
        <w:tc>
          <w:tcPr>
            <w:tcW w:w="993" w:type="dxa"/>
            <w:tcBorders>
              <w:top w:val="nil"/>
              <w:left w:val="nil"/>
              <w:bottom w:val="nil"/>
              <w:right w:val="nil"/>
            </w:tcBorders>
            <w:noWrap/>
            <w:vAlign w:val="bottom"/>
            <w:hideMark/>
          </w:tcPr>
          <w:p w14:paraId="26AA9235"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FFCB1BD" w14:textId="77777777" w:rsidTr="008A61B1">
        <w:trPr>
          <w:trHeight w:val="255"/>
        </w:trPr>
        <w:tc>
          <w:tcPr>
            <w:tcW w:w="1134" w:type="dxa"/>
            <w:tcBorders>
              <w:top w:val="nil"/>
              <w:left w:val="nil"/>
              <w:bottom w:val="nil"/>
              <w:right w:val="nil"/>
            </w:tcBorders>
            <w:noWrap/>
            <w:vAlign w:val="bottom"/>
            <w:hideMark/>
          </w:tcPr>
          <w:p w14:paraId="3CADEB7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3233</w:t>
            </w:r>
          </w:p>
        </w:tc>
        <w:tc>
          <w:tcPr>
            <w:tcW w:w="4962" w:type="dxa"/>
            <w:tcBorders>
              <w:top w:val="nil"/>
              <w:left w:val="nil"/>
              <w:bottom w:val="nil"/>
              <w:right w:val="nil"/>
            </w:tcBorders>
            <w:noWrap/>
            <w:vAlign w:val="bottom"/>
            <w:hideMark/>
          </w:tcPr>
          <w:p w14:paraId="772EFFF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promidžbe i informiranja</w:t>
            </w:r>
          </w:p>
        </w:tc>
        <w:tc>
          <w:tcPr>
            <w:tcW w:w="1559" w:type="dxa"/>
            <w:tcBorders>
              <w:top w:val="nil"/>
              <w:left w:val="nil"/>
              <w:bottom w:val="nil"/>
              <w:right w:val="nil"/>
            </w:tcBorders>
            <w:noWrap/>
            <w:vAlign w:val="bottom"/>
            <w:hideMark/>
          </w:tcPr>
          <w:p w14:paraId="611F3286"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4E21FB7"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1E76B92"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23.979,96</w:t>
            </w:r>
          </w:p>
        </w:tc>
        <w:tc>
          <w:tcPr>
            <w:tcW w:w="993" w:type="dxa"/>
            <w:tcBorders>
              <w:top w:val="nil"/>
              <w:left w:val="nil"/>
              <w:bottom w:val="nil"/>
              <w:right w:val="nil"/>
            </w:tcBorders>
            <w:noWrap/>
            <w:vAlign w:val="bottom"/>
            <w:hideMark/>
          </w:tcPr>
          <w:p w14:paraId="5616B3CD"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187464F" w14:textId="77777777" w:rsidTr="008A61B1">
        <w:trPr>
          <w:trHeight w:val="255"/>
        </w:trPr>
        <w:tc>
          <w:tcPr>
            <w:tcW w:w="1134" w:type="dxa"/>
            <w:tcBorders>
              <w:top w:val="nil"/>
              <w:left w:val="nil"/>
              <w:bottom w:val="nil"/>
              <w:right w:val="nil"/>
            </w:tcBorders>
            <w:noWrap/>
            <w:vAlign w:val="bottom"/>
            <w:hideMark/>
          </w:tcPr>
          <w:p w14:paraId="5C3B799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3234</w:t>
            </w:r>
          </w:p>
        </w:tc>
        <w:tc>
          <w:tcPr>
            <w:tcW w:w="4962" w:type="dxa"/>
            <w:tcBorders>
              <w:top w:val="nil"/>
              <w:left w:val="nil"/>
              <w:bottom w:val="nil"/>
              <w:right w:val="nil"/>
            </w:tcBorders>
            <w:noWrap/>
            <w:vAlign w:val="bottom"/>
            <w:hideMark/>
          </w:tcPr>
          <w:p w14:paraId="70B3D50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Komunalne usluge</w:t>
            </w:r>
          </w:p>
        </w:tc>
        <w:tc>
          <w:tcPr>
            <w:tcW w:w="1559" w:type="dxa"/>
            <w:tcBorders>
              <w:top w:val="nil"/>
              <w:left w:val="nil"/>
              <w:bottom w:val="nil"/>
              <w:right w:val="nil"/>
            </w:tcBorders>
            <w:noWrap/>
            <w:vAlign w:val="bottom"/>
            <w:hideMark/>
          </w:tcPr>
          <w:p w14:paraId="3E00DC44"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20EEB74"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16B974F"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79.285,99</w:t>
            </w:r>
          </w:p>
        </w:tc>
        <w:tc>
          <w:tcPr>
            <w:tcW w:w="993" w:type="dxa"/>
            <w:tcBorders>
              <w:top w:val="nil"/>
              <w:left w:val="nil"/>
              <w:bottom w:val="nil"/>
              <w:right w:val="nil"/>
            </w:tcBorders>
            <w:noWrap/>
            <w:vAlign w:val="bottom"/>
            <w:hideMark/>
          </w:tcPr>
          <w:p w14:paraId="2798873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EA4E5F1" w14:textId="77777777" w:rsidTr="008A61B1">
        <w:trPr>
          <w:trHeight w:val="255"/>
        </w:trPr>
        <w:tc>
          <w:tcPr>
            <w:tcW w:w="1134" w:type="dxa"/>
            <w:tcBorders>
              <w:top w:val="nil"/>
              <w:left w:val="nil"/>
              <w:bottom w:val="nil"/>
              <w:right w:val="nil"/>
            </w:tcBorders>
            <w:noWrap/>
            <w:vAlign w:val="bottom"/>
            <w:hideMark/>
          </w:tcPr>
          <w:p w14:paraId="5DA1009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3235</w:t>
            </w:r>
          </w:p>
        </w:tc>
        <w:tc>
          <w:tcPr>
            <w:tcW w:w="4962" w:type="dxa"/>
            <w:tcBorders>
              <w:top w:val="nil"/>
              <w:left w:val="nil"/>
              <w:bottom w:val="nil"/>
              <w:right w:val="nil"/>
            </w:tcBorders>
            <w:noWrap/>
            <w:vAlign w:val="bottom"/>
            <w:hideMark/>
          </w:tcPr>
          <w:p w14:paraId="049F998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Zakupnine i najamnine</w:t>
            </w:r>
          </w:p>
        </w:tc>
        <w:tc>
          <w:tcPr>
            <w:tcW w:w="1559" w:type="dxa"/>
            <w:tcBorders>
              <w:top w:val="nil"/>
              <w:left w:val="nil"/>
              <w:bottom w:val="nil"/>
              <w:right w:val="nil"/>
            </w:tcBorders>
            <w:noWrap/>
            <w:vAlign w:val="bottom"/>
            <w:hideMark/>
          </w:tcPr>
          <w:p w14:paraId="79D1F4F5"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6AF5331"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F173FC4"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26.759,60</w:t>
            </w:r>
          </w:p>
        </w:tc>
        <w:tc>
          <w:tcPr>
            <w:tcW w:w="993" w:type="dxa"/>
            <w:tcBorders>
              <w:top w:val="nil"/>
              <w:left w:val="nil"/>
              <w:bottom w:val="nil"/>
              <w:right w:val="nil"/>
            </w:tcBorders>
            <w:noWrap/>
            <w:vAlign w:val="bottom"/>
            <w:hideMark/>
          </w:tcPr>
          <w:p w14:paraId="09F60831"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46B38CF" w14:textId="77777777" w:rsidTr="008A61B1">
        <w:trPr>
          <w:trHeight w:val="255"/>
        </w:trPr>
        <w:tc>
          <w:tcPr>
            <w:tcW w:w="1134" w:type="dxa"/>
            <w:tcBorders>
              <w:top w:val="nil"/>
              <w:left w:val="nil"/>
              <w:bottom w:val="nil"/>
              <w:right w:val="nil"/>
            </w:tcBorders>
            <w:noWrap/>
            <w:vAlign w:val="bottom"/>
            <w:hideMark/>
          </w:tcPr>
          <w:p w14:paraId="5716137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3237</w:t>
            </w:r>
          </w:p>
        </w:tc>
        <w:tc>
          <w:tcPr>
            <w:tcW w:w="4962" w:type="dxa"/>
            <w:tcBorders>
              <w:top w:val="nil"/>
              <w:left w:val="nil"/>
              <w:bottom w:val="nil"/>
              <w:right w:val="nil"/>
            </w:tcBorders>
            <w:noWrap/>
            <w:vAlign w:val="bottom"/>
            <w:hideMark/>
          </w:tcPr>
          <w:p w14:paraId="04F65A1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Intelektualne i osobne usluge</w:t>
            </w:r>
          </w:p>
        </w:tc>
        <w:tc>
          <w:tcPr>
            <w:tcW w:w="1559" w:type="dxa"/>
            <w:tcBorders>
              <w:top w:val="nil"/>
              <w:left w:val="nil"/>
              <w:bottom w:val="nil"/>
              <w:right w:val="nil"/>
            </w:tcBorders>
            <w:noWrap/>
            <w:vAlign w:val="bottom"/>
            <w:hideMark/>
          </w:tcPr>
          <w:p w14:paraId="79EAAFE4"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B6ABCFB"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8E0CC78"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200,00</w:t>
            </w:r>
          </w:p>
        </w:tc>
        <w:tc>
          <w:tcPr>
            <w:tcW w:w="993" w:type="dxa"/>
            <w:tcBorders>
              <w:top w:val="nil"/>
              <w:left w:val="nil"/>
              <w:bottom w:val="nil"/>
              <w:right w:val="nil"/>
            </w:tcBorders>
            <w:noWrap/>
            <w:vAlign w:val="bottom"/>
            <w:hideMark/>
          </w:tcPr>
          <w:p w14:paraId="3310BE8F"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999C283" w14:textId="77777777" w:rsidTr="008A61B1">
        <w:trPr>
          <w:trHeight w:val="255"/>
        </w:trPr>
        <w:tc>
          <w:tcPr>
            <w:tcW w:w="1134" w:type="dxa"/>
            <w:tcBorders>
              <w:top w:val="nil"/>
              <w:left w:val="nil"/>
              <w:bottom w:val="nil"/>
              <w:right w:val="nil"/>
            </w:tcBorders>
            <w:noWrap/>
            <w:vAlign w:val="bottom"/>
            <w:hideMark/>
          </w:tcPr>
          <w:p w14:paraId="406F344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3238</w:t>
            </w:r>
          </w:p>
        </w:tc>
        <w:tc>
          <w:tcPr>
            <w:tcW w:w="4962" w:type="dxa"/>
            <w:tcBorders>
              <w:top w:val="nil"/>
              <w:left w:val="nil"/>
              <w:bottom w:val="nil"/>
              <w:right w:val="nil"/>
            </w:tcBorders>
            <w:noWrap/>
            <w:vAlign w:val="bottom"/>
            <w:hideMark/>
          </w:tcPr>
          <w:p w14:paraId="0534F11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Računalne usluge</w:t>
            </w:r>
          </w:p>
        </w:tc>
        <w:tc>
          <w:tcPr>
            <w:tcW w:w="1559" w:type="dxa"/>
            <w:tcBorders>
              <w:top w:val="nil"/>
              <w:left w:val="nil"/>
              <w:bottom w:val="nil"/>
              <w:right w:val="nil"/>
            </w:tcBorders>
            <w:noWrap/>
            <w:vAlign w:val="bottom"/>
            <w:hideMark/>
          </w:tcPr>
          <w:p w14:paraId="5B11D7C5"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68F874B"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B462335"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68.710,58</w:t>
            </w:r>
          </w:p>
        </w:tc>
        <w:tc>
          <w:tcPr>
            <w:tcW w:w="993" w:type="dxa"/>
            <w:tcBorders>
              <w:top w:val="nil"/>
              <w:left w:val="nil"/>
              <w:bottom w:val="nil"/>
              <w:right w:val="nil"/>
            </w:tcBorders>
            <w:noWrap/>
            <w:vAlign w:val="bottom"/>
            <w:hideMark/>
          </w:tcPr>
          <w:p w14:paraId="2CC195BA"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AED04B2" w14:textId="77777777" w:rsidTr="008A61B1">
        <w:trPr>
          <w:trHeight w:val="255"/>
        </w:trPr>
        <w:tc>
          <w:tcPr>
            <w:tcW w:w="1134" w:type="dxa"/>
            <w:tcBorders>
              <w:top w:val="nil"/>
              <w:left w:val="nil"/>
              <w:bottom w:val="nil"/>
              <w:right w:val="nil"/>
            </w:tcBorders>
            <w:noWrap/>
            <w:vAlign w:val="bottom"/>
            <w:hideMark/>
          </w:tcPr>
          <w:p w14:paraId="3AC7C91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3239</w:t>
            </w:r>
          </w:p>
        </w:tc>
        <w:tc>
          <w:tcPr>
            <w:tcW w:w="4962" w:type="dxa"/>
            <w:tcBorders>
              <w:top w:val="nil"/>
              <w:left w:val="nil"/>
              <w:bottom w:val="nil"/>
              <w:right w:val="nil"/>
            </w:tcBorders>
            <w:noWrap/>
            <w:vAlign w:val="bottom"/>
            <w:hideMark/>
          </w:tcPr>
          <w:p w14:paraId="1D799B3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Ostale usluge</w:t>
            </w:r>
          </w:p>
        </w:tc>
        <w:tc>
          <w:tcPr>
            <w:tcW w:w="1559" w:type="dxa"/>
            <w:tcBorders>
              <w:top w:val="nil"/>
              <w:left w:val="nil"/>
              <w:bottom w:val="nil"/>
              <w:right w:val="nil"/>
            </w:tcBorders>
            <w:noWrap/>
            <w:vAlign w:val="bottom"/>
            <w:hideMark/>
          </w:tcPr>
          <w:p w14:paraId="5D4396F8"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5037EB7"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220E50E"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66.107,80</w:t>
            </w:r>
          </w:p>
        </w:tc>
        <w:tc>
          <w:tcPr>
            <w:tcW w:w="993" w:type="dxa"/>
            <w:tcBorders>
              <w:top w:val="nil"/>
              <w:left w:val="nil"/>
              <w:bottom w:val="nil"/>
              <w:right w:val="nil"/>
            </w:tcBorders>
            <w:noWrap/>
            <w:vAlign w:val="bottom"/>
            <w:hideMark/>
          </w:tcPr>
          <w:p w14:paraId="73003B3A"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24BDC83" w14:textId="77777777" w:rsidTr="008A61B1">
        <w:trPr>
          <w:trHeight w:val="525"/>
        </w:trPr>
        <w:tc>
          <w:tcPr>
            <w:tcW w:w="1134" w:type="dxa"/>
            <w:tcBorders>
              <w:top w:val="nil"/>
              <w:left w:val="nil"/>
              <w:bottom w:val="nil"/>
              <w:right w:val="nil"/>
            </w:tcBorders>
            <w:noWrap/>
            <w:vAlign w:val="bottom"/>
            <w:hideMark/>
          </w:tcPr>
          <w:p w14:paraId="21DA1EC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3291</w:t>
            </w:r>
          </w:p>
        </w:tc>
        <w:tc>
          <w:tcPr>
            <w:tcW w:w="4962" w:type="dxa"/>
            <w:tcBorders>
              <w:top w:val="nil"/>
              <w:left w:val="nil"/>
              <w:bottom w:val="nil"/>
              <w:right w:val="nil"/>
            </w:tcBorders>
            <w:vAlign w:val="bottom"/>
            <w:hideMark/>
          </w:tcPr>
          <w:p w14:paraId="47DB3A0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Naknade za rad predstavničkih i izvršnih tijela, povjerenstava i slično</w:t>
            </w:r>
          </w:p>
        </w:tc>
        <w:tc>
          <w:tcPr>
            <w:tcW w:w="1559" w:type="dxa"/>
            <w:tcBorders>
              <w:top w:val="nil"/>
              <w:left w:val="nil"/>
              <w:bottom w:val="nil"/>
              <w:right w:val="nil"/>
            </w:tcBorders>
            <w:noWrap/>
            <w:vAlign w:val="bottom"/>
            <w:hideMark/>
          </w:tcPr>
          <w:p w14:paraId="404D8C1C"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A04F425"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B1737D0"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44.918,44</w:t>
            </w:r>
          </w:p>
        </w:tc>
        <w:tc>
          <w:tcPr>
            <w:tcW w:w="993" w:type="dxa"/>
            <w:tcBorders>
              <w:top w:val="nil"/>
              <w:left w:val="nil"/>
              <w:bottom w:val="nil"/>
              <w:right w:val="nil"/>
            </w:tcBorders>
            <w:noWrap/>
            <w:vAlign w:val="bottom"/>
            <w:hideMark/>
          </w:tcPr>
          <w:p w14:paraId="34C4F085"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909E66B" w14:textId="77777777" w:rsidTr="008A61B1">
        <w:trPr>
          <w:trHeight w:val="255"/>
        </w:trPr>
        <w:tc>
          <w:tcPr>
            <w:tcW w:w="1134" w:type="dxa"/>
            <w:tcBorders>
              <w:top w:val="nil"/>
              <w:left w:val="nil"/>
              <w:bottom w:val="nil"/>
              <w:right w:val="nil"/>
            </w:tcBorders>
            <w:noWrap/>
            <w:vAlign w:val="bottom"/>
            <w:hideMark/>
          </w:tcPr>
          <w:p w14:paraId="335737E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3294</w:t>
            </w:r>
          </w:p>
        </w:tc>
        <w:tc>
          <w:tcPr>
            <w:tcW w:w="4962" w:type="dxa"/>
            <w:tcBorders>
              <w:top w:val="nil"/>
              <w:left w:val="nil"/>
              <w:bottom w:val="nil"/>
              <w:right w:val="nil"/>
            </w:tcBorders>
            <w:noWrap/>
            <w:vAlign w:val="bottom"/>
            <w:hideMark/>
          </w:tcPr>
          <w:p w14:paraId="34094AA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Članarine i norme</w:t>
            </w:r>
          </w:p>
        </w:tc>
        <w:tc>
          <w:tcPr>
            <w:tcW w:w="1559" w:type="dxa"/>
            <w:tcBorders>
              <w:top w:val="nil"/>
              <w:left w:val="nil"/>
              <w:bottom w:val="nil"/>
              <w:right w:val="nil"/>
            </w:tcBorders>
            <w:noWrap/>
            <w:vAlign w:val="bottom"/>
            <w:hideMark/>
          </w:tcPr>
          <w:p w14:paraId="6380D090"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FCE087D"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E289DFD"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8.202,56</w:t>
            </w:r>
          </w:p>
        </w:tc>
        <w:tc>
          <w:tcPr>
            <w:tcW w:w="993" w:type="dxa"/>
            <w:tcBorders>
              <w:top w:val="nil"/>
              <w:left w:val="nil"/>
              <w:bottom w:val="nil"/>
              <w:right w:val="nil"/>
            </w:tcBorders>
            <w:noWrap/>
            <w:vAlign w:val="bottom"/>
            <w:hideMark/>
          </w:tcPr>
          <w:p w14:paraId="7741F967"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3A645F6" w14:textId="77777777" w:rsidTr="008A61B1">
        <w:trPr>
          <w:trHeight w:val="255"/>
        </w:trPr>
        <w:tc>
          <w:tcPr>
            <w:tcW w:w="1134" w:type="dxa"/>
            <w:tcBorders>
              <w:top w:val="nil"/>
              <w:left w:val="nil"/>
              <w:bottom w:val="nil"/>
              <w:right w:val="nil"/>
            </w:tcBorders>
            <w:noWrap/>
            <w:vAlign w:val="bottom"/>
            <w:hideMark/>
          </w:tcPr>
          <w:p w14:paraId="4BD9766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3295</w:t>
            </w:r>
          </w:p>
        </w:tc>
        <w:tc>
          <w:tcPr>
            <w:tcW w:w="4962" w:type="dxa"/>
            <w:tcBorders>
              <w:top w:val="nil"/>
              <w:left w:val="nil"/>
              <w:bottom w:val="nil"/>
              <w:right w:val="nil"/>
            </w:tcBorders>
            <w:noWrap/>
            <w:vAlign w:val="bottom"/>
            <w:hideMark/>
          </w:tcPr>
          <w:p w14:paraId="70A03DF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Pristojbe i naknade</w:t>
            </w:r>
          </w:p>
        </w:tc>
        <w:tc>
          <w:tcPr>
            <w:tcW w:w="1559" w:type="dxa"/>
            <w:tcBorders>
              <w:top w:val="nil"/>
              <w:left w:val="nil"/>
              <w:bottom w:val="nil"/>
              <w:right w:val="nil"/>
            </w:tcBorders>
            <w:noWrap/>
            <w:vAlign w:val="bottom"/>
            <w:hideMark/>
          </w:tcPr>
          <w:p w14:paraId="4E75D976"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A246EA5"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2B55D34"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4.643,90</w:t>
            </w:r>
          </w:p>
        </w:tc>
        <w:tc>
          <w:tcPr>
            <w:tcW w:w="993" w:type="dxa"/>
            <w:tcBorders>
              <w:top w:val="nil"/>
              <w:left w:val="nil"/>
              <w:bottom w:val="nil"/>
              <w:right w:val="nil"/>
            </w:tcBorders>
            <w:noWrap/>
            <w:vAlign w:val="bottom"/>
            <w:hideMark/>
          </w:tcPr>
          <w:p w14:paraId="02C53C48"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78BEAB2" w14:textId="77777777" w:rsidTr="008A61B1">
        <w:trPr>
          <w:trHeight w:val="255"/>
        </w:trPr>
        <w:tc>
          <w:tcPr>
            <w:tcW w:w="1134" w:type="dxa"/>
            <w:tcBorders>
              <w:top w:val="nil"/>
              <w:left w:val="nil"/>
              <w:bottom w:val="nil"/>
              <w:right w:val="nil"/>
            </w:tcBorders>
            <w:noWrap/>
            <w:vAlign w:val="bottom"/>
            <w:hideMark/>
          </w:tcPr>
          <w:p w14:paraId="7CD6DAD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3299</w:t>
            </w:r>
          </w:p>
        </w:tc>
        <w:tc>
          <w:tcPr>
            <w:tcW w:w="4962" w:type="dxa"/>
            <w:tcBorders>
              <w:top w:val="nil"/>
              <w:left w:val="nil"/>
              <w:bottom w:val="nil"/>
              <w:right w:val="nil"/>
            </w:tcBorders>
            <w:noWrap/>
            <w:vAlign w:val="bottom"/>
            <w:hideMark/>
          </w:tcPr>
          <w:p w14:paraId="5996FCB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nespomenuti rashodi poslovanja</w:t>
            </w:r>
          </w:p>
        </w:tc>
        <w:tc>
          <w:tcPr>
            <w:tcW w:w="1559" w:type="dxa"/>
            <w:tcBorders>
              <w:top w:val="nil"/>
              <w:left w:val="nil"/>
              <w:bottom w:val="nil"/>
              <w:right w:val="nil"/>
            </w:tcBorders>
            <w:noWrap/>
            <w:vAlign w:val="bottom"/>
            <w:hideMark/>
          </w:tcPr>
          <w:p w14:paraId="1069EDBF"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AD27621"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70A9D3E"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2.643,22</w:t>
            </w:r>
          </w:p>
        </w:tc>
        <w:tc>
          <w:tcPr>
            <w:tcW w:w="993" w:type="dxa"/>
            <w:tcBorders>
              <w:top w:val="nil"/>
              <w:left w:val="nil"/>
              <w:bottom w:val="nil"/>
              <w:right w:val="nil"/>
            </w:tcBorders>
            <w:noWrap/>
            <w:vAlign w:val="bottom"/>
            <w:hideMark/>
          </w:tcPr>
          <w:p w14:paraId="3D3F116A"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8503B16" w14:textId="77777777" w:rsidTr="008A61B1">
        <w:trPr>
          <w:trHeight w:val="510"/>
        </w:trPr>
        <w:tc>
          <w:tcPr>
            <w:tcW w:w="1134" w:type="dxa"/>
            <w:tcBorders>
              <w:top w:val="nil"/>
              <w:left w:val="nil"/>
              <w:bottom w:val="nil"/>
              <w:right w:val="nil"/>
            </w:tcBorders>
            <w:noWrap/>
            <w:vAlign w:val="bottom"/>
            <w:hideMark/>
          </w:tcPr>
          <w:p w14:paraId="0DB78AA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38</w:t>
            </w:r>
          </w:p>
        </w:tc>
        <w:tc>
          <w:tcPr>
            <w:tcW w:w="4962" w:type="dxa"/>
            <w:tcBorders>
              <w:top w:val="nil"/>
              <w:left w:val="nil"/>
              <w:bottom w:val="nil"/>
              <w:right w:val="nil"/>
            </w:tcBorders>
            <w:vAlign w:val="bottom"/>
            <w:hideMark/>
          </w:tcPr>
          <w:p w14:paraId="554FEAC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donacije, kazne, naknade šteta i kapitalne pomoći</w:t>
            </w:r>
          </w:p>
        </w:tc>
        <w:tc>
          <w:tcPr>
            <w:tcW w:w="1559" w:type="dxa"/>
            <w:tcBorders>
              <w:top w:val="nil"/>
              <w:left w:val="nil"/>
              <w:bottom w:val="nil"/>
              <w:right w:val="nil"/>
            </w:tcBorders>
            <w:noWrap/>
            <w:vAlign w:val="bottom"/>
            <w:hideMark/>
          </w:tcPr>
          <w:p w14:paraId="75EEF5F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30.000,00</w:t>
            </w:r>
          </w:p>
        </w:tc>
        <w:tc>
          <w:tcPr>
            <w:tcW w:w="1559" w:type="dxa"/>
            <w:tcBorders>
              <w:top w:val="nil"/>
              <w:left w:val="nil"/>
              <w:bottom w:val="nil"/>
              <w:right w:val="nil"/>
            </w:tcBorders>
            <w:noWrap/>
            <w:vAlign w:val="bottom"/>
            <w:hideMark/>
          </w:tcPr>
          <w:p w14:paraId="6B5FC3F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30.000,00</w:t>
            </w:r>
          </w:p>
        </w:tc>
        <w:tc>
          <w:tcPr>
            <w:tcW w:w="1559" w:type="dxa"/>
            <w:tcBorders>
              <w:top w:val="nil"/>
              <w:left w:val="nil"/>
              <w:bottom w:val="nil"/>
              <w:right w:val="nil"/>
            </w:tcBorders>
            <w:noWrap/>
            <w:vAlign w:val="bottom"/>
            <w:hideMark/>
          </w:tcPr>
          <w:p w14:paraId="53EF0CC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11.061,97</w:t>
            </w:r>
          </w:p>
        </w:tc>
        <w:tc>
          <w:tcPr>
            <w:tcW w:w="993" w:type="dxa"/>
            <w:tcBorders>
              <w:top w:val="nil"/>
              <w:left w:val="nil"/>
              <w:bottom w:val="nil"/>
              <w:right w:val="nil"/>
            </w:tcBorders>
            <w:noWrap/>
            <w:vAlign w:val="bottom"/>
            <w:hideMark/>
          </w:tcPr>
          <w:p w14:paraId="14CA84A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36,87%</w:t>
            </w:r>
          </w:p>
        </w:tc>
      </w:tr>
      <w:tr w:rsidR="006967F8" w:rsidRPr="006967F8" w14:paraId="2226248A" w14:textId="77777777" w:rsidTr="008A61B1">
        <w:trPr>
          <w:trHeight w:val="255"/>
        </w:trPr>
        <w:tc>
          <w:tcPr>
            <w:tcW w:w="1134" w:type="dxa"/>
            <w:tcBorders>
              <w:top w:val="nil"/>
              <w:left w:val="nil"/>
              <w:bottom w:val="nil"/>
              <w:right w:val="nil"/>
            </w:tcBorders>
            <w:noWrap/>
            <w:vAlign w:val="bottom"/>
            <w:hideMark/>
          </w:tcPr>
          <w:p w14:paraId="78F77FD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3831</w:t>
            </w:r>
          </w:p>
        </w:tc>
        <w:tc>
          <w:tcPr>
            <w:tcW w:w="4962" w:type="dxa"/>
            <w:tcBorders>
              <w:top w:val="nil"/>
              <w:left w:val="nil"/>
              <w:bottom w:val="nil"/>
              <w:right w:val="nil"/>
            </w:tcBorders>
            <w:noWrap/>
            <w:vAlign w:val="bottom"/>
            <w:hideMark/>
          </w:tcPr>
          <w:p w14:paraId="49F0A54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Naknade šteta pravnim i fizičkim osobama</w:t>
            </w:r>
          </w:p>
        </w:tc>
        <w:tc>
          <w:tcPr>
            <w:tcW w:w="1559" w:type="dxa"/>
            <w:tcBorders>
              <w:top w:val="nil"/>
              <w:left w:val="nil"/>
              <w:bottom w:val="nil"/>
              <w:right w:val="nil"/>
            </w:tcBorders>
            <w:noWrap/>
            <w:vAlign w:val="bottom"/>
            <w:hideMark/>
          </w:tcPr>
          <w:p w14:paraId="3000D7E1"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B6692BB"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917C80F"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11.061,97</w:t>
            </w:r>
          </w:p>
        </w:tc>
        <w:tc>
          <w:tcPr>
            <w:tcW w:w="993" w:type="dxa"/>
            <w:tcBorders>
              <w:top w:val="nil"/>
              <w:left w:val="nil"/>
              <w:bottom w:val="nil"/>
              <w:right w:val="nil"/>
            </w:tcBorders>
            <w:noWrap/>
            <w:vAlign w:val="bottom"/>
            <w:hideMark/>
          </w:tcPr>
          <w:p w14:paraId="40629CCC"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FDDE913" w14:textId="77777777" w:rsidTr="008A61B1">
        <w:trPr>
          <w:trHeight w:val="255"/>
        </w:trPr>
        <w:tc>
          <w:tcPr>
            <w:tcW w:w="6096" w:type="dxa"/>
            <w:gridSpan w:val="2"/>
            <w:tcBorders>
              <w:top w:val="nil"/>
              <w:left w:val="nil"/>
              <w:bottom w:val="nil"/>
              <w:right w:val="nil"/>
            </w:tcBorders>
            <w:shd w:val="clear" w:color="000000" w:fill="FFFF99"/>
            <w:vAlign w:val="bottom"/>
            <w:hideMark/>
          </w:tcPr>
          <w:p w14:paraId="2C54813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A100004 Aktivnost: ZAŠTITA IMOVINE I PRAVA GRAĐANA</w:t>
            </w:r>
          </w:p>
        </w:tc>
        <w:tc>
          <w:tcPr>
            <w:tcW w:w="1559" w:type="dxa"/>
            <w:tcBorders>
              <w:top w:val="nil"/>
              <w:left w:val="nil"/>
              <w:bottom w:val="nil"/>
              <w:right w:val="nil"/>
            </w:tcBorders>
            <w:shd w:val="clear" w:color="000000" w:fill="FFFF99"/>
            <w:noWrap/>
            <w:vAlign w:val="bottom"/>
            <w:hideMark/>
          </w:tcPr>
          <w:p w14:paraId="40EE3F4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129.000,00</w:t>
            </w:r>
          </w:p>
        </w:tc>
        <w:tc>
          <w:tcPr>
            <w:tcW w:w="1559" w:type="dxa"/>
            <w:tcBorders>
              <w:top w:val="nil"/>
              <w:left w:val="nil"/>
              <w:bottom w:val="nil"/>
              <w:right w:val="nil"/>
            </w:tcBorders>
            <w:shd w:val="clear" w:color="000000" w:fill="FFFF99"/>
            <w:noWrap/>
            <w:vAlign w:val="bottom"/>
            <w:hideMark/>
          </w:tcPr>
          <w:p w14:paraId="0EFF2D6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124.624,00</w:t>
            </w:r>
          </w:p>
        </w:tc>
        <w:tc>
          <w:tcPr>
            <w:tcW w:w="1559" w:type="dxa"/>
            <w:tcBorders>
              <w:top w:val="nil"/>
              <w:left w:val="nil"/>
              <w:bottom w:val="nil"/>
              <w:right w:val="nil"/>
            </w:tcBorders>
            <w:shd w:val="clear" w:color="000000" w:fill="FFFF99"/>
            <w:noWrap/>
            <w:vAlign w:val="bottom"/>
            <w:hideMark/>
          </w:tcPr>
          <w:p w14:paraId="6E7DF71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78.155,37</w:t>
            </w:r>
          </w:p>
        </w:tc>
        <w:tc>
          <w:tcPr>
            <w:tcW w:w="993" w:type="dxa"/>
            <w:tcBorders>
              <w:top w:val="nil"/>
              <w:left w:val="nil"/>
              <w:bottom w:val="nil"/>
              <w:right w:val="nil"/>
            </w:tcBorders>
            <w:shd w:val="clear" w:color="000000" w:fill="FFFF99"/>
            <w:noWrap/>
            <w:vAlign w:val="bottom"/>
            <w:hideMark/>
          </w:tcPr>
          <w:p w14:paraId="717C7D4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62,71%</w:t>
            </w:r>
          </w:p>
        </w:tc>
      </w:tr>
      <w:tr w:rsidR="006967F8" w:rsidRPr="006967F8" w14:paraId="4C3F664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F435C3E"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26365DF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129.000,00</w:t>
            </w:r>
          </w:p>
        </w:tc>
        <w:tc>
          <w:tcPr>
            <w:tcW w:w="1559" w:type="dxa"/>
            <w:tcBorders>
              <w:top w:val="nil"/>
              <w:left w:val="nil"/>
              <w:bottom w:val="nil"/>
              <w:right w:val="nil"/>
            </w:tcBorders>
            <w:shd w:val="clear" w:color="000000" w:fill="CCCCFF"/>
            <w:noWrap/>
            <w:vAlign w:val="bottom"/>
            <w:hideMark/>
          </w:tcPr>
          <w:p w14:paraId="0EBE887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124.624,00</w:t>
            </w:r>
          </w:p>
        </w:tc>
        <w:tc>
          <w:tcPr>
            <w:tcW w:w="1559" w:type="dxa"/>
            <w:tcBorders>
              <w:top w:val="nil"/>
              <w:left w:val="nil"/>
              <w:bottom w:val="nil"/>
              <w:right w:val="nil"/>
            </w:tcBorders>
            <w:shd w:val="clear" w:color="000000" w:fill="CCCCFF"/>
            <w:noWrap/>
            <w:vAlign w:val="bottom"/>
            <w:hideMark/>
          </w:tcPr>
          <w:p w14:paraId="3E872E7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78.155,37</w:t>
            </w:r>
          </w:p>
        </w:tc>
        <w:tc>
          <w:tcPr>
            <w:tcW w:w="993" w:type="dxa"/>
            <w:tcBorders>
              <w:top w:val="nil"/>
              <w:left w:val="nil"/>
              <w:bottom w:val="nil"/>
              <w:right w:val="nil"/>
            </w:tcBorders>
            <w:shd w:val="clear" w:color="000000" w:fill="CCCCFF"/>
            <w:noWrap/>
            <w:vAlign w:val="bottom"/>
            <w:hideMark/>
          </w:tcPr>
          <w:p w14:paraId="630EDCF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62,71%</w:t>
            </w:r>
          </w:p>
        </w:tc>
      </w:tr>
      <w:tr w:rsidR="006967F8" w:rsidRPr="006967F8" w14:paraId="7847CAD8"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7440312"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4736896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129.000,00</w:t>
            </w:r>
          </w:p>
        </w:tc>
        <w:tc>
          <w:tcPr>
            <w:tcW w:w="1559" w:type="dxa"/>
            <w:tcBorders>
              <w:top w:val="nil"/>
              <w:left w:val="nil"/>
              <w:bottom w:val="nil"/>
              <w:right w:val="nil"/>
            </w:tcBorders>
            <w:shd w:val="clear" w:color="000000" w:fill="CCCCFF"/>
            <w:noWrap/>
            <w:vAlign w:val="bottom"/>
            <w:hideMark/>
          </w:tcPr>
          <w:p w14:paraId="12411EC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124.624,00</w:t>
            </w:r>
          </w:p>
        </w:tc>
        <w:tc>
          <w:tcPr>
            <w:tcW w:w="1559" w:type="dxa"/>
            <w:tcBorders>
              <w:top w:val="nil"/>
              <w:left w:val="nil"/>
              <w:bottom w:val="nil"/>
              <w:right w:val="nil"/>
            </w:tcBorders>
            <w:shd w:val="clear" w:color="000000" w:fill="CCCCFF"/>
            <w:noWrap/>
            <w:vAlign w:val="bottom"/>
            <w:hideMark/>
          </w:tcPr>
          <w:p w14:paraId="6746E8F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78.155,37</w:t>
            </w:r>
          </w:p>
        </w:tc>
        <w:tc>
          <w:tcPr>
            <w:tcW w:w="993" w:type="dxa"/>
            <w:tcBorders>
              <w:top w:val="nil"/>
              <w:left w:val="nil"/>
              <w:bottom w:val="nil"/>
              <w:right w:val="nil"/>
            </w:tcBorders>
            <w:shd w:val="clear" w:color="000000" w:fill="CCCCFF"/>
            <w:noWrap/>
            <w:vAlign w:val="bottom"/>
            <w:hideMark/>
          </w:tcPr>
          <w:p w14:paraId="26647E2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62,71%</w:t>
            </w:r>
          </w:p>
        </w:tc>
      </w:tr>
      <w:tr w:rsidR="006967F8" w:rsidRPr="006967F8" w14:paraId="1C6FB48E" w14:textId="77777777" w:rsidTr="008A61B1">
        <w:trPr>
          <w:trHeight w:val="255"/>
        </w:trPr>
        <w:tc>
          <w:tcPr>
            <w:tcW w:w="1134" w:type="dxa"/>
            <w:tcBorders>
              <w:top w:val="nil"/>
              <w:left w:val="nil"/>
              <w:bottom w:val="nil"/>
              <w:right w:val="nil"/>
            </w:tcBorders>
            <w:noWrap/>
            <w:vAlign w:val="bottom"/>
            <w:hideMark/>
          </w:tcPr>
          <w:p w14:paraId="753DC14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5D2C573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0919FEF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129.000,00</w:t>
            </w:r>
          </w:p>
        </w:tc>
        <w:tc>
          <w:tcPr>
            <w:tcW w:w="1559" w:type="dxa"/>
            <w:tcBorders>
              <w:top w:val="nil"/>
              <w:left w:val="nil"/>
              <w:bottom w:val="nil"/>
              <w:right w:val="nil"/>
            </w:tcBorders>
            <w:noWrap/>
            <w:vAlign w:val="bottom"/>
            <w:hideMark/>
          </w:tcPr>
          <w:p w14:paraId="45582A5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124.624,00</w:t>
            </w:r>
          </w:p>
        </w:tc>
        <w:tc>
          <w:tcPr>
            <w:tcW w:w="1559" w:type="dxa"/>
            <w:tcBorders>
              <w:top w:val="nil"/>
              <w:left w:val="nil"/>
              <w:bottom w:val="nil"/>
              <w:right w:val="nil"/>
            </w:tcBorders>
            <w:noWrap/>
            <w:vAlign w:val="bottom"/>
            <w:hideMark/>
          </w:tcPr>
          <w:p w14:paraId="625D442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78.155,37</w:t>
            </w:r>
          </w:p>
        </w:tc>
        <w:tc>
          <w:tcPr>
            <w:tcW w:w="993" w:type="dxa"/>
            <w:tcBorders>
              <w:top w:val="nil"/>
              <w:left w:val="nil"/>
              <w:bottom w:val="nil"/>
              <w:right w:val="nil"/>
            </w:tcBorders>
            <w:noWrap/>
            <w:vAlign w:val="bottom"/>
            <w:hideMark/>
          </w:tcPr>
          <w:p w14:paraId="2F0CE31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62,71%</w:t>
            </w:r>
          </w:p>
        </w:tc>
      </w:tr>
      <w:tr w:rsidR="006967F8" w:rsidRPr="006967F8" w14:paraId="0540C843" w14:textId="77777777" w:rsidTr="008A61B1">
        <w:trPr>
          <w:trHeight w:val="255"/>
        </w:trPr>
        <w:tc>
          <w:tcPr>
            <w:tcW w:w="1134" w:type="dxa"/>
            <w:tcBorders>
              <w:top w:val="nil"/>
              <w:left w:val="nil"/>
              <w:bottom w:val="nil"/>
              <w:right w:val="nil"/>
            </w:tcBorders>
            <w:noWrap/>
            <w:vAlign w:val="bottom"/>
            <w:hideMark/>
          </w:tcPr>
          <w:p w14:paraId="046E79F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3237</w:t>
            </w:r>
          </w:p>
        </w:tc>
        <w:tc>
          <w:tcPr>
            <w:tcW w:w="4962" w:type="dxa"/>
            <w:tcBorders>
              <w:top w:val="nil"/>
              <w:left w:val="nil"/>
              <w:bottom w:val="nil"/>
              <w:right w:val="nil"/>
            </w:tcBorders>
            <w:noWrap/>
            <w:vAlign w:val="bottom"/>
            <w:hideMark/>
          </w:tcPr>
          <w:p w14:paraId="1D49AC0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Intelektualne i osobne usluge</w:t>
            </w:r>
          </w:p>
        </w:tc>
        <w:tc>
          <w:tcPr>
            <w:tcW w:w="1559" w:type="dxa"/>
            <w:tcBorders>
              <w:top w:val="nil"/>
              <w:left w:val="nil"/>
              <w:bottom w:val="nil"/>
              <w:right w:val="nil"/>
            </w:tcBorders>
            <w:noWrap/>
            <w:vAlign w:val="bottom"/>
            <w:hideMark/>
          </w:tcPr>
          <w:p w14:paraId="2E5A7F30"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0CE0FB4"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C3D603A"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56.121,28</w:t>
            </w:r>
          </w:p>
        </w:tc>
        <w:tc>
          <w:tcPr>
            <w:tcW w:w="993" w:type="dxa"/>
            <w:tcBorders>
              <w:top w:val="nil"/>
              <w:left w:val="nil"/>
              <w:bottom w:val="nil"/>
              <w:right w:val="nil"/>
            </w:tcBorders>
            <w:noWrap/>
            <w:vAlign w:val="bottom"/>
            <w:hideMark/>
          </w:tcPr>
          <w:p w14:paraId="39A18A3B"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BC020A8" w14:textId="77777777" w:rsidTr="008A61B1">
        <w:trPr>
          <w:trHeight w:val="255"/>
        </w:trPr>
        <w:tc>
          <w:tcPr>
            <w:tcW w:w="1134" w:type="dxa"/>
            <w:tcBorders>
              <w:top w:val="nil"/>
              <w:left w:val="nil"/>
              <w:bottom w:val="nil"/>
              <w:right w:val="nil"/>
            </w:tcBorders>
            <w:noWrap/>
            <w:vAlign w:val="bottom"/>
            <w:hideMark/>
          </w:tcPr>
          <w:p w14:paraId="214F691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lastRenderedPageBreak/>
              <w:t>3292</w:t>
            </w:r>
          </w:p>
        </w:tc>
        <w:tc>
          <w:tcPr>
            <w:tcW w:w="4962" w:type="dxa"/>
            <w:tcBorders>
              <w:top w:val="nil"/>
              <w:left w:val="nil"/>
              <w:bottom w:val="nil"/>
              <w:right w:val="nil"/>
            </w:tcBorders>
            <w:noWrap/>
            <w:vAlign w:val="bottom"/>
            <w:hideMark/>
          </w:tcPr>
          <w:p w14:paraId="7E804EE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Premije osiguranja</w:t>
            </w:r>
          </w:p>
        </w:tc>
        <w:tc>
          <w:tcPr>
            <w:tcW w:w="1559" w:type="dxa"/>
            <w:tcBorders>
              <w:top w:val="nil"/>
              <w:left w:val="nil"/>
              <w:bottom w:val="nil"/>
              <w:right w:val="nil"/>
            </w:tcBorders>
            <w:noWrap/>
            <w:vAlign w:val="bottom"/>
            <w:hideMark/>
          </w:tcPr>
          <w:p w14:paraId="1B5FFE2A"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CA649AE"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265696F"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11.854,32</w:t>
            </w:r>
          </w:p>
        </w:tc>
        <w:tc>
          <w:tcPr>
            <w:tcW w:w="993" w:type="dxa"/>
            <w:tcBorders>
              <w:top w:val="nil"/>
              <w:left w:val="nil"/>
              <w:bottom w:val="nil"/>
              <w:right w:val="nil"/>
            </w:tcBorders>
            <w:noWrap/>
            <w:vAlign w:val="bottom"/>
            <w:hideMark/>
          </w:tcPr>
          <w:p w14:paraId="278A9D45"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0A8AE90" w14:textId="77777777" w:rsidTr="008A61B1">
        <w:trPr>
          <w:trHeight w:val="255"/>
        </w:trPr>
        <w:tc>
          <w:tcPr>
            <w:tcW w:w="1134" w:type="dxa"/>
            <w:tcBorders>
              <w:top w:val="nil"/>
              <w:left w:val="nil"/>
              <w:bottom w:val="nil"/>
              <w:right w:val="nil"/>
            </w:tcBorders>
            <w:noWrap/>
            <w:vAlign w:val="bottom"/>
            <w:hideMark/>
          </w:tcPr>
          <w:p w14:paraId="64B1968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3296</w:t>
            </w:r>
          </w:p>
        </w:tc>
        <w:tc>
          <w:tcPr>
            <w:tcW w:w="4962" w:type="dxa"/>
            <w:tcBorders>
              <w:top w:val="nil"/>
              <w:left w:val="nil"/>
              <w:bottom w:val="nil"/>
              <w:right w:val="nil"/>
            </w:tcBorders>
            <w:noWrap/>
            <w:vAlign w:val="bottom"/>
            <w:hideMark/>
          </w:tcPr>
          <w:p w14:paraId="0BE8E6E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Troškovi sudskih postupaka</w:t>
            </w:r>
          </w:p>
        </w:tc>
        <w:tc>
          <w:tcPr>
            <w:tcW w:w="1559" w:type="dxa"/>
            <w:tcBorders>
              <w:top w:val="nil"/>
              <w:left w:val="nil"/>
              <w:bottom w:val="nil"/>
              <w:right w:val="nil"/>
            </w:tcBorders>
            <w:noWrap/>
            <w:vAlign w:val="bottom"/>
            <w:hideMark/>
          </w:tcPr>
          <w:p w14:paraId="00EE08CE"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6D469C1"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DE9DD51"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10.179,77</w:t>
            </w:r>
          </w:p>
        </w:tc>
        <w:tc>
          <w:tcPr>
            <w:tcW w:w="993" w:type="dxa"/>
            <w:tcBorders>
              <w:top w:val="nil"/>
              <w:left w:val="nil"/>
              <w:bottom w:val="nil"/>
              <w:right w:val="nil"/>
            </w:tcBorders>
            <w:noWrap/>
            <w:vAlign w:val="bottom"/>
            <w:hideMark/>
          </w:tcPr>
          <w:p w14:paraId="6FDC4750"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82D3947" w14:textId="77777777" w:rsidTr="008A61B1">
        <w:trPr>
          <w:trHeight w:val="255"/>
        </w:trPr>
        <w:tc>
          <w:tcPr>
            <w:tcW w:w="6096" w:type="dxa"/>
            <w:gridSpan w:val="2"/>
            <w:tcBorders>
              <w:top w:val="nil"/>
              <w:left w:val="nil"/>
              <w:bottom w:val="nil"/>
              <w:right w:val="nil"/>
            </w:tcBorders>
            <w:shd w:val="clear" w:color="000000" w:fill="FFFF99"/>
            <w:noWrap/>
            <w:vAlign w:val="bottom"/>
            <w:hideMark/>
          </w:tcPr>
          <w:p w14:paraId="123DB6B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A100012 Aktivnost: SAVJET MLADIH</w:t>
            </w:r>
          </w:p>
        </w:tc>
        <w:tc>
          <w:tcPr>
            <w:tcW w:w="1559" w:type="dxa"/>
            <w:tcBorders>
              <w:top w:val="nil"/>
              <w:left w:val="nil"/>
              <w:bottom w:val="nil"/>
              <w:right w:val="nil"/>
            </w:tcBorders>
            <w:shd w:val="clear" w:color="000000" w:fill="FFFF99"/>
            <w:noWrap/>
            <w:vAlign w:val="bottom"/>
            <w:hideMark/>
          </w:tcPr>
          <w:p w14:paraId="64981DD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6.700,00</w:t>
            </w:r>
          </w:p>
        </w:tc>
        <w:tc>
          <w:tcPr>
            <w:tcW w:w="1559" w:type="dxa"/>
            <w:tcBorders>
              <w:top w:val="nil"/>
              <w:left w:val="nil"/>
              <w:bottom w:val="nil"/>
              <w:right w:val="nil"/>
            </w:tcBorders>
            <w:shd w:val="clear" w:color="000000" w:fill="FFFF99"/>
            <w:noWrap/>
            <w:vAlign w:val="bottom"/>
            <w:hideMark/>
          </w:tcPr>
          <w:p w14:paraId="3ABDAF4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6.700,00</w:t>
            </w:r>
          </w:p>
        </w:tc>
        <w:tc>
          <w:tcPr>
            <w:tcW w:w="1559" w:type="dxa"/>
            <w:tcBorders>
              <w:top w:val="nil"/>
              <w:left w:val="nil"/>
              <w:bottom w:val="nil"/>
              <w:right w:val="nil"/>
            </w:tcBorders>
            <w:shd w:val="clear" w:color="000000" w:fill="FFFF99"/>
            <w:noWrap/>
            <w:vAlign w:val="bottom"/>
            <w:hideMark/>
          </w:tcPr>
          <w:p w14:paraId="19F9048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shd w:val="clear" w:color="000000" w:fill="FFFF99"/>
            <w:noWrap/>
            <w:vAlign w:val="bottom"/>
            <w:hideMark/>
          </w:tcPr>
          <w:p w14:paraId="012FF74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615D6D11"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9FB2944"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636AFE3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6.700,00</w:t>
            </w:r>
          </w:p>
        </w:tc>
        <w:tc>
          <w:tcPr>
            <w:tcW w:w="1559" w:type="dxa"/>
            <w:tcBorders>
              <w:top w:val="nil"/>
              <w:left w:val="nil"/>
              <w:bottom w:val="nil"/>
              <w:right w:val="nil"/>
            </w:tcBorders>
            <w:shd w:val="clear" w:color="000000" w:fill="CCCCFF"/>
            <w:noWrap/>
            <w:vAlign w:val="bottom"/>
            <w:hideMark/>
          </w:tcPr>
          <w:p w14:paraId="1AA66FE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6.700,00</w:t>
            </w:r>
          </w:p>
        </w:tc>
        <w:tc>
          <w:tcPr>
            <w:tcW w:w="1559" w:type="dxa"/>
            <w:tcBorders>
              <w:top w:val="nil"/>
              <w:left w:val="nil"/>
              <w:bottom w:val="nil"/>
              <w:right w:val="nil"/>
            </w:tcBorders>
            <w:shd w:val="clear" w:color="000000" w:fill="CCCCFF"/>
            <w:noWrap/>
            <w:vAlign w:val="bottom"/>
            <w:hideMark/>
          </w:tcPr>
          <w:p w14:paraId="7E208D9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41E3F5E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74365B18"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82E1052"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7A35103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6.700,00</w:t>
            </w:r>
          </w:p>
        </w:tc>
        <w:tc>
          <w:tcPr>
            <w:tcW w:w="1559" w:type="dxa"/>
            <w:tcBorders>
              <w:top w:val="nil"/>
              <w:left w:val="nil"/>
              <w:bottom w:val="nil"/>
              <w:right w:val="nil"/>
            </w:tcBorders>
            <w:shd w:val="clear" w:color="000000" w:fill="CCCCFF"/>
            <w:noWrap/>
            <w:vAlign w:val="bottom"/>
            <w:hideMark/>
          </w:tcPr>
          <w:p w14:paraId="60BD47C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6.700,00</w:t>
            </w:r>
          </w:p>
        </w:tc>
        <w:tc>
          <w:tcPr>
            <w:tcW w:w="1559" w:type="dxa"/>
            <w:tcBorders>
              <w:top w:val="nil"/>
              <w:left w:val="nil"/>
              <w:bottom w:val="nil"/>
              <w:right w:val="nil"/>
            </w:tcBorders>
            <w:shd w:val="clear" w:color="000000" w:fill="CCCCFF"/>
            <w:noWrap/>
            <w:vAlign w:val="bottom"/>
            <w:hideMark/>
          </w:tcPr>
          <w:p w14:paraId="5876B58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5D1E733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668DC3D1" w14:textId="77777777" w:rsidTr="008A61B1">
        <w:trPr>
          <w:trHeight w:val="255"/>
        </w:trPr>
        <w:tc>
          <w:tcPr>
            <w:tcW w:w="1134" w:type="dxa"/>
            <w:tcBorders>
              <w:top w:val="nil"/>
              <w:left w:val="nil"/>
              <w:bottom w:val="nil"/>
              <w:right w:val="nil"/>
            </w:tcBorders>
            <w:noWrap/>
            <w:vAlign w:val="bottom"/>
            <w:hideMark/>
          </w:tcPr>
          <w:p w14:paraId="6451935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288D5DF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525AE13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6.700,00</w:t>
            </w:r>
          </w:p>
        </w:tc>
        <w:tc>
          <w:tcPr>
            <w:tcW w:w="1559" w:type="dxa"/>
            <w:tcBorders>
              <w:top w:val="nil"/>
              <w:left w:val="nil"/>
              <w:bottom w:val="nil"/>
              <w:right w:val="nil"/>
            </w:tcBorders>
            <w:noWrap/>
            <w:vAlign w:val="bottom"/>
            <w:hideMark/>
          </w:tcPr>
          <w:p w14:paraId="037FBB7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6.700,00</w:t>
            </w:r>
          </w:p>
        </w:tc>
        <w:tc>
          <w:tcPr>
            <w:tcW w:w="1559" w:type="dxa"/>
            <w:tcBorders>
              <w:top w:val="nil"/>
              <w:left w:val="nil"/>
              <w:bottom w:val="nil"/>
              <w:right w:val="nil"/>
            </w:tcBorders>
            <w:noWrap/>
            <w:vAlign w:val="bottom"/>
            <w:hideMark/>
          </w:tcPr>
          <w:p w14:paraId="5646FFE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7CD3DB3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6B77F457" w14:textId="77777777" w:rsidTr="008A61B1">
        <w:trPr>
          <w:trHeight w:val="255"/>
        </w:trPr>
        <w:tc>
          <w:tcPr>
            <w:tcW w:w="6096" w:type="dxa"/>
            <w:gridSpan w:val="2"/>
            <w:tcBorders>
              <w:top w:val="nil"/>
              <w:left w:val="nil"/>
              <w:bottom w:val="nil"/>
              <w:right w:val="nil"/>
            </w:tcBorders>
            <w:shd w:val="clear" w:color="000000" w:fill="FFFF99"/>
            <w:noWrap/>
            <w:vAlign w:val="bottom"/>
            <w:hideMark/>
          </w:tcPr>
          <w:p w14:paraId="679E060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A100023 Aktivnost: DIGITALIZACIJA UPRAVE</w:t>
            </w:r>
          </w:p>
        </w:tc>
        <w:tc>
          <w:tcPr>
            <w:tcW w:w="1559" w:type="dxa"/>
            <w:tcBorders>
              <w:top w:val="nil"/>
              <w:left w:val="nil"/>
              <w:bottom w:val="nil"/>
              <w:right w:val="nil"/>
            </w:tcBorders>
            <w:shd w:val="clear" w:color="000000" w:fill="FFFF99"/>
            <w:noWrap/>
            <w:vAlign w:val="bottom"/>
            <w:hideMark/>
          </w:tcPr>
          <w:p w14:paraId="345B653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114.000,00</w:t>
            </w:r>
          </w:p>
        </w:tc>
        <w:tc>
          <w:tcPr>
            <w:tcW w:w="1559" w:type="dxa"/>
            <w:tcBorders>
              <w:top w:val="nil"/>
              <w:left w:val="nil"/>
              <w:bottom w:val="nil"/>
              <w:right w:val="nil"/>
            </w:tcBorders>
            <w:shd w:val="clear" w:color="000000" w:fill="FFFF99"/>
            <w:noWrap/>
            <w:vAlign w:val="bottom"/>
            <w:hideMark/>
          </w:tcPr>
          <w:p w14:paraId="31459FF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114.000,00</w:t>
            </w:r>
          </w:p>
        </w:tc>
        <w:tc>
          <w:tcPr>
            <w:tcW w:w="1559" w:type="dxa"/>
            <w:tcBorders>
              <w:top w:val="nil"/>
              <w:left w:val="nil"/>
              <w:bottom w:val="nil"/>
              <w:right w:val="nil"/>
            </w:tcBorders>
            <w:shd w:val="clear" w:color="000000" w:fill="FFFF99"/>
            <w:noWrap/>
            <w:vAlign w:val="bottom"/>
            <w:hideMark/>
          </w:tcPr>
          <w:p w14:paraId="5716325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45.468,88</w:t>
            </w:r>
          </w:p>
        </w:tc>
        <w:tc>
          <w:tcPr>
            <w:tcW w:w="993" w:type="dxa"/>
            <w:tcBorders>
              <w:top w:val="nil"/>
              <w:left w:val="nil"/>
              <w:bottom w:val="nil"/>
              <w:right w:val="nil"/>
            </w:tcBorders>
            <w:shd w:val="clear" w:color="000000" w:fill="FFFF99"/>
            <w:noWrap/>
            <w:vAlign w:val="bottom"/>
            <w:hideMark/>
          </w:tcPr>
          <w:p w14:paraId="099670F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39,88%</w:t>
            </w:r>
          </w:p>
        </w:tc>
      </w:tr>
      <w:tr w:rsidR="006967F8" w:rsidRPr="006967F8" w14:paraId="57A3A736"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3E5942E"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49729C2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114.000,00</w:t>
            </w:r>
          </w:p>
        </w:tc>
        <w:tc>
          <w:tcPr>
            <w:tcW w:w="1559" w:type="dxa"/>
            <w:tcBorders>
              <w:top w:val="nil"/>
              <w:left w:val="nil"/>
              <w:bottom w:val="nil"/>
              <w:right w:val="nil"/>
            </w:tcBorders>
            <w:shd w:val="clear" w:color="000000" w:fill="CCCCFF"/>
            <w:noWrap/>
            <w:vAlign w:val="bottom"/>
            <w:hideMark/>
          </w:tcPr>
          <w:p w14:paraId="4CDE40B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114.000,00</w:t>
            </w:r>
          </w:p>
        </w:tc>
        <w:tc>
          <w:tcPr>
            <w:tcW w:w="1559" w:type="dxa"/>
            <w:tcBorders>
              <w:top w:val="nil"/>
              <w:left w:val="nil"/>
              <w:bottom w:val="nil"/>
              <w:right w:val="nil"/>
            </w:tcBorders>
            <w:shd w:val="clear" w:color="000000" w:fill="CCCCFF"/>
            <w:noWrap/>
            <w:vAlign w:val="bottom"/>
            <w:hideMark/>
          </w:tcPr>
          <w:p w14:paraId="05667D1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45.468,88</w:t>
            </w:r>
          </w:p>
        </w:tc>
        <w:tc>
          <w:tcPr>
            <w:tcW w:w="993" w:type="dxa"/>
            <w:tcBorders>
              <w:top w:val="nil"/>
              <w:left w:val="nil"/>
              <w:bottom w:val="nil"/>
              <w:right w:val="nil"/>
            </w:tcBorders>
            <w:shd w:val="clear" w:color="000000" w:fill="CCCCFF"/>
            <w:noWrap/>
            <w:vAlign w:val="bottom"/>
            <w:hideMark/>
          </w:tcPr>
          <w:p w14:paraId="47D87F9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39,88%</w:t>
            </w:r>
          </w:p>
        </w:tc>
      </w:tr>
      <w:tr w:rsidR="006967F8" w:rsidRPr="006967F8" w14:paraId="7FB3623E"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C5296E9"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47744FB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114.000,00</w:t>
            </w:r>
          </w:p>
        </w:tc>
        <w:tc>
          <w:tcPr>
            <w:tcW w:w="1559" w:type="dxa"/>
            <w:tcBorders>
              <w:top w:val="nil"/>
              <w:left w:val="nil"/>
              <w:bottom w:val="nil"/>
              <w:right w:val="nil"/>
            </w:tcBorders>
            <w:shd w:val="clear" w:color="000000" w:fill="CCCCFF"/>
            <w:noWrap/>
            <w:vAlign w:val="bottom"/>
            <w:hideMark/>
          </w:tcPr>
          <w:p w14:paraId="542429D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114.000,00</w:t>
            </w:r>
          </w:p>
        </w:tc>
        <w:tc>
          <w:tcPr>
            <w:tcW w:w="1559" w:type="dxa"/>
            <w:tcBorders>
              <w:top w:val="nil"/>
              <w:left w:val="nil"/>
              <w:bottom w:val="nil"/>
              <w:right w:val="nil"/>
            </w:tcBorders>
            <w:shd w:val="clear" w:color="000000" w:fill="CCCCFF"/>
            <w:noWrap/>
            <w:vAlign w:val="bottom"/>
            <w:hideMark/>
          </w:tcPr>
          <w:p w14:paraId="0A6582E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45.468,88</w:t>
            </w:r>
          </w:p>
        </w:tc>
        <w:tc>
          <w:tcPr>
            <w:tcW w:w="993" w:type="dxa"/>
            <w:tcBorders>
              <w:top w:val="nil"/>
              <w:left w:val="nil"/>
              <w:bottom w:val="nil"/>
              <w:right w:val="nil"/>
            </w:tcBorders>
            <w:shd w:val="clear" w:color="000000" w:fill="CCCCFF"/>
            <w:noWrap/>
            <w:vAlign w:val="bottom"/>
            <w:hideMark/>
          </w:tcPr>
          <w:p w14:paraId="735ADBE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39,88%</w:t>
            </w:r>
          </w:p>
        </w:tc>
      </w:tr>
      <w:tr w:rsidR="006967F8" w:rsidRPr="006967F8" w14:paraId="4FDF9F56" w14:textId="77777777" w:rsidTr="008A61B1">
        <w:trPr>
          <w:trHeight w:val="255"/>
        </w:trPr>
        <w:tc>
          <w:tcPr>
            <w:tcW w:w="1134" w:type="dxa"/>
            <w:tcBorders>
              <w:top w:val="nil"/>
              <w:left w:val="nil"/>
              <w:bottom w:val="nil"/>
              <w:right w:val="nil"/>
            </w:tcBorders>
            <w:noWrap/>
            <w:vAlign w:val="bottom"/>
            <w:hideMark/>
          </w:tcPr>
          <w:p w14:paraId="1FCCD43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0FF721C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16D754D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21.000,00</w:t>
            </w:r>
          </w:p>
        </w:tc>
        <w:tc>
          <w:tcPr>
            <w:tcW w:w="1559" w:type="dxa"/>
            <w:tcBorders>
              <w:top w:val="nil"/>
              <w:left w:val="nil"/>
              <w:bottom w:val="nil"/>
              <w:right w:val="nil"/>
            </w:tcBorders>
            <w:noWrap/>
            <w:vAlign w:val="bottom"/>
            <w:hideMark/>
          </w:tcPr>
          <w:p w14:paraId="5DDE808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21.000,00</w:t>
            </w:r>
          </w:p>
        </w:tc>
        <w:tc>
          <w:tcPr>
            <w:tcW w:w="1559" w:type="dxa"/>
            <w:tcBorders>
              <w:top w:val="nil"/>
              <w:left w:val="nil"/>
              <w:bottom w:val="nil"/>
              <w:right w:val="nil"/>
            </w:tcBorders>
            <w:noWrap/>
            <w:vAlign w:val="bottom"/>
            <w:hideMark/>
          </w:tcPr>
          <w:p w14:paraId="3BF51B9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7.621,19</w:t>
            </w:r>
          </w:p>
        </w:tc>
        <w:tc>
          <w:tcPr>
            <w:tcW w:w="993" w:type="dxa"/>
            <w:tcBorders>
              <w:top w:val="nil"/>
              <w:left w:val="nil"/>
              <w:bottom w:val="nil"/>
              <w:right w:val="nil"/>
            </w:tcBorders>
            <w:noWrap/>
            <w:vAlign w:val="bottom"/>
            <w:hideMark/>
          </w:tcPr>
          <w:p w14:paraId="452FA52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36,29%</w:t>
            </w:r>
          </w:p>
        </w:tc>
      </w:tr>
      <w:tr w:rsidR="006967F8" w:rsidRPr="006967F8" w14:paraId="3C22E545" w14:textId="77777777" w:rsidTr="008A61B1">
        <w:trPr>
          <w:trHeight w:val="255"/>
        </w:trPr>
        <w:tc>
          <w:tcPr>
            <w:tcW w:w="1134" w:type="dxa"/>
            <w:tcBorders>
              <w:top w:val="nil"/>
              <w:left w:val="nil"/>
              <w:bottom w:val="nil"/>
              <w:right w:val="nil"/>
            </w:tcBorders>
            <w:noWrap/>
            <w:vAlign w:val="bottom"/>
            <w:hideMark/>
          </w:tcPr>
          <w:p w14:paraId="50F07BB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3224</w:t>
            </w:r>
          </w:p>
        </w:tc>
        <w:tc>
          <w:tcPr>
            <w:tcW w:w="4962" w:type="dxa"/>
            <w:tcBorders>
              <w:top w:val="nil"/>
              <w:left w:val="nil"/>
              <w:bottom w:val="nil"/>
              <w:right w:val="nil"/>
            </w:tcBorders>
            <w:noWrap/>
            <w:vAlign w:val="bottom"/>
            <w:hideMark/>
          </w:tcPr>
          <w:p w14:paraId="34C7BEC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Materijal i dijelovi za tekuće i investicijsko održavanje</w:t>
            </w:r>
          </w:p>
        </w:tc>
        <w:tc>
          <w:tcPr>
            <w:tcW w:w="1559" w:type="dxa"/>
            <w:tcBorders>
              <w:top w:val="nil"/>
              <w:left w:val="nil"/>
              <w:bottom w:val="nil"/>
              <w:right w:val="nil"/>
            </w:tcBorders>
            <w:noWrap/>
            <w:vAlign w:val="bottom"/>
            <w:hideMark/>
          </w:tcPr>
          <w:p w14:paraId="6DEFA0B3"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CF4F841"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CE48796"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1.690,00</w:t>
            </w:r>
          </w:p>
        </w:tc>
        <w:tc>
          <w:tcPr>
            <w:tcW w:w="993" w:type="dxa"/>
            <w:tcBorders>
              <w:top w:val="nil"/>
              <w:left w:val="nil"/>
              <w:bottom w:val="nil"/>
              <w:right w:val="nil"/>
            </w:tcBorders>
            <w:noWrap/>
            <w:vAlign w:val="bottom"/>
            <w:hideMark/>
          </w:tcPr>
          <w:p w14:paraId="66328B9D"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84B4D3E" w14:textId="77777777" w:rsidTr="008A61B1">
        <w:trPr>
          <w:trHeight w:val="255"/>
        </w:trPr>
        <w:tc>
          <w:tcPr>
            <w:tcW w:w="1134" w:type="dxa"/>
            <w:tcBorders>
              <w:top w:val="nil"/>
              <w:left w:val="nil"/>
              <w:bottom w:val="nil"/>
              <w:right w:val="nil"/>
            </w:tcBorders>
            <w:noWrap/>
            <w:vAlign w:val="bottom"/>
            <w:hideMark/>
          </w:tcPr>
          <w:p w14:paraId="21C25CB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3238</w:t>
            </w:r>
          </w:p>
        </w:tc>
        <w:tc>
          <w:tcPr>
            <w:tcW w:w="4962" w:type="dxa"/>
            <w:tcBorders>
              <w:top w:val="nil"/>
              <w:left w:val="nil"/>
              <w:bottom w:val="nil"/>
              <w:right w:val="nil"/>
            </w:tcBorders>
            <w:noWrap/>
            <w:vAlign w:val="bottom"/>
            <w:hideMark/>
          </w:tcPr>
          <w:p w14:paraId="386C7BE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Računalne usluge</w:t>
            </w:r>
          </w:p>
        </w:tc>
        <w:tc>
          <w:tcPr>
            <w:tcW w:w="1559" w:type="dxa"/>
            <w:tcBorders>
              <w:top w:val="nil"/>
              <w:left w:val="nil"/>
              <w:bottom w:val="nil"/>
              <w:right w:val="nil"/>
            </w:tcBorders>
            <w:noWrap/>
            <w:vAlign w:val="bottom"/>
            <w:hideMark/>
          </w:tcPr>
          <w:p w14:paraId="34D92993"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A1CC725"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D1088A6"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5.931,19</w:t>
            </w:r>
          </w:p>
        </w:tc>
        <w:tc>
          <w:tcPr>
            <w:tcW w:w="993" w:type="dxa"/>
            <w:tcBorders>
              <w:top w:val="nil"/>
              <w:left w:val="nil"/>
              <w:bottom w:val="nil"/>
              <w:right w:val="nil"/>
            </w:tcBorders>
            <w:noWrap/>
            <w:vAlign w:val="bottom"/>
            <w:hideMark/>
          </w:tcPr>
          <w:p w14:paraId="4E56F03E"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EDCBA9D" w14:textId="77777777" w:rsidTr="008A61B1">
        <w:trPr>
          <w:trHeight w:val="510"/>
        </w:trPr>
        <w:tc>
          <w:tcPr>
            <w:tcW w:w="1134" w:type="dxa"/>
            <w:tcBorders>
              <w:top w:val="nil"/>
              <w:left w:val="nil"/>
              <w:bottom w:val="nil"/>
              <w:right w:val="nil"/>
            </w:tcBorders>
            <w:noWrap/>
            <w:vAlign w:val="bottom"/>
            <w:hideMark/>
          </w:tcPr>
          <w:p w14:paraId="7BDF31B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41</w:t>
            </w:r>
          </w:p>
        </w:tc>
        <w:tc>
          <w:tcPr>
            <w:tcW w:w="4962" w:type="dxa"/>
            <w:tcBorders>
              <w:top w:val="nil"/>
              <w:left w:val="nil"/>
              <w:bottom w:val="nil"/>
              <w:right w:val="nil"/>
            </w:tcBorders>
            <w:vAlign w:val="bottom"/>
            <w:hideMark/>
          </w:tcPr>
          <w:p w14:paraId="3C84275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Rashodi za nabavu </w:t>
            </w:r>
            <w:proofErr w:type="spellStart"/>
            <w:r w:rsidRPr="006967F8">
              <w:rPr>
                <w:rFonts w:ascii="Arial" w:eastAsia="Times New Roman" w:hAnsi="Arial" w:cs="Arial"/>
                <w:b/>
                <w:bCs/>
                <w:sz w:val="20"/>
                <w:szCs w:val="20"/>
                <w:lang w:eastAsia="hr-HR"/>
              </w:rPr>
              <w:t>neproizvedene</w:t>
            </w:r>
            <w:proofErr w:type="spellEnd"/>
            <w:r w:rsidRPr="006967F8">
              <w:rPr>
                <w:rFonts w:ascii="Arial" w:eastAsia="Times New Roman" w:hAnsi="Arial" w:cs="Arial"/>
                <w:b/>
                <w:bCs/>
                <w:sz w:val="20"/>
                <w:szCs w:val="20"/>
                <w:lang w:eastAsia="hr-HR"/>
              </w:rPr>
              <w:t xml:space="preserve"> dugotrajne imovine</w:t>
            </w:r>
          </w:p>
        </w:tc>
        <w:tc>
          <w:tcPr>
            <w:tcW w:w="1559" w:type="dxa"/>
            <w:tcBorders>
              <w:top w:val="nil"/>
              <w:left w:val="nil"/>
              <w:bottom w:val="nil"/>
              <w:right w:val="nil"/>
            </w:tcBorders>
            <w:noWrap/>
            <w:vAlign w:val="bottom"/>
            <w:hideMark/>
          </w:tcPr>
          <w:p w14:paraId="34E6A61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15.000,00</w:t>
            </w:r>
          </w:p>
        </w:tc>
        <w:tc>
          <w:tcPr>
            <w:tcW w:w="1559" w:type="dxa"/>
            <w:tcBorders>
              <w:top w:val="nil"/>
              <w:left w:val="nil"/>
              <w:bottom w:val="nil"/>
              <w:right w:val="nil"/>
            </w:tcBorders>
            <w:noWrap/>
            <w:vAlign w:val="bottom"/>
            <w:hideMark/>
          </w:tcPr>
          <w:p w14:paraId="0F7EF75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15.000,00</w:t>
            </w:r>
          </w:p>
        </w:tc>
        <w:tc>
          <w:tcPr>
            <w:tcW w:w="1559" w:type="dxa"/>
            <w:tcBorders>
              <w:top w:val="nil"/>
              <w:left w:val="nil"/>
              <w:bottom w:val="nil"/>
              <w:right w:val="nil"/>
            </w:tcBorders>
            <w:noWrap/>
            <w:vAlign w:val="bottom"/>
            <w:hideMark/>
          </w:tcPr>
          <w:p w14:paraId="14E3411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5.997,50</w:t>
            </w:r>
          </w:p>
        </w:tc>
        <w:tc>
          <w:tcPr>
            <w:tcW w:w="993" w:type="dxa"/>
            <w:tcBorders>
              <w:top w:val="nil"/>
              <w:left w:val="nil"/>
              <w:bottom w:val="nil"/>
              <w:right w:val="nil"/>
            </w:tcBorders>
            <w:noWrap/>
            <w:vAlign w:val="bottom"/>
            <w:hideMark/>
          </w:tcPr>
          <w:p w14:paraId="6D44AE3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39,98%</w:t>
            </w:r>
          </w:p>
        </w:tc>
      </w:tr>
      <w:tr w:rsidR="006967F8" w:rsidRPr="006967F8" w14:paraId="500B0468" w14:textId="77777777" w:rsidTr="008A61B1">
        <w:trPr>
          <w:trHeight w:val="255"/>
        </w:trPr>
        <w:tc>
          <w:tcPr>
            <w:tcW w:w="1134" w:type="dxa"/>
            <w:tcBorders>
              <w:top w:val="nil"/>
              <w:left w:val="nil"/>
              <w:bottom w:val="nil"/>
              <w:right w:val="nil"/>
            </w:tcBorders>
            <w:noWrap/>
            <w:vAlign w:val="bottom"/>
            <w:hideMark/>
          </w:tcPr>
          <w:p w14:paraId="74F0074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4123</w:t>
            </w:r>
          </w:p>
        </w:tc>
        <w:tc>
          <w:tcPr>
            <w:tcW w:w="4962" w:type="dxa"/>
            <w:tcBorders>
              <w:top w:val="nil"/>
              <w:left w:val="nil"/>
              <w:bottom w:val="nil"/>
              <w:right w:val="nil"/>
            </w:tcBorders>
            <w:noWrap/>
            <w:vAlign w:val="bottom"/>
            <w:hideMark/>
          </w:tcPr>
          <w:p w14:paraId="375329F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Licence</w:t>
            </w:r>
          </w:p>
        </w:tc>
        <w:tc>
          <w:tcPr>
            <w:tcW w:w="1559" w:type="dxa"/>
            <w:tcBorders>
              <w:top w:val="nil"/>
              <w:left w:val="nil"/>
              <w:bottom w:val="nil"/>
              <w:right w:val="nil"/>
            </w:tcBorders>
            <w:noWrap/>
            <w:vAlign w:val="bottom"/>
            <w:hideMark/>
          </w:tcPr>
          <w:p w14:paraId="0C7D00F5"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29A7AE4"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B694608"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5.997,50</w:t>
            </w:r>
          </w:p>
        </w:tc>
        <w:tc>
          <w:tcPr>
            <w:tcW w:w="993" w:type="dxa"/>
            <w:tcBorders>
              <w:top w:val="nil"/>
              <w:left w:val="nil"/>
              <w:bottom w:val="nil"/>
              <w:right w:val="nil"/>
            </w:tcBorders>
            <w:noWrap/>
            <w:vAlign w:val="bottom"/>
            <w:hideMark/>
          </w:tcPr>
          <w:p w14:paraId="40B08C81"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000DCA1" w14:textId="77777777" w:rsidTr="008A61B1">
        <w:trPr>
          <w:trHeight w:val="555"/>
        </w:trPr>
        <w:tc>
          <w:tcPr>
            <w:tcW w:w="1134" w:type="dxa"/>
            <w:tcBorders>
              <w:top w:val="nil"/>
              <w:left w:val="nil"/>
              <w:bottom w:val="nil"/>
              <w:right w:val="nil"/>
            </w:tcBorders>
            <w:noWrap/>
            <w:vAlign w:val="bottom"/>
            <w:hideMark/>
          </w:tcPr>
          <w:p w14:paraId="51B4F7E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2698196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3412C01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53.000,00</w:t>
            </w:r>
          </w:p>
        </w:tc>
        <w:tc>
          <w:tcPr>
            <w:tcW w:w="1559" w:type="dxa"/>
            <w:tcBorders>
              <w:top w:val="nil"/>
              <w:left w:val="nil"/>
              <w:bottom w:val="nil"/>
              <w:right w:val="nil"/>
            </w:tcBorders>
            <w:noWrap/>
            <w:vAlign w:val="bottom"/>
            <w:hideMark/>
          </w:tcPr>
          <w:p w14:paraId="4E5FCCA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53.000,00</w:t>
            </w:r>
          </w:p>
        </w:tc>
        <w:tc>
          <w:tcPr>
            <w:tcW w:w="1559" w:type="dxa"/>
            <w:tcBorders>
              <w:top w:val="nil"/>
              <w:left w:val="nil"/>
              <w:bottom w:val="nil"/>
              <w:right w:val="nil"/>
            </w:tcBorders>
            <w:noWrap/>
            <w:vAlign w:val="bottom"/>
            <w:hideMark/>
          </w:tcPr>
          <w:p w14:paraId="4C3B198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31.850,19</w:t>
            </w:r>
          </w:p>
        </w:tc>
        <w:tc>
          <w:tcPr>
            <w:tcW w:w="993" w:type="dxa"/>
            <w:tcBorders>
              <w:top w:val="nil"/>
              <w:left w:val="nil"/>
              <w:bottom w:val="nil"/>
              <w:right w:val="nil"/>
            </w:tcBorders>
            <w:noWrap/>
            <w:vAlign w:val="bottom"/>
            <w:hideMark/>
          </w:tcPr>
          <w:p w14:paraId="124E46D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60,09%</w:t>
            </w:r>
          </w:p>
        </w:tc>
      </w:tr>
      <w:tr w:rsidR="006967F8" w:rsidRPr="006967F8" w14:paraId="4F34EC23" w14:textId="77777777" w:rsidTr="008A61B1">
        <w:trPr>
          <w:trHeight w:val="255"/>
        </w:trPr>
        <w:tc>
          <w:tcPr>
            <w:tcW w:w="1134" w:type="dxa"/>
            <w:tcBorders>
              <w:top w:val="nil"/>
              <w:left w:val="nil"/>
              <w:bottom w:val="nil"/>
              <w:right w:val="nil"/>
            </w:tcBorders>
            <w:noWrap/>
            <w:vAlign w:val="bottom"/>
            <w:hideMark/>
          </w:tcPr>
          <w:p w14:paraId="1C1CF89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4221</w:t>
            </w:r>
          </w:p>
        </w:tc>
        <w:tc>
          <w:tcPr>
            <w:tcW w:w="4962" w:type="dxa"/>
            <w:tcBorders>
              <w:top w:val="nil"/>
              <w:left w:val="nil"/>
              <w:bottom w:val="nil"/>
              <w:right w:val="nil"/>
            </w:tcBorders>
            <w:noWrap/>
            <w:vAlign w:val="bottom"/>
            <w:hideMark/>
          </w:tcPr>
          <w:p w14:paraId="1E7A56A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Uredska oprema i namještaj</w:t>
            </w:r>
          </w:p>
        </w:tc>
        <w:tc>
          <w:tcPr>
            <w:tcW w:w="1559" w:type="dxa"/>
            <w:tcBorders>
              <w:top w:val="nil"/>
              <w:left w:val="nil"/>
              <w:bottom w:val="nil"/>
              <w:right w:val="nil"/>
            </w:tcBorders>
            <w:noWrap/>
            <w:vAlign w:val="bottom"/>
            <w:hideMark/>
          </w:tcPr>
          <w:p w14:paraId="565A5626"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2A7CCB7"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A656B4F"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29.791,75</w:t>
            </w:r>
          </w:p>
        </w:tc>
        <w:tc>
          <w:tcPr>
            <w:tcW w:w="993" w:type="dxa"/>
            <w:tcBorders>
              <w:top w:val="nil"/>
              <w:left w:val="nil"/>
              <w:bottom w:val="nil"/>
              <w:right w:val="nil"/>
            </w:tcBorders>
            <w:noWrap/>
            <w:vAlign w:val="bottom"/>
            <w:hideMark/>
          </w:tcPr>
          <w:p w14:paraId="7FD2A5F0"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A6EFBA0" w14:textId="77777777" w:rsidTr="008A61B1">
        <w:trPr>
          <w:trHeight w:val="255"/>
        </w:trPr>
        <w:tc>
          <w:tcPr>
            <w:tcW w:w="1134" w:type="dxa"/>
            <w:tcBorders>
              <w:top w:val="nil"/>
              <w:left w:val="nil"/>
              <w:bottom w:val="nil"/>
              <w:right w:val="nil"/>
            </w:tcBorders>
            <w:noWrap/>
            <w:vAlign w:val="bottom"/>
            <w:hideMark/>
          </w:tcPr>
          <w:p w14:paraId="3C53CF9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4222</w:t>
            </w:r>
          </w:p>
        </w:tc>
        <w:tc>
          <w:tcPr>
            <w:tcW w:w="4962" w:type="dxa"/>
            <w:tcBorders>
              <w:top w:val="nil"/>
              <w:left w:val="nil"/>
              <w:bottom w:val="nil"/>
              <w:right w:val="nil"/>
            </w:tcBorders>
            <w:noWrap/>
            <w:vAlign w:val="bottom"/>
            <w:hideMark/>
          </w:tcPr>
          <w:p w14:paraId="765065C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Komunikacijska oprema</w:t>
            </w:r>
          </w:p>
        </w:tc>
        <w:tc>
          <w:tcPr>
            <w:tcW w:w="1559" w:type="dxa"/>
            <w:tcBorders>
              <w:top w:val="nil"/>
              <w:left w:val="nil"/>
              <w:bottom w:val="nil"/>
              <w:right w:val="nil"/>
            </w:tcBorders>
            <w:noWrap/>
            <w:vAlign w:val="bottom"/>
            <w:hideMark/>
          </w:tcPr>
          <w:p w14:paraId="055DF996"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13CA512"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E955226"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2.058,44</w:t>
            </w:r>
          </w:p>
        </w:tc>
        <w:tc>
          <w:tcPr>
            <w:tcW w:w="993" w:type="dxa"/>
            <w:tcBorders>
              <w:top w:val="nil"/>
              <w:left w:val="nil"/>
              <w:bottom w:val="nil"/>
              <w:right w:val="nil"/>
            </w:tcBorders>
            <w:noWrap/>
            <w:vAlign w:val="bottom"/>
            <w:hideMark/>
          </w:tcPr>
          <w:p w14:paraId="117D2E89"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0A70AD1" w14:textId="77777777" w:rsidTr="008A61B1">
        <w:trPr>
          <w:trHeight w:val="480"/>
        </w:trPr>
        <w:tc>
          <w:tcPr>
            <w:tcW w:w="1134" w:type="dxa"/>
            <w:tcBorders>
              <w:top w:val="nil"/>
              <w:left w:val="nil"/>
              <w:bottom w:val="nil"/>
              <w:right w:val="nil"/>
            </w:tcBorders>
            <w:noWrap/>
            <w:vAlign w:val="bottom"/>
            <w:hideMark/>
          </w:tcPr>
          <w:p w14:paraId="5EB7EDA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45</w:t>
            </w:r>
          </w:p>
        </w:tc>
        <w:tc>
          <w:tcPr>
            <w:tcW w:w="4962" w:type="dxa"/>
            <w:tcBorders>
              <w:top w:val="nil"/>
              <w:left w:val="nil"/>
              <w:bottom w:val="nil"/>
              <w:right w:val="nil"/>
            </w:tcBorders>
            <w:vAlign w:val="bottom"/>
            <w:hideMark/>
          </w:tcPr>
          <w:p w14:paraId="5124C43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dodatna ulaganja na nefinancijskoj imovini</w:t>
            </w:r>
          </w:p>
        </w:tc>
        <w:tc>
          <w:tcPr>
            <w:tcW w:w="1559" w:type="dxa"/>
            <w:tcBorders>
              <w:top w:val="nil"/>
              <w:left w:val="nil"/>
              <w:bottom w:val="nil"/>
              <w:right w:val="nil"/>
            </w:tcBorders>
            <w:noWrap/>
            <w:vAlign w:val="bottom"/>
            <w:hideMark/>
          </w:tcPr>
          <w:p w14:paraId="0A878DE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25.000,00</w:t>
            </w:r>
          </w:p>
        </w:tc>
        <w:tc>
          <w:tcPr>
            <w:tcW w:w="1559" w:type="dxa"/>
            <w:tcBorders>
              <w:top w:val="nil"/>
              <w:left w:val="nil"/>
              <w:bottom w:val="nil"/>
              <w:right w:val="nil"/>
            </w:tcBorders>
            <w:noWrap/>
            <w:vAlign w:val="bottom"/>
            <w:hideMark/>
          </w:tcPr>
          <w:p w14:paraId="0D5AB0C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25.000,00</w:t>
            </w:r>
          </w:p>
        </w:tc>
        <w:tc>
          <w:tcPr>
            <w:tcW w:w="1559" w:type="dxa"/>
            <w:tcBorders>
              <w:top w:val="nil"/>
              <w:left w:val="nil"/>
              <w:bottom w:val="nil"/>
              <w:right w:val="nil"/>
            </w:tcBorders>
            <w:noWrap/>
            <w:vAlign w:val="bottom"/>
            <w:hideMark/>
          </w:tcPr>
          <w:p w14:paraId="6B3D8DE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337A94B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01EFFDBD" w14:textId="77777777" w:rsidTr="008A61B1">
        <w:trPr>
          <w:trHeight w:val="255"/>
        </w:trPr>
        <w:tc>
          <w:tcPr>
            <w:tcW w:w="6096" w:type="dxa"/>
            <w:gridSpan w:val="2"/>
            <w:tcBorders>
              <w:top w:val="nil"/>
              <w:left w:val="nil"/>
              <w:bottom w:val="nil"/>
              <w:right w:val="nil"/>
            </w:tcBorders>
            <w:shd w:val="clear" w:color="000000" w:fill="FFFF99"/>
            <w:noWrap/>
            <w:vAlign w:val="bottom"/>
            <w:hideMark/>
          </w:tcPr>
          <w:p w14:paraId="2356B67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A100026 Aktivnost: OPREMANJE GRADSKE UPRAVE </w:t>
            </w:r>
          </w:p>
        </w:tc>
        <w:tc>
          <w:tcPr>
            <w:tcW w:w="1559" w:type="dxa"/>
            <w:tcBorders>
              <w:top w:val="nil"/>
              <w:left w:val="nil"/>
              <w:bottom w:val="nil"/>
              <w:right w:val="nil"/>
            </w:tcBorders>
            <w:shd w:val="clear" w:color="000000" w:fill="FFFF99"/>
            <w:noWrap/>
            <w:vAlign w:val="bottom"/>
            <w:hideMark/>
          </w:tcPr>
          <w:p w14:paraId="50A2B21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59.000,00</w:t>
            </w:r>
          </w:p>
        </w:tc>
        <w:tc>
          <w:tcPr>
            <w:tcW w:w="1559" w:type="dxa"/>
            <w:tcBorders>
              <w:top w:val="nil"/>
              <w:left w:val="nil"/>
              <w:bottom w:val="nil"/>
              <w:right w:val="nil"/>
            </w:tcBorders>
            <w:shd w:val="clear" w:color="000000" w:fill="FFFF99"/>
            <w:noWrap/>
            <w:vAlign w:val="bottom"/>
            <w:hideMark/>
          </w:tcPr>
          <w:p w14:paraId="0C97374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59.000,00</w:t>
            </w:r>
          </w:p>
        </w:tc>
        <w:tc>
          <w:tcPr>
            <w:tcW w:w="1559" w:type="dxa"/>
            <w:tcBorders>
              <w:top w:val="nil"/>
              <w:left w:val="nil"/>
              <w:bottom w:val="nil"/>
              <w:right w:val="nil"/>
            </w:tcBorders>
            <w:shd w:val="clear" w:color="000000" w:fill="FFFF99"/>
            <w:noWrap/>
            <w:vAlign w:val="bottom"/>
            <w:hideMark/>
          </w:tcPr>
          <w:p w14:paraId="20302D7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12.454,87</w:t>
            </w:r>
          </w:p>
        </w:tc>
        <w:tc>
          <w:tcPr>
            <w:tcW w:w="993" w:type="dxa"/>
            <w:tcBorders>
              <w:top w:val="nil"/>
              <w:left w:val="nil"/>
              <w:bottom w:val="nil"/>
              <w:right w:val="nil"/>
            </w:tcBorders>
            <w:shd w:val="clear" w:color="000000" w:fill="FFFF99"/>
            <w:noWrap/>
            <w:vAlign w:val="bottom"/>
            <w:hideMark/>
          </w:tcPr>
          <w:p w14:paraId="734D923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21,11%</w:t>
            </w:r>
          </w:p>
        </w:tc>
      </w:tr>
      <w:tr w:rsidR="006967F8" w:rsidRPr="006967F8" w14:paraId="3545FF5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EE5EB89"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0589E99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59.000,00</w:t>
            </w:r>
          </w:p>
        </w:tc>
        <w:tc>
          <w:tcPr>
            <w:tcW w:w="1559" w:type="dxa"/>
            <w:tcBorders>
              <w:top w:val="nil"/>
              <w:left w:val="nil"/>
              <w:bottom w:val="nil"/>
              <w:right w:val="nil"/>
            </w:tcBorders>
            <w:shd w:val="clear" w:color="000000" w:fill="CCCCFF"/>
            <w:noWrap/>
            <w:vAlign w:val="bottom"/>
            <w:hideMark/>
          </w:tcPr>
          <w:p w14:paraId="16D362A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59.000,00</w:t>
            </w:r>
          </w:p>
        </w:tc>
        <w:tc>
          <w:tcPr>
            <w:tcW w:w="1559" w:type="dxa"/>
            <w:tcBorders>
              <w:top w:val="nil"/>
              <w:left w:val="nil"/>
              <w:bottom w:val="nil"/>
              <w:right w:val="nil"/>
            </w:tcBorders>
            <w:shd w:val="clear" w:color="000000" w:fill="CCCCFF"/>
            <w:noWrap/>
            <w:vAlign w:val="bottom"/>
            <w:hideMark/>
          </w:tcPr>
          <w:p w14:paraId="467D8DB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12.454,87</w:t>
            </w:r>
          </w:p>
        </w:tc>
        <w:tc>
          <w:tcPr>
            <w:tcW w:w="993" w:type="dxa"/>
            <w:tcBorders>
              <w:top w:val="nil"/>
              <w:left w:val="nil"/>
              <w:bottom w:val="nil"/>
              <w:right w:val="nil"/>
            </w:tcBorders>
            <w:shd w:val="clear" w:color="000000" w:fill="CCCCFF"/>
            <w:noWrap/>
            <w:vAlign w:val="bottom"/>
            <w:hideMark/>
          </w:tcPr>
          <w:p w14:paraId="59B2A3E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21,11%</w:t>
            </w:r>
          </w:p>
        </w:tc>
      </w:tr>
      <w:tr w:rsidR="006967F8" w:rsidRPr="006967F8" w14:paraId="2BC08F9C"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961E8E6"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1C30AB2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59.000,00</w:t>
            </w:r>
          </w:p>
        </w:tc>
        <w:tc>
          <w:tcPr>
            <w:tcW w:w="1559" w:type="dxa"/>
            <w:tcBorders>
              <w:top w:val="nil"/>
              <w:left w:val="nil"/>
              <w:bottom w:val="nil"/>
              <w:right w:val="nil"/>
            </w:tcBorders>
            <w:shd w:val="clear" w:color="000000" w:fill="CCCCFF"/>
            <w:noWrap/>
            <w:vAlign w:val="bottom"/>
            <w:hideMark/>
          </w:tcPr>
          <w:p w14:paraId="1222CAB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59.000,00</w:t>
            </w:r>
          </w:p>
        </w:tc>
        <w:tc>
          <w:tcPr>
            <w:tcW w:w="1559" w:type="dxa"/>
            <w:tcBorders>
              <w:top w:val="nil"/>
              <w:left w:val="nil"/>
              <w:bottom w:val="nil"/>
              <w:right w:val="nil"/>
            </w:tcBorders>
            <w:shd w:val="clear" w:color="000000" w:fill="CCCCFF"/>
            <w:noWrap/>
            <w:vAlign w:val="bottom"/>
            <w:hideMark/>
          </w:tcPr>
          <w:p w14:paraId="5BC7964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12.454,87</w:t>
            </w:r>
          </w:p>
        </w:tc>
        <w:tc>
          <w:tcPr>
            <w:tcW w:w="993" w:type="dxa"/>
            <w:tcBorders>
              <w:top w:val="nil"/>
              <w:left w:val="nil"/>
              <w:bottom w:val="nil"/>
              <w:right w:val="nil"/>
            </w:tcBorders>
            <w:shd w:val="clear" w:color="000000" w:fill="CCCCFF"/>
            <w:noWrap/>
            <w:vAlign w:val="bottom"/>
            <w:hideMark/>
          </w:tcPr>
          <w:p w14:paraId="12DC62A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21,11%</w:t>
            </w:r>
          </w:p>
        </w:tc>
      </w:tr>
      <w:tr w:rsidR="006967F8" w:rsidRPr="006967F8" w14:paraId="03A6B625" w14:textId="77777777" w:rsidTr="008A61B1">
        <w:trPr>
          <w:trHeight w:val="255"/>
        </w:trPr>
        <w:tc>
          <w:tcPr>
            <w:tcW w:w="1134" w:type="dxa"/>
            <w:tcBorders>
              <w:top w:val="nil"/>
              <w:left w:val="nil"/>
              <w:bottom w:val="nil"/>
              <w:right w:val="nil"/>
            </w:tcBorders>
            <w:noWrap/>
            <w:vAlign w:val="bottom"/>
            <w:hideMark/>
          </w:tcPr>
          <w:p w14:paraId="1552145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08E2F7B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0646047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noWrap/>
            <w:vAlign w:val="bottom"/>
            <w:hideMark/>
          </w:tcPr>
          <w:p w14:paraId="4726330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noWrap/>
            <w:vAlign w:val="bottom"/>
            <w:hideMark/>
          </w:tcPr>
          <w:p w14:paraId="1F807FA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7.538,93</w:t>
            </w:r>
          </w:p>
        </w:tc>
        <w:tc>
          <w:tcPr>
            <w:tcW w:w="993" w:type="dxa"/>
            <w:tcBorders>
              <w:top w:val="nil"/>
              <w:left w:val="nil"/>
              <w:bottom w:val="nil"/>
              <w:right w:val="nil"/>
            </w:tcBorders>
            <w:noWrap/>
            <w:vAlign w:val="bottom"/>
            <w:hideMark/>
          </w:tcPr>
          <w:p w14:paraId="1FAE7AB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75,39%</w:t>
            </w:r>
          </w:p>
        </w:tc>
      </w:tr>
      <w:tr w:rsidR="006967F8" w:rsidRPr="006967F8" w14:paraId="0CFAD19B" w14:textId="77777777" w:rsidTr="008A61B1">
        <w:trPr>
          <w:trHeight w:val="255"/>
        </w:trPr>
        <w:tc>
          <w:tcPr>
            <w:tcW w:w="1134" w:type="dxa"/>
            <w:tcBorders>
              <w:top w:val="nil"/>
              <w:left w:val="nil"/>
              <w:bottom w:val="nil"/>
              <w:right w:val="nil"/>
            </w:tcBorders>
            <w:noWrap/>
            <w:vAlign w:val="bottom"/>
            <w:hideMark/>
          </w:tcPr>
          <w:p w14:paraId="2DA65FF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3225</w:t>
            </w:r>
          </w:p>
        </w:tc>
        <w:tc>
          <w:tcPr>
            <w:tcW w:w="4962" w:type="dxa"/>
            <w:tcBorders>
              <w:top w:val="nil"/>
              <w:left w:val="nil"/>
              <w:bottom w:val="nil"/>
              <w:right w:val="nil"/>
            </w:tcBorders>
            <w:noWrap/>
            <w:vAlign w:val="bottom"/>
            <w:hideMark/>
          </w:tcPr>
          <w:p w14:paraId="62BD4FB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 xml:space="preserve">Sitni inventar i </w:t>
            </w:r>
            <w:proofErr w:type="spellStart"/>
            <w:r w:rsidRPr="006967F8">
              <w:rPr>
                <w:rFonts w:ascii="Arial" w:eastAsia="Times New Roman" w:hAnsi="Arial" w:cs="Arial"/>
                <w:sz w:val="20"/>
                <w:szCs w:val="20"/>
                <w:lang w:eastAsia="hr-HR"/>
              </w:rPr>
              <w:t>autogume</w:t>
            </w:r>
            <w:proofErr w:type="spellEnd"/>
          </w:p>
        </w:tc>
        <w:tc>
          <w:tcPr>
            <w:tcW w:w="1559" w:type="dxa"/>
            <w:tcBorders>
              <w:top w:val="nil"/>
              <w:left w:val="nil"/>
              <w:bottom w:val="nil"/>
              <w:right w:val="nil"/>
            </w:tcBorders>
            <w:noWrap/>
            <w:vAlign w:val="bottom"/>
            <w:hideMark/>
          </w:tcPr>
          <w:p w14:paraId="13A8F5E8"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3EE7C81"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F2B35AE"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7.538,93</w:t>
            </w:r>
          </w:p>
        </w:tc>
        <w:tc>
          <w:tcPr>
            <w:tcW w:w="993" w:type="dxa"/>
            <w:tcBorders>
              <w:top w:val="nil"/>
              <w:left w:val="nil"/>
              <w:bottom w:val="nil"/>
              <w:right w:val="nil"/>
            </w:tcBorders>
            <w:noWrap/>
            <w:vAlign w:val="bottom"/>
            <w:hideMark/>
          </w:tcPr>
          <w:p w14:paraId="37B745BA"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DCF5FE0" w14:textId="77777777" w:rsidTr="008A61B1">
        <w:trPr>
          <w:trHeight w:val="525"/>
        </w:trPr>
        <w:tc>
          <w:tcPr>
            <w:tcW w:w="1134" w:type="dxa"/>
            <w:tcBorders>
              <w:top w:val="nil"/>
              <w:left w:val="nil"/>
              <w:bottom w:val="nil"/>
              <w:right w:val="nil"/>
            </w:tcBorders>
            <w:noWrap/>
            <w:vAlign w:val="bottom"/>
            <w:hideMark/>
          </w:tcPr>
          <w:p w14:paraId="0D47E36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41</w:t>
            </w:r>
          </w:p>
        </w:tc>
        <w:tc>
          <w:tcPr>
            <w:tcW w:w="4962" w:type="dxa"/>
            <w:tcBorders>
              <w:top w:val="nil"/>
              <w:left w:val="nil"/>
              <w:bottom w:val="nil"/>
              <w:right w:val="nil"/>
            </w:tcBorders>
            <w:vAlign w:val="bottom"/>
            <w:hideMark/>
          </w:tcPr>
          <w:p w14:paraId="19EBB3D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Rashodi za nabavu </w:t>
            </w:r>
            <w:proofErr w:type="spellStart"/>
            <w:r w:rsidRPr="006967F8">
              <w:rPr>
                <w:rFonts w:ascii="Arial" w:eastAsia="Times New Roman" w:hAnsi="Arial" w:cs="Arial"/>
                <w:b/>
                <w:bCs/>
                <w:sz w:val="20"/>
                <w:szCs w:val="20"/>
                <w:lang w:eastAsia="hr-HR"/>
              </w:rPr>
              <w:t>neproizvedene</w:t>
            </w:r>
            <w:proofErr w:type="spellEnd"/>
            <w:r w:rsidRPr="006967F8">
              <w:rPr>
                <w:rFonts w:ascii="Arial" w:eastAsia="Times New Roman" w:hAnsi="Arial" w:cs="Arial"/>
                <w:b/>
                <w:bCs/>
                <w:sz w:val="20"/>
                <w:szCs w:val="20"/>
                <w:lang w:eastAsia="hr-HR"/>
              </w:rPr>
              <w:t xml:space="preserve"> dugotrajne imovine</w:t>
            </w:r>
          </w:p>
        </w:tc>
        <w:tc>
          <w:tcPr>
            <w:tcW w:w="1559" w:type="dxa"/>
            <w:tcBorders>
              <w:top w:val="nil"/>
              <w:left w:val="nil"/>
              <w:bottom w:val="nil"/>
              <w:right w:val="nil"/>
            </w:tcBorders>
            <w:noWrap/>
            <w:vAlign w:val="bottom"/>
            <w:hideMark/>
          </w:tcPr>
          <w:p w14:paraId="025E4B1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5.000,00</w:t>
            </w:r>
          </w:p>
        </w:tc>
        <w:tc>
          <w:tcPr>
            <w:tcW w:w="1559" w:type="dxa"/>
            <w:tcBorders>
              <w:top w:val="nil"/>
              <w:left w:val="nil"/>
              <w:bottom w:val="nil"/>
              <w:right w:val="nil"/>
            </w:tcBorders>
            <w:noWrap/>
            <w:vAlign w:val="bottom"/>
            <w:hideMark/>
          </w:tcPr>
          <w:p w14:paraId="767490D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5.000,00</w:t>
            </w:r>
          </w:p>
        </w:tc>
        <w:tc>
          <w:tcPr>
            <w:tcW w:w="1559" w:type="dxa"/>
            <w:tcBorders>
              <w:top w:val="nil"/>
              <w:left w:val="nil"/>
              <w:bottom w:val="nil"/>
              <w:right w:val="nil"/>
            </w:tcBorders>
            <w:noWrap/>
            <w:vAlign w:val="bottom"/>
            <w:hideMark/>
          </w:tcPr>
          <w:p w14:paraId="70E58B3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311B426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56161872" w14:textId="77777777" w:rsidTr="008A61B1">
        <w:trPr>
          <w:trHeight w:val="510"/>
        </w:trPr>
        <w:tc>
          <w:tcPr>
            <w:tcW w:w="1134" w:type="dxa"/>
            <w:tcBorders>
              <w:top w:val="nil"/>
              <w:left w:val="nil"/>
              <w:bottom w:val="nil"/>
              <w:right w:val="nil"/>
            </w:tcBorders>
            <w:noWrap/>
            <w:vAlign w:val="bottom"/>
            <w:hideMark/>
          </w:tcPr>
          <w:p w14:paraId="179E1B4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278817E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2B0AC95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44.000,00</w:t>
            </w:r>
          </w:p>
        </w:tc>
        <w:tc>
          <w:tcPr>
            <w:tcW w:w="1559" w:type="dxa"/>
            <w:tcBorders>
              <w:top w:val="nil"/>
              <w:left w:val="nil"/>
              <w:bottom w:val="nil"/>
              <w:right w:val="nil"/>
            </w:tcBorders>
            <w:noWrap/>
            <w:vAlign w:val="bottom"/>
            <w:hideMark/>
          </w:tcPr>
          <w:p w14:paraId="57DB248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44.000,00</w:t>
            </w:r>
          </w:p>
        </w:tc>
        <w:tc>
          <w:tcPr>
            <w:tcW w:w="1559" w:type="dxa"/>
            <w:tcBorders>
              <w:top w:val="nil"/>
              <w:left w:val="nil"/>
              <w:bottom w:val="nil"/>
              <w:right w:val="nil"/>
            </w:tcBorders>
            <w:noWrap/>
            <w:vAlign w:val="bottom"/>
            <w:hideMark/>
          </w:tcPr>
          <w:p w14:paraId="0D15875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4.915,94</w:t>
            </w:r>
          </w:p>
        </w:tc>
        <w:tc>
          <w:tcPr>
            <w:tcW w:w="993" w:type="dxa"/>
            <w:tcBorders>
              <w:top w:val="nil"/>
              <w:left w:val="nil"/>
              <w:bottom w:val="nil"/>
              <w:right w:val="nil"/>
            </w:tcBorders>
            <w:noWrap/>
            <w:vAlign w:val="bottom"/>
            <w:hideMark/>
          </w:tcPr>
          <w:p w14:paraId="0DF6F4B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11,17%</w:t>
            </w:r>
          </w:p>
        </w:tc>
      </w:tr>
      <w:tr w:rsidR="006967F8" w:rsidRPr="006967F8" w14:paraId="009DAE86" w14:textId="77777777" w:rsidTr="008A61B1">
        <w:trPr>
          <w:trHeight w:val="255"/>
        </w:trPr>
        <w:tc>
          <w:tcPr>
            <w:tcW w:w="1134" w:type="dxa"/>
            <w:tcBorders>
              <w:top w:val="nil"/>
              <w:left w:val="nil"/>
              <w:bottom w:val="nil"/>
              <w:right w:val="nil"/>
            </w:tcBorders>
            <w:noWrap/>
            <w:vAlign w:val="bottom"/>
            <w:hideMark/>
          </w:tcPr>
          <w:p w14:paraId="28B4A7B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4221</w:t>
            </w:r>
          </w:p>
        </w:tc>
        <w:tc>
          <w:tcPr>
            <w:tcW w:w="4962" w:type="dxa"/>
            <w:tcBorders>
              <w:top w:val="nil"/>
              <w:left w:val="nil"/>
              <w:bottom w:val="nil"/>
              <w:right w:val="nil"/>
            </w:tcBorders>
            <w:noWrap/>
            <w:vAlign w:val="bottom"/>
            <w:hideMark/>
          </w:tcPr>
          <w:p w14:paraId="3592798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Uredska oprema i namještaj</w:t>
            </w:r>
          </w:p>
        </w:tc>
        <w:tc>
          <w:tcPr>
            <w:tcW w:w="1559" w:type="dxa"/>
            <w:tcBorders>
              <w:top w:val="nil"/>
              <w:left w:val="nil"/>
              <w:bottom w:val="nil"/>
              <w:right w:val="nil"/>
            </w:tcBorders>
            <w:noWrap/>
            <w:vAlign w:val="bottom"/>
            <w:hideMark/>
          </w:tcPr>
          <w:p w14:paraId="4F4C5741"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EBC2916"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3810DFA"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4.915,94</w:t>
            </w:r>
          </w:p>
        </w:tc>
        <w:tc>
          <w:tcPr>
            <w:tcW w:w="993" w:type="dxa"/>
            <w:tcBorders>
              <w:top w:val="nil"/>
              <w:left w:val="nil"/>
              <w:bottom w:val="nil"/>
              <w:right w:val="nil"/>
            </w:tcBorders>
            <w:noWrap/>
            <w:vAlign w:val="bottom"/>
            <w:hideMark/>
          </w:tcPr>
          <w:p w14:paraId="1902199F"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A3CEEEA" w14:textId="77777777" w:rsidTr="008A61B1">
        <w:trPr>
          <w:trHeight w:val="510"/>
        </w:trPr>
        <w:tc>
          <w:tcPr>
            <w:tcW w:w="6096" w:type="dxa"/>
            <w:gridSpan w:val="2"/>
            <w:tcBorders>
              <w:top w:val="nil"/>
              <w:left w:val="nil"/>
              <w:bottom w:val="nil"/>
              <w:right w:val="nil"/>
            </w:tcBorders>
            <w:shd w:val="clear" w:color="000000" w:fill="FFFF99"/>
            <w:vAlign w:val="bottom"/>
            <w:hideMark/>
          </w:tcPr>
          <w:p w14:paraId="3C3D024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K100018 Kapitalni projekt: IZGRADNJA BEŽIČNE INFRASTRUKTURE GRADA TROGIRA ( e- </w:t>
            </w:r>
            <w:proofErr w:type="spellStart"/>
            <w:r w:rsidRPr="006967F8">
              <w:rPr>
                <w:rFonts w:ascii="Arial" w:eastAsia="Times New Roman" w:hAnsi="Arial" w:cs="Arial"/>
                <w:b/>
                <w:bCs/>
                <w:sz w:val="20"/>
                <w:szCs w:val="20"/>
                <w:lang w:eastAsia="hr-HR"/>
              </w:rPr>
              <w:t>trogir</w:t>
            </w:r>
            <w:proofErr w:type="spellEnd"/>
            <w:r w:rsidRPr="006967F8">
              <w:rPr>
                <w:rFonts w:ascii="Arial" w:eastAsia="Times New Roman" w:hAnsi="Arial" w:cs="Arial"/>
                <w:b/>
                <w:bCs/>
                <w:sz w:val="20"/>
                <w:szCs w:val="20"/>
                <w:lang w:eastAsia="hr-HR"/>
              </w:rPr>
              <w:t xml:space="preserve"> )</w:t>
            </w:r>
          </w:p>
        </w:tc>
        <w:tc>
          <w:tcPr>
            <w:tcW w:w="1559" w:type="dxa"/>
            <w:tcBorders>
              <w:top w:val="nil"/>
              <w:left w:val="nil"/>
              <w:bottom w:val="nil"/>
              <w:right w:val="nil"/>
            </w:tcBorders>
            <w:shd w:val="clear" w:color="000000" w:fill="FFFF99"/>
            <w:noWrap/>
            <w:vAlign w:val="bottom"/>
            <w:hideMark/>
          </w:tcPr>
          <w:p w14:paraId="0B8D2F1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12.000,00</w:t>
            </w:r>
          </w:p>
        </w:tc>
        <w:tc>
          <w:tcPr>
            <w:tcW w:w="1559" w:type="dxa"/>
            <w:tcBorders>
              <w:top w:val="nil"/>
              <w:left w:val="nil"/>
              <w:bottom w:val="nil"/>
              <w:right w:val="nil"/>
            </w:tcBorders>
            <w:shd w:val="clear" w:color="000000" w:fill="FFFF99"/>
            <w:noWrap/>
            <w:vAlign w:val="bottom"/>
            <w:hideMark/>
          </w:tcPr>
          <w:p w14:paraId="42546DB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12.000,00</w:t>
            </w:r>
          </w:p>
        </w:tc>
        <w:tc>
          <w:tcPr>
            <w:tcW w:w="1559" w:type="dxa"/>
            <w:tcBorders>
              <w:top w:val="nil"/>
              <w:left w:val="nil"/>
              <w:bottom w:val="nil"/>
              <w:right w:val="nil"/>
            </w:tcBorders>
            <w:shd w:val="clear" w:color="000000" w:fill="FFFF99"/>
            <w:noWrap/>
            <w:vAlign w:val="bottom"/>
            <w:hideMark/>
          </w:tcPr>
          <w:p w14:paraId="3C0279B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11.937,50</w:t>
            </w:r>
          </w:p>
        </w:tc>
        <w:tc>
          <w:tcPr>
            <w:tcW w:w="993" w:type="dxa"/>
            <w:tcBorders>
              <w:top w:val="nil"/>
              <w:left w:val="nil"/>
              <w:bottom w:val="nil"/>
              <w:right w:val="nil"/>
            </w:tcBorders>
            <w:shd w:val="clear" w:color="000000" w:fill="FFFF99"/>
            <w:noWrap/>
            <w:vAlign w:val="bottom"/>
            <w:hideMark/>
          </w:tcPr>
          <w:p w14:paraId="460573E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99,48%</w:t>
            </w:r>
          </w:p>
        </w:tc>
      </w:tr>
      <w:tr w:rsidR="006967F8" w:rsidRPr="006967F8" w14:paraId="6353DE35"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EA65A1A"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7EDB822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12.000,00</w:t>
            </w:r>
          </w:p>
        </w:tc>
        <w:tc>
          <w:tcPr>
            <w:tcW w:w="1559" w:type="dxa"/>
            <w:tcBorders>
              <w:top w:val="nil"/>
              <w:left w:val="nil"/>
              <w:bottom w:val="nil"/>
              <w:right w:val="nil"/>
            </w:tcBorders>
            <w:shd w:val="clear" w:color="000000" w:fill="CCCCFF"/>
            <w:noWrap/>
            <w:vAlign w:val="bottom"/>
            <w:hideMark/>
          </w:tcPr>
          <w:p w14:paraId="461C921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12.000,00</w:t>
            </w:r>
          </w:p>
        </w:tc>
        <w:tc>
          <w:tcPr>
            <w:tcW w:w="1559" w:type="dxa"/>
            <w:tcBorders>
              <w:top w:val="nil"/>
              <w:left w:val="nil"/>
              <w:bottom w:val="nil"/>
              <w:right w:val="nil"/>
            </w:tcBorders>
            <w:shd w:val="clear" w:color="000000" w:fill="CCCCFF"/>
            <w:noWrap/>
            <w:vAlign w:val="bottom"/>
            <w:hideMark/>
          </w:tcPr>
          <w:p w14:paraId="511D75A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11.937,50</w:t>
            </w:r>
          </w:p>
        </w:tc>
        <w:tc>
          <w:tcPr>
            <w:tcW w:w="993" w:type="dxa"/>
            <w:tcBorders>
              <w:top w:val="nil"/>
              <w:left w:val="nil"/>
              <w:bottom w:val="nil"/>
              <w:right w:val="nil"/>
            </w:tcBorders>
            <w:shd w:val="clear" w:color="000000" w:fill="CCCCFF"/>
            <w:noWrap/>
            <w:vAlign w:val="bottom"/>
            <w:hideMark/>
          </w:tcPr>
          <w:p w14:paraId="7237D78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99,48%</w:t>
            </w:r>
          </w:p>
        </w:tc>
      </w:tr>
      <w:tr w:rsidR="006967F8" w:rsidRPr="006967F8" w14:paraId="786F2FAD"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3808FD1"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161A025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12.000,00</w:t>
            </w:r>
          </w:p>
        </w:tc>
        <w:tc>
          <w:tcPr>
            <w:tcW w:w="1559" w:type="dxa"/>
            <w:tcBorders>
              <w:top w:val="nil"/>
              <w:left w:val="nil"/>
              <w:bottom w:val="nil"/>
              <w:right w:val="nil"/>
            </w:tcBorders>
            <w:shd w:val="clear" w:color="000000" w:fill="CCCCFF"/>
            <w:noWrap/>
            <w:vAlign w:val="bottom"/>
            <w:hideMark/>
          </w:tcPr>
          <w:p w14:paraId="7ED9A7E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12.000,00</w:t>
            </w:r>
          </w:p>
        </w:tc>
        <w:tc>
          <w:tcPr>
            <w:tcW w:w="1559" w:type="dxa"/>
            <w:tcBorders>
              <w:top w:val="nil"/>
              <w:left w:val="nil"/>
              <w:bottom w:val="nil"/>
              <w:right w:val="nil"/>
            </w:tcBorders>
            <w:shd w:val="clear" w:color="000000" w:fill="CCCCFF"/>
            <w:noWrap/>
            <w:vAlign w:val="bottom"/>
            <w:hideMark/>
          </w:tcPr>
          <w:p w14:paraId="7F0AA43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11.937,50</w:t>
            </w:r>
          </w:p>
        </w:tc>
        <w:tc>
          <w:tcPr>
            <w:tcW w:w="993" w:type="dxa"/>
            <w:tcBorders>
              <w:top w:val="nil"/>
              <w:left w:val="nil"/>
              <w:bottom w:val="nil"/>
              <w:right w:val="nil"/>
            </w:tcBorders>
            <w:shd w:val="clear" w:color="000000" w:fill="CCCCFF"/>
            <w:noWrap/>
            <w:vAlign w:val="bottom"/>
            <w:hideMark/>
          </w:tcPr>
          <w:p w14:paraId="564A38B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99,48%</w:t>
            </w:r>
          </w:p>
        </w:tc>
      </w:tr>
      <w:tr w:rsidR="006967F8" w:rsidRPr="006967F8" w14:paraId="01547711" w14:textId="77777777" w:rsidTr="008A61B1">
        <w:trPr>
          <w:trHeight w:val="525"/>
        </w:trPr>
        <w:tc>
          <w:tcPr>
            <w:tcW w:w="1134" w:type="dxa"/>
            <w:tcBorders>
              <w:top w:val="nil"/>
              <w:left w:val="nil"/>
              <w:bottom w:val="nil"/>
              <w:right w:val="nil"/>
            </w:tcBorders>
            <w:noWrap/>
            <w:vAlign w:val="bottom"/>
            <w:hideMark/>
          </w:tcPr>
          <w:p w14:paraId="5C85069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7659D94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6FF1EC4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12.000,00</w:t>
            </w:r>
          </w:p>
        </w:tc>
        <w:tc>
          <w:tcPr>
            <w:tcW w:w="1559" w:type="dxa"/>
            <w:tcBorders>
              <w:top w:val="nil"/>
              <w:left w:val="nil"/>
              <w:bottom w:val="nil"/>
              <w:right w:val="nil"/>
            </w:tcBorders>
            <w:noWrap/>
            <w:vAlign w:val="bottom"/>
            <w:hideMark/>
          </w:tcPr>
          <w:p w14:paraId="2F03796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12.000,00</w:t>
            </w:r>
          </w:p>
        </w:tc>
        <w:tc>
          <w:tcPr>
            <w:tcW w:w="1559" w:type="dxa"/>
            <w:tcBorders>
              <w:top w:val="nil"/>
              <w:left w:val="nil"/>
              <w:bottom w:val="nil"/>
              <w:right w:val="nil"/>
            </w:tcBorders>
            <w:noWrap/>
            <w:vAlign w:val="bottom"/>
            <w:hideMark/>
          </w:tcPr>
          <w:p w14:paraId="335625A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11.937,50</w:t>
            </w:r>
          </w:p>
        </w:tc>
        <w:tc>
          <w:tcPr>
            <w:tcW w:w="993" w:type="dxa"/>
            <w:tcBorders>
              <w:top w:val="nil"/>
              <w:left w:val="nil"/>
              <w:bottom w:val="nil"/>
              <w:right w:val="nil"/>
            </w:tcBorders>
            <w:noWrap/>
            <w:vAlign w:val="bottom"/>
            <w:hideMark/>
          </w:tcPr>
          <w:p w14:paraId="0AEEAC4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99,48%</w:t>
            </w:r>
          </w:p>
        </w:tc>
      </w:tr>
      <w:tr w:rsidR="006967F8" w:rsidRPr="006967F8" w14:paraId="2F286203" w14:textId="77777777" w:rsidTr="008A61B1">
        <w:trPr>
          <w:trHeight w:val="255"/>
        </w:trPr>
        <w:tc>
          <w:tcPr>
            <w:tcW w:w="1134" w:type="dxa"/>
            <w:tcBorders>
              <w:top w:val="nil"/>
              <w:left w:val="nil"/>
              <w:bottom w:val="nil"/>
              <w:right w:val="nil"/>
            </w:tcBorders>
            <w:noWrap/>
            <w:vAlign w:val="bottom"/>
            <w:hideMark/>
          </w:tcPr>
          <w:p w14:paraId="2068750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4214</w:t>
            </w:r>
          </w:p>
        </w:tc>
        <w:tc>
          <w:tcPr>
            <w:tcW w:w="4962" w:type="dxa"/>
            <w:tcBorders>
              <w:top w:val="nil"/>
              <w:left w:val="nil"/>
              <w:bottom w:val="nil"/>
              <w:right w:val="nil"/>
            </w:tcBorders>
            <w:noWrap/>
            <w:vAlign w:val="bottom"/>
            <w:hideMark/>
          </w:tcPr>
          <w:p w14:paraId="625E940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građevinski objekti</w:t>
            </w:r>
          </w:p>
        </w:tc>
        <w:tc>
          <w:tcPr>
            <w:tcW w:w="1559" w:type="dxa"/>
            <w:tcBorders>
              <w:top w:val="nil"/>
              <w:left w:val="nil"/>
              <w:bottom w:val="nil"/>
              <w:right w:val="nil"/>
            </w:tcBorders>
            <w:noWrap/>
            <w:vAlign w:val="bottom"/>
            <w:hideMark/>
          </w:tcPr>
          <w:p w14:paraId="61622AB2"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E0CD5C5"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D7197A6"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11.937,50</w:t>
            </w:r>
          </w:p>
        </w:tc>
        <w:tc>
          <w:tcPr>
            <w:tcW w:w="993" w:type="dxa"/>
            <w:tcBorders>
              <w:top w:val="nil"/>
              <w:left w:val="nil"/>
              <w:bottom w:val="nil"/>
              <w:right w:val="nil"/>
            </w:tcBorders>
            <w:noWrap/>
            <w:vAlign w:val="bottom"/>
            <w:hideMark/>
          </w:tcPr>
          <w:p w14:paraId="29D36DCF"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3AF13AF" w14:textId="77777777" w:rsidTr="008A61B1">
        <w:trPr>
          <w:trHeight w:val="255"/>
        </w:trPr>
        <w:tc>
          <w:tcPr>
            <w:tcW w:w="6096" w:type="dxa"/>
            <w:gridSpan w:val="2"/>
            <w:tcBorders>
              <w:top w:val="nil"/>
              <w:left w:val="nil"/>
              <w:bottom w:val="nil"/>
              <w:right w:val="nil"/>
            </w:tcBorders>
            <w:shd w:val="clear" w:color="000000" w:fill="FFFF99"/>
            <w:vAlign w:val="bottom"/>
            <w:hideMark/>
          </w:tcPr>
          <w:p w14:paraId="3B44CF5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K100024 Kapitalni projekt: WEB GIS</w:t>
            </w:r>
          </w:p>
        </w:tc>
        <w:tc>
          <w:tcPr>
            <w:tcW w:w="1559" w:type="dxa"/>
            <w:tcBorders>
              <w:top w:val="nil"/>
              <w:left w:val="nil"/>
              <w:bottom w:val="nil"/>
              <w:right w:val="nil"/>
            </w:tcBorders>
            <w:shd w:val="clear" w:color="000000" w:fill="FFFF99"/>
            <w:noWrap/>
            <w:vAlign w:val="bottom"/>
            <w:hideMark/>
          </w:tcPr>
          <w:p w14:paraId="59D292D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19.000,00</w:t>
            </w:r>
          </w:p>
        </w:tc>
        <w:tc>
          <w:tcPr>
            <w:tcW w:w="1559" w:type="dxa"/>
            <w:tcBorders>
              <w:top w:val="nil"/>
              <w:left w:val="nil"/>
              <w:bottom w:val="nil"/>
              <w:right w:val="nil"/>
            </w:tcBorders>
            <w:shd w:val="clear" w:color="000000" w:fill="FFFF99"/>
            <w:noWrap/>
            <w:vAlign w:val="bottom"/>
            <w:hideMark/>
          </w:tcPr>
          <w:p w14:paraId="7E59482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19.000,00</w:t>
            </w:r>
          </w:p>
        </w:tc>
        <w:tc>
          <w:tcPr>
            <w:tcW w:w="1559" w:type="dxa"/>
            <w:tcBorders>
              <w:top w:val="nil"/>
              <w:left w:val="nil"/>
              <w:bottom w:val="nil"/>
              <w:right w:val="nil"/>
            </w:tcBorders>
            <w:shd w:val="clear" w:color="000000" w:fill="FFFF99"/>
            <w:noWrap/>
            <w:vAlign w:val="bottom"/>
            <w:hideMark/>
          </w:tcPr>
          <w:p w14:paraId="4232FE6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6.659,52</w:t>
            </w:r>
          </w:p>
        </w:tc>
        <w:tc>
          <w:tcPr>
            <w:tcW w:w="993" w:type="dxa"/>
            <w:tcBorders>
              <w:top w:val="nil"/>
              <w:left w:val="nil"/>
              <w:bottom w:val="nil"/>
              <w:right w:val="nil"/>
            </w:tcBorders>
            <w:shd w:val="clear" w:color="000000" w:fill="FFFF99"/>
            <w:noWrap/>
            <w:vAlign w:val="bottom"/>
            <w:hideMark/>
          </w:tcPr>
          <w:p w14:paraId="395597D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35,05%</w:t>
            </w:r>
          </w:p>
        </w:tc>
      </w:tr>
      <w:tr w:rsidR="006967F8" w:rsidRPr="006967F8" w14:paraId="4B0EDBBB"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E92EEBA"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35DD1A5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10.000,00</w:t>
            </w:r>
          </w:p>
        </w:tc>
        <w:tc>
          <w:tcPr>
            <w:tcW w:w="1559" w:type="dxa"/>
            <w:tcBorders>
              <w:top w:val="nil"/>
              <w:left w:val="nil"/>
              <w:bottom w:val="nil"/>
              <w:right w:val="nil"/>
            </w:tcBorders>
            <w:shd w:val="clear" w:color="000000" w:fill="CCCCFF"/>
            <w:noWrap/>
            <w:vAlign w:val="bottom"/>
            <w:hideMark/>
          </w:tcPr>
          <w:p w14:paraId="7E48E52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10.000,00</w:t>
            </w:r>
          </w:p>
        </w:tc>
        <w:tc>
          <w:tcPr>
            <w:tcW w:w="1559" w:type="dxa"/>
            <w:tcBorders>
              <w:top w:val="nil"/>
              <w:left w:val="nil"/>
              <w:bottom w:val="nil"/>
              <w:right w:val="nil"/>
            </w:tcBorders>
            <w:shd w:val="clear" w:color="000000" w:fill="CCCCFF"/>
            <w:noWrap/>
            <w:vAlign w:val="bottom"/>
            <w:hideMark/>
          </w:tcPr>
          <w:p w14:paraId="4D8C100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115027A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1657B52E"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4108481"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58B80E1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10.000,00</w:t>
            </w:r>
          </w:p>
        </w:tc>
        <w:tc>
          <w:tcPr>
            <w:tcW w:w="1559" w:type="dxa"/>
            <w:tcBorders>
              <w:top w:val="nil"/>
              <w:left w:val="nil"/>
              <w:bottom w:val="nil"/>
              <w:right w:val="nil"/>
            </w:tcBorders>
            <w:shd w:val="clear" w:color="000000" w:fill="CCCCFF"/>
            <w:noWrap/>
            <w:vAlign w:val="bottom"/>
            <w:hideMark/>
          </w:tcPr>
          <w:p w14:paraId="2801A8A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10.000,00</w:t>
            </w:r>
          </w:p>
        </w:tc>
        <w:tc>
          <w:tcPr>
            <w:tcW w:w="1559" w:type="dxa"/>
            <w:tcBorders>
              <w:top w:val="nil"/>
              <w:left w:val="nil"/>
              <w:bottom w:val="nil"/>
              <w:right w:val="nil"/>
            </w:tcBorders>
            <w:shd w:val="clear" w:color="000000" w:fill="CCCCFF"/>
            <w:noWrap/>
            <w:vAlign w:val="bottom"/>
            <w:hideMark/>
          </w:tcPr>
          <w:p w14:paraId="62AEF04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6C44615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11A4D91F" w14:textId="77777777" w:rsidTr="008A61B1">
        <w:trPr>
          <w:trHeight w:val="570"/>
        </w:trPr>
        <w:tc>
          <w:tcPr>
            <w:tcW w:w="1134" w:type="dxa"/>
            <w:tcBorders>
              <w:top w:val="nil"/>
              <w:left w:val="nil"/>
              <w:bottom w:val="nil"/>
              <w:right w:val="nil"/>
            </w:tcBorders>
            <w:noWrap/>
            <w:vAlign w:val="bottom"/>
            <w:hideMark/>
          </w:tcPr>
          <w:p w14:paraId="3DCE666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41</w:t>
            </w:r>
          </w:p>
        </w:tc>
        <w:tc>
          <w:tcPr>
            <w:tcW w:w="4962" w:type="dxa"/>
            <w:tcBorders>
              <w:top w:val="nil"/>
              <w:left w:val="nil"/>
              <w:bottom w:val="nil"/>
              <w:right w:val="nil"/>
            </w:tcBorders>
            <w:vAlign w:val="bottom"/>
            <w:hideMark/>
          </w:tcPr>
          <w:p w14:paraId="323A415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Rashodi za nabavu </w:t>
            </w:r>
            <w:proofErr w:type="spellStart"/>
            <w:r w:rsidRPr="006967F8">
              <w:rPr>
                <w:rFonts w:ascii="Arial" w:eastAsia="Times New Roman" w:hAnsi="Arial" w:cs="Arial"/>
                <w:b/>
                <w:bCs/>
                <w:sz w:val="20"/>
                <w:szCs w:val="20"/>
                <w:lang w:eastAsia="hr-HR"/>
              </w:rPr>
              <w:t>neproizvedene</w:t>
            </w:r>
            <w:proofErr w:type="spellEnd"/>
            <w:r w:rsidRPr="006967F8">
              <w:rPr>
                <w:rFonts w:ascii="Arial" w:eastAsia="Times New Roman" w:hAnsi="Arial" w:cs="Arial"/>
                <w:b/>
                <w:bCs/>
                <w:sz w:val="20"/>
                <w:szCs w:val="20"/>
                <w:lang w:eastAsia="hr-HR"/>
              </w:rPr>
              <w:t xml:space="preserve"> dugotrajne imovine</w:t>
            </w:r>
          </w:p>
        </w:tc>
        <w:tc>
          <w:tcPr>
            <w:tcW w:w="1559" w:type="dxa"/>
            <w:tcBorders>
              <w:top w:val="nil"/>
              <w:left w:val="nil"/>
              <w:bottom w:val="nil"/>
              <w:right w:val="nil"/>
            </w:tcBorders>
            <w:noWrap/>
            <w:vAlign w:val="bottom"/>
            <w:hideMark/>
          </w:tcPr>
          <w:p w14:paraId="7FE9D05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noWrap/>
            <w:vAlign w:val="bottom"/>
            <w:hideMark/>
          </w:tcPr>
          <w:p w14:paraId="47E99D3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noWrap/>
            <w:vAlign w:val="bottom"/>
            <w:hideMark/>
          </w:tcPr>
          <w:p w14:paraId="68417FD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33D1C5F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676B6A1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C2A30CE"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799F580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9.000,00</w:t>
            </w:r>
          </w:p>
        </w:tc>
        <w:tc>
          <w:tcPr>
            <w:tcW w:w="1559" w:type="dxa"/>
            <w:tcBorders>
              <w:top w:val="nil"/>
              <w:left w:val="nil"/>
              <w:bottom w:val="nil"/>
              <w:right w:val="nil"/>
            </w:tcBorders>
            <w:shd w:val="clear" w:color="000000" w:fill="CCCCFF"/>
            <w:noWrap/>
            <w:vAlign w:val="bottom"/>
            <w:hideMark/>
          </w:tcPr>
          <w:p w14:paraId="7100F4D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9.000,00</w:t>
            </w:r>
          </w:p>
        </w:tc>
        <w:tc>
          <w:tcPr>
            <w:tcW w:w="1559" w:type="dxa"/>
            <w:tcBorders>
              <w:top w:val="nil"/>
              <w:left w:val="nil"/>
              <w:bottom w:val="nil"/>
              <w:right w:val="nil"/>
            </w:tcBorders>
            <w:shd w:val="clear" w:color="000000" w:fill="CCCCFF"/>
            <w:noWrap/>
            <w:vAlign w:val="bottom"/>
            <w:hideMark/>
          </w:tcPr>
          <w:p w14:paraId="4CBE808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6.659,52</w:t>
            </w:r>
          </w:p>
        </w:tc>
        <w:tc>
          <w:tcPr>
            <w:tcW w:w="993" w:type="dxa"/>
            <w:tcBorders>
              <w:top w:val="nil"/>
              <w:left w:val="nil"/>
              <w:bottom w:val="nil"/>
              <w:right w:val="nil"/>
            </w:tcBorders>
            <w:shd w:val="clear" w:color="000000" w:fill="CCCCFF"/>
            <w:noWrap/>
            <w:vAlign w:val="bottom"/>
            <w:hideMark/>
          </w:tcPr>
          <w:p w14:paraId="435678F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73,99%</w:t>
            </w:r>
          </w:p>
        </w:tc>
      </w:tr>
      <w:tr w:rsidR="006967F8" w:rsidRPr="006967F8" w14:paraId="724B4BDF"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ED26780"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5.1. Ostale pomoći</w:t>
            </w:r>
          </w:p>
        </w:tc>
        <w:tc>
          <w:tcPr>
            <w:tcW w:w="1559" w:type="dxa"/>
            <w:tcBorders>
              <w:top w:val="nil"/>
              <w:left w:val="nil"/>
              <w:bottom w:val="nil"/>
              <w:right w:val="nil"/>
            </w:tcBorders>
            <w:shd w:val="clear" w:color="000000" w:fill="CCCCFF"/>
            <w:noWrap/>
            <w:vAlign w:val="bottom"/>
            <w:hideMark/>
          </w:tcPr>
          <w:p w14:paraId="08D95D3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9.000,00</w:t>
            </w:r>
          </w:p>
        </w:tc>
        <w:tc>
          <w:tcPr>
            <w:tcW w:w="1559" w:type="dxa"/>
            <w:tcBorders>
              <w:top w:val="nil"/>
              <w:left w:val="nil"/>
              <w:bottom w:val="nil"/>
              <w:right w:val="nil"/>
            </w:tcBorders>
            <w:shd w:val="clear" w:color="000000" w:fill="CCCCFF"/>
            <w:noWrap/>
            <w:vAlign w:val="bottom"/>
            <w:hideMark/>
          </w:tcPr>
          <w:p w14:paraId="15DAA86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9.000,00</w:t>
            </w:r>
          </w:p>
        </w:tc>
        <w:tc>
          <w:tcPr>
            <w:tcW w:w="1559" w:type="dxa"/>
            <w:tcBorders>
              <w:top w:val="nil"/>
              <w:left w:val="nil"/>
              <w:bottom w:val="nil"/>
              <w:right w:val="nil"/>
            </w:tcBorders>
            <w:shd w:val="clear" w:color="000000" w:fill="CCCCFF"/>
            <w:noWrap/>
            <w:vAlign w:val="bottom"/>
            <w:hideMark/>
          </w:tcPr>
          <w:p w14:paraId="007C517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6.659,52</w:t>
            </w:r>
          </w:p>
        </w:tc>
        <w:tc>
          <w:tcPr>
            <w:tcW w:w="993" w:type="dxa"/>
            <w:tcBorders>
              <w:top w:val="nil"/>
              <w:left w:val="nil"/>
              <w:bottom w:val="nil"/>
              <w:right w:val="nil"/>
            </w:tcBorders>
            <w:shd w:val="clear" w:color="000000" w:fill="CCCCFF"/>
            <w:noWrap/>
            <w:vAlign w:val="bottom"/>
            <w:hideMark/>
          </w:tcPr>
          <w:p w14:paraId="3C4D087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73,99%</w:t>
            </w:r>
          </w:p>
        </w:tc>
      </w:tr>
      <w:tr w:rsidR="006967F8" w:rsidRPr="006967F8" w14:paraId="3BD4E6F7" w14:textId="77777777" w:rsidTr="008A61B1">
        <w:trPr>
          <w:trHeight w:val="255"/>
        </w:trPr>
        <w:tc>
          <w:tcPr>
            <w:tcW w:w="1134" w:type="dxa"/>
            <w:tcBorders>
              <w:top w:val="nil"/>
              <w:left w:val="nil"/>
              <w:bottom w:val="nil"/>
              <w:right w:val="nil"/>
            </w:tcBorders>
            <w:noWrap/>
            <w:vAlign w:val="bottom"/>
            <w:hideMark/>
          </w:tcPr>
          <w:p w14:paraId="4DAA929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23C75A6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31E3818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9.000,00</w:t>
            </w:r>
          </w:p>
        </w:tc>
        <w:tc>
          <w:tcPr>
            <w:tcW w:w="1559" w:type="dxa"/>
            <w:tcBorders>
              <w:top w:val="nil"/>
              <w:left w:val="nil"/>
              <w:bottom w:val="nil"/>
              <w:right w:val="nil"/>
            </w:tcBorders>
            <w:noWrap/>
            <w:vAlign w:val="bottom"/>
            <w:hideMark/>
          </w:tcPr>
          <w:p w14:paraId="7FEBD6C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9.000,00</w:t>
            </w:r>
          </w:p>
        </w:tc>
        <w:tc>
          <w:tcPr>
            <w:tcW w:w="1559" w:type="dxa"/>
            <w:tcBorders>
              <w:top w:val="nil"/>
              <w:left w:val="nil"/>
              <w:bottom w:val="nil"/>
              <w:right w:val="nil"/>
            </w:tcBorders>
            <w:noWrap/>
            <w:vAlign w:val="bottom"/>
            <w:hideMark/>
          </w:tcPr>
          <w:p w14:paraId="159C655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6.659,52</w:t>
            </w:r>
          </w:p>
        </w:tc>
        <w:tc>
          <w:tcPr>
            <w:tcW w:w="993" w:type="dxa"/>
            <w:tcBorders>
              <w:top w:val="nil"/>
              <w:left w:val="nil"/>
              <w:bottom w:val="nil"/>
              <w:right w:val="nil"/>
            </w:tcBorders>
            <w:noWrap/>
            <w:vAlign w:val="bottom"/>
            <w:hideMark/>
          </w:tcPr>
          <w:p w14:paraId="2BE99A6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73,99%</w:t>
            </w:r>
          </w:p>
        </w:tc>
      </w:tr>
      <w:tr w:rsidR="006967F8" w:rsidRPr="006967F8" w14:paraId="66D47D54" w14:textId="77777777" w:rsidTr="008A61B1">
        <w:trPr>
          <w:trHeight w:val="255"/>
        </w:trPr>
        <w:tc>
          <w:tcPr>
            <w:tcW w:w="1134" w:type="dxa"/>
            <w:tcBorders>
              <w:top w:val="nil"/>
              <w:left w:val="nil"/>
              <w:bottom w:val="nil"/>
              <w:right w:val="nil"/>
            </w:tcBorders>
            <w:noWrap/>
            <w:vAlign w:val="bottom"/>
            <w:hideMark/>
          </w:tcPr>
          <w:p w14:paraId="71AD562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3238</w:t>
            </w:r>
          </w:p>
        </w:tc>
        <w:tc>
          <w:tcPr>
            <w:tcW w:w="4962" w:type="dxa"/>
            <w:tcBorders>
              <w:top w:val="nil"/>
              <w:left w:val="nil"/>
              <w:bottom w:val="nil"/>
              <w:right w:val="nil"/>
            </w:tcBorders>
            <w:noWrap/>
            <w:vAlign w:val="bottom"/>
            <w:hideMark/>
          </w:tcPr>
          <w:p w14:paraId="21CE76B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Računalne usluge</w:t>
            </w:r>
          </w:p>
        </w:tc>
        <w:tc>
          <w:tcPr>
            <w:tcW w:w="1559" w:type="dxa"/>
            <w:tcBorders>
              <w:top w:val="nil"/>
              <w:left w:val="nil"/>
              <w:bottom w:val="nil"/>
              <w:right w:val="nil"/>
            </w:tcBorders>
            <w:noWrap/>
            <w:vAlign w:val="bottom"/>
            <w:hideMark/>
          </w:tcPr>
          <w:p w14:paraId="08AC7FC8"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CAECB76"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8C0435C"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6.659,52</w:t>
            </w:r>
          </w:p>
        </w:tc>
        <w:tc>
          <w:tcPr>
            <w:tcW w:w="993" w:type="dxa"/>
            <w:tcBorders>
              <w:top w:val="nil"/>
              <w:left w:val="nil"/>
              <w:bottom w:val="nil"/>
              <w:right w:val="nil"/>
            </w:tcBorders>
            <w:noWrap/>
            <w:vAlign w:val="bottom"/>
            <w:hideMark/>
          </w:tcPr>
          <w:p w14:paraId="42E503ED"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9B4C88E" w14:textId="77777777" w:rsidTr="008A61B1">
        <w:trPr>
          <w:trHeight w:val="540"/>
        </w:trPr>
        <w:tc>
          <w:tcPr>
            <w:tcW w:w="1134" w:type="dxa"/>
            <w:tcBorders>
              <w:top w:val="nil"/>
              <w:left w:val="nil"/>
              <w:bottom w:val="nil"/>
              <w:right w:val="nil"/>
            </w:tcBorders>
            <w:shd w:val="clear" w:color="000000" w:fill="FFFF99"/>
            <w:vAlign w:val="bottom"/>
            <w:hideMark/>
          </w:tcPr>
          <w:p w14:paraId="00D8DE6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K100025</w:t>
            </w:r>
          </w:p>
        </w:tc>
        <w:tc>
          <w:tcPr>
            <w:tcW w:w="4962" w:type="dxa"/>
            <w:tcBorders>
              <w:top w:val="nil"/>
              <w:left w:val="nil"/>
              <w:bottom w:val="nil"/>
              <w:right w:val="nil"/>
            </w:tcBorders>
            <w:shd w:val="clear" w:color="000000" w:fill="FFFF99"/>
            <w:vAlign w:val="bottom"/>
            <w:hideMark/>
          </w:tcPr>
          <w:p w14:paraId="1AD7E11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Kapitalni projekt: WEB PLATFORMA TROGIR DIGITAL</w:t>
            </w:r>
          </w:p>
        </w:tc>
        <w:tc>
          <w:tcPr>
            <w:tcW w:w="1559" w:type="dxa"/>
            <w:tcBorders>
              <w:top w:val="nil"/>
              <w:left w:val="nil"/>
              <w:bottom w:val="nil"/>
              <w:right w:val="nil"/>
            </w:tcBorders>
            <w:shd w:val="clear" w:color="000000" w:fill="FFFF99"/>
            <w:noWrap/>
            <w:vAlign w:val="bottom"/>
            <w:hideMark/>
          </w:tcPr>
          <w:p w14:paraId="66E21AF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26.000,00</w:t>
            </w:r>
          </w:p>
        </w:tc>
        <w:tc>
          <w:tcPr>
            <w:tcW w:w="1559" w:type="dxa"/>
            <w:tcBorders>
              <w:top w:val="nil"/>
              <w:left w:val="nil"/>
              <w:bottom w:val="nil"/>
              <w:right w:val="nil"/>
            </w:tcBorders>
            <w:shd w:val="clear" w:color="000000" w:fill="FFFF99"/>
            <w:noWrap/>
            <w:vAlign w:val="bottom"/>
            <w:hideMark/>
          </w:tcPr>
          <w:p w14:paraId="0B329B7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26.000,00</w:t>
            </w:r>
          </w:p>
        </w:tc>
        <w:tc>
          <w:tcPr>
            <w:tcW w:w="1559" w:type="dxa"/>
            <w:tcBorders>
              <w:top w:val="nil"/>
              <w:left w:val="nil"/>
              <w:bottom w:val="nil"/>
              <w:right w:val="nil"/>
            </w:tcBorders>
            <w:shd w:val="clear" w:color="000000" w:fill="FFFF99"/>
            <w:noWrap/>
            <w:vAlign w:val="bottom"/>
            <w:hideMark/>
          </w:tcPr>
          <w:p w14:paraId="2F82F8E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21.067,50</w:t>
            </w:r>
          </w:p>
        </w:tc>
        <w:tc>
          <w:tcPr>
            <w:tcW w:w="993" w:type="dxa"/>
            <w:tcBorders>
              <w:top w:val="nil"/>
              <w:left w:val="nil"/>
              <w:bottom w:val="nil"/>
              <w:right w:val="nil"/>
            </w:tcBorders>
            <w:shd w:val="clear" w:color="000000" w:fill="FFFF99"/>
            <w:noWrap/>
            <w:vAlign w:val="bottom"/>
            <w:hideMark/>
          </w:tcPr>
          <w:p w14:paraId="4E93732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81,03%</w:t>
            </w:r>
          </w:p>
        </w:tc>
      </w:tr>
      <w:tr w:rsidR="006967F8" w:rsidRPr="006967F8" w14:paraId="4D9C6E19"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77EA3F5"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5064ECE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13.000,00</w:t>
            </w:r>
          </w:p>
        </w:tc>
        <w:tc>
          <w:tcPr>
            <w:tcW w:w="1559" w:type="dxa"/>
            <w:tcBorders>
              <w:top w:val="nil"/>
              <w:left w:val="nil"/>
              <w:bottom w:val="nil"/>
              <w:right w:val="nil"/>
            </w:tcBorders>
            <w:shd w:val="clear" w:color="000000" w:fill="CCCCFF"/>
            <w:noWrap/>
            <w:vAlign w:val="bottom"/>
            <w:hideMark/>
          </w:tcPr>
          <w:p w14:paraId="4AE25B4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13.527,50</w:t>
            </w:r>
          </w:p>
        </w:tc>
        <w:tc>
          <w:tcPr>
            <w:tcW w:w="1559" w:type="dxa"/>
            <w:tcBorders>
              <w:top w:val="nil"/>
              <w:left w:val="nil"/>
              <w:bottom w:val="nil"/>
              <w:right w:val="nil"/>
            </w:tcBorders>
            <w:shd w:val="clear" w:color="000000" w:fill="CCCCFF"/>
            <w:noWrap/>
            <w:vAlign w:val="bottom"/>
            <w:hideMark/>
          </w:tcPr>
          <w:p w14:paraId="68D46D1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13.527,50</w:t>
            </w:r>
          </w:p>
        </w:tc>
        <w:tc>
          <w:tcPr>
            <w:tcW w:w="993" w:type="dxa"/>
            <w:tcBorders>
              <w:top w:val="nil"/>
              <w:left w:val="nil"/>
              <w:bottom w:val="nil"/>
              <w:right w:val="nil"/>
            </w:tcBorders>
            <w:shd w:val="clear" w:color="000000" w:fill="CCCCFF"/>
            <w:noWrap/>
            <w:vAlign w:val="bottom"/>
            <w:hideMark/>
          </w:tcPr>
          <w:p w14:paraId="3869CAF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23EBFD6C"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538A567"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692E1E9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13.000,00</w:t>
            </w:r>
          </w:p>
        </w:tc>
        <w:tc>
          <w:tcPr>
            <w:tcW w:w="1559" w:type="dxa"/>
            <w:tcBorders>
              <w:top w:val="nil"/>
              <w:left w:val="nil"/>
              <w:bottom w:val="nil"/>
              <w:right w:val="nil"/>
            </w:tcBorders>
            <w:shd w:val="clear" w:color="000000" w:fill="CCCCFF"/>
            <w:noWrap/>
            <w:vAlign w:val="bottom"/>
            <w:hideMark/>
          </w:tcPr>
          <w:p w14:paraId="2959175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13.527,50</w:t>
            </w:r>
          </w:p>
        </w:tc>
        <w:tc>
          <w:tcPr>
            <w:tcW w:w="1559" w:type="dxa"/>
            <w:tcBorders>
              <w:top w:val="nil"/>
              <w:left w:val="nil"/>
              <w:bottom w:val="nil"/>
              <w:right w:val="nil"/>
            </w:tcBorders>
            <w:shd w:val="clear" w:color="000000" w:fill="CCCCFF"/>
            <w:noWrap/>
            <w:vAlign w:val="bottom"/>
            <w:hideMark/>
          </w:tcPr>
          <w:p w14:paraId="59E2630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13.527,50</w:t>
            </w:r>
          </w:p>
        </w:tc>
        <w:tc>
          <w:tcPr>
            <w:tcW w:w="993" w:type="dxa"/>
            <w:tcBorders>
              <w:top w:val="nil"/>
              <w:left w:val="nil"/>
              <w:bottom w:val="nil"/>
              <w:right w:val="nil"/>
            </w:tcBorders>
            <w:shd w:val="clear" w:color="000000" w:fill="CCCCFF"/>
            <w:noWrap/>
            <w:vAlign w:val="bottom"/>
            <w:hideMark/>
          </w:tcPr>
          <w:p w14:paraId="5CFE541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33A9DF06" w14:textId="77777777" w:rsidTr="008A61B1">
        <w:trPr>
          <w:trHeight w:val="525"/>
        </w:trPr>
        <w:tc>
          <w:tcPr>
            <w:tcW w:w="1134" w:type="dxa"/>
            <w:tcBorders>
              <w:top w:val="nil"/>
              <w:left w:val="nil"/>
              <w:bottom w:val="nil"/>
              <w:right w:val="nil"/>
            </w:tcBorders>
            <w:noWrap/>
            <w:vAlign w:val="bottom"/>
            <w:hideMark/>
          </w:tcPr>
          <w:p w14:paraId="2F65EBA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lastRenderedPageBreak/>
              <w:t>41</w:t>
            </w:r>
          </w:p>
        </w:tc>
        <w:tc>
          <w:tcPr>
            <w:tcW w:w="4962" w:type="dxa"/>
            <w:tcBorders>
              <w:top w:val="nil"/>
              <w:left w:val="nil"/>
              <w:bottom w:val="nil"/>
              <w:right w:val="nil"/>
            </w:tcBorders>
            <w:vAlign w:val="bottom"/>
            <w:hideMark/>
          </w:tcPr>
          <w:p w14:paraId="740D5FB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Rashodi za nabavu </w:t>
            </w:r>
            <w:proofErr w:type="spellStart"/>
            <w:r w:rsidRPr="006967F8">
              <w:rPr>
                <w:rFonts w:ascii="Arial" w:eastAsia="Times New Roman" w:hAnsi="Arial" w:cs="Arial"/>
                <w:b/>
                <w:bCs/>
                <w:sz w:val="20"/>
                <w:szCs w:val="20"/>
                <w:lang w:eastAsia="hr-HR"/>
              </w:rPr>
              <w:t>neproizvedene</w:t>
            </w:r>
            <w:proofErr w:type="spellEnd"/>
            <w:r w:rsidRPr="006967F8">
              <w:rPr>
                <w:rFonts w:ascii="Arial" w:eastAsia="Times New Roman" w:hAnsi="Arial" w:cs="Arial"/>
                <w:b/>
                <w:bCs/>
                <w:sz w:val="20"/>
                <w:szCs w:val="20"/>
                <w:lang w:eastAsia="hr-HR"/>
              </w:rPr>
              <w:t xml:space="preserve"> dugotrajne imovine</w:t>
            </w:r>
          </w:p>
        </w:tc>
        <w:tc>
          <w:tcPr>
            <w:tcW w:w="1559" w:type="dxa"/>
            <w:tcBorders>
              <w:top w:val="nil"/>
              <w:left w:val="nil"/>
              <w:bottom w:val="nil"/>
              <w:right w:val="nil"/>
            </w:tcBorders>
            <w:noWrap/>
            <w:vAlign w:val="bottom"/>
            <w:hideMark/>
          </w:tcPr>
          <w:p w14:paraId="401D123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13.000,00</w:t>
            </w:r>
          </w:p>
        </w:tc>
        <w:tc>
          <w:tcPr>
            <w:tcW w:w="1559" w:type="dxa"/>
            <w:tcBorders>
              <w:top w:val="nil"/>
              <w:left w:val="nil"/>
              <w:bottom w:val="nil"/>
              <w:right w:val="nil"/>
            </w:tcBorders>
            <w:noWrap/>
            <w:vAlign w:val="bottom"/>
            <w:hideMark/>
          </w:tcPr>
          <w:p w14:paraId="364FDC9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13.527,50</w:t>
            </w:r>
          </w:p>
        </w:tc>
        <w:tc>
          <w:tcPr>
            <w:tcW w:w="1559" w:type="dxa"/>
            <w:tcBorders>
              <w:top w:val="nil"/>
              <w:left w:val="nil"/>
              <w:bottom w:val="nil"/>
              <w:right w:val="nil"/>
            </w:tcBorders>
            <w:noWrap/>
            <w:vAlign w:val="bottom"/>
            <w:hideMark/>
          </w:tcPr>
          <w:p w14:paraId="30CF1B5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13.527,50</w:t>
            </w:r>
          </w:p>
        </w:tc>
        <w:tc>
          <w:tcPr>
            <w:tcW w:w="993" w:type="dxa"/>
            <w:tcBorders>
              <w:top w:val="nil"/>
              <w:left w:val="nil"/>
              <w:bottom w:val="nil"/>
              <w:right w:val="nil"/>
            </w:tcBorders>
            <w:noWrap/>
            <w:vAlign w:val="bottom"/>
            <w:hideMark/>
          </w:tcPr>
          <w:p w14:paraId="1458F48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r>
      <w:tr w:rsidR="006967F8" w:rsidRPr="006967F8" w14:paraId="5814FECE" w14:textId="77777777" w:rsidTr="008A61B1">
        <w:trPr>
          <w:trHeight w:val="255"/>
        </w:trPr>
        <w:tc>
          <w:tcPr>
            <w:tcW w:w="1134" w:type="dxa"/>
            <w:tcBorders>
              <w:top w:val="nil"/>
              <w:left w:val="nil"/>
              <w:bottom w:val="nil"/>
              <w:right w:val="nil"/>
            </w:tcBorders>
            <w:noWrap/>
            <w:vAlign w:val="bottom"/>
            <w:hideMark/>
          </w:tcPr>
          <w:p w14:paraId="16DDA5F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4126</w:t>
            </w:r>
          </w:p>
        </w:tc>
        <w:tc>
          <w:tcPr>
            <w:tcW w:w="4962" w:type="dxa"/>
            <w:tcBorders>
              <w:top w:val="nil"/>
              <w:left w:val="nil"/>
              <w:bottom w:val="nil"/>
              <w:right w:val="nil"/>
            </w:tcBorders>
            <w:noWrap/>
            <w:vAlign w:val="bottom"/>
            <w:hideMark/>
          </w:tcPr>
          <w:p w14:paraId="50341AA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Ostala nematerijalna imovina</w:t>
            </w:r>
          </w:p>
        </w:tc>
        <w:tc>
          <w:tcPr>
            <w:tcW w:w="1559" w:type="dxa"/>
            <w:tcBorders>
              <w:top w:val="nil"/>
              <w:left w:val="nil"/>
              <w:bottom w:val="nil"/>
              <w:right w:val="nil"/>
            </w:tcBorders>
            <w:noWrap/>
            <w:vAlign w:val="bottom"/>
            <w:hideMark/>
          </w:tcPr>
          <w:p w14:paraId="79EFDF38"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2536407"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4311D9C"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13.527,50</w:t>
            </w:r>
          </w:p>
        </w:tc>
        <w:tc>
          <w:tcPr>
            <w:tcW w:w="993" w:type="dxa"/>
            <w:tcBorders>
              <w:top w:val="nil"/>
              <w:left w:val="nil"/>
              <w:bottom w:val="nil"/>
              <w:right w:val="nil"/>
            </w:tcBorders>
            <w:noWrap/>
            <w:vAlign w:val="bottom"/>
            <w:hideMark/>
          </w:tcPr>
          <w:p w14:paraId="7B49C4EF"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2DEE91C"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88019F3"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2570557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13.000,00</w:t>
            </w:r>
          </w:p>
        </w:tc>
        <w:tc>
          <w:tcPr>
            <w:tcW w:w="1559" w:type="dxa"/>
            <w:tcBorders>
              <w:top w:val="nil"/>
              <w:left w:val="nil"/>
              <w:bottom w:val="nil"/>
              <w:right w:val="nil"/>
            </w:tcBorders>
            <w:shd w:val="clear" w:color="000000" w:fill="CCCCFF"/>
            <w:noWrap/>
            <w:vAlign w:val="bottom"/>
            <w:hideMark/>
          </w:tcPr>
          <w:p w14:paraId="618ACBE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12.472,50</w:t>
            </w:r>
          </w:p>
        </w:tc>
        <w:tc>
          <w:tcPr>
            <w:tcW w:w="1559" w:type="dxa"/>
            <w:tcBorders>
              <w:top w:val="nil"/>
              <w:left w:val="nil"/>
              <w:bottom w:val="nil"/>
              <w:right w:val="nil"/>
            </w:tcBorders>
            <w:shd w:val="clear" w:color="000000" w:fill="CCCCFF"/>
            <w:noWrap/>
            <w:vAlign w:val="bottom"/>
            <w:hideMark/>
          </w:tcPr>
          <w:p w14:paraId="24BD66C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7.540,00</w:t>
            </w:r>
          </w:p>
        </w:tc>
        <w:tc>
          <w:tcPr>
            <w:tcW w:w="993" w:type="dxa"/>
            <w:tcBorders>
              <w:top w:val="nil"/>
              <w:left w:val="nil"/>
              <w:bottom w:val="nil"/>
              <w:right w:val="nil"/>
            </w:tcBorders>
            <w:shd w:val="clear" w:color="000000" w:fill="CCCCFF"/>
            <w:noWrap/>
            <w:vAlign w:val="bottom"/>
            <w:hideMark/>
          </w:tcPr>
          <w:p w14:paraId="111D0F4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60,45%</w:t>
            </w:r>
          </w:p>
        </w:tc>
      </w:tr>
      <w:tr w:rsidR="006967F8" w:rsidRPr="006967F8" w14:paraId="374B48D7"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CA1AF5C"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5.1. Ostale pomoći</w:t>
            </w:r>
          </w:p>
        </w:tc>
        <w:tc>
          <w:tcPr>
            <w:tcW w:w="1559" w:type="dxa"/>
            <w:tcBorders>
              <w:top w:val="nil"/>
              <w:left w:val="nil"/>
              <w:bottom w:val="nil"/>
              <w:right w:val="nil"/>
            </w:tcBorders>
            <w:shd w:val="clear" w:color="000000" w:fill="CCCCFF"/>
            <w:noWrap/>
            <w:vAlign w:val="bottom"/>
            <w:hideMark/>
          </w:tcPr>
          <w:p w14:paraId="41D1549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13.000,00</w:t>
            </w:r>
          </w:p>
        </w:tc>
        <w:tc>
          <w:tcPr>
            <w:tcW w:w="1559" w:type="dxa"/>
            <w:tcBorders>
              <w:top w:val="nil"/>
              <w:left w:val="nil"/>
              <w:bottom w:val="nil"/>
              <w:right w:val="nil"/>
            </w:tcBorders>
            <w:shd w:val="clear" w:color="000000" w:fill="CCCCFF"/>
            <w:noWrap/>
            <w:vAlign w:val="bottom"/>
            <w:hideMark/>
          </w:tcPr>
          <w:p w14:paraId="16A7A5A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12.472,50</w:t>
            </w:r>
          </w:p>
        </w:tc>
        <w:tc>
          <w:tcPr>
            <w:tcW w:w="1559" w:type="dxa"/>
            <w:tcBorders>
              <w:top w:val="nil"/>
              <w:left w:val="nil"/>
              <w:bottom w:val="nil"/>
              <w:right w:val="nil"/>
            </w:tcBorders>
            <w:shd w:val="clear" w:color="000000" w:fill="CCCCFF"/>
            <w:noWrap/>
            <w:vAlign w:val="bottom"/>
            <w:hideMark/>
          </w:tcPr>
          <w:p w14:paraId="388A243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7.540,00</w:t>
            </w:r>
          </w:p>
        </w:tc>
        <w:tc>
          <w:tcPr>
            <w:tcW w:w="993" w:type="dxa"/>
            <w:tcBorders>
              <w:top w:val="nil"/>
              <w:left w:val="nil"/>
              <w:bottom w:val="nil"/>
              <w:right w:val="nil"/>
            </w:tcBorders>
            <w:shd w:val="clear" w:color="000000" w:fill="CCCCFF"/>
            <w:noWrap/>
            <w:vAlign w:val="bottom"/>
            <w:hideMark/>
          </w:tcPr>
          <w:p w14:paraId="269B850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60,45%</w:t>
            </w:r>
          </w:p>
        </w:tc>
      </w:tr>
      <w:tr w:rsidR="006967F8" w:rsidRPr="006967F8" w14:paraId="4D775987" w14:textId="77777777" w:rsidTr="008A61B1">
        <w:trPr>
          <w:trHeight w:val="255"/>
        </w:trPr>
        <w:tc>
          <w:tcPr>
            <w:tcW w:w="1134" w:type="dxa"/>
            <w:tcBorders>
              <w:top w:val="nil"/>
              <w:left w:val="nil"/>
              <w:bottom w:val="nil"/>
              <w:right w:val="nil"/>
            </w:tcBorders>
            <w:noWrap/>
            <w:vAlign w:val="bottom"/>
            <w:hideMark/>
          </w:tcPr>
          <w:p w14:paraId="5E363E2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61FAC35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6C24DFC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4.000,00</w:t>
            </w:r>
          </w:p>
        </w:tc>
        <w:tc>
          <w:tcPr>
            <w:tcW w:w="1559" w:type="dxa"/>
            <w:tcBorders>
              <w:top w:val="nil"/>
              <w:left w:val="nil"/>
              <w:bottom w:val="nil"/>
              <w:right w:val="nil"/>
            </w:tcBorders>
            <w:noWrap/>
            <w:vAlign w:val="bottom"/>
            <w:hideMark/>
          </w:tcPr>
          <w:p w14:paraId="5DA8F8A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3.800,00</w:t>
            </w:r>
          </w:p>
        </w:tc>
        <w:tc>
          <w:tcPr>
            <w:tcW w:w="1559" w:type="dxa"/>
            <w:tcBorders>
              <w:top w:val="nil"/>
              <w:left w:val="nil"/>
              <w:bottom w:val="nil"/>
              <w:right w:val="nil"/>
            </w:tcBorders>
            <w:noWrap/>
            <w:vAlign w:val="bottom"/>
            <w:hideMark/>
          </w:tcPr>
          <w:p w14:paraId="365917E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12F7F4C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4BE58311" w14:textId="77777777" w:rsidTr="008A61B1">
        <w:trPr>
          <w:trHeight w:val="495"/>
        </w:trPr>
        <w:tc>
          <w:tcPr>
            <w:tcW w:w="1134" w:type="dxa"/>
            <w:tcBorders>
              <w:top w:val="nil"/>
              <w:left w:val="nil"/>
              <w:bottom w:val="nil"/>
              <w:right w:val="nil"/>
            </w:tcBorders>
            <w:noWrap/>
            <w:vAlign w:val="bottom"/>
            <w:hideMark/>
          </w:tcPr>
          <w:p w14:paraId="76B26FF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41</w:t>
            </w:r>
          </w:p>
        </w:tc>
        <w:tc>
          <w:tcPr>
            <w:tcW w:w="4962" w:type="dxa"/>
            <w:tcBorders>
              <w:top w:val="nil"/>
              <w:left w:val="nil"/>
              <w:bottom w:val="nil"/>
              <w:right w:val="nil"/>
            </w:tcBorders>
            <w:vAlign w:val="bottom"/>
            <w:hideMark/>
          </w:tcPr>
          <w:p w14:paraId="367DAA4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Rashodi za nabavu </w:t>
            </w:r>
            <w:proofErr w:type="spellStart"/>
            <w:r w:rsidRPr="006967F8">
              <w:rPr>
                <w:rFonts w:ascii="Arial" w:eastAsia="Times New Roman" w:hAnsi="Arial" w:cs="Arial"/>
                <w:b/>
                <w:bCs/>
                <w:sz w:val="20"/>
                <w:szCs w:val="20"/>
                <w:lang w:eastAsia="hr-HR"/>
              </w:rPr>
              <w:t>neproizvedene</w:t>
            </w:r>
            <w:proofErr w:type="spellEnd"/>
            <w:r w:rsidRPr="006967F8">
              <w:rPr>
                <w:rFonts w:ascii="Arial" w:eastAsia="Times New Roman" w:hAnsi="Arial" w:cs="Arial"/>
                <w:b/>
                <w:bCs/>
                <w:sz w:val="20"/>
                <w:szCs w:val="20"/>
                <w:lang w:eastAsia="hr-HR"/>
              </w:rPr>
              <w:t xml:space="preserve"> dugotrajne imovine</w:t>
            </w:r>
          </w:p>
        </w:tc>
        <w:tc>
          <w:tcPr>
            <w:tcW w:w="1559" w:type="dxa"/>
            <w:tcBorders>
              <w:top w:val="nil"/>
              <w:left w:val="nil"/>
              <w:bottom w:val="nil"/>
              <w:right w:val="nil"/>
            </w:tcBorders>
            <w:noWrap/>
            <w:vAlign w:val="bottom"/>
            <w:hideMark/>
          </w:tcPr>
          <w:p w14:paraId="0DFB0A8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9.000,00</w:t>
            </w:r>
          </w:p>
        </w:tc>
        <w:tc>
          <w:tcPr>
            <w:tcW w:w="1559" w:type="dxa"/>
            <w:tcBorders>
              <w:top w:val="nil"/>
              <w:left w:val="nil"/>
              <w:bottom w:val="nil"/>
              <w:right w:val="nil"/>
            </w:tcBorders>
            <w:noWrap/>
            <w:vAlign w:val="bottom"/>
            <w:hideMark/>
          </w:tcPr>
          <w:p w14:paraId="72D01D4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8.672,50</w:t>
            </w:r>
          </w:p>
        </w:tc>
        <w:tc>
          <w:tcPr>
            <w:tcW w:w="1559" w:type="dxa"/>
            <w:tcBorders>
              <w:top w:val="nil"/>
              <w:left w:val="nil"/>
              <w:bottom w:val="nil"/>
              <w:right w:val="nil"/>
            </w:tcBorders>
            <w:noWrap/>
            <w:vAlign w:val="bottom"/>
            <w:hideMark/>
          </w:tcPr>
          <w:p w14:paraId="35013CF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7.540,00</w:t>
            </w:r>
          </w:p>
        </w:tc>
        <w:tc>
          <w:tcPr>
            <w:tcW w:w="993" w:type="dxa"/>
            <w:tcBorders>
              <w:top w:val="nil"/>
              <w:left w:val="nil"/>
              <w:bottom w:val="nil"/>
              <w:right w:val="nil"/>
            </w:tcBorders>
            <w:noWrap/>
            <w:vAlign w:val="bottom"/>
            <w:hideMark/>
          </w:tcPr>
          <w:p w14:paraId="0B8D6EE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86,94%</w:t>
            </w:r>
          </w:p>
        </w:tc>
      </w:tr>
      <w:tr w:rsidR="006967F8" w:rsidRPr="006967F8" w14:paraId="317750EE" w14:textId="77777777" w:rsidTr="008A61B1">
        <w:trPr>
          <w:trHeight w:val="255"/>
        </w:trPr>
        <w:tc>
          <w:tcPr>
            <w:tcW w:w="1134" w:type="dxa"/>
            <w:tcBorders>
              <w:top w:val="nil"/>
              <w:left w:val="nil"/>
              <w:bottom w:val="nil"/>
              <w:right w:val="nil"/>
            </w:tcBorders>
            <w:noWrap/>
            <w:vAlign w:val="bottom"/>
            <w:hideMark/>
          </w:tcPr>
          <w:p w14:paraId="3EE1FE8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4126</w:t>
            </w:r>
          </w:p>
        </w:tc>
        <w:tc>
          <w:tcPr>
            <w:tcW w:w="4962" w:type="dxa"/>
            <w:tcBorders>
              <w:top w:val="nil"/>
              <w:left w:val="nil"/>
              <w:bottom w:val="nil"/>
              <w:right w:val="nil"/>
            </w:tcBorders>
            <w:noWrap/>
            <w:vAlign w:val="bottom"/>
            <w:hideMark/>
          </w:tcPr>
          <w:p w14:paraId="7EEDD18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Ostala nematerijalna imovina</w:t>
            </w:r>
          </w:p>
        </w:tc>
        <w:tc>
          <w:tcPr>
            <w:tcW w:w="1559" w:type="dxa"/>
            <w:tcBorders>
              <w:top w:val="nil"/>
              <w:left w:val="nil"/>
              <w:bottom w:val="nil"/>
              <w:right w:val="nil"/>
            </w:tcBorders>
            <w:noWrap/>
            <w:vAlign w:val="bottom"/>
            <w:hideMark/>
          </w:tcPr>
          <w:p w14:paraId="048C6ED5"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A8490D0"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AB42E36"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7.540,00</w:t>
            </w:r>
          </w:p>
        </w:tc>
        <w:tc>
          <w:tcPr>
            <w:tcW w:w="993" w:type="dxa"/>
            <w:tcBorders>
              <w:top w:val="nil"/>
              <w:left w:val="nil"/>
              <w:bottom w:val="nil"/>
              <w:right w:val="nil"/>
            </w:tcBorders>
            <w:noWrap/>
            <w:vAlign w:val="bottom"/>
            <w:hideMark/>
          </w:tcPr>
          <w:p w14:paraId="1D5DC5BB"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588E9F1" w14:textId="77777777" w:rsidTr="008A61B1">
        <w:trPr>
          <w:trHeight w:val="600"/>
        </w:trPr>
        <w:tc>
          <w:tcPr>
            <w:tcW w:w="6096" w:type="dxa"/>
            <w:gridSpan w:val="2"/>
            <w:tcBorders>
              <w:top w:val="nil"/>
              <w:left w:val="nil"/>
              <w:bottom w:val="nil"/>
              <w:right w:val="nil"/>
            </w:tcBorders>
            <w:shd w:val="clear" w:color="000000" w:fill="FFFF99"/>
            <w:vAlign w:val="bottom"/>
            <w:hideMark/>
          </w:tcPr>
          <w:p w14:paraId="4968849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T100011 Tekući projekt: NEPOSREDNI IZBORI ZA LOKALNU I REG. SAMOUPRAVU</w:t>
            </w:r>
          </w:p>
        </w:tc>
        <w:tc>
          <w:tcPr>
            <w:tcW w:w="1559" w:type="dxa"/>
            <w:tcBorders>
              <w:top w:val="nil"/>
              <w:left w:val="nil"/>
              <w:bottom w:val="nil"/>
              <w:right w:val="nil"/>
            </w:tcBorders>
            <w:shd w:val="clear" w:color="000000" w:fill="FFFF99"/>
            <w:noWrap/>
            <w:vAlign w:val="bottom"/>
            <w:hideMark/>
          </w:tcPr>
          <w:p w14:paraId="49B27AC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96.675,00</w:t>
            </w:r>
          </w:p>
        </w:tc>
        <w:tc>
          <w:tcPr>
            <w:tcW w:w="1559" w:type="dxa"/>
            <w:tcBorders>
              <w:top w:val="nil"/>
              <w:left w:val="nil"/>
              <w:bottom w:val="nil"/>
              <w:right w:val="nil"/>
            </w:tcBorders>
            <w:shd w:val="clear" w:color="000000" w:fill="FFFF99"/>
            <w:noWrap/>
            <w:vAlign w:val="bottom"/>
            <w:hideMark/>
          </w:tcPr>
          <w:p w14:paraId="5F1DF94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96.675,00</w:t>
            </w:r>
          </w:p>
        </w:tc>
        <w:tc>
          <w:tcPr>
            <w:tcW w:w="1559" w:type="dxa"/>
            <w:tcBorders>
              <w:top w:val="nil"/>
              <w:left w:val="nil"/>
              <w:bottom w:val="nil"/>
              <w:right w:val="nil"/>
            </w:tcBorders>
            <w:shd w:val="clear" w:color="000000" w:fill="FFFF99"/>
            <w:noWrap/>
            <w:vAlign w:val="bottom"/>
            <w:hideMark/>
          </w:tcPr>
          <w:p w14:paraId="1BF17E8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60.970,14</w:t>
            </w:r>
          </w:p>
        </w:tc>
        <w:tc>
          <w:tcPr>
            <w:tcW w:w="993" w:type="dxa"/>
            <w:tcBorders>
              <w:top w:val="nil"/>
              <w:left w:val="nil"/>
              <w:bottom w:val="nil"/>
              <w:right w:val="nil"/>
            </w:tcBorders>
            <w:shd w:val="clear" w:color="000000" w:fill="FFFF99"/>
            <w:noWrap/>
            <w:vAlign w:val="bottom"/>
            <w:hideMark/>
          </w:tcPr>
          <w:p w14:paraId="1A8FB11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63,07%</w:t>
            </w:r>
          </w:p>
        </w:tc>
      </w:tr>
      <w:tr w:rsidR="006967F8" w:rsidRPr="006967F8" w14:paraId="731DF4ED"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0837354"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0DEC40E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60.975,00</w:t>
            </w:r>
          </w:p>
        </w:tc>
        <w:tc>
          <w:tcPr>
            <w:tcW w:w="1559" w:type="dxa"/>
            <w:tcBorders>
              <w:top w:val="nil"/>
              <w:left w:val="nil"/>
              <w:bottom w:val="nil"/>
              <w:right w:val="nil"/>
            </w:tcBorders>
            <w:shd w:val="clear" w:color="000000" w:fill="CCCCFF"/>
            <w:noWrap/>
            <w:vAlign w:val="bottom"/>
            <w:hideMark/>
          </w:tcPr>
          <w:p w14:paraId="3B817F4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60.975,00</w:t>
            </w:r>
          </w:p>
        </w:tc>
        <w:tc>
          <w:tcPr>
            <w:tcW w:w="1559" w:type="dxa"/>
            <w:tcBorders>
              <w:top w:val="nil"/>
              <w:left w:val="nil"/>
              <w:bottom w:val="nil"/>
              <w:right w:val="nil"/>
            </w:tcBorders>
            <w:shd w:val="clear" w:color="000000" w:fill="CCCCFF"/>
            <w:noWrap/>
            <w:vAlign w:val="bottom"/>
            <w:hideMark/>
          </w:tcPr>
          <w:p w14:paraId="71FDBA6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60.970,14</w:t>
            </w:r>
          </w:p>
        </w:tc>
        <w:tc>
          <w:tcPr>
            <w:tcW w:w="993" w:type="dxa"/>
            <w:tcBorders>
              <w:top w:val="nil"/>
              <w:left w:val="nil"/>
              <w:bottom w:val="nil"/>
              <w:right w:val="nil"/>
            </w:tcBorders>
            <w:shd w:val="clear" w:color="000000" w:fill="CCCCFF"/>
            <w:noWrap/>
            <w:vAlign w:val="bottom"/>
            <w:hideMark/>
          </w:tcPr>
          <w:p w14:paraId="2DE6322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99,99%</w:t>
            </w:r>
          </w:p>
        </w:tc>
      </w:tr>
      <w:tr w:rsidR="006967F8" w:rsidRPr="006967F8" w14:paraId="30E8F6D6"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F4A193D"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38B71DC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60.975,00</w:t>
            </w:r>
          </w:p>
        </w:tc>
        <w:tc>
          <w:tcPr>
            <w:tcW w:w="1559" w:type="dxa"/>
            <w:tcBorders>
              <w:top w:val="nil"/>
              <w:left w:val="nil"/>
              <w:bottom w:val="nil"/>
              <w:right w:val="nil"/>
            </w:tcBorders>
            <w:shd w:val="clear" w:color="000000" w:fill="CCCCFF"/>
            <w:noWrap/>
            <w:vAlign w:val="bottom"/>
            <w:hideMark/>
          </w:tcPr>
          <w:p w14:paraId="63FEA60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60.975,00</w:t>
            </w:r>
          </w:p>
        </w:tc>
        <w:tc>
          <w:tcPr>
            <w:tcW w:w="1559" w:type="dxa"/>
            <w:tcBorders>
              <w:top w:val="nil"/>
              <w:left w:val="nil"/>
              <w:bottom w:val="nil"/>
              <w:right w:val="nil"/>
            </w:tcBorders>
            <w:shd w:val="clear" w:color="000000" w:fill="CCCCFF"/>
            <w:noWrap/>
            <w:vAlign w:val="bottom"/>
            <w:hideMark/>
          </w:tcPr>
          <w:p w14:paraId="3B35082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60.970,14</w:t>
            </w:r>
          </w:p>
        </w:tc>
        <w:tc>
          <w:tcPr>
            <w:tcW w:w="993" w:type="dxa"/>
            <w:tcBorders>
              <w:top w:val="nil"/>
              <w:left w:val="nil"/>
              <w:bottom w:val="nil"/>
              <w:right w:val="nil"/>
            </w:tcBorders>
            <w:shd w:val="clear" w:color="000000" w:fill="CCCCFF"/>
            <w:noWrap/>
            <w:vAlign w:val="bottom"/>
            <w:hideMark/>
          </w:tcPr>
          <w:p w14:paraId="7C85B7C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99,99%</w:t>
            </w:r>
          </w:p>
        </w:tc>
      </w:tr>
      <w:tr w:rsidR="006967F8" w:rsidRPr="006967F8" w14:paraId="5221BEEE" w14:textId="77777777" w:rsidTr="008A61B1">
        <w:trPr>
          <w:trHeight w:val="255"/>
        </w:trPr>
        <w:tc>
          <w:tcPr>
            <w:tcW w:w="1134" w:type="dxa"/>
            <w:tcBorders>
              <w:top w:val="nil"/>
              <w:left w:val="nil"/>
              <w:bottom w:val="nil"/>
              <w:right w:val="nil"/>
            </w:tcBorders>
            <w:noWrap/>
            <w:vAlign w:val="bottom"/>
            <w:hideMark/>
          </w:tcPr>
          <w:p w14:paraId="74522E9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0FD2D95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26E96B6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60.975,00</w:t>
            </w:r>
          </w:p>
        </w:tc>
        <w:tc>
          <w:tcPr>
            <w:tcW w:w="1559" w:type="dxa"/>
            <w:tcBorders>
              <w:top w:val="nil"/>
              <w:left w:val="nil"/>
              <w:bottom w:val="nil"/>
              <w:right w:val="nil"/>
            </w:tcBorders>
            <w:noWrap/>
            <w:vAlign w:val="bottom"/>
            <w:hideMark/>
          </w:tcPr>
          <w:p w14:paraId="63C90A4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60.975,00</w:t>
            </w:r>
          </w:p>
        </w:tc>
        <w:tc>
          <w:tcPr>
            <w:tcW w:w="1559" w:type="dxa"/>
            <w:tcBorders>
              <w:top w:val="nil"/>
              <w:left w:val="nil"/>
              <w:bottom w:val="nil"/>
              <w:right w:val="nil"/>
            </w:tcBorders>
            <w:noWrap/>
            <w:vAlign w:val="bottom"/>
            <w:hideMark/>
          </w:tcPr>
          <w:p w14:paraId="329B4B4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60.970,14</w:t>
            </w:r>
          </w:p>
        </w:tc>
        <w:tc>
          <w:tcPr>
            <w:tcW w:w="993" w:type="dxa"/>
            <w:tcBorders>
              <w:top w:val="nil"/>
              <w:left w:val="nil"/>
              <w:bottom w:val="nil"/>
              <w:right w:val="nil"/>
            </w:tcBorders>
            <w:noWrap/>
            <w:vAlign w:val="bottom"/>
            <w:hideMark/>
          </w:tcPr>
          <w:p w14:paraId="0AA40A0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99,99%</w:t>
            </w:r>
          </w:p>
        </w:tc>
      </w:tr>
      <w:tr w:rsidR="006967F8" w:rsidRPr="006967F8" w14:paraId="4DFE12C7" w14:textId="77777777" w:rsidTr="008A61B1">
        <w:trPr>
          <w:trHeight w:val="255"/>
        </w:trPr>
        <w:tc>
          <w:tcPr>
            <w:tcW w:w="1134" w:type="dxa"/>
            <w:tcBorders>
              <w:top w:val="nil"/>
              <w:left w:val="nil"/>
              <w:bottom w:val="nil"/>
              <w:right w:val="nil"/>
            </w:tcBorders>
            <w:noWrap/>
            <w:vAlign w:val="bottom"/>
            <w:hideMark/>
          </w:tcPr>
          <w:p w14:paraId="73A68B1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3221</w:t>
            </w:r>
          </w:p>
        </w:tc>
        <w:tc>
          <w:tcPr>
            <w:tcW w:w="4962" w:type="dxa"/>
            <w:tcBorders>
              <w:top w:val="nil"/>
              <w:left w:val="nil"/>
              <w:bottom w:val="nil"/>
              <w:right w:val="nil"/>
            </w:tcBorders>
            <w:noWrap/>
            <w:vAlign w:val="bottom"/>
            <w:hideMark/>
          </w:tcPr>
          <w:p w14:paraId="57341C3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Uredski materijal i ostali materijalni rashodi</w:t>
            </w:r>
          </w:p>
        </w:tc>
        <w:tc>
          <w:tcPr>
            <w:tcW w:w="1559" w:type="dxa"/>
            <w:tcBorders>
              <w:top w:val="nil"/>
              <w:left w:val="nil"/>
              <w:bottom w:val="nil"/>
              <w:right w:val="nil"/>
            </w:tcBorders>
            <w:noWrap/>
            <w:vAlign w:val="bottom"/>
            <w:hideMark/>
          </w:tcPr>
          <w:p w14:paraId="052B8935"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23B6934"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C3FDD82"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2.038,58</w:t>
            </w:r>
          </w:p>
        </w:tc>
        <w:tc>
          <w:tcPr>
            <w:tcW w:w="993" w:type="dxa"/>
            <w:tcBorders>
              <w:top w:val="nil"/>
              <w:left w:val="nil"/>
              <w:bottom w:val="nil"/>
              <w:right w:val="nil"/>
            </w:tcBorders>
            <w:noWrap/>
            <w:vAlign w:val="bottom"/>
            <w:hideMark/>
          </w:tcPr>
          <w:p w14:paraId="6921BA89"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16B4D36" w14:textId="77777777" w:rsidTr="008A61B1">
        <w:trPr>
          <w:trHeight w:val="255"/>
        </w:trPr>
        <w:tc>
          <w:tcPr>
            <w:tcW w:w="1134" w:type="dxa"/>
            <w:tcBorders>
              <w:top w:val="nil"/>
              <w:left w:val="nil"/>
              <w:bottom w:val="nil"/>
              <w:right w:val="nil"/>
            </w:tcBorders>
            <w:noWrap/>
            <w:vAlign w:val="bottom"/>
            <w:hideMark/>
          </w:tcPr>
          <w:p w14:paraId="2723438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3233</w:t>
            </w:r>
          </w:p>
        </w:tc>
        <w:tc>
          <w:tcPr>
            <w:tcW w:w="4962" w:type="dxa"/>
            <w:tcBorders>
              <w:top w:val="nil"/>
              <w:left w:val="nil"/>
              <w:bottom w:val="nil"/>
              <w:right w:val="nil"/>
            </w:tcBorders>
            <w:noWrap/>
            <w:vAlign w:val="bottom"/>
            <w:hideMark/>
          </w:tcPr>
          <w:p w14:paraId="0EE310E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promidžbe i informiranja</w:t>
            </w:r>
          </w:p>
        </w:tc>
        <w:tc>
          <w:tcPr>
            <w:tcW w:w="1559" w:type="dxa"/>
            <w:tcBorders>
              <w:top w:val="nil"/>
              <w:left w:val="nil"/>
              <w:bottom w:val="nil"/>
              <w:right w:val="nil"/>
            </w:tcBorders>
            <w:noWrap/>
            <w:vAlign w:val="bottom"/>
            <w:hideMark/>
          </w:tcPr>
          <w:p w14:paraId="380B3200"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089EE90"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691C581"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13.611,41</w:t>
            </w:r>
          </w:p>
        </w:tc>
        <w:tc>
          <w:tcPr>
            <w:tcW w:w="993" w:type="dxa"/>
            <w:tcBorders>
              <w:top w:val="nil"/>
              <w:left w:val="nil"/>
              <w:bottom w:val="nil"/>
              <w:right w:val="nil"/>
            </w:tcBorders>
            <w:noWrap/>
            <w:vAlign w:val="bottom"/>
            <w:hideMark/>
          </w:tcPr>
          <w:p w14:paraId="0152D2BD"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E540954" w14:textId="77777777" w:rsidTr="008A61B1">
        <w:trPr>
          <w:trHeight w:val="525"/>
        </w:trPr>
        <w:tc>
          <w:tcPr>
            <w:tcW w:w="1134" w:type="dxa"/>
            <w:tcBorders>
              <w:top w:val="nil"/>
              <w:left w:val="nil"/>
              <w:bottom w:val="nil"/>
              <w:right w:val="nil"/>
            </w:tcBorders>
            <w:noWrap/>
            <w:vAlign w:val="bottom"/>
            <w:hideMark/>
          </w:tcPr>
          <w:p w14:paraId="6C7E056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3291</w:t>
            </w:r>
          </w:p>
        </w:tc>
        <w:tc>
          <w:tcPr>
            <w:tcW w:w="4962" w:type="dxa"/>
            <w:tcBorders>
              <w:top w:val="nil"/>
              <w:left w:val="nil"/>
              <w:bottom w:val="nil"/>
              <w:right w:val="nil"/>
            </w:tcBorders>
            <w:vAlign w:val="bottom"/>
            <w:hideMark/>
          </w:tcPr>
          <w:p w14:paraId="39A3391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Naknade za rad predstavničkih i izvršnih tijela, povjerenstava i slično</w:t>
            </w:r>
          </w:p>
        </w:tc>
        <w:tc>
          <w:tcPr>
            <w:tcW w:w="1559" w:type="dxa"/>
            <w:tcBorders>
              <w:top w:val="nil"/>
              <w:left w:val="nil"/>
              <w:bottom w:val="nil"/>
              <w:right w:val="nil"/>
            </w:tcBorders>
            <w:noWrap/>
            <w:vAlign w:val="bottom"/>
            <w:hideMark/>
          </w:tcPr>
          <w:p w14:paraId="45D1B8AA"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9A62A07"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6A700F9"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45.320,15</w:t>
            </w:r>
          </w:p>
        </w:tc>
        <w:tc>
          <w:tcPr>
            <w:tcW w:w="993" w:type="dxa"/>
            <w:tcBorders>
              <w:top w:val="nil"/>
              <w:left w:val="nil"/>
              <w:bottom w:val="nil"/>
              <w:right w:val="nil"/>
            </w:tcBorders>
            <w:noWrap/>
            <w:vAlign w:val="bottom"/>
            <w:hideMark/>
          </w:tcPr>
          <w:p w14:paraId="1FDD0D4D"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0FDAF58"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8F6CADB"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2ED130C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35.700,00</w:t>
            </w:r>
          </w:p>
        </w:tc>
        <w:tc>
          <w:tcPr>
            <w:tcW w:w="1559" w:type="dxa"/>
            <w:tcBorders>
              <w:top w:val="nil"/>
              <w:left w:val="nil"/>
              <w:bottom w:val="nil"/>
              <w:right w:val="nil"/>
            </w:tcBorders>
            <w:shd w:val="clear" w:color="000000" w:fill="CCCCFF"/>
            <w:noWrap/>
            <w:vAlign w:val="bottom"/>
            <w:hideMark/>
          </w:tcPr>
          <w:p w14:paraId="2A4896C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35.700,00</w:t>
            </w:r>
          </w:p>
        </w:tc>
        <w:tc>
          <w:tcPr>
            <w:tcW w:w="1559" w:type="dxa"/>
            <w:tcBorders>
              <w:top w:val="nil"/>
              <w:left w:val="nil"/>
              <w:bottom w:val="nil"/>
              <w:right w:val="nil"/>
            </w:tcBorders>
            <w:shd w:val="clear" w:color="000000" w:fill="CCCCFF"/>
            <w:noWrap/>
            <w:vAlign w:val="bottom"/>
            <w:hideMark/>
          </w:tcPr>
          <w:p w14:paraId="3DCC7C3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68C6783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4931831F"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F3C77A5"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5.1. Ostale pomoći</w:t>
            </w:r>
          </w:p>
        </w:tc>
        <w:tc>
          <w:tcPr>
            <w:tcW w:w="1559" w:type="dxa"/>
            <w:tcBorders>
              <w:top w:val="nil"/>
              <w:left w:val="nil"/>
              <w:bottom w:val="nil"/>
              <w:right w:val="nil"/>
            </w:tcBorders>
            <w:shd w:val="clear" w:color="000000" w:fill="CCCCFF"/>
            <w:noWrap/>
            <w:vAlign w:val="bottom"/>
            <w:hideMark/>
          </w:tcPr>
          <w:p w14:paraId="0DC6C30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35.700,00</w:t>
            </w:r>
          </w:p>
        </w:tc>
        <w:tc>
          <w:tcPr>
            <w:tcW w:w="1559" w:type="dxa"/>
            <w:tcBorders>
              <w:top w:val="nil"/>
              <w:left w:val="nil"/>
              <w:bottom w:val="nil"/>
              <w:right w:val="nil"/>
            </w:tcBorders>
            <w:shd w:val="clear" w:color="000000" w:fill="CCCCFF"/>
            <w:noWrap/>
            <w:vAlign w:val="bottom"/>
            <w:hideMark/>
          </w:tcPr>
          <w:p w14:paraId="1D3454A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35.700,00</w:t>
            </w:r>
          </w:p>
        </w:tc>
        <w:tc>
          <w:tcPr>
            <w:tcW w:w="1559" w:type="dxa"/>
            <w:tcBorders>
              <w:top w:val="nil"/>
              <w:left w:val="nil"/>
              <w:bottom w:val="nil"/>
              <w:right w:val="nil"/>
            </w:tcBorders>
            <w:shd w:val="clear" w:color="000000" w:fill="CCCCFF"/>
            <w:noWrap/>
            <w:vAlign w:val="bottom"/>
            <w:hideMark/>
          </w:tcPr>
          <w:p w14:paraId="7B9F9F1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35A655A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1FE09C5F" w14:textId="77777777" w:rsidTr="008A61B1">
        <w:trPr>
          <w:trHeight w:val="255"/>
        </w:trPr>
        <w:tc>
          <w:tcPr>
            <w:tcW w:w="1134" w:type="dxa"/>
            <w:tcBorders>
              <w:top w:val="nil"/>
              <w:left w:val="nil"/>
              <w:bottom w:val="nil"/>
              <w:right w:val="nil"/>
            </w:tcBorders>
            <w:noWrap/>
            <w:vAlign w:val="bottom"/>
            <w:hideMark/>
          </w:tcPr>
          <w:p w14:paraId="0B801BB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4CB44B6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3BBE1F1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35.700,00</w:t>
            </w:r>
          </w:p>
        </w:tc>
        <w:tc>
          <w:tcPr>
            <w:tcW w:w="1559" w:type="dxa"/>
            <w:tcBorders>
              <w:top w:val="nil"/>
              <w:left w:val="nil"/>
              <w:bottom w:val="nil"/>
              <w:right w:val="nil"/>
            </w:tcBorders>
            <w:noWrap/>
            <w:vAlign w:val="bottom"/>
            <w:hideMark/>
          </w:tcPr>
          <w:p w14:paraId="07BB795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35.700,00</w:t>
            </w:r>
          </w:p>
        </w:tc>
        <w:tc>
          <w:tcPr>
            <w:tcW w:w="1559" w:type="dxa"/>
            <w:tcBorders>
              <w:top w:val="nil"/>
              <w:left w:val="nil"/>
              <w:bottom w:val="nil"/>
              <w:right w:val="nil"/>
            </w:tcBorders>
            <w:noWrap/>
            <w:vAlign w:val="bottom"/>
            <w:hideMark/>
          </w:tcPr>
          <w:p w14:paraId="3E29E89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68CD1D0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19A9B546" w14:textId="77777777" w:rsidTr="008A61B1">
        <w:trPr>
          <w:trHeight w:val="255"/>
        </w:trPr>
        <w:tc>
          <w:tcPr>
            <w:tcW w:w="6096" w:type="dxa"/>
            <w:gridSpan w:val="2"/>
            <w:tcBorders>
              <w:top w:val="nil"/>
              <w:left w:val="nil"/>
              <w:bottom w:val="nil"/>
              <w:right w:val="nil"/>
            </w:tcBorders>
            <w:shd w:val="clear" w:color="000000" w:fill="FF9900"/>
            <w:vAlign w:val="bottom"/>
            <w:hideMark/>
          </w:tcPr>
          <w:p w14:paraId="06DBACC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1102 Program: MJESNA SAMOUPRAVA</w:t>
            </w:r>
          </w:p>
        </w:tc>
        <w:tc>
          <w:tcPr>
            <w:tcW w:w="1559" w:type="dxa"/>
            <w:tcBorders>
              <w:top w:val="nil"/>
              <w:left w:val="nil"/>
              <w:bottom w:val="nil"/>
              <w:right w:val="nil"/>
            </w:tcBorders>
            <w:shd w:val="clear" w:color="000000" w:fill="FF9900"/>
            <w:noWrap/>
            <w:vAlign w:val="bottom"/>
            <w:hideMark/>
          </w:tcPr>
          <w:p w14:paraId="347FED9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32.300,00</w:t>
            </w:r>
          </w:p>
        </w:tc>
        <w:tc>
          <w:tcPr>
            <w:tcW w:w="1559" w:type="dxa"/>
            <w:tcBorders>
              <w:top w:val="nil"/>
              <w:left w:val="nil"/>
              <w:bottom w:val="nil"/>
              <w:right w:val="nil"/>
            </w:tcBorders>
            <w:shd w:val="clear" w:color="000000" w:fill="FF9900"/>
            <w:noWrap/>
            <w:vAlign w:val="bottom"/>
            <w:hideMark/>
          </w:tcPr>
          <w:p w14:paraId="2ACB770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32.300,00</w:t>
            </w:r>
          </w:p>
        </w:tc>
        <w:tc>
          <w:tcPr>
            <w:tcW w:w="1559" w:type="dxa"/>
            <w:tcBorders>
              <w:top w:val="nil"/>
              <w:left w:val="nil"/>
              <w:bottom w:val="nil"/>
              <w:right w:val="nil"/>
            </w:tcBorders>
            <w:shd w:val="clear" w:color="000000" w:fill="FF9900"/>
            <w:noWrap/>
            <w:vAlign w:val="bottom"/>
            <w:hideMark/>
          </w:tcPr>
          <w:p w14:paraId="5AA21CF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14.527,40</w:t>
            </w:r>
          </w:p>
        </w:tc>
        <w:tc>
          <w:tcPr>
            <w:tcW w:w="993" w:type="dxa"/>
            <w:tcBorders>
              <w:top w:val="nil"/>
              <w:left w:val="nil"/>
              <w:bottom w:val="nil"/>
              <w:right w:val="nil"/>
            </w:tcBorders>
            <w:shd w:val="clear" w:color="000000" w:fill="FF9900"/>
            <w:noWrap/>
            <w:vAlign w:val="bottom"/>
            <w:hideMark/>
          </w:tcPr>
          <w:p w14:paraId="183DE5E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44,98%</w:t>
            </w:r>
          </w:p>
        </w:tc>
      </w:tr>
      <w:tr w:rsidR="006967F8" w:rsidRPr="006967F8" w14:paraId="15D57CFD" w14:textId="77777777" w:rsidTr="008A61B1">
        <w:trPr>
          <w:trHeight w:val="255"/>
        </w:trPr>
        <w:tc>
          <w:tcPr>
            <w:tcW w:w="6096" w:type="dxa"/>
            <w:gridSpan w:val="2"/>
            <w:tcBorders>
              <w:top w:val="nil"/>
              <w:left w:val="nil"/>
              <w:bottom w:val="nil"/>
              <w:right w:val="nil"/>
            </w:tcBorders>
            <w:shd w:val="clear" w:color="000000" w:fill="FFFF99"/>
            <w:vAlign w:val="bottom"/>
            <w:hideMark/>
          </w:tcPr>
          <w:p w14:paraId="1E9BF68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A100008 Aktivnost: MJESNA SAMOUPRAVA</w:t>
            </w:r>
          </w:p>
        </w:tc>
        <w:tc>
          <w:tcPr>
            <w:tcW w:w="1559" w:type="dxa"/>
            <w:tcBorders>
              <w:top w:val="nil"/>
              <w:left w:val="nil"/>
              <w:bottom w:val="nil"/>
              <w:right w:val="nil"/>
            </w:tcBorders>
            <w:shd w:val="clear" w:color="000000" w:fill="FFFF99"/>
            <w:noWrap/>
            <w:vAlign w:val="bottom"/>
            <w:hideMark/>
          </w:tcPr>
          <w:p w14:paraId="604E5AE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32.300,00</w:t>
            </w:r>
          </w:p>
        </w:tc>
        <w:tc>
          <w:tcPr>
            <w:tcW w:w="1559" w:type="dxa"/>
            <w:tcBorders>
              <w:top w:val="nil"/>
              <w:left w:val="nil"/>
              <w:bottom w:val="nil"/>
              <w:right w:val="nil"/>
            </w:tcBorders>
            <w:shd w:val="clear" w:color="000000" w:fill="FFFF99"/>
            <w:noWrap/>
            <w:vAlign w:val="bottom"/>
            <w:hideMark/>
          </w:tcPr>
          <w:p w14:paraId="3903694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32.300,00</w:t>
            </w:r>
          </w:p>
        </w:tc>
        <w:tc>
          <w:tcPr>
            <w:tcW w:w="1559" w:type="dxa"/>
            <w:tcBorders>
              <w:top w:val="nil"/>
              <w:left w:val="nil"/>
              <w:bottom w:val="nil"/>
              <w:right w:val="nil"/>
            </w:tcBorders>
            <w:shd w:val="clear" w:color="000000" w:fill="FFFF99"/>
            <w:noWrap/>
            <w:vAlign w:val="bottom"/>
            <w:hideMark/>
          </w:tcPr>
          <w:p w14:paraId="52E9A1B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14.527,40</w:t>
            </w:r>
          </w:p>
        </w:tc>
        <w:tc>
          <w:tcPr>
            <w:tcW w:w="993" w:type="dxa"/>
            <w:tcBorders>
              <w:top w:val="nil"/>
              <w:left w:val="nil"/>
              <w:bottom w:val="nil"/>
              <w:right w:val="nil"/>
            </w:tcBorders>
            <w:shd w:val="clear" w:color="000000" w:fill="FFFF99"/>
            <w:noWrap/>
            <w:vAlign w:val="bottom"/>
            <w:hideMark/>
          </w:tcPr>
          <w:p w14:paraId="67ED4DF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44,98%</w:t>
            </w:r>
          </w:p>
        </w:tc>
      </w:tr>
      <w:tr w:rsidR="006967F8" w:rsidRPr="006967F8" w14:paraId="60D3B38D"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A28B17B"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462D7EA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30.200,00</w:t>
            </w:r>
          </w:p>
        </w:tc>
        <w:tc>
          <w:tcPr>
            <w:tcW w:w="1559" w:type="dxa"/>
            <w:tcBorders>
              <w:top w:val="nil"/>
              <w:left w:val="nil"/>
              <w:bottom w:val="nil"/>
              <w:right w:val="nil"/>
            </w:tcBorders>
            <w:shd w:val="clear" w:color="000000" w:fill="CCCCFF"/>
            <w:noWrap/>
            <w:vAlign w:val="bottom"/>
            <w:hideMark/>
          </w:tcPr>
          <w:p w14:paraId="5A614EC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30.200,00</w:t>
            </w:r>
          </w:p>
        </w:tc>
        <w:tc>
          <w:tcPr>
            <w:tcW w:w="1559" w:type="dxa"/>
            <w:tcBorders>
              <w:top w:val="nil"/>
              <w:left w:val="nil"/>
              <w:bottom w:val="nil"/>
              <w:right w:val="nil"/>
            </w:tcBorders>
            <w:shd w:val="clear" w:color="000000" w:fill="CCCCFF"/>
            <w:noWrap/>
            <w:vAlign w:val="bottom"/>
            <w:hideMark/>
          </w:tcPr>
          <w:p w14:paraId="6218B86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12.464,70</w:t>
            </w:r>
          </w:p>
        </w:tc>
        <w:tc>
          <w:tcPr>
            <w:tcW w:w="993" w:type="dxa"/>
            <w:tcBorders>
              <w:top w:val="nil"/>
              <w:left w:val="nil"/>
              <w:bottom w:val="nil"/>
              <w:right w:val="nil"/>
            </w:tcBorders>
            <w:shd w:val="clear" w:color="000000" w:fill="CCCCFF"/>
            <w:noWrap/>
            <w:vAlign w:val="bottom"/>
            <w:hideMark/>
          </w:tcPr>
          <w:p w14:paraId="6968495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41,27%</w:t>
            </w:r>
          </w:p>
        </w:tc>
      </w:tr>
      <w:tr w:rsidR="006967F8" w:rsidRPr="006967F8" w14:paraId="47AC85A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49C1399"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62A8933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30.200,00</w:t>
            </w:r>
          </w:p>
        </w:tc>
        <w:tc>
          <w:tcPr>
            <w:tcW w:w="1559" w:type="dxa"/>
            <w:tcBorders>
              <w:top w:val="nil"/>
              <w:left w:val="nil"/>
              <w:bottom w:val="nil"/>
              <w:right w:val="nil"/>
            </w:tcBorders>
            <w:shd w:val="clear" w:color="000000" w:fill="CCCCFF"/>
            <w:noWrap/>
            <w:vAlign w:val="bottom"/>
            <w:hideMark/>
          </w:tcPr>
          <w:p w14:paraId="7824C5D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30.200,00</w:t>
            </w:r>
          </w:p>
        </w:tc>
        <w:tc>
          <w:tcPr>
            <w:tcW w:w="1559" w:type="dxa"/>
            <w:tcBorders>
              <w:top w:val="nil"/>
              <w:left w:val="nil"/>
              <w:bottom w:val="nil"/>
              <w:right w:val="nil"/>
            </w:tcBorders>
            <w:shd w:val="clear" w:color="000000" w:fill="CCCCFF"/>
            <w:noWrap/>
            <w:vAlign w:val="bottom"/>
            <w:hideMark/>
          </w:tcPr>
          <w:p w14:paraId="35C7155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12.464,70</w:t>
            </w:r>
          </w:p>
        </w:tc>
        <w:tc>
          <w:tcPr>
            <w:tcW w:w="993" w:type="dxa"/>
            <w:tcBorders>
              <w:top w:val="nil"/>
              <w:left w:val="nil"/>
              <w:bottom w:val="nil"/>
              <w:right w:val="nil"/>
            </w:tcBorders>
            <w:shd w:val="clear" w:color="000000" w:fill="CCCCFF"/>
            <w:noWrap/>
            <w:vAlign w:val="bottom"/>
            <w:hideMark/>
          </w:tcPr>
          <w:p w14:paraId="318B4A4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41,27%</w:t>
            </w:r>
          </w:p>
        </w:tc>
      </w:tr>
      <w:tr w:rsidR="006967F8" w:rsidRPr="006967F8" w14:paraId="0D8C0A64" w14:textId="77777777" w:rsidTr="008A61B1">
        <w:trPr>
          <w:trHeight w:val="255"/>
        </w:trPr>
        <w:tc>
          <w:tcPr>
            <w:tcW w:w="1134" w:type="dxa"/>
            <w:tcBorders>
              <w:top w:val="nil"/>
              <w:left w:val="nil"/>
              <w:bottom w:val="nil"/>
              <w:right w:val="nil"/>
            </w:tcBorders>
            <w:noWrap/>
            <w:vAlign w:val="bottom"/>
            <w:hideMark/>
          </w:tcPr>
          <w:p w14:paraId="4090B3B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0A4BF92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1FA14BE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21.200,00</w:t>
            </w:r>
          </w:p>
        </w:tc>
        <w:tc>
          <w:tcPr>
            <w:tcW w:w="1559" w:type="dxa"/>
            <w:tcBorders>
              <w:top w:val="nil"/>
              <w:left w:val="nil"/>
              <w:bottom w:val="nil"/>
              <w:right w:val="nil"/>
            </w:tcBorders>
            <w:noWrap/>
            <w:vAlign w:val="bottom"/>
            <w:hideMark/>
          </w:tcPr>
          <w:p w14:paraId="09EA438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21.200,00</w:t>
            </w:r>
          </w:p>
        </w:tc>
        <w:tc>
          <w:tcPr>
            <w:tcW w:w="1559" w:type="dxa"/>
            <w:tcBorders>
              <w:top w:val="nil"/>
              <w:left w:val="nil"/>
              <w:bottom w:val="nil"/>
              <w:right w:val="nil"/>
            </w:tcBorders>
            <w:noWrap/>
            <w:vAlign w:val="bottom"/>
            <w:hideMark/>
          </w:tcPr>
          <w:p w14:paraId="7B2E2F2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11.678,19</w:t>
            </w:r>
          </w:p>
        </w:tc>
        <w:tc>
          <w:tcPr>
            <w:tcW w:w="993" w:type="dxa"/>
            <w:tcBorders>
              <w:top w:val="nil"/>
              <w:left w:val="nil"/>
              <w:bottom w:val="nil"/>
              <w:right w:val="nil"/>
            </w:tcBorders>
            <w:noWrap/>
            <w:vAlign w:val="bottom"/>
            <w:hideMark/>
          </w:tcPr>
          <w:p w14:paraId="35D37DC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55,09%</w:t>
            </w:r>
          </w:p>
        </w:tc>
      </w:tr>
      <w:tr w:rsidR="006967F8" w:rsidRPr="006967F8" w14:paraId="1F521AD7" w14:textId="77777777" w:rsidTr="008A61B1">
        <w:trPr>
          <w:trHeight w:val="255"/>
        </w:trPr>
        <w:tc>
          <w:tcPr>
            <w:tcW w:w="1134" w:type="dxa"/>
            <w:tcBorders>
              <w:top w:val="nil"/>
              <w:left w:val="nil"/>
              <w:bottom w:val="nil"/>
              <w:right w:val="nil"/>
            </w:tcBorders>
            <w:noWrap/>
            <w:vAlign w:val="bottom"/>
            <w:hideMark/>
          </w:tcPr>
          <w:p w14:paraId="5077576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3221</w:t>
            </w:r>
          </w:p>
        </w:tc>
        <w:tc>
          <w:tcPr>
            <w:tcW w:w="4962" w:type="dxa"/>
            <w:tcBorders>
              <w:top w:val="nil"/>
              <w:left w:val="nil"/>
              <w:bottom w:val="nil"/>
              <w:right w:val="nil"/>
            </w:tcBorders>
            <w:noWrap/>
            <w:vAlign w:val="bottom"/>
            <w:hideMark/>
          </w:tcPr>
          <w:p w14:paraId="0D61B3D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Uredski materijal i ostali materijalni rashodi</w:t>
            </w:r>
          </w:p>
        </w:tc>
        <w:tc>
          <w:tcPr>
            <w:tcW w:w="1559" w:type="dxa"/>
            <w:tcBorders>
              <w:top w:val="nil"/>
              <w:left w:val="nil"/>
              <w:bottom w:val="nil"/>
              <w:right w:val="nil"/>
            </w:tcBorders>
            <w:noWrap/>
            <w:vAlign w:val="bottom"/>
            <w:hideMark/>
          </w:tcPr>
          <w:p w14:paraId="783BE36A"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C9043D5"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58712A1"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171,55</w:t>
            </w:r>
          </w:p>
        </w:tc>
        <w:tc>
          <w:tcPr>
            <w:tcW w:w="993" w:type="dxa"/>
            <w:tcBorders>
              <w:top w:val="nil"/>
              <w:left w:val="nil"/>
              <w:bottom w:val="nil"/>
              <w:right w:val="nil"/>
            </w:tcBorders>
            <w:noWrap/>
            <w:vAlign w:val="bottom"/>
            <w:hideMark/>
          </w:tcPr>
          <w:p w14:paraId="19E2729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45A1F3D" w14:textId="77777777" w:rsidTr="008A61B1">
        <w:trPr>
          <w:trHeight w:val="255"/>
        </w:trPr>
        <w:tc>
          <w:tcPr>
            <w:tcW w:w="1134" w:type="dxa"/>
            <w:tcBorders>
              <w:top w:val="nil"/>
              <w:left w:val="nil"/>
              <w:bottom w:val="nil"/>
              <w:right w:val="nil"/>
            </w:tcBorders>
            <w:noWrap/>
            <w:vAlign w:val="bottom"/>
            <w:hideMark/>
          </w:tcPr>
          <w:p w14:paraId="2BDC6EB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3223</w:t>
            </w:r>
          </w:p>
        </w:tc>
        <w:tc>
          <w:tcPr>
            <w:tcW w:w="4962" w:type="dxa"/>
            <w:tcBorders>
              <w:top w:val="nil"/>
              <w:left w:val="nil"/>
              <w:bottom w:val="nil"/>
              <w:right w:val="nil"/>
            </w:tcBorders>
            <w:noWrap/>
            <w:vAlign w:val="bottom"/>
            <w:hideMark/>
          </w:tcPr>
          <w:p w14:paraId="4291312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Energija</w:t>
            </w:r>
          </w:p>
        </w:tc>
        <w:tc>
          <w:tcPr>
            <w:tcW w:w="1559" w:type="dxa"/>
            <w:tcBorders>
              <w:top w:val="nil"/>
              <w:left w:val="nil"/>
              <w:bottom w:val="nil"/>
              <w:right w:val="nil"/>
            </w:tcBorders>
            <w:noWrap/>
            <w:vAlign w:val="bottom"/>
            <w:hideMark/>
          </w:tcPr>
          <w:p w14:paraId="5718C0D3"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BAA35F1"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BE44FD7"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5.270,60</w:t>
            </w:r>
          </w:p>
        </w:tc>
        <w:tc>
          <w:tcPr>
            <w:tcW w:w="993" w:type="dxa"/>
            <w:tcBorders>
              <w:top w:val="nil"/>
              <w:left w:val="nil"/>
              <w:bottom w:val="nil"/>
              <w:right w:val="nil"/>
            </w:tcBorders>
            <w:noWrap/>
            <w:vAlign w:val="bottom"/>
            <w:hideMark/>
          </w:tcPr>
          <w:p w14:paraId="00D7DD86"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7EC94B6" w14:textId="77777777" w:rsidTr="008A61B1">
        <w:trPr>
          <w:trHeight w:val="255"/>
        </w:trPr>
        <w:tc>
          <w:tcPr>
            <w:tcW w:w="1134" w:type="dxa"/>
            <w:tcBorders>
              <w:top w:val="nil"/>
              <w:left w:val="nil"/>
              <w:bottom w:val="nil"/>
              <w:right w:val="nil"/>
            </w:tcBorders>
            <w:noWrap/>
            <w:vAlign w:val="bottom"/>
            <w:hideMark/>
          </w:tcPr>
          <w:p w14:paraId="406D64E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3225</w:t>
            </w:r>
          </w:p>
        </w:tc>
        <w:tc>
          <w:tcPr>
            <w:tcW w:w="4962" w:type="dxa"/>
            <w:tcBorders>
              <w:top w:val="nil"/>
              <w:left w:val="nil"/>
              <w:bottom w:val="nil"/>
              <w:right w:val="nil"/>
            </w:tcBorders>
            <w:noWrap/>
            <w:vAlign w:val="bottom"/>
            <w:hideMark/>
          </w:tcPr>
          <w:p w14:paraId="3FC45C4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 xml:space="preserve">Sitni inventar i </w:t>
            </w:r>
            <w:proofErr w:type="spellStart"/>
            <w:r w:rsidRPr="006967F8">
              <w:rPr>
                <w:rFonts w:ascii="Arial" w:eastAsia="Times New Roman" w:hAnsi="Arial" w:cs="Arial"/>
                <w:sz w:val="20"/>
                <w:szCs w:val="20"/>
                <w:lang w:eastAsia="hr-HR"/>
              </w:rPr>
              <w:t>autogume</w:t>
            </w:r>
            <w:proofErr w:type="spellEnd"/>
          </w:p>
        </w:tc>
        <w:tc>
          <w:tcPr>
            <w:tcW w:w="1559" w:type="dxa"/>
            <w:tcBorders>
              <w:top w:val="nil"/>
              <w:left w:val="nil"/>
              <w:bottom w:val="nil"/>
              <w:right w:val="nil"/>
            </w:tcBorders>
            <w:noWrap/>
            <w:vAlign w:val="bottom"/>
            <w:hideMark/>
          </w:tcPr>
          <w:p w14:paraId="6B146395"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83D44E4"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18898C0"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799,60</w:t>
            </w:r>
          </w:p>
        </w:tc>
        <w:tc>
          <w:tcPr>
            <w:tcW w:w="993" w:type="dxa"/>
            <w:tcBorders>
              <w:top w:val="nil"/>
              <w:left w:val="nil"/>
              <w:bottom w:val="nil"/>
              <w:right w:val="nil"/>
            </w:tcBorders>
            <w:noWrap/>
            <w:vAlign w:val="bottom"/>
            <w:hideMark/>
          </w:tcPr>
          <w:p w14:paraId="6058C0E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2628576" w14:textId="77777777" w:rsidTr="008A61B1">
        <w:trPr>
          <w:trHeight w:val="255"/>
        </w:trPr>
        <w:tc>
          <w:tcPr>
            <w:tcW w:w="1134" w:type="dxa"/>
            <w:tcBorders>
              <w:top w:val="nil"/>
              <w:left w:val="nil"/>
              <w:bottom w:val="nil"/>
              <w:right w:val="nil"/>
            </w:tcBorders>
            <w:noWrap/>
            <w:vAlign w:val="bottom"/>
            <w:hideMark/>
          </w:tcPr>
          <w:p w14:paraId="5A11F88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3231</w:t>
            </w:r>
          </w:p>
        </w:tc>
        <w:tc>
          <w:tcPr>
            <w:tcW w:w="4962" w:type="dxa"/>
            <w:tcBorders>
              <w:top w:val="nil"/>
              <w:left w:val="nil"/>
              <w:bottom w:val="nil"/>
              <w:right w:val="nil"/>
            </w:tcBorders>
            <w:noWrap/>
            <w:vAlign w:val="bottom"/>
            <w:hideMark/>
          </w:tcPr>
          <w:p w14:paraId="7E797C1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telefona, interneta, pošte i prijevoza</w:t>
            </w:r>
          </w:p>
        </w:tc>
        <w:tc>
          <w:tcPr>
            <w:tcW w:w="1559" w:type="dxa"/>
            <w:tcBorders>
              <w:top w:val="nil"/>
              <w:left w:val="nil"/>
              <w:bottom w:val="nil"/>
              <w:right w:val="nil"/>
            </w:tcBorders>
            <w:noWrap/>
            <w:vAlign w:val="bottom"/>
            <w:hideMark/>
          </w:tcPr>
          <w:p w14:paraId="159B292C"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C873F25"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B8E5730"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1.010,89</w:t>
            </w:r>
          </w:p>
        </w:tc>
        <w:tc>
          <w:tcPr>
            <w:tcW w:w="993" w:type="dxa"/>
            <w:tcBorders>
              <w:top w:val="nil"/>
              <w:left w:val="nil"/>
              <w:bottom w:val="nil"/>
              <w:right w:val="nil"/>
            </w:tcBorders>
            <w:noWrap/>
            <w:vAlign w:val="bottom"/>
            <w:hideMark/>
          </w:tcPr>
          <w:p w14:paraId="4EB3CA3E"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8E38232" w14:textId="77777777" w:rsidTr="008A61B1">
        <w:trPr>
          <w:trHeight w:val="255"/>
        </w:trPr>
        <w:tc>
          <w:tcPr>
            <w:tcW w:w="1134" w:type="dxa"/>
            <w:tcBorders>
              <w:top w:val="nil"/>
              <w:left w:val="nil"/>
              <w:bottom w:val="nil"/>
              <w:right w:val="nil"/>
            </w:tcBorders>
            <w:noWrap/>
            <w:vAlign w:val="bottom"/>
            <w:hideMark/>
          </w:tcPr>
          <w:p w14:paraId="78A6F10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3232</w:t>
            </w:r>
          </w:p>
        </w:tc>
        <w:tc>
          <w:tcPr>
            <w:tcW w:w="4962" w:type="dxa"/>
            <w:tcBorders>
              <w:top w:val="nil"/>
              <w:left w:val="nil"/>
              <w:bottom w:val="nil"/>
              <w:right w:val="nil"/>
            </w:tcBorders>
            <w:noWrap/>
            <w:vAlign w:val="bottom"/>
            <w:hideMark/>
          </w:tcPr>
          <w:p w14:paraId="3778BE3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noWrap/>
            <w:vAlign w:val="bottom"/>
            <w:hideMark/>
          </w:tcPr>
          <w:p w14:paraId="2E25C10F"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96C3310"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6EFEC1E"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62,50</w:t>
            </w:r>
          </w:p>
        </w:tc>
        <w:tc>
          <w:tcPr>
            <w:tcW w:w="993" w:type="dxa"/>
            <w:tcBorders>
              <w:top w:val="nil"/>
              <w:left w:val="nil"/>
              <w:bottom w:val="nil"/>
              <w:right w:val="nil"/>
            </w:tcBorders>
            <w:noWrap/>
            <w:vAlign w:val="bottom"/>
            <w:hideMark/>
          </w:tcPr>
          <w:p w14:paraId="7D4205C0"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9A5EEC6" w14:textId="77777777" w:rsidTr="008A61B1">
        <w:trPr>
          <w:trHeight w:val="255"/>
        </w:trPr>
        <w:tc>
          <w:tcPr>
            <w:tcW w:w="1134" w:type="dxa"/>
            <w:tcBorders>
              <w:top w:val="nil"/>
              <w:left w:val="nil"/>
              <w:bottom w:val="nil"/>
              <w:right w:val="nil"/>
            </w:tcBorders>
            <w:noWrap/>
            <w:vAlign w:val="bottom"/>
            <w:hideMark/>
          </w:tcPr>
          <w:p w14:paraId="7B06A44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3234</w:t>
            </w:r>
          </w:p>
        </w:tc>
        <w:tc>
          <w:tcPr>
            <w:tcW w:w="4962" w:type="dxa"/>
            <w:tcBorders>
              <w:top w:val="nil"/>
              <w:left w:val="nil"/>
              <w:bottom w:val="nil"/>
              <w:right w:val="nil"/>
            </w:tcBorders>
            <w:noWrap/>
            <w:vAlign w:val="bottom"/>
            <w:hideMark/>
          </w:tcPr>
          <w:p w14:paraId="48D9627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Komunalne usluge</w:t>
            </w:r>
          </w:p>
        </w:tc>
        <w:tc>
          <w:tcPr>
            <w:tcW w:w="1559" w:type="dxa"/>
            <w:tcBorders>
              <w:top w:val="nil"/>
              <w:left w:val="nil"/>
              <w:bottom w:val="nil"/>
              <w:right w:val="nil"/>
            </w:tcBorders>
            <w:noWrap/>
            <w:vAlign w:val="bottom"/>
            <w:hideMark/>
          </w:tcPr>
          <w:p w14:paraId="56A3DA21"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6F40ED5"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BEA0255"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919,20</w:t>
            </w:r>
          </w:p>
        </w:tc>
        <w:tc>
          <w:tcPr>
            <w:tcW w:w="993" w:type="dxa"/>
            <w:tcBorders>
              <w:top w:val="nil"/>
              <w:left w:val="nil"/>
              <w:bottom w:val="nil"/>
              <w:right w:val="nil"/>
            </w:tcBorders>
            <w:noWrap/>
            <w:vAlign w:val="bottom"/>
            <w:hideMark/>
          </w:tcPr>
          <w:p w14:paraId="1B684183"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50E8F2F" w14:textId="77777777" w:rsidTr="008A61B1">
        <w:trPr>
          <w:trHeight w:val="255"/>
        </w:trPr>
        <w:tc>
          <w:tcPr>
            <w:tcW w:w="1134" w:type="dxa"/>
            <w:tcBorders>
              <w:top w:val="nil"/>
              <w:left w:val="nil"/>
              <w:bottom w:val="nil"/>
              <w:right w:val="nil"/>
            </w:tcBorders>
            <w:noWrap/>
            <w:vAlign w:val="bottom"/>
            <w:hideMark/>
          </w:tcPr>
          <w:p w14:paraId="3DC5CD8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3293</w:t>
            </w:r>
          </w:p>
        </w:tc>
        <w:tc>
          <w:tcPr>
            <w:tcW w:w="4962" w:type="dxa"/>
            <w:tcBorders>
              <w:top w:val="nil"/>
              <w:left w:val="nil"/>
              <w:bottom w:val="nil"/>
              <w:right w:val="nil"/>
            </w:tcBorders>
            <w:noWrap/>
            <w:vAlign w:val="bottom"/>
            <w:hideMark/>
          </w:tcPr>
          <w:p w14:paraId="686AF60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Reprezentacija</w:t>
            </w:r>
          </w:p>
        </w:tc>
        <w:tc>
          <w:tcPr>
            <w:tcW w:w="1559" w:type="dxa"/>
            <w:tcBorders>
              <w:top w:val="nil"/>
              <w:left w:val="nil"/>
              <w:bottom w:val="nil"/>
              <w:right w:val="nil"/>
            </w:tcBorders>
            <w:noWrap/>
            <w:vAlign w:val="bottom"/>
            <w:hideMark/>
          </w:tcPr>
          <w:p w14:paraId="6A6D7502"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42EC158"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0BC0ADD"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3.443,85</w:t>
            </w:r>
          </w:p>
        </w:tc>
        <w:tc>
          <w:tcPr>
            <w:tcW w:w="993" w:type="dxa"/>
            <w:tcBorders>
              <w:top w:val="nil"/>
              <w:left w:val="nil"/>
              <w:bottom w:val="nil"/>
              <w:right w:val="nil"/>
            </w:tcBorders>
            <w:noWrap/>
            <w:vAlign w:val="bottom"/>
            <w:hideMark/>
          </w:tcPr>
          <w:p w14:paraId="18F9751D"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081DC77" w14:textId="77777777" w:rsidTr="008A61B1">
        <w:trPr>
          <w:trHeight w:val="540"/>
        </w:trPr>
        <w:tc>
          <w:tcPr>
            <w:tcW w:w="1134" w:type="dxa"/>
            <w:tcBorders>
              <w:top w:val="nil"/>
              <w:left w:val="nil"/>
              <w:bottom w:val="nil"/>
              <w:right w:val="nil"/>
            </w:tcBorders>
            <w:noWrap/>
            <w:vAlign w:val="bottom"/>
            <w:hideMark/>
          </w:tcPr>
          <w:p w14:paraId="0A97DA0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7E937A0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7ABE6A8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9.000,00</w:t>
            </w:r>
          </w:p>
        </w:tc>
        <w:tc>
          <w:tcPr>
            <w:tcW w:w="1559" w:type="dxa"/>
            <w:tcBorders>
              <w:top w:val="nil"/>
              <w:left w:val="nil"/>
              <w:bottom w:val="nil"/>
              <w:right w:val="nil"/>
            </w:tcBorders>
            <w:noWrap/>
            <w:vAlign w:val="bottom"/>
            <w:hideMark/>
          </w:tcPr>
          <w:p w14:paraId="760A08E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9.000,00</w:t>
            </w:r>
          </w:p>
        </w:tc>
        <w:tc>
          <w:tcPr>
            <w:tcW w:w="1559" w:type="dxa"/>
            <w:tcBorders>
              <w:top w:val="nil"/>
              <w:left w:val="nil"/>
              <w:bottom w:val="nil"/>
              <w:right w:val="nil"/>
            </w:tcBorders>
            <w:noWrap/>
            <w:vAlign w:val="bottom"/>
            <w:hideMark/>
          </w:tcPr>
          <w:p w14:paraId="7A05290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786,51</w:t>
            </w:r>
          </w:p>
        </w:tc>
        <w:tc>
          <w:tcPr>
            <w:tcW w:w="993" w:type="dxa"/>
            <w:tcBorders>
              <w:top w:val="nil"/>
              <w:left w:val="nil"/>
              <w:bottom w:val="nil"/>
              <w:right w:val="nil"/>
            </w:tcBorders>
            <w:noWrap/>
            <w:vAlign w:val="bottom"/>
            <w:hideMark/>
          </w:tcPr>
          <w:p w14:paraId="33034BD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8,74%</w:t>
            </w:r>
          </w:p>
        </w:tc>
      </w:tr>
      <w:tr w:rsidR="006967F8" w:rsidRPr="006967F8" w14:paraId="1B8A3E27" w14:textId="77777777" w:rsidTr="008A61B1">
        <w:trPr>
          <w:trHeight w:val="255"/>
        </w:trPr>
        <w:tc>
          <w:tcPr>
            <w:tcW w:w="1134" w:type="dxa"/>
            <w:tcBorders>
              <w:top w:val="nil"/>
              <w:left w:val="nil"/>
              <w:bottom w:val="nil"/>
              <w:right w:val="nil"/>
            </w:tcBorders>
            <w:noWrap/>
            <w:vAlign w:val="bottom"/>
            <w:hideMark/>
          </w:tcPr>
          <w:p w14:paraId="30F374C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4221</w:t>
            </w:r>
          </w:p>
        </w:tc>
        <w:tc>
          <w:tcPr>
            <w:tcW w:w="4962" w:type="dxa"/>
            <w:tcBorders>
              <w:top w:val="nil"/>
              <w:left w:val="nil"/>
              <w:bottom w:val="nil"/>
              <w:right w:val="nil"/>
            </w:tcBorders>
            <w:noWrap/>
            <w:vAlign w:val="bottom"/>
            <w:hideMark/>
          </w:tcPr>
          <w:p w14:paraId="06D3F54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Uredska oprema i namještaj</w:t>
            </w:r>
          </w:p>
        </w:tc>
        <w:tc>
          <w:tcPr>
            <w:tcW w:w="1559" w:type="dxa"/>
            <w:tcBorders>
              <w:top w:val="nil"/>
              <w:left w:val="nil"/>
              <w:bottom w:val="nil"/>
              <w:right w:val="nil"/>
            </w:tcBorders>
            <w:noWrap/>
            <w:vAlign w:val="bottom"/>
            <w:hideMark/>
          </w:tcPr>
          <w:p w14:paraId="0C7639E2"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E973B57"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ACC40D5"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786,51</w:t>
            </w:r>
          </w:p>
        </w:tc>
        <w:tc>
          <w:tcPr>
            <w:tcW w:w="993" w:type="dxa"/>
            <w:tcBorders>
              <w:top w:val="nil"/>
              <w:left w:val="nil"/>
              <w:bottom w:val="nil"/>
              <w:right w:val="nil"/>
            </w:tcBorders>
            <w:noWrap/>
            <w:vAlign w:val="bottom"/>
            <w:hideMark/>
          </w:tcPr>
          <w:p w14:paraId="08E02F7B"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38A9BC9"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17F280D"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6. DONACIJE</w:t>
            </w:r>
          </w:p>
        </w:tc>
        <w:tc>
          <w:tcPr>
            <w:tcW w:w="1559" w:type="dxa"/>
            <w:tcBorders>
              <w:top w:val="nil"/>
              <w:left w:val="nil"/>
              <w:bottom w:val="nil"/>
              <w:right w:val="nil"/>
            </w:tcBorders>
            <w:shd w:val="clear" w:color="000000" w:fill="CCCCFF"/>
            <w:noWrap/>
            <w:vAlign w:val="bottom"/>
            <w:hideMark/>
          </w:tcPr>
          <w:p w14:paraId="263031F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2.100,00</w:t>
            </w:r>
          </w:p>
        </w:tc>
        <w:tc>
          <w:tcPr>
            <w:tcW w:w="1559" w:type="dxa"/>
            <w:tcBorders>
              <w:top w:val="nil"/>
              <w:left w:val="nil"/>
              <w:bottom w:val="nil"/>
              <w:right w:val="nil"/>
            </w:tcBorders>
            <w:shd w:val="clear" w:color="000000" w:fill="CCCCFF"/>
            <w:noWrap/>
            <w:vAlign w:val="bottom"/>
            <w:hideMark/>
          </w:tcPr>
          <w:p w14:paraId="21F8E5B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2.100,00</w:t>
            </w:r>
          </w:p>
        </w:tc>
        <w:tc>
          <w:tcPr>
            <w:tcW w:w="1559" w:type="dxa"/>
            <w:tcBorders>
              <w:top w:val="nil"/>
              <w:left w:val="nil"/>
              <w:bottom w:val="nil"/>
              <w:right w:val="nil"/>
            </w:tcBorders>
            <w:shd w:val="clear" w:color="000000" w:fill="CCCCFF"/>
            <w:noWrap/>
            <w:vAlign w:val="bottom"/>
            <w:hideMark/>
          </w:tcPr>
          <w:p w14:paraId="6492287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2.062,70</w:t>
            </w:r>
          </w:p>
        </w:tc>
        <w:tc>
          <w:tcPr>
            <w:tcW w:w="993" w:type="dxa"/>
            <w:tcBorders>
              <w:top w:val="nil"/>
              <w:left w:val="nil"/>
              <w:bottom w:val="nil"/>
              <w:right w:val="nil"/>
            </w:tcBorders>
            <w:shd w:val="clear" w:color="000000" w:fill="CCCCFF"/>
            <w:noWrap/>
            <w:vAlign w:val="bottom"/>
            <w:hideMark/>
          </w:tcPr>
          <w:p w14:paraId="5626A4B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98,22%</w:t>
            </w:r>
          </w:p>
        </w:tc>
      </w:tr>
      <w:tr w:rsidR="006967F8" w:rsidRPr="006967F8" w14:paraId="4D900910"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7873F8B"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6.1. Donacije</w:t>
            </w:r>
          </w:p>
        </w:tc>
        <w:tc>
          <w:tcPr>
            <w:tcW w:w="1559" w:type="dxa"/>
            <w:tcBorders>
              <w:top w:val="nil"/>
              <w:left w:val="nil"/>
              <w:bottom w:val="nil"/>
              <w:right w:val="nil"/>
            </w:tcBorders>
            <w:shd w:val="clear" w:color="000000" w:fill="CCCCFF"/>
            <w:noWrap/>
            <w:vAlign w:val="bottom"/>
            <w:hideMark/>
          </w:tcPr>
          <w:p w14:paraId="3A9D82F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2.100,00</w:t>
            </w:r>
          </w:p>
        </w:tc>
        <w:tc>
          <w:tcPr>
            <w:tcW w:w="1559" w:type="dxa"/>
            <w:tcBorders>
              <w:top w:val="nil"/>
              <w:left w:val="nil"/>
              <w:bottom w:val="nil"/>
              <w:right w:val="nil"/>
            </w:tcBorders>
            <w:shd w:val="clear" w:color="000000" w:fill="CCCCFF"/>
            <w:noWrap/>
            <w:vAlign w:val="bottom"/>
            <w:hideMark/>
          </w:tcPr>
          <w:p w14:paraId="47B57AB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2.100,00</w:t>
            </w:r>
          </w:p>
        </w:tc>
        <w:tc>
          <w:tcPr>
            <w:tcW w:w="1559" w:type="dxa"/>
            <w:tcBorders>
              <w:top w:val="nil"/>
              <w:left w:val="nil"/>
              <w:bottom w:val="nil"/>
              <w:right w:val="nil"/>
            </w:tcBorders>
            <w:shd w:val="clear" w:color="000000" w:fill="CCCCFF"/>
            <w:noWrap/>
            <w:vAlign w:val="bottom"/>
            <w:hideMark/>
          </w:tcPr>
          <w:p w14:paraId="1832BC6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2.062,70</w:t>
            </w:r>
          </w:p>
        </w:tc>
        <w:tc>
          <w:tcPr>
            <w:tcW w:w="993" w:type="dxa"/>
            <w:tcBorders>
              <w:top w:val="nil"/>
              <w:left w:val="nil"/>
              <w:bottom w:val="nil"/>
              <w:right w:val="nil"/>
            </w:tcBorders>
            <w:shd w:val="clear" w:color="000000" w:fill="CCCCFF"/>
            <w:noWrap/>
            <w:vAlign w:val="bottom"/>
            <w:hideMark/>
          </w:tcPr>
          <w:p w14:paraId="6D721B5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98,22%</w:t>
            </w:r>
          </w:p>
        </w:tc>
      </w:tr>
      <w:tr w:rsidR="006967F8" w:rsidRPr="006967F8" w14:paraId="77AB79E3" w14:textId="77777777" w:rsidTr="008A61B1">
        <w:trPr>
          <w:trHeight w:val="585"/>
        </w:trPr>
        <w:tc>
          <w:tcPr>
            <w:tcW w:w="1134" w:type="dxa"/>
            <w:tcBorders>
              <w:top w:val="nil"/>
              <w:left w:val="nil"/>
              <w:bottom w:val="nil"/>
              <w:right w:val="nil"/>
            </w:tcBorders>
            <w:noWrap/>
            <w:vAlign w:val="bottom"/>
            <w:hideMark/>
          </w:tcPr>
          <w:p w14:paraId="29B87BA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256CDBD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5C3B5C1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2.100,00</w:t>
            </w:r>
          </w:p>
        </w:tc>
        <w:tc>
          <w:tcPr>
            <w:tcW w:w="1559" w:type="dxa"/>
            <w:tcBorders>
              <w:top w:val="nil"/>
              <w:left w:val="nil"/>
              <w:bottom w:val="nil"/>
              <w:right w:val="nil"/>
            </w:tcBorders>
            <w:noWrap/>
            <w:vAlign w:val="bottom"/>
            <w:hideMark/>
          </w:tcPr>
          <w:p w14:paraId="6C49B28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2.100,00</w:t>
            </w:r>
          </w:p>
        </w:tc>
        <w:tc>
          <w:tcPr>
            <w:tcW w:w="1559" w:type="dxa"/>
            <w:tcBorders>
              <w:top w:val="nil"/>
              <w:left w:val="nil"/>
              <w:bottom w:val="nil"/>
              <w:right w:val="nil"/>
            </w:tcBorders>
            <w:noWrap/>
            <w:vAlign w:val="bottom"/>
            <w:hideMark/>
          </w:tcPr>
          <w:p w14:paraId="6252D7C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2.062,70</w:t>
            </w:r>
          </w:p>
        </w:tc>
        <w:tc>
          <w:tcPr>
            <w:tcW w:w="993" w:type="dxa"/>
            <w:tcBorders>
              <w:top w:val="nil"/>
              <w:left w:val="nil"/>
              <w:bottom w:val="nil"/>
              <w:right w:val="nil"/>
            </w:tcBorders>
            <w:noWrap/>
            <w:vAlign w:val="bottom"/>
            <w:hideMark/>
          </w:tcPr>
          <w:p w14:paraId="1F2C0AE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98,22%</w:t>
            </w:r>
          </w:p>
        </w:tc>
      </w:tr>
      <w:tr w:rsidR="006967F8" w:rsidRPr="006967F8" w14:paraId="62E20FA4" w14:textId="77777777" w:rsidTr="008A61B1">
        <w:trPr>
          <w:trHeight w:val="255"/>
        </w:trPr>
        <w:tc>
          <w:tcPr>
            <w:tcW w:w="1134" w:type="dxa"/>
            <w:tcBorders>
              <w:top w:val="nil"/>
              <w:left w:val="nil"/>
              <w:bottom w:val="nil"/>
              <w:right w:val="nil"/>
            </w:tcBorders>
            <w:noWrap/>
            <w:vAlign w:val="bottom"/>
            <w:hideMark/>
          </w:tcPr>
          <w:p w14:paraId="086FF33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4221</w:t>
            </w:r>
          </w:p>
        </w:tc>
        <w:tc>
          <w:tcPr>
            <w:tcW w:w="4962" w:type="dxa"/>
            <w:tcBorders>
              <w:top w:val="nil"/>
              <w:left w:val="nil"/>
              <w:bottom w:val="nil"/>
              <w:right w:val="nil"/>
            </w:tcBorders>
            <w:noWrap/>
            <w:vAlign w:val="bottom"/>
            <w:hideMark/>
          </w:tcPr>
          <w:p w14:paraId="49D2B1F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Uredska oprema i namještaj</w:t>
            </w:r>
          </w:p>
        </w:tc>
        <w:tc>
          <w:tcPr>
            <w:tcW w:w="1559" w:type="dxa"/>
            <w:tcBorders>
              <w:top w:val="nil"/>
              <w:left w:val="nil"/>
              <w:bottom w:val="nil"/>
              <w:right w:val="nil"/>
            </w:tcBorders>
            <w:noWrap/>
            <w:vAlign w:val="bottom"/>
            <w:hideMark/>
          </w:tcPr>
          <w:p w14:paraId="33032069"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9FF2C65"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D56E6C5"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2.062,70</w:t>
            </w:r>
          </w:p>
        </w:tc>
        <w:tc>
          <w:tcPr>
            <w:tcW w:w="993" w:type="dxa"/>
            <w:tcBorders>
              <w:top w:val="nil"/>
              <w:left w:val="nil"/>
              <w:bottom w:val="nil"/>
              <w:right w:val="nil"/>
            </w:tcBorders>
            <w:noWrap/>
            <w:vAlign w:val="bottom"/>
            <w:hideMark/>
          </w:tcPr>
          <w:p w14:paraId="39E009BB"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FCBD406" w14:textId="77777777" w:rsidTr="008A61B1">
        <w:trPr>
          <w:trHeight w:val="510"/>
        </w:trPr>
        <w:tc>
          <w:tcPr>
            <w:tcW w:w="6096" w:type="dxa"/>
            <w:gridSpan w:val="2"/>
            <w:tcBorders>
              <w:top w:val="nil"/>
              <w:left w:val="nil"/>
              <w:bottom w:val="nil"/>
              <w:right w:val="nil"/>
            </w:tcBorders>
            <w:shd w:val="clear" w:color="000000" w:fill="FF9900"/>
            <w:vAlign w:val="bottom"/>
            <w:hideMark/>
          </w:tcPr>
          <w:p w14:paraId="157EF61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1601 Program: ODRŽAVANJE PROSTORA U VLASNIŠTVU I SUVLASNIŠTVU GRADA</w:t>
            </w:r>
          </w:p>
        </w:tc>
        <w:tc>
          <w:tcPr>
            <w:tcW w:w="1559" w:type="dxa"/>
            <w:tcBorders>
              <w:top w:val="nil"/>
              <w:left w:val="nil"/>
              <w:bottom w:val="nil"/>
              <w:right w:val="nil"/>
            </w:tcBorders>
            <w:shd w:val="clear" w:color="000000" w:fill="FF9900"/>
            <w:noWrap/>
            <w:vAlign w:val="bottom"/>
            <w:hideMark/>
          </w:tcPr>
          <w:p w14:paraId="42B2F52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27.000,00</w:t>
            </w:r>
          </w:p>
        </w:tc>
        <w:tc>
          <w:tcPr>
            <w:tcW w:w="1559" w:type="dxa"/>
            <w:tcBorders>
              <w:top w:val="nil"/>
              <w:left w:val="nil"/>
              <w:bottom w:val="nil"/>
              <w:right w:val="nil"/>
            </w:tcBorders>
            <w:shd w:val="clear" w:color="000000" w:fill="FF9900"/>
            <w:noWrap/>
            <w:vAlign w:val="bottom"/>
            <w:hideMark/>
          </w:tcPr>
          <w:p w14:paraId="66744A4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27.000,00</w:t>
            </w:r>
          </w:p>
        </w:tc>
        <w:tc>
          <w:tcPr>
            <w:tcW w:w="1559" w:type="dxa"/>
            <w:tcBorders>
              <w:top w:val="nil"/>
              <w:left w:val="nil"/>
              <w:bottom w:val="nil"/>
              <w:right w:val="nil"/>
            </w:tcBorders>
            <w:shd w:val="clear" w:color="000000" w:fill="FF9900"/>
            <w:noWrap/>
            <w:vAlign w:val="bottom"/>
            <w:hideMark/>
          </w:tcPr>
          <w:p w14:paraId="1652C04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shd w:val="clear" w:color="000000" w:fill="FF9900"/>
            <w:noWrap/>
            <w:vAlign w:val="bottom"/>
            <w:hideMark/>
          </w:tcPr>
          <w:p w14:paraId="7FA7B4B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625FD369" w14:textId="77777777" w:rsidTr="008A61B1">
        <w:trPr>
          <w:trHeight w:val="555"/>
        </w:trPr>
        <w:tc>
          <w:tcPr>
            <w:tcW w:w="6096" w:type="dxa"/>
            <w:gridSpan w:val="2"/>
            <w:tcBorders>
              <w:top w:val="nil"/>
              <w:left w:val="nil"/>
              <w:bottom w:val="nil"/>
              <w:right w:val="nil"/>
            </w:tcBorders>
            <w:shd w:val="clear" w:color="000000" w:fill="FFFF99"/>
            <w:vAlign w:val="bottom"/>
            <w:hideMark/>
          </w:tcPr>
          <w:p w14:paraId="2991CF6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A100003 Aktivnost: ODRŽAVANJE PROSTORA U VLASNIŠTVU I SUVLASNIŠTVU GRADA </w:t>
            </w:r>
          </w:p>
        </w:tc>
        <w:tc>
          <w:tcPr>
            <w:tcW w:w="1559" w:type="dxa"/>
            <w:tcBorders>
              <w:top w:val="nil"/>
              <w:left w:val="nil"/>
              <w:bottom w:val="nil"/>
              <w:right w:val="nil"/>
            </w:tcBorders>
            <w:shd w:val="clear" w:color="000000" w:fill="FFFF99"/>
            <w:noWrap/>
            <w:vAlign w:val="bottom"/>
            <w:hideMark/>
          </w:tcPr>
          <w:p w14:paraId="59CEB1D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27.000,00</w:t>
            </w:r>
          </w:p>
        </w:tc>
        <w:tc>
          <w:tcPr>
            <w:tcW w:w="1559" w:type="dxa"/>
            <w:tcBorders>
              <w:top w:val="nil"/>
              <w:left w:val="nil"/>
              <w:bottom w:val="nil"/>
              <w:right w:val="nil"/>
            </w:tcBorders>
            <w:shd w:val="clear" w:color="000000" w:fill="FFFF99"/>
            <w:noWrap/>
            <w:vAlign w:val="bottom"/>
            <w:hideMark/>
          </w:tcPr>
          <w:p w14:paraId="6989052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27.000,00</w:t>
            </w:r>
          </w:p>
        </w:tc>
        <w:tc>
          <w:tcPr>
            <w:tcW w:w="1559" w:type="dxa"/>
            <w:tcBorders>
              <w:top w:val="nil"/>
              <w:left w:val="nil"/>
              <w:bottom w:val="nil"/>
              <w:right w:val="nil"/>
            </w:tcBorders>
            <w:shd w:val="clear" w:color="000000" w:fill="FFFF99"/>
            <w:noWrap/>
            <w:vAlign w:val="bottom"/>
            <w:hideMark/>
          </w:tcPr>
          <w:p w14:paraId="4898968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shd w:val="clear" w:color="000000" w:fill="FFFF99"/>
            <w:noWrap/>
            <w:vAlign w:val="bottom"/>
            <w:hideMark/>
          </w:tcPr>
          <w:p w14:paraId="20D339D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23E07F4D"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13E5437"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1F31792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27.000,00</w:t>
            </w:r>
          </w:p>
        </w:tc>
        <w:tc>
          <w:tcPr>
            <w:tcW w:w="1559" w:type="dxa"/>
            <w:tcBorders>
              <w:top w:val="nil"/>
              <w:left w:val="nil"/>
              <w:bottom w:val="nil"/>
              <w:right w:val="nil"/>
            </w:tcBorders>
            <w:shd w:val="clear" w:color="000000" w:fill="CCCCFF"/>
            <w:noWrap/>
            <w:vAlign w:val="bottom"/>
            <w:hideMark/>
          </w:tcPr>
          <w:p w14:paraId="4800B4D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27.000,00</w:t>
            </w:r>
          </w:p>
        </w:tc>
        <w:tc>
          <w:tcPr>
            <w:tcW w:w="1559" w:type="dxa"/>
            <w:tcBorders>
              <w:top w:val="nil"/>
              <w:left w:val="nil"/>
              <w:bottom w:val="nil"/>
              <w:right w:val="nil"/>
            </w:tcBorders>
            <w:shd w:val="clear" w:color="000000" w:fill="CCCCFF"/>
            <w:noWrap/>
            <w:vAlign w:val="bottom"/>
            <w:hideMark/>
          </w:tcPr>
          <w:p w14:paraId="5E266B6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02F248D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71E5269C"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6806CBC"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37D86F3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27.000,00</w:t>
            </w:r>
          </w:p>
        </w:tc>
        <w:tc>
          <w:tcPr>
            <w:tcW w:w="1559" w:type="dxa"/>
            <w:tcBorders>
              <w:top w:val="nil"/>
              <w:left w:val="nil"/>
              <w:bottom w:val="nil"/>
              <w:right w:val="nil"/>
            </w:tcBorders>
            <w:shd w:val="clear" w:color="000000" w:fill="CCCCFF"/>
            <w:noWrap/>
            <w:vAlign w:val="bottom"/>
            <w:hideMark/>
          </w:tcPr>
          <w:p w14:paraId="05307C9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27.000,00</w:t>
            </w:r>
          </w:p>
        </w:tc>
        <w:tc>
          <w:tcPr>
            <w:tcW w:w="1559" w:type="dxa"/>
            <w:tcBorders>
              <w:top w:val="nil"/>
              <w:left w:val="nil"/>
              <w:bottom w:val="nil"/>
              <w:right w:val="nil"/>
            </w:tcBorders>
            <w:shd w:val="clear" w:color="000000" w:fill="CCCCFF"/>
            <w:noWrap/>
            <w:vAlign w:val="bottom"/>
            <w:hideMark/>
          </w:tcPr>
          <w:p w14:paraId="3029336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37A5E23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601AF7D6" w14:textId="77777777" w:rsidTr="008A61B1">
        <w:trPr>
          <w:trHeight w:val="255"/>
        </w:trPr>
        <w:tc>
          <w:tcPr>
            <w:tcW w:w="1134" w:type="dxa"/>
            <w:tcBorders>
              <w:top w:val="nil"/>
              <w:left w:val="nil"/>
              <w:bottom w:val="nil"/>
              <w:right w:val="nil"/>
            </w:tcBorders>
            <w:noWrap/>
            <w:vAlign w:val="bottom"/>
            <w:hideMark/>
          </w:tcPr>
          <w:p w14:paraId="7F07107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4D0F0DA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558AAB1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27.000,00</w:t>
            </w:r>
          </w:p>
        </w:tc>
        <w:tc>
          <w:tcPr>
            <w:tcW w:w="1559" w:type="dxa"/>
            <w:tcBorders>
              <w:top w:val="nil"/>
              <w:left w:val="nil"/>
              <w:bottom w:val="nil"/>
              <w:right w:val="nil"/>
            </w:tcBorders>
            <w:noWrap/>
            <w:vAlign w:val="bottom"/>
            <w:hideMark/>
          </w:tcPr>
          <w:p w14:paraId="43D23D6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27.000,00</w:t>
            </w:r>
          </w:p>
        </w:tc>
        <w:tc>
          <w:tcPr>
            <w:tcW w:w="1559" w:type="dxa"/>
            <w:tcBorders>
              <w:top w:val="nil"/>
              <w:left w:val="nil"/>
              <w:bottom w:val="nil"/>
              <w:right w:val="nil"/>
            </w:tcBorders>
            <w:noWrap/>
            <w:vAlign w:val="bottom"/>
            <w:hideMark/>
          </w:tcPr>
          <w:p w14:paraId="738ADDD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316DE5F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3EB8D5EC" w14:textId="77777777" w:rsidTr="008A61B1">
        <w:trPr>
          <w:trHeight w:val="585"/>
        </w:trPr>
        <w:tc>
          <w:tcPr>
            <w:tcW w:w="6096" w:type="dxa"/>
            <w:gridSpan w:val="2"/>
            <w:tcBorders>
              <w:top w:val="nil"/>
              <w:left w:val="nil"/>
              <w:bottom w:val="nil"/>
              <w:right w:val="nil"/>
            </w:tcBorders>
            <w:shd w:val="clear" w:color="000000" w:fill="FF9900"/>
            <w:vAlign w:val="bottom"/>
            <w:hideMark/>
          </w:tcPr>
          <w:p w14:paraId="05A2A9C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1605 Program: INVESTICIJE NA OBJEKTIMA OD JAVNOG INTERESA</w:t>
            </w:r>
          </w:p>
        </w:tc>
        <w:tc>
          <w:tcPr>
            <w:tcW w:w="1559" w:type="dxa"/>
            <w:tcBorders>
              <w:top w:val="nil"/>
              <w:left w:val="nil"/>
              <w:bottom w:val="nil"/>
              <w:right w:val="nil"/>
            </w:tcBorders>
            <w:shd w:val="clear" w:color="000000" w:fill="FF9900"/>
            <w:noWrap/>
            <w:vAlign w:val="bottom"/>
            <w:hideMark/>
          </w:tcPr>
          <w:p w14:paraId="4C590E3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175.000,00</w:t>
            </w:r>
          </w:p>
        </w:tc>
        <w:tc>
          <w:tcPr>
            <w:tcW w:w="1559" w:type="dxa"/>
            <w:tcBorders>
              <w:top w:val="nil"/>
              <w:left w:val="nil"/>
              <w:bottom w:val="nil"/>
              <w:right w:val="nil"/>
            </w:tcBorders>
            <w:shd w:val="clear" w:color="000000" w:fill="FF9900"/>
            <w:noWrap/>
            <w:vAlign w:val="bottom"/>
            <w:hideMark/>
          </w:tcPr>
          <w:p w14:paraId="0F84222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166.940,00</w:t>
            </w:r>
          </w:p>
        </w:tc>
        <w:tc>
          <w:tcPr>
            <w:tcW w:w="1559" w:type="dxa"/>
            <w:tcBorders>
              <w:top w:val="nil"/>
              <w:left w:val="nil"/>
              <w:bottom w:val="nil"/>
              <w:right w:val="nil"/>
            </w:tcBorders>
            <w:shd w:val="clear" w:color="000000" w:fill="FF9900"/>
            <w:noWrap/>
            <w:vAlign w:val="bottom"/>
            <w:hideMark/>
          </w:tcPr>
          <w:p w14:paraId="5B1F5D3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shd w:val="clear" w:color="000000" w:fill="FF9900"/>
            <w:noWrap/>
            <w:vAlign w:val="bottom"/>
            <w:hideMark/>
          </w:tcPr>
          <w:p w14:paraId="5D486E3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02C20E88" w14:textId="77777777" w:rsidTr="008A61B1">
        <w:trPr>
          <w:trHeight w:val="570"/>
        </w:trPr>
        <w:tc>
          <w:tcPr>
            <w:tcW w:w="6096" w:type="dxa"/>
            <w:gridSpan w:val="2"/>
            <w:tcBorders>
              <w:top w:val="nil"/>
              <w:left w:val="nil"/>
              <w:bottom w:val="nil"/>
              <w:right w:val="nil"/>
            </w:tcBorders>
            <w:shd w:val="clear" w:color="000000" w:fill="FFFF99"/>
            <w:vAlign w:val="bottom"/>
            <w:hideMark/>
          </w:tcPr>
          <w:p w14:paraId="53F3A37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K100033 Kapitalni projekt: LEGALIZACIJA OBJEKATA U VLASNIŠTVU GRADA</w:t>
            </w:r>
          </w:p>
        </w:tc>
        <w:tc>
          <w:tcPr>
            <w:tcW w:w="1559" w:type="dxa"/>
            <w:tcBorders>
              <w:top w:val="nil"/>
              <w:left w:val="nil"/>
              <w:bottom w:val="nil"/>
              <w:right w:val="nil"/>
            </w:tcBorders>
            <w:shd w:val="clear" w:color="000000" w:fill="FFFF99"/>
            <w:noWrap/>
            <w:vAlign w:val="bottom"/>
            <w:hideMark/>
          </w:tcPr>
          <w:p w14:paraId="44D1DE5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12.500,00</w:t>
            </w:r>
          </w:p>
        </w:tc>
        <w:tc>
          <w:tcPr>
            <w:tcW w:w="1559" w:type="dxa"/>
            <w:tcBorders>
              <w:top w:val="nil"/>
              <w:left w:val="nil"/>
              <w:bottom w:val="nil"/>
              <w:right w:val="nil"/>
            </w:tcBorders>
            <w:shd w:val="clear" w:color="000000" w:fill="FFFF99"/>
            <w:noWrap/>
            <w:vAlign w:val="bottom"/>
            <w:hideMark/>
          </w:tcPr>
          <w:p w14:paraId="424AD97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11.940,00</w:t>
            </w:r>
          </w:p>
        </w:tc>
        <w:tc>
          <w:tcPr>
            <w:tcW w:w="1559" w:type="dxa"/>
            <w:tcBorders>
              <w:top w:val="nil"/>
              <w:left w:val="nil"/>
              <w:bottom w:val="nil"/>
              <w:right w:val="nil"/>
            </w:tcBorders>
            <w:shd w:val="clear" w:color="000000" w:fill="FFFF99"/>
            <w:noWrap/>
            <w:vAlign w:val="bottom"/>
            <w:hideMark/>
          </w:tcPr>
          <w:p w14:paraId="4C847BD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shd w:val="clear" w:color="000000" w:fill="FFFF99"/>
            <w:noWrap/>
            <w:vAlign w:val="bottom"/>
            <w:hideMark/>
          </w:tcPr>
          <w:p w14:paraId="1191003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32B316D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9B434FF"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4162005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12.500,00</w:t>
            </w:r>
          </w:p>
        </w:tc>
        <w:tc>
          <w:tcPr>
            <w:tcW w:w="1559" w:type="dxa"/>
            <w:tcBorders>
              <w:top w:val="nil"/>
              <w:left w:val="nil"/>
              <w:bottom w:val="nil"/>
              <w:right w:val="nil"/>
            </w:tcBorders>
            <w:shd w:val="clear" w:color="000000" w:fill="CCCCFF"/>
            <w:noWrap/>
            <w:vAlign w:val="bottom"/>
            <w:hideMark/>
          </w:tcPr>
          <w:p w14:paraId="67B3008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11.940,00</w:t>
            </w:r>
          </w:p>
        </w:tc>
        <w:tc>
          <w:tcPr>
            <w:tcW w:w="1559" w:type="dxa"/>
            <w:tcBorders>
              <w:top w:val="nil"/>
              <w:left w:val="nil"/>
              <w:bottom w:val="nil"/>
              <w:right w:val="nil"/>
            </w:tcBorders>
            <w:shd w:val="clear" w:color="000000" w:fill="CCCCFF"/>
            <w:noWrap/>
            <w:vAlign w:val="bottom"/>
            <w:hideMark/>
          </w:tcPr>
          <w:p w14:paraId="592965A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242ECE7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399783CC"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B807374"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lastRenderedPageBreak/>
              <w:t>Izvor 1.1. Opći prihodi i primici</w:t>
            </w:r>
          </w:p>
        </w:tc>
        <w:tc>
          <w:tcPr>
            <w:tcW w:w="1559" w:type="dxa"/>
            <w:tcBorders>
              <w:top w:val="nil"/>
              <w:left w:val="nil"/>
              <w:bottom w:val="nil"/>
              <w:right w:val="nil"/>
            </w:tcBorders>
            <w:shd w:val="clear" w:color="000000" w:fill="CCCCFF"/>
            <w:noWrap/>
            <w:vAlign w:val="bottom"/>
            <w:hideMark/>
          </w:tcPr>
          <w:p w14:paraId="29D9DCD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12.500,00</w:t>
            </w:r>
          </w:p>
        </w:tc>
        <w:tc>
          <w:tcPr>
            <w:tcW w:w="1559" w:type="dxa"/>
            <w:tcBorders>
              <w:top w:val="nil"/>
              <w:left w:val="nil"/>
              <w:bottom w:val="nil"/>
              <w:right w:val="nil"/>
            </w:tcBorders>
            <w:shd w:val="clear" w:color="000000" w:fill="CCCCFF"/>
            <w:noWrap/>
            <w:vAlign w:val="bottom"/>
            <w:hideMark/>
          </w:tcPr>
          <w:p w14:paraId="25FA0AA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11.940,00</w:t>
            </w:r>
          </w:p>
        </w:tc>
        <w:tc>
          <w:tcPr>
            <w:tcW w:w="1559" w:type="dxa"/>
            <w:tcBorders>
              <w:top w:val="nil"/>
              <w:left w:val="nil"/>
              <w:bottom w:val="nil"/>
              <w:right w:val="nil"/>
            </w:tcBorders>
            <w:shd w:val="clear" w:color="000000" w:fill="CCCCFF"/>
            <w:noWrap/>
            <w:vAlign w:val="bottom"/>
            <w:hideMark/>
          </w:tcPr>
          <w:p w14:paraId="0478A89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23E8EB4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0D74BC70" w14:textId="77777777" w:rsidTr="008A61B1">
        <w:trPr>
          <w:trHeight w:val="525"/>
        </w:trPr>
        <w:tc>
          <w:tcPr>
            <w:tcW w:w="1134" w:type="dxa"/>
            <w:tcBorders>
              <w:top w:val="nil"/>
              <w:left w:val="nil"/>
              <w:bottom w:val="nil"/>
              <w:right w:val="nil"/>
            </w:tcBorders>
            <w:noWrap/>
            <w:vAlign w:val="bottom"/>
            <w:hideMark/>
          </w:tcPr>
          <w:p w14:paraId="04A8040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3CAE342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02130F2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12.500,00</w:t>
            </w:r>
          </w:p>
        </w:tc>
        <w:tc>
          <w:tcPr>
            <w:tcW w:w="1559" w:type="dxa"/>
            <w:tcBorders>
              <w:top w:val="nil"/>
              <w:left w:val="nil"/>
              <w:bottom w:val="nil"/>
              <w:right w:val="nil"/>
            </w:tcBorders>
            <w:noWrap/>
            <w:vAlign w:val="bottom"/>
            <w:hideMark/>
          </w:tcPr>
          <w:p w14:paraId="3038853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11.940,00</w:t>
            </w:r>
          </w:p>
        </w:tc>
        <w:tc>
          <w:tcPr>
            <w:tcW w:w="1559" w:type="dxa"/>
            <w:tcBorders>
              <w:top w:val="nil"/>
              <w:left w:val="nil"/>
              <w:bottom w:val="nil"/>
              <w:right w:val="nil"/>
            </w:tcBorders>
            <w:noWrap/>
            <w:vAlign w:val="bottom"/>
            <w:hideMark/>
          </w:tcPr>
          <w:p w14:paraId="035A434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38D2E3A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300243FF" w14:textId="77777777" w:rsidTr="008A61B1">
        <w:trPr>
          <w:trHeight w:val="465"/>
        </w:trPr>
        <w:tc>
          <w:tcPr>
            <w:tcW w:w="6096" w:type="dxa"/>
            <w:gridSpan w:val="2"/>
            <w:tcBorders>
              <w:top w:val="nil"/>
              <w:left w:val="nil"/>
              <w:bottom w:val="nil"/>
              <w:right w:val="nil"/>
            </w:tcBorders>
            <w:shd w:val="clear" w:color="000000" w:fill="FFFF99"/>
            <w:vAlign w:val="bottom"/>
            <w:hideMark/>
          </w:tcPr>
          <w:p w14:paraId="526DD9B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K100049 Kapitalni projekt: ETAŽIRANJE OBJEKATA U VLASNIŠTVU GRADA </w:t>
            </w:r>
          </w:p>
        </w:tc>
        <w:tc>
          <w:tcPr>
            <w:tcW w:w="1559" w:type="dxa"/>
            <w:tcBorders>
              <w:top w:val="nil"/>
              <w:left w:val="nil"/>
              <w:bottom w:val="nil"/>
              <w:right w:val="nil"/>
            </w:tcBorders>
            <w:shd w:val="clear" w:color="000000" w:fill="FFFF99"/>
            <w:noWrap/>
            <w:vAlign w:val="bottom"/>
            <w:hideMark/>
          </w:tcPr>
          <w:p w14:paraId="5B4566A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12.500,00</w:t>
            </w:r>
          </w:p>
        </w:tc>
        <w:tc>
          <w:tcPr>
            <w:tcW w:w="1559" w:type="dxa"/>
            <w:tcBorders>
              <w:top w:val="nil"/>
              <w:left w:val="nil"/>
              <w:bottom w:val="nil"/>
              <w:right w:val="nil"/>
            </w:tcBorders>
            <w:shd w:val="clear" w:color="000000" w:fill="FFFF99"/>
            <w:noWrap/>
            <w:vAlign w:val="bottom"/>
            <w:hideMark/>
          </w:tcPr>
          <w:p w14:paraId="1080824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12.500,00</w:t>
            </w:r>
          </w:p>
        </w:tc>
        <w:tc>
          <w:tcPr>
            <w:tcW w:w="1559" w:type="dxa"/>
            <w:tcBorders>
              <w:top w:val="nil"/>
              <w:left w:val="nil"/>
              <w:bottom w:val="nil"/>
              <w:right w:val="nil"/>
            </w:tcBorders>
            <w:shd w:val="clear" w:color="000000" w:fill="FFFF99"/>
            <w:noWrap/>
            <w:vAlign w:val="bottom"/>
            <w:hideMark/>
          </w:tcPr>
          <w:p w14:paraId="2D1243D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shd w:val="clear" w:color="000000" w:fill="FFFF99"/>
            <w:noWrap/>
            <w:vAlign w:val="bottom"/>
            <w:hideMark/>
          </w:tcPr>
          <w:p w14:paraId="30C27B5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7E6C13BC"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1F7587D"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690A9ED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12.500,00</w:t>
            </w:r>
          </w:p>
        </w:tc>
        <w:tc>
          <w:tcPr>
            <w:tcW w:w="1559" w:type="dxa"/>
            <w:tcBorders>
              <w:top w:val="nil"/>
              <w:left w:val="nil"/>
              <w:bottom w:val="nil"/>
              <w:right w:val="nil"/>
            </w:tcBorders>
            <w:shd w:val="clear" w:color="000000" w:fill="CCCCFF"/>
            <w:noWrap/>
            <w:vAlign w:val="bottom"/>
            <w:hideMark/>
          </w:tcPr>
          <w:p w14:paraId="577D238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12.500,00</w:t>
            </w:r>
          </w:p>
        </w:tc>
        <w:tc>
          <w:tcPr>
            <w:tcW w:w="1559" w:type="dxa"/>
            <w:tcBorders>
              <w:top w:val="nil"/>
              <w:left w:val="nil"/>
              <w:bottom w:val="nil"/>
              <w:right w:val="nil"/>
            </w:tcBorders>
            <w:shd w:val="clear" w:color="000000" w:fill="CCCCFF"/>
            <w:noWrap/>
            <w:vAlign w:val="bottom"/>
            <w:hideMark/>
          </w:tcPr>
          <w:p w14:paraId="76C8E86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14899D8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18841D6D"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33E0424"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4D31A1D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12.500,00</w:t>
            </w:r>
          </w:p>
        </w:tc>
        <w:tc>
          <w:tcPr>
            <w:tcW w:w="1559" w:type="dxa"/>
            <w:tcBorders>
              <w:top w:val="nil"/>
              <w:left w:val="nil"/>
              <w:bottom w:val="nil"/>
              <w:right w:val="nil"/>
            </w:tcBorders>
            <w:shd w:val="clear" w:color="000000" w:fill="CCCCFF"/>
            <w:noWrap/>
            <w:vAlign w:val="bottom"/>
            <w:hideMark/>
          </w:tcPr>
          <w:p w14:paraId="041A508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12.500,00</w:t>
            </w:r>
          </w:p>
        </w:tc>
        <w:tc>
          <w:tcPr>
            <w:tcW w:w="1559" w:type="dxa"/>
            <w:tcBorders>
              <w:top w:val="nil"/>
              <w:left w:val="nil"/>
              <w:bottom w:val="nil"/>
              <w:right w:val="nil"/>
            </w:tcBorders>
            <w:shd w:val="clear" w:color="000000" w:fill="CCCCFF"/>
            <w:noWrap/>
            <w:vAlign w:val="bottom"/>
            <w:hideMark/>
          </w:tcPr>
          <w:p w14:paraId="0090375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37A6E3F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2039DB9D" w14:textId="77777777" w:rsidTr="008A61B1">
        <w:trPr>
          <w:trHeight w:val="540"/>
        </w:trPr>
        <w:tc>
          <w:tcPr>
            <w:tcW w:w="1134" w:type="dxa"/>
            <w:tcBorders>
              <w:top w:val="nil"/>
              <w:left w:val="nil"/>
              <w:bottom w:val="nil"/>
              <w:right w:val="nil"/>
            </w:tcBorders>
            <w:noWrap/>
            <w:vAlign w:val="bottom"/>
            <w:hideMark/>
          </w:tcPr>
          <w:p w14:paraId="1F69A15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32601A3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2BD9A67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12.500,00</w:t>
            </w:r>
          </w:p>
        </w:tc>
        <w:tc>
          <w:tcPr>
            <w:tcW w:w="1559" w:type="dxa"/>
            <w:tcBorders>
              <w:top w:val="nil"/>
              <w:left w:val="nil"/>
              <w:bottom w:val="nil"/>
              <w:right w:val="nil"/>
            </w:tcBorders>
            <w:noWrap/>
            <w:vAlign w:val="bottom"/>
            <w:hideMark/>
          </w:tcPr>
          <w:p w14:paraId="57D4D75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12.500,00</w:t>
            </w:r>
          </w:p>
        </w:tc>
        <w:tc>
          <w:tcPr>
            <w:tcW w:w="1559" w:type="dxa"/>
            <w:tcBorders>
              <w:top w:val="nil"/>
              <w:left w:val="nil"/>
              <w:bottom w:val="nil"/>
              <w:right w:val="nil"/>
            </w:tcBorders>
            <w:noWrap/>
            <w:vAlign w:val="bottom"/>
            <w:hideMark/>
          </w:tcPr>
          <w:p w14:paraId="1B55D47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46C5758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263B4B57" w14:textId="77777777" w:rsidTr="008A61B1">
        <w:trPr>
          <w:trHeight w:val="555"/>
        </w:trPr>
        <w:tc>
          <w:tcPr>
            <w:tcW w:w="6096" w:type="dxa"/>
            <w:gridSpan w:val="2"/>
            <w:tcBorders>
              <w:top w:val="nil"/>
              <w:left w:val="nil"/>
              <w:bottom w:val="nil"/>
              <w:right w:val="nil"/>
            </w:tcBorders>
            <w:shd w:val="clear" w:color="000000" w:fill="FFFF99"/>
            <w:vAlign w:val="bottom"/>
            <w:hideMark/>
          </w:tcPr>
          <w:p w14:paraId="66AAD24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K100117 Kapitalni projekt: SUFINANCIRANJE IZGRADNJE POS STANOVA </w:t>
            </w:r>
          </w:p>
        </w:tc>
        <w:tc>
          <w:tcPr>
            <w:tcW w:w="1559" w:type="dxa"/>
            <w:tcBorders>
              <w:top w:val="nil"/>
              <w:left w:val="nil"/>
              <w:bottom w:val="nil"/>
              <w:right w:val="nil"/>
            </w:tcBorders>
            <w:shd w:val="clear" w:color="000000" w:fill="FFFF99"/>
            <w:noWrap/>
            <w:vAlign w:val="bottom"/>
            <w:hideMark/>
          </w:tcPr>
          <w:p w14:paraId="4251C92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150.000,00</w:t>
            </w:r>
          </w:p>
        </w:tc>
        <w:tc>
          <w:tcPr>
            <w:tcW w:w="1559" w:type="dxa"/>
            <w:tcBorders>
              <w:top w:val="nil"/>
              <w:left w:val="nil"/>
              <w:bottom w:val="nil"/>
              <w:right w:val="nil"/>
            </w:tcBorders>
            <w:shd w:val="clear" w:color="000000" w:fill="FFFF99"/>
            <w:noWrap/>
            <w:vAlign w:val="bottom"/>
            <w:hideMark/>
          </w:tcPr>
          <w:p w14:paraId="569DE0F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142.500,00</w:t>
            </w:r>
          </w:p>
        </w:tc>
        <w:tc>
          <w:tcPr>
            <w:tcW w:w="1559" w:type="dxa"/>
            <w:tcBorders>
              <w:top w:val="nil"/>
              <w:left w:val="nil"/>
              <w:bottom w:val="nil"/>
              <w:right w:val="nil"/>
            </w:tcBorders>
            <w:shd w:val="clear" w:color="000000" w:fill="FFFF99"/>
            <w:noWrap/>
            <w:vAlign w:val="bottom"/>
            <w:hideMark/>
          </w:tcPr>
          <w:p w14:paraId="01CB2AE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shd w:val="clear" w:color="000000" w:fill="FFFF99"/>
            <w:noWrap/>
            <w:vAlign w:val="bottom"/>
            <w:hideMark/>
          </w:tcPr>
          <w:p w14:paraId="6A38F5D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698222AE"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BC60F1D"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083EA27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150.000,00</w:t>
            </w:r>
          </w:p>
        </w:tc>
        <w:tc>
          <w:tcPr>
            <w:tcW w:w="1559" w:type="dxa"/>
            <w:tcBorders>
              <w:top w:val="nil"/>
              <w:left w:val="nil"/>
              <w:bottom w:val="nil"/>
              <w:right w:val="nil"/>
            </w:tcBorders>
            <w:shd w:val="clear" w:color="000000" w:fill="CCCCFF"/>
            <w:noWrap/>
            <w:vAlign w:val="bottom"/>
            <w:hideMark/>
          </w:tcPr>
          <w:p w14:paraId="65EB0A9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142.500,00</w:t>
            </w:r>
          </w:p>
        </w:tc>
        <w:tc>
          <w:tcPr>
            <w:tcW w:w="1559" w:type="dxa"/>
            <w:tcBorders>
              <w:top w:val="nil"/>
              <w:left w:val="nil"/>
              <w:bottom w:val="nil"/>
              <w:right w:val="nil"/>
            </w:tcBorders>
            <w:shd w:val="clear" w:color="000000" w:fill="CCCCFF"/>
            <w:noWrap/>
            <w:vAlign w:val="bottom"/>
            <w:hideMark/>
          </w:tcPr>
          <w:p w14:paraId="0502238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3E193E9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0D7CAFF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0795D87"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0B05E89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150.000,00</w:t>
            </w:r>
          </w:p>
        </w:tc>
        <w:tc>
          <w:tcPr>
            <w:tcW w:w="1559" w:type="dxa"/>
            <w:tcBorders>
              <w:top w:val="nil"/>
              <w:left w:val="nil"/>
              <w:bottom w:val="nil"/>
              <w:right w:val="nil"/>
            </w:tcBorders>
            <w:shd w:val="clear" w:color="000000" w:fill="CCCCFF"/>
            <w:noWrap/>
            <w:vAlign w:val="bottom"/>
            <w:hideMark/>
          </w:tcPr>
          <w:p w14:paraId="7CB9064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142.500,00</w:t>
            </w:r>
          </w:p>
        </w:tc>
        <w:tc>
          <w:tcPr>
            <w:tcW w:w="1559" w:type="dxa"/>
            <w:tcBorders>
              <w:top w:val="nil"/>
              <w:left w:val="nil"/>
              <w:bottom w:val="nil"/>
              <w:right w:val="nil"/>
            </w:tcBorders>
            <w:shd w:val="clear" w:color="000000" w:fill="CCCCFF"/>
            <w:noWrap/>
            <w:vAlign w:val="bottom"/>
            <w:hideMark/>
          </w:tcPr>
          <w:p w14:paraId="6132C3A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7389EE0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52021790" w14:textId="77777777" w:rsidTr="008A61B1">
        <w:trPr>
          <w:trHeight w:val="570"/>
        </w:trPr>
        <w:tc>
          <w:tcPr>
            <w:tcW w:w="1134" w:type="dxa"/>
            <w:tcBorders>
              <w:top w:val="nil"/>
              <w:left w:val="nil"/>
              <w:bottom w:val="nil"/>
              <w:right w:val="nil"/>
            </w:tcBorders>
            <w:noWrap/>
            <w:vAlign w:val="bottom"/>
            <w:hideMark/>
          </w:tcPr>
          <w:p w14:paraId="0377B70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36</w:t>
            </w:r>
          </w:p>
        </w:tc>
        <w:tc>
          <w:tcPr>
            <w:tcW w:w="4962" w:type="dxa"/>
            <w:tcBorders>
              <w:top w:val="nil"/>
              <w:left w:val="nil"/>
              <w:bottom w:val="nil"/>
              <w:right w:val="nil"/>
            </w:tcBorders>
            <w:vAlign w:val="bottom"/>
            <w:hideMark/>
          </w:tcPr>
          <w:p w14:paraId="22B4692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Pomoći dane u inozemstvo i unutar općeg proračuna</w:t>
            </w:r>
          </w:p>
        </w:tc>
        <w:tc>
          <w:tcPr>
            <w:tcW w:w="1559" w:type="dxa"/>
            <w:tcBorders>
              <w:top w:val="nil"/>
              <w:left w:val="nil"/>
              <w:bottom w:val="nil"/>
              <w:right w:val="nil"/>
            </w:tcBorders>
            <w:noWrap/>
            <w:vAlign w:val="bottom"/>
            <w:hideMark/>
          </w:tcPr>
          <w:p w14:paraId="7E328AB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150.000,00</w:t>
            </w:r>
          </w:p>
        </w:tc>
        <w:tc>
          <w:tcPr>
            <w:tcW w:w="1559" w:type="dxa"/>
            <w:tcBorders>
              <w:top w:val="nil"/>
              <w:left w:val="nil"/>
              <w:bottom w:val="nil"/>
              <w:right w:val="nil"/>
            </w:tcBorders>
            <w:noWrap/>
            <w:vAlign w:val="bottom"/>
            <w:hideMark/>
          </w:tcPr>
          <w:p w14:paraId="7400FD0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142.500,00</w:t>
            </w:r>
          </w:p>
        </w:tc>
        <w:tc>
          <w:tcPr>
            <w:tcW w:w="1559" w:type="dxa"/>
            <w:tcBorders>
              <w:top w:val="nil"/>
              <w:left w:val="nil"/>
              <w:bottom w:val="nil"/>
              <w:right w:val="nil"/>
            </w:tcBorders>
            <w:noWrap/>
            <w:vAlign w:val="bottom"/>
            <w:hideMark/>
          </w:tcPr>
          <w:p w14:paraId="64F8C2B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3654104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61A41D53" w14:textId="77777777" w:rsidTr="008A61B1">
        <w:trPr>
          <w:trHeight w:val="255"/>
        </w:trPr>
        <w:tc>
          <w:tcPr>
            <w:tcW w:w="6096" w:type="dxa"/>
            <w:gridSpan w:val="2"/>
            <w:tcBorders>
              <w:top w:val="nil"/>
              <w:left w:val="nil"/>
              <w:bottom w:val="nil"/>
              <w:right w:val="nil"/>
            </w:tcBorders>
            <w:shd w:val="clear" w:color="000000" w:fill="FF9900"/>
            <w:noWrap/>
            <w:vAlign w:val="bottom"/>
            <w:hideMark/>
          </w:tcPr>
          <w:p w14:paraId="354ED4F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1609 Program: UPRAVLJANJE IMOVINOM </w:t>
            </w:r>
          </w:p>
        </w:tc>
        <w:tc>
          <w:tcPr>
            <w:tcW w:w="1559" w:type="dxa"/>
            <w:tcBorders>
              <w:top w:val="nil"/>
              <w:left w:val="nil"/>
              <w:bottom w:val="nil"/>
              <w:right w:val="nil"/>
            </w:tcBorders>
            <w:shd w:val="clear" w:color="000000" w:fill="FF9900"/>
            <w:noWrap/>
            <w:vAlign w:val="bottom"/>
            <w:hideMark/>
          </w:tcPr>
          <w:p w14:paraId="2C4DDA6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500.190,00</w:t>
            </w:r>
          </w:p>
        </w:tc>
        <w:tc>
          <w:tcPr>
            <w:tcW w:w="1559" w:type="dxa"/>
            <w:tcBorders>
              <w:top w:val="nil"/>
              <w:left w:val="nil"/>
              <w:bottom w:val="nil"/>
              <w:right w:val="nil"/>
            </w:tcBorders>
            <w:shd w:val="clear" w:color="000000" w:fill="FF9900"/>
            <w:noWrap/>
            <w:vAlign w:val="bottom"/>
            <w:hideMark/>
          </w:tcPr>
          <w:p w14:paraId="41C0A23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616.626,00</w:t>
            </w:r>
          </w:p>
        </w:tc>
        <w:tc>
          <w:tcPr>
            <w:tcW w:w="1559" w:type="dxa"/>
            <w:tcBorders>
              <w:top w:val="nil"/>
              <w:left w:val="nil"/>
              <w:bottom w:val="nil"/>
              <w:right w:val="nil"/>
            </w:tcBorders>
            <w:shd w:val="clear" w:color="000000" w:fill="FF9900"/>
            <w:noWrap/>
            <w:vAlign w:val="bottom"/>
            <w:hideMark/>
          </w:tcPr>
          <w:p w14:paraId="161C216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578.625,72</w:t>
            </w:r>
          </w:p>
        </w:tc>
        <w:tc>
          <w:tcPr>
            <w:tcW w:w="993" w:type="dxa"/>
            <w:tcBorders>
              <w:top w:val="nil"/>
              <w:left w:val="nil"/>
              <w:bottom w:val="nil"/>
              <w:right w:val="nil"/>
            </w:tcBorders>
            <w:shd w:val="clear" w:color="000000" w:fill="FF9900"/>
            <w:noWrap/>
            <w:vAlign w:val="bottom"/>
            <w:hideMark/>
          </w:tcPr>
          <w:p w14:paraId="503A24D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93,84%</w:t>
            </w:r>
          </w:p>
        </w:tc>
      </w:tr>
      <w:tr w:rsidR="006967F8" w:rsidRPr="006967F8" w14:paraId="5EAFAB85" w14:textId="77777777" w:rsidTr="008A61B1">
        <w:trPr>
          <w:trHeight w:val="570"/>
        </w:trPr>
        <w:tc>
          <w:tcPr>
            <w:tcW w:w="6096" w:type="dxa"/>
            <w:gridSpan w:val="2"/>
            <w:tcBorders>
              <w:top w:val="nil"/>
              <w:left w:val="nil"/>
              <w:bottom w:val="nil"/>
              <w:right w:val="nil"/>
            </w:tcBorders>
            <w:shd w:val="clear" w:color="000000" w:fill="FFFF99"/>
            <w:vAlign w:val="bottom"/>
            <w:hideMark/>
          </w:tcPr>
          <w:p w14:paraId="7005F57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A100072 Aktivnost: POKRIĆE TROŠKOVA PRIJEVOZA PUTNIKA U JAVNOM PROMETU </w:t>
            </w:r>
          </w:p>
        </w:tc>
        <w:tc>
          <w:tcPr>
            <w:tcW w:w="1559" w:type="dxa"/>
            <w:tcBorders>
              <w:top w:val="nil"/>
              <w:left w:val="nil"/>
              <w:bottom w:val="nil"/>
              <w:right w:val="nil"/>
            </w:tcBorders>
            <w:shd w:val="clear" w:color="000000" w:fill="FFFF99"/>
            <w:noWrap/>
            <w:vAlign w:val="bottom"/>
            <w:hideMark/>
          </w:tcPr>
          <w:p w14:paraId="2FA6707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430.000,00</w:t>
            </w:r>
          </w:p>
        </w:tc>
        <w:tc>
          <w:tcPr>
            <w:tcW w:w="1559" w:type="dxa"/>
            <w:tcBorders>
              <w:top w:val="nil"/>
              <w:left w:val="nil"/>
              <w:bottom w:val="nil"/>
              <w:right w:val="nil"/>
            </w:tcBorders>
            <w:shd w:val="clear" w:color="000000" w:fill="FFFF99"/>
            <w:noWrap/>
            <w:vAlign w:val="bottom"/>
            <w:hideMark/>
          </w:tcPr>
          <w:p w14:paraId="1F35022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547.876,00</w:t>
            </w:r>
          </w:p>
        </w:tc>
        <w:tc>
          <w:tcPr>
            <w:tcW w:w="1559" w:type="dxa"/>
            <w:tcBorders>
              <w:top w:val="nil"/>
              <w:left w:val="nil"/>
              <w:bottom w:val="nil"/>
              <w:right w:val="nil"/>
            </w:tcBorders>
            <w:shd w:val="clear" w:color="000000" w:fill="FFFF99"/>
            <w:noWrap/>
            <w:vAlign w:val="bottom"/>
            <w:hideMark/>
          </w:tcPr>
          <w:p w14:paraId="4FA0A79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547.875,72</w:t>
            </w:r>
          </w:p>
        </w:tc>
        <w:tc>
          <w:tcPr>
            <w:tcW w:w="993" w:type="dxa"/>
            <w:tcBorders>
              <w:top w:val="nil"/>
              <w:left w:val="nil"/>
              <w:bottom w:val="nil"/>
              <w:right w:val="nil"/>
            </w:tcBorders>
            <w:shd w:val="clear" w:color="000000" w:fill="FFFF99"/>
            <w:noWrap/>
            <w:vAlign w:val="bottom"/>
            <w:hideMark/>
          </w:tcPr>
          <w:p w14:paraId="6149939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r>
      <w:tr w:rsidR="006967F8" w:rsidRPr="006967F8" w14:paraId="3E866CD9"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453F8D7"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747E1CA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383.000,00</w:t>
            </w:r>
          </w:p>
        </w:tc>
        <w:tc>
          <w:tcPr>
            <w:tcW w:w="1559" w:type="dxa"/>
            <w:tcBorders>
              <w:top w:val="nil"/>
              <w:left w:val="nil"/>
              <w:bottom w:val="nil"/>
              <w:right w:val="nil"/>
            </w:tcBorders>
            <w:shd w:val="clear" w:color="000000" w:fill="CCCCFF"/>
            <w:noWrap/>
            <w:vAlign w:val="bottom"/>
            <w:hideMark/>
          </w:tcPr>
          <w:p w14:paraId="251F317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415.876,00</w:t>
            </w:r>
          </w:p>
        </w:tc>
        <w:tc>
          <w:tcPr>
            <w:tcW w:w="1559" w:type="dxa"/>
            <w:tcBorders>
              <w:top w:val="nil"/>
              <w:left w:val="nil"/>
              <w:bottom w:val="nil"/>
              <w:right w:val="nil"/>
            </w:tcBorders>
            <w:shd w:val="clear" w:color="000000" w:fill="CCCCFF"/>
            <w:noWrap/>
            <w:vAlign w:val="bottom"/>
            <w:hideMark/>
          </w:tcPr>
          <w:p w14:paraId="38B9EF4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415.875,72</w:t>
            </w:r>
          </w:p>
        </w:tc>
        <w:tc>
          <w:tcPr>
            <w:tcW w:w="993" w:type="dxa"/>
            <w:tcBorders>
              <w:top w:val="nil"/>
              <w:left w:val="nil"/>
              <w:bottom w:val="nil"/>
              <w:right w:val="nil"/>
            </w:tcBorders>
            <w:shd w:val="clear" w:color="000000" w:fill="CCCCFF"/>
            <w:noWrap/>
            <w:vAlign w:val="bottom"/>
            <w:hideMark/>
          </w:tcPr>
          <w:p w14:paraId="501E894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49C270AD"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60A8FCE"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1E3BBCE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383.000,00</w:t>
            </w:r>
          </w:p>
        </w:tc>
        <w:tc>
          <w:tcPr>
            <w:tcW w:w="1559" w:type="dxa"/>
            <w:tcBorders>
              <w:top w:val="nil"/>
              <w:left w:val="nil"/>
              <w:bottom w:val="nil"/>
              <w:right w:val="nil"/>
            </w:tcBorders>
            <w:shd w:val="clear" w:color="000000" w:fill="CCCCFF"/>
            <w:noWrap/>
            <w:vAlign w:val="bottom"/>
            <w:hideMark/>
          </w:tcPr>
          <w:p w14:paraId="74CAFFC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415.876,00</w:t>
            </w:r>
          </w:p>
        </w:tc>
        <w:tc>
          <w:tcPr>
            <w:tcW w:w="1559" w:type="dxa"/>
            <w:tcBorders>
              <w:top w:val="nil"/>
              <w:left w:val="nil"/>
              <w:bottom w:val="nil"/>
              <w:right w:val="nil"/>
            </w:tcBorders>
            <w:shd w:val="clear" w:color="000000" w:fill="CCCCFF"/>
            <w:noWrap/>
            <w:vAlign w:val="bottom"/>
            <w:hideMark/>
          </w:tcPr>
          <w:p w14:paraId="2AC3338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415.875,72</w:t>
            </w:r>
          </w:p>
        </w:tc>
        <w:tc>
          <w:tcPr>
            <w:tcW w:w="993" w:type="dxa"/>
            <w:tcBorders>
              <w:top w:val="nil"/>
              <w:left w:val="nil"/>
              <w:bottom w:val="nil"/>
              <w:right w:val="nil"/>
            </w:tcBorders>
            <w:shd w:val="clear" w:color="000000" w:fill="CCCCFF"/>
            <w:noWrap/>
            <w:vAlign w:val="bottom"/>
            <w:hideMark/>
          </w:tcPr>
          <w:p w14:paraId="1D9DCCB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64D51F1F" w14:textId="77777777" w:rsidTr="008A61B1">
        <w:trPr>
          <w:trHeight w:val="255"/>
        </w:trPr>
        <w:tc>
          <w:tcPr>
            <w:tcW w:w="1134" w:type="dxa"/>
            <w:tcBorders>
              <w:top w:val="nil"/>
              <w:left w:val="nil"/>
              <w:bottom w:val="nil"/>
              <w:right w:val="nil"/>
            </w:tcBorders>
            <w:noWrap/>
            <w:vAlign w:val="bottom"/>
            <w:hideMark/>
          </w:tcPr>
          <w:p w14:paraId="4369768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35</w:t>
            </w:r>
          </w:p>
        </w:tc>
        <w:tc>
          <w:tcPr>
            <w:tcW w:w="4962" w:type="dxa"/>
            <w:tcBorders>
              <w:top w:val="nil"/>
              <w:left w:val="nil"/>
              <w:bottom w:val="nil"/>
              <w:right w:val="nil"/>
            </w:tcBorders>
            <w:noWrap/>
            <w:vAlign w:val="bottom"/>
            <w:hideMark/>
          </w:tcPr>
          <w:p w14:paraId="3FF54FD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Subvencije</w:t>
            </w:r>
          </w:p>
        </w:tc>
        <w:tc>
          <w:tcPr>
            <w:tcW w:w="1559" w:type="dxa"/>
            <w:tcBorders>
              <w:top w:val="nil"/>
              <w:left w:val="nil"/>
              <w:bottom w:val="nil"/>
              <w:right w:val="nil"/>
            </w:tcBorders>
            <w:noWrap/>
            <w:vAlign w:val="bottom"/>
            <w:hideMark/>
          </w:tcPr>
          <w:p w14:paraId="4105D94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383.000,00</w:t>
            </w:r>
          </w:p>
        </w:tc>
        <w:tc>
          <w:tcPr>
            <w:tcW w:w="1559" w:type="dxa"/>
            <w:tcBorders>
              <w:top w:val="nil"/>
              <w:left w:val="nil"/>
              <w:bottom w:val="nil"/>
              <w:right w:val="nil"/>
            </w:tcBorders>
            <w:noWrap/>
            <w:vAlign w:val="bottom"/>
            <w:hideMark/>
          </w:tcPr>
          <w:p w14:paraId="186D6CA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415.876,00</w:t>
            </w:r>
          </w:p>
        </w:tc>
        <w:tc>
          <w:tcPr>
            <w:tcW w:w="1559" w:type="dxa"/>
            <w:tcBorders>
              <w:top w:val="nil"/>
              <w:left w:val="nil"/>
              <w:bottom w:val="nil"/>
              <w:right w:val="nil"/>
            </w:tcBorders>
            <w:noWrap/>
            <w:vAlign w:val="bottom"/>
            <w:hideMark/>
          </w:tcPr>
          <w:p w14:paraId="38ED55A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415.875,72</w:t>
            </w:r>
          </w:p>
        </w:tc>
        <w:tc>
          <w:tcPr>
            <w:tcW w:w="993" w:type="dxa"/>
            <w:tcBorders>
              <w:top w:val="nil"/>
              <w:left w:val="nil"/>
              <w:bottom w:val="nil"/>
              <w:right w:val="nil"/>
            </w:tcBorders>
            <w:noWrap/>
            <w:vAlign w:val="bottom"/>
            <w:hideMark/>
          </w:tcPr>
          <w:p w14:paraId="03FB902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r>
      <w:tr w:rsidR="006967F8" w:rsidRPr="006967F8" w14:paraId="27B39A6A" w14:textId="77777777" w:rsidTr="008A61B1">
        <w:trPr>
          <w:trHeight w:val="255"/>
        </w:trPr>
        <w:tc>
          <w:tcPr>
            <w:tcW w:w="1134" w:type="dxa"/>
            <w:tcBorders>
              <w:top w:val="nil"/>
              <w:left w:val="nil"/>
              <w:bottom w:val="nil"/>
              <w:right w:val="nil"/>
            </w:tcBorders>
            <w:noWrap/>
            <w:vAlign w:val="bottom"/>
            <w:hideMark/>
          </w:tcPr>
          <w:p w14:paraId="5F17DFF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3512</w:t>
            </w:r>
          </w:p>
        </w:tc>
        <w:tc>
          <w:tcPr>
            <w:tcW w:w="4962" w:type="dxa"/>
            <w:tcBorders>
              <w:top w:val="nil"/>
              <w:left w:val="nil"/>
              <w:bottom w:val="nil"/>
              <w:right w:val="nil"/>
            </w:tcBorders>
            <w:noWrap/>
            <w:vAlign w:val="bottom"/>
            <w:hideMark/>
          </w:tcPr>
          <w:p w14:paraId="31F91D8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Subvencije trgovačkim društvima u javnom sektoru</w:t>
            </w:r>
          </w:p>
        </w:tc>
        <w:tc>
          <w:tcPr>
            <w:tcW w:w="1559" w:type="dxa"/>
            <w:tcBorders>
              <w:top w:val="nil"/>
              <w:left w:val="nil"/>
              <w:bottom w:val="nil"/>
              <w:right w:val="nil"/>
            </w:tcBorders>
            <w:noWrap/>
            <w:vAlign w:val="bottom"/>
            <w:hideMark/>
          </w:tcPr>
          <w:p w14:paraId="3CEE2FAA"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8A75704"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6C1E827"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415.875,72</w:t>
            </w:r>
          </w:p>
        </w:tc>
        <w:tc>
          <w:tcPr>
            <w:tcW w:w="993" w:type="dxa"/>
            <w:tcBorders>
              <w:top w:val="nil"/>
              <w:left w:val="nil"/>
              <w:bottom w:val="nil"/>
              <w:right w:val="nil"/>
            </w:tcBorders>
            <w:noWrap/>
            <w:vAlign w:val="bottom"/>
            <w:hideMark/>
          </w:tcPr>
          <w:p w14:paraId="37F406BF"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683227F"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037A3DC"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6195F01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47.000,00</w:t>
            </w:r>
          </w:p>
        </w:tc>
        <w:tc>
          <w:tcPr>
            <w:tcW w:w="1559" w:type="dxa"/>
            <w:tcBorders>
              <w:top w:val="nil"/>
              <w:left w:val="nil"/>
              <w:bottom w:val="nil"/>
              <w:right w:val="nil"/>
            </w:tcBorders>
            <w:shd w:val="clear" w:color="000000" w:fill="CCCCFF"/>
            <w:noWrap/>
            <w:vAlign w:val="bottom"/>
            <w:hideMark/>
          </w:tcPr>
          <w:p w14:paraId="50293D0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132.000,00</w:t>
            </w:r>
          </w:p>
        </w:tc>
        <w:tc>
          <w:tcPr>
            <w:tcW w:w="1559" w:type="dxa"/>
            <w:tcBorders>
              <w:top w:val="nil"/>
              <w:left w:val="nil"/>
              <w:bottom w:val="nil"/>
              <w:right w:val="nil"/>
            </w:tcBorders>
            <w:shd w:val="clear" w:color="000000" w:fill="CCCCFF"/>
            <w:noWrap/>
            <w:vAlign w:val="bottom"/>
            <w:hideMark/>
          </w:tcPr>
          <w:p w14:paraId="59184EF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132.000,00</w:t>
            </w:r>
          </w:p>
        </w:tc>
        <w:tc>
          <w:tcPr>
            <w:tcW w:w="993" w:type="dxa"/>
            <w:tcBorders>
              <w:top w:val="nil"/>
              <w:left w:val="nil"/>
              <w:bottom w:val="nil"/>
              <w:right w:val="nil"/>
            </w:tcBorders>
            <w:shd w:val="clear" w:color="000000" w:fill="CCCCFF"/>
            <w:noWrap/>
            <w:vAlign w:val="bottom"/>
            <w:hideMark/>
          </w:tcPr>
          <w:p w14:paraId="1499ACB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054898CD"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FCF4950"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5.1. Ostale pomoći</w:t>
            </w:r>
          </w:p>
        </w:tc>
        <w:tc>
          <w:tcPr>
            <w:tcW w:w="1559" w:type="dxa"/>
            <w:tcBorders>
              <w:top w:val="nil"/>
              <w:left w:val="nil"/>
              <w:bottom w:val="nil"/>
              <w:right w:val="nil"/>
            </w:tcBorders>
            <w:shd w:val="clear" w:color="000000" w:fill="CCCCFF"/>
            <w:noWrap/>
            <w:vAlign w:val="bottom"/>
            <w:hideMark/>
          </w:tcPr>
          <w:p w14:paraId="5E3C607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47.000,00</w:t>
            </w:r>
          </w:p>
        </w:tc>
        <w:tc>
          <w:tcPr>
            <w:tcW w:w="1559" w:type="dxa"/>
            <w:tcBorders>
              <w:top w:val="nil"/>
              <w:left w:val="nil"/>
              <w:bottom w:val="nil"/>
              <w:right w:val="nil"/>
            </w:tcBorders>
            <w:shd w:val="clear" w:color="000000" w:fill="CCCCFF"/>
            <w:noWrap/>
            <w:vAlign w:val="bottom"/>
            <w:hideMark/>
          </w:tcPr>
          <w:p w14:paraId="4D4DD6B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132.000,00</w:t>
            </w:r>
          </w:p>
        </w:tc>
        <w:tc>
          <w:tcPr>
            <w:tcW w:w="1559" w:type="dxa"/>
            <w:tcBorders>
              <w:top w:val="nil"/>
              <w:left w:val="nil"/>
              <w:bottom w:val="nil"/>
              <w:right w:val="nil"/>
            </w:tcBorders>
            <w:shd w:val="clear" w:color="000000" w:fill="CCCCFF"/>
            <w:noWrap/>
            <w:vAlign w:val="bottom"/>
            <w:hideMark/>
          </w:tcPr>
          <w:p w14:paraId="3E327B9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132.000,00</w:t>
            </w:r>
          </w:p>
        </w:tc>
        <w:tc>
          <w:tcPr>
            <w:tcW w:w="993" w:type="dxa"/>
            <w:tcBorders>
              <w:top w:val="nil"/>
              <w:left w:val="nil"/>
              <w:bottom w:val="nil"/>
              <w:right w:val="nil"/>
            </w:tcBorders>
            <w:shd w:val="clear" w:color="000000" w:fill="CCCCFF"/>
            <w:noWrap/>
            <w:vAlign w:val="bottom"/>
            <w:hideMark/>
          </w:tcPr>
          <w:p w14:paraId="31BB9B7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64B17117" w14:textId="77777777" w:rsidTr="008A61B1">
        <w:trPr>
          <w:trHeight w:val="255"/>
        </w:trPr>
        <w:tc>
          <w:tcPr>
            <w:tcW w:w="1134" w:type="dxa"/>
            <w:tcBorders>
              <w:top w:val="nil"/>
              <w:left w:val="nil"/>
              <w:bottom w:val="nil"/>
              <w:right w:val="nil"/>
            </w:tcBorders>
            <w:noWrap/>
            <w:vAlign w:val="bottom"/>
            <w:hideMark/>
          </w:tcPr>
          <w:p w14:paraId="4D1A9F2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35</w:t>
            </w:r>
          </w:p>
        </w:tc>
        <w:tc>
          <w:tcPr>
            <w:tcW w:w="4962" w:type="dxa"/>
            <w:tcBorders>
              <w:top w:val="nil"/>
              <w:left w:val="nil"/>
              <w:bottom w:val="nil"/>
              <w:right w:val="nil"/>
            </w:tcBorders>
            <w:noWrap/>
            <w:vAlign w:val="bottom"/>
            <w:hideMark/>
          </w:tcPr>
          <w:p w14:paraId="11587B3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Subvencije</w:t>
            </w:r>
          </w:p>
        </w:tc>
        <w:tc>
          <w:tcPr>
            <w:tcW w:w="1559" w:type="dxa"/>
            <w:tcBorders>
              <w:top w:val="nil"/>
              <w:left w:val="nil"/>
              <w:bottom w:val="nil"/>
              <w:right w:val="nil"/>
            </w:tcBorders>
            <w:noWrap/>
            <w:vAlign w:val="bottom"/>
            <w:hideMark/>
          </w:tcPr>
          <w:p w14:paraId="0A7C34A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47.000,00</w:t>
            </w:r>
          </w:p>
        </w:tc>
        <w:tc>
          <w:tcPr>
            <w:tcW w:w="1559" w:type="dxa"/>
            <w:tcBorders>
              <w:top w:val="nil"/>
              <w:left w:val="nil"/>
              <w:bottom w:val="nil"/>
              <w:right w:val="nil"/>
            </w:tcBorders>
            <w:noWrap/>
            <w:vAlign w:val="bottom"/>
            <w:hideMark/>
          </w:tcPr>
          <w:p w14:paraId="59FD3A5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132.000,00</w:t>
            </w:r>
          </w:p>
        </w:tc>
        <w:tc>
          <w:tcPr>
            <w:tcW w:w="1559" w:type="dxa"/>
            <w:tcBorders>
              <w:top w:val="nil"/>
              <w:left w:val="nil"/>
              <w:bottom w:val="nil"/>
              <w:right w:val="nil"/>
            </w:tcBorders>
            <w:noWrap/>
            <w:vAlign w:val="bottom"/>
            <w:hideMark/>
          </w:tcPr>
          <w:p w14:paraId="62B5157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132.000,00</w:t>
            </w:r>
          </w:p>
        </w:tc>
        <w:tc>
          <w:tcPr>
            <w:tcW w:w="993" w:type="dxa"/>
            <w:tcBorders>
              <w:top w:val="nil"/>
              <w:left w:val="nil"/>
              <w:bottom w:val="nil"/>
              <w:right w:val="nil"/>
            </w:tcBorders>
            <w:noWrap/>
            <w:vAlign w:val="bottom"/>
            <w:hideMark/>
          </w:tcPr>
          <w:p w14:paraId="580576F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r>
      <w:tr w:rsidR="006967F8" w:rsidRPr="006967F8" w14:paraId="2D8930D2" w14:textId="77777777" w:rsidTr="008A61B1">
        <w:trPr>
          <w:trHeight w:val="255"/>
        </w:trPr>
        <w:tc>
          <w:tcPr>
            <w:tcW w:w="1134" w:type="dxa"/>
            <w:tcBorders>
              <w:top w:val="nil"/>
              <w:left w:val="nil"/>
              <w:bottom w:val="nil"/>
              <w:right w:val="nil"/>
            </w:tcBorders>
            <w:noWrap/>
            <w:vAlign w:val="bottom"/>
            <w:hideMark/>
          </w:tcPr>
          <w:p w14:paraId="064C624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3512</w:t>
            </w:r>
          </w:p>
        </w:tc>
        <w:tc>
          <w:tcPr>
            <w:tcW w:w="4962" w:type="dxa"/>
            <w:tcBorders>
              <w:top w:val="nil"/>
              <w:left w:val="nil"/>
              <w:bottom w:val="nil"/>
              <w:right w:val="nil"/>
            </w:tcBorders>
            <w:noWrap/>
            <w:vAlign w:val="bottom"/>
            <w:hideMark/>
          </w:tcPr>
          <w:p w14:paraId="3B62753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Subvencije trgovačkim društvima u javnom sektoru</w:t>
            </w:r>
          </w:p>
        </w:tc>
        <w:tc>
          <w:tcPr>
            <w:tcW w:w="1559" w:type="dxa"/>
            <w:tcBorders>
              <w:top w:val="nil"/>
              <w:left w:val="nil"/>
              <w:bottom w:val="nil"/>
              <w:right w:val="nil"/>
            </w:tcBorders>
            <w:noWrap/>
            <w:vAlign w:val="bottom"/>
            <w:hideMark/>
          </w:tcPr>
          <w:p w14:paraId="4B368BE7"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6A1F21E"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DD20A2C"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132.000,00</w:t>
            </w:r>
          </w:p>
        </w:tc>
        <w:tc>
          <w:tcPr>
            <w:tcW w:w="993" w:type="dxa"/>
            <w:tcBorders>
              <w:top w:val="nil"/>
              <w:left w:val="nil"/>
              <w:bottom w:val="nil"/>
              <w:right w:val="nil"/>
            </w:tcBorders>
            <w:noWrap/>
            <w:vAlign w:val="bottom"/>
            <w:hideMark/>
          </w:tcPr>
          <w:p w14:paraId="4DDCDFF9"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2C2785D" w14:textId="77777777" w:rsidTr="008A61B1">
        <w:trPr>
          <w:trHeight w:val="255"/>
        </w:trPr>
        <w:tc>
          <w:tcPr>
            <w:tcW w:w="6096" w:type="dxa"/>
            <w:gridSpan w:val="2"/>
            <w:tcBorders>
              <w:top w:val="nil"/>
              <w:left w:val="nil"/>
              <w:bottom w:val="nil"/>
              <w:right w:val="nil"/>
            </w:tcBorders>
            <w:shd w:val="clear" w:color="000000" w:fill="FFFF99"/>
            <w:vAlign w:val="bottom"/>
            <w:hideMark/>
          </w:tcPr>
          <w:p w14:paraId="0322A83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K100069 Kapitalni projekt: NABAVA NEKRETNINE  </w:t>
            </w:r>
          </w:p>
        </w:tc>
        <w:tc>
          <w:tcPr>
            <w:tcW w:w="1559" w:type="dxa"/>
            <w:tcBorders>
              <w:top w:val="nil"/>
              <w:left w:val="nil"/>
              <w:bottom w:val="nil"/>
              <w:right w:val="nil"/>
            </w:tcBorders>
            <w:shd w:val="clear" w:color="000000" w:fill="FFFF99"/>
            <w:noWrap/>
            <w:vAlign w:val="bottom"/>
            <w:hideMark/>
          </w:tcPr>
          <w:p w14:paraId="639BAA6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40.000,00</w:t>
            </w:r>
          </w:p>
        </w:tc>
        <w:tc>
          <w:tcPr>
            <w:tcW w:w="1559" w:type="dxa"/>
            <w:tcBorders>
              <w:top w:val="nil"/>
              <w:left w:val="nil"/>
              <w:bottom w:val="nil"/>
              <w:right w:val="nil"/>
            </w:tcBorders>
            <w:shd w:val="clear" w:color="000000" w:fill="FFFF99"/>
            <w:noWrap/>
            <w:vAlign w:val="bottom"/>
            <w:hideMark/>
          </w:tcPr>
          <w:p w14:paraId="65E5379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38.000,00</w:t>
            </w:r>
          </w:p>
        </w:tc>
        <w:tc>
          <w:tcPr>
            <w:tcW w:w="1559" w:type="dxa"/>
            <w:tcBorders>
              <w:top w:val="nil"/>
              <w:left w:val="nil"/>
              <w:bottom w:val="nil"/>
              <w:right w:val="nil"/>
            </w:tcBorders>
            <w:shd w:val="clear" w:color="000000" w:fill="FFFF99"/>
            <w:noWrap/>
            <w:vAlign w:val="bottom"/>
            <w:hideMark/>
          </w:tcPr>
          <w:p w14:paraId="25937F1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shd w:val="clear" w:color="000000" w:fill="FFFF99"/>
            <w:noWrap/>
            <w:vAlign w:val="bottom"/>
            <w:hideMark/>
          </w:tcPr>
          <w:p w14:paraId="267F754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252E9F88"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9904646"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2EE4D80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40.000,00</w:t>
            </w:r>
          </w:p>
        </w:tc>
        <w:tc>
          <w:tcPr>
            <w:tcW w:w="1559" w:type="dxa"/>
            <w:tcBorders>
              <w:top w:val="nil"/>
              <w:left w:val="nil"/>
              <w:bottom w:val="nil"/>
              <w:right w:val="nil"/>
            </w:tcBorders>
            <w:shd w:val="clear" w:color="000000" w:fill="CCCCFF"/>
            <w:noWrap/>
            <w:vAlign w:val="bottom"/>
            <w:hideMark/>
          </w:tcPr>
          <w:p w14:paraId="1C3F706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38.000,00</w:t>
            </w:r>
          </w:p>
        </w:tc>
        <w:tc>
          <w:tcPr>
            <w:tcW w:w="1559" w:type="dxa"/>
            <w:tcBorders>
              <w:top w:val="nil"/>
              <w:left w:val="nil"/>
              <w:bottom w:val="nil"/>
              <w:right w:val="nil"/>
            </w:tcBorders>
            <w:shd w:val="clear" w:color="000000" w:fill="CCCCFF"/>
            <w:noWrap/>
            <w:vAlign w:val="bottom"/>
            <w:hideMark/>
          </w:tcPr>
          <w:p w14:paraId="48C8420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45994D1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7C6BD49F"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8AADEC7"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1E313EE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40.000,00</w:t>
            </w:r>
          </w:p>
        </w:tc>
        <w:tc>
          <w:tcPr>
            <w:tcW w:w="1559" w:type="dxa"/>
            <w:tcBorders>
              <w:top w:val="nil"/>
              <w:left w:val="nil"/>
              <w:bottom w:val="nil"/>
              <w:right w:val="nil"/>
            </w:tcBorders>
            <w:shd w:val="clear" w:color="000000" w:fill="CCCCFF"/>
            <w:noWrap/>
            <w:vAlign w:val="bottom"/>
            <w:hideMark/>
          </w:tcPr>
          <w:p w14:paraId="6245F54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38.000,00</w:t>
            </w:r>
          </w:p>
        </w:tc>
        <w:tc>
          <w:tcPr>
            <w:tcW w:w="1559" w:type="dxa"/>
            <w:tcBorders>
              <w:top w:val="nil"/>
              <w:left w:val="nil"/>
              <w:bottom w:val="nil"/>
              <w:right w:val="nil"/>
            </w:tcBorders>
            <w:shd w:val="clear" w:color="000000" w:fill="CCCCFF"/>
            <w:noWrap/>
            <w:vAlign w:val="bottom"/>
            <w:hideMark/>
          </w:tcPr>
          <w:p w14:paraId="30DED5A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6FB7E22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1C56F905" w14:textId="77777777" w:rsidTr="008A61B1">
        <w:trPr>
          <w:trHeight w:val="555"/>
        </w:trPr>
        <w:tc>
          <w:tcPr>
            <w:tcW w:w="1134" w:type="dxa"/>
            <w:tcBorders>
              <w:top w:val="nil"/>
              <w:left w:val="nil"/>
              <w:bottom w:val="nil"/>
              <w:right w:val="nil"/>
            </w:tcBorders>
            <w:noWrap/>
            <w:vAlign w:val="bottom"/>
            <w:hideMark/>
          </w:tcPr>
          <w:p w14:paraId="4FC8CBA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41</w:t>
            </w:r>
          </w:p>
        </w:tc>
        <w:tc>
          <w:tcPr>
            <w:tcW w:w="4962" w:type="dxa"/>
            <w:tcBorders>
              <w:top w:val="nil"/>
              <w:left w:val="nil"/>
              <w:bottom w:val="nil"/>
              <w:right w:val="nil"/>
            </w:tcBorders>
            <w:vAlign w:val="bottom"/>
            <w:hideMark/>
          </w:tcPr>
          <w:p w14:paraId="653A85A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Rashodi za nabavu </w:t>
            </w:r>
            <w:proofErr w:type="spellStart"/>
            <w:r w:rsidRPr="006967F8">
              <w:rPr>
                <w:rFonts w:ascii="Arial" w:eastAsia="Times New Roman" w:hAnsi="Arial" w:cs="Arial"/>
                <w:b/>
                <w:bCs/>
                <w:sz w:val="20"/>
                <w:szCs w:val="20"/>
                <w:lang w:eastAsia="hr-HR"/>
              </w:rPr>
              <w:t>neproizvedene</w:t>
            </w:r>
            <w:proofErr w:type="spellEnd"/>
            <w:r w:rsidRPr="006967F8">
              <w:rPr>
                <w:rFonts w:ascii="Arial" w:eastAsia="Times New Roman" w:hAnsi="Arial" w:cs="Arial"/>
                <w:b/>
                <w:bCs/>
                <w:sz w:val="20"/>
                <w:szCs w:val="20"/>
                <w:lang w:eastAsia="hr-HR"/>
              </w:rPr>
              <w:t xml:space="preserve"> dugotrajne imovine</w:t>
            </w:r>
          </w:p>
        </w:tc>
        <w:tc>
          <w:tcPr>
            <w:tcW w:w="1559" w:type="dxa"/>
            <w:tcBorders>
              <w:top w:val="nil"/>
              <w:left w:val="nil"/>
              <w:bottom w:val="nil"/>
              <w:right w:val="nil"/>
            </w:tcBorders>
            <w:noWrap/>
            <w:vAlign w:val="bottom"/>
            <w:hideMark/>
          </w:tcPr>
          <w:p w14:paraId="1127829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40.000,00</w:t>
            </w:r>
          </w:p>
        </w:tc>
        <w:tc>
          <w:tcPr>
            <w:tcW w:w="1559" w:type="dxa"/>
            <w:tcBorders>
              <w:top w:val="nil"/>
              <w:left w:val="nil"/>
              <w:bottom w:val="nil"/>
              <w:right w:val="nil"/>
            </w:tcBorders>
            <w:noWrap/>
            <w:vAlign w:val="bottom"/>
            <w:hideMark/>
          </w:tcPr>
          <w:p w14:paraId="33CA741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38.000,00</w:t>
            </w:r>
          </w:p>
        </w:tc>
        <w:tc>
          <w:tcPr>
            <w:tcW w:w="1559" w:type="dxa"/>
            <w:tcBorders>
              <w:top w:val="nil"/>
              <w:left w:val="nil"/>
              <w:bottom w:val="nil"/>
              <w:right w:val="nil"/>
            </w:tcBorders>
            <w:noWrap/>
            <w:vAlign w:val="bottom"/>
            <w:hideMark/>
          </w:tcPr>
          <w:p w14:paraId="78D3580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5EE5436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5FF5F5F1" w14:textId="77777777" w:rsidTr="008A61B1">
        <w:trPr>
          <w:trHeight w:val="255"/>
        </w:trPr>
        <w:tc>
          <w:tcPr>
            <w:tcW w:w="6096" w:type="dxa"/>
            <w:gridSpan w:val="2"/>
            <w:tcBorders>
              <w:top w:val="nil"/>
              <w:left w:val="nil"/>
              <w:bottom w:val="nil"/>
              <w:right w:val="nil"/>
            </w:tcBorders>
            <w:shd w:val="clear" w:color="000000" w:fill="FFFF99"/>
            <w:vAlign w:val="bottom"/>
            <w:hideMark/>
          </w:tcPr>
          <w:p w14:paraId="4F9BF64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K100115 Kapitalni projekt: NABAVA VOZILA</w:t>
            </w:r>
          </w:p>
        </w:tc>
        <w:tc>
          <w:tcPr>
            <w:tcW w:w="1559" w:type="dxa"/>
            <w:tcBorders>
              <w:top w:val="nil"/>
              <w:left w:val="nil"/>
              <w:bottom w:val="nil"/>
              <w:right w:val="nil"/>
            </w:tcBorders>
            <w:shd w:val="clear" w:color="000000" w:fill="FFFF99"/>
            <w:noWrap/>
            <w:vAlign w:val="bottom"/>
            <w:hideMark/>
          </w:tcPr>
          <w:p w14:paraId="2D44DEB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30.190,00</w:t>
            </w:r>
          </w:p>
        </w:tc>
        <w:tc>
          <w:tcPr>
            <w:tcW w:w="1559" w:type="dxa"/>
            <w:tcBorders>
              <w:top w:val="nil"/>
              <w:left w:val="nil"/>
              <w:bottom w:val="nil"/>
              <w:right w:val="nil"/>
            </w:tcBorders>
            <w:shd w:val="clear" w:color="000000" w:fill="FFFF99"/>
            <w:noWrap/>
            <w:vAlign w:val="bottom"/>
            <w:hideMark/>
          </w:tcPr>
          <w:p w14:paraId="4621A85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30.750,00</w:t>
            </w:r>
          </w:p>
        </w:tc>
        <w:tc>
          <w:tcPr>
            <w:tcW w:w="1559" w:type="dxa"/>
            <w:tcBorders>
              <w:top w:val="nil"/>
              <w:left w:val="nil"/>
              <w:bottom w:val="nil"/>
              <w:right w:val="nil"/>
            </w:tcBorders>
            <w:shd w:val="clear" w:color="000000" w:fill="FFFF99"/>
            <w:noWrap/>
            <w:vAlign w:val="bottom"/>
            <w:hideMark/>
          </w:tcPr>
          <w:p w14:paraId="1442F2F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30.750,00</w:t>
            </w:r>
          </w:p>
        </w:tc>
        <w:tc>
          <w:tcPr>
            <w:tcW w:w="993" w:type="dxa"/>
            <w:tcBorders>
              <w:top w:val="nil"/>
              <w:left w:val="nil"/>
              <w:bottom w:val="nil"/>
              <w:right w:val="nil"/>
            </w:tcBorders>
            <w:shd w:val="clear" w:color="000000" w:fill="FFFF99"/>
            <w:noWrap/>
            <w:vAlign w:val="bottom"/>
            <w:hideMark/>
          </w:tcPr>
          <w:p w14:paraId="677072E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r>
      <w:tr w:rsidR="006967F8" w:rsidRPr="006967F8" w14:paraId="024E279E"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9E90473"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7B5CB12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30.190,00</w:t>
            </w:r>
          </w:p>
        </w:tc>
        <w:tc>
          <w:tcPr>
            <w:tcW w:w="1559" w:type="dxa"/>
            <w:tcBorders>
              <w:top w:val="nil"/>
              <w:left w:val="nil"/>
              <w:bottom w:val="nil"/>
              <w:right w:val="nil"/>
            </w:tcBorders>
            <w:shd w:val="clear" w:color="000000" w:fill="CCCCFF"/>
            <w:noWrap/>
            <w:vAlign w:val="bottom"/>
            <w:hideMark/>
          </w:tcPr>
          <w:p w14:paraId="2E05FFD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30.750,00</w:t>
            </w:r>
          </w:p>
        </w:tc>
        <w:tc>
          <w:tcPr>
            <w:tcW w:w="1559" w:type="dxa"/>
            <w:tcBorders>
              <w:top w:val="nil"/>
              <w:left w:val="nil"/>
              <w:bottom w:val="nil"/>
              <w:right w:val="nil"/>
            </w:tcBorders>
            <w:shd w:val="clear" w:color="000000" w:fill="CCCCFF"/>
            <w:noWrap/>
            <w:vAlign w:val="bottom"/>
            <w:hideMark/>
          </w:tcPr>
          <w:p w14:paraId="3735862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30.750,00</w:t>
            </w:r>
          </w:p>
        </w:tc>
        <w:tc>
          <w:tcPr>
            <w:tcW w:w="993" w:type="dxa"/>
            <w:tcBorders>
              <w:top w:val="nil"/>
              <w:left w:val="nil"/>
              <w:bottom w:val="nil"/>
              <w:right w:val="nil"/>
            </w:tcBorders>
            <w:shd w:val="clear" w:color="000000" w:fill="CCCCFF"/>
            <w:noWrap/>
            <w:vAlign w:val="bottom"/>
            <w:hideMark/>
          </w:tcPr>
          <w:p w14:paraId="1B68108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732FA28F"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B528A74"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7896448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30.190,00</w:t>
            </w:r>
          </w:p>
        </w:tc>
        <w:tc>
          <w:tcPr>
            <w:tcW w:w="1559" w:type="dxa"/>
            <w:tcBorders>
              <w:top w:val="nil"/>
              <w:left w:val="nil"/>
              <w:bottom w:val="nil"/>
              <w:right w:val="nil"/>
            </w:tcBorders>
            <w:shd w:val="clear" w:color="000000" w:fill="CCCCFF"/>
            <w:noWrap/>
            <w:vAlign w:val="bottom"/>
            <w:hideMark/>
          </w:tcPr>
          <w:p w14:paraId="37CEFAD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30.750,00</w:t>
            </w:r>
          </w:p>
        </w:tc>
        <w:tc>
          <w:tcPr>
            <w:tcW w:w="1559" w:type="dxa"/>
            <w:tcBorders>
              <w:top w:val="nil"/>
              <w:left w:val="nil"/>
              <w:bottom w:val="nil"/>
              <w:right w:val="nil"/>
            </w:tcBorders>
            <w:shd w:val="clear" w:color="000000" w:fill="CCCCFF"/>
            <w:noWrap/>
            <w:vAlign w:val="bottom"/>
            <w:hideMark/>
          </w:tcPr>
          <w:p w14:paraId="1A791F7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30.750,00</w:t>
            </w:r>
          </w:p>
        </w:tc>
        <w:tc>
          <w:tcPr>
            <w:tcW w:w="993" w:type="dxa"/>
            <w:tcBorders>
              <w:top w:val="nil"/>
              <w:left w:val="nil"/>
              <w:bottom w:val="nil"/>
              <w:right w:val="nil"/>
            </w:tcBorders>
            <w:shd w:val="clear" w:color="000000" w:fill="CCCCFF"/>
            <w:noWrap/>
            <w:vAlign w:val="bottom"/>
            <w:hideMark/>
          </w:tcPr>
          <w:p w14:paraId="33B99FA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69749120" w14:textId="77777777" w:rsidTr="008A61B1">
        <w:trPr>
          <w:trHeight w:val="540"/>
        </w:trPr>
        <w:tc>
          <w:tcPr>
            <w:tcW w:w="1134" w:type="dxa"/>
            <w:tcBorders>
              <w:top w:val="nil"/>
              <w:left w:val="nil"/>
              <w:bottom w:val="nil"/>
              <w:right w:val="nil"/>
            </w:tcBorders>
            <w:noWrap/>
            <w:vAlign w:val="bottom"/>
            <w:hideMark/>
          </w:tcPr>
          <w:p w14:paraId="057C4BA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0C6FEBE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3CBA2F1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30.190,00</w:t>
            </w:r>
          </w:p>
        </w:tc>
        <w:tc>
          <w:tcPr>
            <w:tcW w:w="1559" w:type="dxa"/>
            <w:tcBorders>
              <w:top w:val="nil"/>
              <w:left w:val="nil"/>
              <w:bottom w:val="nil"/>
              <w:right w:val="nil"/>
            </w:tcBorders>
            <w:noWrap/>
            <w:vAlign w:val="bottom"/>
            <w:hideMark/>
          </w:tcPr>
          <w:p w14:paraId="4DADA9A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30.750,00</w:t>
            </w:r>
          </w:p>
        </w:tc>
        <w:tc>
          <w:tcPr>
            <w:tcW w:w="1559" w:type="dxa"/>
            <w:tcBorders>
              <w:top w:val="nil"/>
              <w:left w:val="nil"/>
              <w:bottom w:val="nil"/>
              <w:right w:val="nil"/>
            </w:tcBorders>
            <w:noWrap/>
            <w:vAlign w:val="bottom"/>
            <w:hideMark/>
          </w:tcPr>
          <w:p w14:paraId="1A53124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30.750,00</w:t>
            </w:r>
          </w:p>
        </w:tc>
        <w:tc>
          <w:tcPr>
            <w:tcW w:w="993" w:type="dxa"/>
            <w:tcBorders>
              <w:top w:val="nil"/>
              <w:left w:val="nil"/>
              <w:bottom w:val="nil"/>
              <w:right w:val="nil"/>
            </w:tcBorders>
            <w:noWrap/>
            <w:vAlign w:val="bottom"/>
            <w:hideMark/>
          </w:tcPr>
          <w:p w14:paraId="7FF15C7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r>
      <w:tr w:rsidR="006967F8" w:rsidRPr="006967F8" w14:paraId="3954E4C2" w14:textId="77777777" w:rsidTr="008A61B1">
        <w:trPr>
          <w:trHeight w:val="255"/>
        </w:trPr>
        <w:tc>
          <w:tcPr>
            <w:tcW w:w="1134" w:type="dxa"/>
            <w:tcBorders>
              <w:top w:val="nil"/>
              <w:left w:val="nil"/>
              <w:bottom w:val="nil"/>
              <w:right w:val="nil"/>
            </w:tcBorders>
            <w:noWrap/>
            <w:vAlign w:val="bottom"/>
            <w:hideMark/>
          </w:tcPr>
          <w:p w14:paraId="37F0617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4231</w:t>
            </w:r>
          </w:p>
        </w:tc>
        <w:tc>
          <w:tcPr>
            <w:tcW w:w="4962" w:type="dxa"/>
            <w:tcBorders>
              <w:top w:val="nil"/>
              <w:left w:val="nil"/>
              <w:bottom w:val="nil"/>
              <w:right w:val="nil"/>
            </w:tcBorders>
            <w:noWrap/>
            <w:vAlign w:val="bottom"/>
            <w:hideMark/>
          </w:tcPr>
          <w:p w14:paraId="1BD7570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Prijevozna sredstva u cestovnom prometu</w:t>
            </w:r>
          </w:p>
        </w:tc>
        <w:tc>
          <w:tcPr>
            <w:tcW w:w="1559" w:type="dxa"/>
            <w:tcBorders>
              <w:top w:val="nil"/>
              <w:left w:val="nil"/>
              <w:bottom w:val="nil"/>
              <w:right w:val="nil"/>
            </w:tcBorders>
            <w:noWrap/>
            <w:vAlign w:val="bottom"/>
            <w:hideMark/>
          </w:tcPr>
          <w:p w14:paraId="2F32E171"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DFF787A"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CBDC4A6"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30.750,00</w:t>
            </w:r>
          </w:p>
        </w:tc>
        <w:tc>
          <w:tcPr>
            <w:tcW w:w="993" w:type="dxa"/>
            <w:tcBorders>
              <w:top w:val="nil"/>
              <w:left w:val="nil"/>
              <w:bottom w:val="nil"/>
              <w:right w:val="nil"/>
            </w:tcBorders>
            <w:noWrap/>
            <w:vAlign w:val="bottom"/>
            <w:hideMark/>
          </w:tcPr>
          <w:p w14:paraId="772DF675"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F2AC8B5" w14:textId="77777777" w:rsidTr="008A61B1">
        <w:trPr>
          <w:trHeight w:val="585"/>
        </w:trPr>
        <w:tc>
          <w:tcPr>
            <w:tcW w:w="6096" w:type="dxa"/>
            <w:gridSpan w:val="2"/>
            <w:tcBorders>
              <w:top w:val="nil"/>
              <w:left w:val="nil"/>
              <w:bottom w:val="nil"/>
              <w:right w:val="nil"/>
            </w:tcBorders>
            <w:shd w:val="clear" w:color="000000" w:fill="9999FF"/>
            <w:vAlign w:val="bottom"/>
            <w:hideMark/>
          </w:tcPr>
          <w:p w14:paraId="08D8C2D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RAZDJEL 021 UPRAVNI ODJEL ZA DRUŠTVENE DJELATNOSTI</w:t>
            </w:r>
          </w:p>
        </w:tc>
        <w:tc>
          <w:tcPr>
            <w:tcW w:w="1559" w:type="dxa"/>
            <w:tcBorders>
              <w:top w:val="nil"/>
              <w:left w:val="nil"/>
              <w:bottom w:val="nil"/>
              <w:right w:val="nil"/>
            </w:tcBorders>
            <w:shd w:val="clear" w:color="000000" w:fill="9999FF"/>
            <w:noWrap/>
            <w:vAlign w:val="bottom"/>
            <w:hideMark/>
          </w:tcPr>
          <w:p w14:paraId="7EB870B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9.589.015,00</w:t>
            </w:r>
          </w:p>
        </w:tc>
        <w:tc>
          <w:tcPr>
            <w:tcW w:w="1559" w:type="dxa"/>
            <w:tcBorders>
              <w:top w:val="nil"/>
              <w:left w:val="nil"/>
              <w:bottom w:val="nil"/>
              <w:right w:val="nil"/>
            </w:tcBorders>
            <w:shd w:val="clear" w:color="000000" w:fill="9999FF"/>
            <w:noWrap/>
            <w:vAlign w:val="bottom"/>
            <w:hideMark/>
          </w:tcPr>
          <w:p w14:paraId="04C869C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9.688.374,00</w:t>
            </w:r>
          </w:p>
        </w:tc>
        <w:tc>
          <w:tcPr>
            <w:tcW w:w="1559" w:type="dxa"/>
            <w:tcBorders>
              <w:top w:val="nil"/>
              <w:left w:val="nil"/>
              <w:bottom w:val="nil"/>
              <w:right w:val="nil"/>
            </w:tcBorders>
            <w:shd w:val="clear" w:color="000000" w:fill="9999FF"/>
            <w:noWrap/>
            <w:vAlign w:val="bottom"/>
            <w:hideMark/>
          </w:tcPr>
          <w:p w14:paraId="178DEC2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8.049.710,57</w:t>
            </w:r>
          </w:p>
        </w:tc>
        <w:tc>
          <w:tcPr>
            <w:tcW w:w="993" w:type="dxa"/>
            <w:tcBorders>
              <w:top w:val="nil"/>
              <w:left w:val="nil"/>
              <w:bottom w:val="nil"/>
              <w:right w:val="nil"/>
            </w:tcBorders>
            <w:shd w:val="clear" w:color="000000" w:fill="9999FF"/>
            <w:noWrap/>
            <w:vAlign w:val="bottom"/>
            <w:hideMark/>
          </w:tcPr>
          <w:p w14:paraId="3AA9623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83,09%</w:t>
            </w:r>
          </w:p>
        </w:tc>
      </w:tr>
      <w:tr w:rsidR="006967F8" w:rsidRPr="006967F8" w14:paraId="407814EC" w14:textId="77777777" w:rsidTr="008A61B1">
        <w:trPr>
          <w:trHeight w:val="525"/>
        </w:trPr>
        <w:tc>
          <w:tcPr>
            <w:tcW w:w="6096" w:type="dxa"/>
            <w:gridSpan w:val="2"/>
            <w:tcBorders>
              <w:top w:val="nil"/>
              <w:left w:val="nil"/>
              <w:bottom w:val="nil"/>
              <w:right w:val="nil"/>
            </w:tcBorders>
            <w:shd w:val="clear" w:color="000000" w:fill="9999FF"/>
            <w:vAlign w:val="bottom"/>
            <w:hideMark/>
          </w:tcPr>
          <w:p w14:paraId="7762759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GLAVA 02110 UPRAVNI ODJEL ZA DRUŠTVENE DJELATNOSTI</w:t>
            </w:r>
          </w:p>
        </w:tc>
        <w:tc>
          <w:tcPr>
            <w:tcW w:w="1559" w:type="dxa"/>
            <w:tcBorders>
              <w:top w:val="nil"/>
              <w:left w:val="nil"/>
              <w:bottom w:val="nil"/>
              <w:right w:val="nil"/>
            </w:tcBorders>
            <w:shd w:val="clear" w:color="000000" w:fill="9999FF"/>
            <w:noWrap/>
            <w:vAlign w:val="bottom"/>
            <w:hideMark/>
          </w:tcPr>
          <w:p w14:paraId="1746C1C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2.964.100,00</w:t>
            </w:r>
          </w:p>
        </w:tc>
        <w:tc>
          <w:tcPr>
            <w:tcW w:w="1559" w:type="dxa"/>
            <w:tcBorders>
              <w:top w:val="nil"/>
              <w:left w:val="nil"/>
              <w:bottom w:val="nil"/>
              <w:right w:val="nil"/>
            </w:tcBorders>
            <w:shd w:val="clear" w:color="000000" w:fill="9999FF"/>
            <w:noWrap/>
            <w:vAlign w:val="bottom"/>
            <w:hideMark/>
          </w:tcPr>
          <w:p w14:paraId="1085D77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3.036.109,00</w:t>
            </w:r>
          </w:p>
        </w:tc>
        <w:tc>
          <w:tcPr>
            <w:tcW w:w="1559" w:type="dxa"/>
            <w:tcBorders>
              <w:top w:val="nil"/>
              <w:left w:val="nil"/>
              <w:bottom w:val="nil"/>
              <w:right w:val="nil"/>
            </w:tcBorders>
            <w:shd w:val="clear" w:color="000000" w:fill="9999FF"/>
            <w:noWrap/>
            <w:vAlign w:val="bottom"/>
            <w:hideMark/>
          </w:tcPr>
          <w:p w14:paraId="79A81C6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2.739.233,53</w:t>
            </w:r>
          </w:p>
        </w:tc>
        <w:tc>
          <w:tcPr>
            <w:tcW w:w="993" w:type="dxa"/>
            <w:tcBorders>
              <w:top w:val="nil"/>
              <w:left w:val="nil"/>
              <w:bottom w:val="nil"/>
              <w:right w:val="nil"/>
            </w:tcBorders>
            <w:shd w:val="clear" w:color="000000" w:fill="9999FF"/>
            <w:noWrap/>
            <w:vAlign w:val="bottom"/>
            <w:hideMark/>
          </w:tcPr>
          <w:p w14:paraId="4156F81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90,22%</w:t>
            </w:r>
          </w:p>
        </w:tc>
      </w:tr>
      <w:tr w:rsidR="006967F8" w:rsidRPr="006967F8" w14:paraId="03382D96"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9C76CA9"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52A081C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2.847.400,00</w:t>
            </w:r>
          </w:p>
        </w:tc>
        <w:tc>
          <w:tcPr>
            <w:tcW w:w="1559" w:type="dxa"/>
            <w:tcBorders>
              <w:top w:val="nil"/>
              <w:left w:val="nil"/>
              <w:bottom w:val="nil"/>
              <w:right w:val="nil"/>
            </w:tcBorders>
            <w:shd w:val="clear" w:color="000000" w:fill="CCCCFF"/>
            <w:noWrap/>
            <w:vAlign w:val="bottom"/>
            <w:hideMark/>
          </w:tcPr>
          <w:p w14:paraId="72A0CA0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2.839.300,00</w:t>
            </w:r>
          </w:p>
        </w:tc>
        <w:tc>
          <w:tcPr>
            <w:tcW w:w="1559" w:type="dxa"/>
            <w:tcBorders>
              <w:top w:val="nil"/>
              <w:left w:val="nil"/>
              <w:bottom w:val="nil"/>
              <w:right w:val="nil"/>
            </w:tcBorders>
            <w:shd w:val="clear" w:color="000000" w:fill="CCCCFF"/>
            <w:noWrap/>
            <w:vAlign w:val="bottom"/>
            <w:hideMark/>
          </w:tcPr>
          <w:p w14:paraId="1D74252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2.585.465,80</w:t>
            </w:r>
          </w:p>
        </w:tc>
        <w:tc>
          <w:tcPr>
            <w:tcW w:w="993" w:type="dxa"/>
            <w:tcBorders>
              <w:top w:val="nil"/>
              <w:left w:val="nil"/>
              <w:bottom w:val="nil"/>
              <w:right w:val="nil"/>
            </w:tcBorders>
            <w:shd w:val="clear" w:color="000000" w:fill="CCCCFF"/>
            <w:noWrap/>
            <w:vAlign w:val="bottom"/>
            <w:hideMark/>
          </w:tcPr>
          <w:p w14:paraId="0BC0EC5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91,06%</w:t>
            </w:r>
          </w:p>
        </w:tc>
      </w:tr>
      <w:tr w:rsidR="006967F8" w:rsidRPr="006967F8" w14:paraId="5D504DA2"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D3994C2"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450C91F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2.847.400,00</w:t>
            </w:r>
          </w:p>
        </w:tc>
        <w:tc>
          <w:tcPr>
            <w:tcW w:w="1559" w:type="dxa"/>
            <w:tcBorders>
              <w:top w:val="nil"/>
              <w:left w:val="nil"/>
              <w:bottom w:val="nil"/>
              <w:right w:val="nil"/>
            </w:tcBorders>
            <w:shd w:val="clear" w:color="000000" w:fill="CCCCFF"/>
            <w:noWrap/>
            <w:vAlign w:val="bottom"/>
            <w:hideMark/>
          </w:tcPr>
          <w:p w14:paraId="0E48D07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2.839.300,00</w:t>
            </w:r>
          </w:p>
        </w:tc>
        <w:tc>
          <w:tcPr>
            <w:tcW w:w="1559" w:type="dxa"/>
            <w:tcBorders>
              <w:top w:val="nil"/>
              <w:left w:val="nil"/>
              <w:bottom w:val="nil"/>
              <w:right w:val="nil"/>
            </w:tcBorders>
            <w:shd w:val="clear" w:color="000000" w:fill="CCCCFF"/>
            <w:noWrap/>
            <w:vAlign w:val="bottom"/>
            <w:hideMark/>
          </w:tcPr>
          <w:p w14:paraId="1A72BC0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2.585.465,80</w:t>
            </w:r>
          </w:p>
        </w:tc>
        <w:tc>
          <w:tcPr>
            <w:tcW w:w="993" w:type="dxa"/>
            <w:tcBorders>
              <w:top w:val="nil"/>
              <w:left w:val="nil"/>
              <w:bottom w:val="nil"/>
              <w:right w:val="nil"/>
            </w:tcBorders>
            <w:shd w:val="clear" w:color="000000" w:fill="CCCCFF"/>
            <w:noWrap/>
            <w:vAlign w:val="bottom"/>
            <w:hideMark/>
          </w:tcPr>
          <w:p w14:paraId="3EA50F7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91,06%</w:t>
            </w:r>
          </w:p>
        </w:tc>
      </w:tr>
      <w:tr w:rsidR="006967F8" w:rsidRPr="006967F8" w14:paraId="3F399F9E"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CBF192A"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7A354DE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68.000,00</w:t>
            </w:r>
          </w:p>
        </w:tc>
        <w:tc>
          <w:tcPr>
            <w:tcW w:w="1559" w:type="dxa"/>
            <w:tcBorders>
              <w:top w:val="nil"/>
              <w:left w:val="nil"/>
              <w:bottom w:val="nil"/>
              <w:right w:val="nil"/>
            </w:tcBorders>
            <w:shd w:val="clear" w:color="000000" w:fill="CCCCFF"/>
            <w:noWrap/>
            <w:vAlign w:val="bottom"/>
            <w:hideMark/>
          </w:tcPr>
          <w:p w14:paraId="69F980A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148.324,00</w:t>
            </w:r>
          </w:p>
        </w:tc>
        <w:tc>
          <w:tcPr>
            <w:tcW w:w="1559" w:type="dxa"/>
            <w:tcBorders>
              <w:top w:val="nil"/>
              <w:left w:val="nil"/>
              <w:bottom w:val="nil"/>
              <w:right w:val="nil"/>
            </w:tcBorders>
            <w:shd w:val="clear" w:color="000000" w:fill="CCCCFF"/>
            <w:noWrap/>
            <w:vAlign w:val="bottom"/>
            <w:hideMark/>
          </w:tcPr>
          <w:p w14:paraId="23CAB29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148.324,00</w:t>
            </w:r>
          </w:p>
        </w:tc>
        <w:tc>
          <w:tcPr>
            <w:tcW w:w="993" w:type="dxa"/>
            <w:tcBorders>
              <w:top w:val="nil"/>
              <w:left w:val="nil"/>
              <w:bottom w:val="nil"/>
              <w:right w:val="nil"/>
            </w:tcBorders>
            <w:shd w:val="clear" w:color="000000" w:fill="CCCCFF"/>
            <w:noWrap/>
            <w:vAlign w:val="bottom"/>
            <w:hideMark/>
          </w:tcPr>
          <w:p w14:paraId="3231E56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09A255FD"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0AD4106"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lastRenderedPageBreak/>
              <w:t>Izvor 4.3. Ostali prihodi za posebne namjene</w:t>
            </w:r>
          </w:p>
        </w:tc>
        <w:tc>
          <w:tcPr>
            <w:tcW w:w="1559" w:type="dxa"/>
            <w:tcBorders>
              <w:top w:val="nil"/>
              <w:left w:val="nil"/>
              <w:bottom w:val="nil"/>
              <w:right w:val="nil"/>
            </w:tcBorders>
            <w:shd w:val="clear" w:color="000000" w:fill="CCCCFF"/>
            <w:noWrap/>
            <w:vAlign w:val="bottom"/>
            <w:hideMark/>
          </w:tcPr>
          <w:p w14:paraId="31A447B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68.000,00</w:t>
            </w:r>
          </w:p>
        </w:tc>
        <w:tc>
          <w:tcPr>
            <w:tcW w:w="1559" w:type="dxa"/>
            <w:tcBorders>
              <w:top w:val="nil"/>
              <w:left w:val="nil"/>
              <w:bottom w:val="nil"/>
              <w:right w:val="nil"/>
            </w:tcBorders>
            <w:shd w:val="clear" w:color="000000" w:fill="CCCCFF"/>
            <w:noWrap/>
            <w:vAlign w:val="bottom"/>
            <w:hideMark/>
          </w:tcPr>
          <w:p w14:paraId="0660FF3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148.324,00</w:t>
            </w:r>
          </w:p>
        </w:tc>
        <w:tc>
          <w:tcPr>
            <w:tcW w:w="1559" w:type="dxa"/>
            <w:tcBorders>
              <w:top w:val="nil"/>
              <w:left w:val="nil"/>
              <w:bottom w:val="nil"/>
              <w:right w:val="nil"/>
            </w:tcBorders>
            <w:shd w:val="clear" w:color="000000" w:fill="CCCCFF"/>
            <w:noWrap/>
            <w:vAlign w:val="bottom"/>
            <w:hideMark/>
          </w:tcPr>
          <w:p w14:paraId="522BCDD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148.324,00</w:t>
            </w:r>
          </w:p>
        </w:tc>
        <w:tc>
          <w:tcPr>
            <w:tcW w:w="993" w:type="dxa"/>
            <w:tcBorders>
              <w:top w:val="nil"/>
              <w:left w:val="nil"/>
              <w:bottom w:val="nil"/>
              <w:right w:val="nil"/>
            </w:tcBorders>
            <w:shd w:val="clear" w:color="000000" w:fill="CCCCFF"/>
            <w:noWrap/>
            <w:vAlign w:val="bottom"/>
            <w:hideMark/>
          </w:tcPr>
          <w:p w14:paraId="7584FB1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56C0B60C"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3C98548"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550AE1B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43.500,00</w:t>
            </w:r>
          </w:p>
        </w:tc>
        <w:tc>
          <w:tcPr>
            <w:tcW w:w="1559" w:type="dxa"/>
            <w:tcBorders>
              <w:top w:val="nil"/>
              <w:left w:val="nil"/>
              <w:bottom w:val="nil"/>
              <w:right w:val="nil"/>
            </w:tcBorders>
            <w:shd w:val="clear" w:color="000000" w:fill="CCCCFF"/>
            <w:noWrap/>
            <w:vAlign w:val="bottom"/>
            <w:hideMark/>
          </w:tcPr>
          <w:p w14:paraId="1D82ED8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43.285,00</w:t>
            </w:r>
          </w:p>
        </w:tc>
        <w:tc>
          <w:tcPr>
            <w:tcW w:w="1559" w:type="dxa"/>
            <w:tcBorders>
              <w:top w:val="nil"/>
              <w:left w:val="nil"/>
              <w:bottom w:val="nil"/>
              <w:right w:val="nil"/>
            </w:tcBorders>
            <w:shd w:val="clear" w:color="000000" w:fill="CCCCFF"/>
            <w:noWrap/>
            <w:vAlign w:val="bottom"/>
            <w:hideMark/>
          </w:tcPr>
          <w:p w14:paraId="42DFDE3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5.281,25</w:t>
            </w:r>
          </w:p>
        </w:tc>
        <w:tc>
          <w:tcPr>
            <w:tcW w:w="993" w:type="dxa"/>
            <w:tcBorders>
              <w:top w:val="nil"/>
              <w:left w:val="nil"/>
              <w:bottom w:val="nil"/>
              <w:right w:val="nil"/>
            </w:tcBorders>
            <w:shd w:val="clear" w:color="000000" w:fill="CCCCFF"/>
            <w:noWrap/>
            <w:vAlign w:val="bottom"/>
            <w:hideMark/>
          </w:tcPr>
          <w:p w14:paraId="215BB87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12,20%</w:t>
            </w:r>
          </w:p>
        </w:tc>
      </w:tr>
      <w:tr w:rsidR="006967F8" w:rsidRPr="006967F8" w14:paraId="0A8B79D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A14DE20"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5.1. Ostale pomoći</w:t>
            </w:r>
          </w:p>
        </w:tc>
        <w:tc>
          <w:tcPr>
            <w:tcW w:w="1559" w:type="dxa"/>
            <w:tcBorders>
              <w:top w:val="nil"/>
              <w:left w:val="nil"/>
              <w:bottom w:val="nil"/>
              <w:right w:val="nil"/>
            </w:tcBorders>
            <w:shd w:val="clear" w:color="000000" w:fill="CCCCFF"/>
            <w:noWrap/>
            <w:vAlign w:val="bottom"/>
            <w:hideMark/>
          </w:tcPr>
          <w:p w14:paraId="4D9A3D7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43.500,00</w:t>
            </w:r>
          </w:p>
        </w:tc>
        <w:tc>
          <w:tcPr>
            <w:tcW w:w="1559" w:type="dxa"/>
            <w:tcBorders>
              <w:top w:val="nil"/>
              <w:left w:val="nil"/>
              <w:bottom w:val="nil"/>
              <w:right w:val="nil"/>
            </w:tcBorders>
            <w:shd w:val="clear" w:color="000000" w:fill="CCCCFF"/>
            <w:noWrap/>
            <w:vAlign w:val="bottom"/>
            <w:hideMark/>
          </w:tcPr>
          <w:p w14:paraId="31345E1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43.285,00</w:t>
            </w:r>
          </w:p>
        </w:tc>
        <w:tc>
          <w:tcPr>
            <w:tcW w:w="1559" w:type="dxa"/>
            <w:tcBorders>
              <w:top w:val="nil"/>
              <w:left w:val="nil"/>
              <w:bottom w:val="nil"/>
              <w:right w:val="nil"/>
            </w:tcBorders>
            <w:shd w:val="clear" w:color="000000" w:fill="CCCCFF"/>
            <w:noWrap/>
            <w:vAlign w:val="bottom"/>
            <w:hideMark/>
          </w:tcPr>
          <w:p w14:paraId="410A4EC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5.281,25</w:t>
            </w:r>
          </w:p>
        </w:tc>
        <w:tc>
          <w:tcPr>
            <w:tcW w:w="993" w:type="dxa"/>
            <w:tcBorders>
              <w:top w:val="nil"/>
              <w:left w:val="nil"/>
              <w:bottom w:val="nil"/>
              <w:right w:val="nil"/>
            </w:tcBorders>
            <w:shd w:val="clear" w:color="000000" w:fill="CCCCFF"/>
            <w:noWrap/>
            <w:vAlign w:val="bottom"/>
            <w:hideMark/>
          </w:tcPr>
          <w:p w14:paraId="437C170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12,20%</w:t>
            </w:r>
          </w:p>
        </w:tc>
      </w:tr>
      <w:tr w:rsidR="006967F8" w:rsidRPr="006967F8" w14:paraId="63B42F7F"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3CE56AC"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6. DONACIJE</w:t>
            </w:r>
          </w:p>
        </w:tc>
        <w:tc>
          <w:tcPr>
            <w:tcW w:w="1559" w:type="dxa"/>
            <w:tcBorders>
              <w:top w:val="nil"/>
              <w:left w:val="nil"/>
              <w:bottom w:val="nil"/>
              <w:right w:val="nil"/>
            </w:tcBorders>
            <w:shd w:val="clear" w:color="000000" w:fill="CCCCFF"/>
            <w:noWrap/>
            <w:vAlign w:val="bottom"/>
            <w:hideMark/>
          </w:tcPr>
          <w:p w14:paraId="3DDFB9F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5.200,00</w:t>
            </w:r>
          </w:p>
        </w:tc>
        <w:tc>
          <w:tcPr>
            <w:tcW w:w="1559" w:type="dxa"/>
            <w:tcBorders>
              <w:top w:val="nil"/>
              <w:left w:val="nil"/>
              <w:bottom w:val="nil"/>
              <w:right w:val="nil"/>
            </w:tcBorders>
            <w:shd w:val="clear" w:color="000000" w:fill="CCCCFF"/>
            <w:noWrap/>
            <w:vAlign w:val="bottom"/>
            <w:hideMark/>
          </w:tcPr>
          <w:p w14:paraId="4AEEC68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5.200,00</w:t>
            </w:r>
          </w:p>
        </w:tc>
        <w:tc>
          <w:tcPr>
            <w:tcW w:w="1559" w:type="dxa"/>
            <w:tcBorders>
              <w:top w:val="nil"/>
              <w:left w:val="nil"/>
              <w:bottom w:val="nil"/>
              <w:right w:val="nil"/>
            </w:tcBorders>
            <w:shd w:val="clear" w:color="000000" w:fill="CCCCFF"/>
            <w:noWrap/>
            <w:vAlign w:val="bottom"/>
            <w:hideMark/>
          </w:tcPr>
          <w:p w14:paraId="4543C61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162,48</w:t>
            </w:r>
          </w:p>
        </w:tc>
        <w:tc>
          <w:tcPr>
            <w:tcW w:w="993" w:type="dxa"/>
            <w:tcBorders>
              <w:top w:val="nil"/>
              <w:left w:val="nil"/>
              <w:bottom w:val="nil"/>
              <w:right w:val="nil"/>
            </w:tcBorders>
            <w:shd w:val="clear" w:color="000000" w:fill="CCCCFF"/>
            <w:noWrap/>
            <w:vAlign w:val="bottom"/>
            <w:hideMark/>
          </w:tcPr>
          <w:p w14:paraId="541278E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3,12%</w:t>
            </w:r>
          </w:p>
        </w:tc>
      </w:tr>
      <w:tr w:rsidR="006967F8" w:rsidRPr="006967F8" w14:paraId="4F7EA3F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28EFA39"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6.1. Donacije</w:t>
            </w:r>
          </w:p>
        </w:tc>
        <w:tc>
          <w:tcPr>
            <w:tcW w:w="1559" w:type="dxa"/>
            <w:tcBorders>
              <w:top w:val="nil"/>
              <w:left w:val="nil"/>
              <w:bottom w:val="nil"/>
              <w:right w:val="nil"/>
            </w:tcBorders>
            <w:shd w:val="clear" w:color="000000" w:fill="CCCCFF"/>
            <w:noWrap/>
            <w:vAlign w:val="bottom"/>
            <w:hideMark/>
          </w:tcPr>
          <w:p w14:paraId="1222237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5.200,00</w:t>
            </w:r>
          </w:p>
        </w:tc>
        <w:tc>
          <w:tcPr>
            <w:tcW w:w="1559" w:type="dxa"/>
            <w:tcBorders>
              <w:top w:val="nil"/>
              <w:left w:val="nil"/>
              <w:bottom w:val="nil"/>
              <w:right w:val="nil"/>
            </w:tcBorders>
            <w:shd w:val="clear" w:color="000000" w:fill="CCCCFF"/>
            <w:noWrap/>
            <w:vAlign w:val="bottom"/>
            <w:hideMark/>
          </w:tcPr>
          <w:p w14:paraId="42B66B8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5.200,00</w:t>
            </w:r>
          </w:p>
        </w:tc>
        <w:tc>
          <w:tcPr>
            <w:tcW w:w="1559" w:type="dxa"/>
            <w:tcBorders>
              <w:top w:val="nil"/>
              <w:left w:val="nil"/>
              <w:bottom w:val="nil"/>
              <w:right w:val="nil"/>
            </w:tcBorders>
            <w:shd w:val="clear" w:color="000000" w:fill="CCCCFF"/>
            <w:noWrap/>
            <w:vAlign w:val="bottom"/>
            <w:hideMark/>
          </w:tcPr>
          <w:p w14:paraId="6B4742A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162,48</w:t>
            </w:r>
          </w:p>
        </w:tc>
        <w:tc>
          <w:tcPr>
            <w:tcW w:w="993" w:type="dxa"/>
            <w:tcBorders>
              <w:top w:val="nil"/>
              <w:left w:val="nil"/>
              <w:bottom w:val="nil"/>
              <w:right w:val="nil"/>
            </w:tcBorders>
            <w:shd w:val="clear" w:color="000000" w:fill="CCCCFF"/>
            <w:noWrap/>
            <w:vAlign w:val="bottom"/>
            <w:hideMark/>
          </w:tcPr>
          <w:p w14:paraId="27D5C8A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3,12%</w:t>
            </w:r>
          </w:p>
        </w:tc>
      </w:tr>
      <w:tr w:rsidR="006967F8" w:rsidRPr="006967F8" w14:paraId="090E79A2" w14:textId="77777777" w:rsidTr="008A61B1">
        <w:trPr>
          <w:trHeight w:val="255"/>
        </w:trPr>
        <w:tc>
          <w:tcPr>
            <w:tcW w:w="6096" w:type="dxa"/>
            <w:gridSpan w:val="2"/>
            <w:tcBorders>
              <w:top w:val="nil"/>
              <w:left w:val="nil"/>
              <w:bottom w:val="nil"/>
              <w:right w:val="nil"/>
            </w:tcBorders>
            <w:shd w:val="clear" w:color="000000" w:fill="FF9900"/>
            <w:vAlign w:val="bottom"/>
            <w:hideMark/>
          </w:tcPr>
          <w:p w14:paraId="48657F5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1101 Program: JAVNA UPRAVA I ADMINISTRACIJA</w:t>
            </w:r>
          </w:p>
        </w:tc>
        <w:tc>
          <w:tcPr>
            <w:tcW w:w="1559" w:type="dxa"/>
            <w:tcBorders>
              <w:top w:val="nil"/>
              <w:left w:val="nil"/>
              <w:bottom w:val="nil"/>
              <w:right w:val="nil"/>
            </w:tcBorders>
            <w:shd w:val="clear" w:color="000000" w:fill="FF9900"/>
            <w:noWrap/>
            <w:vAlign w:val="bottom"/>
            <w:hideMark/>
          </w:tcPr>
          <w:p w14:paraId="78D31E6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220.027,31</w:t>
            </w:r>
          </w:p>
        </w:tc>
        <w:tc>
          <w:tcPr>
            <w:tcW w:w="1559" w:type="dxa"/>
            <w:tcBorders>
              <w:top w:val="nil"/>
              <w:left w:val="nil"/>
              <w:bottom w:val="nil"/>
              <w:right w:val="nil"/>
            </w:tcBorders>
            <w:shd w:val="clear" w:color="000000" w:fill="FF9900"/>
            <w:noWrap/>
            <w:vAlign w:val="bottom"/>
            <w:hideMark/>
          </w:tcPr>
          <w:p w14:paraId="5642EBB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220.427,31</w:t>
            </w:r>
          </w:p>
        </w:tc>
        <w:tc>
          <w:tcPr>
            <w:tcW w:w="1559" w:type="dxa"/>
            <w:tcBorders>
              <w:top w:val="nil"/>
              <w:left w:val="nil"/>
              <w:bottom w:val="nil"/>
              <w:right w:val="nil"/>
            </w:tcBorders>
            <w:shd w:val="clear" w:color="000000" w:fill="FF9900"/>
            <w:noWrap/>
            <w:vAlign w:val="bottom"/>
            <w:hideMark/>
          </w:tcPr>
          <w:p w14:paraId="6059238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204.112,84</w:t>
            </w:r>
          </w:p>
        </w:tc>
        <w:tc>
          <w:tcPr>
            <w:tcW w:w="993" w:type="dxa"/>
            <w:tcBorders>
              <w:top w:val="nil"/>
              <w:left w:val="nil"/>
              <w:bottom w:val="nil"/>
              <w:right w:val="nil"/>
            </w:tcBorders>
            <w:shd w:val="clear" w:color="000000" w:fill="FF9900"/>
            <w:noWrap/>
            <w:vAlign w:val="bottom"/>
            <w:hideMark/>
          </w:tcPr>
          <w:p w14:paraId="56B56C7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92,60%</w:t>
            </w:r>
          </w:p>
        </w:tc>
      </w:tr>
      <w:tr w:rsidR="006967F8" w:rsidRPr="006967F8" w14:paraId="3CE83328" w14:textId="77777777" w:rsidTr="008A61B1">
        <w:trPr>
          <w:trHeight w:val="255"/>
        </w:trPr>
        <w:tc>
          <w:tcPr>
            <w:tcW w:w="6096" w:type="dxa"/>
            <w:gridSpan w:val="2"/>
            <w:tcBorders>
              <w:top w:val="nil"/>
              <w:left w:val="nil"/>
              <w:bottom w:val="nil"/>
              <w:right w:val="nil"/>
            </w:tcBorders>
            <w:shd w:val="clear" w:color="000000" w:fill="FFFF99"/>
            <w:vAlign w:val="bottom"/>
            <w:hideMark/>
          </w:tcPr>
          <w:p w14:paraId="0B5CE70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A100001 Aktivnost: FINANCIRANJE TEKUĆIH RASHODA</w:t>
            </w:r>
          </w:p>
        </w:tc>
        <w:tc>
          <w:tcPr>
            <w:tcW w:w="1559" w:type="dxa"/>
            <w:tcBorders>
              <w:top w:val="nil"/>
              <w:left w:val="nil"/>
              <w:bottom w:val="nil"/>
              <w:right w:val="nil"/>
            </w:tcBorders>
            <w:shd w:val="clear" w:color="000000" w:fill="FFFF99"/>
            <w:noWrap/>
            <w:vAlign w:val="bottom"/>
            <w:hideMark/>
          </w:tcPr>
          <w:p w14:paraId="0617298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111.027,31</w:t>
            </w:r>
          </w:p>
        </w:tc>
        <w:tc>
          <w:tcPr>
            <w:tcW w:w="1559" w:type="dxa"/>
            <w:tcBorders>
              <w:top w:val="nil"/>
              <w:left w:val="nil"/>
              <w:bottom w:val="nil"/>
              <w:right w:val="nil"/>
            </w:tcBorders>
            <w:shd w:val="clear" w:color="000000" w:fill="FFFF99"/>
            <w:noWrap/>
            <w:vAlign w:val="bottom"/>
            <w:hideMark/>
          </w:tcPr>
          <w:p w14:paraId="41A18FF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111.027,31</w:t>
            </w:r>
          </w:p>
        </w:tc>
        <w:tc>
          <w:tcPr>
            <w:tcW w:w="1559" w:type="dxa"/>
            <w:tcBorders>
              <w:top w:val="nil"/>
              <w:left w:val="nil"/>
              <w:bottom w:val="nil"/>
              <w:right w:val="nil"/>
            </w:tcBorders>
            <w:shd w:val="clear" w:color="000000" w:fill="FFFF99"/>
            <w:noWrap/>
            <w:vAlign w:val="bottom"/>
            <w:hideMark/>
          </w:tcPr>
          <w:p w14:paraId="6E1CC1B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94.726,87</w:t>
            </w:r>
          </w:p>
        </w:tc>
        <w:tc>
          <w:tcPr>
            <w:tcW w:w="993" w:type="dxa"/>
            <w:tcBorders>
              <w:top w:val="nil"/>
              <w:left w:val="nil"/>
              <w:bottom w:val="nil"/>
              <w:right w:val="nil"/>
            </w:tcBorders>
            <w:shd w:val="clear" w:color="000000" w:fill="FFFF99"/>
            <w:noWrap/>
            <w:vAlign w:val="bottom"/>
            <w:hideMark/>
          </w:tcPr>
          <w:p w14:paraId="60411C5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85,32%</w:t>
            </w:r>
          </w:p>
        </w:tc>
      </w:tr>
      <w:tr w:rsidR="006967F8" w:rsidRPr="006967F8" w14:paraId="570D6446"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2FF564E"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089EC0D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111.027,31</w:t>
            </w:r>
          </w:p>
        </w:tc>
        <w:tc>
          <w:tcPr>
            <w:tcW w:w="1559" w:type="dxa"/>
            <w:tcBorders>
              <w:top w:val="nil"/>
              <w:left w:val="nil"/>
              <w:bottom w:val="nil"/>
              <w:right w:val="nil"/>
            </w:tcBorders>
            <w:shd w:val="clear" w:color="000000" w:fill="CCCCFF"/>
            <w:noWrap/>
            <w:vAlign w:val="bottom"/>
            <w:hideMark/>
          </w:tcPr>
          <w:p w14:paraId="4D5884B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111.027,31</w:t>
            </w:r>
          </w:p>
        </w:tc>
        <w:tc>
          <w:tcPr>
            <w:tcW w:w="1559" w:type="dxa"/>
            <w:tcBorders>
              <w:top w:val="nil"/>
              <w:left w:val="nil"/>
              <w:bottom w:val="nil"/>
              <w:right w:val="nil"/>
            </w:tcBorders>
            <w:shd w:val="clear" w:color="000000" w:fill="CCCCFF"/>
            <w:noWrap/>
            <w:vAlign w:val="bottom"/>
            <w:hideMark/>
          </w:tcPr>
          <w:p w14:paraId="57E767E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94.726,87</w:t>
            </w:r>
          </w:p>
        </w:tc>
        <w:tc>
          <w:tcPr>
            <w:tcW w:w="993" w:type="dxa"/>
            <w:tcBorders>
              <w:top w:val="nil"/>
              <w:left w:val="nil"/>
              <w:bottom w:val="nil"/>
              <w:right w:val="nil"/>
            </w:tcBorders>
            <w:shd w:val="clear" w:color="000000" w:fill="CCCCFF"/>
            <w:noWrap/>
            <w:vAlign w:val="bottom"/>
            <w:hideMark/>
          </w:tcPr>
          <w:p w14:paraId="638A989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85,32%</w:t>
            </w:r>
          </w:p>
        </w:tc>
      </w:tr>
      <w:tr w:rsidR="006967F8" w:rsidRPr="006967F8" w14:paraId="21D609B2"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7CCB5D6"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4368958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111.027,31</w:t>
            </w:r>
          </w:p>
        </w:tc>
        <w:tc>
          <w:tcPr>
            <w:tcW w:w="1559" w:type="dxa"/>
            <w:tcBorders>
              <w:top w:val="nil"/>
              <w:left w:val="nil"/>
              <w:bottom w:val="nil"/>
              <w:right w:val="nil"/>
            </w:tcBorders>
            <w:shd w:val="clear" w:color="000000" w:fill="CCCCFF"/>
            <w:noWrap/>
            <w:vAlign w:val="bottom"/>
            <w:hideMark/>
          </w:tcPr>
          <w:p w14:paraId="1E3C49A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111.027,31</w:t>
            </w:r>
          </w:p>
        </w:tc>
        <w:tc>
          <w:tcPr>
            <w:tcW w:w="1559" w:type="dxa"/>
            <w:tcBorders>
              <w:top w:val="nil"/>
              <w:left w:val="nil"/>
              <w:bottom w:val="nil"/>
              <w:right w:val="nil"/>
            </w:tcBorders>
            <w:shd w:val="clear" w:color="000000" w:fill="CCCCFF"/>
            <w:noWrap/>
            <w:vAlign w:val="bottom"/>
            <w:hideMark/>
          </w:tcPr>
          <w:p w14:paraId="09E1A88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94.726,87</w:t>
            </w:r>
          </w:p>
        </w:tc>
        <w:tc>
          <w:tcPr>
            <w:tcW w:w="993" w:type="dxa"/>
            <w:tcBorders>
              <w:top w:val="nil"/>
              <w:left w:val="nil"/>
              <w:bottom w:val="nil"/>
              <w:right w:val="nil"/>
            </w:tcBorders>
            <w:shd w:val="clear" w:color="000000" w:fill="CCCCFF"/>
            <w:noWrap/>
            <w:vAlign w:val="bottom"/>
            <w:hideMark/>
          </w:tcPr>
          <w:p w14:paraId="310B840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85,32%</w:t>
            </w:r>
          </w:p>
        </w:tc>
      </w:tr>
      <w:tr w:rsidR="006967F8" w:rsidRPr="006967F8" w14:paraId="1AA8AE2B" w14:textId="77777777" w:rsidTr="008A61B1">
        <w:trPr>
          <w:trHeight w:val="255"/>
        </w:trPr>
        <w:tc>
          <w:tcPr>
            <w:tcW w:w="1134" w:type="dxa"/>
            <w:tcBorders>
              <w:top w:val="nil"/>
              <w:left w:val="nil"/>
              <w:bottom w:val="nil"/>
              <w:right w:val="nil"/>
            </w:tcBorders>
            <w:noWrap/>
            <w:vAlign w:val="bottom"/>
            <w:hideMark/>
          </w:tcPr>
          <w:p w14:paraId="2B3EA7C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1DB6C33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076C445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111.027,31</w:t>
            </w:r>
          </w:p>
        </w:tc>
        <w:tc>
          <w:tcPr>
            <w:tcW w:w="1559" w:type="dxa"/>
            <w:tcBorders>
              <w:top w:val="nil"/>
              <w:left w:val="nil"/>
              <w:bottom w:val="nil"/>
              <w:right w:val="nil"/>
            </w:tcBorders>
            <w:noWrap/>
            <w:vAlign w:val="bottom"/>
            <w:hideMark/>
          </w:tcPr>
          <w:p w14:paraId="5F858C6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111.027,31</w:t>
            </w:r>
          </w:p>
        </w:tc>
        <w:tc>
          <w:tcPr>
            <w:tcW w:w="1559" w:type="dxa"/>
            <w:tcBorders>
              <w:top w:val="nil"/>
              <w:left w:val="nil"/>
              <w:bottom w:val="nil"/>
              <w:right w:val="nil"/>
            </w:tcBorders>
            <w:noWrap/>
            <w:vAlign w:val="bottom"/>
            <w:hideMark/>
          </w:tcPr>
          <w:p w14:paraId="21680F0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94.726,87</w:t>
            </w:r>
          </w:p>
        </w:tc>
        <w:tc>
          <w:tcPr>
            <w:tcW w:w="993" w:type="dxa"/>
            <w:tcBorders>
              <w:top w:val="nil"/>
              <w:left w:val="nil"/>
              <w:bottom w:val="nil"/>
              <w:right w:val="nil"/>
            </w:tcBorders>
            <w:noWrap/>
            <w:vAlign w:val="bottom"/>
            <w:hideMark/>
          </w:tcPr>
          <w:p w14:paraId="30146D0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85,32%</w:t>
            </w:r>
          </w:p>
        </w:tc>
      </w:tr>
      <w:tr w:rsidR="006967F8" w:rsidRPr="006967F8" w14:paraId="776D7CB4" w14:textId="77777777" w:rsidTr="008A61B1">
        <w:trPr>
          <w:trHeight w:val="255"/>
        </w:trPr>
        <w:tc>
          <w:tcPr>
            <w:tcW w:w="1134" w:type="dxa"/>
            <w:tcBorders>
              <w:top w:val="nil"/>
              <w:left w:val="nil"/>
              <w:bottom w:val="nil"/>
              <w:right w:val="nil"/>
            </w:tcBorders>
            <w:noWrap/>
            <w:vAlign w:val="bottom"/>
            <w:hideMark/>
          </w:tcPr>
          <w:p w14:paraId="542E79A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3211</w:t>
            </w:r>
          </w:p>
        </w:tc>
        <w:tc>
          <w:tcPr>
            <w:tcW w:w="4962" w:type="dxa"/>
            <w:tcBorders>
              <w:top w:val="nil"/>
              <w:left w:val="nil"/>
              <w:bottom w:val="nil"/>
              <w:right w:val="nil"/>
            </w:tcBorders>
            <w:noWrap/>
            <w:vAlign w:val="bottom"/>
            <w:hideMark/>
          </w:tcPr>
          <w:p w14:paraId="15FE6AF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Službena putovanja</w:t>
            </w:r>
          </w:p>
        </w:tc>
        <w:tc>
          <w:tcPr>
            <w:tcW w:w="1559" w:type="dxa"/>
            <w:tcBorders>
              <w:top w:val="nil"/>
              <w:left w:val="nil"/>
              <w:bottom w:val="nil"/>
              <w:right w:val="nil"/>
            </w:tcBorders>
            <w:noWrap/>
            <w:vAlign w:val="bottom"/>
            <w:hideMark/>
          </w:tcPr>
          <w:p w14:paraId="5C5B4BE4"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57B5DD1"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8CAFBA8"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523,84</w:t>
            </w:r>
          </w:p>
        </w:tc>
        <w:tc>
          <w:tcPr>
            <w:tcW w:w="993" w:type="dxa"/>
            <w:tcBorders>
              <w:top w:val="nil"/>
              <w:left w:val="nil"/>
              <w:bottom w:val="nil"/>
              <w:right w:val="nil"/>
            </w:tcBorders>
            <w:noWrap/>
            <w:vAlign w:val="bottom"/>
            <w:hideMark/>
          </w:tcPr>
          <w:p w14:paraId="7E2548F9"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AE1B39D" w14:textId="77777777" w:rsidTr="008A61B1">
        <w:trPr>
          <w:trHeight w:val="255"/>
        </w:trPr>
        <w:tc>
          <w:tcPr>
            <w:tcW w:w="1134" w:type="dxa"/>
            <w:tcBorders>
              <w:top w:val="nil"/>
              <w:left w:val="nil"/>
              <w:bottom w:val="nil"/>
              <w:right w:val="nil"/>
            </w:tcBorders>
            <w:noWrap/>
            <w:vAlign w:val="bottom"/>
            <w:hideMark/>
          </w:tcPr>
          <w:p w14:paraId="3E55F62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3213</w:t>
            </w:r>
          </w:p>
        </w:tc>
        <w:tc>
          <w:tcPr>
            <w:tcW w:w="4962" w:type="dxa"/>
            <w:tcBorders>
              <w:top w:val="nil"/>
              <w:left w:val="nil"/>
              <w:bottom w:val="nil"/>
              <w:right w:val="nil"/>
            </w:tcBorders>
            <w:noWrap/>
            <w:vAlign w:val="bottom"/>
            <w:hideMark/>
          </w:tcPr>
          <w:p w14:paraId="02D1449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Stručno usavršavanje zaposlenika</w:t>
            </w:r>
          </w:p>
        </w:tc>
        <w:tc>
          <w:tcPr>
            <w:tcW w:w="1559" w:type="dxa"/>
            <w:tcBorders>
              <w:top w:val="nil"/>
              <w:left w:val="nil"/>
              <w:bottom w:val="nil"/>
              <w:right w:val="nil"/>
            </w:tcBorders>
            <w:noWrap/>
            <w:vAlign w:val="bottom"/>
            <w:hideMark/>
          </w:tcPr>
          <w:p w14:paraId="3141D39D"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55FF7B1"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DAE20FD"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88,00</w:t>
            </w:r>
          </w:p>
        </w:tc>
        <w:tc>
          <w:tcPr>
            <w:tcW w:w="993" w:type="dxa"/>
            <w:tcBorders>
              <w:top w:val="nil"/>
              <w:left w:val="nil"/>
              <w:bottom w:val="nil"/>
              <w:right w:val="nil"/>
            </w:tcBorders>
            <w:noWrap/>
            <w:vAlign w:val="bottom"/>
            <w:hideMark/>
          </w:tcPr>
          <w:p w14:paraId="6C343BA9"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DD802A4" w14:textId="77777777" w:rsidTr="008A61B1">
        <w:trPr>
          <w:trHeight w:val="255"/>
        </w:trPr>
        <w:tc>
          <w:tcPr>
            <w:tcW w:w="1134" w:type="dxa"/>
            <w:tcBorders>
              <w:top w:val="nil"/>
              <w:left w:val="nil"/>
              <w:bottom w:val="nil"/>
              <w:right w:val="nil"/>
            </w:tcBorders>
            <w:noWrap/>
            <w:vAlign w:val="bottom"/>
            <w:hideMark/>
          </w:tcPr>
          <w:p w14:paraId="2FB4533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3233</w:t>
            </w:r>
          </w:p>
        </w:tc>
        <w:tc>
          <w:tcPr>
            <w:tcW w:w="4962" w:type="dxa"/>
            <w:tcBorders>
              <w:top w:val="nil"/>
              <w:left w:val="nil"/>
              <w:bottom w:val="nil"/>
              <w:right w:val="nil"/>
            </w:tcBorders>
            <w:noWrap/>
            <w:vAlign w:val="bottom"/>
            <w:hideMark/>
          </w:tcPr>
          <w:p w14:paraId="33E871B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promidžbe i informiranja</w:t>
            </w:r>
          </w:p>
        </w:tc>
        <w:tc>
          <w:tcPr>
            <w:tcW w:w="1559" w:type="dxa"/>
            <w:tcBorders>
              <w:top w:val="nil"/>
              <w:left w:val="nil"/>
              <w:bottom w:val="nil"/>
              <w:right w:val="nil"/>
            </w:tcBorders>
            <w:noWrap/>
            <w:vAlign w:val="bottom"/>
            <w:hideMark/>
          </w:tcPr>
          <w:p w14:paraId="776051EC"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533CB03"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F000ABA"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41.685,13</w:t>
            </w:r>
          </w:p>
        </w:tc>
        <w:tc>
          <w:tcPr>
            <w:tcW w:w="993" w:type="dxa"/>
            <w:tcBorders>
              <w:top w:val="nil"/>
              <w:left w:val="nil"/>
              <w:bottom w:val="nil"/>
              <w:right w:val="nil"/>
            </w:tcBorders>
            <w:noWrap/>
            <w:vAlign w:val="bottom"/>
            <w:hideMark/>
          </w:tcPr>
          <w:p w14:paraId="6FA87D33"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2B71A8F" w14:textId="77777777" w:rsidTr="008A61B1">
        <w:trPr>
          <w:trHeight w:val="255"/>
        </w:trPr>
        <w:tc>
          <w:tcPr>
            <w:tcW w:w="1134" w:type="dxa"/>
            <w:tcBorders>
              <w:top w:val="nil"/>
              <w:left w:val="nil"/>
              <w:bottom w:val="nil"/>
              <w:right w:val="nil"/>
            </w:tcBorders>
            <w:noWrap/>
            <w:vAlign w:val="bottom"/>
            <w:hideMark/>
          </w:tcPr>
          <w:p w14:paraId="52EA23D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3237</w:t>
            </w:r>
          </w:p>
        </w:tc>
        <w:tc>
          <w:tcPr>
            <w:tcW w:w="4962" w:type="dxa"/>
            <w:tcBorders>
              <w:top w:val="nil"/>
              <w:left w:val="nil"/>
              <w:bottom w:val="nil"/>
              <w:right w:val="nil"/>
            </w:tcBorders>
            <w:noWrap/>
            <w:vAlign w:val="bottom"/>
            <w:hideMark/>
          </w:tcPr>
          <w:p w14:paraId="7B6D0BB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Intelektualne i osobne usluge</w:t>
            </w:r>
          </w:p>
        </w:tc>
        <w:tc>
          <w:tcPr>
            <w:tcW w:w="1559" w:type="dxa"/>
            <w:tcBorders>
              <w:top w:val="nil"/>
              <w:left w:val="nil"/>
              <w:bottom w:val="nil"/>
              <w:right w:val="nil"/>
            </w:tcBorders>
            <w:noWrap/>
            <w:vAlign w:val="bottom"/>
            <w:hideMark/>
          </w:tcPr>
          <w:p w14:paraId="2168A423"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66D8F08"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4150836"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22.016,77</w:t>
            </w:r>
          </w:p>
        </w:tc>
        <w:tc>
          <w:tcPr>
            <w:tcW w:w="993" w:type="dxa"/>
            <w:tcBorders>
              <w:top w:val="nil"/>
              <w:left w:val="nil"/>
              <w:bottom w:val="nil"/>
              <w:right w:val="nil"/>
            </w:tcBorders>
            <w:noWrap/>
            <w:vAlign w:val="bottom"/>
            <w:hideMark/>
          </w:tcPr>
          <w:p w14:paraId="65E8E571"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6C84B53" w14:textId="77777777" w:rsidTr="008A61B1">
        <w:trPr>
          <w:trHeight w:val="255"/>
        </w:trPr>
        <w:tc>
          <w:tcPr>
            <w:tcW w:w="1134" w:type="dxa"/>
            <w:tcBorders>
              <w:top w:val="nil"/>
              <w:left w:val="nil"/>
              <w:bottom w:val="nil"/>
              <w:right w:val="nil"/>
            </w:tcBorders>
            <w:noWrap/>
            <w:vAlign w:val="bottom"/>
            <w:hideMark/>
          </w:tcPr>
          <w:p w14:paraId="3582B91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3239</w:t>
            </w:r>
          </w:p>
        </w:tc>
        <w:tc>
          <w:tcPr>
            <w:tcW w:w="4962" w:type="dxa"/>
            <w:tcBorders>
              <w:top w:val="nil"/>
              <w:left w:val="nil"/>
              <w:bottom w:val="nil"/>
              <w:right w:val="nil"/>
            </w:tcBorders>
            <w:noWrap/>
            <w:vAlign w:val="bottom"/>
            <w:hideMark/>
          </w:tcPr>
          <w:p w14:paraId="73046D3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Ostale usluge</w:t>
            </w:r>
          </w:p>
        </w:tc>
        <w:tc>
          <w:tcPr>
            <w:tcW w:w="1559" w:type="dxa"/>
            <w:tcBorders>
              <w:top w:val="nil"/>
              <w:left w:val="nil"/>
              <w:bottom w:val="nil"/>
              <w:right w:val="nil"/>
            </w:tcBorders>
            <w:noWrap/>
            <w:vAlign w:val="bottom"/>
            <w:hideMark/>
          </w:tcPr>
          <w:p w14:paraId="0BDED577"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EAFDAB8"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B66B04B"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7.323,76</w:t>
            </w:r>
          </w:p>
        </w:tc>
        <w:tc>
          <w:tcPr>
            <w:tcW w:w="993" w:type="dxa"/>
            <w:tcBorders>
              <w:top w:val="nil"/>
              <w:left w:val="nil"/>
              <w:bottom w:val="nil"/>
              <w:right w:val="nil"/>
            </w:tcBorders>
            <w:noWrap/>
            <w:vAlign w:val="bottom"/>
            <w:hideMark/>
          </w:tcPr>
          <w:p w14:paraId="6D85F300"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ADEB7BF" w14:textId="77777777" w:rsidTr="008A61B1">
        <w:trPr>
          <w:trHeight w:val="255"/>
        </w:trPr>
        <w:tc>
          <w:tcPr>
            <w:tcW w:w="1134" w:type="dxa"/>
            <w:tcBorders>
              <w:top w:val="nil"/>
              <w:left w:val="nil"/>
              <w:bottom w:val="nil"/>
              <w:right w:val="nil"/>
            </w:tcBorders>
            <w:noWrap/>
            <w:vAlign w:val="bottom"/>
            <w:hideMark/>
          </w:tcPr>
          <w:p w14:paraId="0CFE809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3293</w:t>
            </w:r>
          </w:p>
        </w:tc>
        <w:tc>
          <w:tcPr>
            <w:tcW w:w="4962" w:type="dxa"/>
            <w:tcBorders>
              <w:top w:val="nil"/>
              <w:left w:val="nil"/>
              <w:bottom w:val="nil"/>
              <w:right w:val="nil"/>
            </w:tcBorders>
            <w:noWrap/>
            <w:vAlign w:val="bottom"/>
            <w:hideMark/>
          </w:tcPr>
          <w:p w14:paraId="1A98586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Reprezentacija</w:t>
            </w:r>
          </w:p>
        </w:tc>
        <w:tc>
          <w:tcPr>
            <w:tcW w:w="1559" w:type="dxa"/>
            <w:tcBorders>
              <w:top w:val="nil"/>
              <w:left w:val="nil"/>
              <w:bottom w:val="nil"/>
              <w:right w:val="nil"/>
            </w:tcBorders>
            <w:noWrap/>
            <w:vAlign w:val="bottom"/>
            <w:hideMark/>
          </w:tcPr>
          <w:p w14:paraId="61854E8C"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22341DA"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DA21EBD"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20.736,77</w:t>
            </w:r>
          </w:p>
        </w:tc>
        <w:tc>
          <w:tcPr>
            <w:tcW w:w="993" w:type="dxa"/>
            <w:tcBorders>
              <w:top w:val="nil"/>
              <w:left w:val="nil"/>
              <w:bottom w:val="nil"/>
              <w:right w:val="nil"/>
            </w:tcBorders>
            <w:noWrap/>
            <w:vAlign w:val="bottom"/>
            <w:hideMark/>
          </w:tcPr>
          <w:p w14:paraId="3F820AA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EDA2628" w14:textId="77777777" w:rsidTr="008A61B1">
        <w:trPr>
          <w:trHeight w:val="255"/>
        </w:trPr>
        <w:tc>
          <w:tcPr>
            <w:tcW w:w="1134" w:type="dxa"/>
            <w:tcBorders>
              <w:top w:val="nil"/>
              <w:left w:val="nil"/>
              <w:bottom w:val="nil"/>
              <w:right w:val="nil"/>
            </w:tcBorders>
            <w:noWrap/>
            <w:vAlign w:val="bottom"/>
            <w:hideMark/>
          </w:tcPr>
          <w:p w14:paraId="4D3C24D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3299</w:t>
            </w:r>
          </w:p>
        </w:tc>
        <w:tc>
          <w:tcPr>
            <w:tcW w:w="4962" w:type="dxa"/>
            <w:tcBorders>
              <w:top w:val="nil"/>
              <w:left w:val="nil"/>
              <w:bottom w:val="nil"/>
              <w:right w:val="nil"/>
            </w:tcBorders>
            <w:noWrap/>
            <w:vAlign w:val="bottom"/>
            <w:hideMark/>
          </w:tcPr>
          <w:p w14:paraId="175EB2D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nespomenuti rashodi poslovanja</w:t>
            </w:r>
          </w:p>
        </w:tc>
        <w:tc>
          <w:tcPr>
            <w:tcW w:w="1559" w:type="dxa"/>
            <w:tcBorders>
              <w:top w:val="nil"/>
              <w:left w:val="nil"/>
              <w:bottom w:val="nil"/>
              <w:right w:val="nil"/>
            </w:tcBorders>
            <w:noWrap/>
            <w:vAlign w:val="bottom"/>
            <w:hideMark/>
          </w:tcPr>
          <w:p w14:paraId="26FE9375"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F6BA455"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F8C0687"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2.352,60</w:t>
            </w:r>
          </w:p>
        </w:tc>
        <w:tc>
          <w:tcPr>
            <w:tcW w:w="993" w:type="dxa"/>
            <w:tcBorders>
              <w:top w:val="nil"/>
              <w:left w:val="nil"/>
              <w:bottom w:val="nil"/>
              <w:right w:val="nil"/>
            </w:tcBorders>
            <w:noWrap/>
            <w:vAlign w:val="bottom"/>
            <w:hideMark/>
          </w:tcPr>
          <w:p w14:paraId="29E344FB"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3F51189" w14:textId="77777777" w:rsidTr="008A61B1">
        <w:trPr>
          <w:trHeight w:val="645"/>
        </w:trPr>
        <w:tc>
          <w:tcPr>
            <w:tcW w:w="6096" w:type="dxa"/>
            <w:gridSpan w:val="2"/>
            <w:tcBorders>
              <w:top w:val="nil"/>
              <w:left w:val="nil"/>
              <w:bottom w:val="nil"/>
              <w:right w:val="nil"/>
            </w:tcBorders>
            <w:shd w:val="clear" w:color="000000" w:fill="FFFF99"/>
            <w:vAlign w:val="bottom"/>
            <w:hideMark/>
          </w:tcPr>
          <w:p w14:paraId="61F67F4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A100002 Aktivnost: OBILJEŽAVANJE DANA GRADA, DRŽAVNIH PRAZNIKA I BLAGDANA</w:t>
            </w:r>
          </w:p>
        </w:tc>
        <w:tc>
          <w:tcPr>
            <w:tcW w:w="1559" w:type="dxa"/>
            <w:tcBorders>
              <w:top w:val="nil"/>
              <w:left w:val="nil"/>
              <w:bottom w:val="nil"/>
              <w:right w:val="nil"/>
            </w:tcBorders>
            <w:shd w:val="clear" w:color="000000" w:fill="FFFF99"/>
            <w:noWrap/>
            <w:vAlign w:val="bottom"/>
            <w:hideMark/>
          </w:tcPr>
          <w:p w14:paraId="487CDFB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109.000,00</w:t>
            </w:r>
          </w:p>
        </w:tc>
        <w:tc>
          <w:tcPr>
            <w:tcW w:w="1559" w:type="dxa"/>
            <w:tcBorders>
              <w:top w:val="nil"/>
              <w:left w:val="nil"/>
              <w:bottom w:val="nil"/>
              <w:right w:val="nil"/>
            </w:tcBorders>
            <w:shd w:val="clear" w:color="000000" w:fill="FFFF99"/>
            <w:noWrap/>
            <w:vAlign w:val="bottom"/>
            <w:hideMark/>
          </w:tcPr>
          <w:p w14:paraId="799E658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109.400,00</w:t>
            </w:r>
          </w:p>
        </w:tc>
        <w:tc>
          <w:tcPr>
            <w:tcW w:w="1559" w:type="dxa"/>
            <w:tcBorders>
              <w:top w:val="nil"/>
              <w:left w:val="nil"/>
              <w:bottom w:val="nil"/>
              <w:right w:val="nil"/>
            </w:tcBorders>
            <w:shd w:val="clear" w:color="000000" w:fill="FFFF99"/>
            <w:noWrap/>
            <w:vAlign w:val="bottom"/>
            <w:hideMark/>
          </w:tcPr>
          <w:p w14:paraId="4CAA299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109.385,97</w:t>
            </w:r>
          </w:p>
        </w:tc>
        <w:tc>
          <w:tcPr>
            <w:tcW w:w="993" w:type="dxa"/>
            <w:tcBorders>
              <w:top w:val="nil"/>
              <w:left w:val="nil"/>
              <w:bottom w:val="nil"/>
              <w:right w:val="nil"/>
            </w:tcBorders>
            <w:shd w:val="clear" w:color="000000" w:fill="FFFF99"/>
            <w:noWrap/>
            <w:vAlign w:val="bottom"/>
            <w:hideMark/>
          </w:tcPr>
          <w:p w14:paraId="370B34C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99,99%</w:t>
            </w:r>
          </w:p>
        </w:tc>
      </w:tr>
      <w:tr w:rsidR="006967F8" w:rsidRPr="006967F8" w14:paraId="4E770663"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BAE7AAE"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5FA52AB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109.000,00</w:t>
            </w:r>
          </w:p>
        </w:tc>
        <w:tc>
          <w:tcPr>
            <w:tcW w:w="1559" w:type="dxa"/>
            <w:tcBorders>
              <w:top w:val="nil"/>
              <w:left w:val="nil"/>
              <w:bottom w:val="nil"/>
              <w:right w:val="nil"/>
            </w:tcBorders>
            <w:shd w:val="clear" w:color="000000" w:fill="CCCCFF"/>
            <w:noWrap/>
            <w:vAlign w:val="bottom"/>
            <w:hideMark/>
          </w:tcPr>
          <w:p w14:paraId="5E65AA7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109.400,00</w:t>
            </w:r>
          </w:p>
        </w:tc>
        <w:tc>
          <w:tcPr>
            <w:tcW w:w="1559" w:type="dxa"/>
            <w:tcBorders>
              <w:top w:val="nil"/>
              <w:left w:val="nil"/>
              <w:bottom w:val="nil"/>
              <w:right w:val="nil"/>
            </w:tcBorders>
            <w:shd w:val="clear" w:color="000000" w:fill="CCCCFF"/>
            <w:noWrap/>
            <w:vAlign w:val="bottom"/>
            <w:hideMark/>
          </w:tcPr>
          <w:p w14:paraId="7D488EB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109.385,97</w:t>
            </w:r>
          </w:p>
        </w:tc>
        <w:tc>
          <w:tcPr>
            <w:tcW w:w="993" w:type="dxa"/>
            <w:tcBorders>
              <w:top w:val="nil"/>
              <w:left w:val="nil"/>
              <w:bottom w:val="nil"/>
              <w:right w:val="nil"/>
            </w:tcBorders>
            <w:shd w:val="clear" w:color="000000" w:fill="CCCCFF"/>
            <w:noWrap/>
            <w:vAlign w:val="bottom"/>
            <w:hideMark/>
          </w:tcPr>
          <w:p w14:paraId="6397B7E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99,99%</w:t>
            </w:r>
          </w:p>
        </w:tc>
      </w:tr>
      <w:tr w:rsidR="006967F8" w:rsidRPr="006967F8" w14:paraId="28B505A9"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73CEC44"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0740C08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109.000,00</w:t>
            </w:r>
          </w:p>
        </w:tc>
        <w:tc>
          <w:tcPr>
            <w:tcW w:w="1559" w:type="dxa"/>
            <w:tcBorders>
              <w:top w:val="nil"/>
              <w:left w:val="nil"/>
              <w:bottom w:val="nil"/>
              <w:right w:val="nil"/>
            </w:tcBorders>
            <w:shd w:val="clear" w:color="000000" w:fill="CCCCFF"/>
            <w:noWrap/>
            <w:vAlign w:val="bottom"/>
            <w:hideMark/>
          </w:tcPr>
          <w:p w14:paraId="5A279E8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109.400,00</w:t>
            </w:r>
          </w:p>
        </w:tc>
        <w:tc>
          <w:tcPr>
            <w:tcW w:w="1559" w:type="dxa"/>
            <w:tcBorders>
              <w:top w:val="nil"/>
              <w:left w:val="nil"/>
              <w:bottom w:val="nil"/>
              <w:right w:val="nil"/>
            </w:tcBorders>
            <w:shd w:val="clear" w:color="000000" w:fill="CCCCFF"/>
            <w:noWrap/>
            <w:vAlign w:val="bottom"/>
            <w:hideMark/>
          </w:tcPr>
          <w:p w14:paraId="3CF8F7C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109.385,97</w:t>
            </w:r>
          </w:p>
        </w:tc>
        <w:tc>
          <w:tcPr>
            <w:tcW w:w="993" w:type="dxa"/>
            <w:tcBorders>
              <w:top w:val="nil"/>
              <w:left w:val="nil"/>
              <w:bottom w:val="nil"/>
              <w:right w:val="nil"/>
            </w:tcBorders>
            <w:shd w:val="clear" w:color="000000" w:fill="CCCCFF"/>
            <w:noWrap/>
            <w:vAlign w:val="bottom"/>
            <w:hideMark/>
          </w:tcPr>
          <w:p w14:paraId="3645A41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99,99%</w:t>
            </w:r>
          </w:p>
        </w:tc>
      </w:tr>
      <w:tr w:rsidR="006967F8" w:rsidRPr="006967F8" w14:paraId="3B06355B" w14:textId="77777777" w:rsidTr="008A61B1">
        <w:trPr>
          <w:trHeight w:val="255"/>
        </w:trPr>
        <w:tc>
          <w:tcPr>
            <w:tcW w:w="1134" w:type="dxa"/>
            <w:tcBorders>
              <w:top w:val="nil"/>
              <w:left w:val="nil"/>
              <w:bottom w:val="nil"/>
              <w:right w:val="nil"/>
            </w:tcBorders>
            <w:noWrap/>
            <w:vAlign w:val="bottom"/>
            <w:hideMark/>
          </w:tcPr>
          <w:p w14:paraId="43A6EF2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76324F7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031F51F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79.000,00</w:t>
            </w:r>
          </w:p>
        </w:tc>
        <w:tc>
          <w:tcPr>
            <w:tcW w:w="1559" w:type="dxa"/>
            <w:tcBorders>
              <w:top w:val="nil"/>
              <w:left w:val="nil"/>
              <w:bottom w:val="nil"/>
              <w:right w:val="nil"/>
            </w:tcBorders>
            <w:noWrap/>
            <w:vAlign w:val="bottom"/>
            <w:hideMark/>
          </w:tcPr>
          <w:p w14:paraId="63981A0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79.400,00</w:t>
            </w:r>
          </w:p>
        </w:tc>
        <w:tc>
          <w:tcPr>
            <w:tcW w:w="1559" w:type="dxa"/>
            <w:tcBorders>
              <w:top w:val="nil"/>
              <w:left w:val="nil"/>
              <w:bottom w:val="nil"/>
              <w:right w:val="nil"/>
            </w:tcBorders>
            <w:noWrap/>
            <w:vAlign w:val="bottom"/>
            <w:hideMark/>
          </w:tcPr>
          <w:p w14:paraId="5D2AE88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79.385,97</w:t>
            </w:r>
          </w:p>
        </w:tc>
        <w:tc>
          <w:tcPr>
            <w:tcW w:w="993" w:type="dxa"/>
            <w:tcBorders>
              <w:top w:val="nil"/>
              <w:left w:val="nil"/>
              <w:bottom w:val="nil"/>
              <w:right w:val="nil"/>
            </w:tcBorders>
            <w:noWrap/>
            <w:vAlign w:val="bottom"/>
            <w:hideMark/>
          </w:tcPr>
          <w:p w14:paraId="5226F15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99,98%</w:t>
            </w:r>
          </w:p>
        </w:tc>
      </w:tr>
      <w:tr w:rsidR="006967F8" w:rsidRPr="006967F8" w14:paraId="6DA1AD08" w14:textId="77777777" w:rsidTr="008A61B1">
        <w:trPr>
          <w:trHeight w:val="255"/>
        </w:trPr>
        <w:tc>
          <w:tcPr>
            <w:tcW w:w="1134" w:type="dxa"/>
            <w:tcBorders>
              <w:top w:val="nil"/>
              <w:left w:val="nil"/>
              <w:bottom w:val="nil"/>
              <w:right w:val="nil"/>
            </w:tcBorders>
            <w:noWrap/>
            <w:vAlign w:val="bottom"/>
            <w:hideMark/>
          </w:tcPr>
          <w:p w14:paraId="7839C33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3231</w:t>
            </w:r>
          </w:p>
        </w:tc>
        <w:tc>
          <w:tcPr>
            <w:tcW w:w="4962" w:type="dxa"/>
            <w:tcBorders>
              <w:top w:val="nil"/>
              <w:left w:val="nil"/>
              <w:bottom w:val="nil"/>
              <w:right w:val="nil"/>
            </w:tcBorders>
            <w:noWrap/>
            <w:vAlign w:val="bottom"/>
            <w:hideMark/>
          </w:tcPr>
          <w:p w14:paraId="5B03090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telefona, interneta, pošte i prijevoza</w:t>
            </w:r>
          </w:p>
        </w:tc>
        <w:tc>
          <w:tcPr>
            <w:tcW w:w="1559" w:type="dxa"/>
            <w:tcBorders>
              <w:top w:val="nil"/>
              <w:left w:val="nil"/>
              <w:bottom w:val="nil"/>
              <w:right w:val="nil"/>
            </w:tcBorders>
            <w:noWrap/>
            <w:vAlign w:val="bottom"/>
            <w:hideMark/>
          </w:tcPr>
          <w:p w14:paraId="1E7ED2C6"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268BF5D"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7820690"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89,80</w:t>
            </w:r>
          </w:p>
        </w:tc>
        <w:tc>
          <w:tcPr>
            <w:tcW w:w="993" w:type="dxa"/>
            <w:tcBorders>
              <w:top w:val="nil"/>
              <w:left w:val="nil"/>
              <w:bottom w:val="nil"/>
              <w:right w:val="nil"/>
            </w:tcBorders>
            <w:noWrap/>
            <w:vAlign w:val="bottom"/>
            <w:hideMark/>
          </w:tcPr>
          <w:p w14:paraId="22428980"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28457EA" w14:textId="77777777" w:rsidTr="008A61B1">
        <w:trPr>
          <w:trHeight w:val="255"/>
        </w:trPr>
        <w:tc>
          <w:tcPr>
            <w:tcW w:w="1134" w:type="dxa"/>
            <w:tcBorders>
              <w:top w:val="nil"/>
              <w:left w:val="nil"/>
              <w:bottom w:val="nil"/>
              <w:right w:val="nil"/>
            </w:tcBorders>
            <w:noWrap/>
            <w:vAlign w:val="bottom"/>
            <w:hideMark/>
          </w:tcPr>
          <w:p w14:paraId="6E78100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3233</w:t>
            </w:r>
          </w:p>
        </w:tc>
        <w:tc>
          <w:tcPr>
            <w:tcW w:w="4962" w:type="dxa"/>
            <w:tcBorders>
              <w:top w:val="nil"/>
              <w:left w:val="nil"/>
              <w:bottom w:val="nil"/>
              <w:right w:val="nil"/>
            </w:tcBorders>
            <w:noWrap/>
            <w:vAlign w:val="bottom"/>
            <w:hideMark/>
          </w:tcPr>
          <w:p w14:paraId="0F0C491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promidžbe i informiranja</w:t>
            </w:r>
          </w:p>
        </w:tc>
        <w:tc>
          <w:tcPr>
            <w:tcW w:w="1559" w:type="dxa"/>
            <w:tcBorders>
              <w:top w:val="nil"/>
              <w:left w:val="nil"/>
              <w:bottom w:val="nil"/>
              <w:right w:val="nil"/>
            </w:tcBorders>
            <w:noWrap/>
            <w:vAlign w:val="bottom"/>
            <w:hideMark/>
          </w:tcPr>
          <w:p w14:paraId="655CE220"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75BDF9C"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A9E326C"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16.673,75</w:t>
            </w:r>
          </w:p>
        </w:tc>
        <w:tc>
          <w:tcPr>
            <w:tcW w:w="993" w:type="dxa"/>
            <w:tcBorders>
              <w:top w:val="nil"/>
              <w:left w:val="nil"/>
              <w:bottom w:val="nil"/>
              <w:right w:val="nil"/>
            </w:tcBorders>
            <w:noWrap/>
            <w:vAlign w:val="bottom"/>
            <w:hideMark/>
          </w:tcPr>
          <w:p w14:paraId="02012F68"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5977EF2" w14:textId="77777777" w:rsidTr="008A61B1">
        <w:trPr>
          <w:trHeight w:val="255"/>
        </w:trPr>
        <w:tc>
          <w:tcPr>
            <w:tcW w:w="1134" w:type="dxa"/>
            <w:tcBorders>
              <w:top w:val="nil"/>
              <w:left w:val="nil"/>
              <w:bottom w:val="nil"/>
              <w:right w:val="nil"/>
            </w:tcBorders>
            <w:noWrap/>
            <w:vAlign w:val="bottom"/>
            <w:hideMark/>
          </w:tcPr>
          <w:p w14:paraId="2A2D692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3239</w:t>
            </w:r>
          </w:p>
        </w:tc>
        <w:tc>
          <w:tcPr>
            <w:tcW w:w="4962" w:type="dxa"/>
            <w:tcBorders>
              <w:top w:val="nil"/>
              <w:left w:val="nil"/>
              <w:bottom w:val="nil"/>
              <w:right w:val="nil"/>
            </w:tcBorders>
            <w:noWrap/>
            <w:vAlign w:val="bottom"/>
            <w:hideMark/>
          </w:tcPr>
          <w:p w14:paraId="2B27D00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Ostale usluge</w:t>
            </w:r>
          </w:p>
        </w:tc>
        <w:tc>
          <w:tcPr>
            <w:tcW w:w="1559" w:type="dxa"/>
            <w:tcBorders>
              <w:top w:val="nil"/>
              <w:left w:val="nil"/>
              <w:bottom w:val="nil"/>
              <w:right w:val="nil"/>
            </w:tcBorders>
            <w:noWrap/>
            <w:vAlign w:val="bottom"/>
            <w:hideMark/>
          </w:tcPr>
          <w:p w14:paraId="3164B76C"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FDD6F04"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CF8E2EA"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3.333,75</w:t>
            </w:r>
          </w:p>
        </w:tc>
        <w:tc>
          <w:tcPr>
            <w:tcW w:w="993" w:type="dxa"/>
            <w:tcBorders>
              <w:top w:val="nil"/>
              <w:left w:val="nil"/>
              <w:bottom w:val="nil"/>
              <w:right w:val="nil"/>
            </w:tcBorders>
            <w:noWrap/>
            <w:vAlign w:val="bottom"/>
            <w:hideMark/>
          </w:tcPr>
          <w:p w14:paraId="23260B98"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5CD001A" w14:textId="77777777" w:rsidTr="008A61B1">
        <w:trPr>
          <w:trHeight w:val="255"/>
        </w:trPr>
        <w:tc>
          <w:tcPr>
            <w:tcW w:w="1134" w:type="dxa"/>
            <w:tcBorders>
              <w:top w:val="nil"/>
              <w:left w:val="nil"/>
              <w:bottom w:val="nil"/>
              <w:right w:val="nil"/>
            </w:tcBorders>
            <w:noWrap/>
            <w:vAlign w:val="bottom"/>
            <w:hideMark/>
          </w:tcPr>
          <w:p w14:paraId="1FEDAA4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3293</w:t>
            </w:r>
          </w:p>
        </w:tc>
        <w:tc>
          <w:tcPr>
            <w:tcW w:w="4962" w:type="dxa"/>
            <w:tcBorders>
              <w:top w:val="nil"/>
              <w:left w:val="nil"/>
              <w:bottom w:val="nil"/>
              <w:right w:val="nil"/>
            </w:tcBorders>
            <w:noWrap/>
            <w:vAlign w:val="bottom"/>
            <w:hideMark/>
          </w:tcPr>
          <w:p w14:paraId="7BAA77F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Reprezentacija</w:t>
            </w:r>
          </w:p>
        </w:tc>
        <w:tc>
          <w:tcPr>
            <w:tcW w:w="1559" w:type="dxa"/>
            <w:tcBorders>
              <w:top w:val="nil"/>
              <w:left w:val="nil"/>
              <w:bottom w:val="nil"/>
              <w:right w:val="nil"/>
            </w:tcBorders>
            <w:noWrap/>
            <w:vAlign w:val="bottom"/>
            <w:hideMark/>
          </w:tcPr>
          <w:p w14:paraId="55C99A45"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2302B00"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CEE61FC"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39.466,39</w:t>
            </w:r>
          </w:p>
        </w:tc>
        <w:tc>
          <w:tcPr>
            <w:tcW w:w="993" w:type="dxa"/>
            <w:tcBorders>
              <w:top w:val="nil"/>
              <w:left w:val="nil"/>
              <w:bottom w:val="nil"/>
              <w:right w:val="nil"/>
            </w:tcBorders>
            <w:noWrap/>
            <w:vAlign w:val="bottom"/>
            <w:hideMark/>
          </w:tcPr>
          <w:p w14:paraId="6031E938"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9FD0D95" w14:textId="77777777" w:rsidTr="008A61B1">
        <w:trPr>
          <w:trHeight w:val="255"/>
        </w:trPr>
        <w:tc>
          <w:tcPr>
            <w:tcW w:w="1134" w:type="dxa"/>
            <w:tcBorders>
              <w:top w:val="nil"/>
              <w:left w:val="nil"/>
              <w:bottom w:val="nil"/>
              <w:right w:val="nil"/>
            </w:tcBorders>
            <w:noWrap/>
            <w:vAlign w:val="bottom"/>
            <w:hideMark/>
          </w:tcPr>
          <w:p w14:paraId="5489E1D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3299</w:t>
            </w:r>
          </w:p>
        </w:tc>
        <w:tc>
          <w:tcPr>
            <w:tcW w:w="4962" w:type="dxa"/>
            <w:tcBorders>
              <w:top w:val="nil"/>
              <w:left w:val="nil"/>
              <w:bottom w:val="nil"/>
              <w:right w:val="nil"/>
            </w:tcBorders>
            <w:noWrap/>
            <w:vAlign w:val="bottom"/>
            <w:hideMark/>
          </w:tcPr>
          <w:p w14:paraId="48A9499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nespomenuti rashodi poslovanja</w:t>
            </w:r>
          </w:p>
        </w:tc>
        <w:tc>
          <w:tcPr>
            <w:tcW w:w="1559" w:type="dxa"/>
            <w:tcBorders>
              <w:top w:val="nil"/>
              <w:left w:val="nil"/>
              <w:bottom w:val="nil"/>
              <w:right w:val="nil"/>
            </w:tcBorders>
            <w:noWrap/>
            <w:vAlign w:val="bottom"/>
            <w:hideMark/>
          </w:tcPr>
          <w:p w14:paraId="217851CA"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FE66D81"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603AD67"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19.822,28</w:t>
            </w:r>
          </w:p>
        </w:tc>
        <w:tc>
          <w:tcPr>
            <w:tcW w:w="993" w:type="dxa"/>
            <w:tcBorders>
              <w:top w:val="nil"/>
              <w:left w:val="nil"/>
              <w:bottom w:val="nil"/>
              <w:right w:val="nil"/>
            </w:tcBorders>
            <w:noWrap/>
            <w:vAlign w:val="bottom"/>
            <w:hideMark/>
          </w:tcPr>
          <w:p w14:paraId="36202375"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1E85CB4" w14:textId="77777777" w:rsidTr="008A61B1">
        <w:trPr>
          <w:trHeight w:val="555"/>
        </w:trPr>
        <w:tc>
          <w:tcPr>
            <w:tcW w:w="1134" w:type="dxa"/>
            <w:tcBorders>
              <w:top w:val="nil"/>
              <w:left w:val="nil"/>
              <w:bottom w:val="nil"/>
              <w:right w:val="nil"/>
            </w:tcBorders>
            <w:noWrap/>
            <w:vAlign w:val="bottom"/>
            <w:hideMark/>
          </w:tcPr>
          <w:p w14:paraId="4BFECAF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38</w:t>
            </w:r>
          </w:p>
        </w:tc>
        <w:tc>
          <w:tcPr>
            <w:tcW w:w="4962" w:type="dxa"/>
            <w:tcBorders>
              <w:top w:val="nil"/>
              <w:left w:val="nil"/>
              <w:bottom w:val="nil"/>
              <w:right w:val="nil"/>
            </w:tcBorders>
            <w:vAlign w:val="bottom"/>
            <w:hideMark/>
          </w:tcPr>
          <w:p w14:paraId="08BC7A2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donacije, kazne, naknade šteta i kapitalne pomoći</w:t>
            </w:r>
          </w:p>
        </w:tc>
        <w:tc>
          <w:tcPr>
            <w:tcW w:w="1559" w:type="dxa"/>
            <w:tcBorders>
              <w:top w:val="nil"/>
              <w:left w:val="nil"/>
              <w:bottom w:val="nil"/>
              <w:right w:val="nil"/>
            </w:tcBorders>
            <w:noWrap/>
            <w:vAlign w:val="bottom"/>
            <w:hideMark/>
          </w:tcPr>
          <w:p w14:paraId="41A64A7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30.000,00</w:t>
            </w:r>
          </w:p>
        </w:tc>
        <w:tc>
          <w:tcPr>
            <w:tcW w:w="1559" w:type="dxa"/>
            <w:tcBorders>
              <w:top w:val="nil"/>
              <w:left w:val="nil"/>
              <w:bottom w:val="nil"/>
              <w:right w:val="nil"/>
            </w:tcBorders>
            <w:noWrap/>
            <w:vAlign w:val="bottom"/>
            <w:hideMark/>
          </w:tcPr>
          <w:p w14:paraId="2384529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30.000,00</w:t>
            </w:r>
          </w:p>
        </w:tc>
        <w:tc>
          <w:tcPr>
            <w:tcW w:w="1559" w:type="dxa"/>
            <w:tcBorders>
              <w:top w:val="nil"/>
              <w:left w:val="nil"/>
              <w:bottom w:val="nil"/>
              <w:right w:val="nil"/>
            </w:tcBorders>
            <w:noWrap/>
            <w:vAlign w:val="bottom"/>
            <w:hideMark/>
          </w:tcPr>
          <w:p w14:paraId="2662032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30.000,00</w:t>
            </w:r>
          </w:p>
        </w:tc>
        <w:tc>
          <w:tcPr>
            <w:tcW w:w="993" w:type="dxa"/>
            <w:tcBorders>
              <w:top w:val="nil"/>
              <w:left w:val="nil"/>
              <w:bottom w:val="nil"/>
              <w:right w:val="nil"/>
            </w:tcBorders>
            <w:noWrap/>
            <w:vAlign w:val="bottom"/>
            <w:hideMark/>
          </w:tcPr>
          <w:p w14:paraId="1920299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r>
      <w:tr w:rsidR="006967F8" w:rsidRPr="006967F8" w14:paraId="4AF7365D" w14:textId="77777777" w:rsidTr="008A61B1">
        <w:trPr>
          <w:trHeight w:val="255"/>
        </w:trPr>
        <w:tc>
          <w:tcPr>
            <w:tcW w:w="1134" w:type="dxa"/>
            <w:tcBorders>
              <w:top w:val="nil"/>
              <w:left w:val="nil"/>
              <w:bottom w:val="nil"/>
              <w:right w:val="nil"/>
            </w:tcBorders>
            <w:noWrap/>
            <w:vAlign w:val="bottom"/>
            <w:hideMark/>
          </w:tcPr>
          <w:p w14:paraId="4A39068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3811</w:t>
            </w:r>
          </w:p>
        </w:tc>
        <w:tc>
          <w:tcPr>
            <w:tcW w:w="4962" w:type="dxa"/>
            <w:tcBorders>
              <w:top w:val="nil"/>
              <w:left w:val="nil"/>
              <w:bottom w:val="nil"/>
              <w:right w:val="nil"/>
            </w:tcBorders>
            <w:noWrap/>
            <w:vAlign w:val="bottom"/>
            <w:hideMark/>
          </w:tcPr>
          <w:p w14:paraId="08BB8E0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Tekuće donacije u novcu</w:t>
            </w:r>
          </w:p>
        </w:tc>
        <w:tc>
          <w:tcPr>
            <w:tcW w:w="1559" w:type="dxa"/>
            <w:tcBorders>
              <w:top w:val="nil"/>
              <w:left w:val="nil"/>
              <w:bottom w:val="nil"/>
              <w:right w:val="nil"/>
            </w:tcBorders>
            <w:noWrap/>
            <w:vAlign w:val="bottom"/>
            <w:hideMark/>
          </w:tcPr>
          <w:p w14:paraId="1E43B8F9"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71BDE8F"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335CCF8"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30.000,00</w:t>
            </w:r>
          </w:p>
        </w:tc>
        <w:tc>
          <w:tcPr>
            <w:tcW w:w="993" w:type="dxa"/>
            <w:tcBorders>
              <w:top w:val="nil"/>
              <w:left w:val="nil"/>
              <w:bottom w:val="nil"/>
              <w:right w:val="nil"/>
            </w:tcBorders>
            <w:noWrap/>
            <w:vAlign w:val="bottom"/>
            <w:hideMark/>
          </w:tcPr>
          <w:p w14:paraId="720528B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E46D7EC" w14:textId="77777777" w:rsidTr="008A61B1">
        <w:trPr>
          <w:trHeight w:val="570"/>
        </w:trPr>
        <w:tc>
          <w:tcPr>
            <w:tcW w:w="6096" w:type="dxa"/>
            <w:gridSpan w:val="2"/>
            <w:tcBorders>
              <w:top w:val="nil"/>
              <w:left w:val="nil"/>
              <w:bottom w:val="nil"/>
              <w:right w:val="nil"/>
            </w:tcBorders>
            <w:shd w:val="clear" w:color="000000" w:fill="FF9900"/>
            <w:vAlign w:val="bottom"/>
            <w:hideMark/>
          </w:tcPr>
          <w:p w14:paraId="08ED77D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1201 Program: PREDŠKOLSKI ODGOJ I RAZVOJ ŠKOLSTVA</w:t>
            </w:r>
          </w:p>
        </w:tc>
        <w:tc>
          <w:tcPr>
            <w:tcW w:w="1559" w:type="dxa"/>
            <w:tcBorders>
              <w:top w:val="nil"/>
              <w:left w:val="nil"/>
              <w:bottom w:val="nil"/>
              <w:right w:val="nil"/>
            </w:tcBorders>
            <w:shd w:val="clear" w:color="000000" w:fill="FF9900"/>
            <w:noWrap/>
            <w:vAlign w:val="bottom"/>
            <w:hideMark/>
          </w:tcPr>
          <w:p w14:paraId="191A1AD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625.000,00</w:t>
            </w:r>
          </w:p>
        </w:tc>
        <w:tc>
          <w:tcPr>
            <w:tcW w:w="1559" w:type="dxa"/>
            <w:tcBorders>
              <w:top w:val="nil"/>
              <w:left w:val="nil"/>
              <w:bottom w:val="nil"/>
              <w:right w:val="nil"/>
            </w:tcBorders>
            <w:shd w:val="clear" w:color="000000" w:fill="FF9900"/>
            <w:noWrap/>
            <w:vAlign w:val="bottom"/>
            <w:hideMark/>
          </w:tcPr>
          <w:p w14:paraId="198561E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695.324,00</w:t>
            </w:r>
          </w:p>
        </w:tc>
        <w:tc>
          <w:tcPr>
            <w:tcW w:w="1559" w:type="dxa"/>
            <w:tcBorders>
              <w:top w:val="nil"/>
              <w:left w:val="nil"/>
              <w:bottom w:val="nil"/>
              <w:right w:val="nil"/>
            </w:tcBorders>
            <w:shd w:val="clear" w:color="000000" w:fill="FF9900"/>
            <w:noWrap/>
            <w:vAlign w:val="bottom"/>
            <w:hideMark/>
          </w:tcPr>
          <w:p w14:paraId="2D08ED8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602.411,12</w:t>
            </w:r>
          </w:p>
        </w:tc>
        <w:tc>
          <w:tcPr>
            <w:tcW w:w="993" w:type="dxa"/>
            <w:tcBorders>
              <w:top w:val="nil"/>
              <w:left w:val="nil"/>
              <w:bottom w:val="nil"/>
              <w:right w:val="nil"/>
            </w:tcBorders>
            <w:shd w:val="clear" w:color="000000" w:fill="FF9900"/>
            <w:noWrap/>
            <w:vAlign w:val="bottom"/>
            <w:hideMark/>
          </w:tcPr>
          <w:p w14:paraId="4A8D000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86,64%</w:t>
            </w:r>
          </w:p>
        </w:tc>
      </w:tr>
      <w:tr w:rsidR="006967F8" w:rsidRPr="006967F8" w14:paraId="3A344A02" w14:textId="77777777" w:rsidTr="008A61B1">
        <w:trPr>
          <w:trHeight w:val="255"/>
        </w:trPr>
        <w:tc>
          <w:tcPr>
            <w:tcW w:w="6096" w:type="dxa"/>
            <w:gridSpan w:val="2"/>
            <w:tcBorders>
              <w:top w:val="nil"/>
              <w:left w:val="nil"/>
              <w:bottom w:val="nil"/>
              <w:right w:val="nil"/>
            </w:tcBorders>
            <w:shd w:val="clear" w:color="000000" w:fill="FFFF99"/>
            <w:vAlign w:val="bottom"/>
            <w:hideMark/>
          </w:tcPr>
          <w:p w14:paraId="1ED6483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A100002 Aktivnost: RAZVOJ ŠKOLSTVA</w:t>
            </w:r>
          </w:p>
        </w:tc>
        <w:tc>
          <w:tcPr>
            <w:tcW w:w="1559" w:type="dxa"/>
            <w:tcBorders>
              <w:top w:val="nil"/>
              <w:left w:val="nil"/>
              <w:bottom w:val="nil"/>
              <w:right w:val="nil"/>
            </w:tcBorders>
            <w:shd w:val="clear" w:color="000000" w:fill="FFFF99"/>
            <w:noWrap/>
            <w:vAlign w:val="bottom"/>
            <w:hideMark/>
          </w:tcPr>
          <w:p w14:paraId="1D9DF4E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354.000,00</w:t>
            </w:r>
          </w:p>
        </w:tc>
        <w:tc>
          <w:tcPr>
            <w:tcW w:w="1559" w:type="dxa"/>
            <w:tcBorders>
              <w:top w:val="nil"/>
              <w:left w:val="nil"/>
              <w:bottom w:val="nil"/>
              <w:right w:val="nil"/>
            </w:tcBorders>
            <w:shd w:val="clear" w:color="000000" w:fill="FFFF99"/>
            <w:noWrap/>
            <w:vAlign w:val="bottom"/>
            <w:hideMark/>
          </w:tcPr>
          <w:p w14:paraId="4FC9D46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354.000,00</w:t>
            </w:r>
          </w:p>
        </w:tc>
        <w:tc>
          <w:tcPr>
            <w:tcW w:w="1559" w:type="dxa"/>
            <w:tcBorders>
              <w:top w:val="nil"/>
              <w:left w:val="nil"/>
              <w:bottom w:val="nil"/>
              <w:right w:val="nil"/>
            </w:tcBorders>
            <w:shd w:val="clear" w:color="000000" w:fill="FFFF99"/>
            <w:noWrap/>
            <w:vAlign w:val="bottom"/>
            <w:hideMark/>
          </w:tcPr>
          <w:p w14:paraId="0CE5747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339.144,64</w:t>
            </w:r>
          </w:p>
        </w:tc>
        <w:tc>
          <w:tcPr>
            <w:tcW w:w="993" w:type="dxa"/>
            <w:tcBorders>
              <w:top w:val="nil"/>
              <w:left w:val="nil"/>
              <w:bottom w:val="nil"/>
              <w:right w:val="nil"/>
            </w:tcBorders>
            <w:shd w:val="clear" w:color="000000" w:fill="FFFF99"/>
            <w:noWrap/>
            <w:vAlign w:val="bottom"/>
            <w:hideMark/>
          </w:tcPr>
          <w:p w14:paraId="59B2C4C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95,80%</w:t>
            </w:r>
          </w:p>
        </w:tc>
      </w:tr>
      <w:tr w:rsidR="006967F8" w:rsidRPr="006967F8" w14:paraId="22A32240"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307F34A"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630D191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354.000,00</w:t>
            </w:r>
          </w:p>
        </w:tc>
        <w:tc>
          <w:tcPr>
            <w:tcW w:w="1559" w:type="dxa"/>
            <w:tcBorders>
              <w:top w:val="nil"/>
              <w:left w:val="nil"/>
              <w:bottom w:val="nil"/>
              <w:right w:val="nil"/>
            </w:tcBorders>
            <w:shd w:val="clear" w:color="000000" w:fill="CCCCFF"/>
            <w:noWrap/>
            <w:vAlign w:val="bottom"/>
            <w:hideMark/>
          </w:tcPr>
          <w:p w14:paraId="0887DAC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354.000,00</w:t>
            </w:r>
          </w:p>
        </w:tc>
        <w:tc>
          <w:tcPr>
            <w:tcW w:w="1559" w:type="dxa"/>
            <w:tcBorders>
              <w:top w:val="nil"/>
              <w:left w:val="nil"/>
              <w:bottom w:val="nil"/>
              <w:right w:val="nil"/>
            </w:tcBorders>
            <w:shd w:val="clear" w:color="000000" w:fill="CCCCFF"/>
            <w:noWrap/>
            <w:vAlign w:val="bottom"/>
            <w:hideMark/>
          </w:tcPr>
          <w:p w14:paraId="5EE0CBD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339.144,64</w:t>
            </w:r>
          </w:p>
        </w:tc>
        <w:tc>
          <w:tcPr>
            <w:tcW w:w="993" w:type="dxa"/>
            <w:tcBorders>
              <w:top w:val="nil"/>
              <w:left w:val="nil"/>
              <w:bottom w:val="nil"/>
              <w:right w:val="nil"/>
            </w:tcBorders>
            <w:shd w:val="clear" w:color="000000" w:fill="CCCCFF"/>
            <w:noWrap/>
            <w:vAlign w:val="bottom"/>
            <w:hideMark/>
          </w:tcPr>
          <w:p w14:paraId="70F92F9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95,80%</w:t>
            </w:r>
          </w:p>
        </w:tc>
      </w:tr>
      <w:tr w:rsidR="006967F8" w:rsidRPr="006967F8" w14:paraId="3C90640B"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765B0DD"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433EF04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354.000,00</w:t>
            </w:r>
          </w:p>
        </w:tc>
        <w:tc>
          <w:tcPr>
            <w:tcW w:w="1559" w:type="dxa"/>
            <w:tcBorders>
              <w:top w:val="nil"/>
              <w:left w:val="nil"/>
              <w:bottom w:val="nil"/>
              <w:right w:val="nil"/>
            </w:tcBorders>
            <w:shd w:val="clear" w:color="000000" w:fill="CCCCFF"/>
            <w:noWrap/>
            <w:vAlign w:val="bottom"/>
            <w:hideMark/>
          </w:tcPr>
          <w:p w14:paraId="6095373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354.000,00</w:t>
            </w:r>
          </w:p>
        </w:tc>
        <w:tc>
          <w:tcPr>
            <w:tcW w:w="1559" w:type="dxa"/>
            <w:tcBorders>
              <w:top w:val="nil"/>
              <w:left w:val="nil"/>
              <w:bottom w:val="nil"/>
              <w:right w:val="nil"/>
            </w:tcBorders>
            <w:shd w:val="clear" w:color="000000" w:fill="CCCCFF"/>
            <w:noWrap/>
            <w:vAlign w:val="bottom"/>
            <w:hideMark/>
          </w:tcPr>
          <w:p w14:paraId="5773841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339.144,64</w:t>
            </w:r>
          </w:p>
        </w:tc>
        <w:tc>
          <w:tcPr>
            <w:tcW w:w="993" w:type="dxa"/>
            <w:tcBorders>
              <w:top w:val="nil"/>
              <w:left w:val="nil"/>
              <w:bottom w:val="nil"/>
              <w:right w:val="nil"/>
            </w:tcBorders>
            <w:shd w:val="clear" w:color="000000" w:fill="CCCCFF"/>
            <w:noWrap/>
            <w:vAlign w:val="bottom"/>
            <w:hideMark/>
          </w:tcPr>
          <w:p w14:paraId="059EEA5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95,80%</w:t>
            </w:r>
          </w:p>
        </w:tc>
      </w:tr>
      <w:tr w:rsidR="006967F8" w:rsidRPr="006967F8" w14:paraId="24E19F8F" w14:textId="77777777" w:rsidTr="008A61B1">
        <w:trPr>
          <w:trHeight w:val="255"/>
        </w:trPr>
        <w:tc>
          <w:tcPr>
            <w:tcW w:w="1134" w:type="dxa"/>
            <w:tcBorders>
              <w:top w:val="nil"/>
              <w:left w:val="nil"/>
              <w:bottom w:val="nil"/>
              <w:right w:val="nil"/>
            </w:tcBorders>
            <w:noWrap/>
            <w:vAlign w:val="bottom"/>
            <w:hideMark/>
          </w:tcPr>
          <w:p w14:paraId="0A5AD76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5A07843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6D67B8A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4.000,00</w:t>
            </w:r>
          </w:p>
        </w:tc>
        <w:tc>
          <w:tcPr>
            <w:tcW w:w="1559" w:type="dxa"/>
            <w:tcBorders>
              <w:top w:val="nil"/>
              <w:left w:val="nil"/>
              <w:bottom w:val="nil"/>
              <w:right w:val="nil"/>
            </w:tcBorders>
            <w:noWrap/>
            <w:vAlign w:val="bottom"/>
            <w:hideMark/>
          </w:tcPr>
          <w:p w14:paraId="3F23988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4.000,00</w:t>
            </w:r>
          </w:p>
        </w:tc>
        <w:tc>
          <w:tcPr>
            <w:tcW w:w="1559" w:type="dxa"/>
            <w:tcBorders>
              <w:top w:val="nil"/>
              <w:left w:val="nil"/>
              <w:bottom w:val="nil"/>
              <w:right w:val="nil"/>
            </w:tcBorders>
            <w:noWrap/>
            <w:vAlign w:val="bottom"/>
            <w:hideMark/>
          </w:tcPr>
          <w:p w14:paraId="539EBC1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330,00</w:t>
            </w:r>
          </w:p>
        </w:tc>
        <w:tc>
          <w:tcPr>
            <w:tcW w:w="993" w:type="dxa"/>
            <w:tcBorders>
              <w:top w:val="nil"/>
              <w:left w:val="nil"/>
              <w:bottom w:val="nil"/>
              <w:right w:val="nil"/>
            </w:tcBorders>
            <w:noWrap/>
            <w:vAlign w:val="bottom"/>
            <w:hideMark/>
          </w:tcPr>
          <w:p w14:paraId="0BA3C5A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8,25%</w:t>
            </w:r>
          </w:p>
        </w:tc>
      </w:tr>
      <w:tr w:rsidR="006967F8" w:rsidRPr="006967F8" w14:paraId="499B9FD9" w14:textId="77777777" w:rsidTr="008A61B1">
        <w:trPr>
          <w:trHeight w:val="255"/>
        </w:trPr>
        <w:tc>
          <w:tcPr>
            <w:tcW w:w="1134" w:type="dxa"/>
            <w:tcBorders>
              <w:top w:val="nil"/>
              <w:left w:val="nil"/>
              <w:bottom w:val="nil"/>
              <w:right w:val="nil"/>
            </w:tcBorders>
            <w:noWrap/>
            <w:vAlign w:val="bottom"/>
            <w:hideMark/>
          </w:tcPr>
          <w:p w14:paraId="7EB3044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3231</w:t>
            </w:r>
          </w:p>
        </w:tc>
        <w:tc>
          <w:tcPr>
            <w:tcW w:w="4962" w:type="dxa"/>
            <w:tcBorders>
              <w:top w:val="nil"/>
              <w:left w:val="nil"/>
              <w:bottom w:val="nil"/>
              <w:right w:val="nil"/>
            </w:tcBorders>
            <w:noWrap/>
            <w:vAlign w:val="bottom"/>
            <w:hideMark/>
          </w:tcPr>
          <w:p w14:paraId="34B7A44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telefona, interneta, pošte i prijevoza</w:t>
            </w:r>
          </w:p>
        </w:tc>
        <w:tc>
          <w:tcPr>
            <w:tcW w:w="1559" w:type="dxa"/>
            <w:tcBorders>
              <w:top w:val="nil"/>
              <w:left w:val="nil"/>
              <w:bottom w:val="nil"/>
              <w:right w:val="nil"/>
            </w:tcBorders>
            <w:noWrap/>
            <w:vAlign w:val="bottom"/>
            <w:hideMark/>
          </w:tcPr>
          <w:p w14:paraId="04272B11"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DABDFC6"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5B49C66"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330,00</w:t>
            </w:r>
          </w:p>
        </w:tc>
        <w:tc>
          <w:tcPr>
            <w:tcW w:w="993" w:type="dxa"/>
            <w:tcBorders>
              <w:top w:val="nil"/>
              <w:left w:val="nil"/>
              <w:bottom w:val="nil"/>
              <w:right w:val="nil"/>
            </w:tcBorders>
            <w:noWrap/>
            <w:vAlign w:val="bottom"/>
            <w:hideMark/>
          </w:tcPr>
          <w:p w14:paraId="2CE0DD6E"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6B1C384" w14:textId="77777777" w:rsidTr="008A61B1">
        <w:trPr>
          <w:trHeight w:val="600"/>
        </w:trPr>
        <w:tc>
          <w:tcPr>
            <w:tcW w:w="1134" w:type="dxa"/>
            <w:tcBorders>
              <w:top w:val="nil"/>
              <w:left w:val="nil"/>
              <w:bottom w:val="nil"/>
              <w:right w:val="nil"/>
            </w:tcBorders>
            <w:noWrap/>
            <w:vAlign w:val="bottom"/>
            <w:hideMark/>
          </w:tcPr>
          <w:p w14:paraId="72502E5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36</w:t>
            </w:r>
          </w:p>
        </w:tc>
        <w:tc>
          <w:tcPr>
            <w:tcW w:w="4962" w:type="dxa"/>
            <w:tcBorders>
              <w:top w:val="nil"/>
              <w:left w:val="nil"/>
              <w:bottom w:val="nil"/>
              <w:right w:val="nil"/>
            </w:tcBorders>
            <w:vAlign w:val="bottom"/>
            <w:hideMark/>
          </w:tcPr>
          <w:p w14:paraId="090E5F4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Pomoći dane u inozemstvo i unutar općeg proračuna</w:t>
            </w:r>
          </w:p>
        </w:tc>
        <w:tc>
          <w:tcPr>
            <w:tcW w:w="1559" w:type="dxa"/>
            <w:tcBorders>
              <w:top w:val="nil"/>
              <w:left w:val="nil"/>
              <w:bottom w:val="nil"/>
              <w:right w:val="nil"/>
            </w:tcBorders>
            <w:noWrap/>
            <w:vAlign w:val="bottom"/>
            <w:hideMark/>
          </w:tcPr>
          <w:p w14:paraId="076AE08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225.000,00</w:t>
            </w:r>
          </w:p>
        </w:tc>
        <w:tc>
          <w:tcPr>
            <w:tcW w:w="1559" w:type="dxa"/>
            <w:tcBorders>
              <w:top w:val="nil"/>
              <w:left w:val="nil"/>
              <w:bottom w:val="nil"/>
              <w:right w:val="nil"/>
            </w:tcBorders>
            <w:noWrap/>
            <w:vAlign w:val="bottom"/>
            <w:hideMark/>
          </w:tcPr>
          <w:p w14:paraId="2A34161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225.000,00</w:t>
            </w:r>
          </w:p>
        </w:tc>
        <w:tc>
          <w:tcPr>
            <w:tcW w:w="1559" w:type="dxa"/>
            <w:tcBorders>
              <w:top w:val="nil"/>
              <w:left w:val="nil"/>
              <w:bottom w:val="nil"/>
              <w:right w:val="nil"/>
            </w:tcBorders>
            <w:noWrap/>
            <w:vAlign w:val="bottom"/>
            <w:hideMark/>
          </w:tcPr>
          <w:p w14:paraId="2B40975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218.432,73</w:t>
            </w:r>
          </w:p>
        </w:tc>
        <w:tc>
          <w:tcPr>
            <w:tcW w:w="993" w:type="dxa"/>
            <w:tcBorders>
              <w:top w:val="nil"/>
              <w:left w:val="nil"/>
              <w:bottom w:val="nil"/>
              <w:right w:val="nil"/>
            </w:tcBorders>
            <w:noWrap/>
            <w:vAlign w:val="bottom"/>
            <w:hideMark/>
          </w:tcPr>
          <w:p w14:paraId="67FBECA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97,08%</w:t>
            </w:r>
          </w:p>
        </w:tc>
      </w:tr>
      <w:tr w:rsidR="006967F8" w:rsidRPr="006967F8" w14:paraId="368EF0C3" w14:textId="77777777" w:rsidTr="008A61B1">
        <w:trPr>
          <w:trHeight w:val="555"/>
        </w:trPr>
        <w:tc>
          <w:tcPr>
            <w:tcW w:w="1134" w:type="dxa"/>
            <w:tcBorders>
              <w:top w:val="nil"/>
              <w:left w:val="nil"/>
              <w:bottom w:val="nil"/>
              <w:right w:val="nil"/>
            </w:tcBorders>
            <w:noWrap/>
            <w:vAlign w:val="bottom"/>
            <w:hideMark/>
          </w:tcPr>
          <w:p w14:paraId="2CA66F6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3661</w:t>
            </w:r>
          </w:p>
        </w:tc>
        <w:tc>
          <w:tcPr>
            <w:tcW w:w="4962" w:type="dxa"/>
            <w:tcBorders>
              <w:top w:val="nil"/>
              <w:left w:val="nil"/>
              <w:bottom w:val="nil"/>
              <w:right w:val="nil"/>
            </w:tcBorders>
            <w:vAlign w:val="bottom"/>
            <w:hideMark/>
          </w:tcPr>
          <w:p w14:paraId="080D859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Tekuće pomoći proračunskim korisnicima drugih proračuna</w:t>
            </w:r>
          </w:p>
        </w:tc>
        <w:tc>
          <w:tcPr>
            <w:tcW w:w="1559" w:type="dxa"/>
            <w:tcBorders>
              <w:top w:val="nil"/>
              <w:left w:val="nil"/>
              <w:bottom w:val="nil"/>
              <w:right w:val="nil"/>
            </w:tcBorders>
            <w:noWrap/>
            <w:vAlign w:val="bottom"/>
            <w:hideMark/>
          </w:tcPr>
          <w:p w14:paraId="09CA8EEE"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ADA0638"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92D704D"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218.432,73</w:t>
            </w:r>
          </w:p>
        </w:tc>
        <w:tc>
          <w:tcPr>
            <w:tcW w:w="993" w:type="dxa"/>
            <w:tcBorders>
              <w:top w:val="nil"/>
              <w:left w:val="nil"/>
              <w:bottom w:val="nil"/>
              <w:right w:val="nil"/>
            </w:tcBorders>
            <w:noWrap/>
            <w:vAlign w:val="bottom"/>
            <w:hideMark/>
          </w:tcPr>
          <w:p w14:paraId="3F3A31A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605FDED" w14:textId="77777777" w:rsidTr="008A61B1">
        <w:trPr>
          <w:trHeight w:val="495"/>
        </w:trPr>
        <w:tc>
          <w:tcPr>
            <w:tcW w:w="1134" w:type="dxa"/>
            <w:tcBorders>
              <w:top w:val="nil"/>
              <w:left w:val="nil"/>
              <w:bottom w:val="nil"/>
              <w:right w:val="nil"/>
            </w:tcBorders>
            <w:noWrap/>
            <w:vAlign w:val="bottom"/>
            <w:hideMark/>
          </w:tcPr>
          <w:p w14:paraId="24B74BA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37</w:t>
            </w:r>
          </w:p>
        </w:tc>
        <w:tc>
          <w:tcPr>
            <w:tcW w:w="4962" w:type="dxa"/>
            <w:tcBorders>
              <w:top w:val="nil"/>
              <w:left w:val="nil"/>
              <w:bottom w:val="nil"/>
              <w:right w:val="nil"/>
            </w:tcBorders>
            <w:vAlign w:val="bottom"/>
            <w:hideMark/>
          </w:tcPr>
          <w:p w14:paraId="26DECF5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Naknade građanima i kućanstvima na temelju osiguranja i druge naknade</w:t>
            </w:r>
          </w:p>
        </w:tc>
        <w:tc>
          <w:tcPr>
            <w:tcW w:w="1559" w:type="dxa"/>
            <w:tcBorders>
              <w:top w:val="nil"/>
              <w:left w:val="nil"/>
              <w:bottom w:val="nil"/>
              <w:right w:val="nil"/>
            </w:tcBorders>
            <w:noWrap/>
            <w:vAlign w:val="bottom"/>
            <w:hideMark/>
          </w:tcPr>
          <w:p w14:paraId="4CC6005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125.000,00</w:t>
            </w:r>
          </w:p>
        </w:tc>
        <w:tc>
          <w:tcPr>
            <w:tcW w:w="1559" w:type="dxa"/>
            <w:tcBorders>
              <w:top w:val="nil"/>
              <w:left w:val="nil"/>
              <w:bottom w:val="nil"/>
              <w:right w:val="nil"/>
            </w:tcBorders>
            <w:noWrap/>
            <w:vAlign w:val="bottom"/>
            <w:hideMark/>
          </w:tcPr>
          <w:p w14:paraId="6309115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125.000,00</w:t>
            </w:r>
          </w:p>
        </w:tc>
        <w:tc>
          <w:tcPr>
            <w:tcW w:w="1559" w:type="dxa"/>
            <w:tcBorders>
              <w:top w:val="nil"/>
              <w:left w:val="nil"/>
              <w:bottom w:val="nil"/>
              <w:right w:val="nil"/>
            </w:tcBorders>
            <w:noWrap/>
            <w:vAlign w:val="bottom"/>
            <w:hideMark/>
          </w:tcPr>
          <w:p w14:paraId="6DEAB50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120.381,91</w:t>
            </w:r>
          </w:p>
        </w:tc>
        <w:tc>
          <w:tcPr>
            <w:tcW w:w="993" w:type="dxa"/>
            <w:tcBorders>
              <w:top w:val="nil"/>
              <w:left w:val="nil"/>
              <w:bottom w:val="nil"/>
              <w:right w:val="nil"/>
            </w:tcBorders>
            <w:noWrap/>
            <w:vAlign w:val="bottom"/>
            <w:hideMark/>
          </w:tcPr>
          <w:p w14:paraId="602FD4D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96,31%</w:t>
            </w:r>
          </w:p>
        </w:tc>
      </w:tr>
      <w:tr w:rsidR="006967F8" w:rsidRPr="006967F8" w14:paraId="0AB3F230" w14:textId="77777777" w:rsidTr="008A61B1">
        <w:trPr>
          <w:trHeight w:val="255"/>
        </w:trPr>
        <w:tc>
          <w:tcPr>
            <w:tcW w:w="1134" w:type="dxa"/>
            <w:tcBorders>
              <w:top w:val="nil"/>
              <w:left w:val="nil"/>
              <w:bottom w:val="nil"/>
              <w:right w:val="nil"/>
            </w:tcBorders>
            <w:noWrap/>
            <w:vAlign w:val="bottom"/>
            <w:hideMark/>
          </w:tcPr>
          <w:p w14:paraId="4EEB263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3721</w:t>
            </w:r>
          </w:p>
        </w:tc>
        <w:tc>
          <w:tcPr>
            <w:tcW w:w="4962" w:type="dxa"/>
            <w:tcBorders>
              <w:top w:val="nil"/>
              <w:left w:val="nil"/>
              <w:bottom w:val="nil"/>
              <w:right w:val="nil"/>
            </w:tcBorders>
            <w:noWrap/>
            <w:vAlign w:val="bottom"/>
            <w:hideMark/>
          </w:tcPr>
          <w:p w14:paraId="2E250F6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Naknade građanima i kućanstvima u novcu</w:t>
            </w:r>
          </w:p>
        </w:tc>
        <w:tc>
          <w:tcPr>
            <w:tcW w:w="1559" w:type="dxa"/>
            <w:tcBorders>
              <w:top w:val="nil"/>
              <w:left w:val="nil"/>
              <w:bottom w:val="nil"/>
              <w:right w:val="nil"/>
            </w:tcBorders>
            <w:noWrap/>
            <w:vAlign w:val="bottom"/>
            <w:hideMark/>
          </w:tcPr>
          <w:p w14:paraId="5ECBAD17"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6BC35AE"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D642462"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112.100,00</w:t>
            </w:r>
          </w:p>
        </w:tc>
        <w:tc>
          <w:tcPr>
            <w:tcW w:w="993" w:type="dxa"/>
            <w:tcBorders>
              <w:top w:val="nil"/>
              <w:left w:val="nil"/>
              <w:bottom w:val="nil"/>
              <w:right w:val="nil"/>
            </w:tcBorders>
            <w:noWrap/>
            <w:vAlign w:val="bottom"/>
            <w:hideMark/>
          </w:tcPr>
          <w:p w14:paraId="45D4AB14"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AED7FB1" w14:textId="77777777" w:rsidTr="008A61B1">
        <w:trPr>
          <w:trHeight w:val="255"/>
        </w:trPr>
        <w:tc>
          <w:tcPr>
            <w:tcW w:w="1134" w:type="dxa"/>
            <w:tcBorders>
              <w:top w:val="nil"/>
              <w:left w:val="nil"/>
              <w:bottom w:val="nil"/>
              <w:right w:val="nil"/>
            </w:tcBorders>
            <w:noWrap/>
            <w:vAlign w:val="bottom"/>
            <w:hideMark/>
          </w:tcPr>
          <w:p w14:paraId="345EDFB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3722</w:t>
            </w:r>
          </w:p>
        </w:tc>
        <w:tc>
          <w:tcPr>
            <w:tcW w:w="4962" w:type="dxa"/>
            <w:tcBorders>
              <w:top w:val="nil"/>
              <w:left w:val="nil"/>
              <w:bottom w:val="nil"/>
              <w:right w:val="nil"/>
            </w:tcBorders>
            <w:noWrap/>
            <w:vAlign w:val="bottom"/>
            <w:hideMark/>
          </w:tcPr>
          <w:p w14:paraId="36B89BB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Naknade građanima i kućanstvima u naravi</w:t>
            </w:r>
          </w:p>
        </w:tc>
        <w:tc>
          <w:tcPr>
            <w:tcW w:w="1559" w:type="dxa"/>
            <w:tcBorders>
              <w:top w:val="nil"/>
              <w:left w:val="nil"/>
              <w:bottom w:val="nil"/>
              <w:right w:val="nil"/>
            </w:tcBorders>
            <w:noWrap/>
            <w:vAlign w:val="bottom"/>
            <w:hideMark/>
          </w:tcPr>
          <w:p w14:paraId="633A6C1B"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3524397"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5F7D465"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8.281,91</w:t>
            </w:r>
          </w:p>
        </w:tc>
        <w:tc>
          <w:tcPr>
            <w:tcW w:w="993" w:type="dxa"/>
            <w:tcBorders>
              <w:top w:val="nil"/>
              <w:left w:val="nil"/>
              <w:bottom w:val="nil"/>
              <w:right w:val="nil"/>
            </w:tcBorders>
            <w:noWrap/>
            <w:vAlign w:val="bottom"/>
            <w:hideMark/>
          </w:tcPr>
          <w:p w14:paraId="5F9BE6AE"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652F9E0" w14:textId="77777777" w:rsidTr="008A61B1">
        <w:trPr>
          <w:trHeight w:val="255"/>
        </w:trPr>
        <w:tc>
          <w:tcPr>
            <w:tcW w:w="6096" w:type="dxa"/>
            <w:gridSpan w:val="2"/>
            <w:tcBorders>
              <w:top w:val="nil"/>
              <w:left w:val="nil"/>
              <w:bottom w:val="nil"/>
              <w:right w:val="nil"/>
            </w:tcBorders>
            <w:shd w:val="clear" w:color="000000" w:fill="FFFF99"/>
            <w:vAlign w:val="bottom"/>
            <w:hideMark/>
          </w:tcPr>
          <w:p w14:paraId="0448AB6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A100028 Aktivnost: RAZVOJ PREDŠKOLSKOG ODGOJA</w:t>
            </w:r>
          </w:p>
        </w:tc>
        <w:tc>
          <w:tcPr>
            <w:tcW w:w="1559" w:type="dxa"/>
            <w:tcBorders>
              <w:top w:val="nil"/>
              <w:left w:val="nil"/>
              <w:bottom w:val="nil"/>
              <w:right w:val="nil"/>
            </w:tcBorders>
            <w:shd w:val="clear" w:color="000000" w:fill="FFFF99"/>
            <w:noWrap/>
            <w:vAlign w:val="bottom"/>
            <w:hideMark/>
          </w:tcPr>
          <w:p w14:paraId="72E3684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271.000,00</w:t>
            </w:r>
          </w:p>
        </w:tc>
        <w:tc>
          <w:tcPr>
            <w:tcW w:w="1559" w:type="dxa"/>
            <w:tcBorders>
              <w:top w:val="nil"/>
              <w:left w:val="nil"/>
              <w:bottom w:val="nil"/>
              <w:right w:val="nil"/>
            </w:tcBorders>
            <w:shd w:val="clear" w:color="000000" w:fill="FFFF99"/>
            <w:noWrap/>
            <w:vAlign w:val="bottom"/>
            <w:hideMark/>
          </w:tcPr>
          <w:p w14:paraId="1925376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341.324,00</w:t>
            </w:r>
          </w:p>
        </w:tc>
        <w:tc>
          <w:tcPr>
            <w:tcW w:w="1559" w:type="dxa"/>
            <w:tcBorders>
              <w:top w:val="nil"/>
              <w:left w:val="nil"/>
              <w:bottom w:val="nil"/>
              <w:right w:val="nil"/>
            </w:tcBorders>
            <w:shd w:val="clear" w:color="000000" w:fill="FFFF99"/>
            <w:noWrap/>
            <w:vAlign w:val="bottom"/>
            <w:hideMark/>
          </w:tcPr>
          <w:p w14:paraId="43CC285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263.266,48</w:t>
            </w:r>
          </w:p>
        </w:tc>
        <w:tc>
          <w:tcPr>
            <w:tcW w:w="993" w:type="dxa"/>
            <w:tcBorders>
              <w:top w:val="nil"/>
              <w:left w:val="nil"/>
              <w:bottom w:val="nil"/>
              <w:right w:val="nil"/>
            </w:tcBorders>
            <w:shd w:val="clear" w:color="000000" w:fill="FFFF99"/>
            <w:noWrap/>
            <w:vAlign w:val="bottom"/>
            <w:hideMark/>
          </w:tcPr>
          <w:p w14:paraId="0A345FF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77,13%</w:t>
            </w:r>
          </w:p>
        </w:tc>
      </w:tr>
      <w:tr w:rsidR="006967F8" w:rsidRPr="006967F8" w14:paraId="5896862D"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848CA1D"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6B7E75C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203.000,00</w:t>
            </w:r>
          </w:p>
        </w:tc>
        <w:tc>
          <w:tcPr>
            <w:tcW w:w="1559" w:type="dxa"/>
            <w:tcBorders>
              <w:top w:val="nil"/>
              <w:left w:val="nil"/>
              <w:bottom w:val="nil"/>
              <w:right w:val="nil"/>
            </w:tcBorders>
            <w:shd w:val="clear" w:color="000000" w:fill="CCCCFF"/>
            <w:noWrap/>
            <w:vAlign w:val="bottom"/>
            <w:hideMark/>
          </w:tcPr>
          <w:p w14:paraId="6D7A2D4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193.000,00</w:t>
            </w:r>
          </w:p>
        </w:tc>
        <w:tc>
          <w:tcPr>
            <w:tcW w:w="1559" w:type="dxa"/>
            <w:tcBorders>
              <w:top w:val="nil"/>
              <w:left w:val="nil"/>
              <w:bottom w:val="nil"/>
              <w:right w:val="nil"/>
            </w:tcBorders>
            <w:shd w:val="clear" w:color="000000" w:fill="CCCCFF"/>
            <w:noWrap/>
            <w:vAlign w:val="bottom"/>
            <w:hideMark/>
          </w:tcPr>
          <w:p w14:paraId="0329290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114.942,48</w:t>
            </w:r>
          </w:p>
        </w:tc>
        <w:tc>
          <w:tcPr>
            <w:tcW w:w="993" w:type="dxa"/>
            <w:tcBorders>
              <w:top w:val="nil"/>
              <w:left w:val="nil"/>
              <w:bottom w:val="nil"/>
              <w:right w:val="nil"/>
            </w:tcBorders>
            <w:shd w:val="clear" w:color="000000" w:fill="CCCCFF"/>
            <w:noWrap/>
            <w:vAlign w:val="bottom"/>
            <w:hideMark/>
          </w:tcPr>
          <w:p w14:paraId="5D170E9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59,56%</w:t>
            </w:r>
          </w:p>
        </w:tc>
      </w:tr>
      <w:tr w:rsidR="006967F8" w:rsidRPr="006967F8" w14:paraId="27FE0060"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1A6515A"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048BBDD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203.000,00</w:t>
            </w:r>
          </w:p>
        </w:tc>
        <w:tc>
          <w:tcPr>
            <w:tcW w:w="1559" w:type="dxa"/>
            <w:tcBorders>
              <w:top w:val="nil"/>
              <w:left w:val="nil"/>
              <w:bottom w:val="nil"/>
              <w:right w:val="nil"/>
            </w:tcBorders>
            <w:shd w:val="clear" w:color="000000" w:fill="CCCCFF"/>
            <w:noWrap/>
            <w:vAlign w:val="bottom"/>
            <w:hideMark/>
          </w:tcPr>
          <w:p w14:paraId="7FFEBA4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193.000,00</w:t>
            </w:r>
          </w:p>
        </w:tc>
        <w:tc>
          <w:tcPr>
            <w:tcW w:w="1559" w:type="dxa"/>
            <w:tcBorders>
              <w:top w:val="nil"/>
              <w:left w:val="nil"/>
              <w:bottom w:val="nil"/>
              <w:right w:val="nil"/>
            </w:tcBorders>
            <w:shd w:val="clear" w:color="000000" w:fill="CCCCFF"/>
            <w:noWrap/>
            <w:vAlign w:val="bottom"/>
            <w:hideMark/>
          </w:tcPr>
          <w:p w14:paraId="6A3CC8B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114.942,48</w:t>
            </w:r>
          </w:p>
        </w:tc>
        <w:tc>
          <w:tcPr>
            <w:tcW w:w="993" w:type="dxa"/>
            <w:tcBorders>
              <w:top w:val="nil"/>
              <w:left w:val="nil"/>
              <w:bottom w:val="nil"/>
              <w:right w:val="nil"/>
            </w:tcBorders>
            <w:shd w:val="clear" w:color="000000" w:fill="CCCCFF"/>
            <w:noWrap/>
            <w:vAlign w:val="bottom"/>
            <w:hideMark/>
          </w:tcPr>
          <w:p w14:paraId="38EE45F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59,56%</w:t>
            </w:r>
          </w:p>
        </w:tc>
      </w:tr>
      <w:tr w:rsidR="006967F8" w:rsidRPr="006967F8" w14:paraId="5CD072D6" w14:textId="77777777" w:rsidTr="008A61B1">
        <w:trPr>
          <w:trHeight w:val="585"/>
        </w:trPr>
        <w:tc>
          <w:tcPr>
            <w:tcW w:w="1134" w:type="dxa"/>
            <w:tcBorders>
              <w:top w:val="nil"/>
              <w:left w:val="nil"/>
              <w:bottom w:val="nil"/>
              <w:right w:val="nil"/>
            </w:tcBorders>
            <w:noWrap/>
            <w:vAlign w:val="bottom"/>
            <w:hideMark/>
          </w:tcPr>
          <w:p w14:paraId="566123D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37</w:t>
            </w:r>
          </w:p>
        </w:tc>
        <w:tc>
          <w:tcPr>
            <w:tcW w:w="4962" w:type="dxa"/>
            <w:tcBorders>
              <w:top w:val="nil"/>
              <w:left w:val="nil"/>
              <w:bottom w:val="nil"/>
              <w:right w:val="nil"/>
            </w:tcBorders>
            <w:vAlign w:val="bottom"/>
            <w:hideMark/>
          </w:tcPr>
          <w:p w14:paraId="67A8B51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Naknade građanima i kućanstvima na temelju osiguranja i druge naknade</w:t>
            </w:r>
          </w:p>
        </w:tc>
        <w:tc>
          <w:tcPr>
            <w:tcW w:w="1559" w:type="dxa"/>
            <w:tcBorders>
              <w:top w:val="nil"/>
              <w:left w:val="nil"/>
              <w:bottom w:val="nil"/>
              <w:right w:val="nil"/>
            </w:tcBorders>
            <w:noWrap/>
            <w:vAlign w:val="bottom"/>
            <w:hideMark/>
          </w:tcPr>
          <w:p w14:paraId="4E37FFD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203.000,00</w:t>
            </w:r>
          </w:p>
        </w:tc>
        <w:tc>
          <w:tcPr>
            <w:tcW w:w="1559" w:type="dxa"/>
            <w:tcBorders>
              <w:top w:val="nil"/>
              <w:left w:val="nil"/>
              <w:bottom w:val="nil"/>
              <w:right w:val="nil"/>
            </w:tcBorders>
            <w:noWrap/>
            <w:vAlign w:val="bottom"/>
            <w:hideMark/>
          </w:tcPr>
          <w:p w14:paraId="555F5FD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193.000,00</w:t>
            </w:r>
          </w:p>
        </w:tc>
        <w:tc>
          <w:tcPr>
            <w:tcW w:w="1559" w:type="dxa"/>
            <w:tcBorders>
              <w:top w:val="nil"/>
              <w:left w:val="nil"/>
              <w:bottom w:val="nil"/>
              <w:right w:val="nil"/>
            </w:tcBorders>
            <w:noWrap/>
            <w:vAlign w:val="bottom"/>
            <w:hideMark/>
          </w:tcPr>
          <w:p w14:paraId="46ED329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114.942,48</w:t>
            </w:r>
          </w:p>
        </w:tc>
        <w:tc>
          <w:tcPr>
            <w:tcW w:w="993" w:type="dxa"/>
            <w:tcBorders>
              <w:top w:val="nil"/>
              <w:left w:val="nil"/>
              <w:bottom w:val="nil"/>
              <w:right w:val="nil"/>
            </w:tcBorders>
            <w:noWrap/>
            <w:vAlign w:val="bottom"/>
            <w:hideMark/>
          </w:tcPr>
          <w:p w14:paraId="14BAC97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59,56%</w:t>
            </w:r>
          </w:p>
        </w:tc>
      </w:tr>
      <w:tr w:rsidR="006967F8" w:rsidRPr="006967F8" w14:paraId="71505166" w14:textId="77777777" w:rsidTr="008A61B1">
        <w:trPr>
          <w:trHeight w:val="255"/>
        </w:trPr>
        <w:tc>
          <w:tcPr>
            <w:tcW w:w="1134" w:type="dxa"/>
            <w:tcBorders>
              <w:top w:val="nil"/>
              <w:left w:val="nil"/>
              <w:bottom w:val="nil"/>
              <w:right w:val="nil"/>
            </w:tcBorders>
            <w:noWrap/>
            <w:vAlign w:val="bottom"/>
            <w:hideMark/>
          </w:tcPr>
          <w:p w14:paraId="43D25EF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3721</w:t>
            </w:r>
          </w:p>
        </w:tc>
        <w:tc>
          <w:tcPr>
            <w:tcW w:w="4962" w:type="dxa"/>
            <w:tcBorders>
              <w:top w:val="nil"/>
              <w:left w:val="nil"/>
              <w:bottom w:val="nil"/>
              <w:right w:val="nil"/>
            </w:tcBorders>
            <w:noWrap/>
            <w:vAlign w:val="bottom"/>
            <w:hideMark/>
          </w:tcPr>
          <w:p w14:paraId="789156A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Naknade građanima i kućanstvima u novcu</w:t>
            </w:r>
          </w:p>
        </w:tc>
        <w:tc>
          <w:tcPr>
            <w:tcW w:w="1559" w:type="dxa"/>
            <w:tcBorders>
              <w:top w:val="nil"/>
              <w:left w:val="nil"/>
              <w:bottom w:val="nil"/>
              <w:right w:val="nil"/>
            </w:tcBorders>
            <w:noWrap/>
            <w:vAlign w:val="bottom"/>
            <w:hideMark/>
          </w:tcPr>
          <w:p w14:paraId="7AB57431"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E377902"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12A0948"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114.942,48</w:t>
            </w:r>
          </w:p>
        </w:tc>
        <w:tc>
          <w:tcPr>
            <w:tcW w:w="993" w:type="dxa"/>
            <w:tcBorders>
              <w:top w:val="nil"/>
              <w:left w:val="nil"/>
              <w:bottom w:val="nil"/>
              <w:right w:val="nil"/>
            </w:tcBorders>
            <w:noWrap/>
            <w:vAlign w:val="bottom"/>
            <w:hideMark/>
          </w:tcPr>
          <w:p w14:paraId="54B2FAE7"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CA94BD0"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14F9BF5"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lastRenderedPageBreak/>
              <w:t>Izvor 4. PRIHODI ZA POSEBNE NAMJENE</w:t>
            </w:r>
          </w:p>
        </w:tc>
        <w:tc>
          <w:tcPr>
            <w:tcW w:w="1559" w:type="dxa"/>
            <w:tcBorders>
              <w:top w:val="nil"/>
              <w:left w:val="nil"/>
              <w:bottom w:val="nil"/>
              <w:right w:val="nil"/>
            </w:tcBorders>
            <w:shd w:val="clear" w:color="000000" w:fill="CCCCFF"/>
            <w:noWrap/>
            <w:vAlign w:val="bottom"/>
            <w:hideMark/>
          </w:tcPr>
          <w:p w14:paraId="561EE10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68.000,00</w:t>
            </w:r>
          </w:p>
        </w:tc>
        <w:tc>
          <w:tcPr>
            <w:tcW w:w="1559" w:type="dxa"/>
            <w:tcBorders>
              <w:top w:val="nil"/>
              <w:left w:val="nil"/>
              <w:bottom w:val="nil"/>
              <w:right w:val="nil"/>
            </w:tcBorders>
            <w:shd w:val="clear" w:color="000000" w:fill="CCCCFF"/>
            <w:noWrap/>
            <w:vAlign w:val="bottom"/>
            <w:hideMark/>
          </w:tcPr>
          <w:p w14:paraId="79AC311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148.324,00</w:t>
            </w:r>
          </w:p>
        </w:tc>
        <w:tc>
          <w:tcPr>
            <w:tcW w:w="1559" w:type="dxa"/>
            <w:tcBorders>
              <w:top w:val="nil"/>
              <w:left w:val="nil"/>
              <w:bottom w:val="nil"/>
              <w:right w:val="nil"/>
            </w:tcBorders>
            <w:shd w:val="clear" w:color="000000" w:fill="CCCCFF"/>
            <w:noWrap/>
            <w:vAlign w:val="bottom"/>
            <w:hideMark/>
          </w:tcPr>
          <w:p w14:paraId="5DE363B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148.324,00</w:t>
            </w:r>
          </w:p>
        </w:tc>
        <w:tc>
          <w:tcPr>
            <w:tcW w:w="993" w:type="dxa"/>
            <w:tcBorders>
              <w:top w:val="nil"/>
              <w:left w:val="nil"/>
              <w:bottom w:val="nil"/>
              <w:right w:val="nil"/>
            </w:tcBorders>
            <w:shd w:val="clear" w:color="000000" w:fill="CCCCFF"/>
            <w:noWrap/>
            <w:vAlign w:val="bottom"/>
            <w:hideMark/>
          </w:tcPr>
          <w:p w14:paraId="77755E2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12ED36D3"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5CE685E"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4.3. Ostali prihodi za posebne namjene</w:t>
            </w:r>
          </w:p>
        </w:tc>
        <w:tc>
          <w:tcPr>
            <w:tcW w:w="1559" w:type="dxa"/>
            <w:tcBorders>
              <w:top w:val="nil"/>
              <w:left w:val="nil"/>
              <w:bottom w:val="nil"/>
              <w:right w:val="nil"/>
            </w:tcBorders>
            <w:shd w:val="clear" w:color="000000" w:fill="CCCCFF"/>
            <w:noWrap/>
            <w:vAlign w:val="bottom"/>
            <w:hideMark/>
          </w:tcPr>
          <w:p w14:paraId="4A86B71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68.000,00</w:t>
            </w:r>
          </w:p>
        </w:tc>
        <w:tc>
          <w:tcPr>
            <w:tcW w:w="1559" w:type="dxa"/>
            <w:tcBorders>
              <w:top w:val="nil"/>
              <w:left w:val="nil"/>
              <w:bottom w:val="nil"/>
              <w:right w:val="nil"/>
            </w:tcBorders>
            <w:shd w:val="clear" w:color="000000" w:fill="CCCCFF"/>
            <w:noWrap/>
            <w:vAlign w:val="bottom"/>
            <w:hideMark/>
          </w:tcPr>
          <w:p w14:paraId="2D2AB82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148.324,00</w:t>
            </w:r>
          </w:p>
        </w:tc>
        <w:tc>
          <w:tcPr>
            <w:tcW w:w="1559" w:type="dxa"/>
            <w:tcBorders>
              <w:top w:val="nil"/>
              <w:left w:val="nil"/>
              <w:bottom w:val="nil"/>
              <w:right w:val="nil"/>
            </w:tcBorders>
            <w:shd w:val="clear" w:color="000000" w:fill="CCCCFF"/>
            <w:noWrap/>
            <w:vAlign w:val="bottom"/>
            <w:hideMark/>
          </w:tcPr>
          <w:p w14:paraId="5AE6D4D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148.324,00</w:t>
            </w:r>
          </w:p>
        </w:tc>
        <w:tc>
          <w:tcPr>
            <w:tcW w:w="993" w:type="dxa"/>
            <w:tcBorders>
              <w:top w:val="nil"/>
              <w:left w:val="nil"/>
              <w:bottom w:val="nil"/>
              <w:right w:val="nil"/>
            </w:tcBorders>
            <w:shd w:val="clear" w:color="000000" w:fill="CCCCFF"/>
            <w:noWrap/>
            <w:vAlign w:val="bottom"/>
            <w:hideMark/>
          </w:tcPr>
          <w:p w14:paraId="647FB91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3AA851DA" w14:textId="77777777" w:rsidTr="008A61B1">
        <w:trPr>
          <w:trHeight w:val="600"/>
        </w:trPr>
        <w:tc>
          <w:tcPr>
            <w:tcW w:w="1134" w:type="dxa"/>
            <w:tcBorders>
              <w:top w:val="nil"/>
              <w:left w:val="nil"/>
              <w:bottom w:val="nil"/>
              <w:right w:val="nil"/>
            </w:tcBorders>
            <w:noWrap/>
            <w:vAlign w:val="bottom"/>
            <w:hideMark/>
          </w:tcPr>
          <w:p w14:paraId="315CF35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37</w:t>
            </w:r>
          </w:p>
        </w:tc>
        <w:tc>
          <w:tcPr>
            <w:tcW w:w="4962" w:type="dxa"/>
            <w:tcBorders>
              <w:top w:val="nil"/>
              <w:left w:val="nil"/>
              <w:bottom w:val="nil"/>
              <w:right w:val="nil"/>
            </w:tcBorders>
            <w:vAlign w:val="bottom"/>
            <w:hideMark/>
          </w:tcPr>
          <w:p w14:paraId="55F08E1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Naknade građanima i kućanstvima na temelju osiguranja i druge naknade</w:t>
            </w:r>
          </w:p>
        </w:tc>
        <w:tc>
          <w:tcPr>
            <w:tcW w:w="1559" w:type="dxa"/>
            <w:tcBorders>
              <w:top w:val="nil"/>
              <w:left w:val="nil"/>
              <w:bottom w:val="nil"/>
              <w:right w:val="nil"/>
            </w:tcBorders>
            <w:noWrap/>
            <w:vAlign w:val="bottom"/>
            <w:hideMark/>
          </w:tcPr>
          <w:p w14:paraId="08883D1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68.000,00</w:t>
            </w:r>
          </w:p>
        </w:tc>
        <w:tc>
          <w:tcPr>
            <w:tcW w:w="1559" w:type="dxa"/>
            <w:tcBorders>
              <w:top w:val="nil"/>
              <w:left w:val="nil"/>
              <w:bottom w:val="nil"/>
              <w:right w:val="nil"/>
            </w:tcBorders>
            <w:noWrap/>
            <w:vAlign w:val="bottom"/>
            <w:hideMark/>
          </w:tcPr>
          <w:p w14:paraId="6D9C2CF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148.324,00</w:t>
            </w:r>
          </w:p>
        </w:tc>
        <w:tc>
          <w:tcPr>
            <w:tcW w:w="1559" w:type="dxa"/>
            <w:tcBorders>
              <w:top w:val="nil"/>
              <w:left w:val="nil"/>
              <w:bottom w:val="nil"/>
              <w:right w:val="nil"/>
            </w:tcBorders>
            <w:noWrap/>
            <w:vAlign w:val="bottom"/>
            <w:hideMark/>
          </w:tcPr>
          <w:p w14:paraId="1B75CD8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148.324,00</w:t>
            </w:r>
          </w:p>
        </w:tc>
        <w:tc>
          <w:tcPr>
            <w:tcW w:w="993" w:type="dxa"/>
            <w:tcBorders>
              <w:top w:val="nil"/>
              <w:left w:val="nil"/>
              <w:bottom w:val="nil"/>
              <w:right w:val="nil"/>
            </w:tcBorders>
            <w:noWrap/>
            <w:vAlign w:val="bottom"/>
            <w:hideMark/>
          </w:tcPr>
          <w:p w14:paraId="1159BCA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r>
      <w:tr w:rsidR="006967F8" w:rsidRPr="006967F8" w14:paraId="3F68C439" w14:textId="77777777" w:rsidTr="008A61B1">
        <w:trPr>
          <w:trHeight w:val="255"/>
        </w:trPr>
        <w:tc>
          <w:tcPr>
            <w:tcW w:w="1134" w:type="dxa"/>
            <w:tcBorders>
              <w:top w:val="nil"/>
              <w:left w:val="nil"/>
              <w:bottom w:val="nil"/>
              <w:right w:val="nil"/>
            </w:tcBorders>
            <w:noWrap/>
            <w:vAlign w:val="bottom"/>
            <w:hideMark/>
          </w:tcPr>
          <w:p w14:paraId="6658EE9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3721</w:t>
            </w:r>
          </w:p>
        </w:tc>
        <w:tc>
          <w:tcPr>
            <w:tcW w:w="4962" w:type="dxa"/>
            <w:tcBorders>
              <w:top w:val="nil"/>
              <w:left w:val="nil"/>
              <w:bottom w:val="nil"/>
              <w:right w:val="nil"/>
            </w:tcBorders>
            <w:noWrap/>
            <w:vAlign w:val="bottom"/>
            <w:hideMark/>
          </w:tcPr>
          <w:p w14:paraId="7CC5DAE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Naknade građanima i kućanstvima u novcu</w:t>
            </w:r>
          </w:p>
        </w:tc>
        <w:tc>
          <w:tcPr>
            <w:tcW w:w="1559" w:type="dxa"/>
            <w:tcBorders>
              <w:top w:val="nil"/>
              <w:left w:val="nil"/>
              <w:bottom w:val="nil"/>
              <w:right w:val="nil"/>
            </w:tcBorders>
            <w:noWrap/>
            <w:vAlign w:val="bottom"/>
            <w:hideMark/>
          </w:tcPr>
          <w:p w14:paraId="4D6B33F8"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4B59487"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50FB3F1"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148.324,00</w:t>
            </w:r>
          </w:p>
        </w:tc>
        <w:tc>
          <w:tcPr>
            <w:tcW w:w="993" w:type="dxa"/>
            <w:tcBorders>
              <w:top w:val="nil"/>
              <w:left w:val="nil"/>
              <w:bottom w:val="nil"/>
              <w:right w:val="nil"/>
            </w:tcBorders>
            <w:noWrap/>
            <w:vAlign w:val="bottom"/>
            <w:hideMark/>
          </w:tcPr>
          <w:p w14:paraId="26770788"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3F599FE" w14:textId="77777777" w:rsidTr="008A61B1">
        <w:trPr>
          <w:trHeight w:val="255"/>
        </w:trPr>
        <w:tc>
          <w:tcPr>
            <w:tcW w:w="6096" w:type="dxa"/>
            <w:gridSpan w:val="2"/>
            <w:tcBorders>
              <w:top w:val="nil"/>
              <w:left w:val="nil"/>
              <w:bottom w:val="nil"/>
              <w:right w:val="nil"/>
            </w:tcBorders>
            <w:shd w:val="clear" w:color="000000" w:fill="FF9900"/>
            <w:vAlign w:val="bottom"/>
            <w:hideMark/>
          </w:tcPr>
          <w:p w14:paraId="313C940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1202 Program: KULTURA</w:t>
            </w:r>
          </w:p>
        </w:tc>
        <w:tc>
          <w:tcPr>
            <w:tcW w:w="1559" w:type="dxa"/>
            <w:tcBorders>
              <w:top w:val="nil"/>
              <w:left w:val="nil"/>
              <w:bottom w:val="nil"/>
              <w:right w:val="nil"/>
            </w:tcBorders>
            <w:shd w:val="clear" w:color="000000" w:fill="FF9900"/>
            <w:noWrap/>
            <w:vAlign w:val="bottom"/>
            <w:hideMark/>
          </w:tcPr>
          <w:p w14:paraId="7C088C4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384.630,22</w:t>
            </w:r>
          </w:p>
        </w:tc>
        <w:tc>
          <w:tcPr>
            <w:tcW w:w="1559" w:type="dxa"/>
            <w:tcBorders>
              <w:top w:val="nil"/>
              <w:left w:val="nil"/>
              <w:bottom w:val="nil"/>
              <w:right w:val="nil"/>
            </w:tcBorders>
            <w:shd w:val="clear" w:color="000000" w:fill="FF9900"/>
            <w:noWrap/>
            <w:vAlign w:val="bottom"/>
            <w:hideMark/>
          </w:tcPr>
          <w:p w14:paraId="6EFADD5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384.630,22</w:t>
            </w:r>
          </w:p>
        </w:tc>
        <w:tc>
          <w:tcPr>
            <w:tcW w:w="1559" w:type="dxa"/>
            <w:tcBorders>
              <w:top w:val="nil"/>
              <w:left w:val="nil"/>
              <w:bottom w:val="nil"/>
              <w:right w:val="nil"/>
            </w:tcBorders>
            <w:shd w:val="clear" w:color="000000" w:fill="FF9900"/>
            <w:noWrap/>
            <w:vAlign w:val="bottom"/>
            <w:hideMark/>
          </w:tcPr>
          <w:p w14:paraId="290ACA3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355.982,35</w:t>
            </w:r>
          </w:p>
        </w:tc>
        <w:tc>
          <w:tcPr>
            <w:tcW w:w="993" w:type="dxa"/>
            <w:tcBorders>
              <w:top w:val="nil"/>
              <w:left w:val="nil"/>
              <w:bottom w:val="nil"/>
              <w:right w:val="nil"/>
            </w:tcBorders>
            <w:shd w:val="clear" w:color="000000" w:fill="FF9900"/>
            <w:noWrap/>
            <w:vAlign w:val="bottom"/>
            <w:hideMark/>
          </w:tcPr>
          <w:p w14:paraId="1DFD92C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92,55%</w:t>
            </w:r>
          </w:p>
        </w:tc>
      </w:tr>
      <w:tr w:rsidR="006967F8" w:rsidRPr="006967F8" w14:paraId="4BDD0745" w14:textId="77777777" w:rsidTr="008A61B1">
        <w:trPr>
          <w:trHeight w:val="255"/>
        </w:trPr>
        <w:tc>
          <w:tcPr>
            <w:tcW w:w="6096" w:type="dxa"/>
            <w:gridSpan w:val="2"/>
            <w:tcBorders>
              <w:top w:val="nil"/>
              <w:left w:val="nil"/>
              <w:bottom w:val="nil"/>
              <w:right w:val="nil"/>
            </w:tcBorders>
            <w:shd w:val="clear" w:color="000000" w:fill="FFFF99"/>
            <w:noWrap/>
            <w:vAlign w:val="bottom"/>
            <w:hideMark/>
          </w:tcPr>
          <w:p w14:paraId="20215EB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A100005 Aktivnost: PUČKO OTVORENO UČILIŠTE TROGIR</w:t>
            </w:r>
          </w:p>
        </w:tc>
        <w:tc>
          <w:tcPr>
            <w:tcW w:w="1559" w:type="dxa"/>
            <w:tcBorders>
              <w:top w:val="nil"/>
              <w:left w:val="nil"/>
              <w:bottom w:val="nil"/>
              <w:right w:val="nil"/>
            </w:tcBorders>
            <w:shd w:val="clear" w:color="000000" w:fill="FFFF99"/>
            <w:noWrap/>
            <w:vAlign w:val="bottom"/>
            <w:hideMark/>
          </w:tcPr>
          <w:p w14:paraId="3B3C851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163.430,22</w:t>
            </w:r>
          </w:p>
        </w:tc>
        <w:tc>
          <w:tcPr>
            <w:tcW w:w="1559" w:type="dxa"/>
            <w:tcBorders>
              <w:top w:val="nil"/>
              <w:left w:val="nil"/>
              <w:bottom w:val="nil"/>
              <w:right w:val="nil"/>
            </w:tcBorders>
            <w:shd w:val="clear" w:color="000000" w:fill="FFFF99"/>
            <w:noWrap/>
            <w:vAlign w:val="bottom"/>
            <w:hideMark/>
          </w:tcPr>
          <w:p w14:paraId="1BCA12E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163.430,22</w:t>
            </w:r>
          </w:p>
        </w:tc>
        <w:tc>
          <w:tcPr>
            <w:tcW w:w="1559" w:type="dxa"/>
            <w:tcBorders>
              <w:top w:val="nil"/>
              <w:left w:val="nil"/>
              <w:bottom w:val="nil"/>
              <w:right w:val="nil"/>
            </w:tcBorders>
            <w:shd w:val="clear" w:color="000000" w:fill="FFFF99"/>
            <w:noWrap/>
            <w:vAlign w:val="bottom"/>
            <w:hideMark/>
          </w:tcPr>
          <w:p w14:paraId="3243079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160.077,15</w:t>
            </w:r>
          </w:p>
        </w:tc>
        <w:tc>
          <w:tcPr>
            <w:tcW w:w="993" w:type="dxa"/>
            <w:tcBorders>
              <w:top w:val="nil"/>
              <w:left w:val="nil"/>
              <w:bottom w:val="nil"/>
              <w:right w:val="nil"/>
            </w:tcBorders>
            <w:shd w:val="clear" w:color="000000" w:fill="FFFF99"/>
            <w:noWrap/>
            <w:vAlign w:val="bottom"/>
            <w:hideMark/>
          </w:tcPr>
          <w:p w14:paraId="508650F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97,95%</w:t>
            </w:r>
          </w:p>
        </w:tc>
      </w:tr>
      <w:tr w:rsidR="006967F8" w:rsidRPr="006967F8" w14:paraId="431A103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96CBF59"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5BF5BF0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163.430,22</w:t>
            </w:r>
          </w:p>
        </w:tc>
        <w:tc>
          <w:tcPr>
            <w:tcW w:w="1559" w:type="dxa"/>
            <w:tcBorders>
              <w:top w:val="nil"/>
              <w:left w:val="nil"/>
              <w:bottom w:val="nil"/>
              <w:right w:val="nil"/>
            </w:tcBorders>
            <w:shd w:val="clear" w:color="000000" w:fill="CCCCFF"/>
            <w:noWrap/>
            <w:vAlign w:val="bottom"/>
            <w:hideMark/>
          </w:tcPr>
          <w:p w14:paraId="7DAD64F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163.430,22</w:t>
            </w:r>
          </w:p>
        </w:tc>
        <w:tc>
          <w:tcPr>
            <w:tcW w:w="1559" w:type="dxa"/>
            <w:tcBorders>
              <w:top w:val="nil"/>
              <w:left w:val="nil"/>
              <w:bottom w:val="nil"/>
              <w:right w:val="nil"/>
            </w:tcBorders>
            <w:shd w:val="clear" w:color="000000" w:fill="CCCCFF"/>
            <w:noWrap/>
            <w:vAlign w:val="bottom"/>
            <w:hideMark/>
          </w:tcPr>
          <w:p w14:paraId="0008907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160.077,15</w:t>
            </w:r>
          </w:p>
        </w:tc>
        <w:tc>
          <w:tcPr>
            <w:tcW w:w="993" w:type="dxa"/>
            <w:tcBorders>
              <w:top w:val="nil"/>
              <w:left w:val="nil"/>
              <w:bottom w:val="nil"/>
              <w:right w:val="nil"/>
            </w:tcBorders>
            <w:shd w:val="clear" w:color="000000" w:fill="CCCCFF"/>
            <w:noWrap/>
            <w:vAlign w:val="bottom"/>
            <w:hideMark/>
          </w:tcPr>
          <w:p w14:paraId="639AC23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97,95%</w:t>
            </w:r>
          </w:p>
        </w:tc>
      </w:tr>
      <w:tr w:rsidR="006967F8" w:rsidRPr="006967F8" w14:paraId="169F2530"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9ED4A6D"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7F4D0AC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163.430,22</w:t>
            </w:r>
          </w:p>
        </w:tc>
        <w:tc>
          <w:tcPr>
            <w:tcW w:w="1559" w:type="dxa"/>
            <w:tcBorders>
              <w:top w:val="nil"/>
              <w:left w:val="nil"/>
              <w:bottom w:val="nil"/>
              <w:right w:val="nil"/>
            </w:tcBorders>
            <w:shd w:val="clear" w:color="000000" w:fill="CCCCFF"/>
            <w:noWrap/>
            <w:vAlign w:val="bottom"/>
            <w:hideMark/>
          </w:tcPr>
          <w:p w14:paraId="49A2F2D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163.430,22</w:t>
            </w:r>
          </w:p>
        </w:tc>
        <w:tc>
          <w:tcPr>
            <w:tcW w:w="1559" w:type="dxa"/>
            <w:tcBorders>
              <w:top w:val="nil"/>
              <w:left w:val="nil"/>
              <w:bottom w:val="nil"/>
              <w:right w:val="nil"/>
            </w:tcBorders>
            <w:shd w:val="clear" w:color="000000" w:fill="CCCCFF"/>
            <w:noWrap/>
            <w:vAlign w:val="bottom"/>
            <w:hideMark/>
          </w:tcPr>
          <w:p w14:paraId="0B4C1D9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160.077,15</w:t>
            </w:r>
          </w:p>
        </w:tc>
        <w:tc>
          <w:tcPr>
            <w:tcW w:w="993" w:type="dxa"/>
            <w:tcBorders>
              <w:top w:val="nil"/>
              <w:left w:val="nil"/>
              <w:bottom w:val="nil"/>
              <w:right w:val="nil"/>
            </w:tcBorders>
            <w:shd w:val="clear" w:color="000000" w:fill="CCCCFF"/>
            <w:noWrap/>
            <w:vAlign w:val="bottom"/>
            <w:hideMark/>
          </w:tcPr>
          <w:p w14:paraId="0219109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97,95%</w:t>
            </w:r>
          </w:p>
        </w:tc>
      </w:tr>
      <w:tr w:rsidR="006967F8" w:rsidRPr="006967F8" w14:paraId="16B5FFD7" w14:textId="77777777" w:rsidTr="008A61B1">
        <w:trPr>
          <w:trHeight w:val="570"/>
        </w:trPr>
        <w:tc>
          <w:tcPr>
            <w:tcW w:w="1134" w:type="dxa"/>
            <w:tcBorders>
              <w:top w:val="nil"/>
              <w:left w:val="nil"/>
              <w:bottom w:val="nil"/>
              <w:right w:val="nil"/>
            </w:tcBorders>
            <w:noWrap/>
            <w:vAlign w:val="bottom"/>
            <w:hideMark/>
          </w:tcPr>
          <w:p w14:paraId="7262673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38</w:t>
            </w:r>
          </w:p>
        </w:tc>
        <w:tc>
          <w:tcPr>
            <w:tcW w:w="4962" w:type="dxa"/>
            <w:tcBorders>
              <w:top w:val="nil"/>
              <w:left w:val="nil"/>
              <w:bottom w:val="nil"/>
              <w:right w:val="nil"/>
            </w:tcBorders>
            <w:vAlign w:val="bottom"/>
            <w:hideMark/>
          </w:tcPr>
          <w:p w14:paraId="441EDCC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donacije, kazne, naknade šteta i kapitalne pomoći</w:t>
            </w:r>
          </w:p>
        </w:tc>
        <w:tc>
          <w:tcPr>
            <w:tcW w:w="1559" w:type="dxa"/>
            <w:tcBorders>
              <w:top w:val="nil"/>
              <w:left w:val="nil"/>
              <w:bottom w:val="nil"/>
              <w:right w:val="nil"/>
            </w:tcBorders>
            <w:noWrap/>
            <w:vAlign w:val="bottom"/>
            <w:hideMark/>
          </w:tcPr>
          <w:p w14:paraId="6F09C8A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163.430,22</w:t>
            </w:r>
          </w:p>
        </w:tc>
        <w:tc>
          <w:tcPr>
            <w:tcW w:w="1559" w:type="dxa"/>
            <w:tcBorders>
              <w:top w:val="nil"/>
              <w:left w:val="nil"/>
              <w:bottom w:val="nil"/>
              <w:right w:val="nil"/>
            </w:tcBorders>
            <w:noWrap/>
            <w:vAlign w:val="bottom"/>
            <w:hideMark/>
          </w:tcPr>
          <w:p w14:paraId="6563147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163.430,22</w:t>
            </w:r>
          </w:p>
        </w:tc>
        <w:tc>
          <w:tcPr>
            <w:tcW w:w="1559" w:type="dxa"/>
            <w:tcBorders>
              <w:top w:val="nil"/>
              <w:left w:val="nil"/>
              <w:bottom w:val="nil"/>
              <w:right w:val="nil"/>
            </w:tcBorders>
            <w:noWrap/>
            <w:vAlign w:val="bottom"/>
            <w:hideMark/>
          </w:tcPr>
          <w:p w14:paraId="25141D6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160.077,15</w:t>
            </w:r>
          </w:p>
        </w:tc>
        <w:tc>
          <w:tcPr>
            <w:tcW w:w="993" w:type="dxa"/>
            <w:tcBorders>
              <w:top w:val="nil"/>
              <w:left w:val="nil"/>
              <w:bottom w:val="nil"/>
              <w:right w:val="nil"/>
            </w:tcBorders>
            <w:noWrap/>
            <w:vAlign w:val="bottom"/>
            <w:hideMark/>
          </w:tcPr>
          <w:p w14:paraId="0FB7BC0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97,95%</w:t>
            </w:r>
          </w:p>
        </w:tc>
      </w:tr>
      <w:tr w:rsidR="006967F8" w:rsidRPr="006967F8" w14:paraId="7E3FB897" w14:textId="77777777" w:rsidTr="008A61B1">
        <w:trPr>
          <w:trHeight w:val="255"/>
        </w:trPr>
        <w:tc>
          <w:tcPr>
            <w:tcW w:w="1134" w:type="dxa"/>
            <w:tcBorders>
              <w:top w:val="nil"/>
              <w:left w:val="nil"/>
              <w:bottom w:val="nil"/>
              <w:right w:val="nil"/>
            </w:tcBorders>
            <w:noWrap/>
            <w:vAlign w:val="bottom"/>
            <w:hideMark/>
          </w:tcPr>
          <w:p w14:paraId="5F2488A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3811</w:t>
            </w:r>
          </w:p>
        </w:tc>
        <w:tc>
          <w:tcPr>
            <w:tcW w:w="4962" w:type="dxa"/>
            <w:tcBorders>
              <w:top w:val="nil"/>
              <w:left w:val="nil"/>
              <w:bottom w:val="nil"/>
              <w:right w:val="nil"/>
            </w:tcBorders>
            <w:noWrap/>
            <w:vAlign w:val="bottom"/>
            <w:hideMark/>
          </w:tcPr>
          <w:p w14:paraId="179BA60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Tekuće donacije u novcu</w:t>
            </w:r>
          </w:p>
        </w:tc>
        <w:tc>
          <w:tcPr>
            <w:tcW w:w="1559" w:type="dxa"/>
            <w:tcBorders>
              <w:top w:val="nil"/>
              <w:left w:val="nil"/>
              <w:bottom w:val="nil"/>
              <w:right w:val="nil"/>
            </w:tcBorders>
            <w:noWrap/>
            <w:vAlign w:val="bottom"/>
            <w:hideMark/>
          </w:tcPr>
          <w:p w14:paraId="493CD380"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D8AAC7E"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C083332"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153.699,20</w:t>
            </w:r>
          </w:p>
        </w:tc>
        <w:tc>
          <w:tcPr>
            <w:tcW w:w="993" w:type="dxa"/>
            <w:tcBorders>
              <w:top w:val="nil"/>
              <w:left w:val="nil"/>
              <w:bottom w:val="nil"/>
              <w:right w:val="nil"/>
            </w:tcBorders>
            <w:noWrap/>
            <w:vAlign w:val="bottom"/>
            <w:hideMark/>
          </w:tcPr>
          <w:p w14:paraId="31A0BB57"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904AEB7" w14:textId="77777777" w:rsidTr="008A61B1">
        <w:trPr>
          <w:trHeight w:val="255"/>
        </w:trPr>
        <w:tc>
          <w:tcPr>
            <w:tcW w:w="1134" w:type="dxa"/>
            <w:tcBorders>
              <w:top w:val="nil"/>
              <w:left w:val="nil"/>
              <w:bottom w:val="nil"/>
              <w:right w:val="nil"/>
            </w:tcBorders>
            <w:noWrap/>
            <w:vAlign w:val="bottom"/>
            <w:hideMark/>
          </w:tcPr>
          <w:p w14:paraId="6D997DB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3821</w:t>
            </w:r>
          </w:p>
        </w:tc>
        <w:tc>
          <w:tcPr>
            <w:tcW w:w="4962" w:type="dxa"/>
            <w:tcBorders>
              <w:top w:val="nil"/>
              <w:left w:val="nil"/>
              <w:bottom w:val="nil"/>
              <w:right w:val="nil"/>
            </w:tcBorders>
            <w:noWrap/>
            <w:vAlign w:val="bottom"/>
            <w:hideMark/>
          </w:tcPr>
          <w:p w14:paraId="34783E2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Kapitalne donacije neprofitnim organizacijama</w:t>
            </w:r>
          </w:p>
        </w:tc>
        <w:tc>
          <w:tcPr>
            <w:tcW w:w="1559" w:type="dxa"/>
            <w:tcBorders>
              <w:top w:val="nil"/>
              <w:left w:val="nil"/>
              <w:bottom w:val="nil"/>
              <w:right w:val="nil"/>
            </w:tcBorders>
            <w:noWrap/>
            <w:vAlign w:val="bottom"/>
            <w:hideMark/>
          </w:tcPr>
          <w:p w14:paraId="03F631D2"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6E2073B"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83C0FE9"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6.377,95</w:t>
            </w:r>
          </w:p>
        </w:tc>
        <w:tc>
          <w:tcPr>
            <w:tcW w:w="993" w:type="dxa"/>
            <w:tcBorders>
              <w:top w:val="nil"/>
              <w:left w:val="nil"/>
              <w:bottom w:val="nil"/>
              <w:right w:val="nil"/>
            </w:tcBorders>
            <w:noWrap/>
            <w:vAlign w:val="bottom"/>
            <w:hideMark/>
          </w:tcPr>
          <w:p w14:paraId="333B67AA"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C73D471" w14:textId="77777777" w:rsidTr="008A61B1">
        <w:trPr>
          <w:trHeight w:val="600"/>
        </w:trPr>
        <w:tc>
          <w:tcPr>
            <w:tcW w:w="6096" w:type="dxa"/>
            <w:gridSpan w:val="2"/>
            <w:tcBorders>
              <w:top w:val="nil"/>
              <w:left w:val="nil"/>
              <w:bottom w:val="nil"/>
              <w:right w:val="nil"/>
            </w:tcBorders>
            <w:shd w:val="clear" w:color="000000" w:fill="FFFF99"/>
            <w:vAlign w:val="bottom"/>
            <w:hideMark/>
          </w:tcPr>
          <w:p w14:paraId="13AF60A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A100006 Aktivnost: FINANCIRANJE UDRUGA, USTANOVA I POJEDINACA U KULTURI</w:t>
            </w:r>
          </w:p>
        </w:tc>
        <w:tc>
          <w:tcPr>
            <w:tcW w:w="1559" w:type="dxa"/>
            <w:tcBorders>
              <w:top w:val="nil"/>
              <w:left w:val="nil"/>
              <w:bottom w:val="nil"/>
              <w:right w:val="nil"/>
            </w:tcBorders>
            <w:shd w:val="clear" w:color="000000" w:fill="FFFF99"/>
            <w:noWrap/>
            <w:vAlign w:val="bottom"/>
            <w:hideMark/>
          </w:tcPr>
          <w:p w14:paraId="4A1C772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129.000,00</w:t>
            </w:r>
          </w:p>
        </w:tc>
        <w:tc>
          <w:tcPr>
            <w:tcW w:w="1559" w:type="dxa"/>
            <w:tcBorders>
              <w:top w:val="nil"/>
              <w:left w:val="nil"/>
              <w:bottom w:val="nil"/>
              <w:right w:val="nil"/>
            </w:tcBorders>
            <w:shd w:val="clear" w:color="000000" w:fill="FFFF99"/>
            <w:noWrap/>
            <w:vAlign w:val="bottom"/>
            <w:hideMark/>
          </w:tcPr>
          <w:p w14:paraId="4115119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129.000,00</w:t>
            </w:r>
          </w:p>
        </w:tc>
        <w:tc>
          <w:tcPr>
            <w:tcW w:w="1559" w:type="dxa"/>
            <w:tcBorders>
              <w:top w:val="nil"/>
              <w:left w:val="nil"/>
              <w:bottom w:val="nil"/>
              <w:right w:val="nil"/>
            </w:tcBorders>
            <w:shd w:val="clear" w:color="000000" w:fill="FFFF99"/>
            <w:noWrap/>
            <w:vAlign w:val="bottom"/>
            <w:hideMark/>
          </w:tcPr>
          <w:p w14:paraId="60511E6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124.070,01</w:t>
            </w:r>
          </w:p>
        </w:tc>
        <w:tc>
          <w:tcPr>
            <w:tcW w:w="993" w:type="dxa"/>
            <w:tcBorders>
              <w:top w:val="nil"/>
              <w:left w:val="nil"/>
              <w:bottom w:val="nil"/>
              <w:right w:val="nil"/>
            </w:tcBorders>
            <w:shd w:val="clear" w:color="000000" w:fill="FFFF99"/>
            <w:noWrap/>
            <w:vAlign w:val="bottom"/>
            <w:hideMark/>
          </w:tcPr>
          <w:p w14:paraId="23075C7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96,18%</w:t>
            </w:r>
          </w:p>
        </w:tc>
      </w:tr>
      <w:tr w:rsidR="006967F8" w:rsidRPr="006967F8" w14:paraId="27F24B22"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2A9D343"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381A6D8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129.000,00</w:t>
            </w:r>
          </w:p>
        </w:tc>
        <w:tc>
          <w:tcPr>
            <w:tcW w:w="1559" w:type="dxa"/>
            <w:tcBorders>
              <w:top w:val="nil"/>
              <w:left w:val="nil"/>
              <w:bottom w:val="nil"/>
              <w:right w:val="nil"/>
            </w:tcBorders>
            <w:shd w:val="clear" w:color="000000" w:fill="CCCCFF"/>
            <w:noWrap/>
            <w:vAlign w:val="bottom"/>
            <w:hideMark/>
          </w:tcPr>
          <w:p w14:paraId="68E7E89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129.000,00</w:t>
            </w:r>
          </w:p>
        </w:tc>
        <w:tc>
          <w:tcPr>
            <w:tcW w:w="1559" w:type="dxa"/>
            <w:tcBorders>
              <w:top w:val="nil"/>
              <w:left w:val="nil"/>
              <w:bottom w:val="nil"/>
              <w:right w:val="nil"/>
            </w:tcBorders>
            <w:shd w:val="clear" w:color="000000" w:fill="CCCCFF"/>
            <w:noWrap/>
            <w:vAlign w:val="bottom"/>
            <w:hideMark/>
          </w:tcPr>
          <w:p w14:paraId="23D2FD4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124.070,01</w:t>
            </w:r>
          </w:p>
        </w:tc>
        <w:tc>
          <w:tcPr>
            <w:tcW w:w="993" w:type="dxa"/>
            <w:tcBorders>
              <w:top w:val="nil"/>
              <w:left w:val="nil"/>
              <w:bottom w:val="nil"/>
              <w:right w:val="nil"/>
            </w:tcBorders>
            <w:shd w:val="clear" w:color="000000" w:fill="CCCCFF"/>
            <w:noWrap/>
            <w:vAlign w:val="bottom"/>
            <w:hideMark/>
          </w:tcPr>
          <w:p w14:paraId="704BD33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96,18%</w:t>
            </w:r>
          </w:p>
        </w:tc>
      </w:tr>
      <w:tr w:rsidR="006967F8" w:rsidRPr="006967F8" w14:paraId="3BEB9F2E"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53917B8"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4A4FA27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129.000,00</w:t>
            </w:r>
          </w:p>
        </w:tc>
        <w:tc>
          <w:tcPr>
            <w:tcW w:w="1559" w:type="dxa"/>
            <w:tcBorders>
              <w:top w:val="nil"/>
              <w:left w:val="nil"/>
              <w:bottom w:val="nil"/>
              <w:right w:val="nil"/>
            </w:tcBorders>
            <w:shd w:val="clear" w:color="000000" w:fill="CCCCFF"/>
            <w:noWrap/>
            <w:vAlign w:val="bottom"/>
            <w:hideMark/>
          </w:tcPr>
          <w:p w14:paraId="6C17B68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129.000,00</w:t>
            </w:r>
          </w:p>
        </w:tc>
        <w:tc>
          <w:tcPr>
            <w:tcW w:w="1559" w:type="dxa"/>
            <w:tcBorders>
              <w:top w:val="nil"/>
              <w:left w:val="nil"/>
              <w:bottom w:val="nil"/>
              <w:right w:val="nil"/>
            </w:tcBorders>
            <w:shd w:val="clear" w:color="000000" w:fill="CCCCFF"/>
            <w:noWrap/>
            <w:vAlign w:val="bottom"/>
            <w:hideMark/>
          </w:tcPr>
          <w:p w14:paraId="64C1F49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124.070,01</w:t>
            </w:r>
          </w:p>
        </w:tc>
        <w:tc>
          <w:tcPr>
            <w:tcW w:w="993" w:type="dxa"/>
            <w:tcBorders>
              <w:top w:val="nil"/>
              <w:left w:val="nil"/>
              <w:bottom w:val="nil"/>
              <w:right w:val="nil"/>
            </w:tcBorders>
            <w:shd w:val="clear" w:color="000000" w:fill="CCCCFF"/>
            <w:noWrap/>
            <w:vAlign w:val="bottom"/>
            <w:hideMark/>
          </w:tcPr>
          <w:p w14:paraId="7FD2253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96,18%</w:t>
            </w:r>
          </w:p>
        </w:tc>
      </w:tr>
      <w:tr w:rsidR="006967F8" w:rsidRPr="006967F8" w14:paraId="6D566E78" w14:textId="77777777" w:rsidTr="008A61B1">
        <w:trPr>
          <w:trHeight w:val="255"/>
        </w:trPr>
        <w:tc>
          <w:tcPr>
            <w:tcW w:w="1134" w:type="dxa"/>
            <w:tcBorders>
              <w:top w:val="nil"/>
              <w:left w:val="nil"/>
              <w:bottom w:val="nil"/>
              <w:right w:val="nil"/>
            </w:tcBorders>
            <w:noWrap/>
            <w:vAlign w:val="bottom"/>
            <w:hideMark/>
          </w:tcPr>
          <w:p w14:paraId="594671A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7E836B4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12B8ACC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9.000,00</w:t>
            </w:r>
          </w:p>
        </w:tc>
        <w:tc>
          <w:tcPr>
            <w:tcW w:w="1559" w:type="dxa"/>
            <w:tcBorders>
              <w:top w:val="nil"/>
              <w:left w:val="nil"/>
              <w:bottom w:val="nil"/>
              <w:right w:val="nil"/>
            </w:tcBorders>
            <w:noWrap/>
            <w:vAlign w:val="bottom"/>
            <w:hideMark/>
          </w:tcPr>
          <w:p w14:paraId="51C8807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9.000,00</w:t>
            </w:r>
          </w:p>
        </w:tc>
        <w:tc>
          <w:tcPr>
            <w:tcW w:w="1559" w:type="dxa"/>
            <w:tcBorders>
              <w:top w:val="nil"/>
              <w:left w:val="nil"/>
              <w:bottom w:val="nil"/>
              <w:right w:val="nil"/>
            </w:tcBorders>
            <w:noWrap/>
            <w:vAlign w:val="bottom"/>
            <w:hideMark/>
          </w:tcPr>
          <w:p w14:paraId="13F4537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4.250,00</w:t>
            </w:r>
          </w:p>
        </w:tc>
        <w:tc>
          <w:tcPr>
            <w:tcW w:w="993" w:type="dxa"/>
            <w:tcBorders>
              <w:top w:val="nil"/>
              <w:left w:val="nil"/>
              <w:bottom w:val="nil"/>
              <w:right w:val="nil"/>
            </w:tcBorders>
            <w:noWrap/>
            <w:vAlign w:val="bottom"/>
            <w:hideMark/>
          </w:tcPr>
          <w:p w14:paraId="1F32724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47,22%</w:t>
            </w:r>
          </w:p>
        </w:tc>
      </w:tr>
      <w:tr w:rsidR="006967F8" w:rsidRPr="006967F8" w14:paraId="10EF2DF2" w14:textId="77777777" w:rsidTr="008A61B1">
        <w:trPr>
          <w:trHeight w:val="255"/>
        </w:trPr>
        <w:tc>
          <w:tcPr>
            <w:tcW w:w="1134" w:type="dxa"/>
            <w:tcBorders>
              <w:top w:val="nil"/>
              <w:left w:val="nil"/>
              <w:bottom w:val="nil"/>
              <w:right w:val="nil"/>
            </w:tcBorders>
            <w:noWrap/>
            <w:vAlign w:val="bottom"/>
            <w:hideMark/>
          </w:tcPr>
          <w:p w14:paraId="27D8F4A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3233</w:t>
            </w:r>
          </w:p>
        </w:tc>
        <w:tc>
          <w:tcPr>
            <w:tcW w:w="4962" w:type="dxa"/>
            <w:tcBorders>
              <w:top w:val="nil"/>
              <w:left w:val="nil"/>
              <w:bottom w:val="nil"/>
              <w:right w:val="nil"/>
            </w:tcBorders>
            <w:noWrap/>
            <w:vAlign w:val="bottom"/>
            <w:hideMark/>
          </w:tcPr>
          <w:p w14:paraId="492E2BF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promidžbe i informiranja</w:t>
            </w:r>
          </w:p>
        </w:tc>
        <w:tc>
          <w:tcPr>
            <w:tcW w:w="1559" w:type="dxa"/>
            <w:tcBorders>
              <w:top w:val="nil"/>
              <w:left w:val="nil"/>
              <w:bottom w:val="nil"/>
              <w:right w:val="nil"/>
            </w:tcBorders>
            <w:noWrap/>
            <w:vAlign w:val="bottom"/>
            <w:hideMark/>
          </w:tcPr>
          <w:p w14:paraId="0B5899C4"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10FA62E"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0671278"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1.000,00</w:t>
            </w:r>
          </w:p>
        </w:tc>
        <w:tc>
          <w:tcPr>
            <w:tcW w:w="993" w:type="dxa"/>
            <w:tcBorders>
              <w:top w:val="nil"/>
              <w:left w:val="nil"/>
              <w:bottom w:val="nil"/>
              <w:right w:val="nil"/>
            </w:tcBorders>
            <w:noWrap/>
            <w:vAlign w:val="bottom"/>
            <w:hideMark/>
          </w:tcPr>
          <w:p w14:paraId="7D3C64AD"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98926F3" w14:textId="77777777" w:rsidTr="008A61B1">
        <w:trPr>
          <w:trHeight w:val="255"/>
        </w:trPr>
        <w:tc>
          <w:tcPr>
            <w:tcW w:w="1134" w:type="dxa"/>
            <w:tcBorders>
              <w:top w:val="nil"/>
              <w:left w:val="nil"/>
              <w:bottom w:val="nil"/>
              <w:right w:val="nil"/>
            </w:tcBorders>
            <w:noWrap/>
            <w:vAlign w:val="bottom"/>
            <w:hideMark/>
          </w:tcPr>
          <w:p w14:paraId="42C2625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3299</w:t>
            </w:r>
          </w:p>
        </w:tc>
        <w:tc>
          <w:tcPr>
            <w:tcW w:w="4962" w:type="dxa"/>
            <w:tcBorders>
              <w:top w:val="nil"/>
              <w:left w:val="nil"/>
              <w:bottom w:val="nil"/>
              <w:right w:val="nil"/>
            </w:tcBorders>
            <w:noWrap/>
            <w:vAlign w:val="bottom"/>
            <w:hideMark/>
          </w:tcPr>
          <w:p w14:paraId="3644BEF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nespomenuti rashodi poslovanja</w:t>
            </w:r>
          </w:p>
        </w:tc>
        <w:tc>
          <w:tcPr>
            <w:tcW w:w="1559" w:type="dxa"/>
            <w:tcBorders>
              <w:top w:val="nil"/>
              <w:left w:val="nil"/>
              <w:bottom w:val="nil"/>
              <w:right w:val="nil"/>
            </w:tcBorders>
            <w:noWrap/>
            <w:vAlign w:val="bottom"/>
            <w:hideMark/>
          </w:tcPr>
          <w:p w14:paraId="065EC527"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CBE1E37"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49A14E6"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3.250,00</w:t>
            </w:r>
          </w:p>
        </w:tc>
        <w:tc>
          <w:tcPr>
            <w:tcW w:w="993" w:type="dxa"/>
            <w:tcBorders>
              <w:top w:val="nil"/>
              <w:left w:val="nil"/>
              <w:bottom w:val="nil"/>
              <w:right w:val="nil"/>
            </w:tcBorders>
            <w:noWrap/>
            <w:vAlign w:val="bottom"/>
            <w:hideMark/>
          </w:tcPr>
          <w:p w14:paraId="46208B34"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05BBC4F" w14:textId="77777777" w:rsidTr="008A61B1">
        <w:trPr>
          <w:trHeight w:val="525"/>
        </w:trPr>
        <w:tc>
          <w:tcPr>
            <w:tcW w:w="1134" w:type="dxa"/>
            <w:tcBorders>
              <w:top w:val="nil"/>
              <w:left w:val="nil"/>
              <w:bottom w:val="nil"/>
              <w:right w:val="nil"/>
            </w:tcBorders>
            <w:noWrap/>
            <w:vAlign w:val="bottom"/>
            <w:hideMark/>
          </w:tcPr>
          <w:p w14:paraId="4DA8290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38</w:t>
            </w:r>
          </w:p>
        </w:tc>
        <w:tc>
          <w:tcPr>
            <w:tcW w:w="4962" w:type="dxa"/>
            <w:tcBorders>
              <w:top w:val="nil"/>
              <w:left w:val="nil"/>
              <w:bottom w:val="nil"/>
              <w:right w:val="nil"/>
            </w:tcBorders>
            <w:vAlign w:val="bottom"/>
            <w:hideMark/>
          </w:tcPr>
          <w:p w14:paraId="473B72F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donacije, kazne, naknade šteta i kapitalne pomoći</w:t>
            </w:r>
          </w:p>
        </w:tc>
        <w:tc>
          <w:tcPr>
            <w:tcW w:w="1559" w:type="dxa"/>
            <w:tcBorders>
              <w:top w:val="nil"/>
              <w:left w:val="nil"/>
              <w:bottom w:val="nil"/>
              <w:right w:val="nil"/>
            </w:tcBorders>
            <w:noWrap/>
            <w:vAlign w:val="bottom"/>
            <w:hideMark/>
          </w:tcPr>
          <w:p w14:paraId="4EB77EF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120.000,00</w:t>
            </w:r>
          </w:p>
        </w:tc>
        <w:tc>
          <w:tcPr>
            <w:tcW w:w="1559" w:type="dxa"/>
            <w:tcBorders>
              <w:top w:val="nil"/>
              <w:left w:val="nil"/>
              <w:bottom w:val="nil"/>
              <w:right w:val="nil"/>
            </w:tcBorders>
            <w:noWrap/>
            <w:vAlign w:val="bottom"/>
            <w:hideMark/>
          </w:tcPr>
          <w:p w14:paraId="708EE43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120.000,00</w:t>
            </w:r>
          </w:p>
        </w:tc>
        <w:tc>
          <w:tcPr>
            <w:tcW w:w="1559" w:type="dxa"/>
            <w:tcBorders>
              <w:top w:val="nil"/>
              <w:left w:val="nil"/>
              <w:bottom w:val="nil"/>
              <w:right w:val="nil"/>
            </w:tcBorders>
            <w:noWrap/>
            <w:vAlign w:val="bottom"/>
            <w:hideMark/>
          </w:tcPr>
          <w:p w14:paraId="34D69A1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119.820,01</w:t>
            </w:r>
          </w:p>
        </w:tc>
        <w:tc>
          <w:tcPr>
            <w:tcW w:w="993" w:type="dxa"/>
            <w:tcBorders>
              <w:top w:val="nil"/>
              <w:left w:val="nil"/>
              <w:bottom w:val="nil"/>
              <w:right w:val="nil"/>
            </w:tcBorders>
            <w:noWrap/>
            <w:vAlign w:val="bottom"/>
            <w:hideMark/>
          </w:tcPr>
          <w:p w14:paraId="27E2BC3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99,85%</w:t>
            </w:r>
          </w:p>
        </w:tc>
      </w:tr>
      <w:tr w:rsidR="006967F8" w:rsidRPr="006967F8" w14:paraId="278DE9D2" w14:textId="77777777" w:rsidTr="008A61B1">
        <w:trPr>
          <w:trHeight w:val="255"/>
        </w:trPr>
        <w:tc>
          <w:tcPr>
            <w:tcW w:w="1134" w:type="dxa"/>
            <w:tcBorders>
              <w:top w:val="nil"/>
              <w:left w:val="nil"/>
              <w:bottom w:val="nil"/>
              <w:right w:val="nil"/>
            </w:tcBorders>
            <w:noWrap/>
            <w:vAlign w:val="bottom"/>
            <w:hideMark/>
          </w:tcPr>
          <w:p w14:paraId="1A54083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3811</w:t>
            </w:r>
          </w:p>
        </w:tc>
        <w:tc>
          <w:tcPr>
            <w:tcW w:w="4962" w:type="dxa"/>
            <w:tcBorders>
              <w:top w:val="nil"/>
              <w:left w:val="nil"/>
              <w:bottom w:val="nil"/>
              <w:right w:val="nil"/>
            </w:tcBorders>
            <w:noWrap/>
            <w:vAlign w:val="bottom"/>
            <w:hideMark/>
          </w:tcPr>
          <w:p w14:paraId="24CC77A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Tekuće donacije u novcu</w:t>
            </w:r>
          </w:p>
        </w:tc>
        <w:tc>
          <w:tcPr>
            <w:tcW w:w="1559" w:type="dxa"/>
            <w:tcBorders>
              <w:top w:val="nil"/>
              <w:left w:val="nil"/>
              <w:bottom w:val="nil"/>
              <w:right w:val="nil"/>
            </w:tcBorders>
            <w:noWrap/>
            <w:vAlign w:val="bottom"/>
            <w:hideMark/>
          </w:tcPr>
          <w:p w14:paraId="53163E2B"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75BD9EE"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9C43EED"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119.820,01</w:t>
            </w:r>
          </w:p>
        </w:tc>
        <w:tc>
          <w:tcPr>
            <w:tcW w:w="993" w:type="dxa"/>
            <w:tcBorders>
              <w:top w:val="nil"/>
              <w:left w:val="nil"/>
              <w:bottom w:val="nil"/>
              <w:right w:val="nil"/>
            </w:tcBorders>
            <w:noWrap/>
            <w:vAlign w:val="bottom"/>
            <w:hideMark/>
          </w:tcPr>
          <w:p w14:paraId="38AEDE2B"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CE8ED04" w14:textId="77777777" w:rsidTr="008A61B1">
        <w:trPr>
          <w:trHeight w:val="525"/>
        </w:trPr>
        <w:tc>
          <w:tcPr>
            <w:tcW w:w="6096" w:type="dxa"/>
            <w:gridSpan w:val="2"/>
            <w:tcBorders>
              <w:top w:val="nil"/>
              <w:left w:val="nil"/>
              <w:bottom w:val="nil"/>
              <w:right w:val="nil"/>
            </w:tcBorders>
            <w:shd w:val="clear" w:color="000000" w:fill="FFFF99"/>
            <w:vAlign w:val="bottom"/>
            <w:hideMark/>
          </w:tcPr>
          <w:p w14:paraId="0A4FDAB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A100050 Aktivnost: PROMIDŽBA I OČUVANJE KULTURNE BAŠTINE </w:t>
            </w:r>
          </w:p>
        </w:tc>
        <w:tc>
          <w:tcPr>
            <w:tcW w:w="1559" w:type="dxa"/>
            <w:tcBorders>
              <w:top w:val="nil"/>
              <w:left w:val="nil"/>
              <w:bottom w:val="nil"/>
              <w:right w:val="nil"/>
            </w:tcBorders>
            <w:shd w:val="clear" w:color="000000" w:fill="FFFF99"/>
            <w:noWrap/>
            <w:vAlign w:val="bottom"/>
            <w:hideMark/>
          </w:tcPr>
          <w:p w14:paraId="34870FA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92.200,00</w:t>
            </w:r>
          </w:p>
        </w:tc>
        <w:tc>
          <w:tcPr>
            <w:tcW w:w="1559" w:type="dxa"/>
            <w:tcBorders>
              <w:top w:val="nil"/>
              <w:left w:val="nil"/>
              <w:bottom w:val="nil"/>
              <w:right w:val="nil"/>
            </w:tcBorders>
            <w:shd w:val="clear" w:color="000000" w:fill="FFFF99"/>
            <w:noWrap/>
            <w:vAlign w:val="bottom"/>
            <w:hideMark/>
          </w:tcPr>
          <w:p w14:paraId="3C712E3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92.200,00</w:t>
            </w:r>
          </w:p>
        </w:tc>
        <w:tc>
          <w:tcPr>
            <w:tcW w:w="1559" w:type="dxa"/>
            <w:tcBorders>
              <w:top w:val="nil"/>
              <w:left w:val="nil"/>
              <w:bottom w:val="nil"/>
              <w:right w:val="nil"/>
            </w:tcBorders>
            <w:shd w:val="clear" w:color="000000" w:fill="FFFF99"/>
            <w:noWrap/>
            <w:vAlign w:val="bottom"/>
            <w:hideMark/>
          </w:tcPr>
          <w:p w14:paraId="5D071A6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71.835,19</w:t>
            </w:r>
          </w:p>
        </w:tc>
        <w:tc>
          <w:tcPr>
            <w:tcW w:w="993" w:type="dxa"/>
            <w:tcBorders>
              <w:top w:val="nil"/>
              <w:left w:val="nil"/>
              <w:bottom w:val="nil"/>
              <w:right w:val="nil"/>
            </w:tcBorders>
            <w:shd w:val="clear" w:color="000000" w:fill="FFFF99"/>
            <w:noWrap/>
            <w:vAlign w:val="bottom"/>
            <w:hideMark/>
          </w:tcPr>
          <w:p w14:paraId="748C7EC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77,91%</w:t>
            </w:r>
          </w:p>
        </w:tc>
      </w:tr>
      <w:tr w:rsidR="006967F8" w:rsidRPr="006967F8" w14:paraId="34410DDC"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ED98002"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1910802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87.000,00</w:t>
            </w:r>
          </w:p>
        </w:tc>
        <w:tc>
          <w:tcPr>
            <w:tcW w:w="1559" w:type="dxa"/>
            <w:tcBorders>
              <w:top w:val="nil"/>
              <w:left w:val="nil"/>
              <w:bottom w:val="nil"/>
              <w:right w:val="nil"/>
            </w:tcBorders>
            <w:shd w:val="clear" w:color="000000" w:fill="CCCCFF"/>
            <w:noWrap/>
            <w:vAlign w:val="bottom"/>
            <w:hideMark/>
          </w:tcPr>
          <w:p w14:paraId="29103CB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87.000,00</w:t>
            </w:r>
          </w:p>
        </w:tc>
        <w:tc>
          <w:tcPr>
            <w:tcW w:w="1559" w:type="dxa"/>
            <w:tcBorders>
              <w:top w:val="nil"/>
              <w:left w:val="nil"/>
              <w:bottom w:val="nil"/>
              <w:right w:val="nil"/>
            </w:tcBorders>
            <w:shd w:val="clear" w:color="000000" w:fill="CCCCFF"/>
            <w:noWrap/>
            <w:vAlign w:val="bottom"/>
            <w:hideMark/>
          </w:tcPr>
          <w:p w14:paraId="6EF52FC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71.672,71</w:t>
            </w:r>
          </w:p>
        </w:tc>
        <w:tc>
          <w:tcPr>
            <w:tcW w:w="993" w:type="dxa"/>
            <w:tcBorders>
              <w:top w:val="nil"/>
              <w:left w:val="nil"/>
              <w:bottom w:val="nil"/>
              <w:right w:val="nil"/>
            </w:tcBorders>
            <w:shd w:val="clear" w:color="000000" w:fill="CCCCFF"/>
            <w:noWrap/>
            <w:vAlign w:val="bottom"/>
            <w:hideMark/>
          </w:tcPr>
          <w:p w14:paraId="4F380C6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82,38%</w:t>
            </w:r>
          </w:p>
        </w:tc>
      </w:tr>
      <w:tr w:rsidR="006967F8" w:rsidRPr="006967F8" w14:paraId="6CDAA350"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EBD721C"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04CF771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87.000,00</w:t>
            </w:r>
          </w:p>
        </w:tc>
        <w:tc>
          <w:tcPr>
            <w:tcW w:w="1559" w:type="dxa"/>
            <w:tcBorders>
              <w:top w:val="nil"/>
              <w:left w:val="nil"/>
              <w:bottom w:val="nil"/>
              <w:right w:val="nil"/>
            </w:tcBorders>
            <w:shd w:val="clear" w:color="000000" w:fill="CCCCFF"/>
            <w:noWrap/>
            <w:vAlign w:val="bottom"/>
            <w:hideMark/>
          </w:tcPr>
          <w:p w14:paraId="261760F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87.000,00</w:t>
            </w:r>
          </w:p>
        </w:tc>
        <w:tc>
          <w:tcPr>
            <w:tcW w:w="1559" w:type="dxa"/>
            <w:tcBorders>
              <w:top w:val="nil"/>
              <w:left w:val="nil"/>
              <w:bottom w:val="nil"/>
              <w:right w:val="nil"/>
            </w:tcBorders>
            <w:shd w:val="clear" w:color="000000" w:fill="CCCCFF"/>
            <w:noWrap/>
            <w:vAlign w:val="bottom"/>
            <w:hideMark/>
          </w:tcPr>
          <w:p w14:paraId="69EF36B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71.672,71</w:t>
            </w:r>
          </w:p>
        </w:tc>
        <w:tc>
          <w:tcPr>
            <w:tcW w:w="993" w:type="dxa"/>
            <w:tcBorders>
              <w:top w:val="nil"/>
              <w:left w:val="nil"/>
              <w:bottom w:val="nil"/>
              <w:right w:val="nil"/>
            </w:tcBorders>
            <w:shd w:val="clear" w:color="000000" w:fill="CCCCFF"/>
            <w:noWrap/>
            <w:vAlign w:val="bottom"/>
            <w:hideMark/>
          </w:tcPr>
          <w:p w14:paraId="1912448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82,38%</w:t>
            </w:r>
          </w:p>
        </w:tc>
      </w:tr>
      <w:tr w:rsidR="006967F8" w:rsidRPr="006967F8" w14:paraId="740CDD4C" w14:textId="77777777" w:rsidTr="008A61B1">
        <w:trPr>
          <w:trHeight w:val="255"/>
        </w:trPr>
        <w:tc>
          <w:tcPr>
            <w:tcW w:w="1134" w:type="dxa"/>
            <w:tcBorders>
              <w:top w:val="nil"/>
              <w:left w:val="nil"/>
              <w:bottom w:val="nil"/>
              <w:right w:val="nil"/>
            </w:tcBorders>
            <w:noWrap/>
            <w:vAlign w:val="bottom"/>
            <w:hideMark/>
          </w:tcPr>
          <w:p w14:paraId="1AB8127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22A980B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5BBB3D9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82.000,00</w:t>
            </w:r>
          </w:p>
        </w:tc>
        <w:tc>
          <w:tcPr>
            <w:tcW w:w="1559" w:type="dxa"/>
            <w:tcBorders>
              <w:top w:val="nil"/>
              <w:left w:val="nil"/>
              <w:bottom w:val="nil"/>
              <w:right w:val="nil"/>
            </w:tcBorders>
            <w:noWrap/>
            <w:vAlign w:val="bottom"/>
            <w:hideMark/>
          </w:tcPr>
          <w:p w14:paraId="3936157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82.000,00</w:t>
            </w:r>
          </w:p>
        </w:tc>
        <w:tc>
          <w:tcPr>
            <w:tcW w:w="1559" w:type="dxa"/>
            <w:tcBorders>
              <w:top w:val="nil"/>
              <w:left w:val="nil"/>
              <w:bottom w:val="nil"/>
              <w:right w:val="nil"/>
            </w:tcBorders>
            <w:noWrap/>
            <w:vAlign w:val="bottom"/>
            <w:hideMark/>
          </w:tcPr>
          <w:p w14:paraId="6AE2EAC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71.672,71</w:t>
            </w:r>
          </w:p>
        </w:tc>
        <w:tc>
          <w:tcPr>
            <w:tcW w:w="993" w:type="dxa"/>
            <w:tcBorders>
              <w:top w:val="nil"/>
              <w:left w:val="nil"/>
              <w:bottom w:val="nil"/>
              <w:right w:val="nil"/>
            </w:tcBorders>
            <w:noWrap/>
            <w:vAlign w:val="bottom"/>
            <w:hideMark/>
          </w:tcPr>
          <w:p w14:paraId="1E56692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87,41%</w:t>
            </w:r>
          </w:p>
        </w:tc>
      </w:tr>
      <w:tr w:rsidR="006967F8" w:rsidRPr="006967F8" w14:paraId="5A48B1EC" w14:textId="77777777" w:rsidTr="008A61B1">
        <w:trPr>
          <w:trHeight w:val="255"/>
        </w:trPr>
        <w:tc>
          <w:tcPr>
            <w:tcW w:w="1134" w:type="dxa"/>
            <w:tcBorders>
              <w:top w:val="nil"/>
              <w:left w:val="nil"/>
              <w:bottom w:val="nil"/>
              <w:right w:val="nil"/>
            </w:tcBorders>
            <w:noWrap/>
            <w:vAlign w:val="bottom"/>
            <w:hideMark/>
          </w:tcPr>
          <w:p w14:paraId="2C92AE8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3233</w:t>
            </w:r>
          </w:p>
        </w:tc>
        <w:tc>
          <w:tcPr>
            <w:tcW w:w="4962" w:type="dxa"/>
            <w:tcBorders>
              <w:top w:val="nil"/>
              <w:left w:val="nil"/>
              <w:bottom w:val="nil"/>
              <w:right w:val="nil"/>
            </w:tcBorders>
            <w:noWrap/>
            <w:vAlign w:val="bottom"/>
            <w:hideMark/>
          </w:tcPr>
          <w:p w14:paraId="123E966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promidžbe i informiranja</w:t>
            </w:r>
          </w:p>
        </w:tc>
        <w:tc>
          <w:tcPr>
            <w:tcW w:w="1559" w:type="dxa"/>
            <w:tcBorders>
              <w:top w:val="nil"/>
              <w:left w:val="nil"/>
              <w:bottom w:val="nil"/>
              <w:right w:val="nil"/>
            </w:tcBorders>
            <w:noWrap/>
            <w:vAlign w:val="bottom"/>
            <w:hideMark/>
          </w:tcPr>
          <w:p w14:paraId="061D0F6B"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3E5241C"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8A70E68"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5.625,00</w:t>
            </w:r>
          </w:p>
        </w:tc>
        <w:tc>
          <w:tcPr>
            <w:tcW w:w="993" w:type="dxa"/>
            <w:tcBorders>
              <w:top w:val="nil"/>
              <w:left w:val="nil"/>
              <w:bottom w:val="nil"/>
              <w:right w:val="nil"/>
            </w:tcBorders>
            <w:noWrap/>
            <w:vAlign w:val="bottom"/>
            <w:hideMark/>
          </w:tcPr>
          <w:p w14:paraId="2BE06328"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559EA4A" w14:textId="77777777" w:rsidTr="008A61B1">
        <w:trPr>
          <w:trHeight w:val="255"/>
        </w:trPr>
        <w:tc>
          <w:tcPr>
            <w:tcW w:w="1134" w:type="dxa"/>
            <w:tcBorders>
              <w:top w:val="nil"/>
              <w:left w:val="nil"/>
              <w:bottom w:val="nil"/>
              <w:right w:val="nil"/>
            </w:tcBorders>
            <w:noWrap/>
            <w:vAlign w:val="bottom"/>
            <w:hideMark/>
          </w:tcPr>
          <w:p w14:paraId="31DE940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3239</w:t>
            </w:r>
          </w:p>
        </w:tc>
        <w:tc>
          <w:tcPr>
            <w:tcW w:w="4962" w:type="dxa"/>
            <w:tcBorders>
              <w:top w:val="nil"/>
              <w:left w:val="nil"/>
              <w:bottom w:val="nil"/>
              <w:right w:val="nil"/>
            </w:tcBorders>
            <w:noWrap/>
            <w:vAlign w:val="bottom"/>
            <w:hideMark/>
          </w:tcPr>
          <w:p w14:paraId="42E0F26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Ostale usluge</w:t>
            </w:r>
          </w:p>
        </w:tc>
        <w:tc>
          <w:tcPr>
            <w:tcW w:w="1559" w:type="dxa"/>
            <w:tcBorders>
              <w:top w:val="nil"/>
              <w:left w:val="nil"/>
              <w:bottom w:val="nil"/>
              <w:right w:val="nil"/>
            </w:tcBorders>
            <w:noWrap/>
            <w:vAlign w:val="bottom"/>
            <w:hideMark/>
          </w:tcPr>
          <w:p w14:paraId="4AC160C5"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7AA343D"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7A2FDB9"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66.047,71</w:t>
            </w:r>
          </w:p>
        </w:tc>
        <w:tc>
          <w:tcPr>
            <w:tcW w:w="993" w:type="dxa"/>
            <w:tcBorders>
              <w:top w:val="nil"/>
              <w:left w:val="nil"/>
              <w:bottom w:val="nil"/>
              <w:right w:val="nil"/>
            </w:tcBorders>
            <w:noWrap/>
            <w:vAlign w:val="bottom"/>
            <w:hideMark/>
          </w:tcPr>
          <w:p w14:paraId="22EC7BE6"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0E11C60" w14:textId="77777777" w:rsidTr="008A61B1">
        <w:trPr>
          <w:trHeight w:val="570"/>
        </w:trPr>
        <w:tc>
          <w:tcPr>
            <w:tcW w:w="1134" w:type="dxa"/>
            <w:tcBorders>
              <w:top w:val="nil"/>
              <w:left w:val="nil"/>
              <w:bottom w:val="nil"/>
              <w:right w:val="nil"/>
            </w:tcBorders>
            <w:noWrap/>
            <w:vAlign w:val="bottom"/>
            <w:hideMark/>
          </w:tcPr>
          <w:p w14:paraId="457DFA8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36</w:t>
            </w:r>
          </w:p>
        </w:tc>
        <w:tc>
          <w:tcPr>
            <w:tcW w:w="4962" w:type="dxa"/>
            <w:tcBorders>
              <w:top w:val="nil"/>
              <w:left w:val="nil"/>
              <w:bottom w:val="nil"/>
              <w:right w:val="nil"/>
            </w:tcBorders>
            <w:vAlign w:val="bottom"/>
            <w:hideMark/>
          </w:tcPr>
          <w:p w14:paraId="0D00676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Pomoći dane u inozemstvo i unutar općeg proračuna</w:t>
            </w:r>
          </w:p>
        </w:tc>
        <w:tc>
          <w:tcPr>
            <w:tcW w:w="1559" w:type="dxa"/>
            <w:tcBorders>
              <w:top w:val="nil"/>
              <w:left w:val="nil"/>
              <w:bottom w:val="nil"/>
              <w:right w:val="nil"/>
            </w:tcBorders>
            <w:noWrap/>
            <w:vAlign w:val="bottom"/>
            <w:hideMark/>
          </w:tcPr>
          <w:p w14:paraId="638CB9C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5.000,00</w:t>
            </w:r>
          </w:p>
        </w:tc>
        <w:tc>
          <w:tcPr>
            <w:tcW w:w="1559" w:type="dxa"/>
            <w:tcBorders>
              <w:top w:val="nil"/>
              <w:left w:val="nil"/>
              <w:bottom w:val="nil"/>
              <w:right w:val="nil"/>
            </w:tcBorders>
            <w:noWrap/>
            <w:vAlign w:val="bottom"/>
            <w:hideMark/>
          </w:tcPr>
          <w:p w14:paraId="28BF164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5.000,00</w:t>
            </w:r>
          </w:p>
        </w:tc>
        <w:tc>
          <w:tcPr>
            <w:tcW w:w="1559" w:type="dxa"/>
            <w:tcBorders>
              <w:top w:val="nil"/>
              <w:left w:val="nil"/>
              <w:bottom w:val="nil"/>
              <w:right w:val="nil"/>
            </w:tcBorders>
            <w:noWrap/>
            <w:vAlign w:val="bottom"/>
            <w:hideMark/>
          </w:tcPr>
          <w:p w14:paraId="45C7651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0D7EB48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6C3E4757"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70A6D95"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6. DONACIJE</w:t>
            </w:r>
          </w:p>
        </w:tc>
        <w:tc>
          <w:tcPr>
            <w:tcW w:w="1559" w:type="dxa"/>
            <w:tcBorders>
              <w:top w:val="nil"/>
              <w:left w:val="nil"/>
              <w:bottom w:val="nil"/>
              <w:right w:val="nil"/>
            </w:tcBorders>
            <w:shd w:val="clear" w:color="000000" w:fill="CCCCFF"/>
            <w:noWrap/>
            <w:vAlign w:val="bottom"/>
            <w:hideMark/>
          </w:tcPr>
          <w:p w14:paraId="161ADDC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5.200,00</w:t>
            </w:r>
          </w:p>
        </w:tc>
        <w:tc>
          <w:tcPr>
            <w:tcW w:w="1559" w:type="dxa"/>
            <w:tcBorders>
              <w:top w:val="nil"/>
              <w:left w:val="nil"/>
              <w:bottom w:val="nil"/>
              <w:right w:val="nil"/>
            </w:tcBorders>
            <w:shd w:val="clear" w:color="000000" w:fill="CCCCFF"/>
            <w:noWrap/>
            <w:vAlign w:val="bottom"/>
            <w:hideMark/>
          </w:tcPr>
          <w:p w14:paraId="1FB9C27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5.200,00</w:t>
            </w:r>
          </w:p>
        </w:tc>
        <w:tc>
          <w:tcPr>
            <w:tcW w:w="1559" w:type="dxa"/>
            <w:tcBorders>
              <w:top w:val="nil"/>
              <w:left w:val="nil"/>
              <w:bottom w:val="nil"/>
              <w:right w:val="nil"/>
            </w:tcBorders>
            <w:shd w:val="clear" w:color="000000" w:fill="CCCCFF"/>
            <w:noWrap/>
            <w:vAlign w:val="bottom"/>
            <w:hideMark/>
          </w:tcPr>
          <w:p w14:paraId="34659C5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162,48</w:t>
            </w:r>
          </w:p>
        </w:tc>
        <w:tc>
          <w:tcPr>
            <w:tcW w:w="993" w:type="dxa"/>
            <w:tcBorders>
              <w:top w:val="nil"/>
              <w:left w:val="nil"/>
              <w:bottom w:val="nil"/>
              <w:right w:val="nil"/>
            </w:tcBorders>
            <w:shd w:val="clear" w:color="000000" w:fill="CCCCFF"/>
            <w:noWrap/>
            <w:vAlign w:val="bottom"/>
            <w:hideMark/>
          </w:tcPr>
          <w:p w14:paraId="392C1C1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3,12%</w:t>
            </w:r>
          </w:p>
        </w:tc>
      </w:tr>
      <w:tr w:rsidR="006967F8" w:rsidRPr="006967F8" w14:paraId="5DF7AF29"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C43BC28"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6.1. Donacije</w:t>
            </w:r>
          </w:p>
        </w:tc>
        <w:tc>
          <w:tcPr>
            <w:tcW w:w="1559" w:type="dxa"/>
            <w:tcBorders>
              <w:top w:val="nil"/>
              <w:left w:val="nil"/>
              <w:bottom w:val="nil"/>
              <w:right w:val="nil"/>
            </w:tcBorders>
            <w:shd w:val="clear" w:color="000000" w:fill="CCCCFF"/>
            <w:noWrap/>
            <w:vAlign w:val="bottom"/>
            <w:hideMark/>
          </w:tcPr>
          <w:p w14:paraId="3D96259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5.200,00</w:t>
            </w:r>
          </w:p>
        </w:tc>
        <w:tc>
          <w:tcPr>
            <w:tcW w:w="1559" w:type="dxa"/>
            <w:tcBorders>
              <w:top w:val="nil"/>
              <w:left w:val="nil"/>
              <w:bottom w:val="nil"/>
              <w:right w:val="nil"/>
            </w:tcBorders>
            <w:shd w:val="clear" w:color="000000" w:fill="CCCCFF"/>
            <w:noWrap/>
            <w:vAlign w:val="bottom"/>
            <w:hideMark/>
          </w:tcPr>
          <w:p w14:paraId="442C201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5.200,00</w:t>
            </w:r>
          </w:p>
        </w:tc>
        <w:tc>
          <w:tcPr>
            <w:tcW w:w="1559" w:type="dxa"/>
            <w:tcBorders>
              <w:top w:val="nil"/>
              <w:left w:val="nil"/>
              <w:bottom w:val="nil"/>
              <w:right w:val="nil"/>
            </w:tcBorders>
            <w:shd w:val="clear" w:color="000000" w:fill="CCCCFF"/>
            <w:noWrap/>
            <w:vAlign w:val="bottom"/>
            <w:hideMark/>
          </w:tcPr>
          <w:p w14:paraId="6BD8DCB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162,48</w:t>
            </w:r>
          </w:p>
        </w:tc>
        <w:tc>
          <w:tcPr>
            <w:tcW w:w="993" w:type="dxa"/>
            <w:tcBorders>
              <w:top w:val="nil"/>
              <w:left w:val="nil"/>
              <w:bottom w:val="nil"/>
              <w:right w:val="nil"/>
            </w:tcBorders>
            <w:shd w:val="clear" w:color="000000" w:fill="CCCCFF"/>
            <w:noWrap/>
            <w:vAlign w:val="bottom"/>
            <w:hideMark/>
          </w:tcPr>
          <w:p w14:paraId="79982CB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3,12%</w:t>
            </w:r>
          </w:p>
        </w:tc>
      </w:tr>
      <w:tr w:rsidR="006967F8" w:rsidRPr="006967F8" w14:paraId="0A1B3591" w14:textId="77777777" w:rsidTr="008A61B1">
        <w:trPr>
          <w:trHeight w:val="495"/>
        </w:trPr>
        <w:tc>
          <w:tcPr>
            <w:tcW w:w="1134" w:type="dxa"/>
            <w:tcBorders>
              <w:top w:val="nil"/>
              <w:left w:val="nil"/>
              <w:bottom w:val="nil"/>
              <w:right w:val="nil"/>
            </w:tcBorders>
            <w:noWrap/>
            <w:vAlign w:val="bottom"/>
            <w:hideMark/>
          </w:tcPr>
          <w:p w14:paraId="0207938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38</w:t>
            </w:r>
          </w:p>
        </w:tc>
        <w:tc>
          <w:tcPr>
            <w:tcW w:w="4962" w:type="dxa"/>
            <w:tcBorders>
              <w:top w:val="nil"/>
              <w:left w:val="nil"/>
              <w:bottom w:val="nil"/>
              <w:right w:val="nil"/>
            </w:tcBorders>
            <w:vAlign w:val="bottom"/>
            <w:hideMark/>
          </w:tcPr>
          <w:p w14:paraId="77B3A7D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donacije, kazne, naknade šteta i kapitalne pomoći</w:t>
            </w:r>
          </w:p>
        </w:tc>
        <w:tc>
          <w:tcPr>
            <w:tcW w:w="1559" w:type="dxa"/>
            <w:tcBorders>
              <w:top w:val="nil"/>
              <w:left w:val="nil"/>
              <w:bottom w:val="nil"/>
              <w:right w:val="nil"/>
            </w:tcBorders>
            <w:noWrap/>
            <w:vAlign w:val="bottom"/>
            <w:hideMark/>
          </w:tcPr>
          <w:p w14:paraId="423BB2D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5.000,00</w:t>
            </w:r>
          </w:p>
        </w:tc>
        <w:tc>
          <w:tcPr>
            <w:tcW w:w="1559" w:type="dxa"/>
            <w:tcBorders>
              <w:top w:val="nil"/>
              <w:left w:val="nil"/>
              <w:bottom w:val="nil"/>
              <w:right w:val="nil"/>
            </w:tcBorders>
            <w:noWrap/>
            <w:vAlign w:val="bottom"/>
            <w:hideMark/>
          </w:tcPr>
          <w:p w14:paraId="0749902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5.000,00</w:t>
            </w:r>
          </w:p>
        </w:tc>
        <w:tc>
          <w:tcPr>
            <w:tcW w:w="1559" w:type="dxa"/>
            <w:tcBorders>
              <w:top w:val="nil"/>
              <w:left w:val="nil"/>
              <w:bottom w:val="nil"/>
              <w:right w:val="nil"/>
            </w:tcBorders>
            <w:noWrap/>
            <w:vAlign w:val="bottom"/>
            <w:hideMark/>
          </w:tcPr>
          <w:p w14:paraId="2C2B965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1F33323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219A985C" w14:textId="77777777" w:rsidTr="008A61B1">
        <w:trPr>
          <w:trHeight w:val="495"/>
        </w:trPr>
        <w:tc>
          <w:tcPr>
            <w:tcW w:w="1134" w:type="dxa"/>
            <w:tcBorders>
              <w:top w:val="nil"/>
              <w:left w:val="nil"/>
              <w:bottom w:val="nil"/>
              <w:right w:val="nil"/>
            </w:tcBorders>
            <w:noWrap/>
            <w:vAlign w:val="bottom"/>
            <w:hideMark/>
          </w:tcPr>
          <w:p w14:paraId="50E2A24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2177D31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0CE9B84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w:t>
            </w:r>
          </w:p>
        </w:tc>
        <w:tc>
          <w:tcPr>
            <w:tcW w:w="1559" w:type="dxa"/>
            <w:tcBorders>
              <w:top w:val="nil"/>
              <w:left w:val="nil"/>
              <w:bottom w:val="nil"/>
              <w:right w:val="nil"/>
            </w:tcBorders>
            <w:noWrap/>
            <w:vAlign w:val="bottom"/>
            <w:hideMark/>
          </w:tcPr>
          <w:p w14:paraId="7D503C7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w:t>
            </w:r>
          </w:p>
        </w:tc>
        <w:tc>
          <w:tcPr>
            <w:tcW w:w="1559" w:type="dxa"/>
            <w:tcBorders>
              <w:top w:val="nil"/>
              <w:left w:val="nil"/>
              <w:bottom w:val="nil"/>
              <w:right w:val="nil"/>
            </w:tcBorders>
            <w:noWrap/>
            <w:vAlign w:val="bottom"/>
            <w:hideMark/>
          </w:tcPr>
          <w:p w14:paraId="0A2D4B1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162,48</w:t>
            </w:r>
          </w:p>
        </w:tc>
        <w:tc>
          <w:tcPr>
            <w:tcW w:w="993" w:type="dxa"/>
            <w:tcBorders>
              <w:top w:val="nil"/>
              <w:left w:val="nil"/>
              <w:bottom w:val="nil"/>
              <w:right w:val="nil"/>
            </w:tcBorders>
            <w:noWrap/>
            <w:vAlign w:val="bottom"/>
            <w:hideMark/>
          </w:tcPr>
          <w:p w14:paraId="06A5CC4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81,24%</w:t>
            </w:r>
          </w:p>
        </w:tc>
      </w:tr>
      <w:tr w:rsidR="006967F8" w:rsidRPr="006967F8" w14:paraId="17FD4A01" w14:textId="77777777" w:rsidTr="008A61B1">
        <w:trPr>
          <w:trHeight w:val="255"/>
        </w:trPr>
        <w:tc>
          <w:tcPr>
            <w:tcW w:w="1134" w:type="dxa"/>
            <w:tcBorders>
              <w:top w:val="nil"/>
              <w:left w:val="nil"/>
              <w:bottom w:val="nil"/>
              <w:right w:val="nil"/>
            </w:tcBorders>
            <w:noWrap/>
            <w:vAlign w:val="bottom"/>
            <w:hideMark/>
          </w:tcPr>
          <w:p w14:paraId="42D3CFB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4214</w:t>
            </w:r>
          </w:p>
        </w:tc>
        <w:tc>
          <w:tcPr>
            <w:tcW w:w="4962" w:type="dxa"/>
            <w:tcBorders>
              <w:top w:val="nil"/>
              <w:left w:val="nil"/>
              <w:bottom w:val="nil"/>
              <w:right w:val="nil"/>
            </w:tcBorders>
            <w:noWrap/>
            <w:vAlign w:val="bottom"/>
            <w:hideMark/>
          </w:tcPr>
          <w:p w14:paraId="52D4BEE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građevinski objekti</w:t>
            </w:r>
          </w:p>
        </w:tc>
        <w:tc>
          <w:tcPr>
            <w:tcW w:w="1559" w:type="dxa"/>
            <w:tcBorders>
              <w:top w:val="nil"/>
              <w:left w:val="nil"/>
              <w:bottom w:val="nil"/>
              <w:right w:val="nil"/>
            </w:tcBorders>
            <w:noWrap/>
            <w:vAlign w:val="bottom"/>
            <w:hideMark/>
          </w:tcPr>
          <w:p w14:paraId="46AD7851"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7ED9CB0"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1A0B692"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162,48</w:t>
            </w:r>
          </w:p>
        </w:tc>
        <w:tc>
          <w:tcPr>
            <w:tcW w:w="993" w:type="dxa"/>
            <w:tcBorders>
              <w:top w:val="nil"/>
              <w:left w:val="nil"/>
              <w:bottom w:val="nil"/>
              <w:right w:val="nil"/>
            </w:tcBorders>
            <w:noWrap/>
            <w:vAlign w:val="bottom"/>
            <w:hideMark/>
          </w:tcPr>
          <w:p w14:paraId="4D88E671"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FF8FA25" w14:textId="77777777" w:rsidTr="008A61B1">
        <w:trPr>
          <w:trHeight w:val="255"/>
        </w:trPr>
        <w:tc>
          <w:tcPr>
            <w:tcW w:w="6096" w:type="dxa"/>
            <w:gridSpan w:val="2"/>
            <w:tcBorders>
              <w:top w:val="nil"/>
              <w:left w:val="nil"/>
              <w:bottom w:val="nil"/>
              <w:right w:val="nil"/>
            </w:tcBorders>
            <w:shd w:val="clear" w:color="000000" w:fill="FF9900"/>
            <w:noWrap/>
            <w:vAlign w:val="bottom"/>
            <w:hideMark/>
          </w:tcPr>
          <w:p w14:paraId="6B0CD0B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1203 Program: ŠPORT I TEHNIČKA KULTURA</w:t>
            </w:r>
          </w:p>
        </w:tc>
        <w:tc>
          <w:tcPr>
            <w:tcW w:w="1559" w:type="dxa"/>
            <w:tcBorders>
              <w:top w:val="nil"/>
              <w:left w:val="nil"/>
              <w:bottom w:val="nil"/>
              <w:right w:val="nil"/>
            </w:tcBorders>
            <w:shd w:val="clear" w:color="000000" w:fill="FF9900"/>
            <w:noWrap/>
            <w:vAlign w:val="bottom"/>
            <w:hideMark/>
          </w:tcPr>
          <w:p w14:paraId="65B0F4B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538.500,00</w:t>
            </w:r>
          </w:p>
        </w:tc>
        <w:tc>
          <w:tcPr>
            <w:tcW w:w="1559" w:type="dxa"/>
            <w:tcBorders>
              <w:top w:val="nil"/>
              <w:left w:val="nil"/>
              <w:bottom w:val="nil"/>
              <w:right w:val="nil"/>
            </w:tcBorders>
            <w:shd w:val="clear" w:color="000000" w:fill="FF9900"/>
            <w:noWrap/>
            <w:vAlign w:val="bottom"/>
            <w:hideMark/>
          </w:tcPr>
          <w:p w14:paraId="50A82B4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540.285,00</w:t>
            </w:r>
          </w:p>
        </w:tc>
        <w:tc>
          <w:tcPr>
            <w:tcW w:w="1559" w:type="dxa"/>
            <w:tcBorders>
              <w:top w:val="nil"/>
              <w:left w:val="nil"/>
              <w:bottom w:val="nil"/>
              <w:right w:val="nil"/>
            </w:tcBorders>
            <w:shd w:val="clear" w:color="000000" w:fill="FF9900"/>
            <w:noWrap/>
            <w:vAlign w:val="bottom"/>
            <w:hideMark/>
          </w:tcPr>
          <w:p w14:paraId="5E90273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535.281,25</w:t>
            </w:r>
          </w:p>
        </w:tc>
        <w:tc>
          <w:tcPr>
            <w:tcW w:w="993" w:type="dxa"/>
            <w:tcBorders>
              <w:top w:val="nil"/>
              <w:left w:val="nil"/>
              <w:bottom w:val="nil"/>
              <w:right w:val="nil"/>
            </w:tcBorders>
            <w:shd w:val="clear" w:color="000000" w:fill="FF9900"/>
            <w:noWrap/>
            <w:vAlign w:val="bottom"/>
            <w:hideMark/>
          </w:tcPr>
          <w:p w14:paraId="5B3E4C1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99,07%</w:t>
            </w:r>
          </w:p>
        </w:tc>
      </w:tr>
      <w:tr w:rsidR="006967F8" w:rsidRPr="006967F8" w14:paraId="45B14E00" w14:textId="77777777" w:rsidTr="008A61B1">
        <w:trPr>
          <w:trHeight w:val="540"/>
        </w:trPr>
        <w:tc>
          <w:tcPr>
            <w:tcW w:w="6096" w:type="dxa"/>
            <w:gridSpan w:val="2"/>
            <w:tcBorders>
              <w:top w:val="nil"/>
              <w:left w:val="nil"/>
              <w:bottom w:val="nil"/>
              <w:right w:val="nil"/>
            </w:tcBorders>
            <w:shd w:val="clear" w:color="000000" w:fill="FFFF99"/>
            <w:vAlign w:val="bottom"/>
            <w:hideMark/>
          </w:tcPr>
          <w:p w14:paraId="0DA152B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A100008 Aktivnost: UDRUGE, USTANOVE I POJEDINCI U ŠPORTU I TEH. KULTURI</w:t>
            </w:r>
          </w:p>
        </w:tc>
        <w:tc>
          <w:tcPr>
            <w:tcW w:w="1559" w:type="dxa"/>
            <w:tcBorders>
              <w:top w:val="nil"/>
              <w:left w:val="nil"/>
              <w:bottom w:val="nil"/>
              <w:right w:val="nil"/>
            </w:tcBorders>
            <w:shd w:val="clear" w:color="000000" w:fill="FFFF99"/>
            <w:noWrap/>
            <w:vAlign w:val="bottom"/>
            <w:hideMark/>
          </w:tcPr>
          <w:p w14:paraId="00EEA79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538.500,00</w:t>
            </w:r>
          </w:p>
        </w:tc>
        <w:tc>
          <w:tcPr>
            <w:tcW w:w="1559" w:type="dxa"/>
            <w:tcBorders>
              <w:top w:val="nil"/>
              <w:left w:val="nil"/>
              <w:bottom w:val="nil"/>
              <w:right w:val="nil"/>
            </w:tcBorders>
            <w:shd w:val="clear" w:color="000000" w:fill="FFFF99"/>
            <w:noWrap/>
            <w:vAlign w:val="bottom"/>
            <w:hideMark/>
          </w:tcPr>
          <w:p w14:paraId="5E9F604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540.285,00</w:t>
            </w:r>
          </w:p>
        </w:tc>
        <w:tc>
          <w:tcPr>
            <w:tcW w:w="1559" w:type="dxa"/>
            <w:tcBorders>
              <w:top w:val="nil"/>
              <w:left w:val="nil"/>
              <w:bottom w:val="nil"/>
              <w:right w:val="nil"/>
            </w:tcBorders>
            <w:shd w:val="clear" w:color="000000" w:fill="FFFF99"/>
            <w:noWrap/>
            <w:vAlign w:val="bottom"/>
            <w:hideMark/>
          </w:tcPr>
          <w:p w14:paraId="233CA41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535.281,25</w:t>
            </w:r>
          </w:p>
        </w:tc>
        <w:tc>
          <w:tcPr>
            <w:tcW w:w="993" w:type="dxa"/>
            <w:tcBorders>
              <w:top w:val="nil"/>
              <w:left w:val="nil"/>
              <w:bottom w:val="nil"/>
              <w:right w:val="nil"/>
            </w:tcBorders>
            <w:shd w:val="clear" w:color="000000" w:fill="FFFF99"/>
            <w:noWrap/>
            <w:vAlign w:val="bottom"/>
            <w:hideMark/>
          </w:tcPr>
          <w:p w14:paraId="6870AD3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99,07%</w:t>
            </w:r>
          </w:p>
        </w:tc>
      </w:tr>
      <w:tr w:rsidR="006967F8" w:rsidRPr="006967F8" w14:paraId="43D51D1E"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E0A32FD"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2852D75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535.000,00</w:t>
            </w:r>
          </w:p>
        </w:tc>
        <w:tc>
          <w:tcPr>
            <w:tcW w:w="1559" w:type="dxa"/>
            <w:tcBorders>
              <w:top w:val="nil"/>
              <w:left w:val="nil"/>
              <w:bottom w:val="nil"/>
              <w:right w:val="nil"/>
            </w:tcBorders>
            <w:shd w:val="clear" w:color="000000" w:fill="CCCCFF"/>
            <w:noWrap/>
            <w:vAlign w:val="bottom"/>
            <w:hideMark/>
          </w:tcPr>
          <w:p w14:paraId="0D1C371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535.000,00</w:t>
            </w:r>
          </w:p>
        </w:tc>
        <w:tc>
          <w:tcPr>
            <w:tcW w:w="1559" w:type="dxa"/>
            <w:tcBorders>
              <w:top w:val="nil"/>
              <w:left w:val="nil"/>
              <w:bottom w:val="nil"/>
              <w:right w:val="nil"/>
            </w:tcBorders>
            <w:shd w:val="clear" w:color="000000" w:fill="CCCCFF"/>
            <w:noWrap/>
            <w:vAlign w:val="bottom"/>
            <w:hideMark/>
          </w:tcPr>
          <w:p w14:paraId="0E7A4B5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530.000,00</w:t>
            </w:r>
          </w:p>
        </w:tc>
        <w:tc>
          <w:tcPr>
            <w:tcW w:w="993" w:type="dxa"/>
            <w:tcBorders>
              <w:top w:val="nil"/>
              <w:left w:val="nil"/>
              <w:bottom w:val="nil"/>
              <w:right w:val="nil"/>
            </w:tcBorders>
            <w:shd w:val="clear" w:color="000000" w:fill="CCCCFF"/>
            <w:noWrap/>
            <w:vAlign w:val="bottom"/>
            <w:hideMark/>
          </w:tcPr>
          <w:p w14:paraId="04A833B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99,07%</w:t>
            </w:r>
          </w:p>
        </w:tc>
      </w:tr>
      <w:tr w:rsidR="006967F8" w:rsidRPr="006967F8" w14:paraId="3F5B19C0"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1CAEABA"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409BD1D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535.000,00</w:t>
            </w:r>
          </w:p>
        </w:tc>
        <w:tc>
          <w:tcPr>
            <w:tcW w:w="1559" w:type="dxa"/>
            <w:tcBorders>
              <w:top w:val="nil"/>
              <w:left w:val="nil"/>
              <w:bottom w:val="nil"/>
              <w:right w:val="nil"/>
            </w:tcBorders>
            <w:shd w:val="clear" w:color="000000" w:fill="CCCCFF"/>
            <w:noWrap/>
            <w:vAlign w:val="bottom"/>
            <w:hideMark/>
          </w:tcPr>
          <w:p w14:paraId="34CCF62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535.000,00</w:t>
            </w:r>
          </w:p>
        </w:tc>
        <w:tc>
          <w:tcPr>
            <w:tcW w:w="1559" w:type="dxa"/>
            <w:tcBorders>
              <w:top w:val="nil"/>
              <w:left w:val="nil"/>
              <w:bottom w:val="nil"/>
              <w:right w:val="nil"/>
            </w:tcBorders>
            <w:shd w:val="clear" w:color="000000" w:fill="CCCCFF"/>
            <w:noWrap/>
            <w:vAlign w:val="bottom"/>
            <w:hideMark/>
          </w:tcPr>
          <w:p w14:paraId="360BE4A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530.000,00</w:t>
            </w:r>
          </w:p>
        </w:tc>
        <w:tc>
          <w:tcPr>
            <w:tcW w:w="993" w:type="dxa"/>
            <w:tcBorders>
              <w:top w:val="nil"/>
              <w:left w:val="nil"/>
              <w:bottom w:val="nil"/>
              <w:right w:val="nil"/>
            </w:tcBorders>
            <w:shd w:val="clear" w:color="000000" w:fill="CCCCFF"/>
            <w:noWrap/>
            <w:vAlign w:val="bottom"/>
            <w:hideMark/>
          </w:tcPr>
          <w:p w14:paraId="014E994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99,07%</w:t>
            </w:r>
          </w:p>
        </w:tc>
      </w:tr>
      <w:tr w:rsidR="006967F8" w:rsidRPr="006967F8" w14:paraId="0A17DB14" w14:textId="77777777" w:rsidTr="008A61B1">
        <w:trPr>
          <w:trHeight w:val="255"/>
        </w:trPr>
        <w:tc>
          <w:tcPr>
            <w:tcW w:w="1134" w:type="dxa"/>
            <w:tcBorders>
              <w:top w:val="nil"/>
              <w:left w:val="nil"/>
              <w:bottom w:val="nil"/>
              <w:right w:val="nil"/>
            </w:tcBorders>
            <w:noWrap/>
            <w:vAlign w:val="bottom"/>
            <w:hideMark/>
          </w:tcPr>
          <w:p w14:paraId="24F7B63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4E171F2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6812B83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5.000,00</w:t>
            </w:r>
          </w:p>
        </w:tc>
        <w:tc>
          <w:tcPr>
            <w:tcW w:w="1559" w:type="dxa"/>
            <w:tcBorders>
              <w:top w:val="nil"/>
              <w:left w:val="nil"/>
              <w:bottom w:val="nil"/>
              <w:right w:val="nil"/>
            </w:tcBorders>
            <w:noWrap/>
            <w:vAlign w:val="bottom"/>
            <w:hideMark/>
          </w:tcPr>
          <w:p w14:paraId="3132E84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5.000,00</w:t>
            </w:r>
          </w:p>
        </w:tc>
        <w:tc>
          <w:tcPr>
            <w:tcW w:w="1559" w:type="dxa"/>
            <w:tcBorders>
              <w:top w:val="nil"/>
              <w:left w:val="nil"/>
              <w:bottom w:val="nil"/>
              <w:right w:val="nil"/>
            </w:tcBorders>
            <w:noWrap/>
            <w:vAlign w:val="bottom"/>
            <w:hideMark/>
          </w:tcPr>
          <w:p w14:paraId="0905F01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43D9803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388FE656" w14:textId="77777777" w:rsidTr="008A61B1">
        <w:trPr>
          <w:trHeight w:val="585"/>
        </w:trPr>
        <w:tc>
          <w:tcPr>
            <w:tcW w:w="1134" w:type="dxa"/>
            <w:tcBorders>
              <w:top w:val="nil"/>
              <w:left w:val="nil"/>
              <w:bottom w:val="nil"/>
              <w:right w:val="nil"/>
            </w:tcBorders>
            <w:noWrap/>
            <w:vAlign w:val="bottom"/>
            <w:hideMark/>
          </w:tcPr>
          <w:p w14:paraId="503C4AB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38</w:t>
            </w:r>
          </w:p>
        </w:tc>
        <w:tc>
          <w:tcPr>
            <w:tcW w:w="4962" w:type="dxa"/>
            <w:tcBorders>
              <w:top w:val="nil"/>
              <w:left w:val="nil"/>
              <w:bottom w:val="nil"/>
              <w:right w:val="nil"/>
            </w:tcBorders>
            <w:vAlign w:val="bottom"/>
            <w:hideMark/>
          </w:tcPr>
          <w:p w14:paraId="340BD82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donacije, kazne, naknade šteta i kapitalne pomoći</w:t>
            </w:r>
          </w:p>
        </w:tc>
        <w:tc>
          <w:tcPr>
            <w:tcW w:w="1559" w:type="dxa"/>
            <w:tcBorders>
              <w:top w:val="nil"/>
              <w:left w:val="nil"/>
              <w:bottom w:val="nil"/>
              <w:right w:val="nil"/>
            </w:tcBorders>
            <w:noWrap/>
            <w:vAlign w:val="bottom"/>
            <w:hideMark/>
          </w:tcPr>
          <w:p w14:paraId="457113E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530.000,00</w:t>
            </w:r>
          </w:p>
        </w:tc>
        <w:tc>
          <w:tcPr>
            <w:tcW w:w="1559" w:type="dxa"/>
            <w:tcBorders>
              <w:top w:val="nil"/>
              <w:left w:val="nil"/>
              <w:bottom w:val="nil"/>
              <w:right w:val="nil"/>
            </w:tcBorders>
            <w:noWrap/>
            <w:vAlign w:val="bottom"/>
            <w:hideMark/>
          </w:tcPr>
          <w:p w14:paraId="1E168CA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530.000,00</w:t>
            </w:r>
          </w:p>
        </w:tc>
        <w:tc>
          <w:tcPr>
            <w:tcW w:w="1559" w:type="dxa"/>
            <w:tcBorders>
              <w:top w:val="nil"/>
              <w:left w:val="nil"/>
              <w:bottom w:val="nil"/>
              <w:right w:val="nil"/>
            </w:tcBorders>
            <w:noWrap/>
            <w:vAlign w:val="bottom"/>
            <w:hideMark/>
          </w:tcPr>
          <w:p w14:paraId="621E611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530.000,00</w:t>
            </w:r>
          </w:p>
        </w:tc>
        <w:tc>
          <w:tcPr>
            <w:tcW w:w="993" w:type="dxa"/>
            <w:tcBorders>
              <w:top w:val="nil"/>
              <w:left w:val="nil"/>
              <w:bottom w:val="nil"/>
              <w:right w:val="nil"/>
            </w:tcBorders>
            <w:noWrap/>
            <w:vAlign w:val="bottom"/>
            <w:hideMark/>
          </w:tcPr>
          <w:p w14:paraId="427FB6A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r>
      <w:tr w:rsidR="006967F8" w:rsidRPr="006967F8" w14:paraId="60A91C26" w14:textId="77777777" w:rsidTr="008A61B1">
        <w:trPr>
          <w:trHeight w:val="255"/>
        </w:trPr>
        <w:tc>
          <w:tcPr>
            <w:tcW w:w="1134" w:type="dxa"/>
            <w:tcBorders>
              <w:top w:val="nil"/>
              <w:left w:val="nil"/>
              <w:bottom w:val="nil"/>
              <w:right w:val="nil"/>
            </w:tcBorders>
            <w:noWrap/>
            <w:vAlign w:val="bottom"/>
            <w:hideMark/>
          </w:tcPr>
          <w:p w14:paraId="038442C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3811</w:t>
            </w:r>
          </w:p>
        </w:tc>
        <w:tc>
          <w:tcPr>
            <w:tcW w:w="4962" w:type="dxa"/>
            <w:tcBorders>
              <w:top w:val="nil"/>
              <w:left w:val="nil"/>
              <w:bottom w:val="nil"/>
              <w:right w:val="nil"/>
            </w:tcBorders>
            <w:noWrap/>
            <w:vAlign w:val="bottom"/>
            <w:hideMark/>
          </w:tcPr>
          <w:p w14:paraId="040224A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Tekuće donacije u novcu</w:t>
            </w:r>
          </w:p>
        </w:tc>
        <w:tc>
          <w:tcPr>
            <w:tcW w:w="1559" w:type="dxa"/>
            <w:tcBorders>
              <w:top w:val="nil"/>
              <w:left w:val="nil"/>
              <w:bottom w:val="nil"/>
              <w:right w:val="nil"/>
            </w:tcBorders>
            <w:noWrap/>
            <w:vAlign w:val="bottom"/>
            <w:hideMark/>
          </w:tcPr>
          <w:p w14:paraId="6145177F"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2A35481"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EEDABE2"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530.000,00</w:t>
            </w:r>
          </w:p>
        </w:tc>
        <w:tc>
          <w:tcPr>
            <w:tcW w:w="993" w:type="dxa"/>
            <w:tcBorders>
              <w:top w:val="nil"/>
              <w:left w:val="nil"/>
              <w:bottom w:val="nil"/>
              <w:right w:val="nil"/>
            </w:tcBorders>
            <w:noWrap/>
            <w:vAlign w:val="bottom"/>
            <w:hideMark/>
          </w:tcPr>
          <w:p w14:paraId="3EE7E0D5"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3DE5819"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2A9D6AA"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589D111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3.500,00</w:t>
            </w:r>
          </w:p>
        </w:tc>
        <w:tc>
          <w:tcPr>
            <w:tcW w:w="1559" w:type="dxa"/>
            <w:tcBorders>
              <w:top w:val="nil"/>
              <w:left w:val="nil"/>
              <w:bottom w:val="nil"/>
              <w:right w:val="nil"/>
            </w:tcBorders>
            <w:shd w:val="clear" w:color="000000" w:fill="CCCCFF"/>
            <w:noWrap/>
            <w:vAlign w:val="bottom"/>
            <w:hideMark/>
          </w:tcPr>
          <w:p w14:paraId="1CA4CD2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5.285,00</w:t>
            </w:r>
          </w:p>
        </w:tc>
        <w:tc>
          <w:tcPr>
            <w:tcW w:w="1559" w:type="dxa"/>
            <w:tcBorders>
              <w:top w:val="nil"/>
              <w:left w:val="nil"/>
              <w:bottom w:val="nil"/>
              <w:right w:val="nil"/>
            </w:tcBorders>
            <w:shd w:val="clear" w:color="000000" w:fill="CCCCFF"/>
            <w:noWrap/>
            <w:vAlign w:val="bottom"/>
            <w:hideMark/>
          </w:tcPr>
          <w:p w14:paraId="795F6DC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5.281,25</w:t>
            </w:r>
          </w:p>
        </w:tc>
        <w:tc>
          <w:tcPr>
            <w:tcW w:w="993" w:type="dxa"/>
            <w:tcBorders>
              <w:top w:val="nil"/>
              <w:left w:val="nil"/>
              <w:bottom w:val="nil"/>
              <w:right w:val="nil"/>
            </w:tcBorders>
            <w:shd w:val="clear" w:color="000000" w:fill="CCCCFF"/>
            <w:noWrap/>
            <w:vAlign w:val="bottom"/>
            <w:hideMark/>
          </w:tcPr>
          <w:p w14:paraId="5D02EA2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99,93%</w:t>
            </w:r>
          </w:p>
        </w:tc>
      </w:tr>
      <w:tr w:rsidR="006967F8" w:rsidRPr="006967F8" w14:paraId="07490EB5"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3E6A72E"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5.1. Ostale pomoći</w:t>
            </w:r>
          </w:p>
        </w:tc>
        <w:tc>
          <w:tcPr>
            <w:tcW w:w="1559" w:type="dxa"/>
            <w:tcBorders>
              <w:top w:val="nil"/>
              <w:left w:val="nil"/>
              <w:bottom w:val="nil"/>
              <w:right w:val="nil"/>
            </w:tcBorders>
            <w:shd w:val="clear" w:color="000000" w:fill="CCCCFF"/>
            <w:noWrap/>
            <w:vAlign w:val="bottom"/>
            <w:hideMark/>
          </w:tcPr>
          <w:p w14:paraId="12A8390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3.500,00</w:t>
            </w:r>
          </w:p>
        </w:tc>
        <w:tc>
          <w:tcPr>
            <w:tcW w:w="1559" w:type="dxa"/>
            <w:tcBorders>
              <w:top w:val="nil"/>
              <w:left w:val="nil"/>
              <w:bottom w:val="nil"/>
              <w:right w:val="nil"/>
            </w:tcBorders>
            <w:shd w:val="clear" w:color="000000" w:fill="CCCCFF"/>
            <w:noWrap/>
            <w:vAlign w:val="bottom"/>
            <w:hideMark/>
          </w:tcPr>
          <w:p w14:paraId="5A9F6BB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5.285,00</w:t>
            </w:r>
          </w:p>
        </w:tc>
        <w:tc>
          <w:tcPr>
            <w:tcW w:w="1559" w:type="dxa"/>
            <w:tcBorders>
              <w:top w:val="nil"/>
              <w:left w:val="nil"/>
              <w:bottom w:val="nil"/>
              <w:right w:val="nil"/>
            </w:tcBorders>
            <w:shd w:val="clear" w:color="000000" w:fill="CCCCFF"/>
            <w:noWrap/>
            <w:vAlign w:val="bottom"/>
            <w:hideMark/>
          </w:tcPr>
          <w:p w14:paraId="30F37C6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5.281,25</w:t>
            </w:r>
          </w:p>
        </w:tc>
        <w:tc>
          <w:tcPr>
            <w:tcW w:w="993" w:type="dxa"/>
            <w:tcBorders>
              <w:top w:val="nil"/>
              <w:left w:val="nil"/>
              <w:bottom w:val="nil"/>
              <w:right w:val="nil"/>
            </w:tcBorders>
            <w:shd w:val="clear" w:color="000000" w:fill="CCCCFF"/>
            <w:noWrap/>
            <w:vAlign w:val="bottom"/>
            <w:hideMark/>
          </w:tcPr>
          <w:p w14:paraId="07F96FF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99,93%</w:t>
            </w:r>
          </w:p>
        </w:tc>
      </w:tr>
      <w:tr w:rsidR="006967F8" w:rsidRPr="006967F8" w14:paraId="2C40E624" w14:textId="77777777" w:rsidTr="008A61B1">
        <w:trPr>
          <w:trHeight w:val="255"/>
        </w:trPr>
        <w:tc>
          <w:tcPr>
            <w:tcW w:w="1134" w:type="dxa"/>
            <w:tcBorders>
              <w:top w:val="nil"/>
              <w:left w:val="nil"/>
              <w:bottom w:val="nil"/>
              <w:right w:val="nil"/>
            </w:tcBorders>
            <w:noWrap/>
            <w:vAlign w:val="bottom"/>
            <w:hideMark/>
          </w:tcPr>
          <w:p w14:paraId="18C5DD2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79C282E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3625A2C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3.500,00</w:t>
            </w:r>
          </w:p>
        </w:tc>
        <w:tc>
          <w:tcPr>
            <w:tcW w:w="1559" w:type="dxa"/>
            <w:tcBorders>
              <w:top w:val="nil"/>
              <w:left w:val="nil"/>
              <w:bottom w:val="nil"/>
              <w:right w:val="nil"/>
            </w:tcBorders>
            <w:noWrap/>
            <w:vAlign w:val="bottom"/>
            <w:hideMark/>
          </w:tcPr>
          <w:p w14:paraId="5CE3711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5.285,00</w:t>
            </w:r>
          </w:p>
        </w:tc>
        <w:tc>
          <w:tcPr>
            <w:tcW w:w="1559" w:type="dxa"/>
            <w:tcBorders>
              <w:top w:val="nil"/>
              <w:left w:val="nil"/>
              <w:bottom w:val="nil"/>
              <w:right w:val="nil"/>
            </w:tcBorders>
            <w:noWrap/>
            <w:vAlign w:val="bottom"/>
            <w:hideMark/>
          </w:tcPr>
          <w:p w14:paraId="1C77027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5.281,25</w:t>
            </w:r>
          </w:p>
        </w:tc>
        <w:tc>
          <w:tcPr>
            <w:tcW w:w="993" w:type="dxa"/>
            <w:tcBorders>
              <w:top w:val="nil"/>
              <w:left w:val="nil"/>
              <w:bottom w:val="nil"/>
              <w:right w:val="nil"/>
            </w:tcBorders>
            <w:noWrap/>
            <w:vAlign w:val="bottom"/>
            <w:hideMark/>
          </w:tcPr>
          <w:p w14:paraId="1CA620B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99,93%</w:t>
            </w:r>
          </w:p>
        </w:tc>
      </w:tr>
      <w:tr w:rsidR="006967F8" w:rsidRPr="006967F8" w14:paraId="2210E80B" w14:textId="77777777" w:rsidTr="008A61B1">
        <w:trPr>
          <w:trHeight w:val="255"/>
        </w:trPr>
        <w:tc>
          <w:tcPr>
            <w:tcW w:w="1134" w:type="dxa"/>
            <w:tcBorders>
              <w:top w:val="nil"/>
              <w:left w:val="nil"/>
              <w:bottom w:val="nil"/>
              <w:right w:val="nil"/>
            </w:tcBorders>
            <w:noWrap/>
            <w:vAlign w:val="bottom"/>
            <w:hideMark/>
          </w:tcPr>
          <w:p w14:paraId="50C9C3A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lastRenderedPageBreak/>
              <w:t>3239</w:t>
            </w:r>
          </w:p>
        </w:tc>
        <w:tc>
          <w:tcPr>
            <w:tcW w:w="4962" w:type="dxa"/>
            <w:tcBorders>
              <w:top w:val="nil"/>
              <w:left w:val="nil"/>
              <w:bottom w:val="nil"/>
              <w:right w:val="nil"/>
            </w:tcBorders>
            <w:noWrap/>
            <w:vAlign w:val="bottom"/>
            <w:hideMark/>
          </w:tcPr>
          <w:p w14:paraId="6762B51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Ostale usluge</w:t>
            </w:r>
          </w:p>
        </w:tc>
        <w:tc>
          <w:tcPr>
            <w:tcW w:w="1559" w:type="dxa"/>
            <w:tcBorders>
              <w:top w:val="nil"/>
              <w:left w:val="nil"/>
              <w:bottom w:val="nil"/>
              <w:right w:val="nil"/>
            </w:tcBorders>
            <w:noWrap/>
            <w:vAlign w:val="bottom"/>
            <w:hideMark/>
          </w:tcPr>
          <w:p w14:paraId="50C9A5F1"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2EFFB0C"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B7ED5CD"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5.281,25</w:t>
            </w:r>
          </w:p>
        </w:tc>
        <w:tc>
          <w:tcPr>
            <w:tcW w:w="993" w:type="dxa"/>
            <w:tcBorders>
              <w:top w:val="nil"/>
              <w:left w:val="nil"/>
              <w:bottom w:val="nil"/>
              <w:right w:val="nil"/>
            </w:tcBorders>
            <w:noWrap/>
            <w:vAlign w:val="bottom"/>
            <w:hideMark/>
          </w:tcPr>
          <w:p w14:paraId="3BDCD62A"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EA06015" w14:textId="77777777" w:rsidTr="008A61B1">
        <w:trPr>
          <w:trHeight w:val="255"/>
        </w:trPr>
        <w:tc>
          <w:tcPr>
            <w:tcW w:w="6096" w:type="dxa"/>
            <w:gridSpan w:val="2"/>
            <w:tcBorders>
              <w:top w:val="nil"/>
              <w:left w:val="nil"/>
              <w:bottom w:val="nil"/>
              <w:right w:val="nil"/>
            </w:tcBorders>
            <w:shd w:val="clear" w:color="000000" w:fill="FF9900"/>
            <w:noWrap/>
            <w:vAlign w:val="bottom"/>
            <w:hideMark/>
          </w:tcPr>
          <w:p w14:paraId="7DA2BF3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1205 Program: SOCIJALNA SKRB</w:t>
            </w:r>
          </w:p>
        </w:tc>
        <w:tc>
          <w:tcPr>
            <w:tcW w:w="1559" w:type="dxa"/>
            <w:tcBorders>
              <w:top w:val="nil"/>
              <w:left w:val="nil"/>
              <w:bottom w:val="nil"/>
              <w:right w:val="nil"/>
            </w:tcBorders>
            <w:shd w:val="clear" w:color="000000" w:fill="FF9900"/>
            <w:noWrap/>
            <w:vAlign w:val="bottom"/>
            <w:hideMark/>
          </w:tcPr>
          <w:p w14:paraId="678E9D4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593.300,00</w:t>
            </w:r>
          </w:p>
        </w:tc>
        <w:tc>
          <w:tcPr>
            <w:tcW w:w="1559" w:type="dxa"/>
            <w:tcBorders>
              <w:top w:val="nil"/>
              <w:left w:val="nil"/>
              <w:bottom w:val="nil"/>
              <w:right w:val="nil"/>
            </w:tcBorders>
            <w:shd w:val="clear" w:color="000000" w:fill="FF9900"/>
            <w:noWrap/>
            <w:vAlign w:val="bottom"/>
            <w:hideMark/>
          </w:tcPr>
          <w:p w14:paraId="6534E08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593.300,00</w:t>
            </w:r>
          </w:p>
        </w:tc>
        <w:tc>
          <w:tcPr>
            <w:tcW w:w="1559" w:type="dxa"/>
            <w:tcBorders>
              <w:top w:val="nil"/>
              <w:left w:val="nil"/>
              <w:bottom w:val="nil"/>
              <w:right w:val="nil"/>
            </w:tcBorders>
            <w:shd w:val="clear" w:color="000000" w:fill="FF9900"/>
            <w:noWrap/>
            <w:vAlign w:val="bottom"/>
            <w:hideMark/>
          </w:tcPr>
          <w:p w14:paraId="38972B5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537.077,35</w:t>
            </w:r>
          </w:p>
        </w:tc>
        <w:tc>
          <w:tcPr>
            <w:tcW w:w="993" w:type="dxa"/>
            <w:tcBorders>
              <w:top w:val="nil"/>
              <w:left w:val="nil"/>
              <w:bottom w:val="nil"/>
              <w:right w:val="nil"/>
            </w:tcBorders>
            <w:shd w:val="clear" w:color="000000" w:fill="FF9900"/>
            <w:noWrap/>
            <w:vAlign w:val="bottom"/>
            <w:hideMark/>
          </w:tcPr>
          <w:p w14:paraId="1A6638D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90,52%</w:t>
            </w:r>
          </w:p>
        </w:tc>
      </w:tr>
      <w:tr w:rsidR="006967F8" w:rsidRPr="006967F8" w14:paraId="39DE6086" w14:textId="77777777" w:rsidTr="008A61B1">
        <w:trPr>
          <w:trHeight w:val="570"/>
        </w:trPr>
        <w:tc>
          <w:tcPr>
            <w:tcW w:w="1134" w:type="dxa"/>
            <w:tcBorders>
              <w:top w:val="nil"/>
              <w:left w:val="nil"/>
              <w:bottom w:val="nil"/>
              <w:right w:val="nil"/>
            </w:tcBorders>
            <w:shd w:val="clear" w:color="000000" w:fill="FFFF99"/>
            <w:vAlign w:val="bottom"/>
            <w:hideMark/>
          </w:tcPr>
          <w:p w14:paraId="4992F1C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A100011</w:t>
            </w:r>
          </w:p>
        </w:tc>
        <w:tc>
          <w:tcPr>
            <w:tcW w:w="4962" w:type="dxa"/>
            <w:tcBorders>
              <w:top w:val="nil"/>
              <w:left w:val="nil"/>
              <w:bottom w:val="nil"/>
              <w:right w:val="nil"/>
            </w:tcBorders>
            <w:shd w:val="clear" w:color="000000" w:fill="FFFF99"/>
            <w:vAlign w:val="bottom"/>
            <w:hideMark/>
          </w:tcPr>
          <w:p w14:paraId="255130B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Aktivnost: NAKNADE GRAĐANIMA I KUĆANSTVIMA IZ PRORAČUNA</w:t>
            </w:r>
          </w:p>
        </w:tc>
        <w:tc>
          <w:tcPr>
            <w:tcW w:w="1559" w:type="dxa"/>
            <w:tcBorders>
              <w:top w:val="nil"/>
              <w:left w:val="nil"/>
              <w:bottom w:val="nil"/>
              <w:right w:val="nil"/>
            </w:tcBorders>
            <w:shd w:val="clear" w:color="000000" w:fill="FFFF99"/>
            <w:noWrap/>
            <w:vAlign w:val="bottom"/>
            <w:hideMark/>
          </w:tcPr>
          <w:p w14:paraId="36C6876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451.000,00</w:t>
            </w:r>
          </w:p>
        </w:tc>
        <w:tc>
          <w:tcPr>
            <w:tcW w:w="1559" w:type="dxa"/>
            <w:tcBorders>
              <w:top w:val="nil"/>
              <w:left w:val="nil"/>
              <w:bottom w:val="nil"/>
              <w:right w:val="nil"/>
            </w:tcBorders>
            <w:shd w:val="clear" w:color="000000" w:fill="FFFF99"/>
            <w:noWrap/>
            <w:vAlign w:val="bottom"/>
            <w:hideMark/>
          </w:tcPr>
          <w:p w14:paraId="7945CA6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451.000,00</w:t>
            </w:r>
          </w:p>
        </w:tc>
        <w:tc>
          <w:tcPr>
            <w:tcW w:w="1559" w:type="dxa"/>
            <w:tcBorders>
              <w:top w:val="nil"/>
              <w:left w:val="nil"/>
              <w:bottom w:val="nil"/>
              <w:right w:val="nil"/>
            </w:tcBorders>
            <w:shd w:val="clear" w:color="000000" w:fill="FFFF99"/>
            <w:noWrap/>
            <w:vAlign w:val="bottom"/>
            <w:hideMark/>
          </w:tcPr>
          <w:p w14:paraId="05734DB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403.302,96</w:t>
            </w:r>
          </w:p>
        </w:tc>
        <w:tc>
          <w:tcPr>
            <w:tcW w:w="993" w:type="dxa"/>
            <w:tcBorders>
              <w:top w:val="nil"/>
              <w:left w:val="nil"/>
              <w:bottom w:val="nil"/>
              <w:right w:val="nil"/>
            </w:tcBorders>
            <w:shd w:val="clear" w:color="000000" w:fill="FFFF99"/>
            <w:noWrap/>
            <w:vAlign w:val="bottom"/>
            <w:hideMark/>
          </w:tcPr>
          <w:p w14:paraId="3378BC5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89,42%</w:t>
            </w:r>
          </w:p>
        </w:tc>
      </w:tr>
      <w:tr w:rsidR="006967F8" w:rsidRPr="006967F8" w14:paraId="4169AF4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329C561"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1485E5C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451.000,00</w:t>
            </w:r>
          </w:p>
        </w:tc>
        <w:tc>
          <w:tcPr>
            <w:tcW w:w="1559" w:type="dxa"/>
            <w:tcBorders>
              <w:top w:val="nil"/>
              <w:left w:val="nil"/>
              <w:bottom w:val="nil"/>
              <w:right w:val="nil"/>
            </w:tcBorders>
            <w:shd w:val="clear" w:color="000000" w:fill="CCCCFF"/>
            <w:noWrap/>
            <w:vAlign w:val="bottom"/>
            <w:hideMark/>
          </w:tcPr>
          <w:p w14:paraId="6FCC6DA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451.000,00</w:t>
            </w:r>
          </w:p>
        </w:tc>
        <w:tc>
          <w:tcPr>
            <w:tcW w:w="1559" w:type="dxa"/>
            <w:tcBorders>
              <w:top w:val="nil"/>
              <w:left w:val="nil"/>
              <w:bottom w:val="nil"/>
              <w:right w:val="nil"/>
            </w:tcBorders>
            <w:shd w:val="clear" w:color="000000" w:fill="CCCCFF"/>
            <w:noWrap/>
            <w:vAlign w:val="bottom"/>
            <w:hideMark/>
          </w:tcPr>
          <w:p w14:paraId="1096F37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403.302,96</w:t>
            </w:r>
          </w:p>
        </w:tc>
        <w:tc>
          <w:tcPr>
            <w:tcW w:w="993" w:type="dxa"/>
            <w:tcBorders>
              <w:top w:val="nil"/>
              <w:left w:val="nil"/>
              <w:bottom w:val="nil"/>
              <w:right w:val="nil"/>
            </w:tcBorders>
            <w:shd w:val="clear" w:color="000000" w:fill="CCCCFF"/>
            <w:noWrap/>
            <w:vAlign w:val="bottom"/>
            <w:hideMark/>
          </w:tcPr>
          <w:p w14:paraId="0A06C96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89,42%</w:t>
            </w:r>
          </w:p>
        </w:tc>
      </w:tr>
      <w:tr w:rsidR="006967F8" w:rsidRPr="006967F8" w14:paraId="6B39BE9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E76842D"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73B9611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451.000,00</w:t>
            </w:r>
          </w:p>
        </w:tc>
        <w:tc>
          <w:tcPr>
            <w:tcW w:w="1559" w:type="dxa"/>
            <w:tcBorders>
              <w:top w:val="nil"/>
              <w:left w:val="nil"/>
              <w:bottom w:val="nil"/>
              <w:right w:val="nil"/>
            </w:tcBorders>
            <w:shd w:val="clear" w:color="000000" w:fill="CCCCFF"/>
            <w:noWrap/>
            <w:vAlign w:val="bottom"/>
            <w:hideMark/>
          </w:tcPr>
          <w:p w14:paraId="29CF097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451.000,00</w:t>
            </w:r>
          </w:p>
        </w:tc>
        <w:tc>
          <w:tcPr>
            <w:tcW w:w="1559" w:type="dxa"/>
            <w:tcBorders>
              <w:top w:val="nil"/>
              <w:left w:val="nil"/>
              <w:bottom w:val="nil"/>
              <w:right w:val="nil"/>
            </w:tcBorders>
            <w:shd w:val="clear" w:color="000000" w:fill="CCCCFF"/>
            <w:noWrap/>
            <w:vAlign w:val="bottom"/>
            <w:hideMark/>
          </w:tcPr>
          <w:p w14:paraId="06AB378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403.302,96</w:t>
            </w:r>
          </w:p>
        </w:tc>
        <w:tc>
          <w:tcPr>
            <w:tcW w:w="993" w:type="dxa"/>
            <w:tcBorders>
              <w:top w:val="nil"/>
              <w:left w:val="nil"/>
              <w:bottom w:val="nil"/>
              <w:right w:val="nil"/>
            </w:tcBorders>
            <w:shd w:val="clear" w:color="000000" w:fill="CCCCFF"/>
            <w:noWrap/>
            <w:vAlign w:val="bottom"/>
            <w:hideMark/>
          </w:tcPr>
          <w:p w14:paraId="717D33D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89,42%</w:t>
            </w:r>
          </w:p>
        </w:tc>
      </w:tr>
      <w:tr w:rsidR="006967F8" w:rsidRPr="006967F8" w14:paraId="52B71EA6" w14:textId="77777777" w:rsidTr="008A61B1">
        <w:trPr>
          <w:trHeight w:val="510"/>
        </w:trPr>
        <w:tc>
          <w:tcPr>
            <w:tcW w:w="1134" w:type="dxa"/>
            <w:tcBorders>
              <w:top w:val="nil"/>
              <w:left w:val="nil"/>
              <w:bottom w:val="nil"/>
              <w:right w:val="nil"/>
            </w:tcBorders>
            <w:noWrap/>
            <w:vAlign w:val="bottom"/>
            <w:hideMark/>
          </w:tcPr>
          <w:p w14:paraId="2152068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37</w:t>
            </w:r>
          </w:p>
        </w:tc>
        <w:tc>
          <w:tcPr>
            <w:tcW w:w="4962" w:type="dxa"/>
            <w:tcBorders>
              <w:top w:val="nil"/>
              <w:left w:val="nil"/>
              <w:bottom w:val="nil"/>
              <w:right w:val="nil"/>
            </w:tcBorders>
            <w:vAlign w:val="bottom"/>
            <w:hideMark/>
          </w:tcPr>
          <w:p w14:paraId="62D0D76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Naknade građanima i kućanstvima na temelju osiguranja i druge naknade</w:t>
            </w:r>
          </w:p>
        </w:tc>
        <w:tc>
          <w:tcPr>
            <w:tcW w:w="1559" w:type="dxa"/>
            <w:tcBorders>
              <w:top w:val="nil"/>
              <w:left w:val="nil"/>
              <w:bottom w:val="nil"/>
              <w:right w:val="nil"/>
            </w:tcBorders>
            <w:noWrap/>
            <w:vAlign w:val="bottom"/>
            <w:hideMark/>
          </w:tcPr>
          <w:p w14:paraId="00E5A33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451.000,00</w:t>
            </w:r>
          </w:p>
        </w:tc>
        <w:tc>
          <w:tcPr>
            <w:tcW w:w="1559" w:type="dxa"/>
            <w:tcBorders>
              <w:top w:val="nil"/>
              <w:left w:val="nil"/>
              <w:bottom w:val="nil"/>
              <w:right w:val="nil"/>
            </w:tcBorders>
            <w:noWrap/>
            <w:vAlign w:val="bottom"/>
            <w:hideMark/>
          </w:tcPr>
          <w:p w14:paraId="04B3C31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451.000,00</w:t>
            </w:r>
          </w:p>
        </w:tc>
        <w:tc>
          <w:tcPr>
            <w:tcW w:w="1559" w:type="dxa"/>
            <w:tcBorders>
              <w:top w:val="nil"/>
              <w:left w:val="nil"/>
              <w:bottom w:val="nil"/>
              <w:right w:val="nil"/>
            </w:tcBorders>
            <w:noWrap/>
            <w:vAlign w:val="bottom"/>
            <w:hideMark/>
          </w:tcPr>
          <w:p w14:paraId="7F50D73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403.302,96</w:t>
            </w:r>
          </w:p>
        </w:tc>
        <w:tc>
          <w:tcPr>
            <w:tcW w:w="993" w:type="dxa"/>
            <w:tcBorders>
              <w:top w:val="nil"/>
              <w:left w:val="nil"/>
              <w:bottom w:val="nil"/>
              <w:right w:val="nil"/>
            </w:tcBorders>
            <w:noWrap/>
            <w:vAlign w:val="bottom"/>
            <w:hideMark/>
          </w:tcPr>
          <w:p w14:paraId="5B5E7B9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89,42%</w:t>
            </w:r>
          </w:p>
        </w:tc>
      </w:tr>
      <w:tr w:rsidR="006967F8" w:rsidRPr="006967F8" w14:paraId="54AE1D11" w14:textId="77777777" w:rsidTr="008A61B1">
        <w:trPr>
          <w:trHeight w:val="255"/>
        </w:trPr>
        <w:tc>
          <w:tcPr>
            <w:tcW w:w="1134" w:type="dxa"/>
            <w:tcBorders>
              <w:top w:val="nil"/>
              <w:left w:val="nil"/>
              <w:bottom w:val="nil"/>
              <w:right w:val="nil"/>
            </w:tcBorders>
            <w:noWrap/>
            <w:vAlign w:val="bottom"/>
            <w:hideMark/>
          </w:tcPr>
          <w:p w14:paraId="561FB04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3721</w:t>
            </w:r>
          </w:p>
        </w:tc>
        <w:tc>
          <w:tcPr>
            <w:tcW w:w="4962" w:type="dxa"/>
            <w:tcBorders>
              <w:top w:val="nil"/>
              <w:left w:val="nil"/>
              <w:bottom w:val="nil"/>
              <w:right w:val="nil"/>
            </w:tcBorders>
            <w:noWrap/>
            <w:vAlign w:val="bottom"/>
            <w:hideMark/>
          </w:tcPr>
          <w:p w14:paraId="18B9815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Naknade građanima i kućanstvima u novcu</w:t>
            </w:r>
          </w:p>
        </w:tc>
        <w:tc>
          <w:tcPr>
            <w:tcW w:w="1559" w:type="dxa"/>
            <w:tcBorders>
              <w:top w:val="nil"/>
              <w:left w:val="nil"/>
              <w:bottom w:val="nil"/>
              <w:right w:val="nil"/>
            </w:tcBorders>
            <w:noWrap/>
            <w:vAlign w:val="bottom"/>
            <w:hideMark/>
          </w:tcPr>
          <w:p w14:paraId="1FA2896B"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97E9FEB"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9C9D03D"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403.302,96</w:t>
            </w:r>
          </w:p>
        </w:tc>
        <w:tc>
          <w:tcPr>
            <w:tcW w:w="993" w:type="dxa"/>
            <w:tcBorders>
              <w:top w:val="nil"/>
              <w:left w:val="nil"/>
              <w:bottom w:val="nil"/>
              <w:right w:val="nil"/>
            </w:tcBorders>
            <w:noWrap/>
            <w:vAlign w:val="bottom"/>
            <w:hideMark/>
          </w:tcPr>
          <w:p w14:paraId="5E469424"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BFBADD8" w14:textId="77777777" w:rsidTr="008A61B1">
        <w:trPr>
          <w:trHeight w:val="750"/>
        </w:trPr>
        <w:tc>
          <w:tcPr>
            <w:tcW w:w="1134" w:type="dxa"/>
            <w:tcBorders>
              <w:top w:val="nil"/>
              <w:left w:val="nil"/>
              <w:bottom w:val="nil"/>
              <w:right w:val="nil"/>
            </w:tcBorders>
            <w:shd w:val="clear" w:color="000000" w:fill="FFFF99"/>
            <w:vAlign w:val="bottom"/>
            <w:hideMark/>
          </w:tcPr>
          <w:p w14:paraId="369DF5E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A100012</w:t>
            </w:r>
          </w:p>
        </w:tc>
        <w:tc>
          <w:tcPr>
            <w:tcW w:w="4962" w:type="dxa"/>
            <w:tcBorders>
              <w:top w:val="nil"/>
              <w:left w:val="nil"/>
              <w:bottom w:val="nil"/>
              <w:right w:val="nil"/>
            </w:tcBorders>
            <w:shd w:val="clear" w:color="000000" w:fill="FFFF99"/>
            <w:vAlign w:val="bottom"/>
            <w:hideMark/>
          </w:tcPr>
          <w:p w14:paraId="64EFB23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Aktivnost: HUMANITARNA SKRB ZA USTANOVE, UDRUGE I POJEDINCE</w:t>
            </w:r>
          </w:p>
        </w:tc>
        <w:tc>
          <w:tcPr>
            <w:tcW w:w="1559" w:type="dxa"/>
            <w:tcBorders>
              <w:top w:val="nil"/>
              <w:left w:val="nil"/>
              <w:bottom w:val="nil"/>
              <w:right w:val="nil"/>
            </w:tcBorders>
            <w:shd w:val="clear" w:color="000000" w:fill="FFFF99"/>
            <w:noWrap/>
            <w:vAlign w:val="bottom"/>
            <w:hideMark/>
          </w:tcPr>
          <w:p w14:paraId="5A9538F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142.300,00</w:t>
            </w:r>
          </w:p>
        </w:tc>
        <w:tc>
          <w:tcPr>
            <w:tcW w:w="1559" w:type="dxa"/>
            <w:tcBorders>
              <w:top w:val="nil"/>
              <w:left w:val="nil"/>
              <w:bottom w:val="nil"/>
              <w:right w:val="nil"/>
            </w:tcBorders>
            <w:shd w:val="clear" w:color="000000" w:fill="FFFF99"/>
            <w:noWrap/>
            <w:vAlign w:val="bottom"/>
            <w:hideMark/>
          </w:tcPr>
          <w:p w14:paraId="29B6D95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142.300,00</w:t>
            </w:r>
          </w:p>
        </w:tc>
        <w:tc>
          <w:tcPr>
            <w:tcW w:w="1559" w:type="dxa"/>
            <w:tcBorders>
              <w:top w:val="nil"/>
              <w:left w:val="nil"/>
              <w:bottom w:val="nil"/>
              <w:right w:val="nil"/>
            </w:tcBorders>
            <w:shd w:val="clear" w:color="000000" w:fill="FFFF99"/>
            <w:noWrap/>
            <w:vAlign w:val="bottom"/>
            <w:hideMark/>
          </w:tcPr>
          <w:p w14:paraId="66BC72E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133.774,39</w:t>
            </w:r>
          </w:p>
        </w:tc>
        <w:tc>
          <w:tcPr>
            <w:tcW w:w="993" w:type="dxa"/>
            <w:tcBorders>
              <w:top w:val="nil"/>
              <w:left w:val="nil"/>
              <w:bottom w:val="nil"/>
              <w:right w:val="nil"/>
            </w:tcBorders>
            <w:shd w:val="clear" w:color="000000" w:fill="FFFF99"/>
            <w:noWrap/>
            <w:vAlign w:val="bottom"/>
            <w:hideMark/>
          </w:tcPr>
          <w:p w14:paraId="6691371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94,01%</w:t>
            </w:r>
          </w:p>
        </w:tc>
      </w:tr>
      <w:tr w:rsidR="006967F8" w:rsidRPr="006967F8" w14:paraId="633ECF9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14929A9"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5ED00B5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142.300,00</w:t>
            </w:r>
          </w:p>
        </w:tc>
        <w:tc>
          <w:tcPr>
            <w:tcW w:w="1559" w:type="dxa"/>
            <w:tcBorders>
              <w:top w:val="nil"/>
              <w:left w:val="nil"/>
              <w:bottom w:val="nil"/>
              <w:right w:val="nil"/>
            </w:tcBorders>
            <w:shd w:val="clear" w:color="000000" w:fill="CCCCFF"/>
            <w:noWrap/>
            <w:vAlign w:val="bottom"/>
            <w:hideMark/>
          </w:tcPr>
          <w:p w14:paraId="6E4FE55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142.300,00</w:t>
            </w:r>
          </w:p>
        </w:tc>
        <w:tc>
          <w:tcPr>
            <w:tcW w:w="1559" w:type="dxa"/>
            <w:tcBorders>
              <w:top w:val="nil"/>
              <w:left w:val="nil"/>
              <w:bottom w:val="nil"/>
              <w:right w:val="nil"/>
            </w:tcBorders>
            <w:shd w:val="clear" w:color="000000" w:fill="CCCCFF"/>
            <w:noWrap/>
            <w:vAlign w:val="bottom"/>
            <w:hideMark/>
          </w:tcPr>
          <w:p w14:paraId="0A1F1C0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133.774,39</w:t>
            </w:r>
          </w:p>
        </w:tc>
        <w:tc>
          <w:tcPr>
            <w:tcW w:w="993" w:type="dxa"/>
            <w:tcBorders>
              <w:top w:val="nil"/>
              <w:left w:val="nil"/>
              <w:bottom w:val="nil"/>
              <w:right w:val="nil"/>
            </w:tcBorders>
            <w:shd w:val="clear" w:color="000000" w:fill="CCCCFF"/>
            <w:noWrap/>
            <w:vAlign w:val="bottom"/>
            <w:hideMark/>
          </w:tcPr>
          <w:p w14:paraId="6683A43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94,01%</w:t>
            </w:r>
          </w:p>
        </w:tc>
      </w:tr>
      <w:tr w:rsidR="006967F8" w:rsidRPr="006967F8" w14:paraId="341E0A36"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BAF450C"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0DF8D21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142.300,00</w:t>
            </w:r>
          </w:p>
        </w:tc>
        <w:tc>
          <w:tcPr>
            <w:tcW w:w="1559" w:type="dxa"/>
            <w:tcBorders>
              <w:top w:val="nil"/>
              <w:left w:val="nil"/>
              <w:bottom w:val="nil"/>
              <w:right w:val="nil"/>
            </w:tcBorders>
            <w:shd w:val="clear" w:color="000000" w:fill="CCCCFF"/>
            <w:noWrap/>
            <w:vAlign w:val="bottom"/>
            <w:hideMark/>
          </w:tcPr>
          <w:p w14:paraId="1DA0E2E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142.300,00</w:t>
            </w:r>
          </w:p>
        </w:tc>
        <w:tc>
          <w:tcPr>
            <w:tcW w:w="1559" w:type="dxa"/>
            <w:tcBorders>
              <w:top w:val="nil"/>
              <w:left w:val="nil"/>
              <w:bottom w:val="nil"/>
              <w:right w:val="nil"/>
            </w:tcBorders>
            <w:shd w:val="clear" w:color="000000" w:fill="CCCCFF"/>
            <w:noWrap/>
            <w:vAlign w:val="bottom"/>
            <w:hideMark/>
          </w:tcPr>
          <w:p w14:paraId="402E496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133.774,39</w:t>
            </w:r>
          </w:p>
        </w:tc>
        <w:tc>
          <w:tcPr>
            <w:tcW w:w="993" w:type="dxa"/>
            <w:tcBorders>
              <w:top w:val="nil"/>
              <w:left w:val="nil"/>
              <w:bottom w:val="nil"/>
              <w:right w:val="nil"/>
            </w:tcBorders>
            <w:shd w:val="clear" w:color="000000" w:fill="CCCCFF"/>
            <w:noWrap/>
            <w:vAlign w:val="bottom"/>
            <w:hideMark/>
          </w:tcPr>
          <w:p w14:paraId="4AC2F42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94,01%</w:t>
            </w:r>
          </w:p>
        </w:tc>
      </w:tr>
      <w:tr w:rsidR="006967F8" w:rsidRPr="006967F8" w14:paraId="3868105F" w14:textId="77777777" w:rsidTr="008A61B1">
        <w:trPr>
          <w:trHeight w:val="630"/>
        </w:trPr>
        <w:tc>
          <w:tcPr>
            <w:tcW w:w="1134" w:type="dxa"/>
            <w:tcBorders>
              <w:top w:val="nil"/>
              <w:left w:val="nil"/>
              <w:bottom w:val="nil"/>
              <w:right w:val="nil"/>
            </w:tcBorders>
            <w:noWrap/>
            <w:vAlign w:val="bottom"/>
            <w:hideMark/>
          </w:tcPr>
          <w:p w14:paraId="7F7A855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36</w:t>
            </w:r>
          </w:p>
        </w:tc>
        <w:tc>
          <w:tcPr>
            <w:tcW w:w="4962" w:type="dxa"/>
            <w:tcBorders>
              <w:top w:val="nil"/>
              <w:left w:val="nil"/>
              <w:bottom w:val="nil"/>
              <w:right w:val="nil"/>
            </w:tcBorders>
            <w:vAlign w:val="bottom"/>
            <w:hideMark/>
          </w:tcPr>
          <w:p w14:paraId="1A5B597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Pomoći dane u inozemstvo i unutar općeg proračuna</w:t>
            </w:r>
          </w:p>
        </w:tc>
        <w:tc>
          <w:tcPr>
            <w:tcW w:w="1559" w:type="dxa"/>
            <w:tcBorders>
              <w:top w:val="nil"/>
              <w:left w:val="nil"/>
              <w:bottom w:val="nil"/>
              <w:right w:val="nil"/>
            </w:tcBorders>
            <w:noWrap/>
            <w:vAlign w:val="bottom"/>
            <w:hideMark/>
          </w:tcPr>
          <w:p w14:paraId="3D84F17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w:t>
            </w:r>
          </w:p>
        </w:tc>
        <w:tc>
          <w:tcPr>
            <w:tcW w:w="1559" w:type="dxa"/>
            <w:tcBorders>
              <w:top w:val="nil"/>
              <w:left w:val="nil"/>
              <w:bottom w:val="nil"/>
              <w:right w:val="nil"/>
            </w:tcBorders>
            <w:noWrap/>
            <w:vAlign w:val="bottom"/>
            <w:hideMark/>
          </w:tcPr>
          <w:p w14:paraId="302F5E8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w:t>
            </w:r>
          </w:p>
        </w:tc>
        <w:tc>
          <w:tcPr>
            <w:tcW w:w="1559" w:type="dxa"/>
            <w:tcBorders>
              <w:top w:val="nil"/>
              <w:left w:val="nil"/>
              <w:bottom w:val="nil"/>
              <w:right w:val="nil"/>
            </w:tcBorders>
            <w:noWrap/>
            <w:vAlign w:val="bottom"/>
            <w:hideMark/>
          </w:tcPr>
          <w:p w14:paraId="24496EA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3025E25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144C56F4" w14:textId="77777777" w:rsidTr="008A61B1">
        <w:trPr>
          <w:trHeight w:val="525"/>
        </w:trPr>
        <w:tc>
          <w:tcPr>
            <w:tcW w:w="1134" w:type="dxa"/>
            <w:tcBorders>
              <w:top w:val="nil"/>
              <w:left w:val="nil"/>
              <w:bottom w:val="nil"/>
              <w:right w:val="nil"/>
            </w:tcBorders>
            <w:noWrap/>
            <w:vAlign w:val="bottom"/>
            <w:hideMark/>
          </w:tcPr>
          <w:p w14:paraId="0B48E94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38</w:t>
            </w:r>
          </w:p>
        </w:tc>
        <w:tc>
          <w:tcPr>
            <w:tcW w:w="4962" w:type="dxa"/>
            <w:tcBorders>
              <w:top w:val="nil"/>
              <w:left w:val="nil"/>
              <w:bottom w:val="nil"/>
              <w:right w:val="nil"/>
            </w:tcBorders>
            <w:vAlign w:val="bottom"/>
            <w:hideMark/>
          </w:tcPr>
          <w:p w14:paraId="0729F75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donacije, kazne, naknade šteta i kapitalne pomoći</w:t>
            </w:r>
          </w:p>
        </w:tc>
        <w:tc>
          <w:tcPr>
            <w:tcW w:w="1559" w:type="dxa"/>
            <w:tcBorders>
              <w:top w:val="nil"/>
              <w:left w:val="nil"/>
              <w:bottom w:val="nil"/>
              <w:right w:val="nil"/>
            </w:tcBorders>
            <w:noWrap/>
            <w:vAlign w:val="bottom"/>
            <w:hideMark/>
          </w:tcPr>
          <w:p w14:paraId="7001FD4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140.300,00</w:t>
            </w:r>
          </w:p>
        </w:tc>
        <w:tc>
          <w:tcPr>
            <w:tcW w:w="1559" w:type="dxa"/>
            <w:tcBorders>
              <w:top w:val="nil"/>
              <w:left w:val="nil"/>
              <w:bottom w:val="nil"/>
              <w:right w:val="nil"/>
            </w:tcBorders>
            <w:noWrap/>
            <w:vAlign w:val="bottom"/>
            <w:hideMark/>
          </w:tcPr>
          <w:p w14:paraId="175E434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140.300,00</w:t>
            </w:r>
          </w:p>
        </w:tc>
        <w:tc>
          <w:tcPr>
            <w:tcW w:w="1559" w:type="dxa"/>
            <w:tcBorders>
              <w:top w:val="nil"/>
              <w:left w:val="nil"/>
              <w:bottom w:val="nil"/>
              <w:right w:val="nil"/>
            </w:tcBorders>
            <w:noWrap/>
            <w:vAlign w:val="bottom"/>
            <w:hideMark/>
          </w:tcPr>
          <w:p w14:paraId="164763A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133.774,39</w:t>
            </w:r>
          </w:p>
        </w:tc>
        <w:tc>
          <w:tcPr>
            <w:tcW w:w="993" w:type="dxa"/>
            <w:tcBorders>
              <w:top w:val="nil"/>
              <w:left w:val="nil"/>
              <w:bottom w:val="nil"/>
              <w:right w:val="nil"/>
            </w:tcBorders>
            <w:noWrap/>
            <w:vAlign w:val="bottom"/>
            <w:hideMark/>
          </w:tcPr>
          <w:p w14:paraId="4BC65F8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95,35%</w:t>
            </w:r>
          </w:p>
        </w:tc>
      </w:tr>
      <w:tr w:rsidR="006967F8" w:rsidRPr="006967F8" w14:paraId="176D44C0" w14:textId="77777777" w:rsidTr="008A61B1">
        <w:trPr>
          <w:trHeight w:val="255"/>
        </w:trPr>
        <w:tc>
          <w:tcPr>
            <w:tcW w:w="1134" w:type="dxa"/>
            <w:tcBorders>
              <w:top w:val="nil"/>
              <w:left w:val="nil"/>
              <w:bottom w:val="nil"/>
              <w:right w:val="nil"/>
            </w:tcBorders>
            <w:noWrap/>
            <w:vAlign w:val="bottom"/>
            <w:hideMark/>
          </w:tcPr>
          <w:p w14:paraId="4FB080F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3811</w:t>
            </w:r>
          </w:p>
        </w:tc>
        <w:tc>
          <w:tcPr>
            <w:tcW w:w="4962" w:type="dxa"/>
            <w:tcBorders>
              <w:top w:val="nil"/>
              <w:left w:val="nil"/>
              <w:bottom w:val="nil"/>
              <w:right w:val="nil"/>
            </w:tcBorders>
            <w:noWrap/>
            <w:vAlign w:val="bottom"/>
            <w:hideMark/>
          </w:tcPr>
          <w:p w14:paraId="41516C8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Tekuće donacije u novcu</w:t>
            </w:r>
          </w:p>
        </w:tc>
        <w:tc>
          <w:tcPr>
            <w:tcW w:w="1559" w:type="dxa"/>
            <w:tcBorders>
              <w:top w:val="nil"/>
              <w:left w:val="nil"/>
              <w:bottom w:val="nil"/>
              <w:right w:val="nil"/>
            </w:tcBorders>
            <w:noWrap/>
            <w:vAlign w:val="bottom"/>
            <w:hideMark/>
          </w:tcPr>
          <w:p w14:paraId="6BBCA811"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F888325"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31BFCBA"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130.415,92</w:t>
            </w:r>
          </w:p>
        </w:tc>
        <w:tc>
          <w:tcPr>
            <w:tcW w:w="993" w:type="dxa"/>
            <w:tcBorders>
              <w:top w:val="nil"/>
              <w:left w:val="nil"/>
              <w:bottom w:val="nil"/>
              <w:right w:val="nil"/>
            </w:tcBorders>
            <w:noWrap/>
            <w:vAlign w:val="bottom"/>
            <w:hideMark/>
          </w:tcPr>
          <w:p w14:paraId="13BB670E"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B1B5872" w14:textId="77777777" w:rsidTr="008A61B1">
        <w:trPr>
          <w:trHeight w:val="255"/>
        </w:trPr>
        <w:tc>
          <w:tcPr>
            <w:tcW w:w="1134" w:type="dxa"/>
            <w:tcBorders>
              <w:top w:val="nil"/>
              <w:left w:val="nil"/>
              <w:bottom w:val="nil"/>
              <w:right w:val="nil"/>
            </w:tcBorders>
            <w:noWrap/>
            <w:vAlign w:val="bottom"/>
            <w:hideMark/>
          </w:tcPr>
          <w:p w14:paraId="55F34A3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3822</w:t>
            </w:r>
          </w:p>
        </w:tc>
        <w:tc>
          <w:tcPr>
            <w:tcW w:w="4962" w:type="dxa"/>
            <w:tcBorders>
              <w:top w:val="nil"/>
              <w:left w:val="nil"/>
              <w:bottom w:val="nil"/>
              <w:right w:val="nil"/>
            </w:tcBorders>
            <w:noWrap/>
            <w:vAlign w:val="bottom"/>
            <w:hideMark/>
          </w:tcPr>
          <w:p w14:paraId="717349B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Kapitalne donacije građanima i kućanstvima</w:t>
            </w:r>
          </w:p>
        </w:tc>
        <w:tc>
          <w:tcPr>
            <w:tcW w:w="1559" w:type="dxa"/>
            <w:tcBorders>
              <w:top w:val="nil"/>
              <w:left w:val="nil"/>
              <w:bottom w:val="nil"/>
              <w:right w:val="nil"/>
            </w:tcBorders>
            <w:noWrap/>
            <w:vAlign w:val="bottom"/>
            <w:hideMark/>
          </w:tcPr>
          <w:p w14:paraId="6EDEF519"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A6DAC33"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C7424ED"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3.358,47</w:t>
            </w:r>
          </w:p>
        </w:tc>
        <w:tc>
          <w:tcPr>
            <w:tcW w:w="993" w:type="dxa"/>
            <w:tcBorders>
              <w:top w:val="nil"/>
              <w:left w:val="nil"/>
              <w:bottom w:val="nil"/>
              <w:right w:val="nil"/>
            </w:tcBorders>
            <w:noWrap/>
            <w:vAlign w:val="bottom"/>
            <w:hideMark/>
          </w:tcPr>
          <w:p w14:paraId="6EB97070"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42578B7" w14:textId="77777777" w:rsidTr="008A61B1">
        <w:trPr>
          <w:trHeight w:val="255"/>
        </w:trPr>
        <w:tc>
          <w:tcPr>
            <w:tcW w:w="1134" w:type="dxa"/>
            <w:tcBorders>
              <w:top w:val="nil"/>
              <w:left w:val="nil"/>
              <w:bottom w:val="nil"/>
              <w:right w:val="nil"/>
            </w:tcBorders>
            <w:shd w:val="clear" w:color="000000" w:fill="FF9900"/>
            <w:noWrap/>
            <w:vAlign w:val="bottom"/>
            <w:hideMark/>
          </w:tcPr>
          <w:p w14:paraId="431CECA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1206</w:t>
            </w:r>
          </w:p>
        </w:tc>
        <w:tc>
          <w:tcPr>
            <w:tcW w:w="4962" w:type="dxa"/>
            <w:tcBorders>
              <w:top w:val="nil"/>
              <w:left w:val="nil"/>
              <w:bottom w:val="nil"/>
              <w:right w:val="nil"/>
            </w:tcBorders>
            <w:shd w:val="clear" w:color="000000" w:fill="FF9900"/>
            <w:noWrap/>
            <w:vAlign w:val="bottom"/>
            <w:hideMark/>
          </w:tcPr>
          <w:p w14:paraId="47AF70F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Program: OSTALE DRUŠTVENE DJELATNOSTI</w:t>
            </w:r>
          </w:p>
        </w:tc>
        <w:tc>
          <w:tcPr>
            <w:tcW w:w="1559" w:type="dxa"/>
            <w:tcBorders>
              <w:top w:val="nil"/>
              <w:left w:val="nil"/>
              <w:bottom w:val="nil"/>
              <w:right w:val="nil"/>
            </w:tcBorders>
            <w:shd w:val="clear" w:color="000000" w:fill="FF9900"/>
            <w:noWrap/>
            <w:vAlign w:val="bottom"/>
            <w:hideMark/>
          </w:tcPr>
          <w:p w14:paraId="308DE40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162.100,00</w:t>
            </w:r>
          </w:p>
        </w:tc>
        <w:tc>
          <w:tcPr>
            <w:tcW w:w="1559" w:type="dxa"/>
            <w:tcBorders>
              <w:top w:val="nil"/>
              <w:left w:val="nil"/>
              <w:bottom w:val="nil"/>
              <w:right w:val="nil"/>
            </w:tcBorders>
            <w:shd w:val="clear" w:color="000000" w:fill="FF9900"/>
            <w:noWrap/>
            <w:vAlign w:val="bottom"/>
            <w:hideMark/>
          </w:tcPr>
          <w:p w14:paraId="4E72167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162.100,00</w:t>
            </w:r>
          </w:p>
        </w:tc>
        <w:tc>
          <w:tcPr>
            <w:tcW w:w="1559" w:type="dxa"/>
            <w:tcBorders>
              <w:top w:val="nil"/>
              <w:left w:val="nil"/>
              <w:bottom w:val="nil"/>
              <w:right w:val="nil"/>
            </w:tcBorders>
            <w:shd w:val="clear" w:color="000000" w:fill="FF9900"/>
            <w:noWrap/>
            <w:vAlign w:val="bottom"/>
            <w:hideMark/>
          </w:tcPr>
          <w:p w14:paraId="09D4D45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132.402,16</w:t>
            </w:r>
          </w:p>
        </w:tc>
        <w:tc>
          <w:tcPr>
            <w:tcW w:w="993" w:type="dxa"/>
            <w:tcBorders>
              <w:top w:val="nil"/>
              <w:left w:val="nil"/>
              <w:bottom w:val="nil"/>
              <w:right w:val="nil"/>
            </w:tcBorders>
            <w:shd w:val="clear" w:color="000000" w:fill="FF9900"/>
            <w:noWrap/>
            <w:vAlign w:val="bottom"/>
            <w:hideMark/>
          </w:tcPr>
          <w:p w14:paraId="44E2997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81,68%</w:t>
            </w:r>
          </w:p>
        </w:tc>
      </w:tr>
      <w:tr w:rsidR="006967F8" w:rsidRPr="006967F8" w14:paraId="6D86E6F2" w14:textId="77777777" w:rsidTr="008A61B1">
        <w:trPr>
          <w:trHeight w:val="255"/>
        </w:trPr>
        <w:tc>
          <w:tcPr>
            <w:tcW w:w="1134" w:type="dxa"/>
            <w:tcBorders>
              <w:top w:val="nil"/>
              <w:left w:val="nil"/>
              <w:bottom w:val="nil"/>
              <w:right w:val="nil"/>
            </w:tcBorders>
            <w:shd w:val="clear" w:color="000000" w:fill="FFFF99"/>
            <w:noWrap/>
            <w:vAlign w:val="bottom"/>
            <w:hideMark/>
          </w:tcPr>
          <w:p w14:paraId="6C94D73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A100013</w:t>
            </w:r>
          </w:p>
        </w:tc>
        <w:tc>
          <w:tcPr>
            <w:tcW w:w="4962" w:type="dxa"/>
            <w:tcBorders>
              <w:top w:val="nil"/>
              <w:left w:val="nil"/>
              <w:bottom w:val="nil"/>
              <w:right w:val="nil"/>
            </w:tcBorders>
            <w:shd w:val="clear" w:color="000000" w:fill="FFFF99"/>
            <w:noWrap/>
            <w:vAlign w:val="bottom"/>
            <w:hideMark/>
          </w:tcPr>
          <w:p w14:paraId="2510ADC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Aktivnost: VJERSKE ZAJEDNICE</w:t>
            </w:r>
          </w:p>
        </w:tc>
        <w:tc>
          <w:tcPr>
            <w:tcW w:w="1559" w:type="dxa"/>
            <w:tcBorders>
              <w:top w:val="nil"/>
              <w:left w:val="nil"/>
              <w:bottom w:val="nil"/>
              <w:right w:val="nil"/>
            </w:tcBorders>
            <w:shd w:val="clear" w:color="000000" w:fill="FFFF99"/>
            <w:noWrap/>
            <w:vAlign w:val="bottom"/>
            <w:hideMark/>
          </w:tcPr>
          <w:p w14:paraId="0BE659B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55.000,00</w:t>
            </w:r>
          </w:p>
        </w:tc>
        <w:tc>
          <w:tcPr>
            <w:tcW w:w="1559" w:type="dxa"/>
            <w:tcBorders>
              <w:top w:val="nil"/>
              <w:left w:val="nil"/>
              <w:bottom w:val="nil"/>
              <w:right w:val="nil"/>
            </w:tcBorders>
            <w:shd w:val="clear" w:color="000000" w:fill="FFFF99"/>
            <w:noWrap/>
            <w:vAlign w:val="bottom"/>
            <w:hideMark/>
          </w:tcPr>
          <w:p w14:paraId="1F0CBFD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55.000,00</w:t>
            </w:r>
          </w:p>
        </w:tc>
        <w:tc>
          <w:tcPr>
            <w:tcW w:w="1559" w:type="dxa"/>
            <w:tcBorders>
              <w:top w:val="nil"/>
              <w:left w:val="nil"/>
              <w:bottom w:val="nil"/>
              <w:right w:val="nil"/>
            </w:tcBorders>
            <w:shd w:val="clear" w:color="000000" w:fill="FFFF99"/>
            <w:noWrap/>
            <w:vAlign w:val="bottom"/>
            <w:hideMark/>
          </w:tcPr>
          <w:p w14:paraId="47274B7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50.889,28</w:t>
            </w:r>
          </w:p>
        </w:tc>
        <w:tc>
          <w:tcPr>
            <w:tcW w:w="993" w:type="dxa"/>
            <w:tcBorders>
              <w:top w:val="nil"/>
              <w:left w:val="nil"/>
              <w:bottom w:val="nil"/>
              <w:right w:val="nil"/>
            </w:tcBorders>
            <w:shd w:val="clear" w:color="000000" w:fill="FFFF99"/>
            <w:noWrap/>
            <w:vAlign w:val="bottom"/>
            <w:hideMark/>
          </w:tcPr>
          <w:p w14:paraId="49877B0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92,53%</w:t>
            </w:r>
          </w:p>
        </w:tc>
      </w:tr>
      <w:tr w:rsidR="006967F8" w:rsidRPr="006967F8" w14:paraId="757B4011"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B56CF57"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7C5D3F8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55.000,00</w:t>
            </w:r>
          </w:p>
        </w:tc>
        <w:tc>
          <w:tcPr>
            <w:tcW w:w="1559" w:type="dxa"/>
            <w:tcBorders>
              <w:top w:val="nil"/>
              <w:left w:val="nil"/>
              <w:bottom w:val="nil"/>
              <w:right w:val="nil"/>
            </w:tcBorders>
            <w:shd w:val="clear" w:color="000000" w:fill="CCCCFF"/>
            <w:noWrap/>
            <w:vAlign w:val="bottom"/>
            <w:hideMark/>
          </w:tcPr>
          <w:p w14:paraId="205A1E4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55.000,00</w:t>
            </w:r>
          </w:p>
        </w:tc>
        <w:tc>
          <w:tcPr>
            <w:tcW w:w="1559" w:type="dxa"/>
            <w:tcBorders>
              <w:top w:val="nil"/>
              <w:left w:val="nil"/>
              <w:bottom w:val="nil"/>
              <w:right w:val="nil"/>
            </w:tcBorders>
            <w:shd w:val="clear" w:color="000000" w:fill="CCCCFF"/>
            <w:noWrap/>
            <w:vAlign w:val="bottom"/>
            <w:hideMark/>
          </w:tcPr>
          <w:p w14:paraId="3C48E26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50.889,28</w:t>
            </w:r>
          </w:p>
        </w:tc>
        <w:tc>
          <w:tcPr>
            <w:tcW w:w="993" w:type="dxa"/>
            <w:tcBorders>
              <w:top w:val="nil"/>
              <w:left w:val="nil"/>
              <w:bottom w:val="nil"/>
              <w:right w:val="nil"/>
            </w:tcBorders>
            <w:shd w:val="clear" w:color="000000" w:fill="CCCCFF"/>
            <w:noWrap/>
            <w:vAlign w:val="bottom"/>
            <w:hideMark/>
          </w:tcPr>
          <w:p w14:paraId="5322B4B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92,53%</w:t>
            </w:r>
          </w:p>
        </w:tc>
      </w:tr>
      <w:tr w:rsidR="006967F8" w:rsidRPr="006967F8" w14:paraId="32F2EF3C"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455D4D9"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3BD3484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55.000,00</w:t>
            </w:r>
          </w:p>
        </w:tc>
        <w:tc>
          <w:tcPr>
            <w:tcW w:w="1559" w:type="dxa"/>
            <w:tcBorders>
              <w:top w:val="nil"/>
              <w:left w:val="nil"/>
              <w:bottom w:val="nil"/>
              <w:right w:val="nil"/>
            </w:tcBorders>
            <w:shd w:val="clear" w:color="000000" w:fill="CCCCFF"/>
            <w:noWrap/>
            <w:vAlign w:val="bottom"/>
            <w:hideMark/>
          </w:tcPr>
          <w:p w14:paraId="33895FA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55.000,00</w:t>
            </w:r>
          </w:p>
        </w:tc>
        <w:tc>
          <w:tcPr>
            <w:tcW w:w="1559" w:type="dxa"/>
            <w:tcBorders>
              <w:top w:val="nil"/>
              <w:left w:val="nil"/>
              <w:bottom w:val="nil"/>
              <w:right w:val="nil"/>
            </w:tcBorders>
            <w:shd w:val="clear" w:color="000000" w:fill="CCCCFF"/>
            <w:noWrap/>
            <w:vAlign w:val="bottom"/>
            <w:hideMark/>
          </w:tcPr>
          <w:p w14:paraId="3828686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50.889,28</w:t>
            </w:r>
          </w:p>
        </w:tc>
        <w:tc>
          <w:tcPr>
            <w:tcW w:w="993" w:type="dxa"/>
            <w:tcBorders>
              <w:top w:val="nil"/>
              <w:left w:val="nil"/>
              <w:bottom w:val="nil"/>
              <w:right w:val="nil"/>
            </w:tcBorders>
            <w:shd w:val="clear" w:color="000000" w:fill="CCCCFF"/>
            <w:noWrap/>
            <w:vAlign w:val="bottom"/>
            <w:hideMark/>
          </w:tcPr>
          <w:p w14:paraId="013A419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92,53%</w:t>
            </w:r>
          </w:p>
        </w:tc>
      </w:tr>
      <w:tr w:rsidR="006967F8" w:rsidRPr="006967F8" w14:paraId="39CB4092" w14:textId="77777777" w:rsidTr="008A61B1">
        <w:trPr>
          <w:trHeight w:val="585"/>
        </w:trPr>
        <w:tc>
          <w:tcPr>
            <w:tcW w:w="1134" w:type="dxa"/>
            <w:tcBorders>
              <w:top w:val="nil"/>
              <w:left w:val="nil"/>
              <w:bottom w:val="nil"/>
              <w:right w:val="nil"/>
            </w:tcBorders>
            <w:noWrap/>
            <w:vAlign w:val="bottom"/>
            <w:hideMark/>
          </w:tcPr>
          <w:p w14:paraId="2CD09F2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38</w:t>
            </w:r>
          </w:p>
        </w:tc>
        <w:tc>
          <w:tcPr>
            <w:tcW w:w="4962" w:type="dxa"/>
            <w:tcBorders>
              <w:top w:val="nil"/>
              <w:left w:val="nil"/>
              <w:bottom w:val="nil"/>
              <w:right w:val="nil"/>
            </w:tcBorders>
            <w:vAlign w:val="bottom"/>
            <w:hideMark/>
          </w:tcPr>
          <w:p w14:paraId="5A77402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donacije, kazne, naknade šteta i kapitalne pomoći</w:t>
            </w:r>
          </w:p>
        </w:tc>
        <w:tc>
          <w:tcPr>
            <w:tcW w:w="1559" w:type="dxa"/>
            <w:tcBorders>
              <w:top w:val="nil"/>
              <w:left w:val="nil"/>
              <w:bottom w:val="nil"/>
              <w:right w:val="nil"/>
            </w:tcBorders>
            <w:noWrap/>
            <w:vAlign w:val="bottom"/>
            <w:hideMark/>
          </w:tcPr>
          <w:p w14:paraId="2BE5D0B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55.000,00</w:t>
            </w:r>
          </w:p>
        </w:tc>
        <w:tc>
          <w:tcPr>
            <w:tcW w:w="1559" w:type="dxa"/>
            <w:tcBorders>
              <w:top w:val="nil"/>
              <w:left w:val="nil"/>
              <w:bottom w:val="nil"/>
              <w:right w:val="nil"/>
            </w:tcBorders>
            <w:noWrap/>
            <w:vAlign w:val="bottom"/>
            <w:hideMark/>
          </w:tcPr>
          <w:p w14:paraId="2A8577F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55.000,00</w:t>
            </w:r>
          </w:p>
        </w:tc>
        <w:tc>
          <w:tcPr>
            <w:tcW w:w="1559" w:type="dxa"/>
            <w:tcBorders>
              <w:top w:val="nil"/>
              <w:left w:val="nil"/>
              <w:bottom w:val="nil"/>
              <w:right w:val="nil"/>
            </w:tcBorders>
            <w:noWrap/>
            <w:vAlign w:val="bottom"/>
            <w:hideMark/>
          </w:tcPr>
          <w:p w14:paraId="5D57228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50.889,28</w:t>
            </w:r>
          </w:p>
        </w:tc>
        <w:tc>
          <w:tcPr>
            <w:tcW w:w="993" w:type="dxa"/>
            <w:tcBorders>
              <w:top w:val="nil"/>
              <w:left w:val="nil"/>
              <w:bottom w:val="nil"/>
              <w:right w:val="nil"/>
            </w:tcBorders>
            <w:noWrap/>
            <w:vAlign w:val="bottom"/>
            <w:hideMark/>
          </w:tcPr>
          <w:p w14:paraId="72D3936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92,53%</w:t>
            </w:r>
          </w:p>
        </w:tc>
      </w:tr>
      <w:tr w:rsidR="006967F8" w:rsidRPr="006967F8" w14:paraId="66858ECD" w14:textId="77777777" w:rsidTr="008A61B1">
        <w:trPr>
          <w:trHeight w:val="255"/>
        </w:trPr>
        <w:tc>
          <w:tcPr>
            <w:tcW w:w="1134" w:type="dxa"/>
            <w:tcBorders>
              <w:top w:val="nil"/>
              <w:left w:val="nil"/>
              <w:bottom w:val="nil"/>
              <w:right w:val="nil"/>
            </w:tcBorders>
            <w:noWrap/>
            <w:vAlign w:val="bottom"/>
            <w:hideMark/>
          </w:tcPr>
          <w:p w14:paraId="4578ECA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3811</w:t>
            </w:r>
          </w:p>
        </w:tc>
        <w:tc>
          <w:tcPr>
            <w:tcW w:w="4962" w:type="dxa"/>
            <w:tcBorders>
              <w:top w:val="nil"/>
              <w:left w:val="nil"/>
              <w:bottom w:val="nil"/>
              <w:right w:val="nil"/>
            </w:tcBorders>
            <w:noWrap/>
            <w:vAlign w:val="bottom"/>
            <w:hideMark/>
          </w:tcPr>
          <w:p w14:paraId="4B1B33F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Tekuće donacije u novcu</w:t>
            </w:r>
          </w:p>
        </w:tc>
        <w:tc>
          <w:tcPr>
            <w:tcW w:w="1559" w:type="dxa"/>
            <w:tcBorders>
              <w:top w:val="nil"/>
              <w:left w:val="nil"/>
              <w:bottom w:val="nil"/>
              <w:right w:val="nil"/>
            </w:tcBorders>
            <w:noWrap/>
            <w:vAlign w:val="bottom"/>
            <w:hideMark/>
          </w:tcPr>
          <w:p w14:paraId="6DA60D4E"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6596379"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E49CF6D"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2.000,00</w:t>
            </w:r>
          </w:p>
        </w:tc>
        <w:tc>
          <w:tcPr>
            <w:tcW w:w="993" w:type="dxa"/>
            <w:tcBorders>
              <w:top w:val="nil"/>
              <w:left w:val="nil"/>
              <w:bottom w:val="nil"/>
              <w:right w:val="nil"/>
            </w:tcBorders>
            <w:noWrap/>
            <w:vAlign w:val="bottom"/>
            <w:hideMark/>
          </w:tcPr>
          <w:p w14:paraId="70A78AD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B666C19" w14:textId="77777777" w:rsidTr="008A61B1">
        <w:trPr>
          <w:trHeight w:val="255"/>
        </w:trPr>
        <w:tc>
          <w:tcPr>
            <w:tcW w:w="1134" w:type="dxa"/>
            <w:tcBorders>
              <w:top w:val="nil"/>
              <w:left w:val="nil"/>
              <w:bottom w:val="nil"/>
              <w:right w:val="nil"/>
            </w:tcBorders>
            <w:noWrap/>
            <w:vAlign w:val="bottom"/>
            <w:hideMark/>
          </w:tcPr>
          <w:p w14:paraId="2CC439B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3821</w:t>
            </w:r>
          </w:p>
        </w:tc>
        <w:tc>
          <w:tcPr>
            <w:tcW w:w="4962" w:type="dxa"/>
            <w:tcBorders>
              <w:top w:val="nil"/>
              <w:left w:val="nil"/>
              <w:bottom w:val="nil"/>
              <w:right w:val="nil"/>
            </w:tcBorders>
            <w:noWrap/>
            <w:vAlign w:val="bottom"/>
            <w:hideMark/>
          </w:tcPr>
          <w:p w14:paraId="7EE638B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Kapitalne donacije neprofitnim organizacijama</w:t>
            </w:r>
          </w:p>
        </w:tc>
        <w:tc>
          <w:tcPr>
            <w:tcW w:w="1559" w:type="dxa"/>
            <w:tcBorders>
              <w:top w:val="nil"/>
              <w:left w:val="nil"/>
              <w:bottom w:val="nil"/>
              <w:right w:val="nil"/>
            </w:tcBorders>
            <w:noWrap/>
            <w:vAlign w:val="bottom"/>
            <w:hideMark/>
          </w:tcPr>
          <w:p w14:paraId="611B3A52"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C993447"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C77757D"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48.889,28</w:t>
            </w:r>
          </w:p>
        </w:tc>
        <w:tc>
          <w:tcPr>
            <w:tcW w:w="993" w:type="dxa"/>
            <w:tcBorders>
              <w:top w:val="nil"/>
              <w:left w:val="nil"/>
              <w:bottom w:val="nil"/>
              <w:right w:val="nil"/>
            </w:tcBorders>
            <w:noWrap/>
            <w:vAlign w:val="bottom"/>
            <w:hideMark/>
          </w:tcPr>
          <w:p w14:paraId="1DE31341"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25DDAC4" w14:textId="77777777" w:rsidTr="008A61B1">
        <w:trPr>
          <w:trHeight w:val="585"/>
        </w:trPr>
        <w:tc>
          <w:tcPr>
            <w:tcW w:w="1134" w:type="dxa"/>
            <w:tcBorders>
              <w:top w:val="nil"/>
              <w:left w:val="nil"/>
              <w:bottom w:val="nil"/>
              <w:right w:val="nil"/>
            </w:tcBorders>
            <w:shd w:val="clear" w:color="000000" w:fill="FFFF99"/>
            <w:vAlign w:val="bottom"/>
            <w:hideMark/>
          </w:tcPr>
          <w:p w14:paraId="134DB98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A100014</w:t>
            </w:r>
          </w:p>
        </w:tc>
        <w:tc>
          <w:tcPr>
            <w:tcW w:w="4962" w:type="dxa"/>
            <w:tcBorders>
              <w:top w:val="nil"/>
              <w:left w:val="nil"/>
              <w:bottom w:val="nil"/>
              <w:right w:val="nil"/>
            </w:tcBorders>
            <w:shd w:val="clear" w:color="000000" w:fill="FFFF99"/>
            <w:vAlign w:val="bottom"/>
            <w:hideMark/>
          </w:tcPr>
          <w:p w14:paraId="27D222B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Aktivnost: SURADNJA S BRANITELJIMA, BRANITELJSKIM OBITELJIMA I UDRUGAMA</w:t>
            </w:r>
          </w:p>
        </w:tc>
        <w:tc>
          <w:tcPr>
            <w:tcW w:w="1559" w:type="dxa"/>
            <w:tcBorders>
              <w:top w:val="nil"/>
              <w:left w:val="nil"/>
              <w:bottom w:val="nil"/>
              <w:right w:val="nil"/>
            </w:tcBorders>
            <w:shd w:val="clear" w:color="000000" w:fill="FFFF99"/>
            <w:noWrap/>
            <w:vAlign w:val="bottom"/>
            <w:hideMark/>
          </w:tcPr>
          <w:p w14:paraId="438B923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50.000,00</w:t>
            </w:r>
          </w:p>
        </w:tc>
        <w:tc>
          <w:tcPr>
            <w:tcW w:w="1559" w:type="dxa"/>
            <w:tcBorders>
              <w:top w:val="nil"/>
              <w:left w:val="nil"/>
              <w:bottom w:val="nil"/>
              <w:right w:val="nil"/>
            </w:tcBorders>
            <w:shd w:val="clear" w:color="000000" w:fill="FFFF99"/>
            <w:noWrap/>
            <w:vAlign w:val="bottom"/>
            <w:hideMark/>
          </w:tcPr>
          <w:p w14:paraId="5C7419F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50.000,00</w:t>
            </w:r>
          </w:p>
        </w:tc>
        <w:tc>
          <w:tcPr>
            <w:tcW w:w="1559" w:type="dxa"/>
            <w:tcBorders>
              <w:top w:val="nil"/>
              <w:left w:val="nil"/>
              <w:bottom w:val="nil"/>
              <w:right w:val="nil"/>
            </w:tcBorders>
            <w:shd w:val="clear" w:color="000000" w:fill="FFFF99"/>
            <w:noWrap/>
            <w:vAlign w:val="bottom"/>
            <w:hideMark/>
          </w:tcPr>
          <w:p w14:paraId="6D162E5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37.000,00</w:t>
            </w:r>
          </w:p>
        </w:tc>
        <w:tc>
          <w:tcPr>
            <w:tcW w:w="993" w:type="dxa"/>
            <w:tcBorders>
              <w:top w:val="nil"/>
              <w:left w:val="nil"/>
              <w:bottom w:val="nil"/>
              <w:right w:val="nil"/>
            </w:tcBorders>
            <w:shd w:val="clear" w:color="000000" w:fill="FFFF99"/>
            <w:noWrap/>
            <w:vAlign w:val="bottom"/>
            <w:hideMark/>
          </w:tcPr>
          <w:p w14:paraId="06FBBBB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74,00%</w:t>
            </w:r>
          </w:p>
        </w:tc>
      </w:tr>
      <w:tr w:rsidR="006967F8" w:rsidRPr="006967F8" w14:paraId="38CCB8B6"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59E3EE8"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02E042D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50.000,00</w:t>
            </w:r>
          </w:p>
        </w:tc>
        <w:tc>
          <w:tcPr>
            <w:tcW w:w="1559" w:type="dxa"/>
            <w:tcBorders>
              <w:top w:val="nil"/>
              <w:left w:val="nil"/>
              <w:bottom w:val="nil"/>
              <w:right w:val="nil"/>
            </w:tcBorders>
            <w:shd w:val="clear" w:color="000000" w:fill="CCCCFF"/>
            <w:noWrap/>
            <w:vAlign w:val="bottom"/>
            <w:hideMark/>
          </w:tcPr>
          <w:p w14:paraId="70712CE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50.000,00</w:t>
            </w:r>
          </w:p>
        </w:tc>
        <w:tc>
          <w:tcPr>
            <w:tcW w:w="1559" w:type="dxa"/>
            <w:tcBorders>
              <w:top w:val="nil"/>
              <w:left w:val="nil"/>
              <w:bottom w:val="nil"/>
              <w:right w:val="nil"/>
            </w:tcBorders>
            <w:shd w:val="clear" w:color="000000" w:fill="CCCCFF"/>
            <w:noWrap/>
            <w:vAlign w:val="bottom"/>
            <w:hideMark/>
          </w:tcPr>
          <w:p w14:paraId="40D4DBA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37.000,00</w:t>
            </w:r>
          </w:p>
        </w:tc>
        <w:tc>
          <w:tcPr>
            <w:tcW w:w="993" w:type="dxa"/>
            <w:tcBorders>
              <w:top w:val="nil"/>
              <w:left w:val="nil"/>
              <w:bottom w:val="nil"/>
              <w:right w:val="nil"/>
            </w:tcBorders>
            <w:shd w:val="clear" w:color="000000" w:fill="CCCCFF"/>
            <w:noWrap/>
            <w:vAlign w:val="bottom"/>
            <w:hideMark/>
          </w:tcPr>
          <w:p w14:paraId="40FCAED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74,00%</w:t>
            </w:r>
          </w:p>
        </w:tc>
      </w:tr>
      <w:tr w:rsidR="006967F8" w:rsidRPr="006967F8" w14:paraId="6E38C139"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0D6FDF4"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72D9395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50.000,00</w:t>
            </w:r>
          </w:p>
        </w:tc>
        <w:tc>
          <w:tcPr>
            <w:tcW w:w="1559" w:type="dxa"/>
            <w:tcBorders>
              <w:top w:val="nil"/>
              <w:left w:val="nil"/>
              <w:bottom w:val="nil"/>
              <w:right w:val="nil"/>
            </w:tcBorders>
            <w:shd w:val="clear" w:color="000000" w:fill="CCCCFF"/>
            <w:noWrap/>
            <w:vAlign w:val="bottom"/>
            <w:hideMark/>
          </w:tcPr>
          <w:p w14:paraId="1279347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50.000,00</w:t>
            </w:r>
          </w:p>
        </w:tc>
        <w:tc>
          <w:tcPr>
            <w:tcW w:w="1559" w:type="dxa"/>
            <w:tcBorders>
              <w:top w:val="nil"/>
              <w:left w:val="nil"/>
              <w:bottom w:val="nil"/>
              <w:right w:val="nil"/>
            </w:tcBorders>
            <w:shd w:val="clear" w:color="000000" w:fill="CCCCFF"/>
            <w:noWrap/>
            <w:vAlign w:val="bottom"/>
            <w:hideMark/>
          </w:tcPr>
          <w:p w14:paraId="4EDF8BA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37.000,00</w:t>
            </w:r>
          </w:p>
        </w:tc>
        <w:tc>
          <w:tcPr>
            <w:tcW w:w="993" w:type="dxa"/>
            <w:tcBorders>
              <w:top w:val="nil"/>
              <w:left w:val="nil"/>
              <w:bottom w:val="nil"/>
              <w:right w:val="nil"/>
            </w:tcBorders>
            <w:shd w:val="clear" w:color="000000" w:fill="CCCCFF"/>
            <w:noWrap/>
            <w:vAlign w:val="bottom"/>
            <w:hideMark/>
          </w:tcPr>
          <w:p w14:paraId="70FE7E1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74,00%</w:t>
            </w:r>
          </w:p>
        </w:tc>
      </w:tr>
      <w:tr w:rsidR="006967F8" w:rsidRPr="006967F8" w14:paraId="7FAC08EF" w14:textId="77777777" w:rsidTr="008A61B1">
        <w:trPr>
          <w:trHeight w:val="540"/>
        </w:trPr>
        <w:tc>
          <w:tcPr>
            <w:tcW w:w="1134" w:type="dxa"/>
            <w:tcBorders>
              <w:top w:val="nil"/>
              <w:left w:val="nil"/>
              <w:bottom w:val="nil"/>
              <w:right w:val="nil"/>
            </w:tcBorders>
            <w:noWrap/>
            <w:vAlign w:val="bottom"/>
            <w:hideMark/>
          </w:tcPr>
          <w:p w14:paraId="1259ABC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38</w:t>
            </w:r>
          </w:p>
        </w:tc>
        <w:tc>
          <w:tcPr>
            <w:tcW w:w="4962" w:type="dxa"/>
            <w:tcBorders>
              <w:top w:val="nil"/>
              <w:left w:val="nil"/>
              <w:bottom w:val="nil"/>
              <w:right w:val="nil"/>
            </w:tcBorders>
            <w:vAlign w:val="bottom"/>
            <w:hideMark/>
          </w:tcPr>
          <w:p w14:paraId="1520E0A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donacije, kazne, naknade šteta i kapitalne pomoći</w:t>
            </w:r>
          </w:p>
        </w:tc>
        <w:tc>
          <w:tcPr>
            <w:tcW w:w="1559" w:type="dxa"/>
            <w:tcBorders>
              <w:top w:val="nil"/>
              <w:left w:val="nil"/>
              <w:bottom w:val="nil"/>
              <w:right w:val="nil"/>
            </w:tcBorders>
            <w:noWrap/>
            <w:vAlign w:val="bottom"/>
            <w:hideMark/>
          </w:tcPr>
          <w:p w14:paraId="2957CA0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50.000,00</w:t>
            </w:r>
          </w:p>
        </w:tc>
        <w:tc>
          <w:tcPr>
            <w:tcW w:w="1559" w:type="dxa"/>
            <w:tcBorders>
              <w:top w:val="nil"/>
              <w:left w:val="nil"/>
              <w:bottom w:val="nil"/>
              <w:right w:val="nil"/>
            </w:tcBorders>
            <w:noWrap/>
            <w:vAlign w:val="bottom"/>
            <w:hideMark/>
          </w:tcPr>
          <w:p w14:paraId="27ED3F9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50.000,00</w:t>
            </w:r>
          </w:p>
        </w:tc>
        <w:tc>
          <w:tcPr>
            <w:tcW w:w="1559" w:type="dxa"/>
            <w:tcBorders>
              <w:top w:val="nil"/>
              <w:left w:val="nil"/>
              <w:bottom w:val="nil"/>
              <w:right w:val="nil"/>
            </w:tcBorders>
            <w:noWrap/>
            <w:vAlign w:val="bottom"/>
            <w:hideMark/>
          </w:tcPr>
          <w:p w14:paraId="53AD324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37.000,00</w:t>
            </w:r>
          </w:p>
        </w:tc>
        <w:tc>
          <w:tcPr>
            <w:tcW w:w="993" w:type="dxa"/>
            <w:tcBorders>
              <w:top w:val="nil"/>
              <w:left w:val="nil"/>
              <w:bottom w:val="nil"/>
              <w:right w:val="nil"/>
            </w:tcBorders>
            <w:noWrap/>
            <w:vAlign w:val="bottom"/>
            <w:hideMark/>
          </w:tcPr>
          <w:p w14:paraId="366FF23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74,00%</w:t>
            </w:r>
          </w:p>
        </w:tc>
      </w:tr>
      <w:tr w:rsidR="006967F8" w:rsidRPr="006967F8" w14:paraId="15D3903D" w14:textId="77777777" w:rsidTr="008A61B1">
        <w:trPr>
          <w:trHeight w:val="255"/>
        </w:trPr>
        <w:tc>
          <w:tcPr>
            <w:tcW w:w="1134" w:type="dxa"/>
            <w:tcBorders>
              <w:top w:val="nil"/>
              <w:left w:val="nil"/>
              <w:bottom w:val="nil"/>
              <w:right w:val="nil"/>
            </w:tcBorders>
            <w:noWrap/>
            <w:vAlign w:val="bottom"/>
            <w:hideMark/>
          </w:tcPr>
          <w:p w14:paraId="05DFBAA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3811</w:t>
            </w:r>
          </w:p>
        </w:tc>
        <w:tc>
          <w:tcPr>
            <w:tcW w:w="4962" w:type="dxa"/>
            <w:tcBorders>
              <w:top w:val="nil"/>
              <w:left w:val="nil"/>
              <w:bottom w:val="nil"/>
              <w:right w:val="nil"/>
            </w:tcBorders>
            <w:noWrap/>
            <w:vAlign w:val="bottom"/>
            <w:hideMark/>
          </w:tcPr>
          <w:p w14:paraId="7309507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Tekuće donacije u novcu</w:t>
            </w:r>
          </w:p>
        </w:tc>
        <w:tc>
          <w:tcPr>
            <w:tcW w:w="1559" w:type="dxa"/>
            <w:tcBorders>
              <w:top w:val="nil"/>
              <w:left w:val="nil"/>
              <w:bottom w:val="nil"/>
              <w:right w:val="nil"/>
            </w:tcBorders>
            <w:noWrap/>
            <w:vAlign w:val="bottom"/>
            <w:hideMark/>
          </w:tcPr>
          <w:p w14:paraId="475FF7D6"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7B39F17"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0EB00BC"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12.000,00</w:t>
            </w:r>
          </w:p>
        </w:tc>
        <w:tc>
          <w:tcPr>
            <w:tcW w:w="993" w:type="dxa"/>
            <w:tcBorders>
              <w:top w:val="nil"/>
              <w:left w:val="nil"/>
              <w:bottom w:val="nil"/>
              <w:right w:val="nil"/>
            </w:tcBorders>
            <w:noWrap/>
            <w:vAlign w:val="bottom"/>
            <w:hideMark/>
          </w:tcPr>
          <w:p w14:paraId="6287FBCB"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86952BD" w14:textId="77777777" w:rsidTr="008A61B1">
        <w:trPr>
          <w:trHeight w:val="255"/>
        </w:trPr>
        <w:tc>
          <w:tcPr>
            <w:tcW w:w="1134" w:type="dxa"/>
            <w:tcBorders>
              <w:top w:val="nil"/>
              <w:left w:val="nil"/>
              <w:bottom w:val="nil"/>
              <w:right w:val="nil"/>
            </w:tcBorders>
            <w:noWrap/>
            <w:vAlign w:val="bottom"/>
            <w:hideMark/>
          </w:tcPr>
          <w:p w14:paraId="7051207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3821</w:t>
            </w:r>
          </w:p>
        </w:tc>
        <w:tc>
          <w:tcPr>
            <w:tcW w:w="4962" w:type="dxa"/>
            <w:tcBorders>
              <w:top w:val="nil"/>
              <w:left w:val="nil"/>
              <w:bottom w:val="nil"/>
              <w:right w:val="nil"/>
            </w:tcBorders>
            <w:noWrap/>
            <w:vAlign w:val="bottom"/>
            <w:hideMark/>
          </w:tcPr>
          <w:p w14:paraId="7356764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Kapitalne donacije neprofitnim organizacijama</w:t>
            </w:r>
          </w:p>
        </w:tc>
        <w:tc>
          <w:tcPr>
            <w:tcW w:w="1559" w:type="dxa"/>
            <w:tcBorders>
              <w:top w:val="nil"/>
              <w:left w:val="nil"/>
              <w:bottom w:val="nil"/>
              <w:right w:val="nil"/>
            </w:tcBorders>
            <w:noWrap/>
            <w:vAlign w:val="bottom"/>
            <w:hideMark/>
          </w:tcPr>
          <w:p w14:paraId="57054D80"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17B0623"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7A73000"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25.000,00</w:t>
            </w:r>
          </w:p>
        </w:tc>
        <w:tc>
          <w:tcPr>
            <w:tcW w:w="993" w:type="dxa"/>
            <w:tcBorders>
              <w:top w:val="nil"/>
              <w:left w:val="nil"/>
              <w:bottom w:val="nil"/>
              <w:right w:val="nil"/>
            </w:tcBorders>
            <w:noWrap/>
            <w:vAlign w:val="bottom"/>
            <w:hideMark/>
          </w:tcPr>
          <w:p w14:paraId="13E94E30"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6D9DD84" w14:textId="77777777" w:rsidTr="008A61B1">
        <w:trPr>
          <w:trHeight w:val="615"/>
        </w:trPr>
        <w:tc>
          <w:tcPr>
            <w:tcW w:w="1134" w:type="dxa"/>
            <w:tcBorders>
              <w:top w:val="nil"/>
              <w:left w:val="nil"/>
              <w:bottom w:val="nil"/>
              <w:right w:val="nil"/>
            </w:tcBorders>
            <w:shd w:val="clear" w:color="000000" w:fill="FFFF99"/>
            <w:vAlign w:val="bottom"/>
            <w:hideMark/>
          </w:tcPr>
          <w:p w14:paraId="7B980B8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A100015</w:t>
            </w:r>
          </w:p>
        </w:tc>
        <w:tc>
          <w:tcPr>
            <w:tcW w:w="4962" w:type="dxa"/>
            <w:tcBorders>
              <w:top w:val="nil"/>
              <w:left w:val="nil"/>
              <w:bottom w:val="nil"/>
              <w:right w:val="nil"/>
            </w:tcBorders>
            <w:shd w:val="clear" w:color="000000" w:fill="FFFF99"/>
            <w:vAlign w:val="bottom"/>
            <w:hideMark/>
          </w:tcPr>
          <w:p w14:paraId="130019D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Aktivnost: UDRUGE, USTANOVE I POJEDINCI IZ OSTALIH DRUŠT. DJELATNOSTI</w:t>
            </w:r>
          </w:p>
        </w:tc>
        <w:tc>
          <w:tcPr>
            <w:tcW w:w="1559" w:type="dxa"/>
            <w:tcBorders>
              <w:top w:val="nil"/>
              <w:left w:val="nil"/>
              <w:bottom w:val="nil"/>
              <w:right w:val="nil"/>
            </w:tcBorders>
            <w:shd w:val="clear" w:color="000000" w:fill="FFFF99"/>
            <w:noWrap/>
            <w:vAlign w:val="bottom"/>
            <w:hideMark/>
          </w:tcPr>
          <w:p w14:paraId="05EBD2B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22.100,00</w:t>
            </w:r>
          </w:p>
        </w:tc>
        <w:tc>
          <w:tcPr>
            <w:tcW w:w="1559" w:type="dxa"/>
            <w:tcBorders>
              <w:top w:val="nil"/>
              <w:left w:val="nil"/>
              <w:bottom w:val="nil"/>
              <w:right w:val="nil"/>
            </w:tcBorders>
            <w:shd w:val="clear" w:color="000000" w:fill="FFFF99"/>
            <w:noWrap/>
            <w:vAlign w:val="bottom"/>
            <w:hideMark/>
          </w:tcPr>
          <w:p w14:paraId="42FFF4F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22.100,00</w:t>
            </w:r>
          </w:p>
        </w:tc>
        <w:tc>
          <w:tcPr>
            <w:tcW w:w="1559" w:type="dxa"/>
            <w:tcBorders>
              <w:top w:val="nil"/>
              <w:left w:val="nil"/>
              <w:bottom w:val="nil"/>
              <w:right w:val="nil"/>
            </w:tcBorders>
            <w:shd w:val="clear" w:color="000000" w:fill="FFFF99"/>
            <w:noWrap/>
            <w:vAlign w:val="bottom"/>
            <w:hideMark/>
          </w:tcPr>
          <w:p w14:paraId="7064DDC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21.212,88</w:t>
            </w:r>
          </w:p>
        </w:tc>
        <w:tc>
          <w:tcPr>
            <w:tcW w:w="993" w:type="dxa"/>
            <w:tcBorders>
              <w:top w:val="nil"/>
              <w:left w:val="nil"/>
              <w:bottom w:val="nil"/>
              <w:right w:val="nil"/>
            </w:tcBorders>
            <w:shd w:val="clear" w:color="000000" w:fill="FFFF99"/>
            <w:noWrap/>
            <w:vAlign w:val="bottom"/>
            <w:hideMark/>
          </w:tcPr>
          <w:p w14:paraId="689CEA6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95,99%</w:t>
            </w:r>
          </w:p>
        </w:tc>
      </w:tr>
      <w:tr w:rsidR="006967F8" w:rsidRPr="006967F8" w14:paraId="73B42F30"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F13F834"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4C25C84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22.100,00</w:t>
            </w:r>
          </w:p>
        </w:tc>
        <w:tc>
          <w:tcPr>
            <w:tcW w:w="1559" w:type="dxa"/>
            <w:tcBorders>
              <w:top w:val="nil"/>
              <w:left w:val="nil"/>
              <w:bottom w:val="nil"/>
              <w:right w:val="nil"/>
            </w:tcBorders>
            <w:shd w:val="clear" w:color="000000" w:fill="CCCCFF"/>
            <w:noWrap/>
            <w:vAlign w:val="bottom"/>
            <w:hideMark/>
          </w:tcPr>
          <w:p w14:paraId="6080CFB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22.100,00</w:t>
            </w:r>
          </w:p>
        </w:tc>
        <w:tc>
          <w:tcPr>
            <w:tcW w:w="1559" w:type="dxa"/>
            <w:tcBorders>
              <w:top w:val="nil"/>
              <w:left w:val="nil"/>
              <w:bottom w:val="nil"/>
              <w:right w:val="nil"/>
            </w:tcBorders>
            <w:shd w:val="clear" w:color="000000" w:fill="CCCCFF"/>
            <w:noWrap/>
            <w:vAlign w:val="bottom"/>
            <w:hideMark/>
          </w:tcPr>
          <w:p w14:paraId="48AC7DD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21.212,88</w:t>
            </w:r>
          </w:p>
        </w:tc>
        <w:tc>
          <w:tcPr>
            <w:tcW w:w="993" w:type="dxa"/>
            <w:tcBorders>
              <w:top w:val="nil"/>
              <w:left w:val="nil"/>
              <w:bottom w:val="nil"/>
              <w:right w:val="nil"/>
            </w:tcBorders>
            <w:shd w:val="clear" w:color="000000" w:fill="CCCCFF"/>
            <w:noWrap/>
            <w:vAlign w:val="bottom"/>
            <w:hideMark/>
          </w:tcPr>
          <w:p w14:paraId="1C65427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95,99%</w:t>
            </w:r>
          </w:p>
        </w:tc>
      </w:tr>
      <w:tr w:rsidR="006967F8" w:rsidRPr="006967F8" w14:paraId="3B2EBF7B"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28341B7"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607CFE4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22.100,00</w:t>
            </w:r>
          </w:p>
        </w:tc>
        <w:tc>
          <w:tcPr>
            <w:tcW w:w="1559" w:type="dxa"/>
            <w:tcBorders>
              <w:top w:val="nil"/>
              <w:left w:val="nil"/>
              <w:bottom w:val="nil"/>
              <w:right w:val="nil"/>
            </w:tcBorders>
            <w:shd w:val="clear" w:color="000000" w:fill="CCCCFF"/>
            <w:noWrap/>
            <w:vAlign w:val="bottom"/>
            <w:hideMark/>
          </w:tcPr>
          <w:p w14:paraId="363463E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22.100,00</w:t>
            </w:r>
          </w:p>
        </w:tc>
        <w:tc>
          <w:tcPr>
            <w:tcW w:w="1559" w:type="dxa"/>
            <w:tcBorders>
              <w:top w:val="nil"/>
              <w:left w:val="nil"/>
              <w:bottom w:val="nil"/>
              <w:right w:val="nil"/>
            </w:tcBorders>
            <w:shd w:val="clear" w:color="000000" w:fill="CCCCFF"/>
            <w:noWrap/>
            <w:vAlign w:val="bottom"/>
            <w:hideMark/>
          </w:tcPr>
          <w:p w14:paraId="12E97AE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21.212,88</w:t>
            </w:r>
          </w:p>
        </w:tc>
        <w:tc>
          <w:tcPr>
            <w:tcW w:w="993" w:type="dxa"/>
            <w:tcBorders>
              <w:top w:val="nil"/>
              <w:left w:val="nil"/>
              <w:bottom w:val="nil"/>
              <w:right w:val="nil"/>
            </w:tcBorders>
            <w:shd w:val="clear" w:color="000000" w:fill="CCCCFF"/>
            <w:noWrap/>
            <w:vAlign w:val="bottom"/>
            <w:hideMark/>
          </w:tcPr>
          <w:p w14:paraId="221C853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95,99%</w:t>
            </w:r>
          </w:p>
        </w:tc>
      </w:tr>
      <w:tr w:rsidR="006967F8" w:rsidRPr="006967F8" w14:paraId="3AC9FE6B" w14:textId="77777777" w:rsidTr="008A61B1">
        <w:trPr>
          <w:trHeight w:val="255"/>
        </w:trPr>
        <w:tc>
          <w:tcPr>
            <w:tcW w:w="1134" w:type="dxa"/>
            <w:tcBorders>
              <w:top w:val="nil"/>
              <w:left w:val="nil"/>
              <w:bottom w:val="nil"/>
              <w:right w:val="nil"/>
            </w:tcBorders>
            <w:noWrap/>
            <w:vAlign w:val="bottom"/>
            <w:hideMark/>
          </w:tcPr>
          <w:p w14:paraId="0B74B63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178012D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27604D7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8.100,00</w:t>
            </w:r>
          </w:p>
        </w:tc>
        <w:tc>
          <w:tcPr>
            <w:tcW w:w="1559" w:type="dxa"/>
            <w:tcBorders>
              <w:top w:val="nil"/>
              <w:left w:val="nil"/>
              <w:bottom w:val="nil"/>
              <w:right w:val="nil"/>
            </w:tcBorders>
            <w:noWrap/>
            <w:vAlign w:val="bottom"/>
            <w:hideMark/>
          </w:tcPr>
          <w:p w14:paraId="3488123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8.100,00</w:t>
            </w:r>
          </w:p>
        </w:tc>
        <w:tc>
          <w:tcPr>
            <w:tcW w:w="1559" w:type="dxa"/>
            <w:tcBorders>
              <w:top w:val="nil"/>
              <w:left w:val="nil"/>
              <w:bottom w:val="nil"/>
              <w:right w:val="nil"/>
            </w:tcBorders>
            <w:noWrap/>
            <w:vAlign w:val="bottom"/>
            <w:hideMark/>
          </w:tcPr>
          <w:p w14:paraId="632F8ED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8.062,88</w:t>
            </w:r>
          </w:p>
        </w:tc>
        <w:tc>
          <w:tcPr>
            <w:tcW w:w="993" w:type="dxa"/>
            <w:tcBorders>
              <w:top w:val="nil"/>
              <w:left w:val="nil"/>
              <w:bottom w:val="nil"/>
              <w:right w:val="nil"/>
            </w:tcBorders>
            <w:noWrap/>
            <w:vAlign w:val="bottom"/>
            <w:hideMark/>
          </w:tcPr>
          <w:p w14:paraId="328887A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99,54%</w:t>
            </w:r>
          </w:p>
        </w:tc>
      </w:tr>
      <w:tr w:rsidR="006967F8" w:rsidRPr="006967F8" w14:paraId="71907674" w14:textId="77777777" w:rsidTr="008A61B1">
        <w:trPr>
          <w:trHeight w:val="255"/>
        </w:trPr>
        <w:tc>
          <w:tcPr>
            <w:tcW w:w="1134" w:type="dxa"/>
            <w:tcBorders>
              <w:top w:val="nil"/>
              <w:left w:val="nil"/>
              <w:bottom w:val="nil"/>
              <w:right w:val="nil"/>
            </w:tcBorders>
            <w:noWrap/>
            <w:vAlign w:val="bottom"/>
            <w:hideMark/>
          </w:tcPr>
          <w:p w14:paraId="7232316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3299</w:t>
            </w:r>
          </w:p>
        </w:tc>
        <w:tc>
          <w:tcPr>
            <w:tcW w:w="4962" w:type="dxa"/>
            <w:tcBorders>
              <w:top w:val="nil"/>
              <w:left w:val="nil"/>
              <w:bottom w:val="nil"/>
              <w:right w:val="nil"/>
            </w:tcBorders>
            <w:noWrap/>
            <w:vAlign w:val="bottom"/>
            <w:hideMark/>
          </w:tcPr>
          <w:p w14:paraId="0A9E10C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nespomenuti rashodi poslovanja</w:t>
            </w:r>
          </w:p>
        </w:tc>
        <w:tc>
          <w:tcPr>
            <w:tcW w:w="1559" w:type="dxa"/>
            <w:tcBorders>
              <w:top w:val="nil"/>
              <w:left w:val="nil"/>
              <w:bottom w:val="nil"/>
              <w:right w:val="nil"/>
            </w:tcBorders>
            <w:noWrap/>
            <w:vAlign w:val="bottom"/>
            <w:hideMark/>
          </w:tcPr>
          <w:p w14:paraId="6CF6DD3D"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5924E6B"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8D73004"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8.062,88</w:t>
            </w:r>
          </w:p>
        </w:tc>
        <w:tc>
          <w:tcPr>
            <w:tcW w:w="993" w:type="dxa"/>
            <w:tcBorders>
              <w:top w:val="nil"/>
              <w:left w:val="nil"/>
              <w:bottom w:val="nil"/>
              <w:right w:val="nil"/>
            </w:tcBorders>
            <w:noWrap/>
            <w:vAlign w:val="bottom"/>
            <w:hideMark/>
          </w:tcPr>
          <w:p w14:paraId="2259FECB"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5E0E5EC" w14:textId="77777777" w:rsidTr="008A61B1">
        <w:trPr>
          <w:trHeight w:val="525"/>
        </w:trPr>
        <w:tc>
          <w:tcPr>
            <w:tcW w:w="1134" w:type="dxa"/>
            <w:tcBorders>
              <w:top w:val="nil"/>
              <w:left w:val="nil"/>
              <w:bottom w:val="nil"/>
              <w:right w:val="nil"/>
            </w:tcBorders>
            <w:noWrap/>
            <w:vAlign w:val="bottom"/>
            <w:hideMark/>
          </w:tcPr>
          <w:p w14:paraId="4E1D2FA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38</w:t>
            </w:r>
          </w:p>
        </w:tc>
        <w:tc>
          <w:tcPr>
            <w:tcW w:w="4962" w:type="dxa"/>
            <w:tcBorders>
              <w:top w:val="nil"/>
              <w:left w:val="nil"/>
              <w:bottom w:val="nil"/>
              <w:right w:val="nil"/>
            </w:tcBorders>
            <w:vAlign w:val="bottom"/>
            <w:hideMark/>
          </w:tcPr>
          <w:p w14:paraId="50B93E7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donacije, kazne, naknade šteta i kapitalne pomoći</w:t>
            </w:r>
          </w:p>
        </w:tc>
        <w:tc>
          <w:tcPr>
            <w:tcW w:w="1559" w:type="dxa"/>
            <w:tcBorders>
              <w:top w:val="nil"/>
              <w:left w:val="nil"/>
              <w:bottom w:val="nil"/>
              <w:right w:val="nil"/>
            </w:tcBorders>
            <w:noWrap/>
            <w:vAlign w:val="bottom"/>
            <w:hideMark/>
          </w:tcPr>
          <w:p w14:paraId="6D9ECC5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14.000,00</w:t>
            </w:r>
          </w:p>
        </w:tc>
        <w:tc>
          <w:tcPr>
            <w:tcW w:w="1559" w:type="dxa"/>
            <w:tcBorders>
              <w:top w:val="nil"/>
              <w:left w:val="nil"/>
              <w:bottom w:val="nil"/>
              <w:right w:val="nil"/>
            </w:tcBorders>
            <w:noWrap/>
            <w:vAlign w:val="bottom"/>
            <w:hideMark/>
          </w:tcPr>
          <w:p w14:paraId="0012601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14.000,00</w:t>
            </w:r>
          </w:p>
        </w:tc>
        <w:tc>
          <w:tcPr>
            <w:tcW w:w="1559" w:type="dxa"/>
            <w:tcBorders>
              <w:top w:val="nil"/>
              <w:left w:val="nil"/>
              <w:bottom w:val="nil"/>
              <w:right w:val="nil"/>
            </w:tcBorders>
            <w:noWrap/>
            <w:vAlign w:val="bottom"/>
            <w:hideMark/>
          </w:tcPr>
          <w:p w14:paraId="5BFDA35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13.150,00</w:t>
            </w:r>
          </w:p>
        </w:tc>
        <w:tc>
          <w:tcPr>
            <w:tcW w:w="993" w:type="dxa"/>
            <w:tcBorders>
              <w:top w:val="nil"/>
              <w:left w:val="nil"/>
              <w:bottom w:val="nil"/>
              <w:right w:val="nil"/>
            </w:tcBorders>
            <w:noWrap/>
            <w:vAlign w:val="bottom"/>
            <w:hideMark/>
          </w:tcPr>
          <w:p w14:paraId="2C6FBE3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93,93%</w:t>
            </w:r>
          </w:p>
        </w:tc>
      </w:tr>
      <w:tr w:rsidR="006967F8" w:rsidRPr="006967F8" w14:paraId="33862567" w14:textId="77777777" w:rsidTr="008A61B1">
        <w:trPr>
          <w:trHeight w:val="255"/>
        </w:trPr>
        <w:tc>
          <w:tcPr>
            <w:tcW w:w="1134" w:type="dxa"/>
            <w:tcBorders>
              <w:top w:val="nil"/>
              <w:left w:val="nil"/>
              <w:bottom w:val="nil"/>
              <w:right w:val="nil"/>
            </w:tcBorders>
            <w:noWrap/>
            <w:vAlign w:val="bottom"/>
            <w:hideMark/>
          </w:tcPr>
          <w:p w14:paraId="2FE1737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3811</w:t>
            </w:r>
          </w:p>
        </w:tc>
        <w:tc>
          <w:tcPr>
            <w:tcW w:w="4962" w:type="dxa"/>
            <w:tcBorders>
              <w:top w:val="nil"/>
              <w:left w:val="nil"/>
              <w:bottom w:val="nil"/>
              <w:right w:val="nil"/>
            </w:tcBorders>
            <w:noWrap/>
            <w:vAlign w:val="bottom"/>
            <w:hideMark/>
          </w:tcPr>
          <w:p w14:paraId="77166E5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Tekuće donacije u novcu</w:t>
            </w:r>
          </w:p>
        </w:tc>
        <w:tc>
          <w:tcPr>
            <w:tcW w:w="1559" w:type="dxa"/>
            <w:tcBorders>
              <w:top w:val="nil"/>
              <w:left w:val="nil"/>
              <w:bottom w:val="nil"/>
              <w:right w:val="nil"/>
            </w:tcBorders>
            <w:noWrap/>
            <w:vAlign w:val="bottom"/>
            <w:hideMark/>
          </w:tcPr>
          <w:p w14:paraId="32932970"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2A98C05"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D6D8FF4"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13.150,00</w:t>
            </w:r>
          </w:p>
        </w:tc>
        <w:tc>
          <w:tcPr>
            <w:tcW w:w="993" w:type="dxa"/>
            <w:tcBorders>
              <w:top w:val="nil"/>
              <w:left w:val="nil"/>
              <w:bottom w:val="nil"/>
              <w:right w:val="nil"/>
            </w:tcBorders>
            <w:noWrap/>
            <w:vAlign w:val="bottom"/>
            <w:hideMark/>
          </w:tcPr>
          <w:p w14:paraId="7F38724E"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904C272" w14:textId="77777777" w:rsidTr="008A61B1">
        <w:trPr>
          <w:trHeight w:val="255"/>
        </w:trPr>
        <w:tc>
          <w:tcPr>
            <w:tcW w:w="1134" w:type="dxa"/>
            <w:tcBorders>
              <w:top w:val="nil"/>
              <w:left w:val="nil"/>
              <w:bottom w:val="nil"/>
              <w:right w:val="nil"/>
            </w:tcBorders>
            <w:shd w:val="clear" w:color="000000" w:fill="FFFF99"/>
            <w:noWrap/>
            <w:vAlign w:val="bottom"/>
            <w:hideMark/>
          </w:tcPr>
          <w:p w14:paraId="3C55BF0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A100016</w:t>
            </w:r>
          </w:p>
        </w:tc>
        <w:tc>
          <w:tcPr>
            <w:tcW w:w="4962" w:type="dxa"/>
            <w:tcBorders>
              <w:top w:val="nil"/>
              <w:left w:val="nil"/>
              <w:bottom w:val="nil"/>
              <w:right w:val="nil"/>
            </w:tcBorders>
            <w:shd w:val="clear" w:color="000000" w:fill="FFFF99"/>
            <w:noWrap/>
            <w:vAlign w:val="bottom"/>
            <w:hideMark/>
          </w:tcPr>
          <w:p w14:paraId="408F3F5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Aktivnost: UNAPREĐENJE ZDRAVSTVA</w:t>
            </w:r>
          </w:p>
        </w:tc>
        <w:tc>
          <w:tcPr>
            <w:tcW w:w="1559" w:type="dxa"/>
            <w:tcBorders>
              <w:top w:val="nil"/>
              <w:left w:val="nil"/>
              <w:bottom w:val="nil"/>
              <w:right w:val="nil"/>
            </w:tcBorders>
            <w:shd w:val="clear" w:color="000000" w:fill="FFFF99"/>
            <w:noWrap/>
            <w:vAlign w:val="bottom"/>
            <w:hideMark/>
          </w:tcPr>
          <w:p w14:paraId="527EFDB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30.000,00</w:t>
            </w:r>
          </w:p>
        </w:tc>
        <w:tc>
          <w:tcPr>
            <w:tcW w:w="1559" w:type="dxa"/>
            <w:tcBorders>
              <w:top w:val="nil"/>
              <w:left w:val="nil"/>
              <w:bottom w:val="nil"/>
              <w:right w:val="nil"/>
            </w:tcBorders>
            <w:shd w:val="clear" w:color="000000" w:fill="FFFF99"/>
            <w:noWrap/>
            <w:vAlign w:val="bottom"/>
            <w:hideMark/>
          </w:tcPr>
          <w:p w14:paraId="6CD77BD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30.000,00</w:t>
            </w:r>
          </w:p>
        </w:tc>
        <w:tc>
          <w:tcPr>
            <w:tcW w:w="1559" w:type="dxa"/>
            <w:tcBorders>
              <w:top w:val="nil"/>
              <w:left w:val="nil"/>
              <w:bottom w:val="nil"/>
              <w:right w:val="nil"/>
            </w:tcBorders>
            <w:shd w:val="clear" w:color="000000" w:fill="FFFF99"/>
            <w:noWrap/>
            <w:vAlign w:val="bottom"/>
            <w:hideMark/>
          </w:tcPr>
          <w:p w14:paraId="21B7C43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23.000,00</w:t>
            </w:r>
          </w:p>
        </w:tc>
        <w:tc>
          <w:tcPr>
            <w:tcW w:w="993" w:type="dxa"/>
            <w:tcBorders>
              <w:top w:val="nil"/>
              <w:left w:val="nil"/>
              <w:bottom w:val="nil"/>
              <w:right w:val="nil"/>
            </w:tcBorders>
            <w:shd w:val="clear" w:color="000000" w:fill="FFFF99"/>
            <w:noWrap/>
            <w:vAlign w:val="bottom"/>
            <w:hideMark/>
          </w:tcPr>
          <w:p w14:paraId="21EE963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76,67%</w:t>
            </w:r>
          </w:p>
        </w:tc>
      </w:tr>
      <w:tr w:rsidR="006967F8" w:rsidRPr="006967F8" w14:paraId="498F95C5"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6A477CB"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0E945B3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30.000,00</w:t>
            </w:r>
          </w:p>
        </w:tc>
        <w:tc>
          <w:tcPr>
            <w:tcW w:w="1559" w:type="dxa"/>
            <w:tcBorders>
              <w:top w:val="nil"/>
              <w:left w:val="nil"/>
              <w:bottom w:val="nil"/>
              <w:right w:val="nil"/>
            </w:tcBorders>
            <w:shd w:val="clear" w:color="000000" w:fill="CCCCFF"/>
            <w:noWrap/>
            <w:vAlign w:val="bottom"/>
            <w:hideMark/>
          </w:tcPr>
          <w:p w14:paraId="6C7B6CB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30.000,00</w:t>
            </w:r>
          </w:p>
        </w:tc>
        <w:tc>
          <w:tcPr>
            <w:tcW w:w="1559" w:type="dxa"/>
            <w:tcBorders>
              <w:top w:val="nil"/>
              <w:left w:val="nil"/>
              <w:bottom w:val="nil"/>
              <w:right w:val="nil"/>
            </w:tcBorders>
            <w:shd w:val="clear" w:color="000000" w:fill="CCCCFF"/>
            <w:noWrap/>
            <w:vAlign w:val="bottom"/>
            <w:hideMark/>
          </w:tcPr>
          <w:p w14:paraId="5605D93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23.000,00</w:t>
            </w:r>
          </w:p>
        </w:tc>
        <w:tc>
          <w:tcPr>
            <w:tcW w:w="993" w:type="dxa"/>
            <w:tcBorders>
              <w:top w:val="nil"/>
              <w:left w:val="nil"/>
              <w:bottom w:val="nil"/>
              <w:right w:val="nil"/>
            </w:tcBorders>
            <w:shd w:val="clear" w:color="000000" w:fill="CCCCFF"/>
            <w:noWrap/>
            <w:vAlign w:val="bottom"/>
            <w:hideMark/>
          </w:tcPr>
          <w:p w14:paraId="396A998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76,67%</w:t>
            </w:r>
          </w:p>
        </w:tc>
      </w:tr>
      <w:tr w:rsidR="006967F8" w:rsidRPr="006967F8" w14:paraId="0DB905E3"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4719157"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33E18A3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30.000,00</w:t>
            </w:r>
          </w:p>
        </w:tc>
        <w:tc>
          <w:tcPr>
            <w:tcW w:w="1559" w:type="dxa"/>
            <w:tcBorders>
              <w:top w:val="nil"/>
              <w:left w:val="nil"/>
              <w:bottom w:val="nil"/>
              <w:right w:val="nil"/>
            </w:tcBorders>
            <w:shd w:val="clear" w:color="000000" w:fill="CCCCFF"/>
            <w:noWrap/>
            <w:vAlign w:val="bottom"/>
            <w:hideMark/>
          </w:tcPr>
          <w:p w14:paraId="6E80A1D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30.000,00</w:t>
            </w:r>
          </w:p>
        </w:tc>
        <w:tc>
          <w:tcPr>
            <w:tcW w:w="1559" w:type="dxa"/>
            <w:tcBorders>
              <w:top w:val="nil"/>
              <w:left w:val="nil"/>
              <w:bottom w:val="nil"/>
              <w:right w:val="nil"/>
            </w:tcBorders>
            <w:shd w:val="clear" w:color="000000" w:fill="CCCCFF"/>
            <w:noWrap/>
            <w:vAlign w:val="bottom"/>
            <w:hideMark/>
          </w:tcPr>
          <w:p w14:paraId="57CCCB7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23.000,00</w:t>
            </w:r>
          </w:p>
        </w:tc>
        <w:tc>
          <w:tcPr>
            <w:tcW w:w="993" w:type="dxa"/>
            <w:tcBorders>
              <w:top w:val="nil"/>
              <w:left w:val="nil"/>
              <w:bottom w:val="nil"/>
              <w:right w:val="nil"/>
            </w:tcBorders>
            <w:shd w:val="clear" w:color="000000" w:fill="CCCCFF"/>
            <w:noWrap/>
            <w:vAlign w:val="bottom"/>
            <w:hideMark/>
          </w:tcPr>
          <w:p w14:paraId="66A61D2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76,67%</w:t>
            </w:r>
          </w:p>
        </w:tc>
      </w:tr>
      <w:tr w:rsidR="006967F8" w:rsidRPr="006967F8" w14:paraId="13EDB818" w14:textId="77777777" w:rsidTr="008A61B1">
        <w:trPr>
          <w:trHeight w:val="570"/>
        </w:trPr>
        <w:tc>
          <w:tcPr>
            <w:tcW w:w="1134" w:type="dxa"/>
            <w:tcBorders>
              <w:top w:val="nil"/>
              <w:left w:val="nil"/>
              <w:bottom w:val="nil"/>
              <w:right w:val="nil"/>
            </w:tcBorders>
            <w:noWrap/>
            <w:vAlign w:val="bottom"/>
            <w:hideMark/>
          </w:tcPr>
          <w:p w14:paraId="0E23891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36</w:t>
            </w:r>
          </w:p>
        </w:tc>
        <w:tc>
          <w:tcPr>
            <w:tcW w:w="4962" w:type="dxa"/>
            <w:tcBorders>
              <w:top w:val="nil"/>
              <w:left w:val="nil"/>
              <w:bottom w:val="nil"/>
              <w:right w:val="nil"/>
            </w:tcBorders>
            <w:vAlign w:val="bottom"/>
            <w:hideMark/>
          </w:tcPr>
          <w:p w14:paraId="044F16F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Pomoći dane u inozemstvo i unutar općeg proračuna</w:t>
            </w:r>
          </w:p>
        </w:tc>
        <w:tc>
          <w:tcPr>
            <w:tcW w:w="1559" w:type="dxa"/>
            <w:tcBorders>
              <w:top w:val="nil"/>
              <w:left w:val="nil"/>
              <w:bottom w:val="nil"/>
              <w:right w:val="nil"/>
            </w:tcBorders>
            <w:noWrap/>
            <w:vAlign w:val="bottom"/>
            <w:hideMark/>
          </w:tcPr>
          <w:p w14:paraId="6930D2E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30.000,00</w:t>
            </w:r>
          </w:p>
        </w:tc>
        <w:tc>
          <w:tcPr>
            <w:tcW w:w="1559" w:type="dxa"/>
            <w:tcBorders>
              <w:top w:val="nil"/>
              <w:left w:val="nil"/>
              <w:bottom w:val="nil"/>
              <w:right w:val="nil"/>
            </w:tcBorders>
            <w:noWrap/>
            <w:vAlign w:val="bottom"/>
            <w:hideMark/>
          </w:tcPr>
          <w:p w14:paraId="1116D0B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30.000,00</w:t>
            </w:r>
          </w:p>
        </w:tc>
        <w:tc>
          <w:tcPr>
            <w:tcW w:w="1559" w:type="dxa"/>
            <w:tcBorders>
              <w:top w:val="nil"/>
              <w:left w:val="nil"/>
              <w:bottom w:val="nil"/>
              <w:right w:val="nil"/>
            </w:tcBorders>
            <w:noWrap/>
            <w:vAlign w:val="bottom"/>
            <w:hideMark/>
          </w:tcPr>
          <w:p w14:paraId="3351C13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23.000,00</w:t>
            </w:r>
          </w:p>
        </w:tc>
        <w:tc>
          <w:tcPr>
            <w:tcW w:w="993" w:type="dxa"/>
            <w:tcBorders>
              <w:top w:val="nil"/>
              <w:left w:val="nil"/>
              <w:bottom w:val="nil"/>
              <w:right w:val="nil"/>
            </w:tcBorders>
            <w:noWrap/>
            <w:vAlign w:val="bottom"/>
            <w:hideMark/>
          </w:tcPr>
          <w:p w14:paraId="626D3DE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76,67%</w:t>
            </w:r>
          </w:p>
        </w:tc>
      </w:tr>
      <w:tr w:rsidR="006967F8" w:rsidRPr="006967F8" w14:paraId="093B6CBA" w14:textId="77777777" w:rsidTr="008A61B1">
        <w:trPr>
          <w:trHeight w:val="555"/>
        </w:trPr>
        <w:tc>
          <w:tcPr>
            <w:tcW w:w="1134" w:type="dxa"/>
            <w:tcBorders>
              <w:top w:val="nil"/>
              <w:left w:val="nil"/>
              <w:bottom w:val="nil"/>
              <w:right w:val="nil"/>
            </w:tcBorders>
            <w:noWrap/>
            <w:vAlign w:val="bottom"/>
            <w:hideMark/>
          </w:tcPr>
          <w:p w14:paraId="21BC220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3661</w:t>
            </w:r>
          </w:p>
        </w:tc>
        <w:tc>
          <w:tcPr>
            <w:tcW w:w="4962" w:type="dxa"/>
            <w:tcBorders>
              <w:top w:val="nil"/>
              <w:left w:val="nil"/>
              <w:bottom w:val="nil"/>
              <w:right w:val="nil"/>
            </w:tcBorders>
            <w:vAlign w:val="bottom"/>
            <w:hideMark/>
          </w:tcPr>
          <w:p w14:paraId="4972079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Tekuće pomoći proračunskim korisnicima drugih proračuna</w:t>
            </w:r>
          </w:p>
        </w:tc>
        <w:tc>
          <w:tcPr>
            <w:tcW w:w="1559" w:type="dxa"/>
            <w:tcBorders>
              <w:top w:val="nil"/>
              <w:left w:val="nil"/>
              <w:bottom w:val="nil"/>
              <w:right w:val="nil"/>
            </w:tcBorders>
            <w:noWrap/>
            <w:vAlign w:val="bottom"/>
            <w:hideMark/>
          </w:tcPr>
          <w:p w14:paraId="3699E34E"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8B1EAB2"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C8593D1"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23.000,00</w:t>
            </w:r>
          </w:p>
        </w:tc>
        <w:tc>
          <w:tcPr>
            <w:tcW w:w="993" w:type="dxa"/>
            <w:tcBorders>
              <w:top w:val="nil"/>
              <w:left w:val="nil"/>
              <w:bottom w:val="nil"/>
              <w:right w:val="nil"/>
            </w:tcBorders>
            <w:noWrap/>
            <w:vAlign w:val="bottom"/>
            <w:hideMark/>
          </w:tcPr>
          <w:p w14:paraId="5B849B01"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D5EDC73" w14:textId="77777777" w:rsidTr="008A61B1">
        <w:trPr>
          <w:trHeight w:val="645"/>
        </w:trPr>
        <w:tc>
          <w:tcPr>
            <w:tcW w:w="1134" w:type="dxa"/>
            <w:tcBorders>
              <w:top w:val="nil"/>
              <w:left w:val="nil"/>
              <w:bottom w:val="nil"/>
              <w:right w:val="nil"/>
            </w:tcBorders>
            <w:shd w:val="clear" w:color="000000" w:fill="FFFF99"/>
            <w:vAlign w:val="bottom"/>
            <w:hideMark/>
          </w:tcPr>
          <w:p w14:paraId="47C6DC9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lastRenderedPageBreak/>
              <w:t>A100089</w:t>
            </w:r>
          </w:p>
        </w:tc>
        <w:tc>
          <w:tcPr>
            <w:tcW w:w="4962" w:type="dxa"/>
            <w:tcBorders>
              <w:top w:val="nil"/>
              <w:left w:val="nil"/>
              <w:bottom w:val="nil"/>
              <w:right w:val="nil"/>
            </w:tcBorders>
            <w:shd w:val="clear" w:color="000000" w:fill="FFFF99"/>
            <w:vAlign w:val="bottom"/>
            <w:hideMark/>
          </w:tcPr>
          <w:p w14:paraId="330A19A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Aktivnost: RAD VIJEĆA ZA PREVENCIJU KRIMINALITETA</w:t>
            </w:r>
          </w:p>
        </w:tc>
        <w:tc>
          <w:tcPr>
            <w:tcW w:w="1559" w:type="dxa"/>
            <w:tcBorders>
              <w:top w:val="nil"/>
              <w:left w:val="nil"/>
              <w:bottom w:val="nil"/>
              <w:right w:val="nil"/>
            </w:tcBorders>
            <w:shd w:val="clear" w:color="000000" w:fill="FFFF99"/>
            <w:noWrap/>
            <w:vAlign w:val="bottom"/>
            <w:hideMark/>
          </w:tcPr>
          <w:p w14:paraId="2585D78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5.000,00</w:t>
            </w:r>
          </w:p>
        </w:tc>
        <w:tc>
          <w:tcPr>
            <w:tcW w:w="1559" w:type="dxa"/>
            <w:tcBorders>
              <w:top w:val="nil"/>
              <w:left w:val="nil"/>
              <w:bottom w:val="nil"/>
              <w:right w:val="nil"/>
            </w:tcBorders>
            <w:shd w:val="clear" w:color="000000" w:fill="FFFF99"/>
            <w:noWrap/>
            <w:vAlign w:val="bottom"/>
            <w:hideMark/>
          </w:tcPr>
          <w:p w14:paraId="1AA95B8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5.000,00</w:t>
            </w:r>
          </w:p>
        </w:tc>
        <w:tc>
          <w:tcPr>
            <w:tcW w:w="1559" w:type="dxa"/>
            <w:tcBorders>
              <w:top w:val="nil"/>
              <w:left w:val="nil"/>
              <w:bottom w:val="nil"/>
              <w:right w:val="nil"/>
            </w:tcBorders>
            <w:shd w:val="clear" w:color="000000" w:fill="FFFF99"/>
            <w:noWrap/>
            <w:vAlign w:val="bottom"/>
            <w:hideMark/>
          </w:tcPr>
          <w:p w14:paraId="6E29714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300,00</w:t>
            </w:r>
          </w:p>
        </w:tc>
        <w:tc>
          <w:tcPr>
            <w:tcW w:w="993" w:type="dxa"/>
            <w:tcBorders>
              <w:top w:val="nil"/>
              <w:left w:val="nil"/>
              <w:bottom w:val="nil"/>
              <w:right w:val="nil"/>
            </w:tcBorders>
            <w:shd w:val="clear" w:color="000000" w:fill="FFFF99"/>
            <w:noWrap/>
            <w:vAlign w:val="bottom"/>
            <w:hideMark/>
          </w:tcPr>
          <w:p w14:paraId="46EBC12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6,00%</w:t>
            </w:r>
          </w:p>
        </w:tc>
      </w:tr>
      <w:tr w:rsidR="006967F8" w:rsidRPr="006967F8" w14:paraId="0DB5EABE"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B3C0058"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67E5FE4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5.000,00</w:t>
            </w:r>
          </w:p>
        </w:tc>
        <w:tc>
          <w:tcPr>
            <w:tcW w:w="1559" w:type="dxa"/>
            <w:tcBorders>
              <w:top w:val="nil"/>
              <w:left w:val="nil"/>
              <w:bottom w:val="nil"/>
              <w:right w:val="nil"/>
            </w:tcBorders>
            <w:shd w:val="clear" w:color="000000" w:fill="CCCCFF"/>
            <w:noWrap/>
            <w:vAlign w:val="bottom"/>
            <w:hideMark/>
          </w:tcPr>
          <w:p w14:paraId="7D586FC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5.000,00</w:t>
            </w:r>
          </w:p>
        </w:tc>
        <w:tc>
          <w:tcPr>
            <w:tcW w:w="1559" w:type="dxa"/>
            <w:tcBorders>
              <w:top w:val="nil"/>
              <w:left w:val="nil"/>
              <w:bottom w:val="nil"/>
              <w:right w:val="nil"/>
            </w:tcBorders>
            <w:shd w:val="clear" w:color="000000" w:fill="CCCCFF"/>
            <w:noWrap/>
            <w:vAlign w:val="bottom"/>
            <w:hideMark/>
          </w:tcPr>
          <w:p w14:paraId="44C5603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300,00</w:t>
            </w:r>
          </w:p>
        </w:tc>
        <w:tc>
          <w:tcPr>
            <w:tcW w:w="993" w:type="dxa"/>
            <w:tcBorders>
              <w:top w:val="nil"/>
              <w:left w:val="nil"/>
              <w:bottom w:val="nil"/>
              <w:right w:val="nil"/>
            </w:tcBorders>
            <w:shd w:val="clear" w:color="000000" w:fill="CCCCFF"/>
            <w:noWrap/>
            <w:vAlign w:val="bottom"/>
            <w:hideMark/>
          </w:tcPr>
          <w:p w14:paraId="6309E57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6,00%</w:t>
            </w:r>
          </w:p>
        </w:tc>
      </w:tr>
      <w:tr w:rsidR="006967F8" w:rsidRPr="006967F8" w14:paraId="5760EFC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6FB37F1"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3E9DE5E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5.000,00</w:t>
            </w:r>
          </w:p>
        </w:tc>
        <w:tc>
          <w:tcPr>
            <w:tcW w:w="1559" w:type="dxa"/>
            <w:tcBorders>
              <w:top w:val="nil"/>
              <w:left w:val="nil"/>
              <w:bottom w:val="nil"/>
              <w:right w:val="nil"/>
            </w:tcBorders>
            <w:shd w:val="clear" w:color="000000" w:fill="CCCCFF"/>
            <w:noWrap/>
            <w:vAlign w:val="bottom"/>
            <w:hideMark/>
          </w:tcPr>
          <w:p w14:paraId="4A88AD9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5.000,00</w:t>
            </w:r>
          </w:p>
        </w:tc>
        <w:tc>
          <w:tcPr>
            <w:tcW w:w="1559" w:type="dxa"/>
            <w:tcBorders>
              <w:top w:val="nil"/>
              <w:left w:val="nil"/>
              <w:bottom w:val="nil"/>
              <w:right w:val="nil"/>
            </w:tcBorders>
            <w:shd w:val="clear" w:color="000000" w:fill="CCCCFF"/>
            <w:noWrap/>
            <w:vAlign w:val="bottom"/>
            <w:hideMark/>
          </w:tcPr>
          <w:p w14:paraId="78789DA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300,00</w:t>
            </w:r>
          </w:p>
        </w:tc>
        <w:tc>
          <w:tcPr>
            <w:tcW w:w="993" w:type="dxa"/>
            <w:tcBorders>
              <w:top w:val="nil"/>
              <w:left w:val="nil"/>
              <w:bottom w:val="nil"/>
              <w:right w:val="nil"/>
            </w:tcBorders>
            <w:shd w:val="clear" w:color="000000" w:fill="CCCCFF"/>
            <w:noWrap/>
            <w:vAlign w:val="bottom"/>
            <w:hideMark/>
          </w:tcPr>
          <w:p w14:paraId="4644C5B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6,00%</w:t>
            </w:r>
          </w:p>
        </w:tc>
      </w:tr>
      <w:tr w:rsidR="006967F8" w:rsidRPr="006967F8" w14:paraId="6C7A52A2" w14:textId="77777777" w:rsidTr="008A61B1">
        <w:trPr>
          <w:trHeight w:val="255"/>
        </w:trPr>
        <w:tc>
          <w:tcPr>
            <w:tcW w:w="1134" w:type="dxa"/>
            <w:tcBorders>
              <w:top w:val="nil"/>
              <w:left w:val="nil"/>
              <w:bottom w:val="nil"/>
              <w:right w:val="nil"/>
            </w:tcBorders>
            <w:noWrap/>
            <w:vAlign w:val="bottom"/>
            <w:hideMark/>
          </w:tcPr>
          <w:p w14:paraId="3CDC061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5FE2041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7CC46DA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5.000,00</w:t>
            </w:r>
          </w:p>
        </w:tc>
        <w:tc>
          <w:tcPr>
            <w:tcW w:w="1559" w:type="dxa"/>
            <w:tcBorders>
              <w:top w:val="nil"/>
              <w:left w:val="nil"/>
              <w:bottom w:val="nil"/>
              <w:right w:val="nil"/>
            </w:tcBorders>
            <w:noWrap/>
            <w:vAlign w:val="bottom"/>
            <w:hideMark/>
          </w:tcPr>
          <w:p w14:paraId="16AF847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5.000,00</w:t>
            </w:r>
          </w:p>
        </w:tc>
        <w:tc>
          <w:tcPr>
            <w:tcW w:w="1559" w:type="dxa"/>
            <w:tcBorders>
              <w:top w:val="nil"/>
              <w:left w:val="nil"/>
              <w:bottom w:val="nil"/>
              <w:right w:val="nil"/>
            </w:tcBorders>
            <w:noWrap/>
            <w:vAlign w:val="bottom"/>
            <w:hideMark/>
          </w:tcPr>
          <w:p w14:paraId="6678EF1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300,00</w:t>
            </w:r>
          </w:p>
        </w:tc>
        <w:tc>
          <w:tcPr>
            <w:tcW w:w="993" w:type="dxa"/>
            <w:tcBorders>
              <w:top w:val="nil"/>
              <w:left w:val="nil"/>
              <w:bottom w:val="nil"/>
              <w:right w:val="nil"/>
            </w:tcBorders>
            <w:noWrap/>
            <w:vAlign w:val="bottom"/>
            <w:hideMark/>
          </w:tcPr>
          <w:p w14:paraId="487931D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6,00%</w:t>
            </w:r>
          </w:p>
        </w:tc>
      </w:tr>
      <w:tr w:rsidR="006967F8" w:rsidRPr="006967F8" w14:paraId="5E139C6A" w14:textId="77777777" w:rsidTr="008A61B1">
        <w:trPr>
          <w:trHeight w:val="255"/>
        </w:trPr>
        <w:tc>
          <w:tcPr>
            <w:tcW w:w="1134" w:type="dxa"/>
            <w:tcBorders>
              <w:top w:val="nil"/>
              <w:left w:val="nil"/>
              <w:bottom w:val="nil"/>
              <w:right w:val="nil"/>
            </w:tcBorders>
            <w:noWrap/>
            <w:vAlign w:val="bottom"/>
            <w:hideMark/>
          </w:tcPr>
          <w:p w14:paraId="2BC0F3E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3237</w:t>
            </w:r>
          </w:p>
        </w:tc>
        <w:tc>
          <w:tcPr>
            <w:tcW w:w="4962" w:type="dxa"/>
            <w:tcBorders>
              <w:top w:val="nil"/>
              <w:left w:val="nil"/>
              <w:bottom w:val="nil"/>
              <w:right w:val="nil"/>
            </w:tcBorders>
            <w:noWrap/>
            <w:vAlign w:val="bottom"/>
            <w:hideMark/>
          </w:tcPr>
          <w:p w14:paraId="2459EA3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Intelektualne i osobne usluge</w:t>
            </w:r>
          </w:p>
        </w:tc>
        <w:tc>
          <w:tcPr>
            <w:tcW w:w="1559" w:type="dxa"/>
            <w:tcBorders>
              <w:top w:val="nil"/>
              <w:left w:val="nil"/>
              <w:bottom w:val="nil"/>
              <w:right w:val="nil"/>
            </w:tcBorders>
            <w:noWrap/>
            <w:vAlign w:val="bottom"/>
            <w:hideMark/>
          </w:tcPr>
          <w:p w14:paraId="287B1F24"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66675C8"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3C13AFE"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300,00</w:t>
            </w:r>
          </w:p>
        </w:tc>
        <w:tc>
          <w:tcPr>
            <w:tcW w:w="993" w:type="dxa"/>
            <w:tcBorders>
              <w:top w:val="nil"/>
              <w:left w:val="nil"/>
              <w:bottom w:val="nil"/>
              <w:right w:val="nil"/>
            </w:tcBorders>
            <w:noWrap/>
            <w:vAlign w:val="bottom"/>
            <w:hideMark/>
          </w:tcPr>
          <w:p w14:paraId="57010B19"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71FBEF7" w14:textId="77777777" w:rsidTr="008A61B1">
        <w:trPr>
          <w:trHeight w:val="255"/>
        </w:trPr>
        <w:tc>
          <w:tcPr>
            <w:tcW w:w="1134" w:type="dxa"/>
            <w:tcBorders>
              <w:top w:val="nil"/>
              <w:left w:val="nil"/>
              <w:bottom w:val="nil"/>
              <w:right w:val="nil"/>
            </w:tcBorders>
            <w:shd w:val="clear" w:color="000000" w:fill="FF9900"/>
            <w:noWrap/>
            <w:vAlign w:val="bottom"/>
            <w:hideMark/>
          </w:tcPr>
          <w:p w14:paraId="316482A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1207</w:t>
            </w:r>
          </w:p>
        </w:tc>
        <w:tc>
          <w:tcPr>
            <w:tcW w:w="4962" w:type="dxa"/>
            <w:tcBorders>
              <w:top w:val="nil"/>
              <w:left w:val="nil"/>
              <w:bottom w:val="nil"/>
              <w:right w:val="nil"/>
            </w:tcBorders>
            <w:shd w:val="clear" w:color="000000" w:fill="FF9900"/>
            <w:noWrap/>
            <w:vAlign w:val="bottom"/>
            <w:hideMark/>
          </w:tcPr>
          <w:p w14:paraId="77F4E29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Program: CIVILNA ZAŠTITA </w:t>
            </w:r>
          </w:p>
        </w:tc>
        <w:tc>
          <w:tcPr>
            <w:tcW w:w="1559" w:type="dxa"/>
            <w:tcBorders>
              <w:top w:val="nil"/>
              <w:left w:val="nil"/>
              <w:bottom w:val="nil"/>
              <w:right w:val="nil"/>
            </w:tcBorders>
            <w:shd w:val="clear" w:color="000000" w:fill="FF9900"/>
            <w:noWrap/>
            <w:vAlign w:val="bottom"/>
            <w:hideMark/>
          </w:tcPr>
          <w:p w14:paraId="08A65F6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290.042,47</w:t>
            </w:r>
          </w:p>
        </w:tc>
        <w:tc>
          <w:tcPr>
            <w:tcW w:w="1559" w:type="dxa"/>
            <w:tcBorders>
              <w:top w:val="nil"/>
              <w:left w:val="nil"/>
              <w:bottom w:val="nil"/>
              <w:right w:val="nil"/>
            </w:tcBorders>
            <w:shd w:val="clear" w:color="000000" w:fill="FF9900"/>
            <w:noWrap/>
            <w:vAlign w:val="bottom"/>
            <w:hideMark/>
          </w:tcPr>
          <w:p w14:paraId="71A5C48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288.042,47</w:t>
            </w:r>
          </w:p>
        </w:tc>
        <w:tc>
          <w:tcPr>
            <w:tcW w:w="1559" w:type="dxa"/>
            <w:tcBorders>
              <w:top w:val="nil"/>
              <w:left w:val="nil"/>
              <w:bottom w:val="nil"/>
              <w:right w:val="nil"/>
            </w:tcBorders>
            <w:shd w:val="clear" w:color="000000" w:fill="FF9900"/>
            <w:noWrap/>
            <w:vAlign w:val="bottom"/>
            <w:hideMark/>
          </w:tcPr>
          <w:p w14:paraId="7F7098D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237.288,95</w:t>
            </w:r>
          </w:p>
        </w:tc>
        <w:tc>
          <w:tcPr>
            <w:tcW w:w="993" w:type="dxa"/>
            <w:tcBorders>
              <w:top w:val="nil"/>
              <w:left w:val="nil"/>
              <w:bottom w:val="nil"/>
              <w:right w:val="nil"/>
            </w:tcBorders>
            <w:shd w:val="clear" w:color="000000" w:fill="FF9900"/>
            <w:noWrap/>
            <w:vAlign w:val="bottom"/>
            <w:hideMark/>
          </w:tcPr>
          <w:p w14:paraId="1DA5A7B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82,38%</w:t>
            </w:r>
          </w:p>
        </w:tc>
      </w:tr>
      <w:tr w:rsidR="006967F8" w:rsidRPr="006967F8" w14:paraId="4DADE0B2" w14:textId="77777777" w:rsidTr="008A61B1">
        <w:trPr>
          <w:trHeight w:val="255"/>
        </w:trPr>
        <w:tc>
          <w:tcPr>
            <w:tcW w:w="1134" w:type="dxa"/>
            <w:tcBorders>
              <w:top w:val="nil"/>
              <w:left w:val="nil"/>
              <w:bottom w:val="nil"/>
              <w:right w:val="nil"/>
            </w:tcBorders>
            <w:shd w:val="clear" w:color="000000" w:fill="FFFF99"/>
            <w:noWrap/>
            <w:vAlign w:val="bottom"/>
            <w:hideMark/>
          </w:tcPr>
          <w:p w14:paraId="17EDFF5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A100079</w:t>
            </w:r>
          </w:p>
        </w:tc>
        <w:tc>
          <w:tcPr>
            <w:tcW w:w="4962" w:type="dxa"/>
            <w:tcBorders>
              <w:top w:val="nil"/>
              <w:left w:val="nil"/>
              <w:bottom w:val="nil"/>
              <w:right w:val="nil"/>
            </w:tcBorders>
            <w:shd w:val="clear" w:color="000000" w:fill="FFFF99"/>
            <w:noWrap/>
            <w:vAlign w:val="bottom"/>
            <w:hideMark/>
          </w:tcPr>
          <w:p w14:paraId="206A99E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Aktivnost: CIVILNA ZAŠTITA </w:t>
            </w:r>
          </w:p>
        </w:tc>
        <w:tc>
          <w:tcPr>
            <w:tcW w:w="1559" w:type="dxa"/>
            <w:tcBorders>
              <w:top w:val="nil"/>
              <w:left w:val="nil"/>
              <w:bottom w:val="nil"/>
              <w:right w:val="nil"/>
            </w:tcBorders>
            <w:shd w:val="clear" w:color="000000" w:fill="FFFF99"/>
            <w:noWrap/>
            <w:vAlign w:val="bottom"/>
            <w:hideMark/>
          </w:tcPr>
          <w:p w14:paraId="349E39A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9.000,00</w:t>
            </w:r>
          </w:p>
        </w:tc>
        <w:tc>
          <w:tcPr>
            <w:tcW w:w="1559" w:type="dxa"/>
            <w:tcBorders>
              <w:top w:val="nil"/>
              <w:left w:val="nil"/>
              <w:bottom w:val="nil"/>
              <w:right w:val="nil"/>
            </w:tcBorders>
            <w:shd w:val="clear" w:color="000000" w:fill="FFFF99"/>
            <w:noWrap/>
            <w:vAlign w:val="bottom"/>
            <w:hideMark/>
          </w:tcPr>
          <w:p w14:paraId="3517CC7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9.000,00</w:t>
            </w:r>
          </w:p>
        </w:tc>
        <w:tc>
          <w:tcPr>
            <w:tcW w:w="1559" w:type="dxa"/>
            <w:tcBorders>
              <w:top w:val="nil"/>
              <w:left w:val="nil"/>
              <w:bottom w:val="nil"/>
              <w:right w:val="nil"/>
            </w:tcBorders>
            <w:shd w:val="clear" w:color="000000" w:fill="FFFF99"/>
            <w:noWrap/>
            <w:vAlign w:val="bottom"/>
            <w:hideMark/>
          </w:tcPr>
          <w:p w14:paraId="6D0B953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1.393,24</w:t>
            </w:r>
          </w:p>
        </w:tc>
        <w:tc>
          <w:tcPr>
            <w:tcW w:w="993" w:type="dxa"/>
            <w:tcBorders>
              <w:top w:val="nil"/>
              <w:left w:val="nil"/>
              <w:bottom w:val="nil"/>
              <w:right w:val="nil"/>
            </w:tcBorders>
            <w:shd w:val="clear" w:color="000000" w:fill="FFFF99"/>
            <w:noWrap/>
            <w:vAlign w:val="bottom"/>
            <w:hideMark/>
          </w:tcPr>
          <w:p w14:paraId="7067803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15,48%</w:t>
            </w:r>
          </w:p>
        </w:tc>
      </w:tr>
      <w:tr w:rsidR="006967F8" w:rsidRPr="006967F8" w14:paraId="13A0452B"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291E11C"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5175BDD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9.000,00</w:t>
            </w:r>
          </w:p>
        </w:tc>
        <w:tc>
          <w:tcPr>
            <w:tcW w:w="1559" w:type="dxa"/>
            <w:tcBorders>
              <w:top w:val="nil"/>
              <w:left w:val="nil"/>
              <w:bottom w:val="nil"/>
              <w:right w:val="nil"/>
            </w:tcBorders>
            <w:shd w:val="clear" w:color="000000" w:fill="CCCCFF"/>
            <w:noWrap/>
            <w:vAlign w:val="bottom"/>
            <w:hideMark/>
          </w:tcPr>
          <w:p w14:paraId="2D00FD0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9.000,00</w:t>
            </w:r>
          </w:p>
        </w:tc>
        <w:tc>
          <w:tcPr>
            <w:tcW w:w="1559" w:type="dxa"/>
            <w:tcBorders>
              <w:top w:val="nil"/>
              <w:left w:val="nil"/>
              <w:bottom w:val="nil"/>
              <w:right w:val="nil"/>
            </w:tcBorders>
            <w:shd w:val="clear" w:color="000000" w:fill="CCCCFF"/>
            <w:noWrap/>
            <w:vAlign w:val="bottom"/>
            <w:hideMark/>
          </w:tcPr>
          <w:p w14:paraId="19F7F58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1.393,24</w:t>
            </w:r>
          </w:p>
        </w:tc>
        <w:tc>
          <w:tcPr>
            <w:tcW w:w="993" w:type="dxa"/>
            <w:tcBorders>
              <w:top w:val="nil"/>
              <w:left w:val="nil"/>
              <w:bottom w:val="nil"/>
              <w:right w:val="nil"/>
            </w:tcBorders>
            <w:shd w:val="clear" w:color="000000" w:fill="CCCCFF"/>
            <w:noWrap/>
            <w:vAlign w:val="bottom"/>
            <w:hideMark/>
          </w:tcPr>
          <w:p w14:paraId="5892D27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15,48%</w:t>
            </w:r>
          </w:p>
        </w:tc>
      </w:tr>
      <w:tr w:rsidR="006967F8" w:rsidRPr="006967F8" w14:paraId="45184073"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68A4FBA"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0321428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9.000,00</w:t>
            </w:r>
          </w:p>
        </w:tc>
        <w:tc>
          <w:tcPr>
            <w:tcW w:w="1559" w:type="dxa"/>
            <w:tcBorders>
              <w:top w:val="nil"/>
              <w:left w:val="nil"/>
              <w:bottom w:val="nil"/>
              <w:right w:val="nil"/>
            </w:tcBorders>
            <w:shd w:val="clear" w:color="000000" w:fill="CCCCFF"/>
            <w:noWrap/>
            <w:vAlign w:val="bottom"/>
            <w:hideMark/>
          </w:tcPr>
          <w:p w14:paraId="2E01F21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9.000,00</w:t>
            </w:r>
          </w:p>
        </w:tc>
        <w:tc>
          <w:tcPr>
            <w:tcW w:w="1559" w:type="dxa"/>
            <w:tcBorders>
              <w:top w:val="nil"/>
              <w:left w:val="nil"/>
              <w:bottom w:val="nil"/>
              <w:right w:val="nil"/>
            </w:tcBorders>
            <w:shd w:val="clear" w:color="000000" w:fill="CCCCFF"/>
            <w:noWrap/>
            <w:vAlign w:val="bottom"/>
            <w:hideMark/>
          </w:tcPr>
          <w:p w14:paraId="1BB1F77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1.393,24</w:t>
            </w:r>
          </w:p>
        </w:tc>
        <w:tc>
          <w:tcPr>
            <w:tcW w:w="993" w:type="dxa"/>
            <w:tcBorders>
              <w:top w:val="nil"/>
              <w:left w:val="nil"/>
              <w:bottom w:val="nil"/>
              <w:right w:val="nil"/>
            </w:tcBorders>
            <w:shd w:val="clear" w:color="000000" w:fill="CCCCFF"/>
            <w:noWrap/>
            <w:vAlign w:val="bottom"/>
            <w:hideMark/>
          </w:tcPr>
          <w:p w14:paraId="156E574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15,48%</w:t>
            </w:r>
          </w:p>
        </w:tc>
      </w:tr>
      <w:tr w:rsidR="006967F8" w:rsidRPr="006967F8" w14:paraId="6C7466FF" w14:textId="77777777" w:rsidTr="008A61B1">
        <w:trPr>
          <w:trHeight w:val="255"/>
        </w:trPr>
        <w:tc>
          <w:tcPr>
            <w:tcW w:w="1134" w:type="dxa"/>
            <w:tcBorders>
              <w:top w:val="nil"/>
              <w:left w:val="nil"/>
              <w:bottom w:val="nil"/>
              <w:right w:val="nil"/>
            </w:tcBorders>
            <w:noWrap/>
            <w:vAlign w:val="bottom"/>
            <w:hideMark/>
          </w:tcPr>
          <w:p w14:paraId="4E6D51F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52ED866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7D4A274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7.000,00</w:t>
            </w:r>
          </w:p>
        </w:tc>
        <w:tc>
          <w:tcPr>
            <w:tcW w:w="1559" w:type="dxa"/>
            <w:tcBorders>
              <w:top w:val="nil"/>
              <w:left w:val="nil"/>
              <w:bottom w:val="nil"/>
              <w:right w:val="nil"/>
            </w:tcBorders>
            <w:noWrap/>
            <w:vAlign w:val="bottom"/>
            <w:hideMark/>
          </w:tcPr>
          <w:p w14:paraId="20D1FDC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7.000,00</w:t>
            </w:r>
          </w:p>
        </w:tc>
        <w:tc>
          <w:tcPr>
            <w:tcW w:w="1559" w:type="dxa"/>
            <w:tcBorders>
              <w:top w:val="nil"/>
              <w:left w:val="nil"/>
              <w:bottom w:val="nil"/>
              <w:right w:val="nil"/>
            </w:tcBorders>
            <w:noWrap/>
            <w:vAlign w:val="bottom"/>
            <w:hideMark/>
          </w:tcPr>
          <w:p w14:paraId="33008DA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1.393,24</w:t>
            </w:r>
          </w:p>
        </w:tc>
        <w:tc>
          <w:tcPr>
            <w:tcW w:w="993" w:type="dxa"/>
            <w:tcBorders>
              <w:top w:val="nil"/>
              <w:left w:val="nil"/>
              <w:bottom w:val="nil"/>
              <w:right w:val="nil"/>
            </w:tcBorders>
            <w:noWrap/>
            <w:vAlign w:val="bottom"/>
            <w:hideMark/>
          </w:tcPr>
          <w:p w14:paraId="374851B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19,90%</w:t>
            </w:r>
          </w:p>
        </w:tc>
      </w:tr>
      <w:tr w:rsidR="006967F8" w:rsidRPr="006967F8" w14:paraId="5B99FEBC" w14:textId="77777777" w:rsidTr="008A61B1">
        <w:trPr>
          <w:trHeight w:val="255"/>
        </w:trPr>
        <w:tc>
          <w:tcPr>
            <w:tcW w:w="1134" w:type="dxa"/>
            <w:tcBorders>
              <w:top w:val="nil"/>
              <w:left w:val="nil"/>
              <w:bottom w:val="nil"/>
              <w:right w:val="nil"/>
            </w:tcBorders>
            <w:noWrap/>
            <w:vAlign w:val="bottom"/>
            <w:hideMark/>
          </w:tcPr>
          <w:p w14:paraId="48A02C5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3237</w:t>
            </w:r>
          </w:p>
        </w:tc>
        <w:tc>
          <w:tcPr>
            <w:tcW w:w="4962" w:type="dxa"/>
            <w:tcBorders>
              <w:top w:val="nil"/>
              <w:left w:val="nil"/>
              <w:bottom w:val="nil"/>
              <w:right w:val="nil"/>
            </w:tcBorders>
            <w:noWrap/>
            <w:vAlign w:val="bottom"/>
            <w:hideMark/>
          </w:tcPr>
          <w:p w14:paraId="43D1C81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Intelektualne i osobne usluge</w:t>
            </w:r>
          </w:p>
        </w:tc>
        <w:tc>
          <w:tcPr>
            <w:tcW w:w="1559" w:type="dxa"/>
            <w:tcBorders>
              <w:top w:val="nil"/>
              <w:left w:val="nil"/>
              <w:bottom w:val="nil"/>
              <w:right w:val="nil"/>
            </w:tcBorders>
            <w:noWrap/>
            <w:vAlign w:val="bottom"/>
            <w:hideMark/>
          </w:tcPr>
          <w:p w14:paraId="61F5126F"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1D1197F"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DCBE991"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1.062,50</w:t>
            </w:r>
          </w:p>
        </w:tc>
        <w:tc>
          <w:tcPr>
            <w:tcW w:w="993" w:type="dxa"/>
            <w:tcBorders>
              <w:top w:val="nil"/>
              <w:left w:val="nil"/>
              <w:bottom w:val="nil"/>
              <w:right w:val="nil"/>
            </w:tcBorders>
            <w:noWrap/>
            <w:vAlign w:val="bottom"/>
            <w:hideMark/>
          </w:tcPr>
          <w:p w14:paraId="32CC1DA5"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175376E" w14:textId="77777777" w:rsidTr="008A61B1">
        <w:trPr>
          <w:trHeight w:val="255"/>
        </w:trPr>
        <w:tc>
          <w:tcPr>
            <w:tcW w:w="1134" w:type="dxa"/>
            <w:tcBorders>
              <w:top w:val="nil"/>
              <w:left w:val="nil"/>
              <w:bottom w:val="nil"/>
              <w:right w:val="nil"/>
            </w:tcBorders>
            <w:noWrap/>
            <w:vAlign w:val="bottom"/>
            <w:hideMark/>
          </w:tcPr>
          <w:p w14:paraId="3DCE4A3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3299</w:t>
            </w:r>
          </w:p>
        </w:tc>
        <w:tc>
          <w:tcPr>
            <w:tcW w:w="4962" w:type="dxa"/>
            <w:tcBorders>
              <w:top w:val="nil"/>
              <w:left w:val="nil"/>
              <w:bottom w:val="nil"/>
              <w:right w:val="nil"/>
            </w:tcBorders>
            <w:noWrap/>
            <w:vAlign w:val="bottom"/>
            <w:hideMark/>
          </w:tcPr>
          <w:p w14:paraId="2E00EFC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nespomenuti rashodi poslovanja</w:t>
            </w:r>
          </w:p>
        </w:tc>
        <w:tc>
          <w:tcPr>
            <w:tcW w:w="1559" w:type="dxa"/>
            <w:tcBorders>
              <w:top w:val="nil"/>
              <w:left w:val="nil"/>
              <w:bottom w:val="nil"/>
              <w:right w:val="nil"/>
            </w:tcBorders>
            <w:noWrap/>
            <w:vAlign w:val="bottom"/>
            <w:hideMark/>
          </w:tcPr>
          <w:p w14:paraId="74FA6A32"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5C8EB03"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7ECACD4"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330,74</w:t>
            </w:r>
          </w:p>
        </w:tc>
        <w:tc>
          <w:tcPr>
            <w:tcW w:w="993" w:type="dxa"/>
            <w:tcBorders>
              <w:top w:val="nil"/>
              <w:left w:val="nil"/>
              <w:bottom w:val="nil"/>
              <w:right w:val="nil"/>
            </w:tcBorders>
            <w:noWrap/>
            <w:vAlign w:val="bottom"/>
            <w:hideMark/>
          </w:tcPr>
          <w:p w14:paraId="5DAF1994"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311977C" w14:textId="77777777" w:rsidTr="008A61B1">
        <w:trPr>
          <w:trHeight w:val="585"/>
        </w:trPr>
        <w:tc>
          <w:tcPr>
            <w:tcW w:w="1134" w:type="dxa"/>
            <w:tcBorders>
              <w:top w:val="nil"/>
              <w:left w:val="nil"/>
              <w:bottom w:val="nil"/>
              <w:right w:val="nil"/>
            </w:tcBorders>
            <w:noWrap/>
            <w:vAlign w:val="bottom"/>
            <w:hideMark/>
          </w:tcPr>
          <w:p w14:paraId="28DC49A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2603866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70490B3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w:t>
            </w:r>
          </w:p>
        </w:tc>
        <w:tc>
          <w:tcPr>
            <w:tcW w:w="1559" w:type="dxa"/>
            <w:tcBorders>
              <w:top w:val="nil"/>
              <w:left w:val="nil"/>
              <w:bottom w:val="nil"/>
              <w:right w:val="nil"/>
            </w:tcBorders>
            <w:noWrap/>
            <w:vAlign w:val="bottom"/>
            <w:hideMark/>
          </w:tcPr>
          <w:p w14:paraId="3D40345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w:t>
            </w:r>
          </w:p>
        </w:tc>
        <w:tc>
          <w:tcPr>
            <w:tcW w:w="1559" w:type="dxa"/>
            <w:tcBorders>
              <w:top w:val="nil"/>
              <w:left w:val="nil"/>
              <w:bottom w:val="nil"/>
              <w:right w:val="nil"/>
            </w:tcBorders>
            <w:noWrap/>
            <w:vAlign w:val="bottom"/>
            <w:hideMark/>
          </w:tcPr>
          <w:p w14:paraId="6324D51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170F5A8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7528C5DD" w14:textId="77777777" w:rsidTr="008A61B1">
        <w:trPr>
          <w:trHeight w:val="600"/>
        </w:trPr>
        <w:tc>
          <w:tcPr>
            <w:tcW w:w="1134" w:type="dxa"/>
            <w:tcBorders>
              <w:top w:val="nil"/>
              <w:left w:val="nil"/>
              <w:bottom w:val="nil"/>
              <w:right w:val="nil"/>
            </w:tcBorders>
            <w:shd w:val="clear" w:color="000000" w:fill="FFFF99"/>
            <w:vAlign w:val="bottom"/>
            <w:hideMark/>
          </w:tcPr>
          <w:p w14:paraId="14ED35B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A100081</w:t>
            </w:r>
          </w:p>
        </w:tc>
        <w:tc>
          <w:tcPr>
            <w:tcW w:w="4962" w:type="dxa"/>
            <w:tcBorders>
              <w:top w:val="nil"/>
              <w:left w:val="nil"/>
              <w:bottom w:val="nil"/>
              <w:right w:val="nil"/>
            </w:tcBorders>
            <w:shd w:val="clear" w:color="000000" w:fill="FFFF99"/>
            <w:vAlign w:val="bottom"/>
            <w:hideMark/>
          </w:tcPr>
          <w:p w14:paraId="6B331DE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Aktivnost: HRVATSKA GORSKA SLUŽBA SPAŠAVANJA </w:t>
            </w:r>
          </w:p>
        </w:tc>
        <w:tc>
          <w:tcPr>
            <w:tcW w:w="1559" w:type="dxa"/>
            <w:tcBorders>
              <w:top w:val="nil"/>
              <w:left w:val="nil"/>
              <w:bottom w:val="nil"/>
              <w:right w:val="nil"/>
            </w:tcBorders>
            <w:shd w:val="clear" w:color="000000" w:fill="FFFF99"/>
            <w:noWrap/>
            <w:vAlign w:val="bottom"/>
            <w:hideMark/>
          </w:tcPr>
          <w:p w14:paraId="230FE28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shd w:val="clear" w:color="000000" w:fill="FFFF99"/>
            <w:noWrap/>
            <w:vAlign w:val="bottom"/>
            <w:hideMark/>
          </w:tcPr>
          <w:p w14:paraId="3371BE7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shd w:val="clear" w:color="000000" w:fill="FFFF99"/>
            <w:noWrap/>
            <w:vAlign w:val="bottom"/>
            <w:hideMark/>
          </w:tcPr>
          <w:p w14:paraId="2DA5A7C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993" w:type="dxa"/>
            <w:tcBorders>
              <w:top w:val="nil"/>
              <w:left w:val="nil"/>
              <w:bottom w:val="nil"/>
              <w:right w:val="nil"/>
            </w:tcBorders>
            <w:shd w:val="clear" w:color="000000" w:fill="FFFF99"/>
            <w:noWrap/>
            <w:vAlign w:val="bottom"/>
            <w:hideMark/>
          </w:tcPr>
          <w:p w14:paraId="4721C25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r>
      <w:tr w:rsidR="006967F8" w:rsidRPr="006967F8" w14:paraId="02AA2749"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83B95B7"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60EB4CA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3DE8348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1032F52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993" w:type="dxa"/>
            <w:tcBorders>
              <w:top w:val="nil"/>
              <w:left w:val="nil"/>
              <w:bottom w:val="nil"/>
              <w:right w:val="nil"/>
            </w:tcBorders>
            <w:shd w:val="clear" w:color="000000" w:fill="CCCCFF"/>
            <w:noWrap/>
            <w:vAlign w:val="bottom"/>
            <w:hideMark/>
          </w:tcPr>
          <w:p w14:paraId="0DF4C80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780FE99B"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4B1C93A"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4381884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5B55938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7D08D74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993" w:type="dxa"/>
            <w:tcBorders>
              <w:top w:val="nil"/>
              <w:left w:val="nil"/>
              <w:bottom w:val="nil"/>
              <w:right w:val="nil"/>
            </w:tcBorders>
            <w:shd w:val="clear" w:color="000000" w:fill="CCCCFF"/>
            <w:noWrap/>
            <w:vAlign w:val="bottom"/>
            <w:hideMark/>
          </w:tcPr>
          <w:p w14:paraId="57371AE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7941DE78" w14:textId="77777777" w:rsidTr="008A61B1">
        <w:trPr>
          <w:trHeight w:val="540"/>
        </w:trPr>
        <w:tc>
          <w:tcPr>
            <w:tcW w:w="1134" w:type="dxa"/>
            <w:tcBorders>
              <w:top w:val="nil"/>
              <w:left w:val="nil"/>
              <w:bottom w:val="nil"/>
              <w:right w:val="nil"/>
            </w:tcBorders>
            <w:noWrap/>
            <w:vAlign w:val="bottom"/>
            <w:hideMark/>
          </w:tcPr>
          <w:p w14:paraId="1581C96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38</w:t>
            </w:r>
          </w:p>
        </w:tc>
        <w:tc>
          <w:tcPr>
            <w:tcW w:w="4962" w:type="dxa"/>
            <w:tcBorders>
              <w:top w:val="nil"/>
              <w:left w:val="nil"/>
              <w:bottom w:val="nil"/>
              <w:right w:val="nil"/>
            </w:tcBorders>
            <w:vAlign w:val="bottom"/>
            <w:hideMark/>
          </w:tcPr>
          <w:p w14:paraId="2F187C6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donacije, kazne, naknade šteta i kapitalne pomoći</w:t>
            </w:r>
          </w:p>
        </w:tc>
        <w:tc>
          <w:tcPr>
            <w:tcW w:w="1559" w:type="dxa"/>
            <w:tcBorders>
              <w:top w:val="nil"/>
              <w:left w:val="nil"/>
              <w:bottom w:val="nil"/>
              <w:right w:val="nil"/>
            </w:tcBorders>
            <w:noWrap/>
            <w:vAlign w:val="bottom"/>
            <w:hideMark/>
          </w:tcPr>
          <w:p w14:paraId="5969BBF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noWrap/>
            <w:vAlign w:val="bottom"/>
            <w:hideMark/>
          </w:tcPr>
          <w:p w14:paraId="485D855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noWrap/>
            <w:vAlign w:val="bottom"/>
            <w:hideMark/>
          </w:tcPr>
          <w:p w14:paraId="46D14FC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993" w:type="dxa"/>
            <w:tcBorders>
              <w:top w:val="nil"/>
              <w:left w:val="nil"/>
              <w:bottom w:val="nil"/>
              <w:right w:val="nil"/>
            </w:tcBorders>
            <w:noWrap/>
            <w:vAlign w:val="bottom"/>
            <w:hideMark/>
          </w:tcPr>
          <w:p w14:paraId="66EEFBE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r>
      <w:tr w:rsidR="006967F8" w:rsidRPr="006967F8" w14:paraId="61384423" w14:textId="77777777" w:rsidTr="008A61B1">
        <w:trPr>
          <w:trHeight w:val="255"/>
        </w:trPr>
        <w:tc>
          <w:tcPr>
            <w:tcW w:w="1134" w:type="dxa"/>
            <w:tcBorders>
              <w:top w:val="nil"/>
              <w:left w:val="nil"/>
              <w:bottom w:val="nil"/>
              <w:right w:val="nil"/>
            </w:tcBorders>
            <w:noWrap/>
            <w:vAlign w:val="bottom"/>
            <w:hideMark/>
          </w:tcPr>
          <w:p w14:paraId="6F00ABD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3811</w:t>
            </w:r>
          </w:p>
        </w:tc>
        <w:tc>
          <w:tcPr>
            <w:tcW w:w="4962" w:type="dxa"/>
            <w:tcBorders>
              <w:top w:val="nil"/>
              <w:left w:val="nil"/>
              <w:bottom w:val="nil"/>
              <w:right w:val="nil"/>
            </w:tcBorders>
            <w:noWrap/>
            <w:vAlign w:val="bottom"/>
            <w:hideMark/>
          </w:tcPr>
          <w:p w14:paraId="07CD0F8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Tekuće donacije u novcu</w:t>
            </w:r>
          </w:p>
        </w:tc>
        <w:tc>
          <w:tcPr>
            <w:tcW w:w="1559" w:type="dxa"/>
            <w:tcBorders>
              <w:top w:val="nil"/>
              <w:left w:val="nil"/>
              <w:bottom w:val="nil"/>
              <w:right w:val="nil"/>
            </w:tcBorders>
            <w:noWrap/>
            <w:vAlign w:val="bottom"/>
            <w:hideMark/>
          </w:tcPr>
          <w:p w14:paraId="60D97F57"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2F70985"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A34EFC9"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20.000,00</w:t>
            </w:r>
          </w:p>
        </w:tc>
        <w:tc>
          <w:tcPr>
            <w:tcW w:w="993" w:type="dxa"/>
            <w:tcBorders>
              <w:top w:val="nil"/>
              <w:left w:val="nil"/>
              <w:bottom w:val="nil"/>
              <w:right w:val="nil"/>
            </w:tcBorders>
            <w:noWrap/>
            <w:vAlign w:val="bottom"/>
            <w:hideMark/>
          </w:tcPr>
          <w:p w14:paraId="4BDFBBE6"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7FC66D9" w14:textId="77777777" w:rsidTr="008A61B1">
        <w:trPr>
          <w:trHeight w:val="615"/>
        </w:trPr>
        <w:tc>
          <w:tcPr>
            <w:tcW w:w="1134" w:type="dxa"/>
            <w:tcBorders>
              <w:top w:val="nil"/>
              <w:left w:val="nil"/>
              <w:bottom w:val="nil"/>
              <w:right w:val="nil"/>
            </w:tcBorders>
            <w:shd w:val="clear" w:color="000000" w:fill="FFFF99"/>
            <w:noWrap/>
            <w:vAlign w:val="bottom"/>
            <w:hideMark/>
          </w:tcPr>
          <w:p w14:paraId="469AEDE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A100088</w:t>
            </w:r>
          </w:p>
        </w:tc>
        <w:tc>
          <w:tcPr>
            <w:tcW w:w="4962" w:type="dxa"/>
            <w:tcBorders>
              <w:top w:val="nil"/>
              <w:left w:val="nil"/>
              <w:bottom w:val="nil"/>
              <w:right w:val="nil"/>
            </w:tcBorders>
            <w:shd w:val="clear" w:color="000000" w:fill="FFFF99"/>
            <w:vAlign w:val="bottom"/>
            <w:hideMark/>
          </w:tcPr>
          <w:p w14:paraId="40A55BB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Aktivnost: REDOVNA DJELATNOST VATROGASNE ZAJEDNICE </w:t>
            </w:r>
          </w:p>
        </w:tc>
        <w:tc>
          <w:tcPr>
            <w:tcW w:w="1559" w:type="dxa"/>
            <w:tcBorders>
              <w:top w:val="nil"/>
              <w:left w:val="nil"/>
              <w:bottom w:val="nil"/>
              <w:right w:val="nil"/>
            </w:tcBorders>
            <w:shd w:val="clear" w:color="000000" w:fill="FFFF99"/>
            <w:noWrap/>
            <w:vAlign w:val="bottom"/>
            <w:hideMark/>
          </w:tcPr>
          <w:p w14:paraId="22BC0FB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91.000,00</w:t>
            </w:r>
          </w:p>
        </w:tc>
        <w:tc>
          <w:tcPr>
            <w:tcW w:w="1559" w:type="dxa"/>
            <w:tcBorders>
              <w:top w:val="nil"/>
              <w:left w:val="nil"/>
              <w:bottom w:val="nil"/>
              <w:right w:val="nil"/>
            </w:tcBorders>
            <w:shd w:val="clear" w:color="000000" w:fill="FFFF99"/>
            <w:noWrap/>
            <w:vAlign w:val="bottom"/>
            <w:hideMark/>
          </w:tcPr>
          <w:p w14:paraId="23B3949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91.000,00</w:t>
            </w:r>
          </w:p>
        </w:tc>
        <w:tc>
          <w:tcPr>
            <w:tcW w:w="1559" w:type="dxa"/>
            <w:tcBorders>
              <w:top w:val="nil"/>
              <w:left w:val="nil"/>
              <w:bottom w:val="nil"/>
              <w:right w:val="nil"/>
            </w:tcBorders>
            <w:shd w:val="clear" w:color="000000" w:fill="FFFF99"/>
            <w:noWrap/>
            <w:vAlign w:val="bottom"/>
            <w:hideMark/>
          </w:tcPr>
          <w:p w14:paraId="3B58CFD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89.987,50</w:t>
            </w:r>
          </w:p>
        </w:tc>
        <w:tc>
          <w:tcPr>
            <w:tcW w:w="993" w:type="dxa"/>
            <w:tcBorders>
              <w:top w:val="nil"/>
              <w:left w:val="nil"/>
              <w:bottom w:val="nil"/>
              <w:right w:val="nil"/>
            </w:tcBorders>
            <w:shd w:val="clear" w:color="000000" w:fill="FFFF99"/>
            <w:noWrap/>
            <w:vAlign w:val="bottom"/>
            <w:hideMark/>
          </w:tcPr>
          <w:p w14:paraId="5929E9D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98,89%</w:t>
            </w:r>
          </w:p>
        </w:tc>
      </w:tr>
      <w:tr w:rsidR="006967F8" w:rsidRPr="006967F8" w14:paraId="663920C3"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9025DD5"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1AD6ADC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91.000,00</w:t>
            </w:r>
          </w:p>
        </w:tc>
        <w:tc>
          <w:tcPr>
            <w:tcW w:w="1559" w:type="dxa"/>
            <w:tcBorders>
              <w:top w:val="nil"/>
              <w:left w:val="nil"/>
              <w:bottom w:val="nil"/>
              <w:right w:val="nil"/>
            </w:tcBorders>
            <w:shd w:val="clear" w:color="000000" w:fill="CCCCFF"/>
            <w:noWrap/>
            <w:vAlign w:val="bottom"/>
            <w:hideMark/>
          </w:tcPr>
          <w:p w14:paraId="38D4F59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91.000,00</w:t>
            </w:r>
          </w:p>
        </w:tc>
        <w:tc>
          <w:tcPr>
            <w:tcW w:w="1559" w:type="dxa"/>
            <w:tcBorders>
              <w:top w:val="nil"/>
              <w:left w:val="nil"/>
              <w:bottom w:val="nil"/>
              <w:right w:val="nil"/>
            </w:tcBorders>
            <w:shd w:val="clear" w:color="000000" w:fill="CCCCFF"/>
            <w:noWrap/>
            <w:vAlign w:val="bottom"/>
            <w:hideMark/>
          </w:tcPr>
          <w:p w14:paraId="5CDDB2C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89.987,50</w:t>
            </w:r>
          </w:p>
        </w:tc>
        <w:tc>
          <w:tcPr>
            <w:tcW w:w="993" w:type="dxa"/>
            <w:tcBorders>
              <w:top w:val="nil"/>
              <w:left w:val="nil"/>
              <w:bottom w:val="nil"/>
              <w:right w:val="nil"/>
            </w:tcBorders>
            <w:shd w:val="clear" w:color="000000" w:fill="CCCCFF"/>
            <w:noWrap/>
            <w:vAlign w:val="bottom"/>
            <w:hideMark/>
          </w:tcPr>
          <w:p w14:paraId="4021A80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98,89%</w:t>
            </w:r>
          </w:p>
        </w:tc>
      </w:tr>
      <w:tr w:rsidR="006967F8" w:rsidRPr="006967F8" w14:paraId="78542763"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8AAC676"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0A8C6CB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91.000,00</w:t>
            </w:r>
          </w:p>
        </w:tc>
        <w:tc>
          <w:tcPr>
            <w:tcW w:w="1559" w:type="dxa"/>
            <w:tcBorders>
              <w:top w:val="nil"/>
              <w:left w:val="nil"/>
              <w:bottom w:val="nil"/>
              <w:right w:val="nil"/>
            </w:tcBorders>
            <w:shd w:val="clear" w:color="000000" w:fill="CCCCFF"/>
            <w:noWrap/>
            <w:vAlign w:val="bottom"/>
            <w:hideMark/>
          </w:tcPr>
          <w:p w14:paraId="483480A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91.000,00</w:t>
            </w:r>
          </w:p>
        </w:tc>
        <w:tc>
          <w:tcPr>
            <w:tcW w:w="1559" w:type="dxa"/>
            <w:tcBorders>
              <w:top w:val="nil"/>
              <w:left w:val="nil"/>
              <w:bottom w:val="nil"/>
              <w:right w:val="nil"/>
            </w:tcBorders>
            <w:shd w:val="clear" w:color="000000" w:fill="CCCCFF"/>
            <w:noWrap/>
            <w:vAlign w:val="bottom"/>
            <w:hideMark/>
          </w:tcPr>
          <w:p w14:paraId="21375E8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89.987,50</w:t>
            </w:r>
          </w:p>
        </w:tc>
        <w:tc>
          <w:tcPr>
            <w:tcW w:w="993" w:type="dxa"/>
            <w:tcBorders>
              <w:top w:val="nil"/>
              <w:left w:val="nil"/>
              <w:bottom w:val="nil"/>
              <w:right w:val="nil"/>
            </w:tcBorders>
            <w:shd w:val="clear" w:color="000000" w:fill="CCCCFF"/>
            <w:noWrap/>
            <w:vAlign w:val="bottom"/>
            <w:hideMark/>
          </w:tcPr>
          <w:p w14:paraId="64324A2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98,89%</w:t>
            </w:r>
          </w:p>
        </w:tc>
      </w:tr>
      <w:tr w:rsidR="006967F8" w:rsidRPr="006967F8" w14:paraId="5C4FDE38" w14:textId="77777777" w:rsidTr="008A61B1">
        <w:trPr>
          <w:trHeight w:val="510"/>
        </w:trPr>
        <w:tc>
          <w:tcPr>
            <w:tcW w:w="1134" w:type="dxa"/>
            <w:tcBorders>
              <w:top w:val="nil"/>
              <w:left w:val="nil"/>
              <w:bottom w:val="nil"/>
              <w:right w:val="nil"/>
            </w:tcBorders>
            <w:noWrap/>
            <w:vAlign w:val="bottom"/>
            <w:hideMark/>
          </w:tcPr>
          <w:p w14:paraId="4F78040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38</w:t>
            </w:r>
          </w:p>
        </w:tc>
        <w:tc>
          <w:tcPr>
            <w:tcW w:w="4962" w:type="dxa"/>
            <w:tcBorders>
              <w:top w:val="nil"/>
              <w:left w:val="nil"/>
              <w:bottom w:val="nil"/>
              <w:right w:val="nil"/>
            </w:tcBorders>
            <w:vAlign w:val="bottom"/>
            <w:hideMark/>
          </w:tcPr>
          <w:p w14:paraId="4A3EDB7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donacije, kazne, naknade šteta i kapitalne pomoći</w:t>
            </w:r>
          </w:p>
        </w:tc>
        <w:tc>
          <w:tcPr>
            <w:tcW w:w="1559" w:type="dxa"/>
            <w:tcBorders>
              <w:top w:val="nil"/>
              <w:left w:val="nil"/>
              <w:bottom w:val="nil"/>
              <w:right w:val="nil"/>
            </w:tcBorders>
            <w:noWrap/>
            <w:vAlign w:val="bottom"/>
            <w:hideMark/>
          </w:tcPr>
          <w:p w14:paraId="6875CE5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91.000,00</w:t>
            </w:r>
          </w:p>
        </w:tc>
        <w:tc>
          <w:tcPr>
            <w:tcW w:w="1559" w:type="dxa"/>
            <w:tcBorders>
              <w:top w:val="nil"/>
              <w:left w:val="nil"/>
              <w:bottom w:val="nil"/>
              <w:right w:val="nil"/>
            </w:tcBorders>
            <w:noWrap/>
            <w:vAlign w:val="bottom"/>
            <w:hideMark/>
          </w:tcPr>
          <w:p w14:paraId="0A7A2B0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91.000,00</w:t>
            </w:r>
          </w:p>
        </w:tc>
        <w:tc>
          <w:tcPr>
            <w:tcW w:w="1559" w:type="dxa"/>
            <w:tcBorders>
              <w:top w:val="nil"/>
              <w:left w:val="nil"/>
              <w:bottom w:val="nil"/>
              <w:right w:val="nil"/>
            </w:tcBorders>
            <w:noWrap/>
            <w:vAlign w:val="bottom"/>
            <w:hideMark/>
          </w:tcPr>
          <w:p w14:paraId="0BD1D80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89.987,50</w:t>
            </w:r>
          </w:p>
        </w:tc>
        <w:tc>
          <w:tcPr>
            <w:tcW w:w="993" w:type="dxa"/>
            <w:tcBorders>
              <w:top w:val="nil"/>
              <w:left w:val="nil"/>
              <w:bottom w:val="nil"/>
              <w:right w:val="nil"/>
            </w:tcBorders>
            <w:noWrap/>
            <w:vAlign w:val="bottom"/>
            <w:hideMark/>
          </w:tcPr>
          <w:p w14:paraId="0C5963A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98,89%</w:t>
            </w:r>
          </w:p>
        </w:tc>
      </w:tr>
      <w:tr w:rsidR="006967F8" w:rsidRPr="006967F8" w14:paraId="7E9C54A4" w14:textId="77777777" w:rsidTr="008A61B1">
        <w:trPr>
          <w:trHeight w:val="255"/>
        </w:trPr>
        <w:tc>
          <w:tcPr>
            <w:tcW w:w="1134" w:type="dxa"/>
            <w:tcBorders>
              <w:top w:val="nil"/>
              <w:left w:val="nil"/>
              <w:bottom w:val="nil"/>
              <w:right w:val="nil"/>
            </w:tcBorders>
            <w:noWrap/>
            <w:vAlign w:val="bottom"/>
            <w:hideMark/>
          </w:tcPr>
          <w:p w14:paraId="7F0CF62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3811</w:t>
            </w:r>
          </w:p>
        </w:tc>
        <w:tc>
          <w:tcPr>
            <w:tcW w:w="4962" w:type="dxa"/>
            <w:tcBorders>
              <w:top w:val="nil"/>
              <w:left w:val="nil"/>
              <w:bottom w:val="nil"/>
              <w:right w:val="nil"/>
            </w:tcBorders>
            <w:noWrap/>
            <w:vAlign w:val="bottom"/>
            <w:hideMark/>
          </w:tcPr>
          <w:p w14:paraId="2F4C91B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Tekuće donacije u novcu</w:t>
            </w:r>
          </w:p>
        </w:tc>
        <w:tc>
          <w:tcPr>
            <w:tcW w:w="1559" w:type="dxa"/>
            <w:tcBorders>
              <w:top w:val="nil"/>
              <w:left w:val="nil"/>
              <w:bottom w:val="nil"/>
              <w:right w:val="nil"/>
            </w:tcBorders>
            <w:noWrap/>
            <w:vAlign w:val="bottom"/>
            <w:hideMark/>
          </w:tcPr>
          <w:p w14:paraId="277EAEB0"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20058EC"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2603E69"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85.260,00</w:t>
            </w:r>
          </w:p>
        </w:tc>
        <w:tc>
          <w:tcPr>
            <w:tcW w:w="993" w:type="dxa"/>
            <w:tcBorders>
              <w:top w:val="nil"/>
              <w:left w:val="nil"/>
              <w:bottom w:val="nil"/>
              <w:right w:val="nil"/>
            </w:tcBorders>
            <w:noWrap/>
            <w:vAlign w:val="bottom"/>
            <w:hideMark/>
          </w:tcPr>
          <w:p w14:paraId="61471277"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2F8ED4A" w14:textId="77777777" w:rsidTr="008A61B1">
        <w:trPr>
          <w:trHeight w:val="255"/>
        </w:trPr>
        <w:tc>
          <w:tcPr>
            <w:tcW w:w="1134" w:type="dxa"/>
            <w:tcBorders>
              <w:top w:val="nil"/>
              <w:left w:val="nil"/>
              <w:bottom w:val="nil"/>
              <w:right w:val="nil"/>
            </w:tcBorders>
            <w:noWrap/>
            <w:vAlign w:val="bottom"/>
            <w:hideMark/>
          </w:tcPr>
          <w:p w14:paraId="4E68099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3821</w:t>
            </w:r>
          </w:p>
        </w:tc>
        <w:tc>
          <w:tcPr>
            <w:tcW w:w="4962" w:type="dxa"/>
            <w:tcBorders>
              <w:top w:val="nil"/>
              <w:left w:val="nil"/>
              <w:bottom w:val="nil"/>
              <w:right w:val="nil"/>
            </w:tcBorders>
            <w:noWrap/>
            <w:vAlign w:val="bottom"/>
            <w:hideMark/>
          </w:tcPr>
          <w:p w14:paraId="0845DDE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Kapitalne donacije neprofitnim organizacijama</w:t>
            </w:r>
          </w:p>
        </w:tc>
        <w:tc>
          <w:tcPr>
            <w:tcW w:w="1559" w:type="dxa"/>
            <w:tcBorders>
              <w:top w:val="nil"/>
              <w:left w:val="nil"/>
              <w:bottom w:val="nil"/>
              <w:right w:val="nil"/>
            </w:tcBorders>
            <w:noWrap/>
            <w:vAlign w:val="bottom"/>
            <w:hideMark/>
          </w:tcPr>
          <w:p w14:paraId="7B5F734F"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7D78FF8"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3BAD0B8"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4.727,50</w:t>
            </w:r>
          </w:p>
        </w:tc>
        <w:tc>
          <w:tcPr>
            <w:tcW w:w="993" w:type="dxa"/>
            <w:tcBorders>
              <w:top w:val="nil"/>
              <w:left w:val="nil"/>
              <w:bottom w:val="nil"/>
              <w:right w:val="nil"/>
            </w:tcBorders>
            <w:noWrap/>
            <w:vAlign w:val="bottom"/>
            <w:hideMark/>
          </w:tcPr>
          <w:p w14:paraId="70E60273"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4BF3512" w14:textId="77777777" w:rsidTr="008A61B1">
        <w:trPr>
          <w:trHeight w:val="540"/>
        </w:trPr>
        <w:tc>
          <w:tcPr>
            <w:tcW w:w="1134" w:type="dxa"/>
            <w:tcBorders>
              <w:top w:val="nil"/>
              <w:left w:val="nil"/>
              <w:bottom w:val="nil"/>
              <w:right w:val="nil"/>
            </w:tcBorders>
            <w:shd w:val="clear" w:color="000000" w:fill="FFFF99"/>
            <w:noWrap/>
            <w:vAlign w:val="bottom"/>
            <w:hideMark/>
          </w:tcPr>
          <w:p w14:paraId="62B3FEE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K100082</w:t>
            </w:r>
          </w:p>
        </w:tc>
        <w:tc>
          <w:tcPr>
            <w:tcW w:w="4962" w:type="dxa"/>
            <w:tcBorders>
              <w:top w:val="nil"/>
              <w:left w:val="nil"/>
              <w:bottom w:val="nil"/>
              <w:right w:val="nil"/>
            </w:tcBorders>
            <w:shd w:val="clear" w:color="000000" w:fill="FFFF99"/>
            <w:vAlign w:val="bottom"/>
            <w:hideMark/>
          </w:tcPr>
          <w:p w14:paraId="2E47E28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Kapitalni projekt: NABAVA NOVOG VATROGASNOG VOZILA </w:t>
            </w:r>
          </w:p>
        </w:tc>
        <w:tc>
          <w:tcPr>
            <w:tcW w:w="1559" w:type="dxa"/>
            <w:tcBorders>
              <w:top w:val="nil"/>
              <w:left w:val="nil"/>
              <w:bottom w:val="nil"/>
              <w:right w:val="nil"/>
            </w:tcBorders>
            <w:shd w:val="clear" w:color="000000" w:fill="FFFF99"/>
            <w:noWrap/>
            <w:vAlign w:val="bottom"/>
            <w:hideMark/>
          </w:tcPr>
          <w:p w14:paraId="16C933E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170.042,47</w:t>
            </w:r>
          </w:p>
        </w:tc>
        <w:tc>
          <w:tcPr>
            <w:tcW w:w="1559" w:type="dxa"/>
            <w:tcBorders>
              <w:top w:val="nil"/>
              <w:left w:val="nil"/>
              <w:bottom w:val="nil"/>
              <w:right w:val="nil"/>
            </w:tcBorders>
            <w:shd w:val="clear" w:color="000000" w:fill="FFFF99"/>
            <w:noWrap/>
            <w:vAlign w:val="bottom"/>
            <w:hideMark/>
          </w:tcPr>
          <w:p w14:paraId="3FD7D70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168.042,47</w:t>
            </w:r>
          </w:p>
        </w:tc>
        <w:tc>
          <w:tcPr>
            <w:tcW w:w="1559" w:type="dxa"/>
            <w:tcBorders>
              <w:top w:val="nil"/>
              <w:left w:val="nil"/>
              <w:bottom w:val="nil"/>
              <w:right w:val="nil"/>
            </w:tcBorders>
            <w:shd w:val="clear" w:color="000000" w:fill="FFFF99"/>
            <w:noWrap/>
            <w:vAlign w:val="bottom"/>
            <w:hideMark/>
          </w:tcPr>
          <w:p w14:paraId="5660889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125.908,21</w:t>
            </w:r>
          </w:p>
        </w:tc>
        <w:tc>
          <w:tcPr>
            <w:tcW w:w="993" w:type="dxa"/>
            <w:tcBorders>
              <w:top w:val="nil"/>
              <w:left w:val="nil"/>
              <w:bottom w:val="nil"/>
              <w:right w:val="nil"/>
            </w:tcBorders>
            <w:shd w:val="clear" w:color="000000" w:fill="FFFF99"/>
            <w:noWrap/>
            <w:vAlign w:val="bottom"/>
            <w:hideMark/>
          </w:tcPr>
          <w:p w14:paraId="50652EB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74,93%</w:t>
            </w:r>
          </w:p>
        </w:tc>
      </w:tr>
      <w:tr w:rsidR="006967F8" w:rsidRPr="006967F8" w14:paraId="66DF3033"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663CBA8"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7D88B6E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130.042,47</w:t>
            </w:r>
          </w:p>
        </w:tc>
        <w:tc>
          <w:tcPr>
            <w:tcW w:w="1559" w:type="dxa"/>
            <w:tcBorders>
              <w:top w:val="nil"/>
              <w:left w:val="nil"/>
              <w:bottom w:val="nil"/>
              <w:right w:val="nil"/>
            </w:tcBorders>
            <w:shd w:val="clear" w:color="000000" w:fill="CCCCFF"/>
            <w:noWrap/>
            <w:vAlign w:val="bottom"/>
            <w:hideMark/>
          </w:tcPr>
          <w:p w14:paraId="00DCE78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130.042,47</w:t>
            </w:r>
          </w:p>
        </w:tc>
        <w:tc>
          <w:tcPr>
            <w:tcW w:w="1559" w:type="dxa"/>
            <w:tcBorders>
              <w:top w:val="nil"/>
              <w:left w:val="nil"/>
              <w:bottom w:val="nil"/>
              <w:right w:val="nil"/>
            </w:tcBorders>
            <w:shd w:val="clear" w:color="000000" w:fill="CCCCFF"/>
            <w:noWrap/>
            <w:vAlign w:val="bottom"/>
            <w:hideMark/>
          </w:tcPr>
          <w:p w14:paraId="35ABD1F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125.908,21</w:t>
            </w:r>
          </w:p>
        </w:tc>
        <w:tc>
          <w:tcPr>
            <w:tcW w:w="993" w:type="dxa"/>
            <w:tcBorders>
              <w:top w:val="nil"/>
              <w:left w:val="nil"/>
              <w:bottom w:val="nil"/>
              <w:right w:val="nil"/>
            </w:tcBorders>
            <w:shd w:val="clear" w:color="000000" w:fill="CCCCFF"/>
            <w:noWrap/>
            <w:vAlign w:val="bottom"/>
            <w:hideMark/>
          </w:tcPr>
          <w:p w14:paraId="1BA3682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96,82%</w:t>
            </w:r>
          </w:p>
        </w:tc>
      </w:tr>
      <w:tr w:rsidR="006967F8" w:rsidRPr="006967F8" w14:paraId="32FA3A60"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B490FC9"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5CEF642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130.042,47</w:t>
            </w:r>
          </w:p>
        </w:tc>
        <w:tc>
          <w:tcPr>
            <w:tcW w:w="1559" w:type="dxa"/>
            <w:tcBorders>
              <w:top w:val="nil"/>
              <w:left w:val="nil"/>
              <w:bottom w:val="nil"/>
              <w:right w:val="nil"/>
            </w:tcBorders>
            <w:shd w:val="clear" w:color="000000" w:fill="CCCCFF"/>
            <w:noWrap/>
            <w:vAlign w:val="bottom"/>
            <w:hideMark/>
          </w:tcPr>
          <w:p w14:paraId="66E195E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130.042,47</w:t>
            </w:r>
          </w:p>
        </w:tc>
        <w:tc>
          <w:tcPr>
            <w:tcW w:w="1559" w:type="dxa"/>
            <w:tcBorders>
              <w:top w:val="nil"/>
              <w:left w:val="nil"/>
              <w:bottom w:val="nil"/>
              <w:right w:val="nil"/>
            </w:tcBorders>
            <w:shd w:val="clear" w:color="000000" w:fill="CCCCFF"/>
            <w:noWrap/>
            <w:vAlign w:val="bottom"/>
            <w:hideMark/>
          </w:tcPr>
          <w:p w14:paraId="77410DD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125.908,21</w:t>
            </w:r>
          </w:p>
        </w:tc>
        <w:tc>
          <w:tcPr>
            <w:tcW w:w="993" w:type="dxa"/>
            <w:tcBorders>
              <w:top w:val="nil"/>
              <w:left w:val="nil"/>
              <w:bottom w:val="nil"/>
              <w:right w:val="nil"/>
            </w:tcBorders>
            <w:shd w:val="clear" w:color="000000" w:fill="CCCCFF"/>
            <w:noWrap/>
            <w:vAlign w:val="bottom"/>
            <w:hideMark/>
          </w:tcPr>
          <w:p w14:paraId="15BDF20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96,82%</w:t>
            </w:r>
          </w:p>
        </w:tc>
      </w:tr>
      <w:tr w:rsidR="006967F8" w:rsidRPr="006967F8" w14:paraId="513B3364" w14:textId="77777777" w:rsidTr="008A61B1">
        <w:trPr>
          <w:trHeight w:val="570"/>
        </w:trPr>
        <w:tc>
          <w:tcPr>
            <w:tcW w:w="1134" w:type="dxa"/>
            <w:tcBorders>
              <w:top w:val="nil"/>
              <w:left w:val="nil"/>
              <w:bottom w:val="nil"/>
              <w:right w:val="nil"/>
            </w:tcBorders>
            <w:noWrap/>
            <w:vAlign w:val="bottom"/>
            <w:hideMark/>
          </w:tcPr>
          <w:p w14:paraId="449E542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38</w:t>
            </w:r>
          </w:p>
        </w:tc>
        <w:tc>
          <w:tcPr>
            <w:tcW w:w="4962" w:type="dxa"/>
            <w:tcBorders>
              <w:top w:val="nil"/>
              <w:left w:val="nil"/>
              <w:bottom w:val="nil"/>
              <w:right w:val="nil"/>
            </w:tcBorders>
            <w:vAlign w:val="bottom"/>
            <w:hideMark/>
          </w:tcPr>
          <w:p w14:paraId="09106AB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donacije, kazne, naknade šteta i kapitalne pomoći</w:t>
            </w:r>
          </w:p>
        </w:tc>
        <w:tc>
          <w:tcPr>
            <w:tcW w:w="1559" w:type="dxa"/>
            <w:tcBorders>
              <w:top w:val="nil"/>
              <w:left w:val="nil"/>
              <w:bottom w:val="nil"/>
              <w:right w:val="nil"/>
            </w:tcBorders>
            <w:noWrap/>
            <w:vAlign w:val="bottom"/>
            <w:hideMark/>
          </w:tcPr>
          <w:p w14:paraId="55DAA79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130.042,47</w:t>
            </w:r>
          </w:p>
        </w:tc>
        <w:tc>
          <w:tcPr>
            <w:tcW w:w="1559" w:type="dxa"/>
            <w:tcBorders>
              <w:top w:val="nil"/>
              <w:left w:val="nil"/>
              <w:bottom w:val="nil"/>
              <w:right w:val="nil"/>
            </w:tcBorders>
            <w:noWrap/>
            <w:vAlign w:val="bottom"/>
            <w:hideMark/>
          </w:tcPr>
          <w:p w14:paraId="405B9BF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130.042,47</w:t>
            </w:r>
          </w:p>
        </w:tc>
        <w:tc>
          <w:tcPr>
            <w:tcW w:w="1559" w:type="dxa"/>
            <w:tcBorders>
              <w:top w:val="nil"/>
              <w:left w:val="nil"/>
              <w:bottom w:val="nil"/>
              <w:right w:val="nil"/>
            </w:tcBorders>
            <w:noWrap/>
            <w:vAlign w:val="bottom"/>
            <w:hideMark/>
          </w:tcPr>
          <w:p w14:paraId="157B9D0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125.908,21</w:t>
            </w:r>
          </w:p>
        </w:tc>
        <w:tc>
          <w:tcPr>
            <w:tcW w:w="993" w:type="dxa"/>
            <w:tcBorders>
              <w:top w:val="nil"/>
              <w:left w:val="nil"/>
              <w:bottom w:val="nil"/>
              <w:right w:val="nil"/>
            </w:tcBorders>
            <w:noWrap/>
            <w:vAlign w:val="bottom"/>
            <w:hideMark/>
          </w:tcPr>
          <w:p w14:paraId="42444C9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96,82%</w:t>
            </w:r>
          </w:p>
        </w:tc>
      </w:tr>
      <w:tr w:rsidR="006967F8" w:rsidRPr="006967F8" w14:paraId="673DB905" w14:textId="77777777" w:rsidTr="008A61B1">
        <w:trPr>
          <w:trHeight w:val="255"/>
        </w:trPr>
        <w:tc>
          <w:tcPr>
            <w:tcW w:w="1134" w:type="dxa"/>
            <w:tcBorders>
              <w:top w:val="nil"/>
              <w:left w:val="nil"/>
              <w:bottom w:val="nil"/>
              <w:right w:val="nil"/>
            </w:tcBorders>
            <w:noWrap/>
            <w:vAlign w:val="bottom"/>
            <w:hideMark/>
          </w:tcPr>
          <w:p w14:paraId="672F6AC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3811</w:t>
            </w:r>
          </w:p>
        </w:tc>
        <w:tc>
          <w:tcPr>
            <w:tcW w:w="4962" w:type="dxa"/>
            <w:tcBorders>
              <w:top w:val="nil"/>
              <w:left w:val="nil"/>
              <w:bottom w:val="nil"/>
              <w:right w:val="nil"/>
            </w:tcBorders>
            <w:noWrap/>
            <w:vAlign w:val="bottom"/>
            <w:hideMark/>
          </w:tcPr>
          <w:p w14:paraId="212134C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Tekuće donacije u novcu</w:t>
            </w:r>
          </w:p>
        </w:tc>
        <w:tc>
          <w:tcPr>
            <w:tcW w:w="1559" w:type="dxa"/>
            <w:tcBorders>
              <w:top w:val="nil"/>
              <w:left w:val="nil"/>
              <w:bottom w:val="nil"/>
              <w:right w:val="nil"/>
            </w:tcBorders>
            <w:noWrap/>
            <w:vAlign w:val="bottom"/>
            <w:hideMark/>
          </w:tcPr>
          <w:p w14:paraId="11F1BABD"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195AA59"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5B4C8F5"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15.042,47</w:t>
            </w:r>
          </w:p>
        </w:tc>
        <w:tc>
          <w:tcPr>
            <w:tcW w:w="993" w:type="dxa"/>
            <w:tcBorders>
              <w:top w:val="nil"/>
              <w:left w:val="nil"/>
              <w:bottom w:val="nil"/>
              <w:right w:val="nil"/>
            </w:tcBorders>
            <w:noWrap/>
            <w:vAlign w:val="bottom"/>
            <w:hideMark/>
          </w:tcPr>
          <w:p w14:paraId="638E5AC9"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E4BBFEB" w14:textId="77777777" w:rsidTr="008A61B1">
        <w:trPr>
          <w:trHeight w:val="255"/>
        </w:trPr>
        <w:tc>
          <w:tcPr>
            <w:tcW w:w="1134" w:type="dxa"/>
            <w:tcBorders>
              <w:top w:val="nil"/>
              <w:left w:val="nil"/>
              <w:bottom w:val="nil"/>
              <w:right w:val="nil"/>
            </w:tcBorders>
            <w:noWrap/>
            <w:vAlign w:val="bottom"/>
            <w:hideMark/>
          </w:tcPr>
          <w:p w14:paraId="45EFD32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3821</w:t>
            </w:r>
          </w:p>
        </w:tc>
        <w:tc>
          <w:tcPr>
            <w:tcW w:w="4962" w:type="dxa"/>
            <w:tcBorders>
              <w:top w:val="nil"/>
              <w:left w:val="nil"/>
              <w:bottom w:val="nil"/>
              <w:right w:val="nil"/>
            </w:tcBorders>
            <w:noWrap/>
            <w:vAlign w:val="bottom"/>
            <w:hideMark/>
          </w:tcPr>
          <w:p w14:paraId="1C844CF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Kapitalne donacije neprofitnim organizacijama</w:t>
            </w:r>
          </w:p>
        </w:tc>
        <w:tc>
          <w:tcPr>
            <w:tcW w:w="1559" w:type="dxa"/>
            <w:tcBorders>
              <w:top w:val="nil"/>
              <w:left w:val="nil"/>
              <w:bottom w:val="nil"/>
              <w:right w:val="nil"/>
            </w:tcBorders>
            <w:noWrap/>
            <w:vAlign w:val="bottom"/>
            <w:hideMark/>
          </w:tcPr>
          <w:p w14:paraId="1A88A839"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7AA510D"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BF417FF"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110.865,74</w:t>
            </w:r>
          </w:p>
        </w:tc>
        <w:tc>
          <w:tcPr>
            <w:tcW w:w="993" w:type="dxa"/>
            <w:tcBorders>
              <w:top w:val="nil"/>
              <w:left w:val="nil"/>
              <w:bottom w:val="nil"/>
              <w:right w:val="nil"/>
            </w:tcBorders>
            <w:noWrap/>
            <w:vAlign w:val="bottom"/>
            <w:hideMark/>
          </w:tcPr>
          <w:p w14:paraId="4E4954EC"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6FEA2C2"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B0E8092"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266757F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40.000,00</w:t>
            </w:r>
          </w:p>
        </w:tc>
        <w:tc>
          <w:tcPr>
            <w:tcW w:w="1559" w:type="dxa"/>
            <w:tcBorders>
              <w:top w:val="nil"/>
              <w:left w:val="nil"/>
              <w:bottom w:val="nil"/>
              <w:right w:val="nil"/>
            </w:tcBorders>
            <w:shd w:val="clear" w:color="000000" w:fill="CCCCFF"/>
            <w:noWrap/>
            <w:vAlign w:val="bottom"/>
            <w:hideMark/>
          </w:tcPr>
          <w:p w14:paraId="65A5E94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38.000,00</w:t>
            </w:r>
          </w:p>
        </w:tc>
        <w:tc>
          <w:tcPr>
            <w:tcW w:w="1559" w:type="dxa"/>
            <w:tcBorders>
              <w:top w:val="nil"/>
              <w:left w:val="nil"/>
              <w:bottom w:val="nil"/>
              <w:right w:val="nil"/>
            </w:tcBorders>
            <w:shd w:val="clear" w:color="000000" w:fill="CCCCFF"/>
            <w:noWrap/>
            <w:vAlign w:val="bottom"/>
            <w:hideMark/>
          </w:tcPr>
          <w:p w14:paraId="28F441F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3D94228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7E3806A4"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1B6F260"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5.1. Ostale pomoći</w:t>
            </w:r>
          </w:p>
        </w:tc>
        <w:tc>
          <w:tcPr>
            <w:tcW w:w="1559" w:type="dxa"/>
            <w:tcBorders>
              <w:top w:val="nil"/>
              <w:left w:val="nil"/>
              <w:bottom w:val="nil"/>
              <w:right w:val="nil"/>
            </w:tcBorders>
            <w:shd w:val="clear" w:color="000000" w:fill="CCCCFF"/>
            <w:noWrap/>
            <w:vAlign w:val="bottom"/>
            <w:hideMark/>
          </w:tcPr>
          <w:p w14:paraId="027D172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40.000,00</w:t>
            </w:r>
          </w:p>
        </w:tc>
        <w:tc>
          <w:tcPr>
            <w:tcW w:w="1559" w:type="dxa"/>
            <w:tcBorders>
              <w:top w:val="nil"/>
              <w:left w:val="nil"/>
              <w:bottom w:val="nil"/>
              <w:right w:val="nil"/>
            </w:tcBorders>
            <w:shd w:val="clear" w:color="000000" w:fill="CCCCFF"/>
            <w:noWrap/>
            <w:vAlign w:val="bottom"/>
            <w:hideMark/>
          </w:tcPr>
          <w:p w14:paraId="13ED270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38.000,00</w:t>
            </w:r>
          </w:p>
        </w:tc>
        <w:tc>
          <w:tcPr>
            <w:tcW w:w="1559" w:type="dxa"/>
            <w:tcBorders>
              <w:top w:val="nil"/>
              <w:left w:val="nil"/>
              <w:bottom w:val="nil"/>
              <w:right w:val="nil"/>
            </w:tcBorders>
            <w:shd w:val="clear" w:color="000000" w:fill="CCCCFF"/>
            <w:noWrap/>
            <w:vAlign w:val="bottom"/>
            <w:hideMark/>
          </w:tcPr>
          <w:p w14:paraId="0C00044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77B1E20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30CD765D" w14:textId="77777777" w:rsidTr="008A61B1">
        <w:trPr>
          <w:trHeight w:val="585"/>
        </w:trPr>
        <w:tc>
          <w:tcPr>
            <w:tcW w:w="1134" w:type="dxa"/>
            <w:tcBorders>
              <w:top w:val="nil"/>
              <w:left w:val="nil"/>
              <w:bottom w:val="nil"/>
              <w:right w:val="nil"/>
            </w:tcBorders>
            <w:noWrap/>
            <w:vAlign w:val="bottom"/>
            <w:hideMark/>
          </w:tcPr>
          <w:p w14:paraId="4663D07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38</w:t>
            </w:r>
          </w:p>
        </w:tc>
        <w:tc>
          <w:tcPr>
            <w:tcW w:w="4962" w:type="dxa"/>
            <w:tcBorders>
              <w:top w:val="nil"/>
              <w:left w:val="nil"/>
              <w:bottom w:val="nil"/>
              <w:right w:val="nil"/>
            </w:tcBorders>
            <w:vAlign w:val="bottom"/>
            <w:hideMark/>
          </w:tcPr>
          <w:p w14:paraId="7E414E0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donacije, kazne, naknade šteta i kapitalne pomoći</w:t>
            </w:r>
          </w:p>
        </w:tc>
        <w:tc>
          <w:tcPr>
            <w:tcW w:w="1559" w:type="dxa"/>
            <w:tcBorders>
              <w:top w:val="nil"/>
              <w:left w:val="nil"/>
              <w:bottom w:val="nil"/>
              <w:right w:val="nil"/>
            </w:tcBorders>
            <w:noWrap/>
            <w:vAlign w:val="bottom"/>
            <w:hideMark/>
          </w:tcPr>
          <w:p w14:paraId="2A5C4D5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40.000,00</w:t>
            </w:r>
          </w:p>
        </w:tc>
        <w:tc>
          <w:tcPr>
            <w:tcW w:w="1559" w:type="dxa"/>
            <w:tcBorders>
              <w:top w:val="nil"/>
              <w:left w:val="nil"/>
              <w:bottom w:val="nil"/>
              <w:right w:val="nil"/>
            </w:tcBorders>
            <w:noWrap/>
            <w:vAlign w:val="bottom"/>
            <w:hideMark/>
          </w:tcPr>
          <w:p w14:paraId="3210164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38.000,00</w:t>
            </w:r>
          </w:p>
        </w:tc>
        <w:tc>
          <w:tcPr>
            <w:tcW w:w="1559" w:type="dxa"/>
            <w:tcBorders>
              <w:top w:val="nil"/>
              <w:left w:val="nil"/>
              <w:bottom w:val="nil"/>
              <w:right w:val="nil"/>
            </w:tcBorders>
            <w:noWrap/>
            <w:vAlign w:val="bottom"/>
            <w:hideMark/>
          </w:tcPr>
          <w:p w14:paraId="2E33EF3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196E1FF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7D800E6D" w14:textId="77777777" w:rsidTr="008A61B1">
        <w:trPr>
          <w:trHeight w:val="255"/>
        </w:trPr>
        <w:tc>
          <w:tcPr>
            <w:tcW w:w="1134" w:type="dxa"/>
            <w:tcBorders>
              <w:top w:val="nil"/>
              <w:left w:val="nil"/>
              <w:bottom w:val="nil"/>
              <w:right w:val="nil"/>
            </w:tcBorders>
            <w:shd w:val="clear" w:color="000000" w:fill="FF9900"/>
            <w:noWrap/>
            <w:vAlign w:val="bottom"/>
            <w:hideMark/>
          </w:tcPr>
          <w:p w14:paraId="55429EA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1208</w:t>
            </w:r>
          </w:p>
        </w:tc>
        <w:tc>
          <w:tcPr>
            <w:tcW w:w="4962" w:type="dxa"/>
            <w:tcBorders>
              <w:top w:val="nil"/>
              <w:left w:val="nil"/>
              <w:bottom w:val="nil"/>
              <w:right w:val="nil"/>
            </w:tcBorders>
            <w:shd w:val="clear" w:color="000000" w:fill="FF9900"/>
            <w:noWrap/>
            <w:vAlign w:val="bottom"/>
            <w:hideMark/>
          </w:tcPr>
          <w:p w14:paraId="77CC865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Program: POLJOPRIVREDA</w:t>
            </w:r>
          </w:p>
        </w:tc>
        <w:tc>
          <w:tcPr>
            <w:tcW w:w="1559" w:type="dxa"/>
            <w:tcBorders>
              <w:top w:val="nil"/>
              <w:left w:val="nil"/>
              <w:bottom w:val="nil"/>
              <w:right w:val="nil"/>
            </w:tcBorders>
            <w:shd w:val="clear" w:color="000000" w:fill="FF9900"/>
            <w:noWrap/>
            <w:vAlign w:val="bottom"/>
            <w:hideMark/>
          </w:tcPr>
          <w:p w14:paraId="7C49A69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14.000,00</w:t>
            </w:r>
          </w:p>
        </w:tc>
        <w:tc>
          <w:tcPr>
            <w:tcW w:w="1559" w:type="dxa"/>
            <w:tcBorders>
              <w:top w:val="nil"/>
              <w:left w:val="nil"/>
              <w:bottom w:val="nil"/>
              <w:right w:val="nil"/>
            </w:tcBorders>
            <w:shd w:val="clear" w:color="000000" w:fill="FF9900"/>
            <w:noWrap/>
            <w:vAlign w:val="bottom"/>
            <w:hideMark/>
          </w:tcPr>
          <w:p w14:paraId="3089E97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14.000,00</w:t>
            </w:r>
          </w:p>
        </w:tc>
        <w:tc>
          <w:tcPr>
            <w:tcW w:w="1559" w:type="dxa"/>
            <w:tcBorders>
              <w:top w:val="nil"/>
              <w:left w:val="nil"/>
              <w:bottom w:val="nil"/>
              <w:right w:val="nil"/>
            </w:tcBorders>
            <w:shd w:val="clear" w:color="000000" w:fill="FF9900"/>
            <w:noWrap/>
            <w:vAlign w:val="bottom"/>
            <w:hideMark/>
          </w:tcPr>
          <w:p w14:paraId="35CE73F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7.000,00</w:t>
            </w:r>
          </w:p>
        </w:tc>
        <w:tc>
          <w:tcPr>
            <w:tcW w:w="993" w:type="dxa"/>
            <w:tcBorders>
              <w:top w:val="nil"/>
              <w:left w:val="nil"/>
              <w:bottom w:val="nil"/>
              <w:right w:val="nil"/>
            </w:tcBorders>
            <w:shd w:val="clear" w:color="000000" w:fill="FF9900"/>
            <w:noWrap/>
            <w:vAlign w:val="bottom"/>
            <w:hideMark/>
          </w:tcPr>
          <w:p w14:paraId="4C44911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w:t>
            </w:r>
          </w:p>
        </w:tc>
      </w:tr>
      <w:tr w:rsidR="006967F8" w:rsidRPr="006967F8" w14:paraId="5E9CD9CD" w14:textId="77777777" w:rsidTr="008A61B1">
        <w:trPr>
          <w:trHeight w:val="555"/>
        </w:trPr>
        <w:tc>
          <w:tcPr>
            <w:tcW w:w="1134" w:type="dxa"/>
            <w:tcBorders>
              <w:top w:val="nil"/>
              <w:left w:val="nil"/>
              <w:bottom w:val="nil"/>
              <w:right w:val="nil"/>
            </w:tcBorders>
            <w:shd w:val="clear" w:color="000000" w:fill="FFFF99"/>
            <w:noWrap/>
            <w:vAlign w:val="bottom"/>
            <w:hideMark/>
          </w:tcPr>
          <w:p w14:paraId="34B6665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A100020</w:t>
            </w:r>
          </w:p>
        </w:tc>
        <w:tc>
          <w:tcPr>
            <w:tcW w:w="4962" w:type="dxa"/>
            <w:tcBorders>
              <w:top w:val="nil"/>
              <w:left w:val="nil"/>
              <w:bottom w:val="nil"/>
              <w:right w:val="nil"/>
            </w:tcBorders>
            <w:shd w:val="clear" w:color="000000" w:fill="FFFF99"/>
            <w:vAlign w:val="bottom"/>
            <w:hideMark/>
          </w:tcPr>
          <w:p w14:paraId="548092B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Aktivnost: TEKUĆE DONACIJE UDRUGAMA I ORGANIZACIJAMA U POLJOPRIVREDI</w:t>
            </w:r>
          </w:p>
        </w:tc>
        <w:tc>
          <w:tcPr>
            <w:tcW w:w="1559" w:type="dxa"/>
            <w:tcBorders>
              <w:top w:val="nil"/>
              <w:left w:val="nil"/>
              <w:bottom w:val="nil"/>
              <w:right w:val="nil"/>
            </w:tcBorders>
            <w:shd w:val="clear" w:color="000000" w:fill="FFFF99"/>
            <w:noWrap/>
            <w:vAlign w:val="bottom"/>
            <w:hideMark/>
          </w:tcPr>
          <w:p w14:paraId="638A178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7.000,00</w:t>
            </w:r>
          </w:p>
        </w:tc>
        <w:tc>
          <w:tcPr>
            <w:tcW w:w="1559" w:type="dxa"/>
            <w:tcBorders>
              <w:top w:val="nil"/>
              <w:left w:val="nil"/>
              <w:bottom w:val="nil"/>
              <w:right w:val="nil"/>
            </w:tcBorders>
            <w:shd w:val="clear" w:color="000000" w:fill="FFFF99"/>
            <w:noWrap/>
            <w:vAlign w:val="bottom"/>
            <w:hideMark/>
          </w:tcPr>
          <w:p w14:paraId="43B6739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7.000,00</w:t>
            </w:r>
          </w:p>
        </w:tc>
        <w:tc>
          <w:tcPr>
            <w:tcW w:w="1559" w:type="dxa"/>
            <w:tcBorders>
              <w:top w:val="nil"/>
              <w:left w:val="nil"/>
              <w:bottom w:val="nil"/>
              <w:right w:val="nil"/>
            </w:tcBorders>
            <w:shd w:val="clear" w:color="000000" w:fill="FFFF99"/>
            <w:noWrap/>
            <w:vAlign w:val="bottom"/>
            <w:hideMark/>
          </w:tcPr>
          <w:p w14:paraId="497D028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7.000,00</w:t>
            </w:r>
          </w:p>
        </w:tc>
        <w:tc>
          <w:tcPr>
            <w:tcW w:w="993" w:type="dxa"/>
            <w:tcBorders>
              <w:top w:val="nil"/>
              <w:left w:val="nil"/>
              <w:bottom w:val="nil"/>
              <w:right w:val="nil"/>
            </w:tcBorders>
            <w:shd w:val="clear" w:color="000000" w:fill="FFFF99"/>
            <w:noWrap/>
            <w:vAlign w:val="bottom"/>
            <w:hideMark/>
          </w:tcPr>
          <w:p w14:paraId="5BD6E85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r>
      <w:tr w:rsidR="006967F8" w:rsidRPr="006967F8" w14:paraId="6E7EF7B0"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25C7925"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70A05AF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7.000,00</w:t>
            </w:r>
          </w:p>
        </w:tc>
        <w:tc>
          <w:tcPr>
            <w:tcW w:w="1559" w:type="dxa"/>
            <w:tcBorders>
              <w:top w:val="nil"/>
              <w:left w:val="nil"/>
              <w:bottom w:val="nil"/>
              <w:right w:val="nil"/>
            </w:tcBorders>
            <w:shd w:val="clear" w:color="000000" w:fill="CCCCFF"/>
            <w:noWrap/>
            <w:vAlign w:val="bottom"/>
            <w:hideMark/>
          </w:tcPr>
          <w:p w14:paraId="52CE2CA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7.000,00</w:t>
            </w:r>
          </w:p>
        </w:tc>
        <w:tc>
          <w:tcPr>
            <w:tcW w:w="1559" w:type="dxa"/>
            <w:tcBorders>
              <w:top w:val="nil"/>
              <w:left w:val="nil"/>
              <w:bottom w:val="nil"/>
              <w:right w:val="nil"/>
            </w:tcBorders>
            <w:shd w:val="clear" w:color="000000" w:fill="CCCCFF"/>
            <w:noWrap/>
            <w:vAlign w:val="bottom"/>
            <w:hideMark/>
          </w:tcPr>
          <w:p w14:paraId="4A94507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7.000,00</w:t>
            </w:r>
          </w:p>
        </w:tc>
        <w:tc>
          <w:tcPr>
            <w:tcW w:w="993" w:type="dxa"/>
            <w:tcBorders>
              <w:top w:val="nil"/>
              <w:left w:val="nil"/>
              <w:bottom w:val="nil"/>
              <w:right w:val="nil"/>
            </w:tcBorders>
            <w:shd w:val="clear" w:color="000000" w:fill="CCCCFF"/>
            <w:noWrap/>
            <w:vAlign w:val="bottom"/>
            <w:hideMark/>
          </w:tcPr>
          <w:p w14:paraId="36E0F0B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5005B139"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7F11406"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1699F20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7.000,00</w:t>
            </w:r>
          </w:p>
        </w:tc>
        <w:tc>
          <w:tcPr>
            <w:tcW w:w="1559" w:type="dxa"/>
            <w:tcBorders>
              <w:top w:val="nil"/>
              <w:left w:val="nil"/>
              <w:bottom w:val="nil"/>
              <w:right w:val="nil"/>
            </w:tcBorders>
            <w:shd w:val="clear" w:color="000000" w:fill="CCCCFF"/>
            <w:noWrap/>
            <w:vAlign w:val="bottom"/>
            <w:hideMark/>
          </w:tcPr>
          <w:p w14:paraId="2AE7248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7.000,00</w:t>
            </w:r>
          </w:p>
        </w:tc>
        <w:tc>
          <w:tcPr>
            <w:tcW w:w="1559" w:type="dxa"/>
            <w:tcBorders>
              <w:top w:val="nil"/>
              <w:left w:val="nil"/>
              <w:bottom w:val="nil"/>
              <w:right w:val="nil"/>
            </w:tcBorders>
            <w:shd w:val="clear" w:color="000000" w:fill="CCCCFF"/>
            <w:noWrap/>
            <w:vAlign w:val="bottom"/>
            <w:hideMark/>
          </w:tcPr>
          <w:p w14:paraId="0071200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7.000,00</w:t>
            </w:r>
          </w:p>
        </w:tc>
        <w:tc>
          <w:tcPr>
            <w:tcW w:w="993" w:type="dxa"/>
            <w:tcBorders>
              <w:top w:val="nil"/>
              <w:left w:val="nil"/>
              <w:bottom w:val="nil"/>
              <w:right w:val="nil"/>
            </w:tcBorders>
            <w:shd w:val="clear" w:color="000000" w:fill="CCCCFF"/>
            <w:noWrap/>
            <w:vAlign w:val="bottom"/>
            <w:hideMark/>
          </w:tcPr>
          <w:p w14:paraId="0EE7070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7449512F" w14:textId="77777777" w:rsidTr="008A61B1">
        <w:trPr>
          <w:trHeight w:val="570"/>
        </w:trPr>
        <w:tc>
          <w:tcPr>
            <w:tcW w:w="1134" w:type="dxa"/>
            <w:tcBorders>
              <w:top w:val="nil"/>
              <w:left w:val="nil"/>
              <w:bottom w:val="nil"/>
              <w:right w:val="nil"/>
            </w:tcBorders>
            <w:noWrap/>
            <w:vAlign w:val="bottom"/>
            <w:hideMark/>
          </w:tcPr>
          <w:p w14:paraId="056CAB9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lastRenderedPageBreak/>
              <w:t>38</w:t>
            </w:r>
          </w:p>
        </w:tc>
        <w:tc>
          <w:tcPr>
            <w:tcW w:w="4962" w:type="dxa"/>
            <w:tcBorders>
              <w:top w:val="nil"/>
              <w:left w:val="nil"/>
              <w:bottom w:val="nil"/>
              <w:right w:val="nil"/>
            </w:tcBorders>
            <w:vAlign w:val="bottom"/>
            <w:hideMark/>
          </w:tcPr>
          <w:p w14:paraId="34FF93C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donacije, kazne, naknade šteta i kapitalne pomoći</w:t>
            </w:r>
          </w:p>
        </w:tc>
        <w:tc>
          <w:tcPr>
            <w:tcW w:w="1559" w:type="dxa"/>
            <w:tcBorders>
              <w:top w:val="nil"/>
              <w:left w:val="nil"/>
              <w:bottom w:val="nil"/>
              <w:right w:val="nil"/>
            </w:tcBorders>
            <w:noWrap/>
            <w:vAlign w:val="bottom"/>
            <w:hideMark/>
          </w:tcPr>
          <w:p w14:paraId="4BD4FD8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7.000,00</w:t>
            </w:r>
          </w:p>
        </w:tc>
        <w:tc>
          <w:tcPr>
            <w:tcW w:w="1559" w:type="dxa"/>
            <w:tcBorders>
              <w:top w:val="nil"/>
              <w:left w:val="nil"/>
              <w:bottom w:val="nil"/>
              <w:right w:val="nil"/>
            </w:tcBorders>
            <w:noWrap/>
            <w:vAlign w:val="bottom"/>
            <w:hideMark/>
          </w:tcPr>
          <w:p w14:paraId="450FF64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7.000,00</w:t>
            </w:r>
          </w:p>
        </w:tc>
        <w:tc>
          <w:tcPr>
            <w:tcW w:w="1559" w:type="dxa"/>
            <w:tcBorders>
              <w:top w:val="nil"/>
              <w:left w:val="nil"/>
              <w:bottom w:val="nil"/>
              <w:right w:val="nil"/>
            </w:tcBorders>
            <w:noWrap/>
            <w:vAlign w:val="bottom"/>
            <w:hideMark/>
          </w:tcPr>
          <w:p w14:paraId="10678C1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7.000,00</w:t>
            </w:r>
          </w:p>
        </w:tc>
        <w:tc>
          <w:tcPr>
            <w:tcW w:w="993" w:type="dxa"/>
            <w:tcBorders>
              <w:top w:val="nil"/>
              <w:left w:val="nil"/>
              <w:bottom w:val="nil"/>
              <w:right w:val="nil"/>
            </w:tcBorders>
            <w:noWrap/>
            <w:vAlign w:val="bottom"/>
            <w:hideMark/>
          </w:tcPr>
          <w:p w14:paraId="6F74F0D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r>
      <w:tr w:rsidR="006967F8" w:rsidRPr="006967F8" w14:paraId="185B84F5" w14:textId="77777777" w:rsidTr="008A61B1">
        <w:trPr>
          <w:trHeight w:val="255"/>
        </w:trPr>
        <w:tc>
          <w:tcPr>
            <w:tcW w:w="1134" w:type="dxa"/>
            <w:tcBorders>
              <w:top w:val="nil"/>
              <w:left w:val="nil"/>
              <w:bottom w:val="nil"/>
              <w:right w:val="nil"/>
            </w:tcBorders>
            <w:noWrap/>
            <w:vAlign w:val="bottom"/>
            <w:hideMark/>
          </w:tcPr>
          <w:p w14:paraId="3BBC5E8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3811</w:t>
            </w:r>
          </w:p>
        </w:tc>
        <w:tc>
          <w:tcPr>
            <w:tcW w:w="4962" w:type="dxa"/>
            <w:tcBorders>
              <w:top w:val="nil"/>
              <w:left w:val="nil"/>
              <w:bottom w:val="nil"/>
              <w:right w:val="nil"/>
            </w:tcBorders>
            <w:noWrap/>
            <w:vAlign w:val="bottom"/>
            <w:hideMark/>
          </w:tcPr>
          <w:p w14:paraId="44823A0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Tekuće donacije u novcu</w:t>
            </w:r>
          </w:p>
        </w:tc>
        <w:tc>
          <w:tcPr>
            <w:tcW w:w="1559" w:type="dxa"/>
            <w:tcBorders>
              <w:top w:val="nil"/>
              <w:left w:val="nil"/>
              <w:bottom w:val="nil"/>
              <w:right w:val="nil"/>
            </w:tcBorders>
            <w:noWrap/>
            <w:vAlign w:val="bottom"/>
            <w:hideMark/>
          </w:tcPr>
          <w:p w14:paraId="52F8FD1A"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512B120"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921FAEF"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7.000,00</w:t>
            </w:r>
          </w:p>
        </w:tc>
        <w:tc>
          <w:tcPr>
            <w:tcW w:w="993" w:type="dxa"/>
            <w:tcBorders>
              <w:top w:val="nil"/>
              <w:left w:val="nil"/>
              <w:bottom w:val="nil"/>
              <w:right w:val="nil"/>
            </w:tcBorders>
            <w:noWrap/>
            <w:vAlign w:val="bottom"/>
            <w:hideMark/>
          </w:tcPr>
          <w:p w14:paraId="17A4624B"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656F2B6" w14:textId="77777777" w:rsidTr="008A61B1">
        <w:trPr>
          <w:trHeight w:val="555"/>
        </w:trPr>
        <w:tc>
          <w:tcPr>
            <w:tcW w:w="1134" w:type="dxa"/>
            <w:tcBorders>
              <w:top w:val="nil"/>
              <w:left w:val="nil"/>
              <w:bottom w:val="nil"/>
              <w:right w:val="nil"/>
            </w:tcBorders>
            <w:shd w:val="clear" w:color="000000" w:fill="FFFF99"/>
            <w:noWrap/>
            <w:vAlign w:val="bottom"/>
            <w:hideMark/>
          </w:tcPr>
          <w:p w14:paraId="0A0856D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A100047</w:t>
            </w:r>
          </w:p>
        </w:tc>
        <w:tc>
          <w:tcPr>
            <w:tcW w:w="4962" w:type="dxa"/>
            <w:tcBorders>
              <w:top w:val="nil"/>
              <w:left w:val="nil"/>
              <w:bottom w:val="nil"/>
              <w:right w:val="nil"/>
            </w:tcBorders>
            <w:shd w:val="clear" w:color="000000" w:fill="FFFF99"/>
            <w:vAlign w:val="bottom"/>
            <w:hideMark/>
          </w:tcPr>
          <w:p w14:paraId="7CF8338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Aktivnost: POTICAJNE MJERE I POTPORE U POLJOPRIVREDI</w:t>
            </w:r>
          </w:p>
        </w:tc>
        <w:tc>
          <w:tcPr>
            <w:tcW w:w="1559" w:type="dxa"/>
            <w:tcBorders>
              <w:top w:val="nil"/>
              <w:left w:val="nil"/>
              <w:bottom w:val="nil"/>
              <w:right w:val="nil"/>
            </w:tcBorders>
            <w:shd w:val="clear" w:color="000000" w:fill="FFFF99"/>
            <w:noWrap/>
            <w:vAlign w:val="bottom"/>
            <w:hideMark/>
          </w:tcPr>
          <w:p w14:paraId="58DE599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7.000,00</w:t>
            </w:r>
          </w:p>
        </w:tc>
        <w:tc>
          <w:tcPr>
            <w:tcW w:w="1559" w:type="dxa"/>
            <w:tcBorders>
              <w:top w:val="nil"/>
              <w:left w:val="nil"/>
              <w:bottom w:val="nil"/>
              <w:right w:val="nil"/>
            </w:tcBorders>
            <w:shd w:val="clear" w:color="000000" w:fill="FFFF99"/>
            <w:noWrap/>
            <w:vAlign w:val="bottom"/>
            <w:hideMark/>
          </w:tcPr>
          <w:p w14:paraId="6520376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7.000,00</w:t>
            </w:r>
          </w:p>
        </w:tc>
        <w:tc>
          <w:tcPr>
            <w:tcW w:w="1559" w:type="dxa"/>
            <w:tcBorders>
              <w:top w:val="nil"/>
              <w:left w:val="nil"/>
              <w:bottom w:val="nil"/>
              <w:right w:val="nil"/>
            </w:tcBorders>
            <w:shd w:val="clear" w:color="000000" w:fill="FFFF99"/>
            <w:noWrap/>
            <w:vAlign w:val="bottom"/>
            <w:hideMark/>
          </w:tcPr>
          <w:p w14:paraId="1FF9FE5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shd w:val="clear" w:color="000000" w:fill="FFFF99"/>
            <w:noWrap/>
            <w:vAlign w:val="bottom"/>
            <w:hideMark/>
          </w:tcPr>
          <w:p w14:paraId="549F824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2267E08F"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0A9D3B5"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1E2BAB4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7.000,00</w:t>
            </w:r>
          </w:p>
        </w:tc>
        <w:tc>
          <w:tcPr>
            <w:tcW w:w="1559" w:type="dxa"/>
            <w:tcBorders>
              <w:top w:val="nil"/>
              <w:left w:val="nil"/>
              <w:bottom w:val="nil"/>
              <w:right w:val="nil"/>
            </w:tcBorders>
            <w:shd w:val="clear" w:color="000000" w:fill="CCCCFF"/>
            <w:noWrap/>
            <w:vAlign w:val="bottom"/>
            <w:hideMark/>
          </w:tcPr>
          <w:p w14:paraId="0C57C66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7.000,00</w:t>
            </w:r>
          </w:p>
        </w:tc>
        <w:tc>
          <w:tcPr>
            <w:tcW w:w="1559" w:type="dxa"/>
            <w:tcBorders>
              <w:top w:val="nil"/>
              <w:left w:val="nil"/>
              <w:bottom w:val="nil"/>
              <w:right w:val="nil"/>
            </w:tcBorders>
            <w:shd w:val="clear" w:color="000000" w:fill="CCCCFF"/>
            <w:noWrap/>
            <w:vAlign w:val="bottom"/>
            <w:hideMark/>
          </w:tcPr>
          <w:p w14:paraId="1E63029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5766EB9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0DE72910"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61EA159"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60208D2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7.000,00</w:t>
            </w:r>
          </w:p>
        </w:tc>
        <w:tc>
          <w:tcPr>
            <w:tcW w:w="1559" w:type="dxa"/>
            <w:tcBorders>
              <w:top w:val="nil"/>
              <w:left w:val="nil"/>
              <w:bottom w:val="nil"/>
              <w:right w:val="nil"/>
            </w:tcBorders>
            <w:shd w:val="clear" w:color="000000" w:fill="CCCCFF"/>
            <w:noWrap/>
            <w:vAlign w:val="bottom"/>
            <w:hideMark/>
          </w:tcPr>
          <w:p w14:paraId="5BD4D9E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7.000,00</w:t>
            </w:r>
          </w:p>
        </w:tc>
        <w:tc>
          <w:tcPr>
            <w:tcW w:w="1559" w:type="dxa"/>
            <w:tcBorders>
              <w:top w:val="nil"/>
              <w:left w:val="nil"/>
              <w:bottom w:val="nil"/>
              <w:right w:val="nil"/>
            </w:tcBorders>
            <w:shd w:val="clear" w:color="000000" w:fill="CCCCFF"/>
            <w:noWrap/>
            <w:vAlign w:val="bottom"/>
            <w:hideMark/>
          </w:tcPr>
          <w:p w14:paraId="0FB7611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091536E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5E83AAF9" w14:textId="77777777" w:rsidTr="008A61B1">
        <w:trPr>
          <w:trHeight w:val="555"/>
        </w:trPr>
        <w:tc>
          <w:tcPr>
            <w:tcW w:w="1134" w:type="dxa"/>
            <w:tcBorders>
              <w:top w:val="nil"/>
              <w:left w:val="nil"/>
              <w:bottom w:val="nil"/>
              <w:right w:val="nil"/>
            </w:tcBorders>
            <w:noWrap/>
            <w:vAlign w:val="bottom"/>
            <w:hideMark/>
          </w:tcPr>
          <w:p w14:paraId="781EFDB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38</w:t>
            </w:r>
          </w:p>
        </w:tc>
        <w:tc>
          <w:tcPr>
            <w:tcW w:w="4962" w:type="dxa"/>
            <w:tcBorders>
              <w:top w:val="nil"/>
              <w:left w:val="nil"/>
              <w:bottom w:val="nil"/>
              <w:right w:val="nil"/>
            </w:tcBorders>
            <w:vAlign w:val="bottom"/>
            <w:hideMark/>
          </w:tcPr>
          <w:p w14:paraId="57F72F9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donacije, kazne, naknade šteta i kapitalne pomoći</w:t>
            </w:r>
          </w:p>
        </w:tc>
        <w:tc>
          <w:tcPr>
            <w:tcW w:w="1559" w:type="dxa"/>
            <w:tcBorders>
              <w:top w:val="nil"/>
              <w:left w:val="nil"/>
              <w:bottom w:val="nil"/>
              <w:right w:val="nil"/>
            </w:tcBorders>
            <w:noWrap/>
            <w:vAlign w:val="bottom"/>
            <w:hideMark/>
          </w:tcPr>
          <w:p w14:paraId="40E9880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7.000,00</w:t>
            </w:r>
          </w:p>
        </w:tc>
        <w:tc>
          <w:tcPr>
            <w:tcW w:w="1559" w:type="dxa"/>
            <w:tcBorders>
              <w:top w:val="nil"/>
              <w:left w:val="nil"/>
              <w:bottom w:val="nil"/>
              <w:right w:val="nil"/>
            </w:tcBorders>
            <w:noWrap/>
            <w:vAlign w:val="bottom"/>
            <w:hideMark/>
          </w:tcPr>
          <w:p w14:paraId="5A13412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7.000,00</w:t>
            </w:r>
          </w:p>
        </w:tc>
        <w:tc>
          <w:tcPr>
            <w:tcW w:w="1559" w:type="dxa"/>
            <w:tcBorders>
              <w:top w:val="nil"/>
              <w:left w:val="nil"/>
              <w:bottom w:val="nil"/>
              <w:right w:val="nil"/>
            </w:tcBorders>
            <w:noWrap/>
            <w:vAlign w:val="bottom"/>
            <w:hideMark/>
          </w:tcPr>
          <w:p w14:paraId="2FB7C7F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387E40A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04831756" w14:textId="77777777" w:rsidTr="008A61B1">
        <w:trPr>
          <w:trHeight w:val="255"/>
        </w:trPr>
        <w:tc>
          <w:tcPr>
            <w:tcW w:w="1134" w:type="dxa"/>
            <w:tcBorders>
              <w:top w:val="nil"/>
              <w:left w:val="nil"/>
              <w:bottom w:val="nil"/>
              <w:right w:val="nil"/>
            </w:tcBorders>
            <w:shd w:val="clear" w:color="000000" w:fill="FF9900"/>
            <w:noWrap/>
            <w:vAlign w:val="bottom"/>
            <w:hideMark/>
          </w:tcPr>
          <w:p w14:paraId="7C42FDE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1209</w:t>
            </w:r>
          </w:p>
        </w:tc>
        <w:tc>
          <w:tcPr>
            <w:tcW w:w="4962" w:type="dxa"/>
            <w:tcBorders>
              <w:top w:val="nil"/>
              <w:left w:val="nil"/>
              <w:bottom w:val="nil"/>
              <w:right w:val="nil"/>
            </w:tcBorders>
            <w:shd w:val="clear" w:color="000000" w:fill="FF9900"/>
            <w:noWrap/>
            <w:vAlign w:val="bottom"/>
            <w:hideMark/>
          </w:tcPr>
          <w:p w14:paraId="311372E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Program: TURIZAM</w:t>
            </w:r>
          </w:p>
        </w:tc>
        <w:tc>
          <w:tcPr>
            <w:tcW w:w="1559" w:type="dxa"/>
            <w:tcBorders>
              <w:top w:val="nil"/>
              <w:left w:val="nil"/>
              <w:bottom w:val="nil"/>
              <w:right w:val="nil"/>
            </w:tcBorders>
            <w:shd w:val="clear" w:color="000000" w:fill="FF9900"/>
            <w:noWrap/>
            <w:vAlign w:val="bottom"/>
            <w:hideMark/>
          </w:tcPr>
          <w:p w14:paraId="522B64E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120.500,00</w:t>
            </w:r>
          </w:p>
        </w:tc>
        <w:tc>
          <w:tcPr>
            <w:tcW w:w="1559" w:type="dxa"/>
            <w:tcBorders>
              <w:top w:val="nil"/>
              <w:left w:val="nil"/>
              <w:bottom w:val="nil"/>
              <w:right w:val="nil"/>
            </w:tcBorders>
            <w:shd w:val="clear" w:color="000000" w:fill="FF9900"/>
            <w:noWrap/>
            <w:vAlign w:val="bottom"/>
            <w:hideMark/>
          </w:tcPr>
          <w:p w14:paraId="65CBB89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122.000,00</w:t>
            </w:r>
          </w:p>
        </w:tc>
        <w:tc>
          <w:tcPr>
            <w:tcW w:w="1559" w:type="dxa"/>
            <w:tcBorders>
              <w:top w:val="nil"/>
              <w:left w:val="nil"/>
              <w:bottom w:val="nil"/>
              <w:right w:val="nil"/>
            </w:tcBorders>
            <w:shd w:val="clear" w:color="000000" w:fill="FF9900"/>
            <w:noWrap/>
            <w:vAlign w:val="bottom"/>
            <w:hideMark/>
          </w:tcPr>
          <w:p w14:paraId="5375EA5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118.459,32</w:t>
            </w:r>
          </w:p>
        </w:tc>
        <w:tc>
          <w:tcPr>
            <w:tcW w:w="993" w:type="dxa"/>
            <w:tcBorders>
              <w:top w:val="nil"/>
              <w:left w:val="nil"/>
              <w:bottom w:val="nil"/>
              <w:right w:val="nil"/>
            </w:tcBorders>
            <w:shd w:val="clear" w:color="000000" w:fill="FF9900"/>
            <w:noWrap/>
            <w:vAlign w:val="bottom"/>
            <w:hideMark/>
          </w:tcPr>
          <w:p w14:paraId="6DAC429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97,10%</w:t>
            </w:r>
          </w:p>
        </w:tc>
      </w:tr>
      <w:tr w:rsidR="006967F8" w:rsidRPr="006967F8" w14:paraId="4984C7FA" w14:textId="77777777" w:rsidTr="008A61B1">
        <w:trPr>
          <w:trHeight w:val="255"/>
        </w:trPr>
        <w:tc>
          <w:tcPr>
            <w:tcW w:w="1134" w:type="dxa"/>
            <w:tcBorders>
              <w:top w:val="nil"/>
              <w:left w:val="nil"/>
              <w:bottom w:val="nil"/>
              <w:right w:val="nil"/>
            </w:tcBorders>
            <w:shd w:val="clear" w:color="000000" w:fill="FFFF99"/>
            <w:noWrap/>
            <w:vAlign w:val="bottom"/>
            <w:hideMark/>
          </w:tcPr>
          <w:p w14:paraId="3423038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A100022</w:t>
            </w:r>
          </w:p>
        </w:tc>
        <w:tc>
          <w:tcPr>
            <w:tcW w:w="4962" w:type="dxa"/>
            <w:tcBorders>
              <w:top w:val="nil"/>
              <w:left w:val="nil"/>
              <w:bottom w:val="nil"/>
              <w:right w:val="nil"/>
            </w:tcBorders>
            <w:shd w:val="clear" w:color="000000" w:fill="FFFF99"/>
            <w:noWrap/>
            <w:vAlign w:val="bottom"/>
            <w:hideMark/>
          </w:tcPr>
          <w:p w14:paraId="3E4C12B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Aktivnost: POTPORE TURISTIČKIM UDRUGAMA</w:t>
            </w:r>
          </w:p>
        </w:tc>
        <w:tc>
          <w:tcPr>
            <w:tcW w:w="1559" w:type="dxa"/>
            <w:tcBorders>
              <w:top w:val="nil"/>
              <w:left w:val="nil"/>
              <w:bottom w:val="nil"/>
              <w:right w:val="nil"/>
            </w:tcBorders>
            <w:shd w:val="clear" w:color="000000" w:fill="FFFF99"/>
            <w:noWrap/>
            <w:vAlign w:val="bottom"/>
            <w:hideMark/>
          </w:tcPr>
          <w:p w14:paraId="0777A05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3.000,00</w:t>
            </w:r>
          </w:p>
        </w:tc>
        <w:tc>
          <w:tcPr>
            <w:tcW w:w="1559" w:type="dxa"/>
            <w:tcBorders>
              <w:top w:val="nil"/>
              <w:left w:val="nil"/>
              <w:bottom w:val="nil"/>
              <w:right w:val="nil"/>
            </w:tcBorders>
            <w:shd w:val="clear" w:color="000000" w:fill="FFFF99"/>
            <w:noWrap/>
            <w:vAlign w:val="bottom"/>
            <w:hideMark/>
          </w:tcPr>
          <w:p w14:paraId="134E447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3.000,00</w:t>
            </w:r>
          </w:p>
        </w:tc>
        <w:tc>
          <w:tcPr>
            <w:tcW w:w="1559" w:type="dxa"/>
            <w:tcBorders>
              <w:top w:val="nil"/>
              <w:left w:val="nil"/>
              <w:bottom w:val="nil"/>
              <w:right w:val="nil"/>
            </w:tcBorders>
            <w:shd w:val="clear" w:color="000000" w:fill="FFFF99"/>
            <w:noWrap/>
            <w:vAlign w:val="bottom"/>
            <w:hideMark/>
          </w:tcPr>
          <w:p w14:paraId="3CA4E7B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2.500,00</w:t>
            </w:r>
          </w:p>
        </w:tc>
        <w:tc>
          <w:tcPr>
            <w:tcW w:w="993" w:type="dxa"/>
            <w:tcBorders>
              <w:top w:val="nil"/>
              <w:left w:val="nil"/>
              <w:bottom w:val="nil"/>
              <w:right w:val="nil"/>
            </w:tcBorders>
            <w:shd w:val="clear" w:color="000000" w:fill="FFFF99"/>
            <w:noWrap/>
            <w:vAlign w:val="bottom"/>
            <w:hideMark/>
          </w:tcPr>
          <w:p w14:paraId="1D5B101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83,33%</w:t>
            </w:r>
          </w:p>
        </w:tc>
      </w:tr>
      <w:tr w:rsidR="006967F8" w:rsidRPr="006967F8" w14:paraId="1799BB85"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5F88D34"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2B4DAD0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3.000,00</w:t>
            </w:r>
          </w:p>
        </w:tc>
        <w:tc>
          <w:tcPr>
            <w:tcW w:w="1559" w:type="dxa"/>
            <w:tcBorders>
              <w:top w:val="nil"/>
              <w:left w:val="nil"/>
              <w:bottom w:val="nil"/>
              <w:right w:val="nil"/>
            </w:tcBorders>
            <w:shd w:val="clear" w:color="000000" w:fill="CCCCFF"/>
            <w:noWrap/>
            <w:vAlign w:val="bottom"/>
            <w:hideMark/>
          </w:tcPr>
          <w:p w14:paraId="5DF3B4A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3.000,00</w:t>
            </w:r>
          </w:p>
        </w:tc>
        <w:tc>
          <w:tcPr>
            <w:tcW w:w="1559" w:type="dxa"/>
            <w:tcBorders>
              <w:top w:val="nil"/>
              <w:left w:val="nil"/>
              <w:bottom w:val="nil"/>
              <w:right w:val="nil"/>
            </w:tcBorders>
            <w:shd w:val="clear" w:color="000000" w:fill="CCCCFF"/>
            <w:noWrap/>
            <w:vAlign w:val="bottom"/>
            <w:hideMark/>
          </w:tcPr>
          <w:p w14:paraId="6966D6C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2.500,00</w:t>
            </w:r>
          </w:p>
        </w:tc>
        <w:tc>
          <w:tcPr>
            <w:tcW w:w="993" w:type="dxa"/>
            <w:tcBorders>
              <w:top w:val="nil"/>
              <w:left w:val="nil"/>
              <w:bottom w:val="nil"/>
              <w:right w:val="nil"/>
            </w:tcBorders>
            <w:shd w:val="clear" w:color="000000" w:fill="CCCCFF"/>
            <w:noWrap/>
            <w:vAlign w:val="bottom"/>
            <w:hideMark/>
          </w:tcPr>
          <w:p w14:paraId="294A047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83,33%</w:t>
            </w:r>
          </w:p>
        </w:tc>
      </w:tr>
      <w:tr w:rsidR="006967F8" w:rsidRPr="006967F8" w14:paraId="58000FBF"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FBBADF0"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5E0CBB1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3.000,00</w:t>
            </w:r>
          </w:p>
        </w:tc>
        <w:tc>
          <w:tcPr>
            <w:tcW w:w="1559" w:type="dxa"/>
            <w:tcBorders>
              <w:top w:val="nil"/>
              <w:left w:val="nil"/>
              <w:bottom w:val="nil"/>
              <w:right w:val="nil"/>
            </w:tcBorders>
            <w:shd w:val="clear" w:color="000000" w:fill="CCCCFF"/>
            <w:noWrap/>
            <w:vAlign w:val="bottom"/>
            <w:hideMark/>
          </w:tcPr>
          <w:p w14:paraId="297302C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3.000,00</w:t>
            </w:r>
          </w:p>
        </w:tc>
        <w:tc>
          <w:tcPr>
            <w:tcW w:w="1559" w:type="dxa"/>
            <w:tcBorders>
              <w:top w:val="nil"/>
              <w:left w:val="nil"/>
              <w:bottom w:val="nil"/>
              <w:right w:val="nil"/>
            </w:tcBorders>
            <w:shd w:val="clear" w:color="000000" w:fill="CCCCFF"/>
            <w:noWrap/>
            <w:vAlign w:val="bottom"/>
            <w:hideMark/>
          </w:tcPr>
          <w:p w14:paraId="3C3F665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2.500,00</w:t>
            </w:r>
          </w:p>
        </w:tc>
        <w:tc>
          <w:tcPr>
            <w:tcW w:w="993" w:type="dxa"/>
            <w:tcBorders>
              <w:top w:val="nil"/>
              <w:left w:val="nil"/>
              <w:bottom w:val="nil"/>
              <w:right w:val="nil"/>
            </w:tcBorders>
            <w:shd w:val="clear" w:color="000000" w:fill="CCCCFF"/>
            <w:noWrap/>
            <w:vAlign w:val="bottom"/>
            <w:hideMark/>
          </w:tcPr>
          <w:p w14:paraId="6744DDD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83,33%</w:t>
            </w:r>
          </w:p>
        </w:tc>
      </w:tr>
      <w:tr w:rsidR="006967F8" w:rsidRPr="006967F8" w14:paraId="0E46FACD" w14:textId="77777777" w:rsidTr="008A61B1">
        <w:trPr>
          <w:trHeight w:val="540"/>
        </w:trPr>
        <w:tc>
          <w:tcPr>
            <w:tcW w:w="1134" w:type="dxa"/>
            <w:tcBorders>
              <w:top w:val="nil"/>
              <w:left w:val="nil"/>
              <w:bottom w:val="nil"/>
              <w:right w:val="nil"/>
            </w:tcBorders>
            <w:noWrap/>
            <w:vAlign w:val="bottom"/>
            <w:hideMark/>
          </w:tcPr>
          <w:p w14:paraId="1568EF8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38</w:t>
            </w:r>
          </w:p>
        </w:tc>
        <w:tc>
          <w:tcPr>
            <w:tcW w:w="4962" w:type="dxa"/>
            <w:tcBorders>
              <w:top w:val="nil"/>
              <w:left w:val="nil"/>
              <w:bottom w:val="nil"/>
              <w:right w:val="nil"/>
            </w:tcBorders>
            <w:vAlign w:val="bottom"/>
            <w:hideMark/>
          </w:tcPr>
          <w:p w14:paraId="75B9B90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donacije, kazne, naknade šteta i kapitalne pomoći</w:t>
            </w:r>
          </w:p>
        </w:tc>
        <w:tc>
          <w:tcPr>
            <w:tcW w:w="1559" w:type="dxa"/>
            <w:tcBorders>
              <w:top w:val="nil"/>
              <w:left w:val="nil"/>
              <w:bottom w:val="nil"/>
              <w:right w:val="nil"/>
            </w:tcBorders>
            <w:noWrap/>
            <w:vAlign w:val="bottom"/>
            <w:hideMark/>
          </w:tcPr>
          <w:p w14:paraId="70FD0B9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3.000,00</w:t>
            </w:r>
          </w:p>
        </w:tc>
        <w:tc>
          <w:tcPr>
            <w:tcW w:w="1559" w:type="dxa"/>
            <w:tcBorders>
              <w:top w:val="nil"/>
              <w:left w:val="nil"/>
              <w:bottom w:val="nil"/>
              <w:right w:val="nil"/>
            </w:tcBorders>
            <w:noWrap/>
            <w:vAlign w:val="bottom"/>
            <w:hideMark/>
          </w:tcPr>
          <w:p w14:paraId="36B2F1B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3.000,00</w:t>
            </w:r>
          </w:p>
        </w:tc>
        <w:tc>
          <w:tcPr>
            <w:tcW w:w="1559" w:type="dxa"/>
            <w:tcBorders>
              <w:top w:val="nil"/>
              <w:left w:val="nil"/>
              <w:bottom w:val="nil"/>
              <w:right w:val="nil"/>
            </w:tcBorders>
            <w:noWrap/>
            <w:vAlign w:val="bottom"/>
            <w:hideMark/>
          </w:tcPr>
          <w:p w14:paraId="09F0643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2.500,00</w:t>
            </w:r>
          </w:p>
        </w:tc>
        <w:tc>
          <w:tcPr>
            <w:tcW w:w="993" w:type="dxa"/>
            <w:tcBorders>
              <w:top w:val="nil"/>
              <w:left w:val="nil"/>
              <w:bottom w:val="nil"/>
              <w:right w:val="nil"/>
            </w:tcBorders>
            <w:noWrap/>
            <w:vAlign w:val="bottom"/>
            <w:hideMark/>
          </w:tcPr>
          <w:p w14:paraId="6642085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83,33%</w:t>
            </w:r>
          </w:p>
        </w:tc>
      </w:tr>
      <w:tr w:rsidR="006967F8" w:rsidRPr="006967F8" w14:paraId="283FB2E7" w14:textId="77777777" w:rsidTr="008A61B1">
        <w:trPr>
          <w:trHeight w:val="255"/>
        </w:trPr>
        <w:tc>
          <w:tcPr>
            <w:tcW w:w="1134" w:type="dxa"/>
            <w:tcBorders>
              <w:top w:val="nil"/>
              <w:left w:val="nil"/>
              <w:bottom w:val="nil"/>
              <w:right w:val="nil"/>
            </w:tcBorders>
            <w:noWrap/>
            <w:vAlign w:val="bottom"/>
            <w:hideMark/>
          </w:tcPr>
          <w:p w14:paraId="5410545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3811</w:t>
            </w:r>
          </w:p>
        </w:tc>
        <w:tc>
          <w:tcPr>
            <w:tcW w:w="4962" w:type="dxa"/>
            <w:tcBorders>
              <w:top w:val="nil"/>
              <w:left w:val="nil"/>
              <w:bottom w:val="nil"/>
              <w:right w:val="nil"/>
            </w:tcBorders>
            <w:noWrap/>
            <w:vAlign w:val="bottom"/>
            <w:hideMark/>
          </w:tcPr>
          <w:p w14:paraId="1180DE4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Tekuće donacije u novcu</w:t>
            </w:r>
          </w:p>
        </w:tc>
        <w:tc>
          <w:tcPr>
            <w:tcW w:w="1559" w:type="dxa"/>
            <w:tcBorders>
              <w:top w:val="nil"/>
              <w:left w:val="nil"/>
              <w:bottom w:val="nil"/>
              <w:right w:val="nil"/>
            </w:tcBorders>
            <w:noWrap/>
            <w:vAlign w:val="bottom"/>
            <w:hideMark/>
          </w:tcPr>
          <w:p w14:paraId="17DC44FA"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84EF5F8"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83F326B"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2.500,00</w:t>
            </w:r>
          </w:p>
        </w:tc>
        <w:tc>
          <w:tcPr>
            <w:tcW w:w="993" w:type="dxa"/>
            <w:tcBorders>
              <w:top w:val="nil"/>
              <w:left w:val="nil"/>
              <w:bottom w:val="nil"/>
              <w:right w:val="nil"/>
            </w:tcBorders>
            <w:noWrap/>
            <w:vAlign w:val="bottom"/>
            <w:hideMark/>
          </w:tcPr>
          <w:p w14:paraId="7B7DE824"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0B0160E" w14:textId="77777777" w:rsidTr="008A61B1">
        <w:trPr>
          <w:trHeight w:val="255"/>
        </w:trPr>
        <w:tc>
          <w:tcPr>
            <w:tcW w:w="1134" w:type="dxa"/>
            <w:tcBorders>
              <w:top w:val="nil"/>
              <w:left w:val="nil"/>
              <w:bottom w:val="nil"/>
              <w:right w:val="nil"/>
            </w:tcBorders>
            <w:shd w:val="clear" w:color="000000" w:fill="FFFF99"/>
            <w:noWrap/>
            <w:vAlign w:val="bottom"/>
            <w:hideMark/>
          </w:tcPr>
          <w:p w14:paraId="2EBF0B4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A100055</w:t>
            </w:r>
          </w:p>
        </w:tc>
        <w:tc>
          <w:tcPr>
            <w:tcW w:w="4962" w:type="dxa"/>
            <w:tcBorders>
              <w:top w:val="nil"/>
              <w:left w:val="nil"/>
              <w:bottom w:val="nil"/>
              <w:right w:val="nil"/>
            </w:tcBorders>
            <w:shd w:val="clear" w:color="000000" w:fill="FFFF99"/>
            <w:noWrap/>
            <w:vAlign w:val="bottom"/>
            <w:hideMark/>
          </w:tcPr>
          <w:p w14:paraId="722087F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Aktivnost: BRENDIRANJE GRADA</w:t>
            </w:r>
          </w:p>
        </w:tc>
        <w:tc>
          <w:tcPr>
            <w:tcW w:w="1559" w:type="dxa"/>
            <w:tcBorders>
              <w:top w:val="nil"/>
              <w:left w:val="nil"/>
              <w:bottom w:val="nil"/>
              <w:right w:val="nil"/>
            </w:tcBorders>
            <w:shd w:val="clear" w:color="000000" w:fill="FFFF99"/>
            <w:noWrap/>
            <w:vAlign w:val="bottom"/>
            <w:hideMark/>
          </w:tcPr>
          <w:p w14:paraId="650C30F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12.500,00</w:t>
            </w:r>
          </w:p>
        </w:tc>
        <w:tc>
          <w:tcPr>
            <w:tcW w:w="1559" w:type="dxa"/>
            <w:tcBorders>
              <w:top w:val="nil"/>
              <w:left w:val="nil"/>
              <w:bottom w:val="nil"/>
              <w:right w:val="nil"/>
            </w:tcBorders>
            <w:shd w:val="clear" w:color="000000" w:fill="FFFF99"/>
            <w:noWrap/>
            <w:vAlign w:val="bottom"/>
            <w:hideMark/>
          </w:tcPr>
          <w:p w14:paraId="1FC077A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12.500,00</w:t>
            </w:r>
          </w:p>
        </w:tc>
        <w:tc>
          <w:tcPr>
            <w:tcW w:w="1559" w:type="dxa"/>
            <w:tcBorders>
              <w:top w:val="nil"/>
              <w:left w:val="nil"/>
              <w:bottom w:val="nil"/>
              <w:right w:val="nil"/>
            </w:tcBorders>
            <w:shd w:val="clear" w:color="000000" w:fill="FFFF99"/>
            <w:noWrap/>
            <w:vAlign w:val="bottom"/>
            <w:hideMark/>
          </w:tcPr>
          <w:p w14:paraId="35BA694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9.459,32</w:t>
            </w:r>
          </w:p>
        </w:tc>
        <w:tc>
          <w:tcPr>
            <w:tcW w:w="993" w:type="dxa"/>
            <w:tcBorders>
              <w:top w:val="nil"/>
              <w:left w:val="nil"/>
              <w:bottom w:val="nil"/>
              <w:right w:val="nil"/>
            </w:tcBorders>
            <w:shd w:val="clear" w:color="000000" w:fill="FFFF99"/>
            <w:noWrap/>
            <w:vAlign w:val="bottom"/>
            <w:hideMark/>
          </w:tcPr>
          <w:p w14:paraId="4B64AF9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75,67%</w:t>
            </w:r>
          </w:p>
        </w:tc>
      </w:tr>
      <w:tr w:rsidR="006967F8" w:rsidRPr="006967F8" w14:paraId="057417AC"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E4B02C2"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0EB5A71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12.500,00</w:t>
            </w:r>
          </w:p>
        </w:tc>
        <w:tc>
          <w:tcPr>
            <w:tcW w:w="1559" w:type="dxa"/>
            <w:tcBorders>
              <w:top w:val="nil"/>
              <w:left w:val="nil"/>
              <w:bottom w:val="nil"/>
              <w:right w:val="nil"/>
            </w:tcBorders>
            <w:shd w:val="clear" w:color="000000" w:fill="CCCCFF"/>
            <w:noWrap/>
            <w:vAlign w:val="bottom"/>
            <w:hideMark/>
          </w:tcPr>
          <w:p w14:paraId="69D701C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12.500,00</w:t>
            </w:r>
          </w:p>
        </w:tc>
        <w:tc>
          <w:tcPr>
            <w:tcW w:w="1559" w:type="dxa"/>
            <w:tcBorders>
              <w:top w:val="nil"/>
              <w:left w:val="nil"/>
              <w:bottom w:val="nil"/>
              <w:right w:val="nil"/>
            </w:tcBorders>
            <w:shd w:val="clear" w:color="000000" w:fill="CCCCFF"/>
            <w:noWrap/>
            <w:vAlign w:val="bottom"/>
            <w:hideMark/>
          </w:tcPr>
          <w:p w14:paraId="786D126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9.459,32</w:t>
            </w:r>
          </w:p>
        </w:tc>
        <w:tc>
          <w:tcPr>
            <w:tcW w:w="993" w:type="dxa"/>
            <w:tcBorders>
              <w:top w:val="nil"/>
              <w:left w:val="nil"/>
              <w:bottom w:val="nil"/>
              <w:right w:val="nil"/>
            </w:tcBorders>
            <w:shd w:val="clear" w:color="000000" w:fill="CCCCFF"/>
            <w:noWrap/>
            <w:vAlign w:val="bottom"/>
            <w:hideMark/>
          </w:tcPr>
          <w:p w14:paraId="0B66E53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75,67%</w:t>
            </w:r>
          </w:p>
        </w:tc>
      </w:tr>
      <w:tr w:rsidR="006967F8" w:rsidRPr="006967F8" w14:paraId="77465F6D"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1BCC6CC"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52236B7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12.500,00</w:t>
            </w:r>
          </w:p>
        </w:tc>
        <w:tc>
          <w:tcPr>
            <w:tcW w:w="1559" w:type="dxa"/>
            <w:tcBorders>
              <w:top w:val="nil"/>
              <w:left w:val="nil"/>
              <w:bottom w:val="nil"/>
              <w:right w:val="nil"/>
            </w:tcBorders>
            <w:shd w:val="clear" w:color="000000" w:fill="CCCCFF"/>
            <w:noWrap/>
            <w:vAlign w:val="bottom"/>
            <w:hideMark/>
          </w:tcPr>
          <w:p w14:paraId="33DF32B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12.500,00</w:t>
            </w:r>
          </w:p>
        </w:tc>
        <w:tc>
          <w:tcPr>
            <w:tcW w:w="1559" w:type="dxa"/>
            <w:tcBorders>
              <w:top w:val="nil"/>
              <w:left w:val="nil"/>
              <w:bottom w:val="nil"/>
              <w:right w:val="nil"/>
            </w:tcBorders>
            <w:shd w:val="clear" w:color="000000" w:fill="CCCCFF"/>
            <w:noWrap/>
            <w:vAlign w:val="bottom"/>
            <w:hideMark/>
          </w:tcPr>
          <w:p w14:paraId="14A85E1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9.459,32</w:t>
            </w:r>
          </w:p>
        </w:tc>
        <w:tc>
          <w:tcPr>
            <w:tcW w:w="993" w:type="dxa"/>
            <w:tcBorders>
              <w:top w:val="nil"/>
              <w:left w:val="nil"/>
              <w:bottom w:val="nil"/>
              <w:right w:val="nil"/>
            </w:tcBorders>
            <w:shd w:val="clear" w:color="000000" w:fill="CCCCFF"/>
            <w:noWrap/>
            <w:vAlign w:val="bottom"/>
            <w:hideMark/>
          </w:tcPr>
          <w:p w14:paraId="1A2E24C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75,67%</w:t>
            </w:r>
          </w:p>
        </w:tc>
      </w:tr>
      <w:tr w:rsidR="006967F8" w:rsidRPr="006967F8" w14:paraId="09D94CEE" w14:textId="77777777" w:rsidTr="008A61B1">
        <w:trPr>
          <w:trHeight w:val="255"/>
        </w:trPr>
        <w:tc>
          <w:tcPr>
            <w:tcW w:w="1134" w:type="dxa"/>
            <w:tcBorders>
              <w:top w:val="nil"/>
              <w:left w:val="nil"/>
              <w:bottom w:val="nil"/>
              <w:right w:val="nil"/>
            </w:tcBorders>
            <w:noWrap/>
            <w:vAlign w:val="bottom"/>
            <w:hideMark/>
          </w:tcPr>
          <w:p w14:paraId="61C7D71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4A92E51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006C9B5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12.500,00</w:t>
            </w:r>
          </w:p>
        </w:tc>
        <w:tc>
          <w:tcPr>
            <w:tcW w:w="1559" w:type="dxa"/>
            <w:tcBorders>
              <w:top w:val="nil"/>
              <w:left w:val="nil"/>
              <w:bottom w:val="nil"/>
              <w:right w:val="nil"/>
            </w:tcBorders>
            <w:noWrap/>
            <w:vAlign w:val="bottom"/>
            <w:hideMark/>
          </w:tcPr>
          <w:p w14:paraId="61906AF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12.500,00</w:t>
            </w:r>
          </w:p>
        </w:tc>
        <w:tc>
          <w:tcPr>
            <w:tcW w:w="1559" w:type="dxa"/>
            <w:tcBorders>
              <w:top w:val="nil"/>
              <w:left w:val="nil"/>
              <w:bottom w:val="nil"/>
              <w:right w:val="nil"/>
            </w:tcBorders>
            <w:noWrap/>
            <w:vAlign w:val="bottom"/>
            <w:hideMark/>
          </w:tcPr>
          <w:p w14:paraId="7C636F9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9.459,32</w:t>
            </w:r>
          </w:p>
        </w:tc>
        <w:tc>
          <w:tcPr>
            <w:tcW w:w="993" w:type="dxa"/>
            <w:tcBorders>
              <w:top w:val="nil"/>
              <w:left w:val="nil"/>
              <w:bottom w:val="nil"/>
              <w:right w:val="nil"/>
            </w:tcBorders>
            <w:noWrap/>
            <w:vAlign w:val="bottom"/>
            <w:hideMark/>
          </w:tcPr>
          <w:p w14:paraId="0DBC3F6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75,67%</w:t>
            </w:r>
          </w:p>
        </w:tc>
      </w:tr>
      <w:tr w:rsidR="006967F8" w:rsidRPr="006967F8" w14:paraId="3DBC86AA" w14:textId="77777777" w:rsidTr="008A61B1">
        <w:trPr>
          <w:trHeight w:val="255"/>
        </w:trPr>
        <w:tc>
          <w:tcPr>
            <w:tcW w:w="1134" w:type="dxa"/>
            <w:tcBorders>
              <w:top w:val="nil"/>
              <w:left w:val="nil"/>
              <w:bottom w:val="nil"/>
              <w:right w:val="nil"/>
            </w:tcBorders>
            <w:noWrap/>
            <w:vAlign w:val="bottom"/>
            <w:hideMark/>
          </w:tcPr>
          <w:p w14:paraId="7068F94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3239</w:t>
            </w:r>
          </w:p>
        </w:tc>
        <w:tc>
          <w:tcPr>
            <w:tcW w:w="4962" w:type="dxa"/>
            <w:tcBorders>
              <w:top w:val="nil"/>
              <w:left w:val="nil"/>
              <w:bottom w:val="nil"/>
              <w:right w:val="nil"/>
            </w:tcBorders>
            <w:noWrap/>
            <w:vAlign w:val="bottom"/>
            <w:hideMark/>
          </w:tcPr>
          <w:p w14:paraId="062F5F0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Ostale usluge</w:t>
            </w:r>
          </w:p>
        </w:tc>
        <w:tc>
          <w:tcPr>
            <w:tcW w:w="1559" w:type="dxa"/>
            <w:tcBorders>
              <w:top w:val="nil"/>
              <w:left w:val="nil"/>
              <w:bottom w:val="nil"/>
              <w:right w:val="nil"/>
            </w:tcBorders>
            <w:noWrap/>
            <w:vAlign w:val="bottom"/>
            <w:hideMark/>
          </w:tcPr>
          <w:p w14:paraId="625D415E"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EA1AB56"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B36C335"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9.459,32</w:t>
            </w:r>
          </w:p>
        </w:tc>
        <w:tc>
          <w:tcPr>
            <w:tcW w:w="993" w:type="dxa"/>
            <w:tcBorders>
              <w:top w:val="nil"/>
              <w:left w:val="nil"/>
              <w:bottom w:val="nil"/>
              <w:right w:val="nil"/>
            </w:tcBorders>
            <w:noWrap/>
            <w:vAlign w:val="bottom"/>
            <w:hideMark/>
          </w:tcPr>
          <w:p w14:paraId="4EEB8E3D"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B2E1517" w14:textId="77777777" w:rsidTr="008A61B1">
        <w:trPr>
          <w:trHeight w:val="255"/>
        </w:trPr>
        <w:tc>
          <w:tcPr>
            <w:tcW w:w="1134" w:type="dxa"/>
            <w:tcBorders>
              <w:top w:val="nil"/>
              <w:left w:val="nil"/>
              <w:bottom w:val="nil"/>
              <w:right w:val="nil"/>
            </w:tcBorders>
            <w:shd w:val="clear" w:color="000000" w:fill="FFFF99"/>
            <w:noWrap/>
            <w:vAlign w:val="bottom"/>
            <w:hideMark/>
          </w:tcPr>
          <w:p w14:paraId="0486ECB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A100056</w:t>
            </w:r>
          </w:p>
        </w:tc>
        <w:tc>
          <w:tcPr>
            <w:tcW w:w="4962" w:type="dxa"/>
            <w:tcBorders>
              <w:top w:val="nil"/>
              <w:left w:val="nil"/>
              <w:bottom w:val="nil"/>
              <w:right w:val="nil"/>
            </w:tcBorders>
            <w:shd w:val="clear" w:color="000000" w:fill="FFFF99"/>
            <w:noWrap/>
            <w:vAlign w:val="bottom"/>
            <w:hideMark/>
          </w:tcPr>
          <w:p w14:paraId="4733205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Aktivnost: POTPORA RAZVOJU TURIZMA </w:t>
            </w:r>
          </w:p>
        </w:tc>
        <w:tc>
          <w:tcPr>
            <w:tcW w:w="1559" w:type="dxa"/>
            <w:tcBorders>
              <w:top w:val="nil"/>
              <w:left w:val="nil"/>
              <w:bottom w:val="nil"/>
              <w:right w:val="nil"/>
            </w:tcBorders>
            <w:shd w:val="clear" w:color="000000" w:fill="FFFF99"/>
            <w:noWrap/>
            <w:vAlign w:val="bottom"/>
            <w:hideMark/>
          </w:tcPr>
          <w:p w14:paraId="0F6C5B8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105.000,00</w:t>
            </w:r>
          </w:p>
        </w:tc>
        <w:tc>
          <w:tcPr>
            <w:tcW w:w="1559" w:type="dxa"/>
            <w:tcBorders>
              <w:top w:val="nil"/>
              <w:left w:val="nil"/>
              <w:bottom w:val="nil"/>
              <w:right w:val="nil"/>
            </w:tcBorders>
            <w:shd w:val="clear" w:color="000000" w:fill="FFFF99"/>
            <w:noWrap/>
            <w:vAlign w:val="bottom"/>
            <w:hideMark/>
          </w:tcPr>
          <w:p w14:paraId="4AFF630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106.500,00</w:t>
            </w:r>
          </w:p>
        </w:tc>
        <w:tc>
          <w:tcPr>
            <w:tcW w:w="1559" w:type="dxa"/>
            <w:tcBorders>
              <w:top w:val="nil"/>
              <w:left w:val="nil"/>
              <w:bottom w:val="nil"/>
              <w:right w:val="nil"/>
            </w:tcBorders>
            <w:shd w:val="clear" w:color="000000" w:fill="FFFF99"/>
            <w:noWrap/>
            <w:vAlign w:val="bottom"/>
            <w:hideMark/>
          </w:tcPr>
          <w:p w14:paraId="428673A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106.500,00</w:t>
            </w:r>
          </w:p>
        </w:tc>
        <w:tc>
          <w:tcPr>
            <w:tcW w:w="993" w:type="dxa"/>
            <w:tcBorders>
              <w:top w:val="nil"/>
              <w:left w:val="nil"/>
              <w:bottom w:val="nil"/>
              <w:right w:val="nil"/>
            </w:tcBorders>
            <w:shd w:val="clear" w:color="000000" w:fill="FFFF99"/>
            <w:noWrap/>
            <w:vAlign w:val="bottom"/>
            <w:hideMark/>
          </w:tcPr>
          <w:p w14:paraId="3B0FE0C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r>
      <w:tr w:rsidR="006967F8" w:rsidRPr="006967F8" w14:paraId="2352F1B1"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1EC1069"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383E6C2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105.000,00</w:t>
            </w:r>
          </w:p>
        </w:tc>
        <w:tc>
          <w:tcPr>
            <w:tcW w:w="1559" w:type="dxa"/>
            <w:tcBorders>
              <w:top w:val="nil"/>
              <w:left w:val="nil"/>
              <w:bottom w:val="nil"/>
              <w:right w:val="nil"/>
            </w:tcBorders>
            <w:shd w:val="clear" w:color="000000" w:fill="CCCCFF"/>
            <w:noWrap/>
            <w:vAlign w:val="bottom"/>
            <w:hideMark/>
          </w:tcPr>
          <w:p w14:paraId="4DC6FB9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106.500,00</w:t>
            </w:r>
          </w:p>
        </w:tc>
        <w:tc>
          <w:tcPr>
            <w:tcW w:w="1559" w:type="dxa"/>
            <w:tcBorders>
              <w:top w:val="nil"/>
              <w:left w:val="nil"/>
              <w:bottom w:val="nil"/>
              <w:right w:val="nil"/>
            </w:tcBorders>
            <w:shd w:val="clear" w:color="000000" w:fill="CCCCFF"/>
            <w:noWrap/>
            <w:vAlign w:val="bottom"/>
            <w:hideMark/>
          </w:tcPr>
          <w:p w14:paraId="65AF96C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106.500,00</w:t>
            </w:r>
          </w:p>
        </w:tc>
        <w:tc>
          <w:tcPr>
            <w:tcW w:w="993" w:type="dxa"/>
            <w:tcBorders>
              <w:top w:val="nil"/>
              <w:left w:val="nil"/>
              <w:bottom w:val="nil"/>
              <w:right w:val="nil"/>
            </w:tcBorders>
            <w:shd w:val="clear" w:color="000000" w:fill="CCCCFF"/>
            <w:noWrap/>
            <w:vAlign w:val="bottom"/>
            <w:hideMark/>
          </w:tcPr>
          <w:p w14:paraId="1C37CA2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691BD5B3"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00EDDA1"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15594A8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105.000,00</w:t>
            </w:r>
          </w:p>
        </w:tc>
        <w:tc>
          <w:tcPr>
            <w:tcW w:w="1559" w:type="dxa"/>
            <w:tcBorders>
              <w:top w:val="nil"/>
              <w:left w:val="nil"/>
              <w:bottom w:val="nil"/>
              <w:right w:val="nil"/>
            </w:tcBorders>
            <w:shd w:val="clear" w:color="000000" w:fill="CCCCFF"/>
            <w:noWrap/>
            <w:vAlign w:val="bottom"/>
            <w:hideMark/>
          </w:tcPr>
          <w:p w14:paraId="1D8CB2C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106.500,00</w:t>
            </w:r>
          </w:p>
        </w:tc>
        <w:tc>
          <w:tcPr>
            <w:tcW w:w="1559" w:type="dxa"/>
            <w:tcBorders>
              <w:top w:val="nil"/>
              <w:left w:val="nil"/>
              <w:bottom w:val="nil"/>
              <w:right w:val="nil"/>
            </w:tcBorders>
            <w:shd w:val="clear" w:color="000000" w:fill="CCCCFF"/>
            <w:noWrap/>
            <w:vAlign w:val="bottom"/>
            <w:hideMark/>
          </w:tcPr>
          <w:p w14:paraId="39B3235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106.500,00</w:t>
            </w:r>
          </w:p>
        </w:tc>
        <w:tc>
          <w:tcPr>
            <w:tcW w:w="993" w:type="dxa"/>
            <w:tcBorders>
              <w:top w:val="nil"/>
              <w:left w:val="nil"/>
              <w:bottom w:val="nil"/>
              <w:right w:val="nil"/>
            </w:tcBorders>
            <w:shd w:val="clear" w:color="000000" w:fill="CCCCFF"/>
            <w:noWrap/>
            <w:vAlign w:val="bottom"/>
            <w:hideMark/>
          </w:tcPr>
          <w:p w14:paraId="285F3FB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434AE051" w14:textId="77777777" w:rsidTr="008A61B1">
        <w:trPr>
          <w:trHeight w:val="510"/>
        </w:trPr>
        <w:tc>
          <w:tcPr>
            <w:tcW w:w="1134" w:type="dxa"/>
            <w:tcBorders>
              <w:top w:val="nil"/>
              <w:left w:val="nil"/>
              <w:bottom w:val="nil"/>
              <w:right w:val="nil"/>
            </w:tcBorders>
            <w:noWrap/>
            <w:vAlign w:val="bottom"/>
            <w:hideMark/>
          </w:tcPr>
          <w:p w14:paraId="6BE210C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38</w:t>
            </w:r>
          </w:p>
        </w:tc>
        <w:tc>
          <w:tcPr>
            <w:tcW w:w="4962" w:type="dxa"/>
            <w:tcBorders>
              <w:top w:val="nil"/>
              <w:left w:val="nil"/>
              <w:bottom w:val="nil"/>
              <w:right w:val="nil"/>
            </w:tcBorders>
            <w:vAlign w:val="bottom"/>
            <w:hideMark/>
          </w:tcPr>
          <w:p w14:paraId="5AAAEA4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donacije, kazne, naknade šteta i kapitalne pomoći</w:t>
            </w:r>
          </w:p>
        </w:tc>
        <w:tc>
          <w:tcPr>
            <w:tcW w:w="1559" w:type="dxa"/>
            <w:tcBorders>
              <w:top w:val="nil"/>
              <w:left w:val="nil"/>
              <w:bottom w:val="nil"/>
              <w:right w:val="nil"/>
            </w:tcBorders>
            <w:noWrap/>
            <w:vAlign w:val="bottom"/>
            <w:hideMark/>
          </w:tcPr>
          <w:p w14:paraId="69EA77F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105.000,00</w:t>
            </w:r>
          </w:p>
        </w:tc>
        <w:tc>
          <w:tcPr>
            <w:tcW w:w="1559" w:type="dxa"/>
            <w:tcBorders>
              <w:top w:val="nil"/>
              <w:left w:val="nil"/>
              <w:bottom w:val="nil"/>
              <w:right w:val="nil"/>
            </w:tcBorders>
            <w:noWrap/>
            <w:vAlign w:val="bottom"/>
            <w:hideMark/>
          </w:tcPr>
          <w:p w14:paraId="630A08B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106.500,00</w:t>
            </w:r>
          </w:p>
        </w:tc>
        <w:tc>
          <w:tcPr>
            <w:tcW w:w="1559" w:type="dxa"/>
            <w:tcBorders>
              <w:top w:val="nil"/>
              <w:left w:val="nil"/>
              <w:bottom w:val="nil"/>
              <w:right w:val="nil"/>
            </w:tcBorders>
            <w:noWrap/>
            <w:vAlign w:val="bottom"/>
            <w:hideMark/>
          </w:tcPr>
          <w:p w14:paraId="12FD2C3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106.500,00</w:t>
            </w:r>
          </w:p>
        </w:tc>
        <w:tc>
          <w:tcPr>
            <w:tcW w:w="993" w:type="dxa"/>
            <w:tcBorders>
              <w:top w:val="nil"/>
              <w:left w:val="nil"/>
              <w:bottom w:val="nil"/>
              <w:right w:val="nil"/>
            </w:tcBorders>
            <w:noWrap/>
            <w:vAlign w:val="bottom"/>
            <w:hideMark/>
          </w:tcPr>
          <w:p w14:paraId="1596551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r>
      <w:tr w:rsidR="006967F8" w:rsidRPr="006967F8" w14:paraId="583A4567" w14:textId="77777777" w:rsidTr="008A61B1">
        <w:trPr>
          <w:trHeight w:val="255"/>
        </w:trPr>
        <w:tc>
          <w:tcPr>
            <w:tcW w:w="1134" w:type="dxa"/>
            <w:tcBorders>
              <w:top w:val="nil"/>
              <w:left w:val="nil"/>
              <w:bottom w:val="nil"/>
              <w:right w:val="nil"/>
            </w:tcBorders>
            <w:noWrap/>
            <w:vAlign w:val="bottom"/>
            <w:hideMark/>
          </w:tcPr>
          <w:p w14:paraId="2A8C6D8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3811</w:t>
            </w:r>
          </w:p>
        </w:tc>
        <w:tc>
          <w:tcPr>
            <w:tcW w:w="4962" w:type="dxa"/>
            <w:tcBorders>
              <w:top w:val="nil"/>
              <w:left w:val="nil"/>
              <w:bottom w:val="nil"/>
              <w:right w:val="nil"/>
            </w:tcBorders>
            <w:noWrap/>
            <w:vAlign w:val="bottom"/>
            <w:hideMark/>
          </w:tcPr>
          <w:p w14:paraId="68528F4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Tekuće donacije u novcu</w:t>
            </w:r>
          </w:p>
        </w:tc>
        <w:tc>
          <w:tcPr>
            <w:tcW w:w="1559" w:type="dxa"/>
            <w:tcBorders>
              <w:top w:val="nil"/>
              <w:left w:val="nil"/>
              <w:bottom w:val="nil"/>
              <w:right w:val="nil"/>
            </w:tcBorders>
            <w:noWrap/>
            <w:vAlign w:val="bottom"/>
            <w:hideMark/>
          </w:tcPr>
          <w:p w14:paraId="4250BD8A"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E8429EE"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F495E4A"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106.500,00</w:t>
            </w:r>
          </w:p>
        </w:tc>
        <w:tc>
          <w:tcPr>
            <w:tcW w:w="993" w:type="dxa"/>
            <w:tcBorders>
              <w:top w:val="nil"/>
              <w:left w:val="nil"/>
              <w:bottom w:val="nil"/>
              <w:right w:val="nil"/>
            </w:tcBorders>
            <w:noWrap/>
            <w:vAlign w:val="bottom"/>
            <w:hideMark/>
          </w:tcPr>
          <w:p w14:paraId="5CB2F3A7"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CA15DAB" w14:textId="77777777" w:rsidTr="008A61B1">
        <w:trPr>
          <w:trHeight w:val="540"/>
        </w:trPr>
        <w:tc>
          <w:tcPr>
            <w:tcW w:w="1134" w:type="dxa"/>
            <w:tcBorders>
              <w:top w:val="nil"/>
              <w:left w:val="nil"/>
              <w:bottom w:val="nil"/>
              <w:right w:val="nil"/>
            </w:tcBorders>
            <w:shd w:val="clear" w:color="000000" w:fill="FF9900"/>
            <w:noWrap/>
            <w:vAlign w:val="bottom"/>
            <w:hideMark/>
          </w:tcPr>
          <w:p w14:paraId="4E85644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1210</w:t>
            </w:r>
          </w:p>
        </w:tc>
        <w:tc>
          <w:tcPr>
            <w:tcW w:w="4962" w:type="dxa"/>
            <w:tcBorders>
              <w:top w:val="nil"/>
              <w:left w:val="nil"/>
              <w:bottom w:val="nil"/>
              <w:right w:val="nil"/>
            </w:tcBorders>
            <w:shd w:val="clear" w:color="000000" w:fill="FF9900"/>
            <w:vAlign w:val="bottom"/>
            <w:hideMark/>
          </w:tcPr>
          <w:p w14:paraId="6E65965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Program: SURADNJA S GRADOVIMA I PROJEKTI  IZ EU</w:t>
            </w:r>
          </w:p>
        </w:tc>
        <w:tc>
          <w:tcPr>
            <w:tcW w:w="1559" w:type="dxa"/>
            <w:tcBorders>
              <w:top w:val="nil"/>
              <w:left w:val="nil"/>
              <w:bottom w:val="nil"/>
              <w:right w:val="nil"/>
            </w:tcBorders>
            <w:shd w:val="clear" w:color="000000" w:fill="FF9900"/>
            <w:noWrap/>
            <w:vAlign w:val="bottom"/>
            <w:hideMark/>
          </w:tcPr>
          <w:p w14:paraId="4A44920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16.000,00</w:t>
            </w:r>
          </w:p>
        </w:tc>
        <w:tc>
          <w:tcPr>
            <w:tcW w:w="1559" w:type="dxa"/>
            <w:tcBorders>
              <w:top w:val="nil"/>
              <w:left w:val="nil"/>
              <w:bottom w:val="nil"/>
              <w:right w:val="nil"/>
            </w:tcBorders>
            <w:shd w:val="clear" w:color="000000" w:fill="FF9900"/>
            <w:noWrap/>
            <w:vAlign w:val="bottom"/>
            <w:hideMark/>
          </w:tcPr>
          <w:p w14:paraId="43A38A2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16.000,00</w:t>
            </w:r>
          </w:p>
        </w:tc>
        <w:tc>
          <w:tcPr>
            <w:tcW w:w="1559" w:type="dxa"/>
            <w:tcBorders>
              <w:top w:val="nil"/>
              <w:left w:val="nil"/>
              <w:bottom w:val="nil"/>
              <w:right w:val="nil"/>
            </w:tcBorders>
            <w:shd w:val="clear" w:color="000000" w:fill="FF9900"/>
            <w:noWrap/>
            <w:vAlign w:val="bottom"/>
            <w:hideMark/>
          </w:tcPr>
          <w:p w14:paraId="73F727E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9.218,19</w:t>
            </w:r>
          </w:p>
        </w:tc>
        <w:tc>
          <w:tcPr>
            <w:tcW w:w="993" w:type="dxa"/>
            <w:tcBorders>
              <w:top w:val="nil"/>
              <w:left w:val="nil"/>
              <w:bottom w:val="nil"/>
              <w:right w:val="nil"/>
            </w:tcBorders>
            <w:shd w:val="clear" w:color="000000" w:fill="FF9900"/>
            <w:noWrap/>
            <w:vAlign w:val="bottom"/>
            <w:hideMark/>
          </w:tcPr>
          <w:p w14:paraId="6BC26B7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57,61%</w:t>
            </w:r>
          </w:p>
        </w:tc>
      </w:tr>
      <w:tr w:rsidR="006967F8" w:rsidRPr="006967F8" w14:paraId="0A8EC6B7" w14:textId="77777777" w:rsidTr="008A61B1">
        <w:trPr>
          <w:trHeight w:val="255"/>
        </w:trPr>
        <w:tc>
          <w:tcPr>
            <w:tcW w:w="1134" w:type="dxa"/>
            <w:tcBorders>
              <w:top w:val="nil"/>
              <w:left w:val="nil"/>
              <w:bottom w:val="nil"/>
              <w:right w:val="nil"/>
            </w:tcBorders>
            <w:shd w:val="clear" w:color="000000" w:fill="FFFF99"/>
            <w:noWrap/>
            <w:vAlign w:val="bottom"/>
            <w:hideMark/>
          </w:tcPr>
          <w:p w14:paraId="75932DD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A100027</w:t>
            </w:r>
          </w:p>
        </w:tc>
        <w:tc>
          <w:tcPr>
            <w:tcW w:w="4962" w:type="dxa"/>
            <w:tcBorders>
              <w:top w:val="nil"/>
              <w:left w:val="nil"/>
              <w:bottom w:val="nil"/>
              <w:right w:val="nil"/>
            </w:tcBorders>
            <w:shd w:val="clear" w:color="000000" w:fill="FFFF99"/>
            <w:noWrap/>
            <w:vAlign w:val="bottom"/>
            <w:hideMark/>
          </w:tcPr>
          <w:p w14:paraId="2A520D8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Aktivnost: SURADNJA S GRADOVIMA</w:t>
            </w:r>
          </w:p>
        </w:tc>
        <w:tc>
          <w:tcPr>
            <w:tcW w:w="1559" w:type="dxa"/>
            <w:tcBorders>
              <w:top w:val="nil"/>
              <w:left w:val="nil"/>
              <w:bottom w:val="nil"/>
              <w:right w:val="nil"/>
            </w:tcBorders>
            <w:shd w:val="clear" w:color="000000" w:fill="FFFF99"/>
            <w:noWrap/>
            <w:vAlign w:val="bottom"/>
            <w:hideMark/>
          </w:tcPr>
          <w:p w14:paraId="28DD18D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11.000,00</w:t>
            </w:r>
          </w:p>
        </w:tc>
        <w:tc>
          <w:tcPr>
            <w:tcW w:w="1559" w:type="dxa"/>
            <w:tcBorders>
              <w:top w:val="nil"/>
              <w:left w:val="nil"/>
              <w:bottom w:val="nil"/>
              <w:right w:val="nil"/>
            </w:tcBorders>
            <w:shd w:val="clear" w:color="000000" w:fill="FFFF99"/>
            <w:noWrap/>
            <w:vAlign w:val="bottom"/>
            <w:hideMark/>
          </w:tcPr>
          <w:p w14:paraId="450F613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11.000,00</w:t>
            </w:r>
          </w:p>
        </w:tc>
        <w:tc>
          <w:tcPr>
            <w:tcW w:w="1559" w:type="dxa"/>
            <w:tcBorders>
              <w:top w:val="nil"/>
              <w:left w:val="nil"/>
              <w:bottom w:val="nil"/>
              <w:right w:val="nil"/>
            </w:tcBorders>
            <w:shd w:val="clear" w:color="000000" w:fill="FFFF99"/>
            <w:noWrap/>
            <w:vAlign w:val="bottom"/>
            <w:hideMark/>
          </w:tcPr>
          <w:p w14:paraId="7A11B57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4.218,19</w:t>
            </w:r>
          </w:p>
        </w:tc>
        <w:tc>
          <w:tcPr>
            <w:tcW w:w="993" w:type="dxa"/>
            <w:tcBorders>
              <w:top w:val="nil"/>
              <w:left w:val="nil"/>
              <w:bottom w:val="nil"/>
              <w:right w:val="nil"/>
            </w:tcBorders>
            <w:shd w:val="clear" w:color="000000" w:fill="FFFF99"/>
            <w:noWrap/>
            <w:vAlign w:val="bottom"/>
            <w:hideMark/>
          </w:tcPr>
          <w:p w14:paraId="146BE72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38,35%</w:t>
            </w:r>
          </w:p>
        </w:tc>
      </w:tr>
      <w:tr w:rsidR="006967F8" w:rsidRPr="006967F8" w14:paraId="01A243B3"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26A1946"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5B584E2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11.000,00</w:t>
            </w:r>
          </w:p>
        </w:tc>
        <w:tc>
          <w:tcPr>
            <w:tcW w:w="1559" w:type="dxa"/>
            <w:tcBorders>
              <w:top w:val="nil"/>
              <w:left w:val="nil"/>
              <w:bottom w:val="nil"/>
              <w:right w:val="nil"/>
            </w:tcBorders>
            <w:shd w:val="clear" w:color="000000" w:fill="CCCCFF"/>
            <w:noWrap/>
            <w:vAlign w:val="bottom"/>
            <w:hideMark/>
          </w:tcPr>
          <w:p w14:paraId="65BAD8B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11.000,00</w:t>
            </w:r>
          </w:p>
        </w:tc>
        <w:tc>
          <w:tcPr>
            <w:tcW w:w="1559" w:type="dxa"/>
            <w:tcBorders>
              <w:top w:val="nil"/>
              <w:left w:val="nil"/>
              <w:bottom w:val="nil"/>
              <w:right w:val="nil"/>
            </w:tcBorders>
            <w:shd w:val="clear" w:color="000000" w:fill="CCCCFF"/>
            <w:noWrap/>
            <w:vAlign w:val="bottom"/>
            <w:hideMark/>
          </w:tcPr>
          <w:p w14:paraId="4C19380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4.218,19</w:t>
            </w:r>
          </w:p>
        </w:tc>
        <w:tc>
          <w:tcPr>
            <w:tcW w:w="993" w:type="dxa"/>
            <w:tcBorders>
              <w:top w:val="nil"/>
              <w:left w:val="nil"/>
              <w:bottom w:val="nil"/>
              <w:right w:val="nil"/>
            </w:tcBorders>
            <w:shd w:val="clear" w:color="000000" w:fill="CCCCFF"/>
            <w:noWrap/>
            <w:vAlign w:val="bottom"/>
            <w:hideMark/>
          </w:tcPr>
          <w:p w14:paraId="7E864F6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38,35%</w:t>
            </w:r>
          </w:p>
        </w:tc>
      </w:tr>
      <w:tr w:rsidR="006967F8" w:rsidRPr="006967F8" w14:paraId="11059F9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90BCC92"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64B3CCC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11.000,00</w:t>
            </w:r>
          </w:p>
        </w:tc>
        <w:tc>
          <w:tcPr>
            <w:tcW w:w="1559" w:type="dxa"/>
            <w:tcBorders>
              <w:top w:val="nil"/>
              <w:left w:val="nil"/>
              <w:bottom w:val="nil"/>
              <w:right w:val="nil"/>
            </w:tcBorders>
            <w:shd w:val="clear" w:color="000000" w:fill="CCCCFF"/>
            <w:noWrap/>
            <w:vAlign w:val="bottom"/>
            <w:hideMark/>
          </w:tcPr>
          <w:p w14:paraId="60C3445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11.000,00</w:t>
            </w:r>
          </w:p>
        </w:tc>
        <w:tc>
          <w:tcPr>
            <w:tcW w:w="1559" w:type="dxa"/>
            <w:tcBorders>
              <w:top w:val="nil"/>
              <w:left w:val="nil"/>
              <w:bottom w:val="nil"/>
              <w:right w:val="nil"/>
            </w:tcBorders>
            <w:shd w:val="clear" w:color="000000" w:fill="CCCCFF"/>
            <w:noWrap/>
            <w:vAlign w:val="bottom"/>
            <w:hideMark/>
          </w:tcPr>
          <w:p w14:paraId="3E21558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4.218,19</w:t>
            </w:r>
          </w:p>
        </w:tc>
        <w:tc>
          <w:tcPr>
            <w:tcW w:w="993" w:type="dxa"/>
            <w:tcBorders>
              <w:top w:val="nil"/>
              <w:left w:val="nil"/>
              <w:bottom w:val="nil"/>
              <w:right w:val="nil"/>
            </w:tcBorders>
            <w:shd w:val="clear" w:color="000000" w:fill="CCCCFF"/>
            <w:noWrap/>
            <w:vAlign w:val="bottom"/>
            <w:hideMark/>
          </w:tcPr>
          <w:p w14:paraId="1FDA33E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38,35%</w:t>
            </w:r>
          </w:p>
        </w:tc>
      </w:tr>
      <w:tr w:rsidR="006967F8" w:rsidRPr="006967F8" w14:paraId="32E67520" w14:textId="77777777" w:rsidTr="008A61B1">
        <w:trPr>
          <w:trHeight w:val="255"/>
        </w:trPr>
        <w:tc>
          <w:tcPr>
            <w:tcW w:w="1134" w:type="dxa"/>
            <w:tcBorders>
              <w:top w:val="nil"/>
              <w:left w:val="nil"/>
              <w:bottom w:val="nil"/>
              <w:right w:val="nil"/>
            </w:tcBorders>
            <w:noWrap/>
            <w:vAlign w:val="bottom"/>
            <w:hideMark/>
          </w:tcPr>
          <w:p w14:paraId="1FC88E6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6C0B7C0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0FA2E3E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11.000,00</w:t>
            </w:r>
          </w:p>
        </w:tc>
        <w:tc>
          <w:tcPr>
            <w:tcW w:w="1559" w:type="dxa"/>
            <w:tcBorders>
              <w:top w:val="nil"/>
              <w:left w:val="nil"/>
              <w:bottom w:val="nil"/>
              <w:right w:val="nil"/>
            </w:tcBorders>
            <w:noWrap/>
            <w:vAlign w:val="bottom"/>
            <w:hideMark/>
          </w:tcPr>
          <w:p w14:paraId="770CEA9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11.000,00</w:t>
            </w:r>
          </w:p>
        </w:tc>
        <w:tc>
          <w:tcPr>
            <w:tcW w:w="1559" w:type="dxa"/>
            <w:tcBorders>
              <w:top w:val="nil"/>
              <w:left w:val="nil"/>
              <w:bottom w:val="nil"/>
              <w:right w:val="nil"/>
            </w:tcBorders>
            <w:noWrap/>
            <w:vAlign w:val="bottom"/>
            <w:hideMark/>
          </w:tcPr>
          <w:p w14:paraId="45911B2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4.218,19</w:t>
            </w:r>
          </w:p>
        </w:tc>
        <w:tc>
          <w:tcPr>
            <w:tcW w:w="993" w:type="dxa"/>
            <w:tcBorders>
              <w:top w:val="nil"/>
              <w:left w:val="nil"/>
              <w:bottom w:val="nil"/>
              <w:right w:val="nil"/>
            </w:tcBorders>
            <w:noWrap/>
            <w:vAlign w:val="bottom"/>
            <w:hideMark/>
          </w:tcPr>
          <w:p w14:paraId="6ACC18F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38,35%</w:t>
            </w:r>
          </w:p>
        </w:tc>
      </w:tr>
      <w:tr w:rsidR="006967F8" w:rsidRPr="006967F8" w14:paraId="5DF4D530" w14:textId="77777777" w:rsidTr="008A61B1">
        <w:trPr>
          <w:trHeight w:val="255"/>
        </w:trPr>
        <w:tc>
          <w:tcPr>
            <w:tcW w:w="1134" w:type="dxa"/>
            <w:tcBorders>
              <w:top w:val="nil"/>
              <w:left w:val="nil"/>
              <w:bottom w:val="nil"/>
              <w:right w:val="nil"/>
            </w:tcBorders>
            <w:noWrap/>
            <w:vAlign w:val="bottom"/>
            <w:hideMark/>
          </w:tcPr>
          <w:p w14:paraId="4E282BD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3231</w:t>
            </w:r>
          </w:p>
        </w:tc>
        <w:tc>
          <w:tcPr>
            <w:tcW w:w="4962" w:type="dxa"/>
            <w:tcBorders>
              <w:top w:val="nil"/>
              <w:left w:val="nil"/>
              <w:bottom w:val="nil"/>
              <w:right w:val="nil"/>
            </w:tcBorders>
            <w:noWrap/>
            <w:vAlign w:val="bottom"/>
            <w:hideMark/>
          </w:tcPr>
          <w:p w14:paraId="76276B9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telefona, interneta, pošte i prijevoza</w:t>
            </w:r>
          </w:p>
        </w:tc>
        <w:tc>
          <w:tcPr>
            <w:tcW w:w="1559" w:type="dxa"/>
            <w:tcBorders>
              <w:top w:val="nil"/>
              <w:left w:val="nil"/>
              <w:bottom w:val="nil"/>
              <w:right w:val="nil"/>
            </w:tcBorders>
            <w:noWrap/>
            <w:vAlign w:val="bottom"/>
            <w:hideMark/>
          </w:tcPr>
          <w:p w14:paraId="6157636F"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08E8299"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635094A"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3.420,00</w:t>
            </w:r>
          </w:p>
        </w:tc>
        <w:tc>
          <w:tcPr>
            <w:tcW w:w="993" w:type="dxa"/>
            <w:tcBorders>
              <w:top w:val="nil"/>
              <w:left w:val="nil"/>
              <w:bottom w:val="nil"/>
              <w:right w:val="nil"/>
            </w:tcBorders>
            <w:noWrap/>
            <w:vAlign w:val="bottom"/>
            <w:hideMark/>
          </w:tcPr>
          <w:p w14:paraId="5BB23053"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0A30454" w14:textId="77777777" w:rsidTr="008A61B1">
        <w:trPr>
          <w:trHeight w:val="255"/>
        </w:trPr>
        <w:tc>
          <w:tcPr>
            <w:tcW w:w="1134" w:type="dxa"/>
            <w:tcBorders>
              <w:top w:val="nil"/>
              <w:left w:val="nil"/>
              <w:bottom w:val="nil"/>
              <w:right w:val="nil"/>
            </w:tcBorders>
            <w:noWrap/>
            <w:vAlign w:val="bottom"/>
            <w:hideMark/>
          </w:tcPr>
          <w:p w14:paraId="14A3880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3293</w:t>
            </w:r>
          </w:p>
        </w:tc>
        <w:tc>
          <w:tcPr>
            <w:tcW w:w="4962" w:type="dxa"/>
            <w:tcBorders>
              <w:top w:val="nil"/>
              <w:left w:val="nil"/>
              <w:bottom w:val="nil"/>
              <w:right w:val="nil"/>
            </w:tcBorders>
            <w:noWrap/>
            <w:vAlign w:val="bottom"/>
            <w:hideMark/>
          </w:tcPr>
          <w:p w14:paraId="60A5419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Reprezentacija</w:t>
            </w:r>
          </w:p>
        </w:tc>
        <w:tc>
          <w:tcPr>
            <w:tcW w:w="1559" w:type="dxa"/>
            <w:tcBorders>
              <w:top w:val="nil"/>
              <w:left w:val="nil"/>
              <w:bottom w:val="nil"/>
              <w:right w:val="nil"/>
            </w:tcBorders>
            <w:noWrap/>
            <w:vAlign w:val="bottom"/>
            <w:hideMark/>
          </w:tcPr>
          <w:p w14:paraId="3ED3072A"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0C6BC03"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3278C31"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798,19</w:t>
            </w:r>
          </w:p>
        </w:tc>
        <w:tc>
          <w:tcPr>
            <w:tcW w:w="993" w:type="dxa"/>
            <w:tcBorders>
              <w:top w:val="nil"/>
              <w:left w:val="nil"/>
              <w:bottom w:val="nil"/>
              <w:right w:val="nil"/>
            </w:tcBorders>
            <w:noWrap/>
            <w:vAlign w:val="bottom"/>
            <w:hideMark/>
          </w:tcPr>
          <w:p w14:paraId="3F3A0A1E"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4A65F6F" w14:textId="77777777" w:rsidTr="008A61B1">
        <w:trPr>
          <w:trHeight w:val="645"/>
        </w:trPr>
        <w:tc>
          <w:tcPr>
            <w:tcW w:w="1134" w:type="dxa"/>
            <w:tcBorders>
              <w:top w:val="nil"/>
              <w:left w:val="nil"/>
              <w:bottom w:val="nil"/>
              <w:right w:val="nil"/>
            </w:tcBorders>
            <w:shd w:val="clear" w:color="000000" w:fill="FFFF99"/>
            <w:noWrap/>
            <w:vAlign w:val="bottom"/>
            <w:hideMark/>
          </w:tcPr>
          <w:p w14:paraId="78E9E5C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A100046</w:t>
            </w:r>
          </w:p>
        </w:tc>
        <w:tc>
          <w:tcPr>
            <w:tcW w:w="4962" w:type="dxa"/>
            <w:tcBorders>
              <w:top w:val="nil"/>
              <w:left w:val="nil"/>
              <w:bottom w:val="nil"/>
              <w:right w:val="nil"/>
            </w:tcBorders>
            <w:shd w:val="clear" w:color="000000" w:fill="FFFF99"/>
            <w:vAlign w:val="bottom"/>
            <w:hideMark/>
          </w:tcPr>
          <w:p w14:paraId="4020E64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Aktivnost: TEKUĆE DONACIJE UDRUGAMA U SURADNJI S GRADOVIMA</w:t>
            </w:r>
          </w:p>
        </w:tc>
        <w:tc>
          <w:tcPr>
            <w:tcW w:w="1559" w:type="dxa"/>
            <w:tcBorders>
              <w:top w:val="nil"/>
              <w:left w:val="nil"/>
              <w:bottom w:val="nil"/>
              <w:right w:val="nil"/>
            </w:tcBorders>
            <w:shd w:val="clear" w:color="000000" w:fill="FFFF99"/>
            <w:noWrap/>
            <w:vAlign w:val="bottom"/>
            <w:hideMark/>
          </w:tcPr>
          <w:p w14:paraId="492EE35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5.000,00</w:t>
            </w:r>
          </w:p>
        </w:tc>
        <w:tc>
          <w:tcPr>
            <w:tcW w:w="1559" w:type="dxa"/>
            <w:tcBorders>
              <w:top w:val="nil"/>
              <w:left w:val="nil"/>
              <w:bottom w:val="nil"/>
              <w:right w:val="nil"/>
            </w:tcBorders>
            <w:shd w:val="clear" w:color="000000" w:fill="FFFF99"/>
            <w:noWrap/>
            <w:vAlign w:val="bottom"/>
            <w:hideMark/>
          </w:tcPr>
          <w:p w14:paraId="26D39D1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5.000,00</w:t>
            </w:r>
          </w:p>
        </w:tc>
        <w:tc>
          <w:tcPr>
            <w:tcW w:w="1559" w:type="dxa"/>
            <w:tcBorders>
              <w:top w:val="nil"/>
              <w:left w:val="nil"/>
              <w:bottom w:val="nil"/>
              <w:right w:val="nil"/>
            </w:tcBorders>
            <w:shd w:val="clear" w:color="000000" w:fill="FFFF99"/>
            <w:noWrap/>
            <w:vAlign w:val="bottom"/>
            <w:hideMark/>
          </w:tcPr>
          <w:p w14:paraId="1F3EBFE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5.000,00</w:t>
            </w:r>
          </w:p>
        </w:tc>
        <w:tc>
          <w:tcPr>
            <w:tcW w:w="993" w:type="dxa"/>
            <w:tcBorders>
              <w:top w:val="nil"/>
              <w:left w:val="nil"/>
              <w:bottom w:val="nil"/>
              <w:right w:val="nil"/>
            </w:tcBorders>
            <w:shd w:val="clear" w:color="000000" w:fill="FFFF99"/>
            <w:noWrap/>
            <w:vAlign w:val="bottom"/>
            <w:hideMark/>
          </w:tcPr>
          <w:p w14:paraId="455478A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r>
      <w:tr w:rsidR="006967F8" w:rsidRPr="006967F8" w14:paraId="5D40C8F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DA81652"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046CF7F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5.000,00</w:t>
            </w:r>
          </w:p>
        </w:tc>
        <w:tc>
          <w:tcPr>
            <w:tcW w:w="1559" w:type="dxa"/>
            <w:tcBorders>
              <w:top w:val="nil"/>
              <w:left w:val="nil"/>
              <w:bottom w:val="nil"/>
              <w:right w:val="nil"/>
            </w:tcBorders>
            <w:shd w:val="clear" w:color="000000" w:fill="CCCCFF"/>
            <w:noWrap/>
            <w:vAlign w:val="bottom"/>
            <w:hideMark/>
          </w:tcPr>
          <w:p w14:paraId="6371B71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5.000,00</w:t>
            </w:r>
          </w:p>
        </w:tc>
        <w:tc>
          <w:tcPr>
            <w:tcW w:w="1559" w:type="dxa"/>
            <w:tcBorders>
              <w:top w:val="nil"/>
              <w:left w:val="nil"/>
              <w:bottom w:val="nil"/>
              <w:right w:val="nil"/>
            </w:tcBorders>
            <w:shd w:val="clear" w:color="000000" w:fill="CCCCFF"/>
            <w:noWrap/>
            <w:vAlign w:val="bottom"/>
            <w:hideMark/>
          </w:tcPr>
          <w:p w14:paraId="1C88D61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5.000,00</w:t>
            </w:r>
          </w:p>
        </w:tc>
        <w:tc>
          <w:tcPr>
            <w:tcW w:w="993" w:type="dxa"/>
            <w:tcBorders>
              <w:top w:val="nil"/>
              <w:left w:val="nil"/>
              <w:bottom w:val="nil"/>
              <w:right w:val="nil"/>
            </w:tcBorders>
            <w:shd w:val="clear" w:color="000000" w:fill="CCCCFF"/>
            <w:noWrap/>
            <w:vAlign w:val="bottom"/>
            <w:hideMark/>
          </w:tcPr>
          <w:p w14:paraId="48897B0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2F677954"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96B0314"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3961CB1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5.000,00</w:t>
            </w:r>
          </w:p>
        </w:tc>
        <w:tc>
          <w:tcPr>
            <w:tcW w:w="1559" w:type="dxa"/>
            <w:tcBorders>
              <w:top w:val="nil"/>
              <w:left w:val="nil"/>
              <w:bottom w:val="nil"/>
              <w:right w:val="nil"/>
            </w:tcBorders>
            <w:shd w:val="clear" w:color="000000" w:fill="CCCCFF"/>
            <w:noWrap/>
            <w:vAlign w:val="bottom"/>
            <w:hideMark/>
          </w:tcPr>
          <w:p w14:paraId="77B90D5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5.000,00</w:t>
            </w:r>
          </w:p>
        </w:tc>
        <w:tc>
          <w:tcPr>
            <w:tcW w:w="1559" w:type="dxa"/>
            <w:tcBorders>
              <w:top w:val="nil"/>
              <w:left w:val="nil"/>
              <w:bottom w:val="nil"/>
              <w:right w:val="nil"/>
            </w:tcBorders>
            <w:shd w:val="clear" w:color="000000" w:fill="CCCCFF"/>
            <w:noWrap/>
            <w:vAlign w:val="bottom"/>
            <w:hideMark/>
          </w:tcPr>
          <w:p w14:paraId="1142AB1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5.000,00</w:t>
            </w:r>
          </w:p>
        </w:tc>
        <w:tc>
          <w:tcPr>
            <w:tcW w:w="993" w:type="dxa"/>
            <w:tcBorders>
              <w:top w:val="nil"/>
              <w:left w:val="nil"/>
              <w:bottom w:val="nil"/>
              <w:right w:val="nil"/>
            </w:tcBorders>
            <w:shd w:val="clear" w:color="000000" w:fill="CCCCFF"/>
            <w:noWrap/>
            <w:vAlign w:val="bottom"/>
            <w:hideMark/>
          </w:tcPr>
          <w:p w14:paraId="45AA400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0A075353" w14:textId="77777777" w:rsidTr="008A61B1">
        <w:trPr>
          <w:trHeight w:val="495"/>
        </w:trPr>
        <w:tc>
          <w:tcPr>
            <w:tcW w:w="1134" w:type="dxa"/>
            <w:tcBorders>
              <w:top w:val="nil"/>
              <w:left w:val="nil"/>
              <w:bottom w:val="nil"/>
              <w:right w:val="nil"/>
            </w:tcBorders>
            <w:noWrap/>
            <w:vAlign w:val="bottom"/>
            <w:hideMark/>
          </w:tcPr>
          <w:p w14:paraId="2FA6601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38</w:t>
            </w:r>
          </w:p>
        </w:tc>
        <w:tc>
          <w:tcPr>
            <w:tcW w:w="4962" w:type="dxa"/>
            <w:tcBorders>
              <w:top w:val="nil"/>
              <w:left w:val="nil"/>
              <w:bottom w:val="nil"/>
              <w:right w:val="nil"/>
            </w:tcBorders>
            <w:vAlign w:val="bottom"/>
            <w:hideMark/>
          </w:tcPr>
          <w:p w14:paraId="1CC1EEC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donacije, kazne, naknade šteta i kapitalne pomoći</w:t>
            </w:r>
          </w:p>
        </w:tc>
        <w:tc>
          <w:tcPr>
            <w:tcW w:w="1559" w:type="dxa"/>
            <w:tcBorders>
              <w:top w:val="nil"/>
              <w:left w:val="nil"/>
              <w:bottom w:val="nil"/>
              <w:right w:val="nil"/>
            </w:tcBorders>
            <w:noWrap/>
            <w:vAlign w:val="bottom"/>
            <w:hideMark/>
          </w:tcPr>
          <w:p w14:paraId="56F25BF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5.000,00</w:t>
            </w:r>
          </w:p>
        </w:tc>
        <w:tc>
          <w:tcPr>
            <w:tcW w:w="1559" w:type="dxa"/>
            <w:tcBorders>
              <w:top w:val="nil"/>
              <w:left w:val="nil"/>
              <w:bottom w:val="nil"/>
              <w:right w:val="nil"/>
            </w:tcBorders>
            <w:noWrap/>
            <w:vAlign w:val="bottom"/>
            <w:hideMark/>
          </w:tcPr>
          <w:p w14:paraId="2ABF602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5.000,00</w:t>
            </w:r>
          </w:p>
        </w:tc>
        <w:tc>
          <w:tcPr>
            <w:tcW w:w="1559" w:type="dxa"/>
            <w:tcBorders>
              <w:top w:val="nil"/>
              <w:left w:val="nil"/>
              <w:bottom w:val="nil"/>
              <w:right w:val="nil"/>
            </w:tcBorders>
            <w:noWrap/>
            <w:vAlign w:val="bottom"/>
            <w:hideMark/>
          </w:tcPr>
          <w:p w14:paraId="0AD9C72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5.000,00</w:t>
            </w:r>
          </w:p>
        </w:tc>
        <w:tc>
          <w:tcPr>
            <w:tcW w:w="993" w:type="dxa"/>
            <w:tcBorders>
              <w:top w:val="nil"/>
              <w:left w:val="nil"/>
              <w:bottom w:val="nil"/>
              <w:right w:val="nil"/>
            </w:tcBorders>
            <w:noWrap/>
            <w:vAlign w:val="bottom"/>
            <w:hideMark/>
          </w:tcPr>
          <w:p w14:paraId="5FBA52C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r>
      <w:tr w:rsidR="006967F8" w:rsidRPr="006967F8" w14:paraId="3AAE6132" w14:textId="77777777" w:rsidTr="008A61B1">
        <w:trPr>
          <w:trHeight w:val="255"/>
        </w:trPr>
        <w:tc>
          <w:tcPr>
            <w:tcW w:w="1134" w:type="dxa"/>
            <w:tcBorders>
              <w:top w:val="nil"/>
              <w:left w:val="nil"/>
              <w:bottom w:val="nil"/>
              <w:right w:val="nil"/>
            </w:tcBorders>
            <w:noWrap/>
            <w:vAlign w:val="bottom"/>
            <w:hideMark/>
          </w:tcPr>
          <w:p w14:paraId="56144A4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3811</w:t>
            </w:r>
          </w:p>
        </w:tc>
        <w:tc>
          <w:tcPr>
            <w:tcW w:w="4962" w:type="dxa"/>
            <w:tcBorders>
              <w:top w:val="nil"/>
              <w:left w:val="nil"/>
              <w:bottom w:val="nil"/>
              <w:right w:val="nil"/>
            </w:tcBorders>
            <w:noWrap/>
            <w:vAlign w:val="bottom"/>
            <w:hideMark/>
          </w:tcPr>
          <w:p w14:paraId="637174C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Tekuće donacije u novcu</w:t>
            </w:r>
          </w:p>
        </w:tc>
        <w:tc>
          <w:tcPr>
            <w:tcW w:w="1559" w:type="dxa"/>
            <w:tcBorders>
              <w:top w:val="nil"/>
              <w:left w:val="nil"/>
              <w:bottom w:val="nil"/>
              <w:right w:val="nil"/>
            </w:tcBorders>
            <w:noWrap/>
            <w:vAlign w:val="bottom"/>
            <w:hideMark/>
          </w:tcPr>
          <w:p w14:paraId="129AF0D5"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D15E7BB"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C67CE4C"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5.000,00</w:t>
            </w:r>
          </w:p>
        </w:tc>
        <w:tc>
          <w:tcPr>
            <w:tcW w:w="993" w:type="dxa"/>
            <w:tcBorders>
              <w:top w:val="nil"/>
              <w:left w:val="nil"/>
              <w:bottom w:val="nil"/>
              <w:right w:val="nil"/>
            </w:tcBorders>
            <w:noWrap/>
            <w:vAlign w:val="bottom"/>
            <w:hideMark/>
          </w:tcPr>
          <w:p w14:paraId="2561F986"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04C8B72" w14:textId="77777777" w:rsidTr="008A61B1">
        <w:trPr>
          <w:trHeight w:val="255"/>
        </w:trPr>
        <w:tc>
          <w:tcPr>
            <w:tcW w:w="6096" w:type="dxa"/>
            <w:gridSpan w:val="2"/>
            <w:tcBorders>
              <w:top w:val="nil"/>
              <w:left w:val="nil"/>
              <w:bottom w:val="nil"/>
              <w:right w:val="nil"/>
            </w:tcBorders>
            <w:shd w:val="clear" w:color="000000" w:fill="9999FF"/>
            <w:noWrap/>
            <w:vAlign w:val="bottom"/>
            <w:hideMark/>
          </w:tcPr>
          <w:p w14:paraId="4ED39AF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GLAVA 02111 DJEČJI VRTIĆ </w:t>
            </w:r>
          </w:p>
        </w:tc>
        <w:tc>
          <w:tcPr>
            <w:tcW w:w="1559" w:type="dxa"/>
            <w:tcBorders>
              <w:top w:val="nil"/>
              <w:left w:val="nil"/>
              <w:bottom w:val="nil"/>
              <w:right w:val="nil"/>
            </w:tcBorders>
            <w:shd w:val="clear" w:color="000000" w:fill="9999FF"/>
            <w:noWrap/>
            <w:vAlign w:val="bottom"/>
            <w:hideMark/>
          </w:tcPr>
          <w:p w14:paraId="26EE0EB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2.740.300,00</w:t>
            </w:r>
          </w:p>
        </w:tc>
        <w:tc>
          <w:tcPr>
            <w:tcW w:w="1559" w:type="dxa"/>
            <w:tcBorders>
              <w:top w:val="nil"/>
              <w:left w:val="nil"/>
              <w:bottom w:val="nil"/>
              <w:right w:val="nil"/>
            </w:tcBorders>
            <w:shd w:val="clear" w:color="000000" w:fill="9999FF"/>
            <w:noWrap/>
            <w:vAlign w:val="bottom"/>
            <w:hideMark/>
          </w:tcPr>
          <w:p w14:paraId="15B65EE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2.740.300,00</w:t>
            </w:r>
          </w:p>
        </w:tc>
        <w:tc>
          <w:tcPr>
            <w:tcW w:w="1559" w:type="dxa"/>
            <w:tcBorders>
              <w:top w:val="nil"/>
              <w:left w:val="nil"/>
              <w:bottom w:val="nil"/>
              <w:right w:val="nil"/>
            </w:tcBorders>
            <w:shd w:val="clear" w:color="000000" w:fill="9999FF"/>
            <w:noWrap/>
            <w:vAlign w:val="bottom"/>
            <w:hideMark/>
          </w:tcPr>
          <w:p w14:paraId="1063FCD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2.551.841,13</w:t>
            </w:r>
          </w:p>
        </w:tc>
        <w:tc>
          <w:tcPr>
            <w:tcW w:w="993" w:type="dxa"/>
            <w:tcBorders>
              <w:top w:val="nil"/>
              <w:left w:val="nil"/>
              <w:bottom w:val="nil"/>
              <w:right w:val="nil"/>
            </w:tcBorders>
            <w:shd w:val="clear" w:color="000000" w:fill="9999FF"/>
            <w:noWrap/>
            <w:vAlign w:val="bottom"/>
            <w:hideMark/>
          </w:tcPr>
          <w:p w14:paraId="66E7A90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93,12%</w:t>
            </w:r>
          </w:p>
        </w:tc>
      </w:tr>
      <w:tr w:rsidR="006967F8" w:rsidRPr="006967F8" w14:paraId="64BDC8E0"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38E71B2"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3AACBF5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2.153.600,00</w:t>
            </w:r>
          </w:p>
        </w:tc>
        <w:tc>
          <w:tcPr>
            <w:tcW w:w="1559" w:type="dxa"/>
            <w:tcBorders>
              <w:top w:val="nil"/>
              <w:left w:val="nil"/>
              <w:bottom w:val="nil"/>
              <w:right w:val="nil"/>
            </w:tcBorders>
            <w:shd w:val="clear" w:color="000000" w:fill="CCCCFF"/>
            <w:noWrap/>
            <w:vAlign w:val="bottom"/>
            <w:hideMark/>
          </w:tcPr>
          <w:p w14:paraId="103521E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2.153.600,00</w:t>
            </w:r>
          </w:p>
        </w:tc>
        <w:tc>
          <w:tcPr>
            <w:tcW w:w="1559" w:type="dxa"/>
            <w:tcBorders>
              <w:top w:val="nil"/>
              <w:left w:val="nil"/>
              <w:bottom w:val="nil"/>
              <w:right w:val="nil"/>
            </w:tcBorders>
            <w:shd w:val="clear" w:color="000000" w:fill="CCCCFF"/>
            <w:noWrap/>
            <w:vAlign w:val="bottom"/>
            <w:hideMark/>
          </w:tcPr>
          <w:p w14:paraId="6161943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2.027.249,18</w:t>
            </w:r>
          </w:p>
        </w:tc>
        <w:tc>
          <w:tcPr>
            <w:tcW w:w="993" w:type="dxa"/>
            <w:tcBorders>
              <w:top w:val="nil"/>
              <w:left w:val="nil"/>
              <w:bottom w:val="nil"/>
              <w:right w:val="nil"/>
            </w:tcBorders>
            <w:shd w:val="clear" w:color="000000" w:fill="CCCCFF"/>
            <w:noWrap/>
            <w:vAlign w:val="bottom"/>
            <w:hideMark/>
          </w:tcPr>
          <w:p w14:paraId="777F2BB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94,13%</w:t>
            </w:r>
          </w:p>
        </w:tc>
      </w:tr>
      <w:tr w:rsidR="006967F8" w:rsidRPr="006967F8" w14:paraId="1D5DA258"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FD023B2"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4EF65A3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2.139.800,00</w:t>
            </w:r>
          </w:p>
        </w:tc>
        <w:tc>
          <w:tcPr>
            <w:tcW w:w="1559" w:type="dxa"/>
            <w:tcBorders>
              <w:top w:val="nil"/>
              <w:left w:val="nil"/>
              <w:bottom w:val="nil"/>
              <w:right w:val="nil"/>
            </w:tcBorders>
            <w:shd w:val="clear" w:color="000000" w:fill="CCCCFF"/>
            <w:noWrap/>
            <w:vAlign w:val="bottom"/>
            <w:hideMark/>
          </w:tcPr>
          <w:p w14:paraId="5BEF3E0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2.139.800,00</w:t>
            </w:r>
          </w:p>
        </w:tc>
        <w:tc>
          <w:tcPr>
            <w:tcW w:w="1559" w:type="dxa"/>
            <w:tcBorders>
              <w:top w:val="nil"/>
              <w:left w:val="nil"/>
              <w:bottom w:val="nil"/>
              <w:right w:val="nil"/>
            </w:tcBorders>
            <w:shd w:val="clear" w:color="000000" w:fill="CCCCFF"/>
            <w:noWrap/>
            <w:vAlign w:val="bottom"/>
            <w:hideMark/>
          </w:tcPr>
          <w:p w14:paraId="042A804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2.027.249,18</w:t>
            </w:r>
          </w:p>
        </w:tc>
        <w:tc>
          <w:tcPr>
            <w:tcW w:w="993" w:type="dxa"/>
            <w:tcBorders>
              <w:top w:val="nil"/>
              <w:left w:val="nil"/>
              <w:bottom w:val="nil"/>
              <w:right w:val="nil"/>
            </w:tcBorders>
            <w:shd w:val="clear" w:color="000000" w:fill="CCCCFF"/>
            <w:noWrap/>
            <w:vAlign w:val="bottom"/>
            <w:hideMark/>
          </w:tcPr>
          <w:p w14:paraId="6D8834C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94,74%</w:t>
            </w:r>
          </w:p>
        </w:tc>
      </w:tr>
      <w:tr w:rsidR="006967F8" w:rsidRPr="006967F8" w14:paraId="6E3AA6E9" w14:textId="77777777" w:rsidTr="008A61B1">
        <w:trPr>
          <w:trHeight w:val="600"/>
        </w:trPr>
        <w:tc>
          <w:tcPr>
            <w:tcW w:w="6096" w:type="dxa"/>
            <w:gridSpan w:val="2"/>
            <w:tcBorders>
              <w:top w:val="nil"/>
              <w:left w:val="nil"/>
              <w:bottom w:val="nil"/>
              <w:right w:val="nil"/>
            </w:tcBorders>
            <w:shd w:val="clear" w:color="000000" w:fill="CCCCFF"/>
            <w:vAlign w:val="bottom"/>
            <w:hideMark/>
          </w:tcPr>
          <w:p w14:paraId="2C29BAC0"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1.9. PRENESENI VIŠAK/ MANJAK- OPĆI PRIHODI I PRIMICI</w:t>
            </w:r>
          </w:p>
        </w:tc>
        <w:tc>
          <w:tcPr>
            <w:tcW w:w="1559" w:type="dxa"/>
            <w:tcBorders>
              <w:top w:val="nil"/>
              <w:left w:val="nil"/>
              <w:bottom w:val="nil"/>
              <w:right w:val="nil"/>
            </w:tcBorders>
            <w:shd w:val="clear" w:color="000000" w:fill="CCCCFF"/>
            <w:noWrap/>
            <w:vAlign w:val="bottom"/>
            <w:hideMark/>
          </w:tcPr>
          <w:p w14:paraId="57EE14B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13.800,00</w:t>
            </w:r>
          </w:p>
        </w:tc>
        <w:tc>
          <w:tcPr>
            <w:tcW w:w="1559" w:type="dxa"/>
            <w:tcBorders>
              <w:top w:val="nil"/>
              <w:left w:val="nil"/>
              <w:bottom w:val="nil"/>
              <w:right w:val="nil"/>
            </w:tcBorders>
            <w:shd w:val="clear" w:color="000000" w:fill="CCCCFF"/>
            <w:noWrap/>
            <w:vAlign w:val="bottom"/>
            <w:hideMark/>
          </w:tcPr>
          <w:p w14:paraId="639E915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13.800,00</w:t>
            </w:r>
          </w:p>
        </w:tc>
        <w:tc>
          <w:tcPr>
            <w:tcW w:w="1559" w:type="dxa"/>
            <w:tcBorders>
              <w:top w:val="nil"/>
              <w:left w:val="nil"/>
              <w:bottom w:val="nil"/>
              <w:right w:val="nil"/>
            </w:tcBorders>
            <w:shd w:val="clear" w:color="000000" w:fill="CCCCFF"/>
            <w:noWrap/>
            <w:vAlign w:val="bottom"/>
            <w:hideMark/>
          </w:tcPr>
          <w:p w14:paraId="5539B78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22428D7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7B77F2C5"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B2222D1"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3. VLASTITI PRIHODI</w:t>
            </w:r>
          </w:p>
        </w:tc>
        <w:tc>
          <w:tcPr>
            <w:tcW w:w="1559" w:type="dxa"/>
            <w:tcBorders>
              <w:top w:val="nil"/>
              <w:left w:val="nil"/>
              <w:bottom w:val="nil"/>
              <w:right w:val="nil"/>
            </w:tcBorders>
            <w:shd w:val="clear" w:color="000000" w:fill="CCCCFF"/>
            <w:noWrap/>
            <w:vAlign w:val="bottom"/>
            <w:hideMark/>
          </w:tcPr>
          <w:p w14:paraId="479E949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c>
          <w:tcPr>
            <w:tcW w:w="1559" w:type="dxa"/>
            <w:tcBorders>
              <w:top w:val="nil"/>
              <w:left w:val="nil"/>
              <w:bottom w:val="nil"/>
              <w:right w:val="nil"/>
            </w:tcBorders>
            <w:shd w:val="clear" w:color="000000" w:fill="CCCCFF"/>
            <w:noWrap/>
            <w:vAlign w:val="bottom"/>
            <w:hideMark/>
          </w:tcPr>
          <w:p w14:paraId="29B7A84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c>
          <w:tcPr>
            <w:tcW w:w="1559" w:type="dxa"/>
            <w:tcBorders>
              <w:top w:val="nil"/>
              <w:left w:val="nil"/>
              <w:bottom w:val="nil"/>
              <w:right w:val="nil"/>
            </w:tcBorders>
            <w:shd w:val="clear" w:color="000000" w:fill="CCCCFF"/>
            <w:noWrap/>
            <w:vAlign w:val="bottom"/>
            <w:hideMark/>
          </w:tcPr>
          <w:p w14:paraId="05BF2E1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9,60</w:t>
            </w:r>
          </w:p>
        </w:tc>
        <w:tc>
          <w:tcPr>
            <w:tcW w:w="993" w:type="dxa"/>
            <w:tcBorders>
              <w:top w:val="nil"/>
              <w:left w:val="nil"/>
              <w:bottom w:val="nil"/>
              <w:right w:val="nil"/>
            </w:tcBorders>
            <w:shd w:val="clear" w:color="000000" w:fill="CCCCFF"/>
            <w:noWrap/>
            <w:vAlign w:val="bottom"/>
            <w:hideMark/>
          </w:tcPr>
          <w:p w14:paraId="1259009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9,60%</w:t>
            </w:r>
          </w:p>
        </w:tc>
      </w:tr>
      <w:tr w:rsidR="006967F8" w:rsidRPr="006967F8" w14:paraId="0FBAEB51"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3A97AEF"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3.2. Vlastiti prihodi proračunskih korisnika</w:t>
            </w:r>
          </w:p>
        </w:tc>
        <w:tc>
          <w:tcPr>
            <w:tcW w:w="1559" w:type="dxa"/>
            <w:tcBorders>
              <w:top w:val="nil"/>
              <w:left w:val="nil"/>
              <w:bottom w:val="nil"/>
              <w:right w:val="nil"/>
            </w:tcBorders>
            <w:shd w:val="clear" w:color="000000" w:fill="CCCCFF"/>
            <w:noWrap/>
            <w:vAlign w:val="bottom"/>
            <w:hideMark/>
          </w:tcPr>
          <w:p w14:paraId="57DDF6F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c>
          <w:tcPr>
            <w:tcW w:w="1559" w:type="dxa"/>
            <w:tcBorders>
              <w:top w:val="nil"/>
              <w:left w:val="nil"/>
              <w:bottom w:val="nil"/>
              <w:right w:val="nil"/>
            </w:tcBorders>
            <w:shd w:val="clear" w:color="000000" w:fill="CCCCFF"/>
            <w:noWrap/>
            <w:vAlign w:val="bottom"/>
            <w:hideMark/>
          </w:tcPr>
          <w:p w14:paraId="7958614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c>
          <w:tcPr>
            <w:tcW w:w="1559" w:type="dxa"/>
            <w:tcBorders>
              <w:top w:val="nil"/>
              <w:left w:val="nil"/>
              <w:bottom w:val="nil"/>
              <w:right w:val="nil"/>
            </w:tcBorders>
            <w:shd w:val="clear" w:color="000000" w:fill="CCCCFF"/>
            <w:noWrap/>
            <w:vAlign w:val="bottom"/>
            <w:hideMark/>
          </w:tcPr>
          <w:p w14:paraId="4E9800A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9,60</w:t>
            </w:r>
          </w:p>
        </w:tc>
        <w:tc>
          <w:tcPr>
            <w:tcW w:w="993" w:type="dxa"/>
            <w:tcBorders>
              <w:top w:val="nil"/>
              <w:left w:val="nil"/>
              <w:bottom w:val="nil"/>
              <w:right w:val="nil"/>
            </w:tcBorders>
            <w:shd w:val="clear" w:color="000000" w:fill="CCCCFF"/>
            <w:noWrap/>
            <w:vAlign w:val="bottom"/>
            <w:hideMark/>
          </w:tcPr>
          <w:p w14:paraId="385E2B9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9,60%</w:t>
            </w:r>
          </w:p>
        </w:tc>
      </w:tr>
      <w:tr w:rsidR="006967F8" w:rsidRPr="006967F8" w14:paraId="50468B18"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0E24364"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lastRenderedPageBreak/>
              <w:t>Izvor 4. PRIHODI ZA POSEBNE NAMJENE</w:t>
            </w:r>
          </w:p>
        </w:tc>
        <w:tc>
          <w:tcPr>
            <w:tcW w:w="1559" w:type="dxa"/>
            <w:tcBorders>
              <w:top w:val="nil"/>
              <w:left w:val="nil"/>
              <w:bottom w:val="nil"/>
              <w:right w:val="nil"/>
            </w:tcBorders>
            <w:shd w:val="clear" w:color="000000" w:fill="CCCCFF"/>
            <w:noWrap/>
            <w:vAlign w:val="bottom"/>
            <w:hideMark/>
          </w:tcPr>
          <w:p w14:paraId="5340194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542.600,00</w:t>
            </w:r>
          </w:p>
        </w:tc>
        <w:tc>
          <w:tcPr>
            <w:tcW w:w="1559" w:type="dxa"/>
            <w:tcBorders>
              <w:top w:val="nil"/>
              <w:left w:val="nil"/>
              <w:bottom w:val="nil"/>
              <w:right w:val="nil"/>
            </w:tcBorders>
            <w:shd w:val="clear" w:color="000000" w:fill="CCCCFF"/>
            <w:noWrap/>
            <w:vAlign w:val="bottom"/>
            <w:hideMark/>
          </w:tcPr>
          <w:p w14:paraId="5D17DE9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542.600,00</w:t>
            </w:r>
          </w:p>
        </w:tc>
        <w:tc>
          <w:tcPr>
            <w:tcW w:w="1559" w:type="dxa"/>
            <w:tcBorders>
              <w:top w:val="nil"/>
              <w:left w:val="nil"/>
              <w:bottom w:val="nil"/>
              <w:right w:val="nil"/>
            </w:tcBorders>
            <w:shd w:val="clear" w:color="000000" w:fill="CCCCFF"/>
            <w:noWrap/>
            <w:vAlign w:val="bottom"/>
            <w:hideMark/>
          </w:tcPr>
          <w:p w14:paraId="77C2259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501.938,02</w:t>
            </w:r>
          </w:p>
        </w:tc>
        <w:tc>
          <w:tcPr>
            <w:tcW w:w="993" w:type="dxa"/>
            <w:tcBorders>
              <w:top w:val="nil"/>
              <w:left w:val="nil"/>
              <w:bottom w:val="nil"/>
              <w:right w:val="nil"/>
            </w:tcBorders>
            <w:shd w:val="clear" w:color="000000" w:fill="CCCCFF"/>
            <w:noWrap/>
            <w:vAlign w:val="bottom"/>
            <w:hideMark/>
          </w:tcPr>
          <w:p w14:paraId="6E29AFB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92,51%</w:t>
            </w:r>
          </w:p>
        </w:tc>
      </w:tr>
      <w:tr w:rsidR="006967F8" w:rsidRPr="006967F8" w14:paraId="2AB182E9"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D52F78D"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4.3. Ostali prihodi za posebne namjene</w:t>
            </w:r>
          </w:p>
        </w:tc>
        <w:tc>
          <w:tcPr>
            <w:tcW w:w="1559" w:type="dxa"/>
            <w:tcBorders>
              <w:top w:val="nil"/>
              <w:left w:val="nil"/>
              <w:bottom w:val="nil"/>
              <w:right w:val="nil"/>
            </w:tcBorders>
            <w:shd w:val="clear" w:color="000000" w:fill="CCCCFF"/>
            <w:noWrap/>
            <w:vAlign w:val="bottom"/>
            <w:hideMark/>
          </w:tcPr>
          <w:p w14:paraId="32EFC24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272.600,00</w:t>
            </w:r>
          </w:p>
        </w:tc>
        <w:tc>
          <w:tcPr>
            <w:tcW w:w="1559" w:type="dxa"/>
            <w:tcBorders>
              <w:top w:val="nil"/>
              <w:left w:val="nil"/>
              <w:bottom w:val="nil"/>
              <w:right w:val="nil"/>
            </w:tcBorders>
            <w:shd w:val="clear" w:color="000000" w:fill="CCCCFF"/>
            <w:noWrap/>
            <w:vAlign w:val="bottom"/>
            <w:hideMark/>
          </w:tcPr>
          <w:p w14:paraId="32FCE06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272.600,00</w:t>
            </w:r>
          </w:p>
        </w:tc>
        <w:tc>
          <w:tcPr>
            <w:tcW w:w="1559" w:type="dxa"/>
            <w:tcBorders>
              <w:top w:val="nil"/>
              <w:left w:val="nil"/>
              <w:bottom w:val="nil"/>
              <w:right w:val="nil"/>
            </w:tcBorders>
            <w:shd w:val="clear" w:color="000000" w:fill="CCCCFF"/>
            <w:noWrap/>
            <w:vAlign w:val="bottom"/>
            <w:hideMark/>
          </w:tcPr>
          <w:p w14:paraId="2A39BB9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272.600,00</w:t>
            </w:r>
          </w:p>
        </w:tc>
        <w:tc>
          <w:tcPr>
            <w:tcW w:w="993" w:type="dxa"/>
            <w:tcBorders>
              <w:top w:val="nil"/>
              <w:left w:val="nil"/>
              <w:bottom w:val="nil"/>
              <w:right w:val="nil"/>
            </w:tcBorders>
            <w:shd w:val="clear" w:color="000000" w:fill="CCCCFF"/>
            <w:noWrap/>
            <w:vAlign w:val="bottom"/>
            <w:hideMark/>
          </w:tcPr>
          <w:p w14:paraId="03DF5AF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49F7D37A" w14:textId="77777777" w:rsidTr="008A61B1">
        <w:trPr>
          <w:trHeight w:val="600"/>
        </w:trPr>
        <w:tc>
          <w:tcPr>
            <w:tcW w:w="6096" w:type="dxa"/>
            <w:gridSpan w:val="2"/>
            <w:tcBorders>
              <w:top w:val="nil"/>
              <w:left w:val="nil"/>
              <w:bottom w:val="nil"/>
              <w:right w:val="nil"/>
            </w:tcBorders>
            <w:shd w:val="clear" w:color="000000" w:fill="CCCCFF"/>
            <w:vAlign w:val="bottom"/>
            <w:hideMark/>
          </w:tcPr>
          <w:p w14:paraId="76F7DB90"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4.4. Ostali prihodi za posebne namjene proračunskih korisnika</w:t>
            </w:r>
          </w:p>
        </w:tc>
        <w:tc>
          <w:tcPr>
            <w:tcW w:w="1559" w:type="dxa"/>
            <w:tcBorders>
              <w:top w:val="nil"/>
              <w:left w:val="nil"/>
              <w:bottom w:val="nil"/>
              <w:right w:val="nil"/>
            </w:tcBorders>
            <w:shd w:val="clear" w:color="000000" w:fill="CCCCFF"/>
            <w:noWrap/>
            <w:vAlign w:val="bottom"/>
            <w:hideMark/>
          </w:tcPr>
          <w:p w14:paraId="1DAF28F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270.000,00</w:t>
            </w:r>
          </w:p>
        </w:tc>
        <w:tc>
          <w:tcPr>
            <w:tcW w:w="1559" w:type="dxa"/>
            <w:tcBorders>
              <w:top w:val="nil"/>
              <w:left w:val="nil"/>
              <w:bottom w:val="nil"/>
              <w:right w:val="nil"/>
            </w:tcBorders>
            <w:shd w:val="clear" w:color="000000" w:fill="CCCCFF"/>
            <w:noWrap/>
            <w:vAlign w:val="bottom"/>
            <w:hideMark/>
          </w:tcPr>
          <w:p w14:paraId="63C4272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270.000,00</w:t>
            </w:r>
          </w:p>
        </w:tc>
        <w:tc>
          <w:tcPr>
            <w:tcW w:w="1559" w:type="dxa"/>
            <w:tcBorders>
              <w:top w:val="nil"/>
              <w:left w:val="nil"/>
              <w:bottom w:val="nil"/>
              <w:right w:val="nil"/>
            </w:tcBorders>
            <w:shd w:val="clear" w:color="000000" w:fill="CCCCFF"/>
            <w:noWrap/>
            <w:vAlign w:val="bottom"/>
            <w:hideMark/>
          </w:tcPr>
          <w:p w14:paraId="7720158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229.338,02</w:t>
            </w:r>
          </w:p>
        </w:tc>
        <w:tc>
          <w:tcPr>
            <w:tcW w:w="993" w:type="dxa"/>
            <w:tcBorders>
              <w:top w:val="nil"/>
              <w:left w:val="nil"/>
              <w:bottom w:val="nil"/>
              <w:right w:val="nil"/>
            </w:tcBorders>
            <w:shd w:val="clear" w:color="000000" w:fill="CCCCFF"/>
            <w:noWrap/>
            <w:vAlign w:val="bottom"/>
            <w:hideMark/>
          </w:tcPr>
          <w:p w14:paraId="24E6EBF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84,94%</w:t>
            </w:r>
          </w:p>
        </w:tc>
      </w:tr>
      <w:tr w:rsidR="006967F8" w:rsidRPr="006967F8" w14:paraId="63484994"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378BA40"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098DF54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40.000,00</w:t>
            </w:r>
          </w:p>
        </w:tc>
        <w:tc>
          <w:tcPr>
            <w:tcW w:w="1559" w:type="dxa"/>
            <w:tcBorders>
              <w:top w:val="nil"/>
              <w:left w:val="nil"/>
              <w:bottom w:val="nil"/>
              <w:right w:val="nil"/>
            </w:tcBorders>
            <w:shd w:val="clear" w:color="000000" w:fill="CCCCFF"/>
            <w:noWrap/>
            <w:vAlign w:val="bottom"/>
            <w:hideMark/>
          </w:tcPr>
          <w:p w14:paraId="260872D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40.000,00</w:t>
            </w:r>
          </w:p>
        </w:tc>
        <w:tc>
          <w:tcPr>
            <w:tcW w:w="1559" w:type="dxa"/>
            <w:tcBorders>
              <w:top w:val="nil"/>
              <w:left w:val="nil"/>
              <w:bottom w:val="nil"/>
              <w:right w:val="nil"/>
            </w:tcBorders>
            <w:shd w:val="clear" w:color="000000" w:fill="CCCCFF"/>
            <w:noWrap/>
            <w:vAlign w:val="bottom"/>
            <w:hideMark/>
          </w:tcPr>
          <w:p w14:paraId="2D29D90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22.644,33</w:t>
            </w:r>
          </w:p>
        </w:tc>
        <w:tc>
          <w:tcPr>
            <w:tcW w:w="993" w:type="dxa"/>
            <w:tcBorders>
              <w:top w:val="nil"/>
              <w:left w:val="nil"/>
              <w:bottom w:val="nil"/>
              <w:right w:val="nil"/>
            </w:tcBorders>
            <w:shd w:val="clear" w:color="000000" w:fill="CCCCFF"/>
            <w:noWrap/>
            <w:vAlign w:val="bottom"/>
            <w:hideMark/>
          </w:tcPr>
          <w:p w14:paraId="39789DB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56,61%</w:t>
            </w:r>
          </w:p>
        </w:tc>
      </w:tr>
      <w:tr w:rsidR="006967F8" w:rsidRPr="006967F8" w14:paraId="2E916B24"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73B9E83"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5.5. Ostale pomoći  proračunskih korisnika</w:t>
            </w:r>
          </w:p>
        </w:tc>
        <w:tc>
          <w:tcPr>
            <w:tcW w:w="1559" w:type="dxa"/>
            <w:tcBorders>
              <w:top w:val="nil"/>
              <w:left w:val="nil"/>
              <w:bottom w:val="nil"/>
              <w:right w:val="nil"/>
            </w:tcBorders>
            <w:shd w:val="clear" w:color="000000" w:fill="CCCCFF"/>
            <w:noWrap/>
            <w:vAlign w:val="bottom"/>
            <w:hideMark/>
          </w:tcPr>
          <w:p w14:paraId="753CE91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40.000,00</w:t>
            </w:r>
          </w:p>
        </w:tc>
        <w:tc>
          <w:tcPr>
            <w:tcW w:w="1559" w:type="dxa"/>
            <w:tcBorders>
              <w:top w:val="nil"/>
              <w:left w:val="nil"/>
              <w:bottom w:val="nil"/>
              <w:right w:val="nil"/>
            </w:tcBorders>
            <w:shd w:val="clear" w:color="000000" w:fill="CCCCFF"/>
            <w:noWrap/>
            <w:vAlign w:val="bottom"/>
            <w:hideMark/>
          </w:tcPr>
          <w:p w14:paraId="3CC63D7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40.000,00</w:t>
            </w:r>
          </w:p>
        </w:tc>
        <w:tc>
          <w:tcPr>
            <w:tcW w:w="1559" w:type="dxa"/>
            <w:tcBorders>
              <w:top w:val="nil"/>
              <w:left w:val="nil"/>
              <w:bottom w:val="nil"/>
              <w:right w:val="nil"/>
            </w:tcBorders>
            <w:shd w:val="clear" w:color="000000" w:fill="CCCCFF"/>
            <w:noWrap/>
            <w:vAlign w:val="bottom"/>
            <w:hideMark/>
          </w:tcPr>
          <w:p w14:paraId="1C2FF31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22.644,33</w:t>
            </w:r>
          </w:p>
        </w:tc>
        <w:tc>
          <w:tcPr>
            <w:tcW w:w="993" w:type="dxa"/>
            <w:tcBorders>
              <w:top w:val="nil"/>
              <w:left w:val="nil"/>
              <w:bottom w:val="nil"/>
              <w:right w:val="nil"/>
            </w:tcBorders>
            <w:shd w:val="clear" w:color="000000" w:fill="CCCCFF"/>
            <w:noWrap/>
            <w:vAlign w:val="bottom"/>
            <w:hideMark/>
          </w:tcPr>
          <w:p w14:paraId="768D876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56,61%</w:t>
            </w:r>
          </w:p>
        </w:tc>
      </w:tr>
      <w:tr w:rsidR="006967F8" w:rsidRPr="006967F8" w14:paraId="1EC8A44E"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BC81860"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6. DONACIJE</w:t>
            </w:r>
          </w:p>
        </w:tc>
        <w:tc>
          <w:tcPr>
            <w:tcW w:w="1559" w:type="dxa"/>
            <w:tcBorders>
              <w:top w:val="nil"/>
              <w:left w:val="nil"/>
              <w:bottom w:val="nil"/>
              <w:right w:val="nil"/>
            </w:tcBorders>
            <w:shd w:val="clear" w:color="000000" w:fill="CCCCFF"/>
            <w:noWrap/>
            <w:vAlign w:val="bottom"/>
            <w:hideMark/>
          </w:tcPr>
          <w:p w14:paraId="665BDB9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w:t>
            </w:r>
          </w:p>
        </w:tc>
        <w:tc>
          <w:tcPr>
            <w:tcW w:w="1559" w:type="dxa"/>
            <w:tcBorders>
              <w:top w:val="nil"/>
              <w:left w:val="nil"/>
              <w:bottom w:val="nil"/>
              <w:right w:val="nil"/>
            </w:tcBorders>
            <w:shd w:val="clear" w:color="000000" w:fill="CCCCFF"/>
            <w:noWrap/>
            <w:vAlign w:val="bottom"/>
            <w:hideMark/>
          </w:tcPr>
          <w:p w14:paraId="6D04ED7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w:t>
            </w:r>
          </w:p>
        </w:tc>
        <w:tc>
          <w:tcPr>
            <w:tcW w:w="1559" w:type="dxa"/>
            <w:tcBorders>
              <w:top w:val="nil"/>
              <w:left w:val="nil"/>
              <w:bottom w:val="nil"/>
              <w:right w:val="nil"/>
            </w:tcBorders>
            <w:shd w:val="clear" w:color="000000" w:fill="CCCCFF"/>
            <w:noWrap/>
            <w:vAlign w:val="bottom"/>
            <w:hideMark/>
          </w:tcPr>
          <w:p w14:paraId="71173A2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2320076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044EFFD8"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2540C6C"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6.2. Donacije proračunskih korisnika</w:t>
            </w:r>
          </w:p>
        </w:tc>
        <w:tc>
          <w:tcPr>
            <w:tcW w:w="1559" w:type="dxa"/>
            <w:tcBorders>
              <w:top w:val="nil"/>
              <w:left w:val="nil"/>
              <w:bottom w:val="nil"/>
              <w:right w:val="nil"/>
            </w:tcBorders>
            <w:shd w:val="clear" w:color="000000" w:fill="CCCCFF"/>
            <w:noWrap/>
            <w:vAlign w:val="bottom"/>
            <w:hideMark/>
          </w:tcPr>
          <w:p w14:paraId="3D6D34A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w:t>
            </w:r>
          </w:p>
        </w:tc>
        <w:tc>
          <w:tcPr>
            <w:tcW w:w="1559" w:type="dxa"/>
            <w:tcBorders>
              <w:top w:val="nil"/>
              <w:left w:val="nil"/>
              <w:bottom w:val="nil"/>
              <w:right w:val="nil"/>
            </w:tcBorders>
            <w:shd w:val="clear" w:color="000000" w:fill="CCCCFF"/>
            <w:noWrap/>
            <w:vAlign w:val="bottom"/>
            <w:hideMark/>
          </w:tcPr>
          <w:p w14:paraId="218A6F1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w:t>
            </w:r>
          </w:p>
        </w:tc>
        <w:tc>
          <w:tcPr>
            <w:tcW w:w="1559" w:type="dxa"/>
            <w:tcBorders>
              <w:top w:val="nil"/>
              <w:left w:val="nil"/>
              <w:bottom w:val="nil"/>
              <w:right w:val="nil"/>
            </w:tcBorders>
            <w:shd w:val="clear" w:color="000000" w:fill="CCCCFF"/>
            <w:noWrap/>
            <w:vAlign w:val="bottom"/>
            <w:hideMark/>
          </w:tcPr>
          <w:p w14:paraId="56D5BA6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605DA9F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12282EAA" w14:textId="77777777" w:rsidTr="008A61B1">
        <w:trPr>
          <w:trHeight w:val="555"/>
        </w:trPr>
        <w:tc>
          <w:tcPr>
            <w:tcW w:w="6096" w:type="dxa"/>
            <w:gridSpan w:val="2"/>
            <w:tcBorders>
              <w:top w:val="nil"/>
              <w:left w:val="nil"/>
              <w:bottom w:val="nil"/>
              <w:right w:val="nil"/>
            </w:tcBorders>
            <w:shd w:val="clear" w:color="000000" w:fill="CCCCFF"/>
            <w:vAlign w:val="bottom"/>
            <w:hideMark/>
          </w:tcPr>
          <w:p w14:paraId="65B9A608"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7. PRIHODI OD PRODAJE ILI ZAMJENE NEFIN. IMOV. I NAK. OSIG.</w:t>
            </w:r>
          </w:p>
        </w:tc>
        <w:tc>
          <w:tcPr>
            <w:tcW w:w="1559" w:type="dxa"/>
            <w:tcBorders>
              <w:top w:val="nil"/>
              <w:left w:val="nil"/>
              <w:bottom w:val="nil"/>
              <w:right w:val="nil"/>
            </w:tcBorders>
            <w:shd w:val="clear" w:color="000000" w:fill="CCCCFF"/>
            <w:noWrap/>
            <w:vAlign w:val="bottom"/>
            <w:hideMark/>
          </w:tcPr>
          <w:p w14:paraId="1E23735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3.000,00</w:t>
            </w:r>
          </w:p>
        </w:tc>
        <w:tc>
          <w:tcPr>
            <w:tcW w:w="1559" w:type="dxa"/>
            <w:tcBorders>
              <w:top w:val="nil"/>
              <w:left w:val="nil"/>
              <w:bottom w:val="nil"/>
              <w:right w:val="nil"/>
            </w:tcBorders>
            <w:shd w:val="clear" w:color="000000" w:fill="CCCCFF"/>
            <w:noWrap/>
            <w:vAlign w:val="bottom"/>
            <w:hideMark/>
          </w:tcPr>
          <w:p w14:paraId="510BF8A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3.000,00</w:t>
            </w:r>
          </w:p>
        </w:tc>
        <w:tc>
          <w:tcPr>
            <w:tcW w:w="1559" w:type="dxa"/>
            <w:tcBorders>
              <w:top w:val="nil"/>
              <w:left w:val="nil"/>
              <w:bottom w:val="nil"/>
              <w:right w:val="nil"/>
            </w:tcBorders>
            <w:shd w:val="clear" w:color="000000" w:fill="CCCCFF"/>
            <w:noWrap/>
            <w:vAlign w:val="bottom"/>
            <w:hideMark/>
          </w:tcPr>
          <w:p w14:paraId="534E7BF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04F6FBD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6C78DA30" w14:textId="77777777" w:rsidTr="008A61B1">
        <w:trPr>
          <w:trHeight w:val="585"/>
        </w:trPr>
        <w:tc>
          <w:tcPr>
            <w:tcW w:w="6096" w:type="dxa"/>
            <w:gridSpan w:val="2"/>
            <w:tcBorders>
              <w:top w:val="nil"/>
              <w:left w:val="nil"/>
              <w:bottom w:val="nil"/>
              <w:right w:val="nil"/>
            </w:tcBorders>
            <w:shd w:val="clear" w:color="000000" w:fill="CCCCFF"/>
            <w:vAlign w:val="bottom"/>
            <w:hideMark/>
          </w:tcPr>
          <w:p w14:paraId="2A92F525"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 xml:space="preserve">Izvor 7.1. Prihodi od prodaje ili zamjene </w:t>
            </w:r>
            <w:proofErr w:type="spellStart"/>
            <w:r w:rsidRPr="006967F8">
              <w:rPr>
                <w:rFonts w:ascii="Arial" w:eastAsia="Times New Roman" w:hAnsi="Arial" w:cs="Arial"/>
                <w:b/>
                <w:bCs/>
                <w:color w:val="333333"/>
                <w:sz w:val="20"/>
                <w:szCs w:val="20"/>
                <w:lang w:eastAsia="hr-HR"/>
              </w:rPr>
              <w:t>nef.imovine</w:t>
            </w:r>
            <w:proofErr w:type="spellEnd"/>
            <w:r w:rsidRPr="006967F8">
              <w:rPr>
                <w:rFonts w:ascii="Arial" w:eastAsia="Times New Roman" w:hAnsi="Arial" w:cs="Arial"/>
                <w:b/>
                <w:bCs/>
                <w:color w:val="333333"/>
                <w:sz w:val="20"/>
                <w:szCs w:val="20"/>
                <w:lang w:eastAsia="hr-HR"/>
              </w:rPr>
              <w:t xml:space="preserve"> i </w:t>
            </w:r>
            <w:proofErr w:type="spellStart"/>
            <w:r w:rsidRPr="006967F8">
              <w:rPr>
                <w:rFonts w:ascii="Arial" w:eastAsia="Times New Roman" w:hAnsi="Arial" w:cs="Arial"/>
                <w:b/>
                <w:bCs/>
                <w:color w:val="333333"/>
                <w:sz w:val="20"/>
                <w:szCs w:val="20"/>
                <w:lang w:eastAsia="hr-HR"/>
              </w:rPr>
              <w:t>nak.osiguranja</w:t>
            </w:r>
            <w:proofErr w:type="spellEnd"/>
          </w:p>
        </w:tc>
        <w:tc>
          <w:tcPr>
            <w:tcW w:w="1559" w:type="dxa"/>
            <w:tcBorders>
              <w:top w:val="nil"/>
              <w:left w:val="nil"/>
              <w:bottom w:val="nil"/>
              <w:right w:val="nil"/>
            </w:tcBorders>
            <w:shd w:val="clear" w:color="000000" w:fill="CCCCFF"/>
            <w:noWrap/>
            <w:vAlign w:val="bottom"/>
            <w:hideMark/>
          </w:tcPr>
          <w:p w14:paraId="62D3478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3.000,00</w:t>
            </w:r>
          </w:p>
        </w:tc>
        <w:tc>
          <w:tcPr>
            <w:tcW w:w="1559" w:type="dxa"/>
            <w:tcBorders>
              <w:top w:val="nil"/>
              <w:left w:val="nil"/>
              <w:bottom w:val="nil"/>
              <w:right w:val="nil"/>
            </w:tcBorders>
            <w:shd w:val="clear" w:color="000000" w:fill="CCCCFF"/>
            <w:noWrap/>
            <w:vAlign w:val="bottom"/>
            <w:hideMark/>
          </w:tcPr>
          <w:p w14:paraId="5E6D1ED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3.000,00</w:t>
            </w:r>
          </w:p>
        </w:tc>
        <w:tc>
          <w:tcPr>
            <w:tcW w:w="1559" w:type="dxa"/>
            <w:tcBorders>
              <w:top w:val="nil"/>
              <w:left w:val="nil"/>
              <w:bottom w:val="nil"/>
              <w:right w:val="nil"/>
            </w:tcBorders>
            <w:shd w:val="clear" w:color="000000" w:fill="CCCCFF"/>
            <w:noWrap/>
            <w:vAlign w:val="bottom"/>
            <w:hideMark/>
          </w:tcPr>
          <w:p w14:paraId="1B456C3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515607D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6B84C3F1" w14:textId="77777777" w:rsidTr="008A61B1">
        <w:trPr>
          <w:trHeight w:val="645"/>
        </w:trPr>
        <w:tc>
          <w:tcPr>
            <w:tcW w:w="6096" w:type="dxa"/>
            <w:gridSpan w:val="2"/>
            <w:tcBorders>
              <w:top w:val="nil"/>
              <w:left w:val="nil"/>
              <w:bottom w:val="nil"/>
              <w:right w:val="nil"/>
            </w:tcBorders>
            <w:shd w:val="clear" w:color="000000" w:fill="FF9900"/>
            <w:vAlign w:val="bottom"/>
            <w:hideMark/>
          </w:tcPr>
          <w:p w14:paraId="73575E0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 1201 Program: PREDŠKOLSKI ODGOJ I RAZVOJ ŠKOLSTVA </w:t>
            </w:r>
          </w:p>
        </w:tc>
        <w:tc>
          <w:tcPr>
            <w:tcW w:w="1559" w:type="dxa"/>
            <w:tcBorders>
              <w:top w:val="nil"/>
              <w:left w:val="nil"/>
              <w:bottom w:val="nil"/>
              <w:right w:val="nil"/>
            </w:tcBorders>
            <w:shd w:val="clear" w:color="000000" w:fill="FF9900"/>
            <w:noWrap/>
            <w:vAlign w:val="bottom"/>
            <w:hideMark/>
          </w:tcPr>
          <w:p w14:paraId="79BEC5F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2.740.300,00</w:t>
            </w:r>
          </w:p>
        </w:tc>
        <w:tc>
          <w:tcPr>
            <w:tcW w:w="1559" w:type="dxa"/>
            <w:tcBorders>
              <w:top w:val="nil"/>
              <w:left w:val="nil"/>
              <w:bottom w:val="nil"/>
              <w:right w:val="nil"/>
            </w:tcBorders>
            <w:shd w:val="clear" w:color="000000" w:fill="FF9900"/>
            <w:noWrap/>
            <w:vAlign w:val="bottom"/>
            <w:hideMark/>
          </w:tcPr>
          <w:p w14:paraId="26BCD6E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2.740.300,00</w:t>
            </w:r>
          </w:p>
        </w:tc>
        <w:tc>
          <w:tcPr>
            <w:tcW w:w="1559" w:type="dxa"/>
            <w:tcBorders>
              <w:top w:val="nil"/>
              <w:left w:val="nil"/>
              <w:bottom w:val="nil"/>
              <w:right w:val="nil"/>
            </w:tcBorders>
            <w:shd w:val="clear" w:color="000000" w:fill="FF9900"/>
            <w:noWrap/>
            <w:vAlign w:val="bottom"/>
            <w:hideMark/>
          </w:tcPr>
          <w:p w14:paraId="358DAE8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2.551.841,13</w:t>
            </w:r>
          </w:p>
        </w:tc>
        <w:tc>
          <w:tcPr>
            <w:tcW w:w="993" w:type="dxa"/>
            <w:tcBorders>
              <w:top w:val="nil"/>
              <w:left w:val="nil"/>
              <w:bottom w:val="nil"/>
              <w:right w:val="nil"/>
            </w:tcBorders>
            <w:shd w:val="clear" w:color="000000" w:fill="FF9900"/>
            <w:noWrap/>
            <w:vAlign w:val="bottom"/>
            <w:hideMark/>
          </w:tcPr>
          <w:p w14:paraId="176DD4A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93,12%</w:t>
            </w:r>
          </w:p>
        </w:tc>
      </w:tr>
      <w:tr w:rsidR="006967F8" w:rsidRPr="006967F8" w14:paraId="589E4588" w14:textId="77777777" w:rsidTr="008A61B1">
        <w:trPr>
          <w:trHeight w:val="585"/>
        </w:trPr>
        <w:tc>
          <w:tcPr>
            <w:tcW w:w="6096" w:type="dxa"/>
            <w:gridSpan w:val="2"/>
            <w:tcBorders>
              <w:top w:val="nil"/>
              <w:left w:val="nil"/>
              <w:bottom w:val="nil"/>
              <w:right w:val="nil"/>
            </w:tcBorders>
            <w:shd w:val="clear" w:color="000000" w:fill="FFFF99"/>
            <w:vAlign w:val="bottom"/>
            <w:hideMark/>
          </w:tcPr>
          <w:p w14:paraId="5F5DDF3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A100001 Aktivnost: FINANCIRANJE REDOVNE DJELATNOSTI - DJ. VRTIĆ</w:t>
            </w:r>
          </w:p>
        </w:tc>
        <w:tc>
          <w:tcPr>
            <w:tcW w:w="1559" w:type="dxa"/>
            <w:tcBorders>
              <w:top w:val="nil"/>
              <w:left w:val="nil"/>
              <w:bottom w:val="nil"/>
              <w:right w:val="nil"/>
            </w:tcBorders>
            <w:shd w:val="clear" w:color="000000" w:fill="FFFF99"/>
            <w:noWrap/>
            <w:vAlign w:val="bottom"/>
            <w:hideMark/>
          </w:tcPr>
          <w:p w14:paraId="2F4A66E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2.706.300,00</w:t>
            </w:r>
          </w:p>
        </w:tc>
        <w:tc>
          <w:tcPr>
            <w:tcW w:w="1559" w:type="dxa"/>
            <w:tcBorders>
              <w:top w:val="nil"/>
              <w:left w:val="nil"/>
              <w:bottom w:val="nil"/>
              <w:right w:val="nil"/>
            </w:tcBorders>
            <w:shd w:val="clear" w:color="000000" w:fill="FFFF99"/>
            <w:noWrap/>
            <w:vAlign w:val="bottom"/>
            <w:hideMark/>
          </w:tcPr>
          <w:p w14:paraId="545A7EC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2.706.300,00</w:t>
            </w:r>
          </w:p>
        </w:tc>
        <w:tc>
          <w:tcPr>
            <w:tcW w:w="1559" w:type="dxa"/>
            <w:tcBorders>
              <w:top w:val="nil"/>
              <w:left w:val="nil"/>
              <w:bottom w:val="nil"/>
              <w:right w:val="nil"/>
            </w:tcBorders>
            <w:shd w:val="clear" w:color="000000" w:fill="FFFF99"/>
            <w:noWrap/>
            <w:vAlign w:val="bottom"/>
            <w:hideMark/>
          </w:tcPr>
          <w:p w14:paraId="2EBEE12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2.538.724,13</w:t>
            </w:r>
          </w:p>
        </w:tc>
        <w:tc>
          <w:tcPr>
            <w:tcW w:w="993" w:type="dxa"/>
            <w:tcBorders>
              <w:top w:val="nil"/>
              <w:left w:val="nil"/>
              <w:bottom w:val="nil"/>
              <w:right w:val="nil"/>
            </w:tcBorders>
            <w:shd w:val="clear" w:color="000000" w:fill="FFFF99"/>
            <w:noWrap/>
            <w:vAlign w:val="bottom"/>
            <w:hideMark/>
          </w:tcPr>
          <w:p w14:paraId="6BD1545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93,81%</w:t>
            </w:r>
          </w:p>
        </w:tc>
      </w:tr>
      <w:tr w:rsidR="006967F8" w:rsidRPr="006967F8" w14:paraId="221FCF19"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ADE52D7"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4E1CD32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2.153.600,00</w:t>
            </w:r>
          </w:p>
        </w:tc>
        <w:tc>
          <w:tcPr>
            <w:tcW w:w="1559" w:type="dxa"/>
            <w:tcBorders>
              <w:top w:val="nil"/>
              <w:left w:val="nil"/>
              <w:bottom w:val="nil"/>
              <w:right w:val="nil"/>
            </w:tcBorders>
            <w:shd w:val="clear" w:color="000000" w:fill="CCCCFF"/>
            <w:noWrap/>
            <w:vAlign w:val="bottom"/>
            <w:hideMark/>
          </w:tcPr>
          <w:p w14:paraId="42DE53B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2.153.600,00</w:t>
            </w:r>
          </w:p>
        </w:tc>
        <w:tc>
          <w:tcPr>
            <w:tcW w:w="1559" w:type="dxa"/>
            <w:tcBorders>
              <w:top w:val="nil"/>
              <w:left w:val="nil"/>
              <w:bottom w:val="nil"/>
              <w:right w:val="nil"/>
            </w:tcBorders>
            <w:shd w:val="clear" w:color="000000" w:fill="CCCCFF"/>
            <w:noWrap/>
            <w:vAlign w:val="bottom"/>
            <w:hideMark/>
          </w:tcPr>
          <w:p w14:paraId="663E82A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2.027.249,18</w:t>
            </w:r>
          </w:p>
        </w:tc>
        <w:tc>
          <w:tcPr>
            <w:tcW w:w="993" w:type="dxa"/>
            <w:tcBorders>
              <w:top w:val="nil"/>
              <w:left w:val="nil"/>
              <w:bottom w:val="nil"/>
              <w:right w:val="nil"/>
            </w:tcBorders>
            <w:shd w:val="clear" w:color="000000" w:fill="CCCCFF"/>
            <w:noWrap/>
            <w:vAlign w:val="bottom"/>
            <w:hideMark/>
          </w:tcPr>
          <w:p w14:paraId="0727EF9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94,13%</w:t>
            </w:r>
          </w:p>
        </w:tc>
      </w:tr>
      <w:tr w:rsidR="006967F8" w:rsidRPr="006967F8" w14:paraId="7678895F"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958B7FE"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1B9750C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2.139.800,00</w:t>
            </w:r>
          </w:p>
        </w:tc>
        <w:tc>
          <w:tcPr>
            <w:tcW w:w="1559" w:type="dxa"/>
            <w:tcBorders>
              <w:top w:val="nil"/>
              <w:left w:val="nil"/>
              <w:bottom w:val="nil"/>
              <w:right w:val="nil"/>
            </w:tcBorders>
            <w:shd w:val="clear" w:color="000000" w:fill="CCCCFF"/>
            <w:noWrap/>
            <w:vAlign w:val="bottom"/>
            <w:hideMark/>
          </w:tcPr>
          <w:p w14:paraId="1703DE4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2.139.800,00</w:t>
            </w:r>
          </w:p>
        </w:tc>
        <w:tc>
          <w:tcPr>
            <w:tcW w:w="1559" w:type="dxa"/>
            <w:tcBorders>
              <w:top w:val="nil"/>
              <w:left w:val="nil"/>
              <w:bottom w:val="nil"/>
              <w:right w:val="nil"/>
            </w:tcBorders>
            <w:shd w:val="clear" w:color="000000" w:fill="CCCCFF"/>
            <w:noWrap/>
            <w:vAlign w:val="bottom"/>
            <w:hideMark/>
          </w:tcPr>
          <w:p w14:paraId="0A72414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2.027.249,28</w:t>
            </w:r>
          </w:p>
        </w:tc>
        <w:tc>
          <w:tcPr>
            <w:tcW w:w="993" w:type="dxa"/>
            <w:tcBorders>
              <w:top w:val="nil"/>
              <w:left w:val="nil"/>
              <w:bottom w:val="nil"/>
              <w:right w:val="nil"/>
            </w:tcBorders>
            <w:shd w:val="clear" w:color="000000" w:fill="CCCCFF"/>
            <w:noWrap/>
            <w:vAlign w:val="bottom"/>
            <w:hideMark/>
          </w:tcPr>
          <w:p w14:paraId="5C3EF63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94,74%</w:t>
            </w:r>
          </w:p>
        </w:tc>
      </w:tr>
      <w:tr w:rsidR="006967F8" w:rsidRPr="006967F8" w14:paraId="188F3579" w14:textId="77777777" w:rsidTr="008A61B1">
        <w:trPr>
          <w:trHeight w:val="255"/>
        </w:trPr>
        <w:tc>
          <w:tcPr>
            <w:tcW w:w="1134" w:type="dxa"/>
            <w:tcBorders>
              <w:top w:val="nil"/>
              <w:left w:val="nil"/>
              <w:bottom w:val="nil"/>
              <w:right w:val="nil"/>
            </w:tcBorders>
            <w:noWrap/>
            <w:vAlign w:val="bottom"/>
            <w:hideMark/>
          </w:tcPr>
          <w:p w14:paraId="093B093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31</w:t>
            </w:r>
          </w:p>
        </w:tc>
        <w:tc>
          <w:tcPr>
            <w:tcW w:w="4962" w:type="dxa"/>
            <w:tcBorders>
              <w:top w:val="nil"/>
              <w:left w:val="nil"/>
              <w:bottom w:val="nil"/>
              <w:right w:val="nil"/>
            </w:tcBorders>
            <w:noWrap/>
            <w:vAlign w:val="bottom"/>
            <w:hideMark/>
          </w:tcPr>
          <w:p w14:paraId="38DD0E4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zaposlene</w:t>
            </w:r>
          </w:p>
        </w:tc>
        <w:tc>
          <w:tcPr>
            <w:tcW w:w="1559" w:type="dxa"/>
            <w:tcBorders>
              <w:top w:val="nil"/>
              <w:left w:val="nil"/>
              <w:bottom w:val="nil"/>
              <w:right w:val="nil"/>
            </w:tcBorders>
            <w:noWrap/>
            <w:vAlign w:val="bottom"/>
            <w:hideMark/>
          </w:tcPr>
          <w:p w14:paraId="137A3D7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2.047.300,00</w:t>
            </w:r>
          </w:p>
        </w:tc>
        <w:tc>
          <w:tcPr>
            <w:tcW w:w="1559" w:type="dxa"/>
            <w:tcBorders>
              <w:top w:val="nil"/>
              <w:left w:val="nil"/>
              <w:bottom w:val="nil"/>
              <w:right w:val="nil"/>
            </w:tcBorders>
            <w:noWrap/>
            <w:vAlign w:val="bottom"/>
            <w:hideMark/>
          </w:tcPr>
          <w:p w14:paraId="5395FA5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2.047.300,00</w:t>
            </w:r>
          </w:p>
        </w:tc>
        <w:tc>
          <w:tcPr>
            <w:tcW w:w="1559" w:type="dxa"/>
            <w:tcBorders>
              <w:top w:val="nil"/>
              <w:left w:val="nil"/>
              <w:bottom w:val="nil"/>
              <w:right w:val="nil"/>
            </w:tcBorders>
            <w:noWrap/>
            <w:vAlign w:val="bottom"/>
            <w:hideMark/>
          </w:tcPr>
          <w:p w14:paraId="3BB1C73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1.952.893,51</w:t>
            </w:r>
          </w:p>
        </w:tc>
        <w:tc>
          <w:tcPr>
            <w:tcW w:w="993" w:type="dxa"/>
            <w:tcBorders>
              <w:top w:val="nil"/>
              <w:left w:val="nil"/>
              <w:bottom w:val="nil"/>
              <w:right w:val="nil"/>
            </w:tcBorders>
            <w:noWrap/>
            <w:vAlign w:val="bottom"/>
            <w:hideMark/>
          </w:tcPr>
          <w:p w14:paraId="2E33E97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95,39%</w:t>
            </w:r>
          </w:p>
        </w:tc>
      </w:tr>
      <w:tr w:rsidR="006967F8" w:rsidRPr="006967F8" w14:paraId="2A119DAA" w14:textId="77777777" w:rsidTr="008A61B1">
        <w:trPr>
          <w:trHeight w:val="255"/>
        </w:trPr>
        <w:tc>
          <w:tcPr>
            <w:tcW w:w="1134" w:type="dxa"/>
            <w:tcBorders>
              <w:top w:val="nil"/>
              <w:left w:val="nil"/>
              <w:bottom w:val="nil"/>
              <w:right w:val="nil"/>
            </w:tcBorders>
            <w:noWrap/>
            <w:vAlign w:val="bottom"/>
            <w:hideMark/>
          </w:tcPr>
          <w:p w14:paraId="490316E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3111</w:t>
            </w:r>
          </w:p>
        </w:tc>
        <w:tc>
          <w:tcPr>
            <w:tcW w:w="4962" w:type="dxa"/>
            <w:tcBorders>
              <w:top w:val="nil"/>
              <w:left w:val="nil"/>
              <w:bottom w:val="nil"/>
              <w:right w:val="nil"/>
            </w:tcBorders>
            <w:noWrap/>
            <w:vAlign w:val="bottom"/>
            <w:hideMark/>
          </w:tcPr>
          <w:p w14:paraId="1691B13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Plaće za redovan rad</w:t>
            </w:r>
          </w:p>
        </w:tc>
        <w:tc>
          <w:tcPr>
            <w:tcW w:w="1559" w:type="dxa"/>
            <w:tcBorders>
              <w:top w:val="nil"/>
              <w:left w:val="nil"/>
              <w:bottom w:val="nil"/>
              <w:right w:val="nil"/>
            </w:tcBorders>
            <w:noWrap/>
            <w:vAlign w:val="bottom"/>
            <w:hideMark/>
          </w:tcPr>
          <w:p w14:paraId="6E48985E"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20A44FB"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F0554B0"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1.543.877,63</w:t>
            </w:r>
          </w:p>
        </w:tc>
        <w:tc>
          <w:tcPr>
            <w:tcW w:w="993" w:type="dxa"/>
            <w:tcBorders>
              <w:top w:val="nil"/>
              <w:left w:val="nil"/>
              <w:bottom w:val="nil"/>
              <w:right w:val="nil"/>
            </w:tcBorders>
            <w:noWrap/>
            <w:vAlign w:val="bottom"/>
            <w:hideMark/>
          </w:tcPr>
          <w:p w14:paraId="5A8E8F05"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B4AD3C0" w14:textId="77777777" w:rsidTr="008A61B1">
        <w:trPr>
          <w:trHeight w:val="255"/>
        </w:trPr>
        <w:tc>
          <w:tcPr>
            <w:tcW w:w="1134" w:type="dxa"/>
            <w:tcBorders>
              <w:top w:val="nil"/>
              <w:left w:val="nil"/>
              <w:bottom w:val="nil"/>
              <w:right w:val="nil"/>
            </w:tcBorders>
            <w:noWrap/>
            <w:vAlign w:val="bottom"/>
            <w:hideMark/>
          </w:tcPr>
          <w:p w14:paraId="00DA5D5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3121</w:t>
            </w:r>
          </w:p>
        </w:tc>
        <w:tc>
          <w:tcPr>
            <w:tcW w:w="4962" w:type="dxa"/>
            <w:tcBorders>
              <w:top w:val="nil"/>
              <w:left w:val="nil"/>
              <w:bottom w:val="nil"/>
              <w:right w:val="nil"/>
            </w:tcBorders>
            <w:noWrap/>
            <w:vAlign w:val="bottom"/>
            <w:hideMark/>
          </w:tcPr>
          <w:p w14:paraId="543BE9F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rashodi za zaposlene</w:t>
            </w:r>
          </w:p>
        </w:tc>
        <w:tc>
          <w:tcPr>
            <w:tcW w:w="1559" w:type="dxa"/>
            <w:tcBorders>
              <w:top w:val="nil"/>
              <w:left w:val="nil"/>
              <w:bottom w:val="nil"/>
              <w:right w:val="nil"/>
            </w:tcBorders>
            <w:noWrap/>
            <w:vAlign w:val="bottom"/>
            <w:hideMark/>
          </w:tcPr>
          <w:p w14:paraId="198B58EA"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1DEC015"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97BAC83"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159.758,69</w:t>
            </w:r>
          </w:p>
        </w:tc>
        <w:tc>
          <w:tcPr>
            <w:tcW w:w="993" w:type="dxa"/>
            <w:tcBorders>
              <w:top w:val="nil"/>
              <w:left w:val="nil"/>
              <w:bottom w:val="nil"/>
              <w:right w:val="nil"/>
            </w:tcBorders>
            <w:noWrap/>
            <w:vAlign w:val="bottom"/>
            <w:hideMark/>
          </w:tcPr>
          <w:p w14:paraId="0895F0FD"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7D15810" w14:textId="77777777" w:rsidTr="008A61B1">
        <w:trPr>
          <w:trHeight w:val="255"/>
        </w:trPr>
        <w:tc>
          <w:tcPr>
            <w:tcW w:w="1134" w:type="dxa"/>
            <w:tcBorders>
              <w:top w:val="nil"/>
              <w:left w:val="nil"/>
              <w:bottom w:val="nil"/>
              <w:right w:val="nil"/>
            </w:tcBorders>
            <w:noWrap/>
            <w:vAlign w:val="bottom"/>
            <w:hideMark/>
          </w:tcPr>
          <w:p w14:paraId="00AA75A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3132</w:t>
            </w:r>
          </w:p>
        </w:tc>
        <w:tc>
          <w:tcPr>
            <w:tcW w:w="4962" w:type="dxa"/>
            <w:tcBorders>
              <w:top w:val="nil"/>
              <w:left w:val="nil"/>
              <w:bottom w:val="nil"/>
              <w:right w:val="nil"/>
            </w:tcBorders>
            <w:noWrap/>
            <w:vAlign w:val="bottom"/>
            <w:hideMark/>
          </w:tcPr>
          <w:p w14:paraId="26700F6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Doprinosi za obvezno zdravstveno osiguranje</w:t>
            </w:r>
          </w:p>
        </w:tc>
        <w:tc>
          <w:tcPr>
            <w:tcW w:w="1559" w:type="dxa"/>
            <w:tcBorders>
              <w:top w:val="nil"/>
              <w:left w:val="nil"/>
              <w:bottom w:val="nil"/>
              <w:right w:val="nil"/>
            </w:tcBorders>
            <w:noWrap/>
            <w:vAlign w:val="bottom"/>
            <w:hideMark/>
          </w:tcPr>
          <w:p w14:paraId="340B17A4"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896C948"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BB4910E"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249.257,19</w:t>
            </w:r>
          </w:p>
        </w:tc>
        <w:tc>
          <w:tcPr>
            <w:tcW w:w="993" w:type="dxa"/>
            <w:tcBorders>
              <w:top w:val="nil"/>
              <w:left w:val="nil"/>
              <w:bottom w:val="nil"/>
              <w:right w:val="nil"/>
            </w:tcBorders>
            <w:noWrap/>
            <w:vAlign w:val="bottom"/>
            <w:hideMark/>
          </w:tcPr>
          <w:p w14:paraId="192DA9A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79765C1" w14:textId="77777777" w:rsidTr="008A61B1">
        <w:trPr>
          <w:trHeight w:val="255"/>
        </w:trPr>
        <w:tc>
          <w:tcPr>
            <w:tcW w:w="1134" w:type="dxa"/>
            <w:tcBorders>
              <w:top w:val="nil"/>
              <w:left w:val="nil"/>
              <w:bottom w:val="nil"/>
              <w:right w:val="nil"/>
            </w:tcBorders>
            <w:noWrap/>
            <w:vAlign w:val="bottom"/>
            <w:hideMark/>
          </w:tcPr>
          <w:p w14:paraId="052C17B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07974A7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520F549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87.500,00</w:t>
            </w:r>
          </w:p>
        </w:tc>
        <w:tc>
          <w:tcPr>
            <w:tcW w:w="1559" w:type="dxa"/>
            <w:tcBorders>
              <w:top w:val="nil"/>
              <w:left w:val="nil"/>
              <w:bottom w:val="nil"/>
              <w:right w:val="nil"/>
            </w:tcBorders>
            <w:noWrap/>
            <w:vAlign w:val="bottom"/>
            <w:hideMark/>
          </w:tcPr>
          <w:p w14:paraId="312C537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87.500,00</w:t>
            </w:r>
          </w:p>
        </w:tc>
        <w:tc>
          <w:tcPr>
            <w:tcW w:w="1559" w:type="dxa"/>
            <w:tcBorders>
              <w:top w:val="nil"/>
              <w:left w:val="nil"/>
              <w:bottom w:val="nil"/>
              <w:right w:val="nil"/>
            </w:tcBorders>
            <w:noWrap/>
            <w:vAlign w:val="bottom"/>
            <w:hideMark/>
          </w:tcPr>
          <w:p w14:paraId="0C8B8BD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69.630,67</w:t>
            </w:r>
          </w:p>
        </w:tc>
        <w:tc>
          <w:tcPr>
            <w:tcW w:w="993" w:type="dxa"/>
            <w:tcBorders>
              <w:top w:val="nil"/>
              <w:left w:val="nil"/>
              <w:bottom w:val="nil"/>
              <w:right w:val="nil"/>
            </w:tcBorders>
            <w:noWrap/>
            <w:vAlign w:val="bottom"/>
            <w:hideMark/>
          </w:tcPr>
          <w:p w14:paraId="6080C87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79,58%</w:t>
            </w:r>
          </w:p>
        </w:tc>
      </w:tr>
      <w:tr w:rsidR="006967F8" w:rsidRPr="006967F8" w14:paraId="503944E3" w14:textId="77777777" w:rsidTr="008A61B1">
        <w:trPr>
          <w:trHeight w:val="255"/>
        </w:trPr>
        <w:tc>
          <w:tcPr>
            <w:tcW w:w="1134" w:type="dxa"/>
            <w:tcBorders>
              <w:top w:val="nil"/>
              <w:left w:val="nil"/>
              <w:bottom w:val="nil"/>
              <w:right w:val="nil"/>
            </w:tcBorders>
            <w:noWrap/>
            <w:vAlign w:val="bottom"/>
            <w:hideMark/>
          </w:tcPr>
          <w:p w14:paraId="162785D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3212</w:t>
            </w:r>
          </w:p>
        </w:tc>
        <w:tc>
          <w:tcPr>
            <w:tcW w:w="4962" w:type="dxa"/>
            <w:tcBorders>
              <w:top w:val="nil"/>
              <w:left w:val="nil"/>
              <w:bottom w:val="nil"/>
              <w:right w:val="nil"/>
            </w:tcBorders>
            <w:noWrap/>
            <w:vAlign w:val="bottom"/>
            <w:hideMark/>
          </w:tcPr>
          <w:p w14:paraId="0547469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Naknade za prijevoz, za rad na terenu i odvojeni život</w:t>
            </w:r>
          </w:p>
        </w:tc>
        <w:tc>
          <w:tcPr>
            <w:tcW w:w="1559" w:type="dxa"/>
            <w:tcBorders>
              <w:top w:val="nil"/>
              <w:left w:val="nil"/>
              <w:bottom w:val="nil"/>
              <w:right w:val="nil"/>
            </w:tcBorders>
            <w:noWrap/>
            <w:vAlign w:val="bottom"/>
            <w:hideMark/>
          </w:tcPr>
          <w:p w14:paraId="1A6B66B2"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54F86B8"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6F00254"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19.122,50</w:t>
            </w:r>
          </w:p>
        </w:tc>
        <w:tc>
          <w:tcPr>
            <w:tcW w:w="993" w:type="dxa"/>
            <w:tcBorders>
              <w:top w:val="nil"/>
              <w:left w:val="nil"/>
              <w:bottom w:val="nil"/>
              <w:right w:val="nil"/>
            </w:tcBorders>
            <w:noWrap/>
            <w:vAlign w:val="bottom"/>
            <w:hideMark/>
          </w:tcPr>
          <w:p w14:paraId="70964746"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4642AA4" w14:textId="77777777" w:rsidTr="008A61B1">
        <w:trPr>
          <w:trHeight w:val="255"/>
        </w:trPr>
        <w:tc>
          <w:tcPr>
            <w:tcW w:w="1134" w:type="dxa"/>
            <w:tcBorders>
              <w:top w:val="nil"/>
              <w:left w:val="nil"/>
              <w:bottom w:val="nil"/>
              <w:right w:val="nil"/>
            </w:tcBorders>
            <w:noWrap/>
            <w:vAlign w:val="bottom"/>
            <w:hideMark/>
          </w:tcPr>
          <w:p w14:paraId="4014871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3223</w:t>
            </w:r>
          </w:p>
        </w:tc>
        <w:tc>
          <w:tcPr>
            <w:tcW w:w="4962" w:type="dxa"/>
            <w:tcBorders>
              <w:top w:val="nil"/>
              <w:left w:val="nil"/>
              <w:bottom w:val="nil"/>
              <w:right w:val="nil"/>
            </w:tcBorders>
            <w:noWrap/>
            <w:vAlign w:val="bottom"/>
            <w:hideMark/>
          </w:tcPr>
          <w:p w14:paraId="6E8E5F6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Energija</w:t>
            </w:r>
          </w:p>
        </w:tc>
        <w:tc>
          <w:tcPr>
            <w:tcW w:w="1559" w:type="dxa"/>
            <w:tcBorders>
              <w:top w:val="nil"/>
              <w:left w:val="nil"/>
              <w:bottom w:val="nil"/>
              <w:right w:val="nil"/>
            </w:tcBorders>
            <w:noWrap/>
            <w:vAlign w:val="bottom"/>
            <w:hideMark/>
          </w:tcPr>
          <w:p w14:paraId="66EEF684"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87408C8"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681D0E7"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23.640,56</w:t>
            </w:r>
          </w:p>
        </w:tc>
        <w:tc>
          <w:tcPr>
            <w:tcW w:w="993" w:type="dxa"/>
            <w:tcBorders>
              <w:top w:val="nil"/>
              <w:left w:val="nil"/>
              <w:bottom w:val="nil"/>
              <w:right w:val="nil"/>
            </w:tcBorders>
            <w:noWrap/>
            <w:vAlign w:val="bottom"/>
            <w:hideMark/>
          </w:tcPr>
          <w:p w14:paraId="0D37E54B"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2DC98C1" w14:textId="77777777" w:rsidTr="008A61B1">
        <w:trPr>
          <w:trHeight w:val="255"/>
        </w:trPr>
        <w:tc>
          <w:tcPr>
            <w:tcW w:w="1134" w:type="dxa"/>
            <w:tcBorders>
              <w:top w:val="nil"/>
              <w:left w:val="nil"/>
              <w:bottom w:val="nil"/>
              <w:right w:val="nil"/>
            </w:tcBorders>
            <w:noWrap/>
            <w:vAlign w:val="bottom"/>
            <w:hideMark/>
          </w:tcPr>
          <w:p w14:paraId="01C4987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3232</w:t>
            </w:r>
          </w:p>
        </w:tc>
        <w:tc>
          <w:tcPr>
            <w:tcW w:w="4962" w:type="dxa"/>
            <w:tcBorders>
              <w:top w:val="nil"/>
              <w:left w:val="nil"/>
              <w:bottom w:val="nil"/>
              <w:right w:val="nil"/>
            </w:tcBorders>
            <w:noWrap/>
            <w:vAlign w:val="bottom"/>
            <w:hideMark/>
          </w:tcPr>
          <w:p w14:paraId="6E1AD51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noWrap/>
            <w:vAlign w:val="bottom"/>
            <w:hideMark/>
          </w:tcPr>
          <w:p w14:paraId="166EB459"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00979A6"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68C9B6F"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5.248,75</w:t>
            </w:r>
          </w:p>
        </w:tc>
        <w:tc>
          <w:tcPr>
            <w:tcW w:w="993" w:type="dxa"/>
            <w:tcBorders>
              <w:top w:val="nil"/>
              <w:left w:val="nil"/>
              <w:bottom w:val="nil"/>
              <w:right w:val="nil"/>
            </w:tcBorders>
            <w:noWrap/>
            <w:vAlign w:val="bottom"/>
            <w:hideMark/>
          </w:tcPr>
          <w:p w14:paraId="0B33F221"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E1EA9C8" w14:textId="77777777" w:rsidTr="008A61B1">
        <w:trPr>
          <w:trHeight w:val="255"/>
        </w:trPr>
        <w:tc>
          <w:tcPr>
            <w:tcW w:w="1134" w:type="dxa"/>
            <w:tcBorders>
              <w:top w:val="nil"/>
              <w:left w:val="nil"/>
              <w:bottom w:val="nil"/>
              <w:right w:val="nil"/>
            </w:tcBorders>
            <w:noWrap/>
            <w:vAlign w:val="bottom"/>
            <w:hideMark/>
          </w:tcPr>
          <w:p w14:paraId="43DD09D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3234</w:t>
            </w:r>
          </w:p>
        </w:tc>
        <w:tc>
          <w:tcPr>
            <w:tcW w:w="4962" w:type="dxa"/>
            <w:tcBorders>
              <w:top w:val="nil"/>
              <w:left w:val="nil"/>
              <w:bottom w:val="nil"/>
              <w:right w:val="nil"/>
            </w:tcBorders>
            <w:noWrap/>
            <w:vAlign w:val="bottom"/>
            <w:hideMark/>
          </w:tcPr>
          <w:p w14:paraId="11D056C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Komunalne usluge</w:t>
            </w:r>
          </w:p>
        </w:tc>
        <w:tc>
          <w:tcPr>
            <w:tcW w:w="1559" w:type="dxa"/>
            <w:tcBorders>
              <w:top w:val="nil"/>
              <w:left w:val="nil"/>
              <w:bottom w:val="nil"/>
              <w:right w:val="nil"/>
            </w:tcBorders>
            <w:noWrap/>
            <w:vAlign w:val="bottom"/>
            <w:hideMark/>
          </w:tcPr>
          <w:p w14:paraId="009CDA12"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C66A19C"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8529293"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12.468,96</w:t>
            </w:r>
          </w:p>
        </w:tc>
        <w:tc>
          <w:tcPr>
            <w:tcW w:w="993" w:type="dxa"/>
            <w:tcBorders>
              <w:top w:val="nil"/>
              <w:left w:val="nil"/>
              <w:bottom w:val="nil"/>
              <w:right w:val="nil"/>
            </w:tcBorders>
            <w:noWrap/>
            <w:vAlign w:val="bottom"/>
            <w:hideMark/>
          </w:tcPr>
          <w:p w14:paraId="02CDD986"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CFCCD14" w14:textId="77777777" w:rsidTr="008A61B1">
        <w:trPr>
          <w:trHeight w:val="255"/>
        </w:trPr>
        <w:tc>
          <w:tcPr>
            <w:tcW w:w="1134" w:type="dxa"/>
            <w:tcBorders>
              <w:top w:val="nil"/>
              <w:left w:val="nil"/>
              <w:bottom w:val="nil"/>
              <w:right w:val="nil"/>
            </w:tcBorders>
            <w:noWrap/>
            <w:vAlign w:val="bottom"/>
            <w:hideMark/>
          </w:tcPr>
          <w:p w14:paraId="6964336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3238</w:t>
            </w:r>
          </w:p>
        </w:tc>
        <w:tc>
          <w:tcPr>
            <w:tcW w:w="4962" w:type="dxa"/>
            <w:tcBorders>
              <w:top w:val="nil"/>
              <w:left w:val="nil"/>
              <w:bottom w:val="nil"/>
              <w:right w:val="nil"/>
            </w:tcBorders>
            <w:noWrap/>
            <w:vAlign w:val="bottom"/>
            <w:hideMark/>
          </w:tcPr>
          <w:p w14:paraId="441542D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Računalne usluge</w:t>
            </w:r>
          </w:p>
        </w:tc>
        <w:tc>
          <w:tcPr>
            <w:tcW w:w="1559" w:type="dxa"/>
            <w:tcBorders>
              <w:top w:val="nil"/>
              <w:left w:val="nil"/>
              <w:bottom w:val="nil"/>
              <w:right w:val="nil"/>
            </w:tcBorders>
            <w:noWrap/>
            <w:vAlign w:val="bottom"/>
            <w:hideMark/>
          </w:tcPr>
          <w:p w14:paraId="7EB2CFE1"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CDDE266"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743400A"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3.381,25</w:t>
            </w:r>
          </w:p>
        </w:tc>
        <w:tc>
          <w:tcPr>
            <w:tcW w:w="993" w:type="dxa"/>
            <w:tcBorders>
              <w:top w:val="nil"/>
              <w:left w:val="nil"/>
              <w:bottom w:val="nil"/>
              <w:right w:val="nil"/>
            </w:tcBorders>
            <w:noWrap/>
            <w:vAlign w:val="bottom"/>
            <w:hideMark/>
          </w:tcPr>
          <w:p w14:paraId="49FCA96E"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DD76408" w14:textId="77777777" w:rsidTr="008A61B1">
        <w:trPr>
          <w:trHeight w:val="255"/>
        </w:trPr>
        <w:tc>
          <w:tcPr>
            <w:tcW w:w="1134" w:type="dxa"/>
            <w:tcBorders>
              <w:top w:val="nil"/>
              <w:left w:val="nil"/>
              <w:bottom w:val="nil"/>
              <w:right w:val="nil"/>
            </w:tcBorders>
            <w:noWrap/>
            <w:vAlign w:val="bottom"/>
            <w:hideMark/>
          </w:tcPr>
          <w:p w14:paraId="09547C9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3292</w:t>
            </w:r>
          </w:p>
        </w:tc>
        <w:tc>
          <w:tcPr>
            <w:tcW w:w="4962" w:type="dxa"/>
            <w:tcBorders>
              <w:top w:val="nil"/>
              <w:left w:val="nil"/>
              <w:bottom w:val="nil"/>
              <w:right w:val="nil"/>
            </w:tcBorders>
            <w:noWrap/>
            <w:vAlign w:val="bottom"/>
            <w:hideMark/>
          </w:tcPr>
          <w:p w14:paraId="093C7E4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Premije osiguranja</w:t>
            </w:r>
          </w:p>
        </w:tc>
        <w:tc>
          <w:tcPr>
            <w:tcW w:w="1559" w:type="dxa"/>
            <w:tcBorders>
              <w:top w:val="nil"/>
              <w:left w:val="nil"/>
              <w:bottom w:val="nil"/>
              <w:right w:val="nil"/>
            </w:tcBorders>
            <w:noWrap/>
            <w:vAlign w:val="bottom"/>
            <w:hideMark/>
          </w:tcPr>
          <w:p w14:paraId="70C63AD1"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FCB64E0"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8E9D671"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1.500,00</w:t>
            </w:r>
          </w:p>
        </w:tc>
        <w:tc>
          <w:tcPr>
            <w:tcW w:w="993" w:type="dxa"/>
            <w:tcBorders>
              <w:top w:val="nil"/>
              <w:left w:val="nil"/>
              <w:bottom w:val="nil"/>
              <w:right w:val="nil"/>
            </w:tcBorders>
            <w:noWrap/>
            <w:vAlign w:val="bottom"/>
            <w:hideMark/>
          </w:tcPr>
          <w:p w14:paraId="7DD48AA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5ECDBDC" w14:textId="77777777" w:rsidTr="008A61B1">
        <w:trPr>
          <w:trHeight w:val="255"/>
        </w:trPr>
        <w:tc>
          <w:tcPr>
            <w:tcW w:w="1134" w:type="dxa"/>
            <w:tcBorders>
              <w:top w:val="nil"/>
              <w:left w:val="nil"/>
              <w:bottom w:val="nil"/>
              <w:right w:val="nil"/>
            </w:tcBorders>
            <w:noWrap/>
            <w:vAlign w:val="bottom"/>
            <w:hideMark/>
          </w:tcPr>
          <w:p w14:paraId="2B25786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3295</w:t>
            </w:r>
          </w:p>
        </w:tc>
        <w:tc>
          <w:tcPr>
            <w:tcW w:w="4962" w:type="dxa"/>
            <w:tcBorders>
              <w:top w:val="nil"/>
              <w:left w:val="nil"/>
              <w:bottom w:val="nil"/>
              <w:right w:val="nil"/>
            </w:tcBorders>
            <w:noWrap/>
            <w:vAlign w:val="bottom"/>
            <w:hideMark/>
          </w:tcPr>
          <w:p w14:paraId="5789A83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Pristojbe i naknade</w:t>
            </w:r>
          </w:p>
        </w:tc>
        <w:tc>
          <w:tcPr>
            <w:tcW w:w="1559" w:type="dxa"/>
            <w:tcBorders>
              <w:top w:val="nil"/>
              <w:left w:val="nil"/>
              <w:bottom w:val="nil"/>
              <w:right w:val="nil"/>
            </w:tcBorders>
            <w:noWrap/>
            <w:vAlign w:val="bottom"/>
            <w:hideMark/>
          </w:tcPr>
          <w:p w14:paraId="57063B4A"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51D5768"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1AEFC3B"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4.268,65</w:t>
            </w:r>
          </w:p>
        </w:tc>
        <w:tc>
          <w:tcPr>
            <w:tcW w:w="993" w:type="dxa"/>
            <w:tcBorders>
              <w:top w:val="nil"/>
              <w:left w:val="nil"/>
              <w:bottom w:val="nil"/>
              <w:right w:val="nil"/>
            </w:tcBorders>
            <w:noWrap/>
            <w:vAlign w:val="bottom"/>
            <w:hideMark/>
          </w:tcPr>
          <w:p w14:paraId="610F6043"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18934A5" w14:textId="77777777" w:rsidTr="008A61B1">
        <w:trPr>
          <w:trHeight w:val="585"/>
        </w:trPr>
        <w:tc>
          <w:tcPr>
            <w:tcW w:w="1134" w:type="dxa"/>
            <w:tcBorders>
              <w:top w:val="nil"/>
              <w:left w:val="nil"/>
              <w:bottom w:val="nil"/>
              <w:right w:val="nil"/>
            </w:tcBorders>
            <w:noWrap/>
            <w:vAlign w:val="bottom"/>
            <w:hideMark/>
          </w:tcPr>
          <w:p w14:paraId="0ABB418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41</w:t>
            </w:r>
          </w:p>
        </w:tc>
        <w:tc>
          <w:tcPr>
            <w:tcW w:w="4962" w:type="dxa"/>
            <w:tcBorders>
              <w:top w:val="nil"/>
              <w:left w:val="nil"/>
              <w:bottom w:val="nil"/>
              <w:right w:val="nil"/>
            </w:tcBorders>
            <w:vAlign w:val="bottom"/>
            <w:hideMark/>
          </w:tcPr>
          <w:p w14:paraId="4CCD407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Rashodi za nabavu </w:t>
            </w:r>
            <w:proofErr w:type="spellStart"/>
            <w:r w:rsidRPr="006967F8">
              <w:rPr>
                <w:rFonts w:ascii="Arial" w:eastAsia="Times New Roman" w:hAnsi="Arial" w:cs="Arial"/>
                <w:b/>
                <w:bCs/>
                <w:sz w:val="20"/>
                <w:szCs w:val="20"/>
                <w:lang w:eastAsia="hr-HR"/>
              </w:rPr>
              <w:t>neproizvedene</w:t>
            </w:r>
            <w:proofErr w:type="spellEnd"/>
            <w:r w:rsidRPr="006967F8">
              <w:rPr>
                <w:rFonts w:ascii="Arial" w:eastAsia="Times New Roman" w:hAnsi="Arial" w:cs="Arial"/>
                <w:b/>
                <w:bCs/>
                <w:sz w:val="20"/>
                <w:szCs w:val="20"/>
                <w:lang w:eastAsia="hr-HR"/>
              </w:rPr>
              <w:t xml:space="preserve"> dugotrajne imovine</w:t>
            </w:r>
          </w:p>
        </w:tc>
        <w:tc>
          <w:tcPr>
            <w:tcW w:w="1559" w:type="dxa"/>
            <w:tcBorders>
              <w:top w:val="nil"/>
              <w:left w:val="nil"/>
              <w:bottom w:val="nil"/>
              <w:right w:val="nil"/>
            </w:tcBorders>
            <w:noWrap/>
            <w:vAlign w:val="bottom"/>
            <w:hideMark/>
          </w:tcPr>
          <w:p w14:paraId="792E009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5.000,00</w:t>
            </w:r>
          </w:p>
        </w:tc>
        <w:tc>
          <w:tcPr>
            <w:tcW w:w="1559" w:type="dxa"/>
            <w:tcBorders>
              <w:top w:val="nil"/>
              <w:left w:val="nil"/>
              <w:bottom w:val="nil"/>
              <w:right w:val="nil"/>
            </w:tcBorders>
            <w:noWrap/>
            <w:vAlign w:val="bottom"/>
            <w:hideMark/>
          </w:tcPr>
          <w:p w14:paraId="74D8D2D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5.000,00</w:t>
            </w:r>
          </w:p>
        </w:tc>
        <w:tc>
          <w:tcPr>
            <w:tcW w:w="1559" w:type="dxa"/>
            <w:tcBorders>
              <w:top w:val="nil"/>
              <w:left w:val="nil"/>
              <w:bottom w:val="nil"/>
              <w:right w:val="nil"/>
            </w:tcBorders>
            <w:noWrap/>
            <w:vAlign w:val="bottom"/>
            <w:hideMark/>
          </w:tcPr>
          <w:p w14:paraId="3D1DF21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4.725,00</w:t>
            </w:r>
          </w:p>
        </w:tc>
        <w:tc>
          <w:tcPr>
            <w:tcW w:w="993" w:type="dxa"/>
            <w:tcBorders>
              <w:top w:val="nil"/>
              <w:left w:val="nil"/>
              <w:bottom w:val="nil"/>
              <w:right w:val="nil"/>
            </w:tcBorders>
            <w:noWrap/>
            <w:vAlign w:val="bottom"/>
            <w:hideMark/>
          </w:tcPr>
          <w:p w14:paraId="40DDA17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94,50%</w:t>
            </w:r>
          </w:p>
        </w:tc>
      </w:tr>
      <w:tr w:rsidR="006967F8" w:rsidRPr="006967F8" w14:paraId="0BEB785D" w14:textId="77777777" w:rsidTr="008A61B1">
        <w:trPr>
          <w:trHeight w:val="255"/>
        </w:trPr>
        <w:tc>
          <w:tcPr>
            <w:tcW w:w="1134" w:type="dxa"/>
            <w:tcBorders>
              <w:top w:val="nil"/>
              <w:left w:val="nil"/>
              <w:bottom w:val="nil"/>
              <w:right w:val="nil"/>
            </w:tcBorders>
            <w:noWrap/>
            <w:vAlign w:val="bottom"/>
            <w:hideMark/>
          </w:tcPr>
          <w:p w14:paraId="57B5578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4124</w:t>
            </w:r>
          </w:p>
        </w:tc>
        <w:tc>
          <w:tcPr>
            <w:tcW w:w="4962" w:type="dxa"/>
            <w:tcBorders>
              <w:top w:val="nil"/>
              <w:left w:val="nil"/>
              <w:bottom w:val="nil"/>
              <w:right w:val="nil"/>
            </w:tcBorders>
            <w:noWrap/>
            <w:vAlign w:val="bottom"/>
            <w:hideMark/>
          </w:tcPr>
          <w:p w14:paraId="62ECFCF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Ostala prava</w:t>
            </w:r>
          </w:p>
        </w:tc>
        <w:tc>
          <w:tcPr>
            <w:tcW w:w="1559" w:type="dxa"/>
            <w:tcBorders>
              <w:top w:val="nil"/>
              <w:left w:val="nil"/>
              <w:bottom w:val="nil"/>
              <w:right w:val="nil"/>
            </w:tcBorders>
            <w:noWrap/>
            <w:vAlign w:val="bottom"/>
            <w:hideMark/>
          </w:tcPr>
          <w:p w14:paraId="38B063EC"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1F61B51"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982D050"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4.725,00</w:t>
            </w:r>
          </w:p>
        </w:tc>
        <w:tc>
          <w:tcPr>
            <w:tcW w:w="993" w:type="dxa"/>
            <w:tcBorders>
              <w:top w:val="nil"/>
              <w:left w:val="nil"/>
              <w:bottom w:val="nil"/>
              <w:right w:val="nil"/>
            </w:tcBorders>
            <w:noWrap/>
            <w:vAlign w:val="bottom"/>
            <w:hideMark/>
          </w:tcPr>
          <w:p w14:paraId="6A7E5764"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8E31445" w14:textId="77777777" w:rsidTr="008A61B1">
        <w:trPr>
          <w:trHeight w:val="540"/>
        </w:trPr>
        <w:tc>
          <w:tcPr>
            <w:tcW w:w="6096" w:type="dxa"/>
            <w:gridSpan w:val="2"/>
            <w:tcBorders>
              <w:top w:val="nil"/>
              <w:left w:val="nil"/>
              <w:bottom w:val="nil"/>
              <w:right w:val="nil"/>
            </w:tcBorders>
            <w:shd w:val="clear" w:color="000000" w:fill="CCCCFF"/>
            <w:vAlign w:val="bottom"/>
            <w:hideMark/>
          </w:tcPr>
          <w:p w14:paraId="637543E0"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1.9. PRENESENI VIŠAK/ MANJAK- OPĆI PRIHODI I PRIMICI</w:t>
            </w:r>
          </w:p>
        </w:tc>
        <w:tc>
          <w:tcPr>
            <w:tcW w:w="1559" w:type="dxa"/>
            <w:tcBorders>
              <w:top w:val="nil"/>
              <w:left w:val="nil"/>
              <w:bottom w:val="nil"/>
              <w:right w:val="nil"/>
            </w:tcBorders>
            <w:shd w:val="clear" w:color="000000" w:fill="CCCCFF"/>
            <w:noWrap/>
            <w:vAlign w:val="bottom"/>
            <w:hideMark/>
          </w:tcPr>
          <w:p w14:paraId="24B9DC2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13.800,00</w:t>
            </w:r>
          </w:p>
        </w:tc>
        <w:tc>
          <w:tcPr>
            <w:tcW w:w="1559" w:type="dxa"/>
            <w:tcBorders>
              <w:top w:val="nil"/>
              <w:left w:val="nil"/>
              <w:bottom w:val="nil"/>
              <w:right w:val="nil"/>
            </w:tcBorders>
            <w:shd w:val="clear" w:color="000000" w:fill="CCCCFF"/>
            <w:noWrap/>
            <w:vAlign w:val="bottom"/>
            <w:hideMark/>
          </w:tcPr>
          <w:p w14:paraId="093F1CE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13.800,00</w:t>
            </w:r>
          </w:p>
        </w:tc>
        <w:tc>
          <w:tcPr>
            <w:tcW w:w="1559" w:type="dxa"/>
            <w:tcBorders>
              <w:top w:val="nil"/>
              <w:left w:val="nil"/>
              <w:bottom w:val="nil"/>
              <w:right w:val="nil"/>
            </w:tcBorders>
            <w:shd w:val="clear" w:color="000000" w:fill="CCCCFF"/>
            <w:noWrap/>
            <w:vAlign w:val="bottom"/>
            <w:hideMark/>
          </w:tcPr>
          <w:p w14:paraId="5544C33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4A0264D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734EF212" w14:textId="77777777" w:rsidTr="008A61B1">
        <w:trPr>
          <w:trHeight w:val="255"/>
        </w:trPr>
        <w:tc>
          <w:tcPr>
            <w:tcW w:w="1134" w:type="dxa"/>
            <w:tcBorders>
              <w:top w:val="nil"/>
              <w:left w:val="nil"/>
              <w:bottom w:val="nil"/>
              <w:right w:val="nil"/>
            </w:tcBorders>
            <w:noWrap/>
            <w:vAlign w:val="bottom"/>
            <w:hideMark/>
          </w:tcPr>
          <w:p w14:paraId="1A8D938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31</w:t>
            </w:r>
          </w:p>
        </w:tc>
        <w:tc>
          <w:tcPr>
            <w:tcW w:w="4962" w:type="dxa"/>
            <w:tcBorders>
              <w:top w:val="nil"/>
              <w:left w:val="nil"/>
              <w:bottom w:val="nil"/>
              <w:right w:val="nil"/>
            </w:tcBorders>
            <w:noWrap/>
            <w:vAlign w:val="bottom"/>
            <w:hideMark/>
          </w:tcPr>
          <w:p w14:paraId="4462650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zaposlene</w:t>
            </w:r>
          </w:p>
        </w:tc>
        <w:tc>
          <w:tcPr>
            <w:tcW w:w="1559" w:type="dxa"/>
            <w:tcBorders>
              <w:top w:val="nil"/>
              <w:left w:val="nil"/>
              <w:bottom w:val="nil"/>
              <w:right w:val="nil"/>
            </w:tcBorders>
            <w:noWrap/>
            <w:vAlign w:val="bottom"/>
            <w:hideMark/>
          </w:tcPr>
          <w:p w14:paraId="0DCBCC5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13.800,00</w:t>
            </w:r>
          </w:p>
        </w:tc>
        <w:tc>
          <w:tcPr>
            <w:tcW w:w="1559" w:type="dxa"/>
            <w:tcBorders>
              <w:top w:val="nil"/>
              <w:left w:val="nil"/>
              <w:bottom w:val="nil"/>
              <w:right w:val="nil"/>
            </w:tcBorders>
            <w:noWrap/>
            <w:vAlign w:val="bottom"/>
            <w:hideMark/>
          </w:tcPr>
          <w:p w14:paraId="5E69E71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13.800,00</w:t>
            </w:r>
          </w:p>
        </w:tc>
        <w:tc>
          <w:tcPr>
            <w:tcW w:w="1559" w:type="dxa"/>
            <w:tcBorders>
              <w:top w:val="nil"/>
              <w:left w:val="nil"/>
              <w:bottom w:val="nil"/>
              <w:right w:val="nil"/>
            </w:tcBorders>
            <w:noWrap/>
            <w:vAlign w:val="bottom"/>
            <w:hideMark/>
          </w:tcPr>
          <w:p w14:paraId="1FD22E0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5D3C748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2138BBB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6A9A1FD"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3. VLASTITI PRIHODI</w:t>
            </w:r>
          </w:p>
        </w:tc>
        <w:tc>
          <w:tcPr>
            <w:tcW w:w="1559" w:type="dxa"/>
            <w:tcBorders>
              <w:top w:val="nil"/>
              <w:left w:val="nil"/>
              <w:bottom w:val="nil"/>
              <w:right w:val="nil"/>
            </w:tcBorders>
            <w:shd w:val="clear" w:color="000000" w:fill="CCCCFF"/>
            <w:noWrap/>
            <w:vAlign w:val="bottom"/>
            <w:hideMark/>
          </w:tcPr>
          <w:p w14:paraId="24B82DB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c>
          <w:tcPr>
            <w:tcW w:w="1559" w:type="dxa"/>
            <w:tcBorders>
              <w:top w:val="nil"/>
              <w:left w:val="nil"/>
              <w:bottom w:val="nil"/>
              <w:right w:val="nil"/>
            </w:tcBorders>
            <w:shd w:val="clear" w:color="000000" w:fill="CCCCFF"/>
            <w:noWrap/>
            <w:vAlign w:val="bottom"/>
            <w:hideMark/>
          </w:tcPr>
          <w:p w14:paraId="48BEB84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c>
          <w:tcPr>
            <w:tcW w:w="1559" w:type="dxa"/>
            <w:tcBorders>
              <w:top w:val="nil"/>
              <w:left w:val="nil"/>
              <w:bottom w:val="nil"/>
              <w:right w:val="nil"/>
            </w:tcBorders>
            <w:shd w:val="clear" w:color="000000" w:fill="CCCCFF"/>
            <w:noWrap/>
            <w:vAlign w:val="bottom"/>
            <w:hideMark/>
          </w:tcPr>
          <w:p w14:paraId="57B0136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9,60</w:t>
            </w:r>
          </w:p>
        </w:tc>
        <w:tc>
          <w:tcPr>
            <w:tcW w:w="993" w:type="dxa"/>
            <w:tcBorders>
              <w:top w:val="nil"/>
              <w:left w:val="nil"/>
              <w:bottom w:val="nil"/>
              <w:right w:val="nil"/>
            </w:tcBorders>
            <w:shd w:val="clear" w:color="000000" w:fill="CCCCFF"/>
            <w:noWrap/>
            <w:vAlign w:val="bottom"/>
            <w:hideMark/>
          </w:tcPr>
          <w:p w14:paraId="18E4EBD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9,60%</w:t>
            </w:r>
          </w:p>
        </w:tc>
      </w:tr>
      <w:tr w:rsidR="006967F8" w:rsidRPr="006967F8" w14:paraId="7B469DCE"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8868485"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3.2. Vlastiti prihodi proračunskih korisnika</w:t>
            </w:r>
          </w:p>
        </w:tc>
        <w:tc>
          <w:tcPr>
            <w:tcW w:w="1559" w:type="dxa"/>
            <w:tcBorders>
              <w:top w:val="nil"/>
              <w:left w:val="nil"/>
              <w:bottom w:val="nil"/>
              <w:right w:val="nil"/>
            </w:tcBorders>
            <w:shd w:val="clear" w:color="000000" w:fill="CCCCFF"/>
            <w:noWrap/>
            <w:vAlign w:val="bottom"/>
            <w:hideMark/>
          </w:tcPr>
          <w:p w14:paraId="7B96B3C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c>
          <w:tcPr>
            <w:tcW w:w="1559" w:type="dxa"/>
            <w:tcBorders>
              <w:top w:val="nil"/>
              <w:left w:val="nil"/>
              <w:bottom w:val="nil"/>
              <w:right w:val="nil"/>
            </w:tcBorders>
            <w:shd w:val="clear" w:color="000000" w:fill="CCCCFF"/>
            <w:noWrap/>
            <w:vAlign w:val="bottom"/>
            <w:hideMark/>
          </w:tcPr>
          <w:p w14:paraId="5F7B2AB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c>
          <w:tcPr>
            <w:tcW w:w="1559" w:type="dxa"/>
            <w:tcBorders>
              <w:top w:val="nil"/>
              <w:left w:val="nil"/>
              <w:bottom w:val="nil"/>
              <w:right w:val="nil"/>
            </w:tcBorders>
            <w:shd w:val="clear" w:color="000000" w:fill="CCCCFF"/>
            <w:noWrap/>
            <w:vAlign w:val="bottom"/>
            <w:hideMark/>
          </w:tcPr>
          <w:p w14:paraId="13217CA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9,60</w:t>
            </w:r>
          </w:p>
        </w:tc>
        <w:tc>
          <w:tcPr>
            <w:tcW w:w="993" w:type="dxa"/>
            <w:tcBorders>
              <w:top w:val="nil"/>
              <w:left w:val="nil"/>
              <w:bottom w:val="nil"/>
              <w:right w:val="nil"/>
            </w:tcBorders>
            <w:shd w:val="clear" w:color="000000" w:fill="CCCCFF"/>
            <w:noWrap/>
            <w:vAlign w:val="bottom"/>
            <w:hideMark/>
          </w:tcPr>
          <w:p w14:paraId="06B8D16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9,60%</w:t>
            </w:r>
          </w:p>
        </w:tc>
      </w:tr>
      <w:tr w:rsidR="006967F8" w:rsidRPr="006967F8" w14:paraId="0B10828D" w14:textId="77777777" w:rsidTr="008A61B1">
        <w:trPr>
          <w:trHeight w:val="255"/>
        </w:trPr>
        <w:tc>
          <w:tcPr>
            <w:tcW w:w="1134" w:type="dxa"/>
            <w:tcBorders>
              <w:top w:val="nil"/>
              <w:left w:val="nil"/>
              <w:bottom w:val="nil"/>
              <w:right w:val="nil"/>
            </w:tcBorders>
            <w:noWrap/>
            <w:vAlign w:val="bottom"/>
            <w:hideMark/>
          </w:tcPr>
          <w:p w14:paraId="5F20E0E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34</w:t>
            </w:r>
          </w:p>
        </w:tc>
        <w:tc>
          <w:tcPr>
            <w:tcW w:w="4962" w:type="dxa"/>
            <w:tcBorders>
              <w:top w:val="nil"/>
              <w:left w:val="nil"/>
              <w:bottom w:val="nil"/>
              <w:right w:val="nil"/>
            </w:tcBorders>
            <w:noWrap/>
            <w:vAlign w:val="bottom"/>
            <w:hideMark/>
          </w:tcPr>
          <w:p w14:paraId="0B61859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Financijski rashodi</w:t>
            </w:r>
          </w:p>
        </w:tc>
        <w:tc>
          <w:tcPr>
            <w:tcW w:w="1559" w:type="dxa"/>
            <w:tcBorders>
              <w:top w:val="nil"/>
              <w:left w:val="nil"/>
              <w:bottom w:val="nil"/>
              <w:right w:val="nil"/>
            </w:tcBorders>
            <w:noWrap/>
            <w:vAlign w:val="bottom"/>
            <w:hideMark/>
          </w:tcPr>
          <w:p w14:paraId="374ED31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c>
          <w:tcPr>
            <w:tcW w:w="1559" w:type="dxa"/>
            <w:tcBorders>
              <w:top w:val="nil"/>
              <w:left w:val="nil"/>
              <w:bottom w:val="nil"/>
              <w:right w:val="nil"/>
            </w:tcBorders>
            <w:noWrap/>
            <w:vAlign w:val="bottom"/>
            <w:hideMark/>
          </w:tcPr>
          <w:p w14:paraId="6605D08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c>
          <w:tcPr>
            <w:tcW w:w="1559" w:type="dxa"/>
            <w:tcBorders>
              <w:top w:val="nil"/>
              <w:left w:val="nil"/>
              <w:bottom w:val="nil"/>
              <w:right w:val="nil"/>
            </w:tcBorders>
            <w:noWrap/>
            <w:vAlign w:val="bottom"/>
            <w:hideMark/>
          </w:tcPr>
          <w:p w14:paraId="081DD8D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9,60</w:t>
            </w:r>
          </w:p>
        </w:tc>
        <w:tc>
          <w:tcPr>
            <w:tcW w:w="993" w:type="dxa"/>
            <w:tcBorders>
              <w:top w:val="nil"/>
              <w:left w:val="nil"/>
              <w:bottom w:val="nil"/>
              <w:right w:val="nil"/>
            </w:tcBorders>
            <w:noWrap/>
            <w:vAlign w:val="bottom"/>
            <w:hideMark/>
          </w:tcPr>
          <w:p w14:paraId="7C134A2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9,60%</w:t>
            </w:r>
          </w:p>
        </w:tc>
      </w:tr>
      <w:tr w:rsidR="006967F8" w:rsidRPr="006967F8" w14:paraId="57DE0CCB" w14:textId="77777777" w:rsidTr="008A61B1">
        <w:trPr>
          <w:trHeight w:val="255"/>
        </w:trPr>
        <w:tc>
          <w:tcPr>
            <w:tcW w:w="1134" w:type="dxa"/>
            <w:tcBorders>
              <w:top w:val="nil"/>
              <w:left w:val="nil"/>
              <w:bottom w:val="nil"/>
              <w:right w:val="nil"/>
            </w:tcBorders>
            <w:noWrap/>
            <w:vAlign w:val="bottom"/>
            <w:hideMark/>
          </w:tcPr>
          <w:p w14:paraId="136D20A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3431</w:t>
            </w:r>
          </w:p>
        </w:tc>
        <w:tc>
          <w:tcPr>
            <w:tcW w:w="4962" w:type="dxa"/>
            <w:tcBorders>
              <w:top w:val="nil"/>
              <w:left w:val="nil"/>
              <w:bottom w:val="nil"/>
              <w:right w:val="nil"/>
            </w:tcBorders>
            <w:noWrap/>
            <w:vAlign w:val="bottom"/>
            <w:hideMark/>
          </w:tcPr>
          <w:p w14:paraId="5C8B9BA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Bankarske usluge i usluge platnog prometa</w:t>
            </w:r>
          </w:p>
        </w:tc>
        <w:tc>
          <w:tcPr>
            <w:tcW w:w="1559" w:type="dxa"/>
            <w:tcBorders>
              <w:top w:val="nil"/>
              <w:left w:val="nil"/>
              <w:bottom w:val="nil"/>
              <w:right w:val="nil"/>
            </w:tcBorders>
            <w:noWrap/>
            <w:vAlign w:val="bottom"/>
            <w:hideMark/>
          </w:tcPr>
          <w:p w14:paraId="72DF842C"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3DE8DC4"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BF13C66"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9,60</w:t>
            </w:r>
          </w:p>
        </w:tc>
        <w:tc>
          <w:tcPr>
            <w:tcW w:w="993" w:type="dxa"/>
            <w:tcBorders>
              <w:top w:val="nil"/>
              <w:left w:val="nil"/>
              <w:bottom w:val="nil"/>
              <w:right w:val="nil"/>
            </w:tcBorders>
            <w:noWrap/>
            <w:vAlign w:val="bottom"/>
            <w:hideMark/>
          </w:tcPr>
          <w:p w14:paraId="40A6BE44"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3695E4E"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C9DBCA1"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4A5A7A7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542.600,00</w:t>
            </w:r>
          </w:p>
        </w:tc>
        <w:tc>
          <w:tcPr>
            <w:tcW w:w="1559" w:type="dxa"/>
            <w:tcBorders>
              <w:top w:val="nil"/>
              <w:left w:val="nil"/>
              <w:bottom w:val="nil"/>
              <w:right w:val="nil"/>
            </w:tcBorders>
            <w:shd w:val="clear" w:color="000000" w:fill="CCCCFF"/>
            <w:noWrap/>
            <w:vAlign w:val="bottom"/>
            <w:hideMark/>
          </w:tcPr>
          <w:p w14:paraId="0C197C4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542.600,00</w:t>
            </w:r>
          </w:p>
        </w:tc>
        <w:tc>
          <w:tcPr>
            <w:tcW w:w="1559" w:type="dxa"/>
            <w:tcBorders>
              <w:top w:val="nil"/>
              <w:left w:val="nil"/>
              <w:bottom w:val="nil"/>
              <w:right w:val="nil"/>
            </w:tcBorders>
            <w:shd w:val="clear" w:color="000000" w:fill="CCCCFF"/>
            <w:noWrap/>
            <w:vAlign w:val="bottom"/>
            <w:hideMark/>
          </w:tcPr>
          <w:p w14:paraId="48C08C9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501.938,02</w:t>
            </w:r>
          </w:p>
        </w:tc>
        <w:tc>
          <w:tcPr>
            <w:tcW w:w="993" w:type="dxa"/>
            <w:tcBorders>
              <w:top w:val="nil"/>
              <w:left w:val="nil"/>
              <w:bottom w:val="nil"/>
              <w:right w:val="nil"/>
            </w:tcBorders>
            <w:shd w:val="clear" w:color="000000" w:fill="CCCCFF"/>
            <w:noWrap/>
            <w:vAlign w:val="bottom"/>
            <w:hideMark/>
          </w:tcPr>
          <w:p w14:paraId="1DDEB24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92,51%</w:t>
            </w:r>
          </w:p>
        </w:tc>
      </w:tr>
      <w:tr w:rsidR="006967F8" w:rsidRPr="006967F8" w14:paraId="18600831"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C537F05"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4.3. Ostali prihodi za posebne namjene</w:t>
            </w:r>
          </w:p>
        </w:tc>
        <w:tc>
          <w:tcPr>
            <w:tcW w:w="1559" w:type="dxa"/>
            <w:tcBorders>
              <w:top w:val="nil"/>
              <w:left w:val="nil"/>
              <w:bottom w:val="nil"/>
              <w:right w:val="nil"/>
            </w:tcBorders>
            <w:shd w:val="clear" w:color="000000" w:fill="CCCCFF"/>
            <w:noWrap/>
            <w:vAlign w:val="bottom"/>
            <w:hideMark/>
          </w:tcPr>
          <w:p w14:paraId="2A3CD4D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272.600,00</w:t>
            </w:r>
          </w:p>
        </w:tc>
        <w:tc>
          <w:tcPr>
            <w:tcW w:w="1559" w:type="dxa"/>
            <w:tcBorders>
              <w:top w:val="nil"/>
              <w:left w:val="nil"/>
              <w:bottom w:val="nil"/>
              <w:right w:val="nil"/>
            </w:tcBorders>
            <w:shd w:val="clear" w:color="000000" w:fill="CCCCFF"/>
            <w:noWrap/>
            <w:vAlign w:val="bottom"/>
            <w:hideMark/>
          </w:tcPr>
          <w:p w14:paraId="7ABEC11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272.600,00</w:t>
            </w:r>
          </w:p>
        </w:tc>
        <w:tc>
          <w:tcPr>
            <w:tcW w:w="1559" w:type="dxa"/>
            <w:tcBorders>
              <w:top w:val="nil"/>
              <w:left w:val="nil"/>
              <w:bottom w:val="nil"/>
              <w:right w:val="nil"/>
            </w:tcBorders>
            <w:shd w:val="clear" w:color="000000" w:fill="CCCCFF"/>
            <w:noWrap/>
            <w:vAlign w:val="bottom"/>
            <w:hideMark/>
          </w:tcPr>
          <w:p w14:paraId="03020F3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272.600,00</w:t>
            </w:r>
          </w:p>
        </w:tc>
        <w:tc>
          <w:tcPr>
            <w:tcW w:w="993" w:type="dxa"/>
            <w:tcBorders>
              <w:top w:val="nil"/>
              <w:left w:val="nil"/>
              <w:bottom w:val="nil"/>
              <w:right w:val="nil"/>
            </w:tcBorders>
            <w:shd w:val="clear" w:color="000000" w:fill="CCCCFF"/>
            <w:noWrap/>
            <w:vAlign w:val="bottom"/>
            <w:hideMark/>
          </w:tcPr>
          <w:p w14:paraId="010E304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37058603" w14:textId="77777777" w:rsidTr="008A61B1">
        <w:trPr>
          <w:trHeight w:val="255"/>
        </w:trPr>
        <w:tc>
          <w:tcPr>
            <w:tcW w:w="1134" w:type="dxa"/>
            <w:tcBorders>
              <w:top w:val="nil"/>
              <w:left w:val="nil"/>
              <w:bottom w:val="nil"/>
              <w:right w:val="nil"/>
            </w:tcBorders>
            <w:noWrap/>
            <w:vAlign w:val="bottom"/>
            <w:hideMark/>
          </w:tcPr>
          <w:p w14:paraId="372700D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31</w:t>
            </w:r>
          </w:p>
        </w:tc>
        <w:tc>
          <w:tcPr>
            <w:tcW w:w="4962" w:type="dxa"/>
            <w:tcBorders>
              <w:top w:val="nil"/>
              <w:left w:val="nil"/>
              <w:bottom w:val="nil"/>
              <w:right w:val="nil"/>
            </w:tcBorders>
            <w:noWrap/>
            <w:vAlign w:val="bottom"/>
            <w:hideMark/>
          </w:tcPr>
          <w:p w14:paraId="6E57CB9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zaposlene</w:t>
            </w:r>
          </w:p>
        </w:tc>
        <w:tc>
          <w:tcPr>
            <w:tcW w:w="1559" w:type="dxa"/>
            <w:tcBorders>
              <w:top w:val="nil"/>
              <w:left w:val="nil"/>
              <w:bottom w:val="nil"/>
              <w:right w:val="nil"/>
            </w:tcBorders>
            <w:noWrap/>
            <w:vAlign w:val="bottom"/>
            <w:hideMark/>
          </w:tcPr>
          <w:p w14:paraId="3929641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272.600,00</w:t>
            </w:r>
          </w:p>
        </w:tc>
        <w:tc>
          <w:tcPr>
            <w:tcW w:w="1559" w:type="dxa"/>
            <w:tcBorders>
              <w:top w:val="nil"/>
              <w:left w:val="nil"/>
              <w:bottom w:val="nil"/>
              <w:right w:val="nil"/>
            </w:tcBorders>
            <w:noWrap/>
            <w:vAlign w:val="bottom"/>
            <w:hideMark/>
          </w:tcPr>
          <w:p w14:paraId="03F1040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272.600,00</w:t>
            </w:r>
          </w:p>
        </w:tc>
        <w:tc>
          <w:tcPr>
            <w:tcW w:w="1559" w:type="dxa"/>
            <w:tcBorders>
              <w:top w:val="nil"/>
              <w:left w:val="nil"/>
              <w:bottom w:val="nil"/>
              <w:right w:val="nil"/>
            </w:tcBorders>
            <w:noWrap/>
            <w:vAlign w:val="bottom"/>
            <w:hideMark/>
          </w:tcPr>
          <w:p w14:paraId="5034FD5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272.600,00</w:t>
            </w:r>
          </w:p>
        </w:tc>
        <w:tc>
          <w:tcPr>
            <w:tcW w:w="993" w:type="dxa"/>
            <w:tcBorders>
              <w:top w:val="nil"/>
              <w:left w:val="nil"/>
              <w:bottom w:val="nil"/>
              <w:right w:val="nil"/>
            </w:tcBorders>
            <w:noWrap/>
            <w:vAlign w:val="bottom"/>
            <w:hideMark/>
          </w:tcPr>
          <w:p w14:paraId="1BE839F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r>
      <w:tr w:rsidR="006967F8" w:rsidRPr="006967F8" w14:paraId="137CE48C" w14:textId="77777777" w:rsidTr="008A61B1">
        <w:trPr>
          <w:trHeight w:val="255"/>
        </w:trPr>
        <w:tc>
          <w:tcPr>
            <w:tcW w:w="1134" w:type="dxa"/>
            <w:tcBorders>
              <w:top w:val="nil"/>
              <w:left w:val="nil"/>
              <w:bottom w:val="nil"/>
              <w:right w:val="nil"/>
            </w:tcBorders>
            <w:noWrap/>
            <w:vAlign w:val="bottom"/>
            <w:hideMark/>
          </w:tcPr>
          <w:p w14:paraId="69F2F88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3111</w:t>
            </w:r>
          </w:p>
        </w:tc>
        <w:tc>
          <w:tcPr>
            <w:tcW w:w="4962" w:type="dxa"/>
            <w:tcBorders>
              <w:top w:val="nil"/>
              <w:left w:val="nil"/>
              <w:bottom w:val="nil"/>
              <w:right w:val="nil"/>
            </w:tcBorders>
            <w:noWrap/>
            <w:vAlign w:val="bottom"/>
            <w:hideMark/>
          </w:tcPr>
          <w:p w14:paraId="2935524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Plaće za redovan rad</w:t>
            </w:r>
          </w:p>
        </w:tc>
        <w:tc>
          <w:tcPr>
            <w:tcW w:w="1559" w:type="dxa"/>
            <w:tcBorders>
              <w:top w:val="nil"/>
              <w:left w:val="nil"/>
              <w:bottom w:val="nil"/>
              <w:right w:val="nil"/>
            </w:tcBorders>
            <w:noWrap/>
            <w:vAlign w:val="bottom"/>
            <w:hideMark/>
          </w:tcPr>
          <w:p w14:paraId="7DA20B3D"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C960BC2"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34E0132"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232.000,00</w:t>
            </w:r>
          </w:p>
        </w:tc>
        <w:tc>
          <w:tcPr>
            <w:tcW w:w="993" w:type="dxa"/>
            <w:tcBorders>
              <w:top w:val="nil"/>
              <w:left w:val="nil"/>
              <w:bottom w:val="nil"/>
              <w:right w:val="nil"/>
            </w:tcBorders>
            <w:noWrap/>
            <w:vAlign w:val="bottom"/>
            <w:hideMark/>
          </w:tcPr>
          <w:p w14:paraId="5290AE55"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7D28E0D" w14:textId="77777777" w:rsidTr="008A61B1">
        <w:trPr>
          <w:trHeight w:val="255"/>
        </w:trPr>
        <w:tc>
          <w:tcPr>
            <w:tcW w:w="1134" w:type="dxa"/>
            <w:tcBorders>
              <w:top w:val="nil"/>
              <w:left w:val="nil"/>
              <w:bottom w:val="nil"/>
              <w:right w:val="nil"/>
            </w:tcBorders>
            <w:noWrap/>
            <w:vAlign w:val="bottom"/>
            <w:hideMark/>
          </w:tcPr>
          <w:p w14:paraId="3958976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3132</w:t>
            </w:r>
          </w:p>
        </w:tc>
        <w:tc>
          <w:tcPr>
            <w:tcW w:w="4962" w:type="dxa"/>
            <w:tcBorders>
              <w:top w:val="nil"/>
              <w:left w:val="nil"/>
              <w:bottom w:val="nil"/>
              <w:right w:val="nil"/>
            </w:tcBorders>
            <w:noWrap/>
            <w:vAlign w:val="bottom"/>
            <w:hideMark/>
          </w:tcPr>
          <w:p w14:paraId="16B4AA9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Doprinosi za obvezno zdravstveno osiguranje</w:t>
            </w:r>
          </w:p>
        </w:tc>
        <w:tc>
          <w:tcPr>
            <w:tcW w:w="1559" w:type="dxa"/>
            <w:tcBorders>
              <w:top w:val="nil"/>
              <w:left w:val="nil"/>
              <w:bottom w:val="nil"/>
              <w:right w:val="nil"/>
            </w:tcBorders>
            <w:noWrap/>
            <w:vAlign w:val="bottom"/>
            <w:hideMark/>
          </w:tcPr>
          <w:p w14:paraId="2C009BAD"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E610042"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A53B798"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40.600,00</w:t>
            </w:r>
          </w:p>
        </w:tc>
        <w:tc>
          <w:tcPr>
            <w:tcW w:w="993" w:type="dxa"/>
            <w:tcBorders>
              <w:top w:val="nil"/>
              <w:left w:val="nil"/>
              <w:bottom w:val="nil"/>
              <w:right w:val="nil"/>
            </w:tcBorders>
            <w:noWrap/>
            <w:vAlign w:val="bottom"/>
            <w:hideMark/>
          </w:tcPr>
          <w:p w14:paraId="58B73755"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B67FBA5" w14:textId="77777777" w:rsidTr="008A61B1">
        <w:trPr>
          <w:trHeight w:val="540"/>
        </w:trPr>
        <w:tc>
          <w:tcPr>
            <w:tcW w:w="6096" w:type="dxa"/>
            <w:gridSpan w:val="2"/>
            <w:tcBorders>
              <w:top w:val="nil"/>
              <w:left w:val="nil"/>
              <w:bottom w:val="nil"/>
              <w:right w:val="nil"/>
            </w:tcBorders>
            <w:shd w:val="clear" w:color="000000" w:fill="CCCCFF"/>
            <w:vAlign w:val="bottom"/>
            <w:hideMark/>
          </w:tcPr>
          <w:p w14:paraId="33A037DB"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4.4. Ostali prihodi za posebne namjene proračunskih korisnika</w:t>
            </w:r>
          </w:p>
        </w:tc>
        <w:tc>
          <w:tcPr>
            <w:tcW w:w="1559" w:type="dxa"/>
            <w:tcBorders>
              <w:top w:val="nil"/>
              <w:left w:val="nil"/>
              <w:bottom w:val="nil"/>
              <w:right w:val="nil"/>
            </w:tcBorders>
            <w:shd w:val="clear" w:color="000000" w:fill="CCCCFF"/>
            <w:noWrap/>
            <w:vAlign w:val="bottom"/>
            <w:hideMark/>
          </w:tcPr>
          <w:p w14:paraId="248B89B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270.000,00</w:t>
            </w:r>
          </w:p>
        </w:tc>
        <w:tc>
          <w:tcPr>
            <w:tcW w:w="1559" w:type="dxa"/>
            <w:tcBorders>
              <w:top w:val="nil"/>
              <w:left w:val="nil"/>
              <w:bottom w:val="nil"/>
              <w:right w:val="nil"/>
            </w:tcBorders>
            <w:shd w:val="clear" w:color="000000" w:fill="CCCCFF"/>
            <w:noWrap/>
            <w:vAlign w:val="bottom"/>
            <w:hideMark/>
          </w:tcPr>
          <w:p w14:paraId="182E7A4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270.000,00</w:t>
            </w:r>
          </w:p>
        </w:tc>
        <w:tc>
          <w:tcPr>
            <w:tcW w:w="1559" w:type="dxa"/>
            <w:tcBorders>
              <w:top w:val="nil"/>
              <w:left w:val="nil"/>
              <w:bottom w:val="nil"/>
              <w:right w:val="nil"/>
            </w:tcBorders>
            <w:shd w:val="clear" w:color="000000" w:fill="CCCCFF"/>
            <w:noWrap/>
            <w:vAlign w:val="bottom"/>
            <w:hideMark/>
          </w:tcPr>
          <w:p w14:paraId="4A1514D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229.338,02</w:t>
            </w:r>
          </w:p>
        </w:tc>
        <w:tc>
          <w:tcPr>
            <w:tcW w:w="993" w:type="dxa"/>
            <w:tcBorders>
              <w:top w:val="nil"/>
              <w:left w:val="nil"/>
              <w:bottom w:val="nil"/>
              <w:right w:val="nil"/>
            </w:tcBorders>
            <w:shd w:val="clear" w:color="000000" w:fill="CCCCFF"/>
            <w:noWrap/>
            <w:vAlign w:val="bottom"/>
            <w:hideMark/>
          </w:tcPr>
          <w:p w14:paraId="25CD2DE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84,94%</w:t>
            </w:r>
          </w:p>
        </w:tc>
      </w:tr>
      <w:tr w:rsidR="006967F8" w:rsidRPr="006967F8" w14:paraId="5F513830" w14:textId="77777777" w:rsidTr="008A61B1">
        <w:trPr>
          <w:trHeight w:val="255"/>
        </w:trPr>
        <w:tc>
          <w:tcPr>
            <w:tcW w:w="1134" w:type="dxa"/>
            <w:tcBorders>
              <w:top w:val="nil"/>
              <w:left w:val="nil"/>
              <w:bottom w:val="nil"/>
              <w:right w:val="nil"/>
            </w:tcBorders>
            <w:noWrap/>
            <w:vAlign w:val="bottom"/>
            <w:hideMark/>
          </w:tcPr>
          <w:p w14:paraId="6F2DD04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4B9BAD0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2E4A986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255.400,00</w:t>
            </w:r>
          </w:p>
        </w:tc>
        <w:tc>
          <w:tcPr>
            <w:tcW w:w="1559" w:type="dxa"/>
            <w:tcBorders>
              <w:top w:val="nil"/>
              <w:left w:val="nil"/>
              <w:bottom w:val="nil"/>
              <w:right w:val="nil"/>
            </w:tcBorders>
            <w:noWrap/>
            <w:vAlign w:val="bottom"/>
            <w:hideMark/>
          </w:tcPr>
          <w:p w14:paraId="7EC46DB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255.400,00</w:t>
            </w:r>
          </w:p>
        </w:tc>
        <w:tc>
          <w:tcPr>
            <w:tcW w:w="1559" w:type="dxa"/>
            <w:tcBorders>
              <w:top w:val="nil"/>
              <w:left w:val="nil"/>
              <w:bottom w:val="nil"/>
              <w:right w:val="nil"/>
            </w:tcBorders>
            <w:noWrap/>
            <w:vAlign w:val="bottom"/>
            <w:hideMark/>
          </w:tcPr>
          <w:p w14:paraId="50B30E2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218.570,15</w:t>
            </w:r>
          </w:p>
        </w:tc>
        <w:tc>
          <w:tcPr>
            <w:tcW w:w="993" w:type="dxa"/>
            <w:tcBorders>
              <w:top w:val="nil"/>
              <w:left w:val="nil"/>
              <w:bottom w:val="nil"/>
              <w:right w:val="nil"/>
            </w:tcBorders>
            <w:noWrap/>
            <w:vAlign w:val="bottom"/>
            <w:hideMark/>
          </w:tcPr>
          <w:p w14:paraId="0033D3C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85,58%</w:t>
            </w:r>
          </w:p>
        </w:tc>
      </w:tr>
      <w:tr w:rsidR="006967F8" w:rsidRPr="006967F8" w14:paraId="716C5051" w14:textId="77777777" w:rsidTr="008A61B1">
        <w:trPr>
          <w:trHeight w:val="255"/>
        </w:trPr>
        <w:tc>
          <w:tcPr>
            <w:tcW w:w="1134" w:type="dxa"/>
            <w:tcBorders>
              <w:top w:val="nil"/>
              <w:left w:val="nil"/>
              <w:bottom w:val="nil"/>
              <w:right w:val="nil"/>
            </w:tcBorders>
            <w:noWrap/>
            <w:vAlign w:val="bottom"/>
            <w:hideMark/>
          </w:tcPr>
          <w:p w14:paraId="49E565A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3211</w:t>
            </w:r>
          </w:p>
        </w:tc>
        <w:tc>
          <w:tcPr>
            <w:tcW w:w="4962" w:type="dxa"/>
            <w:tcBorders>
              <w:top w:val="nil"/>
              <w:left w:val="nil"/>
              <w:bottom w:val="nil"/>
              <w:right w:val="nil"/>
            </w:tcBorders>
            <w:noWrap/>
            <w:vAlign w:val="bottom"/>
            <w:hideMark/>
          </w:tcPr>
          <w:p w14:paraId="007A76B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Službena putovanja</w:t>
            </w:r>
          </w:p>
        </w:tc>
        <w:tc>
          <w:tcPr>
            <w:tcW w:w="1559" w:type="dxa"/>
            <w:tcBorders>
              <w:top w:val="nil"/>
              <w:left w:val="nil"/>
              <w:bottom w:val="nil"/>
              <w:right w:val="nil"/>
            </w:tcBorders>
            <w:noWrap/>
            <w:vAlign w:val="bottom"/>
            <w:hideMark/>
          </w:tcPr>
          <w:p w14:paraId="75290E4A"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316157C"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1430AF1"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404,88</w:t>
            </w:r>
          </w:p>
        </w:tc>
        <w:tc>
          <w:tcPr>
            <w:tcW w:w="993" w:type="dxa"/>
            <w:tcBorders>
              <w:top w:val="nil"/>
              <w:left w:val="nil"/>
              <w:bottom w:val="nil"/>
              <w:right w:val="nil"/>
            </w:tcBorders>
            <w:noWrap/>
            <w:vAlign w:val="bottom"/>
            <w:hideMark/>
          </w:tcPr>
          <w:p w14:paraId="440791AC"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36EACF3" w14:textId="77777777" w:rsidTr="008A61B1">
        <w:trPr>
          <w:trHeight w:val="255"/>
        </w:trPr>
        <w:tc>
          <w:tcPr>
            <w:tcW w:w="1134" w:type="dxa"/>
            <w:tcBorders>
              <w:top w:val="nil"/>
              <w:left w:val="nil"/>
              <w:bottom w:val="nil"/>
              <w:right w:val="nil"/>
            </w:tcBorders>
            <w:noWrap/>
            <w:vAlign w:val="bottom"/>
            <w:hideMark/>
          </w:tcPr>
          <w:p w14:paraId="635235A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lastRenderedPageBreak/>
              <w:t>3213</w:t>
            </w:r>
          </w:p>
        </w:tc>
        <w:tc>
          <w:tcPr>
            <w:tcW w:w="4962" w:type="dxa"/>
            <w:tcBorders>
              <w:top w:val="nil"/>
              <w:left w:val="nil"/>
              <w:bottom w:val="nil"/>
              <w:right w:val="nil"/>
            </w:tcBorders>
            <w:noWrap/>
            <w:vAlign w:val="bottom"/>
            <w:hideMark/>
          </w:tcPr>
          <w:p w14:paraId="63E115D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Stručno usavršavanje zaposlenika</w:t>
            </w:r>
          </w:p>
        </w:tc>
        <w:tc>
          <w:tcPr>
            <w:tcW w:w="1559" w:type="dxa"/>
            <w:tcBorders>
              <w:top w:val="nil"/>
              <w:left w:val="nil"/>
              <w:bottom w:val="nil"/>
              <w:right w:val="nil"/>
            </w:tcBorders>
            <w:noWrap/>
            <w:vAlign w:val="bottom"/>
            <w:hideMark/>
          </w:tcPr>
          <w:p w14:paraId="4D0EDE13"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E6A4F00"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F659382"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2.572,12</w:t>
            </w:r>
          </w:p>
        </w:tc>
        <w:tc>
          <w:tcPr>
            <w:tcW w:w="993" w:type="dxa"/>
            <w:tcBorders>
              <w:top w:val="nil"/>
              <w:left w:val="nil"/>
              <w:bottom w:val="nil"/>
              <w:right w:val="nil"/>
            </w:tcBorders>
            <w:noWrap/>
            <w:vAlign w:val="bottom"/>
            <w:hideMark/>
          </w:tcPr>
          <w:p w14:paraId="56D8BA44"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33AD7F9" w14:textId="77777777" w:rsidTr="008A61B1">
        <w:trPr>
          <w:trHeight w:val="255"/>
        </w:trPr>
        <w:tc>
          <w:tcPr>
            <w:tcW w:w="1134" w:type="dxa"/>
            <w:tcBorders>
              <w:top w:val="nil"/>
              <w:left w:val="nil"/>
              <w:bottom w:val="nil"/>
              <w:right w:val="nil"/>
            </w:tcBorders>
            <w:noWrap/>
            <w:vAlign w:val="bottom"/>
            <w:hideMark/>
          </w:tcPr>
          <w:p w14:paraId="57EDD5D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3214</w:t>
            </w:r>
          </w:p>
        </w:tc>
        <w:tc>
          <w:tcPr>
            <w:tcW w:w="4962" w:type="dxa"/>
            <w:tcBorders>
              <w:top w:val="nil"/>
              <w:left w:val="nil"/>
              <w:bottom w:val="nil"/>
              <w:right w:val="nil"/>
            </w:tcBorders>
            <w:noWrap/>
            <w:vAlign w:val="bottom"/>
            <w:hideMark/>
          </w:tcPr>
          <w:p w14:paraId="5A31AB1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 xml:space="preserve">Ostale naknade troškova zaposlenima </w:t>
            </w:r>
          </w:p>
        </w:tc>
        <w:tc>
          <w:tcPr>
            <w:tcW w:w="1559" w:type="dxa"/>
            <w:tcBorders>
              <w:top w:val="nil"/>
              <w:left w:val="nil"/>
              <w:bottom w:val="nil"/>
              <w:right w:val="nil"/>
            </w:tcBorders>
            <w:noWrap/>
            <w:vAlign w:val="bottom"/>
            <w:hideMark/>
          </w:tcPr>
          <w:p w14:paraId="3E7C7EB9"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91646FD"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6AE3232"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4,50</w:t>
            </w:r>
          </w:p>
        </w:tc>
        <w:tc>
          <w:tcPr>
            <w:tcW w:w="993" w:type="dxa"/>
            <w:tcBorders>
              <w:top w:val="nil"/>
              <w:left w:val="nil"/>
              <w:bottom w:val="nil"/>
              <w:right w:val="nil"/>
            </w:tcBorders>
            <w:noWrap/>
            <w:vAlign w:val="bottom"/>
            <w:hideMark/>
          </w:tcPr>
          <w:p w14:paraId="13C8A3A6"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763D42C" w14:textId="77777777" w:rsidTr="008A61B1">
        <w:trPr>
          <w:trHeight w:val="255"/>
        </w:trPr>
        <w:tc>
          <w:tcPr>
            <w:tcW w:w="1134" w:type="dxa"/>
            <w:tcBorders>
              <w:top w:val="nil"/>
              <w:left w:val="nil"/>
              <w:bottom w:val="nil"/>
              <w:right w:val="nil"/>
            </w:tcBorders>
            <w:noWrap/>
            <w:vAlign w:val="bottom"/>
            <w:hideMark/>
          </w:tcPr>
          <w:p w14:paraId="537C159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3221</w:t>
            </w:r>
          </w:p>
        </w:tc>
        <w:tc>
          <w:tcPr>
            <w:tcW w:w="4962" w:type="dxa"/>
            <w:tcBorders>
              <w:top w:val="nil"/>
              <w:left w:val="nil"/>
              <w:bottom w:val="nil"/>
              <w:right w:val="nil"/>
            </w:tcBorders>
            <w:noWrap/>
            <w:vAlign w:val="bottom"/>
            <w:hideMark/>
          </w:tcPr>
          <w:p w14:paraId="5A5438A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Uredski materijal i ostali materijalni rashodi</w:t>
            </w:r>
          </w:p>
        </w:tc>
        <w:tc>
          <w:tcPr>
            <w:tcW w:w="1559" w:type="dxa"/>
            <w:tcBorders>
              <w:top w:val="nil"/>
              <w:left w:val="nil"/>
              <w:bottom w:val="nil"/>
              <w:right w:val="nil"/>
            </w:tcBorders>
            <w:noWrap/>
            <w:vAlign w:val="bottom"/>
            <w:hideMark/>
          </w:tcPr>
          <w:p w14:paraId="6C0E9531"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67E64ED"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9F28FC5"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18.513,72</w:t>
            </w:r>
          </w:p>
        </w:tc>
        <w:tc>
          <w:tcPr>
            <w:tcW w:w="993" w:type="dxa"/>
            <w:tcBorders>
              <w:top w:val="nil"/>
              <w:left w:val="nil"/>
              <w:bottom w:val="nil"/>
              <w:right w:val="nil"/>
            </w:tcBorders>
            <w:noWrap/>
            <w:vAlign w:val="bottom"/>
            <w:hideMark/>
          </w:tcPr>
          <w:p w14:paraId="298250D5"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3AFDE39" w14:textId="77777777" w:rsidTr="008A61B1">
        <w:trPr>
          <w:trHeight w:val="255"/>
        </w:trPr>
        <w:tc>
          <w:tcPr>
            <w:tcW w:w="1134" w:type="dxa"/>
            <w:tcBorders>
              <w:top w:val="nil"/>
              <w:left w:val="nil"/>
              <w:bottom w:val="nil"/>
              <w:right w:val="nil"/>
            </w:tcBorders>
            <w:noWrap/>
            <w:vAlign w:val="bottom"/>
            <w:hideMark/>
          </w:tcPr>
          <w:p w14:paraId="1BCF58D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3222</w:t>
            </w:r>
          </w:p>
        </w:tc>
        <w:tc>
          <w:tcPr>
            <w:tcW w:w="4962" w:type="dxa"/>
            <w:tcBorders>
              <w:top w:val="nil"/>
              <w:left w:val="nil"/>
              <w:bottom w:val="nil"/>
              <w:right w:val="nil"/>
            </w:tcBorders>
            <w:noWrap/>
            <w:vAlign w:val="bottom"/>
            <w:hideMark/>
          </w:tcPr>
          <w:p w14:paraId="7C8F835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Materijal i sirovine</w:t>
            </w:r>
          </w:p>
        </w:tc>
        <w:tc>
          <w:tcPr>
            <w:tcW w:w="1559" w:type="dxa"/>
            <w:tcBorders>
              <w:top w:val="nil"/>
              <w:left w:val="nil"/>
              <w:bottom w:val="nil"/>
              <w:right w:val="nil"/>
            </w:tcBorders>
            <w:noWrap/>
            <w:vAlign w:val="bottom"/>
            <w:hideMark/>
          </w:tcPr>
          <w:p w14:paraId="28AFC2DB"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9D32266"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3DB90E7"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129.296,70</w:t>
            </w:r>
          </w:p>
        </w:tc>
        <w:tc>
          <w:tcPr>
            <w:tcW w:w="993" w:type="dxa"/>
            <w:tcBorders>
              <w:top w:val="nil"/>
              <w:left w:val="nil"/>
              <w:bottom w:val="nil"/>
              <w:right w:val="nil"/>
            </w:tcBorders>
            <w:noWrap/>
            <w:vAlign w:val="bottom"/>
            <w:hideMark/>
          </w:tcPr>
          <w:p w14:paraId="0952AC7D"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0015705" w14:textId="77777777" w:rsidTr="008A61B1">
        <w:trPr>
          <w:trHeight w:val="255"/>
        </w:trPr>
        <w:tc>
          <w:tcPr>
            <w:tcW w:w="1134" w:type="dxa"/>
            <w:tcBorders>
              <w:top w:val="nil"/>
              <w:left w:val="nil"/>
              <w:bottom w:val="nil"/>
              <w:right w:val="nil"/>
            </w:tcBorders>
            <w:noWrap/>
            <w:vAlign w:val="bottom"/>
            <w:hideMark/>
          </w:tcPr>
          <w:p w14:paraId="4CED0DF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3223</w:t>
            </w:r>
          </w:p>
        </w:tc>
        <w:tc>
          <w:tcPr>
            <w:tcW w:w="4962" w:type="dxa"/>
            <w:tcBorders>
              <w:top w:val="nil"/>
              <w:left w:val="nil"/>
              <w:bottom w:val="nil"/>
              <w:right w:val="nil"/>
            </w:tcBorders>
            <w:noWrap/>
            <w:vAlign w:val="bottom"/>
            <w:hideMark/>
          </w:tcPr>
          <w:p w14:paraId="3D3EA89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Energija</w:t>
            </w:r>
          </w:p>
        </w:tc>
        <w:tc>
          <w:tcPr>
            <w:tcW w:w="1559" w:type="dxa"/>
            <w:tcBorders>
              <w:top w:val="nil"/>
              <w:left w:val="nil"/>
              <w:bottom w:val="nil"/>
              <w:right w:val="nil"/>
            </w:tcBorders>
            <w:noWrap/>
            <w:vAlign w:val="bottom"/>
            <w:hideMark/>
          </w:tcPr>
          <w:p w14:paraId="27D637C5"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02639A9"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57EF1F8"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2.367,15</w:t>
            </w:r>
          </w:p>
        </w:tc>
        <w:tc>
          <w:tcPr>
            <w:tcW w:w="993" w:type="dxa"/>
            <w:tcBorders>
              <w:top w:val="nil"/>
              <w:left w:val="nil"/>
              <w:bottom w:val="nil"/>
              <w:right w:val="nil"/>
            </w:tcBorders>
            <w:noWrap/>
            <w:vAlign w:val="bottom"/>
            <w:hideMark/>
          </w:tcPr>
          <w:p w14:paraId="62158E4F"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34258C6" w14:textId="77777777" w:rsidTr="008A61B1">
        <w:trPr>
          <w:trHeight w:val="255"/>
        </w:trPr>
        <w:tc>
          <w:tcPr>
            <w:tcW w:w="1134" w:type="dxa"/>
            <w:tcBorders>
              <w:top w:val="nil"/>
              <w:left w:val="nil"/>
              <w:bottom w:val="nil"/>
              <w:right w:val="nil"/>
            </w:tcBorders>
            <w:noWrap/>
            <w:vAlign w:val="bottom"/>
            <w:hideMark/>
          </w:tcPr>
          <w:p w14:paraId="7E74515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3224</w:t>
            </w:r>
          </w:p>
        </w:tc>
        <w:tc>
          <w:tcPr>
            <w:tcW w:w="4962" w:type="dxa"/>
            <w:tcBorders>
              <w:top w:val="nil"/>
              <w:left w:val="nil"/>
              <w:bottom w:val="nil"/>
              <w:right w:val="nil"/>
            </w:tcBorders>
            <w:noWrap/>
            <w:vAlign w:val="bottom"/>
            <w:hideMark/>
          </w:tcPr>
          <w:p w14:paraId="4F61D15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Materijal i dijelovi za tekuće i investicijsko održavanje</w:t>
            </w:r>
          </w:p>
        </w:tc>
        <w:tc>
          <w:tcPr>
            <w:tcW w:w="1559" w:type="dxa"/>
            <w:tcBorders>
              <w:top w:val="nil"/>
              <w:left w:val="nil"/>
              <w:bottom w:val="nil"/>
              <w:right w:val="nil"/>
            </w:tcBorders>
            <w:noWrap/>
            <w:vAlign w:val="bottom"/>
            <w:hideMark/>
          </w:tcPr>
          <w:p w14:paraId="76A818B8"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9C93432"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6E424A1"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2.188,58</w:t>
            </w:r>
          </w:p>
        </w:tc>
        <w:tc>
          <w:tcPr>
            <w:tcW w:w="993" w:type="dxa"/>
            <w:tcBorders>
              <w:top w:val="nil"/>
              <w:left w:val="nil"/>
              <w:bottom w:val="nil"/>
              <w:right w:val="nil"/>
            </w:tcBorders>
            <w:noWrap/>
            <w:vAlign w:val="bottom"/>
            <w:hideMark/>
          </w:tcPr>
          <w:p w14:paraId="195DEC63"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91A04D6" w14:textId="77777777" w:rsidTr="008A61B1">
        <w:trPr>
          <w:trHeight w:val="255"/>
        </w:trPr>
        <w:tc>
          <w:tcPr>
            <w:tcW w:w="1134" w:type="dxa"/>
            <w:tcBorders>
              <w:top w:val="nil"/>
              <w:left w:val="nil"/>
              <w:bottom w:val="nil"/>
              <w:right w:val="nil"/>
            </w:tcBorders>
            <w:noWrap/>
            <w:vAlign w:val="bottom"/>
            <w:hideMark/>
          </w:tcPr>
          <w:p w14:paraId="6354705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3225</w:t>
            </w:r>
          </w:p>
        </w:tc>
        <w:tc>
          <w:tcPr>
            <w:tcW w:w="4962" w:type="dxa"/>
            <w:tcBorders>
              <w:top w:val="nil"/>
              <w:left w:val="nil"/>
              <w:bottom w:val="nil"/>
              <w:right w:val="nil"/>
            </w:tcBorders>
            <w:noWrap/>
            <w:vAlign w:val="bottom"/>
            <w:hideMark/>
          </w:tcPr>
          <w:p w14:paraId="3967376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 xml:space="preserve">Sitni inventar i </w:t>
            </w:r>
            <w:proofErr w:type="spellStart"/>
            <w:r w:rsidRPr="006967F8">
              <w:rPr>
                <w:rFonts w:ascii="Arial" w:eastAsia="Times New Roman" w:hAnsi="Arial" w:cs="Arial"/>
                <w:sz w:val="20"/>
                <w:szCs w:val="20"/>
                <w:lang w:eastAsia="hr-HR"/>
              </w:rPr>
              <w:t>autogume</w:t>
            </w:r>
            <w:proofErr w:type="spellEnd"/>
          </w:p>
        </w:tc>
        <w:tc>
          <w:tcPr>
            <w:tcW w:w="1559" w:type="dxa"/>
            <w:tcBorders>
              <w:top w:val="nil"/>
              <w:left w:val="nil"/>
              <w:bottom w:val="nil"/>
              <w:right w:val="nil"/>
            </w:tcBorders>
            <w:noWrap/>
            <w:vAlign w:val="bottom"/>
            <w:hideMark/>
          </w:tcPr>
          <w:p w14:paraId="47C4B31F"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0188427"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792A87B"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3.709,70</w:t>
            </w:r>
          </w:p>
        </w:tc>
        <w:tc>
          <w:tcPr>
            <w:tcW w:w="993" w:type="dxa"/>
            <w:tcBorders>
              <w:top w:val="nil"/>
              <w:left w:val="nil"/>
              <w:bottom w:val="nil"/>
              <w:right w:val="nil"/>
            </w:tcBorders>
            <w:noWrap/>
            <w:vAlign w:val="bottom"/>
            <w:hideMark/>
          </w:tcPr>
          <w:p w14:paraId="4056482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835EF57" w14:textId="77777777" w:rsidTr="008A61B1">
        <w:trPr>
          <w:trHeight w:val="255"/>
        </w:trPr>
        <w:tc>
          <w:tcPr>
            <w:tcW w:w="1134" w:type="dxa"/>
            <w:tcBorders>
              <w:top w:val="nil"/>
              <w:left w:val="nil"/>
              <w:bottom w:val="nil"/>
              <w:right w:val="nil"/>
            </w:tcBorders>
            <w:noWrap/>
            <w:vAlign w:val="bottom"/>
            <w:hideMark/>
          </w:tcPr>
          <w:p w14:paraId="0638605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3227</w:t>
            </w:r>
          </w:p>
        </w:tc>
        <w:tc>
          <w:tcPr>
            <w:tcW w:w="4962" w:type="dxa"/>
            <w:tcBorders>
              <w:top w:val="nil"/>
              <w:left w:val="nil"/>
              <w:bottom w:val="nil"/>
              <w:right w:val="nil"/>
            </w:tcBorders>
            <w:noWrap/>
            <w:vAlign w:val="bottom"/>
            <w:hideMark/>
          </w:tcPr>
          <w:p w14:paraId="3BD4678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Službena, radna i zaštitna odjeća i obuća</w:t>
            </w:r>
          </w:p>
        </w:tc>
        <w:tc>
          <w:tcPr>
            <w:tcW w:w="1559" w:type="dxa"/>
            <w:tcBorders>
              <w:top w:val="nil"/>
              <w:left w:val="nil"/>
              <w:bottom w:val="nil"/>
              <w:right w:val="nil"/>
            </w:tcBorders>
            <w:noWrap/>
            <w:vAlign w:val="bottom"/>
            <w:hideMark/>
          </w:tcPr>
          <w:p w14:paraId="5E93BCC4"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4BDA389"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A37B408"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2.717,30</w:t>
            </w:r>
          </w:p>
        </w:tc>
        <w:tc>
          <w:tcPr>
            <w:tcW w:w="993" w:type="dxa"/>
            <w:tcBorders>
              <w:top w:val="nil"/>
              <w:left w:val="nil"/>
              <w:bottom w:val="nil"/>
              <w:right w:val="nil"/>
            </w:tcBorders>
            <w:noWrap/>
            <w:vAlign w:val="bottom"/>
            <w:hideMark/>
          </w:tcPr>
          <w:p w14:paraId="26027B03"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1D2CEDA" w14:textId="77777777" w:rsidTr="008A61B1">
        <w:trPr>
          <w:trHeight w:val="255"/>
        </w:trPr>
        <w:tc>
          <w:tcPr>
            <w:tcW w:w="1134" w:type="dxa"/>
            <w:tcBorders>
              <w:top w:val="nil"/>
              <w:left w:val="nil"/>
              <w:bottom w:val="nil"/>
              <w:right w:val="nil"/>
            </w:tcBorders>
            <w:noWrap/>
            <w:vAlign w:val="bottom"/>
            <w:hideMark/>
          </w:tcPr>
          <w:p w14:paraId="582BC0D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3231</w:t>
            </w:r>
          </w:p>
        </w:tc>
        <w:tc>
          <w:tcPr>
            <w:tcW w:w="4962" w:type="dxa"/>
            <w:tcBorders>
              <w:top w:val="nil"/>
              <w:left w:val="nil"/>
              <w:bottom w:val="nil"/>
              <w:right w:val="nil"/>
            </w:tcBorders>
            <w:noWrap/>
            <w:vAlign w:val="bottom"/>
            <w:hideMark/>
          </w:tcPr>
          <w:p w14:paraId="2192931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telefona, interneta, pošte i prijevoza</w:t>
            </w:r>
          </w:p>
        </w:tc>
        <w:tc>
          <w:tcPr>
            <w:tcW w:w="1559" w:type="dxa"/>
            <w:tcBorders>
              <w:top w:val="nil"/>
              <w:left w:val="nil"/>
              <w:bottom w:val="nil"/>
              <w:right w:val="nil"/>
            </w:tcBorders>
            <w:noWrap/>
            <w:vAlign w:val="bottom"/>
            <w:hideMark/>
          </w:tcPr>
          <w:p w14:paraId="0F227530"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7F66803"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3011010"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6.078,85</w:t>
            </w:r>
          </w:p>
        </w:tc>
        <w:tc>
          <w:tcPr>
            <w:tcW w:w="993" w:type="dxa"/>
            <w:tcBorders>
              <w:top w:val="nil"/>
              <w:left w:val="nil"/>
              <w:bottom w:val="nil"/>
              <w:right w:val="nil"/>
            </w:tcBorders>
            <w:noWrap/>
            <w:vAlign w:val="bottom"/>
            <w:hideMark/>
          </w:tcPr>
          <w:p w14:paraId="5AD1E88A"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E26CB4B" w14:textId="77777777" w:rsidTr="008A61B1">
        <w:trPr>
          <w:trHeight w:val="255"/>
        </w:trPr>
        <w:tc>
          <w:tcPr>
            <w:tcW w:w="1134" w:type="dxa"/>
            <w:tcBorders>
              <w:top w:val="nil"/>
              <w:left w:val="nil"/>
              <w:bottom w:val="nil"/>
              <w:right w:val="nil"/>
            </w:tcBorders>
            <w:noWrap/>
            <w:vAlign w:val="bottom"/>
            <w:hideMark/>
          </w:tcPr>
          <w:p w14:paraId="4F564E1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3232</w:t>
            </w:r>
          </w:p>
        </w:tc>
        <w:tc>
          <w:tcPr>
            <w:tcW w:w="4962" w:type="dxa"/>
            <w:tcBorders>
              <w:top w:val="nil"/>
              <w:left w:val="nil"/>
              <w:bottom w:val="nil"/>
              <w:right w:val="nil"/>
            </w:tcBorders>
            <w:noWrap/>
            <w:vAlign w:val="bottom"/>
            <w:hideMark/>
          </w:tcPr>
          <w:p w14:paraId="3CFDF05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noWrap/>
            <w:vAlign w:val="bottom"/>
            <w:hideMark/>
          </w:tcPr>
          <w:p w14:paraId="74F91CDA"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3D4D7B3"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763B548"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14.225,73</w:t>
            </w:r>
          </w:p>
        </w:tc>
        <w:tc>
          <w:tcPr>
            <w:tcW w:w="993" w:type="dxa"/>
            <w:tcBorders>
              <w:top w:val="nil"/>
              <w:left w:val="nil"/>
              <w:bottom w:val="nil"/>
              <w:right w:val="nil"/>
            </w:tcBorders>
            <w:noWrap/>
            <w:vAlign w:val="bottom"/>
            <w:hideMark/>
          </w:tcPr>
          <w:p w14:paraId="772E8164"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4FFB69C" w14:textId="77777777" w:rsidTr="008A61B1">
        <w:trPr>
          <w:trHeight w:val="255"/>
        </w:trPr>
        <w:tc>
          <w:tcPr>
            <w:tcW w:w="1134" w:type="dxa"/>
            <w:tcBorders>
              <w:top w:val="nil"/>
              <w:left w:val="nil"/>
              <w:bottom w:val="nil"/>
              <w:right w:val="nil"/>
            </w:tcBorders>
            <w:noWrap/>
            <w:vAlign w:val="bottom"/>
            <w:hideMark/>
          </w:tcPr>
          <w:p w14:paraId="4151E0B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3233</w:t>
            </w:r>
          </w:p>
        </w:tc>
        <w:tc>
          <w:tcPr>
            <w:tcW w:w="4962" w:type="dxa"/>
            <w:tcBorders>
              <w:top w:val="nil"/>
              <w:left w:val="nil"/>
              <w:bottom w:val="nil"/>
              <w:right w:val="nil"/>
            </w:tcBorders>
            <w:noWrap/>
            <w:vAlign w:val="bottom"/>
            <w:hideMark/>
          </w:tcPr>
          <w:p w14:paraId="7D27094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promidžbe i informiranja</w:t>
            </w:r>
          </w:p>
        </w:tc>
        <w:tc>
          <w:tcPr>
            <w:tcW w:w="1559" w:type="dxa"/>
            <w:tcBorders>
              <w:top w:val="nil"/>
              <w:left w:val="nil"/>
              <w:bottom w:val="nil"/>
              <w:right w:val="nil"/>
            </w:tcBorders>
            <w:noWrap/>
            <w:vAlign w:val="bottom"/>
            <w:hideMark/>
          </w:tcPr>
          <w:p w14:paraId="5D9C9E9F"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C7E16E5"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C4146ED"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127,44</w:t>
            </w:r>
          </w:p>
        </w:tc>
        <w:tc>
          <w:tcPr>
            <w:tcW w:w="993" w:type="dxa"/>
            <w:tcBorders>
              <w:top w:val="nil"/>
              <w:left w:val="nil"/>
              <w:bottom w:val="nil"/>
              <w:right w:val="nil"/>
            </w:tcBorders>
            <w:noWrap/>
            <w:vAlign w:val="bottom"/>
            <w:hideMark/>
          </w:tcPr>
          <w:p w14:paraId="1F4AD5FB"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A477C32" w14:textId="77777777" w:rsidTr="008A61B1">
        <w:trPr>
          <w:trHeight w:val="255"/>
        </w:trPr>
        <w:tc>
          <w:tcPr>
            <w:tcW w:w="1134" w:type="dxa"/>
            <w:tcBorders>
              <w:top w:val="nil"/>
              <w:left w:val="nil"/>
              <w:bottom w:val="nil"/>
              <w:right w:val="nil"/>
            </w:tcBorders>
            <w:noWrap/>
            <w:vAlign w:val="bottom"/>
            <w:hideMark/>
          </w:tcPr>
          <w:p w14:paraId="310D298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3234</w:t>
            </w:r>
          </w:p>
        </w:tc>
        <w:tc>
          <w:tcPr>
            <w:tcW w:w="4962" w:type="dxa"/>
            <w:tcBorders>
              <w:top w:val="nil"/>
              <w:left w:val="nil"/>
              <w:bottom w:val="nil"/>
              <w:right w:val="nil"/>
            </w:tcBorders>
            <w:noWrap/>
            <w:vAlign w:val="bottom"/>
            <w:hideMark/>
          </w:tcPr>
          <w:p w14:paraId="60FF1C5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Komunalne usluge</w:t>
            </w:r>
          </w:p>
        </w:tc>
        <w:tc>
          <w:tcPr>
            <w:tcW w:w="1559" w:type="dxa"/>
            <w:tcBorders>
              <w:top w:val="nil"/>
              <w:left w:val="nil"/>
              <w:bottom w:val="nil"/>
              <w:right w:val="nil"/>
            </w:tcBorders>
            <w:noWrap/>
            <w:vAlign w:val="bottom"/>
            <w:hideMark/>
          </w:tcPr>
          <w:p w14:paraId="35EF6949"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CA6DF06"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8C6CA49"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2.932,59</w:t>
            </w:r>
          </w:p>
        </w:tc>
        <w:tc>
          <w:tcPr>
            <w:tcW w:w="993" w:type="dxa"/>
            <w:tcBorders>
              <w:top w:val="nil"/>
              <w:left w:val="nil"/>
              <w:bottom w:val="nil"/>
              <w:right w:val="nil"/>
            </w:tcBorders>
            <w:noWrap/>
            <w:vAlign w:val="bottom"/>
            <w:hideMark/>
          </w:tcPr>
          <w:p w14:paraId="2D4B3BF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26FEE62" w14:textId="77777777" w:rsidTr="008A61B1">
        <w:trPr>
          <w:trHeight w:val="255"/>
        </w:trPr>
        <w:tc>
          <w:tcPr>
            <w:tcW w:w="1134" w:type="dxa"/>
            <w:tcBorders>
              <w:top w:val="nil"/>
              <w:left w:val="nil"/>
              <w:bottom w:val="nil"/>
              <w:right w:val="nil"/>
            </w:tcBorders>
            <w:noWrap/>
            <w:vAlign w:val="bottom"/>
            <w:hideMark/>
          </w:tcPr>
          <w:p w14:paraId="6374565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3235</w:t>
            </w:r>
          </w:p>
        </w:tc>
        <w:tc>
          <w:tcPr>
            <w:tcW w:w="4962" w:type="dxa"/>
            <w:tcBorders>
              <w:top w:val="nil"/>
              <w:left w:val="nil"/>
              <w:bottom w:val="nil"/>
              <w:right w:val="nil"/>
            </w:tcBorders>
            <w:noWrap/>
            <w:vAlign w:val="bottom"/>
            <w:hideMark/>
          </w:tcPr>
          <w:p w14:paraId="0122239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Zakupnine i najamnine</w:t>
            </w:r>
          </w:p>
        </w:tc>
        <w:tc>
          <w:tcPr>
            <w:tcW w:w="1559" w:type="dxa"/>
            <w:tcBorders>
              <w:top w:val="nil"/>
              <w:left w:val="nil"/>
              <w:bottom w:val="nil"/>
              <w:right w:val="nil"/>
            </w:tcBorders>
            <w:noWrap/>
            <w:vAlign w:val="bottom"/>
            <w:hideMark/>
          </w:tcPr>
          <w:p w14:paraId="15BB8690"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625F2B7"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8DD48DD"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383,84</w:t>
            </w:r>
          </w:p>
        </w:tc>
        <w:tc>
          <w:tcPr>
            <w:tcW w:w="993" w:type="dxa"/>
            <w:tcBorders>
              <w:top w:val="nil"/>
              <w:left w:val="nil"/>
              <w:bottom w:val="nil"/>
              <w:right w:val="nil"/>
            </w:tcBorders>
            <w:noWrap/>
            <w:vAlign w:val="bottom"/>
            <w:hideMark/>
          </w:tcPr>
          <w:p w14:paraId="2C40F125"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5B42550" w14:textId="77777777" w:rsidTr="008A61B1">
        <w:trPr>
          <w:trHeight w:val="255"/>
        </w:trPr>
        <w:tc>
          <w:tcPr>
            <w:tcW w:w="1134" w:type="dxa"/>
            <w:tcBorders>
              <w:top w:val="nil"/>
              <w:left w:val="nil"/>
              <w:bottom w:val="nil"/>
              <w:right w:val="nil"/>
            </w:tcBorders>
            <w:noWrap/>
            <w:vAlign w:val="bottom"/>
            <w:hideMark/>
          </w:tcPr>
          <w:p w14:paraId="2B190C8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3236</w:t>
            </w:r>
          </w:p>
        </w:tc>
        <w:tc>
          <w:tcPr>
            <w:tcW w:w="4962" w:type="dxa"/>
            <w:tcBorders>
              <w:top w:val="nil"/>
              <w:left w:val="nil"/>
              <w:bottom w:val="nil"/>
              <w:right w:val="nil"/>
            </w:tcBorders>
            <w:noWrap/>
            <w:vAlign w:val="bottom"/>
            <w:hideMark/>
          </w:tcPr>
          <w:p w14:paraId="7B036D1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Zdravstvene i veterinarske usluge</w:t>
            </w:r>
          </w:p>
        </w:tc>
        <w:tc>
          <w:tcPr>
            <w:tcW w:w="1559" w:type="dxa"/>
            <w:tcBorders>
              <w:top w:val="nil"/>
              <w:left w:val="nil"/>
              <w:bottom w:val="nil"/>
              <w:right w:val="nil"/>
            </w:tcBorders>
            <w:noWrap/>
            <w:vAlign w:val="bottom"/>
            <w:hideMark/>
          </w:tcPr>
          <w:p w14:paraId="4D7CEC76"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C88544A"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5168A87"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7.715,48</w:t>
            </w:r>
          </w:p>
        </w:tc>
        <w:tc>
          <w:tcPr>
            <w:tcW w:w="993" w:type="dxa"/>
            <w:tcBorders>
              <w:top w:val="nil"/>
              <w:left w:val="nil"/>
              <w:bottom w:val="nil"/>
              <w:right w:val="nil"/>
            </w:tcBorders>
            <w:noWrap/>
            <w:vAlign w:val="bottom"/>
            <w:hideMark/>
          </w:tcPr>
          <w:p w14:paraId="6CCD293E"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1EFB05C" w14:textId="77777777" w:rsidTr="008A61B1">
        <w:trPr>
          <w:trHeight w:val="255"/>
        </w:trPr>
        <w:tc>
          <w:tcPr>
            <w:tcW w:w="1134" w:type="dxa"/>
            <w:tcBorders>
              <w:top w:val="nil"/>
              <w:left w:val="nil"/>
              <w:bottom w:val="nil"/>
              <w:right w:val="nil"/>
            </w:tcBorders>
            <w:noWrap/>
            <w:vAlign w:val="bottom"/>
            <w:hideMark/>
          </w:tcPr>
          <w:p w14:paraId="3B08363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3237</w:t>
            </w:r>
          </w:p>
        </w:tc>
        <w:tc>
          <w:tcPr>
            <w:tcW w:w="4962" w:type="dxa"/>
            <w:tcBorders>
              <w:top w:val="nil"/>
              <w:left w:val="nil"/>
              <w:bottom w:val="nil"/>
              <w:right w:val="nil"/>
            </w:tcBorders>
            <w:noWrap/>
            <w:vAlign w:val="bottom"/>
            <w:hideMark/>
          </w:tcPr>
          <w:p w14:paraId="4514D91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Intelektualne i osobne usluge</w:t>
            </w:r>
          </w:p>
        </w:tc>
        <w:tc>
          <w:tcPr>
            <w:tcW w:w="1559" w:type="dxa"/>
            <w:tcBorders>
              <w:top w:val="nil"/>
              <w:left w:val="nil"/>
              <w:bottom w:val="nil"/>
              <w:right w:val="nil"/>
            </w:tcBorders>
            <w:noWrap/>
            <w:vAlign w:val="bottom"/>
            <w:hideMark/>
          </w:tcPr>
          <w:p w14:paraId="4BD9EE0C"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28E2B43"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31E6835"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8.601,50</w:t>
            </w:r>
          </w:p>
        </w:tc>
        <w:tc>
          <w:tcPr>
            <w:tcW w:w="993" w:type="dxa"/>
            <w:tcBorders>
              <w:top w:val="nil"/>
              <w:left w:val="nil"/>
              <w:bottom w:val="nil"/>
              <w:right w:val="nil"/>
            </w:tcBorders>
            <w:noWrap/>
            <w:vAlign w:val="bottom"/>
            <w:hideMark/>
          </w:tcPr>
          <w:p w14:paraId="60907BF1"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09AB4A2" w14:textId="77777777" w:rsidTr="008A61B1">
        <w:trPr>
          <w:trHeight w:val="255"/>
        </w:trPr>
        <w:tc>
          <w:tcPr>
            <w:tcW w:w="1134" w:type="dxa"/>
            <w:tcBorders>
              <w:top w:val="nil"/>
              <w:left w:val="nil"/>
              <w:bottom w:val="nil"/>
              <w:right w:val="nil"/>
            </w:tcBorders>
            <w:noWrap/>
            <w:vAlign w:val="bottom"/>
            <w:hideMark/>
          </w:tcPr>
          <w:p w14:paraId="034D6AC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3238</w:t>
            </w:r>
          </w:p>
        </w:tc>
        <w:tc>
          <w:tcPr>
            <w:tcW w:w="4962" w:type="dxa"/>
            <w:tcBorders>
              <w:top w:val="nil"/>
              <w:left w:val="nil"/>
              <w:bottom w:val="nil"/>
              <w:right w:val="nil"/>
            </w:tcBorders>
            <w:noWrap/>
            <w:vAlign w:val="bottom"/>
            <w:hideMark/>
          </w:tcPr>
          <w:p w14:paraId="4C0708D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Računalne usluge</w:t>
            </w:r>
          </w:p>
        </w:tc>
        <w:tc>
          <w:tcPr>
            <w:tcW w:w="1559" w:type="dxa"/>
            <w:tcBorders>
              <w:top w:val="nil"/>
              <w:left w:val="nil"/>
              <w:bottom w:val="nil"/>
              <w:right w:val="nil"/>
            </w:tcBorders>
            <w:noWrap/>
            <w:vAlign w:val="bottom"/>
            <w:hideMark/>
          </w:tcPr>
          <w:p w14:paraId="44EB4686"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0FD5D6C"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2F5AA6F"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7.906,43</w:t>
            </w:r>
          </w:p>
        </w:tc>
        <w:tc>
          <w:tcPr>
            <w:tcW w:w="993" w:type="dxa"/>
            <w:tcBorders>
              <w:top w:val="nil"/>
              <w:left w:val="nil"/>
              <w:bottom w:val="nil"/>
              <w:right w:val="nil"/>
            </w:tcBorders>
            <w:noWrap/>
            <w:vAlign w:val="bottom"/>
            <w:hideMark/>
          </w:tcPr>
          <w:p w14:paraId="059858FE"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F32F2C1" w14:textId="77777777" w:rsidTr="008A61B1">
        <w:trPr>
          <w:trHeight w:val="255"/>
        </w:trPr>
        <w:tc>
          <w:tcPr>
            <w:tcW w:w="1134" w:type="dxa"/>
            <w:tcBorders>
              <w:top w:val="nil"/>
              <w:left w:val="nil"/>
              <w:bottom w:val="nil"/>
              <w:right w:val="nil"/>
            </w:tcBorders>
            <w:noWrap/>
            <w:vAlign w:val="bottom"/>
            <w:hideMark/>
          </w:tcPr>
          <w:p w14:paraId="0A1072B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3239</w:t>
            </w:r>
          </w:p>
        </w:tc>
        <w:tc>
          <w:tcPr>
            <w:tcW w:w="4962" w:type="dxa"/>
            <w:tcBorders>
              <w:top w:val="nil"/>
              <w:left w:val="nil"/>
              <w:bottom w:val="nil"/>
              <w:right w:val="nil"/>
            </w:tcBorders>
            <w:noWrap/>
            <w:vAlign w:val="bottom"/>
            <w:hideMark/>
          </w:tcPr>
          <w:p w14:paraId="340D6B0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Ostale usluge</w:t>
            </w:r>
          </w:p>
        </w:tc>
        <w:tc>
          <w:tcPr>
            <w:tcW w:w="1559" w:type="dxa"/>
            <w:tcBorders>
              <w:top w:val="nil"/>
              <w:left w:val="nil"/>
              <w:bottom w:val="nil"/>
              <w:right w:val="nil"/>
            </w:tcBorders>
            <w:noWrap/>
            <w:vAlign w:val="bottom"/>
            <w:hideMark/>
          </w:tcPr>
          <w:p w14:paraId="01CF2317"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281EA66"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D09F1A5"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3.043,57</w:t>
            </w:r>
          </w:p>
        </w:tc>
        <w:tc>
          <w:tcPr>
            <w:tcW w:w="993" w:type="dxa"/>
            <w:tcBorders>
              <w:top w:val="nil"/>
              <w:left w:val="nil"/>
              <w:bottom w:val="nil"/>
              <w:right w:val="nil"/>
            </w:tcBorders>
            <w:noWrap/>
            <w:vAlign w:val="bottom"/>
            <w:hideMark/>
          </w:tcPr>
          <w:p w14:paraId="11882653"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DA6A43D" w14:textId="77777777" w:rsidTr="008A61B1">
        <w:trPr>
          <w:trHeight w:val="585"/>
        </w:trPr>
        <w:tc>
          <w:tcPr>
            <w:tcW w:w="1134" w:type="dxa"/>
            <w:tcBorders>
              <w:top w:val="nil"/>
              <w:left w:val="nil"/>
              <w:bottom w:val="nil"/>
              <w:right w:val="nil"/>
            </w:tcBorders>
            <w:noWrap/>
            <w:vAlign w:val="bottom"/>
            <w:hideMark/>
          </w:tcPr>
          <w:p w14:paraId="50979D3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3291</w:t>
            </w:r>
          </w:p>
        </w:tc>
        <w:tc>
          <w:tcPr>
            <w:tcW w:w="4962" w:type="dxa"/>
            <w:tcBorders>
              <w:top w:val="nil"/>
              <w:left w:val="nil"/>
              <w:bottom w:val="nil"/>
              <w:right w:val="nil"/>
            </w:tcBorders>
            <w:vAlign w:val="bottom"/>
            <w:hideMark/>
          </w:tcPr>
          <w:p w14:paraId="637755A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Naknade za rad predstavničkih i izvršnih tijela, povjerenstava i slično</w:t>
            </w:r>
          </w:p>
        </w:tc>
        <w:tc>
          <w:tcPr>
            <w:tcW w:w="1559" w:type="dxa"/>
            <w:tcBorders>
              <w:top w:val="nil"/>
              <w:left w:val="nil"/>
              <w:bottom w:val="nil"/>
              <w:right w:val="nil"/>
            </w:tcBorders>
            <w:noWrap/>
            <w:vAlign w:val="bottom"/>
            <w:hideMark/>
          </w:tcPr>
          <w:p w14:paraId="741D6EC9"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82FF8AD"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363CECD"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2.703,18</w:t>
            </w:r>
          </w:p>
        </w:tc>
        <w:tc>
          <w:tcPr>
            <w:tcW w:w="993" w:type="dxa"/>
            <w:tcBorders>
              <w:top w:val="nil"/>
              <w:left w:val="nil"/>
              <w:bottom w:val="nil"/>
              <w:right w:val="nil"/>
            </w:tcBorders>
            <w:noWrap/>
            <w:vAlign w:val="bottom"/>
            <w:hideMark/>
          </w:tcPr>
          <w:p w14:paraId="37017307"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3EE8597" w14:textId="77777777" w:rsidTr="008A61B1">
        <w:trPr>
          <w:trHeight w:val="255"/>
        </w:trPr>
        <w:tc>
          <w:tcPr>
            <w:tcW w:w="1134" w:type="dxa"/>
            <w:tcBorders>
              <w:top w:val="nil"/>
              <w:left w:val="nil"/>
              <w:bottom w:val="nil"/>
              <w:right w:val="nil"/>
            </w:tcBorders>
            <w:noWrap/>
            <w:vAlign w:val="bottom"/>
            <w:hideMark/>
          </w:tcPr>
          <w:p w14:paraId="0CF7AA0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3292</w:t>
            </w:r>
          </w:p>
        </w:tc>
        <w:tc>
          <w:tcPr>
            <w:tcW w:w="4962" w:type="dxa"/>
            <w:tcBorders>
              <w:top w:val="nil"/>
              <w:left w:val="nil"/>
              <w:bottom w:val="nil"/>
              <w:right w:val="nil"/>
            </w:tcBorders>
            <w:noWrap/>
            <w:vAlign w:val="bottom"/>
            <w:hideMark/>
          </w:tcPr>
          <w:p w14:paraId="1443922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Premije osiguranja</w:t>
            </w:r>
          </w:p>
        </w:tc>
        <w:tc>
          <w:tcPr>
            <w:tcW w:w="1559" w:type="dxa"/>
            <w:tcBorders>
              <w:top w:val="nil"/>
              <w:left w:val="nil"/>
              <w:bottom w:val="nil"/>
              <w:right w:val="nil"/>
            </w:tcBorders>
            <w:noWrap/>
            <w:vAlign w:val="bottom"/>
            <w:hideMark/>
          </w:tcPr>
          <w:p w14:paraId="7F4AF5C6"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9C3A6AF"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1DE8E38"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1.928,55</w:t>
            </w:r>
          </w:p>
        </w:tc>
        <w:tc>
          <w:tcPr>
            <w:tcW w:w="993" w:type="dxa"/>
            <w:tcBorders>
              <w:top w:val="nil"/>
              <w:left w:val="nil"/>
              <w:bottom w:val="nil"/>
              <w:right w:val="nil"/>
            </w:tcBorders>
            <w:noWrap/>
            <w:vAlign w:val="bottom"/>
            <w:hideMark/>
          </w:tcPr>
          <w:p w14:paraId="3202E3EB"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6655F88" w14:textId="77777777" w:rsidTr="008A61B1">
        <w:trPr>
          <w:trHeight w:val="255"/>
        </w:trPr>
        <w:tc>
          <w:tcPr>
            <w:tcW w:w="1134" w:type="dxa"/>
            <w:tcBorders>
              <w:top w:val="nil"/>
              <w:left w:val="nil"/>
              <w:bottom w:val="nil"/>
              <w:right w:val="nil"/>
            </w:tcBorders>
            <w:noWrap/>
            <w:vAlign w:val="bottom"/>
            <w:hideMark/>
          </w:tcPr>
          <w:p w14:paraId="6087B5D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3293</w:t>
            </w:r>
          </w:p>
        </w:tc>
        <w:tc>
          <w:tcPr>
            <w:tcW w:w="4962" w:type="dxa"/>
            <w:tcBorders>
              <w:top w:val="nil"/>
              <w:left w:val="nil"/>
              <w:bottom w:val="nil"/>
              <w:right w:val="nil"/>
            </w:tcBorders>
            <w:noWrap/>
            <w:vAlign w:val="bottom"/>
            <w:hideMark/>
          </w:tcPr>
          <w:p w14:paraId="5156E31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Reprezentacija</w:t>
            </w:r>
          </w:p>
        </w:tc>
        <w:tc>
          <w:tcPr>
            <w:tcW w:w="1559" w:type="dxa"/>
            <w:tcBorders>
              <w:top w:val="nil"/>
              <w:left w:val="nil"/>
              <w:bottom w:val="nil"/>
              <w:right w:val="nil"/>
            </w:tcBorders>
            <w:noWrap/>
            <w:vAlign w:val="bottom"/>
            <w:hideMark/>
          </w:tcPr>
          <w:p w14:paraId="0D531D90"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8A1CADE"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1F09147"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530,12</w:t>
            </w:r>
          </w:p>
        </w:tc>
        <w:tc>
          <w:tcPr>
            <w:tcW w:w="993" w:type="dxa"/>
            <w:tcBorders>
              <w:top w:val="nil"/>
              <w:left w:val="nil"/>
              <w:bottom w:val="nil"/>
              <w:right w:val="nil"/>
            </w:tcBorders>
            <w:noWrap/>
            <w:vAlign w:val="bottom"/>
            <w:hideMark/>
          </w:tcPr>
          <w:p w14:paraId="0501F01E"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4A2B283" w14:textId="77777777" w:rsidTr="008A61B1">
        <w:trPr>
          <w:trHeight w:val="255"/>
        </w:trPr>
        <w:tc>
          <w:tcPr>
            <w:tcW w:w="1134" w:type="dxa"/>
            <w:tcBorders>
              <w:top w:val="nil"/>
              <w:left w:val="nil"/>
              <w:bottom w:val="nil"/>
              <w:right w:val="nil"/>
            </w:tcBorders>
            <w:noWrap/>
            <w:vAlign w:val="bottom"/>
            <w:hideMark/>
          </w:tcPr>
          <w:p w14:paraId="6A0EAA7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3295</w:t>
            </w:r>
          </w:p>
        </w:tc>
        <w:tc>
          <w:tcPr>
            <w:tcW w:w="4962" w:type="dxa"/>
            <w:tcBorders>
              <w:top w:val="nil"/>
              <w:left w:val="nil"/>
              <w:bottom w:val="nil"/>
              <w:right w:val="nil"/>
            </w:tcBorders>
            <w:noWrap/>
            <w:vAlign w:val="bottom"/>
            <w:hideMark/>
          </w:tcPr>
          <w:p w14:paraId="4FAE0EB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Pristojbe i naknade</w:t>
            </w:r>
          </w:p>
        </w:tc>
        <w:tc>
          <w:tcPr>
            <w:tcW w:w="1559" w:type="dxa"/>
            <w:tcBorders>
              <w:top w:val="nil"/>
              <w:left w:val="nil"/>
              <w:bottom w:val="nil"/>
              <w:right w:val="nil"/>
            </w:tcBorders>
            <w:noWrap/>
            <w:vAlign w:val="bottom"/>
            <w:hideMark/>
          </w:tcPr>
          <w:p w14:paraId="63765B04"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E8E8391"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C5A26B8"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146,84</w:t>
            </w:r>
          </w:p>
        </w:tc>
        <w:tc>
          <w:tcPr>
            <w:tcW w:w="993" w:type="dxa"/>
            <w:tcBorders>
              <w:top w:val="nil"/>
              <w:left w:val="nil"/>
              <w:bottom w:val="nil"/>
              <w:right w:val="nil"/>
            </w:tcBorders>
            <w:noWrap/>
            <w:vAlign w:val="bottom"/>
            <w:hideMark/>
          </w:tcPr>
          <w:p w14:paraId="398C40E7"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01A21C5" w14:textId="77777777" w:rsidTr="008A61B1">
        <w:trPr>
          <w:trHeight w:val="255"/>
        </w:trPr>
        <w:tc>
          <w:tcPr>
            <w:tcW w:w="1134" w:type="dxa"/>
            <w:tcBorders>
              <w:top w:val="nil"/>
              <w:left w:val="nil"/>
              <w:bottom w:val="nil"/>
              <w:right w:val="nil"/>
            </w:tcBorders>
            <w:noWrap/>
            <w:vAlign w:val="bottom"/>
            <w:hideMark/>
          </w:tcPr>
          <w:p w14:paraId="00A7283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3299</w:t>
            </w:r>
          </w:p>
        </w:tc>
        <w:tc>
          <w:tcPr>
            <w:tcW w:w="4962" w:type="dxa"/>
            <w:tcBorders>
              <w:top w:val="nil"/>
              <w:left w:val="nil"/>
              <w:bottom w:val="nil"/>
              <w:right w:val="nil"/>
            </w:tcBorders>
            <w:noWrap/>
            <w:vAlign w:val="bottom"/>
            <w:hideMark/>
          </w:tcPr>
          <w:p w14:paraId="27BE19D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nespomenuti rashodi poslovanja</w:t>
            </w:r>
          </w:p>
        </w:tc>
        <w:tc>
          <w:tcPr>
            <w:tcW w:w="1559" w:type="dxa"/>
            <w:tcBorders>
              <w:top w:val="nil"/>
              <w:left w:val="nil"/>
              <w:bottom w:val="nil"/>
              <w:right w:val="nil"/>
            </w:tcBorders>
            <w:noWrap/>
            <w:vAlign w:val="bottom"/>
            <w:hideMark/>
          </w:tcPr>
          <w:p w14:paraId="42F27432"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A6089C0"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4917C58"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471,38</w:t>
            </w:r>
          </w:p>
        </w:tc>
        <w:tc>
          <w:tcPr>
            <w:tcW w:w="993" w:type="dxa"/>
            <w:tcBorders>
              <w:top w:val="nil"/>
              <w:left w:val="nil"/>
              <w:bottom w:val="nil"/>
              <w:right w:val="nil"/>
            </w:tcBorders>
            <w:noWrap/>
            <w:vAlign w:val="bottom"/>
            <w:hideMark/>
          </w:tcPr>
          <w:p w14:paraId="2C5BFD88"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6BF4D1C" w14:textId="77777777" w:rsidTr="008A61B1">
        <w:trPr>
          <w:trHeight w:val="255"/>
        </w:trPr>
        <w:tc>
          <w:tcPr>
            <w:tcW w:w="1134" w:type="dxa"/>
            <w:tcBorders>
              <w:top w:val="nil"/>
              <w:left w:val="nil"/>
              <w:bottom w:val="nil"/>
              <w:right w:val="nil"/>
            </w:tcBorders>
            <w:noWrap/>
            <w:vAlign w:val="bottom"/>
            <w:hideMark/>
          </w:tcPr>
          <w:p w14:paraId="658E7AD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34</w:t>
            </w:r>
          </w:p>
        </w:tc>
        <w:tc>
          <w:tcPr>
            <w:tcW w:w="4962" w:type="dxa"/>
            <w:tcBorders>
              <w:top w:val="nil"/>
              <w:left w:val="nil"/>
              <w:bottom w:val="nil"/>
              <w:right w:val="nil"/>
            </w:tcBorders>
            <w:noWrap/>
            <w:vAlign w:val="bottom"/>
            <w:hideMark/>
          </w:tcPr>
          <w:p w14:paraId="260ADEF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Financijski rashodi</w:t>
            </w:r>
          </w:p>
        </w:tc>
        <w:tc>
          <w:tcPr>
            <w:tcW w:w="1559" w:type="dxa"/>
            <w:tcBorders>
              <w:top w:val="nil"/>
              <w:left w:val="nil"/>
              <w:bottom w:val="nil"/>
              <w:right w:val="nil"/>
            </w:tcBorders>
            <w:noWrap/>
            <w:vAlign w:val="bottom"/>
            <w:hideMark/>
          </w:tcPr>
          <w:p w14:paraId="0A17D22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2.100,00</w:t>
            </w:r>
          </w:p>
        </w:tc>
        <w:tc>
          <w:tcPr>
            <w:tcW w:w="1559" w:type="dxa"/>
            <w:tcBorders>
              <w:top w:val="nil"/>
              <w:left w:val="nil"/>
              <w:bottom w:val="nil"/>
              <w:right w:val="nil"/>
            </w:tcBorders>
            <w:noWrap/>
            <w:vAlign w:val="bottom"/>
            <w:hideMark/>
          </w:tcPr>
          <w:p w14:paraId="4EE57BF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2.100,00</w:t>
            </w:r>
          </w:p>
        </w:tc>
        <w:tc>
          <w:tcPr>
            <w:tcW w:w="1559" w:type="dxa"/>
            <w:tcBorders>
              <w:top w:val="nil"/>
              <w:left w:val="nil"/>
              <w:bottom w:val="nil"/>
              <w:right w:val="nil"/>
            </w:tcBorders>
            <w:noWrap/>
            <w:vAlign w:val="bottom"/>
            <w:hideMark/>
          </w:tcPr>
          <w:p w14:paraId="54D1276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1.913,19</w:t>
            </w:r>
          </w:p>
        </w:tc>
        <w:tc>
          <w:tcPr>
            <w:tcW w:w="993" w:type="dxa"/>
            <w:tcBorders>
              <w:top w:val="nil"/>
              <w:left w:val="nil"/>
              <w:bottom w:val="nil"/>
              <w:right w:val="nil"/>
            </w:tcBorders>
            <w:noWrap/>
            <w:vAlign w:val="bottom"/>
            <w:hideMark/>
          </w:tcPr>
          <w:p w14:paraId="76E1FD4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91,10%</w:t>
            </w:r>
          </w:p>
        </w:tc>
      </w:tr>
      <w:tr w:rsidR="006967F8" w:rsidRPr="006967F8" w14:paraId="5FA91E50" w14:textId="77777777" w:rsidTr="008A61B1">
        <w:trPr>
          <w:trHeight w:val="255"/>
        </w:trPr>
        <w:tc>
          <w:tcPr>
            <w:tcW w:w="1134" w:type="dxa"/>
            <w:tcBorders>
              <w:top w:val="nil"/>
              <w:left w:val="nil"/>
              <w:bottom w:val="nil"/>
              <w:right w:val="nil"/>
            </w:tcBorders>
            <w:noWrap/>
            <w:vAlign w:val="bottom"/>
            <w:hideMark/>
          </w:tcPr>
          <w:p w14:paraId="03FE18C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3431</w:t>
            </w:r>
          </w:p>
        </w:tc>
        <w:tc>
          <w:tcPr>
            <w:tcW w:w="4962" w:type="dxa"/>
            <w:tcBorders>
              <w:top w:val="nil"/>
              <w:left w:val="nil"/>
              <w:bottom w:val="nil"/>
              <w:right w:val="nil"/>
            </w:tcBorders>
            <w:noWrap/>
            <w:vAlign w:val="bottom"/>
            <w:hideMark/>
          </w:tcPr>
          <w:p w14:paraId="4609F39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Bankarske usluge i usluge platnog prometa</w:t>
            </w:r>
          </w:p>
        </w:tc>
        <w:tc>
          <w:tcPr>
            <w:tcW w:w="1559" w:type="dxa"/>
            <w:tcBorders>
              <w:top w:val="nil"/>
              <w:left w:val="nil"/>
              <w:bottom w:val="nil"/>
              <w:right w:val="nil"/>
            </w:tcBorders>
            <w:noWrap/>
            <w:vAlign w:val="bottom"/>
            <w:hideMark/>
          </w:tcPr>
          <w:p w14:paraId="06D3E65E"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A396231"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678B490"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1.913,19</w:t>
            </w:r>
          </w:p>
        </w:tc>
        <w:tc>
          <w:tcPr>
            <w:tcW w:w="993" w:type="dxa"/>
            <w:tcBorders>
              <w:top w:val="nil"/>
              <w:left w:val="nil"/>
              <w:bottom w:val="nil"/>
              <w:right w:val="nil"/>
            </w:tcBorders>
            <w:noWrap/>
            <w:vAlign w:val="bottom"/>
            <w:hideMark/>
          </w:tcPr>
          <w:p w14:paraId="6FB3CC14"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AB76DD4" w14:textId="77777777" w:rsidTr="008A61B1">
        <w:trPr>
          <w:trHeight w:val="255"/>
        </w:trPr>
        <w:tc>
          <w:tcPr>
            <w:tcW w:w="1134" w:type="dxa"/>
            <w:tcBorders>
              <w:top w:val="nil"/>
              <w:left w:val="nil"/>
              <w:bottom w:val="nil"/>
              <w:right w:val="nil"/>
            </w:tcBorders>
            <w:noWrap/>
            <w:vAlign w:val="bottom"/>
            <w:hideMark/>
          </w:tcPr>
          <w:p w14:paraId="75FCD76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3434</w:t>
            </w:r>
          </w:p>
        </w:tc>
        <w:tc>
          <w:tcPr>
            <w:tcW w:w="4962" w:type="dxa"/>
            <w:tcBorders>
              <w:top w:val="nil"/>
              <w:left w:val="nil"/>
              <w:bottom w:val="nil"/>
              <w:right w:val="nil"/>
            </w:tcBorders>
            <w:noWrap/>
            <w:vAlign w:val="bottom"/>
            <w:hideMark/>
          </w:tcPr>
          <w:p w14:paraId="7FE14DC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 xml:space="preserve">Ostali nespomenuti financijski rashodi </w:t>
            </w:r>
          </w:p>
        </w:tc>
        <w:tc>
          <w:tcPr>
            <w:tcW w:w="1559" w:type="dxa"/>
            <w:tcBorders>
              <w:top w:val="nil"/>
              <w:left w:val="nil"/>
              <w:bottom w:val="nil"/>
              <w:right w:val="nil"/>
            </w:tcBorders>
            <w:noWrap/>
            <w:vAlign w:val="bottom"/>
            <w:hideMark/>
          </w:tcPr>
          <w:p w14:paraId="0172D68B"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D9D4BF8"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67828CA"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0,00</w:t>
            </w:r>
          </w:p>
        </w:tc>
        <w:tc>
          <w:tcPr>
            <w:tcW w:w="993" w:type="dxa"/>
            <w:tcBorders>
              <w:top w:val="nil"/>
              <w:left w:val="nil"/>
              <w:bottom w:val="nil"/>
              <w:right w:val="nil"/>
            </w:tcBorders>
            <w:noWrap/>
            <w:vAlign w:val="bottom"/>
            <w:hideMark/>
          </w:tcPr>
          <w:p w14:paraId="4AC1752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49D935A" w14:textId="77777777" w:rsidTr="008A61B1">
        <w:trPr>
          <w:trHeight w:val="570"/>
        </w:trPr>
        <w:tc>
          <w:tcPr>
            <w:tcW w:w="1134" w:type="dxa"/>
            <w:tcBorders>
              <w:top w:val="nil"/>
              <w:left w:val="nil"/>
              <w:bottom w:val="nil"/>
              <w:right w:val="nil"/>
            </w:tcBorders>
            <w:noWrap/>
            <w:vAlign w:val="bottom"/>
            <w:hideMark/>
          </w:tcPr>
          <w:p w14:paraId="69FD69A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39CC283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6830281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12.500,00</w:t>
            </w:r>
          </w:p>
        </w:tc>
        <w:tc>
          <w:tcPr>
            <w:tcW w:w="1559" w:type="dxa"/>
            <w:tcBorders>
              <w:top w:val="nil"/>
              <w:left w:val="nil"/>
              <w:bottom w:val="nil"/>
              <w:right w:val="nil"/>
            </w:tcBorders>
            <w:noWrap/>
            <w:vAlign w:val="bottom"/>
            <w:hideMark/>
          </w:tcPr>
          <w:p w14:paraId="1A7FC1B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12.500,00</w:t>
            </w:r>
          </w:p>
        </w:tc>
        <w:tc>
          <w:tcPr>
            <w:tcW w:w="1559" w:type="dxa"/>
            <w:tcBorders>
              <w:top w:val="nil"/>
              <w:left w:val="nil"/>
              <w:bottom w:val="nil"/>
              <w:right w:val="nil"/>
            </w:tcBorders>
            <w:noWrap/>
            <w:vAlign w:val="bottom"/>
            <w:hideMark/>
          </w:tcPr>
          <w:p w14:paraId="323779E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8.854,68</w:t>
            </w:r>
          </w:p>
        </w:tc>
        <w:tc>
          <w:tcPr>
            <w:tcW w:w="993" w:type="dxa"/>
            <w:tcBorders>
              <w:top w:val="nil"/>
              <w:left w:val="nil"/>
              <w:bottom w:val="nil"/>
              <w:right w:val="nil"/>
            </w:tcBorders>
            <w:noWrap/>
            <w:vAlign w:val="bottom"/>
            <w:hideMark/>
          </w:tcPr>
          <w:p w14:paraId="154B4B8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70,84%</w:t>
            </w:r>
          </w:p>
        </w:tc>
      </w:tr>
      <w:tr w:rsidR="006967F8" w:rsidRPr="006967F8" w14:paraId="352AA8E8" w14:textId="77777777" w:rsidTr="008A61B1">
        <w:trPr>
          <w:trHeight w:val="255"/>
        </w:trPr>
        <w:tc>
          <w:tcPr>
            <w:tcW w:w="1134" w:type="dxa"/>
            <w:tcBorders>
              <w:top w:val="nil"/>
              <w:left w:val="nil"/>
              <w:bottom w:val="nil"/>
              <w:right w:val="nil"/>
            </w:tcBorders>
            <w:noWrap/>
            <w:vAlign w:val="bottom"/>
            <w:hideMark/>
          </w:tcPr>
          <w:p w14:paraId="2C2A893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4221</w:t>
            </w:r>
          </w:p>
        </w:tc>
        <w:tc>
          <w:tcPr>
            <w:tcW w:w="4962" w:type="dxa"/>
            <w:tcBorders>
              <w:top w:val="nil"/>
              <w:left w:val="nil"/>
              <w:bottom w:val="nil"/>
              <w:right w:val="nil"/>
            </w:tcBorders>
            <w:noWrap/>
            <w:vAlign w:val="bottom"/>
            <w:hideMark/>
          </w:tcPr>
          <w:p w14:paraId="76DF9CB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Uredska oprema i namještaj</w:t>
            </w:r>
          </w:p>
        </w:tc>
        <w:tc>
          <w:tcPr>
            <w:tcW w:w="1559" w:type="dxa"/>
            <w:tcBorders>
              <w:top w:val="nil"/>
              <w:left w:val="nil"/>
              <w:bottom w:val="nil"/>
              <w:right w:val="nil"/>
            </w:tcBorders>
            <w:noWrap/>
            <w:vAlign w:val="bottom"/>
            <w:hideMark/>
          </w:tcPr>
          <w:p w14:paraId="7B8BCAC1"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CEE49D2"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C92D2EF"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650,00</w:t>
            </w:r>
          </w:p>
        </w:tc>
        <w:tc>
          <w:tcPr>
            <w:tcW w:w="993" w:type="dxa"/>
            <w:tcBorders>
              <w:top w:val="nil"/>
              <w:left w:val="nil"/>
              <w:bottom w:val="nil"/>
              <w:right w:val="nil"/>
            </w:tcBorders>
            <w:noWrap/>
            <w:vAlign w:val="bottom"/>
            <w:hideMark/>
          </w:tcPr>
          <w:p w14:paraId="47B2E5E7"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9A33D3D" w14:textId="77777777" w:rsidTr="008A61B1">
        <w:trPr>
          <w:trHeight w:val="255"/>
        </w:trPr>
        <w:tc>
          <w:tcPr>
            <w:tcW w:w="1134" w:type="dxa"/>
            <w:tcBorders>
              <w:top w:val="nil"/>
              <w:left w:val="nil"/>
              <w:bottom w:val="nil"/>
              <w:right w:val="nil"/>
            </w:tcBorders>
            <w:noWrap/>
            <w:vAlign w:val="bottom"/>
            <w:hideMark/>
          </w:tcPr>
          <w:p w14:paraId="409EABE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4223</w:t>
            </w:r>
          </w:p>
        </w:tc>
        <w:tc>
          <w:tcPr>
            <w:tcW w:w="4962" w:type="dxa"/>
            <w:tcBorders>
              <w:top w:val="nil"/>
              <w:left w:val="nil"/>
              <w:bottom w:val="nil"/>
              <w:right w:val="nil"/>
            </w:tcBorders>
            <w:noWrap/>
            <w:vAlign w:val="bottom"/>
            <w:hideMark/>
          </w:tcPr>
          <w:p w14:paraId="22351AF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 xml:space="preserve">Oprema za održavanje i zaštitu </w:t>
            </w:r>
          </w:p>
        </w:tc>
        <w:tc>
          <w:tcPr>
            <w:tcW w:w="1559" w:type="dxa"/>
            <w:tcBorders>
              <w:top w:val="nil"/>
              <w:left w:val="nil"/>
              <w:bottom w:val="nil"/>
              <w:right w:val="nil"/>
            </w:tcBorders>
            <w:noWrap/>
            <w:vAlign w:val="bottom"/>
            <w:hideMark/>
          </w:tcPr>
          <w:p w14:paraId="6A58B7CB"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88FD1D1"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0712E6B"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0,00</w:t>
            </w:r>
          </w:p>
        </w:tc>
        <w:tc>
          <w:tcPr>
            <w:tcW w:w="993" w:type="dxa"/>
            <w:tcBorders>
              <w:top w:val="nil"/>
              <w:left w:val="nil"/>
              <w:bottom w:val="nil"/>
              <w:right w:val="nil"/>
            </w:tcBorders>
            <w:noWrap/>
            <w:vAlign w:val="bottom"/>
            <w:hideMark/>
          </w:tcPr>
          <w:p w14:paraId="410EA380"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9A94EB2" w14:textId="77777777" w:rsidTr="008A61B1">
        <w:trPr>
          <w:trHeight w:val="255"/>
        </w:trPr>
        <w:tc>
          <w:tcPr>
            <w:tcW w:w="1134" w:type="dxa"/>
            <w:tcBorders>
              <w:top w:val="nil"/>
              <w:left w:val="nil"/>
              <w:bottom w:val="nil"/>
              <w:right w:val="nil"/>
            </w:tcBorders>
            <w:noWrap/>
            <w:vAlign w:val="bottom"/>
            <w:hideMark/>
          </w:tcPr>
          <w:p w14:paraId="367141E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4227</w:t>
            </w:r>
          </w:p>
        </w:tc>
        <w:tc>
          <w:tcPr>
            <w:tcW w:w="4962" w:type="dxa"/>
            <w:tcBorders>
              <w:top w:val="nil"/>
              <w:left w:val="nil"/>
              <w:bottom w:val="nil"/>
              <w:right w:val="nil"/>
            </w:tcBorders>
            <w:noWrap/>
            <w:vAlign w:val="bottom"/>
            <w:hideMark/>
          </w:tcPr>
          <w:p w14:paraId="31F9EE3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Uređaji, strojevi i oprema za ostale namjene</w:t>
            </w:r>
          </w:p>
        </w:tc>
        <w:tc>
          <w:tcPr>
            <w:tcW w:w="1559" w:type="dxa"/>
            <w:tcBorders>
              <w:top w:val="nil"/>
              <w:left w:val="nil"/>
              <w:bottom w:val="nil"/>
              <w:right w:val="nil"/>
            </w:tcBorders>
            <w:noWrap/>
            <w:vAlign w:val="bottom"/>
            <w:hideMark/>
          </w:tcPr>
          <w:p w14:paraId="5C35AA9F"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1DF7765"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4F42B2B"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8.204,68</w:t>
            </w:r>
          </w:p>
        </w:tc>
        <w:tc>
          <w:tcPr>
            <w:tcW w:w="993" w:type="dxa"/>
            <w:tcBorders>
              <w:top w:val="nil"/>
              <w:left w:val="nil"/>
              <w:bottom w:val="nil"/>
              <w:right w:val="nil"/>
            </w:tcBorders>
            <w:noWrap/>
            <w:vAlign w:val="bottom"/>
            <w:hideMark/>
          </w:tcPr>
          <w:p w14:paraId="6628E36A"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37CF4B7"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F3CDFCC"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5D628CD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10.000,00</w:t>
            </w:r>
          </w:p>
        </w:tc>
        <w:tc>
          <w:tcPr>
            <w:tcW w:w="1559" w:type="dxa"/>
            <w:tcBorders>
              <w:top w:val="nil"/>
              <w:left w:val="nil"/>
              <w:bottom w:val="nil"/>
              <w:right w:val="nil"/>
            </w:tcBorders>
            <w:shd w:val="clear" w:color="000000" w:fill="CCCCFF"/>
            <w:noWrap/>
            <w:vAlign w:val="bottom"/>
            <w:hideMark/>
          </w:tcPr>
          <w:p w14:paraId="28C21E8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10.000,00</w:t>
            </w:r>
          </w:p>
        </w:tc>
        <w:tc>
          <w:tcPr>
            <w:tcW w:w="1559" w:type="dxa"/>
            <w:tcBorders>
              <w:top w:val="nil"/>
              <w:left w:val="nil"/>
              <w:bottom w:val="nil"/>
              <w:right w:val="nil"/>
            </w:tcBorders>
            <w:shd w:val="clear" w:color="000000" w:fill="CCCCFF"/>
            <w:noWrap/>
            <w:vAlign w:val="bottom"/>
            <w:hideMark/>
          </w:tcPr>
          <w:p w14:paraId="3A18DAC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9.527,33</w:t>
            </w:r>
          </w:p>
        </w:tc>
        <w:tc>
          <w:tcPr>
            <w:tcW w:w="993" w:type="dxa"/>
            <w:tcBorders>
              <w:top w:val="nil"/>
              <w:left w:val="nil"/>
              <w:bottom w:val="nil"/>
              <w:right w:val="nil"/>
            </w:tcBorders>
            <w:shd w:val="clear" w:color="000000" w:fill="CCCCFF"/>
            <w:noWrap/>
            <w:vAlign w:val="bottom"/>
            <w:hideMark/>
          </w:tcPr>
          <w:p w14:paraId="668E130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95,27%</w:t>
            </w:r>
          </w:p>
        </w:tc>
      </w:tr>
      <w:tr w:rsidR="006967F8" w:rsidRPr="006967F8" w14:paraId="7288730E"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BC51661"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5.5. Ostale pomoći  proračunskih korisnika</w:t>
            </w:r>
          </w:p>
        </w:tc>
        <w:tc>
          <w:tcPr>
            <w:tcW w:w="1559" w:type="dxa"/>
            <w:tcBorders>
              <w:top w:val="nil"/>
              <w:left w:val="nil"/>
              <w:bottom w:val="nil"/>
              <w:right w:val="nil"/>
            </w:tcBorders>
            <w:shd w:val="clear" w:color="000000" w:fill="CCCCFF"/>
            <w:noWrap/>
            <w:vAlign w:val="bottom"/>
            <w:hideMark/>
          </w:tcPr>
          <w:p w14:paraId="72F8517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10.000,00</w:t>
            </w:r>
          </w:p>
        </w:tc>
        <w:tc>
          <w:tcPr>
            <w:tcW w:w="1559" w:type="dxa"/>
            <w:tcBorders>
              <w:top w:val="nil"/>
              <w:left w:val="nil"/>
              <w:bottom w:val="nil"/>
              <w:right w:val="nil"/>
            </w:tcBorders>
            <w:shd w:val="clear" w:color="000000" w:fill="CCCCFF"/>
            <w:noWrap/>
            <w:vAlign w:val="bottom"/>
            <w:hideMark/>
          </w:tcPr>
          <w:p w14:paraId="3B5B28D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10.000,00</w:t>
            </w:r>
          </w:p>
        </w:tc>
        <w:tc>
          <w:tcPr>
            <w:tcW w:w="1559" w:type="dxa"/>
            <w:tcBorders>
              <w:top w:val="nil"/>
              <w:left w:val="nil"/>
              <w:bottom w:val="nil"/>
              <w:right w:val="nil"/>
            </w:tcBorders>
            <w:shd w:val="clear" w:color="000000" w:fill="CCCCFF"/>
            <w:noWrap/>
            <w:vAlign w:val="bottom"/>
            <w:hideMark/>
          </w:tcPr>
          <w:p w14:paraId="333A807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9.527,33</w:t>
            </w:r>
          </w:p>
        </w:tc>
        <w:tc>
          <w:tcPr>
            <w:tcW w:w="993" w:type="dxa"/>
            <w:tcBorders>
              <w:top w:val="nil"/>
              <w:left w:val="nil"/>
              <w:bottom w:val="nil"/>
              <w:right w:val="nil"/>
            </w:tcBorders>
            <w:shd w:val="clear" w:color="000000" w:fill="CCCCFF"/>
            <w:noWrap/>
            <w:vAlign w:val="bottom"/>
            <w:hideMark/>
          </w:tcPr>
          <w:p w14:paraId="665F568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95,27%</w:t>
            </w:r>
          </w:p>
        </w:tc>
      </w:tr>
      <w:tr w:rsidR="006967F8" w:rsidRPr="006967F8" w14:paraId="58BE7591" w14:textId="77777777" w:rsidTr="008A61B1">
        <w:trPr>
          <w:trHeight w:val="255"/>
        </w:trPr>
        <w:tc>
          <w:tcPr>
            <w:tcW w:w="1134" w:type="dxa"/>
            <w:tcBorders>
              <w:top w:val="nil"/>
              <w:left w:val="nil"/>
              <w:bottom w:val="nil"/>
              <w:right w:val="nil"/>
            </w:tcBorders>
            <w:noWrap/>
            <w:vAlign w:val="bottom"/>
            <w:hideMark/>
          </w:tcPr>
          <w:p w14:paraId="77B2C86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20BE51D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405555E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noWrap/>
            <w:vAlign w:val="bottom"/>
            <w:hideMark/>
          </w:tcPr>
          <w:p w14:paraId="24CE5C3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noWrap/>
            <w:vAlign w:val="bottom"/>
            <w:hideMark/>
          </w:tcPr>
          <w:p w14:paraId="1BB53C4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9.527,33</w:t>
            </w:r>
          </w:p>
        </w:tc>
        <w:tc>
          <w:tcPr>
            <w:tcW w:w="993" w:type="dxa"/>
            <w:tcBorders>
              <w:top w:val="nil"/>
              <w:left w:val="nil"/>
              <w:bottom w:val="nil"/>
              <w:right w:val="nil"/>
            </w:tcBorders>
            <w:noWrap/>
            <w:vAlign w:val="bottom"/>
            <w:hideMark/>
          </w:tcPr>
          <w:p w14:paraId="12D6E29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95,27%</w:t>
            </w:r>
          </w:p>
        </w:tc>
      </w:tr>
      <w:tr w:rsidR="006967F8" w:rsidRPr="006967F8" w14:paraId="08E5DCAE" w14:textId="77777777" w:rsidTr="008A61B1">
        <w:trPr>
          <w:trHeight w:val="255"/>
        </w:trPr>
        <w:tc>
          <w:tcPr>
            <w:tcW w:w="1134" w:type="dxa"/>
            <w:tcBorders>
              <w:top w:val="nil"/>
              <w:left w:val="nil"/>
              <w:bottom w:val="nil"/>
              <w:right w:val="nil"/>
            </w:tcBorders>
            <w:noWrap/>
            <w:vAlign w:val="bottom"/>
            <w:hideMark/>
          </w:tcPr>
          <w:p w14:paraId="1DB131E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3222</w:t>
            </w:r>
          </w:p>
        </w:tc>
        <w:tc>
          <w:tcPr>
            <w:tcW w:w="4962" w:type="dxa"/>
            <w:tcBorders>
              <w:top w:val="nil"/>
              <w:left w:val="nil"/>
              <w:bottom w:val="nil"/>
              <w:right w:val="nil"/>
            </w:tcBorders>
            <w:noWrap/>
            <w:vAlign w:val="bottom"/>
            <w:hideMark/>
          </w:tcPr>
          <w:p w14:paraId="31D4A99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Materijal i sirovine</w:t>
            </w:r>
          </w:p>
        </w:tc>
        <w:tc>
          <w:tcPr>
            <w:tcW w:w="1559" w:type="dxa"/>
            <w:tcBorders>
              <w:top w:val="nil"/>
              <w:left w:val="nil"/>
              <w:bottom w:val="nil"/>
              <w:right w:val="nil"/>
            </w:tcBorders>
            <w:noWrap/>
            <w:vAlign w:val="bottom"/>
            <w:hideMark/>
          </w:tcPr>
          <w:p w14:paraId="467BAA13"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1388408"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02DD450"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1.527,33</w:t>
            </w:r>
          </w:p>
        </w:tc>
        <w:tc>
          <w:tcPr>
            <w:tcW w:w="993" w:type="dxa"/>
            <w:tcBorders>
              <w:top w:val="nil"/>
              <w:left w:val="nil"/>
              <w:bottom w:val="nil"/>
              <w:right w:val="nil"/>
            </w:tcBorders>
            <w:noWrap/>
            <w:vAlign w:val="bottom"/>
            <w:hideMark/>
          </w:tcPr>
          <w:p w14:paraId="3936DDC0"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09822C1" w14:textId="77777777" w:rsidTr="008A61B1">
        <w:trPr>
          <w:trHeight w:val="255"/>
        </w:trPr>
        <w:tc>
          <w:tcPr>
            <w:tcW w:w="1134" w:type="dxa"/>
            <w:tcBorders>
              <w:top w:val="nil"/>
              <w:left w:val="nil"/>
              <w:bottom w:val="nil"/>
              <w:right w:val="nil"/>
            </w:tcBorders>
            <w:noWrap/>
            <w:vAlign w:val="bottom"/>
            <w:hideMark/>
          </w:tcPr>
          <w:p w14:paraId="754FAF1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3232</w:t>
            </w:r>
          </w:p>
        </w:tc>
        <w:tc>
          <w:tcPr>
            <w:tcW w:w="4962" w:type="dxa"/>
            <w:tcBorders>
              <w:top w:val="nil"/>
              <w:left w:val="nil"/>
              <w:bottom w:val="nil"/>
              <w:right w:val="nil"/>
            </w:tcBorders>
            <w:noWrap/>
            <w:vAlign w:val="bottom"/>
            <w:hideMark/>
          </w:tcPr>
          <w:p w14:paraId="0CFCE1D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noWrap/>
            <w:vAlign w:val="bottom"/>
            <w:hideMark/>
          </w:tcPr>
          <w:p w14:paraId="5C6FEE75"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D1BEF0C"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3AE7274"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8.000,00</w:t>
            </w:r>
          </w:p>
        </w:tc>
        <w:tc>
          <w:tcPr>
            <w:tcW w:w="993" w:type="dxa"/>
            <w:tcBorders>
              <w:top w:val="nil"/>
              <w:left w:val="nil"/>
              <w:bottom w:val="nil"/>
              <w:right w:val="nil"/>
            </w:tcBorders>
            <w:noWrap/>
            <w:vAlign w:val="bottom"/>
            <w:hideMark/>
          </w:tcPr>
          <w:p w14:paraId="1669B6D7"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15BEA70" w14:textId="77777777" w:rsidTr="008A61B1">
        <w:trPr>
          <w:trHeight w:val="600"/>
        </w:trPr>
        <w:tc>
          <w:tcPr>
            <w:tcW w:w="6096" w:type="dxa"/>
            <w:gridSpan w:val="2"/>
            <w:tcBorders>
              <w:top w:val="nil"/>
              <w:left w:val="nil"/>
              <w:bottom w:val="nil"/>
              <w:right w:val="nil"/>
            </w:tcBorders>
            <w:shd w:val="clear" w:color="000000" w:fill="FFFF99"/>
            <w:vAlign w:val="bottom"/>
            <w:hideMark/>
          </w:tcPr>
          <w:p w14:paraId="177A3F5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A100042 Aktivnost: SUFIN. PROGRAMA DJECE PREDŠKOLSKE DOBI S TEŠKOĆAMA</w:t>
            </w:r>
          </w:p>
        </w:tc>
        <w:tc>
          <w:tcPr>
            <w:tcW w:w="1559" w:type="dxa"/>
            <w:tcBorders>
              <w:top w:val="nil"/>
              <w:left w:val="nil"/>
              <w:bottom w:val="nil"/>
              <w:right w:val="nil"/>
            </w:tcBorders>
            <w:shd w:val="clear" w:color="000000" w:fill="FFFF99"/>
            <w:noWrap/>
            <w:vAlign w:val="bottom"/>
            <w:hideMark/>
          </w:tcPr>
          <w:p w14:paraId="47DD0F4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shd w:val="clear" w:color="000000" w:fill="FFFF99"/>
            <w:noWrap/>
            <w:vAlign w:val="bottom"/>
            <w:hideMark/>
          </w:tcPr>
          <w:p w14:paraId="069FD76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shd w:val="clear" w:color="000000" w:fill="FFFF99"/>
            <w:noWrap/>
            <w:vAlign w:val="bottom"/>
            <w:hideMark/>
          </w:tcPr>
          <w:p w14:paraId="3D16941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9.517,00</w:t>
            </w:r>
          </w:p>
        </w:tc>
        <w:tc>
          <w:tcPr>
            <w:tcW w:w="993" w:type="dxa"/>
            <w:tcBorders>
              <w:top w:val="nil"/>
              <w:left w:val="nil"/>
              <w:bottom w:val="nil"/>
              <w:right w:val="nil"/>
            </w:tcBorders>
            <w:shd w:val="clear" w:color="000000" w:fill="FFFF99"/>
            <w:noWrap/>
            <w:vAlign w:val="bottom"/>
            <w:hideMark/>
          </w:tcPr>
          <w:p w14:paraId="263CB0E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47,59%</w:t>
            </w:r>
          </w:p>
        </w:tc>
      </w:tr>
      <w:tr w:rsidR="006967F8" w:rsidRPr="006967F8" w14:paraId="07D0C697"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E3D6D9B"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55A29F8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5ACE3F7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356611D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9.517,00</w:t>
            </w:r>
          </w:p>
        </w:tc>
        <w:tc>
          <w:tcPr>
            <w:tcW w:w="993" w:type="dxa"/>
            <w:tcBorders>
              <w:top w:val="nil"/>
              <w:left w:val="nil"/>
              <w:bottom w:val="nil"/>
              <w:right w:val="nil"/>
            </w:tcBorders>
            <w:shd w:val="clear" w:color="000000" w:fill="CCCCFF"/>
            <w:noWrap/>
            <w:vAlign w:val="bottom"/>
            <w:hideMark/>
          </w:tcPr>
          <w:p w14:paraId="27C691B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47,59%</w:t>
            </w:r>
          </w:p>
        </w:tc>
      </w:tr>
      <w:tr w:rsidR="006967F8" w:rsidRPr="006967F8" w14:paraId="6F290EC8"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F5F4FAA"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5.5. Ostale pomoći  proračunskih korisnika</w:t>
            </w:r>
          </w:p>
        </w:tc>
        <w:tc>
          <w:tcPr>
            <w:tcW w:w="1559" w:type="dxa"/>
            <w:tcBorders>
              <w:top w:val="nil"/>
              <w:left w:val="nil"/>
              <w:bottom w:val="nil"/>
              <w:right w:val="nil"/>
            </w:tcBorders>
            <w:shd w:val="clear" w:color="000000" w:fill="CCCCFF"/>
            <w:noWrap/>
            <w:vAlign w:val="bottom"/>
            <w:hideMark/>
          </w:tcPr>
          <w:p w14:paraId="3680318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6EF9032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61FAB35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9.517,00</w:t>
            </w:r>
          </w:p>
        </w:tc>
        <w:tc>
          <w:tcPr>
            <w:tcW w:w="993" w:type="dxa"/>
            <w:tcBorders>
              <w:top w:val="nil"/>
              <w:left w:val="nil"/>
              <w:bottom w:val="nil"/>
              <w:right w:val="nil"/>
            </w:tcBorders>
            <w:shd w:val="clear" w:color="000000" w:fill="CCCCFF"/>
            <w:noWrap/>
            <w:vAlign w:val="bottom"/>
            <w:hideMark/>
          </w:tcPr>
          <w:p w14:paraId="69BF68E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47,59%</w:t>
            </w:r>
          </w:p>
        </w:tc>
      </w:tr>
      <w:tr w:rsidR="006967F8" w:rsidRPr="006967F8" w14:paraId="417FE3C3" w14:textId="77777777" w:rsidTr="008A61B1">
        <w:trPr>
          <w:trHeight w:val="255"/>
        </w:trPr>
        <w:tc>
          <w:tcPr>
            <w:tcW w:w="1134" w:type="dxa"/>
            <w:tcBorders>
              <w:top w:val="nil"/>
              <w:left w:val="nil"/>
              <w:bottom w:val="nil"/>
              <w:right w:val="nil"/>
            </w:tcBorders>
            <w:noWrap/>
            <w:vAlign w:val="bottom"/>
            <w:hideMark/>
          </w:tcPr>
          <w:p w14:paraId="152901D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6137B62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31548A8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noWrap/>
            <w:vAlign w:val="bottom"/>
            <w:hideMark/>
          </w:tcPr>
          <w:p w14:paraId="13524C8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noWrap/>
            <w:vAlign w:val="bottom"/>
            <w:hideMark/>
          </w:tcPr>
          <w:p w14:paraId="574DE24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9.517,00</w:t>
            </w:r>
          </w:p>
        </w:tc>
        <w:tc>
          <w:tcPr>
            <w:tcW w:w="993" w:type="dxa"/>
            <w:tcBorders>
              <w:top w:val="nil"/>
              <w:left w:val="nil"/>
              <w:bottom w:val="nil"/>
              <w:right w:val="nil"/>
            </w:tcBorders>
            <w:noWrap/>
            <w:vAlign w:val="bottom"/>
            <w:hideMark/>
          </w:tcPr>
          <w:p w14:paraId="61EFA45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47,59%</w:t>
            </w:r>
          </w:p>
        </w:tc>
      </w:tr>
      <w:tr w:rsidR="006967F8" w:rsidRPr="006967F8" w14:paraId="72F21885" w14:textId="77777777" w:rsidTr="008A61B1">
        <w:trPr>
          <w:trHeight w:val="255"/>
        </w:trPr>
        <w:tc>
          <w:tcPr>
            <w:tcW w:w="1134" w:type="dxa"/>
            <w:tcBorders>
              <w:top w:val="nil"/>
              <w:left w:val="nil"/>
              <w:bottom w:val="nil"/>
              <w:right w:val="nil"/>
            </w:tcBorders>
            <w:noWrap/>
            <w:vAlign w:val="bottom"/>
            <w:hideMark/>
          </w:tcPr>
          <w:p w14:paraId="625180F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3222</w:t>
            </w:r>
          </w:p>
        </w:tc>
        <w:tc>
          <w:tcPr>
            <w:tcW w:w="4962" w:type="dxa"/>
            <w:tcBorders>
              <w:top w:val="nil"/>
              <w:left w:val="nil"/>
              <w:bottom w:val="nil"/>
              <w:right w:val="nil"/>
            </w:tcBorders>
            <w:noWrap/>
            <w:vAlign w:val="bottom"/>
            <w:hideMark/>
          </w:tcPr>
          <w:p w14:paraId="6BCE38E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Materijal i sirovine</w:t>
            </w:r>
          </w:p>
        </w:tc>
        <w:tc>
          <w:tcPr>
            <w:tcW w:w="1559" w:type="dxa"/>
            <w:tcBorders>
              <w:top w:val="nil"/>
              <w:left w:val="nil"/>
              <w:bottom w:val="nil"/>
              <w:right w:val="nil"/>
            </w:tcBorders>
            <w:noWrap/>
            <w:vAlign w:val="bottom"/>
            <w:hideMark/>
          </w:tcPr>
          <w:p w14:paraId="6169212C"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92A848E"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F2C00D3"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9.517,00</w:t>
            </w:r>
          </w:p>
        </w:tc>
        <w:tc>
          <w:tcPr>
            <w:tcW w:w="993" w:type="dxa"/>
            <w:tcBorders>
              <w:top w:val="nil"/>
              <w:left w:val="nil"/>
              <w:bottom w:val="nil"/>
              <w:right w:val="nil"/>
            </w:tcBorders>
            <w:noWrap/>
            <w:vAlign w:val="bottom"/>
            <w:hideMark/>
          </w:tcPr>
          <w:p w14:paraId="26284BD6"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B9332F1" w14:textId="77777777" w:rsidTr="008A61B1">
        <w:trPr>
          <w:trHeight w:val="615"/>
        </w:trPr>
        <w:tc>
          <w:tcPr>
            <w:tcW w:w="6096" w:type="dxa"/>
            <w:gridSpan w:val="2"/>
            <w:tcBorders>
              <w:top w:val="nil"/>
              <w:left w:val="nil"/>
              <w:bottom w:val="nil"/>
              <w:right w:val="nil"/>
            </w:tcBorders>
            <w:shd w:val="clear" w:color="000000" w:fill="FFFF99"/>
            <w:vAlign w:val="bottom"/>
            <w:hideMark/>
          </w:tcPr>
          <w:p w14:paraId="4CA3A6F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A100043 Aktivnost: SUFINANCIRANJE PROGRAMA PREDŠKOLE</w:t>
            </w:r>
          </w:p>
        </w:tc>
        <w:tc>
          <w:tcPr>
            <w:tcW w:w="1559" w:type="dxa"/>
            <w:tcBorders>
              <w:top w:val="nil"/>
              <w:left w:val="nil"/>
              <w:bottom w:val="nil"/>
              <w:right w:val="nil"/>
            </w:tcBorders>
            <w:shd w:val="clear" w:color="000000" w:fill="FFFF99"/>
            <w:noWrap/>
            <w:vAlign w:val="bottom"/>
            <w:hideMark/>
          </w:tcPr>
          <w:p w14:paraId="3D494D4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5.000,00</w:t>
            </w:r>
          </w:p>
        </w:tc>
        <w:tc>
          <w:tcPr>
            <w:tcW w:w="1559" w:type="dxa"/>
            <w:tcBorders>
              <w:top w:val="nil"/>
              <w:left w:val="nil"/>
              <w:bottom w:val="nil"/>
              <w:right w:val="nil"/>
            </w:tcBorders>
            <w:shd w:val="clear" w:color="000000" w:fill="FFFF99"/>
            <w:noWrap/>
            <w:vAlign w:val="bottom"/>
            <w:hideMark/>
          </w:tcPr>
          <w:p w14:paraId="4026D78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5.000,00</w:t>
            </w:r>
          </w:p>
        </w:tc>
        <w:tc>
          <w:tcPr>
            <w:tcW w:w="1559" w:type="dxa"/>
            <w:tcBorders>
              <w:top w:val="nil"/>
              <w:left w:val="nil"/>
              <w:bottom w:val="nil"/>
              <w:right w:val="nil"/>
            </w:tcBorders>
            <w:shd w:val="clear" w:color="000000" w:fill="FFFF99"/>
            <w:noWrap/>
            <w:vAlign w:val="bottom"/>
            <w:hideMark/>
          </w:tcPr>
          <w:p w14:paraId="2D26AF4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3.600,00</w:t>
            </w:r>
          </w:p>
        </w:tc>
        <w:tc>
          <w:tcPr>
            <w:tcW w:w="993" w:type="dxa"/>
            <w:tcBorders>
              <w:top w:val="nil"/>
              <w:left w:val="nil"/>
              <w:bottom w:val="nil"/>
              <w:right w:val="nil"/>
            </w:tcBorders>
            <w:shd w:val="clear" w:color="000000" w:fill="FFFF99"/>
            <w:noWrap/>
            <w:vAlign w:val="bottom"/>
            <w:hideMark/>
          </w:tcPr>
          <w:p w14:paraId="402020B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72,00%</w:t>
            </w:r>
          </w:p>
        </w:tc>
      </w:tr>
      <w:tr w:rsidR="006967F8" w:rsidRPr="006967F8" w14:paraId="75810843"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9161F11"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70B2AF0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5.000,00</w:t>
            </w:r>
          </w:p>
        </w:tc>
        <w:tc>
          <w:tcPr>
            <w:tcW w:w="1559" w:type="dxa"/>
            <w:tcBorders>
              <w:top w:val="nil"/>
              <w:left w:val="nil"/>
              <w:bottom w:val="nil"/>
              <w:right w:val="nil"/>
            </w:tcBorders>
            <w:shd w:val="clear" w:color="000000" w:fill="CCCCFF"/>
            <w:noWrap/>
            <w:vAlign w:val="bottom"/>
            <w:hideMark/>
          </w:tcPr>
          <w:p w14:paraId="11F0C5C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5.000,00</w:t>
            </w:r>
          </w:p>
        </w:tc>
        <w:tc>
          <w:tcPr>
            <w:tcW w:w="1559" w:type="dxa"/>
            <w:tcBorders>
              <w:top w:val="nil"/>
              <w:left w:val="nil"/>
              <w:bottom w:val="nil"/>
              <w:right w:val="nil"/>
            </w:tcBorders>
            <w:shd w:val="clear" w:color="000000" w:fill="CCCCFF"/>
            <w:noWrap/>
            <w:vAlign w:val="bottom"/>
            <w:hideMark/>
          </w:tcPr>
          <w:p w14:paraId="5CE04C6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3.600,00</w:t>
            </w:r>
          </w:p>
        </w:tc>
        <w:tc>
          <w:tcPr>
            <w:tcW w:w="993" w:type="dxa"/>
            <w:tcBorders>
              <w:top w:val="nil"/>
              <w:left w:val="nil"/>
              <w:bottom w:val="nil"/>
              <w:right w:val="nil"/>
            </w:tcBorders>
            <w:shd w:val="clear" w:color="000000" w:fill="CCCCFF"/>
            <w:noWrap/>
            <w:vAlign w:val="bottom"/>
            <w:hideMark/>
          </w:tcPr>
          <w:p w14:paraId="23E078A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72,00%</w:t>
            </w:r>
          </w:p>
        </w:tc>
      </w:tr>
      <w:tr w:rsidR="006967F8" w:rsidRPr="006967F8" w14:paraId="56CB55C4"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226E6A0"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5.5. Ostale pomoći  proračunskih korisnika</w:t>
            </w:r>
          </w:p>
        </w:tc>
        <w:tc>
          <w:tcPr>
            <w:tcW w:w="1559" w:type="dxa"/>
            <w:tcBorders>
              <w:top w:val="nil"/>
              <w:left w:val="nil"/>
              <w:bottom w:val="nil"/>
              <w:right w:val="nil"/>
            </w:tcBorders>
            <w:shd w:val="clear" w:color="000000" w:fill="CCCCFF"/>
            <w:noWrap/>
            <w:vAlign w:val="bottom"/>
            <w:hideMark/>
          </w:tcPr>
          <w:p w14:paraId="596A84B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5.000,00</w:t>
            </w:r>
          </w:p>
        </w:tc>
        <w:tc>
          <w:tcPr>
            <w:tcW w:w="1559" w:type="dxa"/>
            <w:tcBorders>
              <w:top w:val="nil"/>
              <w:left w:val="nil"/>
              <w:bottom w:val="nil"/>
              <w:right w:val="nil"/>
            </w:tcBorders>
            <w:shd w:val="clear" w:color="000000" w:fill="CCCCFF"/>
            <w:noWrap/>
            <w:vAlign w:val="bottom"/>
            <w:hideMark/>
          </w:tcPr>
          <w:p w14:paraId="6672D67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5.000,00</w:t>
            </w:r>
          </w:p>
        </w:tc>
        <w:tc>
          <w:tcPr>
            <w:tcW w:w="1559" w:type="dxa"/>
            <w:tcBorders>
              <w:top w:val="nil"/>
              <w:left w:val="nil"/>
              <w:bottom w:val="nil"/>
              <w:right w:val="nil"/>
            </w:tcBorders>
            <w:shd w:val="clear" w:color="000000" w:fill="CCCCFF"/>
            <w:noWrap/>
            <w:vAlign w:val="bottom"/>
            <w:hideMark/>
          </w:tcPr>
          <w:p w14:paraId="5E9A9FF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3.600,00</w:t>
            </w:r>
          </w:p>
        </w:tc>
        <w:tc>
          <w:tcPr>
            <w:tcW w:w="993" w:type="dxa"/>
            <w:tcBorders>
              <w:top w:val="nil"/>
              <w:left w:val="nil"/>
              <w:bottom w:val="nil"/>
              <w:right w:val="nil"/>
            </w:tcBorders>
            <w:shd w:val="clear" w:color="000000" w:fill="CCCCFF"/>
            <w:noWrap/>
            <w:vAlign w:val="bottom"/>
            <w:hideMark/>
          </w:tcPr>
          <w:p w14:paraId="6CF6E56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72,00%</w:t>
            </w:r>
          </w:p>
        </w:tc>
      </w:tr>
      <w:tr w:rsidR="006967F8" w:rsidRPr="006967F8" w14:paraId="2ED5ED79" w14:textId="77777777" w:rsidTr="008A61B1">
        <w:trPr>
          <w:trHeight w:val="255"/>
        </w:trPr>
        <w:tc>
          <w:tcPr>
            <w:tcW w:w="1134" w:type="dxa"/>
            <w:tcBorders>
              <w:top w:val="nil"/>
              <w:left w:val="nil"/>
              <w:bottom w:val="nil"/>
              <w:right w:val="nil"/>
            </w:tcBorders>
            <w:noWrap/>
            <w:vAlign w:val="bottom"/>
            <w:hideMark/>
          </w:tcPr>
          <w:p w14:paraId="51A626A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6E24D3F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15E39C2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5.000,00</w:t>
            </w:r>
          </w:p>
        </w:tc>
        <w:tc>
          <w:tcPr>
            <w:tcW w:w="1559" w:type="dxa"/>
            <w:tcBorders>
              <w:top w:val="nil"/>
              <w:left w:val="nil"/>
              <w:bottom w:val="nil"/>
              <w:right w:val="nil"/>
            </w:tcBorders>
            <w:noWrap/>
            <w:vAlign w:val="bottom"/>
            <w:hideMark/>
          </w:tcPr>
          <w:p w14:paraId="57E9F7F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5.000,00</w:t>
            </w:r>
          </w:p>
        </w:tc>
        <w:tc>
          <w:tcPr>
            <w:tcW w:w="1559" w:type="dxa"/>
            <w:tcBorders>
              <w:top w:val="nil"/>
              <w:left w:val="nil"/>
              <w:bottom w:val="nil"/>
              <w:right w:val="nil"/>
            </w:tcBorders>
            <w:noWrap/>
            <w:vAlign w:val="bottom"/>
            <w:hideMark/>
          </w:tcPr>
          <w:p w14:paraId="45DA348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3.600,00</w:t>
            </w:r>
          </w:p>
        </w:tc>
        <w:tc>
          <w:tcPr>
            <w:tcW w:w="993" w:type="dxa"/>
            <w:tcBorders>
              <w:top w:val="nil"/>
              <w:left w:val="nil"/>
              <w:bottom w:val="nil"/>
              <w:right w:val="nil"/>
            </w:tcBorders>
            <w:noWrap/>
            <w:vAlign w:val="bottom"/>
            <w:hideMark/>
          </w:tcPr>
          <w:p w14:paraId="5F1E775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72,00%</w:t>
            </w:r>
          </w:p>
        </w:tc>
      </w:tr>
      <w:tr w:rsidR="006967F8" w:rsidRPr="006967F8" w14:paraId="1300354C" w14:textId="77777777" w:rsidTr="008A61B1">
        <w:trPr>
          <w:trHeight w:val="255"/>
        </w:trPr>
        <w:tc>
          <w:tcPr>
            <w:tcW w:w="1134" w:type="dxa"/>
            <w:tcBorders>
              <w:top w:val="nil"/>
              <w:left w:val="nil"/>
              <w:bottom w:val="nil"/>
              <w:right w:val="nil"/>
            </w:tcBorders>
            <w:noWrap/>
            <w:vAlign w:val="bottom"/>
            <w:hideMark/>
          </w:tcPr>
          <w:p w14:paraId="600407C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3222</w:t>
            </w:r>
          </w:p>
        </w:tc>
        <w:tc>
          <w:tcPr>
            <w:tcW w:w="4962" w:type="dxa"/>
            <w:tcBorders>
              <w:top w:val="nil"/>
              <w:left w:val="nil"/>
              <w:bottom w:val="nil"/>
              <w:right w:val="nil"/>
            </w:tcBorders>
            <w:noWrap/>
            <w:vAlign w:val="bottom"/>
            <w:hideMark/>
          </w:tcPr>
          <w:p w14:paraId="15AA7E4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Materijal i sirovine</w:t>
            </w:r>
          </w:p>
        </w:tc>
        <w:tc>
          <w:tcPr>
            <w:tcW w:w="1559" w:type="dxa"/>
            <w:tcBorders>
              <w:top w:val="nil"/>
              <w:left w:val="nil"/>
              <w:bottom w:val="nil"/>
              <w:right w:val="nil"/>
            </w:tcBorders>
            <w:noWrap/>
            <w:vAlign w:val="bottom"/>
            <w:hideMark/>
          </w:tcPr>
          <w:p w14:paraId="48BB8412"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CC6804D"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634FB0A"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3.600,00</w:t>
            </w:r>
          </w:p>
        </w:tc>
        <w:tc>
          <w:tcPr>
            <w:tcW w:w="993" w:type="dxa"/>
            <w:tcBorders>
              <w:top w:val="nil"/>
              <w:left w:val="nil"/>
              <w:bottom w:val="nil"/>
              <w:right w:val="nil"/>
            </w:tcBorders>
            <w:noWrap/>
            <w:vAlign w:val="bottom"/>
            <w:hideMark/>
          </w:tcPr>
          <w:p w14:paraId="798F8C24"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1BA1278" w14:textId="77777777" w:rsidTr="008A61B1">
        <w:trPr>
          <w:trHeight w:val="555"/>
        </w:trPr>
        <w:tc>
          <w:tcPr>
            <w:tcW w:w="6096" w:type="dxa"/>
            <w:gridSpan w:val="2"/>
            <w:tcBorders>
              <w:top w:val="nil"/>
              <w:left w:val="nil"/>
              <w:bottom w:val="nil"/>
              <w:right w:val="nil"/>
            </w:tcBorders>
            <w:shd w:val="clear" w:color="000000" w:fill="FFFF99"/>
            <w:vAlign w:val="bottom"/>
            <w:hideMark/>
          </w:tcPr>
          <w:p w14:paraId="0A094D9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A100049 Aktivnost: SURADNJA SA HZZ-om U ZAPOŠLJAVANJU </w:t>
            </w:r>
          </w:p>
        </w:tc>
        <w:tc>
          <w:tcPr>
            <w:tcW w:w="1559" w:type="dxa"/>
            <w:tcBorders>
              <w:top w:val="nil"/>
              <w:left w:val="nil"/>
              <w:bottom w:val="nil"/>
              <w:right w:val="nil"/>
            </w:tcBorders>
            <w:shd w:val="clear" w:color="000000" w:fill="FFFF99"/>
            <w:noWrap/>
            <w:vAlign w:val="bottom"/>
            <w:hideMark/>
          </w:tcPr>
          <w:p w14:paraId="21F2A7C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4.000,00</w:t>
            </w:r>
          </w:p>
        </w:tc>
        <w:tc>
          <w:tcPr>
            <w:tcW w:w="1559" w:type="dxa"/>
            <w:tcBorders>
              <w:top w:val="nil"/>
              <w:left w:val="nil"/>
              <w:bottom w:val="nil"/>
              <w:right w:val="nil"/>
            </w:tcBorders>
            <w:shd w:val="clear" w:color="000000" w:fill="FFFF99"/>
            <w:noWrap/>
            <w:vAlign w:val="bottom"/>
            <w:hideMark/>
          </w:tcPr>
          <w:p w14:paraId="751B0B7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4.000,00</w:t>
            </w:r>
          </w:p>
        </w:tc>
        <w:tc>
          <w:tcPr>
            <w:tcW w:w="1559" w:type="dxa"/>
            <w:tcBorders>
              <w:top w:val="nil"/>
              <w:left w:val="nil"/>
              <w:bottom w:val="nil"/>
              <w:right w:val="nil"/>
            </w:tcBorders>
            <w:shd w:val="clear" w:color="000000" w:fill="FFFF99"/>
            <w:noWrap/>
            <w:vAlign w:val="bottom"/>
            <w:hideMark/>
          </w:tcPr>
          <w:p w14:paraId="299347A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shd w:val="clear" w:color="000000" w:fill="FFFF99"/>
            <w:noWrap/>
            <w:vAlign w:val="bottom"/>
            <w:hideMark/>
          </w:tcPr>
          <w:p w14:paraId="12304B0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48FD581D"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A636CC5"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13509FF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w:t>
            </w:r>
          </w:p>
        </w:tc>
        <w:tc>
          <w:tcPr>
            <w:tcW w:w="1559" w:type="dxa"/>
            <w:tcBorders>
              <w:top w:val="nil"/>
              <w:left w:val="nil"/>
              <w:bottom w:val="nil"/>
              <w:right w:val="nil"/>
            </w:tcBorders>
            <w:shd w:val="clear" w:color="000000" w:fill="CCCCFF"/>
            <w:noWrap/>
            <w:vAlign w:val="bottom"/>
            <w:hideMark/>
          </w:tcPr>
          <w:p w14:paraId="17160E9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w:t>
            </w:r>
          </w:p>
        </w:tc>
        <w:tc>
          <w:tcPr>
            <w:tcW w:w="1559" w:type="dxa"/>
            <w:tcBorders>
              <w:top w:val="nil"/>
              <w:left w:val="nil"/>
              <w:bottom w:val="nil"/>
              <w:right w:val="nil"/>
            </w:tcBorders>
            <w:shd w:val="clear" w:color="000000" w:fill="CCCCFF"/>
            <w:noWrap/>
            <w:vAlign w:val="bottom"/>
            <w:hideMark/>
          </w:tcPr>
          <w:p w14:paraId="443994D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7010A0F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2F795FC2"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A2A2594"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5.5. Ostale pomoći  proračunskih korisnika</w:t>
            </w:r>
          </w:p>
        </w:tc>
        <w:tc>
          <w:tcPr>
            <w:tcW w:w="1559" w:type="dxa"/>
            <w:tcBorders>
              <w:top w:val="nil"/>
              <w:left w:val="nil"/>
              <w:bottom w:val="nil"/>
              <w:right w:val="nil"/>
            </w:tcBorders>
            <w:shd w:val="clear" w:color="000000" w:fill="CCCCFF"/>
            <w:noWrap/>
            <w:vAlign w:val="bottom"/>
            <w:hideMark/>
          </w:tcPr>
          <w:p w14:paraId="7DF07ED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w:t>
            </w:r>
          </w:p>
        </w:tc>
        <w:tc>
          <w:tcPr>
            <w:tcW w:w="1559" w:type="dxa"/>
            <w:tcBorders>
              <w:top w:val="nil"/>
              <w:left w:val="nil"/>
              <w:bottom w:val="nil"/>
              <w:right w:val="nil"/>
            </w:tcBorders>
            <w:shd w:val="clear" w:color="000000" w:fill="CCCCFF"/>
            <w:noWrap/>
            <w:vAlign w:val="bottom"/>
            <w:hideMark/>
          </w:tcPr>
          <w:p w14:paraId="0E3E394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w:t>
            </w:r>
          </w:p>
        </w:tc>
        <w:tc>
          <w:tcPr>
            <w:tcW w:w="1559" w:type="dxa"/>
            <w:tcBorders>
              <w:top w:val="nil"/>
              <w:left w:val="nil"/>
              <w:bottom w:val="nil"/>
              <w:right w:val="nil"/>
            </w:tcBorders>
            <w:shd w:val="clear" w:color="000000" w:fill="CCCCFF"/>
            <w:noWrap/>
            <w:vAlign w:val="bottom"/>
            <w:hideMark/>
          </w:tcPr>
          <w:p w14:paraId="0427029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679A8F5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621DFC8F" w14:textId="77777777" w:rsidTr="008A61B1">
        <w:trPr>
          <w:trHeight w:val="255"/>
        </w:trPr>
        <w:tc>
          <w:tcPr>
            <w:tcW w:w="1134" w:type="dxa"/>
            <w:tcBorders>
              <w:top w:val="nil"/>
              <w:left w:val="nil"/>
              <w:bottom w:val="nil"/>
              <w:right w:val="nil"/>
            </w:tcBorders>
            <w:noWrap/>
            <w:vAlign w:val="bottom"/>
            <w:hideMark/>
          </w:tcPr>
          <w:p w14:paraId="5E5B71F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31</w:t>
            </w:r>
          </w:p>
        </w:tc>
        <w:tc>
          <w:tcPr>
            <w:tcW w:w="4962" w:type="dxa"/>
            <w:tcBorders>
              <w:top w:val="nil"/>
              <w:left w:val="nil"/>
              <w:bottom w:val="nil"/>
              <w:right w:val="nil"/>
            </w:tcBorders>
            <w:noWrap/>
            <w:vAlign w:val="bottom"/>
            <w:hideMark/>
          </w:tcPr>
          <w:p w14:paraId="752EE39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zaposlene</w:t>
            </w:r>
          </w:p>
        </w:tc>
        <w:tc>
          <w:tcPr>
            <w:tcW w:w="1559" w:type="dxa"/>
            <w:tcBorders>
              <w:top w:val="nil"/>
              <w:left w:val="nil"/>
              <w:bottom w:val="nil"/>
              <w:right w:val="nil"/>
            </w:tcBorders>
            <w:noWrap/>
            <w:vAlign w:val="bottom"/>
            <w:hideMark/>
          </w:tcPr>
          <w:p w14:paraId="22DD3AA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3.400,00</w:t>
            </w:r>
          </w:p>
        </w:tc>
        <w:tc>
          <w:tcPr>
            <w:tcW w:w="1559" w:type="dxa"/>
            <w:tcBorders>
              <w:top w:val="nil"/>
              <w:left w:val="nil"/>
              <w:bottom w:val="nil"/>
              <w:right w:val="nil"/>
            </w:tcBorders>
            <w:noWrap/>
            <w:vAlign w:val="bottom"/>
            <w:hideMark/>
          </w:tcPr>
          <w:p w14:paraId="1C1FA74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3.400,00</w:t>
            </w:r>
          </w:p>
        </w:tc>
        <w:tc>
          <w:tcPr>
            <w:tcW w:w="1559" w:type="dxa"/>
            <w:tcBorders>
              <w:top w:val="nil"/>
              <w:left w:val="nil"/>
              <w:bottom w:val="nil"/>
              <w:right w:val="nil"/>
            </w:tcBorders>
            <w:noWrap/>
            <w:vAlign w:val="bottom"/>
            <w:hideMark/>
          </w:tcPr>
          <w:p w14:paraId="056138B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7DCAA4B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66BE15FD" w14:textId="77777777" w:rsidTr="008A61B1">
        <w:trPr>
          <w:trHeight w:val="255"/>
        </w:trPr>
        <w:tc>
          <w:tcPr>
            <w:tcW w:w="1134" w:type="dxa"/>
            <w:tcBorders>
              <w:top w:val="nil"/>
              <w:left w:val="nil"/>
              <w:bottom w:val="nil"/>
              <w:right w:val="nil"/>
            </w:tcBorders>
            <w:noWrap/>
            <w:vAlign w:val="bottom"/>
            <w:hideMark/>
          </w:tcPr>
          <w:p w14:paraId="336EF25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lastRenderedPageBreak/>
              <w:t>32</w:t>
            </w:r>
          </w:p>
        </w:tc>
        <w:tc>
          <w:tcPr>
            <w:tcW w:w="4962" w:type="dxa"/>
            <w:tcBorders>
              <w:top w:val="nil"/>
              <w:left w:val="nil"/>
              <w:bottom w:val="nil"/>
              <w:right w:val="nil"/>
            </w:tcBorders>
            <w:noWrap/>
            <w:vAlign w:val="bottom"/>
            <w:hideMark/>
          </w:tcPr>
          <w:p w14:paraId="4254894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4023BBD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600,00</w:t>
            </w:r>
          </w:p>
        </w:tc>
        <w:tc>
          <w:tcPr>
            <w:tcW w:w="1559" w:type="dxa"/>
            <w:tcBorders>
              <w:top w:val="nil"/>
              <w:left w:val="nil"/>
              <w:bottom w:val="nil"/>
              <w:right w:val="nil"/>
            </w:tcBorders>
            <w:noWrap/>
            <w:vAlign w:val="bottom"/>
            <w:hideMark/>
          </w:tcPr>
          <w:p w14:paraId="35EB014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600,00</w:t>
            </w:r>
          </w:p>
        </w:tc>
        <w:tc>
          <w:tcPr>
            <w:tcW w:w="1559" w:type="dxa"/>
            <w:tcBorders>
              <w:top w:val="nil"/>
              <w:left w:val="nil"/>
              <w:bottom w:val="nil"/>
              <w:right w:val="nil"/>
            </w:tcBorders>
            <w:noWrap/>
            <w:vAlign w:val="bottom"/>
            <w:hideMark/>
          </w:tcPr>
          <w:p w14:paraId="139CBB2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7EC500D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0C783421" w14:textId="77777777" w:rsidTr="008A61B1">
        <w:trPr>
          <w:trHeight w:val="660"/>
        </w:trPr>
        <w:tc>
          <w:tcPr>
            <w:tcW w:w="6096" w:type="dxa"/>
            <w:gridSpan w:val="2"/>
            <w:tcBorders>
              <w:top w:val="nil"/>
              <w:left w:val="nil"/>
              <w:bottom w:val="nil"/>
              <w:right w:val="nil"/>
            </w:tcBorders>
            <w:shd w:val="clear" w:color="000000" w:fill="FFFF99"/>
            <w:vAlign w:val="bottom"/>
            <w:hideMark/>
          </w:tcPr>
          <w:p w14:paraId="255E7BA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A100084 Aktivnost: SUFINANCIRANJE PROGRAMA DAROVITA DJECA </w:t>
            </w:r>
          </w:p>
        </w:tc>
        <w:tc>
          <w:tcPr>
            <w:tcW w:w="1559" w:type="dxa"/>
            <w:tcBorders>
              <w:top w:val="nil"/>
              <w:left w:val="nil"/>
              <w:bottom w:val="nil"/>
              <w:right w:val="nil"/>
            </w:tcBorders>
            <w:shd w:val="clear" w:color="000000" w:fill="FFFF99"/>
            <w:noWrap/>
            <w:vAlign w:val="bottom"/>
            <w:hideMark/>
          </w:tcPr>
          <w:p w14:paraId="34BB83D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w:t>
            </w:r>
          </w:p>
        </w:tc>
        <w:tc>
          <w:tcPr>
            <w:tcW w:w="1559" w:type="dxa"/>
            <w:tcBorders>
              <w:top w:val="nil"/>
              <w:left w:val="nil"/>
              <w:bottom w:val="nil"/>
              <w:right w:val="nil"/>
            </w:tcBorders>
            <w:shd w:val="clear" w:color="000000" w:fill="FFFF99"/>
            <w:noWrap/>
            <w:vAlign w:val="bottom"/>
            <w:hideMark/>
          </w:tcPr>
          <w:p w14:paraId="18BDFA2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w:t>
            </w:r>
          </w:p>
        </w:tc>
        <w:tc>
          <w:tcPr>
            <w:tcW w:w="1559" w:type="dxa"/>
            <w:tcBorders>
              <w:top w:val="nil"/>
              <w:left w:val="nil"/>
              <w:bottom w:val="nil"/>
              <w:right w:val="nil"/>
            </w:tcBorders>
            <w:shd w:val="clear" w:color="000000" w:fill="FFFF99"/>
            <w:noWrap/>
            <w:vAlign w:val="bottom"/>
            <w:hideMark/>
          </w:tcPr>
          <w:p w14:paraId="4B33116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shd w:val="clear" w:color="000000" w:fill="FFFF99"/>
            <w:noWrap/>
            <w:vAlign w:val="bottom"/>
            <w:hideMark/>
          </w:tcPr>
          <w:p w14:paraId="012F3E5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4ABCA16D"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A748E42"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64826F2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w:t>
            </w:r>
          </w:p>
        </w:tc>
        <w:tc>
          <w:tcPr>
            <w:tcW w:w="1559" w:type="dxa"/>
            <w:tcBorders>
              <w:top w:val="nil"/>
              <w:left w:val="nil"/>
              <w:bottom w:val="nil"/>
              <w:right w:val="nil"/>
            </w:tcBorders>
            <w:shd w:val="clear" w:color="000000" w:fill="CCCCFF"/>
            <w:noWrap/>
            <w:vAlign w:val="bottom"/>
            <w:hideMark/>
          </w:tcPr>
          <w:p w14:paraId="7AEE0B7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w:t>
            </w:r>
          </w:p>
        </w:tc>
        <w:tc>
          <w:tcPr>
            <w:tcW w:w="1559" w:type="dxa"/>
            <w:tcBorders>
              <w:top w:val="nil"/>
              <w:left w:val="nil"/>
              <w:bottom w:val="nil"/>
              <w:right w:val="nil"/>
            </w:tcBorders>
            <w:shd w:val="clear" w:color="000000" w:fill="CCCCFF"/>
            <w:noWrap/>
            <w:vAlign w:val="bottom"/>
            <w:hideMark/>
          </w:tcPr>
          <w:p w14:paraId="193BDE0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28C28D8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19492F8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189B893"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5.5. Ostale pomoći  proračunskih korisnika</w:t>
            </w:r>
          </w:p>
        </w:tc>
        <w:tc>
          <w:tcPr>
            <w:tcW w:w="1559" w:type="dxa"/>
            <w:tcBorders>
              <w:top w:val="nil"/>
              <w:left w:val="nil"/>
              <w:bottom w:val="nil"/>
              <w:right w:val="nil"/>
            </w:tcBorders>
            <w:shd w:val="clear" w:color="000000" w:fill="CCCCFF"/>
            <w:noWrap/>
            <w:vAlign w:val="bottom"/>
            <w:hideMark/>
          </w:tcPr>
          <w:p w14:paraId="5B7AC16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w:t>
            </w:r>
          </w:p>
        </w:tc>
        <w:tc>
          <w:tcPr>
            <w:tcW w:w="1559" w:type="dxa"/>
            <w:tcBorders>
              <w:top w:val="nil"/>
              <w:left w:val="nil"/>
              <w:bottom w:val="nil"/>
              <w:right w:val="nil"/>
            </w:tcBorders>
            <w:shd w:val="clear" w:color="000000" w:fill="CCCCFF"/>
            <w:noWrap/>
            <w:vAlign w:val="bottom"/>
            <w:hideMark/>
          </w:tcPr>
          <w:p w14:paraId="0F5AA31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w:t>
            </w:r>
          </w:p>
        </w:tc>
        <w:tc>
          <w:tcPr>
            <w:tcW w:w="1559" w:type="dxa"/>
            <w:tcBorders>
              <w:top w:val="nil"/>
              <w:left w:val="nil"/>
              <w:bottom w:val="nil"/>
              <w:right w:val="nil"/>
            </w:tcBorders>
            <w:shd w:val="clear" w:color="000000" w:fill="CCCCFF"/>
            <w:noWrap/>
            <w:vAlign w:val="bottom"/>
            <w:hideMark/>
          </w:tcPr>
          <w:p w14:paraId="232FDAA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7DE36FE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33D632E5" w14:textId="77777777" w:rsidTr="008A61B1">
        <w:trPr>
          <w:trHeight w:val="255"/>
        </w:trPr>
        <w:tc>
          <w:tcPr>
            <w:tcW w:w="1134" w:type="dxa"/>
            <w:tcBorders>
              <w:top w:val="nil"/>
              <w:left w:val="nil"/>
              <w:bottom w:val="nil"/>
              <w:right w:val="nil"/>
            </w:tcBorders>
            <w:noWrap/>
            <w:vAlign w:val="bottom"/>
            <w:hideMark/>
          </w:tcPr>
          <w:p w14:paraId="27B1783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5E5D502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3CD8221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w:t>
            </w:r>
          </w:p>
        </w:tc>
        <w:tc>
          <w:tcPr>
            <w:tcW w:w="1559" w:type="dxa"/>
            <w:tcBorders>
              <w:top w:val="nil"/>
              <w:left w:val="nil"/>
              <w:bottom w:val="nil"/>
              <w:right w:val="nil"/>
            </w:tcBorders>
            <w:noWrap/>
            <w:vAlign w:val="bottom"/>
            <w:hideMark/>
          </w:tcPr>
          <w:p w14:paraId="4AA16C6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w:t>
            </w:r>
          </w:p>
        </w:tc>
        <w:tc>
          <w:tcPr>
            <w:tcW w:w="1559" w:type="dxa"/>
            <w:tcBorders>
              <w:top w:val="nil"/>
              <w:left w:val="nil"/>
              <w:bottom w:val="nil"/>
              <w:right w:val="nil"/>
            </w:tcBorders>
            <w:noWrap/>
            <w:vAlign w:val="bottom"/>
            <w:hideMark/>
          </w:tcPr>
          <w:p w14:paraId="2DC7A7C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5F7C04E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6ADAD08C" w14:textId="77777777" w:rsidTr="008A61B1">
        <w:trPr>
          <w:trHeight w:val="525"/>
        </w:trPr>
        <w:tc>
          <w:tcPr>
            <w:tcW w:w="6096" w:type="dxa"/>
            <w:gridSpan w:val="2"/>
            <w:tcBorders>
              <w:top w:val="nil"/>
              <w:left w:val="nil"/>
              <w:bottom w:val="nil"/>
              <w:right w:val="nil"/>
            </w:tcBorders>
            <w:shd w:val="clear" w:color="000000" w:fill="FFFF99"/>
            <w:vAlign w:val="bottom"/>
            <w:hideMark/>
          </w:tcPr>
          <w:p w14:paraId="3B6B4E8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K100044 Kapitalni projekt: UREĐENJE DJEČJIH IGRALIŠTA DJEČJEG VRTIĆA TROGIR</w:t>
            </w:r>
          </w:p>
        </w:tc>
        <w:tc>
          <w:tcPr>
            <w:tcW w:w="1559" w:type="dxa"/>
            <w:tcBorders>
              <w:top w:val="nil"/>
              <w:left w:val="nil"/>
              <w:bottom w:val="nil"/>
              <w:right w:val="nil"/>
            </w:tcBorders>
            <w:shd w:val="clear" w:color="000000" w:fill="FFFF99"/>
            <w:noWrap/>
            <w:vAlign w:val="bottom"/>
            <w:hideMark/>
          </w:tcPr>
          <w:p w14:paraId="1EAFD0D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w:t>
            </w:r>
          </w:p>
        </w:tc>
        <w:tc>
          <w:tcPr>
            <w:tcW w:w="1559" w:type="dxa"/>
            <w:tcBorders>
              <w:top w:val="nil"/>
              <w:left w:val="nil"/>
              <w:bottom w:val="nil"/>
              <w:right w:val="nil"/>
            </w:tcBorders>
            <w:shd w:val="clear" w:color="000000" w:fill="FFFF99"/>
            <w:noWrap/>
            <w:vAlign w:val="bottom"/>
            <w:hideMark/>
          </w:tcPr>
          <w:p w14:paraId="59EB3BA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w:t>
            </w:r>
          </w:p>
        </w:tc>
        <w:tc>
          <w:tcPr>
            <w:tcW w:w="1559" w:type="dxa"/>
            <w:tcBorders>
              <w:top w:val="nil"/>
              <w:left w:val="nil"/>
              <w:bottom w:val="nil"/>
              <w:right w:val="nil"/>
            </w:tcBorders>
            <w:shd w:val="clear" w:color="000000" w:fill="FFFF99"/>
            <w:noWrap/>
            <w:vAlign w:val="bottom"/>
            <w:hideMark/>
          </w:tcPr>
          <w:p w14:paraId="305CE31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shd w:val="clear" w:color="000000" w:fill="FFFF99"/>
            <w:noWrap/>
            <w:vAlign w:val="bottom"/>
            <w:hideMark/>
          </w:tcPr>
          <w:p w14:paraId="7681C12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6747ED2E"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77F88A9"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6. DONACIJE</w:t>
            </w:r>
          </w:p>
        </w:tc>
        <w:tc>
          <w:tcPr>
            <w:tcW w:w="1559" w:type="dxa"/>
            <w:tcBorders>
              <w:top w:val="nil"/>
              <w:left w:val="nil"/>
              <w:bottom w:val="nil"/>
              <w:right w:val="nil"/>
            </w:tcBorders>
            <w:shd w:val="clear" w:color="000000" w:fill="CCCCFF"/>
            <w:noWrap/>
            <w:vAlign w:val="bottom"/>
            <w:hideMark/>
          </w:tcPr>
          <w:p w14:paraId="22AABAB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w:t>
            </w:r>
          </w:p>
        </w:tc>
        <w:tc>
          <w:tcPr>
            <w:tcW w:w="1559" w:type="dxa"/>
            <w:tcBorders>
              <w:top w:val="nil"/>
              <w:left w:val="nil"/>
              <w:bottom w:val="nil"/>
              <w:right w:val="nil"/>
            </w:tcBorders>
            <w:shd w:val="clear" w:color="000000" w:fill="CCCCFF"/>
            <w:noWrap/>
            <w:vAlign w:val="bottom"/>
            <w:hideMark/>
          </w:tcPr>
          <w:p w14:paraId="0AC92FC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w:t>
            </w:r>
          </w:p>
        </w:tc>
        <w:tc>
          <w:tcPr>
            <w:tcW w:w="1559" w:type="dxa"/>
            <w:tcBorders>
              <w:top w:val="nil"/>
              <w:left w:val="nil"/>
              <w:bottom w:val="nil"/>
              <w:right w:val="nil"/>
            </w:tcBorders>
            <w:shd w:val="clear" w:color="000000" w:fill="CCCCFF"/>
            <w:noWrap/>
            <w:vAlign w:val="bottom"/>
            <w:hideMark/>
          </w:tcPr>
          <w:p w14:paraId="633BD65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0999AB2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102C4B85"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D62DAC5"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6.2. Donacije proračunskih korisnika</w:t>
            </w:r>
          </w:p>
        </w:tc>
        <w:tc>
          <w:tcPr>
            <w:tcW w:w="1559" w:type="dxa"/>
            <w:tcBorders>
              <w:top w:val="nil"/>
              <w:left w:val="nil"/>
              <w:bottom w:val="nil"/>
              <w:right w:val="nil"/>
            </w:tcBorders>
            <w:shd w:val="clear" w:color="000000" w:fill="CCCCFF"/>
            <w:noWrap/>
            <w:vAlign w:val="bottom"/>
            <w:hideMark/>
          </w:tcPr>
          <w:p w14:paraId="646FA85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w:t>
            </w:r>
          </w:p>
        </w:tc>
        <w:tc>
          <w:tcPr>
            <w:tcW w:w="1559" w:type="dxa"/>
            <w:tcBorders>
              <w:top w:val="nil"/>
              <w:left w:val="nil"/>
              <w:bottom w:val="nil"/>
              <w:right w:val="nil"/>
            </w:tcBorders>
            <w:shd w:val="clear" w:color="000000" w:fill="CCCCFF"/>
            <w:noWrap/>
            <w:vAlign w:val="bottom"/>
            <w:hideMark/>
          </w:tcPr>
          <w:p w14:paraId="2A99ACE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w:t>
            </w:r>
          </w:p>
        </w:tc>
        <w:tc>
          <w:tcPr>
            <w:tcW w:w="1559" w:type="dxa"/>
            <w:tcBorders>
              <w:top w:val="nil"/>
              <w:left w:val="nil"/>
              <w:bottom w:val="nil"/>
              <w:right w:val="nil"/>
            </w:tcBorders>
            <w:shd w:val="clear" w:color="000000" w:fill="CCCCFF"/>
            <w:noWrap/>
            <w:vAlign w:val="bottom"/>
            <w:hideMark/>
          </w:tcPr>
          <w:p w14:paraId="648A121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1FE430A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5D76C277" w14:textId="77777777" w:rsidTr="008A61B1">
        <w:trPr>
          <w:trHeight w:val="480"/>
        </w:trPr>
        <w:tc>
          <w:tcPr>
            <w:tcW w:w="1134" w:type="dxa"/>
            <w:tcBorders>
              <w:top w:val="nil"/>
              <w:left w:val="nil"/>
              <w:bottom w:val="nil"/>
              <w:right w:val="nil"/>
            </w:tcBorders>
            <w:noWrap/>
            <w:vAlign w:val="bottom"/>
            <w:hideMark/>
          </w:tcPr>
          <w:p w14:paraId="0E59EBA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2AB26AA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19B2E56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w:t>
            </w:r>
          </w:p>
        </w:tc>
        <w:tc>
          <w:tcPr>
            <w:tcW w:w="1559" w:type="dxa"/>
            <w:tcBorders>
              <w:top w:val="nil"/>
              <w:left w:val="nil"/>
              <w:bottom w:val="nil"/>
              <w:right w:val="nil"/>
            </w:tcBorders>
            <w:noWrap/>
            <w:vAlign w:val="bottom"/>
            <w:hideMark/>
          </w:tcPr>
          <w:p w14:paraId="7F17A4F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w:t>
            </w:r>
          </w:p>
        </w:tc>
        <w:tc>
          <w:tcPr>
            <w:tcW w:w="1559" w:type="dxa"/>
            <w:tcBorders>
              <w:top w:val="nil"/>
              <w:left w:val="nil"/>
              <w:bottom w:val="nil"/>
              <w:right w:val="nil"/>
            </w:tcBorders>
            <w:noWrap/>
            <w:vAlign w:val="bottom"/>
            <w:hideMark/>
          </w:tcPr>
          <w:p w14:paraId="49207DE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7E8C0A5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39B403B3" w14:textId="77777777" w:rsidTr="008A61B1">
        <w:trPr>
          <w:trHeight w:val="525"/>
        </w:trPr>
        <w:tc>
          <w:tcPr>
            <w:tcW w:w="6096" w:type="dxa"/>
            <w:gridSpan w:val="2"/>
            <w:tcBorders>
              <w:top w:val="nil"/>
              <w:left w:val="nil"/>
              <w:bottom w:val="nil"/>
              <w:right w:val="nil"/>
            </w:tcBorders>
            <w:shd w:val="clear" w:color="000000" w:fill="FFFF99"/>
            <w:vAlign w:val="bottom"/>
            <w:hideMark/>
          </w:tcPr>
          <w:p w14:paraId="300F350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K100054 Kapitalni projekt: NABAVA OPREME ZA CENTRALNU KUHINJU</w:t>
            </w:r>
          </w:p>
        </w:tc>
        <w:tc>
          <w:tcPr>
            <w:tcW w:w="1559" w:type="dxa"/>
            <w:tcBorders>
              <w:top w:val="nil"/>
              <w:left w:val="nil"/>
              <w:bottom w:val="nil"/>
              <w:right w:val="nil"/>
            </w:tcBorders>
            <w:shd w:val="clear" w:color="000000" w:fill="FFFF99"/>
            <w:noWrap/>
            <w:vAlign w:val="bottom"/>
            <w:hideMark/>
          </w:tcPr>
          <w:p w14:paraId="5273548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3.000,00</w:t>
            </w:r>
          </w:p>
        </w:tc>
        <w:tc>
          <w:tcPr>
            <w:tcW w:w="1559" w:type="dxa"/>
            <w:tcBorders>
              <w:top w:val="nil"/>
              <w:left w:val="nil"/>
              <w:bottom w:val="nil"/>
              <w:right w:val="nil"/>
            </w:tcBorders>
            <w:shd w:val="clear" w:color="000000" w:fill="FFFF99"/>
            <w:noWrap/>
            <w:vAlign w:val="bottom"/>
            <w:hideMark/>
          </w:tcPr>
          <w:p w14:paraId="2D7E448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3.000,00</w:t>
            </w:r>
          </w:p>
        </w:tc>
        <w:tc>
          <w:tcPr>
            <w:tcW w:w="1559" w:type="dxa"/>
            <w:tcBorders>
              <w:top w:val="nil"/>
              <w:left w:val="nil"/>
              <w:bottom w:val="nil"/>
              <w:right w:val="nil"/>
            </w:tcBorders>
            <w:shd w:val="clear" w:color="000000" w:fill="FFFF99"/>
            <w:noWrap/>
            <w:vAlign w:val="bottom"/>
            <w:hideMark/>
          </w:tcPr>
          <w:p w14:paraId="6017396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shd w:val="clear" w:color="000000" w:fill="FFFF99"/>
            <w:noWrap/>
            <w:vAlign w:val="bottom"/>
            <w:hideMark/>
          </w:tcPr>
          <w:p w14:paraId="7601AF6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74F25186" w14:textId="77777777" w:rsidTr="008A61B1">
        <w:trPr>
          <w:trHeight w:val="525"/>
        </w:trPr>
        <w:tc>
          <w:tcPr>
            <w:tcW w:w="6096" w:type="dxa"/>
            <w:gridSpan w:val="2"/>
            <w:tcBorders>
              <w:top w:val="nil"/>
              <w:left w:val="nil"/>
              <w:bottom w:val="nil"/>
              <w:right w:val="nil"/>
            </w:tcBorders>
            <w:shd w:val="clear" w:color="000000" w:fill="CCCCFF"/>
            <w:vAlign w:val="bottom"/>
            <w:hideMark/>
          </w:tcPr>
          <w:p w14:paraId="49FEC3DE"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7. PRIHODI OD PRODAJE ILI ZAMJENE NEFIN. IMOV. I NAK. OSIG.</w:t>
            </w:r>
          </w:p>
        </w:tc>
        <w:tc>
          <w:tcPr>
            <w:tcW w:w="1559" w:type="dxa"/>
            <w:tcBorders>
              <w:top w:val="nil"/>
              <w:left w:val="nil"/>
              <w:bottom w:val="nil"/>
              <w:right w:val="nil"/>
            </w:tcBorders>
            <w:shd w:val="clear" w:color="000000" w:fill="CCCCFF"/>
            <w:noWrap/>
            <w:vAlign w:val="bottom"/>
            <w:hideMark/>
          </w:tcPr>
          <w:p w14:paraId="4DACED5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3.000,00</w:t>
            </w:r>
          </w:p>
        </w:tc>
        <w:tc>
          <w:tcPr>
            <w:tcW w:w="1559" w:type="dxa"/>
            <w:tcBorders>
              <w:top w:val="nil"/>
              <w:left w:val="nil"/>
              <w:bottom w:val="nil"/>
              <w:right w:val="nil"/>
            </w:tcBorders>
            <w:shd w:val="clear" w:color="000000" w:fill="CCCCFF"/>
            <w:noWrap/>
            <w:vAlign w:val="bottom"/>
            <w:hideMark/>
          </w:tcPr>
          <w:p w14:paraId="7E193C2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3.000,00</w:t>
            </w:r>
          </w:p>
        </w:tc>
        <w:tc>
          <w:tcPr>
            <w:tcW w:w="1559" w:type="dxa"/>
            <w:tcBorders>
              <w:top w:val="nil"/>
              <w:left w:val="nil"/>
              <w:bottom w:val="nil"/>
              <w:right w:val="nil"/>
            </w:tcBorders>
            <w:shd w:val="clear" w:color="000000" w:fill="CCCCFF"/>
            <w:noWrap/>
            <w:vAlign w:val="bottom"/>
            <w:hideMark/>
          </w:tcPr>
          <w:p w14:paraId="29267EF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44E088F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589593CE" w14:textId="77777777" w:rsidTr="008A61B1">
        <w:trPr>
          <w:trHeight w:val="495"/>
        </w:trPr>
        <w:tc>
          <w:tcPr>
            <w:tcW w:w="6096" w:type="dxa"/>
            <w:gridSpan w:val="2"/>
            <w:tcBorders>
              <w:top w:val="nil"/>
              <w:left w:val="nil"/>
              <w:bottom w:val="nil"/>
              <w:right w:val="nil"/>
            </w:tcBorders>
            <w:shd w:val="clear" w:color="000000" w:fill="CCCCFF"/>
            <w:vAlign w:val="bottom"/>
            <w:hideMark/>
          </w:tcPr>
          <w:p w14:paraId="0F2E88EE"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 xml:space="preserve">Izvor 7.1. Prihodi od prodaje ili zamjene </w:t>
            </w:r>
            <w:proofErr w:type="spellStart"/>
            <w:r w:rsidRPr="006967F8">
              <w:rPr>
                <w:rFonts w:ascii="Arial" w:eastAsia="Times New Roman" w:hAnsi="Arial" w:cs="Arial"/>
                <w:b/>
                <w:bCs/>
                <w:color w:val="333333"/>
                <w:sz w:val="20"/>
                <w:szCs w:val="20"/>
                <w:lang w:eastAsia="hr-HR"/>
              </w:rPr>
              <w:t>nef.imovine</w:t>
            </w:r>
            <w:proofErr w:type="spellEnd"/>
            <w:r w:rsidRPr="006967F8">
              <w:rPr>
                <w:rFonts w:ascii="Arial" w:eastAsia="Times New Roman" w:hAnsi="Arial" w:cs="Arial"/>
                <w:b/>
                <w:bCs/>
                <w:color w:val="333333"/>
                <w:sz w:val="20"/>
                <w:szCs w:val="20"/>
                <w:lang w:eastAsia="hr-HR"/>
              </w:rPr>
              <w:t xml:space="preserve"> i </w:t>
            </w:r>
            <w:proofErr w:type="spellStart"/>
            <w:r w:rsidRPr="006967F8">
              <w:rPr>
                <w:rFonts w:ascii="Arial" w:eastAsia="Times New Roman" w:hAnsi="Arial" w:cs="Arial"/>
                <w:b/>
                <w:bCs/>
                <w:color w:val="333333"/>
                <w:sz w:val="20"/>
                <w:szCs w:val="20"/>
                <w:lang w:eastAsia="hr-HR"/>
              </w:rPr>
              <w:t>nak.osiguranja</w:t>
            </w:r>
            <w:proofErr w:type="spellEnd"/>
          </w:p>
        </w:tc>
        <w:tc>
          <w:tcPr>
            <w:tcW w:w="1559" w:type="dxa"/>
            <w:tcBorders>
              <w:top w:val="nil"/>
              <w:left w:val="nil"/>
              <w:bottom w:val="nil"/>
              <w:right w:val="nil"/>
            </w:tcBorders>
            <w:shd w:val="clear" w:color="000000" w:fill="CCCCFF"/>
            <w:noWrap/>
            <w:vAlign w:val="bottom"/>
            <w:hideMark/>
          </w:tcPr>
          <w:p w14:paraId="0747C0B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3.000,00</w:t>
            </w:r>
          </w:p>
        </w:tc>
        <w:tc>
          <w:tcPr>
            <w:tcW w:w="1559" w:type="dxa"/>
            <w:tcBorders>
              <w:top w:val="nil"/>
              <w:left w:val="nil"/>
              <w:bottom w:val="nil"/>
              <w:right w:val="nil"/>
            </w:tcBorders>
            <w:shd w:val="clear" w:color="000000" w:fill="CCCCFF"/>
            <w:noWrap/>
            <w:vAlign w:val="bottom"/>
            <w:hideMark/>
          </w:tcPr>
          <w:p w14:paraId="66B822E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3.000,00</w:t>
            </w:r>
          </w:p>
        </w:tc>
        <w:tc>
          <w:tcPr>
            <w:tcW w:w="1559" w:type="dxa"/>
            <w:tcBorders>
              <w:top w:val="nil"/>
              <w:left w:val="nil"/>
              <w:bottom w:val="nil"/>
              <w:right w:val="nil"/>
            </w:tcBorders>
            <w:shd w:val="clear" w:color="000000" w:fill="CCCCFF"/>
            <w:noWrap/>
            <w:vAlign w:val="bottom"/>
            <w:hideMark/>
          </w:tcPr>
          <w:p w14:paraId="412031F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0B29AB1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23A42DFB" w14:textId="77777777" w:rsidTr="008A61B1">
        <w:trPr>
          <w:trHeight w:val="540"/>
        </w:trPr>
        <w:tc>
          <w:tcPr>
            <w:tcW w:w="1134" w:type="dxa"/>
            <w:tcBorders>
              <w:top w:val="nil"/>
              <w:left w:val="nil"/>
              <w:bottom w:val="nil"/>
              <w:right w:val="nil"/>
            </w:tcBorders>
            <w:noWrap/>
            <w:vAlign w:val="bottom"/>
            <w:hideMark/>
          </w:tcPr>
          <w:p w14:paraId="7D5428B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20ABD1E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7A9F318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3.000,00</w:t>
            </w:r>
          </w:p>
        </w:tc>
        <w:tc>
          <w:tcPr>
            <w:tcW w:w="1559" w:type="dxa"/>
            <w:tcBorders>
              <w:top w:val="nil"/>
              <w:left w:val="nil"/>
              <w:bottom w:val="nil"/>
              <w:right w:val="nil"/>
            </w:tcBorders>
            <w:noWrap/>
            <w:vAlign w:val="bottom"/>
            <w:hideMark/>
          </w:tcPr>
          <w:p w14:paraId="483CCA6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3.000,00</w:t>
            </w:r>
          </w:p>
        </w:tc>
        <w:tc>
          <w:tcPr>
            <w:tcW w:w="1559" w:type="dxa"/>
            <w:tcBorders>
              <w:top w:val="nil"/>
              <w:left w:val="nil"/>
              <w:bottom w:val="nil"/>
              <w:right w:val="nil"/>
            </w:tcBorders>
            <w:noWrap/>
            <w:vAlign w:val="bottom"/>
            <w:hideMark/>
          </w:tcPr>
          <w:p w14:paraId="5F2CFBA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5BBE03C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4AE96306" w14:textId="77777777" w:rsidTr="008A61B1">
        <w:trPr>
          <w:trHeight w:val="255"/>
        </w:trPr>
        <w:tc>
          <w:tcPr>
            <w:tcW w:w="6096" w:type="dxa"/>
            <w:gridSpan w:val="2"/>
            <w:tcBorders>
              <w:top w:val="nil"/>
              <w:left w:val="nil"/>
              <w:bottom w:val="nil"/>
              <w:right w:val="nil"/>
            </w:tcBorders>
            <w:shd w:val="clear" w:color="000000" w:fill="9999FF"/>
            <w:noWrap/>
            <w:vAlign w:val="bottom"/>
            <w:hideMark/>
          </w:tcPr>
          <w:p w14:paraId="6C84C89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GLAVA 02112 GRADSKA KNJIŽNICA TROGIR</w:t>
            </w:r>
          </w:p>
        </w:tc>
        <w:tc>
          <w:tcPr>
            <w:tcW w:w="1559" w:type="dxa"/>
            <w:tcBorders>
              <w:top w:val="nil"/>
              <w:left w:val="nil"/>
              <w:bottom w:val="nil"/>
              <w:right w:val="nil"/>
            </w:tcBorders>
            <w:shd w:val="clear" w:color="000000" w:fill="9999FF"/>
            <w:noWrap/>
            <w:vAlign w:val="bottom"/>
            <w:hideMark/>
          </w:tcPr>
          <w:p w14:paraId="3D10B4A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204.544,00</w:t>
            </w:r>
          </w:p>
        </w:tc>
        <w:tc>
          <w:tcPr>
            <w:tcW w:w="1559" w:type="dxa"/>
            <w:tcBorders>
              <w:top w:val="nil"/>
              <w:left w:val="nil"/>
              <w:bottom w:val="nil"/>
              <w:right w:val="nil"/>
            </w:tcBorders>
            <w:shd w:val="clear" w:color="000000" w:fill="9999FF"/>
            <w:noWrap/>
            <w:vAlign w:val="bottom"/>
            <w:hideMark/>
          </w:tcPr>
          <w:p w14:paraId="44EF5C7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204.544,00</w:t>
            </w:r>
          </w:p>
        </w:tc>
        <w:tc>
          <w:tcPr>
            <w:tcW w:w="1559" w:type="dxa"/>
            <w:tcBorders>
              <w:top w:val="nil"/>
              <w:left w:val="nil"/>
              <w:bottom w:val="nil"/>
              <w:right w:val="nil"/>
            </w:tcBorders>
            <w:shd w:val="clear" w:color="000000" w:fill="9999FF"/>
            <w:noWrap/>
            <w:vAlign w:val="bottom"/>
            <w:hideMark/>
          </w:tcPr>
          <w:p w14:paraId="2DBBD78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195.627,61</w:t>
            </w:r>
          </w:p>
        </w:tc>
        <w:tc>
          <w:tcPr>
            <w:tcW w:w="993" w:type="dxa"/>
            <w:tcBorders>
              <w:top w:val="nil"/>
              <w:left w:val="nil"/>
              <w:bottom w:val="nil"/>
              <w:right w:val="nil"/>
            </w:tcBorders>
            <w:shd w:val="clear" w:color="000000" w:fill="9999FF"/>
            <w:noWrap/>
            <w:vAlign w:val="bottom"/>
            <w:hideMark/>
          </w:tcPr>
          <w:p w14:paraId="1A47ADF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95,64%</w:t>
            </w:r>
          </w:p>
        </w:tc>
      </w:tr>
      <w:tr w:rsidR="006967F8" w:rsidRPr="006967F8" w14:paraId="74549A94"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688C0E8"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775D7B6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167.535,00</w:t>
            </w:r>
          </w:p>
        </w:tc>
        <w:tc>
          <w:tcPr>
            <w:tcW w:w="1559" w:type="dxa"/>
            <w:tcBorders>
              <w:top w:val="nil"/>
              <w:left w:val="nil"/>
              <w:bottom w:val="nil"/>
              <w:right w:val="nil"/>
            </w:tcBorders>
            <w:shd w:val="clear" w:color="000000" w:fill="CCCCFF"/>
            <w:noWrap/>
            <w:vAlign w:val="bottom"/>
            <w:hideMark/>
          </w:tcPr>
          <w:p w14:paraId="58548A8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167.535,00</w:t>
            </w:r>
          </w:p>
        </w:tc>
        <w:tc>
          <w:tcPr>
            <w:tcW w:w="1559" w:type="dxa"/>
            <w:tcBorders>
              <w:top w:val="nil"/>
              <w:left w:val="nil"/>
              <w:bottom w:val="nil"/>
              <w:right w:val="nil"/>
            </w:tcBorders>
            <w:shd w:val="clear" w:color="000000" w:fill="CCCCFF"/>
            <w:noWrap/>
            <w:vAlign w:val="bottom"/>
            <w:hideMark/>
          </w:tcPr>
          <w:p w14:paraId="3E52D14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158.309,65</w:t>
            </w:r>
          </w:p>
        </w:tc>
        <w:tc>
          <w:tcPr>
            <w:tcW w:w="993" w:type="dxa"/>
            <w:tcBorders>
              <w:top w:val="nil"/>
              <w:left w:val="nil"/>
              <w:bottom w:val="nil"/>
              <w:right w:val="nil"/>
            </w:tcBorders>
            <w:shd w:val="clear" w:color="000000" w:fill="CCCCFF"/>
            <w:noWrap/>
            <w:vAlign w:val="bottom"/>
            <w:hideMark/>
          </w:tcPr>
          <w:p w14:paraId="0A337D2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94,49%</w:t>
            </w:r>
          </w:p>
        </w:tc>
      </w:tr>
      <w:tr w:rsidR="006967F8" w:rsidRPr="006967F8" w14:paraId="407C12E8"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CBB0B0F"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5EA442D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167.535,00</w:t>
            </w:r>
          </w:p>
        </w:tc>
        <w:tc>
          <w:tcPr>
            <w:tcW w:w="1559" w:type="dxa"/>
            <w:tcBorders>
              <w:top w:val="nil"/>
              <w:left w:val="nil"/>
              <w:bottom w:val="nil"/>
              <w:right w:val="nil"/>
            </w:tcBorders>
            <w:shd w:val="clear" w:color="000000" w:fill="CCCCFF"/>
            <w:noWrap/>
            <w:vAlign w:val="bottom"/>
            <w:hideMark/>
          </w:tcPr>
          <w:p w14:paraId="5EA5572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167.535,00</w:t>
            </w:r>
          </w:p>
        </w:tc>
        <w:tc>
          <w:tcPr>
            <w:tcW w:w="1559" w:type="dxa"/>
            <w:tcBorders>
              <w:top w:val="nil"/>
              <w:left w:val="nil"/>
              <w:bottom w:val="nil"/>
              <w:right w:val="nil"/>
            </w:tcBorders>
            <w:shd w:val="clear" w:color="000000" w:fill="CCCCFF"/>
            <w:noWrap/>
            <w:vAlign w:val="bottom"/>
            <w:hideMark/>
          </w:tcPr>
          <w:p w14:paraId="080E12B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158.309,65</w:t>
            </w:r>
          </w:p>
        </w:tc>
        <w:tc>
          <w:tcPr>
            <w:tcW w:w="993" w:type="dxa"/>
            <w:tcBorders>
              <w:top w:val="nil"/>
              <w:left w:val="nil"/>
              <w:bottom w:val="nil"/>
              <w:right w:val="nil"/>
            </w:tcBorders>
            <w:shd w:val="clear" w:color="000000" w:fill="CCCCFF"/>
            <w:noWrap/>
            <w:vAlign w:val="bottom"/>
            <w:hideMark/>
          </w:tcPr>
          <w:p w14:paraId="1EF1E21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94,49%</w:t>
            </w:r>
          </w:p>
        </w:tc>
      </w:tr>
      <w:tr w:rsidR="006967F8" w:rsidRPr="006967F8" w14:paraId="6751678E"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2EE13BD"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3. VLASTITI PRIHODI</w:t>
            </w:r>
          </w:p>
        </w:tc>
        <w:tc>
          <w:tcPr>
            <w:tcW w:w="1559" w:type="dxa"/>
            <w:tcBorders>
              <w:top w:val="nil"/>
              <w:left w:val="nil"/>
              <w:bottom w:val="nil"/>
              <w:right w:val="nil"/>
            </w:tcBorders>
            <w:shd w:val="clear" w:color="000000" w:fill="CCCCFF"/>
            <w:noWrap/>
            <w:vAlign w:val="bottom"/>
            <w:hideMark/>
          </w:tcPr>
          <w:p w14:paraId="3278221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w:t>
            </w:r>
          </w:p>
        </w:tc>
        <w:tc>
          <w:tcPr>
            <w:tcW w:w="1559" w:type="dxa"/>
            <w:tcBorders>
              <w:top w:val="nil"/>
              <w:left w:val="nil"/>
              <w:bottom w:val="nil"/>
              <w:right w:val="nil"/>
            </w:tcBorders>
            <w:shd w:val="clear" w:color="000000" w:fill="CCCCFF"/>
            <w:noWrap/>
            <w:vAlign w:val="bottom"/>
            <w:hideMark/>
          </w:tcPr>
          <w:p w14:paraId="45C16E1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w:t>
            </w:r>
          </w:p>
        </w:tc>
        <w:tc>
          <w:tcPr>
            <w:tcW w:w="1559" w:type="dxa"/>
            <w:tcBorders>
              <w:top w:val="nil"/>
              <w:left w:val="nil"/>
              <w:bottom w:val="nil"/>
              <w:right w:val="nil"/>
            </w:tcBorders>
            <w:shd w:val="clear" w:color="000000" w:fill="CCCCFF"/>
            <w:noWrap/>
            <w:vAlign w:val="bottom"/>
            <w:hideMark/>
          </w:tcPr>
          <w:p w14:paraId="28A9C4C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13EF886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423A2F7C"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8FEA800"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3.2. Vlastiti prihodi proračunskih korisnika</w:t>
            </w:r>
          </w:p>
        </w:tc>
        <w:tc>
          <w:tcPr>
            <w:tcW w:w="1559" w:type="dxa"/>
            <w:tcBorders>
              <w:top w:val="nil"/>
              <w:left w:val="nil"/>
              <w:bottom w:val="nil"/>
              <w:right w:val="nil"/>
            </w:tcBorders>
            <w:shd w:val="clear" w:color="000000" w:fill="CCCCFF"/>
            <w:noWrap/>
            <w:vAlign w:val="bottom"/>
            <w:hideMark/>
          </w:tcPr>
          <w:p w14:paraId="1C7FD3A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w:t>
            </w:r>
          </w:p>
        </w:tc>
        <w:tc>
          <w:tcPr>
            <w:tcW w:w="1559" w:type="dxa"/>
            <w:tcBorders>
              <w:top w:val="nil"/>
              <w:left w:val="nil"/>
              <w:bottom w:val="nil"/>
              <w:right w:val="nil"/>
            </w:tcBorders>
            <w:shd w:val="clear" w:color="000000" w:fill="CCCCFF"/>
            <w:noWrap/>
            <w:vAlign w:val="bottom"/>
            <w:hideMark/>
          </w:tcPr>
          <w:p w14:paraId="6EE87F3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w:t>
            </w:r>
          </w:p>
        </w:tc>
        <w:tc>
          <w:tcPr>
            <w:tcW w:w="1559" w:type="dxa"/>
            <w:tcBorders>
              <w:top w:val="nil"/>
              <w:left w:val="nil"/>
              <w:bottom w:val="nil"/>
              <w:right w:val="nil"/>
            </w:tcBorders>
            <w:shd w:val="clear" w:color="000000" w:fill="CCCCFF"/>
            <w:noWrap/>
            <w:vAlign w:val="bottom"/>
            <w:hideMark/>
          </w:tcPr>
          <w:p w14:paraId="68656C5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15FA667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48354ADC"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D3C87BB"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262FE90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21.282,00</w:t>
            </w:r>
          </w:p>
        </w:tc>
        <w:tc>
          <w:tcPr>
            <w:tcW w:w="1559" w:type="dxa"/>
            <w:tcBorders>
              <w:top w:val="nil"/>
              <w:left w:val="nil"/>
              <w:bottom w:val="nil"/>
              <w:right w:val="nil"/>
            </w:tcBorders>
            <w:shd w:val="clear" w:color="000000" w:fill="CCCCFF"/>
            <w:noWrap/>
            <w:vAlign w:val="bottom"/>
            <w:hideMark/>
          </w:tcPr>
          <w:p w14:paraId="170C629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21.282,00</w:t>
            </w:r>
          </w:p>
        </w:tc>
        <w:tc>
          <w:tcPr>
            <w:tcW w:w="1559" w:type="dxa"/>
            <w:tcBorders>
              <w:top w:val="nil"/>
              <w:left w:val="nil"/>
              <w:bottom w:val="nil"/>
              <w:right w:val="nil"/>
            </w:tcBorders>
            <w:shd w:val="clear" w:color="000000" w:fill="CCCCFF"/>
            <w:noWrap/>
            <w:vAlign w:val="bottom"/>
            <w:hideMark/>
          </w:tcPr>
          <w:p w14:paraId="512E8CD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21.551,57</w:t>
            </w:r>
          </w:p>
        </w:tc>
        <w:tc>
          <w:tcPr>
            <w:tcW w:w="993" w:type="dxa"/>
            <w:tcBorders>
              <w:top w:val="nil"/>
              <w:left w:val="nil"/>
              <w:bottom w:val="nil"/>
              <w:right w:val="nil"/>
            </w:tcBorders>
            <w:shd w:val="clear" w:color="000000" w:fill="CCCCFF"/>
            <w:noWrap/>
            <w:vAlign w:val="bottom"/>
            <w:hideMark/>
          </w:tcPr>
          <w:p w14:paraId="01DE4CC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101,27%</w:t>
            </w:r>
          </w:p>
        </w:tc>
      </w:tr>
      <w:tr w:rsidR="006967F8" w:rsidRPr="006967F8" w14:paraId="5EF9CF30" w14:textId="77777777" w:rsidTr="008A61B1">
        <w:trPr>
          <w:trHeight w:val="465"/>
        </w:trPr>
        <w:tc>
          <w:tcPr>
            <w:tcW w:w="6096" w:type="dxa"/>
            <w:gridSpan w:val="2"/>
            <w:tcBorders>
              <w:top w:val="nil"/>
              <w:left w:val="nil"/>
              <w:bottom w:val="nil"/>
              <w:right w:val="nil"/>
            </w:tcBorders>
            <w:shd w:val="clear" w:color="000000" w:fill="CCCCFF"/>
            <w:vAlign w:val="bottom"/>
            <w:hideMark/>
          </w:tcPr>
          <w:p w14:paraId="3F85B377"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4.4. Ostali prihodi za posebne namjene proračunskih korisnika</w:t>
            </w:r>
          </w:p>
        </w:tc>
        <w:tc>
          <w:tcPr>
            <w:tcW w:w="1559" w:type="dxa"/>
            <w:tcBorders>
              <w:top w:val="nil"/>
              <w:left w:val="nil"/>
              <w:bottom w:val="nil"/>
              <w:right w:val="nil"/>
            </w:tcBorders>
            <w:shd w:val="clear" w:color="000000" w:fill="CCCCFF"/>
            <w:noWrap/>
            <w:vAlign w:val="bottom"/>
            <w:hideMark/>
          </w:tcPr>
          <w:p w14:paraId="0742A90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13.237,00</w:t>
            </w:r>
          </w:p>
        </w:tc>
        <w:tc>
          <w:tcPr>
            <w:tcW w:w="1559" w:type="dxa"/>
            <w:tcBorders>
              <w:top w:val="nil"/>
              <w:left w:val="nil"/>
              <w:bottom w:val="nil"/>
              <w:right w:val="nil"/>
            </w:tcBorders>
            <w:shd w:val="clear" w:color="000000" w:fill="CCCCFF"/>
            <w:noWrap/>
            <w:vAlign w:val="bottom"/>
            <w:hideMark/>
          </w:tcPr>
          <w:p w14:paraId="235B78B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13.237,00</w:t>
            </w:r>
          </w:p>
        </w:tc>
        <w:tc>
          <w:tcPr>
            <w:tcW w:w="1559" w:type="dxa"/>
            <w:tcBorders>
              <w:top w:val="nil"/>
              <w:left w:val="nil"/>
              <w:bottom w:val="nil"/>
              <w:right w:val="nil"/>
            </w:tcBorders>
            <w:shd w:val="clear" w:color="000000" w:fill="CCCCFF"/>
            <w:noWrap/>
            <w:vAlign w:val="bottom"/>
            <w:hideMark/>
          </w:tcPr>
          <w:p w14:paraId="0732D20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13.889,62</w:t>
            </w:r>
          </w:p>
        </w:tc>
        <w:tc>
          <w:tcPr>
            <w:tcW w:w="993" w:type="dxa"/>
            <w:tcBorders>
              <w:top w:val="nil"/>
              <w:left w:val="nil"/>
              <w:bottom w:val="nil"/>
              <w:right w:val="nil"/>
            </w:tcBorders>
            <w:shd w:val="clear" w:color="000000" w:fill="CCCCFF"/>
            <w:noWrap/>
            <w:vAlign w:val="bottom"/>
            <w:hideMark/>
          </w:tcPr>
          <w:p w14:paraId="43B056A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104,93%</w:t>
            </w:r>
          </w:p>
        </w:tc>
      </w:tr>
      <w:tr w:rsidR="006967F8" w:rsidRPr="006967F8" w14:paraId="7D9F6F05" w14:textId="77777777" w:rsidTr="008A61B1">
        <w:trPr>
          <w:trHeight w:val="540"/>
        </w:trPr>
        <w:tc>
          <w:tcPr>
            <w:tcW w:w="6096" w:type="dxa"/>
            <w:gridSpan w:val="2"/>
            <w:tcBorders>
              <w:top w:val="nil"/>
              <w:left w:val="nil"/>
              <w:bottom w:val="nil"/>
              <w:right w:val="nil"/>
            </w:tcBorders>
            <w:shd w:val="clear" w:color="000000" w:fill="CCCCFF"/>
            <w:vAlign w:val="bottom"/>
            <w:hideMark/>
          </w:tcPr>
          <w:p w14:paraId="308E41F3"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4.9. PRENESENI VIŠAK/MANJAK- PRIHODI ZA POSEBNE NAMJENE</w:t>
            </w:r>
          </w:p>
        </w:tc>
        <w:tc>
          <w:tcPr>
            <w:tcW w:w="1559" w:type="dxa"/>
            <w:tcBorders>
              <w:top w:val="nil"/>
              <w:left w:val="nil"/>
              <w:bottom w:val="nil"/>
              <w:right w:val="nil"/>
            </w:tcBorders>
            <w:shd w:val="clear" w:color="000000" w:fill="CCCCFF"/>
            <w:noWrap/>
            <w:vAlign w:val="bottom"/>
            <w:hideMark/>
          </w:tcPr>
          <w:p w14:paraId="5C84D52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8.045,00</w:t>
            </w:r>
          </w:p>
        </w:tc>
        <w:tc>
          <w:tcPr>
            <w:tcW w:w="1559" w:type="dxa"/>
            <w:tcBorders>
              <w:top w:val="nil"/>
              <w:left w:val="nil"/>
              <w:bottom w:val="nil"/>
              <w:right w:val="nil"/>
            </w:tcBorders>
            <w:shd w:val="clear" w:color="000000" w:fill="CCCCFF"/>
            <w:noWrap/>
            <w:vAlign w:val="bottom"/>
            <w:hideMark/>
          </w:tcPr>
          <w:p w14:paraId="6EF1224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8.045,00</w:t>
            </w:r>
          </w:p>
        </w:tc>
        <w:tc>
          <w:tcPr>
            <w:tcW w:w="1559" w:type="dxa"/>
            <w:tcBorders>
              <w:top w:val="nil"/>
              <w:left w:val="nil"/>
              <w:bottom w:val="nil"/>
              <w:right w:val="nil"/>
            </w:tcBorders>
            <w:shd w:val="clear" w:color="000000" w:fill="CCCCFF"/>
            <w:noWrap/>
            <w:vAlign w:val="bottom"/>
            <w:hideMark/>
          </w:tcPr>
          <w:p w14:paraId="33BC44E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7.661,95</w:t>
            </w:r>
          </w:p>
        </w:tc>
        <w:tc>
          <w:tcPr>
            <w:tcW w:w="993" w:type="dxa"/>
            <w:tcBorders>
              <w:top w:val="nil"/>
              <w:left w:val="nil"/>
              <w:bottom w:val="nil"/>
              <w:right w:val="nil"/>
            </w:tcBorders>
            <w:shd w:val="clear" w:color="000000" w:fill="CCCCFF"/>
            <w:noWrap/>
            <w:vAlign w:val="bottom"/>
            <w:hideMark/>
          </w:tcPr>
          <w:p w14:paraId="58ACF0D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95,24%</w:t>
            </w:r>
          </w:p>
        </w:tc>
      </w:tr>
      <w:tr w:rsidR="006967F8" w:rsidRPr="006967F8" w14:paraId="5E3EDD52"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872FEA3"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1E9F9BB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15.726,00</w:t>
            </w:r>
          </w:p>
        </w:tc>
        <w:tc>
          <w:tcPr>
            <w:tcW w:w="1559" w:type="dxa"/>
            <w:tcBorders>
              <w:top w:val="nil"/>
              <w:left w:val="nil"/>
              <w:bottom w:val="nil"/>
              <w:right w:val="nil"/>
            </w:tcBorders>
            <w:shd w:val="clear" w:color="000000" w:fill="CCCCFF"/>
            <w:noWrap/>
            <w:vAlign w:val="bottom"/>
            <w:hideMark/>
          </w:tcPr>
          <w:p w14:paraId="6C268A6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15.726,00</w:t>
            </w:r>
          </w:p>
        </w:tc>
        <w:tc>
          <w:tcPr>
            <w:tcW w:w="1559" w:type="dxa"/>
            <w:tcBorders>
              <w:top w:val="nil"/>
              <w:left w:val="nil"/>
              <w:bottom w:val="nil"/>
              <w:right w:val="nil"/>
            </w:tcBorders>
            <w:shd w:val="clear" w:color="000000" w:fill="CCCCFF"/>
            <w:noWrap/>
            <w:vAlign w:val="bottom"/>
            <w:hideMark/>
          </w:tcPr>
          <w:p w14:paraId="1D98B57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15.766,39</w:t>
            </w:r>
          </w:p>
        </w:tc>
        <w:tc>
          <w:tcPr>
            <w:tcW w:w="993" w:type="dxa"/>
            <w:tcBorders>
              <w:top w:val="nil"/>
              <w:left w:val="nil"/>
              <w:bottom w:val="nil"/>
              <w:right w:val="nil"/>
            </w:tcBorders>
            <w:shd w:val="clear" w:color="000000" w:fill="CCCCFF"/>
            <w:noWrap/>
            <w:vAlign w:val="bottom"/>
            <w:hideMark/>
          </w:tcPr>
          <w:p w14:paraId="067554B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100,26%</w:t>
            </w:r>
          </w:p>
        </w:tc>
      </w:tr>
      <w:tr w:rsidR="006967F8" w:rsidRPr="006967F8" w14:paraId="5DEEAB98"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CBD7685"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5.5. Ostale pomoći  proračunskih korisnika</w:t>
            </w:r>
          </w:p>
        </w:tc>
        <w:tc>
          <w:tcPr>
            <w:tcW w:w="1559" w:type="dxa"/>
            <w:tcBorders>
              <w:top w:val="nil"/>
              <w:left w:val="nil"/>
              <w:bottom w:val="nil"/>
              <w:right w:val="nil"/>
            </w:tcBorders>
            <w:shd w:val="clear" w:color="000000" w:fill="CCCCFF"/>
            <w:noWrap/>
            <w:vAlign w:val="bottom"/>
            <w:hideMark/>
          </w:tcPr>
          <w:p w14:paraId="7B789D1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15.726,00</w:t>
            </w:r>
          </w:p>
        </w:tc>
        <w:tc>
          <w:tcPr>
            <w:tcW w:w="1559" w:type="dxa"/>
            <w:tcBorders>
              <w:top w:val="nil"/>
              <w:left w:val="nil"/>
              <w:bottom w:val="nil"/>
              <w:right w:val="nil"/>
            </w:tcBorders>
            <w:shd w:val="clear" w:color="000000" w:fill="CCCCFF"/>
            <w:noWrap/>
            <w:vAlign w:val="bottom"/>
            <w:hideMark/>
          </w:tcPr>
          <w:p w14:paraId="5D2F4DD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15.726,00</w:t>
            </w:r>
          </w:p>
        </w:tc>
        <w:tc>
          <w:tcPr>
            <w:tcW w:w="1559" w:type="dxa"/>
            <w:tcBorders>
              <w:top w:val="nil"/>
              <w:left w:val="nil"/>
              <w:bottom w:val="nil"/>
              <w:right w:val="nil"/>
            </w:tcBorders>
            <w:shd w:val="clear" w:color="000000" w:fill="CCCCFF"/>
            <w:noWrap/>
            <w:vAlign w:val="bottom"/>
            <w:hideMark/>
          </w:tcPr>
          <w:p w14:paraId="7ACA7D9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15.766,39</w:t>
            </w:r>
          </w:p>
        </w:tc>
        <w:tc>
          <w:tcPr>
            <w:tcW w:w="993" w:type="dxa"/>
            <w:tcBorders>
              <w:top w:val="nil"/>
              <w:left w:val="nil"/>
              <w:bottom w:val="nil"/>
              <w:right w:val="nil"/>
            </w:tcBorders>
            <w:shd w:val="clear" w:color="000000" w:fill="CCCCFF"/>
            <w:noWrap/>
            <w:vAlign w:val="bottom"/>
            <w:hideMark/>
          </w:tcPr>
          <w:p w14:paraId="4540B1B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100,26%</w:t>
            </w:r>
          </w:p>
        </w:tc>
      </w:tr>
      <w:tr w:rsidR="006967F8" w:rsidRPr="006967F8" w14:paraId="57AF4B15" w14:textId="77777777" w:rsidTr="008A61B1">
        <w:trPr>
          <w:trHeight w:val="255"/>
        </w:trPr>
        <w:tc>
          <w:tcPr>
            <w:tcW w:w="6096" w:type="dxa"/>
            <w:gridSpan w:val="2"/>
            <w:tcBorders>
              <w:top w:val="nil"/>
              <w:left w:val="nil"/>
              <w:bottom w:val="nil"/>
              <w:right w:val="nil"/>
            </w:tcBorders>
            <w:shd w:val="clear" w:color="000000" w:fill="FF9900"/>
            <w:noWrap/>
            <w:vAlign w:val="bottom"/>
            <w:hideMark/>
          </w:tcPr>
          <w:p w14:paraId="2839D89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1202 Program: KULTURA</w:t>
            </w:r>
          </w:p>
        </w:tc>
        <w:tc>
          <w:tcPr>
            <w:tcW w:w="1559" w:type="dxa"/>
            <w:tcBorders>
              <w:top w:val="nil"/>
              <w:left w:val="nil"/>
              <w:bottom w:val="nil"/>
              <w:right w:val="nil"/>
            </w:tcBorders>
            <w:shd w:val="clear" w:color="000000" w:fill="FF9900"/>
            <w:noWrap/>
            <w:vAlign w:val="bottom"/>
            <w:hideMark/>
          </w:tcPr>
          <w:p w14:paraId="4E35C6D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204.544,00</w:t>
            </w:r>
          </w:p>
        </w:tc>
        <w:tc>
          <w:tcPr>
            <w:tcW w:w="1559" w:type="dxa"/>
            <w:tcBorders>
              <w:top w:val="nil"/>
              <w:left w:val="nil"/>
              <w:bottom w:val="nil"/>
              <w:right w:val="nil"/>
            </w:tcBorders>
            <w:shd w:val="clear" w:color="000000" w:fill="FF9900"/>
            <w:noWrap/>
            <w:vAlign w:val="bottom"/>
            <w:hideMark/>
          </w:tcPr>
          <w:p w14:paraId="0019ADE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204.544,00</w:t>
            </w:r>
          </w:p>
        </w:tc>
        <w:tc>
          <w:tcPr>
            <w:tcW w:w="1559" w:type="dxa"/>
            <w:tcBorders>
              <w:top w:val="nil"/>
              <w:left w:val="nil"/>
              <w:bottom w:val="nil"/>
              <w:right w:val="nil"/>
            </w:tcBorders>
            <w:shd w:val="clear" w:color="000000" w:fill="FF9900"/>
            <w:noWrap/>
            <w:vAlign w:val="bottom"/>
            <w:hideMark/>
          </w:tcPr>
          <w:p w14:paraId="7431263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169.406,13</w:t>
            </w:r>
          </w:p>
        </w:tc>
        <w:tc>
          <w:tcPr>
            <w:tcW w:w="993" w:type="dxa"/>
            <w:tcBorders>
              <w:top w:val="nil"/>
              <w:left w:val="nil"/>
              <w:bottom w:val="nil"/>
              <w:right w:val="nil"/>
            </w:tcBorders>
            <w:shd w:val="clear" w:color="000000" w:fill="FF9900"/>
            <w:noWrap/>
            <w:vAlign w:val="bottom"/>
            <w:hideMark/>
          </w:tcPr>
          <w:p w14:paraId="1C933D9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82,82%</w:t>
            </w:r>
          </w:p>
        </w:tc>
      </w:tr>
      <w:tr w:rsidR="006967F8" w:rsidRPr="006967F8" w14:paraId="1ABCCDE4" w14:textId="77777777" w:rsidTr="008A61B1">
        <w:trPr>
          <w:trHeight w:val="525"/>
        </w:trPr>
        <w:tc>
          <w:tcPr>
            <w:tcW w:w="6096" w:type="dxa"/>
            <w:gridSpan w:val="2"/>
            <w:tcBorders>
              <w:top w:val="nil"/>
              <w:left w:val="nil"/>
              <w:bottom w:val="nil"/>
              <w:right w:val="nil"/>
            </w:tcBorders>
            <w:shd w:val="clear" w:color="000000" w:fill="FFFF99"/>
            <w:vAlign w:val="bottom"/>
            <w:hideMark/>
          </w:tcPr>
          <w:p w14:paraId="7AE0546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A100003 Aktivnost: FINANCIRANJE REDOVNE DJELATNOSTI - G. KNJIŽNICA</w:t>
            </w:r>
          </w:p>
        </w:tc>
        <w:tc>
          <w:tcPr>
            <w:tcW w:w="1559" w:type="dxa"/>
            <w:tcBorders>
              <w:top w:val="nil"/>
              <w:left w:val="nil"/>
              <w:bottom w:val="nil"/>
              <w:right w:val="nil"/>
            </w:tcBorders>
            <w:shd w:val="clear" w:color="000000" w:fill="FFFF99"/>
            <w:noWrap/>
            <w:vAlign w:val="bottom"/>
            <w:hideMark/>
          </w:tcPr>
          <w:p w14:paraId="0B138D6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201.618,00</w:t>
            </w:r>
          </w:p>
        </w:tc>
        <w:tc>
          <w:tcPr>
            <w:tcW w:w="1559" w:type="dxa"/>
            <w:tcBorders>
              <w:top w:val="nil"/>
              <w:left w:val="nil"/>
              <w:bottom w:val="nil"/>
              <w:right w:val="nil"/>
            </w:tcBorders>
            <w:shd w:val="clear" w:color="000000" w:fill="FFFF99"/>
            <w:noWrap/>
            <w:vAlign w:val="bottom"/>
            <w:hideMark/>
          </w:tcPr>
          <w:p w14:paraId="0823632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201.618,00</w:t>
            </w:r>
          </w:p>
        </w:tc>
        <w:tc>
          <w:tcPr>
            <w:tcW w:w="1559" w:type="dxa"/>
            <w:tcBorders>
              <w:top w:val="nil"/>
              <w:left w:val="nil"/>
              <w:bottom w:val="nil"/>
              <w:right w:val="nil"/>
            </w:tcBorders>
            <w:shd w:val="clear" w:color="000000" w:fill="FFFF99"/>
            <w:noWrap/>
            <w:vAlign w:val="bottom"/>
            <w:hideMark/>
          </w:tcPr>
          <w:p w14:paraId="509EDF3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169.406,13</w:t>
            </w:r>
          </w:p>
        </w:tc>
        <w:tc>
          <w:tcPr>
            <w:tcW w:w="993" w:type="dxa"/>
            <w:tcBorders>
              <w:top w:val="nil"/>
              <w:left w:val="nil"/>
              <w:bottom w:val="nil"/>
              <w:right w:val="nil"/>
            </w:tcBorders>
            <w:shd w:val="clear" w:color="000000" w:fill="FFFF99"/>
            <w:noWrap/>
            <w:vAlign w:val="bottom"/>
            <w:hideMark/>
          </w:tcPr>
          <w:p w14:paraId="79E67FA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84,02%</w:t>
            </w:r>
          </w:p>
        </w:tc>
      </w:tr>
      <w:tr w:rsidR="006967F8" w:rsidRPr="006967F8" w14:paraId="0F826122"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8336697"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46F382A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167.535,00</w:t>
            </w:r>
          </w:p>
        </w:tc>
        <w:tc>
          <w:tcPr>
            <w:tcW w:w="1559" w:type="dxa"/>
            <w:tcBorders>
              <w:top w:val="nil"/>
              <w:left w:val="nil"/>
              <w:bottom w:val="nil"/>
              <w:right w:val="nil"/>
            </w:tcBorders>
            <w:shd w:val="clear" w:color="000000" w:fill="CCCCFF"/>
            <w:noWrap/>
            <w:vAlign w:val="bottom"/>
            <w:hideMark/>
          </w:tcPr>
          <w:p w14:paraId="06E710D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167.535,00</w:t>
            </w:r>
          </w:p>
        </w:tc>
        <w:tc>
          <w:tcPr>
            <w:tcW w:w="1559" w:type="dxa"/>
            <w:tcBorders>
              <w:top w:val="nil"/>
              <w:left w:val="nil"/>
              <w:bottom w:val="nil"/>
              <w:right w:val="nil"/>
            </w:tcBorders>
            <w:shd w:val="clear" w:color="000000" w:fill="CCCCFF"/>
            <w:noWrap/>
            <w:vAlign w:val="bottom"/>
            <w:hideMark/>
          </w:tcPr>
          <w:p w14:paraId="697CC97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158.309,65</w:t>
            </w:r>
          </w:p>
        </w:tc>
        <w:tc>
          <w:tcPr>
            <w:tcW w:w="993" w:type="dxa"/>
            <w:tcBorders>
              <w:top w:val="nil"/>
              <w:left w:val="nil"/>
              <w:bottom w:val="nil"/>
              <w:right w:val="nil"/>
            </w:tcBorders>
            <w:shd w:val="clear" w:color="000000" w:fill="CCCCFF"/>
            <w:noWrap/>
            <w:vAlign w:val="bottom"/>
            <w:hideMark/>
          </w:tcPr>
          <w:p w14:paraId="734A96A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94,49%</w:t>
            </w:r>
          </w:p>
        </w:tc>
      </w:tr>
      <w:tr w:rsidR="006967F8" w:rsidRPr="006967F8" w14:paraId="3284AE3C"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7D50E86"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639AF4D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167.535,00</w:t>
            </w:r>
          </w:p>
        </w:tc>
        <w:tc>
          <w:tcPr>
            <w:tcW w:w="1559" w:type="dxa"/>
            <w:tcBorders>
              <w:top w:val="nil"/>
              <w:left w:val="nil"/>
              <w:bottom w:val="nil"/>
              <w:right w:val="nil"/>
            </w:tcBorders>
            <w:shd w:val="clear" w:color="000000" w:fill="CCCCFF"/>
            <w:noWrap/>
            <w:vAlign w:val="bottom"/>
            <w:hideMark/>
          </w:tcPr>
          <w:p w14:paraId="4AB06F0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167.535,00</w:t>
            </w:r>
          </w:p>
        </w:tc>
        <w:tc>
          <w:tcPr>
            <w:tcW w:w="1559" w:type="dxa"/>
            <w:tcBorders>
              <w:top w:val="nil"/>
              <w:left w:val="nil"/>
              <w:bottom w:val="nil"/>
              <w:right w:val="nil"/>
            </w:tcBorders>
            <w:shd w:val="clear" w:color="000000" w:fill="CCCCFF"/>
            <w:noWrap/>
            <w:vAlign w:val="bottom"/>
            <w:hideMark/>
          </w:tcPr>
          <w:p w14:paraId="6D9FD72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158.309,65</w:t>
            </w:r>
          </w:p>
        </w:tc>
        <w:tc>
          <w:tcPr>
            <w:tcW w:w="993" w:type="dxa"/>
            <w:tcBorders>
              <w:top w:val="nil"/>
              <w:left w:val="nil"/>
              <w:bottom w:val="nil"/>
              <w:right w:val="nil"/>
            </w:tcBorders>
            <w:shd w:val="clear" w:color="000000" w:fill="CCCCFF"/>
            <w:noWrap/>
            <w:vAlign w:val="bottom"/>
            <w:hideMark/>
          </w:tcPr>
          <w:p w14:paraId="280DBFD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94,49%</w:t>
            </w:r>
          </w:p>
        </w:tc>
      </w:tr>
      <w:tr w:rsidR="006967F8" w:rsidRPr="006967F8" w14:paraId="52961330" w14:textId="77777777" w:rsidTr="008A61B1">
        <w:trPr>
          <w:trHeight w:val="255"/>
        </w:trPr>
        <w:tc>
          <w:tcPr>
            <w:tcW w:w="1134" w:type="dxa"/>
            <w:tcBorders>
              <w:top w:val="nil"/>
              <w:left w:val="nil"/>
              <w:bottom w:val="nil"/>
              <w:right w:val="nil"/>
            </w:tcBorders>
            <w:noWrap/>
            <w:vAlign w:val="bottom"/>
            <w:hideMark/>
          </w:tcPr>
          <w:p w14:paraId="271D108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31</w:t>
            </w:r>
          </w:p>
        </w:tc>
        <w:tc>
          <w:tcPr>
            <w:tcW w:w="4962" w:type="dxa"/>
            <w:tcBorders>
              <w:top w:val="nil"/>
              <w:left w:val="nil"/>
              <w:bottom w:val="nil"/>
              <w:right w:val="nil"/>
            </w:tcBorders>
            <w:noWrap/>
            <w:vAlign w:val="bottom"/>
            <w:hideMark/>
          </w:tcPr>
          <w:p w14:paraId="211112D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zaposlene</w:t>
            </w:r>
          </w:p>
        </w:tc>
        <w:tc>
          <w:tcPr>
            <w:tcW w:w="1559" w:type="dxa"/>
            <w:tcBorders>
              <w:top w:val="nil"/>
              <w:left w:val="nil"/>
              <w:bottom w:val="nil"/>
              <w:right w:val="nil"/>
            </w:tcBorders>
            <w:noWrap/>
            <w:vAlign w:val="bottom"/>
            <w:hideMark/>
          </w:tcPr>
          <w:p w14:paraId="270CBA9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145.797,00</w:t>
            </w:r>
          </w:p>
        </w:tc>
        <w:tc>
          <w:tcPr>
            <w:tcW w:w="1559" w:type="dxa"/>
            <w:tcBorders>
              <w:top w:val="nil"/>
              <w:left w:val="nil"/>
              <w:bottom w:val="nil"/>
              <w:right w:val="nil"/>
            </w:tcBorders>
            <w:noWrap/>
            <w:vAlign w:val="bottom"/>
            <w:hideMark/>
          </w:tcPr>
          <w:p w14:paraId="2E5F0FB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145.797,00</w:t>
            </w:r>
          </w:p>
        </w:tc>
        <w:tc>
          <w:tcPr>
            <w:tcW w:w="1559" w:type="dxa"/>
            <w:tcBorders>
              <w:top w:val="nil"/>
              <w:left w:val="nil"/>
              <w:bottom w:val="nil"/>
              <w:right w:val="nil"/>
            </w:tcBorders>
            <w:noWrap/>
            <w:vAlign w:val="bottom"/>
            <w:hideMark/>
          </w:tcPr>
          <w:p w14:paraId="0FE9D52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141.589,43</w:t>
            </w:r>
          </w:p>
        </w:tc>
        <w:tc>
          <w:tcPr>
            <w:tcW w:w="993" w:type="dxa"/>
            <w:tcBorders>
              <w:top w:val="nil"/>
              <w:left w:val="nil"/>
              <w:bottom w:val="nil"/>
              <w:right w:val="nil"/>
            </w:tcBorders>
            <w:noWrap/>
            <w:vAlign w:val="bottom"/>
            <w:hideMark/>
          </w:tcPr>
          <w:p w14:paraId="18A37A4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97,11%</w:t>
            </w:r>
          </w:p>
        </w:tc>
      </w:tr>
      <w:tr w:rsidR="006967F8" w:rsidRPr="006967F8" w14:paraId="02625E18" w14:textId="77777777" w:rsidTr="008A61B1">
        <w:trPr>
          <w:trHeight w:val="255"/>
        </w:trPr>
        <w:tc>
          <w:tcPr>
            <w:tcW w:w="1134" w:type="dxa"/>
            <w:tcBorders>
              <w:top w:val="nil"/>
              <w:left w:val="nil"/>
              <w:bottom w:val="nil"/>
              <w:right w:val="nil"/>
            </w:tcBorders>
            <w:noWrap/>
            <w:vAlign w:val="bottom"/>
            <w:hideMark/>
          </w:tcPr>
          <w:p w14:paraId="626AF0C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3111</w:t>
            </w:r>
          </w:p>
        </w:tc>
        <w:tc>
          <w:tcPr>
            <w:tcW w:w="4962" w:type="dxa"/>
            <w:tcBorders>
              <w:top w:val="nil"/>
              <w:left w:val="nil"/>
              <w:bottom w:val="nil"/>
              <w:right w:val="nil"/>
            </w:tcBorders>
            <w:noWrap/>
            <w:vAlign w:val="bottom"/>
            <w:hideMark/>
          </w:tcPr>
          <w:p w14:paraId="3BA3E20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Plaće za redovan rad</w:t>
            </w:r>
          </w:p>
        </w:tc>
        <w:tc>
          <w:tcPr>
            <w:tcW w:w="1559" w:type="dxa"/>
            <w:tcBorders>
              <w:top w:val="nil"/>
              <w:left w:val="nil"/>
              <w:bottom w:val="nil"/>
              <w:right w:val="nil"/>
            </w:tcBorders>
            <w:noWrap/>
            <w:vAlign w:val="bottom"/>
            <w:hideMark/>
          </w:tcPr>
          <w:p w14:paraId="1923EBCF"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21A2AEF"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0EDD849"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95.728,32</w:t>
            </w:r>
          </w:p>
        </w:tc>
        <w:tc>
          <w:tcPr>
            <w:tcW w:w="993" w:type="dxa"/>
            <w:tcBorders>
              <w:top w:val="nil"/>
              <w:left w:val="nil"/>
              <w:bottom w:val="nil"/>
              <w:right w:val="nil"/>
            </w:tcBorders>
            <w:noWrap/>
            <w:vAlign w:val="bottom"/>
            <w:hideMark/>
          </w:tcPr>
          <w:p w14:paraId="0F8F2A9C"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84328DC" w14:textId="77777777" w:rsidTr="008A61B1">
        <w:trPr>
          <w:trHeight w:val="255"/>
        </w:trPr>
        <w:tc>
          <w:tcPr>
            <w:tcW w:w="1134" w:type="dxa"/>
            <w:tcBorders>
              <w:top w:val="nil"/>
              <w:left w:val="nil"/>
              <w:bottom w:val="nil"/>
              <w:right w:val="nil"/>
            </w:tcBorders>
            <w:noWrap/>
            <w:vAlign w:val="bottom"/>
            <w:hideMark/>
          </w:tcPr>
          <w:p w14:paraId="12C073C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3121</w:t>
            </w:r>
          </w:p>
        </w:tc>
        <w:tc>
          <w:tcPr>
            <w:tcW w:w="4962" w:type="dxa"/>
            <w:tcBorders>
              <w:top w:val="nil"/>
              <w:left w:val="nil"/>
              <w:bottom w:val="nil"/>
              <w:right w:val="nil"/>
            </w:tcBorders>
            <w:noWrap/>
            <w:vAlign w:val="bottom"/>
            <w:hideMark/>
          </w:tcPr>
          <w:p w14:paraId="7C26171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rashodi za zaposlene</w:t>
            </w:r>
          </w:p>
        </w:tc>
        <w:tc>
          <w:tcPr>
            <w:tcW w:w="1559" w:type="dxa"/>
            <w:tcBorders>
              <w:top w:val="nil"/>
              <w:left w:val="nil"/>
              <w:bottom w:val="nil"/>
              <w:right w:val="nil"/>
            </w:tcBorders>
            <w:noWrap/>
            <w:vAlign w:val="bottom"/>
            <w:hideMark/>
          </w:tcPr>
          <w:p w14:paraId="5C51E6D6"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D119335"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6492E92"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30.065,92</w:t>
            </w:r>
          </w:p>
        </w:tc>
        <w:tc>
          <w:tcPr>
            <w:tcW w:w="993" w:type="dxa"/>
            <w:tcBorders>
              <w:top w:val="nil"/>
              <w:left w:val="nil"/>
              <w:bottom w:val="nil"/>
              <w:right w:val="nil"/>
            </w:tcBorders>
            <w:noWrap/>
            <w:vAlign w:val="bottom"/>
            <w:hideMark/>
          </w:tcPr>
          <w:p w14:paraId="308C7A78"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14A5FED" w14:textId="77777777" w:rsidTr="008A61B1">
        <w:trPr>
          <w:trHeight w:val="255"/>
        </w:trPr>
        <w:tc>
          <w:tcPr>
            <w:tcW w:w="1134" w:type="dxa"/>
            <w:tcBorders>
              <w:top w:val="nil"/>
              <w:left w:val="nil"/>
              <w:bottom w:val="nil"/>
              <w:right w:val="nil"/>
            </w:tcBorders>
            <w:noWrap/>
            <w:vAlign w:val="bottom"/>
            <w:hideMark/>
          </w:tcPr>
          <w:p w14:paraId="63833C8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3132</w:t>
            </w:r>
          </w:p>
        </w:tc>
        <w:tc>
          <w:tcPr>
            <w:tcW w:w="4962" w:type="dxa"/>
            <w:tcBorders>
              <w:top w:val="nil"/>
              <w:left w:val="nil"/>
              <w:bottom w:val="nil"/>
              <w:right w:val="nil"/>
            </w:tcBorders>
            <w:noWrap/>
            <w:vAlign w:val="bottom"/>
            <w:hideMark/>
          </w:tcPr>
          <w:p w14:paraId="3CB651F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Doprinosi za obvezno zdravstveno osiguranje</w:t>
            </w:r>
          </w:p>
        </w:tc>
        <w:tc>
          <w:tcPr>
            <w:tcW w:w="1559" w:type="dxa"/>
            <w:tcBorders>
              <w:top w:val="nil"/>
              <w:left w:val="nil"/>
              <w:bottom w:val="nil"/>
              <w:right w:val="nil"/>
            </w:tcBorders>
            <w:noWrap/>
            <w:vAlign w:val="bottom"/>
            <w:hideMark/>
          </w:tcPr>
          <w:p w14:paraId="3972AC9F"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F552554"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085F1FE"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15.795,19</w:t>
            </w:r>
          </w:p>
        </w:tc>
        <w:tc>
          <w:tcPr>
            <w:tcW w:w="993" w:type="dxa"/>
            <w:tcBorders>
              <w:top w:val="nil"/>
              <w:left w:val="nil"/>
              <w:bottom w:val="nil"/>
              <w:right w:val="nil"/>
            </w:tcBorders>
            <w:noWrap/>
            <w:vAlign w:val="bottom"/>
            <w:hideMark/>
          </w:tcPr>
          <w:p w14:paraId="2DA15519"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E0D6979" w14:textId="77777777" w:rsidTr="008A61B1">
        <w:trPr>
          <w:trHeight w:val="255"/>
        </w:trPr>
        <w:tc>
          <w:tcPr>
            <w:tcW w:w="1134" w:type="dxa"/>
            <w:tcBorders>
              <w:top w:val="nil"/>
              <w:left w:val="nil"/>
              <w:bottom w:val="nil"/>
              <w:right w:val="nil"/>
            </w:tcBorders>
            <w:noWrap/>
            <w:vAlign w:val="bottom"/>
            <w:hideMark/>
          </w:tcPr>
          <w:p w14:paraId="3D4EBCC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10AD374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602DC50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15.011,00</w:t>
            </w:r>
          </w:p>
        </w:tc>
        <w:tc>
          <w:tcPr>
            <w:tcW w:w="1559" w:type="dxa"/>
            <w:tcBorders>
              <w:top w:val="nil"/>
              <w:left w:val="nil"/>
              <w:bottom w:val="nil"/>
              <w:right w:val="nil"/>
            </w:tcBorders>
            <w:noWrap/>
            <w:vAlign w:val="bottom"/>
            <w:hideMark/>
          </w:tcPr>
          <w:p w14:paraId="56EC868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15.011,00</w:t>
            </w:r>
          </w:p>
        </w:tc>
        <w:tc>
          <w:tcPr>
            <w:tcW w:w="1559" w:type="dxa"/>
            <w:tcBorders>
              <w:top w:val="nil"/>
              <w:left w:val="nil"/>
              <w:bottom w:val="nil"/>
              <w:right w:val="nil"/>
            </w:tcBorders>
            <w:noWrap/>
            <w:vAlign w:val="bottom"/>
            <w:hideMark/>
          </w:tcPr>
          <w:p w14:paraId="4AF1622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10.971,64</w:t>
            </w:r>
          </w:p>
        </w:tc>
        <w:tc>
          <w:tcPr>
            <w:tcW w:w="993" w:type="dxa"/>
            <w:tcBorders>
              <w:top w:val="nil"/>
              <w:left w:val="nil"/>
              <w:bottom w:val="nil"/>
              <w:right w:val="nil"/>
            </w:tcBorders>
            <w:noWrap/>
            <w:vAlign w:val="bottom"/>
            <w:hideMark/>
          </w:tcPr>
          <w:p w14:paraId="294F30B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73,09%</w:t>
            </w:r>
          </w:p>
        </w:tc>
      </w:tr>
      <w:tr w:rsidR="006967F8" w:rsidRPr="006967F8" w14:paraId="57A68345" w14:textId="77777777" w:rsidTr="008A61B1">
        <w:trPr>
          <w:trHeight w:val="255"/>
        </w:trPr>
        <w:tc>
          <w:tcPr>
            <w:tcW w:w="1134" w:type="dxa"/>
            <w:tcBorders>
              <w:top w:val="nil"/>
              <w:left w:val="nil"/>
              <w:bottom w:val="nil"/>
              <w:right w:val="nil"/>
            </w:tcBorders>
            <w:noWrap/>
            <w:vAlign w:val="bottom"/>
            <w:hideMark/>
          </w:tcPr>
          <w:p w14:paraId="4394243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3212</w:t>
            </w:r>
          </w:p>
        </w:tc>
        <w:tc>
          <w:tcPr>
            <w:tcW w:w="4962" w:type="dxa"/>
            <w:tcBorders>
              <w:top w:val="nil"/>
              <w:left w:val="nil"/>
              <w:bottom w:val="nil"/>
              <w:right w:val="nil"/>
            </w:tcBorders>
            <w:noWrap/>
            <w:vAlign w:val="bottom"/>
            <w:hideMark/>
          </w:tcPr>
          <w:p w14:paraId="253F3DD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Naknade za prijevoz, za rad na terenu i odvojeni život</w:t>
            </w:r>
          </w:p>
        </w:tc>
        <w:tc>
          <w:tcPr>
            <w:tcW w:w="1559" w:type="dxa"/>
            <w:tcBorders>
              <w:top w:val="nil"/>
              <w:left w:val="nil"/>
              <w:bottom w:val="nil"/>
              <w:right w:val="nil"/>
            </w:tcBorders>
            <w:noWrap/>
            <w:vAlign w:val="bottom"/>
            <w:hideMark/>
          </w:tcPr>
          <w:p w14:paraId="0633F005"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18BA8EA"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5DBDC38"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450,00</w:t>
            </w:r>
          </w:p>
        </w:tc>
        <w:tc>
          <w:tcPr>
            <w:tcW w:w="993" w:type="dxa"/>
            <w:tcBorders>
              <w:top w:val="nil"/>
              <w:left w:val="nil"/>
              <w:bottom w:val="nil"/>
              <w:right w:val="nil"/>
            </w:tcBorders>
            <w:noWrap/>
            <w:vAlign w:val="bottom"/>
            <w:hideMark/>
          </w:tcPr>
          <w:p w14:paraId="4E9C278F"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AA41438" w14:textId="77777777" w:rsidTr="008A61B1">
        <w:trPr>
          <w:trHeight w:val="255"/>
        </w:trPr>
        <w:tc>
          <w:tcPr>
            <w:tcW w:w="1134" w:type="dxa"/>
            <w:tcBorders>
              <w:top w:val="nil"/>
              <w:left w:val="nil"/>
              <w:bottom w:val="nil"/>
              <w:right w:val="nil"/>
            </w:tcBorders>
            <w:noWrap/>
            <w:vAlign w:val="bottom"/>
            <w:hideMark/>
          </w:tcPr>
          <w:p w14:paraId="2A06E49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3223</w:t>
            </w:r>
          </w:p>
        </w:tc>
        <w:tc>
          <w:tcPr>
            <w:tcW w:w="4962" w:type="dxa"/>
            <w:tcBorders>
              <w:top w:val="nil"/>
              <w:left w:val="nil"/>
              <w:bottom w:val="nil"/>
              <w:right w:val="nil"/>
            </w:tcBorders>
            <w:noWrap/>
            <w:vAlign w:val="bottom"/>
            <w:hideMark/>
          </w:tcPr>
          <w:p w14:paraId="657CCF6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Energija</w:t>
            </w:r>
          </w:p>
        </w:tc>
        <w:tc>
          <w:tcPr>
            <w:tcW w:w="1559" w:type="dxa"/>
            <w:tcBorders>
              <w:top w:val="nil"/>
              <w:left w:val="nil"/>
              <w:bottom w:val="nil"/>
              <w:right w:val="nil"/>
            </w:tcBorders>
            <w:noWrap/>
            <w:vAlign w:val="bottom"/>
            <w:hideMark/>
          </w:tcPr>
          <w:p w14:paraId="002E3629"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7E060CB"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5EE116E"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1.145,23</w:t>
            </w:r>
          </w:p>
        </w:tc>
        <w:tc>
          <w:tcPr>
            <w:tcW w:w="993" w:type="dxa"/>
            <w:tcBorders>
              <w:top w:val="nil"/>
              <w:left w:val="nil"/>
              <w:bottom w:val="nil"/>
              <w:right w:val="nil"/>
            </w:tcBorders>
            <w:noWrap/>
            <w:vAlign w:val="bottom"/>
            <w:hideMark/>
          </w:tcPr>
          <w:p w14:paraId="591F8E54"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3706D63" w14:textId="77777777" w:rsidTr="008A61B1">
        <w:trPr>
          <w:trHeight w:val="255"/>
        </w:trPr>
        <w:tc>
          <w:tcPr>
            <w:tcW w:w="1134" w:type="dxa"/>
            <w:tcBorders>
              <w:top w:val="nil"/>
              <w:left w:val="nil"/>
              <w:bottom w:val="nil"/>
              <w:right w:val="nil"/>
            </w:tcBorders>
            <w:noWrap/>
            <w:vAlign w:val="bottom"/>
            <w:hideMark/>
          </w:tcPr>
          <w:p w14:paraId="73A86AC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3225</w:t>
            </w:r>
          </w:p>
        </w:tc>
        <w:tc>
          <w:tcPr>
            <w:tcW w:w="4962" w:type="dxa"/>
            <w:tcBorders>
              <w:top w:val="nil"/>
              <w:left w:val="nil"/>
              <w:bottom w:val="nil"/>
              <w:right w:val="nil"/>
            </w:tcBorders>
            <w:noWrap/>
            <w:vAlign w:val="bottom"/>
            <w:hideMark/>
          </w:tcPr>
          <w:p w14:paraId="1F163F1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 xml:space="preserve">Sitni inventar i </w:t>
            </w:r>
            <w:proofErr w:type="spellStart"/>
            <w:r w:rsidRPr="006967F8">
              <w:rPr>
                <w:rFonts w:ascii="Arial" w:eastAsia="Times New Roman" w:hAnsi="Arial" w:cs="Arial"/>
                <w:sz w:val="20"/>
                <w:szCs w:val="20"/>
                <w:lang w:eastAsia="hr-HR"/>
              </w:rPr>
              <w:t>autogume</w:t>
            </w:r>
            <w:proofErr w:type="spellEnd"/>
          </w:p>
        </w:tc>
        <w:tc>
          <w:tcPr>
            <w:tcW w:w="1559" w:type="dxa"/>
            <w:tcBorders>
              <w:top w:val="nil"/>
              <w:left w:val="nil"/>
              <w:bottom w:val="nil"/>
              <w:right w:val="nil"/>
            </w:tcBorders>
            <w:noWrap/>
            <w:vAlign w:val="bottom"/>
            <w:hideMark/>
          </w:tcPr>
          <w:p w14:paraId="337F690A"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9ED7EFF"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72DD8B9"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456,46</w:t>
            </w:r>
          </w:p>
        </w:tc>
        <w:tc>
          <w:tcPr>
            <w:tcW w:w="993" w:type="dxa"/>
            <w:tcBorders>
              <w:top w:val="nil"/>
              <w:left w:val="nil"/>
              <w:bottom w:val="nil"/>
              <w:right w:val="nil"/>
            </w:tcBorders>
            <w:noWrap/>
            <w:vAlign w:val="bottom"/>
            <w:hideMark/>
          </w:tcPr>
          <w:p w14:paraId="64E0141C"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7587482" w14:textId="77777777" w:rsidTr="008A61B1">
        <w:trPr>
          <w:trHeight w:val="255"/>
        </w:trPr>
        <w:tc>
          <w:tcPr>
            <w:tcW w:w="1134" w:type="dxa"/>
            <w:tcBorders>
              <w:top w:val="nil"/>
              <w:left w:val="nil"/>
              <w:bottom w:val="nil"/>
              <w:right w:val="nil"/>
            </w:tcBorders>
            <w:noWrap/>
            <w:vAlign w:val="bottom"/>
            <w:hideMark/>
          </w:tcPr>
          <w:p w14:paraId="0B21221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3233</w:t>
            </w:r>
          </w:p>
        </w:tc>
        <w:tc>
          <w:tcPr>
            <w:tcW w:w="4962" w:type="dxa"/>
            <w:tcBorders>
              <w:top w:val="nil"/>
              <w:left w:val="nil"/>
              <w:bottom w:val="nil"/>
              <w:right w:val="nil"/>
            </w:tcBorders>
            <w:noWrap/>
            <w:vAlign w:val="bottom"/>
            <w:hideMark/>
          </w:tcPr>
          <w:p w14:paraId="1124BB5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promidžbe i informiranja</w:t>
            </w:r>
          </w:p>
        </w:tc>
        <w:tc>
          <w:tcPr>
            <w:tcW w:w="1559" w:type="dxa"/>
            <w:tcBorders>
              <w:top w:val="nil"/>
              <w:left w:val="nil"/>
              <w:bottom w:val="nil"/>
              <w:right w:val="nil"/>
            </w:tcBorders>
            <w:noWrap/>
            <w:vAlign w:val="bottom"/>
            <w:hideMark/>
          </w:tcPr>
          <w:p w14:paraId="4934F325"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F609ECC"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8B8AF1C"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520,77</w:t>
            </w:r>
          </w:p>
        </w:tc>
        <w:tc>
          <w:tcPr>
            <w:tcW w:w="993" w:type="dxa"/>
            <w:tcBorders>
              <w:top w:val="nil"/>
              <w:left w:val="nil"/>
              <w:bottom w:val="nil"/>
              <w:right w:val="nil"/>
            </w:tcBorders>
            <w:noWrap/>
            <w:vAlign w:val="bottom"/>
            <w:hideMark/>
          </w:tcPr>
          <w:p w14:paraId="30228516"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177B744" w14:textId="77777777" w:rsidTr="008A61B1">
        <w:trPr>
          <w:trHeight w:val="255"/>
        </w:trPr>
        <w:tc>
          <w:tcPr>
            <w:tcW w:w="1134" w:type="dxa"/>
            <w:tcBorders>
              <w:top w:val="nil"/>
              <w:left w:val="nil"/>
              <w:bottom w:val="nil"/>
              <w:right w:val="nil"/>
            </w:tcBorders>
            <w:noWrap/>
            <w:vAlign w:val="bottom"/>
            <w:hideMark/>
          </w:tcPr>
          <w:p w14:paraId="577A7F0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3237</w:t>
            </w:r>
          </w:p>
        </w:tc>
        <w:tc>
          <w:tcPr>
            <w:tcW w:w="4962" w:type="dxa"/>
            <w:tcBorders>
              <w:top w:val="nil"/>
              <w:left w:val="nil"/>
              <w:bottom w:val="nil"/>
              <w:right w:val="nil"/>
            </w:tcBorders>
            <w:noWrap/>
            <w:vAlign w:val="bottom"/>
            <w:hideMark/>
          </w:tcPr>
          <w:p w14:paraId="1169488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Intelektualne i osobne usluge</w:t>
            </w:r>
          </w:p>
        </w:tc>
        <w:tc>
          <w:tcPr>
            <w:tcW w:w="1559" w:type="dxa"/>
            <w:tcBorders>
              <w:top w:val="nil"/>
              <w:left w:val="nil"/>
              <w:bottom w:val="nil"/>
              <w:right w:val="nil"/>
            </w:tcBorders>
            <w:noWrap/>
            <w:vAlign w:val="bottom"/>
            <w:hideMark/>
          </w:tcPr>
          <w:p w14:paraId="0F0F3F7A"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702F127"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6EA4A19"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4.802,64</w:t>
            </w:r>
          </w:p>
        </w:tc>
        <w:tc>
          <w:tcPr>
            <w:tcW w:w="993" w:type="dxa"/>
            <w:tcBorders>
              <w:top w:val="nil"/>
              <w:left w:val="nil"/>
              <w:bottom w:val="nil"/>
              <w:right w:val="nil"/>
            </w:tcBorders>
            <w:noWrap/>
            <w:vAlign w:val="bottom"/>
            <w:hideMark/>
          </w:tcPr>
          <w:p w14:paraId="05296E43"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7907F03" w14:textId="77777777" w:rsidTr="008A61B1">
        <w:trPr>
          <w:trHeight w:val="255"/>
        </w:trPr>
        <w:tc>
          <w:tcPr>
            <w:tcW w:w="1134" w:type="dxa"/>
            <w:tcBorders>
              <w:top w:val="nil"/>
              <w:left w:val="nil"/>
              <w:bottom w:val="nil"/>
              <w:right w:val="nil"/>
            </w:tcBorders>
            <w:noWrap/>
            <w:vAlign w:val="bottom"/>
            <w:hideMark/>
          </w:tcPr>
          <w:p w14:paraId="08BE64A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3238</w:t>
            </w:r>
          </w:p>
        </w:tc>
        <w:tc>
          <w:tcPr>
            <w:tcW w:w="4962" w:type="dxa"/>
            <w:tcBorders>
              <w:top w:val="nil"/>
              <w:left w:val="nil"/>
              <w:bottom w:val="nil"/>
              <w:right w:val="nil"/>
            </w:tcBorders>
            <w:noWrap/>
            <w:vAlign w:val="bottom"/>
            <w:hideMark/>
          </w:tcPr>
          <w:p w14:paraId="0B280FF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Računalne usluge</w:t>
            </w:r>
          </w:p>
        </w:tc>
        <w:tc>
          <w:tcPr>
            <w:tcW w:w="1559" w:type="dxa"/>
            <w:tcBorders>
              <w:top w:val="nil"/>
              <w:left w:val="nil"/>
              <w:bottom w:val="nil"/>
              <w:right w:val="nil"/>
            </w:tcBorders>
            <w:noWrap/>
            <w:vAlign w:val="bottom"/>
            <w:hideMark/>
          </w:tcPr>
          <w:p w14:paraId="1AF87003"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7EDE64D"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CA8EF31"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559,60</w:t>
            </w:r>
          </w:p>
        </w:tc>
        <w:tc>
          <w:tcPr>
            <w:tcW w:w="993" w:type="dxa"/>
            <w:tcBorders>
              <w:top w:val="nil"/>
              <w:left w:val="nil"/>
              <w:bottom w:val="nil"/>
              <w:right w:val="nil"/>
            </w:tcBorders>
            <w:noWrap/>
            <w:vAlign w:val="bottom"/>
            <w:hideMark/>
          </w:tcPr>
          <w:p w14:paraId="47ECEEC3"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19FC688" w14:textId="77777777" w:rsidTr="008A61B1">
        <w:trPr>
          <w:trHeight w:val="255"/>
        </w:trPr>
        <w:tc>
          <w:tcPr>
            <w:tcW w:w="1134" w:type="dxa"/>
            <w:tcBorders>
              <w:top w:val="nil"/>
              <w:left w:val="nil"/>
              <w:bottom w:val="nil"/>
              <w:right w:val="nil"/>
            </w:tcBorders>
            <w:noWrap/>
            <w:vAlign w:val="bottom"/>
            <w:hideMark/>
          </w:tcPr>
          <w:p w14:paraId="2D657D9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3239</w:t>
            </w:r>
          </w:p>
        </w:tc>
        <w:tc>
          <w:tcPr>
            <w:tcW w:w="4962" w:type="dxa"/>
            <w:tcBorders>
              <w:top w:val="nil"/>
              <w:left w:val="nil"/>
              <w:bottom w:val="nil"/>
              <w:right w:val="nil"/>
            </w:tcBorders>
            <w:noWrap/>
            <w:vAlign w:val="bottom"/>
            <w:hideMark/>
          </w:tcPr>
          <w:p w14:paraId="298EF79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Ostale usluge</w:t>
            </w:r>
          </w:p>
        </w:tc>
        <w:tc>
          <w:tcPr>
            <w:tcW w:w="1559" w:type="dxa"/>
            <w:tcBorders>
              <w:top w:val="nil"/>
              <w:left w:val="nil"/>
              <w:bottom w:val="nil"/>
              <w:right w:val="nil"/>
            </w:tcBorders>
            <w:noWrap/>
            <w:vAlign w:val="bottom"/>
            <w:hideMark/>
          </w:tcPr>
          <w:p w14:paraId="6CBD6CD7"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A056027"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B468F4E"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3.036,94</w:t>
            </w:r>
          </w:p>
        </w:tc>
        <w:tc>
          <w:tcPr>
            <w:tcW w:w="993" w:type="dxa"/>
            <w:tcBorders>
              <w:top w:val="nil"/>
              <w:left w:val="nil"/>
              <w:bottom w:val="nil"/>
              <w:right w:val="nil"/>
            </w:tcBorders>
            <w:noWrap/>
            <w:vAlign w:val="bottom"/>
            <w:hideMark/>
          </w:tcPr>
          <w:p w14:paraId="5CF4AD0D"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B116863" w14:textId="77777777" w:rsidTr="008A61B1">
        <w:trPr>
          <w:trHeight w:val="510"/>
        </w:trPr>
        <w:tc>
          <w:tcPr>
            <w:tcW w:w="1134" w:type="dxa"/>
            <w:tcBorders>
              <w:top w:val="nil"/>
              <w:left w:val="nil"/>
              <w:bottom w:val="nil"/>
              <w:right w:val="nil"/>
            </w:tcBorders>
            <w:noWrap/>
            <w:vAlign w:val="bottom"/>
            <w:hideMark/>
          </w:tcPr>
          <w:p w14:paraId="59901E1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lastRenderedPageBreak/>
              <w:t>41</w:t>
            </w:r>
          </w:p>
        </w:tc>
        <w:tc>
          <w:tcPr>
            <w:tcW w:w="4962" w:type="dxa"/>
            <w:tcBorders>
              <w:top w:val="nil"/>
              <w:left w:val="nil"/>
              <w:bottom w:val="nil"/>
              <w:right w:val="nil"/>
            </w:tcBorders>
            <w:vAlign w:val="bottom"/>
            <w:hideMark/>
          </w:tcPr>
          <w:p w14:paraId="08DEDAD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Rashodi za nabavu </w:t>
            </w:r>
            <w:proofErr w:type="spellStart"/>
            <w:r w:rsidRPr="006967F8">
              <w:rPr>
                <w:rFonts w:ascii="Arial" w:eastAsia="Times New Roman" w:hAnsi="Arial" w:cs="Arial"/>
                <w:b/>
                <w:bCs/>
                <w:sz w:val="20"/>
                <w:szCs w:val="20"/>
                <w:lang w:eastAsia="hr-HR"/>
              </w:rPr>
              <w:t>neproizvedene</w:t>
            </w:r>
            <w:proofErr w:type="spellEnd"/>
            <w:r w:rsidRPr="006967F8">
              <w:rPr>
                <w:rFonts w:ascii="Arial" w:eastAsia="Times New Roman" w:hAnsi="Arial" w:cs="Arial"/>
                <w:b/>
                <w:bCs/>
                <w:sz w:val="20"/>
                <w:szCs w:val="20"/>
                <w:lang w:eastAsia="hr-HR"/>
              </w:rPr>
              <w:t xml:space="preserve"> dugotrajne imovine</w:t>
            </w:r>
          </w:p>
        </w:tc>
        <w:tc>
          <w:tcPr>
            <w:tcW w:w="1559" w:type="dxa"/>
            <w:tcBorders>
              <w:top w:val="nil"/>
              <w:left w:val="nil"/>
              <w:bottom w:val="nil"/>
              <w:right w:val="nil"/>
            </w:tcBorders>
            <w:noWrap/>
            <w:vAlign w:val="bottom"/>
            <w:hideMark/>
          </w:tcPr>
          <w:p w14:paraId="687DD0A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1.400,00</w:t>
            </w:r>
          </w:p>
        </w:tc>
        <w:tc>
          <w:tcPr>
            <w:tcW w:w="1559" w:type="dxa"/>
            <w:tcBorders>
              <w:top w:val="nil"/>
              <w:left w:val="nil"/>
              <w:bottom w:val="nil"/>
              <w:right w:val="nil"/>
            </w:tcBorders>
            <w:noWrap/>
            <w:vAlign w:val="bottom"/>
            <w:hideMark/>
          </w:tcPr>
          <w:p w14:paraId="3DB9939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1.400,00</w:t>
            </w:r>
          </w:p>
        </w:tc>
        <w:tc>
          <w:tcPr>
            <w:tcW w:w="1559" w:type="dxa"/>
            <w:tcBorders>
              <w:top w:val="nil"/>
              <w:left w:val="nil"/>
              <w:bottom w:val="nil"/>
              <w:right w:val="nil"/>
            </w:tcBorders>
            <w:noWrap/>
            <w:vAlign w:val="bottom"/>
            <w:hideMark/>
          </w:tcPr>
          <w:p w14:paraId="1360FA2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421,58</w:t>
            </w:r>
          </w:p>
        </w:tc>
        <w:tc>
          <w:tcPr>
            <w:tcW w:w="993" w:type="dxa"/>
            <w:tcBorders>
              <w:top w:val="nil"/>
              <w:left w:val="nil"/>
              <w:bottom w:val="nil"/>
              <w:right w:val="nil"/>
            </w:tcBorders>
            <w:noWrap/>
            <w:vAlign w:val="bottom"/>
            <w:hideMark/>
          </w:tcPr>
          <w:p w14:paraId="0A69774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30,11%</w:t>
            </w:r>
          </w:p>
        </w:tc>
      </w:tr>
      <w:tr w:rsidR="006967F8" w:rsidRPr="006967F8" w14:paraId="76C9E00C" w14:textId="77777777" w:rsidTr="008A61B1">
        <w:trPr>
          <w:trHeight w:val="255"/>
        </w:trPr>
        <w:tc>
          <w:tcPr>
            <w:tcW w:w="1134" w:type="dxa"/>
            <w:tcBorders>
              <w:top w:val="nil"/>
              <w:left w:val="nil"/>
              <w:bottom w:val="nil"/>
              <w:right w:val="nil"/>
            </w:tcBorders>
            <w:noWrap/>
            <w:vAlign w:val="bottom"/>
            <w:hideMark/>
          </w:tcPr>
          <w:p w14:paraId="35DE5B0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4123</w:t>
            </w:r>
          </w:p>
        </w:tc>
        <w:tc>
          <w:tcPr>
            <w:tcW w:w="4962" w:type="dxa"/>
            <w:tcBorders>
              <w:top w:val="nil"/>
              <w:left w:val="nil"/>
              <w:bottom w:val="nil"/>
              <w:right w:val="nil"/>
            </w:tcBorders>
            <w:noWrap/>
            <w:vAlign w:val="bottom"/>
            <w:hideMark/>
          </w:tcPr>
          <w:p w14:paraId="2E571D2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Licence</w:t>
            </w:r>
          </w:p>
        </w:tc>
        <w:tc>
          <w:tcPr>
            <w:tcW w:w="1559" w:type="dxa"/>
            <w:tcBorders>
              <w:top w:val="nil"/>
              <w:left w:val="nil"/>
              <w:bottom w:val="nil"/>
              <w:right w:val="nil"/>
            </w:tcBorders>
            <w:noWrap/>
            <w:vAlign w:val="bottom"/>
            <w:hideMark/>
          </w:tcPr>
          <w:p w14:paraId="5F06DD9A"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57034C3"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CA4F22F"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421,58</w:t>
            </w:r>
          </w:p>
        </w:tc>
        <w:tc>
          <w:tcPr>
            <w:tcW w:w="993" w:type="dxa"/>
            <w:tcBorders>
              <w:top w:val="nil"/>
              <w:left w:val="nil"/>
              <w:bottom w:val="nil"/>
              <w:right w:val="nil"/>
            </w:tcBorders>
            <w:noWrap/>
            <w:vAlign w:val="bottom"/>
            <w:hideMark/>
          </w:tcPr>
          <w:p w14:paraId="3EEBCAA5"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F982B30" w14:textId="77777777" w:rsidTr="008A61B1">
        <w:trPr>
          <w:trHeight w:val="570"/>
        </w:trPr>
        <w:tc>
          <w:tcPr>
            <w:tcW w:w="1134" w:type="dxa"/>
            <w:tcBorders>
              <w:top w:val="nil"/>
              <w:left w:val="nil"/>
              <w:bottom w:val="nil"/>
              <w:right w:val="nil"/>
            </w:tcBorders>
            <w:noWrap/>
            <w:vAlign w:val="bottom"/>
            <w:hideMark/>
          </w:tcPr>
          <w:p w14:paraId="39A530D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114F3A9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27886DB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5.327,00</w:t>
            </w:r>
          </w:p>
        </w:tc>
        <w:tc>
          <w:tcPr>
            <w:tcW w:w="1559" w:type="dxa"/>
            <w:tcBorders>
              <w:top w:val="nil"/>
              <w:left w:val="nil"/>
              <w:bottom w:val="nil"/>
              <w:right w:val="nil"/>
            </w:tcBorders>
            <w:noWrap/>
            <w:vAlign w:val="bottom"/>
            <w:hideMark/>
          </w:tcPr>
          <w:p w14:paraId="37E575F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5.327,00</w:t>
            </w:r>
          </w:p>
        </w:tc>
        <w:tc>
          <w:tcPr>
            <w:tcW w:w="1559" w:type="dxa"/>
            <w:tcBorders>
              <w:top w:val="nil"/>
              <w:left w:val="nil"/>
              <w:bottom w:val="nil"/>
              <w:right w:val="nil"/>
            </w:tcBorders>
            <w:noWrap/>
            <w:vAlign w:val="bottom"/>
            <w:hideMark/>
          </w:tcPr>
          <w:p w14:paraId="78EB944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5.327,00</w:t>
            </w:r>
          </w:p>
        </w:tc>
        <w:tc>
          <w:tcPr>
            <w:tcW w:w="993" w:type="dxa"/>
            <w:tcBorders>
              <w:top w:val="nil"/>
              <w:left w:val="nil"/>
              <w:bottom w:val="nil"/>
              <w:right w:val="nil"/>
            </w:tcBorders>
            <w:noWrap/>
            <w:vAlign w:val="bottom"/>
            <w:hideMark/>
          </w:tcPr>
          <w:p w14:paraId="00A4DBF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r>
      <w:tr w:rsidR="006967F8" w:rsidRPr="006967F8" w14:paraId="77C18C71" w14:textId="77777777" w:rsidTr="008A61B1">
        <w:trPr>
          <w:trHeight w:val="255"/>
        </w:trPr>
        <w:tc>
          <w:tcPr>
            <w:tcW w:w="1134" w:type="dxa"/>
            <w:tcBorders>
              <w:top w:val="nil"/>
              <w:left w:val="nil"/>
              <w:bottom w:val="nil"/>
              <w:right w:val="nil"/>
            </w:tcBorders>
            <w:noWrap/>
            <w:vAlign w:val="bottom"/>
            <w:hideMark/>
          </w:tcPr>
          <w:p w14:paraId="1BBDA5B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4241</w:t>
            </w:r>
          </w:p>
        </w:tc>
        <w:tc>
          <w:tcPr>
            <w:tcW w:w="4962" w:type="dxa"/>
            <w:tcBorders>
              <w:top w:val="nil"/>
              <w:left w:val="nil"/>
              <w:bottom w:val="nil"/>
              <w:right w:val="nil"/>
            </w:tcBorders>
            <w:noWrap/>
            <w:vAlign w:val="bottom"/>
            <w:hideMark/>
          </w:tcPr>
          <w:p w14:paraId="558AEAD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Knjige</w:t>
            </w:r>
          </w:p>
        </w:tc>
        <w:tc>
          <w:tcPr>
            <w:tcW w:w="1559" w:type="dxa"/>
            <w:tcBorders>
              <w:top w:val="nil"/>
              <w:left w:val="nil"/>
              <w:bottom w:val="nil"/>
              <w:right w:val="nil"/>
            </w:tcBorders>
            <w:noWrap/>
            <w:vAlign w:val="bottom"/>
            <w:hideMark/>
          </w:tcPr>
          <w:p w14:paraId="4D5F3A81"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95433E3"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E57812E"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5.327,00</w:t>
            </w:r>
          </w:p>
        </w:tc>
        <w:tc>
          <w:tcPr>
            <w:tcW w:w="993" w:type="dxa"/>
            <w:tcBorders>
              <w:top w:val="nil"/>
              <w:left w:val="nil"/>
              <w:bottom w:val="nil"/>
              <w:right w:val="nil"/>
            </w:tcBorders>
            <w:noWrap/>
            <w:vAlign w:val="bottom"/>
            <w:hideMark/>
          </w:tcPr>
          <w:p w14:paraId="4E0382E6"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1973745"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735B18D"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3. VLASTITI PRIHODI</w:t>
            </w:r>
          </w:p>
        </w:tc>
        <w:tc>
          <w:tcPr>
            <w:tcW w:w="1559" w:type="dxa"/>
            <w:tcBorders>
              <w:top w:val="nil"/>
              <w:left w:val="nil"/>
              <w:bottom w:val="nil"/>
              <w:right w:val="nil"/>
            </w:tcBorders>
            <w:shd w:val="clear" w:color="000000" w:fill="CCCCFF"/>
            <w:noWrap/>
            <w:vAlign w:val="bottom"/>
            <w:hideMark/>
          </w:tcPr>
          <w:p w14:paraId="41E95AA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w:t>
            </w:r>
          </w:p>
        </w:tc>
        <w:tc>
          <w:tcPr>
            <w:tcW w:w="1559" w:type="dxa"/>
            <w:tcBorders>
              <w:top w:val="nil"/>
              <w:left w:val="nil"/>
              <w:bottom w:val="nil"/>
              <w:right w:val="nil"/>
            </w:tcBorders>
            <w:shd w:val="clear" w:color="000000" w:fill="CCCCFF"/>
            <w:noWrap/>
            <w:vAlign w:val="bottom"/>
            <w:hideMark/>
          </w:tcPr>
          <w:p w14:paraId="30473F6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w:t>
            </w:r>
          </w:p>
        </w:tc>
        <w:tc>
          <w:tcPr>
            <w:tcW w:w="1559" w:type="dxa"/>
            <w:tcBorders>
              <w:top w:val="nil"/>
              <w:left w:val="nil"/>
              <w:bottom w:val="nil"/>
              <w:right w:val="nil"/>
            </w:tcBorders>
            <w:shd w:val="clear" w:color="000000" w:fill="CCCCFF"/>
            <w:noWrap/>
            <w:vAlign w:val="bottom"/>
            <w:hideMark/>
          </w:tcPr>
          <w:p w14:paraId="3858865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3725D63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07F742ED"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1303C9D"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3.2. Vlastiti prihodi proračunskih korisnika</w:t>
            </w:r>
          </w:p>
        </w:tc>
        <w:tc>
          <w:tcPr>
            <w:tcW w:w="1559" w:type="dxa"/>
            <w:tcBorders>
              <w:top w:val="nil"/>
              <w:left w:val="nil"/>
              <w:bottom w:val="nil"/>
              <w:right w:val="nil"/>
            </w:tcBorders>
            <w:shd w:val="clear" w:color="000000" w:fill="CCCCFF"/>
            <w:noWrap/>
            <w:vAlign w:val="bottom"/>
            <w:hideMark/>
          </w:tcPr>
          <w:p w14:paraId="1292381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w:t>
            </w:r>
          </w:p>
        </w:tc>
        <w:tc>
          <w:tcPr>
            <w:tcW w:w="1559" w:type="dxa"/>
            <w:tcBorders>
              <w:top w:val="nil"/>
              <w:left w:val="nil"/>
              <w:bottom w:val="nil"/>
              <w:right w:val="nil"/>
            </w:tcBorders>
            <w:shd w:val="clear" w:color="000000" w:fill="CCCCFF"/>
            <w:noWrap/>
            <w:vAlign w:val="bottom"/>
            <w:hideMark/>
          </w:tcPr>
          <w:p w14:paraId="0E7F8BA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w:t>
            </w:r>
          </w:p>
        </w:tc>
        <w:tc>
          <w:tcPr>
            <w:tcW w:w="1559" w:type="dxa"/>
            <w:tcBorders>
              <w:top w:val="nil"/>
              <w:left w:val="nil"/>
              <w:bottom w:val="nil"/>
              <w:right w:val="nil"/>
            </w:tcBorders>
            <w:shd w:val="clear" w:color="000000" w:fill="CCCCFF"/>
            <w:noWrap/>
            <w:vAlign w:val="bottom"/>
            <w:hideMark/>
          </w:tcPr>
          <w:p w14:paraId="4E1D345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516E1A6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42B51552" w14:textId="77777777" w:rsidTr="008A61B1">
        <w:trPr>
          <w:trHeight w:val="255"/>
        </w:trPr>
        <w:tc>
          <w:tcPr>
            <w:tcW w:w="1134" w:type="dxa"/>
            <w:tcBorders>
              <w:top w:val="nil"/>
              <w:left w:val="nil"/>
              <w:bottom w:val="nil"/>
              <w:right w:val="nil"/>
            </w:tcBorders>
            <w:noWrap/>
            <w:vAlign w:val="bottom"/>
            <w:hideMark/>
          </w:tcPr>
          <w:p w14:paraId="33CF345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34</w:t>
            </w:r>
          </w:p>
        </w:tc>
        <w:tc>
          <w:tcPr>
            <w:tcW w:w="4962" w:type="dxa"/>
            <w:tcBorders>
              <w:top w:val="nil"/>
              <w:left w:val="nil"/>
              <w:bottom w:val="nil"/>
              <w:right w:val="nil"/>
            </w:tcBorders>
            <w:noWrap/>
            <w:vAlign w:val="bottom"/>
            <w:hideMark/>
          </w:tcPr>
          <w:p w14:paraId="2F18014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Financijski rashodi</w:t>
            </w:r>
          </w:p>
        </w:tc>
        <w:tc>
          <w:tcPr>
            <w:tcW w:w="1559" w:type="dxa"/>
            <w:tcBorders>
              <w:top w:val="nil"/>
              <w:left w:val="nil"/>
              <w:bottom w:val="nil"/>
              <w:right w:val="nil"/>
            </w:tcBorders>
            <w:noWrap/>
            <w:vAlign w:val="bottom"/>
            <w:hideMark/>
          </w:tcPr>
          <w:p w14:paraId="46F64E3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w:t>
            </w:r>
          </w:p>
        </w:tc>
        <w:tc>
          <w:tcPr>
            <w:tcW w:w="1559" w:type="dxa"/>
            <w:tcBorders>
              <w:top w:val="nil"/>
              <w:left w:val="nil"/>
              <w:bottom w:val="nil"/>
              <w:right w:val="nil"/>
            </w:tcBorders>
            <w:noWrap/>
            <w:vAlign w:val="bottom"/>
            <w:hideMark/>
          </w:tcPr>
          <w:p w14:paraId="7224A2F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w:t>
            </w:r>
          </w:p>
        </w:tc>
        <w:tc>
          <w:tcPr>
            <w:tcW w:w="1559" w:type="dxa"/>
            <w:tcBorders>
              <w:top w:val="nil"/>
              <w:left w:val="nil"/>
              <w:bottom w:val="nil"/>
              <w:right w:val="nil"/>
            </w:tcBorders>
            <w:noWrap/>
            <w:vAlign w:val="bottom"/>
            <w:hideMark/>
          </w:tcPr>
          <w:p w14:paraId="028D0D5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784679A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55B7B504"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7FFB0B3"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672A888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21.282,00</w:t>
            </w:r>
          </w:p>
        </w:tc>
        <w:tc>
          <w:tcPr>
            <w:tcW w:w="1559" w:type="dxa"/>
            <w:tcBorders>
              <w:top w:val="nil"/>
              <w:left w:val="nil"/>
              <w:bottom w:val="nil"/>
              <w:right w:val="nil"/>
            </w:tcBorders>
            <w:shd w:val="clear" w:color="000000" w:fill="CCCCFF"/>
            <w:noWrap/>
            <w:vAlign w:val="bottom"/>
            <w:hideMark/>
          </w:tcPr>
          <w:p w14:paraId="65C5C55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21.282,00</w:t>
            </w:r>
          </w:p>
        </w:tc>
        <w:tc>
          <w:tcPr>
            <w:tcW w:w="1559" w:type="dxa"/>
            <w:tcBorders>
              <w:top w:val="nil"/>
              <w:left w:val="nil"/>
              <w:bottom w:val="nil"/>
              <w:right w:val="nil"/>
            </w:tcBorders>
            <w:shd w:val="clear" w:color="000000" w:fill="CCCCFF"/>
            <w:noWrap/>
            <w:vAlign w:val="bottom"/>
            <w:hideMark/>
          </w:tcPr>
          <w:p w14:paraId="6F3184C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21.551,57</w:t>
            </w:r>
          </w:p>
        </w:tc>
        <w:tc>
          <w:tcPr>
            <w:tcW w:w="993" w:type="dxa"/>
            <w:tcBorders>
              <w:top w:val="nil"/>
              <w:left w:val="nil"/>
              <w:bottom w:val="nil"/>
              <w:right w:val="nil"/>
            </w:tcBorders>
            <w:shd w:val="clear" w:color="000000" w:fill="CCCCFF"/>
            <w:noWrap/>
            <w:vAlign w:val="bottom"/>
            <w:hideMark/>
          </w:tcPr>
          <w:p w14:paraId="59C0D4F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101,27%</w:t>
            </w:r>
          </w:p>
        </w:tc>
      </w:tr>
      <w:tr w:rsidR="006967F8" w:rsidRPr="006967F8" w14:paraId="718DEEEB" w14:textId="77777777" w:rsidTr="008A61B1">
        <w:trPr>
          <w:trHeight w:val="645"/>
        </w:trPr>
        <w:tc>
          <w:tcPr>
            <w:tcW w:w="6096" w:type="dxa"/>
            <w:gridSpan w:val="2"/>
            <w:tcBorders>
              <w:top w:val="nil"/>
              <w:left w:val="nil"/>
              <w:bottom w:val="nil"/>
              <w:right w:val="nil"/>
            </w:tcBorders>
            <w:shd w:val="clear" w:color="000000" w:fill="CCCCFF"/>
            <w:vAlign w:val="bottom"/>
            <w:hideMark/>
          </w:tcPr>
          <w:p w14:paraId="03A842C2"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4.4. Ostali prihodi za posebne namjene proračunskih korisnika</w:t>
            </w:r>
          </w:p>
        </w:tc>
        <w:tc>
          <w:tcPr>
            <w:tcW w:w="1559" w:type="dxa"/>
            <w:tcBorders>
              <w:top w:val="nil"/>
              <w:left w:val="nil"/>
              <w:bottom w:val="nil"/>
              <w:right w:val="nil"/>
            </w:tcBorders>
            <w:shd w:val="clear" w:color="000000" w:fill="CCCCFF"/>
            <w:noWrap/>
            <w:vAlign w:val="bottom"/>
            <w:hideMark/>
          </w:tcPr>
          <w:p w14:paraId="6915B9F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13.237,00</w:t>
            </w:r>
          </w:p>
        </w:tc>
        <w:tc>
          <w:tcPr>
            <w:tcW w:w="1559" w:type="dxa"/>
            <w:tcBorders>
              <w:top w:val="nil"/>
              <w:left w:val="nil"/>
              <w:bottom w:val="nil"/>
              <w:right w:val="nil"/>
            </w:tcBorders>
            <w:shd w:val="clear" w:color="000000" w:fill="CCCCFF"/>
            <w:noWrap/>
            <w:vAlign w:val="bottom"/>
            <w:hideMark/>
          </w:tcPr>
          <w:p w14:paraId="018BCFA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13.237,00</w:t>
            </w:r>
          </w:p>
        </w:tc>
        <w:tc>
          <w:tcPr>
            <w:tcW w:w="1559" w:type="dxa"/>
            <w:tcBorders>
              <w:top w:val="nil"/>
              <w:left w:val="nil"/>
              <w:bottom w:val="nil"/>
              <w:right w:val="nil"/>
            </w:tcBorders>
            <w:shd w:val="clear" w:color="000000" w:fill="CCCCFF"/>
            <w:noWrap/>
            <w:vAlign w:val="bottom"/>
            <w:hideMark/>
          </w:tcPr>
          <w:p w14:paraId="6BAA503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13.889,62</w:t>
            </w:r>
          </w:p>
        </w:tc>
        <w:tc>
          <w:tcPr>
            <w:tcW w:w="993" w:type="dxa"/>
            <w:tcBorders>
              <w:top w:val="nil"/>
              <w:left w:val="nil"/>
              <w:bottom w:val="nil"/>
              <w:right w:val="nil"/>
            </w:tcBorders>
            <w:shd w:val="clear" w:color="000000" w:fill="CCCCFF"/>
            <w:noWrap/>
            <w:vAlign w:val="bottom"/>
            <w:hideMark/>
          </w:tcPr>
          <w:p w14:paraId="7FD38B2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104,93%</w:t>
            </w:r>
          </w:p>
        </w:tc>
      </w:tr>
      <w:tr w:rsidR="006967F8" w:rsidRPr="006967F8" w14:paraId="0CD6C4B2" w14:textId="77777777" w:rsidTr="008A61B1">
        <w:trPr>
          <w:trHeight w:val="255"/>
        </w:trPr>
        <w:tc>
          <w:tcPr>
            <w:tcW w:w="1134" w:type="dxa"/>
            <w:tcBorders>
              <w:top w:val="nil"/>
              <w:left w:val="nil"/>
              <w:bottom w:val="nil"/>
              <w:right w:val="nil"/>
            </w:tcBorders>
            <w:noWrap/>
            <w:vAlign w:val="bottom"/>
            <w:hideMark/>
          </w:tcPr>
          <w:p w14:paraId="6D139D8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248F8DD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3240B7A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12.707,00</w:t>
            </w:r>
          </w:p>
        </w:tc>
        <w:tc>
          <w:tcPr>
            <w:tcW w:w="1559" w:type="dxa"/>
            <w:tcBorders>
              <w:top w:val="nil"/>
              <w:left w:val="nil"/>
              <w:bottom w:val="nil"/>
              <w:right w:val="nil"/>
            </w:tcBorders>
            <w:noWrap/>
            <w:vAlign w:val="bottom"/>
            <w:hideMark/>
          </w:tcPr>
          <w:p w14:paraId="77D1B5D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12.707,00</w:t>
            </w:r>
          </w:p>
        </w:tc>
        <w:tc>
          <w:tcPr>
            <w:tcW w:w="1559" w:type="dxa"/>
            <w:tcBorders>
              <w:top w:val="nil"/>
              <w:left w:val="nil"/>
              <w:bottom w:val="nil"/>
              <w:right w:val="nil"/>
            </w:tcBorders>
            <w:noWrap/>
            <w:vAlign w:val="bottom"/>
            <w:hideMark/>
          </w:tcPr>
          <w:p w14:paraId="4339D9D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13.455,68</w:t>
            </w:r>
          </w:p>
        </w:tc>
        <w:tc>
          <w:tcPr>
            <w:tcW w:w="993" w:type="dxa"/>
            <w:tcBorders>
              <w:top w:val="nil"/>
              <w:left w:val="nil"/>
              <w:bottom w:val="nil"/>
              <w:right w:val="nil"/>
            </w:tcBorders>
            <w:noWrap/>
            <w:vAlign w:val="bottom"/>
            <w:hideMark/>
          </w:tcPr>
          <w:p w14:paraId="1D66D3C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105,89%</w:t>
            </w:r>
          </w:p>
        </w:tc>
      </w:tr>
      <w:tr w:rsidR="006967F8" w:rsidRPr="006967F8" w14:paraId="56673A28" w14:textId="77777777" w:rsidTr="008A61B1">
        <w:trPr>
          <w:trHeight w:val="255"/>
        </w:trPr>
        <w:tc>
          <w:tcPr>
            <w:tcW w:w="1134" w:type="dxa"/>
            <w:tcBorders>
              <w:top w:val="nil"/>
              <w:left w:val="nil"/>
              <w:bottom w:val="nil"/>
              <w:right w:val="nil"/>
            </w:tcBorders>
            <w:noWrap/>
            <w:vAlign w:val="bottom"/>
            <w:hideMark/>
          </w:tcPr>
          <w:p w14:paraId="2644A6E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3211</w:t>
            </w:r>
          </w:p>
        </w:tc>
        <w:tc>
          <w:tcPr>
            <w:tcW w:w="4962" w:type="dxa"/>
            <w:tcBorders>
              <w:top w:val="nil"/>
              <w:left w:val="nil"/>
              <w:bottom w:val="nil"/>
              <w:right w:val="nil"/>
            </w:tcBorders>
            <w:noWrap/>
            <w:vAlign w:val="bottom"/>
            <w:hideMark/>
          </w:tcPr>
          <w:p w14:paraId="32C29A6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Službena putovanja</w:t>
            </w:r>
          </w:p>
        </w:tc>
        <w:tc>
          <w:tcPr>
            <w:tcW w:w="1559" w:type="dxa"/>
            <w:tcBorders>
              <w:top w:val="nil"/>
              <w:left w:val="nil"/>
              <w:bottom w:val="nil"/>
              <w:right w:val="nil"/>
            </w:tcBorders>
            <w:noWrap/>
            <w:vAlign w:val="bottom"/>
            <w:hideMark/>
          </w:tcPr>
          <w:p w14:paraId="6EAAD9CD"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B7292FF"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57E0E7C"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116,00</w:t>
            </w:r>
          </w:p>
        </w:tc>
        <w:tc>
          <w:tcPr>
            <w:tcW w:w="993" w:type="dxa"/>
            <w:tcBorders>
              <w:top w:val="nil"/>
              <w:left w:val="nil"/>
              <w:bottom w:val="nil"/>
              <w:right w:val="nil"/>
            </w:tcBorders>
            <w:noWrap/>
            <w:vAlign w:val="bottom"/>
            <w:hideMark/>
          </w:tcPr>
          <w:p w14:paraId="2FFEA0B0"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BC7E641" w14:textId="77777777" w:rsidTr="008A61B1">
        <w:trPr>
          <w:trHeight w:val="255"/>
        </w:trPr>
        <w:tc>
          <w:tcPr>
            <w:tcW w:w="1134" w:type="dxa"/>
            <w:tcBorders>
              <w:top w:val="nil"/>
              <w:left w:val="nil"/>
              <w:bottom w:val="nil"/>
              <w:right w:val="nil"/>
            </w:tcBorders>
            <w:noWrap/>
            <w:vAlign w:val="bottom"/>
            <w:hideMark/>
          </w:tcPr>
          <w:p w14:paraId="512EEF8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3213</w:t>
            </w:r>
          </w:p>
        </w:tc>
        <w:tc>
          <w:tcPr>
            <w:tcW w:w="4962" w:type="dxa"/>
            <w:tcBorders>
              <w:top w:val="nil"/>
              <w:left w:val="nil"/>
              <w:bottom w:val="nil"/>
              <w:right w:val="nil"/>
            </w:tcBorders>
            <w:noWrap/>
            <w:vAlign w:val="bottom"/>
            <w:hideMark/>
          </w:tcPr>
          <w:p w14:paraId="10A8674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Stručno usavršavanje zaposlenika</w:t>
            </w:r>
          </w:p>
        </w:tc>
        <w:tc>
          <w:tcPr>
            <w:tcW w:w="1559" w:type="dxa"/>
            <w:tcBorders>
              <w:top w:val="nil"/>
              <w:left w:val="nil"/>
              <w:bottom w:val="nil"/>
              <w:right w:val="nil"/>
            </w:tcBorders>
            <w:noWrap/>
            <w:vAlign w:val="bottom"/>
            <w:hideMark/>
          </w:tcPr>
          <w:p w14:paraId="278E3EEC"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710A573"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4A7EBB7"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2.049,58</w:t>
            </w:r>
          </w:p>
        </w:tc>
        <w:tc>
          <w:tcPr>
            <w:tcW w:w="993" w:type="dxa"/>
            <w:tcBorders>
              <w:top w:val="nil"/>
              <w:left w:val="nil"/>
              <w:bottom w:val="nil"/>
              <w:right w:val="nil"/>
            </w:tcBorders>
            <w:noWrap/>
            <w:vAlign w:val="bottom"/>
            <w:hideMark/>
          </w:tcPr>
          <w:p w14:paraId="690ABB7F"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7354E13" w14:textId="77777777" w:rsidTr="008A61B1">
        <w:trPr>
          <w:trHeight w:val="255"/>
        </w:trPr>
        <w:tc>
          <w:tcPr>
            <w:tcW w:w="1134" w:type="dxa"/>
            <w:tcBorders>
              <w:top w:val="nil"/>
              <w:left w:val="nil"/>
              <w:bottom w:val="nil"/>
              <w:right w:val="nil"/>
            </w:tcBorders>
            <w:noWrap/>
            <w:vAlign w:val="bottom"/>
            <w:hideMark/>
          </w:tcPr>
          <w:p w14:paraId="1ED933C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3221</w:t>
            </w:r>
          </w:p>
        </w:tc>
        <w:tc>
          <w:tcPr>
            <w:tcW w:w="4962" w:type="dxa"/>
            <w:tcBorders>
              <w:top w:val="nil"/>
              <w:left w:val="nil"/>
              <w:bottom w:val="nil"/>
              <w:right w:val="nil"/>
            </w:tcBorders>
            <w:noWrap/>
            <w:vAlign w:val="bottom"/>
            <w:hideMark/>
          </w:tcPr>
          <w:p w14:paraId="0DA3AC1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Uredski materijal i ostali materijalni rashodi</w:t>
            </w:r>
          </w:p>
        </w:tc>
        <w:tc>
          <w:tcPr>
            <w:tcW w:w="1559" w:type="dxa"/>
            <w:tcBorders>
              <w:top w:val="nil"/>
              <w:left w:val="nil"/>
              <w:bottom w:val="nil"/>
              <w:right w:val="nil"/>
            </w:tcBorders>
            <w:noWrap/>
            <w:vAlign w:val="bottom"/>
            <w:hideMark/>
          </w:tcPr>
          <w:p w14:paraId="5B0E9A11"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A396D98"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82E3DE1"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1.379,28</w:t>
            </w:r>
          </w:p>
        </w:tc>
        <w:tc>
          <w:tcPr>
            <w:tcW w:w="993" w:type="dxa"/>
            <w:tcBorders>
              <w:top w:val="nil"/>
              <w:left w:val="nil"/>
              <w:bottom w:val="nil"/>
              <w:right w:val="nil"/>
            </w:tcBorders>
            <w:noWrap/>
            <w:vAlign w:val="bottom"/>
            <w:hideMark/>
          </w:tcPr>
          <w:p w14:paraId="5108BC86"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4D85240" w14:textId="77777777" w:rsidTr="008A61B1">
        <w:trPr>
          <w:trHeight w:val="255"/>
        </w:trPr>
        <w:tc>
          <w:tcPr>
            <w:tcW w:w="1134" w:type="dxa"/>
            <w:tcBorders>
              <w:top w:val="nil"/>
              <w:left w:val="nil"/>
              <w:bottom w:val="nil"/>
              <w:right w:val="nil"/>
            </w:tcBorders>
            <w:noWrap/>
            <w:vAlign w:val="bottom"/>
            <w:hideMark/>
          </w:tcPr>
          <w:p w14:paraId="3301103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3231</w:t>
            </w:r>
          </w:p>
        </w:tc>
        <w:tc>
          <w:tcPr>
            <w:tcW w:w="4962" w:type="dxa"/>
            <w:tcBorders>
              <w:top w:val="nil"/>
              <w:left w:val="nil"/>
              <w:bottom w:val="nil"/>
              <w:right w:val="nil"/>
            </w:tcBorders>
            <w:noWrap/>
            <w:vAlign w:val="bottom"/>
            <w:hideMark/>
          </w:tcPr>
          <w:p w14:paraId="4AD8A5C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telefona, interneta, pošte i prijevoza</w:t>
            </w:r>
          </w:p>
        </w:tc>
        <w:tc>
          <w:tcPr>
            <w:tcW w:w="1559" w:type="dxa"/>
            <w:tcBorders>
              <w:top w:val="nil"/>
              <w:left w:val="nil"/>
              <w:bottom w:val="nil"/>
              <w:right w:val="nil"/>
            </w:tcBorders>
            <w:noWrap/>
            <w:vAlign w:val="bottom"/>
            <w:hideMark/>
          </w:tcPr>
          <w:p w14:paraId="745C0D1E"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A702B97"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C4504B8"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930,31</w:t>
            </w:r>
          </w:p>
        </w:tc>
        <w:tc>
          <w:tcPr>
            <w:tcW w:w="993" w:type="dxa"/>
            <w:tcBorders>
              <w:top w:val="nil"/>
              <w:left w:val="nil"/>
              <w:bottom w:val="nil"/>
              <w:right w:val="nil"/>
            </w:tcBorders>
            <w:noWrap/>
            <w:vAlign w:val="bottom"/>
            <w:hideMark/>
          </w:tcPr>
          <w:p w14:paraId="4ED2B78C"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50F7CEF" w14:textId="77777777" w:rsidTr="008A61B1">
        <w:trPr>
          <w:trHeight w:val="255"/>
        </w:trPr>
        <w:tc>
          <w:tcPr>
            <w:tcW w:w="1134" w:type="dxa"/>
            <w:tcBorders>
              <w:top w:val="nil"/>
              <w:left w:val="nil"/>
              <w:bottom w:val="nil"/>
              <w:right w:val="nil"/>
            </w:tcBorders>
            <w:noWrap/>
            <w:vAlign w:val="bottom"/>
            <w:hideMark/>
          </w:tcPr>
          <w:p w14:paraId="79D8134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3232</w:t>
            </w:r>
          </w:p>
        </w:tc>
        <w:tc>
          <w:tcPr>
            <w:tcW w:w="4962" w:type="dxa"/>
            <w:tcBorders>
              <w:top w:val="nil"/>
              <w:left w:val="nil"/>
              <w:bottom w:val="nil"/>
              <w:right w:val="nil"/>
            </w:tcBorders>
            <w:noWrap/>
            <w:vAlign w:val="bottom"/>
            <w:hideMark/>
          </w:tcPr>
          <w:p w14:paraId="716957B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noWrap/>
            <w:vAlign w:val="bottom"/>
            <w:hideMark/>
          </w:tcPr>
          <w:p w14:paraId="71564910"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63DDF54"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EAD5E60"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148,51</w:t>
            </w:r>
          </w:p>
        </w:tc>
        <w:tc>
          <w:tcPr>
            <w:tcW w:w="993" w:type="dxa"/>
            <w:tcBorders>
              <w:top w:val="nil"/>
              <w:left w:val="nil"/>
              <w:bottom w:val="nil"/>
              <w:right w:val="nil"/>
            </w:tcBorders>
            <w:noWrap/>
            <w:vAlign w:val="bottom"/>
            <w:hideMark/>
          </w:tcPr>
          <w:p w14:paraId="3C0A5FF1"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FAFE25C" w14:textId="77777777" w:rsidTr="008A61B1">
        <w:trPr>
          <w:trHeight w:val="255"/>
        </w:trPr>
        <w:tc>
          <w:tcPr>
            <w:tcW w:w="1134" w:type="dxa"/>
            <w:tcBorders>
              <w:top w:val="nil"/>
              <w:left w:val="nil"/>
              <w:bottom w:val="nil"/>
              <w:right w:val="nil"/>
            </w:tcBorders>
            <w:noWrap/>
            <w:vAlign w:val="bottom"/>
            <w:hideMark/>
          </w:tcPr>
          <w:p w14:paraId="6E38DB9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3233</w:t>
            </w:r>
          </w:p>
        </w:tc>
        <w:tc>
          <w:tcPr>
            <w:tcW w:w="4962" w:type="dxa"/>
            <w:tcBorders>
              <w:top w:val="nil"/>
              <w:left w:val="nil"/>
              <w:bottom w:val="nil"/>
              <w:right w:val="nil"/>
            </w:tcBorders>
            <w:noWrap/>
            <w:vAlign w:val="bottom"/>
            <w:hideMark/>
          </w:tcPr>
          <w:p w14:paraId="164D89A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promidžbe i informiranja</w:t>
            </w:r>
          </w:p>
        </w:tc>
        <w:tc>
          <w:tcPr>
            <w:tcW w:w="1559" w:type="dxa"/>
            <w:tcBorders>
              <w:top w:val="nil"/>
              <w:left w:val="nil"/>
              <w:bottom w:val="nil"/>
              <w:right w:val="nil"/>
            </w:tcBorders>
            <w:noWrap/>
            <w:vAlign w:val="bottom"/>
            <w:hideMark/>
          </w:tcPr>
          <w:p w14:paraId="37A76686"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C14F0C2"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A65004B"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2.637,76</w:t>
            </w:r>
          </w:p>
        </w:tc>
        <w:tc>
          <w:tcPr>
            <w:tcW w:w="993" w:type="dxa"/>
            <w:tcBorders>
              <w:top w:val="nil"/>
              <w:left w:val="nil"/>
              <w:bottom w:val="nil"/>
              <w:right w:val="nil"/>
            </w:tcBorders>
            <w:noWrap/>
            <w:vAlign w:val="bottom"/>
            <w:hideMark/>
          </w:tcPr>
          <w:p w14:paraId="4FC91177"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5380C3C" w14:textId="77777777" w:rsidTr="008A61B1">
        <w:trPr>
          <w:trHeight w:val="255"/>
        </w:trPr>
        <w:tc>
          <w:tcPr>
            <w:tcW w:w="1134" w:type="dxa"/>
            <w:tcBorders>
              <w:top w:val="nil"/>
              <w:left w:val="nil"/>
              <w:bottom w:val="nil"/>
              <w:right w:val="nil"/>
            </w:tcBorders>
            <w:noWrap/>
            <w:vAlign w:val="bottom"/>
            <w:hideMark/>
          </w:tcPr>
          <w:p w14:paraId="498BE55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3234</w:t>
            </w:r>
          </w:p>
        </w:tc>
        <w:tc>
          <w:tcPr>
            <w:tcW w:w="4962" w:type="dxa"/>
            <w:tcBorders>
              <w:top w:val="nil"/>
              <w:left w:val="nil"/>
              <w:bottom w:val="nil"/>
              <w:right w:val="nil"/>
            </w:tcBorders>
            <w:noWrap/>
            <w:vAlign w:val="bottom"/>
            <w:hideMark/>
          </w:tcPr>
          <w:p w14:paraId="16EA5FF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Komunalne usluge</w:t>
            </w:r>
          </w:p>
        </w:tc>
        <w:tc>
          <w:tcPr>
            <w:tcW w:w="1559" w:type="dxa"/>
            <w:tcBorders>
              <w:top w:val="nil"/>
              <w:left w:val="nil"/>
              <w:bottom w:val="nil"/>
              <w:right w:val="nil"/>
            </w:tcBorders>
            <w:noWrap/>
            <w:vAlign w:val="bottom"/>
            <w:hideMark/>
          </w:tcPr>
          <w:p w14:paraId="3870A8BA"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505B62B"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72A7E37"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461,90</w:t>
            </w:r>
          </w:p>
        </w:tc>
        <w:tc>
          <w:tcPr>
            <w:tcW w:w="993" w:type="dxa"/>
            <w:tcBorders>
              <w:top w:val="nil"/>
              <w:left w:val="nil"/>
              <w:bottom w:val="nil"/>
              <w:right w:val="nil"/>
            </w:tcBorders>
            <w:noWrap/>
            <w:vAlign w:val="bottom"/>
            <w:hideMark/>
          </w:tcPr>
          <w:p w14:paraId="1438E1B8"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4A78DFD" w14:textId="77777777" w:rsidTr="008A61B1">
        <w:trPr>
          <w:trHeight w:val="255"/>
        </w:trPr>
        <w:tc>
          <w:tcPr>
            <w:tcW w:w="1134" w:type="dxa"/>
            <w:tcBorders>
              <w:top w:val="nil"/>
              <w:left w:val="nil"/>
              <w:bottom w:val="nil"/>
              <w:right w:val="nil"/>
            </w:tcBorders>
            <w:noWrap/>
            <w:vAlign w:val="bottom"/>
            <w:hideMark/>
          </w:tcPr>
          <w:p w14:paraId="323A431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3237</w:t>
            </w:r>
          </w:p>
        </w:tc>
        <w:tc>
          <w:tcPr>
            <w:tcW w:w="4962" w:type="dxa"/>
            <w:tcBorders>
              <w:top w:val="nil"/>
              <w:left w:val="nil"/>
              <w:bottom w:val="nil"/>
              <w:right w:val="nil"/>
            </w:tcBorders>
            <w:noWrap/>
            <w:vAlign w:val="bottom"/>
            <w:hideMark/>
          </w:tcPr>
          <w:p w14:paraId="002BEB4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Intelektualne i osobne usluge</w:t>
            </w:r>
          </w:p>
        </w:tc>
        <w:tc>
          <w:tcPr>
            <w:tcW w:w="1559" w:type="dxa"/>
            <w:tcBorders>
              <w:top w:val="nil"/>
              <w:left w:val="nil"/>
              <w:bottom w:val="nil"/>
              <w:right w:val="nil"/>
            </w:tcBorders>
            <w:noWrap/>
            <w:vAlign w:val="bottom"/>
            <w:hideMark/>
          </w:tcPr>
          <w:p w14:paraId="2FECA455"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4691F8F"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FEC682B"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630,97</w:t>
            </w:r>
          </w:p>
        </w:tc>
        <w:tc>
          <w:tcPr>
            <w:tcW w:w="993" w:type="dxa"/>
            <w:tcBorders>
              <w:top w:val="nil"/>
              <w:left w:val="nil"/>
              <w:bottom w:val="nil"/>
              <w:right w:val="nil"/>
            </w:tcBorders>
            <w:noWrap/>
            <w:vAlign w:val="bottom"/>
            <w:hideMark/>
          </w:tcPr>
          <w:p w14:paraId="5B6534CD"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88905AC" w14:textId="77777777" w:rsidTr="008A61B1">
        <w:trPr>
          <w:trHeight w:val="255"/>
        </w:trPr>
        <w:tc>
          <w:tcPr>
            <w:tcW w:w="1134" w:type="dxa"/>
            <w:tcBorders>
              <w:top w:val="nil"/>
              <w:left w:val="nil"/>
              <w:bottom w:val="nil"/>
              <w:right w:val="nil"/>
            </w:tcBorders>
            <w:noWrap/>
            <w:vAlign w:val="bottom"/>
            <w:hideMark/>
          </w:tcPr>
          <w:p w14:paraId="3AFF03D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3238</w:t>
            </w:r>
          </w:p>
        </w:tc>
        <w:tc>
          <w:tcPr>
            <w:tcW w:w="4962" w:type="dxa"/>
            <w:tcBorders>
              <w:top w:val="nil"/>
              <w:left w:val="nil"/>
              <w:bottom w:val="nil"/>
              <w:right w:val="nil"/>
            </w:tcBorders>
            <w:noWrap/>
            <w:vAlign w:val="bottom"/>
            <w:hideMark/>
          </w:tcPr>
          <w:p w14:paraId="6444372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Računalne usluge</w:t>
            </w:r>
          </w:p>
        </w:tc>
        <w:tc>
          <w:tcPr>
            <w:tcW w:w="1559" w:type="dxa"/>
            <w:tcBorders>
              <w:top w:val="nil"/>
              <w:left w:val="nil"/>
              <w:bottom w:val="nil"/>
              <w:right w:val="nil"/>
            </w:tcBorders>
            <w:noWrap/>
            <w:vAlign w:val="bottom"/>
            <w:hideMark/>
          </w:tcPr>
          <w:p w14:paraId="28040B3D"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E2FEE9D"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FE1D380"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1.483,75</w:t>
            </w:r>
          </w:p>
        </w:tc>
        <w:tc>
          <w:tcPr>
            <w:tcW w:w="993" w:type="dxa"/>
            <w:tcBorders>
              <w:top w:val="nil"/>
              <w:left w:val="nil"/>
              <w:bottom w:val="nil"/>
              <w:right w:val="nil"/>
            </w:tcBorders>
            <w:noWrap/>
            <w:vAlign w:val="bottom"/>
            <w:hideMark/>
          </w:tcPr>
          <w:p w14:paraId="257BC6DE"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CF92E87" w14:textId="77777777" w:rsidTr="008A61B1">
        <w:trPr>
          <w:trHeight w:val="255"/>
        </w:trPr>
        <w:tc>
          <w:tcPr>
            <w:tcW w:w="1134" w:type="dxa"/>
            <w:tcBorders>
              <w:top w:val="nil"/>
              <w:left w:val="nil"/>
              <w:bottom w:val="nil"/>
              <w:right w:val="nil"/>
            </w:tcBorders>
            <w:noWrap/>
            <w:vAlign w:val="bottom"/>
            <w:hideMark/>
          </w:tcPr>
          <w:p w14:paraId="5BAB54D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3239</w:t>
            </w:r>
          </w:p>
        </w:tc>
        <w:tc>
          <w:tcPr>
            <w:tcW w:w="4962" w:type="dxa"/>
            <w:tcBorders>
              <w:top w:val="nil"/>
              <w:left w:val="nil"/>
              <w:bottom w:val="nil"/>
              <w:right w:val="nil"/>
            </w:tcBorders>
            <w:noWrap/>
            <w:vAlign w:val="bottom"/>
            <w:hideMark/>
          </w:tcPr>
          <w:p w14:paraId="56E2FFF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Ostale usluge</w:t>
            </w:r>
          </w:p>
        </w:tc>
        <w:tc>
          <w:tcPr>
            <w:tcW w:w="1559" w:type="dxa"/>
            <w:tcBorders>
              <w:top w:val="nil"/>
              <w:left w:val="nil"/>
              <w:bottom w:val="nil"/>
              <w:right w:val="nil"/>
            </w:tcBorders>
            <w:noWrap/>
            <w:vAlign w:val="bottom"/>
            <w:hideMark/>
          </w:tcPr>
          <w:p w14:paraId="5D829F97"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7313D2B"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704883E"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3.396,76</w:t>
            </w:r>
          </w:p>
        </w:tc>
        <w:tc>
          <w:tcPr>
            <w:tcW w:w="993" w:type="dxa"/>
            <w:tcBorders>
              <w:top w:val="nil"/>
              <w:left w:val="nil"/>
              <w:bottom w:val="nil"/>
              <w:right w:val="nil"/>
            </w:tcBorders>
            <w:noWrap/>
            <w:vAlign w:val="bottom"/>
            <w:hideMark/>
          </w:tcPr>
          <w:p w14:paraId="43EB8279"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30B0599" w14:textId="77777777" w:rsidTr="008A61B1">
        <w:trPr>
          <w:trHeight w:val="255"/>
        </w:trPr>
        <w:tc>
          <w:tcPr>
            <w:tcW w:w="1134" w:type="dxa"/>
            <w:tcBorders>
              <w:top w:val="nil"/>
              <w:left w:val="nil"/>
              <w:bottom w:val="nil"/>
              <w:right w:val="nil"/>
            </w:tcBorders>
            <w:noWrap/>
            <w:vAlign w:val="bottom"/>
            <w:hideMark/>
          </w:tcPr>
          <w:p w14:paraId="3E7AD15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3293</w:t>
            </w:r>
          </w:p>
        </w:tc>
        <w:tc>
          <w:tcPr>
            <w:tcW w:w="4962" w:type="dxa"/>
            <w:tcBorders>
              <w:top w:val="nil"/>
              <w:left w:val="nil"/>
              <w:bottom w:val="nil"/>
              <w:right w:val="nil"/>
            </w:tcBorders>
            <w:noWrap/>
            <w:vAlign w:val="bottom"/>
            <w:hideMark/>
          </w:tcPr>
          <w:p w14:paraId="08BD46A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Reprezentacija</w:t>
            </w:r>
          </w:p>
        </w:tc>
        <w:tc>
          <w:tcPr>
            <w:tcW w:w="1559" w:type="dxa"/>
            <w:tcBorders>
              <w:top w:val="nil"/>
              <w:left w:val="nil"/>
              <w:bottom w:val="nil"/>
              <w:right w:val="nil"/>
            </w:tcBorders>
            <w:noWrap/>
            <w:vAlign w:val="bottom"/>
            <w:hideMark/>
          </w:tcPr>
          <w:p w14:paraId="604C44EA"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8FCB373"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17D38F1"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220,86</w:t>
            </w:r>
          </w:p>
        </w:tc>
        <w:tc>
          <w:tcPr>
            <w:tcW w:w="993" w:type="dxa"/>
            <w:tcBorders>
              <w:top w:val="nil"/>
              <w:left w:val="nil"/>
              <w:bottom w:val="nil"/>
              <w:right w:val="nil"/>
            </w:tcBorders>
            <w:noWrap/>
            <w:vAlign w:val="bottom"/>
            <w:hideMark/>
          </w:tcPr>
          <w:p w14:paraId="7BFE3A2F"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E1DC9AF" w14:textId="77777777" w:rsidTr="008A61B1">
        <w:trPr>
          <w:trHeight w:val="255"/>
        </w:trPr>
        <w:tc>
          <w:tcPr>
            <w:tcW w:w="1134" w:type="dxa"/>
            <w:tcBorders>
              <w:top w:val="nil"/>
              <w:left w:val="nil"/>
              <w:bottom w:val="nil"/>
              <w:right w:val="nil"/>
            </w:tcBorders>
            <w:noWrap/>
            <w:vAlign w:val="bottom"/>
            <w:hideMark/>
          </w:tcPr>
          <w:p w14:paraId="38E2A76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34</w:t>
            </w:r>
          </w:p>
        </w:tc>
        <w:tc>
          <w:tcPr>
            <w:tcW w:w="4962" w:type="dxa"/>
            <w:tcBorders>
              <w:top w:val="nil"/>
              <w:left w:val="nil"/>
              <w:bottom w:val="nil"/>
              <w:right w:val="nil"/>
            </w:tcBorders>
            <w:noWrap/>
            <w:vAlign w:val="bottom"/>
            <w:hideMark/>
          </w:tcPr>
          <w:p w14:paraId="6A3D1F0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Financijski rashodi</w:t>
            </w:r>
          </w:p>
        </w:tc>
        <w:tc>
          <w:tcPr>
            <w:tcW w:w="1559" w:type="dxa"/>
            <w:tcBorders>
              <w:top w:val="nil"/>
              <w:left w:val="nil"/>
              <w:bottom w:val="nil"/>
              <w:right w:val="nil"/>
            </w:tcBorders>
            <w:noWrap/>
            <w:vAlign w:val="bottom"/>
            <w:hideMark/>
          </w:tcPr>
          <w:p w14:paraId="45DCAFC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530,00</w:t>
            </w:r>
          </w:p>
        </w:tc>
        <w:tc>
          <w:tcPr>
            <w:tcW w:w="1559" w:type="dxa"/>
            <w:tcBorders>
              <w:top w:val="nil"/>
              <w:left w:val="nil"/>
              <w:bottom w:val="nil"/>
              <w:right w:val="nil"/>
            </w:tcBorders>
            <w:noWrap/>
            <w:vAlign w:val="bottom"/>
            <w:hideMark/>
          </w:tcPr>
          <w:p w14:paraId="3E513E4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530,00</w:t>
            </w:r>
          </w:p>
        </w:tc>
        <w:tc>
          <w:tcPr>
            <w:tcW w:w="1559" w:type="dxa"/>
            <w:tcBorders>
              <w:top w:val="nil"/>
              <w:left w:val="nil"/>
              <w:bottom w:val="nil"/>
              <w:right w:val="nil"/>
            </w:tcBorders>
            <w:noWrap/>
            <w:vAlign w:val="bottom"/>
            <w:hideMark/>
          </w:tcPr>
          <w:p w14:paraId="4DCE74A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433,94</w:t>
            </w:r>
          </w:p>
        </w:tc>
        <w:tc>
          <w:tcPr>
            <w:tcW w:w="993" w:type="dxa"/>
            <w:tcBorders>
              <w:top w:val="nil"/>
              <w:left w:val="nil"/>
              <w:bottom w:val="nil"/>
              <w:right w:val="nil"/>
            </w:tcBorders>
            <w:noWrap/>
            <w:vAlign w:val="bottom"/>
            <w:hideMark/>
          </w:tcPr>
          <w:p w14:paraId="045EA64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81,88%</w:t>
            </w:r>
          </w:p>
        </w:tc>
      </w:tr>
      <w:tr w:rsidR="006967F8" w:rsidRPr="006967F8" w14:paraId="3C805A24" w14:textId="77777777" w:rsidTr="008A61B1">
        <w:trPr>
          <w:trHeight w:val="255"/>
        </w:trPr>
        <w:tc>
          <w:tcPr>
            <w:tcW w:w="1134" w:type="dxa"/>
            <w:tcBorders>
              <w:top w:val="nil"/>
              <w:left w:val="nil"/>
              <w:bottom w:val="nil"/>
              <w:right w:val="nil"/>
            </w:tcBorders>
            <w:noWrap/>
            <w:vAlign w:val="bottom"/>
            <w:hideMark/>
          </w:tcPr>
          <w:p w14:paraId="17CF1AE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3431</w:t>
            </w:r>
          </w:p>
        </w:tc>
        <w:tc>
          <w:tcPr>
            <w:tcW w:w="4962" w:type="dxa"/>
            <w:tcBorders>
              <w:top w:val="nil"/>
              <w:left w:val="nil"/>
              <w:bottom w:val="nil"/>
              <w:right w:val="nil"/>
            </w:tcBorders>
            <w:noWrap/>
            <w:vAlign w:val="bottom"/>
            <w:hideMark/>
          </w:tcPr>
          <w:p w14:paraId="7F4747E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Bankarske usluge i usluge platnog prometa</w:t>
            </w:r>
          </w:p>
        </w:tc>
        <w:tc>
          <w:tcPr>
            <w:tcW w:w="1559" w:type="dxa"/>
            <w:tcBorders>
              <w:top w:val="nil"/>
              <w:left w:val="nil"/>
              <w:bottom w:val="nil"/>
              <w:right w:val="nil"/>
            </w:tcBorders>
            <w:noWrap/>
            <w:vAlign w:val="bottom"/>
            <w:hideMark/>
          </w:tcPr>
          <w:p w14:paraId="6C9EA07D"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C7FDC84"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03B663A"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433,94</w:t>
            </w:r>
          </w:p>
        </w:tc>
        <w:tc>
          <w:tcPr>
            <w:tcW w:w="993" w:type="dxa"/>
            <w:tcBorders>
              <w:top w:val="nil"/>
              <w:left w:val="nil"/>
              <w:bottom w:val="nil"/>
              <w:right w:val="nil"/>
            </w:tcBorders>
            <w:noWrap/>
            <w:vAlign w:val="bottom"/>
            <w:hideMark/>
          </w:tcPr>
          <w:p w14:paraId="31CDBAB4"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A44C425" w14:textId="77777777" w:rsidTr="008A61B1">
        <w:trPr>
          <w:trHeight w:val="525"/>
        </w:trPr>
        <w:tc>
          <w:tcPr>
            <w:tcW w:w="6096" w:type="dxa"/>
            <w:gridSpan w:val="2"/>
            <w:tcBorders>
              <w:top w:val="nil"/>
              <w:left w:val="nil"/>
              <w:bottom w:val="nil"/>
              <w:right w:val="nil"/>
            </w:tcBorders>
            <w:shd w:val="clear" w:color="000000" w:fill="CCCCFF"/>
            <w:vAlign w:val="bottom"/>
            <w:hideMark/>
          </w:tcPr>
          <w:p w14:paraId="230EED3F"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4.9. PRENESENI VIŠAK/MANJAK- PRIHODI ZA POSEBNE NAMJENE</w:t>
            </w:r>
          </w:p>
        </w:tc>
        <w:tc>
          <w:tcPr>
            <w:tcW w:w="1559" w:type="dxa"/>
            <w:tcBorders>
              <w:top w:val="nil"/>
              <w:left w:val="nil"/>
              <w:bottom w:val="nil"/>
              <w:right w:val="nil"/>
            </w:tcBorders>
            <w:shd w:val="clear" w:color="000000" w:fill="CCCCFF"/>
            <w:noWrap/>
            <w:vAlign w:val="bottom"/>
            <w:hideMark/>
          </w:tcPr>
          <w:p w14:paraId="0EB05F6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8.045,00</w:t>
            </w:r>
          </w:p>
        </w:tc>
        <w:tc>
          <w:tcPr>
            <w:tcW w:w="1559" w:type="dxa"/>
            <w:tcBorders>
              <w:top w:val="nil"/>
              <w:left w:val="nil"/>
              <w:bottom w:val="nil"/>
              <w:right w:val="nil"/>
            </w:tcBorders>
            <w:shd w:val="clear" w:color="000000" w:fill="CCCCFF"/>
            <w:noWrap/>
            <w:vAlign w:val="bottom"/>
            <w:hideMark/>
          </w:tcPr>
          <w:p w14:paraId="1F47EFB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8.045,00</w:t>
            </w:r>
          </w:p>
        </w:tc>
        <w:tc>
          <w:tcPr>
            <w:tcW w:w="1559" w:type="dxa"/>
            <w:tcBorders>
              <w:top w:val="nil"/>
              <w:left w:val="nil"/>
              <w:bottom w:val="nil"/>
              <w:right w:val="nil"/>
            </w:tcBorders>
            <w:shd w:val="clear" w:color="000000" w:fill="CCCCFF"/>
            <w:noWrap/>
            <w:vAlign w:val="bottom"/>
            <w:hideMark/>
          </w:tcPr>
          <w:p w14:paraId="25C52E4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7.661,95</w:t>
            </w:r>
          </w:p>
        </w:tc>
        <w:tc>
          <w:tcPr>
            <w:tcW w:w="993" w:type="dxa"/>
            <w:tcBorders>
              <w:top w:val="nil"/>
              <w:left w:val="nil"/>
              <w:bottom w:val="nil"/>
              <w:right w:val="nil"/>
            </w:tcBorders>
            <w:shd w:val="clear" w:color="000000" w:fill="CCCCFF"/>
            <w:noWrap/>
            <w:vAlign w:val="bottom"/>
            <w:hideMark/>
          </w:tcPr>
          <w:p w14:paraId="188C527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95,24%</w:t>
            </w:r>
          </w:p>
        </w:tc>
      </w:tr>
      <w:tr w:rsidR="006967F8" w:rsidRPr="006967F8" w14:paraId="19457EE9" w14:textId="77777777" w:rsidTr="008A61B1">
        <w:trPr>
          <w:trHeight w:val="255"/>
        </w:trPr>
        <w:tc>
          <w:tcPr>
            <w:tcW w:w="1134" w:type="dxa"/>
            <w:tcBorders>
              <w:top w:val="nil"/>
              <w:left w:val="nil"/>
              <w:bottom w:val="nil"/>
              <w:right w:val="nil"/>
            </w:tcBorders>
            <w:noWrap/>
            <w:vAlign w:val="bottom"/>
            <w:hideMark/>
          </w:tcPr>
          <w:p w14:paraId="1B25B7A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11025C7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22A1942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2.450,00</w:t>
            </w:r>
          </w:p>
        </w:tc>
        <w:tc>
          <w:tcPr>
            <w:tcW w:w="1559" w:type="dxa"/>
            <w:tcBorders>
              <w:top w:val="nil"/>
              <w:left w:val="nil"/>
              <w:bottom w:val="nil"/>
              <w:right w:val="nil"/>
            </w:tcBorders>
            <w:noWrap/>
            <w:vAlign w:val="bottom"/>
            <w:hideMark/>
          </w:tcPr>
          <w:p w14:paraId="2BBC5C2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2.450,00</w:t>
            </w:r>
          </w:p>
        </w:tc>
        <w:tc>
          <w:tcPr>
            <w:tcW w:w="1559" w:type="dxa"/>
            <w:tcBorders>
              <w:top w:val="nil"/>
              <w:left w:val="nil"/>
              <w:bottom w:val="nil"/>
              <w:right w:val="nil"/>
            </w:tcBorders>
            <w:noWrap/>
            <w:vAlign w:val="bottom"/>
            <w:hideMark/>
          </w:tcPr>
          <w:p w14:paraId="742722E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2.348,08</w:t>
            </w:r>
          </w:p>
        </w:tc>
        <w:tc>
          <w:tcPr>
            <w:tcW w:w="993" w:type="dxa"/>
            <w:tcBorders>
              <w:top w:val="nil"/>
              <w:left w:val="nil"/>
              <w:bottom w:val="nil"/>
              <w:right w:val="nil"/>
            </w:tcBorders>
            <w:noWrap/>
            <w:vAlign w:val="bottom"/>
            <w:hideMark/>
          </w:tcPr>
          <w:p w14:paraId="1C7395C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95,84%</w:t>
            </w:r>
          </w:p>
        </w:tc>
      </w:tr>
      <w:tr w:rsidR="006967F8" w:rsidRPr="006967F8" w14:paraId="5E0A4B79" w14:textId="77777777" w:rsidTr="008A61B1">
        <w:trPr>
          <w:trHeight w:val="255"/>
        </w:trPr>
        <w:tc>
          <w:tcPr>
            <w:tcW w:w="1134" w:type="dxa"/>
            <w:tcBorders>
              <w:top w:val="nil"/>
              <w:left w:val="nil"/>
              <w:bottom w:val="nil"/>
              <w:right w:val="nil"/>
            </w:tcBorders>
            <w:noWrap/>
            <w:vAlign w:val="bottom"/>
            <w:hideMark/>
          </w:tcPr>
          <w:p w14:paraId="1A226A0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3225</w:t>
            </w:r>
          </w:p>
        </w:tc>
        <w:tc>
          <w:tcPr>
            <w:tcW w:w="4962" w:type="dxa"/>
            <w:tcBorders>
              <w:top w:val="nil"/>
              <w:left w:val="nil"/>
              <w:bottom w:val="nil"/>
              <w:right w:val="nil"/>
            </w:tcBorders>
            <w:noWrap/>
            <w:vAlign w:val="bottom"/>
            <w:hideMark/>
          </w:tcPr>
          <w:p w14:paraId="354AE0B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 xml:space="preserve">Sitni inventar i </w:t>
            </w:r>
            <w:proofErr w:type="spellStart"/>
            <w:r w:rsidRPr="006967F8">
              <w:rPr>
                <w:rFonts w:ascii="Arial" w:eastAsia="Times New Roman" w:hAnsi="Arial" w:cs="Arial"/>
                <w:sz w:val="20"/>
                <w:szCs w:val="20"/>
                <w:lang w:eastAsia="hr-HR"/>
              </w:rPr>
              <w:t>autogume</w:t>
            </w:r>
            <w:proofErr w:type="spellEnd"/>
          </w:p>
        </w:tc>
        <w:tc>
          <w:tcPr>
            <w:tcW w:w="1559" w:type="dxa"/>
            <w:tcBorders>
              <w:top w:val="nil"/>
              <w:left w:val="nil"/>
              <w:bottom w:val="nil"/>
              <w:right w:val="nil"/>
            </w:tcBorders>
            <w:noWrap/>
            <w:vAlign w:val="bottom"/>
            <w:hideMark/>
          </w:tcPr>
          <w:p w14:paraId="149BB994"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52B283A"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3B2FB28"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1.648,08</w:t>
            </w:r>
          </w:p>
        </w:tc>
        <w:tc>
          <w:tcPr>
            <w:tcW w:w="993" w:type="dxa"/>
            <w:tcBorders>
              <w:top w:val="nil"/>
              <w:left w:val="nil"/>
              <w:bottom w:val="nil"/>
              <w:right w:val="nil"/>
            </w:tcBorders>
            <w:noWrap/>
            <w:vAlign w:val="bottom"/>
            <w:hideMark/>
          </w:tcPr>
          <w:p w14:paraId="145A0F51"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BAC05F1" w14:textId="77777777" w:rsidTr="008A61B1">
        <w:trPr>
          <w:trHeight w:val="255"/>
        </w:trPr>
        <w:tc>
          <w:tcPr>
            <w:tcW w:w="1134" w:type="dxa"/>
            <w:tcBorders>
              <w:top w:val="nil"/>
              <w:left w:val="nil"/>
              <w:bottom w:val="nil"/>
              <w:right w:val="nil"/>
            </w:tcBorders>
            <w:noWrap/>
            <w:vAlign w:val="bottom"/>
            <w:hideMark/>
          </w:tcPr>
          <w:p w14:paraId="4BFE51E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3237</w:t>
            </w:r>
          </w:p>
        </w:tc>
        <w:tc>
          <w:tcPr>
            <w:tcW w:w="4962" w:type="dxa"/>
            <w:tcBorders>
              <w:top w:val="nil"/>
              <w:left w:val="nil"/>
              <w:bottom w:val="nil"/>
              <w:right w:val="nil"/>
            </w:tcBorders>
            <w:noWrap/>
            <w:vAlign w:val="bottom"/>
            <w:hideMark/>
          </w:tcPr>
          <w:p w14:paraId="7697CDF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Intelektualne i osobne usluge</w:t>
            </w:r>
          </w:p>
        </w:tc>
        <w:tc>
          <w:tcPr>
            <w:tcW w:w="1559" w:type="dxa"/>
            <w:tcBorders>
              <w:top w:val="nil"/>
              <w:left w:val="nil"/>
              <w:bottom w:val="nil"/>
              <w:right w:val="nil"/>
            </w:tcBorders>
            <w:noWrap/>
            <w:vAlign w:val="bottom"/>
            <w:hideMark/>
          </w:tcPr>
          <w:p w14:paraId="38C4B95F"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E08401C"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D9060C4"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700,00</w:t>
            </w:r>
          </w:p>
        </w:tc>
        <w:tc>
          <w:tcPr>
            <w:tcW w:w="993" w:type="dxa"/>
            <w:tcBorders>
              <w:top w:val="nil"/>
              <w:left w:val="nil"/>
              <w:bottom w:val="nil"/>
              <w:right w:val="nil"/>
            </w:tcBorders>
            <w:noWrap/>
            <w:vAlign w:val="bottom"/>
            <w:hideMark/>
          </w:tcPr>
          <w:p w14:paraId="36DD1CF0"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C36CA1B" w14:textId="77777777" w:rsidTr="008A61B1">
        <w:trPr>
          <w:trHeight w:val="255"/>
        </w:trPr>
        <w:tc>
          <w:tcPr>
            <w:tcW w:w="1134" w:type="dxa"/>
            <w:tcBorders>
              <w:top w:val="nil"/>
              <w:left w:val="nil"/>
              <w:bottom w:val="nil"/>
              <w:right w:val="nil"/>
            </w:tcBorders>
            <w:noWrap/>
            <w:vAlign w:val="bottom"/>
            <w:hideMark/>
          </w:tcPr>
          <w:p w14:paraId="716CD7D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34</w:t>
            </w:r>
          </w:p>
        </w:tc>
        <w:tc>
          <w:tcPr>
            <w:tcW w:w="4962" w:type="dxa"/>
            <w:tcBorders>
              <w:top w:val="nil"/>
              <w:left w:val="nil"/>
              <w:bottom w:val="nil"/>
              <w:right w:val="nil"/>
            </w:tcBorders>
            <w:noWrap/>
            <w:vAlign w:val="bottom"/>
            <w:hideMark/>
          </w:tcPr>
          <w:p w14:paraId="77A09B5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Financijski rashodi</w:t>
            </w:r>
          </w:p>
        </w:tc>
        <w:tc>
          <w:tcPr>
            <w:tcW w:w="1559" w:type="dxa"/>
            <w:tcBorders>
              <w:top w:val="nil"/>
              <w:left w:val="nil"/>
              <w:bottom w:val="nil"/>
              <w:right w:val="nil"/>
            </w:tcBorders>
            <w:noWrap/>
            <w:vAlign w:val="bottom"/>
            <w:hideMark/>
          </w:tcPr>
          <w:p w14:paraId="6774ECD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c>
          <w:tcPr>
            <w:tcW w:w="1559" w:type="dxa"/>
            <w:tcBorders>
              <w:top w:val="nil"/>
              <w:left w:val="nil"/>
              <w:bottom w:val="nil"/>
              <w:right w:val="nil"/>
            </w:tcBorders>
            <w:noWrap/>
            <w:vAlign w:val="bottom"/>
            <w:hideMark/>
          </w:tcPr>
          <w:p w14:paraId="0BAFCF6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c>
          <w:tcPr>
            <w:tcW w:w="1559" w:type="dxa"/>
            <w:tcBorders>
              <w:top w:val="nil"/>
              <w:left w:val="nil"/>
              <w:bottom w:val="nil"/>
              <w:right w:val="nil"/>
            </w:tcBorders>
            <w:noWrap/>
            <w:vAlign w:val="bottom"/>
            <w:hideMark/>
          </w:tcPr>
          <w:p w14:paraId="72B4523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90,37</w:t>
            </w:r>
          </w:p>
        </w:tc>
        <w:tc>
          <w:tcPr>
            <w:tcW w:w="993" w:type="dxa"/>
            <w:tcBorders>
              <w:top w:val="nil"/>
              <w:left w:val="nil"/>
              <w:bottom w:val="nil"/>
              <w:right w:val="nil"/>
            </w:tcBorders>
            <w:noWrap/>
            <w:vAlign w:val="bottom"/>
            <w:hideMark/>
          </w:tcPr>
          <w:p w14:paraId="0AC32A3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90,37%</w:t>
            </w:r>
          </w:p>
        </w:tc>
      </w:tr>
      <w:tr w:rsidR="006967F8" w:rsidRPr="006967F8" w14:paraId="4AC0C732" w14:textId="77777777" w:rsidTr="008A61B1">
        <w:trPr>
          <w:trHeight w:val="255"/>
        </w:trPr>
        <w:tc>
          <w:tcPr>
            <w:tcW w:w="1134" w:type="dxa"/>
            <w:tcBorders>
              <w:top w:val="nil"/>
              <w:left w:val="nil"/>
              <w:bottom w:val="nil"/>
              <w:right w:val="nil"/>
            </w:tcBorders>
            <w:noWrap/>
            <w:vAlign w:val="bottom"/>
            <w:hideMark/>
          </w:tcPr>
          <w:p w14:paraId="5CF4570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3431</w:t>
            </w:r>
          </w:p>
        </w:tc>
        <w:tc>
          <w:tcPr>
            <w:tcW w:w="4962" w:type="dxa"/>
            <w:tcBorders>
              <w:top w:val="nil"/>
              <w:left w:val="nil"/>
              <w:bottom w:val="nil"/>
              <w:right w:val="nil"/>
            </w:tcBorders>
            <w:noWrap/>
            <w:vAlign w:val="bottom"/>
            <w:hideMark/>
          </w:tcPr>
          <w:p w14:paraId="24BAC27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Bankarske usluge i usluge platnog prometa</w:t>
            </w:r>
          </w:p>
        </w:tc>
        <w:tc>
          <w:tcPr>
            <w:tcW w:w="1559" w:type="dxa"/>
            <w:tcBorders>
              <w:top w:val="nil"/>
              <w:left w:val="nil"/>
              <w:bottom w:val="nil"/>
              <w:right w:val="nil"/>
            </w:tcBorders>
            <w:noWrap/>
            <w:vAlign w:val="bottom"/>
            <w:hideMark/>
          </w:tcPr>
          <w:p w14:paraId="2BC327CC"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8DA8B68"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3230DDD"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90,37</w:t>
            </w:r>
          </w:p>
        </w:tc>
        <w:tc>
          <w:tcPr>
            <w:tcW w:w="993" w:type="dxa"/>
            <w:tcBorders>
              <w:top w:val="nil"/>
              <w:left w:val="nil"/>
              <w:bottom w:val="nil"/>
              <w:right w:val="nil"/>
            </w:tcBorders>
            <w:noWrap/>
            <w:vAlign w:val="bottom"/>
            <w:hideMark/>
          </w:tcPr>
          <w:p w14:paraId="22D7C58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70DBF38" w14:textId="77777777" w:rsidTr="008A61B1">
        <w:trPr>
          <w:trHeight w:val="495"/>
        </w:trPr>
        <w:tc>
          <w:tcPr>
            <w:tcW w:w="1134" w:type="dxa"/>
            <w:tcBorders>
              <w:top w:val="nil"/>
              <w:left w:val="nil"/>
              <w:bottom w:val="nil"/>
              <w:right w:val="nil"/>
            </w:tcBorders>
            <w:noWrap/>
            <w:vAlign w:val="bottom"/>
            <w:hideMark/>
          </w:tcPr>
          <w:p w14:paraId="60A6A12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7380524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1CE0EE6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2.995,00</w:t>
            </w:r>
          </w:p>
        </w:tc>
        <w:tc>
          <w:tcPr>
            <w:tcW w:w="1559" w:type="dxa"/>
            <w:tcBorders>
              <w:top w:val="nil"/>
              <w:left w:val="nil"/>
              <w:bottom w:val="nil"/>
              <w:right w:val="nil"/>
            </w:tcBorders>
            <w:noWrap/>
            <w:vAlign w:val="bottom"/>
            <w:hideMark/>
          </w:tcPr>
          <w:p w14:paraId="7C265D8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2.995,00</w:t>
            </w:r>
          </w:p>
        </w:tc>
        <w:tc>
          <w:tcPr>
            <w:tcW w:w="1559" w:type="dxa"/>
            <w:tcBorders>
              <w:top w:val="nil"/>
              <w:left w:val="nil"/>
              <w:bottom w:val="nil"/>
              <w:right w:val="nil"/>
            </w:tcBorders>
            <w:noWrap/>
            <w:vAlign w:val="bottom"/>
            <w:hideMark/>
          </w:tcPr>
          <w:p w14:paraId="66DFC14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2.723,50</w:t>
            </w:r>
          </w:p>
        </w:tc>
        <w:tc>
          <w:tcPr>
            <w:tcW w:w="993" w:type="dxa"/>
            <w:tcBorders>
              <w:top w:val="nil"/>
              <w:left w:val="nil"/>
              <w:bottom w:val="nil"/>
              <w:right w:val="nil"/>
            </w:tcBorders>
            <w:noWrap/>
            <w:vAlign w:val="bottom"/>
            <w:hideMark/>
          </w:tcPr>
          <w:p w14:paraId="3107106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90,93%</w:t>
            </w:r>
          </w:p>
        </w:tc>
      </w:tr>
      <w:tr w:rsidR="006967F8" w:rsidRPr="006967F8" w14:paraId="18D61167" w14:textId="77777777" w:rsidTr="008A61B1">
        <w:trPr>
          <w:trHeight w:val="255"/>
        </w:trPr>
        <w:tc>
          <w:tcPr>
            <w:tcW w:w="1134" w:type="dxa"/>
            <w:tcBorders>
              <w:top w:val="nil"/>
              <w:left w:val="nil"/>
              <w:bottom w:val="nil"/>
              <w:right w:val="nil"/>
            </w:tcBorders>
            <w:noWrap/>
            <w:vAlign w:val="bottom"/>
            <w:hideMark/>
          </w:tcPr>
          <w:p w14:paraId="656DCC3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4221</w:t>
            </w:r>
          </w:p>
        </w:tc>
        <w:tc>
          <w:tcPr>
            <w:tcW w:w="4962" w:type="dxa"/>
            <w:tcBorders>
              <w:top w:val="nil"/>
              <w:left w:val="nil"/>
              <w:bottom w:val="nil"/>
              <w:right w:val="nil"/>
            </w:tcBorders>
            <w:noWrap/>
            <w:vAlign w:val="bottom"/>
            <w:hideMark/>
          </w:tcPr>
          <w:p w14:paraId="403F4F9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Uredska oprema i namještaj</w:t>
            </w:r>
          </w:p>
        </w:tc>
        <w:tc>
          <w:tcPr>
            <w:tcW w:w="1559" w:type="dxa"/>
            <w:tcBorders>
              <w:top w:val="nil"/>
              <w:left w:val="nil"/>
              <w:bottom w:val="nil"/>
              <w:right w:val="nil"/>
            </w:tcBorders>
            <w:noWrap/>
            <w:vAlign w:val="bottom"/>
            <w:hideMark/>
          </w:tcPr>
          <w:p w14:paraId="57DD1AE3"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85D57CC"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FFE0514"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2.723,50</w:t>
            </w:r>
          </w:p>
        </w:tc>
        <w:tc>
          <w:tcPr>
            <w:tcW w:w="993" w:type="dxa"/>
            <w:tcBorders>
              <w:top w:val="nil"/>
              <w:left w:val="nil"/>
              <w:bottom w:val="nil"/>
              <w:right w:val="nil"/>
            </w:tcBorders>
            <w:noWrap/>
            <w:vAlign w:val="bottom"/>
            <w:hideMark/>
          </w:tcPr>
          <w:p w14:paraId="1F158D2F"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E820971" w14:textId="77777777" w:rsidTr="008A61B1">
        <w:trPr>
          <w:trHeight w:val="510"/>
        </w:trPr>
        <w:tc>
          <w:tcPr>
            <w:tcW w:w="1134" w:type="dxa"/>
            <w:tcBorders>
              <w:top w:val="nil"/>
              <w:left w:val="nil"/>
              <w:bottom w:val="nil"/>
              <w:right w:val="nil"/>
            </w:tcBorders>
            <w:noWrap/>
            <w:vAlign w:val="bottom"/>
            <w:hideMark/>
          </w:tcPr>
          <w:p w14:paraId="6766614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43</w:t>
            </w:r>
          </w:p>
        </w:tc>
        <w:tc>
          <w:tcPr>
            <w:tcW w:w="4962" w:type="dxa"/>
            <w:tcBorders>
              <w:top w:val="nil"/>
              <w:left w:val="nil"/>
              <w:bottom w:val="nil"/>
              <w:right w:val="nil"/>
            </w:tcBorders>
            <w:vAlign w:val="bottom"/>
            <w:hideMark/>
          </w:tcPr>
          <w:p w14:paraId="5DAEB7D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plemenitih metala i ostalih pohranjenih vrijednosti</w:t>
            </w:r>
          </w:p>
        </w:tc>
        <w:tc>
          <w:tcPr>
            <w:tcW w:w="1559" w:type="dxa"/>
            <w:tcBorders>
              <w:top w:val="nil"/>
              <w:left w:val="nil"/>
              <w:bottom w:val="nil"/>
              <w:right w:val="nil"/>
            </w:tcBorders>
            <w:noWrap/>
            <w:vAlign w:val="bottom"/>
            <w:hideMark/>
          </w:tcPr>
          <w:p w14:paraId="12D04F5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2.500,00</w:t>
            </w:r>
          </w:p>
        </w:tc>
        <w:tc>
          <w:tcPr>
            <w:tcW w:w="1559" w:type="dxa"/>
            <w:tcBorders>
              <w:top w:val="nil"/>
              <w:left w:val="nil"/>
              <w:bottom w:val="nil"/>
              <w:right w:val="nil"/>
            </w:tcBorders>
            <w:noWrap/>
            <w:vAlign w:val="bottom"/>
            <w:hideMark/>
          </w:tcPr>
          <w:p w14:paraId="5C7F621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2.500,00</w:t>
            </w:r>
          </w:p>
        </w:tc>
        <w:tc>
          <w:tcPr>
            <w:tcW w:w="1559" w:type="dxa"/>
            <w:tcBorders>
              <w:top w:val="nil"/>
              <w:left w:val="nil"/>
              <w:bottom w:val="nil"/>
              <w:right w:val="nil"/>
            </w:tcBorders>
            <w:noWrap/>
            <w:vAlign w:val="bottom"/>
            <w:hideMark/>
          </w:tcPr>
          <w:p w14:paraId="1DE3D94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2.500,00</w:t>
            </w:r>
          </w:p>
        </w:tc>
        <w:tc>
          <w:tcPr>
            <w:tcW w:w="993" w:type="dxa"/>
            <w:tcBorders>
              <w:top w:val="nil"/>
              <w:left w:val="nil"/>
              <w:bottom w:val="nil"/>
              <w:right w:val="nil"/>
            </w:tcBorders>
            <w:noWrap/>
            <w:vAlign w:val="bottom"/>
            <w:hideMark/>
          </w:tcPr>
          <w:p w14:paraId="4912BA4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r>
      <w:tr w:rsidR="006967F8" w:rsidRPr="006967F8" w14:paraId="0F7F8153" w14:textId="77777777" w:rsidTr="008A61B1">
        <w:trPr>
          <w:trHeight w:val="510"/>
        </w:trPr>
        <w:tc>
          <w:tcPr>
            <w:tcW w:w="1134" w:type="dxa"/>
            <w:tcBorders>
              <w:top w:val="nil"/>
              <w:left w:val="nil"/>
              <w:bottom w:val="nil"/>
              <w:right w:val="nil"/>
            </w:tcBorders>
            <w:noWrap/>
            <w:vAlign w:val="bottom"/>
            <w:hideMark/>
          </w:tcPr>
          <w:p w14:paraId="0DB11C5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4312</w:t>
            </w:r>
          </w:p>
        </w:tc>
        <w:tc>
          <w:tcPr>
            <w:tcW w:w="4962" w:type="dxa"/>
            <w:tcBorders>
              <w:top w:val="nil"/>
              <w:left w:val="nil"/>
              <w:bottom w:val="nil"/>
              <w:right w:val="nil"/>
            </w:tcBorders>
            <w:vAlign w:val="bottom"/>
            <w:hideMark/>
          </w:tcPr>
          <w:p w14:paraId="5E997C8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Rashodi za nabavu plemenitih metala i ostalih pohranjenih vrijednosti</w:t>
            </w:r>
          </w:p>
        </w:tc>
        <w:tc>
          <w:tcPr>
            <w:tcW w:w="1559" w:type="dxa"/>
            <w:tcBorders>
              <w:top w:val="nil"/>
              <w:left w:val="nil"/>
              <w:bottom w:val="nil"/>
              <w:right w:val="nil"/>
            </w:tcBorders>
            <w:noWrap/>
            <w:vAlign w:val="bottom"/>
            <w:hideMark/>
          </w:tcPr>
          <w:p w14:paraId="414B9DCA"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CF11831"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839C00F"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2.500,00</w:t>
            </w:r>
          </w:p>
        </w:tc>
        <w:tc>
          <w:tcPr>
            <w:tcW w:w="993" w:type="dxa"/>
            <w:tcBorders>
              <w:top w:val="nil"/>
              <w:left w:val="nil"/>
              <w:bottom w:val="nil"/>
              <w:right w:val="nil"/>
            </w:tcBorders>
            <w:noWrap/>
            <w:vAlign w:val="bottom"/>
            <w:hideMark/>
          </w:tcPr>
          <w:p w14:paraId="7A89B206"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D036895"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9910B6B"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3C6FDF8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12.800,00</w:t>
            </w:r>
          </w:p>
        </w:tc>
        <w:tc>
          <w:tcPr>
            <w:tcW w:w="1559" w:type="dxa"/>
            <w:tcBorders>
              <w:top w:val="nil"/>
              <w:left w:val="nil"/>
              <w:bottom w:val="nil"/>
              <w:right w:val="nil"/>
            </w:tcBorders>
            <w:shd w:val="clear" w:color="000000" w:fill="CCCCFF"/>
            <w:noWrap/>
            <w:vAlign w:val="bottom"/>
            <w:hideMark/>
          </w:tcPr>
          <w:p w14:paraId="2ADF788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12.800,00</w:t>
            </w:r>
          </w:p>
        </w:tc>
        <w:tc>
          <w:tcPr>
            <w:tcW w:w="1559" w:type="dxa"/>
            <w:tcBorders>
              <w:top w:val="nil"/>
              <w:left w:val="nil"/>
              <w:bottom w:val="nil"/>
              <w:right w:val="nil"/>
            </w:tcBorders>
            <w:shd w:val="clear" w:color="000000" w:fill="CCCCFF"/>
            <w:noWrap/>
            <w:vAlign w:val="bottom"/>
            <w:hideMark/>
          </w:tcPr>
          <w:p w14:paraId="5A2023F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12.848,18</w:t>
            </w:r>
          </w:p>
        </w:tc>
        <w:tc>
          <w:tcPr>
            <w:tcW w:w="993" w:type="dxa"/>
            <w:tcBorders>
              <w:top w:val="nil"/>
              <w:left w:val="nil"/>
              <w:bottom w:val="nil"/>
              <w:right w:val="nil"/>
            </w:tcBorders>
            <w:shd w:val="clear" w:color="000000" w:fill="CCCCFF"/>
            <w:noWrap/>
            <w:vAlign w:val="bottom"/>
            <w:hideMark/>
          </w:tcPr>
          <w:p w14:paraId="1E0FBE4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100,38%</w:t>
            </w:r>
          </w:p>
        </w:tc>
      </w:tr>
      <w:tr w:rsidR="006967F8" w:rsidRPr="006967F8" w14:paraId="07058B50"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6CFFE35"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5.5. Ostale pomoći  proračunskih korisnika</w:t>
            </w:r>
          </w:p>
        </w:tc>
        <w:tc>
          <w:tcPr>
            <w:tcW w:w="1559" w:type="dxa"/>
            <w:tcBorders>
              <w:top w:val="nil"/>
              <w:left w:val="nil"/>
              <w:bottom w:val="nil"/>
              <w:right w:val="nil"/>
            </w:tcBorders>
            <w:shd w:val="clear" w:color="000000" w:fill="CCCCFF"/>
            <w:noWrap/>
            <w:vAlign w:val="bottom"/>
            <w:hideMark/>
          </w:tcPr>
          <w:p w14:paraId="54582E8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12.800,00</w:t>
            </w:r>
          </w:p>
        </w:tc>
        <w:tc>
          <w:tcPr>
            <w:tcW w:w="1559" w:type="dxa"/>
            <w:tcBorders>
              <w:top w:val="nil"/>
              <w:left w:val="nil"/>
              <w:bottom w:val="nil"/>
              <w:right w:val="nil"/>
            </w:tcBorders>
            <w:shd w:val="clear" w:color="000000" w:fill="CCCCFF"/>
            <w:noWrap/>
            <w:vAlign w:val="bottom"/>
            <w:hideMark/>
          </w:tcPr>
          <w:p w14:paraId="55FE449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12.800,00</w:t>
            </w:r>
          </w:p>
        </w:tc>
        <w:tc>
          <w:tcPr>
            <w:tcW w:w="1559" w:type="dxa"/>
            <w:tcBorders>
              <w:top w:val="nil"/>
              <w:left w:val="nil"/>
              <w:bottom w:val="nil"/>
              <w:right w:val="nil"/>
            </w:tcBorders>
            <w:shd w:val="clear" w:color="000000" w:fill="CCCCFF"/>
            <w:noWrap/>
            <w:vAlign w:val="bottom"/>
            <w:hideMark/>
          </w:tcPr>
          <w:p w14:paraId="16993FC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12.848,18</w:t>
            </w:r>
          </w:p>
        </w:tc>
        <w:tc>
          <w:tcPr>
            <w:tcW w:w="993" w:type="dxa"/>
            <w:tcBorders>
              <w:top w:val="nil"/>
              <w:left w:val="nil"/>
              <w:bottom w:val="nil"/>
              <w:right w:val="nil"/>
            </w:tcBorders>
            <w:shd w:val="clear" w:color="000000" w:fill="CCCCFF"/>
            <w:noWrap/>
            <w:vAlign w:val="bottom"/>
            <w:hideMark/>
          </w:tcPr>
          <w:p w14:paraId="102F70C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100,38%</w:t>
            </w:r>
          </w:p>
        </w:tc>
      </w:tr>
      <w:tr w:rsidR="006967F8" w:rsidRPr="006967F8" w14:paraId="487E583E" w14:textId="77777777" w:rsidTr="008A61B1">
        <w:trPr>
          <w:trHeight w:val="480"/>
        </w:trPr>
        <w:tc>
          <w:tcPr>
            <w:tcW w:w="1134" w:type="dxa"/>
            <w:tcBorders>
              <w:top w:val="nil"/>
              <w:left w:val="nil"/>
              <w:bottom w:val="nil"/>
              <w:right w:val="nil"/>
            </w:tcBorders>
            <w:noWrap/>
            <w:vAlign w:val="bottom"/>
            <w:hideMark/>
          </w:tcPr>
          <w:p w14:paraId="7ABE1E7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6AA3304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1180734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12.800,00</w:t>
            </w:r>
          </w:p>
        </w:tc>
        <w:tc>
          <w:tcPr>
            <w:tcW w:w="1559" w:type="dxa"/>
            <w:tcBorders>
              <w:top w:val="nil"/>
              <w:left w:val="nil"/>
              <w:bottom w:val="nil"/>
              <w:right w:val="nil"/>
            </w:tcBorders>
            <w:noWrap/>
            <w:vAlign w:val="bottom"/>
            <w:hideMark/>
          </w:tcPr>
          <w:p w14:paraId="07D44AC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12.800,00</w:t>
            </w:r>
          </w:p>
        </w:tc>
        <w:tc>
          <w:tcPr>
            <w:tcW w:w="1559" w:type="dxa"/>
            <w:tcBorders>
              <w:top w:val="nil"/>
              <w:left w:val="nil"/>
              <w:bottom w:val="nil"/>
              <w:right w:val="nil"/>
            </w:tcBorders>
            <w:noWrap/>
            <w:vAlign w:val="bottom"/>
            <w:hideMark/>
          </w:tcPr>
          <w:p w14:paraId="7646A80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12.848,18</w:t>
            </w:r>
          </w:p>
        </w:tc>
        <w:tc>
          <w:tcPr>
            <w:tcW w:w="993" w:type="dxa"/>
            <w:tcBorders>
              <w:top w:val="nil"/>
              <w:left w:val="nil"/>
              <w:bottom w:val="nil"/>
              <w:right w:val="nil"/>
            </w:tcBorders>
            <w:noWrap/>
            <w:vAlign w:val="bottom"/>
            <w:hideMark/>
          </w:tcPr>
          <w:p w14:paraId="0FA8598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100,38%</w:t>
            </w:r>
          </w:p>
        </w:tc>
      </w:tr>
      <w:tr w:rsidR="006967F8" w:rsidRPr="006967F8" w14:paraId="7571BFC5" w14:textId="77777777" w:rsidTr="008A61B1">
        <w:trPr>
          <w:trHeight w:val="255"/>
        </w:trPr>
        <w:tc>
          <w:tcPr>
            <w:tcW w:w="1134" w:type="dxa"/>
            <w:tcBorders>
              <w:top w:val="nil"/>
              <w:left w:val="nil"/>
              <w:bottom w:val="nil"/>
              <w:right w:val="nil"/>
            </w:tcBorders>
            <w:noWrap/>
            <w:vAlign w:val="bottom"/>
            <w:hideMark/>
          </w:tcPr>
          <w:p w14:paraId="320C2D1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4241</w:t>
            </w:r>
          </w:p>
        </w:tc>
        <w:tc>
          <w:tcPr>
            <w:tcW w:w="4962" w:type="dxa"/>
            <w:tcBorders>
              <w:top w:val="nil"/>
              <w:left w:val="nil"/>
              <w:bottom w:val="nil"/>
              <w:right w:val="nil"/>
            </w:tcBorders>
            <w:noWrap/>
            <w:vAlign w:val="bottom"/>
            <w:hideMark/>
          </w:tcPr>
          <w:p w14:paraId="1829F09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Knjige</w:t>
            </w:r>
          </w:p>
        </w:tc>
        <w:tc>
          <w:tcPr>
            <w:tcW w:w="1559" w:type="dxa"/>
            <w:tcBorders>
              <w:top w:val="nil"/>
              <w:left w:val="nil"/>
              <w:bottom w:val="nil"/>
              <w:right w:val="nil"/>
            </w:tcBorders>
            <w:noWrap/>
            <w:vAlign w:val="bottom"/>
            <w:hideMark/>
          </w:tcPr>
          <w:p w14:paraId="1C00B884"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2B34EA2"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3DC7CEA"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12.848,18</w:t>
            </w:r>
          </w:p>
        </w:tc>
        <w:tc>
          <w:tcPr>
            <w:tcW w:w="993" w:type="dxa"/>
            <w:tcBorders>
              <w:top w:val="nil"/>
              <w:left w:val="nil"/>
              <w:bottom w:val="nil"/>
              <w:right w:val="nil"/>
            </w:tcBorders>
            <w:noWrap/>
            <w:vAlign w:val="bottom"/>
            <w:hideMark/>
          </w:tcPr>
          <w:p w14:paraId="0CB0CB3E"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BABEE1C" w14:textId="77777777" w:rsidTr="008A61B1">
        <w:trPr>
          <w:trHeight w:val="285"/>
        </w:trPr>
        <w:tc>
          <w:tcPr>
            <w:tcW w:w="6096" w:type="dxa"/>
            <w:gridSpan w:val="2"/>
            <w:tcBorders>
              <w:top w:val="nil"/>
              <w:left w:val="nil"/>
              <w:bottom w:val="nil"/>
              <w:right w:val="nil"/>
            </w:tcBorders>
            <w:shd w:val="clear" w:color="000000" w:fill="FFFF99"/>
            <w:vAlign w:val="bottom"/>
            <w:hideMark/>
          </w:tcPr>
          <w:p w14:paraId="27D6D5E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A100020 Aktivnost: PROVOĐENJE MJERA AKTIVNE POLITIKE ZAPOŠLJAVANJA</w:t>
            </w:r>
          </w:p>
        </w:tc>
        <w:tc>
          <w:tcPr>
            <w:tcW w:w="1559" w:type="dxa"/>
            <w:tcBorders>
              <w:top w:val="nil"/>
              <w:left w:val="nil"/>
              <w:bottom w:val="nil"/>
              <w:right w:val="nil"/>
            </w:tcBorders>
            <w:shd w:val="clear" w:color="000000" w:fill="FFFF99"/>
            <w:noWrap/>
            <w:vAlign w:val="bottom"/>
            <w:hideMark/>
          </w:tcPr>
          <w:p w14:paraId="77D83FE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2.926,00</w:t>
            </w:r>
          </w:p>
        </w:tc>
        <w:tc>
          <w:tcPr>
            <w:tcW w:w="1559" w:type="dxa"/>
            <w:tcBorders>
              <w:top w:val="nil"/>
              <w:left w:val="nil"/>
              <w:bottom w:val="nil"/>
              <w:right w:val="nil"/>
            </w:tcBorders>
            <w:shd w:val="clear" w:color="000000" w:fill="FFFF99"/>
            <w:noWrap/>
            <w:vAlign w:val="bottom"/>
            <w:hideMark/>
          </w:tcPr>
          <w:p w14:paraId="3E1863F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2.926,00</w:t>
            </w:r>
          </w:p>
        </w:tc>
        <w:tc>
          <w:tcPr>
            <w:tcW w:w="1559" w:type="dxa"/>
            <w:tcBorders>
              <w:top w:val="nil"/>
              <w:left w:val="nil"/>
              <w:bottom w:val="nil"/>
              <w:right w:val="nil"/>
            </w:tcBorders>
            <w:shd w:val="clear" w:color="000000" w:fill="FFFF99"/>
            <w:noWrap/>
            <w:vAlign w:val="bottom"/>
            <w:hideMark/>
          </w:tcPr>
          <w:p w14:paraId="48C0266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2.918,21</w:t>
            </w:r>
          </w:p>
        </w:tc>
        <w:tc>
          <w:tcPr>
            <w:tcW w:w="993" w:type="dxa"/>
            <w:tcBorders>
              <w:top w:val="nil"/>
              <w:left w:val="nil"/>
              <w:bottom w:val="nil"/>
              <w:right w:val="nil"/>
            </w:tcBorders>
            <w:shd w:val="clear" w:color="000000" w:fill="FFFF99"/>
            <w:noWrap/>
            <w:vAlign w:val="bottom"/>
            <w:hideMark/>
          </w:tcPr>
          <w:p w14:paraId="0E8DA97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99,73%</w:t>
            </w:r>
          </w:p>
        </w:tc>
      </w:tr>
      <w:tr w:rsidR="006967F8" w:rsidRPr="006967F8" w14:paraId="0B13BF6C"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DDA8FE0"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04CE46D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2.926,00</w:t>
            </w:r>
          </w:p>
        </w:tc>
        <w:tc>
          <w:tcPr>
            <w:tcW w:w="1559" w:type="dxa"/>
            <w:tcBorders>
              <w:top w:val="nil"/>
              <w:left w:val="nil"/>
              <w:bottom w:val="nil"/>
              <w:right w:val="nil"/>
            </w:tcBorders>
            <w:shd w:val="clear" w:color="000000" w:fill="CCCCFF"/>
            <w:noWrap/>
            <w:vAlign w:val="bottom"/>
            <w:hideMark/>
          </w:tcPr>
          <w:p w14:paraId="78805E0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2.926,00</w:t>
            </w:r>
          </w:p>
        </w:tc>
        <w:tc>
          <w:tcPr>
            <w:tcW w:w="1559" w:type="dxa"/>
            <w:tcBorders>
              <w:top w:val="nil"/>
              <w:left w:val="nil"/>
              <w:bottom w:val="nil"/>
              <w:right w:val="nil"/>
            </w:tcBorders>
            <w:shd w:val="clear" w:color="000000" w:fill="CCCCFF"/>
            <w:noWrap/>
            <w:vAlign w:val="bottom"/>
            <w:hideMark/>
          </w:tcPr>
          <w:p w14:paraId="6FA3132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2.918,21</w:t>
            </w:r>
          </w:p>
        </w:tc>
        <w:tc>
          <w:tcPr>
            <w:tcW w:w="993" w:type="dxa"/>
            <w:tcBorders>
              <w:top w:val="nil"/>
              <w:left w:val="nil"/>
              <w:bottom w:val="nil"/>
              <w:right w:val="nil"/>
            </w:tcBorders>
            <w:shd w:val="clear" w:color="000000" w:fill="CCCCFF"/>
            <w:noWrap/>
            <w:vAlign w:val="bottom"/>
            <w:hideMark/>
          </w:tcPr>
          <w:p w14:paraId="5E234B7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99,73%</w:t>
            </w:r>
          </w:p>
        </w:tc>
      </w:tr>
      <w:tr w:rsidR="006967F8" w:rsidRPr="006967F8" w14:paraId="79EE178E"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FA350E1"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5.5. Ostale pomoći  proračunskih korisnika</w:t>
            </w:r>
          </w:p>
        </w:tc>
        <w:tc>
          <w:tcPr>
            <w:tcW w:w="1559" w:type="dxa"/>
            <w:tcBorders>
              <w:top w:val="nil"/>
              <w:left w:val="nil"/>
              <w:bottom w:val="nil"/>
              <w:right w:val="nil"/>
            </w:tcBorders>
            <w:shd w:val="clear" w:color="000000" w:fill="CCCCFF"/>
            <w:noWrap/>
            <w:vAlign w:val="bottom"/>
            <w:hideMark/>
          </w:tcPr>
          <w:p w14:paraId="0762758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2.926,00</w:t>
            </w:r>
          </w:p>
        </w:tc>
        <w:tc>
          <w:tcPr>
            <w:tcW w:w="1559" w:type="dxa"/>
            <w:tcBorders>
              <w:top w:val="nil"/>
              <w:left w:val="nil"/>
              <w:bottom w:val="nil"/>
              <w:right w:val="nil"/>
            </w:tcBorders>
            <w:shd w:val="clear" w:color="000000" w:fill="CCCCFF"/>
            <w:noWrap/>
            <w:vAlign w:val="bottom"/>
            <w:hideMark/>
          </w:tcPr>
          <w:p w14:paraId="6743487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2.926,00</w:t>
            </w:r>
          </w:p>
        </w:tc>
        <w:tc>
          <w:tcPr>
            <w:tcW w:w="1559" w:type="dxa"/>
            <w:tcBorders>
              <w:top w:val="nil"/>
              <w:left w:val="nil"/>
              <w:bottom w:val="nil"/>
              <w:right w:val="nil"/>
            </w:tcBorders>
            <w:shd w:val="clear" w:color="000000" w:fill="CCCCFF"/>
            <w:noWrap/>
            <w:vAlign w:val="bottom"/>
            <w:hideMark/>
          </w:tcPr>
          <w:p w14:paraId="1B40765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2.918,21</w:t>
            </w:r>
          </w:p>
        </w:tc>
        <w:tc>
          <w:tcPr>
            <w:tcW w:w="993" w:type="dxa"/>
            <w:tcBorders>
              <w:top w:val="nil"/>
              <w:left w:val="nil"/>
              <w:bottom w:val="nil"/>
              <w:right w:val="nil"/>
            </w:tcBorders>
            <w:shd w:val="clear" w:color="000000" w:fill="CCCCFF"/>
            <w:noWrap/>
            <w:vAlign w:val="bottom"/>
            <w:hideMark/>
          </w:tcPr>
          <w:p w14:paraId="1309CC4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99,73%</w:t>
            </w:r>
          </w:p>
        </w:tc>
      </w:tr>
      <w:tr w:rsidR="006967F8" w:rsidRPr="006967F8" w14:paraId="3BB212E4" w14:textId="77777777" w:rsidTr="008A61B1">
        <w:trPr>
          <w:trHeight w:val="255"/>
        </w:trPr>
        <w:tc>
          <w:tcPr>
            <w:tcW w:w="1134" w:type="dxa"/>
            <w:tcBorders>
              <w:top w:val="nil"/>
              <w:left w:val="nil"/>
              <w:bottom w:val="nil"/>
              <w:right w:val="nil"/>
            </w:tcBorders>
            <w:noWrap/>
            <w:vAlign w:val="bottom"/>
            <w:hideMark/>
          </w:tcPr>
          <w:p w14:paraId="3E0A8E0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31</w:t>
            </w:r>
          </w:p>
        </w:tc>
        <w:tc>
          <w:tcPr>
            <w:tcW w:w="4962" w:type="dxa"/>
            <w:tcBorders>
              <w:top w:val="nil"/>
              <w:left w:val="nil"/>
              <w:bottom w:val="nil"/>
              <w:right w:val="nil"/>
            </w:tcBorders>
            <w:noWrap/>
            <w:vAlign w:val="bottom"/>
            <w:hideMark/>
          </w:tcPr>
          <w:p w14:paraId="35F7B50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zaposlene</w:t>
            </w:r>
          </w:p>
        </w:tc>
        <w:tc>
          <w:tcPr>
            <w:tcW w:w="1559" w:type="dxa"/>
            <w:tcBorders>
              <w:top w:val="nil"/>
              <w:left w:val="nil"/>
              <w:bottom w:val="nil"/>
              <w:right w:val="nil"/>
            </w:tcBorders>
            <w:noWrap/>
            <w:vAlign w:val="bottom"/>
            <w:hideMark/>
          </w:tcPr>
          <w:p w14:paraId="7AE8AB8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2.806,00</w:t>
            </w:r>
          </w:p>
        </w:tc>
        <w:tc>
          <w:tcPr>
            <w:tcW w:w="1559" w:type="dxa"/>
            <w:tcBorders>
              <w:top w:val="nil"/>
              <w:left w:val="nil"/>
              <w:bottom w:val="nil"/>
              <w:right w:val="nil"/>
            </w:tcBorders>
            <w:noWrap/>
            <w:vAlign w:val="bottom"/>
            <w:hideMark/>
          </w:tcPr>
          <w:p w14:paraId="4B08452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2.806,00</w:t>
            </w:r>
          </w:p>
        </w:tc>
        <w:tc>
          <w:tcPr>
            <w:tcW w:w="1559" w:type="dxa"/>
            <w:tcBorders>
              <w:top w:val="nil"/>
              <w:left w:val="nil"/>
              <w:bottom w:val="nil"/>
              <w:right w:val="nil"/>
            </w:tcBorders>
            <w:noWrap/>
            <w:vAlign w:val="bottom"/>
            <w:hideMark/>
          </w:tcPr>
          <w:p w14:paraId="175212E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2.798,21</w:t>
            </w:r>
          </w:p>
        </w:tc>
        <w:tc>
          <w:tcPr>
            <w:tcW w:w="993" w:type="dxa"/>
            <w:tcBorders>
              <w:top w:val="nil"/>
              <w:left w:val="nil"/>
              <w:bottom w:val="nil"/>
              <w:right w:val="nil"/>
            </w:tcBorders>
            <w:noWrap/>
            <w:vAlign w:val="bottom"/>
            <w:hideMark/>
          </w:tcPr>
          <w:p w14:paraId="42AB2B8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99,72%</w:t>
            </w:r>
          </w:p>
        </w:tc>
      </w:tr>
      <w:tr w:rsidR="006967F8" w:rsidRPr="006967F8" w14:paraId="02AB2F72" w14:textId="77777777" w:rsidTr="008A61B1">
        <w:trPr>
          <w:trHeight w:val="255"/>
        </w:trPr>
        <w:tc>
          <w:tcPr>
            <w:tcW w:w="1134" w:type="dxa"/>
            <w:tcBorders>
              <w:top w:val="nil"/>
              <w:left w:val="nil"/>
              <w:bottom w:val="nil"/>
              <w:right w:val="nil"/>
            </w:tcBorders>
            <w:noWrap/>
            <w:vAlign w:val="bottom"/>
            <w:hideMark/>
          </w:tcPr>
          <w:p w14:paraId="398B92C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3111</w:t>
            </w:r>
          </w:p>
        </w:tc>
        <w:tc>
          <w:tcPr>
            <w:tcW w:w="4962" w:type="dxa"/>
            <w:tcBorders>
              <w:top w:val="nil"/>
              <w:left w:val="nil"/>
              <w:bottom w:val="nil"/>
              <w:right w:val="nil"/>
            </w:tcBorders>
            <w:noWrap/>
            <w:vAlign w:val="bottom"/>
            <w:hideMark/>
          </w:tcPr>
          <w:p w14:paraId="3A8B20A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Plaće za redovan rad</w:t>
            </w:r>
          </w:p>
        </w:tc>
        <w:tc>
          <w:tcPr>
            <w:tcW w:w="1559" w:type="dxa"/>
            <w:tcBorders>
              <w:top w:val="nil"/>
              <w:left w:val="nil"/>
              <w:bottom w:val="nil"/>
              <w:right w:val="nil"/>
            </w:tcBorders>
            <w:noWrap/>
            <w:vAlign w:val="bottom"/>
            <w:hideMark/>
          </w:tcPr>
          <w:p w14:paraId="06719020"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DB2D817"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118DA99"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2.401,90</w:t>
            </w:r>
          </w:p>
        </w:tc>
        <w:tc>
          <w:tcPr>
            <w:tcW w:w="993" w:type="dxa"/>
            <w:tcBorders>
              <w:top w:val="nil"/>
              <w:left w:val="nil"/>
              <w:bottom w:val="nil"/>
              <w:right w:val="nil"/>
            </w:tcBorders>
            <w:noWrap/>
            <w:vAlign w:val="bottom"/>
            <w:hideMark/>
          </w:tcPr>
          <w:p w14:paraId="1186FD2C"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C94C0E3" w14:textId="77777777" w:rsidTr="008A61B1">
        <w:trPr>
          <w:trHeight w:val="255"/>
        </w:trPr>
        <w:tc>
          <w:tcPr>
            <w:tcW w:w="1134" w:type="dxa"/>
            <w:tcBorders>
              <w:top w:val="nil"/>
              <w:left w:val="nil"/>
              <w:bottom w:val="nil"/>
              <w:right w:val="nil"/>
            </w:tcBorders>
            <w:noWrap/>
            <w:vAlign w:val="bottom"/>
            <w:hideMark/>
          </w:tcPr>
          <w:p w14:paraId="7C47CD3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lastRenderedPageBreak/>
              <w:t>3132</w:t>
            </w:r>
          </w:p>
        </w:tc>
        <w:tc>
          <w:tcPr>
            <w:tcW w:w="4962" w:type="dxa"/>
            <w:tcBorders>
              <w:top w:val="nil"/>
              <w:left w:val="nil"/>
              <w:bottom w:val="nil"/>
              <w:right w:val="nil"/>
            </w:tcBorders>
            <w:noWrap/>
            <w:vAlign w:val="bottom"/>
            <w:hideMark/>
          </w:tcPr>
          <w:p w14:paraId="699824D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Doprinosi za obvezno zdravstveno osiguranje</w:t>
            </w:r>
          </w:p>
        </w:tc>
        <w:tc>
          <w:tcPr>
            <w:tcW w:w="1559" w:type="dxa"/>
            <w:tcBorders>
              <w:top w:val="nil"/>
              <w:left w:val="nil"/>
              <w:bottom w:val="nil"/>
              <w:right w:val="nil"/>
            </w:tcBorders>
            <w:noWrap/>
            <w:vAlign w:val="bottom"/>
            <w:hideMark/>
          </w:tcPr>
          <w:p w14:paraId="0CCA8B67"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152977A"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88A11D6"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396,31</w:t>
            </w:r>
          </w:p>
        </w:tc>
        <w:tc>
          <w:tcPr>
            <w:tcW w:w="993" w:type="dxa"/>
            <w:tcBorders>
              <w:top w:val="nil"/>
              <w:left w:val="nil"/>
              <w:bottom w:val="nil"/>
              <w:right w:val="nil"/>
            </w:tcBorders>
            <w:noWrap/>
            <w:vAlign w:val="bottom"/>
            <w:hideMark/>
          </w:tcPr>
          <w:p w14:paraId="13DB3BE0"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14ABCE9" w14:textId="77777777" w:rsidTr="008A61B1">
        <w:trPr>
          <w:trHeight w:val="255"/>
        </w:trPr>
        <w:tc>
          <w:tcPr>
            <w:tcW w:w="1134" w:type="dxa"/>
            <w:tcBorders>
              <w:top w:val="nil"/>
              <w:left w:val="nil"/>
              <w:bottom w:val="nil"/>
              <w:right w:val="nil"/>
            </w:tcBorders>
            <w:noWrap/>
            <w:vAlign w:val="bottom"/>
            <w:hideMark/>
          </w:tcPr>
          <w:p w14:paraId="51B8AD5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34DFAE0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0423922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120,00</w:t>
            </w:r>
          </w:p>
        </w:tc>
        <w:tc>
          <w:tcPr>
            <w:tcW w:w="1559" w:type="dxa"/>
            <w:tcBorders>
              <w:top w:val="nil"/>
              <w:left w:val="nil"/>
              <w:bottom w:val="nil"/>
              <w:right w:val="nil"/>
            </w:tcBorders>
            <w:noWrap/>
            <w:vAlign w:val="bottom"/>
            <w:hideMark/>
          </w:tcPr>
          <w:p w14:paraId="63AA3BE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120,00</w:t>
            </w:r>
          </w:p>
        </w:tc>
        <w:tc>
          <w:tcPr>
            <w:tcW w:w="1559" w:type="dxa"/>
            <w:tcBorders>
              <w:top w:val="nil"/>
              <w:left w:val="nil"/>
              <w:bottom w:val="nil"/>
              <w:right w:val="nil"/>
            </w:tcBorders>
            <w:noWrap/>
            <w:vAlign w:val="bottom"/>
            <w:hideMark/>
          </w:tcPr>
          <w:p w14:paraId="14C8078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120,00</w:t>
            </w:r>
          </w:p>
        </w:tc>
        <w:tc>
          <w:tcPr>
            <w:tcW w:w="993" w:type="dxa"/>
            <w:tcBorders>
              <w:top w:val="nil"/>
              <w:left w:val="nil"/>
              <w:bottom w:val="nil"/>
              <w:right w:val="nil"/>
            </w:tcBorders>
            <w:noWrap/>
            <w:vAlign w:val="bottom"/>
            <w:hideMark/>
          </w:tcPr>
          <w:p w14:paraId="58D6536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r>
      <w:tr w:rsidR="006967F8" w:rsidRPr="006967F8" w14:paraId="0453C529" w14:textId="77777777" w:rsidTr="008A61B1">
        <w:trPr>
          <w:trHeight w:val="570"/>
        </w:trPr>
        <w:tc>
          <w:tcPr>
            <w:tcW w:w="1134" w:type="dxa"/>
            <w:tcBorders>
              <w:top w:val="nil"/>
              <w:left w:val="nil"/>
              <w:bottom w:val="nil"/>
              <w:right w:val="nil"/>
            </w:tcBorders>
            <w:noWrap/>
            <w:vAlign w:val="bottom"/>
            <w:hideMark/>
          </w:tcPr>
          <w:p w14:paraId="1B3E015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3212</w:t>
            </w:r>
          </w:p>
        </w:tc>
        <w:tc>
          <w:tcPr>
            <w:tcW w:w="4962" w:type="dxa"/>
            <w:tcBorders>
              <w:top w:val="nil"/>
              <w:left w:val="nil"/>
              <w:bottom w:val="nil"/>
              <w:right w:val="nil"/>
            </w:tcBorders>
            <w:vAlign w:val="bottom"/>
            <w:hideMark/>
          </w:tcPr>
          <w:p w14:paraId="34C690D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Naknade za prijevoz, za rad na terenu i odvojeni život</w:t>
            </w:r>
          </w:p>
        </w:tc>
        <w:tc>
          <w:tcPr>
            <w:tcW w:w="1559" w:type="dxa"/>
            <w:tcBorders>
              <w:top w:val="nil"/>
              <w:left w:val="nil"/>
              <w:bottom w:val="nil"/>
              <w:right w:val="nil"/>
            </w:tcBorders>
            <w:noWrap/>
            <w:vAlign w:val="bottom"/>
            <w:hideMark/>
          </w:tcPr>
          <w:p w14:paraId="40AF7C52" w14:textId="77777777" w:rsidR="006967F8" w:rsidRPr="006967F8" w:rsidRDefault="006967F8" w:rsidP="006967F8">
            <w:pPr>
              <w:spacing w:after="0" w:line="240" w:lineRule="auto"/>
              <w:rPr>
                <w:rFonts w:ascii="Arial" w:eastAsia="Times New Roman" w:hAnsi="Arial" w:cs="Arial"/>
                <w:b/>
                <w:bCs/>
                <w:sz w:val="20"/>
                <w:szCs w:val="20"/>
                <w:lang w:eastAsia="hr-HR"/>
              </w:rPr>
            </w:pPr>
          </w:p>
        </w:tc>
        <w:tc>
          <w:tcPr>
            <w:tcW w:w="1559" w:type="dxa"/>
            <w:tcBorders>
              <w:top w:val="nil"/>
              <w:left w:val="nil"/>
              <w:bottom w:val="nil"/>
              <w:right w:val="nil"/>
            </w:tcBorders>
            <w:noWrap/>
            <w:vAlign w:val="bottom"/>
            <w:hideMark/>
          </w:tcPr>
          <w:p w14:paraId="27412511"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937B766"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120,00</w:t>
            </w:r>
          </w:p>
        </w:tc>
        <w:tc>
          <w:tcPr>
            <w:tcW w:w="993" w:type="dxa"/>
            <w:tcBorders>
              <w:top w:val="nil"/>
              <w:left w:val="nil"/>
              <w:bottom w:val="nil"/>
              <w:right w:val="nil"/>
            </w:tcBorders>
            <w:noWrap/>
            <w:vAlign w:val="bottom"/>
            <w:hideMark/>
          </w:tcPr>
          <w:p w14:paraId="39837CB4"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AD58F67" w14:textId="77777777" w:rsidTr="008A61B1">
        <w:trPr>
          <w:trHeight w:val="255"/>
        </w:trPr>
        <w:tc>
          <w:tcPr>
            <w:tcW w:w="6096" w:type="dxa"/>
            <w:gridSpan w:val="2"/>
            <w:tcBorders>
              <w:top w:val="nil"/>
              <w:left w:val="nil"/>
              <w:bottom w:val="nil"/>
              <w:right w:val="nil"/>
            </w:tcBorders>
            <w:shd w:val="clear" w:color="000000" w:fill="9999FF"/>
            <w:noWrap/>
            <w:vAlign w:val="bottom"/>
            <w:hideMark/>
          </w:tcPr>
          <w:p w14:paraId="1CBF591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GLAVA 02113 MUZEJ GRADA TROGIRA</w:t>
            </w:r>
          </w:p>
        </w:tc>
        <w:tc>
          <w:tcPr>
            <w:tcW w:w="1559" w:type="dxa"/>
            <w:tcBorders>
              <w:top w:val="nil"/>
              <w:left w:val="nil"/>
              <w:bottom w:val="nil"/>
              <w:right w:val="nil"/>
            </w:tcBorders>
            <w:shd w:val="clear" w:color="000000" w:fill="9999FF"/>
            <w:noWrap/>
            <w:vAlign w:val="bottom"/>
            <w:hideMark/>
          </w:tcPr>
          <w:p w14:paraId="73CA6F3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566.852,00</w:t>
            </w:r>
          </w:p>
        </w:tc>
        <w:tc>
          <w:tcPr>
            <w:tcW w:w="1559" w:type="dxa"/>
            <w:tcBorders>
              <w:top w:val="nil"/>
              <w:left w:val="nil"/>
              <w:bottom w:val="nil"/>
              <w:right w:val="nil"/>
            </w:tcBorders>
            <w:shd w:val="clear" w:color="000000" w:fill="9999FF"/>
            <w:noWrap/>
            <w:vAlign w:val="bottom"/>
            <w:hideMark/>
          </w:tcPr>
          <w:p w14:paraId="381AA93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566.852,00</w:t>
            </w:r>
          </w:p>
        </w:tc>
        <w:tc>
          <w:tcPr>
            <w:tcW w:w="1559" w:type="dxa"/>
            <w:tcBorders>
              <w:top w:val="nil"/>
              <w:left w:val="nil"/>
              <w:bottom w:val="nil"/>
              <w:right w:val="nil"/>
            </w:tcBorders>
            <w:shd w:val="clear" w:color="000000" w:fill="9999FF"/>
            <w:noWrap/>
            <w:vAlign w:val="bottom"/>
            <w:hideMark/>
          </w:tcPr>
          <w:p w14:paraId="71D9867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442.051,25</w:t>
            </w:r>
          </w:p>
        </w:tc>
        <w:tc>
          <w:tcPr>
            <w:tcW w:w="993" w:type="dxa"/>
            <w:tcBorders>
              <w:top w:val="nil"/>
              <w:left w:val="nil"/>
              <w:bottom w:val="nil"/>
              <w:right w:val="nil"/>
            </w:tcBorders>
            <w:shd w:val="clear" w:color="000000" w:fill="9999FF"/>
            <w:noWrap/>
            <w:vAlign w:val="bottom"/>
            <w:hideMark/>
          </w:tcPr>
          <w:p w14:paraId="4107FF2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77,98%</w:t>
            </w:r>
          </w:p>
        </w:tc>
      </w:tr>
      <w:tr w:rsidR="006967F8" w:rsidRPr="006967F8" w14:paraId="4F0A2C48"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DEB60C0"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69EB62D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414.152,00</w:t>
            </w:r>
          </w:p>
        </w:tc>
        <w:tc>
          <w:tcPr>
            <w:tcW w:w="1559" w:type="dxa"/>
            <w:tcBorders>
              <w:top w:val="nil"/>
              <w:left w:val="nil"/>
              <w:bottom w:val="nil"/>
              <w:right w:val="nil"/>
            </w:tcBorders>
            <w:shd w:val="clear" w:color="000000" w:fill="CCCCFF"/>
            <w:noWrap/>
            <w:vAlign w:val="bottom"/>
            <w:hideMark/>
          </w:tcPr>
          <w:p w14:paraId="063AC73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414.152,00</w:t>
            </w:r>
          </w:p>
        </w:tc>
        <w:tc>
          <w:tcPr>
            <w:tcW w:w="1559" w:type="dxa"/>
            <w:tcBorders>
              <w:top w:val="nil"/>
              <w:left w:val="nil"/>
              <w:bottom w:val="nil"/>
              <w:right w:val="nil"/>
            </w:tcBorders>
            <w:shd w:val="clear" w:color="000000" w:fill="CCCCFF"/>
            <w:noWrap/>
            <w:vAlign w:val="bottom"/>
            <w:hideMark/>
          </w:tcPr>
          <w:p w14:paraId="17F85F6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367.914,97</w:t>
            </w:r>
          </w:p>
        </w:tc>
        <w:tc>
          <w:tcPr>
            <w:tcW w:w="993" w:type="dxa"/>
            <w:tcBorders>
              <w:top w:val="nil"/>
              <w:left w:val="nil"/>
              <w:bottom w:val="nil"/>
              <w:right w:val="nil"/>
            </w:tcBorders>
            <w:shd w:val="clear" w:color="000000" w:fill="CCCCFF"/>
            <w:noWrap/>
            <w:vAlign w:val="bottom"/>
            <w:hideMark/>
          </w:tcPr>
          <w:p w14:paraId="2E7163B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88,84%</w:t>
            </w:r>
          </w:p>
        </w:tc>
      </w:tr>
      <w:tr w:rsidR="006967F8" w:rsidRPr="006967F8" w14:paraId="3DF9726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4519BB9"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59CFF2A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414.152,00</w:t>
            </w:r>
          </w:p>
        </w:tc>
        <w:tc>
          <w:tcPr>
            <w:tcW w:w="1559" w:type="dxa"/>
            <w:tcBorders>
              <w:top w:val="nil"/>
              <w:left w:val="nil"/>
              <w:bottom w:val="nil"/>
              <w:right w:val="nil"/>
            </w:tcBorders>
            <w:shd w:val="clear" w:color="000000" w:fill="CCCCFF"/>
            <w:noWrap/>
            <w:vAlign w:val="bottom"/>
            <w:hideMark/>
          </w:tcPr>
          <w:p w14:paraId="199DDB5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414.152,00</w:t>
            </w:r>
          </w:p>
        </w:tc>
        <w:tc>
          <w:tcPr>
            <w:tcW w:w="1559" w:type="dxa"/>
            <w:tcBorders>
              <w:top w:val="nil"/>
              <w:left w:val="nil"/>
              <w:bottom w:val="nil"/>
              <w:right w:val="nil"/>
            </w:tcBorders>
            <w:shd w:val="clear" w:color="000000" w:fill="CCCCFF"/>
            <w:noWrap/>
            <w:vAlign w:val="bottom"/>
            <w:hideMark/>
          </w:tcPr>
          <w:p w14:paraId="57F3B80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367.914,97</w:t>
            </w:r>
          </w:p>
        </w:tc>
        <w:tc>
          <w:tcPr>
            <w:tcW w:w="993" w:type="dxa"/>
            <w:tcBorders>
              <w:top w:val="nil"/>
              <w:left w:val="nil"/>
              <w:bottom w:val="nil"/>
              <w:right w:val="nil"/>
            </w:tcBorders>
            <w:shd w:val="clear" w:color="000000" w:fill="CCCCFF"/>
            <w:noWrap/>
            <w:vAlign w:val="bottom"/>
            <w:hideMark/>
          </w:tcPr>
          <w:p w14:paraId="3BE792D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88,84%</w:t>
            </w:r>
          </w:p>
        </w:tc>
      </w:tr>
      <w:tr w:rsidR="006967F8" w:rsidRPr="006967F8" w14:paraId="501F951F"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5A70F59"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3. VLASTITI PRIHODI</w:t>
            </w:r>
          </w:p>
        </w:tc>
        <w:tc>
          <w:tcPr>
            <w:tcW w:w="1559" w:type="dxa"/>
            <w:tcBorders>
              <w:top w:val="nil"/>
              <w:left w:val="nil"/>
              <w:bottom w:val="nil"/>
              <w:right w:val="nil"/>
            </w:tcBorders>
            <w:shd w:val="clear" w:color="000000" w:fill="CCCCFF"/>
            <w:noWrap/>
            <w:vAlign w:val="bottom"/>
            <w:hideMark/>
          </w:tcPr>
          <w:p w14:paraId="15047DB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27.900,00</w:t>
            </w:r>
          </w:p>
        </w:tc>
        <w:tc>
          <w:tcPr>
            <w:tcW w:w="1559" w:type="dxa"/>
            <w:tcBorders>
              <w:top w:val="nil"/>
              <w:left w:val="nil"/>
              <w:bottom w:val="nil"/>
              <w:right w:val="nil"/>
            </w:tcBorders>
            <w:shd w:val="clear" w:color="000000" w:fill="CCCCFF"/>
            <w:noWrap/>
            <w:vAlign w:val="bottom"/>
            <w:hideMark/>
          </w:tcPr>
          <w:p w14:paraId="6857615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27.900,00</w:t>
            </w:r>
          </w:p>
        </w:tc>
        <w:tc>
          <w:tcPr>
            <w:tcW w:w="1559" w:type="dxa"/>
            <w:tcBorders>
              <w:top w:val="nil"/>
              <w:left w:val="nil"/>
              <w:bottom w:val="nil"/>
              <w:right w:val="nil"/>
            </w:tcBorders>
            <w:shd w:val="clear" w:color="000000" w:fill="CCCCFF"/>
            <w:noWrap/>
            <w:vAlign w:val="bottom"/>
            <w:hideMark/>
          </w:tcPr>
          <w:p w14:paraId="7B3D551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14.853,69</w:t>
            </w:r>
          </w:p>
        </w:tc>
        <w:tc>
          <w:tcPr>
            <w:tcW w:w="993" w:type="dxa"/>
            <w:tcBorders>
              <w:top w:val="nil"/>
              <w:left w:val="nil"/>
              <w:bottom w:val="nil"/>
              <w:right w:val="nil"/>
            </w:tcBorders>
            <w:shd w:val="clear" w:color="000000" w:fill="CCCCFF"/>
            <w:noWrap/>
            <w:vAlign w:val="bottom"/>
            <w:hideMark/>
          </w:tcPr>
          <w:p w14:paraId="7AF6261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53,24%</w:t>
            </w:r>
          </w:p>
        </w:tc>
      </w:tr>
      <w:tr w:rsidR="006967F8" w:rsidRPr="006967F8" w14:paraId="5EF2B17B"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6A8A797"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3.2. Vlastiti prihodi proračunskih korisnika</w:t>
            </w:r>
          </w:p>
        </w:tc>
        <w:tc>
          <w:tcPr>
            <w:tcW w:w="1559" w:type="dxa"/>
            <w:tcBorders>
              <w:top w:val="nil"/>
              <w:left w:val="nil"/>
              <w:bottom w:val="nil"/>
              <w:right w:val="nil"/>
            </w:tcBorders>
            <w:shd w:val="clear" w:color="000000" w:fill="CCCCFF"/>
            <w:noWrap/>
            <w:vAlign w:val="bottom"/>
            <w:hideMark/>
          </w:tcPr>
          <w:p w14:paraId="6F324A2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27.900,00</w:t>
            </w:r>
          </w:p>
        </w:tc>
        <w:tc>
          <w:tcPr>
            <w:tcW w:w="1559" w:type="dxa"/>
            <w:tcBorders>
              <w:top w:val="nil"/>
              <w:left w:val="nil"/>
              <w:bottom w:val="nil"/>
              <w:right w:val="nil"/>
            </w:tcBorders>
            <w:shd w:val="clear" w:color="000000" w:fill="CCCCFF"/>
            <w:noWrap/>
            <w:vAlign w:val="bottom"/>
            <w:hideMark/>
          </w:tcPr>
          <w:p w14:paraId="7754D05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27.900,00</w:t>
            </w:r>
          </w:p>
        </w:tc>
        <w:tc>
          <w:tcPr>
            <w:tcW w:w="1559" w:type="dxa"/>
            <w:tcBorders>
              <w:top w:val="nil"/>
              <w:left w:val="nil"/>
              <w:bottom w:val="nil"/>
              <w:right w:val="nil"/>
            </w:tcBorders>
            <w:shd w:val="clear" w:color="000000" w:fill="CCCCFF"/>
            <w:noWrap/>
            <w:vAlign w:val="bottom"/>
            <w:hideMark/>
          </w:tcPr>
          <w:p w14:paraId="0BCA007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14.853,69</w:t>
            </w:r>
          </w:p>
        </w:tc>
        <w:tc>
          <w:tcPr>
            <w:tcW w:w="993" w:type="dxa"/>
            <w:tcBorders>
              <w:top w:val="nil"/>
              <w:left w:val="nil"/>
              <w:bottom w:val="nil"/>
              <w:right w:val="nil"/>
            </w:tcBorders>
            <w:shd w:val="clear" w:color="000000" w:fill="CCCCFF"/>
            <w:noWrap/>
            <w:vAlign w:val="bottom"/>
            <w:hideMark/>
          </w:tcPr>
          <w:p w14:paraId="5F807AC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53,24%</w:t>
            </w:r>
          </w:p>
        </w:tc>
      </w:tr>
      <w:tr w:rsidR="006967F8" w:rsidRPr="006967F8" w14:paraId="27C79BA2"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F8F9453"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623A096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122.200,00</w:t>
            </w:r>
          </w:p>
        </w:tc>
        <w:tc>
          <w:tcPr>
            <w:tcW w:w="1559" w:type="dxa"/>
            <w:tcBorders>
              <w:top w:val="nil"/>
              <w:left w:val="nil"/>
              <w:bottom w:val="nil"/>
              <w:right w:val="nil"/>
            </w:tcBorders>
            <w:shd w:val="clear" w:color="000000" w:fill="CCCCFF"/>
            <w:noWrap/>
            <w:vAlign w:val="bottom"/>
            <w:hideMark/>
          </w:tcPr>
          <w:p w14:paraId="678842D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122.200,00</w:t>
            </w:r>
          </w:p>
        </w:tc>
        <w:tc>
          <w:tcPr>
            <w:tcW w:w="1559" w:type="dxa"/>
            <w:tcBorders>
              <w:top w:val="nil"/>
              <w:left w:val="nil"/>
              <w:bottom w:val="nil"/>
              <w:right w:val="nil"/>
            </w:tcBorders>
            <w:shd w:val="clear" w:color="000000" w:fill="CCCCFF"/>
            <w:noWrap/>
            <w:vAlign w:val="bottom"/>
            <w:hideMark/>
          </w:tcPr>
          <w:p w14:paraId="7178D3F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58.844,59</w:t>
            </w:r>
          </w:p>
        </w:tc>
        <w:tc>
          <w:tcPr>
            <w:tcW w:w="993" w:type="dxa"/>
            <w:tcBorders>
              <w:top w:val="nil"/>
              <w:left w:val="nil"/>
              <w:bottom w:val="nil"/>
              <w:right w:val="nil"/>
            </w:tcBorders>
            <w:shd w:val="clear" w:color="000000" w:fill="CCCCFF"/>
            <w:noWrap/>
            <w:vAlign w:val="bottom"/>
            <w:hideMark/>
          </w:tcPr>
          <w:p w14:paraId="4368D53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48,15%</w:t>
            </w:r>
          </w:p>
        </w:tc>
      </w:tr>
      <w:tr w:rsidR="006967F8" w:rsidRPr="006967F8" w14:paraId="4663ACCC"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FAA5FBB"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5.5. Ostale pomoći  proračunskih korisnika</w:t>
            </w:r>
          </w:p>
        </w:tc>
        <w:tc>
          <w:tcPr>
            <w:tcW w:w="1559" w:type="dxa"/>
            <w:tcBorders>
              <w:top w:val="nil"/>
              <w:left w:val="nil"/>
              <w:bottom w:val="nil"/>
              <w:right w:val="nil"/>
            </w:tcBorders>
            <w:shd w:val="clear" w:color="000000" w:fill="CCCCFF"/>
            <w:noWrap/>
            <w:vAlign w:val="bottom"/>
            <w:hideMark/>
          </w:tcPr>
          <w:p w14:paraId="3627668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122.200,00</w:t>
            </w:r>
          </w:p>
        </w:tc>
        <w:tc>
          <w:tcPr>
            <w:tcW w:w="1559" w:type="dxa"/>
            <w:tcBorders>
              <w:top w:val="nil"/>
              <w:left w:val="nil"/>
              <w:bottom w:val="nil"/>
              <w:right w:val="nil"/>
            </w:tcBorders>
            <w:shd w:val="clear" w:color="000000" w:fill="CCCCFF"/>
            <w:noWrap/>
            <w:vAlign w:val="bottom"/>
            <w:hideMark/>
          </w:tcPr>
          <w:p w14:paraId="2094D12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122.200,00</w:t>
            </w:r>
          </w:p>
        </w:tc>
        <w:tc>
          <w:tcPr>
            <w:tcW w:w="1559" w:type="dxa"/>
            <w:tcBorders>
              <w:top w:val="nil"/>
              <w:left w:val="nil"/>
              <w:bottom w:val="nil"/>
              <w:right w:val="nil"/>
            </w:tcBorders>
            <w:shd w:val="clear" w:color="000000" w:fill="CCCCFF"/>
            <w:noWrap/>
            <w:vAlign w:val="bottom"/>
            <w:hideMark/>
          </w:tcPr>
          <w:p w14:paraId="0827F6D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58.844,59</w:t>
            </w:r>
          </w:p>
        </w:tc>
        <w:tc>
          <w:tcPr>
            <w:tcW w:w="993" w:type="dxa"/>
            <w:tcBorders>
              <w:top w:val="nil"/>
              <w:left w:val="nil"/>
              <w:bottom w:val="nil"/>
              <w:right w:val="nil"/>
            </w:tcBorders>
            <w:shd w:val="clear" w:color="000000" w:fill="CCCCFF"/>
            <w:noWrap/>
            <w:vAlign w:val="bottom"/>
            <w:hideMark/>
          </w:tcPr>
          <w:p w14:paraId="0036839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48,15%</w:t>
            </w:r>
          </w:p>
        </w:tc>
      </w:tr>
      <w:tr w:rsidR="006967F8" w:rsidRPr="006967F8" w14:paraId="4911F97B"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8E8DFA1"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6. DONACIJE</w:t>
            </w:r>
          </w:p>
        </w:tc>
        <w:tc>
          <w:tcPr>
            <w:tcW w:w="1559" w:type="dxa"/>
            <w:tcBorders>
              <w:top w:val="nil"/>
              <w:left w:val="nil"/>
              <w:bottom w:val="nil"/>
              <w:right w:val="nil"/>
            </w:tcBorders>
            <w:shd w:val="clear" w:color="000000" w:fill="CCCCFF"/>
            <w:noWrap/>
            <w:vAlign w:val="bottom"/>
            <w:hideMark/>
          </w:tcPr>
          <w:p w14:paraId="18D823B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2.600,00</w:t>
            </w:r>
          </w:p>
        </w:tc>
        <w:tc>
          <w:tcPr>
            <w:tcW w:w="1559" w:type="dxa"/>
            <w:tcBorders>
              <w:top w:val="nil"/>
              <w:left w:val="nil"/>
              <w:bottom w:val="nil"/>
              <w:right w:val="nil"/>
            </w:tcBorders>
            <w:shd w:val="clear" w:color="000000" w:fill="CCCCFF"/>
            <w:noWrap/>
            <w:vAlign w:val="bottom"/>
            <w:hideMark/>
          </w:tcPr>
          <w:p w14:paraId="36DE0F0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2.600,00</w:t>
            </w:r>
          </w:p>
        </w:tc>
        <w:tc>
          <w:tcPr>
            <w:tcW w:w="1559" w:type="dxa"/>
            <w:tcBorders>
              <w:top w:val="nil"/>
              <w:left w:val="nil"/>
              <w:bottom w:val="nil"/>
              <w:right w:val="nil"/>
            </w:tcBorders>
            <w:shd w:val="clear" w:color="000000" w:fill="CCCCFF"/>
            <w:noWrap/>
            <w:vAlign w:val="bottom"/>
            <w:hideMark/>
          </w:tcPr>
          <w:p w14:paraId="7FF41FB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438,00</w:t>
            </w:r>
          </w:p>
        </w:tc>
        <w:tc>
          <w:tcPr>
            <w:tcW w:w="993" w:type="dxa"/>
            <w:tcBorders>
              <w:top w:val="nil"/>
              <w:left w:val="nil"/>
              <w:bottom w:val="nil"/>
              <w:right w:val="nil"/>
            </w:tcBorders>
            <w:shd w:val="clear" w:color="000000" w:fill="CCCCFF"/>
            <w:noWrap/>
            <w:vAlign w:val="bottom"/>
            <w:hideMark/>
          </w:tcPr>
          <w:p w14:paraId="53719FF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16,85%</w:t>
            </w:r>
          </w:p>
        </w:tc>
      </w:tr>
      <w:tr w:rsidR="006967F8" w:rsidRPr="006967F8" w14:paraId="0E337E11"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19CB31B"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6.2. Donacije proračunskih korisnika</w:t>
            </w:r>
          </w:p>
        </w:tc>
        <w:tc>
          <w:tcPr>
            <w:tcW w:w="1559" w:type="dxa"/>
            <w:tcBorders>
              <w:top w:val="nil"/>
              <w:left w:val="nil"/>
              <w:bottom w:val="nil"/>
              <w:right w:val="nil"/>
            </w:tcBorders>
            <w:shd w:val="clear" w:color="000000" w:fill="CCCCFF"/>
            <w:noWrap/>
            <w:vAlign w:val="bottom"/>
            <w:hideMark/>
          </w:tcPr>
          <w:p w14:paraId="0390015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2.600,00</w:t>
            </w:r>
          </w:p>
        </w:tc>
        <w:tc>
          <w:tcPr>
            <w:tcW w:w="1559" w:type="dxa"/>
            <w:tcBorders>
              <w:top w:val="nil"/>
              <w:left w:val="nil"/>
              <w:bottom w:val="nil"/>
              <w:right w:val="nil"/>
            </w:tcBorders>
            <w:shd w:val="clear" w:color="000000" w:fill="CCCCFF"/>
            <w:noWrap/>
            <w:vAlign w:val="bottom"/>
            <w:hideMark/>
          </w:tcPr>
          <w:p w14:paraId="468FCA4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2.600,00</w:t>
            </w:r>
          </w:p>
        </w:tc>
        <w:tc>
          <w:tcPr>
            <w:tcW w:w="1559" w:type="dxa"/>
            <w:tcBorders>
              <w:top w:val="nil"/>
              <w:left w:val="nil"/>
              <w:bottom w:val="nil"/>
              <w:right w:val="nil"/>
            </w:tcBorders>
            <w:shd w:val="clear" w:color="000000" w:fill="CCCCFF"/>
            <w:noWrap/>
            <w:vAlign w:val="bottom"/>
            <w:hideMark/>
          </w:tcPr>
          <w:p w14:paraId="1550130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438,00</w:t>
            </w:r>
          </w:p>
        </w:tc>
        <w:tc>
          <w:tcPr>
            <w:tcW w:w="993" w:type="dxa"/>
            <w:tcBorders>
              <w:top w:val="nil"/>
              <w:left w:val="nil"/>
              <w:bottom w:val="nil"/>
              <w:right w:val="nil"/>
            </w:tcBorders>
            <w:shd w:val="clear" w:color="000000" w:fill="CCCCFF"/>
            <w:noWrap/>
            <w:vAlign w:val="bottom"/>
            <w:hideMark/>
          </w:tcPr>
          <w:p w14:paraId="3BF702C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16,85%</w:t>
            </w:r>
          </w:p>
        </w:tc>
      </w:tr>
      <w:tr w:rsidR="006967F8" w:rsidRPr="006967F8" w14:paraId="6038E29E" w14:textId="77777777" w:rsidTr="008A61B1">
        <w:trPr>
          <w:trHeight w:val="255"/>
        </w:trPr>
        <w:tc>
          <w:tcPr>
            <w:tcW w:w="6096" w:type="dxa"/>
            <w:gridSpan w:val="2"/>
            <w:tcBorders>
              <w:top w:val="nil"/>
              <w:left w:val="nil"/>
              <w:bottom w:val="nil"/>
              <w:right w:val="nil"/>
            </w:tcBorders>
            <w:shd w:val="clear" w:color="000000" w:fill="FF9900"/>
            <w:noWrap/>
            <w:vAlign w:val="bottom"/>
            <w:hideMark/>
          </w:tcPr>
          <w:p w14:paraId="687814D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1202 Program: KULTURA</w:t>
            </w:r>
          </w:p>
        </w:tc>
        <w:tc>
          <w:tcPr>
            <w:tcW w:w="1559" w:type="dxa"/>
            <w:tcBorders>
              <w:top w:val="nil"/>
              <w:left w:val="nil"/>
              <w:bottom w:val="nil"/>
              <w:right w:val="nil"/>
            </w:tcBorders>
            <w:shd w:val="clear" w:color="000000" w:fill="FF9900"/>
            <w:noWrap/>
            <w:vAlign w:val="bottom"/>
            <w:hideMark/>
          </w:tcPr>
          <w:p w14:paraId="61C52F1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455.452,00</w:t>
            </w:r>
          </w:p>
        </w:tc>
        <w:tc>
          <w:tcPr>
            <w:tcW w:w="1559" w:type="dxa"/>
            <w:tcBorders>
              <w:top w:val="nil"/>
              <w:left w:val="nil"/>
              <w:bottom w:val="nil"/>
              <w:right w:val="nil"/>
            </w:tcBorders>
            <w:shd w:val="clear" w:color="000000" w:fill="FF9900"/>
            <w:noWrap/>
            <w:vAlign w:val="bottom"/>
            <w:hideMark/>
          </w:tcPr>
          <w:p w14:paraId="64AC3FC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455.452,00</w:t>
            </w:r>
          </w:p>
        </w:tc>
        <w:tc>
          <w:tcPr>
            <w:tcW w:w="1559" w:type="dxa"/>
            <w:tcBorders>
              <w:top w:val="nil"/>
              <w:left w:val="nil"/>
              <w:bottom w:val="nil"/>
              <w:right w:val="nil"/>
            </w:tcBorders>
            <w:shd w:val="clear" w:color="000000" w:fill="FF9900"/>
            <w:noWrap/>
            <w:vAlign w:val="bottom"/>
            <w:hideMark/>
          </w:tcPr>
          <w:p w14:paraId="3F18690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364.088,44</w:t>
            </w:r>
          </w:p>
        </w:tc>
        <w:tc>
          <w:tcPr>
            <w:tcW w:w="993" w:type="dxa"/>
            <w:tcBorders>
              <w:top w:val="nil"/>
              <w:left w:val="nil"/>
              <w:bottom w:val="nil"/>
              <w:right w:val="nil"/>
            </w:tcBorders>
            <w:shd w:val="clear" w:color="000000" w:fill="FF9900"/>
            <w:noWrap/>
            <w:vAlign w:val="bottom"/>
            <w:hideMark/>
          </w:tcPr>
          <w:p w14:paraId="2681E4F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79,94%</w:t>
            </w:r>
          </w:p>
        </w:tc>
      </w:tr>
      <w:tr w:rsidR="006967F8" w:rsidRPr="006967F8" w14:paraId="3BEEC30C" w14:textId="77777777" w:rsidTr="008A61B1">
        <w:trPr>
          <w:trHeight w:val="495"/>
        </w:trPr>
        <w:tc>
          <w:tcPr>
            <w:tcW w:w="6096" w:type="dxa"/>
            <w:gridSpan w:val="2"/>
            <w:tcBorders>
              <w:top w:val="nil"/>
              <w:left w:val="nil"/>
              <w:bottom w:val="nil"/>
              <w:right w:val="nil"/>
            </w:tcBorders>
            <w:shd w:val="clear" w:color="000000" w:fill="FFFF99"/>
            <w:vAlign w:val="bottom"/>
            <w:hideMark/>
          </w:tcPr>
          <w:p w14:paraId="015AA4E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A100004 Aktivnost: FINANCIRANJE REDOVNE DJELATNOSTI - MUZEJ</w:t>
            </w:r>
          </w:p>
        </w:tc>
        <w:tc>
          <w:tcPr>
            <w:tcW w:w="1559" w:type="dxa"/>
            <w:tcBorders>
              <w:top w:val="nil"/>
              <w:left w:val="nil"/>
              <w:bottom w:val="nil"/>
              <w:right w:val="nil"/>
            </w:tcBorders>
            <w:shd w:val="clear" w:color="000000" w:fill="FFFF99"/>
            <w:noWrap/>
            <w:vAlign w:val="bottom"/>
            <w:hideMark/>
          </w:tcPr>
          <w:p w14:paraId="0D754C8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340.572,00</w:t>
            </w:r>
          </w:p>
        </w:tc>
        <w:tc>
          <w:tcPr>
            <w:tcW w:w="1559" w:type="dxa"/>
            <w:tcBorders>
              <w:top w:val="nil"/>
              <w:left w:val="nil"/>
              <w:bottom w:val="nil"/>
              <w:right w:val="nil"/>
            </w:tcBorders>
            <w:shd w:val="clear" w:color="000000" w:fill="FFFF99"/>
            <w:noWrap/>
            <w:vAlign w:val="bottom"/>
            <w:hideMark/>
          </w:tcPr>
          <w:p w14:paraId="6804736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340.572,00</w:t>
            </w:r>
          </w:p>
        </w:tc>
        <w:tc>
          <w:tcPr>
            <w:tcW w:w="1559" w:type="dxa"/>
            <w:tcBorders>
              <w:top w:val="nil"/>
              <w:left w:val="nil"/>
              <w:bottom w:val="nil"/>
              <w:right w:val="nil"/>
            </w:tcBorders>
            <w:shd w:val="clear" w:color="000000" w:fill="FFFF99"/>
            <w:noWrap/>
            <w:vAlign w:val="bottom"/>
            <w:hideMark/>
          </w:tcPr>
          <w:p w14:paraId="0DCC6F3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297.342,70</w:t>
            </w:r>
          </w:p>
        </w:tc>
        <w:tc>
          <w:tcPr>
            <w:tcW w:w="993" w:type="dxa"/>
            <w:tcBorders>
              <w:top w:val="nil"/>
              <w:left w:val="nil"/>
              <w:bottom w:val="nil"/>
              <w:right w:val="nil"/>
            </w:tcBorders>
            <w:shd w:val="clear" w:color="000000" w:fill="FFFF99"/>
            <w:noWrap/>
            <w:vAlign w:val="bottom"/>
            <w:hideMark/>
          </w:tcPr>
          <w:p w14:paraId="76D3F1C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87,31%</w:t>
            </w:r>
          </w:p>
        </w:tc>
      </w:tr>
      <w:tr w:rsidR="006967F8" w:rsidRPr="006967F8" w14:paraId="3BEC8C0C"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1BD6AEA"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6ABB7EC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321.972,00</w:t>
            </w:r>
          </w:p>
        </w:tc>
        <w:tc>
          <w:tcPr>
            <w:tcW w:w="1559" w:type="dxa"/>
            <w:tcBorders>
              <w:top w:val="nil"/>
              <w:left w:val="nil"/>
              <w:bottom w:val="nil"/>
              <w:right w:val="nil"/>
            </w:tcBorders>
            <w:shd w:val="clear" w:color="000000" w:fill="CCCCFF"/>
            <w:noWrap/>
            <w:vAlign w:val="bottom"/>
            <w:hideMark/>
          </w:tcPr>
          <w:p w14:paraId="35FA939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321.972,00</w:t>
            </w:r>
          </w:p>
        </w:tc>
        <w:tc>
          <w:tcPr>
            <w:tcW w:w="1559" w:type="dxa"/>
            <w:tcBorders>
              <w:top w:val="nil"/>
              <w:left w:val="nil"/>
              <w:bottom w:val="nil"/>
              <w:right w:val="nil"/>
            </w:tcBorders>
            <w:shd w:val="clear" w:color="000000" w:fill="CCCCFF"/>
            <w:noWrap/>
            <w:vAlign w:val="bottom"/>
            <w:hideMark/>
          </w:tcPr>
          <w:p w14:paraId="68FD141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289.098,14</w:t>
            </w:r>
          </w:p>
        </w:tc>
        <w:tc>
          <w:tcPr>
            <w:tcW w:w="993" w:type="dxa"/>
            <w:tcBorders>
              <w:top w:val="nil"/>
              <w:left w:val="nil"/>
              <w:bottom w:val="nil"/>
              <w:right w:val="nil"/>
            </w:tcBorders>
            <w:shd w:val="clear" w:color="000000" w:fill="CCCCFF"/>
            <w:noWrap/>
            <w:vAlign w:val="bottom"/>
            <w:hideMark/>
          </w:tcPr>
          <w:p w14:paraId="4FF9C44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89,79%</w:t>
            </w:r>
          </w:p>
        </w:tc>
      </w:tr>
      <w:tr w:rsidR="006967F8" w:rsidRPr="006967F8" w14:paraId="649D034E"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CC58C89"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41AD5E5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321.972,00</w:t>
            </w:r>
          </w:p>
        </w:tc>
        <w:tc>
          <w:tcPr>
            <w:tcW w:w="1559" w:type="dxa"/>
            <w:tcBorders>
              <w:top w:val="nil"/>
              <w:left w:val="nil"/>
              <w:bottom w:val="nil"/>
              <w:right w:val="nil"/>
            </w:tcBorders>
            <w:shd w:val="clear" w:color="000000" w:fill="CCCCFF"/>
            <w:noWrap/>
            <w:vAlign w:val="bottom"/>
            <w:hideMark/>
          </w:tcPr>
          <w:p w14:paraId="330982D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321.972,00</w:t>
            </w:r>
          </w:p>
        </w:tc>
        <w:tc>
          <w:tcPr>
            <w:tcW w:w="1559" w:type="dxa"/>
            <w:tcBorders>
              <w:top w:val="nil"/>
              <w:left w:val="nil"/>
              <w:bottom w:val="nil"/>
              <w:right w:val="nil"/>
            </w:tcBorders>
            <w:shd w:val="clear" w:color="000000" w:fill="CCCCFF"/>
            <w:noWrap/>
            <w:vAlign w:val="bottom"/>
            <w:hideMark/>
          </w:tcPr>
          <w:p w14:paraId="0EECDA9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289.098,14</w:t>
            </w:r>
          </w:p>
        </w:tc>
        <w:tc>
          <w:tcPr>
            <w:tcW w:w="993" w:type="dxa"/>
            <w:tcBorders>
              <w:top w:val="nil"/>
              <w:left w:val="nil"/>
              <w:bottom w:val="nil"/>
              <w:right w:val="nil"/>
            </w:tcBorders>
            <w:shd w:val="clear" w:color="000000" w:fill="CCCCFF"/>
            <w:noWrap/>
            <w:vAlign w:val="bottom"/>
            <w:hideMark/>
          </w:tcPr>
          <w:p w14:paraId="2F8A384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89,79%</w:t>
            </w:r>
          </w:p>
        </w:tc>
      </w:tr>
      <w:tr w:rsidR="006967F8" w:rsidRPr="006967F8" w14:paraId="17304D49" w14:textId="77777777" w:rsidTr="008A61B1">
        <w:trPr>
          <w:trHeight w:val="255"/>
        </w:trPr>
        <w:tc>
          <w:tcPr>
            <w:tcW w:w="1134" w:type="dxa"/>
            <w:tcBorders>
              <w:top w:val="nil"/>
              <w:left w:val="nil"/>
              <w:bottom w:val="nil"/>
              <w:right w:val="nil"/>
            </w:tcBorders>
            <w:noWrap/>
            <w:vAlign w:val="bottom"/>
            <w:hideMark/>
          </w:tcPr>
          <w:p w14:paraId="7694C48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31</w:t>
            </w:r>
          </w:p>
        </w:tc>
        <w:tc>
          <w:tcPr>
            <w:tcW w:w="4962" w:type="dxa"/>
            <w:tcBorders>
              <w:top w:val="nil"/>
              <w:left w:val="nil"/>
              <w:bottom w:val="nil"/>
              <w:right w:val="nil"/>
            </w:tcBorders>
            <w:noWrap/>
            <w:vAlign w:val="bottom"/>
            <w:hideMark/>
          </w:tcPr>
          <w:p w14:paraId="4444CFF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zaposlene</w:t>
            </w:r>
          </w:p>
        </w:tc>
        <w:tc>
          <w:tcPr>
            <w:tcW w:w="1559" w:type="dxa"/>
            <w:tcBorders>
              <w:top w:val="nil"/>
              <w:left w:val="nil"/>
              <w:bottom w:val="nil"/>
              <w:right w:val="nil"/>
            </w:tcBorders>
            <w:noWrap/>
            <w:vAlign w:val="bottom"/>
            <w:hideMark/>
          </w:tcPr>
          <w:p w14:paraId="1EEB8EC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268.200,00</w:t>
            </w:r>
          </w:p>
        </w:tc>
        <w:tc>
          <w:tcPr>
            <w:tcW w:w="1559" w:type="dxa"/>
            <w:tcBorders>
              <w:top w:val="nil"/>
              <w:left w:val="nil"/>
              <w:bottom w:val="nil"/>
              <w:right w:val="nil"/>
            </w:tcBorders>
            <w:noWrap/>
            <w:vAlign w:val="bottom"/>
            <w:hideMark/>
          </w:tcPr>
          <w:p w14:paraId="4DD028E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268.200,00</w:t>
            </w:r>
          </w:p>
        </w:tc>
        <w:tc>
          <w:tcPr>
            <w:tcW w:w="1559" w:type="dxa"/>
            <w:tcBorders>
              <w:top w:val="nil"/>
              <w:left w:val="nil"/>
              <w:bottom w:val="nil"/>
              <w:right w:val="nil"/>
            </w:tcBorders>
            <w:noWrap/>
            <w:vAlign w:val="bottom"/>
            <w:hideMark/>
          </w:tcPr>
          <w:p w14:paraId="45BEE96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240.430,86</w:t>
            </w:r>
          </w:p>
        </w:tc>
        <w:tc>
          <w:tcPr>
            <w:tcW w:w="993" w:type="dxa"/>
            <w:tcBorders>
              <w:top w:val="nil"/>
              <w:left w:val="nil"/>
              <w:bottom w:val="nil"/>
              <w:right w:val="nil"/>
            </w:tcBorders>
            <w:noWrap/>
            <w:vAlign w:val="bottom"/>
            <w:hideMark/>
          </w:tcPr>
          <w:p w14:paraId="480C33E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89,65%</w:t>
            </w:r>
          </w:p>
        </w:tc>
      </w:tr>
      <w:tr w:rsidR="006967F8" w:rsidRPr="006967F8" w14:paraId="4BA9D8BB" w14:textId="77777777" w:rsidTr="008A61B1">
        <w:trPr>
          <w:trHeight w:val="255"/>
        </w:trPr>
        <w:tc>
          <w:tcPr>
            <w:tcW w:w="1134" w:type="dxa"/>
            <w:tcBorders>
              <w:top w:val="nil"/>
              <w:left w:val="nil"/>
              <w:bottom w:val="nil"/>
              <w:right w:val="nil"/>
            </w:tcBorders>
            <w:noWrap/>
            <w:vAlign w:val="bottom"/>
            <w:hideMark/>
          </w:tcPr>
          <w:p w14:paraId="3311A29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3111</w:t>
            </w:r>
          </w:p>
        </w:tc>
        <w:tc>
          <w:tcPr>
            <w:tcW w:w="4962" w:type="dxa"/>
            <w:tcBorders>
              <w:top w:val="nil"/>
              <w:left w:val="nil"/>
              <w:bottom w:val="nil"/>
              <w:right w:val="nil"/>
            </w:tcBorders>
            <w:noWrap/>
            <w:vAlign w:val="bottom"/>
            <w:hideMark/>
          </w:tcPr>
          <w:p w14:paraId="46984A9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Plaće za redovan rad</w:t>
            </w:r>
          </w:p>
        </w:tc>
        <w:tc>
          <w:tcPr>
            <w:tcW w:w="1559" w:type="dxa"/>
            <w:tcBorders>
              <w:top w:val="nil"/>
              <w:left w:val="nil"/>
              <w:bottom w:val="nil"/>
              <w:right w:val="nil"/>
            </w:tcBorders>
            <w:noWrap/>
            <w:vAlign w:val="bottom"/>
            <w:hideMark/>
          </w:tcPr>
          <w:p w14:paraId="5B7319E3"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9B503C9"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05F2C8E"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173.348,74</w:t>
            </w:r>
          </w:p>
        </w:tc>
        <w:tc>
          <w:tcPr>
            <w:tcW w:w="993" w:type="dxa"/>
            <w:tcBorders>
              <w:top w:val="nil"/>
              <w:left w:val="nil"/>
              <w:bottom w:val="nil"/>
              <w:right w:val="nil"/>
            </w:tcBorders>
            <w:noWrap/>
            <w:vAlign w:val="bottom"/>
            <w:hideMark/>
          </w:tcPr>
          <w:p w14:paraId="3E3D2B10"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B53E673" w14:textId="77777777" w:rsidTr="008A61B1">
        <w:trPr>
          <w:trHeight w:val="255"/>
        </w:trPr>
        <w:tc>
          <w:tcPr>
            <w:tcW w:w="1134" w:type="dxa"/>
            <w:tcBorders>
              <w:top w:val="nil"/>
              <w:left w:val="nil"/>
              <w:bottom w:val="nil"/>
              <w:right w:val="nil"/>
            </w:tcBorders>
            <w:noWrap/>
            <w:vAlign w:val="bottom"/>
            <w:hideMark/>
          </w:tcPr>
          <w:p w14:paraId="4DEC688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3121</w:t>
            </w:r>
          </w:p>
        </w:tc>
        <w:tc>
          <w:tcPr>
            <w:tcW w:w="4962" w:type="dxa"/>
            <w:tcBorders>
              <w:top w:val="nil"/>
              <w:left w:val="nil"/>
              <w:bottom w:val="nil"/>
              <w:right w:val="nil"/>
            </w:tcBorders>
            <w:noWrap/>
            <w:vAlign w:val="bottom"/>
            <w:hideMark/>
          </w:tcPr>
          <w:p w14:paraId="0173FBA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rashodi za zaposlene</w:t>
            </w:r>
          </w:p>
        </w:tc>
        <w:tc>
          <w:tcPr>
            <w:tcW w:w="1559" w:type="dxa"/>
            <w:tcBorders>
              <w:top w:val="nil"/>
              <w:left w:val="nil"/>
              <w:bottom w:val="nil"/>
              <w:right w:val="nil"/>
            </w:tcBorders>
            <w:noWrap/>
            <w:vAlign w:val="bottom"/>
            <w:hideMark/>
          </w:tcPr>
          <w:p w14:paraId="59894CD8"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355CFE4"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E151F78"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38.479,56</w:t>
            </w:r>
          </w:p>
        </w:tc>
        <w:tc>
          <w:tcPr>
            <w:tcW w:w="993" w:type="dxa"/>
            <w:tcBorders>
              <w:top w:val="nil"/>
              <w:left w:val="nil"/>
              <w:bottom w:val="nil"/>
              <w:right w:val="nil"/>
            </w:tcBorders>
            <w:noWrap/>
            <w:vAlign w:val="bottom"/>
            <w:hideMark/>
          </w:tcPr>
          <w:p w14:paraId="5B64F690"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0CE0D9E" w14:textId="77777777" w:rsidTr="008A61B1">
        <w:trPr>
          <w:trHeight w:val="255"/>
        </w:trPr>
        <w:tc>
          <w:tcPr>
            <w:tcW w:w="1134" w:type="dxa"/>
            <w:tcBorders>
              <w:top w:val="nil"/>
              <w:left w:val="nil"/>
              <w:bottom w:val="nil"/>
              <w:right w:val="nil"/>
            </w:tcBorders>
            <w:noWrap/>
            <w:vAlign w:val="bottom"/>
            <w:hideMark/>
          </w:tcPr>
          <w:p w14:paraId="6CBCB87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3132</w:t>
            </w:r>
          </w:p>
        </w:tc>
        <w:tc>
          <w:tcPr>
            <w:tcW w:w="4962" w:type="dxa"/>
            <w:tcBorders>
              <w:top w:val="nil"/>
              <w:left w:val="nil"/>
              <w:bottom w:val="nil"/>
              <w:right w:val="nil"/>
            </w:tcBorders>
            <w:noWrap/>
            <w:vAlign w:val="bottom"/>
            <w:hideMark/>
          </w:tcPr>
          <w:p w14:paraId="1EFCD21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Doprinosi za obvezno zdravstveno osiguranje</w:t>
            </w:r>
          </w:p>
        </w:tc>
        <w:tc>
          <w:tcPr>
            <w:tcW w:w="1559" w:type="dxa"/>
            <w:tcBorders>
              <w:top w:val="nil"/>
              <w:left w:val="nil"/>
              <w:bottom w:val="nil"/>
              <w:right w:val="nil"/>
            </w:tcBorders>
            <w:noWrap/>
            <w:vAlign w:val="bottom"/>
            <w:hideMark/>
          </w:tcPr>
          <w:p w14:paraId="6415A788"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DC8F60E"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1945546"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28.602,56</w:t>
            </w:r>
          </w:p>
        </w:tc>
        <w:tc>
          <w:tcPr>
            <w:tcW w:w="993" w:type="dxa"/>
            <w:tcBorders>
              <w:top w:val="nil"/>
              <w:left w:val="nil"/>
              <w:bottom w:val="nil"/>
              <w:right w:val="nil"/>
            </w:tcBorders>
            <w:noWrap/>
            <w:vAlign w:val="bottom"/>
            <w:hideMark/>
          </w:tcPr>
          <w:p w14:paraId="02981E46"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A463045" w14:textId="77777777" w:rsidTr="008A61B1">
        <w:trPr>
          <w:trHeight w:val="255"/>
        </w:trPr>
        <w:tc>
          <w:tcPr>
            <w:tcW w:w="1134" w:type="dxa"/>
            <w:tcBorders>
              <w:top w:val="nil"/>
              <w:left w:val="nil"/>
              <w:bottom w:val="nil"/>
              <w:right w:val="nil"/>
            </w:tcBorders>
            <w:noWrap/>
            <w:vAlign w:val="bottom"/>
            <w:hideMark/>
          </w:tcPr>
          <w:p w14:paraId="1BED23F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738A9D9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27CC8D4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47.972,00</w:t>
            </w:r>
          </w:p>
        </w:tc>
        <w:tc>
          <w:tcPr>
            <w:tcW w:w="1559" w:type="dxa"/>
            <w:tcBorders>
              <w:top w:val="nil"/>
              <w:left w:val="nil"/>
              <w:bottom w:val="nil"/>
              <w:right w:val="nil"/>
            </w:tcBorders>
            <w:noWrap/>
            <w:vAlign w:val="bottom"/>
            <w:hideMark/>
          </w:tcPr>
          <w:p w14:paraId="6D5504D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47.972,00</w:t>
            </w:r>
          </w:p>
        </w:tc>
        <w:tc>
          <w:tcPr>
            <w:tcW w:w="1559" w:type="dxa"/>
            <w:tcBorders>
              <w:top w:val="nil"/>
              <w:left w:val="nil"/>
              <w:bottom w:val="nil"/>
              <w:right w:val="nil"/>
            </w:tcBorders>
            <w:noWrap/>
            <w:vAlign w:val="bottom"/>
            <w:hideMark/>
          </w:tcPr>
          <w:p w14:paraId="71A82F8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42.916,79</w:t>
            </w:r>
          </w:p>
        </w:tc>
        <w:tc>
          <w:tcPr>
            <w:tcW w:w="993" w:type="dxa"/>
            <w:tcBorders>
              <w:top w:val="nil"/>
              <w:left w:val="nil"/>
              <w:bottom w:val="nil"/>
              <w:right w:val="nil"/>
            </w:tcBorders>
            <w:noWrap/>
            <w:vAlign w:val="bottom"/>
            <w:hideMark/>
          </w:tcPr>
          <w:p w14:paraId="5C33621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89,46%</w:t>
            </w:r>
          </w:p>
        </w:tc>
      </w:tr>
      <w:tr w:rsidR="006967F8" w:rsidRPr="006967F8" w14:paraId="35242BF4" w14:textId="77777777" w:rsidTr="008A61B1">
        <w:trPr>
          <w:trHeight w:val="255"/>
        </w:trPr>
        <w:tc>
          <w:tcPr>
            <w:tcW w:w="1134" w:type="dxa"/>
            <w:tcBorders>
              <w:top w:val="nil"/>
              <w:left w:val="nil"/>
              <w:bottom w:val="nil"/>
              <w:right w:val="nil"/>
            </w:tcBorders>
            <w:noWrap/>
            <w:vAlign w:val="bottom"/>
            <w:hideMark/>
          </w:tcPr>
          <w:p w14:paraId="31B697D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3211</w:t>
            </w:r>
          </w:p>
        </w:tc>
        <w:tc>
          <w:tcPr>
            <w:tcW w:w="4962" w:type="dxa"/>
            <w:tcBorders>
              <w:top w:val="nil"/>
              <w:left w:val="nil"/>
              <w:bottom w:val="nil"/>
              <w:right w:val="nil"/>
            </w:tcBorders>
            <w:noWrap/>
            <w:vAlign w:val="bottom"/>
            <w:hideMark/>
          </w:tcPr>
          <w:p w14:paraId="44EBE59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Službena putovanja</w:t>
            </w:r>
          </w:p>
        </w:tc>
        <w:tc>
          <w:tcPr>
            <w:tcW w:w="1559" w:type="dxa"/>
            <w:tcBorders>
              <w:top w:val="nil"/>
              <w:left w:val="nil"/>
              <w:bottom w:val="nil"/>
              <w:right w:val="nil"/>
            </w:tcBorders>
            <w:noWrap/>
            <w:vAlign w:val="bottom"/>
            <w:hideMark/>
          </w:tcPr>
          <w:p w14:paraId="28D41E43"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C99B798"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0253874"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146,14</w:t>
            </w:r>
          </w:p>
        </w:tc>
        <w:tc>
          <w:tcPr>
            <w:tcW w:w="993" w:type="dxa"/>
            <w:tcBorders>
              <w:top w:val="nil"/>
              <w:left w:val="nil"/>
              <w:bottom w:val="nil"/>
              <w:right w:val="nil"/>
            </w:tcBorders>
            <w:noWrap/>
            <w:vAlign w:val="bottom"/>
            <w:hideMark/>
          </w:tcPr>
          <w:p w14:paraId="0EF3AC4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6EC73C8" w14:textId="77777777" w:rsidTr="008A61B1">
        <w:trPr>
          <w:trHeight w:val="255"/>
        </w:trPr>
        <w:tc>
          <w:tcPr>
            <w:tcW w:w="1134" w:type="dxa"/>
            <w:tcBorders>
              <w:top w:val="nil"/>
              <w:left w:val="nil"/>
              <w:bottom w:val="nil"/>
              <w:right w:val="nil"/>
            </w:tcBorders>
            <w:noWrap/>
            <w:vAlign w:val="bottom"/>
            <w:hideMark/>
          </w:tcPr>
          <w:p w14:paraId="47B7108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3212</w:t>
            </w:r>
          </w:p>
        </w:tc>
        <w:tc>
          <w:tcPr>
            <w:tcW w:w="4962" w:type="dxa"/>
            <w:tcBorders>
              <w:top w:val="nil"/>
              <w:left w:val="nil"/>
              <w:bottom w:val="nil"/>
              <w:right w:val="nil"/>
            </w:tcBorders>
            <w:noWrap/>
            <w:vAlign w:val="bottom"/>
            <w:hideMark/>
          </w:tcPr>
          <w:p w14:paraId="5501B93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Naknade za prijevoz, za rad na terenu i odvojeni život</w:t>
            </w:r>
          </w:p>
        </w:tc>
        <w:tc>
          <w:tcPr>
            <w:tcW w:w="1559" w:type="dxa"/>
            <w:tcBorders>
              <w:top w:val="nil"/>
              <w:left w:val="nil"/>
              <w:bottom w:val="nil"/>
              <w:right w:val="nil"/>
            </w:tcBorders>
            <w:noWrap/>
            <w:vAlign w:val="bottom"/>
            <w:hideMark/>
          </w:tcPr>
          <w:p w14:paraId="3E2AAF2C"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68EF611"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5829DCD"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1.400,00</w:t>
            </w:r>
          </w:p>
        </w:tc>
        <w:tc>
          <w:tcPr>
            <w:tcW w:w="993" w:type="dxa"/>
            <w:tcBorders>
              <w:top w:val="nil"/>
              <w:left w:val="nil"/>
              <w:bottom w:val="nil"/>
              <w:right w:val="nil"/>
            </w:tcBorders>
            <w:noWrap/>
            <w:vAlign w:val="bottom"/>
            <w:hideMark/>
          </w:tcPr>
          <w:p w14:paraId="6EECA114"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1BCB032" w14:textId="77777777" w:rsidTr="008A61B1">
        <w:trPr>
          <w:trHeight w:val="255"/>
        </w:trPr>
        <w:tc>
          <w:tcPr>
            <w:tcW w:w="1134" w:type="dxa"/>
            <w:tcBorders>
              <w:top w:val="nil"/>
              <w:left w:val="nil"/>
              <w:bottom w:val="nil"/>
              <w:right w:val="nil"/>
            </w:tcBorders>
            <w:noWrap/>
            <w:vAlign w:val="bottom"/>
            <w:hideMark/>
          </w:tcPr>
          <w:p w14:paraId="3822685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3221</w:t>
            </w:r>
          </w:p>
        </w:tc>
        <w:tc>
          <w:tcPr>
            <w:tcW w:w="4962" w:type="dxa"/>
            <w:tcBorders>
              <w:top w:val="nil"/>
              <w:left w:val="nil"/>
              <w:bottom w:val="nil"/>
              <w:right w:val="nil"/>
            </w:tcBorders>
            <w:noWrap/>
            <w:vAlign w:val="bottom"/>
            <w:hideMark/>
          </w:tcPr>
          <w:p w14:paraId="1B09C3A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Uredski materijal i ostali materijalni rashodi</w:t>
            </w:r>
          </w:p>
        </w:tc>
        <w:tc>
          <w:tcPr>
            <w:tcW w:w="1559" w:type="dxa"/>
            <w:tcBorders>
              <w:top w:val="nil"/>
              <w:left w:val="nil"/>
              <w:bottom w:val="nil"/>
              <w:right w:val="nil"/>
            </w:tcBorders>
            <w:noWrap/>
            <w:vAlign w:val="bottom"/>
            <w:hideMark/>
          </w:tcPr>
          <w:p w14:paraId="60A37C50"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AE4EE10"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B8DD652"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3.301,85</w:t>
            </w:r>
          </w:p>
        </w:tc>
        <w:tc>
          <w:tcPr>
            <w:tcW w:w="993" w:type="dxa"/>
            <w:tcBorders>
              <w:top w:val="nil"/>
              <w:left w:val="nil"/>
              <w:bottom w:val="nil"/>
              <w:right w:val="nil"/>
            </w:tcBorders>
            <w:noWrap/>
            <w:vAlign w:val="bottom"/>
            <w:hideMark/>
          </w:tcPr>
          <w:p w14:paraId="4B63E107"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B50342A" w14:textId="77777777" w:rsidTr="008A61B1">
        <w:trPr>
          <w:trHeight w:val="255"/>
        </w:trPr>
        <w:tc>
          <w:tcPr>
            <w:tcW w:w="1134" w:type="dxa"/>
            <w:tcBorders>
              <w:top w:val="nil"/>
              <w:left w:val="nil"/>
              <w:bottom w:val="nil"/>
              <w:right w:val="nil"/>
            </w:tcBorders>
            <w:noWrap/>
            <w:vAlign w:val="bottom"/>
            <w:hideMark/>
          </w:tcPr>
          <w:p w14:paraId="4EC0422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3223</w:t>
            </w:r>
          </w:p>
        </w:tc>
        <w:tc>
          <w:tcPr>
            <w:tcW w:w="4962" w:type="dxa"/>
            <w:tcBorders>
              <w:top w:val="nil"/>
              <w:left w:val="nil"/>
              <w:bottom w:val="nil"/>
              <w:right w:val="nil"/>
            </w:tcBorders>
            <w:noWrap/>
            <w:vAlign w:val="bottom"/>
            <w:hideMark/>
          </w:tcPr>
          <w:p w14:paraId="40B6EA1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Energija</w:t>
            </w:r>
          </w:p>
        </w:tc>
        <w:tc>
          <w:tcPr>
            <w:tcW w:w="1559" w:type="dxa"/>
            <w:tcBorders>
              <w:top w:val="nil"/>
              <w:left w:val="nil"/>
              <w:bottom w:val="nil"/>
              <w:right w:val="nil"/>
            </w:tcBorders>
            <w:noWrap/>
            <w:vAlign w:val="bottom"/>
            <w:hideMark/>
          </w:tcPr>
          <w:p w14:paraId="44408F30"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BC1FBCD"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BE5DFBB"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4.543,08</w:t>
            </w:r>
          </w:p>
        </w:tc>
        <w:tc>
          <w:tcPr>
            <w:tcW w:w="993" w:type="dxa"/>
            <w:tcBorders>
              <w:top w:val="nil"/>
              <w:left w:val="nil"/>
              <w:bottom w:val="nil"/>
              <w:right w:val="nil"/>
            </w:tcBorders>
            <w:noWrap/>
            <w:vAlign w:val="bottom"/>
            <w:hideMark/>
          </w:tcPr>
          <w:p w14:paraId="1CC4F74E"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CC4B7C2" w14:textId="77777777" w:rsidTr="008A61B1">
        <w:trPr>
          <w:trHeight w:val="255"/>
        </w:trPr>
        <w:tc>
          <w:tcPr>
            <w:tcW w:w="1134" w:type="dxa"/>
            <w:tcBorders>
              <w:top w:val="nil"/>
              <w:left w:val="nil"/>
              <w:bottom w:val="nil"/>
              <w:right w:val="nil"/>
            </w:tcBorders>
            <w:noWrap/>
            <w:vAlign w:val="bottom"/>
            <w:hideMark/>
          </w:tcPr>
          <w:p w14:paraId="5EEE1E6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3225</w:t>
            </w:r>
          </w:p>
        </w:tc>
        <w:tc>
          <w:tcPr>
            <w:tcW w:w="4962" w:type="dxa"/>
            <w:tcBorders>
              <w:top w:val="nil"/>
              <w:left w:val="nil"/>
              <w:bottom w:val="nil"/>
              <w:right w:val="nil"/>
            </w:tcBorders>
            <w:noWrap/>
            <w:vAlign w:val="bottom"/>
            <w:hideMark/>
          </w:tcPr>
          <w:p w14:paraId="7010310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 xml:space="preserve">Sitni inventar i </w:t>
            </w:r>
            <w:proofErr w:type="spellStart"/>
            <w:r w:rsidRPr="006967F8">
              <w:rPr>
                <w:rFonts w:ascii="Arial" w:eastAsia="Times New Roman" w:hAnsi="Arial" w:cs="Arial"/>
                <w:sz w:val="20"/>
                <w:szCs w:val="20"/>
                <w:lang w:eastAsia="hr-HR"/>
              </w:rPr>
              <w:t>autogume</w:t>
            </w:r>
            <w:proofErr w:type="spellEnd"/>
          </w:p>
        </w:tc>
        <w:tc>
          <w:tcPr>
            <w:tcW w:w="1559" w:type="dxa"/>
            <w:tcBorders>
              <w:top w:val="nil"/>
              <w:left w:val="nil"/>
              <w:bottom w:val="nil"/>
              <w:right w:val="nil"/>
            </w:tcBorders>
            <w:noWrap/>
            <w:vAlign w:val="bottom"/>
            <w:hideMark/>
          </w:tcPr>
          <w:p w14:paraId="38359F74"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C32EABF"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86497C6"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261,52</w:t>
            </w:r>
          </w:p>
        </w:tc>
        <w:tc>
          <w:tcPr>
            <w:tcW w:w="993" w:type="dxa"/>
            <w:tcBorders>
              <w:top w:val="nil"/>
              <w:left w:val="nil"/>
              <w:bottom w:val="nil"/>
              <w:right w:val="nil"/>
            </w:tcBorders>
            <w:noWrap/>
            <w:vAlign w:val="bottom"/>
            <w:hideMark/>
          </w:tcPr>
          <w:p w14:paraId="561F6078"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2C29155" w14:textId="77777777" w:rsidTr="008A61B1">
        <w:trPr>
          <w:trHeight w:val="255"/>
        </w:trPr>
        <w:tc>
          <w:tcPr>
            <w:tcW w:w="1134" w:type="dxa"/>
            <w:tcBorders>
              <w:top w:val="nil"/>
              <w:left w:val="nil"/>
              <w:bottom w:val="nil"/>
              <w:right w:val="nil"/>
            </w:tcBorders>
            <w:noWrap/>
            <w:vAlign w:val="bottom"/>
            <w:hideMark/>
          </w:tcPr>
          <w:p w14:paraId="71CA50F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3231</w:t>
            </w:r>
          </w:p>
        </w:tc>
        <w:tc>
          <w:tcPr>
            <w:tcW w:w="4962" w:type="dxa"/>
            <w:tcBorders>
              <w:top w:val="nil"/>
              <w:left w:val="nil"/>
              <w:bottom w:val="nil"/>
              <w:right w:val="nil"/>
            </w:tcBorders>
            <w:noWrap/>
            <w:vAlign w:val="bottom"/>
            <w:hideMark/>
          </w:tcPr>
          <w:p w14:paraId="7991C6A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telefona, interneta, pošte i prijevoza</w:t>
            </w:r>
          </w:p>
        </w:tc>
        <w:tc>
          <w:tcPr>
            <w:tcW w:w="1559" w:type="dxa"/>
            <w:tcBorders>
              <w:top w:val="nil"/>
              <w:left w:val="nil"/>
              <w:bottom w:val="nil"/>
              <w:right w:val="nil"/>
            </w:tcBorders>
            <w:noWrap/>
            <w:vAlign w:val="bottom"/>
            <w:hideMark/>
          </w:tcPr>
          <w:p w14:paraId="687E350D"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CC62BD5"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98C6ABC"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1.785,33</w:t>
            </w:r>
          </w:p>
        </w:tc>
        <w:tc>
          <w:tcPr>
            <w:tcW w:w="993" w:type="dxa"/>
            <w:tcBorders>
              <w:top w:val="nil"/>
              <w:left w:val="nil"/>
              <w:bottom w:val="nil"/>
              <w:right w:val="nil"/>
            </w:tcBorders>
            <w:noWrap/>
            <w:vAlign w:val="bottom"/>
            <w:hideMark/>
          </w:tcPr>
          <w:p w14:paraId="4AE79EC4"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3D50052" w14:textId="77777777" w:rsidTr="008A61B1">
        <w:trPr>
          <w:trHeight w:val="255"/>
        </w:trPr>
        <w:tc>
          <w:tcPr>
            <w:tcW w:w="1134" w:type="dxa"/>
            <w:tcBorders>
              <w:top w:val="nil"/>
              <w:left w:val="nil"/>
              <w:bottom w:val="nil"/>
              <w:right w:val="nil"/>
            </w:tcBorders>
            <w:noWrap/>
            <w:vAlign w:val="bottom"/>
            <w:hideMark/>
          </w:tcPr>
          <w:p w14:paraId="6D4E325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3234</w:t>
            </w:r>
          </w:p>
        </w:tc>
        <w:tc>
          <w:tcPr>
            <w:tcW w:w="4962" w:type="dxa"/>
            <w:tcBorders>
              <w:top w:val="nil"/>
              <w:left w:val="nil"/>
              <w:bottom w:val="nil"/>
              <w:right w:val="nil"/>
            </w:tcBorders>
            <w:noWrap/>
            <w:vAlign w:val="bottom"/>
            <w:hideMark/>
          </w:tcPr>
          <w:p w14:paraId="6BEDD98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Komunalne usluge</w:t>
            </w:r>
          </w:p>
        </w:tc>
        <w:tc>
          <w:tcPr>
            <w:tcW w:w="1559" w:type="dxa"/>
            <w:tcBorders>
              <w:top w:val="nil"/>
              <w:left w:val="nil"/>
              <w:bottom w:val="nil"/>
              <w:right w:val="nil"/>
            </w:tcBorders>
            <w:noWrap/>
            <w:vAlign w:val="bottom"/>
            <w:hideMark/>
          </w:tcPr>
          <w:p w14:paraId="1EBE99DC"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1215EF9"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84525F6"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2.299,22</w:t>
            </w:r>
          </w:p>
        </w:tc>
        <w:tc>
          <w:tcPr>
            <w:tcW w:w="993" w:type="dxa"/>
            <w:tcBorders>
              <w:top w:val="nil"/>
              <w:left w:val="nil"/>
              <w:bottom w:val="nil"/>
              <w:right w:val="nil"/>
            </w:tcBorders>
            <w:noWrap/>
            <w:vAlign w:val="bottom"/>
            <w:hideMark/>
          </w:tcPr>
          <w:p w14:paraId="1FCE2E5A"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3CD612E" w14:textId="77777777" w:rsidTr="008A61B1">
        <w:trPr>
          <w:trHeight w:val="255"/>
        </w:trPr>
        <w:tc>
          <w:tcPr>
            <w:tcW w:w="1134" w:type="dxa"/>
            <w:tcBorders>
              <w:top w:val="nil"/>
              <w:left w:val="nil"/>
              <w:bottom w:val="nil"/>
              <w:right w:val="nil"/>
            </w:tcBorders>
            <w:noWrap/>
            <w:vAlign w:val="bottom"/>
            <w:hideMark/>
          </w:tcPr>
          <w:p w14:paraId="5D7A2A8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3236</w:t>
            </w:r>
          </w:p>
        </w:tc>
        <w:tc>
          <w:tcPr>
            <w:tcW w:w="4962" w:type="dxa"/>
            <w:tcBorders>
              <w:top w:val="nil"/>
              <w:left w:val="nil"/>
              <w:bottom w:val="nil"/>
              <w:right w:val="nil"/>
            </w:tcBorders>
            <w:noWrap/>
            <w:vAlign w:val="bottom"/>
            <w:hideMark/>
          </w:tcPr>
          <w:p w14:paraId="32BE1D4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Zdravstvene i veterinarske usluge</w:t>
            </w:r>
          </w:p>
        </w:tc>
        <w:tc>
          <w:tcPr>
            <w:tcW w:w="1559" w:type="dxa"/>
            <w:tcBorders>
              <w:top w:val="nil"/>
              <w:left w:val="nil"/>
              <w:bottom w:val="nil"/>
              <w:right w:val="nil"/>
            </w:tcBorders>
            <w:noWrap/>
            <w:vAlign w:val="bottom"/>
            <w:hideMark/>
          </w:tcPr>
          <w:p w14:paraId="4275713A"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E858867"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3CE9216"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2.652,00</w:t>
            </w:r>
          </w:p>
        </w:tc>
        <w:tc>
          <w:tcPr>
            <w:tcW w:w="993" w:type="dxa"/>
            <w:tcBorders>
              <w:top w:val="nil"/>
              <w:left w:val="nil"/>
              <w:bottom w:val="nil"/>
              <w:right w:val="nil"/>
            </w:tcBorders>
            <w:noWrap/>
            <w:vAlign w:val="bottom"/>
            <w:hideMark/>
          </w:tcPr>
          <w:p w14:paraId="36C73873"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F73CC22" w14:textId="77777777" w:rsidTr="008A61B1">
        <w:trPr>
          <w:trHeight w:val="255"/>
        </w:trPr>
        <w:tc>
          <w:tcPr>
            <w:tcW w:w="1134" w:type="dxa"/>
            <w:tcBorders>
              <w:top w:val="nil"/>
              <w:left w:val="nil"/>
              <w:bottom w:val="nil"/>
              <w:right w:val="nil"/>
            </w:tcBorders>
            <w:noWrap/>
            <w:vAlign w:val="bottom"/>
            <w:hideMark/>
          </w:tcPr>
          <w:p w14:paraId="4915ED8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3237</w:t>
            </w:r>
          </w:p>
        </w:tc>
        <w:tc>
          <w:tcPr>
            <w:tcW w:w="4962" w:type="dxa"/>
            <w:tcBorders>
              <w:top w:val="nil"/>
              <w:left w:val="nil"/>
              <w:bottom w:val="nil"/>
              <w:right w:val="nil"/>
            </w:tcBorders>
            <w:noWrap/>
            <w:vAlign w:val="bottom"/>
            <w:hideMark/>
          </w:tcPr>
          <w:p w14:paraId="69469A1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Intelektualne i osobne usluge</w:t>
            </w:r>
          </w:p>
        </w:tc>
        <w:tc>
          <w:tcPr>
            <w:tcW w:w="1559" w:type="dxa"/>
            <w:tcBorders>
              <w:top w:val="nil"/>
              <w:left w:val="nil"/>
              <w:bottom w:val="nil"/>
              <w:right w:val="nil"/>
            </w:tcBorders>
            <w:noWrap/>
            <w:vAlign w:val="bottom"/>
            <w:hideMark/>
          </w:tcPr>
          <w:p w14:paraId="5491CE07"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899B76F"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C1F15CF"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11.586,79</w:t>
            </w:r>
          </w:p>
        </w:tc>
        <w:tc>
          <w:tcPr>
            <w:tcW w:w="993" w:type="dxa"/>
            <w:tcBorders>
              <w:top w:val="nil"/>
              <w:left w:val="nil"/>
              <w:bottom w:val="nil"/>
              <w:right w:val="nil"/>
            </w:tcBorders>
            <w:noWrap/>
            <w:vAlign w:val="bottom"/>
            <w:hideMark/>
          </w:tcPr>
          <w:p w14:paraId="0F94830A"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E75A2A1" w14:textId="77777777" w:rsidTr="008A61B1">
        <w:trPr>
          <w:trHeight w:val="255"/>
        </w:trPr>
        <w:tc>
          <w:tcPr>
            <w:tcW w:w="1134" w:type="dxa"/>
            <w:tcBorders>
              <w:top w:val="nil"/>
              <w:left w:val="nil"/>
              <w:bottom w:val="nil"/>
              <w:right w:val="nil"/>
            </w:tcBorders>
            <w:noWrap/>
            <w:vAlign w:val="bottom"/>
            <w:hideMark/>
          </w:tcPr>
          <w:p w14:paraId="286B025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3238</w:t>
            </w:r>
          </w:p>
        </w:tc>
        <w:tc>
          <w:tcPr>
            <w:tcW w:w="4962" w:type="dxa"/>
            <w:tcBorders>
              <w:top w:val="nil"/>
              <w:left w:val="nil"/>
              <w:bottom w:val="nil"/>
              <w:right w:val="nil"/>
            </w:tcBorders>
            <w:noWrap/>
            <w:vAlign w:val="bottom"/>
            <w:hideMark/>
          </w:tcPr>
          <w:p w14:paraId="2C4613E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Računalne usluge</w:t>
            </w:r>
          </w:p>
        </w:tc>
        <w:tc>
          <w:tcPr>
            <w:tcW w:w="1559" w:type="dxa"/>
            <w:tcBorders>
              <w:top w:val="nil"/>
              <w:left w:val="nil"/>
              <w:bottom w:val="nil"/>
              <w:right w:val="nil"/>
            </w:tcBorders>
            <w:noWrap/>
            <w:vAlign w:val="bottom"/>
            <w:hideMark/>
          </w:tcPr>
          <w:p w14:paraId="177683A0"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8A44A85"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1CBAF67"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6.407,24</w:t>
            </w:r>
          </w:p>
        </w:tc>
        <w:tc>
          <w:tcPr>
            <w:tcW w:w="993" w:type="dxa"/>
            <w:tcBorders>
              <w:top w:val="nil"/>
              <w:left w:val="nil"/>
              <w:bottom w:val="nil"/>
              <w:right w:val="nil"/>
            </w:tcBorders>
            <w:noWrap/>
            <w:vAlign w:val="bottom"/>
            <w:hideMark/>
          </w:tcPr>
          <w:p w14:paraId="4E14C926"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6F61F54" w14:textId="77777777" w:rsidTr="008A61B1">
        <w:trPr>
          <w:trHeight w:val="255"/>
        </w:trPr>
        <w:tc>
          <w:tcPr>
            <w:tcW w:w="1134" w:type="dxa"/>
            <w:tcBorders>
              <w:top w:val="nil"/>
              <w:left w:val="nil"/>
              <w:bottom w:val="nil"/>
              <w:right w:val="nil"/>
            </w:tcBorders>
            <w:noWrap/>
            <w:vAlign w:val="bottom"/>
            <w:hideMark/>
          </w:tcPr>
          <w:p w14:paraId="51ECBC9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3239</w:t>
            </w:r>
          </w:p>
        </w:tc>
        <w:tc>
          <w:tcPr>
            <w:tcW w:w="4962" w:type="dxa"/>
            <w:tcBorders>
              <w:top w:val="nil"/>
              <w:left w:val="nil"/>
              <w:bottom w:val="nil"/>
              <w:right w:val="nil"/>
            </w:tcBorders>
            <w:noWrap/>
            <w:vAlign w:val="bottom"/>
            <w:hideMark/>
          </w:tcPr>
          <w:p w14:paraId="020B353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Ostale usluge</w:t>
            </w:r>
          </w:p>
        </w:tc>
        <w:tc>
          <w:tcPr>
            <w:tcW w:w="1559" w:type="dxa"/>
            <w:tcBorders>
              <w:top w:val="nil"/>
              <w:left w:val="nil"/>
              <w:bottom w:val="nil"/>
              <w:right w:val="nil"/>
            </w:tcBorders>
            <w:noWrap/>
            <w:vAlign w:val="bottom"/>
            <w:hideMark/>
          </w:tcPr>
          <w:p w14:paraId="0304277E"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16BB0F7"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B70DA4E"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3.483,89</w:t>
            </w:r>
          </w:p>
        </w:tc>
        <w:tc>
          <w:tcPr>
            <w:tcW w:w="993" w:type="dxa"/>
            <w:tcBorders>
              <w:top w:val="nil"/>
              <w:left w:val="nil"/>
              <w:bottom w:val="nil"/>
              <w:right w:val="nil"/>
            </w:tcBorders>
            <w:noWrap/>
            <w:vAlign w:val="bottom"/>
            <w:hideMark/>
          </w:tcPr>
          <w:p w14:paraId="2373A7B9"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42E05EB" w14:textId="77777777" w:rsidTr="008A61B1">
        <w:trPr>
          <w:trHeight w:val="255"/>
        </w:trPr>
        <w:tc>
          <w:tcPr>
            <w:tcW w:w="1134" w:type="dxa"/>
            <w:tcBorders>
              <w:top w:val="nil"/>
              <w:left w:val="nil"/>
              <w:bottom w:val="nil"/>
              <w:right w:val="nil"/>
            </w:tcBorders>
            <w:noWrap/>
            <w:vAlign w:val="bottom"/>
            <w:hideMark/>
          </w:tcPr>
          <w:p w14:paraId="4B1C990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3292</w:t>
            </w:r>
          </w:p>
        </w:tc>
        <w:tc>
          <w:tcPr>
            <w:tcW w:w="4962" w:type="dxa"/>
            <w:tcBorders>
              <w:top w:val="nil"/>
              <w:left w:val="nil"/>
              <w:bottom w:val="nil"/>
              <w:right w:val="nil"/>
            </w:tcBorders>
            <w:noWrap/>
            <w:vAlign w:val="bottom"/>
            <w:hideMark/>
          </w:tcPr>
          <w:p w14:paraId="2328892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Premije osiguranja</w:t>
            </w:r>
          </w:p>
        </w:tc>
        <w:tc>
          <w:tcPr>
            <w:tcW w:w="1559" w:type="dxa"/>
            <w:tcBorders>
              <w:top w:val="nil"/>
              <w:left w:val="nil"/>
              <w:bottom w:val="nil"/>
              <w:right w:val="nil"/>
            </w:tcBorders>
            <w:noWrap/>
            <w:vAlign w:val="bottom"/>
            <w:hideMark/>
          </w:tcPr>
          <w:p w14:paraId="65215EB3"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C3ADD35"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9450E7A"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2.336,83</w:t>
            </w:r>
          </w:p>
        </w:tc>
        <w:tc>
          <w:tcPr>
            <w:tcW w:w="993" w:type="dxa"/>
            <w:tcBorders>
              <w:top w:val="nil"/>
              <w:left w:val="nil"/>
              <w:bottom w:val="nil"/>
              <w:right w:val="nil"/>
            </w:tcBorders>
            <w:noWrap/>
            <w:vAlign w:val="bottom"/>
            <w:hideMark/>
          </w:tcPr>
          <w:p w14:paraId="39491817"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E6A7CBC" w14:textId="77777777" w:rsidTr="008A61B1">
        <w:trPr>
          <w:trHeight w:val="255"/>
        </w:trPr>
        <w:tc>
          <w:tcPr>
            <w:tcW w:w="1134" w:type="dxa"/>
            <w:tcBorders>
              <w:top w:val="nil"/>
              <w:left w:val="nil"/>
              <w:bottom w:val="nil"/>
              <w:right w:val="nil"/>
            </w:tcBorders>
            <w:noWrap/>
            <w:vAlign w:val="bottom"/>
            <w:hideMark/>
          </w:tcPr>
          <w:p w14:paraId="34A5E0D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3293</w:t>
            </w:r>
          </w:p>
        </w:tc>
        <w:tc>
          <w:tcPr>
            <w:tcW w:w="4962" w:type="dxa"/>
            <w:tcBorders>
              <w:top w:val="nil"/>
              <w:left w:val="nil"/>
              <w:bottom w:val="nil"/>
              <w:right w:val="nil"/>
            </w:tcBorders>
            <w:noWrap/>
            <w:vAlign w:val="bottom"/>
            <w:hideMark/>
          </w:tcPr>
          <w:p w14:paraId="5AB0459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Reprezentacija</w:t>
            </w:r>
          </w:p>
        </w:tc>
        <w:tc>
          <w:tcPr>
            <w:tcW w:w="1559" w:type="dxa"/>
            <w:tcBorders>
              <w:top w:val="nil"/>
              <w:left w:val="nil"/>
              <w:bottom w:val="nil"/>
              <w:right w:val="nil"/>
            </w:tcBorders>
            <w:noWrap/>
            <w:vAlign w:val="bottom"/>
            <w:hideMark/>
          </w:tcPr>
          <w:p w14:paraId="376B953E"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5493302"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4369224"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1.959,68</w:t>
            </w:r>
          </w:p>
        </w:tc>
        <w:tc>
          <w:tcPr>
            <w:tcW w:w="993" w:type="dxa"/>
            <w:tcBorders>
              <w:top w:val="nil"/>
              <w:left w:val="nil"/>
              <w:bottom w:val="nil"/>
              <w:right w:val="nil"/>
            </w:tcBorders>
            <w:noWrap/>
            <w:vAlign w:val="bottom"/>
            <w:hideMark/>
          </w:tcPr>
          <w:p w14:paraId="4C9154AE"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206BC71" w14:textId="77777777" w:rsidTr="008A61B1">
        <w:trPr>
          <w:trHeight w:val="255"/>
        </w:trPr>
        <w:tc>
          <w:tcPr>
            <w:tcW w:w="1134" w:type="dxa"/>
            <w:tcBorders>
              <w:top w:val="nil"/>
              <w:left w:val="nil"/>
              <w:bottom w:val="nil"/>
              <w:right w:val="nil"/>
            </w:tcBorders>
            <w:noWrap/>
            <w:vAlign w:val="bottom"/>
            <w:hideMark/>
          </w:tcPr>
          <w:p w14:paraId="56403D3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3295</w:t>
            </w:r>
          </w:p>
        </w:tc>
        <w:tc>
          <w:tcPr>
            <w:tcW w:w="4962" w:type="dxa"/>
            <w:tcBorders>
              <w:top w:val="nil"/>
              <w:left w:val="nil"/>
              <w:bottom w:val="nil"/>
              <w:right w:val="nil"/>
            </w:tcBorders>
            <w:noWrap/>
            <w:vAlign w:val="bottom"/>
            <w:hideMark/>
          </w:tcPr>
          <w:p w14:paraId="7979702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Pristojbe i naknade</w:t>
            </w:r>
          </w:p>
        </w:tc>
        <w:tc>
          <w:tcPr>
            <w:tcW w:w="1559" w:type="dxa"/>
            <w:tcBorders>
              <w:top w:val="nil"/>
              <w:left w:val="nil"/>
              <w:bottom w:val="nil"/>
              <w:right w:val="nil"/>
            </w:tcBorders>
            <w:noWrap/>
            <w:vAlign w:val="bottom"/>
            <w:hideMark/>
          </w:tcPr>
          <w:p w14:paraId="42D1383A"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F66E6CE"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9B14F97"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657,36</w:t>
            </w:r>
          </w:p>
        </w:tc>
        <w:tc>
          <w:tcPr>
            <w:tcW w:w="993" w:type="dxa"/>
            <w:tcBorders>
              <w:top w:val="nil"/>
              <w:left w:val="nil"/>
              <w:bottom w:val="nil"/>
              <w:right w:val="nil"/>
            </w:tcBorders>
            <w:noWrap/>
            <w:vAlign w:val="bottom"/>
            <w:hideMark/>
          </w:tcPr>
          <w:p w14:paraId="02473D49"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4971709" w14:textId="77777777" w:rsidTr="008A61B1">
        <w:trPr>
          <w:trHeight w:val="255"/>
        </w:trPr>
        <w:tc>
          <w:tcPr>
            <w:tcW w:w="1134" w:type="dxa"/>
            <w:tcBorders>
              <w:top w:val="nil"/>
              <w:left w:val="nil"/>
              <w:bottom w:val="nil"/>
              <w:right w:val="nil"/>
            </w:tcBorders>
            <w:noWrap/>
            <w:vAlign w:val="bottom"/>
            <w:hideMark/>
          </w:tcPr>
          <w:p w14:paraId="5777E0E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3299</w:t>
            </w:r>
          </w:p>
        </w:tc>
        <w:tc>
          <w:tcPr>
            <w:tcW w:w="4962" w:type="dxa"/>
            <w:tcBorders>
              <w:top w:val="nil"/>
              <w:left w:val="nil"/>
              <w:bottom w:val="nil"/>
              <w:right w:val="nil"/>
            </w:tcBorders>
            <w:noWrap/>
            <w:vAlign w:val="bottom"/>
            <w:hideMark/>
          </w:tcPr>
          <w:p w14:paraId="2CFB714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nespomenuti rashodi poslovanja</w:t>
            </w:r>
          </w:p>
        </w:tc>
        <w:tc>
          <w:tcPr>
            <w:tcW w:w="1559" w:type="dxa"/>
            <w:tcBorders>
              <w:top w:val="nil"/>
              <w:left w:val="nil"/>
              <w:bottom w:val="nil"/>
              <w:right w:val="nil"/>
            </w:tcBorders>
            <w:noWrap/>
            <w:vAlign w:val="bottom"/>
            <w:hideMark/>
          </w:tcPr>
          <w:p w14:paraId="4534820F"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A6E632D"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7DF7423"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95,86</w:t>
            </w:r>
          </w:p>
        </w:tc>
        <w:tc>
          <w:tcPr>
            <w:tcW w:w="993" w:type="dxa"/>
            <w:tcBorders>
              <w:top w:val="nil"/>
              <w:left w:val="nil"/>
              <w:bottom w:val="nil"/>
              <w:right w:val="nil"/>
            </w:tcBorders>
            <w:noWrap/>
            <w:vAlign w:val="bottom"/>
            <w:hideMark/>
          </w:tcPr>
          <w:p w14:paraId="627744CB"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D68677E" w14:textId="77777777" w:rsidTr="008A61B1">
        <w:trPr>
          <w:trHeight w:val="255"/>
        </w:trPr>
        <w:tc>
          <w:tcPr>
            <w:tcW w:w="1134" w:type="dxa"/>
            <w:tcBorders>
              <w:top w:val="nil"/>
              <w:left w:val="nil"/>
              <w:bottom w:val="nil"/>
              <w:right w:val="nil"/>
            </w:tcBorders>
            <w:noWrap/>
            <w:vAlign w:val="bottom"/>
            <w:hideMark/>
          </w:tcPr>
          <w:p w14:paraId="035B6E5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34</w:t>
            </w:r>
          </w:p>
        </w:tc>
        <w:tc>
          <w:tcPr>
            <w:tcW w:w="4962" w:type="dxa"/>
            <w:tcBorders>
              <w:top w:val="nil"/>
              <w:left w:val="nil"/>
              <w:bottom w:val="nil"/>
              <w:right w:val="nil"/>
            </w:tcBorders>
            <w:noWrap/>
            <w:vAlign w:val="bottom"/>
            <w:hideMark/>
          </w:tcPr>
          <w:p w14:paraId="65A4D0A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Financijski rashodi</w:t>
            </w:r>
          </w:p>
        </w:tc>
        <w:tc>
          <w:tcPr>
            <w:tcW w:w="1559" w:type="dxa"/>
            <w:tcBorders>
              <w:top w:val="nil"/>
              <w:left w:val="nil"/>
              <w:bottom w:val="nil"/>
              <w:right w:val="nil"/>
            </w:tcBorders>
            <w:noWrap/>
            <w:vAlign w:val="bottom"/>
            <w:hideMark/>
          </w:tcPr>
          <w:p w14:paraId="7EE66B3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600,00</w:t>
            </w:r>
          </w:p>
        </w:tc>
        <w:tc>
          <w:tcPr>
            <w:tcW w:w="1559" w:type="dxa"/>
            <w:tcBorders>
              <w:top w:val="nil"/>
              <w:left w:val="nil"/>
              <w:bottom w:val="nil"/>
              <w:right w:val="nil"/>
            </w:tcBorders>
            <w:noWrap/>
            <w:vAlign w:val="bottom"/>
            <w:hideMark/>
          </w:tcPr>
          <w:p w14:paraId="68AC0C2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600,00</w:t>
            </w:r>
          </w:p>
        </w:tc>
        <w:tc>
          <w:tcPr>
            <w:tcW w:w="1559" w:type="dxa"/>
            <w:tcBorders>
              <w:top w:val="nil"/>
              <w:left w:val="nil"/>
              <w:bottom w:val="nil"/>
              <w:right w:val="nil"/>
            </w:tcBorders>
            <w:noWrap/>
            <w:vAlign w:val="bottom"/>
            <w:hideMark/>
          </w:tcPr>
          <w:p w14:paraId="2B5BE31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586,81</w:t>
            </w:r>
          </w:p>
        </w:tc>
        <w:tc>
          <w:tcPr>
            <w:tcW w:w="993" w:type="dxa"/>
            <w:tcBorders>
              <w:top w:val="nil"/>
              <w:left w:val="nil"/>
              <w:bottom w:val="nil"/>
              <w:right w:val="nil"/>
            </w:tcBorders>
            <w:noWrap/>
            <w:vAlign w:val="bottom"/>
            <w:hideMark/>
          </w:tcPr>
          <w:p w14:paraId="7F24449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97,80%</w:t>
            </w:r>
          </w:p>
        </w:tc>
      </w:tr>
      <w:tr w:rsidR="006967F8" w:rsidRPr="006967F8" w14:paraId="5063B3E0" w14:textId="77777777" w:rsidTr="008A61B1">
        <w:trPr>
          <w:trHeight w:val="255"/>
        </w:trPr>
        <w:tc>
          <w:tcPr>
            <w:tcW w:w="1134" w:type="dxa"/>
            <w:tcBorders>
              <w:top w:val="nil"/>
              <w:left w:val="nil"/>
              <w:bottom w:val="nil"/>
              <w:right w:val="nil"/>
            </w:tcBorders>
            <w:noWrap/>
            <w:vAlign w:val="bottom"/>
            <w:hideMark/>
          </w:tcPr>
          <w:p w14:paraId="1957126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3431</w:t>
            </w:r>
          </w:p>
        </w:tc>
        <w:tc>
          <w:tcPr>
            <w:tcW w:w="4962" w:type="dxa"/>
            <w:tcBorders>
              <w:top w:val="nil"/>
              <w:left w:val="nil"/>
              <w:bottom w:val="nil"/>
              <w:right w:val="nil"/>
            </w:tcBorders>
            <w:noWrap/>
            <w:vAlign w:val="bottom"/>
            <w:hideMark/>
          </w:tcPr>
          <w:p w14:paraId="3C6909A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Bankarske usluge i usluge platnog prometa</w:t>
            </w:r>
          </w:p>
        </w:tc>
        <w:tc>
          <w:tcPr>
            <w:tcW w:w="1559" w:type="dxa"/>
            <w:tcBorders>
              <w:top w:val="nil"/>
              <w:left w:val="nil"/>
              <w:bottom w:val="nil"/>
              <w:right w:val="nil"/>
            </w:tcBorders>
            <w:noWrap/>
            <w:vAlign w:val="bottom"/>
            <w:hideMark/>
          </w:tcPr>
          <w:p w14:paraId="24A318AB"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FF60DEC"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D80DA3F"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586,81</w:t>
            </w:r>
          </w:p>
        </w:tc>
        <w:tc>
          <w:tcPr>
            <w:tcW w:w="993" w:type="dxa"/>
            <w:tcBorders>
              <w:top w:val="nil"/>
              <w:left w:val="nil"/>
              <w:bottom w:val="nil"/>
              <w:right w:val="nil"/>
            </w:tcBorders>
            <w:noWrap/>
            <w:vAlign w:val="bottom"/>
            <w:hideMark/>
          </w:tcPr>
          <w:p w14:paraId="13416F9E"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6A00EC9" w14:textId="77777777" w:rsidTr="008A61B1">
        <w:trPr>
          <w:trHeight w:val="570"/>
        </w:trPr>
        <w:tc>
          <w:tcPr>
            <w:tcW w:w="1134" w:type="dxa"/>
            <w:tcBorders>
              <w:top w:val="nil"/>
              <w:left w:val="nil"/>
              <w:bottom w:val="nil"/>
              <w:right w:val="nil"/>
            </w:tcBorders>
            <w:noWrap/>
            <w:vAlign w:val="bottom"/>
            <w:hideMark/>
          </w:tcPr>
          <w:p w14:paraId="1BF86A0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240927C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0E46BEF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5.200,00</w:t>
            </w:r>
          </w:p>
        </w:tc>
        <w:tc>
          <w:tcPr>
            <w:tcW w:w="1559" w:type="dxa"/>
            <w:tcBorders>
              <w:top w:val="nil"/>
              <w:left w:val="nil"/>
              <w:bottom w:val="nil"/>
              <w:right w:val="nil"/>
            </w:tcBorders>
            <w:noWrap/>
            <w:vAlign w:val="bottom"/>
            <w:hideMark/>
          </w:tcPr>
          <w:p w14:paraId="4B19489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5.200,00</w:t>
            </w:r>
          </w:p>
        </w:tc>
        <w:tc>
          <w:tcPr>
            <w:tcW w:w="1559" w:type="dxa"/>
            <w:tcBorders>
              <w:top w:val="nil"/>
              <w:left w:val="nil"/>
              <w:bottom w:val="nil"/>
              <w:right w:val="nil"/>
            </w:tcBorders>
            <w:noWrap/>
            <w:vAlign w:val="bottom"/>
            <w:hideMark/>
          </w:tcPr>
          <w:p w14:paraId="2401FB6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5.163,68</w:t>
            </w:r>
          </w:p>
        </w:tc>
        <w:tc>
          <w:tcPr>
            <w:tcW w:w="993" w:type="dxa"/>
            <w:tcBorders>
              <w:top w:val="nil"/>
              <w:left w:val="nil"/>
              <w:bottom w:val="nil"/>
              <w:right w:val="nil"/>
            </w:tcBorders>
            <w:noWrap/>
            <w:vAlign w:val="bottom"/>
            <w:hideMark/>
          </w:tcPr>
          <w:p w14:paraId="7B15991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99,30%</w:t>
            </w:r>
          </w:p>
        </w:tc>
      </w:tr>
      <w:tr w:rsidR="006967F8" w:rsidRPr="006967F8" w14:paraId="30ECE400" w14:textId="77777777" w:rsidTr="008A61B1">
        <w:trPr>
          <w:trHeight w:val="255"/>
        </w:trPr>
        <w:tc>
          <w:tcPr>
            <w:tcW w:w="1134" w:type="dxa"/>
            <w:tcBorders>
              <w:top w:val="nil"/>
              <w:left w:val="nil"/>
              <w:bottom w:val="nil"/>
              <w:right w:val="nil"/>
            </w:tcBorders>
            <w:noWrap/>
            <w:vAlign w:val="bottom"/>
            <w:hideMark/>
          </w:tcPr>
          <w:p w14:paraId="4563E44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4221</w:t>
            </w:r>
          </w:p>
        </w:tc>
        <w:tc>
          <w:tcPr>
            <w:tcW w:w="4962" w:type="dxa"/>
            <w:tcBorders>
              <w:top w:val="nil"/>
              <w:left w:val="nil"/>
              <w:bottom w:val="nil"/>
              <w:right w:val="nil"/>
            </w:tcBorders>
            <w:noWrap/>
            <w:vAlign w:val="bottom"/>
            <w:hideMark/>
          </w:tcPr>
          <w:p w14:paraId="243A290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Uredska oprema i namještaj</w:t>
            </w:r>
          </w:p>
        </w:tc>
        <w:tc>
          <w:tcPr>
            <w:tcW w:w="1559" w:type="dxa"/>
            <w:tcBorders>
              <w:top w:val="nil"/>
              <w:left w:val="nil"/>
              <w:bottom w:val="nil"/>
              <w:right w:val="nil"/>
            </w:tcBorders>
            <w:noWrap/>
            <w:vAlign w:val="bottom"/>
            <w:hideMark/>
          </w:tcPr>
          <w:p w14:paraId="6645B1B6"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ABF72BA"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DA11AB8"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2.972,65</w:t>
            </w:r>
          </w:p>
        </w:tc>
        <w:tc>
          <w:tcPr>
            <w:tcW w:w="993" w:type="dxa"/>
            <w:tcBorders>
              <w:top w:val="nil"/>
              <w:left w:val="nil"/>
              <w:bottom w:val="nil"/>
              <w:right w:val="nil"/>
            </w:tcBorders>
            <w:noWrap/>
            <w:vAlign w:val="bottom"/>
            <w:hideMark/>
          </w:tcPr>
          <w:p w14:paraId="688AD3D1"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87D4FCD" w14:textId="77777777" w:rsidTr="008A61B1">
        <w:trPr>
          <w:trHeight w:val="255"/>
        </w:trPr>
        <w:tc>
          <w:tcPr>
            <w:tcW w:w="1134" w:type="dxa"/>
            <w:tcBorders>
              <w:top w:val="nil"/>
              <w:left w:val="nil"/>
              <w:bottom w:val="nil"/>
              <w:right w:val="nil"/>
            </w:tcBorders>
            <w:noWrap/>
            <w:vAlign w:val="bottom"/>
            <w:hideMark/>
          </w:tcPr>
          <w:p w14:paraId="0AF39D2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4241</w:t>
            </w:r>
          </w:p>
        </w:tc>
        <w:tc>
          <w:tcPr>
            <w:tcW w:w="4962" w:type="dxa"/>
            <w:tcBorders>
              <w:top w:val="nil"/>
              <w:left w:val="nil"/>
              <w:bottom w:val="nil"/>
              <w:right w:val="nil"/>
            </w:tcBorders>
            <w:noWrap/>
            <w:vAlign w:val="bottom"/>
            <w:hideMark/>
          </w:tcPr>
          <w:p w14:paraId="3EDFDF9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Knjige</w:t>
            </w:r>
          </w:p>
        </w:tc>
        <w:tc>
          <w:tcPr>
            <w:tcW w:w="1559" w:type="dxa"/>
            <w:tcBorders>
              <w:top w:val="nil"/>
              <w:left w:val="nil"/>
              <w:bottom w:val="nil"/>
              <w:right w:val="nil"/>
            </w:tcBorders>
            <w:noWrap/>
            <w:vAlign w:val="bottom"/>
            <w:hideMark/>
          </w:tcPr>
          <w:p w14:paraId="2D928811"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97ABB95"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47B20F1"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191,03</w:t>
            </w:r>
          </w:p>
        </w:tc>
        <w:tc>
          <w:tcPr>
            <w:tcW w:w="993" w:type="dxa"/>
            <w:tcBorders>
              <w:top w:val="nil"/>
              <w:left w:val="nil"/>
              <w:bottom w:val="nil"/>
              <w:right w:val="nil"/>
            </w:tcBorders>
            <w:noWrap/>
            <w:vAlign w:val="bottom"/>
            <w:hideMark/>
          </w:tcPr>
          <w:p w14:paraId="22AB80EA"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49AEED7" w14:textId="77777777" w:rsidTr="008A61B1">
        <w:trPr>
          <w:trHeight w:val="255"/>
        </w:trPr>
        <w:tc>
          <w:tcPr>
            <w:tcW w:w="1134" w:type="dxa"/>
            <w:tcBorders>
              <w:top w:val="nil"/>
              <w:left w:val="nil"/>
              <w:bottom w:val="nil"/>
              <w:right w:val="nil"/>
            </w:tcBorders>
            <w:noWrap/>
            <w:vAlign w:val="bottom"/>
            <w:hideMark/>
          </w:tcPr>
          <w:p w14:paraId="6A6B273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4243</w:t>
            </w:r>
          </w:p>
        </w:tc>
        <w:tc>
          <w:tcPr>
            <w:tcW w:w="4962" w:type="dxa"/>
            <w:tcBorders>
              <w:top w:val="nil"/>
              <w:left w:val="nil"/>
              <w:bottom w:val="nil"/>
              <w:right w:val="nil"/>
            </w:tcBorders>
            <w:noWrap/>
            <w:vAlign w:val="bottom"/>
            <w:hideMark/>
          </w:tcPr>
          <w:p w14:paraId="2BCB53B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Muzejski izlošci i predmeti prirodnih rijetkosti</w:t>
            </w:r>
          </w:p>
        </w:tc>
        <w:tc>
          <w:tcPr>
            <w:tcW w:w="1559" w:type="dxa"/>
            <w:tcBorders>
              <w:top w:val="nil"/>
              <w:left w:val="nil"/>
              <w:bottom w:val="nil"/>
              <w:right w:val="nil"/>
            </w:tcBorders>
            <w:noWrap/>
            <w:vAlign w:val="bottom"/>
            <w:hideMark/>
          </w:tcPr>
          <w:p w14:paraId="3257C0A4"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B8624A6"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438E2AD"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2.000,00</w:t>
            </w:r>
          </w:p>
        </w:tc>
        <w:tc>
          <w:tcPr>
            <w:tcW w:w="993" w:type="dxa"/>
            <w:tcBorders>
              <w:top w:val="nil"/>
              <w:left w:val="nil"/>
              <w:bottom w:val="nil"/>
              <w:right w:val="nil"/>
            </w:tcBorders>
            <w:noWrap/>
            <w:vAlign w:val="bottom"/>
            <w:hideMark/>
          </w:tcPr>
          <w:p w14:paraId="655CCFC0"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80E433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6C96BC6"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3. VLASTITI PRIHODI</w:t>
            </w:r>
          </w:p>
        </w:tc>
        <w:tc>
          <w:tcPr>
            <w:tcW w:w="1559" w:type="dxa"/>
            <w:tcBorders>
              <w:top w:val="nil"/>
              <w:left w:val="nil"/>
              <w:bottom w:val="nil"/>
              <w:right w:val="nil"/>
            </w:tcBorders>
            <w:shd w:val="clear" w:color="000000" w:fill="CCCCFF"/>
            <w:noWrap/>
            <w:vAlign w:val="bottom"/>
            <w:hideMark/>
          </w:tcPr>
          <w:p w14:paraId="6838513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16.000,00</w:t>
            </w:r>
          </w:p>
        </w:tc>
        <w:tc>
          <w:tcPr>
            <w:tcW w:w="1559" w:type="dxa"/>
            <w:tcBorders>
              <w:top w:val="nil"/>
              <w:left w:val="nil"/>
              <w:bottom w:val="nil"/>
              <w:right w:val="nil"/>
            </w:tcBorders>
            <w:shd w:val="clear" w:color="000000" w:fill="CCCCFF"/>
            <w:noWrap/>
            <w:vAlign w:val="bottom"/>
            <w:hideMark/>
          </w:tcPr>
          <w:p w14:paraId="53906CF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16.000,00</w:t>
            </w:r>
          </w:p>
        </w:tc>
        <w:tc>
          <w:tcPr>
            <w:tcW w:w="1559" w:type="dxa"/>
            <w:tcBorders>
              <w:top w:val="nil"/>
              <w:left w:val="nil"/>
              <w:bottom w:val="nil"/>
              <w:right w:val="nil"/>
            </w:tcBorders>
            <w:shd w:val="clear" w:color="000000" w:fill="CCCCFF"/>
            <w:noWrap/>
            <w:vAlign w:val="bottom"/>
            <w:hideMark/>
          </w:tcPr>
          <w:p w14:paraId="66B2271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7.806,56</w:t>
            </w:r>
          </w:p>
        </w:tc>
        <w:tc>
          <w:tcPr>
            <w:tcW w:w="993" w:type="dxa"/>
            <w:tcBorders>
              <w:top w:val="nil"/>
              <w:left w:val="nil"/>
              <w:bottom w:val="nil"/>
              <w:right w:val="nil"/>
            </w:tcBorders>
            <w:shd w:val="clear" w:color="000000" w:fill="CCCCFF"/>
            <w:noWrap/>
            <w:vAlign w:val="bottom"/>
            <w:hideMark/>
          </w:tcPr>
          <w:p w14:paraId="5B92568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48,79%</w:t>
            </w:r>
          </w:p>
        </w:tc>
      </w:tr>
      <w:tr w:rsidR="006967F8" w:rsidRPr="006967F8" w14:paraId="5409E009"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635B4CD"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3.2. Vlastiti prihodi proračunskih korisnika</w:t>
            </w:r>
          </w:p>
        </w:tc>
        <w:tc>
          <w:tcPr>
            <w:tcW w:w="1559" w:type="dxa"/>
            <w:tcBorders>
              <w:top w:val="nil"/>
              <w:left w:val="nil"/>
              <w:bottom w:val="nil"/>
              <w:right w:val="nil"/>
            </w:tcBorders>
            <w:shd w:val="clear" w:color="000000" w:fill="CCCCFF"/>
            <w:noWrap/>
            <w:vAlign w:val="bottom"/>
            <w:hideMark/>
          </w:tcPr>
          <w:p w14:paraId="0566072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16.000,00</w:t>
            </w:r>
          </w:p>
        </w:tc>
        <w:tc>
          <w:tcPr>
            <w:tcW w:w="1559" w:type="dxa"/>
            <w:tcBorders>
              <w:top w:val="nil"/>
              <w:left w:val="nil"/>
              <w:bottom w:val="nil"/>
              <w:right w:val="nil"/>
            </w:tcBorders>
            <w:shd w:val="clear" w:color="000000" w:fill="CCCCFF"/>
            <w:noWrap/>
            <w:vAlign w:val="bottom"/>
            <w:hideMark/>
          </w:tcPr>
          <w:p w14:paraId="362DEFA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16.000,00</w:t>
            </w:r>
          </w:p>
        </w:tc>
        <w:tc>
          <w:tcPr>
            <w:tcW w:w="1559" w:type="dxa"/>
            <w:tcBorders>
              <w:top w:val="nil"/>
              <w:left w:val="nil"/>
              <w:bottom w:val="nil"/>
              <w:right w:val="nil"/>
            </w:tcBorders>
            <w:shd w:val="clear" w:color="000000" w:fill="CCCCFF"/>
            <w:noWrap/>
            <w:vAlign w:val="bottom"/>
            <w:hideMark/>
          </w:tcPr>
          <w:p w14:paraId="1B4F131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7.806,56</w:t>
            </w:r>
          </w:p>
        </w:tc>
        <w:tc>
          <w:tcPr>
            <w:tcW w:w="993" w:type="dxa"/>
            <w:tcBorders>
              <w:top w:val="nil"/>
              <w:left w:val="nil"/>
              <w:bottom w:val="nil"/>
              <w:right w:val="nil"/>
            </w:tcBorders>
            <w:shd w:val="clear" w:color="000000" w:fill="CCCCFF"/>
            <w:noWrap/>
            <w:vAlign w:val="bottom"/>
            <w:hideMark/>
          </w:tcPr>
          <w:p w14:paraId="439C08C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48,79%</w:t>
            </w:r>
          </w:p>
        </w:tc>
      </w:tr>
      <w:tr w:rsidR="006967F8" w:rsidRPr="006967F8" w14:paraId="3EC36581" w14:textId="77777777" w:rsidTr="008A61B1">
        <w:trPr>
          <w:trHeight w:val="255"/>
        </w:trPr>
        <w:tc>
          <w:tcPr>
            <w:tcW w:w="1134" w:type="dxa"/>
            <w:tcBorders>
              <w:top w:val="nil"/>
              <w:left w:val="nil"/>
              <w:bottom w:val="nil"/>
              <w:right w:val="nil"/>
            </w:tcBorders>
            <w:noWrap/>
            <w:vAlign w:val="bottom"/>
            <w:hideMark/>
          </w:tcPr>
          <w:p w14:paraId="19E48B0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31</w:t>
            </w:r>
          </w:p>
        </w:tc>
        <w:tc>
          <w:tcPr>
            <w:tcW w:w="4962" w:type="dxa"/>
            <w:tcBorders>
              <w:top w:val="nil"/>
              <w:left w:val="nil"/>
              <w:bottom w:val="nil"/>
              <w:right w:val="nil"/>
            </w:tcBorders>
            <w:noWrap/>
            <w:vAlign w:val="bottom"/>
            <w:hideMark/>
          </w:tcPr>
          <w:p w14:paraId="6FB5F8C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zaposlene</w:t>
            </w:r>
          </w:p>
        </w:tc>
        <w:tc>
          <w:tcPr>
            <w:tcW w:w="1559" w:type="dxa"/>
            <w:tcBorders>
              <w:top w:val="nil"/>
              <w:left w:val="nil"/>
              <w:bottom w:val="nil"/>
              <w:right w:val="nil"/>
            </w:tcBorders>
            <w:noWrap/>
            <w:vAlign w:val="bottom"/>
            <w:hideMark/>
          </w:tcPr>
          <w:p w14:paraId="33170DA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3.000,00</w:t>
            </w:r>
          </w:p>
        </w:tc>
        <w:tc>
          <w:tcPr>
            <w:tcW w:w="1559" w:type="dxa"/>
            <w:tcBorders>
              <w:top w:val="nil"/>
              <w:left w:val="nil"/>
              <w:bottom w:val="nil"/>
              <w:right w:val="nil"/>
            </w:tcBorders>
            <w:noWrap/>
            <w:vAlign w:val="bottom"/>
            <w:hideMark/>
          </w:tcPr>
          <w:p w14:paraId="1674255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3.000,00</w:t>
            </w:r>
          </w:p>
        </w:tc>
        <w:tc>
          <w:tcPr>
            <w:tcW w:w="1559" w:type="dxa"/>
            <w:tcBorders>
              <w:top w:val="nil"/>
              <w:left w:val="nil"/>
              <w:bottom w:val="nil"/>
              <w:right w:val="nil"/>
            </w:tcBorders>
            <w:noWrap/>
            <w:vAlign w:val="bottom"/>
            <w:hideMark/>
          </w:tcPr>
          <w:p w14:paraId="00C8B09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900,00</w:t>
            </w:r>
          </w:p>
        </w:tc>
        <w:tc>
          <w:tcPr>
            <w:tcW w:w="993" w:type="dxa"/>
            <w:tcBorders>
              <w:top w:val="nil"/>
              <w:left w:val="nil"/>
              <w:bottom w:val="nil"/>
              <w:right w:val="nil"/>
            </w:tcBorders>
            <w:noWrap/>
            <w:vAlign w:val="bottom"/>
            <w:hideMark/>
          </w:tcPr>
          <w:p w14:paraId="2E2AE5E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30,00%</w:t>
            </w:r>
          </w:p>
        </w:tc>
      </w:tr>
      <w:tr w:rsidR="006967F8" w:rsidRPr="006967F8" w14:paraId="0D5EDCC8" w14:textId="77777777" w:rsidTr="008A61B1">
        <w:trPr>
          <w:trHeight w:val="255"/>
        </w:trPr>
        <w:tc>
          <w:tcPr>
            <w:tcW w:w="1134" w:type="dxa"/>
            <w:tcBorders>
              <w:top w:val="nil"/>
              <w:left w:val="nil"/>
              <w:bottom w:val="nil"/>
              <w:right w:val="nil"/>
            </w:tcBorders>
            <w:noWrap/>
            <w:vAlign w:val="bottom"/>
            <w:hideMark/>
          </w:tcPr>
          <w:p w14:paraId="6919D1E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3121</w:t>
            </w:r>
          </w:p>
        </w:tc>
        <w:tc>
          <w:tcPr>
            <w:tcW w:w="4962" w:type="dxa"/>
            <w:tcBorders>
              <w:top w:val="nil"/>
              <w:left w:val="nil"/>
              <w:bottom w:val="nil"/>
              <w:right w:val="nil"/>
            </w:tcBorders>
            <w:noWrap/>
            <w:vAlign w:val="bottom"/>
            <w:hideMark/>
          </w:tcPr>
          <w:p w14:paraId="1E9575F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rashodi za zaposlene</w:t>
            </w:r>
          </w:p>
        </w:tc>
        <w:tc>
          <w:tcPr>
            <w:tcW w:w="1559" w:type="dxa"/>
            <w:tcBorders>
              <w:top w:val="nil"/>
              <w:left w:val="nil"/>
              <w:bottom w:val="nil"/>
              <w:right w:val="nil"/>
            </w:tcBorders>
            <w:noWrap/>
            <w:vAlign w:val="bottom"/>
            <w:hideMark/>
          </w:tcPr>
          <w:p w14:paraId="66DB344F"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272A1A8"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2B04D2D"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900,00</w:t>
            </w:r>
          </w:p>
        </w:tc>
        <w:tc>
          <w:tcPr>
            <w:tcW w:w="993" w:type="dxa"/>
            <w:tcBorders>
              <w:top w:val="nil"/>
              <w:left w:val="nil"/>
              <w:bottom w:val="nil"/>
              <w:right w:val="nil"/>
            </w:tcBorders>
            <w:noWrap/>
            <w:vAlign w:val="bottom"/>
            <w:hideMark/>
          </w:tcPr>
          <w:p w14:paraId="408D7218"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7FEDE46" w14:textId="77777777" w:rsidTr="008A61B1">
        <w:trPr>
          <w:trHeight w:val="255"/>
        </w:trPr>
        <w:tc>
          <w:tcPr>
            <w:tcW w:w="1134" w:type="dxa"/>
            <w:tcBorders>
              <w:top w:val="nil"/>
              <w:left w:val="nil"/>
              <w:bottom w:val="nil"/>
              <w:right w:val="nil"/>
            </w:tcBorders>
            <w:noWrap/>
            <w:vAlign w:val="bottom"/>
            <w:hideMark/>
          </w:tcPr>
          <w:p w14:paraId="0B489D3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7BC4993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40373A2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13.000,00</w:t>
            </w:r>
          </w:p>
        </w:tc>
        <w:tc>
          <w:tcPr>
            <w:tcW w:w="1559" w:type="dxa"/>
            <w:tcBorders>
              <w:top w:val="nil"/>
              <w:left w:val="nil"/>
              <w:bottom w:val="nil"/>
              <w:right w:val="nil"/>
            </w:tcBorders>
            <w:noWrap/>
            <w:vAlign w:val="bottom"/>
            <w:hideMark/>
          </w:tcPr>
          <w:p w14:paraId="21BE122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13.000,00</w:t>
            </w:r>
          </w:p>
        </w:tc>
        <w:tc>
          <w:tcPr>
            <w:tcW w:w="1559" w:type="dxa"/>
            <w:tcBorders>
              <w:top w:val="nil"/>
              <w:left w:val="nil"/>
              <w:bottom w:val="nil"/>
              <w:right w:val="nil"/>
            </w:tcBorders>
            <w:noWrap/>
            <w:vAlign w:val="bottom"/>
            <w:hideMark/>
          </w:tcPr>
          <w:p w14:paraId="13CA456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6.906,56</w:t>
            </w:r>
          </w:p>
        </w:tc>
        <w:tc>
          <w:tcPr>
            <w:tcW w:w="993" w:type="dxa"/>
            <w:tcBorders>
              <w:top w:val="nil"/>
              <w:left w:val="nil"/>
              <w:bottom w:val="nil"/>
              <w:right w:val="nil"/>
            </w:tcBorders>
            <w:noWrap/>
            <w:vAlign w:val="bottom"/>
            <w:hideMark/>
          </w:tcPr>
          <w:p w14:paraId="51D5F40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53,13%</w:t>
            </w:r>
          </w:p>
        </w:tc>
      </w:tr>
      <w:tr w:rsidR="006967F8" w:rsidRPr="006967F8" w14:paraId="12ABFD4B" w14:textId="77777777" w:rsidTr="008A61B1">
        <w:trPr>
          <w:trHeight w:val="255"/>
        </w:trPr>
        <w:tc>
          <w:tcPr>
            <w:tcW w:w="1134" w:type="dxa"/>
            <w:tcBorders>
              <w:top w:val="nil"/>
              <w:left w:val="nil"/>
              <w:bottom w:val="nil"/>
              <w:right w:val="nil"/>
            </w:tcBorders>
            <w:noWrap/>
            <w:vAlign w:val="bottom"/>
            <w:hideMark/>
          </w:tcPr>
          <w:p w14:paraId="27A1EC5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3211</w:t>
            </w:r>
          </w:p>
        </w:tc>
        <w:tc>
          <w:tcPr>
            <w:tcW w:w="4962" w:type="dxa"/>
            <w:tcBorders>
              <w:top w:val="nil"/>
              <w:left w:val="nil"/>
              <w:bottom w:val="nil"/>
              <w:right w:val="nil"/>
            </w:tcBorders>
            <w:noWrap/>
            <w:vAlign w:val="bottom"/>
            <w:hideMark/>
          </w:tcPr>
          <w:p w14:paraId="09F46EF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Službena putovanja</w:t>
            </w:r>
          </w:p>
        </w:tc>
        <w:tc>
          <w:tcPr>
            <w:tcW w:w="1559" w:type="dxa"/>
            <w:tcBorders>
              <w:top w:val="nil"/>
              <w:left w:val="nil"/>
              <w:bottom w:val="nil"/>
              <w:right w:val="nil"/>
            </w:tcBorders>
            <w:noWrap/>
            <w:vAlign w:val="bottom"/>
            <w:hideMark/>
          </w:tcPr>
          <w:p w14:paraId="0151DDC4"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CB54820"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19CB5A4"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988,60</w:t>
            </w:r>
          </w:p>
        </w:tc>
        <w:tc>
          <w:tcPr>
            <w:tcW w:w="993" w:type="dxa"/>
            <w:tcBorders>
              <w:top w:val="nil"/>
              <w:left w:val="nil"/>
              <w:bottom w:val="nil"/>
              <w:right w:val="nil"/>
            </w:tcBorders>
            <w:noWrap/>
            <w:vAlign w:val="bottom"/>
            <w:hideMark/>
          </w:tcPr>
          <w:p w14:paraId="43F1147E"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FC95668" w14:textId="77777777" w:rsidTr="008A61B1">
        <w:trPr>
          <w:trHeight w:val="255"/>
        </w:trPr>
        <w:tc>
          <w:tcPr>
            <w:tcW w:w="1134" w:type="dxa"/>
            <w:tcBorders>
              <w:top w:val="nil"/>
              <w:left w:val="nil"/>
              <w:bottom w:val="nil"/>
              <w:right w:val="nil"/>
            </w:tcBorders>
            <w:noWrap/>
            <w:vAlign w:val="bottom"/>
            <w:hideMark/>
          </w:tcPr>
          <w:p w14:paraId="6B20DFB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3233</w:t>
            </w:r>
          </w:p>
        </w:tc>
        <w:tc>
          <w:tcPr>
            <w:tcW w:w="4962" w:type="dxa"/>
            <w:tcBorders>
              <w:top w:val="nil"/>
              <w:left w:val="nil"/>
              <w:bottom w:val="nil"/>
              <w:right w:val="nil"/>
            </w:tcBorders>
            <w:noWrap/>
            <w:vAlign w:val="bottom"/>
            <w:hideMark/>
          </w:tcPr>
          <w:p w14:paraId="6733558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promidžbe i informiranja</w:t>
            </w:r>
          </w:p>
        </w:tc>
        <w:tc>
          <w:tcPr>
            <w:tcW w:w="1559" w:type="dxa"/>
            <w:tcBorders>
              <w:top w:val="nil"/>
              <w:left w:val="nil"/>
              <w:bottom w:val="nil"/>
              <w:right w:val="nil"/>
            </w:tcBorders>
            <w:noWrap/>
            <w:vAlign w:val="bottom"/>
            <w:hideMark/>
          </w:tcPr>
          <w:p w14:paraId="37652B88"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F43D42D"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82F9F09"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1.000,00</w:t>
            </w:r>
          </w:p>
        </w:tc>
        <w:tc>
          <w:tcPr>
            <w:tcW w:w="993" w:type="dxa"/>
            <w:tcBorders>
              <w:top w:val="nil"/>
              <w:left w:val="nil"/>
              <w:bottom w:val="nil"/>
              <w:right w:val="nil"/>
            </w:tcBorders>
            <w:noWrap/>
            <w:vAlign w:val="bottom"/>
            <w:hideMark/>
          </w:tcPr>
          <w:p w14:paraId="45F4EA3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ED031EB" w14:textId="77777777" w:rsidTr="008A61B1">
        <w:trPr>
          <w:trHeight w:val="255"/>
        </w:trPr>
        <w:tc>
          <w:tcPr>
            <w:tcW w:w="1134" w:type="dxa"/>
            <w:tcBorders>
              <w:top w:val="nil"/>
              <w:left w:val="nil"/>
              <w:bottom w:val="nil"/>
              <w:right w:val="nil"/>
            </w:tcBorders>
            <w:noWrap/>
            <w:vAlign w:val="bottom"/>
            <w:hideMark/>
          </w:tcPr>
          <w:p w14:paraId="4A04B03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lastRenderedPageBreak/>
              <w:t>3237</w:t>
            </w:r>
          </w:p>
        </w:tc>
        <w:tc>
          <w:tcPr>
            <w:tcW w:w="4962" w:type="dxa"/>
            <w:tcBorders>
              <w:top w:val="nil"/>
              <w:left w:val="nil"/>
              <w:bottom w:val="nil"/>
              <w:right w:val="nil"/>
            </w:tcBorders>
            <w:noWrap/>
            <w:vAlign w:val="bottom"/>
            <w:hideMark/>
          </w:tcPr>
          <w:p w14:paraId="30EA19E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Intelektualne i osobne usluge</w:t>
            </w:r>
          </w:p>
        </w:tc>
        <w:tc>
          <w:tcPr>
            <w:tcW w:w="1559" w:type="dxa"/>
            <w:tcBorders>
              <w:top w:val="nil"/>
              <w:left w:val="nil"/>
              <w:bottom w:val="nil"/>
              <w:right w:val="nil"/>
            </w:tcBorders>
            <w:noWrap/>
            <w:vAlign w:val="bottom"/>
            <w:hideMark/>
          </w:tcPr>
          <w:p w14:paraId="1FF0BBE4"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164CECD"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35E786C"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800,00</w:t>
            </w:r>
          </w:p>
        </w:tc>
        <w:tc>
          <w:tcPr>
            <w:tcW w:w="993" w:type="dxa"/>
            <w:tcBorders>
              <w:top w:val="nil"/>
              <w:left w:val="nil"/>
              <w:bottom w:val="nil"/>
              <w:right w:val="nil"/>
            </w:tcBorders>
            <w:noWrap/>
            <w:vAlign w:val="bottom"/>
            <w:hideMark/>
          </w:tcPr>
          <w:p w14:paraId="1A3E9B15"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F4F8C87" w14:textId="77777777" w:rsidTr="008A61B1">
        <w:trPr>
          <w:trHeight w:val="540"/>
        </w:trPr>
        <w:tc>
          <w:tcPr>
            <w:tcW w:w="1134" w:type="dxa"/>
            <w:tcBorders>
              <w:top w:val="nil"/>
              <w:left w:val="nil"/>
              <w:bottom w:val="nil"/>
              <w:right w:val="nil"/>
            </w:tcBorders>
            <w:noWrap/>
            <w:vAlign w:val="bottom"/>
            <w:hideMark/>
          </w:tcPr>
          <w:p w14:paraId="4417F48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3291</w:t>
            </w:r>
          </w:p>
        </w:tc>
        <w:tc>
          <w:tcPr>
            <w:tcW w:w="4962" w:type="dxa"/>
            <w:tcBorders>
              <w:top w:val="nil"/>
              <w:left w:val="nil"/>
              <w:bottom w:val="nil"/>
              <w:right w:val="nil"/>
            </w:tcBorders>
            <w:vAlign w:val="bottom"/>
            <w:hideMark/>
          </w:tcPr>
          <w:p w14:paraId="660D28D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Naknade za rad predstavničkih i izvršnih tijela, povjerenstava i slično</w:t>
            </w:r>
          </w:p>
        </w:tc>
        <w:tc>
          <w:tcPr>
            <w:tcW w:w="1559" w:type="dxa"/>
            <w:tcBorders>
              <w:top w:val="nil"/>
              <w:left w:val="nil"/>
              <w:bottom w:val="nil"/>
              <w:right w:val="nil"/>
            </w:tcBorders>
            <w:noWrap/>
            <w:vAlign w:val="bottom"/>
            <w:hideMark/>
          </w:tcPr>
          <w:p w14:paraId="21E40690"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3DC88F8"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E7F76F2"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2.904,86</w:t>
            </w:r>
          </w:p>
        </w:tc>
        <w:tc>
          <w:tcPr>
            <w:tcW w:w="993" w:type="dxa"/>
            <w:tcBorders>
              <w:top w:val="nil"/>
              <w:left w:val="nil"/>
              <w:bottom w:val="nil"/>
              <w:right w:val="nil"/>
            </w:tcBorders>
            <w:noWrap/>
            <w:vAlign w:val="bottom"/>
            <w:hideMark/>
          </w:tcPr>
          <w:p w14:paraId="7B030E7B"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54BC757" w14:textId="77777777" w:rsidTr="008A61B1">
        <w:trPr>
          <w:trHeight w:val="255"/>
        </w:trPr>
        <w:tc>
          <w:tcPr>
            <w:tcW w:w="1134" w:type="dxa"/>
            <w:tcBorders>
              <w:top w:val="nil"/>
              <w:left w:val="nil"/>
              <w:bottom w:val="nil"/>
              <w:right w:val="nil"/>
            </w:tcBorders>
            <w:noWrap/>
            <w:vAlign w:val="bottom"/>
            <w:hideMark/>
          </w:tcPr>
          <w:p w14:paraId="69CEFD0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3293</w:t>
            </w:r>
          </w:p>
        </w:tc>
        <w:tc>
          <w:tcPr>
            <w:tcW w:w="4962" w:type="dxa"/>
            <w:tcBorders>
              <w:top w:val="nil"/>
              <w:left w:val="nil"/>
              <w:bottom w:val="nil"/>
              <w:right w:val="nil"/>
            </w:tcBorders>
            <w:noWrap/>
            <w:vAlign w:val="bottom"/>
            <w:hideMark/>
          </w:tcPr>
          <w:p w14:paraId="44CD8AD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Reprezentacija</w:t>
            </w:r>
          </w:p>
        </w:tc>
        <w:tc>
          <w:tcPr>
            <w:tcW w:w="1559" w:type="dxa"/>
            <w:tcBorders>
              <w:top w:val="nil"/>
              <w:left w:val="nil"/>
              <w:bottom w:val="nil"/>
              <w:right w:val="nil"/>
            </w:tcBorders>
            <w:noWrap/>
            <w:vAlign w:val="bottom"/>
            <w:hideMark/>
          </w:tcPr>
          <w:p w14:paraId="1C538A9C"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BF940DD"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43A2EFC"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1.213,10</w:t>
            </w:r>
          </w:p>
        </w:tc>
        <w:tc>
          <w:tcPr>
            <w:tcW w:w="993" w:type="dxa"/>
            <w:tcBorders>
              <w:top w:val="nil"/>
              <w:left w:val="nil"/>
              <w:bottom w:val="nil"/>
              <w:right w:val="nil"/>
            </w:tcBorders>
            <w:noWrap/>
            <w:vAlign w:val="bottom"/>
            <w:hideMark/>
          </w:tcPr>
          <w:p w14:paraId="37294513"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CDD8D37"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72B1B7E"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6. DONACIJE</w:t>
            </w:r>
          </w:p>
        </w:tc>
        <w:tc>
          <w:tcPr>
            <w:tcW w:w="1559" w:type="dxa"/>
            <w:tcBorders>
              <w:top w:val="nil"/>
              <w:left w:val="nil"/>
              <w:bottom w:val="nil"/>
              <w:right w:val="nil"/>
            </w:tcBorders>
            <w:shd w:val="clear" w:color="000000" w:fill="CCCCFF"/>
            <w:noWrap/>
            <w:vAlign w:val="bottom"/>
            <w:hideMark/>
          </w:tcPr>
          <w:p w14:paraId="1BCA5DC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2.600,00</w:t>
            </w:r>
          </w:p>
        </w:tc>
        <w:tc>
          <w:tcPr>
            <w:tcW w:w="1559" w:type="dxa"/>
            <w:tcBorders>
              <w:top w:val="nil"/>
              <w:left w:val="nil"/>
              <w:bottom w:val="nil"/>
              <w:right w:val="nil"/>
            </w:tcBorders>
            <w:shd w:val="clear" w:color="000000" w:fill="CCCCFF"/>
            <w:noWrap/>
            <w:vAlign w:val="bottom"/>
            <w:hideMark/>
          </w:tcPr>
          <w:p w14:paraId="3D7D880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2.600,00</w:t>
            </w:r>
          </w:p>
        </w:tc>
        <w:tc>
          <w:tcPr>
            <w:tcW w:w="1559" w:type="dxa"/>
            <w:tcBorders>
              <w:top w:val="nil"/>
              <w:left w:val="nil"/>
              <w:bottom w:val="nil"/>
              <w:right w:val="nil"/>
            </w:tcBorders>
            <w:shd w:val="clear" w:color="000000" w:fill="CCCCFF"/>
            <w:noWrap/>
            <w:vAlign w:val="bottom"/>
            <w:hideMark/>
          </w:tcPr>
          <w:p w14:paraId="13D8F08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438,00</w:t>
            </w:r>
          </w:p>
        </w:tc>
        <w:tc>
          <w:tcPr>
            <w:tcW w:w="993" w:type="dxa"/>
            <w:tcBorders>
              <w:top w:val="nil"/>
              <w:left w:val="nil"/>
              <w:bottom w:val="nil"/>
              <w:right w:val="nil"/>
            </w:tcBorders>
            <w:shd w:val="clear" w:color="000000" w:fill="CCCCFF"/>
            <w:noWrap/>
            <w:vAlign w:val="bottom"/>
            <w:hideMark/>
          </w:tcPr>
          <w:p w14:paraId="04903F6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16,85%</w:t>
            </w:r>
          </w:p>
        </w:tc>
      </w:tr>
      <w:tr w:rsidR="006967F8" w:rsidRPr="006967F8" w14:paraId="7A8F428E"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A7F4A4D"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6.2. Donacije proračunskih korisnika</w:t>
            </w:r>
          </w:p>
        </w:tc>
        <w:tc>
          <w:tcPr>
            <w:tcW w:w="1559" w:type="dxa"/>
            <w:tcBorders>
              <w:top w:val="nil"/>
              <w:left w:val="nil"/>
              <w:bottom w:val="nil"/>
              <w:right w:val="nil"/>
            </w:tcBorders>
            <w:shd w:val="clear" w:color="000000" w:fill="CCCCFF"/>
            <w:noWrap/>
            <w:vAlign w:val="bottom"/>
            <w:hideMark/>
          </w:tcPr>
          <w:p w14:paraId="1052453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2.600,00</w:t>
            </w:r>
          </w:p>
        </w:tc>
        <w:tc>
          <w:tcPr>
            <w:tcW w:w="1559" w:type="dxa"/>
            <w:tcBorders>
              <w:top w:val="nil"/>
              <w:left w:val="nil"/>
              <w:bottom w:val="nil"/>
              <w:right w:val="nil"/>
            </w:tcBorders>
            <w:shd w:val="clear" w:color="000000" w:fill="CCCCFF"/>
            <w:noWrap/>
            <w:vAlign w:val="bottom"/>
            <w:hideMark/>
          </w:tcPr>
          <w:p w14:paraId="3F360F4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2.600,00</w:t>
            </w:r>
          </w:p>
        </w:tc>
        <w:tc>
          <w:tcPr>
            <w:tcW w:w="1559" w:type="dxa"/>
            <w:tcBorders>
              <w:top w:val="nil"/>
              <w:left w:val="nil"/>
              <w:bottom w:val="nil"/>
              <w:right w:val="nil"/>
            </w:tcBorders>
            <w:shd w:val="clear" w:color="000000" w:fill="CCCCFF"/>
            <w:noWrap/>
            <w:vAlign w:val="bottom"/>
            <w:hideMark/>
          </w:tcPr>
          <w:p w14:paraId="17F49E1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438,00</w:t>
            </w:r>
          </w:p>
        </w:tc>
        <w:tc>
          <w:tcPr>
            <w:tcW w:w="993" w:type="dxa"/>
            <w:tcBorders>
              <w:top w:val="nil"/>
              <w:left w:val="nil"/>
              <w:bottom w:val="nil"/>
              <w:right w:val="nil"/>
            </w:tcBorders>
            <w:shd w:val="clear" w:color="000000" w:fill="CCCCFF"/>
            <w:noWrap/>
            <w:vAlign w:val="bottom"/>
            <w:hideMark/>
          </w:tcPr>
          <w:p w14:paraId="1E60970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16,85%</w:t>
            </w:r>
          </w:p>
        </w:tc>
      </w:tr>
      <w:tr w:rsidR="006967F8" w:rsidRPr="006967F8" w14:paraId="54F6BF94" w14:textId="77777777" w:rsidTr="008A61B1">
        <w:trPr>
          <w:trHeight w:val="510"/>
        </w:trPr>
        <w:tc>
          <w:tcPr>
            <w:tcW w:w="1134" w:type="dxa"/>
            <w:tcBorders>
              <w:top w:val="nil"/>
              <w:left w:val="nil"/>
              <w:bottom w:val="nil"/>
              <w:right w:val="nil"/>
            </w:tcBorders>
            <w:noWrap/>
            <w:vAlign w:val="bottom"/>
            <w:hideMark/>
          </w:tcPr>
          <w:p w14:paraId="64F93F5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48FED87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73C36FD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2.600,00</w:t>
            </w:r>
          </w:p>
        </w:tc>
        <w:tc>
          <w:tcPr>
            <w:tcW w:w="1559" w:type="dxa"/>
            <w:tcBorders>
              <w:top w:val="nil"/>
              <w:left w:val="nil"/>
              <w:bottom w:val="nil"/>
              <w:right w:val="nil"/>
            </w:tcBorders>
            <w:noWrap/>
            <w:vAlign w:val="bottom"/>
            <w:hideMark/>
          </w:tcPr>
          <w:p w14:paraId="2BA5D1A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2.600,00</w:t>
            </w:r>
          </w:p>
        </w:tc>
        <w:tc>
          <w:tcPr>
            <w:tcW w:w="1559" w:type="dxa"/>
            <w:tcBorders>
              <w:top w:val="nil"/>
              <w:left w:val="nil"/>
              <w:bottom w:val="nil"/>
              <w:right w:val="nil"/>
            </w:tcBorders>
            <w:noWrap/>
            <w:vAlign w:val="bottom"/>
            <w:hideMark/>
          </w:tcPr>
          <w:p w14:paraId="136827E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438,00</w:t>
            </w:r>
          </w:p>
        </w:tc>
        <w:tc>
          <w:tcPr>
            <w:tcW w:w="993" w:type="dxa"/>
            <w:tcBorders>
              <w:top w:val="nil"/>
              <w:left w:val="nil"/>
              <w:bottom w:val="nil"/>
              <w:right w:val="nil"/>
            </w:tcBorders>
            <w:noWrap/>
            <w:vAlign w:val="bottom"/>
            <w:hideMark/>
          </w:tcPr>
          <w:p w14:paraId="1DD023B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16,85%</w:t>
            </w:r>
          </w:p>
        </w:tc>
      </w:tr>
      <w:tr w:rsidR="006967F8" w:rsidRPr="006967F8" w14:paraId="29311463" w14:textId="77777777" w:rsidTr="008A61B1">
        <w:trPr>
          <w:trHeight w:val="255"/>
        </w:trPr>
        <w:tc>
          <w:tcPr>
            <w:tcW w:w="1134" w:type="dxa"/>
            <w:tcBorders>
              <w:top w:val="nil"/>
              <w:left w:val="nil"/>
              <w:bottom w:val="nil"/>
              <w:right w:val="nil"/>
            </w:tcBorders>
            <w:noWrap/>
            <w:vAlign w:val="bottom"/>
            <w:hideMark/>
          </w:tcPr>
          <w:p w14:paraId="19206F0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4241</w:t>
            </w:r>
          </w:p>
        </w:tc>
        <w:tc>
          <w:tcPr>
            <w:tcW w:w="4962" w:type="dxa"/>
            <w:tcBorders>
              <w:top w:val="nil"/>
              <w:left w:val="nil"/>
              <w:bottom w:val="nil"/>
              <w:right w:val="nil"/>
            </w:tcBorders>
            <w:noWrap/>
            <w:vAlign w:val="bottom"/>
            <w:hideMark/>
          </w:tcPr>
          <w:p w14:paraId="0C50265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Knjige</w:t>
            </w:r>
          </w:p>
        </w:tc>
        <w:tc>
          <w:tcPr>
            <w:tcW w:w="1559" w:type="dxa"/>
            <w:tcBorders>
              <w:top w:val="nil"/>
              <w:left w:val="nil"/>
              <w:bottom w:val="nil"/>
              <w:right w:val="nil"/>
            </w:tcBorders>
            <w:noWrap/>
            <w:vAlign w:val="bottom"/>
            <w:hideMark/>
          </w:tcPr>
          <w:p w14:paraId="79DC171E"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B6FE498"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EA15716"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438,00</w:t>
            </w:r>
          </w:p>
        </w:tc>
        <w:tc>
          <w:tcPr>
            <w:tcW w:w="993" w:type="dxa"/>
            <w:tcBorders>
              <w:top w:val="nil"/>
              <w:left w:val="nil"/>
              <w:bottom w:val="nil"/>
              <w:right w:val="nil"/>
            </w:tcBorders>
            <w:noWrap/>
            <w:vAlign w:val="bottom"/>
            <w:hideMark/>
          </w:tcPr>
          <w:p w14:paraId="6E96C5D9"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6D03EA1" w14:textId="77777777" w:rsidTr="008A61B1">
        <w:trPr>
          <w:trHeight w:val="510"/>
        </w:trPr>
        <w:tc>
          <w:tcPr>
            <w:tcW w:w="6096" w:type="dxa"/>
            <w:gridSpan w:val="2"/>
            <w:tcBorders>
              <w:top w:val="nil"/>
              <w:left w:val="nil"/>
              <w:bottom w:val="nil"/>
              <w:right w:val="nil"/>
            </w:tcBorders>
            <w:shd w:val="clear" w:color="000000" w:fill="FFFF99"/>
            <w:vAlign w:val="bottom"/>
            <w:hideMark/>
          </w:tcPr>
          <w:p w14:paraId="5AE7EBD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A100020 Aktivnost: PROVOĐENJE MJERA AKTIVNE POLITIKE ZAPOŠLJAVANJA</w:t>
            </w:r>
          </w:p>
        </w:tc>
        <w:tc>
          <w:tcPr>
            <w:tcW w:w="1559" w:type="dxa"/>
            <w:tcBorders>
              <w:top w:val="nil"/>
              <w:left w:val="nil"/>
              <w:bottom w:val="nil"/>
              <w:right w:val="nil"/>
            </w:tcBorders>
            <w:shd w:val="clear" w:color="000000" w:fill="FFFF99"/>
            <w:noWrap/>
            <w:vAlign w:val="bottom"/>
            <w:hideMark/>
          </w:tcPr>
          <w:p w14:paraId="0E50453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2.200,00</w:t>
            </w:r>
          </w:p>
        </w:tc>
        <w:tc>
          <w:tcPr>
            <w:tcW w:w="1559" w:type="dxa"/>
            <w:tcBorders>
              <w:top w:val="nil"/>
              <w:left w:val="nil"/>
              <w:bottom w:val="nil"/>
              <w:right w:val="nil"/>
            </w:tcBorders>
            <w:shd w:val="clear" w:color="000000" w:fill="FFFF99"/>
            <w:noWrap/>
            <w:vAlign w:val="bottom"/>
            <w:hideMark/>
          </w:tcPr>
          <w:p w14:paraId="387C373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2.200,00</w:t>
            </w:r>
          </w:p>
        </w:tc>
        <w:tc>
          <w:tcPr>
            <w:tcW w:w="1559" w:type="dxa"/>
            <w:tcBorders>
              <w:top w:val="nil"/>
              <w:left w:val="nil"/>
              <w:bottom w:val="nil"/>
              <w:right w:val="nil"/>
            </w:tcBorders>
            <w:shd w:val="clear" w:color="000000" w:fill="FFFF99"/>
            <w:noWrap/>
            <w:vAlign w:val="bottom"/>
            <w:hideMark/>
          </w:tcPr>
          <w:p w14:paraId="105EB92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1.344,59</w:t>
            </w:r>
          </w:p>
        </w:tc>
        <w:tc>
          <w:tcPr>
            <w:tcW w:w="993" w:type="dxa"/>
            <w:tcBorders>
              <w:top w:val="nil"/>
              <w:left w:val="nil"/>
              <w:bottom w:val="nil"/>
              <w:right w:val="nil"/>
            </w:tcBorders>
            <w:shd w:val="clear" w:color="000000" w:fill="FFFF99"/>
            <w:noWrap/>
            <w:vAlign w:val="bottom"/>
            <w:hideMark/>
          </w:tcPr>
          <w:p w14:paraId="1CF10EC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61,12%</w:t>
            </w:r>
          </w:p>
        </w:tc>
      </w:tr>
      <w:tr w:rsidR="006967F8" w:rsidRPr="006967F8" w14:paraId="005A4E7F"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DFFA6FD"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33B6257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2.200,00</w:t>
            </w:r>
          </w:p>
        </w:tc>
        <w:tc>
          <w:tcPr>
            <w:tcW w:w="1559" w:type="dxa"/>
            <w:tcBorders>
              <w:top w:val="nil"/>
              <w:left w:val="nil"/>
              <w:bottom w:val="nil"/>
              <w:right w:val="nil"/>
            </w:tcBorders>
            <w:shd w:val="clear" w:color="000000" w:fill="CCCCFF"/>
            <w:noWrap/>
            <w:vAlign w:val="bottom"/>
            <w:hideMark/>
          </w:tcPr>
          <w:p w14:paraId="6DC7C26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2.200,00</w:t>
            </w:r>
          </w:p>
        </w:tc>
        <w:tc>
          <w:tcPr>
            <w:tcW w:w="1559" w:type="dxa"/>
            <w:tcBorders>
              <w:top w:val="nil"/>
              <w:left w:val="nil"/>
              <w:bottom w:val="nil"/>
              <w:right w:val="nil"/>
            </w:tcBorders>
            <w:shd w:val="clear" w:color="000000" w:fill="CCCCFF"/>
            <w:noWrap/>
            <w:vAlign w:val="bottom"/>
            <w:hideMark/>
          </w:tcPr>
          <w:p w14:paraId="237A05D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1.344,59</w:t>
            </w:r>
          </w:p>
        </w:tc>
        <w:tc>
          <w:tcPr>
            <w:tcW w:w="993" w:type="dxa"/>
            <w:tcBorders>
              <w:top w:val="nil"/>
              <w:left w:val="nil"/>
              <w:bottom w:val="nil"/>
              <w:right w:val="nil"/>
            </w:tcBorders>
            <w:shd w:val="clear" w:color="000000" w:fill="CCCCFF"/>
            <w:noWrap/>
            <w:vAlign w:val="bottom"/>
            <w:hideMark/>
          </w:tcPr>
          <w:p w14:paraId="1B3FF9A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61,12%</w:t>
            </w:r>
          </w:p>
        </w:tc>
      </w:tr>
      <w:tr w:rsidR="006967F8" w:rsidRPr="006967F8" w14:paraId="6E266A21"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3822027"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5.5. Ostale pomoći  proračunskih korisnika</w:t>
            </w:r>
          </w:p>
        </w:tc>
        <w:tc>
          <w:tcPr>
            <w:tcW w:w="1559" w:type="dxa"/>
            <w:tcBorders>
              <w:top w:val="nil"/>
              <w:left w:val="nil"/>
              <w:bottom w:val="nil"/>
              <w:right w:val="nil"/>
            </w:tcBorders>
            <w:shd w:val="clear" w:color="000000" w:fill="CCCCFF"/>
            <w:noWrap/>
            <w:vAlign w:val="bottom"/>
            <w:hideMark/>
          </w:tcPr>
          <w:p w14:paraId="52182C9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2.200,00</w:t>
            </w:r>
          </w:p>
        </w:tc>
        <w:tc>
          <w:tcPr>
            <w:tcW w:w="1559" w:type="dxa"/>
            <w:tcBorders>
              <w:top w:val="nil"/>
              <w:left w:val="nil"/>
              <w:bottom w:val="nil"/>
              <w:right w:val="nil"/>
            </w:tcBorders>
            <w:shd w:val="clear" w:color="000000" w:fill="CCCCFF"/>
            <w:noWrap/>
            <w:vAlign w:val="bottom"/>
            <w:hideMark/>
          </w:tcPr>
          <w:p w14:paraId="0474975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2.200,00</w:t>
            </w:r>
          </w:p>
        </w:tc>
        <w:tc>
          <w:tcPr>
            <w:tcW w:w="1559" w:type="dxa"/>
            <w:tcBorders>
              <w:top w:val="nil"/>
              <w:left w:val="nil"/>
              <w:bottom w:val="nil"/>
              <w:right w:val="nil"/>
            </w:tcBorders>
            <w:shd w:val="clear" w:color="000000" w:fill="CCCCFF"/>
            <w:noWrap/>
            <w:vAlign w:val="bottom"/>
            <w:hideMark/>
          </w:tcPr>
          <w:p w14:paraId="07DDEA2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1.344,59</w:t>
            </w:r>
          </w:p>
        </w:tc>
        <w:tc>
          <w:tcPr>
            <w:tcW w:w="993" w:type="dxa"/>
            <w:tcBorders>
              <w:top w:val="nil"/>
              <w:left w:val="nil"/>
              <w:bottom w:val="nil"/>
              <w:right w:val="nil"/>
            </w:tcBorders>
            <w:shd w:val="clear" w:color="000000" w:fill="CCCCFF"/>
            <w:noWrap/>
            <w:vAlign w:val="bottom"/>
            <w:hideMark/>
          </w:tcPr>
          <w:p w14:paraId="676D7B7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61,12%</w:t>
            </w:r>
          </w:p>
        </w:tc>
      </w:tr>
      <w:tr w:rsidR="006967F8" w:rsidRPr="006967F8" w14:paraId="225F7669" w14:textId="77777777" w:rsidTr="008A61B1">
        <w:trPr>
          <w:trHeight w:val="255"/>
        </w:trPr>
        <w:tc>
          <w:tcPr>
            <w:tcW w:w="1134" w:type="dxa"/>
            <w:tcBorders>
              <w:top w:val="nil"/>
              <w:left w:val="nil"/>
              <w:bottom w:val="nil"/>
              <w:right w:val="nil"/>
            </w:tcBorders>
            <w:noWrap/>
            <w:vAlign w:val="bottom"/>
            <w:hideMark/>
          </w:tcPr>
          <w:p w14:paraId="52C2756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31</w:t>
            </w:r>
          </w:p>
        </w:tc>
        <w:tc>
          <w:tcPr>
            <w:tcW w:w="4962" w:type="dxa"/>
            <w:tcBorders>
              <w:top w:val="nil"/>
              <w:left w:val="nil"/>
              <w:bottom w:val="nil"/>
              <w:right w:val="nil"/>
            </w:tcBorders>
            <w:noWrap/>
            <w:vAlign w:val="bottom"/>
            <w:hideMark/>
          </w:tcPr>
          <w:p w14:paraId="091E4B7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zaposlene</w:t>
            </w:r>
          </w:p>
        </w:tc>
        <w:tc>
          <w:tcPr>
            <w:tcW w:w="1559" w:type="dxa"/>
            <w:tcBorders>
              <w:top w:val="nil"/>
              <w:left w:val="nil"/>
              <w:bottom w:val="nil"/>
              <w:right w:val="nil"/>
            </w:tcBorders>
            <w:noWrap/>
            <w:vAlign w:val="bottom"/>
            <w:hideMark/>
          </w:tcPr>
          <w:p w14:paraId="6A42727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w:t>
            </w:r>
          </w:p>
        </w:tc>
        <w:tc>
          <w:tcPr>
            <w:tcW w:w="1559" w:type="dxa"/>
            <w:tcBorders>
              <w:top w:val="nil"/>
              <w:left w:val="nil"/>
              <w:bottom w:val="nil"/>
              <w:right w:val="nil"/>
            </w:tcBorders>
            <w:noWrap/>
            <w:vAlign w:val="bottom"/>
            <w:hideMark/>
          </w:tcPr>
          <w:p w14:paraId="122E35B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w:t>
            </w:r>
          </w:p>
        </w:tc>
        <w:tc>
          <w:tcPr>
            <w:tcW w:w="1559" w:type="dxa"/>
            <w:tcBorders>
              <w:top w:val="nil"/>
              <w:left w:val="nil"/>
              <w:bottom w:val="nil"/>
              <w:right w:val="nil"/>
            </w:tcBorders>
            <w:noWrap/>
            <w:vAlign w:val="bottom"/>
            <w:hideMark/>
          </w:tcPr>
          <w:p w14:paraId="11CEA7D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1.255,09</w:t>
            </w:r>
          </w:p>
        </w:tc>
        <w:tc>
          <w:tcPr>
            <w:tcW w:w="993" w:type="dxa"/>
            <w:tcBorders>
              <w:top w:val="nil"/>
              <w:left w:val="nil"/>
              <w:bottom w:val="nil"/>
              <w:right w:val="nil"/>
            </w:tcBorders>
            <w:noWrap/>
            <w:vAlign w:val="bottom"/>
            <w:hideMark/>
          </w:tcPr>
          <w:p w14:paraId="4008883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62,75%</w:t>
            </w:r>
          </w:p>
        </w:tc>
      </w:tr>
      <w:tr w:rsidR="006967F8" w:rsidRPr="006967F8" w14:paraId="2F362D39" w14:textId="77777777" w:rsidTr="008A61B1">
        <w:trPr>
          <w:trHeight w:val="255"/>
        </w:trPr>
        <w:tc>
          <w:tcPr>
            <w:tcW w:w="1134" w:type="dxa"/>
            <w:tcBorders>
              <w:top w:val="nil"/>
              <w:left w:val="nil"/>
              <w:bottom w:val="nil"/>
              <w:right w:val="nil"/>
            </w:tcBorders>
            <w:noWrap/>
            <w:vAlign w:val="bottom"/>
            <w:hideMark/>
          </w:tcPr>
          <w:p w14:paraId="434E635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3111</w:t>
            </w:r>
          </w:p>
        </w:tc>
        <w:tc>
          <w:tcPr>
            <w:tcW w:w="4962" w:type="dxa"/>
            <w:tcBorders>
              <w:top w:val="nil"/>
              <w:left w:val="nil"/>
              <w:bottom w:val="nil"/>
              <w:right w:val="nil"/>
            </w:tcBorders>
            <w:noWrap/>
            <w:vAlign w:val="bottom"/>
            <w:hideMark/>
          </w:tcPr>
          <w:p w14:paraId="314638E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Plaće za redovan rad</w:t>
            </w:r>
          </w:p>
        </w:tc>
        <w:tc>
          <w:tcPr>
            <w:tcW w:w="1559" w:type="dxa"/>
            <w:tcBorders>
              <w:top w:val="nil"/>
              <w:left w:val="nil"/>
              <w:bottom w:val="nil"/>
              <w:right w:val="nil"/>
            </w:tcBorders>
            <w:noWrap/>
            <w:vAlign w:val="bottom"/>
            <w:hideMark/>
          </w:tcPr>
          <w:p w14:paraId="6E02D601"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DD8D281"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2109FAB"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1.114,53</w:t>
            </w:r>
          </w:p>
        </w:tc>
        <w:tc>
          <w:tcPr>
            <w:tcW w:w="993" w:type="dxa"/>
            <w:tcBorders>
              <w:top w:val="nil"/>
              <w:left w:val="nil"/>
              <w:bottom w:val="nil"/>
              <w:right w:val="nil"/>
            </w:tcBorders>
            <w:noWrap/>
            <w:vAlign w:val="bottom"/>
            <w:hideMark/>
          </w:tcPr>
          <w:p w14:paraId="52CA1FE3"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98D3AE3" w14:textId="77777777" w:rsidTr="008A61B1">
        <w:trPr>
          <w:trHeight w:val="255"/>
        </w:trPr>
        <w:tc>
          <w:tcPr>
            <w:tcW w:w="1134" w:type="dxa"/>
            <w:tcBorders>
              <w:top w:val="nil"/>
              <w:left w:val="nil"/>
              <w:bottom w:val="nil"/>
              <w:right w:val="nil"/>
            </w:tcBorders>
            <w:noWrap/>
            <w:vAlign w:val="bottom"/>
            <w:hideMark/>
          </w:tcPr>
          <w:p w14:paraId="4C71A17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3132</w:t>
            </w:r>
          </w:p>
        </w:tc>
        <w:tc>
          <w:tcPr>
            <w:tcW w:w="4962" w:type="dxa"/>
            <w:tcBorders>
              <w:top w:val="nil"/>
              <w:left w:val="nil"/>
              <w:bottom w:val="nil"/>
              <w:right w:val="nil"/>
            </w:tcBorders>
            <w:noWrap/>
            <w:vAlign w:val="bottom"/>
            <w:hideMark/>
          </w:tcPr>
          <w:p w14:paraId="3E4B860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Doprinosi za obvezno zdravstveno osiguranje</w:t>
            </w:r>
          </w:p>
        </w:tc>
        <w:tc>
          <w:tcPr>
            <w:tcW w:w="1559" w:type="dxa"/>
            <w:tcBorders>
              <w:top w:val="nil"/>
              <w:left w:val="nil"/>
              <w:bottom w:val="nil"/>
              <w:right w:val="nil"/>
            </w:tcBorders>
            <w:noWrap/>
            <w:vAlign w:val="bottom"/>
            <w:hideMark/>
          </w:tcPr>
          <w:p w14:paraId="72619ECB"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615D34D"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E57E6B3"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140,56</w:t>
            </w:r>
          </w:p>
        </w:tc>
        <w:tc>
          <w:tcPr>
            <w:tcW w:w="993" w:type="dxa"/>
            <w:tcBorders>
              <w:top w:val="nil"/>
              <w:left w:val="nil"/>
              <w:bottom w:val="nil"/>
              <w:right w:val="nil"/>
            </w:tcBorders>
            <w:noWrap/>
            <w:vAlign w:val="bottom"/>
            <w:hideMark/>
          </w:tcPr>
          <w:p w14:paraId="7D3A1D91"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CF68DFB" w14:textId="77777777" w:rsidTr="008A61B1">
        <w:trPr>
          <w:trHeight w:val="255"/>
        </w:trPr>
        <w:tc>
          <w:tcPr>
            <w:tcW w:w="1134" w:type="dxa"/>
            <w:tcBorders>
              <w:top w:val="nil"/>
              <w:left w:val="nil"/>
              <w:bottom w:val="nil"/>
              <w:right w:val="nil"/>
            </w:tcBorders>
            <w:noWrap/>
            <w:vAlign w:val="bottom"/>
            <w:hideMark/>
          </w:tcPr>
          <w:p w14:paraId="7A18F00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29BC328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33EB28B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w:t>
            </w:r>
          </w:p>
        </w:tc>
        <w:tc>
          <w:tcPr>
            <w:tcW w:w="1559" w:type="dxa"/>
            <w:tcBorders>
              <w:top w:val="nil"/>
              <w:left w:val="nil"/>
              <w:bottom w:val="nil"/>
              <w:right w:val="nil"/>
            </w:tcBorders>
            <w:noWrap/>
            <w:vAlign w:val="bottom"/>
            <w:hideMark/>
          </w:tcPr>
          <w:p w14:paraId="5F855C0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w:t>
            </w:r>
          </w:p>
        </w:tc>
        <w:tc>
          <w:tcPr>
            <w:tcW w:w="1559" w:type="dxa"/>
            <w:tcBorders>
              <w:top w:val="nil"/>
              <w:left w:val="nil"/>
              <w:bottom w:val="nil"/>
              <w:right w:val="nil"/>
            </w:tcBorders>
            <w:noWrap/>
            <w:vAlign w:val="bottom"/>
            <w:hideMark/>
          </w:tcPr>
          <w:p w14:paraId="1A2956A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89,50</w:t>
            </w:r>
          </w:p>
        </w:tc>
        <w:tc>
          <w:tcPr>
            <w:tcW w:w="993" w:type="dxa"/>
            <w:tcBorders>
              <w:top w:val="nil"/>
              <w:left w:val="nil"/>
              <w:bottom w:val="nil"/>
              <w:right w:val="nil"/>
            </w:tcBorders>
            <w:noWrap/>
            <w:vAlign w:val="bottom"/>
            <w:hideMark/>
          </w:tcPr>
          <w:p w14:paraId="3EEF49F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44,75%</w:t>
            </w:r>
          </w:p>
        </w:tc>
      </w:tr>
      <w:tr w:rsidR="006967F8" w:rsidRPr="006967F8" w14:paraId="37F80FFE" w14:textId="77777777" w:rsidTr="008A61B1">
        <w:trPr>
          <w:trHeight w:val="255"/>
        </w:trPr>
        <w:tc>
          <w:tcPr>
            <w:tcW w:w="1134" w:type="dxa"/>
            <w:tcBorders>
              <w:top w:val="nil"/>
              <w:left w:val="nil"/>
              <w:bottom w:val="nil"/>
              <w:right w:val="nil"/>
            </w:tcBorders>
            <w:noWrap/>
            <w:vAlign w:val="bottom"/>
            <w:hideMark/>
          </w:tcPr>
          <w:p w14:paraId="19B1C7E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3212</w:t>
            </w:r>
          </w:p>
        </w:tc>
        <w:tc>
          <w:tcPr>
            <w:tcW w:w="4962" w:type="dxa"/>
            <w:tcBorders>
              <w:top w:val="nil"/>
              <w:left w:val="nil"/>
              <w:bottom w:val="nil"/>
              <w:right w:val="nil"/>
            </w:tcBorders>
            <w:noWrap/>
            <w:vAlign w:val="bottom"/>
            <w:hideMark/>
          </w:tcPr>
          <w:p w14:paraId="544F9EB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Naknade za prijevoz, za rad na terenu i odvojeni život</w:t>
            </w:r>
          </w:p>
        </w:tc>
        <w:tc>
          <w:tcPr>
            <w:tcW w:w="1559" w:type="dxa"/>
            <w:tcBorders>
              <w:top w:val="nil"/>
              <w:left w:val="nil"/>
              <w:bottom w:val="nil"/>
              <w:right w:val="nil"/>
            </w:tcBorders>
            <w:noWrap/>
            <w:vAlign w:val="bottom"/>
            <w:hideMark/>
          </w:tcPr>
          <w:p w14:paraId="0D89E273"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DC1202D"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4FC6CB5"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89,50</w:t>
            </w:r>
          </w:p>
        </w:tc>
        <w:tc>
          <w:tcPr>
            <w:tcW w:w="993" w:type="dxa"/>
            <w:tcBorders>
              <w:top w:val="nil"/>
              <w:left w:val="nil"/>
              <w:bottom w:val="nil"/>
              <w:right w:val="nil"/>
            </w:tcBorders>
            <w:noWrap/>
            <w:vAlign w:val="bottom"/>
            <w:hideMark/>
          </w:tcPr>
          <w:p w14:paraId="12E36074"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A389B0B" w14:textId="77777777" w:rsidTr="008A61B1">
        <w:trPr>
          <w:trHeight w:val="555"/>
        </w:trPr>
        <w:tc>
          <w:tcPr>
            <w:tcW w:w="6096" w:type="dxa"/>
            <w:gridSpan w:val="2"/>
            <w:tcBorders>
              <w:top w:val="nil"/>
              <w:left w:val="nil"/>
              <w:bottom w:val="nil"/>
              <w:right w:val="nil"/>
            </w:tcBorders>
            <w:shd w:val="clear" w:color="000000" w:fill="FFFF99"/>
            <w:vAlign w:val="bottom"/>
            <w:hideMark/>
          </w:tcPr>
          <w:p w14:paraId="428A528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A100070 Aktivnost: KONZERVATORSKO- RESTAURATORSKA DJELATNOST</w:t>
            </w:r>
          </w:p>
        </w:tc>
        <w:tc>
          <w:tcPr>
            <w:tcW w:w="1559" w:type="dxa"/>
            <w:tcBorders>
              <w:top w:val="nil"/>
              <w:left w:val="nil"/>
              <w:bottom w:val="nil"/>
              <w:right w:val="nil"/>
            </w:tcBorders>
            <w:shd w:val="clear" w:color="000000" w:fill="FFFF99"/>
            <w:noWrap/>
            <w:vAlign w:val="bottom"/>
            <w:hideMark/>
          </w:tcPr>
          <w:p w14:paraId="4F8DA57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7.200,00</w:t>
            </w:r>
          </w:p>
        </w:tc>
        <w:tc>
          <w:tcPr>
            <w:tcW w:w="1559" w:type="dxa"/>
            <w:tcBorders>
              <w:top w:val="nil"/>
              <w:left w:val="nil"/>
              <w:bottom w:val="nil"/>
              <w:right w:val="nil"/>
            </w:tcBorders>
            <w:shd w:val="clear" w:color="000000" w:fill="FFFF99"/>
            <w:noWrap/>
            <w:vAlign w:val="bottom"/>
            <w:hideMark/>
          </w:tcPr>
          <w:p w14:paraId="0810BF1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7.200,00</w:t>
            </w:r>
          </w:p>
        </w:tc>
        <w:tc>
          <w:tcPr>
            <w:tcW w:w="1559" w:type="dxa"/>
            <w:tcBorders>
              <w:top w:val="nil"/>
              <w:left w:val="nil"/>
              <w:bottom w:val="nil"/>
              <w:right w:val="nil"/>
            </w:tcBorders>
            <w:shd w:val="clear" w:color="000000" w:fill="FFFF99"/>
            <w:noWrap/>
            <w:vAlign w:val="bottom"/>
            <w:hideMark/>
          </w:tcPr>
          <w:p w14:paraId="057E889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7.000,00</w:t>
            </w:r>
          </w:p>
        </w:tc>
        <w:tc>
          <w:tcPr>
            <w:tcW w:w="993" w:type="dxa"/>
            <w:tcBorders>
              <w:top w:val="nil"/>
              <w:left w:val="nil"/>
              <w:bottom w:val="nil"/>
              <w:right w:val="nil"/>
            </w:tcBorders>
            <w:shd w:val="clear" w:color="000000" w:fill="FFFF99"/>
            <w:noWrap/>
            <w:vAlign w:val="bottom"/>
            <w:hideMark/>
          </w:tcPr>
          <w:p w14:paraId="624A5F5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97,22%</w:t>
            </w:r>
          </w:p>
        </w:tc>
      </w:tr>
      <w:tr w:rsidR="006967F8" w:rsidRPr="006967F8" w14:paraId="62B575AD"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8A0DA4D"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5DE385A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w:t>
            </w:r>
          </w:p>
        </w:tc>
        <w:tc>
          <w:tcPr>
            <w:tcW w:w="1559" w:type="dxa"/>
            <w:tcBorders>
              <w:top w:val="nil"/>
              <w:left w:val="nil"/>
              <w:bottom w:val="nil"/>
              <w:right w:val="nil"/>
            </w:tcBorders>
            <w:shd w:val="clear" w:color="000000" w:fill="CCCCFF"/>
            <w:noWrap/>
            <w:vAlign w:val="bottom"/>
            <w:hideMark/>
          </w:tcPr>
          <w:p w14:paraId="7C8A3A2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w:t>
            </w:r>
          </w:p>
        </w:tc>
        <w:tc>
          <w:tcPr>
            <w:tcW w:w="1559" w:type="dxa"/>
            <w:tcBorders>
              <w:top w:val="nil"/>
              <w:left w:val="nil"/>
              <w:bottom w:val="nil"/>
              <w:right w:val="nil"/>
            </w:tcBorders>
            <w:shd w:val="clear" w:color="000000" w:fill="CCCCFF"/>
            <w:noWrap/>
            <w:vAlign w:val="bottom"/>
            <w:hideMark/>
          </w:tcPr>
          <w:p w14:paraId="5DE664C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w:t>
            </w:r>
          </w:p>
        </w:tc>
        <w:tc>
          <w:tcPr>
            <w:tcW w:w="993" w:type="dxa"/>
            <w:tcBorders>
              <w:top w:val="nil"/>
              <w:left w:val="nil"/>
              <w:bottom w:val="nil"/>
              <w:right w:val="nil"/>
            </w:tcBorders>
            <w:shd w:val="clear" w:color="000000" w:fill="CCCCFF"/>
            <w:noWrap/>
            <w:vAlign w:val="bottom"/>
            <w:hideMark/>
          </w:tcPr>
          <w:p w14:paraId="6AB5FCF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2FB32AA3"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6705CAA"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7F9FD86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w:t>
            </w:r>
          </w:p>
        </w:tc>
        <w:tc>
          <w:tcPr>
            <w:tcW w:w="1559" w:type="dxa"/>
            <w:tcBorders>
              <w:top w:val="nil"/>
              <w:left w:val="nil"/>
              <w:bottom w:val="nil"/>
              <w:right w:val="nil"/>
            </w:tcBorders>
            <w:shd w:val="clear" w:color="000000" w:fill="CCCCFF"/>
            <w:noWrap/>
            <w:vAlign w:val="bottom"/>
            <w:hideMark/>
          </w:tcPr>
          <w:p w14:paraId="323D977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w:t>
            </w:r>
          </w:p>
        </w:tc>
        <w:tc>
          <w:tcPr>
            <w:tcW w:w="1559" w:type="dxa"/>
            <w:tcBorders>
              <w:top w:val="nil"/>
              <w:left w:val="nil"/>
              <w:bottom w:val="nil"/>
              <w:right w:val="nil"/>
            </w:tcBorders>
            <w:shd w:val="clear" w:color="000000" w:fill="CCCCFF"/>
            <w:noWrap/>
            <w:vAlign w:val="bottom"/>
            <w:hideMark/>
          </w:tcPr>
          <w:p w14:paraId="7FE7DAE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w:t>
            </w:r>
          </w:p>
        </w:tc>
        <w:tc>
          <w:tcPr>
            <w:tcW w:w="993" w:type="dxa"/>
            <w:tcBorders>
              <w:top w:val="nil"/>
              <w:left w:val="nil"/>
              <w:bottom w:val="nil"/>
              <w:right w:val="nil"/>
            </w:tcBorders>
            <w:shd w:val="clear" w:color="000000" w:fill="CCCCFF"/>
            <w:noWrap/>
            <w:vAlign w:val="bottom"/>
            <w:hideMark/>
          </w:tcPr>
          <w:p w14:paraId="7CC5149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309DC01C" w14:textId="77777777" w:rsidTr="008A61B1">
        <w:trPr>
          <w:trHeight w:val="255"/>
        </w:trPr>
        <w:tc>
          <w:tcPr>
            <w:tcW w:w="1134" w:type="dxa"/>
            <w:tcBorders>
              <w:top w:val="nil"/>
              <w:left w:val="nil"/>
              <w:bottom w:val="nil"/>
              <w:right w:val="nil"/>
            </w:tcBorders>
            <w:noWrap/>
            <w:vAlign w:val="bottom"/>
            <w:hideMark/>
          </w:tcPr>
          <w:p w14:paraId="077783F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0F0E388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2F9C5E4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4.000,00</w:t>
            </w:r>
          </w:p>
        </w:tc>
        <w:tc>
          <w:tcPr>
            <w:tcW w:w="1559" w:type="dxa"/>
            <w:tcBorders>
              <w:top w:val="nil"/>
              <w:left w:val="nil"/>
              <w:bottom w:val="nil"/>
              <w:right w:val="nil"/>
            </w:tcBorders>
            <w:noWrap/>
            <w:vAlign w:val="bottom"/>
            <w:hideMark/>
          </w:tcPr>
          <w:p w14:paraId="1CDA8B1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4.000,00</w:t>
            </w:r>
          </w:p>
        </w:tc>
        <w:tc>
          <w:tcPr>
            <w:tcW w:w="1559" w:type="dxa"/>
            <w:tcBorders>
              <w:top w:val="nil"/>
              <w:left w:val="nil"/>
              <w:bottom w:val="nil"/>
              <w:right w:val="nil"/>
            </w:tcBorders>
            <w:noWrap/>
            <w:vAlign w:val="bottom"/>
            <w:hideMark/>
          </w:tcPr>
          <w:p w14:paraId="0716A00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4.000,00</w:t>
            </w:r>
          </w:p>
        </w:tc>
        <w:tc>
          <w:tcPr>
            <w:tcW w:w="993" w:type="dxa"/>
            <w:tcBorders>
              <w:top w:val="nil"/>
              <w:left w:val="nil"/>
              <w:bottom w:val="nil"/>
              <w:right w:val="nil"/>
            </w:tcBorders>
            <w:noWrap/>
            <w:vAlign w:val="bottom"/>
            <w:hideMark/>
          </w:tcPr>
          <w:p w14:paraId="0A06595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r>
      <w:tr w:rsidR="006967F8" w:rsidRPr="006967F8" w14:paraId="40FF2A41" w14:textId="77777777" w:rsidTr="008A61B1">
        <w:trPr>
          <w:trHeight w:val="255"/>
        </w:trPr>
        <w:tc>
          <w:tcPr>
            <w:tcW w:w="1134" w:type="dxa"/>
            <w:tcBorders>
              <w:top w:val="nil"/>
              <w:left w:val="nil"/>
              <w:bottom w:val="nil"/>
              <w:right w:val="nil"/>
            </w:tcBorders>
            <w:noWrap/>
            <w:vAlign w:val="bottom"/>
            <w:hideMark/>
          </w:tcPr>
          <w:p w14:paraId="2EDFCEC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3232</w:t>
            </w:r>
          </w:p>
        </w:tc>
        <w:tc>
          <w:tcPr>
            <w:tcW w:w="4962" w:type="dxa"/>
            <w:tcBorders>
              <w:top w:val="nil"/>
              <w:left w:val="nil"/>
              <w:bottom w:val="nil"/>
              <w:right w:val="nil"/>
            </w:tcBorders>
            <w:noWrap/>
            <w:vAlign w:val="bottom"/>
            <w:hideMark/>
          </w:tcPr>
          <w:p w14:paraId="5B0CBBF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noWrap/>
            <w:vAlign w:val="bottom"/>
            <w:hideMark/>
          </w:tcPr>
          <w:p w14:paraId="12944030"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C6F2729"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F3E32CD"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4.000,00</w:t>
            </w:r>
          </w:p>
        </w:tc>
        <w:tc>
          <w:tcPr>
            <w:tcW w:w="993" w:type="dxa"/>
            <w:tcBorders>
              <w:top w:val="nil"/>
              <w:left w:val="nil"/>
              <w:bottom w:val="nil"/>
              <w:right w:val="nil"/>
            </w:tcBorders>
            <w:noWrap/>
            <w:vAlign w:val="bottom"/>
            <w:hideMark/>
          </w:tcPr>
          <w:p w14:paraId="002FB353"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A3FC80B"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804D4D0"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3. VLASTITI PRIHODI</w:t>
            </w:r>
          </w:p>
        </w:tc>
        <w:tc>
          <w:tcPr>
            <w:tcW w:w="1559" w:type="dxa"/>
            <w:tcBorders>
              <w:top w:val="nil"/>
              <w:left w:val="nil"/>
              <w:bottom w:val="nil"/>
              <w:right w:val="nil"/>
            </w:tcBorders>
            <w:shd w:val="clear" w:color="000000" w:fill="CCCCFF"/>
            <w:noWrap/>
            <w:vAlign w:val="bottom"/>
            <w:hideMark/>
          </w:tcPr>
          <w:p w14:paraId="0C64DF3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w:t>
            </w:r>
          </w:p>
        </w:tc>
        <w:tc>
          <w:tcPr>
            <w:tcW w:w="1559" w:type="dxa"/>
            <w:tcBorders>
              <w:top w:val="nil"/>
              <w:left w:val="nil"/>
              <w:bottom w:val="nil"/>
              <w:right w:val="nil"/>
            </w:tcBorders>
            <w:shd w:val="clear" w:color="000000" w:fill="CCCCFF"/>
            <w:noWrap/>
            <w:vAlign w:val="bottom"/>
            <w:hideMark/>
          </w:tcPr>
          <w:p w14:paraId="14D42EE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w:t>
            </w:r>
          </w:p>
        </w:tc>
        <w:tc>
          <w:tcPr>
            <w:tcW w:w="1559" w:type="dxa"/>
            <w:tcBorders>
              <w:top w:val="nil"/>
              <w:left w:val="nil"/>
              <w:bottom w:val="nil"/>
              <w:right w:val="nil"/>
            </w:tcBorders>
            <w:shd w:val="clear" w:color="000000" w:fill="CCCCFF"/>
            <w:noWrap/>
            <w:vAlign w:val="bottom"/>
            <w:hideMark/>
          </w:tcPr>
          <w:p w14:paraId="2B18194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568F807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5A3C2CA0"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BEA2908"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3.2. Vlastiti prihodi proračunskih korisnika</w:t>
            </w:r>
          </w:p>
        </w:tc>
        <w:tc>
          <w:tcPr>
            <w:tcW w:w="1559" w:type="dxa"/>
            <w:tcBorders>
              <w:top w:val="nil"/>
              <w:left w:val="nil"/>
              <w:bottom w:val="nil"/>
              <w:right w:val="nil"/>
            </w:tcBorders>
            <w:shd w:val="clear" w:color="000000" w:fill="CCCCFF"/>
            <w:noWrap/>
            <w:vAlign w:val="bottom"/>
            <w:hideMark/>
          </w:tcPr>
          <w:p w14:paraId="41350C5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w:t>
            </w:r>
          </w:p>
        </w:tc>
        <w:tc>
          <w:tcPr>
            <w:tcW w:w="1559" w:type="dxa"/>
            <w:tcBorders>
              <w:top w:val="nil"/>
              <w:left w:val="nil"/>
              <w:bottom w:val="nil"/>
              <w:right w:val="nil"/>
            </w:tcBorders>
            <w:shd w:val="clear" w:color="000000" w:fill="CCCCFF"/>
            <w:noWrap/>
            <w:vAlign w:val="bottom"/>
            <w:hideMark/>
          </w:tcPr>
          <w:p w14:paraId="2B27702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w:t>
            </w:r>
          </w:p>
        </w:tc>
        <w:tc>
          <w:tcPr>
            <w:tcW w:w="1559" w:type="dxa"/>
            <w:tcBorders>
              <w:top w:val="nil"/>
              <w:left w:val="nil"/>
              <w:bottom w:val="nil"/>
              <w:right w:val="nil"/>
            </w:tcBorders>
            <w:shd w:val="clear" w:color="000000" w:fill="CCCCFF"/>
            <w:noWrap/>
            <w:vAlign w:val="bottom"/>
            <w:hideMark/>
          </w:tcPr>
          <w:p w14:paraId="2306360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4053645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03058497" w14:textId="77777777" w:rsidTr="008A61B1">
        <w:trPr>
          <w:trHeight w:val="255"/>
        </w:trPr>
        <w:tc>
          <w:tcPr>
            <w:tcW w:w="1134" w:type="dxa"/>
            <w:tcBorders>
              <w:top w:val="nil"/>
              <w:left w:val="nil"/>
              <w:bottom w:val="nil"/>
              <w:right w:val="nil"/>
            </w:tcBorders>
            <w:noWrap/>
            <w:vAlign w:val="bottom"/>
            <w:hideMark/>
          </w:tcPr>
          <w:p w14:paraId="5188CE9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086B4AB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171EBEC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w:t>
            </w:r>
          </w:p>
        </w:tc>
        <w:tc>
          <w:tcPr>
            <w:tcW w:w="1559" w:type="dxa"/>
            <w:tcBorders>
              <w:top w:val="nil"/>
              <w:left w:val="nil"/>
              <w:bottom w:val="nil"/>
              <w:right w:val="nil"/>
            </w:tcBorders>
            <w:noWrap/>
            <w:vAlign w:val="bottom"/>
            <w:hideMark/>
          </w:tcPr>
          <w:p w14:paraId="11899FC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w:t>
            </w:r>
          </w:p>
        </w:tc>
        <w:tc>
          <w:tcPr>
            <w:tcW w:w="1559" w:type="dxa"/>
            <w:tcBorders>
              <w:top w:val="nil"/>
              <w:left w:val="nil"/>
              <w:bottom w:val="nil"/>
              <w:right w:val="nil"/>
            </w:tcBorders>
            <w:noWrap/>
            <w:vAlign w:val="bottom"/>
            <w:hideMark/>
          </w:tcPr>
          <w:p w14:paraId="67C353B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4B6F2C5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339D404D"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5BC4D0E"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23E4CE6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3.000,00</w:t>
            </w:r>
          </w:p>
        </w:tc>
        <w:tc>
          <w:tcPr>
            <w:tcW w:w="1559" w:type="dxa"/>
            <w:tcBorders>
              <w:top w:val="nil"/>
              <w:left w:val="nil"/>
              <w:bottom w:val="nil"/>
              <w:right w:val="nil"/>
            </w:tcBorders>
            <w:shd w:val="clear" w:color="000000" w:fill="CCCCFF"/>
            <w:noWrap/>
            <w:vAlign w:val="bottom"/>
            <w:hideMark/>
          </w:tcPr>
          <w:p w14:paraId="1BCF3EB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3.000,00</w:t>
            </w:r>
          </w:p>
        </w:tc>
        <w:tc>
          <w:tcPr>
            <w:tcW w:w="1559" w:type="dxa"/>
            <w:tcBorders>
              <w:top w:val="nil"/>
              <w:left w:val="nil"/>
              <w:bottom w:val="nil"/>
              <w:right w:val="nil"/>
            </w:tcBorders>
            <w:shd w:val="clear" w:color="000000" w:fill="CCCCFF"/>
            <w:noWrap/>
            <w:vAlign w:val="bottom"/>
            <w:hideMark/>
          </w:tcPr>
          <w:p w14:paraId="78A5E65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3.000,00</w:t>
            </w:r>
          </w:p>
        </w:tc>
        <w:tc>
          <w:tcPr>
            <w:tcW w:w="993" w:type="dxa"/>
            <w:tcBorders>
              <w:top w:val="nil"/>
              <w:left w:val="nil"/>
              <w:bottom w:val="nil"/>
              <w:right w:val="nil"/>
            </w:tcBorders>
            <w:shd w:val="clear" w:color="000000" w:fill="CCCCFF"/>
            <w:noWrap/>
            <w:vAlign w:val="bottom"/>
            <w:hideMark/>
          </w:tcPr>
          <w:p w14:paraId="0F831A8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55689699"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2B89799"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5.5. Ostale pomoći  proračunskih korisnika</w:t>
            </w:r>
          </w:p>
        </w:tc>
        <w:tc>
          <w:tcPr>
            <w:tcW w:w="1559" w:type="dxa"/>
            <w:tcBorders>
              <w:top w:val="nil"/>
              <w:left w:val="nil"/>
              <w:bottom w:val="nil"/>
              <w:right w:val="nil"/>
            </w:tcBorders>
            <w:shd w:val="clear" w:color="000000" w:fill="CCCCFF"/>
            <w:noWrap/>
            <w:vAlign w:val="bottom"/>
            <w:hideMark/>
          </w:tcPr>
          <w:p w14:paraId="6E9CA95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3.000,00</w:t>
            </w:r>
          </w:p>
        </w:tc>
        <w:tc>
          <w:tcPr>
            <w:tcW w:w="1559" w:type="dxa"/>
            <w:tcBorders>
              <w:top w:val="nil"/>
              <w:left w:val="nil"/>
              <w:bottom w:val="nil"/>
              <w:right w:val="nil"/>
            </w:tcBorders>
            <w:shd w:val="clear" w:color="000000" w:fill="CCCCFF"/>
            <w:noWrap/>
            <w:vAlign w:val="bottom"/>
            <w:hideMark/>
          </w:tcPr>
          <w:p w14:paraId="0B184F0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3.000,00</w:t>
            </w:r>
          </w:p>
        </w:tc>
        <w:tc>
          <w:tcPr>
            <w:tcW w:w="1559" w:type="dxa"/>
            <w:tcBorders>
              <w:top w:val="nil"/>
              <w:left w:val="nil"/>
              <w:bottom w:val="nil"/>
              <w:right w:val="nil"/>
            </w:tcBorders>
            <w:shd w:val="clear" w:color="000000" w:fill="CCCCFF"/>
            <w:noWrap/>
            <w:vAlign w:val="bottom"/>
            <w:hideMark/>
          </w:tcPr>
          <w:p w14:paraId="3E9BDDC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3.000,00</w:t>
            </w:r>
          </w:p>
        </w:tc>
        <w:tc>
          <w:tcPr>
            <w:tcW w:w="993" w:type="dxa"/>
            <w:tcBorders>
              <w:top w:val="nil"/>
              <w:left w:val="nil"/>
              <w:bottom w:val="nil"/>
              <w:right w:val="nil"/>
            </w:tcBorders>
            <w:shd w:val="clear" w:color="000000" w:fill="CCCCFF"/>
            <w:noWrap/>
            <w:vAlign w:val="bottom"/>
            <w:hideMark/>
          </w:tcPr>
          <w:p w14:paraId="7C975A1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6EDC3332" w14:textId="77777777" w:rsidTr="008A61B1">
        <w:trPr>
          <w:trHeight w:val="255"/>
        </w:trPr>
        <w:tc>
          <w:tcPr>
            <w:tcW w:w="1134" w:type="dxa"/>
            <w:tcBorders>
              <w:top w:val="nil"/>
              <w:left w:val="nil"/>
              <w:bottom w:val="nil"/>
              <w:right w:val="nil"/>
            </w:tcBorders>
            <w:noWrap/>
            <w:vAlign w:val="bottom"/>
            <w:hideMark/>
          </w:tcPr>
          <w:p w14:paraId="28664ED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77EC419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3D9DE8E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3.000,00</w:t>
            </w:r>
          </w:p>
        </w:tc>
        <w:tc>
          <w:tcPr>
            <w:tcW w:w="1559" w:type="dxa"/>
            <w:tcBorders>
              <w:top w:val="nil"/>
              <w:left w:val="nil"/>
              <w:bottom w:val="nil"/>
              <w:right w:val="nil"/>
            </w:tcBorders>
            <w:noWrap/>
            <w:vAlign w:val="bottom"/>
            <w:hideMark/>
          </w:tcPr>
          <w:p w14:paraId="6DFC705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3.000,00</w:t>
            </w:r>
          </w:p>
        </w:tc>
        <w:tc>
          <w:tcPr>
            <w:tcW w:w="1559" w:type="dxa"/>
            <w:tcBorders>
              <w:top w:val="nil"/>
              <w:left w:val="nil"/>
              <w:bottom w:val="nil"/>
              <w:right w:val="nil"/>
            </w:tcBorders>
            <w:noWrap/>
            <w:vAlign w:val="bottom"/>
            <w:hideMark/>
          </w:tcPr>
          <w:p w14:paraId="086E503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3.000,00</w:t>
            </w:r>
          </w:p>
        </w:tc>
        <w:tc>
          <w:tcPr>
            <w:tcW w:w="993" w:type="dxa"/>
            <w:tcBorders>
              <w:top w:val="nil"/>
              <w:left w:val="nil"/>
              <w:bottom w:val="nil"/>
              <w:right w:val="nil"/>
            </w:tcBorders>
            <w:noWrap/>
            <w:vAlign w:val="bottom"/>
            <w:hideMark/>
          </w:tcPr>
          <w:p w14:paraId="0B08E23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r>
      <w:tr w:rsidR="006967F8" w:rsidRPr="006967F8" w14:paraId="15069B67" w14:textId="77777777" w:rsidTr="008A61B1">
        <w:trPr>
          <w:trHeight w:val="255"/>
        </w:trPr>
        <w:tc>
          <w:tcPr>
            <w:tcW w:w="1134" w:type="dxa"/>
            <w:tcBorders>
              <w:top w:val="nil"/>
              <w:left w:val="nil"/>
              <w:bottom w:val="nil"/>
              <w:right w:val="nil"/>
            </w:tcBorders>
            <w:noWrap/>
            <w:vAlign w:val="bottom"/>
            <w:hideMark/>
          </w:tcPr>
          <w:p w14:paraId="10A4FAB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3232</w:t>
            </w:r>
          </w:p>
        </w:tc>
        <w:tc>
          <w:tcPr>
            <w:tcW w:w="4962" w:type="dxa"/>
            <w:tcBorders>
              <w:top w:val="nil"/>
              <w:left w:val="nil"/>
              <w:bottom w:val="nil"/>
              <w:right w:val="nil"/>
            </w:tcBorders>
            <w:noWrap/>
            <w:vAlign w:val="bottom"/>
            <w:hideMark/>
          </w:tcPr>
          <w:p w14:paraId="24338B4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noWrap/>
            <w:vAlign w:val="bottom"/>
            <w:hideMark/>
          </w:tcPr>
          <w:p w14:paraId="68724D13"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403B38A"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D0B5C3F"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3.000,00</w:t>
            </w:r>
          </w:p>
        </w:tc>
        <w:tc>
          <w:tcPr>
            <w:tcW w:w="993" w:type="dxa"/>
            <w:tcBorders>
              <w:top w:val="nil"/>
              <w:left w:val="nil"/>
              <w:bottom w:val="nil"/>
              <w:right w:val="nil"/>
            </w:tcBorders>
            <w:noWrap/>
            <w:vAlign w:val="bottom"/>
            <w:hideMark/>
          </w:tcPr>
          <w:p w14:paraId="57DEAFAE"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0D711E4" w14:textId="77777777" w:rsidTr="008A61B1">
        <w:trPr>
          <w:trHeight w:val="615"/>
        </w:trPr>
        <w:tc>
          <w:tcPr>
            <w:tcW w:w="6096" w:type="dxa"/>
            <w:gridSpan w:val="2"/>
            <w:tcBorders>
              <w:top w:val="nil"/>
              <w:left w:val="nil"/>
              <w:bottom w:val="nil"/>
              <w:right w:val="nil"/>
            </w:tcBorders>
            <w:shd w:val="clear" w:color="000000" w:fill="FFFF99"/>
            <w:vAlign w:val="bottom"/>
            <w:hideMark/>
          </w:tcPr>
          <w:p w14:paraId="3984753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A100073 Aktivnost: IZLOŽBENA DJELATNOST, OBLJETNICE I RADIONICE </w:t>
            </w:r>
          </w:p>
        </w:tc>
        <w:tc>
          <w:tcPr>
            <w:tcW w:w="1559" w:type="dxa"/>
            <w:tcBorders>
              <w:top w:val="nil"/>
              <w:left w:val="nil"/>
              <w:bottom w:val="nil"/>
              <w:right w:val="nil"/>
            </w:tcBorders>
            <w:shd w:val="clear" w:color="000000" w:fill="FFFF99"/>
            <w:noWrap/>
            <w:vAlign w:val="bottom"/>
            <w:hideMark/>
          </w:tcPr>
          <w:p w14:paraId="2990AA2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72.480,00</w:t>
            </w:r>
          </w:p>
        </w:tc>
        <w:tc>
          <w:tcPr>
            <w:tcW w:w="1559" w:type="dxa"/>
            <w:tcBorders>
              <w:top w:val="nil"/>
              <w:left w:val="nil"/>
              <w:bottom w:val="nil"/>
              <w:right w:val="nil"/>
            </w:tcBorders>
            <w:shd w:val="clear" w:color="000000" w:fill="FFFF99"/>
            <w:noWrap/>
            <w:vAlign w:val="bottom"/>
            <w:hideMark/>
          </w:tcPr>
          <w:p w14:paraId="2DDD3DD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72.480,00</w:t>
            </w:r>
          </w:p>
        </w:tc>
        <w:tc>
          <w:tcPr>
            <w:tcW w:w="1559" w:type="dxa"/>
            <w:tcBorders>
              <w:top w:val="nil"/>
              <w:left w:val="nil"/>
              <w:bottom w:val="nil"/>
              <w:right w:val="nil"/>
            </w:tcBorders>
            <w:shd w:val="clear" w:color="000000" w:fill="FFFF99"/>
            <w:noWrap/>
            <w:vAlign w:val="bottom"/>
            <w:hideMark/>
          </w:tcPr>
          <w:p w14:paraId="1B9B25F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36.681,59</w:t>
            </w:r>
          </w:p>
        </w:tc>
        <w:tc>
          <w:tcPr>
            <w:tcW w:w="993" w:type="dxa"/>
            <w:tcBorders>
              <w:top w:val="nil"/>
              <w:left w:val="nil"/>
              <w:bottom w:val="nil"/>
              <w:right w:val="nil"/>
            </w:tcBorders>
            <w:shd w:val="clear" w:color="000000" w:fill="FFFF99"/>
            <w:noWrap/>
            <w:vAlign w:val="bottom"/>
            <w:hideMark/>
          </w:tcPr>
          <w:p w14:paraId="2A0D71E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50,61%</w:t>
            </w:r>
          </w:p>
        </w:tc>
      </w:tr>
      <w:tr w:rsidR="006967F8" w:rsidRPr="006967F8" w14:paraId="308A5C4D"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5D63E68"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7724E8C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35.180,00</w:t>
            </w:r>
          </w:p>
        </w:tc>
        <w:tc>
          <w:tcPr>
            <w:tcW w:w="1559" w:type="dxa"/>
            <w:tcBorders>
              <w:top w:val="nil"/>
              <w:left w:val="nil"/>
              <w:bottom w:val="nil"/>
              <w:right w:val="nil"/>
            </w:tcBorders>
            <w:shd w:val="clear" w:color="000000" w:fill="CCCCFF"/>
            <w:noWrap/>
            <w:vAlign w:val="bottom"/>
            <w:hideMark/>
          </w:tcPr>
          <w:p w14:paraId="5E041C8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35.180,00</w:t>
            </w:r>
          </w:p>
        </w:tc>
        <w:tc>
          <w:tcPr>
            <w:tcW w:w="1559" w:type="dxa"/>
            <w:tcBorders>
              <w:top w:val="nil"/>
              <w:left w:val="nil"/>
              <w:bottom w:val="nil"/>
              <w:right w:val="nil"/>
            </w:tcBorders>
            <w:shd w:val="clear" w:color="000000" w:fill="CCCCFF"/>
            <w:noWrap/>
            <w:vAlign w:val="bottom"/>
            <w:hideMark/>
          </w:tcPr>
          <w:p w14:paraId="5EC80E7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25.134,46</w:t>
            </w:r>
          </w:p>
        </w:tc>
        <w:tc>
          <w:tcPr>
            <w:tcW w:w="993" w:type="dxa"/>
            <w:tcBorders>
              <w:top w:val="nil"/>
              <w:left w:val="nil"/>
              <w:bottom w:val="nil"/>
              <w:right w:val="nil"/>
            </w:tcBorders>
            <w:shd w:val="clear" w:color="000000" w:fill="CCCCFF"/>
            <w:noWrap/>
            <w:vAlign w:val="bottom"/>
            <w:hideMark/>
          </w:tcPr>
          <w:p w14:paraId="3BE08CE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71,45%</w:t>
            </w:r>
          </w:p>
        </w:tc>
      </w:tr>
      <w:tr w:rsidR="006967F8" w:rsidRPr="006967F8" w14:paraId="14FA1B74"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703BC68"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755FB1B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35.180,00</w:t>
            </w:r>
          </w:p>
        </w:tc>
        <w:tc>
          <w:tcPr>
            <w:tcW w:w="1559" w:type="dxa"/>
            <w:tcBorders>
              <w:top w:val="nil"/>
              <w:left w:val="nil"/>
              <w:bottom w:val="nil"/>
              <w:right w:val="nil"/>
            </w:tcBorders>
            <w:shd w:val="clear" w:color="000000" w:fill="CCCCFF"/>
            <w:noWrap/>
            <w:vAlign w:val="bottom"/>
            <w:hideMark/>
          </w:tcPr>
          <w:p w14:paraId="7332258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35.180,00</w:t>
            </w:r>
          </w:p>
        </w:tc>
        <w:tc>
          <w:tcPr>
            <w:tcW w:w="1559" w:type="dxa"/>
            <w:tcBorders>
              <w:top w:val="nil"/>
              <w:left w:val="nil"/>
              <w:bottom w:val="nil"/>
              <w:right w:val="nil"/>
            </w:tcBorders>
            <w:shd w:val="clear" w:color="000000" w:fill="CCCCFF"/>
            <w:noWrap/>
            <w:vAlign w:val="bottom"/>
            <w:hideMark/>
          </w:tcPr>
          <w:p w14:paraId="65D5A64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25.134,46</w:t>
            </w:r>
          </w:p>
        </w:tc>
        <w:tc>
          <w:tcPr>
            <w:tcW w:w="993" w:type="dxa"/>
            <w:tcBorders>
              <w:top w:val="nil"/>
              <w:left w:val="nil"/>
              <w:bottom w:val="nil"/>
              <w:right w:val="nil"/>
            </w:tcBorders>
            <w:shd w:val="clear" w:color="000000" w:fill="CCCCFF"/>
            <w:noWrap/>
            <w:vAlign w:val="bottom"/>
            <w:hideMark/>
          </w:tcPr>
          <w:p w14:paraId="505982C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71,45%</w:t>
            </w:r>
          </w:p>
        </w:tc>
      </w:tr>
      <w:tr w:rsidR="006967F8" w:rsidRPr="006967F8" w14:paraId="61E75F33" w14:textId="77777777" w:rsidTr="008A61B1">
        <w:trPr>
          <w:trHeight w:val="255"/>
        </w:trPr>
        <w:tc>
          <w:tcPr>
            <w:tcW w:w="1134" w:type="dxa"/>
            <w:tcBorders>
              <w:top w:val="nil"/>
              <w:left w:val="nil"/>
              <w:bottom w:val="nil"/>
              <w:right w:val="nil"/>
            </w:tcBorders>
            <w:noWrap/>
            <w:vAlign w:val="bottom"/>
            <w:hideMark/>
          </w:tcPr>
          <w:p w14:paraId="59FBF5D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3213755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2F88D5C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35.180,00</w:t>
            </w:r>
          </w:p>
        </w:tc>
        <w:tc>
          <w:tcPr>
            <w:tcW w:w="1559" w:type="dxa"/>
            <w:tcBorders>
              <w:top w:val="nil"/>
              <w:left w:val="nil"/>
              <w:bottom w:val="nil"/>
              <w:right w:val="nil"/>
            </w:tcBorders>
            <w:noWrap/>
            <w:vAlign w:val="bottom"/>
            <w:hideMark/>
          </w:tcPr>
          <w:p w14:paraId="2F7E315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35.180,00</w:t>
            </w:r>
          </w:p>
        </w:tc>
        <w:tc>
          <w:tcPr>
            <w:tcW w:w="1559" w:type="dxa"/>
            <w:tcBorders>
              <w:top w:val="nil"/>
              <w:left w:val="nil"/>
              <w:bottom w:val="nil"/>
              <w:right w:val="nil"/>
            </w:tcBorders>
            <w:noWrap/>
            <w:vAlign w:val="bottom"/>
            <w:hideMark/>
          </w:tcPr>
          <w:p w14:paraId="1737049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25.134,46</w:t>
            </w:r>
          </w:p>
        </w:tc>
        <w:tc>
          <w:tcPr>
            <w:tcW w:w="993" w:type="dxa"/>
            <w:tcBorders>
              <w:top w:val="nil"/>
              <w:left w:val="nil"/>
              <w:bottom w:val="nil"/>
              <w:right w:val="nil"/>
            </w:tcBorders>
            <w:noWrap/>
            <w:vAlign w:val="bottom"/>
            <w:hideMark/>
          </w:tcPr>
          <w:p w14:paraId="34B6BFC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71,45%</w:t>
            </w:r>
          </w:p>
        </w:tc>
      </w:tr>
      <w:tr w:rsidR="006967F8" w:rsidRPr="006967F8" w14:paraId="0DDEE1C0" w14:textId="77777777" w:rsidTr="008A61B1">
        <w:trPr>
          <w:trHeight w:val="255"/>
        </w:trPr>
        <w:tc>
          <w:tcPr>
            <w:tcW w:w="1134" w:type="dxa"/>
            <w:tcBorders>
              <w:top w:val="nil"/>
              <w:left w:val="nil"/>
              <w:bottom w:val="nil"/>
              <w:right w:val="nil"/>
            </w:tcBorders>
            <w:noWrap/>
            <w:vAlign w:val="bottom"/>
            <w:hideMark/>
          </w:tcPr>
          <w:p w14:paraId="043C0CA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3211</w:t>
            </w:r>
          </w:p>
        </w:tc>
        <w:tc>
          <w:tcPr>
            <w:tcW w:w="4962" w:type="dxa"/>
            <w:tcBorders>
              <w:top w:val="nil"/>
              <w:left w:val="nil"/>
              <w:bottom w:val="nil"/>
              <w:right w:val="nil"/>
            </w:tcBorders>
            <w:noWrap/>
            <w:vAlign w:val="bottom"/>
            <w:hideMark/>
          </w:tcPr>
          <w:p w14:paraId="0EBF514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Službena putovanja</w:t>
            </w:r>
          </w:p>
        </w:tc>
        <w:tc>
          <w:tcPr>
            <w:tcW w:w="1559" w:type="dxa"/>
            <w:tcBorders>
              <w:top w:val="nil"/>
              <w:left w:val="nil"/>
              <w:bottom w:val="nil"/>
              <w:right w:val="nil"/>
            </w:tcBorders>
            <w:noWrap/>
            <w:vAlign w:val="bottom"/>
            <w:hideMark/>
          </w:tcPr>
          <w:p w14:paraId="5C9E7B2B"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6E8010E"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D7D4728"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60,00</w:t>
            </w:r>
          </w:p>
        </w:tc>
        <w:tc>
          <w:tcPr>
            <w:tcW w:w="993" w:type="dxa"/>
            <w:tcBorders>
              <w:top w:val="nil"/>
              <w:left w:val="nil"/>
              <w:bottom w:val="nil"/>
              <w:right w:val="nil"/>
            </w:tcBorders>
            <w:noWrap/>
            <w:vAlign w:val="bottom"/>
            <w:hideMark/>
          </w:tcPr>
          <w:p w14:paraId="5A1FB7E6"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189F00E" w14:textId="77777777" w:rsidTr="008A61B1">
        <w:trPr>
          <w:trHeight w:val="255"/>
        </w:trPr>
        <w:tc>
          <w:tcPr>
            <w:tcW w:w="1134" w:type="dxa"/>
            <w:tcBorders>
              <w:top w:val="nil"/>
              <w:left w:val="nil"/>
              <w:bottom w:val="nil"/>
              <w:right w:val="nil"/>
            </w:tcBorders>
            <w:noWrap/>
            <w:vAlign w:val="bottom"/>
            <w:hideMark/>
          </w:tcPr>
          <w:p w14:paraId="3A874B8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3221</w:t>
            </w:r>
          </w:p>
        </w:tc>
        <w:tc>
          <w:tcPr>
            <w:tcW w:w="4962" w:type="dxa"/>
            <w:tcBorders>
              <w:top w:val="nil"/>
              <w:left w:val="nil"/>
              <w:bottom w:val="nil"/>
              <w:right w:val="nil"/>
            </w:tcBorders>
            <w:noWrap/>
            <w:vAlign w:val="bottom"/>
            <w:hideMark/>
          </w:tcPr>
          <w:p w14:paraId="73687C0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Uredski materijal i ostali materijalni rashodi</w:t>
            </w:r>
          </w:p>
        </w:tc>
        <w:tc>
          <w:tcPr>
            <w:tcW w:w="1559" w:type="dxa"/>
            <w:tcBorders>
              <w:top w:val="nil"/>
              <w:left w:val="nil"/>
              <w:bottom w:val="nil"/>
              <w:right w:val="nil"/>
            </w:tcBorders>
            <w:noWrap/>
            <w:vAlign w:val="bottom"/>
            <w:hideMark/>
          </w:tcPr>
          <w:p w14:paraId="0A6A6B5D"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FA59465"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E3AB6B6"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855,71</w:t>
            </w:r>
          </w:p>
        </w:tc>
        <w:tc>
          <w:tcPr>
            <w:tcW w:w="993" w:type="dxa"/>
            <w:tcBorders>
              <w:top w:val="nil"/>
              <w:left w:val="nil"/>
              <w:bottom w:val="nil"/>
              <w:right w:val="nil"/>
            </w:tcBorders>
            <w:noWrap/>
            <w:vAlign w:val="bottom"/>
            <w:hideMark/>
          </w:tcPr>
          <w:p w14:paraId="2D806405"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88D21BB" w14:textId="77777777" w:rsidTr="008A61B1">
        <w:trPr>
          <w:trHeight w:val="255"/>
        </w:trPr>
        <w:tc>
          <w:tcPr>
            <w:tcW w:w="1134" w:type="dxa"/>
            <w:tcBorders>
              <w:top w:val="nil"/>
              <w:left w:val="nil"/>
              <w:bottom w:val="nil"/>
              <w:right w:val="nil"/>
            </w:tcBorders>
            <w:noWrap/>
            <w:vAlign w:val="bottom"/>
            <w:hideMark/>
          </w:tcPr>
          <w:p w14:paraId="13CB139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3225</w:t>
            </w:r>
          </w:p>
        </w:tc>
        <w:tc>
          <w:tcPr>
            <w:tcW w:w="4962" w:type="dxa"/>
            <w:tcBorders>
              <w:top w:val="nil"/>
              <w:left w:val="nil"/>
              <w:bottom w:val="nil"/>
              <w:right w:val="nil"/>
            </w:tcBorders>
            <w:noWrap/>
            <w:vAlign w:val="bottom"/>
            <w:hideMark/>
          </w:tcPr>
          <w:p w14:paraId="70BA6A4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 xml:space="preserve">Sitni inventar i </w:t>
            </w:r>
            <w:proofErr w:type="spellStart"/>
            <w:r w:rsidRPr="006967F8">
              <w:rPr>
                <w:rFonts w:ascii="Arial" w:eastAsia="Times New Roman" w:hAnsi="Arial" w:cs="Arial"/>
                <w:sz w:val="20"/>
                <w:szCs w:val="20"/>
                <w:lang w:eastAsia="hr-HR"/>
              </w:rPr>
              <w:t>autogume</w:t>
            </w:r>
            <w:proofErr w:type="spellEnd"/>
          </w:p>
        </w:tc>
        <w:tc>
          <w:tcPr>
            <w:tcW w:w="1559" w:type="dxa"/>
            <w:tcBorders>
              <w:top w:val="nil"/>
              <w:left w:val="nil"/>
              <w:bottom w:val="nil"/>
              <w:right w:val="nil"/>
            </w:tcBorders>
            <w:noWrap/>
            <w:vAlign w:val="bottom"/>
            <w:hideMark/>
          </w:tcPr>
          <w:p w14:paraId="3A8C265F"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DA8D8AA"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18CB68B"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567,43</w:t>
            </w:r>
          </w:p>
        </w:tc>
        <w:tc>
          <w:tcPr>
            <w:tcW w:w="993" w:type="dxa"/>
            <w:tcBorders>
              <w:top w:val="nil"/>
              <w:left w:val="nil"/>
              <w:bottom w:val="nil"/>
              <w:right w:val="nil"/>
            </w:tcBorders>
            <w:noWrap/>
            <w:vAlign w:val="bottom"/>
            <w:hideMark/>
          </w:tcPr>
          <w:p w14:paraId="4E43C298"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D11D387" w14:textId="77777777" w:rsidTr="008A61B1">
        <w:trPr>
          <w:trHeight w:val="255"/>
        </w:trPr>
        <w:tc>
          <w:tcPr>
            <w:tcW w:w="1134" w:type="dxa"/>
            <w:tcBorders>
              <w:top w:val="nil"/>
              <w:left w:val="nil"/>
              <w:bottom w:val="nil"/>
              <w:right w:val="nil"/>
            </w:tcBorders>
            <w:noWrap/>
            <w:vAlign w:val="bottom"/>
            <w:hideMark/>
          </w:tcPr>
          <w:p w14:paraId="7953B49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3233</w:t>
            </w:r>
          </w:p>
        </w:tc>
        <w:tc>
          <w:tcPr>
            <w:tcW w:w="4962" w:type="dxa"/>
            <w:tcBorders>
              <w:top w:val="nil"/>
              <w:left w:val="nil"/>
              <w:bottom w:val="nil"/>
              <w:right w:val="nil"/>
            </w:tcBorders>
            <w:noWrap/>
            <w:vAlign w:val="bottom"/>
            <w:hideMark/>
          </w:tcPr>
          <w:p w14:paraId="1B44AEE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promidžbe i informiranja</w:t>
            </w:r>
          </w:p>
        </w:tc>
        <w:tc>
          <w:tcPr>
            <w:tcW w:w="1559" w:type="dxa"/>
            <w:tcBorders>
              <w:top w:val="nil"/>
              <w:left w:val="nil"/>
              <w:bottom w:val="nil"/>
              <w:right w:val="nil"/>
            </w:tcBorders>
            <w:noWrap/>
            <w:vAlign w:val="bottom"/>
            <w:hideMark/>
          </w:tcPr>
          <w:p w14:paraId="34F75D17"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0BB0E87"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3291C58"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6.875,00</w:t>
            </w:r>
          </w:p>
        </w:tc>
        <w:tc>
          <w:tcPr>
            <w:tcW w:w="993" w:type="dxa"/>
            <w:tcBorders>
              <w:top w:val="nil"/>
              <w:left w:val="nil"/>
              <w:bottom w:val="nil"/>
              <w:right w:val="nil"/>
            </w:tcBorders>
            <w:noWrap/>
            <w:vAlign w:val="bottom"/>
            <w:hideMark/>
          </w:tcPr>
          <w:p w14:paraId="0B314ADE"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220069D" w14:textId="77777777" w:rsidTr="008A61B1">
        <w:trPr>
          <w:trHeight w:val="255"/>
        </w:trPr>
        <w:tc>
          <w:tcPr>
            <w:tcW w:w="1134" w:type="dxa"/>
            <w:tcBorders>
              <w:top w:val="nil"/>
              <w:left w:val="nil"/>
              <w:bottom w:val="nil"/>
              <w:right w:val="nil"/>
            </w:tcBorders>
            <w:noWrap/>
            <w:vAlign w:val="bottom"/>
            <w:hideMark/>
          </w:tcPr>
          <w:p w14:paraId="2FECDAA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3237</w:t>
            </w:r>
          </w:p>
        </w:tc>
        <w:tc>
          <w:tcPr>
            <w:tcW w:w="4962" w:type="dxa"/>
            <w:tcBorders>
              <w:top w:val="nil"/>
              <w:left w:val="nil"/>
              <w:bottom w:val="nil"/>
              <w:right w:val="nil"/>
            </w:tcBorders>
            <w:noWrap/>
            <w:vAlign w:val="bottom"/>
            <w:hideMark/>
          </w:tcPr>
          <w:p w14:paraId="2C8E09C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Intelektualne i osobne usluge</w:t>
            </w:r>
          </w:p>
        </w:tc>
        <w:tc>
          <w:tcPr>
            <w:tcW w:w="1559" w:type="dxa"/>
            <w:tcBorders>
              <w:top w:val="nil"/>
              <w:left w:val="nil"/>
              <w:bottom w:val="nil"/>
              <w:right w:val="nil"/>
            </w:tcBorders>
            <w:noWrap/>
            <w:vAlign w:val="bottom"/>
            <w:hideMark/>
          </w:tcPr>
          <w:p w14:paraId="6019AC1F"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3ED0E22"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8440545"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16.542,83</w:t>
            </w:r>
          </w:p>
        </w:tc>
        <w:tc>
          <w:tcPr>
            <w:tcW w:w="993" w:type="dxa"/>
            <w:tcBorders>
              <w:top w:val="nil"/>
              <w:left w:val="nil"/>
              <w:bottom w:val="nil"/>
              <w:right w:val="nil"/>
            </w:tcBorders>
            <w:noWrap/>
            <w:vAlign w:val="bottom"/>
            <w:hideMark/>
          </w:tcPr>
          <w:p w14:paraId="748AF683"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0FD751B" w14:textId="77777777" w:rsidTr="008A61B1">
        <w:trPr>
          <w:trHeight w:val="255"/>
        </w:trPr>
        <w:tc>
          <w:tcPr>
            <w:tcW w:w="1134" w:type="dxa"/>
            <w:tcBorders>
              <w:top w:val="nil"/>
              <w:left w:val="nil"/>
              <w:bottom w:val="nil"/>
              <w:right w:val="nil"/>
            </w:tcBorders>
            <w:noWrap/>
            <w:vAlign w:val="bottom"/>
            <w:hideMark/>
          </w:tcPr>
          <w:p w14:paraId="71AA74C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3293</w:t>
            </w:r>
          </w:p>
        </w:tc>
        <w:tc>
          <w:tcPr>
            <w:tcW w:w="4962" w:type="dxa"/>
            <w:tcBorders>
              <w:top w:val="nil"/>
              <w:left w:val="nil"/>
              <w:bottom w:val="nil"/>
              <w:right w:val="nil"/>
            </w:tcBorders>
            <w:noWrap/>
            <w:vAlign w:val="bottom"/>
            <w:hideMark/>
          </w:tcPr>
          <w:p w14:paraId="334FA60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Reprezentacija</w:t>
            </w:r>
          </w:p>
        </w:tc>
        <w:tc>
          <w:tcPr>
            <w:tcW w:w="1559" w:type="dxa"/>
            <w:tcBorders>
              <w:top w:val="nil"/>
              <w:left w:val="nil"/>
              <w:bottom w:val="nil"/>
              <w:right w:val="nil"/>
            </w:tcBorders>
            <w:noWrap/>
            <w:vAlign w:val="bottom"/>
            <w:hideMark/>
          </w:tcPr>
          <w:p w14:paraId="11A228F3"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509BF28"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1F722F2"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233,49</w:t>
            </w:r>
          </w:p>
        </w:tc>
        <w:tc>
          <w:tcPr>
            <w:tcW w:w="993" w:type="dxa"/>
            <w:tcBorders>
              <w:top w:val="nil"/>
              <w:left w:val="nil"/>
              <w:bottom w:val="nil"/>
              <w:right w:val="nil"/>
            </w:tcBorders>
            <w:noWrap/>
            <w:vAlign w:val="bottom"/>
            <w:hideMark/>
          </w:tcPr>
          <w:p w14:paraId="71046757"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A064DE0"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6827A6E"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3. VLASTITI PRIHODI</w:t>
            </w:r>
          </w:p>
        </w:tc>
        <w:tc>
          <w:tcPr>
            <w:tcW w:w="1559" w:type="dxa"/>
            <w:tcBorders>
              <w:top w:val="nil"/>
              <w:left w:val="nil"/>
              <w:bottom w:val="nil"/>
              <w:right w:val="nil"/>
            </w:tcBorders>
            <w:shd w:val="clear" w:color="000000" w:fill="CCCCFF"/>
            <w:noWrap/>
            <w:vAlign w:val="bottom"/>
            <w:hideMark/>
          </w:tcPr>
          <w:p w14:paraId="769F9DD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10.300,00</w:t>
            </w:r>
          </w:p>
        </w:tc>
        <w:tc>
          <w:tcPr>
            <w:tcW w:w="1559" w:type="dxa"/>
            <w:tcBorders>
              <w:top w:val="nil"/>
              <w:left w:val="nil"/>
              <w:bottom w:val="nil"/>
              <w:right w:val="nil"/>
            </w:tcBorders>
            <w:shd w:val="clear" w:color="000000" w:fill="CCCCFF"/>
            <w:noWrap/>
            <w:vAlign w:val="bottom"/>
            <w:hideMark/>
          </w:tcPr>
          <w:p w14:paraId="6476E65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10.300,00</w:t>
            </w:r>
          </w:p>
        </w:tc>
        <w:tc>
          <w:tcPr>
            <w:tcW w:w="1559" w:type="dxa"/>
            <w:tcBorders>
              <w:top w:val="nil"/>
              <w:left w:val="nil"/>
              <w:bottom w:val="nil"/>
              <w:right w:val="nil"/>
            </w:tcBorders>
            <w:shd w:val="clear" w:color="000000" w:fill="CCCCFF"/>
            <w:noWrap/>
            <w:vAlign w:val="bottom"/>
            <w:hideMark/>
          </w:tcPr>
          <w:p w14:paraId="406FA27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7.047,13</w:t>
            </w:r>
          </w:p>
        </w:tc>
        <w:tc>
          <w:tcPr>
            <w:tcW w:w="993" w:type="dxa"/>
            <w:tcBorders>
              <w:top w:val="nil"/>
              <w:left w:val="nil"/>
              <w:bottom w:val="nil"/>
              <w:right w:val="nil"/>
            </w:tcBorders>
            <w:shd w:val="clear" w:color="000000" w:fill="CCCCFF"/>
            <w:noWrap/>
            <w:vAlign w:val="bottom"/>
            <w:hideMark/>
          </w:tcPr>
          <w:p w14:paraId="15B7DF8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68,42%</w:t>
            </w:r>
          </w:p>
        </w:tc>
      </w:tr>
      <w:tr w:rsidR="006967F8" w:rsidRPr="006967F8" w14:paraId="7B1AAD19"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EE6676F"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3.2. Vlastiti prihodi proračunskih korisnika</w:t>
            </w:r>
          </w:p>
        </w:tc>
        <w:tc>
          <w:tcPr>
            <w:tcW w:w="1559" w:type="dxa"/>
            <w:tcBorders>
              <w:top w:val="nil"/>
              <w:left w:val="nil"/>
              <w:bottom w:val="nil"/>
              <w:right w:val="nil"/>
            </w:tcBorders>
            <w:shd w:val="clear" w:color="000000" w:fill="CCCCFF"/>
            <w:noWrap/>
            <w:vAlign w:val="bottom"/>
            <w:hideMark/>
          </w:tcPr>
          <w:p w14:paraId="181AFE1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10.300,00</w:t>
            </w:r>
          </w:p>
        </w:tc>
        <w:tc>
          <w:tcPr>
            <w:tcW w:w="1559" w:type="dxa"/>
            <w:tcBorders>
              <w:top w:val="nil"/>
              <w:left w:val="nil"/>
              <w:bottom w:val="nil"/>
              <w:right w:val="nil"/>
            </w:tcBorders>
            <w:shd w:val="clear" w:color="000000" w:fill="CCCCFF"/>
            <w:noWrap/>
            <w:vAlign w:val="bottom"/>
            <w:hideMark/>
          </w:tcPr>
          <w:p w14:paraId="5E92A06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10.300,00</w:t>
            </w:r>
          </w:p>
        </w:tc>
        <w:tc>
          <w:tcPr>
            <w:tcW w:w="1559" w:type="dxa"/>
            <w:tcBorders>
              <w:top w:val="nil"/>
              <w:left w:val="nil"/>
              <w:bottom w:val="nil"/>
              <w:right w:val="nil"/>
            </w:tcBorders>
            <w:shd w:val="clear" w:color="000000" w:fill="CCCCFF"/>
            <w:noWrap/>
            <w:vAlign w:val="bottom"/>
            <w:hideMark/>
          </w:tcPr>
          <w:p w14:paraId="3A21814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7.047,13</w:t>
            </w:r>
          </w:p>
        </w:tc>
        <w:tc>
          <w:tcPr>
            <w:tcW w:w="993" w:type="dxa"/>
            <w:tcBorders>
              <w:top w:val="nil"/>
              <w:left w:val="nil"/>
              <w:bottom w:val="nil"/>
              <w:right w:val="nil"/>
            </w:tcBorders>
            <w:shd w:val="clear" w:color="000000" w:fill="CCCCFF"/>
            <w:noWrap/>
            <w:vAlign w:val="bottom"/>
            <w:hideMark/>
          </w:tcPr>
          <w:p w14:paraId="3268D75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68,42%</w:t>
            </w:r>
          </w:p>
        </w:tc>
      </w:tr>
      <w:tr w:rsidR="006967F8" w:rsidRPr="006967F8" w14:paraId="33B9096B" w14:textId="77777777" w:rsidTr="008A61B1">
        <w:trPr>
          <w:trHeight w:val="255"/>
        </w:trPr>
        <w:tc>
          <w:tcPr>
            <w:tcW w:w="1134" w:type="dxa"/>
            <w:tcBorders>
              <w:top w:val="nil"/>
              <w:left w:val="nil"/>
              <w:bottom w:val="nil"/>
              <w:right w:val="nil"/>
            </w:tcBorders>
            <w:noWrap/>
            <w:vAlign w:val="bottom"/>
            <w:hideMark/>
          </w:tcPr>
          <w:p w14:paraId="496F9FA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5A4BAD9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244F6C5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10.300,00</w:t>
            </w:r>
          </w:p>
        </w:tc>
        <w:tc>
          <w:tcPr>
            <w:tcW w:w="1559" w:type="dxa"/>
            <w:tcBorders>
              <w:top w:val="nil"/>
              <w:left w:val="nil"/>
              <w:bottom w:val="nil"/>
              <w:right w:val="nil"/>
            </w:tcBorders>
            <w:noWrap/>
            <w:vAlign w:val="bottom"/>
            <w:hideMark/>
          </w:tcPr>
          <w:p w14:paraId="15FC5AC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10.300,00</w:t>
            </w:r>
          </w:p>
        </w:tc>
        <w:tc>
          <w:tcPr>
            <w:tcW w:w="1559" w:type="dxa"/>
            <w:tcBorders>
              <w:top w:val="nil"/>
              <w:left w:val="nil"/>
              <w:bottom w:val="nil"/>
              <w:right w:val="nil"/>
            </w:tcBorders>
            <w:noWrap/>
            <w:vAlign w:val="bottom"/>
            <w:hideMark/>
          </w:tcPr>
          <w:p w14:paraId="0D33C3A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7.047,13</w:t>
            </w:r>
          </w:p>
        </w:tc>
        <w:tc>
          <w:tcPr>
            <w:tcW w:w="993" w:type="dxa"/>
            <w:tcBorders>
              <w:top w:val="nil"/>
              <w:left w:val="nil"/>
              <w:bottom w:val="nil"/>
              <w:right w:val="nil"/>
            </w:tcBorders>
            <w:noWrap/>
            <w:vAlign w:val="bottom"/>
            <w:hideMark/>
          </w:tcPr>
          <w:p w14:paraId="15E600C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68,42%</w:t>
            </w:r>
          </w:p>
        </w:tc>
      </w:tr>
      <w:tr w:rsidR="006967F8" w:rsidRPr="006967F8" w14:paraId="2370C376" w14:textId="77777777" w:rsidTr="008A61B1">
        <w:trPr>
          <w:trHeight w:val="255"/>
        </w:trPr>
        <w:tc>
          <w:tcPr>
            <w:tcW w:w="1134" w:type="dxa"/>
            <w:tcBorders>
              <w:top w:val="nil"/>
              <w:left w:val="nil"/>
              <w:bottom w:val="nil"/>
              <w:right w:val="nil"/>
            </w:tcBorders>
            <w:noWrap/>
            <w:vAlign w:val="bottom"/>
            <w:hideMark/>
          </w:tcPr>
          <w:p w14:paraId="5CAB250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3211</w:t>
            </w:r>
          </w:p>
        </w:tc>
        <w:tc>
          <w:tcPr>
            <w:tcW w:w="4962" w:type="dxa"/>
            <w:tcBorders>
              <w:top w:val="nil"/>
              <w:left w:val="nil"/>
              <w:bottom w:val="nil"/>
              <w:right w:val="nil"/>
            </w:tcBorders>
            <w:noWrap/>
            <w:vAlign w:val="bottom"/>
            <w:hideMark/>
          </w:tcPr>
          <w:p w14:paraId="2CB7C77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Službena putovanja</w:t>
            </w:r>
          </w:p>
        </w:tc>
        <w:tc>
          <w:tcPr>
            <w:tcW w:w="1559" w:type="dxa"/>
            <w:tcBorders>
              <w:top w:val="nil"/>
              <w:left w:val="nil"/>
              <w:bottom w:val="nil"/>
              <w:right w:val="nil"/>
            </w:tcBorders>
            <w:noWrap/>
            <w:vAlign w:val="bottom"/>
            <w:hideMark/>
          </w:tcPr>
          <w:p w14:paraId="216B34B6"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8D1EADB"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82BAB01"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569,55</w:t>
            </w:r>
          </w:p>
        </w:tc>
        <w:tc>
          <w:tcPr>
            <w:tcW w:w="993" w:type="dxa"/>
            <w:tcBorders>
              <w:top w:val="nil"/>
              <w:left w:val="nil"/>
              <w:bottom w:val="nil"/>
              <w:right w:val="nil"/>
            </w:tcBorders>
            <w:noWrap/>
            <w:vAlign w:val="bottom"/>
            <w:hideMark/>
          </w:tcPr>
          <w:p w14:paraId="5E4BF7DD"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4CF0EBB" w14:textId="77777777" w:rsidTr="008A61B1">
        <w:trPr>
          <w:trHeight w:val="255"/>
        </w:trPr>
        <w:tc>
          <w:tcPr>
            <w:tcW w:w="1134" w:type="dxa"/>
            <w:tcBorders>
              <w:top w:val="nil"/>
              <w:left w:val="nil"/>
              <w:bottom w:val="nil"/>
              <w:right w:val="nil"/>
            </w:tcBorders>
            <w:noWrap/>
            <w:vAlign w:val="bottom"/>
            <w:hideMark/>
          </w:tcPr>
          <w:p w14:paraId="3807481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3221</w:t>
            </w:r>
          </w:p>
        </w:tc>
        <w:tc>
          <w:tcPr>
            <w:tcW w:w="4962" w:type="dxa"/>
            <w:tcBorders>
              <w:top w:val="nil"/>
              <w:left w:val="nil"/>
              <w:bottom w:val="nil"/>
              <w:right w:val="nil"/>
            </w:tcBorders>
            <w:noWrap/>
            <w:vAlign w:val="bottom"/>
            <w:hideMark/>
          </w:tcPr>
          <w:p w14:paraId="0A65FD2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Uredski materijal i ostali materijalni rashodi</w:t>
            </w:r>
          </w:p>
        </w:tc>
        <w:tc>
          <w:tcPr>
            <w:tcW w:w="1559" w:type="dxa"/>
            <w:tcBorders>
              <w:top w:val="nil"/>
              <w:left w:val="nil"/>
              <w:bottom w:val="nil"/>
              <w:right w:val="nil"/>
            </w:tcBorders>
            <w:noWrap/>
            <w:vAlign w:val="bottom"/>
            <w:hideMark/>
          </w:tcPr>
          <w:p w14:paraId="05AE076F"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05FD245"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712433B"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979,75</w:t>
            </w:r>
          </w:p>
        </w:tc>
        <w:tc>
          <w:tcPr>
            <w:tcW w:w="993" w:type="dxa"/>
            <w:tcBorders>
              <w:top w:val="nil"/>
              <w:left w:val="nil"/>
              <w:bottom w:val="nil"/>
              <w:right w:val="nil"/>
            </w:tcBorders>
            <w:noWrap/>
            <w:vAlign w:val="bottom"/>
            <w:hideMark/>
          </w:tcPr>
          <w:p w14:paraId="12AA280C"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B3F6AC6" w14:textId="77777777" w:rsidTr="008A61B1">
        <w:trPr>
          <w:trHeight w:val="255"/>
        </w:trPr>
        <w:tc>
          <w:tcPr>
            <w:tcW w:w="1134" w:type="dxa"/>
            <w:tcBorders>
              <w:top w:val="nil"/>
              <w:left w:val="nil"/>
              <w:bottom w:val="nil"/>
              <w:right w:val="nil"/>
            </w:tcBorders>
            <w:noWrap/>
            <w:vAlign w:val="bottom"/>
            <w:hideMark/>
          </w:tcPr>
          <w:p w14:paraId="3674E28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3233</w:t>
            </w:r>
          </w:p>
        </w:tc>
        <w:tc>
          <w:tcPr>
            <w:tcW w:w="4962" w:type="dxa"/>
            <w:tcBorders>
              <w:top w:val="nil"/>
              <w:left w:val="nil"/>
              <w:bottom w:val="nil"/>
              <w:right w:val="nil"/>
            </w:tcBorders>
            <w:noWrap/>
            <w:vAlign w:val="bottom"/>
            <w:hideMark/>
          </w:tcPr>
          <w:p w14:paraId="3D22BFD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promidžbe i informiranja</w:t>
            </w:r>
          </w:p>
        </w:tc>
        <w:tc>
          <w:tcPr>
            <w:tcW w:w="1559" w:type="dxa"/>
            <w:tcBorders>
              <w:top w:val="nil"/>
              <w:left w:val="nil"/>
              <w:bottom w:val="nil"/>
              <w:right w:val="nil"/>
            </w:tcBorders>
            <w:noWrap/>
            <w:vAlign w:val="bottom"/>
            <w:hideMark/>
          </w:tcPr>
          <w:p w14:paraId="7926656E"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10E345B"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8FB6997"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3.100,00</w:t>
            </w:r>
          </w:p>
        </w:tc>
        <w:tc>
          <w:tcPr>
            <w:tcW w:w="993" w:type="dxa"/>
            <w:tcBorders>
              <w:top w:val="nil"/>
              <w:left w:val="nil"/>
              <w:bottom w:val="nil"/>
              <w:right w:val="nil"/>
            </w:tcBorders>
            <w:noWrap/>
            <w:vAlign w:val="bottom"/>
            <w:hideMark/>
          </w:tcPr>
          <w:p w14:paraId="500E9A39"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CA64605" w14:textId="77777777" w:rsidTr="008A61B1">
        <w:trPr>
          <w:trHeight w:val="255"/>
        </w:trPr>
        <w:tc>
          <w:tcPr>
            <w:tcW w:w="1134" w:type="dxa"/>
            <w:tcBorders>
              <w:top w:val="nil"/>
              <w:left w:val="nil"/>
              <w:bottom w:val="nil"/>
              <w:right w:val="nil"/>
            </w:tcBorders>
            <w:noWrap/>
            <w:vAlign w:val="bottom"/>
            <w:hideMark/>
          </w:tcPr>
          <w:p w14:paraId="2AF0279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lastRenderedPageBreak/>
              <w:t>3237</w:t>
            </w:r>
          </w:p>
        </w:tc>
        <w:tc>
          <w:tcPr>
            <w:tcW w:w="4962" w:type="dxa"/>
            <w:tcBorders>
              <w:top w:val="nil"/>
              <w:left w:val="nil"/>
              <w:bottom w:val="nil"/>
              <w:right w:val="nil"/>
            </w:tcBorders>
            <w:noWrap/>
            <w:vAlign w:val="bottom"/>
            <w:hideMark/>
          </w:tcPr>
          <w:p w14:paraId="5A2C8B4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Intelektualne i osobne usluge</w:t>
            </w:r>
          </w:p>
        </w:tc>
        <w:tc>
          <w:tcPr>
            <w:tcW w:w="1559" w:type="dxa"/>
            <w:tcBorders>
              <w:top w:val="nil"/>
              <w:left w:val="nil"/>
              <w:bottom w:val="nil"/>
              <w:right w:val="nil"/>
            </w:tcBorders>
            <w:noWrap/>
            <w:vAlign w:val="bottom"/>
            <w:hideMark/>
          </w:tcPr>
          <w:p w14:paraId="79E7E314"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FFF709F"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590756E"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2.238,81</w:t>
            </w:r>
          </w:p>
        </w:tc>
        <w:tc>
          <w:tcPr>
            <w:tcW w:w="993" w:type="dxa"/>
            <w:tcBorders>
              <w:top w:val="nil"/>
              <w:left w:val="nil"/>
              <w:bottom w:val="nil"/>
              <w:right w:val="nil"/>
            </w:tcBorders>
            <w:noWrap/>
            <w:vAlign w:val="bottom"/>
            <w:hideMark/>
          </w:tcPr>
          <w:p w14:paraId="61F5C57D"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4DDC2B7" w14:textId="77777777" w:rsidTr="008A61B1">
        <w:trPr>
          <w:trHeight w:val="255"/>
        </w:trPr>
        <w:tc>
          <w:tcPr>
            <w:tcW w:w="1134" w:type="dxa"/>
            <w:tcBorders>
              <w:top w:val="nil"/>
              <w:left w:val="nil"/>
              <w:bottom w:val="nil"/>
              <w:right w:val="nil"/>
            </w:tcBorders>
            <w:noWrap/>
            <w:vAlign w:val="bottom"/>
            <w:hideMark/>
          </w:tcPr>
          <w:p w14:paraId="01D9001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3239</w:t>
            </w:r>
          </w:p>
        </w:tc>
        <w:tc>
          <w:tcPr>
            <w:tcW w:w="4962" w:type="dxa"/>
            <w:tcBorders>
              <w:top w:val="nil"/>
              <w:left w:val="nil"/>
              <w:bottom w:val="nil"/>
              <w:right w:val="nil"/>
            </w:tcBorders>
            <w:noWrap/>
            <w:vAlign w:val="bottom"/>
            <w:hideMark/>
          </w:tcPr>
          <w:p w14:paraId="7CE536C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Ostale usluge</w:t>
            </w:r>
          </w:p>
        </w:tc>
        <w:tc>
          <w:tcPr>
            <w:tcW w:w="1559" w:type="dxa"/>
            <w:tcBorders>
              <w:top w:val="nil"/>
              <w:left w:val="nil"/>
              <w:bottom w:val="nil"/>
              <w:right w:val="nil"/>
            </w:tcBorders>
            <w:noWrap/>
            <w:vAlign w:val="bottom"/>
            <w:hideMark/>
          </w:tcPr>
          <w:p w14:paraId="0072D0D4"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FC2147B"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39886C1"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159,02</w:t>
            </w:r>
          </w:p>
        </w:tc>
        <w:tc>
          <w:tcPr>
            <w:tcW w:w="993" w:type="dxa"/>
            <w:tcBorders>
              <w:top w:val="nil"/>
              <w:left w:val="nil"/>
              <w:bottom w:val="nil"/>
              <w:right w:val="nil"/>
            </w:tcBorders>
            <w:noWrap/>
            <w:vAlign w:val="bottom"/>
            <w:hideMark/>
          </w:tcPr>
          <w:p w14:paraId="6D7677C5"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6E2D9FB"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A83D3F3"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2E66F9A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27.000,00</w:t>
            </w:r>
          </w:p>
        </w:tc>
        <w:tc>
          <w:tcPr>
            <w:tcW w:w="1559" w:type="dxa"/>
            <w:tcBorders>
              <w:top w:val="nil"/>
              <w:left w:val="nil"/>
              <w:bottom w:val="nil"/>
              <w:right w:val="nil"/>
            </w:tcBorders>
            <w:shd w:val="clear" w:color="000000" w:fill="CCCCFF"/>
            <w:noWrap/>
            <w:vAlign w:val="bottom"/>
            <w:hideMark/>
          </w:tcPr>
          <w:p w14:paraId="3F84568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27.000,00</w:t>
            </w:r>
          </w:p>
        </w:tc>
        <w:tc>
          <w:tcPr>
            <w:tcW w:w="1559" w:type="dxa"/>
            <w:tcBorders>
              <w:top w:val="nil"/>
              <w:left w:val="nil"/>
              <w:bottom w:val="nil"/>
              <w:right w:val="nil"/>
            </w:tcBorders>
            <w:shd w:val="clear" w:color="000000" w:fill="CCCCFF"/>
            <w:noWrap/>
            <w:vAlign w:val="bottom"/>
            <w:hideMark/>
          </w:tcPr>
          <w:p w14:paraId="52F96C1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4.500,00</w:t>
            </w:r>
          </w:p>
        </w:tc>
        <w:tc>
          <w:tcPr>
            <w:tcW w:w="993" w:type="dxa"/>
            <w:tcBorders>
              <w:top w:val="nil"/>
              <w:left w:val="nil"/>
              <w:bottom w:val="nil"/>
              <w:right w:val="nil"/>
            </w:tcBorders>
            <w:shd w:val="clear" w:color="000000" w:fill="CCCCFF"/>
            <w:noWrap/>
            <w:vAlign w:val="bottom"/>
            <w:hideMark/>
          </w:tcPr>
          <w:p w14:paraId="45B4746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16,67%</w:t>
            </w:r>
          </w:p>
        </w:tc>
      </w:tr>
      <w:tr w:rsidR="006967F8" w:rsidRPr="006967F8" w14:paraId="68E2DDB2"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7D132FF"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5.5. Ostale pomoći  proračunskih korisnika</w:t>
            </w:r>
          </w:p>
        </w:tc>
        <w:tc>
          <w:tcPr>
            <w:tcW w:w="1559" w:type="dxa"/>
            <w:tcBorders>
              <w:top w:val="nil"/>
              <w:left w:val="nil"/>
              <w:bottom w:val="nil"/>
              <w:right w:val="nil"/>
            </w:tcBorders>
            <w:shd w:val="clear" w:color="000000" w:fill="CCCCFF"/>
            <w:noWrap/>
            <w:vAlign w:val="bottom"/>
            <w:hideMark/>
          </w:tcPr>
          <w:p w14:paraId="6F9E3F0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27.000,00</w:t>
            </w:r>
          </w:p>
        </w:tc>
        <w:tc>
          <w:tcPr>
            <w:tcW w:w="1559" w:type="dxa"/>
            <w:tcBorders>
              <w:top w:val="nil"/>
              <w:left w:val="nil"/>
              <w:bottom w:val="nil"/>
              <w:right w:val="nil"/>
            </w:tcBorders>
            <w:shd w:val="clear" w:color="000000" w:fill="CCCCFF"/>
            <w:noWrap/>
            <w:vAlign w:val="bottom"/>
            <w:hideMark/>
          </w:tcPr>
          <w:p w14:paraId="24E5841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27.000,00</w:t>
            </w:r>
          </w:p>
        </w:tc>
        <w:tc>
          <w:tcPr>
            <w:tcW w:w="1559" w:type="dxa"/>
            <w:tcBorders>
              <w:top w:val="nil"/>
              <w:left w:val="nil"/>
              <w:bottom w:val="nil"/>
              <w:right w:val="nil"/>
            </w:tcBorders>
            <w:shd w:val="clear" w:color="000000" w:fill="CCCCFF"/>
            <w:noWrap/>
            <w:vAlign w:val="bottom"/>
            <w:hideMark/>
          </w:tcPr>
          <w:p w14:paraId="1409C41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4.500,00</w:t>
            </w:r>
          </w:p>
        </w:tc>
        <w:tc>
          <w:tcPr>
            <w:tcW w:w="993" w:type="dxa"/>
            <w:tcBorders>
              <w:top w:val="nil"/>
              <w:left w:val="nil"/>
              <w:bottom w:val="nil"/>
              <w:right w:val="nil"/>
            </w:tcBorders>
            <w:shd w:val="clear" w:color="000000" w:fill="CCCCFF"/>
            <w:noWrap/>
            <w:vAlign w:val="bottom"/>
            <w:hideMark/>
          </w:tcPr>
          <w:p w14:paraId="55B3AC3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16,67%</w:t>
            </w:r>
          </w:p>
        </w:tc>
      </w:tr>
      <w:tr w:rsidR="006967F8" w:rsidRPr="006967F8" w14:paraId="058421D1" w14:textId="77777777" w:rsidTr="008A61B1">
        <w:trPr>
          <w:trHeight w:val="255"/>
        </w:trPr>
        <w:tc>
          <w:tcPr>
            <w:tcW w:w="1134" w:type="dxa"/>
            <w:tcBorders>
              <w:top w:val="nil"/>
              <w:left w:val="nil"/>
              <w:bottom w:val="nil"/>
              <w:right w:val="nil"/>
            </w:tcBorders>
            <w:noWrap/>
            <w:vAlign w:val="bottom"/>
            <w:hideMark/>
          </w:tcPr>
          <w:p w14:paraId="625FF17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15BE7EF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481916A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27.000,00</w:t>
            </w:r>
          </w:p>
        </w:tc>
        <w:tc>
          <w:tcPr>
            <w:tcW w:w="1559" w:type="dxa"/>
            <w:tcBorders>
              <w:top w:val="nil"/>
              <w:left w:val="nil"/>
              <w:bottom w:val="nil"/>
              <w:right w:val="nil"/>
            </w:tcBorders>
            <w:noWrap/>
            <w:vAlign w:val="bottom"/>
            <w:hideMark/>
          </w:tcPr>
          <w:p w14:paraId="0585FCF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27.000,00</w:t>
            </w:r>
          </w:p>
        </w:tc>
        <w:tc>
          <w:tcPr>
            <w:tcW w:w="1559" w:type="dxa"/>
            <w:tcBorders>
              <w:top w:val="nil"/>
              <w:left w:val="nil"/>
              <w:bottom w:val="nil"/>
              <w:right w:val="nil"/>
            </w:tcBorders>
            <w:noWrap/>
            <w:vAlign w:val="bottom"/>
            <w:hideMark/>
          </w:tcPr>
          <w:p w14:paraId="0046B82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4.500,00</w:t>
            </w:r>
          </w:p>
        </w:tc>
        <w:tc>
          <w:tcPr>
            <w:tcW w:w="993" w:type="dxa"/>
            <w:tcBorders>
              <w:top w:val="nil"/>
              <w:left w:val="nil"/>
              <w:bottom w:val="nil"/>
              <w:right w:val="nil"/>
            </w:tcBorders>
            <w:noWrap/>
            <w:vAlign w:val="bottom"/>
            <w:hideMark/>
          </w:tcPr>
          <w:p w14:paraId="3414300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16,67%</w:t>
            </w:r>
          </w:p>
        </w:tc>
      </w:tr>
      <w:tr w:rsidR="006967F8" w:rsidRPr="006967F8" w14:paraId="172D8D54" w14:textId="77777777" w:rsidTr="008A61B1">
        <w:trPr>
          <w:trHeight w:val="255"/>
        </w:trPr>
        <w:tc>
          <w:tcPr>
            <w:tcW w:w="1134" w:type="dxa"/>
            <w:tcBorders>
              <w:top w:val="nil"/>
              <w:left w:val="nil"/>
              <w:bottom w:val="nil"/>
              <w:right w:val="nil"/>
            </w:tcBorders>
            <w:noWrap/>
            <w:vAlign w:val="bottom"/>
            <w:hideMark/>
          </w:tcPr>
          <w:p w14:paraId="39120E8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3233</w:t>
            </w:r>
          </w:p>
        </w:tc>
        <w:tc>
          <w:tcPr>
            <w:tcW w:w="4962" w:type="dxa"/>
            <w:tcBorders>
              <w:top w:val="nil"/>
              <w:left w:val="nil"/>
              <w:bottom w:val="nil"/>
              <w:right w:val="nil"/>
            </w:tcBorders>
            <w:noWrap/>
            <w:vAlign w:val="bottom"/>
            <w:hideMark/>
          </w:tcPr>
          <w:p w14:paraId="04C4A62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promidžbe i informiranja</w:t>
            </w:r>
          </w:p>
        </w:tc>
        <w:tc>
          <w:tcPr>
            <w:tcW w:w="1559" w:type="dxa"/>
            <w:tcBorders>
              <w:top w:val="nil"/>
              <w:left w:val="nil"/>
              <w:bottom w:val="nil"/>
              <w:right w:val="nil"/>
            </w:tcBorders>
            <w:noWrap/>
            <w:vAlign w:val="bottom"/>
            <w:hideMark/>
          </w:tcPr>
          <w:p w14:paraId="07267D09"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A978075"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127FF90"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4.500,00</w:t>
            </w:r>
          </w:p>
        </w:tc>
        <w:tc>
          <w:tcPr>
            <w:tcW w:w="993" w:type="dxa"/>
            <w:tcBorders>
              <w:top w:val="nil"/>
              <w:left w:val="nil"/>
              <w:bottom w:val="nil"/>
              <w:right w:val="nil"/>
            </w:tcBorders>
            <w:noWrap/>
            <w:vAlign w:val="bottom"/>
            <w:hideMark/>
          </w:tcPr>
          <w:p w14:paraId="06842935"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53872ED" w14:textId="77777777" w:rsidTr="008A61B1">
        <w:trPr>
          <w:trHeight w:val="255"/>
        </w:trPr>
        <w:tc>
          <w:tcPr>
            <w:tcW w:w="6096" w:type="dxa"/>
            <w:gridSpan w:val="2"/>
            <w:tcBorders>
              <w:top w:val="nil"/>
              <w:left w:val="nil"/>
              <w:bottom w:val="nil"/>
              <w:right w:val="nil"/>
            </w:tcBorders>
            <w:shd w:val="clear" w:color="000000" w:fill="FFFF99"/>
            <w:noWrap/>
            <w:vAlign w:val="bottom"/>
            <w:hideMark/>
          </w:tcPr>
          <w:p w14:paraId="4993966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K100074 Kapitalni projekt: NABAVA OPREME </w:t>
            </w:r>
          </w:p>
        </w:tc>
        <w:tc>
          <w:tcPr>
            <w:tcW w:w="1559" w:type="dxa"/>
            <w:tcBorders>
              <w:top w:val="nil"/>
              <w:left w:val="nil"/>
              <w:bottom w:val="nil"/>
              <w:right w:val="nil"/>
            </w:tcBorders>
            <w:shd w:val="clear" w:color="000000" w:fill="FFFF99"/>
            <w:noWrap/>
            <w:vAlign w:val="bottom"/>
            <w:hideMark/>
          </w:tcPr>
          <w:p w14:paraId="3DFD9A7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9.000,00</w:t>
            </w:r>
          </w:p>
        </w:tc>
        <w:tc>
          <w:tcPr>
            <w:tcW w:w="1559" w:type="dxa"/>
            <w:tcBorders>
              <w:top w:val="nil"/>
              <w:left w:val="nil"/>
              <w:bottom w:val="nil"/>
              <w:right w:val="nil"/>
            </w:tcBorders>
            <w:shd w:val="clear" w:color="000000" w:fill="FFFF99"/>
            <w:noWrap/>
            <w:vAlign w:val="bottom"/>
            <w:hideMark/>
          </w:tcPr>
          <w:p w14:paraId="451B0DF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9.000,00</w:t>
            </w:r>
          </w:p>
        </w:tc>
        <w:tc>
          <w:tcPr>
            <w:tcW w:w="1559" w:type="dxa"/>
            <w:tcBorders>
              <w:top w:val="nil"/>
              <w:left w:val="nil"/>
              <w:bottom w:val="nil"/>
              <w:right w:val="nil"/>
            </w:tcBorders>
            <w:shd w:val="clear" w:color="000000" w:fill="FFFF99"/>
            <w:noWrap/>
            <w:vAlign w:val="bottom"/>
            <w:hideMark/>
          </w:tcPr>
          <w:p w14:paraId="39F45F1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8.992,50</w:t>
            </w:r>
          </w:p>
        </w:tc>
        <w:tc>
          <w:tcPr>
            <w:tcW w:w="993" w:type="dxa"/>
            <w:tcBorders>
              <w:top w:val="nil"/>
              <w:left w:val="nil"/>
              <w:bottom w:val="nil"/>
              <w:right w:val="nil"/>
            </w:tcBorders>
            <w:shd w:val="clear" w:color="000000" w:fill="FFFF99"/>
            <w:noWrap/>
            <w:vAlign w:val="bottom"/>
            <w:hideMark/>
          </w:tcPr>
          <w:p w14:paraId="6EF056A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99,92%</w:t>
            </w:r>
          </w:p>
        </w:tc>
      </w:tr>
      <w:tr w:rsidR="006967F8" w:rsidRPr="006967F8" w14:paraId="61820424"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19D9B21"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0655213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9.000,00</w:t>
            </w:r>
          </w:p>
        </w:tc>
        <w:tc>
          <w:tcPr>
            <w:tcW w:w="1559" w:type="dxa"/>
            <w:tcBorders>
              <w:top w:val="nil"/>
              <w:left w:val="nil"/>
              <w:bottom w:val="nil"/>
              <w:right w:val="nil"/>
            </w:tcBorders>
            <w:shd w:val="clear" w:color="000000" w:fill="CCCCFF"/>
            <w:noWrap/>
            <w:vAlign w:val="bottom"/>
            <w:hideMark/>
          </w:tcPr>
          <w:p w14:paraId="0AE75DB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9.000,00</w:t>
            </w:r>
          </w:p>
        </w:tc>
        <w:tc>
          <w:tcPr>
            <w:tcW w:w="1559" w:type="dxa"/>
            <w:tcBorders>
              <w:top w:val="nil"/>
              <w:left w:val="nil"/>
              <w:bottom w:val="nil"/>
              <w:right w:val="nil"/>
            </w:tcBorders>
            <w:shd w:val="clear" w:color="000000" w:fill="CCCCFF"/>
            <w:noWrap/>
            <w:vAlign w:val="bottom"/>
            <w:hideMark/>
          </w:tcPr>
          <w:p w14:paraId="69024A0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8.992,50</w:t>
            </w:r>
          </w:p>
        </w:tc>
        <w:tc>
          <w:tcPr>
            <w:tcW w:w="993" w:type="dxa"/>
            <w:tcBorders>
              <w:top w:val="nil"/>
              <w:left w:val="nil"/>
              <w:bottom w:val="nil"/>
              <w:right w:val="nil"/>
            </w:tcBorders>
            <w:shd w:val="clear" w:color="000000" w:fill="CCCCFF"/>
            <w:noWrap/>
            <w:vAlign w:val="bottom"/>
            <w:hideMark/>
          </w:tcPr>
          <w:p w14:paraId="17DF02F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99,92%</w:t>
            </w:r>
          </w:p>
        </w:tc>
      </w:tr>
      <w:tr w:rsidR="006967F8" w:rsidRPr="006967F8" w14:paraId="3BEF1550"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3E5B251"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2DF6B41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9.000,00</w:t>
            </w:r>
          </w:p>
        </w:tc>
        <w:tc>
          <w:tcPr>
            <w:tcW w:w="1559" w:type="dxa"/>
            <w:tcBorders>
              <w:top w:val="nil"/>
              <w:left w:val="nil"/>
              <w:bottom w:val="nil"/>
              <w:right w:val="nil"/>
            </w:tcBorders>
            <w:shd w:val="clear" w:color="000000" w:fill="CCCCFF"/>
            <w:noWrap/>
            <w:vAlign w:val="bottom"/>
            <w:hideMark/>
          </w:tcPr>
          <w:p w14:paraId="6C67374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9.000,00</w:t>
            </w:r>
          </w:p>
        </w:tc>
        <w:tc>
          <w:tcPr>
            <w:tcW w:w="1559" w:type="dxa"/>
            <w:tcBorders>
              <w:top w:val="nil"/>
              <w:left w:val="nil"/>
              <w:bottom w:val="nil"/>
              <w:right w:val="nil"/>
            </w:tcBorders>
            <w:shd w:val="clear" w:color="000000" w:fill="CCCCFF"/>
            <w:noWrap/>
            <w:vAlign w:val="bottom"/>
            <w:hideMark/>
          </w:tcPr>
          <w:p w14:paraId="4EBFD09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8.992,50</w:t>
            </w:r>
          </w:p>
        </w:tc>
        <w:tc>
          <w:tcPr>
            <w:tcW w:w="993" w:type="dxa"/>
            <w:tcBorders>
              <w:top w:val="nil"/>
              <w:left w:val="nil"/>
              <w:bottom w:val="nil"/>
              <w:right w:val="nil"/>
            </w:tcBorders>
            <w:shd w:val="clear" w:color="000000" w:fill="CCCCFF"/>
            <w:noWrap/>
            <w:vAlign w:val="bottom"/>
            <w:hideMark/>
          </w:tcPr>
          <w:p w14:paraId="2FB1329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99,92%</w:t>
            </w:r>
          </w:p>
        </w:tc>
      </w:tr>
      <w:tr w:rsidR="006967F8" w:rsidRPr="006967F8" w14:paraId="755EDD6E" w14:textId="77777777" w:rsidTr="008A61B1">
        <w:trPr>
          <w:trHeight w:val="540"/>
        </w:trPr>
        <w:tc>
          <w:tcPr>
            <w:tcW w:w="1134" w:type="dxa"/>
            <w:tcBorders>
              <w:top w:val="nil"/>
              <w:left w:val="nil"/>
              <w:bottom w:val="nil"/>
              <w:right w:val="nil"/>
            </w:tcBorders>
            <w:noWrap/>
            <w:vAlign w:val="bottom"/>
            <w:hideMark/>
          </w:tcPr>
          <w:p w14:paraId="5E116FF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5E00F84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664263D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9.000,00</w:t>
            </w:r>
          </w:p>
        </w:tc>
        <w:tc>
          <w:tcPr>
            <w:tcW w:w="1559" w:type="dxa"/>
            <w:tcBorders>
              <w:top w:val="nil"/>
              <w:left w:val="nil"/>
              <w:bottom w:val="nil"/>
              <w:right w:val="nil"/>
            </w:tcBorders>
            <w:noWrap/>
            <w:vAlign w:val="bottom"/>
            <w:hideMark/>
          </w:tcPr>
          <w:p w14:paraId="1BFCD59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9.000,00</w:t>
            </w:r>
          </w:p>
        </w:tc>
        <w:tc>
          <w:tcPr>
            <w:tcW w:w="1559" w:type="dxa"/>
            <w:tcBorders>
              <w:top w:val="nil"/>
              <w:left w:val="nil"/>
              <w:bottom w:val="nil"/>
              <w:right w:val="nil"/>
            </w:tcBorders>
            <w:noWrap/>
            <w:vAlign w:val="bottom"/>
            <w:hideMark/>
          </w:tcPr>
          <w:p w14:paraId="4D9BF62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8.992,50</w:t>
            </w:r>
          </w:p>
        </w:tc>
        <w:tc>
          <w:tcPr>
            <w:tcW w:w="993" w:type="dxa"/>
            <w:tcBorders>
              <w:top w:val="nil"/>
              <w:left w:val="nil"/>
              <w:bottom w:val="nil"/>
              <w:right w:val="nil"/>
            </w:tcBorders>
            <w:noWrap/>
            <w:vAlign w:val="bottom"/>
            <w:hideMark/>
          </w:tcPr>
          <w:p w14:paraId="733FE5C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99,92%</w:t>
            </w:r>
          </w:p>
        </w:tc>
      </w:tr>
      <w:tr w:rsidR="006967F8" w:rsidRPr="006967F8" w14:paraId="33AF85F3" w14:textId="77777777" w:rsidTr="008A61B1">
        <w:trPr>
          <w:trHeight w:val="255"/>
        </w:trPr>
        <w:tc>
          <w:tcPr>
            <w:tcW w:w="1134" w:type="dxa"/>
            <w:tcBorders>
              <w:top w:val="nil"/>
              <w:left w:val="nil"/>
              <w:bottom w:val="nil"/>
              <w:right w:val="nil"/>
            </w:tcBorders>
            <w:noWrap/>
            <w:vAlign w:val="bottom"/>
            <w:hideMark/>
          </w:tcPr>
          <w:p w14:paraId="5361B29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4221</w:t>
            </w:r>
          </w:p>
        </w:tc>
        <w:tc>
          <w:tcPr>
            <w:tcW w:w="4962" w:type="dxa"/>
            <w:tcBorders>
              <w:top w:val="nil"/>
              <w:left w:val="nil"/>
              <w:bottom w:val="nil"/>
              <w:right w:val="nil"/>
            </w:tcBorders>
            <w:noWrap/>
            <w:vAlign w:val="bottom"/>
            <w:hideMark/>
          </w:tcPr>
          <w:p w14:paraId="660CCE1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Uredska oprema i namještaj</w:t>
            </w:r>
          </w:p>
        </w:tc>
        <w:tc>
          <w:tcPr>
            <w:tcW w:w="1559" w:type="dxa"/>
            <w:tcBorders>
              <w:top w:val="nil"/>
              <w:left w:val="nil"/>
              <w:bottom w:val="nil"/>
              <w:right w:val="nil"/>
            </w:tcBorders>
            <w:noWrap/>
            <w:vAlign w:val="bottom"/>
            <w:hideMark/>
          </w:tcPr>
          <w:p w14:paraId="144AA7D7"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F159D07"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B35D8AE"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8.992,50</w:t>
            </w:r>
          </w:p>
        </w:tc>
        <w:tc>
          <w:tcPr>
            <w:tcW w:w="993" w:type="dxa"/>
            <w:tcBorders>
              <w:top w:val="nil"/>
              <w:left w:val="nil"/>
              <w:bottom w:val="nil"/>
              <w:right w:val="nil"/>
            </w:tcBorders>
            <w:noWrap/>
            <w:vAlign w:val="bottom"/>
            <w:hideMark/>
          </w:tcPr>
          <w:p w14:paraId="6BC65B75"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5742A89" w14:textId="77777777" w:rsidTr="008A61B1">
        <w:trPr>
          <w:trHeight w:val="255"/>
        </w:trPr>
        <w:tc>
          <w:tcPr>
            <w:tcW w:w="6096" w:type="dxa"/>
            <w:gridSpan w:val="2"/>
            <w:tcBorders>
              <w:top w:val="nil"/>
              <w:left w:val="nil"/>
              <w:bottom w:val="nil"/>
              <w:right w:val="nil"/>
            </w:tcBorders>
            <w:shd w:val="clear" w:color="000000" w:fill="FFFF99"/>
            <w:noWrap/>
            <w:vAlign w:val="bottom"/>
            <w:hideMark/>
          </w:tcPr>
          <w:p w14:paraId="6FB28B3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T100072 Tekući projekt: TROGIR THROUGH TIME</w:t>
            </w:r>
          </w:p>
        </w:tc>
        <w:tc>
          <w:tcPr>
            <w:tcW w:w="1559" w:type="dxa"/>
            <w:tcBorders>
              <w:top w:val="nil"/>
              <w:left w:val="nil"/>
              <w:bottom w:val="nil"/>
              <w:right w:val="nil"/>
            </w:tcBorders>
            <w:shd w:val="clear" w:color="000000" w:fill="FFFF99"/>
            <w:noWrap/>
            <w:vAlign w:val="bottom"/>
            <w:hideMark/>
          </w:tcPr>
          <w:p w14:paraId="2F9402A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24.000,00</w:t>
            </w:r>
          </w:p>
        </w:tc>
        <w:tc>
          <w:tcPr>
            <w:tcW w:w="1559" w:type="dxa"/>
            <w:tcBorders>
              <w:top w:val="nil"/>
              <w:left w:val="nil"/>
              <w:bottom w:val="nil"/>
              <w:right w:val="nil"/>
            </w:tcBorders>
            <w:shd w:val="clear" w:color="000000" w:fill="FFFF99"/>
            <w:noWrap/>
            <w:vAlign w:val="bottom"/>
            <w:hideMark/>
          </w:tcPr>
          <w:p w14:paraId="5C362E0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24.000,00</w:t>
            </w:r>
          </w:p>
        </w:tc>
        <w:tc>
          <w:tcPr>
            <w:tcW w:w="1559" w:type="dxa"/>
            <w:tcBorders>
              <w:top w:val="nil"/>
              <w:left w:val="nil"/>
              <w:bottom w:val="nil"/>
              <w:right w:val="nil"/>
            </w:tcBorders>
            <w:shd w:val="clear" w:color="000000" w:fill="FFFF99"/>
            <w:noWrap/>
            <w:vAlign w:val="bottom"/>
            <w:hideMark/>
          </w:tcPr>
          <w:p w14:paraId="258FFA2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12.727,06</w:t>
            </w:r>
          </w:p>
        </w:tc>
        <w:tc>
          <w:tcPr>
            <w:tcW w:w="993" w:type="dxa"/>
            <w:tcBorders>
              <w:top w:val="nil"/>
              <w:left w:val="nil"/>
              <w:bottom w:val="nil"/>
              <w:right w:val="nil"/>
            </w:tcBorders>
            <w:shd w:val="clear" w:color="000000" w:fill="FFFF99"/>
            <w:noWrap/>
            <w:vAlign w:val="bottom"/>
            <w:hideMark/>
          </w:tcPr>
          <w:p w14:paraId="1F7CE54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53,03%</w:t>
            </w:r>
          </w:p>
        </w:tc>
      </w:tr>
      <w:tr w:rsidR="006967F8" w:rsidRPr="006967F8" w14:paraId="445E65C2"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4909287"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595206D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w:t>
            </w:r>
          </w:p>
        </w:tc>
        <w:tc>
          <w:tcPr>
            <w:tcW w:w="1559" w:type="dxa"/>
            <w:tcBorders>
              <w:top w:val="nil"/>
              <w:left w:val="nil"/>
              <w:bottom w:val="nil"/>
              <w:right w:val="nil"/>
            </w:tcBorders>
            <w:shd w:val="clear" w:color="000000" w:fill="CCCCFF"/>
            <w:noWrap/>
            <w:vAlign w:val="bottom"/>
            <w:hideMark/>
          </w:tcPr>
          <w:p w14:paraId="3ADCDF4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w:t>
            </w:r>
          </w:p>
        </w:tc>
        <w:tc>
          <w:tcPr>
            <w:tcW w:w="1559" w:type="dxa"/>
            <w:tcBorders>
              <w:top w:val="nil"/>
              <w:left w:val="nil"/>
              <w:bottom w:val="nil"/>
              <w:right w:val="nil"/>
            </w:tcBorders>
            <w:shd w:val="clear" w:color="000000" w:fill="CCCCFF"/>
            <w:noWrap/>
            <w:vAlign w:val="bottom"/>
            <w:hideMark/>
          </w:tcPr>
          <w:p w14:paraId="466EDF6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2.727,06</w:t>
            </w:r>
          </w:p>
        </w:tc>
        <w:tc>
          <w:tcPr>
            <w:tcW w:w="993" w:type="dxa"/>
            <w:tcBorders>
              <w:top w:val="nil"/>
              <w:left w:val="nil"/>
              <w:bottom w:val="nil"/>
              <w:right w:val="nil"/>
            </w:tcBorders>
            <w:shd w:val="clear" w:color="000000" w:fill="CCCCFF"/>
            <w:noWrap/>
            <w:vAlign w:val="bottom"/>
            <w:hideMark/>
          </w:tcPr>
          <w:p w14:paraId="267DD4E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68,18%</w:t>
            </w:r>
          </w:p>
        </w:tc>
      </w:tr>
      <w:tr w:rsidR="006967F8" w:rsidRPr="006967F8" w14:paraId="1DB64A9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4729F43"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6C54BAB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w:t>
            </w:r>
          </w:p>
        </w:tc>
        <w:tc>
          <w:tcPr>
            <w:tcW w:w="1559" w:type="dxa"/>
            <w:tcBorders>
              <w:top w:val="nil"/>
              <w:left w:val="nil"/>
              <w:bottom w:val="nil"/>
              <w:right w:val="nil"/>
            </w:tcBorders>
            <w:shd w:val="clear" w:color="000000" w:fill="CCCCFF"/>
            <w:noWrap/>
            <w:vAlign w:val="bottom"/>
            <w:hideMark/>
          </w:tcPr>
          <w:p w14:paraId="098C9FA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w:t>
            </w:r>
          </w:p>
        </w:tc>
        <w:tc>
          <w:tcPr>
            <w:tcW w:w="1559" w:type="dxa"/>
            <w:tcBorders>
              <w:top w:val="nil"/>
              <w:left w:val="nil"/>
              <w:bottom w:val="nil"/>
              <w:right w:val="nil"/>
            </w:tcBorders>
            <w:shd w:val="clear" w:color="000000" w:fill="CCCCFF"/>
            <w:noWrap/>
            <w:vAlign w:val="bottom"/>
            <w:hideMark/>
          </w:tcPr>
          <w:p w14:paraId="72D4BB8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2.727,06</w:t>
            </w:r>
          </w:p>
        </w:tc>
        <w:tc>
          <w:tcPr>
            <w:tcW w:w="993" w:type="dxa"/>
            <w:tcBorders>
              <w:top w:val="nil"/>
              <w:left w:val="nil"/>
              <w:bottom w:val="nil"/>
              <w:right w:val="nil"/>
            </w:tcBorders>
            <w:shd w:val="clear" w:color="000000" w:fill="CCCCFF"/>
            <w:noWrap/>
            <w:vAlign w:val="bottom"/>
            <w:hideMark/>
          </w:tcPr>
          <w:p w14:paraId="662B144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68,18%</w:t>
            </w:r>
          </w:p>
        </w:tc>
      </w:tr>
      <w:tr w:rsidR="006967F8" w:rsidRPr="006967F8" w14:paraId="2629ACA6" w14:textId="77777777" w:rsidTr="008A61B1">
        <w:trPr>
          <w:trHeight w:val="255"/>
        </w:trPr>
        <w:tc>
          <w:tcPr>
            <w:tcW w:w="1134" w:type="dxa"/>
            <w:tcBorders>
              <w:top w:val="nil"/>
              <w:left w:val="nil"/>
              <w:bottom w:val="nil"/>
              <w:right w:val="nil"/>
            </w:tcBorders>
            <w:noWrap/>
            <w:vAlign w:val="bottom"/>
            <w:hideMark/>
          </w:tcPr>
          <w:p w14:paraId="7558C91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6A284F3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2773467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2.400,00</w:t>
            </w:r>
          </w:p>
        </w:tc>
        <w:tc>
          <w:tcPr>
            <w:tcW w:w="1559" w:type="dxa"/>
            <w:tcBorders>
              <w:top w:val="nil"/>
              <w:left w:val="nil"/>
              <w:bottom w:val="nil"/>
              <w:right w:val="nil"/>
            </w:tcBorders>
            <w:noWrap/>
            <w:vAlign w:val="bottom"/>
            <w:hideMark/>
          </w:tcPr>
          <w:p w14:paraId="0C64505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2.400,00</w:t>
            </w:r>
          </w:p>
        </w:tc>
        <w:tc>
          <w:tcPr>
            <w:tcW w:w="1559" w:type="dxa"/>
            <w:tcBorders>
              <w:top w:val="nil"/>
              <w:left w:val="nil"/>
              <w:bottom w:val="nil"/>
              <w:right w:val="nil"/>
            </w:tcBorders>
            <w:noWrap/>
            <w:vAlign w:val="bottom"/>
            <w:hideMark/>
          </w:tcPr>
          <w:p w14:paraId="7F6B5AD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2.316,06</w:t>
            </w:r>
          </w:p>
        </w:tc>
        <w:tc>
          <w:tcPr>
            <w:tcW w:w="993" w:type="dxa"/>
            <w:tcBorders>
              <w:top w:val="nil"/>
              <w:left w:val="nil"/>
              <w:bottom w:val="nil"/>
              <w:right w:val="nil"/>
            </w:tcBorders>
            <w:noWrap/>
            <w:vAlign w:val="bottom"/>
            <w:hideMark/>
          </w:tcPr>
          <w:p w14:paraId="5488FB9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96,50%</w:t>
            </w:r>
          </w:p>
        </w:tc>
      </w:tr>
      <w:tr w:rsidR="006967F8" w:rsidRPr="006967F8" w14:paraId="36427D54" w14:textId="77777777" w:rsidTr="008A61B1">
        <w:trPr>
          <w:trHeight w:val="255"/>
        </w:trPr>
        <w:tc>
          <w:tcPr>
            <w:tcW w:w="1134" w:type="dxa"/>
            <w:tcBorders>
              <w:top w:val="nil"/>
              <w:left w:val="nil"/>
              <w:bottom w:val="nil"/>
              <w:right w:val="nil"/>
            </w:tcBorders>
            <w:noWrap/>
            <w:vAlign w:val="bottom"/>
            <w:hideMark/>
          </w:tcPr>
          <w:p w14:paraId="27D1246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3211</w:t>
            </w:r>
          </w:p>
        </w:tc>
        <w:tc>
          <w:tcPr>
            <w:tcW w:w="4962" w:type="dxa"/>
            <w:tcBorders>
              <w:top w:val="nil"/>
              <w:left w:val="nil"/>
              <w:bottom w:val="nil"/>
              <w:right w:val="nil"/>
            </w:tcBorders>
            <w:noWrap/>
            <w:vAlign w:val="bottom"/>
            <w:hideMark/>
          </w:tcPr>
          <w:p w14:paraId="1D6DB9C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Službena putovanja</w:t>
            </w:r>
          </w:p>
        </w:tc>
        <w:tc>
          <w:tcPr>
            <w:tcW w:w="1559" w:type="dxa"/>
            <w:tcBorders>
              <w:top w:val="nil"/>
              <w:left w:val="nil"/>
              <w:bottom w:val="nil"/>
              <w:right w:val="nil"/>
            </w:tcBorders>
            <w:noWrap/>
            <w:vAlign w:val="bottom"/>
            <w:hideMark/>
          </w:tcPr>
          <w:p w14:paraId="157C58D7"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E68F244"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B230373"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668,48</w:t>
            </w:r>
          </w:p>
        </w:tc>
        <w:tc>
          <w:tcPr>
            <w:tcW w:w="993" w:type="dxa"/>
            <w:tcBorders>
              <w:top w:val="nil"/>
              <w:left w:val="nil"/>
              <w:bottom w:val="nil"/>
              <w:right w:val="nil"/>
            </w:tcBorders>
            <w:noWrap/>
            <w:vAlign w:val="bottom"/>
            <w:hideMark/>
          </w:tcPr>
          <w:p w14:paraId="09485070"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786E414" w14:textId="77777777" w:rsidTr="008A61B1">
        <w:trPr>
          <w:trHeight w:val="255"/>
        </w:trPr>
        <w:tc>
          <w:tcPr>
            <w:tcW w:w="1134" w:type="dxa"/>
            <w:tcBorders>
              <w:top w:val="nil"/>
              <w:left w:val="nil"/>
              <w:bottom w:val="nil"/>
              <w:right w:val="nil"/>
            </w:tcBorders>
            <w:noWrap/>
            <w:vAlign w:val="bottom"/>
            <w:hideMark/>
          </w:tcPr>
          <w:p w14:paraId="2FCED28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3214</w:t>
            </w:r>
          </w:p>
        </w:tc>
        <w:tc>
          <w:tcPr>
            <w:tcW w:w="4962" w:type="dxa"/>
            <w:tcBorders>
              <w:top w:val="nil"/>
              <w:left w:val="nil"/>
              <w:bottom w:val="nil"/>
              <w:right w:val="nil"/>
            </w:tcBorders>
            <w:noWrap/>
            <w:vAlign w:val="bottom"/>
            <w:hideMark/>
          </w:tcPr>
          <w:p w14:paraId="2C6FB58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Ostale naknade troškova zaposlenima</w:t>
            </w:r>
          </w:p>
        </w:tc>
        <w:tc>
          <w:tcPr>
            <w:tcW w:w="1559" w:type="dxa"/>
            <w:tcBorders>
              <w:top w:val="nil"/>
              <w:left w:val="nil"/>
              <w:bottom w:val="nil"/>
              <w:right w:val="nil"/>
            </w:tcBorders>
            <w:noWrap/>
            <w:vAlign w:val="bottom"/>
            <w:hideMark/>
          </w:tcPr>
          <w:p w14:paraId="5492C046"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CE70FEE"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75AD069"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199,00</w:t>
            </w:r>
          </w:p>
        </w:tc>
        <w:tc>
          <w:tcPr>
            <w:tcW w:w="993" w:type="dxa"/>
            <w:tcBorders>
              <w:top w:val="nil"/>
              <w:left w:val="nil"/>
              <w:bottom w:val="nil"/>
              <w:right w:val="nil"/>
            </w:tcBorders>
            <w:noWrap/>
            <w:vAlign w:val="bottom"/>
            <w:hideMark/>
          </w:tcPr>
          <w:p w14:paraId="21FA39C4"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824527B" w14:textId="77777777" w:rsidTr="008A61B1">
        <w:trPr>
          <w:trHeight w:val="255"/>
        </w:trPr>
        <w:tc>
          <w:tcPr>
            <w:tcW w:w="1134" w:type="dxa"/>
            <w:tcBorders>
              <w:top w:val="nil"/>
              <w:left w:val="nil"/>
              <w:bottom w:val="nil"/>
              <w:right w:val="nil"/>
            </w:tcBorders>
            <w:noWrap/>
            <w:vAlign w:val="bottom"/>
            <w:hideMark/>
          </w:tcPr>
          <w:p w14:paraId="2CE89ED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3237</w:t>
            </w:r>
          </w:p>
        </w:tc>
        <w:tc>
          <w:tcPr>
            <w:tcW w:w="4962" w:type="dxa"/>
            <w:tcBorders>
              <w:top w:val="nil"/>
              <w:left w:val="nil"/>
              <w:bottom w:val="nil"/>
              <w:right w:val="nil"/>
            </w:tcBorders>
            <w:noWrap/>
            <w:vAlign w:val="bottom"/>
            <w:hideMark/>
          </w:tcPr>
          <w:p w14:paraId="73238F0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Intelektualne i osobne usluge</w:t>
            </w:r>
          </w:p>
        </w:tc>
        <w:tc>
          <w:tcPr>
            <w:tcW w:w="1559" w:type="dxa"/>
            <w:tcBorders>
              <w:top w:val="nil"/>
              <w:left w:val="nil"/>
              <w:bottom w:val="nil"/>
              <w:right w:val="nil"/>
            </w:tcBorders>
            <w:noWrap/>
            <w:vAlign w:val="bottom"/>
            <w:hideMark/>
          </w:tcPr>
          <w:p w14:paraId="3633CED9"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C932EAC"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5728681"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1.448,58</w:t>
            </w:r>
          </w:p>
        </w:tc>
        <w:tc>
          <w:tcPr>
            <w:tcW w:w="993" w:type="dxa"/>
            <w:tcBorders>
              <w:top w:val="nil"/>
              <w:left w:val="nil"/>
              <w:bottom w:val="nil"/>
              <w:right w:val="nil"/>
            </w:tcBorders>
            <w:noWrap/>
            <w:vAlign w:val="bottom"/>
            <w:hideMark/>
          </w:tcPr>
          <w:p w14:paraId="059ECCD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760D837" w14:textId="77777777" w:rsidTr="008A61B1">
        <w:trPr>
          <w:trHeight w:val="555"/>
        </w:trPr>
        <w:tc>
          <w:tcPr>
            <w:tcW w:w="1134" w:type="dxa"/>
            <w:tcBorders>
              <w:top w:val="nil"/>
              <w:left w:val="nil"/>
              <w:bottom w:val="nil"/>
              <w:right w:val="nil"/>
            </w:tcBorders>
            <w:noWrap/>
            <w:vAlign w:val="bottom"/>
            <w:hideMark/>
          </w:tcPr>
          <w:p w14:paraId="647D096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2BDDC02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75208F6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1.600,00</w:t>
            </w:r>
          </w:p>
        </w:tc>
        <w:tc>
          <w:tcPr>
            <w:tcW w:w="1559" w:type="dxa"/>
            <w:tcBorders>
              <w:top w:val="nil"/>
              <w:left w:val="nil"/>
              <w:bottom w:val="nil"/>
              <w:right w:val="nil"/>
            </w:tcBorders>
            <w:noWrap/>
            <w:vAlign w:val="bottom"/>
            <w:hideMark/>
          </w:tcPr>
          <w:p w14:paraId="7D2B0F7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1.600,00</w:t>
            </w:r>
          </w:p>
        </w:tc>
        <w:tc>
          <w:tcPr>
            <w:tcW w:w="1559" w:type="dxa"/>
            <w:tcBorders>
              <w:top w:val="nil"/>
              <w:left w:val="nil"/>
              <w:bottom w:val="nil"/>
              <w:right w:val="nil"/>
            </w:tcBorders>
            <w:noWrap/>
            <w:vAlign w:val="bottom"/>
            <w:hideMark/>
          </w:tcPr>
          <w:p w14:paraId="77FDB53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411,00</w:t>
            </w:r>
          </w:p>
        </w:tc>
        <w:tc>
          <w:tcPr>
            <w:tcW w:w="993" w:type="dxa"/>
            <w:tcBorders>
              <w:top w:val="nil"/>
              <w:left w:val="nil"/>
              <w:bottom w:val="nil"/>
              <w:right w:val="nil"/>
            </w:tcBorders>
            <w:noWrap/>
            <w:vAlign w:val="bottom"/>
            <w:hideMark/>
          </w:tcPr>
          <w:p w14:paraId="5B1E604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25,69%</w:t>
            </w:r>
          </w:p>
        </w:tc>
      </w:tr>
      <w:tr w:rsidR="006967F8" w:rsidRPr="006967F8" w14:paraId="14E9EFE5" w14:textId="77777777" w:rsidTr="008A61B1">
        <w:trPr>
          <w:trHeight w:val="255"/>
        </w:trPr>
        <w:tc>
          <w:tcPr>
            <w:tcW w:w="1134" w:type="dxa"/>
            <w:tcBorders>
              <w:top w:val="nil"/>
              <w:left w:val="nil"/>
              <w:bottom w:val="nil"/>
              <w:right w:val="nil"/>
            </w:tcBorders>
            <w:noWrap/>
            <w:vAlign w:val="bottom"/>
            <w:hideMark/>
          </w:tcPr>
          <w:p w14:paraId="19538DF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4221</w:t>
            </w:r>
          </w:p>
        </w:tc>
        <w:tc>
          <w:tcPr>
            <w:tcW w:w="4962" w:type="dxa"/>
            <w:tcBorders>
              <w:top w:val="nil"/>
              <w:left w:val="nil"/>
              <w:bottom w:val="nil"/>
              <w:right w:val="nil"/>
            </w:tcBorders>
            <w:noWrap/>
            <w:vAlign w:val="bottom"/>
            <w:hideMark/>
          </w:tcPr>
          <w:p w14:paraId="3579603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Uredska oprema i namještaj</w:t>
            </w:r>
          </w:p>
        </w:tc>
        <w:tc>
          <w:tcPr>
            <w:tcW w:w="1559" w:type="dxa"/>
            <w:tcBorders>
              <w:top w:val="nil"/>
              <w:left w:val="nil"/>
              <w:bottom w:val="nil"/>
              <w:right w:val="nil"/>
            </w:tcBorders>
            <w:noWrap/>
            <w:vAlign w:val="bottom"/>
            <w:hideMark/>
          </w:tcPr>
          <w:p w14:paraId="0C6C2B7E"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CCD45A2"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9F52EEB"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411,00</w:t>
            </w:r>
          </w:p>
        </w:tc>
        <w:tc>
          <w:tcPr>
            <w:tcW w:w="993" w:type="dxa"/>
            <w:tcBorders>
              <w:top w:val="nil"/>
              <w:left w:val="nil"/>
              <w:bottom w:val="nil"/>
              <w:right w:val="nil"/>
            </w:tcBorders>
            <w:noWrap/>
            <w:vAlign w:val="bottom"/>
            <w:hideMark/>
          </w:tcPr>
          <w:p w14:paraId="2E15C9C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9E6865F"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DA4E48D"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69E0F68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765F467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401FAC8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10.000,00</w:t>
            </w:r>
          </w:p>
        </w:tc>
        <w:tc>
          <w:tcPr>
            <w:tcW w:w="993" w:type="dxa"/>
            <w:tcBorders>
              <w:top w:val="nil"/>
              <w:left w:val="nil"/>
              <w:bottom w:val="nil"/>
              <w:right w:val="nil"/>
            </w:tcBorders>
            <w:shd w:val="clear" w:color="000000" w:fill="CCCCFF"/>
            <w:noWrap/>
            <w:vAlign w:val="bottom"/>
            <w:hideMark/>
          </w:tcPr>
          <w:p w14:paraId="1A2BB5B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50,00%</w:t>
            </w:r>
          </w:p>
        </w:tc>
      </w:tr>
      <w:tr w:rsidR="006967F8" w:rsidRPr="006967F8" w14:paraId="0EB5FF7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BBDA508"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5.5. Ostale pomoći  proračunskih korisnika</w:t>
            </w:r>
          </w:p>
        </w:tc>
        <w:tc>
          <w:tcPr>
            <w:tcW w:w="1559" w:type="dxa"/>
            <w:tcBorders>
              <w:top w:val="nil"/>
              <w:left w:val="nil"/>
              <w:bottom w:val="nil"/>
              <w:right w:val="nil"/>
            </w:tcBorders>
            <w:shd w:val="clear" w:color="000000" w:fill="CCCCFF"/>
            <w:noWrap/>
            <w:vAlign w:val="bottom"/>
            <w:hideMark/>
          </w:tcPr>
          <w:p w14:paraId="7570F86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09F7433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6DDB6CA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10.000,00</w:t>
            </w:r>
          </w:p>
        </w:tc>
        <w:tc>
          <w:tcPr>
            <w:tcW w:w="993" w:type="dxa"/>
            <w:tcBorders>
              <w:top w:val="nil"/>
              <w:left w:val="nil"/>
              <w:bottom w:val="nil"/>
              <w:right w:val="nil"/>
            </w:tcBorders>
            <w:shd w:val="clear" w:color="000000" w:fill="CCCCFF"/>
            <w:noWrap/>
            <w:vAlign w:val="bottom"/>
            <w:hideMark/>
          </w:tcPr>
          <w:p w14:paraId="15E509C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50,00%</w:t>
            </w:r>
          </w:p>
        </w:tc>
      </w:tr>
      <w:tr w:rsidR="006967F8" w:rsidRPr="006967F8" w14:paraId="53BF6D1F" w14:textId="77777777" w:rsidTr="008A61B1">
        <w:trPr>
          <w:trHeight w:val="255"/>
        </w:trPr>
        <w:tc>
          <w:tcPr>
            <w:tcW w:w="1134" w:type="dxa"/>
            <w:tcBorders>
              <w:top w:val="nil"/>
              <w:left w:val="nil"/>
              <w:bottom w:val="nil"/>
              <w:right w:val="nil"/>
            </w:tcBorders>
            <w:noWrap/>
            <w:vAlign w:val="bottom"/>
            <w:hideMark/>
          </w:tcPr>
          <w:p w14:paraId="7716A46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3AAE601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4EA8DCE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noWrap/>
            <w:vAlign w:val="bottom"/>
            <w:hideMark/>
          </w:tcPr>
          <w:p w14:paraId="3F3014A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noWrap/>
            <w:vAlign w:val="bottom"/>
            <w:hideMark/>
          </w:tcPr>
          <w:p w14:paraId="329589D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993" w:type="dxa"/>
            <w:tcBorders>
              <w:top w:val="nil"/>
              <w:left w:val="nil"/>
              <w:bottom w:val="nil"/>
              <w:right w:val="nil"/>
            </w:tcBorders>
            <w:noWrap/>
            <w:vAlign w:val="bottom"/>
            <w:hideMark/>
          </w:tcPr>
          <w:p w14:paraId="2DD4B20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w:t>
            </w:r>
          </w:p>
        </w:tc>
      </w:tr>
      <w:tr w:rsidR="006967F8" w:rsidRPr="006967F8" w14:paraId="3E71628E" w14:textId="77777777" w:rsidTr="008A61B1">
        <w:trPr>
          <w:trHeight w:val="255"/>
        </w:trPr>
        <w:tc>
          <w:tcPr>
            <w:tcW w:w="1134" w:type="dxa"/>
            <w:tcBorders>
              <w:top w:val="nil"/>
              <w:left w:val="nil"/>
              <w:bottom w:val="nil"/>
              <w:right w:val="nil"/>
            </w:tcBorders>
            <w:noWrap/>
            <w:vAlign w:val="bottom"/>
            <w:hideMark/>
          </w:tcPr>
          <w:p w14:paraId="71CA144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3237</w:t>
            </w:r>
          </w:p>
        </w:tc>
        <w:tc>
          <w:tcPr>
            <w:tcW w:w="4962" w:type="dxa"/>
            <w:tcBorders>
              <w:top w:val="nil"/>
              <w:left w:val="nil"/>
              <w:bottom w:val="nil"/>
              <w:right w:val="nil"/>
            </w:tcBorders>
            <w:noWrap/>
            <w:vAlign w:val="bottom"/>
            <w:hideMark/>
          </w:tcPr>
          <w:p w14:paraId="7078D5B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Intelektualne i osobne usluge</w:t>
            </w:r>
          </w:p>
        </w:tc>
        <w:tc>
          <w:tcPr>
            <w:tcW w:w="1559" w:type="dxa"/>
            <w:tcBorders>
              <w:top w:val="nil"/>
              <w:left w:val="nil"/>
              <w:bottom w:val="nil"/>
              <w:right w:val="nil"/>
            </w:tcBorders>
            <w:noWrap/>
            <w:vAlign w:val="bottom"/>
            <w:hideMark/>
          </w:tcPr>
          <w:p w14:paraId="66AB92F0"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F30E9B6"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282D3DD"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10.000,00</w:t>
            </w:r>
          </w:p>
        </w:tc>
        <w:tc>
          <w:tcPr>
            <w:tcW w:w="993" w:type="dxa"/>
            <w:tcBorders>
              <w:top w:val="nil"/>
              <w:left w:val="nil"/>
              <w:bottom w:val="nil"/>
              <w:right w:val="nil"/>
            </w:tcBorders>
            <w:noWrap/>
            <w:vAlign w:val="bottom"/>
            <w:hideMark/>
          </w:tcPr>
          <w:p w14:paraId="2006C2F1"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7EFBC6D" w14:textId="77777777" w:rsidTr="008A61B1">
        <w:trPr>
          <w:trHeight w:val="255"/>
        </w:trPr>
        <w:tc>
          <w:tcPr>
            <w:tcW w:w="6096" w:type="dxa"/>
            <w:gridSpan w:val="2"/>
            <w:tcBorders>
              <w:top w:val="nil"/>
              <w:left w:val="nil"/>
              <w:bottom w:val="nil"/>
              <w:right w:val="nil"/>
            </w:tcBorders>
            <w:shd w:val="clear" w:color="000000" w:fill="FF9900"/>
            <w:noWrap/>
            <w:vAlign w:val="bottom"/>
            <w:hideMark/>
          </w:tcPr>
          <w:p w14:paraId="1EDEB49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1602 Program: OČUVANJE KULTURNE BAŠTINE</w:t>
            </w:r>
          </w:p>
        </w:tc>
        <w:tc>
          <w:tcPr>
            <w:tcW w:w="1559" w:type="dxa"/>
            <w:tcBorders>
              <w:top w:val="nil"/>
              <w:left w:val="nil"/>
              <w:bottom w:val="nil"/>
              <w:right w:val="nil"/>
            </w:tcBorders>
            <w:shd w:val="clear" w:color="000000" w:fill="FF9900"/>
            <w:noWrap/>
            <w:vAlign w:val="bottom"/>
            <w:hideMark/>
          </w:tcPr>
          <w:p w14:paraId="60C3820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111.400,00</w:t>
            </w:r>
          </w:p>
        </w:tc>
        <w:tc>
          <w:tcPr>
            <w:tcW w:w="1559" w:type="dxa"/>
            <w:tcBorders>
              <w:top w:val="nil"/>
              <w:left w:val="nil"/>
              <w:bottom w:val="nil"/>
              <w:right w:val="nil"/>
            </w:tcBorders>
            <w:shd w:val="clear" w:color="000000" w:fill="FF9900"/>
            <w:noWrap/>
            <w:vAlign w:val="bottom"/>
            <w:hideMark/>
          </w:tcPr>
          <w:p w14:paraId="47608A6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111.400,00</w:t>
            </w:r>
          </w:p>
        </w:tc>
        <w:tc>
          <w:tcPr>
            <w:tcW w:w="1559" w:type="dxa"/>
            <w:tcBorders>
              <w:top w:val="nil"/>
              <w:left w:val="nil"/>
              <w:bottom w:val="nil"/>
              <w:right w:val="nil"/>
            </w:tcBorders>
            <w:shd w:val="clear" w:color="000000" w:fill="FF9900"/>
            <w:noWrap/>
            <w:vAlign w:val="bottom"/>
            <w:hideMark/>
          </w:tcPr>
          <w:p w14:paraId="5DAA8A4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77.962,81</w:t>
            </w:r>
          </w:p>
        </w:tc>
        <w:tc>
          <w:tcPr>
            <w:tcW w:w="993" w:type="dxa"/>
            <w:tcBorders>
              <w:top w:val="nil"/>
              <w:left w:val="nil"/>
              <w:bottom w:val="nil"/>
              <w:right w:val="nil"/>
            </w:tcBorders>
            <w:shd w:val="clear" w:color="000000" w:fill="FF9900"/>
            <w:noWrap/>
            <w:vAlign w:val="bottom"/>
            <w:hideMark/>
          </w:tcPr>
          <w:p w14:paraId="72879F1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69,98%</w:t>
            </w:r>
          </w:p>
        </w:tc>
      </w:tr>
      <w:tr w:rsidR="006967F8" w:rsidRPr="006967F8" w14:paraId="174BCC24" w14:textId="77777777" w:rsidTr="008A61B1">
        <w:trPr>
          <w:trHeight w:val="540"/>
        </w:trPr>
        <w:tc>
          <w:tcPr>
            <w:tcW w:w="6096" w:type="dxa"/>
            <w:gridSpan w:val="2"/>
            <w:tcBorders>
              <w:top w:val="nil"/>
              <w:left w:val="nil"/>
              <w:bottom w:val="nil"/>
              <w:right w:val="nil"/>
            </w:tcBorders>
            <w:shd w:val="clear" w:color="000000" w:fill="FFFF99"/>
            <w:vAlign w:val="bottom"/>
            <w:hideMark/>
          </w:tcPr>
          <w:p w14:paraId="231C97E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T100055 Tekući projekt: SANACIJA I RESTAURACIJA PALAČE GARAGNIN FANFOGNA </w:t>
            </w:r>
          </w:p>
        </w:tc>
        <w:tc>
          <w:tcPr>
            <w:tcW w:w="1559" w:type="dxa"/>
            <w:tcBorders>
              <w:top w:val="nil"/>
              <w:left w:val="nil"/>
              <w:bottom w:val="nil"/>
              <w:right w:val="nil"/>
            </w:tcBorders>
            <w:shd w:val="clear" w:color="000000" w:fill="FFFF99"/>
            <w:noWrap/>
            <w:vAlign w:val="bottom"/>
            <w:hideMark/>
          </w:tcPr>
          <w:p w14:paraId="1AFC983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111.400,00</w:t>
            </w:r>
          </w:p>
        </w:tc>
        <w:tc>
          <w:tcPr>
            <w:tcW w:w="1559" w:type="dxa"/>
            <w:tcBorders>
              <w:top w:val="nil"/>
              <w:left w:val="nil"/>
              <w:bottom w:val="nil"/>
              <w:right w:val="nil"/>
            </w:tcBorders>
            <w:shd w:val="clear" w:color="000000" w:fill="FFFF99"/>
            <w:noWrap/>
            <w:vAlign w:val="bottom"/>
            <w:hideMark/>
          </w:tcPr>
          <w:p w14:paraId="6768564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111.400,00</w:t>
            </w:r>
          </w:p>
        </w:tc>
        <w:tc>
          <w:tcPr>
            <w:tcW w:w="1559" w:type="dxa"/>
            <w:tcBorders>
              <w:top w:val="nil"/>
              <w:left w:val="nil"/>
              <w:bottom w:val="nil"/>
              <w:right w:val="nil"/>
            </w:tcBorders>
            <w:shd w:val="clear" w:color="000000" w:fill="FFFF99"/>
            <w:noWrap/>
            <w:vAlign w:val="bottom"/>
            <w:hideMark/>
          </w:tcPr>
          <w:p w14:paraId="28C231D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77.962,81</w:t>
            </w:r>
          </w:p>
        </w:tc>
        <w:tc>
          <w:tcPr>
            <w:tcW w:w="993" w:type="dxa"/>
            <w:tcBorders>
              <w:top w:val="nil"/>
              <w:left w:val="nil"/>
              <w:bottom w:val="nil"/>
              <w:right w:val="nil"/>
            </w:tcBorders>
            <w:shd w:val="clear" w:color="000000" w:fill="FFFF99"/>
            <w:noWrap/>
            <w:vAlign w:val="bottom"/>
            <w:hideMark/>
          </w:tcPr>
          <w:p w14:paraId="3CFED55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69,98%</w:t>
            </w:r>
          </w:p>
        </w:tc>
      </w:tr>
      <w:tr w:rsidR="006967F8" w:rsidRPr="006967F8" w14:paraId="34CEAF1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1E350E0"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18A28C6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40.000,00</w:t>
            </w:r>
          </w:p>
        </w:tc>
        <w:tc>
          <w:tcPr>
            <w:tcW w:w="1559" w:type="dxa"/>
            <w:tcBorders>
              <w:top w:val="nil"/>
              <w:left w:val="nil"/>
              <w:bottom w:val="nil"/>
              <w:right w:val="nil"/>
            </w:tcBorders>
            <w:shd w:val="clear" w:color="000000" w:fill="CCCCFF"/>
            <w:noWrap/>
            <w:vAlign w:val="bottom"/>
            <w:hideMark/>
          </w:tcPr>
          <w:p w14:paraId="2EF0010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40.000,00</w:t>
            </w:r>
          </w:p>
        </w:tc>
        <w:tc>
          <w:tcPr>
            <w:tcW w:w="1559" w:type="dxa"/>
            <w:tcBorders>
              <w:top w:val="nil"/>
              <w:left w:val="nil"/>
              <w:bottom w:val="nil"/>
              <w:right w:val="nil"/>
            </w:tcBorders>
            <w:shd w:val="clear" w:color="000000" w:fill="CCCCFF"/>
            <w:noWrap/>
            <w:vAlign w:val="bottom"/>
            <w:hideMark/>
          </w:tcPr>
          <w:p w14:paraId="48649F0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37.962,81</w:t>
            </w:r>
          </w:p>
        </w:tc>
        <w:tc>
          <w:tcPr>
            <w:tcW w:w="993" w:type="dxa"/>
            <w:tcBorders>
              <w:top w:val="nil"/>
              <w:left w:val="nil"/>
              <w:bottom w:val="nil"/>
              <w:right w:val="nil"/>
            </w:tcBorders>
            <w:shd w:val="clear" w:color="000000" w:fill="CCCCFF"/>
            <w:noWrap/>
            <w:vAlign w:val="bottom"/>
            <w:hideMark/>
          </w:tcPr>
          <w:p w14:paraId="57355A1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94,91%</w:t>
            </w:r>
          </w:p>
        </w:tc>
      </w:tr>
      <w:tr w:rsidR="006967F8" w:rsidRPr="006967F8" w14:paraId="436C4835"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820447F"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08F0A3F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40.000,00</w:t>
            </w:r>
          </w:p>
        </w:tc>
        <w:tc>
          <w:tcPr>
            <w:tcW w:w="1559" w:type="dxa"/>
            <w:tcBorders>
              <w:top w:val="nil"/>
              <w:left w:val="nil"/>
              <w:bottom w:val="nil"/>
              <w:right w:val="nil"/>
            </w:tcBorders>
            <w:shd w:val="clear" w:color="000000" w:fill="CCCCFF"/>
            <w:noWrap/>
            <w:vAlign w:val="bottom"/>
            <w:hideMark/>
          </w:tcPr>
          <w:p w14:paraId="12CFF17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40.000,00</w:t>
            </w:r>
          </w:p>
        </w:tc>
        <w:tc>
          <w:tcPr>
            <w:tcW w:w="1559" w:type="dxa"/>
            <w:tcBorders>
              <w:top w:val="nil"/>
              <w:left w:val="nil"/>
              <w:bottom w:val="nil"/>
              <w:right w:val="nil"/>
            </w:tcBorders>
            <w:shd w:val="clear" w:color="000000" w:fill="CCCCFF"/>
            <w:noWrap/>
            <w:vAlign w:val="bottom"/>
            <w:hideMark/>
          </w:tcPr>
          <w:p w14:paraId="4E6EF97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37.962,81</w:t>
            </w:r>
          </w:p>
        </w:tc>
        <w:tc>
          <w:tcPr>
            <w:tcW w:w="993" w:type="dxa"/>
            <w:tcBorders>
              <w:top w:val="nil"/>
              <w:left w:val="nil"/>
              <w:bottom w:val="nil"/>
              <w:right w:val="nil"/>
            </w:tcBorders>
            <w:shd w:val="clear" w:color="000000" w:fill="CCCCFF"/>
            <w:noWrap/>
            <w:vAlign w:val="bottom"/>
            <w:hideMark/>
          </w:tcPr>
          <w:p w14:paraId="1264E32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94,91%</w:t>
            </w:r>
          </w:p>
        </w:tc>
      </w:tr>
      <w:tr w:rsidR="006967F8" w:rsidRPr="006967F8" w14:paraId="241646D4" w14:textId="77777777" w:rsidTr="008A61B1">
        <w:trPr>
          <w:trHeight w:val="255"/>
        </w:trPr>
        <w:tc>
          <w:tcPr>
            <w:tcW w:w="1134" w:type="dxa"/>
            <w:tcBorders>
              <w:top w:val="nil"/>
              <w:left w:val="nil"/>
              <w:bottom w:val="nil"/>
              <w:right w:val="nil"/>
            </w:tcBorders>
            <w:noWrap/>
            <w:vAlign w:val="bottom"/>
            <w:hideMark/>
          </w:tcPr>
          <w:p w14:paraId="2C1AF3B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2103B05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259171D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40.000,00</w:t>
            </w:r>
          </w:p>
        </w:tc>
        <w:tc>
          <w:tcPr>
            <w:tcW w:w="1559" w:type="dxa"/>
            <w:tcBorders>
              <w:top w:val="nil"/>
              <w:left w:val="nil"/>
              <w:bottom w:val="nil"/>
              <w:right w:val="nil"/>
            </w:tcBorders>
            <w:noWrap/>
            <w:vAlign w:val="bottom"/>
            <w:hideMark/>
          </w:tcPr>
          <w:p w14:paraId="57C93CB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40.000,00</w:t>
            </w:r>
          </w:p>
        </w:tc>
        <w:tc>
          <w:tcPr>
            <w:tcW w:w="1559" w:type="dxa"/>
            <w:tcBorders>
              <w:top w:val="nil"/>
              <w:left w:val="nil"/>
              <w:bottom w:val="nil"/>
              <w:right w:val="nil"/>
            </w:tcBorders>
            <w:noWrap/>
            <w:vAlign w:val="bottom"/>
            <w:hideMark/>
          </w:tcPr>
          <w:p w14:paraId="5E2A283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37.962,81</w:t>
            </w:r>
          </w:p>
        </w:tc>
        <w:tc>
          <w:tcPr>
            <w:tcW w:w="993" w:type="dxa"/>
            <w:tcBorders>
              <w:top w:val="nil"/>
              <w:left w:val="nil"/>
              <w:bottom w:val="nil"/>
              <w:right w:val="nil"/>
            </w:tcBorders>
            <w:noWrap/>
            <w:vAlign w:val="bottom"/>
            <w:hideMark/>
          </w:tcPr>
          <w:p w14:paraId="1256B97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94,91%</w:t>
            </w:r>
          </w:p>
        </w:tc>
      </w:tr>
      <w:tr w:rsidR="006967F8" w:rsidRPr="006967F8" w14:paraId="5D18236C" w14:textId="77777777" w:rsidTr="008A61B1">
        <w:trPr>
          <w:trHeight w:val="255"/>
        </w:trPr>
        <w:tc>
          <w:tcPr>
            <w:tcW w:w="1134" w:type="dxa"/>
            <w:tcBorders>
              <w:top w:val="nil"/>
              <w:left w:val="nil"/>
              <w:bottom w:val="nil"/>
              <w:right w:val="nil"/>
            </w:tcBorders>
            <w:noWrap/>
            <w:vAlign w:val="bottom"/>
            <w:hideMark/>
          </w:tcPr>
          <w:p w14:paraId="05A7EDC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3232</w:t>
            </w:r>
          </w:p>
        </w:tc>
        <w:tc>
          <w:tcPr>
            <w:tcW w:w="4962" w:type="dxa"/>
            <w:tcBorders>
              <w:top w:val="nil"/>
              <w:left w:val="nil"/>
              <w:bottom w:val="nil"/>
              <w:right w:val="nil"/>
            </w:tcBorders>
            <w:noWrap/>
            <w:vAlign w:val="bottom"/>
            <w:hideMark/>
          </w:tcPr>
          <w:p w14:paraId="165914E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noWrap/>
            <w:vAlign w:val="bottom"/>
            <w:hideMark/>
          </w:tcPr>
          <w:p w14:paraId="7283AB32"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04B8FBB"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DD5C86F"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37.962,81</w:t>
            </w:r>
          </w:p>
        </w:tc>
        <w:tc>
          <w:tcPr>
            <w:tcW w:w="993" w:type="dxa"/>
            <w:tcBorders>
              <w:top w:val="nil"/>
              <w:left w:val="nil"/>
              <w:bottom w:val="nil"/>
              <w:right w:val="nil"/>
            </w:tcBorders>
            <w:noWrap/>
            <w:vAlign w:val="bottom"/>
            <w:hideMark/>
          </w:tcPr>
          <w:p w14:paraId="7D77197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0F4C230"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213CD91"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3. VLASTITI PRIHODI</w:t>
            </w:r>
          </w:p>
        </w:tc>
        <w:tc>
          <w:tcPr>
            <w:tcW w:w="1559" w:type="dxa"/>
            <w:tcBorders>
              <w:top w:val="nil"/>
              <w:left w:val="nil"/>
              <w:bottom w:val="nil"/>
              <w:right w:val="nil"/>
            </w:tcBorders>
            <w:shd w:val="clear" w:color="000000" w:fill="CCCCFF"/>
            <w:noWrap/>
            <w:vAlign w:val="bottom"/>
            <w:hideMark/>
          </w:tcPr>
          <w:p w14:paraId="4CC1D34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1.400,00</w:t>
            </w:r>
          </w:p>
        </w:tc>
        <w:tc>
          <w:tcPr>
            <w:tcW w:w="1559" w:type="dxa"/>
            <w:tcBorders>
              <w:top w:val="nil"/>
              <w:left w:val="nil"/>
              <w:bottom w:val="nil"/>
              <w:right w:val="nil"/>
            </w:tcBorders>
            <w:shd w:val="clear" w:color="000000" w:fill="CCCCFF"/>
            <w:noWrap/>
            <w:vAlign w:val="bottom"/>
            <w:hideMark/>
          </w:tcPr>
          <w:p w14:paraId="42D3D71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1.400,00</w:t>
            </w:r>
          </w:p>
        </w:tc>
        <w:tc>
          <w:tcPr>
            <w:tcW w:w="1559" w:type="dxa"/>
            <w:tcBorders>
              <w:top w:val="nil"/>
              <w:left w:val="nil"/>
              <w:bottom w:val="nil"/>
              <w:right w:val="nil"/>
            </w:tcBorders>
            <w:shd w:val="clear" w:color="000000" w:fill="CCCCFF"/>
            <w:noWrap/>
            <w:vAlign w:val="bottom"/>
            <w:hideMark/>
          </w:tcPr>
          <w:p w14:paraId="53F04F7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4525A9E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068D43CB"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8CA8427"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3.2. Vlastiti prihodi proračunskih korisnika</w:t>
            </w:r>
          </w:p>
        </w:tc>
        <w:tc>
          <w:tcPr>
            <w:tcW w:w="1559" w:type="dxa"/>
            <w:tcBorders>
              <w:top w:val="nil"/>
              <w:left w:val="nil"/>
              <w:bottom w:val="nil"/>
              <w:right w:val="nil"/>
            </w:tcBorders>
            <w:shd w:val="clear" w:color="000000" w:fill="CCCCFF"/>
            <w:noWrap/>
            <w:vAlign w:val="bottom"/>
            <w:hideMark/>
          </w:tcPr>
          <w:p w14:paraId="6C3CA86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1.400,00</w:t>
            </w:r>
          </w:p>
        </w:tc>
        <w:tc>
          <w:tcPr>
            <w:tcW w:w="1559" w:type="dxa"/>
            <w:tcBorders>
              <w:top w:val="nil"/>
              <w:left w:val="nil"/>
              <w:bottom w:val="nil"/>
              <w:right w:val="nil"/>
            </w:tcBorders>
            <w:shd w:val="clear" w:color="000000" w:fill="CCCCFF"/>
            <w:noWrap/>
            <w:vAlign w:val="bottom"/>
            <w:hideMark/>
          </w:tcPr>
          <w:p w14:paraId="6E15684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1.400,00</w:t>
            </w:r>
          </w:p>
        </w:tc>
        <w:tc>
          <w:tcPr>
            <w:tcW w:w="1559" w:type="dxa"/>
            <w:tcBorders>
              <w:top w:val="nil"/>
              <w:left w:val="nil"/>
              <w:bottom w:val="nil"/>
              <w:right w:val="nil"/>
            </w:tcBorders>
            <w:shd w:val="clear" w:color="000000" w:fill="CCCCFF"/>
            <w:noWrap/>
            <w:vAlign w:val="bottom"/>
            <w:hideMark/>
          </w:tcPr>
          <w:p w14:paraId="464D9B1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2A43CFF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0F5E606A" w14:textId="77777777" w:rsidTr="008A61B1">
        <w:trPr>
          <w:trHeight w:val="255"/>
        </w:trPr>
        <w:tc>
          <w:tcPr>
            <w:tcW w:w="1134" w:type="dxa"/>
            <w:tcBorders>
              <w:top w:val="nil"/>
              <w:left w:val="nil"/>
              <w:bottom w:val="nil"/>
              <w:right w:val="nil"/>
            </w:tcBorders>
            <w:noWrap/>
            <w:vAlign w:val="bottom"/>
            <w:hideMark/>
          </w:tcPr>
          <w:p w14:paraId="746E842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4ED0E25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3E87644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1.400,00</w:t>
            </w:r>
          </w:p>
        </w:tc>
        <w:tc>
          <w:tcPr>
            <w:tcW w:w="1559" w:type="dxa"/>
            <w:tcBorders>
              <w:top w:val="nil"/>
              <w:left w:val="nil"/>
              <w:bottom w:val="nil"/>
              <w:right w:val="nil"/>
            </w:tcBorders>
            <w:noWrap/>
            <w:vAlign w:val="bottom"/>
            <w:hideMark/>
          </w:tcPr>
          <w:p w14:paraId="6B1F586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1.400,00</w:t>
            </w:r>
          </w:p>
        </w:tc>
        <w:tc>
          <w:tcPr>
            <w:tcW w:w="1559" w:type="dxa"/>
            <w:tcBorders>
              <w:top w:val="nil"/>
              <w:left w:val="nil"/>
              <w:bottom w:val="nil"/>
              <w:right w:val="nil"/>
            </w:tcBorders>
            <w:noWrap/>
            <w:vAlign w:val="bottom"/>
            <w:hideMark/>
          </w:tcPr>
          <w:p w14:paraId="2C903CD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347BE07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5EC278F6"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2A584AC"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12DF7CE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70.000,00</w:t>
            </w:r>
          </w:p>
        </w:tc>
        <w:tc>
          <w:tcPr>
            <w:tcW w:w="1559" w:type="dxa"/>
            <w:tcBorders>
              <w:top w:val="nil"/>
              <w:left w:val="nil"/>
              <w:bottom w:val="nil"/>
              <w:right w:val="nil"/>
            </w:tcBorders>
            <w:shd w:val="clear" w:color="000000" w:fill="CCCCFF"/>
            <w:noWrap/>
            <w:vAlign w:val="bottom"/>
            <w:hideMark/>
          </w:tcPr>
          <w:p w14:paraId="22C64E4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70.000,00</w:t>
            </w:r>
          </w:p>
        </w:tc>
        <w:tc>
          <w:tcPr>
            <w:tcW w:w="1559" w:type="dxa"/>
            <w:tcBorders>
              <w:top w:val="nil"/>
              <w:left w:val="nil"/>
              <w:bottom w:val="nil"/>
              <w:right w:val="nil"/>
            </w:tcBorders>
            <w:shd w:val="clear" w:color="000000" w:fill="CCCCFF"/>
            <w:noWrap/>
            <w:vAlign w:val="bottom"/>
            <w:hideMark/>
          </w:tcPr>
          <w:p w14:paraId="2CB6D14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40.000,00</w:t>
            </w:r>
          </w:p>
        </w:tc>
        <w:tc>
          <w:tcPr>
            <w:tcW w:w="993" w:type="dxa"/>
            <w:tcBorders>
              <w:top w:val="nil"/>
              <w:left w:val="nil"/>
              <w:bottom w:val="nil"/>
              <w:right w:val="nil"/>
            </w:tcBorders>
            <w:shd w:val="clear" w:color="000000" w:fill="CCCCFF"/>
            <w:noWrap/>
            <w:vAlign w:val="bottom"/>
            <w:hideMark/>
          </w:tcPr>
          <w:p w14:paraId="7C86E9C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57,14%</w:t>
            </w:r>
          </w:p>
        </w:tc>
      </w:tr>
      <w:tr w:rsidR="006967F8" w:rsidRPr="006967F8" w14:paraId="5D6E9CC5"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5A76C47"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5.5. Ostale pomoći  proračunskih korisnika</w:t>
            </w:r>
          </w:p>
        </w:tc>
        <w:tc>
          <w:tcPr>
            <w:tcW w:w="1559" w:type="dxa"/>
            <w:tcBorders>
              <w:top w:val="nil"/>
              <w:left w:val="nil"/>
              <w:bottom w:val="nil"/>
              <w:right w:val="nil"/>
            </w:tcBorders>
            <w:shd w:val="clear" w:color="000000" w:fill="CCCCFF"/>
            <w:noWrap/>
            <w:vAlign w:val="bottom"/>
            <w:hideMark/>
          </w:tcPr>
          <w:p w14:paraId="62F1C3B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70.000,00</w:t>
            </w:r>
          </w:p>
        </w:tc>
        <w:tc>
          <w:tcPr>
            <w:tcW w:w="1559" w:type="dxa"/>
            <w:tcBorders>
              <w:top w:val="nil"/>
              <w:left w:val="nil"/>
              <w:bottom w:val="nil"/>
              <w:right w:val="nil"/>
            </w:tcBorders>
            <w:shd w:val="clear" w:color="000000" w:fill="CCCCFF"/>
            <w:noWrap/>
            <w:vAlign w:val="bottom"/>
            <w:hideMark/>
          </w:tcPr>
          <w:p w14:paraId="6FEF5C1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70.000,00</w:t>
            </w:r>
          </w:p>
        </w:tc>
        <w:tc>
          <w:tcPr>
            <w:tcW w:w="1559" w:type="dxa"/>
            <w:tcBorders>
              <w:top w:val="nil"/>
              <w:left w:val="nil"/>
              <w:bottom w:val="nil"/>
              <w:right w:val="nil"/>
            </w:tcBorders>
            <w:shd w:val="clear" w:color="000000" w:fill="CCCCFF"/>
            <w:noWrap/>
            <w:vAlign w:val="bottom"/>
            <w:hideMark/>
          </w:tcPr>
          <w:p w14:paraId="4CABBE4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40.000,00</w:t>
            </w:r>
          </w:p>
        </w:tc>
        <w:tc>
          <w:tcPr>
            <w:tcW w:w="993" w:type="dxa"/>
            <w:tcBorders>
              <w:top w:val="nil"/>
              <w:left w:val="nil"/>
              <w:bottom w:val="nil"/>
              <w:right w:val="nil"/>
            </w:tcBorders>
            <w:shd w:val="clear" w:color="000000" w:fill="CCCCFF"/>
            <w:noWrap/>
            <w:vAlign w:val="bottom"/>
            <w:hideMark/>
          </w:tcPr>
          <w:p w14:paraId="73B0B72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57,14%</w:t>
            </w:r>
          </w:p>
        </w:tc>
      </w:tr>
      <w:tr w:rsidR="006967F8" w:rsidRPr="006967F8" w14:paraId="3C7E5EA5" w14:textId="77777777" w:rsidTr="008A61B1">
        <w:trPr>
          <w:trHeight w:val="255"/>
        </w:trPr>
        <w:tc>
          <w:tcPr>
            <w:tcW w:w="1134" w:type="dxa"/>
            <w:tcBorders>
              <w:top w:val="nil"/>
              <w:left w:val="nil"/>
              <w:bottom w:val="nil"/>
              <w:right w:val="nil"/>
            </w:tcBorders>
            <w:noWrap/>
            <w:vAlign w:val="bottom"/>
            <w:hideMark/>
          </w:tcPr>
          <w:p w14:paraId="7781107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2D62DDA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44DE6A3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70.000,00</w:t>
            </w:r>
          </w:p>
        </w:tc>
        <w:tc>
          <w:tcPr>
            <w:tcW w:w="1559" w:type="dxa"/>
            <w:tcBorders>
              <w:top w:val="nil"/>
              <w:left w:val="nil"/>
              <w:bottom w:val="nil"/>
              <w:right w:val="nil"/>
            </w:tcBorders>
            <w:noWrap/>
            <w:vAlign w:val="bottom"/>
            <w:hideMark/>
          </w:tcPr>
          <w:p w14:paraId="239EC22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70.000,00</w:t>
            </w:r>
          </w:p>
        </w:tc>
        <w:tc>
          <w:tcPr>
            <w:tcW w:w="1559" w:type="dxa"/>
            <w:tcBorders>
              <w:top w:val="nil"/>
              <w:left w:val="nil"/>
              <w:bottom w:val="nil"/>
              <w:right w:val="nil"/>
            </w:tcBorders>
            <w:noWrap/>
            <w:vAlign w:val="bottom"/>
            <w:hideMark/>
          </w:tcPr>
          <w:p w14:paraId="1C8B7F7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40.000,00</w:t>
            </w:r>
          </w:p>
        </w:tc>
        <w:tc>
          <w:tcPr>
            <w:tcW w:w="993" w:type="dxa"/>
            <w:tcBorders>
              <w:top w:val="nil"/>
              <w:left w:val="nil"/>
              <w:bottom w:val="nil"/>
              <w:right w:val="nil"/>
            </w:tcBorders>
            <w:noWrap/>
            <w:vAlign w:val="bottom"/>
            <w:hideMark/>
          </w:tcPr>
          <w:p w14:paraId="2EA64A5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57,14%</w:t>
            </w:r>
          </w:p>
        </w:tc>
      </w:tr>
      <w:tr w:rsidR="006967F8" w:rsidRPr="006967F8" w14:paraId="10883527" w14:textId="77777777" w:rsidTr="008A61B1">
        <w:trPr>
          <w:trHeight w:val="255"/>
        </w:trPr>
        <w:tc>
          <w:tcPr>
            <w:tcW w:w="1134" w:type="dxa"/>
            <w:tcBorders>
              <w:top w:val="nil"/>
              <w:left w:val="nil"/>
              <w:bottom w:val="nil"/>
              <w:right w:val="nil"/>
            </w:tcBorders>
            <w:noWrap/>
            <w:vAlign w:val="bottom"/>
            <w:hideMark/>
          </w:tcPr>
          <w:p w14:paraId="5701A98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3232</w:t>
            </w:r>
          </w:p>
        </w:tc>
        <w:tc>
          <w:tcPr>
            <w:tcW w:w="4962" w:type="dxa"/>
            <w:tcBorders>
              <w:top w:val="nil"/>
              <w:left w:val="nil"/>
              <w:bottom w:val="nil"/>
              <w:right w:val="nil"/>
            </w:tcBorders>
            <w:noWrap/>
            <w:vAlign w:val="bottom"/>
            <w:hideMark/>
          </w:tcPr>
          <w:p w14:paraId="75D13B6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noWrap/>
            <w:vAlign w:val="bottom"/>
            <w:hideMark/>
          </w:tcPr>
          <w:p w14:paraId="76E050A1"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6822082"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925E3FC"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40.000,00</w:t>
            </w:r>
          </w:p>
        </w:tc>
        <w:tc>
          <w:tcPr>
            <w:tcW w:w="993" w:type="dxa"/>
            <w:tcBorders>
              <w:top w:val="nil"/>
              <w:left w:val="nil"/>
              <w:bottom w:val="nil"/>
              <w:right w:val="nil"/>
            </w:tcBorders>
            <w:noWrap/>
            <w:vAlign w:val="bottom"/>
            <w:hideMark/>
          </w:tcPr>
          <w:p w14:paraId="5DA7FC55"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4DF7215" w14:textId="77777777" w:rsidTr="008A61B1">
        <w:trPr>
          <w:trHeight w:val="255"/>
        </w:trPr>
        <w:tc>
          <w:tcPr>
            <w:tcW w:w="6096" w:type="dxa"/>
            <w:gridSpan w:val="2"/>
            <w:tcBorders>
              <w:top w:val="nil"/>
              <w:left w:val="nil"/>
              <w:bottom w:val="nil"/>
              <w:right w:val="nil"/>
            </w:tcBorders>
            <w:shd w:val="clear" w:color="000000" w:fill="9999FF"/>
            <w:noWrap/>
            <w:vAlign w:val="bottom"/>
            <w:hideMark/>
          </w:tcPr>
          <w:p w14:paraId="546BDEB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GLAVA 02114 ŠPORTSKI OBJEKTI TROGIR</w:t>
            </w:r>
          </w:p>
        </w:tc>
        <w:tc>
          <w:tcPr>
            <w:tcW w:w="1559" w:type="dxa"/>
            <w:tcBorders>
              <w:top w:val="nil"/>
              <w:left w:val="nil"/>
              <w:bottom w:val="nil"/>
              <w:right w:val="nil"/>
            </w:tcBorders>
            <w:shd w:val="clear" w:color="000000" w:fill="9999FF"/>
            <w:noWrap/>
            <w:vAlign w:val="bottom"/>
            <w:hideMark/>
          </w:tcPr>
          <w:p w14:paraId="494B687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789.500,00</w:t>
            </w:r>
          </w:p>
        </w:tc>
        <w:tc>
          <w:tcPr>
            <w:tcW w:w="1559" w:type="dxa"/>
            <w:tcBorders>
              <w:top w:val="nil"/>
              <w:left w:val="nil"/>
              <w:bottom w:val="nil"/>
              <w:right w:val="nil"/>
            </w:tcBorders>
            <w:shd w:val="clear" w:color="000000" w:fill="9999FF"/>
            <w:noWrap/>
            <w:vAlign w:val="bottom"/>
            <w:hideMark/>
          </w:tcPr>
          <w:p w14:paraId="6CF2BB1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816.850,00</w:t>
            </w:r>
          </w:p>
        </w:tc>
        <w:tc>
          <w:tcPr>
            <w:tcW w:w="1559" w:type="dxa"/>
            <w:tcBorders>
              <w:top w:val="nil"/>
              <w:left w:val="nil"/>
              <w:bottom w:val="nil"/>
              <w:right w:val="nil"/>
            </w:tcBorders>
            <w:shd w:val="clear" w:color="000000" w:fill="9999FF"/>
            <w:noWrap/>
            <w:vAlign w:val="bottom"/>
            <w:hideMark/>
          </w:tcPr>
          <w:p w14:paraId="36FFA3B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658.878,11</w:t>
            </w:r>
          </w:p>
        </w:tc>
        <w:tc>
          <w:tcPr>
            <w:tcW w:w="993" w:type="dxa"/>
            <w:tcBorders>
              <w:top w:val="nil"/>
              <w:left w:val="nil"/>
              <w:bottom w:val="nil"/>
              <w:right w:val="nil"/>
            </w:tcBorders>
            <w:shd w:val="clear" w:color="000000" w:fill="9999FF"/>
            <w:noWrap/>
            <w:vAlign w:val="bottom"/>
            <w:hideMark/>
          </w:tcPr>
          <w:p w14:paraId="0837846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80,66%</w:t>
            </w:r>
          </w:p>
        </w:tc>
      </w:tr>
      <w:tr w:rsidR="006967F8" w:rsidRPr="006967F8" w14:paraId="251B3A7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B28637A"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777CFC9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574.500,00</w:t>
            </w:r>
          </w:p>
        </w:tc>
        <w:tc>
          <w:tcPr>
            <w:tcW w:w="1559" w:type="dxa"/>
            <w:tcBorders>
              <w:top w:val="nil"/>
              <w:left w:val="nil"/>
              <w:bottom w:val="nil"/>
              <w:right w:val="nil"/>
            </w:tcBorders>
            <w:shd w:val="clear" w:color="000000" w:fill="CCCCFF"/>
            <w:noWrap/>
            <w:vAlign w:val="bottom"/>
            <w:hideMark/>
          </w:tcPr>
          <w:p w14:paraId="10F3DCD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601.850,00</w:t>
            </w:r>
          </w:p>
        </w:tc>
        <w:tc>
          <w:tcPr>
            <w:tcW w:w="1559" w:type="dxa"/>
            <w:tcBorders>
              <w:top w:val="nil"/>
              <w:left w:val="nil"/>
              <w:bottom w:val="nil"/>
              <w:right w:val="nil"/>
            </w:tcBorders>
            <w:shd w:val="clear" w:color="000000" w:fill="CCCCFF"/>
            <w:noWrap/>
            <w:vAlign w:val="bottom"/>
            <w:hideMark/>
          </w:tcPr>
          <w:p w14:paraId="766BFAC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448.418,47</w:t>
            </w:r>
          </w:p>
        </w:tc>
        <w:tc>
          <w:tcPr>
            <w:tcW w:w="993" w:type="dxa"/>
            <w:tcBorders>
              <w:top w:val="nil"/>
              <w:left w:val="nil"/>
              <w:bottom w:val="nil"/>
              <w:right w:val="nil"/>
            </w:tcBorders>
            <w:shd w:val="clear" w:color="000000" w:fill="CCCCFF"/>
            <w:noWrap/>
            <w:vAlign w:val="bottom"/>
            <w:hideMark/>
          </w:tcPr>
          <w:p w14:paraId="2781440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74,51%</w:t>
            </w:r>
          </w:p>
        </w:tc>
      </w:tr>
      <w:tr w:rsidR="006967F8" w:rsidRPr="006967F8" w14:paraId="1E20D5FC"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09F18D0"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1287A9C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574.500,00</w:t>
            </w:r>
          </w:p>
        </w:tc>
        <w:tc>
          <w:tcPr>
            <w:tcW w:w="1559" w:type="dxa"/>
            <w:tcBorders>
              <w:top w:val="nil"/>
              <w:left w:val="nil"/>
              <w:bottom w:val="nil"/>
              <w:right w:val="nil"/>
            </w:tcBorders>
            <w:shd w:val="clear" w:color="000000" w:fill="CCCCFF"/>
            <w:noWrap/>
            <w:vAlign w:val="bottom"/>
            <w:hideMark/>
          </w:tcPr>
          <w:p w14:paraId="7988CBF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601.850,00</w:t>
            </w:r>
          </w:p>
        </w:tc>
        <w:tc>
          <w:tcPr>
            <w:tcW w:w="1559" w:type="dxa"/>
            <w:tcBorders>
              <w:top w:val="nil"/>
              <w:left w:val="nil"/>
              <w:bottom w:val="nil"/>
              <w:right w:val="nil"/>
            </w:tcBorders>
            <w:shd w:val="clear" w:color="000000" w:fill="CCCCFF"/>
            <w:noWrap/>
            <w:vAlign w:val="bottom"/>
            <w:hideMark/>
          </w:tcPr>
          <w:p w14:paraId="1005EE6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448.418,47</w:t>
            </w:r>
          </w:p>
        </w:tc>
        <w:tc>
          <w:tcPr>
            <w:tcW w:w="993" w:type="dxa"/>
            <w:tcBorders>
              <w:top w:val="nil"/>
              <w:left w:val="nil"/>
              <w:bottom w:val="nil"/>
              <w:right w:val="nil"/>
            </w:tcBorders>
            <w:shd w:val="clear" w:color="000000" w:fill="CCCCFF"/>
            <w:noWrap/>
            <w:vAlign w:val="bottom"/>
            <w:hideMark/>
          </w:tcPr>
          <w:p w14:paraId="4E97519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74,51%</w:t>
            </w:r>
          </w:p>
        </w:tc>
      </w:tr>
      <w:tr w:rsidR="006967F8" w:rsidRPr="006967F8" w14:paraId="11C35466"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CBDE1C3"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3. VLASTITI PRIHODI</w:t>
            </w:r>
          </w:p>
        </w:tc>
        <w:tc>
          <w:tcPr>
            <w:tcW w:w="1559" w:type="dxa"/>
            <w:tcBorders>
              <w:top w:val="nil"/>
              <w:left w:val="nil"/>
              <w:bottom w:val="nil"/>
              <w:right w:val="nil"/>
            </w:tcBorders>
            <w:shd w:val="clear" w:color="000000" w:fill="CCCCFF"/>
            <w:noWrap/>
            <w:vAlign w:val="bottom"/>
            <w:hideMark/>
          </w:tcPr>
          <w:p w14:paraId="4B8ADF0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65.000,00</w:t>
            </w:r>
          </w:p>
        </w:tc>
        <w:tc>
          <w:tcPr>
            <w:tcW w:w="1559" w:type="dxa"/>
            <w:tcBorders>
              <w:top w:val="nil"/>
              <w:left w:val="nil"/>
              <w:bottom w:val="nil"/>
              <w:right w:val="nil"/>
            </w:tcBorders>
            <w:shd w:val="clear" w:color="000000" w:fill="CCCCFF"/>
            <w:noWrap/>
            <w:vAlign w:val="bottom"/>
            <w:hideMark/>
          </w:tcPr>
          <w:p w14:paraId="299B5D5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65.000,00</w:t>
            </w:r>
          </w:p>
        </w:tc>
        <w:tc>
          <w:tcPr>
            <w:tcW w:w="1559" w:type="dxa"/>
            <w:tcBorders>
              <w:top w:val="nil"/>
              <w:left w:val="nil"/>
              <w:bottom w:val="nil"/>
              <w:right w:val="nil"/>
            </w:tcBorders>
            <w:shd w:val="clear" w:color="000000" w:fill="CCCCFF"/>
            <w:noWrap/>
            <w:vAlign w:val="bottom"/>
            <w:hideMark/>
          </w:tcPr>
          <w:p w14:paraId="4859DE1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60.459,64</w:t>
            </w:r>
          </w:p>
        </w:tc>
        <w:tc>
          <w:tcPr>
            <w:tcW w:w="993" w:type="dxa"/>
            <w:tcBorders>
              <w:top w:val="nil"/>
              <w:left w:val="nil"/>
              <w:bottom w:val="nil"/>
              <w:right w:val="nil"/>
            </w:tcBorders>
            <w:shd w:val="clear" w:color="000000" w:fill="CCCCFF"/>
            <w:noWrap/>
            <w:vAlign w:val="bottom"/>
            <w:hideMark/>
          </w:tcPr>
          <w:p w14:paraId="3AA9739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93,01%</w:t>
            </w:r>
          </w:p>
        </w:tc>
      </w:tr>
      <w:tr w:rsidR="006967F8" w:rsidRPr="006967F8" w14:paraId="1F69535B"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D8994EA"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3.2. Vlastiti prihodi proračunskih korisnika</w:t>
            </w:r>
          </w:p>
        </w:tc>
        <w:tc>
          <w:tcPr>
            <w:tcW w:w="1559" w:type="dxa"/>
            <w:tcBorders>
              <w:top w:val="nil"/>
              <w:left w:val="nil"/>
              <w:bottom w:val="nil"/>
              <w:right w:val="nil"/>
            </w:tcBorders>
            <w:shd w:val="clear" w:color="000000" w:fill="CCCCFF"/>
            <w:noWrap/>
            <w:vAlign w:val="bottom"/>
            <w:hideMark/>
          </w:tcPr>
          <w:p w14:paraId="72228FE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65.000,00</w:t>
            </w:r>
          </w:p>
        </w:tc>
        <w:tc>
          <w:tcPr>
            <w:tcW w:w="1559" w:type="dxa"/>
            <w:tcBorders>
              <w:top w:val="nil"/>
              <w:left w:val="nil"/>
              <w:bottom w:val="nil"/>
              <w:right w:val="nil"/>
            </w:tcBorders>
            <w:shd w:val="clear" w:color="000000" w:fill="CCCCFF"/>
            <w:noWrap/>
            <w:vAlign w:val="bottom"/>
            <w:hideMark/>
          </w:tcPr>
          <w:p w14:paraId="32F761E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65.000,00</w:t>
            </w:r>
          </w:p>
        </w:tc>
        <w:tc>
          <w:tcPr>
            <w:tcW w:w="1559" w:type="dxa"/>
            <w:tcBorders>
              <w:top w:val="nil"/>
              <w:left w:val="nil"/>
              <w:bottom w:val="nil"/>
              <w:right w:val="nil"/>
            </w:tcBorders>
            <w:shd w:val="clear" w:color="000000" w:fill="CCCCFF"/>
            <w:noWrap/>
            <w:vAlign w:val="bottom"/>
            <w:hideMark/>
          </w:tcPr>
          <w:p w14:paraId="5774357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60.459,64</w:t>
            </w:r>
          </w:p>
        </w:tc>
        <w:tc>
          <w:tcPr>
            <w:tcW w:w="993" w:type="dxa"/>
            <w:tcBorders>
              <w:top w:val="nil"/>
              <w:left w:val="nil"/>
              <w:bottom w:val="nil"/>
              <w:right w:val="nil"/>
            </w:tcBorders>
            <w:shd w:val="clear" w:color="000000" w:fill="CCCCFF"/>
            <w:noWrap/>
            <w:vAlign w:val="bottom"/>
            <w:hideMark/>
          </w:tcPr>
          <w:p w14:paraId="2034A9F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93,01%</w:t>
            </w:r>
          </w:p>
        </w:tc>
      </w:tr>
      <w:tr w:rsidR="006967F8" w:rsidRPr="006967F8" w14:paraId="63334B1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6AF8FBE"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8. NAMJENSKI PRIMICI</w:t>
            </w:r>
          </w:p>
        </w:tc>
        <w:tc>
          <w:tcPr>
            <w:tcW w:w="1559" w:type="dxa"/>
            <w:tcBorders>
              <w:top w:val="nil"/>
              <w:left w:val="nil"/>
              <w:bottom w:val="nil"/>
              <w:right w:val="nil"/>
            </w:tcBorders>
            <w:shd w:val="clear" w:color="000000" w:fill="CCCCFF"/>
            <w:noWrap/>
            <w:vAlign w:val="bottom"/>
            <w:hideMark/>
          </w:tcPr>
          <w:p w14:paraId="382A430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150.000,00</w:t>
            </w:r>
          </w:p>
        </w:tc>
        <w:tc>
          <w:tcPr>
            <w:tcW w:w="1559" w:type="dxa"/>
            <w:tcBorders>
              <w:top w:val="nil"/>
              <w:left w:val="nil"/>
              <w:bottom w:val="nil"/>
              <w:right w:val="nil"/>
            </w:tcBorders>
            <w:shd w:val="clear" w:color="000000" w:fill="CCCCFF"/>
            <w:noWrap/>
            <w:vAlign w:val="bottom"/>
            <w:hideMark/>
          </w:tcPr>
          <w:p w14:paraId="4859C5D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150.000,00</w:t>
            </w:r>
          </w:p>
        </w:tc>
        <w:tc>
          <w:tcPr>
            <w:tcW w:w="1559" w:type="dxa"/>
            <w:tcBorders>
              <w:top w:val="nil"/>
              <w:left w:val="nil"/>
              <w:bottom w:val="nil"/>
              <w:right w:val="nil"/>
            </w:tcBorders>
            <w:shd w:val="clear" w:color="000000" w:fill="CCCCFF"/>
            <w:noWrap/>
            <w:vAlign w:val="bottom"/>
            <w:hideMark/>
          </w:tcPr>
          <w:p w14:paraId="3708D88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150.000,00</w:t>
            </w:r>
          </w:p>
        </w:tc>
        <w:tc>
          <w:tcPr>
            <w:tcW w:w="993" w:type="dxa"/>
            <w:tcBorders>
              <w:top w:val="nil"/>
              <w:left w:val="nil"/>
              <w:bottom w:val="nil"/>
              <w:right w:val="nil"/>
            </w:tcBorders>
            <w:shd w:val="clear" w:color="000000" w:fill="CCCCFF"/>
            <w:noWrap/>
            <w:vAlign w:val="bottom"/>
            <w:hideMark/>
          </w:tcPr>
          <w:p w14:paraId="6968593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2AE38340"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1D50028"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8.2. Namjenski primici od zaduživanja - PK</w:t>
            </w:r>
          </w:p>
        </w:tc>
        <w:tc>
          <w:tcPr>
            <w:tcW w:w="1559" w:type="dxa"/>
            <w:tcBorders>
              <w:top w:val="nil"/>
              <w:left w:val="nil"/>
              <w:bottom w:val="nil"/>
              <w:right w:val="nil"/>
            </w:tcBorders>
            <w:shd w:val="clear" w:color="000000" w:fill="CCCCFF"/>
            <w:noWrap/>
            <w:vAlign w:val="bottom"/>
            <w:hideMark/>
          </w:tcPr>
          <w:p w14:paraId="2373E4F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150.000,00</w:t>
            </w:r>
          </w:p>
        </w:tc>
        <w:tc>
          <w:tcPr>
            <w:tcW w:w="1559" w:type="dxa"/>
            <w:tcBorders>
              <w:top w:val="nil"/>
              <w:left w:val="nil"/>
              <w:bottom w:val="nil"/>
              <w:right w:val="nil"/>
            </w:tcBorders>
            <w:shd w:val="clear" w:color="000000" w:fill="CCCCFF"/>
            <w:noWrap/>
            <w:vAlign w:val="bottom"/>
            <w:hideMark/>
          </w:tcPr>
          <w:p w14:paraId="3023707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150.000,00</w:t>
            </w:r>
          </w:p>
        </w:tc>
        <w:tc>
          <w:tcPr>
            <w:tcW w:w="1559" w:type="dxa"/>
            <w:tcBorders>
              <w:top w:val="nil"/>
              <w:left w:val="nil"/>
              <w:bottom w:val="nil"/>
              <w:right w:val="nil"/>
            </w:tcBorders>
            <w:shd w:val="clear" w:color="000000" w:fill="CCCCFF"/>
            <w:noWrap/>
            <w:vAlign w:val="bottom"/>
            <w:hideMark/>
          </w:tcPr>
          <w:p w14:paraId="5A9E101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150.000,00</w:t>
            </w:r>
          </w:p>
        </w:tc>
        <w:tc>
          <w:tcPr>
            <w:tcW w:w="993" w:type="dxa"/>
            <w:tcBorders>
              <w:top w:val="nil"/>
              <w:left w:val="nil"/>
              <w:bottom w:val="nil"/>
              <w:right w:val="nil"/>
            </w:tcBorders>
            <w:shd w:val="clear" w:color="000000" w:fill="CCCCFF"/>
            <w:noWrap/>
            <w:vAlign w:val="bottom"/>
            <w:hideMark/>
          </w:tcPr>
          <w:p w14:paraId="7CDC4F8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47A28325" w14:textId="77777777" w:rsidTr="008A61B1">
        <w:trPr>
          <w:trHeight w:val="255"/>
        </w:trPr>
        <w:tc>
          <w:tcPr>
            <w:tcW w:w="6096" w:type="dxa"/>
            <w:gridSpan w:val="2"/>
            <w:tcBorders>
              <w:top w:val="nil"/>
              <w:left w:val="nil"/>
              <w:bottom w:val="nil"/>
              <w:right w:val="nil"/>
            </w:tcBorders>
            <w:shd w:val="clear" w:color="000000" w:fill="FF9900"/>
            <w:noWrap/>
            <w:vAlign w:val="bottom"/>
            <w:hideMark/>
          </w:tcPr>
          <w:p w14:paraId="752EF14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1203 Program: ŠPORT I TEHNIČKA KULTURA</w:t>
            </w:r>
          </w:p>
        </w:tc>
        <w:tc>
          <w:tcPr>
            <w:tcW w:w="1559" w:type="dxa"/>
            <w:tcBorders>
              <w:top w:val="nil"/>
              <w:left w:val="nil"/>
              <w:bottom w:val="nil"/>
              <w:right w:val="nil"/>
            </w:tcBorders>
            <w:shd w:val="clear" w:color="000000" w:fill="FF9900"/>
            <w:noWrap/>
            <w:vAlign w:val="bottom"/>
            <w:hideMark/>
          </w:tcPr>
          <w:p w14:paraId="24EC535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430.400,00</w:t>
            </w:r>
          </w:p>
        </w:tc>
        <w:tc>
          <w:tcPr>
            <w:tcW w:w="1559" w:type="dxa"/>
            <w:tcBorders>
              <w:top w:val="nil"/>
              <w:left w:val="nil"/>
              <w:bottom w:val="nil"/>
              <w:right w:val="nil"/>
            </w:tcBorders>
            <w:shd w:val="clear" w:color="000000" w:fill="FF9900"/>
            <w:noWrap/>
            <w:vAlign w:val="bottom"/>
            <w:hideMark/>
          </w:tcPr>
          <w:p w14:paraId="1946235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430.400,00</w:t>
            </w:r>
          </w:p>
        </w:tc>
        <w:tc>
          <w:tcPr>
            <w:tcW w:w="1559" w:type="dxa"/>
            <w:tcBorders>
              <w:top w:val="nil"/>
              <w:left w:val="nil"/>
              <w:bottom w:val="nil"/>
              <w:right w:val="nil"/>
            </w:tcBorders>
            <w:shd w:val="clear" w:color="000000" w:fill="FF9900"/>
            <w:noWrap/>
            <w:vAlign w:val="bottom"/>
            <w:hideMark/>
          </w:tcPr>
          <w:p w14:paraId="32C5DE2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345.111,75</w:t>
            </w:r>
          </w:p>
        </w:tc>
        <w:tc>
          <w:tcPr>
            <w:tcW w:w="993" w:type="dxa"/>
            <w:tcBorders>
              <w:top w:val="nil"/>
              <w:left w:val="nil"/>
              <w:bottom w:val="nil"/>
              <w:right w:val="nil"/>
            </w:tcBorders>
            <w:shd w:val="clear" w:color="000000" w:fill="FF9900"/>
            <w:noWrap/>
            <w:vAlign w:val="bottom"/>
            <w:hideMark/>
          </w:tcPr>
          <w:p w14:paraId="6BE83E1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80,18%</w:t>
            </w:r>
          </w:p>
        </w:tc>
      </w:tr>
      <w:tr w:rsidR="006967F8" w:rsidRPr="006967F8" w14:paraId="46F84C2D" w14:textId="77777777" w:rsidTr="008A61B1">
        <w:trPr>
          <w:trHeight w:val="255"/>
        </w:trPr>
        <w:tc>
          <w:tcPr>
            <w:tcW w:w="6096" w:type="dxa"/>
            <w:gridSpan w:val="2"/>
            <w:tcBorders>
              <w:top w:val="nil"/>
              <w:left w:val="nil"/>
              <w:bottom w:val="nil"/>
              <w:right w:val="nil"/>
            </w:tcBorders>
            <w:shd w:val="clear" w:color="000000" w:fill="FFFF99"/>
            <w:noWrap/>
            <w:vAlign w:val="bottom"/>
            <w:hideMark/>
          </w:tcPr>
          <w:p w14:paraId="408E024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A100007 Aktivnost: ŠPORTSKI OBJEKTI TROGIR</w:t>
            </w:r>
          </w:p>
        </w:tc>
        <w:tc>
          <w:tcPr>
            <w:tcW w:w="1559" w:type="dxa"/>
            <w:tcBorders>
              <w:top w:val="nil"/>
              <w:left w:val="nil"/>
              <w:bottom w:val="nil"/>
              <w:right w:val="nil"/>
            </w:tcBorders>
            <w:shd w:val="clear" w:color="000000" w:fill="FFFF99"/>
            <w:noWrap/>
            <w:vAlign w:val="bottom"/>
            <w:hideMark/>
          </w:tcPr>
          <w:p w14:paraId="22FA1D7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430.400,00</w:t>
            </w:r>
          </w:p>
        </w:tc>
        <w:tc>
          <w:tcPr>
            <w:tcW w:w="1559" w:type="dxa"/>
            <w:tcBorders>
              <w:top w:val="nil"/>
              <w:left w:val="nil"/>
              <w:bottom w:val="nil"/>
              <w:right w:val="nil"/>
            </w:tcBorders>
            <w:shd w:val="clear" w:color="000000" w:fill="FFFF99"/>
            <w:noWrap/>
            <w:vAlign w:val="bottom"/>
            <w:hideMark/>
          </w:tcPr>
          <w:p w14:paraId="7049E0A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430.400,00</w:t>
            </w:r>
          </w:p>
        </w:tc>
        <w:tc>
          <w:tcPr>
            <w:tcW w:w="1559" w:type="dxa"/>
            <w:tcBorders>
              <w:top w:val="nil"/>
              <w:left w:val="nil"/>
              <w:bottom w:val="nil"/>
              <w:right w:val="nil"/>
            </w:tcBorders>
            <w:shd w:val="clear" w:color="000000" w:fill="FFFF99"/>
            <w:noWrap/>
            <w:vAlign w:val="bottom"/>
            <w:hideMark/>
          </w:tcPr>
          <w:p w14:paraId="5D3C793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345.111,75</w:t>
            </w:r>
          </w:p>
        </w:tc>
        <w:tc>
          <w:tcPr>
            <w:tcW w:w="993" w:type="dxa"/>
            <w:tcBorders>
              <w:top w:val="nil"/>
              <w:left w:val="nil"/>
              <w:bottom w:val="nil"/>
              <w:right w:val="nil"/>
            </w:tcBorders>
            <w:shd w:val="clear" w:color="000000" w:fill="FFFF99"/>
            <w:noWrap/>
            <w:vAlign w:val="bottom"/>
            <w:hideMark/>
          </w:tcPr>
          <w:p w14:paraId="74038AF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80,18%</w:t>
            </w:r>
          </w:p>
        </w:tc>
      </w:tr>
      <w:tr w:rsidR="006967F8" w:rsidRPr="006967F8" w14:paraId="2E0F10F4"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E8F37C9"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175BE0E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365.400,00</w:t>
            </w:r>
          </w:p>
        </w:tc>
        <w:tc>
          <w:tcPr>
            <w:tcW w:w="1559" w:type="dxa"/>
            <w:tcBorders>
              <w:top w:val="nil"/>
              <w:left w:val="nil"/>
              <w:bottom w:val="nil"/>
              <w:right w:val="nil"/>
            </w:tcBorders>
            <w:shd w:val="clear" w:color="000000" w:fill="CCCCFF"/>
            <w:noWrap/>
            <w:vAlign w:val="bottom"/>
            <w:hideMark/>
          </w:tcPr>
          <w:p w14:paraId="3ACFD15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365.400,00</w:t>
            </w:r>
          </w:p>
        </w:tc>
        <w:tc>
          <w:tcPr>
            <w:tcW w:w="1559" w:type="dxa"/>
            <w:tcBorders>
              <w:top w:val="nil"/>
              <w:left w:val="nil"/>
              <w:bottom w:val="nil"/>
              <w:right w:val="nil"/>
            </w:tcBorders>
            <w:shd w:val="clear" w:color="000000" w:fill="CCCCFF"/>
            <w:noWrap/>
            <w:vAlign w:val="bottom"/>
            <w:hideMark/>
          </w:tcPr>
          <w:p w14:paraId="519DCA4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284.652,11</w:t>
            </w:r>
          </w:p>
        </w:tc>
        <w:tc>
          <w:tcPr>
            <w:tcW w:w="993" w:type="dxa"/>
            <w:tcBorders>
              <w:top w:val="nil"/>
              <w:left w:val="nil"/>
              <w:bottom w:val="nil"/>
              <w:right w:val="nil"/>
            </w:tcBorders>
            <w:shd w:val="clear" w:color="000000" w:fill="CCCCFF"/>
            <w:noWrap/>
            <w:vAlign w:val="bottom"/>
            <w:hideMark/>
          </w:tcPr>
          <w:p w14:paraId="2D659B9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77,90%</w:t>
            </w:r>
          </w:p>
        </w:tc>
      </w:tr>
      <w:tr w:rsidR="006967F8" w:rsidRPr="006967F8" w14:paraId="0AB52D85"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30A285A"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07BAB1A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365.400,00</w:t>
            </w:r>
          </w:p>
        </w:tc>
        <w:tc>
          <w:tcPr>
            <w:tcW w:w="1559" w:type="dxa"/>
            <w:tcBorders>
              <w:top w:val="nil"/>
              <w:left w:val="nil"/>
              <w:bottom w:val="nil"/>
              <w:right w:val="nil"/>
            </w:tcBorders>
            <w:shd w:val="clear" w:color="000000" w:fill="CCCCFF"/>
            <w:noWrap/>
            <w:vAlign w:val="bottom"/>
            <w:hideMark/>
          </w:tcPr>
          <w:p w14:paraId="203E2CE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365.400,00</w:t>
            </w:r>
          </w:p>
        </w:tc>
        <w:tc>
          <w:tcPr>
            <w:tcW w:w="1559" w:type="dxa"/>
            <w:tcBorders>
              <w:top w:val="nil"/>
              <w:left w:val="nil"/>
              <w:bottom w:val="nil"/>
              <w:right w:val="nil"/>
            </w:tcBorders>
            <w:shd w:val="clear" w:color="000000" w:fill="CCCCFF"/>
            <w:noWrap/>
            <w:vAlign w:val="bottom"/>
            <w:hideMark/>
          </w:tcPr>
          <w:p w14:paraId="0C4DA6F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284.652,11</w:t>
            </w:r>
          </w:p>
        </w:tc>
        <w:tc>
          <w:tcPr>
            <w:tcW w:w="993" w:type="dxa"/>
            <w:tcBorders>
              <w:top w:val="nil"/>
              <w:left w:val="nil"/>
              <w:bottom w:val="nil"/>
              <w:right w:val="nil"/>
            </w:tcBorders>
            <w:shd w:val="clear" w:color="000000" w:fill="CCCCFF"/>
            <w:noWrap/>
            <w:vAlign w:val="bottom"/>
            <w:hideMark/>
          </w:tcPr>
          <w:p w14:paraId="1A09F2D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77,90%</w:t>
            </w:r>
          </w:p>
        </w:tc>
      </w:tr>
      <w:tr w:rsidR="006967F8" w:rsidRPr="006967F8" w14:paraId="54EB9342" w14:textId="77777777" w:rsidTr="008A61B1">
        <w:trPr>
          <w:trHeight w:val="255"/>
        </w:trPr>
        <w:tc>
          <w:tcPr>
            <w:tcW w:w="1134" w:type="dxa"/>
            <w:tcBorders>
              <w:top w:val="nil"/>
              <w:left w:val="nil"/>
              <w:bottom w:val="nil"/>
              <w:right w:val="nil"/>
            </w:tcBorders>
            <w:noWrap/>
            <w:vAlign w:val="bottom"/>
            <w:hideMark/>
          </w:tcPr>
          <w:p w14:paraId="63A008E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31</w:t>
            </w:r>
          </w:p>
        </w:tc>
        <w:tc>
          <w:tcPr>
            <w:tcW w:w="4962" w:type="dxa"/>
            <w:tcBorders>
              <w:top w:val="nil"/>
              <w:left w:val="nil"/>
              <w:bottom w:val="nil"/>
              <w:right w:val="nil"/>
            </w:tcBorders>
            <w:noWrap/>
            <w:vAlign w:val="bottom"/>
            <w:hideMark/>
          </w:tcPr>
          <w:p w14:paraId="0D81771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zaposlene</w:t>
            </w:r>
          </w:p>
        </w:tc>
        <w:tc>
          <w:tcPr>
            <w:tcW w:w="1559" w:type="dxa"/>
            <w:tcBorders>
              <w:top w:val="nil"/>
              <w:left w:val="nil"/>
              <w:bottom w:val="nil"/>
              <w:right w:val="nil"/>
            </w:tcBorders>
            <w:noWrap/>
            <w:vAlign w:val="bottom"/>
            <w:hideMark/>
          </w:tcPr>
          <w:p w14:paraId="3AC318B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232.000,00</w:t>
            </w:r>
          </w:p>
        </w:tc>
        <w:tc>
          <w:tcPr>
            <w:tcW w:w="1559" w:type="dxa"/>
            <w:tcBorders>
              <w:top w:val="nil"/>
              <w:left w:val="nil"/>
              <w:bottom w:val="nil"/>
              <w:right w:val="nil"/>
            </w:tcBorders>
            <w:noWrap/>
            <w:vAlign w:val="bottom"/>
            <w:hideMark/>
          </w:tcPr>
          <w:p w14:paraId="69979FA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232.000,00</w:t>
            </w:r>
          </w:p>
        </w:tc>
        <w:tc>
          <w:tcPr>
            <w:tcW w:w="1559" w:type="dxa"/>
            <w:tcBorders>
              <w:top w:val="nil"/>
              <w:left w:val="nil"/>
              <w:bottom w:val="nil"/>
              <w:right w:val="nil"/>
            </w:tcBorders>
            <w:noWrap/>
            <w:vAlign w:val="bottom"/>
            <w:hideMark/>
          </w:tcPr>
          <w:p w14:paraId="78D5E4C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225.166,77</w:t>
            </w:r>
          </w:p>
        </w:tc>
        <w:tc>
          <w:tcPr>
            <w:tcW w:w="993" w:type="dxa"/>
            <w:tcBorders>
              <w:top w:val="nil"/>
              <w:left w:val="nil"/>
              <w:bottom w:val="nil"/>
              <w:right w:val="nil"/>
            </w:tcBorders>
            <w:noWrap/>
            <w:vAlign w:val="bottom"/>
            <w:hideMark/>
          </w:tcPr>
          <w:p w14:paraId="40B7595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97,05%</w:t>
            </w:r>
          </w:p>
        </w:tc>
      </w:tr>
      <w:tr w:rsidR="006967F8" w:rsidRPr="006967F8" w14:paraId="478162CC" w14:textId="77777777" w:rsidTr="008A61B1">
        <w:trPr>
          <w:trHeight w:val="255"/>
        </w:trPr>
        <w:tc>
          <w:tcPr>
            <w:tcW w:w="1134" w:type="dxa"/>
            <w:tcBorders>
              <w:top w:val="nil"/>
              <w:left w:val="nil"/>
              <w:bottom w:val="nil"/>
              <w:right w:val="nil"/>
            </w:tcBorders>
            <w:noWrap/>
            <w:vAlign w:val="bottom"/>
            <w:hideMark/>
          </w:tcPr>
          <w:p w14:paraId="6C7D225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lastRenderedPageBreak/>
              <w:t>3111</w:t>
            </w:r>
          </w:p>
        </w:tc>
        <w:tc>
          <w:tcPr>
            <w:tcW w:w="4962" w:type="dxa"/>
            <w:tcBorders>
              <w:top w:val="nil"/>
              <w:left w:val="nil"/>
              <w:bottom w:val="nil"/>
              <w:right w:val="nil"/>
            </w:tcBorders>
            <w:noWrap/>
            <w:vAlign w:val="bottom"/>
            <w:hideMark/>
          </w:tcPr>
          <w:p w14:paraId="179B5BD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Plaće za redovan rad</w:t>
            </w:r>
          </w:p>
        </w:tc>
        <w:tc>
          <w:tcPr>
            <w:tcW w:w="1559" w:type="dxa"/>
            <w:tcBorders>
              <w:top w:val="nil"/>
              <w:left w:val="nil"/>
              <w:bottom w:val="nil"/>
              <w:right w:val="nil"/>
            </w:tcBorders>
            <w:noWrap/>
            <w:vAlign w:val="bottom"/>
            <w:hideMark/>
          </w:tcPr>
          <w:p w14:paraId="3E201BA8"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0D1C4DC"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A7A1B0B"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176.555,17</w:t>
            </w:r>
          </w:p>
        </w:tc>
        <w:tc>
          <w:tcPr>
            <w:tcW w:w="993" w:type="dxa"/>
            <w:tcBorders>
              <w:top w:val="nil"/>
              <w:left w:val="nil"/>
              <w:bottom w:val="nil"/>
              <w:right w:val="nil"/>
            </w:tcBorders>
            <w:noWrap/>
            <w:vAlign w:val="bottom"/>
            <w:hideMark/>
          </w:tcPr>
          <w:p w14:paraId="796C36DB"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21D2A05" w14:textId="77777777" w:rsidTr="008A61B1">
        <w:trPr>
          <w:trHeight w:val="255"/>
        </w:trPr>
        <w:tc>
          <w:tcPr>
            <w:tcW w:w="1134" w:type="dxa"/>
            <w:tcBorders>
              <w:top w:val="nil"/>
              <w:left w:val="nil"/>
              <w:bottom w:val="nil"/>
              <w:right w:val="nil"/>
            </w:tcBorders>
            <w:noWrap/>
            <w:vAlign w:val="bottom"/>
            <w:hideMark/>
          </w:tcPr>
          <w:p w14:paraId="49B8140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3121</w:t>
            </w:r>
          </w:p>
        </w:tc>
        <w:tc>
          <w:tcPr>
            <w:tcW w:w="4962" w:type="dxa"/>
            <w:tcBorders>
              <w:top w:val="nil"/>
              <w:left w:val="nil"/>
              <w:bottom w:val="nil"/>
              <w:right w:val="nil"/>
            </w:tcBorders>
            <w:noWrap/>
            <w:vAlign w:val="bottom"/>
            <w:hideMark/>
          </w:tcPr>
          <w:p w14:paraId="35E574A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rashodi za zaposlene</w:t>
            </w:r>
          </w:p>
        </w:tc>
        <w:tc>
          <w:tcPr>
            <w:tcW w:w="1559" w:type="dxa"/>
            <w:tcBorders>
              <w:top w:val="nil"/>
              <w:left w:val="nil"/>
              <w:bottom w:val="nil"/>
              <w:right w:val="nil"/>
            </w:tcBorders>
            <w:noWrap/>
            <w:vAlign w:val="bottom"/>
            <w:hideMark/>
          </w:tcPr>
          <w:p w14:paraId="3EB8631D"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2BF1777"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7F41875"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19.480,01</w:t>
            </w:r>
          </w:p>
        </w:tc>
        <w:tc>
          <w:tcPr>
            <w:tcW w:w="993" w:type="dxa"/>
            <w:tcBorders>
              <w:top w:val="nil"/>
              <w:left w:val="nil"/>
              <w:bottom w:val="nil"/>
              <w:right w:val="nil"/>
            </w:tcBorders>
            <w:noWrap/>
            <w:vAlign w:val="bottom"/>
            <w:hideMark/>
          </w:tcPr>
          <w:p w14:paraId="2A5B0D6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F8FE13A" w14:textId="77777777" w:rsidTr="008A61B1">
        <w:trPr>
          <w:trHeight w:val="255"/>
        </w:trPr>
        <w:tc>
          <w:tcPr>
            <w:tcW w:w="1134" w:type="dxa"/>
            <w:tcBorders>
              <w:top w:val="nil"/>
              <w:left w:val="nil"/>
              <w:bottom w:val="nil"/>
              <w:right w:val="nil"/>
            </w:tcBorders>
            <w:noWrap/>
            <w:vAlign w:val="bottom"/>
            <w:hideMark/>
          </w:tcPr>
          <w:p w14:paraId="33E1A4E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3132</w:t>
            </w:r>
          </w:p>
        </w:tc>
        <w:tc>
          <w:tcPr>
            <w:tcW w:w="4962" w:type="dxa"/>
            <w:tcBorders>
              <w:top w:val="nil"/>
              <w:left w:val="nil"/>
              <w:bottom w:val="nil"/>
              <w:right w:val="nil"/>
            </w:tcBorders>
            <w:noWrap/>
            <w:vAlign w:val="bottom"/>
            <w:hideMark/>
          </w:tcPr>
          <w:p w14:paraId="727F4C3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Doprinosi za obvezno zdravstveno osiguranje</w:t>
            </w:r>
          </w:p>
        </w:tc>
        <w:tc>
          <w:tcPr>
            <w:tcW w:w="1559" w:type="dxa"/>
            <w:tcBorders>
              <w:top w:val="nil"/>
              <w:left w:val="nil"/>
              <w:bottom w:val="nil"/>
              <w:right w:val="nil"/>
            </w:tcBorders>
            <w:noWrap/>
            <w:vAlign w:val="bottom"/>
            <w:hideMark/>
          </w:tcPr>
          <w:p w14:paraId="189CC4B6"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1333A08"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5461C6C"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29.131,59</w:t>
            </w:r>
          </w:p>
        </w:tc>
        <w:tc>
          <w:tcPr>
            <w:tcW w:w="993" w:type="dxa"/>
            <w:tcBorders>
              <w:top w:val="nil"/>
              <w:left w:val="nil"/>
              <w:bottom w:val="nil"/>
              <w:right w:val="nil"/>
            </w:tcBorders>
            <w:noWrap/>
            <w:vAlign w:val="bottom"/>
            <w:hideMark/>
          </w:tcPr>
          <w:p w14:paraId="5DBD3B11"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473FD33" w14:textId="77777777" w:rsidTr="008A61B1">
        <w:trPr>
          <w:trHeight w:val="255"/>
        </w:trPr>
        <w:tc>
          <w:tcPr>
            <w:tcW w:w="1134" w:type="dxa"/>
            <w:tcBorders>
              <w:top w:val="nil"/>
              <w:left w:val="nil"/>
              <w:bottom w:val="nil"/>
              <w:right w:val="nil"/>
            </w:tcBorders>
            <w:noWrap/>
            <w:vAlign w:val="bottom"/>
            <w:hideMark/>
          </w:tcPr>
          <w:p w14:paraId="0DC0570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26D82D3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4E4A95B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93.700,00</w:t>
            </w:r>
          </w:p>
        </w:tc>
        <w:tc>
          <w:tcPr>
            <w:tcW w:w="1559" w:type="dxa"/>
            <w:tcBorders>
              <w:top w:val="nil"/>
              <w:left w:val="nil"/>
              <w:bottom w:val="nil"/>
              <w:right w:val="nil"/>
            </w:tcBorders>
            <w:noWrap/>
            <w:vAlign w:val="bottom"/>
            <w:hideMark/>
          </w:tcPr>
          <w:p w14:paraId="1E5EF41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93.700,00</w:t>
            </w:r>
          </w:p>
        </w:tc>
        <w:tc>
          <w:tcPr>
            <w:tcW w:w="1559" w:type="dxa"/>
            <w:tcBorders>
              <w:top w:val="nil"/>
              <w:left w:val="nil"/>
              <w:bottom w:val="nil"/>
              <w:right w:val="nil"/>
            </w:tcBorders>
            <w:noWrap/>
            <w:vAlign w:val="bottom"/>
            <w:hideMark/>
          </w:tcPr>
          <w:p w14:paraId="3BC7B37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54.437,61</w:t>
            </w:r>
          </w:p>
        </w:tc>
        <w:tc>
          <w:tcPr>
            <w:tcW w:w="993" w:type="dxa"/>
            <w:tcBorders>
              <w:top w:val="nil"/>
              <w:left w:val="nil"/>
              <w:bottom w:val="nil"/>
              <w:right w:val="nil"/>
            </w:tcBorders>
            <w:noWrap/>
            <w:vAlign w:val="bottom"/>
            <w:hideMark/>
          </w:tcPr>
          <w:p w14:paraId="773C6EC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58,10%</w:t>
            </w:r>
          </w:p>
        </w:tc>
      </w:tr>
      <w:tr w:rsidR="006967F8" w:rsidRPr="006967F8" w14:paraId="19158C2B" w14:textId="77777777" w:rsidTr="008A61B1">
        <w:trPr>
          <w:trHeight w:val="255"/>
        </w:trPr>
        <w:tc>
          <w:tcPr>
            <w:tcW w:w="1134" w:type="dxa"/>
            <w:tcBorders>
              <w:top w:val="nil"/>
              <w:left w:val="nil"/>
              <w:bottom w:val="nil"/>
              <w:right w:val="nil"/>
            </w:tcBorders>
            <w:noWrap/>
            <w:vAlign w:val="bottom"/>
            <w:hideMark/>
          </w:tcPr>
          <w:p w14:paraId="50C56D0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3212</w:t>
            </w:r>
          </w:p>
        </w:tc>
        <w:tc>
          <w:tcPr>
            <w:tcW w:w="4962" w:type="dxa"/>
            <w:tcBorders>
              <w:top w:val="nil"/>
              <w:left w:val="nil"/>
              <w:bottom w:val="nil"/>
              <w:right w:val="nil"/>
            </w:tcBorders>
            <w:noWrap/>
            <w:vAlign w:val="bottom"/>
            <w:hideMark/>
          </w:tcPr>
          <w:p w14:paraId="40F5C8F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Naknade za prijevoz, za rad na terenu i odvojeni život</w:t>
            </w:r>
          </w:p>
        </w:tc>
        <w:tc>
          <w:tcPr>
            <w:tcW w:w="1559" w:type="dxa"/>
            <w:tcBorders>
              <w:top w:val="nil"/>
              <w:left w:val="nil"/>
              <w:bottom w:val="nil"/>
              <w:right w:val="nil"/>
            </w:tcBorders>
            <w:noWrap/>
            <w:vAlign w:val="bottom"/>
            <w:hideMark/>
          </w:tcPr>
          <w:p w14:paraId="302C8B5F"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7EB7FD9"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094747B"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2.239,50</w:t>
            </w:r>
          </w:p>
        </w:tc>
        <w:tc>
          <w:tcPr>
            <w:tcW w:w="993" w:type="dxa"/>
            <w:tcBorders>
              <w:top w:val="nil"/>
              <w:left w:val="nil"/>
              <w:bottom w:val="nil"/>
              <w:right w:val="nil"/>
            </w:tcBorders>
            <w:noWrap/>
            <w:vAlign w:val="bottom"/>
            <w:hideMark/>
          </w:tcPr>
          <w:p w14:paraId="3A458BEB"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BE731FC" w14:textId="77777777" w:rsidTr="008A61B1">
        <w:trPr>
          <w:trHeight w:val="255"/>
        </w:trPr>
        <w:tc>
          <w:tcPr>
            <w:tcW w:w="1134" w:type="dxa"/>
            <w:tcBorders>
              <w:top w:val="nil"/>
              <w:left w:val="nil"/>
              <w:bottom w:val="nil"/>
              <w:right w:val="nil"/>
            </w:tcBorders>
            <w:noWrap/>
            <w:vAlign w:val="bottom"/>
            <w:hideMark/>
          </w:tcPr>
          <w:p w14:paraId="6AAF004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3223</w:t>
            </w:r>
          </w:p>
        </w:tc>
        <w:tc>
          <w:tcPr>
            <w:tcW w:w="4962" w:type="dxa"/>
            <w:tcBorders>
              <w:top w:val="nil"/>
              <w:left w:val="nil"/>
              <w:bottom w:val="nil"/>
              <w:right w:val="nil"/>
            </w:tcBorders>
            <w:noWrap/>
            <w:vAlign w:val="bottom"/>
            <w:hideMark/>
          </w:tcPr>
          <w:p w14:paraId="56AA4F2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Energija</w:t>
            </w:r>
          </w:p>
        </w:tc>
        <w:tc>
          <w:tcPr>
            <w:tcW w:w="1559" w:type="dxa"/>
            <w:tcBorders>
              <w:top w:val="nil"/>
              <w:left w:val="nil"/>
              <w:bottom w:val="nil"/>
              <w:right w:val="nil"/>
            </w:tcBorders>
            <w:noWrap/>
            <w:vAlign w:val="bottom"/>
            <w:hideMark/>
          </w:tcPr>
          <w:p w14:paraId="5EAC51B4"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3C756DC"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15C020C"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6.519,98</w:t>
            </w:r>
          </w:p>
        </w:tc>
        <w:tc>
          <w:tcPr>
            <w:tcW w:w="993" w:type="dxa"/>
            <w:tcBorders>
              <w:top w:val="nil"/>
              <w:left w:val="nil"/>
              <w:bottom w:val="nil"/>
              <w:right w:val="nil"/>
            </w:tcBorders>
            <w:noWrap/>
            <w:vAlign w:val="bottom"/>
            <w:hideMark/>
          </w:tcPr>
          <w:p w14:paraId="21C7752E"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8F6C9AA" w14:textId="77777777" w:rsidTr="008A61B1">
        <w:trPr>
          <w:trHeight w:val="255"/>
        </w:trPr>
        <w:tc>
          <w:tcPr>
            <w:tcW w:w="1134" w:type="dxa"/>
            <w:tcBorders>
              <w:top w:val="nil"/>
              <w:left w:val="nil"/>
              <w:bottom w:val="nil"/>
              <w:right w:val="nil"/>
            </w:tcBorders>
            <w:noWrap/>
            <w:vAlign w:val="bottom"/>
            <w:hideMark/>
          </w:tcPr>
          <w:p w14:paraId="6F758D4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3232</w:t>
            </w:r>
          </w:p>
        </w:tc>
        <w:tc>
          <w:tcPr>
            <w:tcW w:w="4962" w:type="dxa"/>
            <w:tcBorders>
              <w:top w:val="nil"/>
              <w:left w:val="nil"/>
              <w:bottom w:val="nil"/>
              <w:right w:val="nil"/>
            </w:tcBorders>
            <w:noWrap/>
            <w:vAlign w:val="bottom"/>
            <w:hideMark/>
          </w:tcPr>
          <w:p w14:paraId="0BBAAD7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noWrap/>
            <w:vAlign w:val="bottom"/>
            <w:hideMark/>
          </w:tcPr>
          <w:p w14:paraId="139CCC9A"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161EFCA"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538C292"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45.589,67</w:t>
            </w:r>
          </w:p>
        </w:tc>
        <w:tc>
          <w:tcPr>
            <w:tcW w:w="993" w:type="dxa"/>
            <w:tcBorders>
              <w:top w:val="nil"/>
              <w:left w:val="nil"/>
              <w:bottom w:val="nil"/>
              <w:right w:val="nil"/>
            </w:tcBorders>
            <w:noWrap/>
            <w:vAlign w:val="bottom"/>
            <w:hideMark/>
          </w:tcPr>
          <w:p w14:paraId="0D8D18A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EFAC54C" w14:textId="77777777" w:rsidTr="008A61B1">
        <w:trPr>
          <w:trHeight w:val="255"/>
        </w:trPr>
        <w:tc>
          <w:tcPr>
            <w:tcW w:w="1134" w:type="dxa"/>
            <w:tcBorders>
              <w:top w:val="nil"/>
              <w:left w:val="nil"/>
              <w:bottom w:val="nil"/>
              <w:right w:val="nil"/>
            </w:tcBorders>
            <w:noWrap/>
            <w:vAlign w:val="bottom"/>
            <w:hideMark/>
          </w:tcPr>
          <w:p w14:paraId="2EA379E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3238</w:t>
            </w:r>
          </w:p>
        </w:tc>
        <w:tc>
          <w:tcPr>
            <w:tcW w:w="4962" w:type="dxa"/>
            <w:tcBorders>
              <w:top w:val="nil"/>
              <w:left w:val="nil"/>
              <w:bottom w:val="nil"/>
              <w:right w:val="nil"/>
            </w:tcBorders>
            <w:noWrap/>
            <w:vAlign w:val="bottom"/>
            <w:hideMark/>
          </w:tcPr>
          <w:p w14:paraId="50886DC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Računalne usluge</w:t>
            </w:r>
          </w:p>
        </w:tc>
        <w:tc>
          <w:tcPr>
            <w:tcW w:w="1559" w:type="dxa"/>
            <w:tcBorders>
              <w:top w:val="nil"/>
              <w:left w:val="nil"/>
              <w:bottom w:val="nil"/>
              <w:right w:val="nil"/>
            </w:tcBorders>
            <w:noWrap/>
            <w:vAlign w:val="bottom"/>
            <w:hideMark/>
          </w:tcPr>
          <w:p w14:paraId="1CE95E57"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FD4F5AA"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7E14E3A"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88,46</w:t>
            </w:r>
          </w:p>
        </w:tc>
        <w:tc>
          <w:tcPr>
            <w:tcW w:w="993" w:type="dxa"/>
            <w:tcBorders>
              <w:top w:val="nil"/>
              <w:left w:val="nil"/>
              <w:bottom w:val="nil"/>
              <w:right w:val="nil"/>
            </w:tcBorders>
            <w:noWrap/>
            <w:vAlign w:val="bottom"/>
            <w:hideMark/>
          </w:tcPr>
          <w:p w14:paraId="4982EE3F"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FB796F8" w14:textId="77777777" w:rsidTr="008A61B1">
        <w:trPr>
          <w:trHeight w:val="525"/>
        </w:trPr>
        <w:tc>
          <w:tcPr>
            <w:tcW w:w="1134" w:type="dxa"/>
            <w:tcBorders>
              <w:top w:val="nil"/>
              <w:left w:val="nil"/>
              <w:bottom w:val="nil"/>
              <w:right w:val="nil"/>
            </w:tcBorders>
            <w:noWrap/>
            <w:vAlign w:val="bottom"/>
            <w:hideMark/>
          </w:tcPr>
          <w:p w14:paraId="356FC95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41</w:t>
            </w:r>
          </w:p>
        </w:tc>
        <w:tc>
          <w:tcPr>
            <w:tcW w:w="4962" w:type="dxa"/>
            <w:tcBorders>
              <w:top w:val="nil"/>
              <w:left w:val="nil"/>
              <w:bottom w:val="nil"/>
              <w:right w:val="nil"/>
            </w:tcBorders>
            <w:vAlign w:val="bottom"/>
            <w:hideMark/>
          </w:tcPr>
          <w:p w14:paraId="1C8C6C3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Rashodi za nabavu </w:t>
            </w:r>
            <w:proofErr w:type="spellStart"/>
            <w:r w:rsidRPr="006967F8">
              <w:rPr>
                <w:rFonts w:ascii="Arial" w:eastAsia="Times New Roman" w:hAnsi="Arial" w:cs="Arial"/>
                <w:b/>
                <w:bCs/>
                <w:sz w:val="20"/>
                <w:szCs w:val="20"/>
                <w:lang w:eastAsia="hr-HR"/>
              </w:rPr>
              <w:t>neproizvedene</w:t>
            </w:r>
            <w:proofErr w:type="spellEnd"/>
            <w:r w:rsidRPr="006967F8">
              <w:rPr>
                <w:rFonts w:ascii="Arial" w:eastAsia="Times New Roman" w:hAnsi="Arial" w:cs="Arial"/>
                <w:b/>
                <w:bCs/>
                <w:sz w:val="20"/>
                <w:szCs w:val="20"/>
                <w:lang w:eastAsia="hr-HR"/>
              </w:rPr>
              <w:t xml:space="preserve"> dugotrajne imovine</w:t>
            </w:r>
          </w:p>
        </w:tc>
        <w:tc>
          <w:tcPr>
            <w:tcW w:w="1559" w:type="dxa"/>
            <w:tcBorders>
              <w:top w:val="nil"/>
              <w:left w:val="nil"/>
              <w:bottom w:val="nil"/>
              <w:right w:val="nil"/>
            </w:tcBorders>
            <w:noWrap/>
            <w:vAlign w:val="bottom"/>
            <w:hideMark/>
          </w:tcPr>
          <w:p w14:paraId="52216B9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1.700,00</w:t>
            </w:r>
          </w:p>
        </w:tc>
        <w:tc>
          <w:tcPr>
            <w:tcW w:w="1559" w:type="dxa"/>
            <w:tcBorders>
              <w:top w:val="nil"/>
              <w:left w:val="nil"/>
              <w:bottom w:val="nil"/>
              <w:right w:val="nil"/>
            </w:tcBorders>
            <w:noWrap/>
            <w:vAlign w:val="bottom"/>
            <w:hideMark/>
          </w:tcPr>
          <w:p w14:paraId="6729CE0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1.700,00</w:t>
            </w:r>
          </w:p>
        </w:tc>
        <w:tc>
          <w:tcPr>
            <w:tcW w:w="1559" w:type="dxa"/>
            <w:tcBorders>
              <w:top w:val="nil"/>
              <w:left w:val="nil"/>
              <w:bottom w:val="nil"/>
              <w:right w:val="nil"/>
            </w:tcBorders>
            <w:noWrap/>
            <w:vAlign w:val="bottom"/>
            <w:hideMark/>
          </w:tcPr>
          <w:p w14:paraId="49D2EA7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600,00</w:t>
            </w:r>
          </w:p>
        </w:tc>
        <w:tc>
          <w:tcPr>
            <w:tcW w:w="993" w:type="dxa"/>
            <w:tcBorders>
              <w:top w:val="nil"/>
              <w:left w:val="nil"/>
              <w:bottom w:val="nil"/>
              <w:right w:val="nil"/>
            </w:tcBorders>
            <w:noWrap/>
            <w:vAlign w:val="bottom"/>
            <w:hideMark/>
          </w:tcPr>
          <w:p w14:paraId="3B7AC3D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35,29%</w:t>
            </w:r>
          </w:p>
        </w:tc>
      </w:tr>
      <w:tr w:rsidR="006967F8" w:rsidRPr="006967F8" w14:paraId="1E19A889" w14:textId="77777777" w:rsidTr="008A61B1">
        <w:trPr>
          <w:trHeight w:val="255"/>
        </w:trPr>
        <w:tc>
          <w:tcPr>
            <w:tcW w:w="1134" w:type="dxa"/>
            <w:tcBorders>
              <w:top w:val="nil"/>
              <w:left w:val="nil"/>
              <w:bottom w:val="nil"/>
              <w:right w:val="nil"/>
            </w:tcBorders>
            <w:noWrap/>
            <w:vAlign w:val="bottom"/>
            <w:hideMark/>
          </w:tcPr>
          <w:p w14:paraId="7127AB1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4124</w:t>
            </w:r>
          </w:p>
        </w:tc>
        <w:tc>
          <w:tcPr>
            <w:tcW w:w="4962" w:type="dxa"/>
            <w:tcBorders>
              <w:top w:val="nil"/>
              <w:left w:val="nil"/>
              <w:bottom w:val="nil"/>
              <w:right w:val="nil"/>
            </w:tcBorders>
            <w:noWrap/>
            <w:vAlign w:val="bottom"/>
            <w:hideMark/>
          </w:tcPr>
          <w:p w14:paraId="19DA988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Ostala prava</w:t>
            </w:r>
          </w:p>
        </w:tc>
        <w:tc>
          <w:tcPr>
            <w:tcW w:w="1559" w:type="dxa"/>
            <w:tcBorders>
              <w:top w:val="nil"/>
              <w:left w:val="nil"/>
              <w:bottom w:val="nil"/>
              <w:right w:val="nil"/>
            </w:tcBorders>
            <w:noWrap/>
            <w:vAlign w:val="bottom"/>
            <w:hideMark/>
          </w:tcPr>
          <w:p w14:paraId="72191A93"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81D5C75"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970D371"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600,00</w:t>
            </w:r>
          </w:p>
        </w:tc>
        <w:tc>
          <w:tcPr>
            <w:tcW w:w="993" w:type="dxa"/>
            <w:tcBorders>
              <w:top w:val="nil"/>
              <w:left w:val="nil"/>
              <w:bottom w:val="nil"/>
              <w:right w:val="nil"/>
            </w:tcBorders>
            <w:noWrap/>
            <w:vAlign w:val="bottom"/>
            <w:hideMark/>
          </w:tcPr>
          <w:p w14:paraId="686C4ED8"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2E1A5F9" w14:textId="77777777" w:rsidTr="008A61B1">
        <w:trPr>
          <w:trHeight w:val="600"/>
        </w:trPr>
        <w:tc>
          <w:tcPr>
            <w:tcW w:w="1134" w:type="dxa"/>
            <w:tcBorders>
              <w:top w:val="nil"/>
              <w:left w:val="nil"/>
              <w:bottom w:val="nil"/>
              <w:right w:val="nil"/>
            </w:tcBorders>
            <w:noWrap/>
            <w:vAlign w:val="bottom"/>
            <w:hideMark/>
          </w:tcPr>
          <w:p w14:paraId="5963511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522B61A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654D621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38.000,00</w:t>
            </w:r>
          </w:p>
        </w:tc>
        <w:tc>
          <w:tcPr>
            <w:tcW w:w="1559" w:type="dxa"/>
            <w:tcBorders>
              <w:top w:val="nil"/>
              <w:left w:val="nil"/>
              <w:bottom w:val="nil"/>
              <w:right w:val="nil"/>
            </w:tcBorders>
            <w:noWrap/>
            <w:vAlign w:val="bottom"/>
            <w:hideMark/>
          </w:tcPr>
          <w:p w14:paraId="64B9B95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38.000,00</w:t>
            </w:r>
          </w:p>
        </w:tc>
        <w:tc>
          <w:tcPr>
            <w:tcW w:w="1559" w:type="dxa"/>
            <w:tcBorders>
              <w:top w:val="nil"/>
              <w:left w:val="nil"/>
              <w:bottom w:val="nil"/>
              <w:right w:val="nil"/>
            </w:tcBorders>
            <w:noWrap/>
            <w:vAlign w:val="bottom"/>
            <w:hideMark/>
          </w:tcPr>
          <w:p w14:paraId="4408316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4.447,73</w:t>
            </w:r>
          </w:p>
        </w:tc>
        <w:tc>
          <w:tcPr>
            <w:tcW w:w="993" w:type="dxa"/>
            <w:tcBorders>
              <w:top w:val="nil"/>
              <w:left w:val="nil"/>
              <w:bottom w:val="nil"/>
              <w:right w:val="nil"/>
            </w:tcBorders>
            <w:noWrap/>
            <w:vAlign w:val="bottom"/>
            <w:hideMark/>
          </w:tcPr>
          <w:p w14:paraId="095BD40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11,70%</w:t>
            </w:r>
          </w:p>
        </w:tc>
      </w:tr>
      <w:tr w:rsidR="006967F8" w:rsidRPr="006967F8" w14:paraId="4E8D1DD9" w14:textId="77777777" w:rsidTr="008A61B1">
        <w:trPr>
          <w:trHeight w:val="255"/>
        </w:trPr>
        <w:tc>
          <w:tcPr>
            <w:tcW w:w="1134" w:type="dxa"/>
            <w:tcBorders>
              <w:top w:val="nil"/>
              <w:left w:val="nil"/>
              <w:bottom w:val="nil"/>
              <w:right w:val="nil"/>
            </w:tcBorders>
            <w:noWrap/>
            <w:vAlign w:val="bottom"/>
            <w:hideMark/>
          </w:tcPr>
          <w:p w14:paraId="45A9195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4227</w:t>
            </w:r>
          </w:p>
        </w:tc>
        <w:tc>
          <w:tcPr>
            <w:tcW w:w="4962" w:type="dxa"/>
            <w:tcBorders>
              <w:top w:val="nil"/>
              <w:left w:val="nil"/>
              <w:bottom w:val="nil"/>
              <w:right w:val="nil"/>
            </w:tcBorders>
            <w:noWrap/>
            <w:vAlign w:val="bottom"/>
            <w:hideMark/>
          </w:tcPr>
          <w:p w14:paraId="033E47A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Uređaji, strojevi i oprema za ostale namjene</w:t>
            </w:r>
          </w:p>
        </w:tc>
        <w:tc>
          <w:tcPr>
            <w:tcW w:w="1559" w:type="dxa"/>
            <w:tcBorders>
              <w:top w:val="nil"/>
              <w:left w:val="nil"/>
              <w:bottom w:val="nil"/>
              <w:right w:val="nil"/>
            </w:tcBorders>
            <w:noWrap/>
            <w:vAlign w:val="bottom"/>
            <w:hideMark/>
          </w:tcPr>
          <w:p w14:paraId="074F5664"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9B1FED2"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C896326"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4.447,73</w:t>
            </w:r>
          </w:p>
        </w:tc>
        <w:tc>
          <w:tcPr>
            <w:tcW w:w="993" w:type="dxa"/>
            <w:tcBorders>
              <w:top w:val="nil"/>
              <w:left w:val="nil"/>
              <w:bottom w:val="nil"/>
              <w:right w:val="nil"/>
            </w:tcBorders>
            <w:noWrap/>
            <w:vAlign w:val="bottom"/>
            <w:hideMark/>
          </w:tcPr>
          <w:p w14:paraId="0DAD5B1D"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C2B3D71"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6BEF2E0"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3. VLASTITI PRIHODI</w:t>
            </w:r>
          </w:p>
        </w:tc>
        <w:tc>
          <w:tcPr>
            <w:tcW w:w="1559" w:type="dxa"/>
            <w:tcBorders>
              <w:top w:val="nil"/>
              <w:left w:val="nil"/>
              <w:bottom w:val="nil"/>
              <w:right w:val="nil"/>
            </w:tcBorders>
            <w:shd w:val="clear" w:color="000000" w:fill="CCCCFF"/>
            <w:noWrap/>
            <w:vAlign w:val="bottom"/>
            <w:hideMark/>
          </w:tcPr>
          <w:p w14:paraId="36783FD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65.000,00</w:t>
            </w:r>
          </w:p>
        </w:tc>
        <w:tc>
          <w:tcPr>
            <w:tcW w:w="1559" w:type="dxa"/>
            <w:tcBorders>
              <w:top w:val="nil"/>
              <w:left w:val="nil"/>
              <w:bottom w:val="nil"/>
              <w:right w:val="nil"/>
            </w:tcBorders>
            <w:shd w:val="clear" w:color="000000" w:fill="CCCCFF"/>
            <w:noWrap/>
            <w:vAlign w:val="bottom"/>
            <w:hideMark/>
          </w:tcPr>
          <w:p w14:paraId="3E36B58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65.000,00</w:t>
            </w:r>
          </w:p>
        </w:tc>
        <w:tc>
          <w:tcPr>
            <w:tcW w:w="1559" w:type="dxa"/>
            <w:tcBorders>
              <w:top w:val="nil"/>
              <w:left w:val="nil"/>
              <w:bottom w:val="nil"/>
              <w:right w:val="nil"/>
            </w:tcBorders>
            <w:shd w:val="clear" w:color="000000" w:fill="CCCCFF"/>
            <w:noWrap/>
            <w:vAlign w:val="bottom"/>
            <w:hideMark/>
          </w:tcPr>
          <w:p w14:paraId="53DE2D3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60.459,64</w:t>
            </w:r>
          </w:p>
        </w:tc>
        <w:tc>
          <w:tcPr>
            <w:tcW w:w="993" w:type="dxa"/>
            <w:tcBorders>
              <w:top w:val="nil"/>
              <w:left w:val="nil"/>
              <w:bottom w:val="nil"/>
              <w:right w:val="nil"/>
            </w:tcBorders>
            <w:shd w:val="clear" w:color="000000" w:fill="CCCCFF"/>
            <w:noWrap/>
            <w:vAlign w:val="bottom"/>
            <w:hideMark/>
          </w:tcPr>
          <w:p w14:paraId="0D7993E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93,01%</w:t>
            </w:r>
          </w:p>
        </w:tc>
      </w:tr>
      <w:tr w:rsidR="006967F8" w:rsidRPr="006967F8" w14:paraId="325F5CA5"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1E0C096"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3.2. Vlastiti prihodi proračunskih korisnika</w:t>
            </w:r>
          </w:p>
        </w:tc>
        <w:tc>
          <w:tcPr>
            <w:tcW w:w="1559" w:type="dxa"/>
            <w:tcBorders>
              <w:top w:val="nil"/>
              <w:left w:val="nil"/>
              <w:bottom w:val="nil"/>
              <w:right w:val="nil"/>
            </w:tcBorders>
            <w:shd w:val="clear" w:color="000000" w:fill="CCCCFF"/>
            <w:noWrap/>
            <w:vAlign w:val="bottom"/>
            <w:hideMark/>
          </w:tcPr>
          <w:p w14:paraId="56491E9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65.000,00</w:t>
            </w:r>
          </w:p>
        </w:tc>
        <w:tc>
          <w:tcPr>
            <w:tcW w:w="1559" w:type="dxa"/>
            <w:tcBorders>
              <w:top w:val="nil"/>
              <w:left w:val="nil"/>
              <w:bottom w:val="nil"/>
              <w:right w:val="nil"/>
            </w:tcBorders>
            <w:shd w:val="clear" w:color="000000" w:fill="CCCCFF"/>
            <w:noWrap/>
            <w:vAlign w:val="bottom"/>
            <w:hideMark/>
          </w:tcPr>
          <w:p w14:paraId="4E27A0D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65.000,00</w:t>
            </w:r>
          </w:p>
        </w:tc>
        <w:tc>
          <w:tcPr>
            <w:tcW w:w="1559" w:type="dxa"/>
            <w:tcBorders>
              <w:top w:val="nil"/>
              <w:left w:val="nil"/>
              <w:bottom w:val="nil"/>
              <w:right w:val="nil"/>
            </w:tcBorders>
            <w:shd w:val="clear" w:color="000000" w:fill="CCCCFF"/>
            <w:noWrap/>
            <w:vAlign w:val="bottom"/>
            <w:hideMark/>
          </w:tcPr>
          <w:p w14:paraId="6151EFA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60.459,64</w:t>
            </w:r>
          </w:p>
        </w:tc>
        <w:tc>
          <w:tcPr>
            <w:tcW w:w="993" w:type="dxa"/>
            <w:tcBorders>
              <w:top w:val="nil"/>
              <w:left w:val="nil"/>
              <w:bottom w:val="nil"/>
              <w:right w:val="nil"/>
            </w:tcBorders>
            <w:shd w:val="clear" w:color="000000" w:fill="CCCCFF"/>
            <w:noWrap/>
            <w:vAlign w:val="bottom"/>
            <w:hideMark/>
          </w:tcPr>
          <w:p w14:paraId="1F62F50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93,01%</w:t>
            </w:r>
          </w:p>
        </w:tc>
      </w:tr>
      <w:tr w:rsidR="006967F8" w:rsidRPr="006967F8" w14:paraId="06F48741" w14:textId="77777777" w:rsidTr="008A61B1">
        <w:trPr>
          <w:trHeight w:val="255"/>
        </w:trPr>
        <w:tc>
          <w:tcPr>
            <w:tcW w:w="1134" w:type="dxa"/>
            <w:tcBorders>
              <w:top w:val="nil"/>
              <w:left w:val="nil"/>
              <w:bottom w:val="nil"/>
              <w:right w:val="nil"/>
            </w:tcBorders>
            <w:noWrap/>
            <w:vAlign w:val="bottom"/>
            <w:hideMark/>
          </w:tcPr>
          <w:p w14:paraId="0F7201E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31</w:t>
            </w:r>
          </w:p>
        </w:tc>
        <w:tc>
          <w:tcPr>
            <w:tcW w:w="4962" w:type="dxa"/>
            <w:tcBorders>
              <w:top w:val="nil"/>
              <w:left w:val="nil"/>
              <w:bottom w:val="nil"/>
              <w:right w:val="nil"/>
            </w:tcBorders>
            <w:noWrap/>
            <w:vAlign w:val="bottom"/>
            <w:hideMark/>
          </w:tcPr>
          <w:p w14:paraId="23BEE9B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zaposlene</w:t>
            </w:r>
          </w:p>
        </w:tc>
        <w:tc>
          <w:tcPr>
            <w:tcW w:w="1559" w:type="dxa"/>
            <w:tcBorders>
              <w:top w:val="nil"/>
              <w:left w:val="nil"/>
              <w:bottom w:val="nil"/>
              <w:right w:val="nil"/>
            </w:tcBorders>
            <w:noWrap/>
            <w:vAlign w:val="bottom"/>
            <w:hideMark/>
          </w:tcPr>
          <w:p w14:paraId="6E189DD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4.000,00</w:t>
            </w:r>
          </w:p>
        </w:tc>
        <w:tc>
          <w:tcPr>
            <w:tcW w:w="1559" w:type="dxa"/>
            <w:tcBorders>
              <w:top w:val="nil"/>
              <w:left w:val="nil"/>
              <w:bottom w:val="nil"/>
              <w:right w:val="nil"/>
            </w:tcBorders>
            <w:noWrap/>
            <w:vAlign w:val="bottom"/>
            <w:hideMark/>
          </w:tcPr>
          <w:p w14:paraId="416C402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4.000,00</w:t>
            </w:r>
          </w:p>
        </w:tc>
        <w:tc>
          <w:tcPr>
            <w:tcW w:w="1559" w:type="dxa"/>
            <w:tcBorders>
              <w:top w:val="nil"/>
              <w:left w:val="nil"/>
              <w:bottom w:val="nil"/>
              <w:right w:val="nil"/>
            </w:tcBorders>
            <w:noWrap/>
            <w:vAlign w:val="bottom"/>
            <w:hideMark/>
          </w:tcPr>
          <w:p w14:paraId="70E7274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2.471,60</w:t>
            </w:r>
          </w:p>
        </w:tc>
        <w:tc>
          <w:tcPr>
            <w:tcW w:w="993" w:type="dxa"/>
            <w:tcBorders>
              <w:top w:val="nil"/>
              <w:left w:val="nil"/>
              <w:bottom w:val="nil"/>
              <w:right w:val="nil"/>
            </w:tcBorders>
            <w:noWrap/>
            <w:vAlign w:val="bottom"/>
            <w:hideMark/>
          </w:tcPr>
          <w:p w14:paraId="6EDBF28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61,79%</w:t>
            </w:r>
          </w:p>
        </w:tc>
      </w:tr>
      <w:tr w:rsidR="006967F8" w:rsidRPr="006967F8" w14:paraId="09AFF318" w14:textId="77777777" w:rsidTr="008A61B1">
        <w:trPr>
          <w:trHeight w:val="255"/>
        </w:trPr>
        <w:tc>
          <w:tcPr>
            <w:tcW w:w="1134" w:type="dxa"/>
            <w:tcBorders>
              <w:top w:val="nil"/>
              <w:left w:val="nil"/>
              <w:bottom w:val="nil"/>
              <w:right w:val="nil"/>
            </w:tcBorders>
            <w:noWrap/>
            <w:vAlign w:val="bottom"/>
            <w:hideMark/>
          </w:tcPr>
          <w:p w14:paraId="6DF58A7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3121</w:t>
            </w:r>
          </w:p>
        </w:tc>
        <w:tc>
          <w:tcPr>
            <w:tcW w:w="4962" w:type="dxa"/>
            <w:tcBorders>
              <w:top w:val="nil"/>
              <w:left w:val="nil"/>
              <w:bottom w:val="nil"/>
              <w:right w:val="nil"/>
            </w:tcBorders>
            <w:noWrap/>
            <w:vAlign w:val="bottom"/>
            <w:hideMark/>
          </w:tcPr>
          <w:p w14:paraId="7FCE373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rashodi za zaposlene</w:t>
            </w:r>
          </w:p>
        </w:tc>
        <w:tc>
          <w:tcPr>
            <w:tcW w:w="1559" w:type="dxa"/>
            <w:tcBorders>
              <w:top w:val="nil"/>
              <w:left w:val="nil"/>
              <w:bottom w:val="nil"/>
              <w:right w:val="nil"/>
            </w:tcBorders>
            <w:noWrap/>
            <w:vAlign w:val="bottom"/>
            <w:hideMark/>
          </w:tcPr>
          <w:p w14:paraId="25286117"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92186CD"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63D18FA"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2.471,60</w:t>
            </w:r>
          </w:p>
        </w:tc>
        <w:tc>
          <w:tcPr>
            <w:tcW w:w="993" w:type="dxa"/>
            <w:tcBorders>
              <w:top w:val="nil"/>
              <w:left w:val="nil"/>
              <w:bottom w:val="nil"/>
              <w:right w:val="nil"/>
            </w:tcBorders>
            <w:noWrap/>
            <w:vAlign w:val="bottom"/>
            <w:hideMark/>
          </w:tcPr>
          <w:p w14:paraId="60F3F2A1"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DE6C605" w14:textId="77777777" w:rsidTr="008A61B1">
        <w:trPr>
          <w:trHeight w:val="255"/>
        </w:trPr>
        <w:tc>
          <w:tcPr>
            <w:tcW w:w="1134" w:type="dxa"/>
            <w:tcBorders>
              <w:top w:val="nil"/>
              <w:left w:val="nil"/>
              <w:bottom w:val="nil"/>
              <w:right w:val="nil"/>
            </w:tcBorders>
            <w:noWrap/>
            <w:vAlign w:val="bottom"/>
            <w:hideMark/>
          </w:tcPr>
          <w:p w14:paraId="3E0D82B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275C534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1BF4093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58.850,00</w:t>
            </w:r>
          </w:p>
        </w:tc>
        <w:tc>
          <w:tcPr>
            <w:tcW w:w="1559" w:type="dxa"/>
            <w:tcBorders>
              <w:top w:val="nil"/>
              <w:left w:val="nil"/>
              <w:bottom w:val="nil"/>
              <w:right w:val="nil"/>
            </w:tcBorders>
            <w:noWrap/>
            <w:vAlign w:val="bottom"/>
            <w:hideMark/>
          </w:tcPr>
          <w:p w14:paraId="7C113EF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58.850,00</w:t>
            </w:r>
          </w:p>
        </w:tc>
        <w:tc>
          <w:tcPr>
            <w:tcW w:w="1559" w:type="dxa"/>
            <w:tcBorders>
              <w:top w:val="nil"/>
              <w:left w:val="nil"/>
              <w:bottom w:val="nil"/>
              <w:right w:val="nil"/>
            </w:tcBorders>
            <w:noWrap/>
            <w:vAlign w:val="bottom"/>
            <w:hideMark/>
          </w:tcPr>
          <w:p w14:paraId="3CA9835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56.299,82</w:t>
            </w:r>
          </w:p>
        </w:tc>
        <w:tc>
          <w:tcPr>
            <w:tcW w:w="993" w:type="dxa"/>
            <w:tcBorders>
              <w:top w:val="nil"/>
              <w:left w:val="nil"/>
              <w:bottom w:val="nil"/>
              <w:right w:val="nil"/>
            </w:tcBorders>
            <w:noWrap/>
            <w:vAlign w:val="bottom"/>
            <w:hideMark/>
          </w:tcPr>
          <w:p w14:paraId="4E2072F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95,67%</w:t>
            </w:r>
          </w:p>
        </w:tc>
      </w:tr>
      <w:tr w:rsidR="006967F8" w:rsidRPr="006967F8" w14:paraId="53231235" w14:textId="77777777" w:rsidTr="008A61B1">
        <w:trPr>
          <w:trHeight w:val="255"/>
        </w:trPr>
        <w:tc>
          <w:tcPr>
            <w:tcW w:w="1134" w:type="dxa"/>
            <w:tcBorders>
              <w:top w:val="nil"/>
              <w:left w:val="nil"/>
              <w:bottom w:val="nil"/>
              <w:right w:val="nil"/>
            </w:tcBorders>
            <w:noWrap/>
            <w:vAlign w:val="bottom"/>
            <w:hideMark/>
          </w:tcPr>
          <w:p w14:paraId="29477D5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3211</w:t>
            </w:r>
          </w:p>
        </w:tc>
        <w:tc>
          <w:tcPr>
            <w:tcW w:w="4962" w:type="dxa"/>
            <w:tcBorders>
              <w:top w:val="nil"/>
              <w:left w:val="nil"/>
              <w:bottom w:val="nil"/>
              <w:right w:val="nil"/>
            </w:tcBorders>
            <w:noWrap/>
            <w:vAlign w:val="bottom"/>
            <w:hideMark/>
          </w:tcPr>
          <w:p w14:paraId="369F5B8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Službena putovanja</w:t>
            </w:r>
          </w:p>
        </w:tc>
        <w:tc>
          <w:tcPr>
            <w:tcW w:w="1559" w:type="dxa"/>
            <w:tcBorders>
              <w:top w:val="nil"/>
              <w:left w:val="nil"/>
              <w:bottom w:val="nil"/>
              <w:right w:val="nil"/>
            </w:tcBorders>
            <w:noWrap/>
            <w:vAlign w:val="bottom"/>
            <w:hideMark/>
          </w:tcPr>
          <w:p w14:paraId="1A8802DF"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EE2E5E6"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19A8DF0"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565,32</w:t>
            </w:r>
          </w:p>
        </w:tc>
        <w:tc>
          <w:tcPr>
            <w:tcW w:w="993" w:type="dxa"/>
            <w:tcBorders>
              <w:top w:val="nil"/>
              <w:left w:val="nil"/>
              <w:bottom w:val="nil"/>
              <w:right w:val="nil"/>
            </w:tcBorders>
            <w:noWrap/>
            <w:vAlign w:val="bottom"/>
            <w:hideMark/>
          </w:tcPr>
          <w:p w14:paraId="7143DA85"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1ABBEF4" w14:textId="77777777" w:rsidTr="008A61B1">
        <w:trPr>
          <w:trHeight w:val="255"/>
        </w:trPr>
        <w:tc>
          <w:tcPr>
            <w:tcW w:w="1134" w:type="dxa"/>
            <w:tcBorders>
              <w:top w:val="nil"/>
              <w:left w:val="nil"/>
              <w:bottom w:val="nil"/>
              <w:right w:val="nil"/>
            </w:tcBorders>
            <w:noWrap/>
            <w:vAlign w:val="bottom"/>
            <w:hideMark/>
          </w:tcPr>
          <w:p w14:paraId="037E58B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3213</w:t>
            </w:r>
          </w:p>
        </w:tc>
        <w:tc>
          <w:tcPr>
            <w:tcW w:w="4962" w:type="dxa"/>
            <w:tcBorders>
              <w:top w:val="nil"/>
              <w:left w:val="nil"/>
              <w:bottom w:val="nil"/>
              <w:right w:val="nil"/>
            </w:tcBorders>
            <w:noWrap/>
            <w:vAlign w:val="bottom"/>
            <w:hideMark/>
          </w:tcPr>
          <w:p w14:paraId="211D452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Stručno usavršavanje zaposlenika</w:t>
            </w:r>
          </w:p>
        </w:tc>
        <w:tc>
          <w:tcPr>
            <w:tcW w:w="1559" w:type="dxa"/>
            <w:tcBorders>
              <w:top w:val="nil"/>
              <w:left w:val="nil"/>
              <w:bottom w:val="nil"/>
              <w:right w:val="nil"/>
            </w:tcBorders>
            <w:noWrap/>
            <w:vAlign w:val="bottom"/>
            <w:hideMark/>
          </w:tcPr>
          <w:p w14:paraId="7AF3EF77"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B36AECC"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BDCD100"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777,50</w:t>
            </w:r>
          </w:p>
        </w:tc>
        <w:tc>
          <w:tcPr>
            <w:tcW w:w="993" w:type="dxa"/>
            <w:tcBorders>
              <w:top w:val="nil"/>
              <w:left w:val="nil"/>
              <w:bottom w:val="nil"/>
              <w:right w:val="nil"/>
            </w:tcBorders>
            <w:noWrap/>
            <w:vAlign w:val="bottom"/>
            <w:hideMark/>
          </w:tcPr>
          <w:p w14:paraId="614AE7CE"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897477F" w14:textId="77777777" w:rsidTr="008A61B1">
        <w:trPr>
          <w:trHeight w:val="255"/>
        </w:trPr>
        <w:tc>
          <w:tcPr>
            <w:tcW w:w="1134" w:type="dxa"/>
            <w:tcBorders>
              <w:top w:val="nil"/>
              <w:left w:val="nil"/>
              <w:bottom w:val="nil"/>
              <w:right w:val="nil"/>
            </w:tcBorders>
            <w:noWrap/>
            <w:vAlign w:val="bottom"/>
            <w:hideMark/>
          </w:tcPr>
          <w:p w14:paraId="04C9467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3221</w:t>
            </w:r>
          </w:p>
        </w:tc>
        <w:tc>
          <w:tcPr>
            <w:tcW w:w="4962" w:type="dxa"/>
            <w:tcBorders>
              <w:top w:val="nil"/>
              <w:left w:val="nil"/>
              <w:bottom w:val="nil"/>
              <w:right w:val="nil"/>
            </w:tcBorders>
            <w:noWrap/>
            <w:vAlign w:val="bottom"/>
            <w:hideMark/>
          </w:tcPr>
          <w:p w14:paraId="38A058E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Uredski materijal i ostali materijalni rashodi</w:t>
            </w:r>
          </w:p>
        </w:tc>
        <w:tc>
          <w:tcPr>
            <w:tcW w:w="1559" w:type="dxa"/>
            <w:tcBorders>
              <w:top w:val="nil"/>
              <w:left w:val="nil"/>
              <w:bottom w:val="nil"/>
              <w:right w:val="nil"/>
            </w:tcBorders>
            <w:noWrap/>
            <w:vAlign w:val="bottom"/>
            <w:hideMark/>
          </w:tcPr>
          <w:p w14:paraId="7A7F9FC8"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D21C441"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372AA2F"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2.772,86</w:t>
            </w:r>
          </w:p>
        </w:tc>
        <w:tc>
          <w:tcPr>
            <w:tcW w:w="993" w:type="dxa"/>
            <w:tcBorders>
              <w:top w:val="nil"/>
              <w:left w:val="nil"/>
              <w:bottom w:val="nil"/>
              <w:right w:val="nil"/>
            </w:tcBorders>
            <w:noWrap/>
            <w:vAlign w:val="bottom"/>
            <w:hideMark/>
          </w:tcPr>
          <w:p w14:paraId="40F7AC3C"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DBDE93C" w14:textId="77777777" w:rsidTr="008A61B1">
        <w:trPr>
          <w:trHeight w:val="255"/>
        </w:trPr>
        <w:tc>
          <w:tcPr>
            <w:tcW w:w="1134" w:type="dxa"/>
            <w:tcBorders>
              <w:top w:val="nil"/>
              <w:left w:val="nil"/>
              <w:bottom w:val="nil"/>
              <w:right w:val="nil"/>
            </w:tcBorders>
            <w:noWrap/>
            <w:vAlign w:val="bottom"/>
            <w:hideMark/>
          </w:tcPr>
          <w:p w14:paraId="5E9EBAD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3223</w:t>
            </w:r>
          </w:p>
        </w:tc>
        <w:tc>
          <w:tcPr>
            <w:tcW w:w="4962" w:type="dxa"/>
            <w:tcBorders>
              <w:top w:val="nil"/>
              <w:left w:val="nil"/>
              <w:bottom w:val="nil"/>
              <w:right w:val="nil"/>
            </w:tcBorders>
            <w:noWrap/>
            <w:vAlign w:val="bottom"/>
            <w:hideMark/>
          </w:tcPr>
          <w:p w14:paraId="0A728C9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Energija</w:t>
            </w:r>
          </w:p>
        </w:tc>
        <w:tc>
          <w:tcPr>
            <w:tcW w:w="1559" w:type="dxa"/>
            <w:tcBorders>
              <w:top w:val="nil"/>
              <w:left w:val="nil"/>
              <w:bottom w:val="nil"/>
              <w:right w:val="nil"/>
            </w:tcBorders>
            <w:noWrap/>
            <w:vAlign w:val="bottom"/>
            <w:hideMark/>
          </w:tcPr>
          <w:p w14:paraId="678774EF"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29DE1FE"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DF3C011"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149,40</w:t>
            </w:r>
          </w:p>
        </w:tc>
        <w:tc>
          <w:tcPr>
            <w:tcW w:w="993" w:type="dxa"/>
            <w:tcBorders>
              <w:top w:val="nil"/>
              <w:left w:val="nil"/>
              <w:bottom w:val="nil"/>
              <w:right w:val="nil"/>
            </w:tcBorders>
            <w:noWrap/>
            <w:vAlign w:val="bottom"/>
            <w:hideMark/>
          </w:tcPr>
          <w:p w14:paraId="5B1C0A24"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7382026" w14:textId="77777777" w:rsidTr="008A61B1">
        <w:trPr>
          <w:trHeight w:val="255"/>
        </w:trPr>
        <w:tc>
          <w:tcPr>
            <w:tcW w:w="1134" w:type="dxa"/>
            <w:tcBorders>
              <w:top w:val="nil"/>
              <w:left w:val="nil"/>
              <w:bottom w:val="nil"/>
              <w:right w:val="nil"/>
            </w:tcBorders>
            <w:noWrap/>
            <w:vAlign w:val="bottom"/>
            <w:hideMark/>
          </w:tcPr>
          <w:p w14:paraId="59A97AB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3224</w:t>
            </w:r>
          </w:p>
        </w:tc>
        <w:tc>
          <w:tcPr>
            <w:tcW w:w="4962" w:type="dxa"/>
            <w:tcBorders>
              <w:top w:val="nil"/>
              <w:left w:val="nil"/>
              <w:bottom w:val="nil"/>
              <w:right w:val="nil"/>
            </w:tcBorders>
            <w:noWrap/>
            <w:vAlign w:val="bottom"/>
            <w:hideMark/>
          </w:tcPr>
          <w:p w14:paraId="55D48E4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Materijal i dijelovi za tekuće i investicijsko održavanje</w:t>
            </w:r>
          </w:p>
        </w:tc>
        <w:tc>
          <w:tcPr>
            <w:tcW w:w="1559" w:type="dxa"/>
            <w:tcBorders>
              <w:top w:val="nil"/>
              <w:left w:val="nil"/>
              <w:bottom w:val="nil"/>
              <w:right w:val="nil"/>
            </w:tcBorders>
            <w:noWrap/>
            <w:vAlign w:val="bottom"/>
            <w:hideMark/>
          </w:tcPr>
          <w:p w14:paraId="5661FEB2"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874DD84"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662C52F"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13.372,78</w:t>
            </w:r>
          </w:p>
        </w:tc>
        <w:tc>
          <w:tcPr>
            <w:tcW w:w="993" w:type="dxa"/>
            <w:tcBorders>
              <w:top w:val="nil"/>
              <w:left w:val="nil"/>
              <w:bottom w:val="nil"/>
              <w:right w:val="nil"/>
            </w:tcBorders>
            <w:noWrap/>
            <w:vAlign w:val="bottom"/>
            <w:hideMark/>
          </w:tcPr>
          <w:p w14:paraId="16334058"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8C98B25" w14:textId="77777777" w:rsidTr="008A61B1">
        <w:trPr>
          <w:trHeight w:val="255"/>
        </w:trPr>
        <w:tc>
          <w:tcPr>
            <w:tcW w:w="1134" w:type="dxa"/>
            <w:tcBorders>
              <w:top w:val="nil"/>
              <w:left w:val="nil"/>
              <w:bottom w:val="nil"/>
              <w:right w:val="nil"/>
            </w:tcBorders>
            <w:noWrap/>
            <w:vAlign w:val="bottom"/>
            <w:hideMark/>
          </w:tcPr>
          <w:p w14:paraId="4F3623C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3225</w:t>
            </w:r>
          </w:p>
        </w:tc>
        <w:tc>
          <w:tcPr>
            <w:tcW w:w="4962" w:type="dxa"/>
            <w:tcBorders>
              <w:top w:val="nil"/>
              <w:left w:val="nil"/>
              <w:bottom w:val="nil"/>
              <w:right w:val="nil"/>
            </w:tcBorders>
            <w:noWrap/>
            <w:vAlign w:val="bottom"/>
            <w:hideMark/>
          </w:tcPr>
          <w:p w14:paraId="6B07583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 xml:space="preserve">Sitni inventar i </w:t>
            </w:r>
            <w:proofErr w:type="spellStart"/>
            <w:r w:rsidRPr="006967F8">
              <w:rPr>
                <w:rFonts w:ascii="Arial" w:eastAsia="Times New Roman" w:hAnsi="Arial" w:cs="Arial"/>
                <w:sz w:val="20"/>
                <w:szCs w:val="20"/>
                <w:lang w:eastAsia="hr-HR"/>
              </w:rPr>
              <w:t>autogume</w:t>
            </w:r>
            <w:proofErr w:type="spellEnd"/>
          </w:p>
        </w:tc>
        <w:tc>
          <w:tcPr>
            <w:tcW w:w="1559" w:type="dxa"/>
            <w:tcBorders>
              <w:top w:val="nil"/>
              <w:left w:val="nil"/>
              <w:bottom w:val="nil"/>
              <w:right w:val="nil"/>
            </w:tcBorders>
            <w:noWrap/>
            <w:vAlign w:val="bottom"/>
            <w:hideMark/>
          </w:tcPr>
          <w:p w14:paraId="13CF33E8"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F071889"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E44FDAA"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4.797,69</w:t>
            </w:r>
          </w:p>
        </w:tc>
        <w:tc>
          <w:tcPr>
            <w:tcW w:w="993" w:type="dxa"/>
            <w:tcBorders>
              <w:top w:val="nil"/>
              <w:left w:val="nil"/>
              <w:bottom w:val="nil"/>
              <w:right w:val="nil"/>
            </w:tcBorders>
            <w:noWrap/>
            <w:vAlign w:val="bottom"/>
            <w:hideMark/>
          </w:tcPr>
          <w:p w14:paraId="57C41795"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8838885" w14:textId="77777777" w:rsidTr="008A61B1">
        <w:trPr>
          <w:trHeight w:val="255"/>
        </w:trPr>
        <w:tc>
          <w:tcPr>
            <w:tcW w:w="1134" w:type="dxa"/>
            <w:tcBorders>
              <w:top w:val="nil"/>
              <w:left w:val="nil"/>
              <w:bottom w:val="nil"/>
              <w:right w:val="nil"/>
            </w:tcBorders>
            <w:noWrap/>
            <w:vAlign w:val="bottom"/>
            <w:hideMark/>
          </w:tcPr>
          <w:p w14:paraId="06EBC00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3231</w:t>
            </w:r>
          </w:p>
        </w:tc>
        <w:tc>
          <w:tcPr>
            <w:tcW w:w="4962" w:type="dxa"/>
            <w:tcBorders>
              <w:top w:val="nil"/>
              <w:left w:val="nil"/>
              <w:bottom w:val="nil"/>
              <w:right w:val="nil"/>
            </w:tcBorders>
            <w:noWrap/>
            <w:vAlign w:val="bottom"/>
            <w:hideMark/>
          </w:tcPr>
          <w:p w14:paraId="1D322E6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telefona, interneta, pošte i prijevoza</w:t>
            </w:r>
          </w:p>
        </w:tc>
        <w:tc>
          <w:tcPr>
            <w:tcW w:w="1559" w:type="dxa"/>
            <w:tcBorders>
              <w:top w:val="nil"/>
              <w:left w:val="nil"/>
              <w:bottom w:val="nil"/>
              <w:right w:val="nil"/>
            </w:tcBorders>
            <w:noWrap/>
            <w:vAlign w:val="bottom"/>
            <w:hideMark/>
          </w:tcPr>
          <w:p w14:paraId="292BBE53"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E314EDF"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4AB76E3"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1.563,10</w:t>
            </w:r>
          </w:p>
        </w:tc>
        <w:tc>
          <w:tcPr>
            <w:tcW w:w="993" w:type="dxa"/>
            <w:tcBorders>
              <w:top w:val="nil"/>
              <w:left w:val="nil"/>
              <w:bottom w:val="nil"/>
              <w:right w:val="nil"/>
            </w:tcBorders>
            <w:noWrap/>
            <w:vAlign w:val="bottom"/>
            <w:hideMark/>
          </w:tcPr>
          <w:p w14:paraId="10FCACF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939EB49" w14:textId="77777777" w:rsidTr="008A61B1">
        <w:trPr>
          <w:trHeight w:val="255"/>
        </w:trPr>
        <w:tc>
          <w:tcPr>
            <w:tcW w:w="1134" w:type="dxa"/>
            <w:tcBorders>
              <w:top w:val="nil"/>
              <w:left w:val="nil"/>
              <w:bottom w:val="nil"/>
              <w:right w:val="nil"/>
            </w:tcBorders>
            <w:noWrap/>
            <w:vAlign w:val="bottom"/>
            <w:hideMark/>
          </w:tcPr>
          <w:p w14:paraId="7919308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3232</w:t>
            </w:r>
          </w:p>
        </w:tc>
        <w:tc>
          <w:tcPr>
            <w:tcW w:w="4962" w:type="dxa"/>
            <w:tcBorders>
              <w:top w:val="nil"/>
              <w:left w:val="nil"/>
              <w:bottom w:val="nil"/>
              <w:right w:val="nil"/>
            </w:tcBorders>
            <w:noWrap/>
            <w:vAlign w:val="bottom"/>
            <w:hideMark/>
          </w:tcPr>
          <w:p w14:paraId="56679F8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noWrap/>
            <w:vAlign w:val="bottom"/>
            <w:hideMark/>
          </w:tcPr>
          <w:p w14:paraId="6060F5CF"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2C2DD45"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8AF5618"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11.034,42</w:t>
            </w:r>
          </w:p>
        </w:tc>
        <w:tc>
          <w:tcPr>
            <w:tcW w:w="993" w:type="dxa"/>
            <w:tcBorders>
              <w:top w:val="nil"/>
              <w:left w:val="nil"/>
              <w:bottom w:val="nil"/>
              <w:right w:val="nil"/>
            </w:tcBorders>
            <w:noWrap/>
            <w:vAlign w:val="bottom"/>
            <w:hideMark/>
          </w:tcPr>
          <w:p w14:paraId="498688C6"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701716F" w14:textId="77777777" w:rsidTr="008A61B1">
        <w:trPr>
          <w:trHeight w:val="255"/>
        </w:trPr>
        <w:tc>
          <w:tcPr>
            <w:tcW w:w="1134" w:type="dxa"/>
            <w:tcBorders>
              <w:top w:val="nil"/>
              <w:left w:val="nil"/>
              <w:bottom w:val="nil"/>
              <w:right w:val="nil"/>
            </w:tcBorders>
            <w:noWrap/>
            <w:vAlign w:val="bottom"/>
            <w:hideMark/>
          </w:tcPr>
          <w:p w14:paraId="4E04387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3233</w:t>
            </w:r>
          </w:p>
        </w:tc>
        <w:tc>
          <w:tcPr>
            <w:tcW w:w="4962" w:type="dxa"/>
            <w:tcBorders>
              <w:top w:val="nil"/>
              <w:left w:val="nil"/>
              <w:bottom w:val="nil"/>
              <w:right w:val="nil"/>
            </w:tcBorders>
            <w:noWrap/>
            <w:vAlign w:val="bottom"/>
            <w:hideMark/>
          </w:tcPr>
          <w:p w14:paraId="12F825F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promidžbe i informiranja</w:t>
            </w:r>
          </w:p>
        </w:tc>
        <w:tc>
          <w:tcPr>
            <w:tcW w:w="1559" w:type="dxa"/>
            <w:tcBorders>
              <w:top w:val="nil"/>
              <w:left w:val="nil"/>
              <w:bottom w:val="nil"/>
              <w:right w:val="nil"/>
            </w:tcBorders>
            <w:noWrap/>
            <w:vAlign w:val="bottom"/>
            <w:hideMark/>
          </w:tcPr>
          <w:p w14:paraId="54D58005"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D9D335C"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2C80758"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498,85</w:t>
            </w:r>
          </w:p>
        </w:tc>
        <w:tc>
          <w:tcPr>
            <w:tcW w:w="993" w:type="dxa"/>
            <w:tcBorders>
              <w:top w:val="nil"/>
              <w:left w:val="nil"/>
              <w:bottom w:val="nil"/>
              <w:right w:val="nil"/>
            </w:tcBorders>
            <w:noWrap/>
            <w:vAlign w:val="bottom"/>
            <w:hideMark/>
          </w:tcPr>
          <w:p w14:paraId="3ECE9A47"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AF989D9" w14:textId="77777777" w:rsidTr="008A61B1">
        <w:trPr>
          <w:trHeight w:val="255"/>
        </w:trPr>
        <w:tc>
          <w:tcPr>
            <w:tcW w:w="1134" w:type="dxa"/>
            <w:tcBorders>
              <w:top w:val="nil"/>
              <w:left w:val="nil"/>
              <w:bottom w:val="nil"/>
              <w:right w:val="nil"/>
            </w:tcBorders>
            <w:noWrap/>
            <w:vAlign w:val="bottom"/>
            <w:hideMark/>
          </w:tcPr>
          <w:p w14:paraId="2D69686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3234</w:t>
            </w:r>
          </w:p>
        </w:tc>
        <w:tc>
          <w:tcPr>
            <w:tcW w:w="4962" w:type="dxa"/>
            <w:tcBorders>
              <w:top w:val="nil"/>
              <w:left w:val="nil"/>
              <w:bottom w:val="nil"/>
              <w:right w:val="nil"/>
            </w:tcBorders>
            <w:noWrap/>
            <w:vAlign w:val="bottom"/>
            <w:hideMark/>
          </w:tcPr>
          <w:p w14:paraId="3FD7BA7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Komunalne usluge</w:t>
            </w:r>
          </w:p>
        </w:tc>
        <w:tc>
          <w:tcPr>
            <w:tcW w:w="1559" w:type="dxa"/>
            <w:tcBorders>
              <w:top w:val="nil"/>
              <w:left w:val="nil"/>
              <w:bottom w:val="nil"/>
              <w:right w:val="nil"/>
            </w:tcBorders>
            <w:noWrap/>
            <w:vAlign w:val="bottom"/>
            <w:hideMark/>
          </w:tcPr>
          <w:p w14:paraId="52187EA1"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0BED0D1"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35D8BBD"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5.951,81</w:t>
            </w:r>
          </w:p>
        </w:tc>
        <w:tc>
          <w:tcPr>
            <w:tcW w:w="993" w:type="dxa"/>
            <w:tcBorders>
              <w:top w:val="nil"/>
              <w:left w:val="nil"/>
              <w:bottom w:val="nil"/>
              <w:right w:val="nil"/>
            </w:tcBorders>
            <w:noWrap/>
            <w:vAlign w:val="bottom"/>
            <w:hideMark/>
          </w:tcPr>
          <w:p w14:paraId="36C692C6"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01D136F" w14:textId="77777777" w:rsidTr="008A61B1">
        <w:trPr>
          <w:trHeight w:val="255"/>
        </w:trPr>
        <w:tc>
          <w:tcPr>
            <w:tcW w:w="1134" w:type="dxa"/>
            <w:tcBorders>
              <w:top w:val="nil"/>
              <w:left w:val="nil"/>
              <w:bottom w:val="nil"/>
              <w:right w:val="nil"/>
            </w:tcBorders>
            <w:noWrap/>
            <w:vAlign w:val="bottom"/>
            <w:hideMark/>
          </w:tcPr>
          <w:p w14:paraId="522A347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3237</w:t>
            </w:r>
          </w:p>
        </w:tc>
        <w:tc>
          <w:tcPr>
            <w:tcW w:w="4962" w:type="dxa"/>
            <w:tcBorders>
              <w:top w:val="nil"/>
              <w:left w:val="nil"/>
              <w:bottom w:val="nil"/>
              <w:right w:val="nil"/>
            </w:tcBorders>
            <w:noWrap/>
            <w:vAlign w:val="bottom"/>
            <w:hideMark/>
          </w:tcPr>
          <w:p w14:paraId="382B324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Intelektualne i osobne usluge</w:t>
            </w:r>
          </w:p>
        </w:tc>
        <w:tc>
          <w:tcPr>
            <w:tcW w:w="1559" w:type="dxa"/>
            <w:tcBorders>
              <w:top w:val="nil"/>
              <w:left w:val="nil"/>
              <w:bottom w:val="nil"/>
              <w:right w:val="nil"/>
            </w:tcBorders>
            <w:noWrap/>
            <w:vAlign w:val="bottom"/>
            <w:hideMark/>
          </w:tcPr>
          <w:p w14:paraId="6C34124C"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4AEE546"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49E650D"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7.175,00</w:t>
            </w:r>
          </w:p>
        </w:tc>
        <w:tc>
          <w:tcPr>
            <w:tcW w:w="993" w:type="dxa"/>
            <w:tcBorders>
              <w:top w:val="nil"/>
              <w:left w:val="nil"/>
              <w:bottom w:val="nil"/>
              <w:right w:val="nil"/>
            </w:tcBorders>
            <w:noWrap/>
            <w:vAlign w:val="bottom"/>
            <w:hideMark/>
          </w:tcPr>
          <w:p w14:paraId="2B978D86"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769F4D1" w14:textId="77777777" w:rsidTr="008A61B1">
        <w:trPr>
          <w:trHeight w:val="255"/>
        </w:trPr>
        <w:tc>
          <w:tcPr>
            <w:tcW w:w="1134" w:type="dxa"/>
            <w:tcBorders>
              <w:top w:val="nil"/>
              <w:left w:val="nil"/>
              <w:bottom w:val="nil"/>
              <w:right w:val="nil"/>
            </w:tcBorders>
            <w:noWrap/>
            <w:vAlign w:val="bottom"/>
            <w:hideMark/>
          </w:tcPr>
          <w:p w14:paraId="267F8DA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3238</w:t>
            </w:r>
          </w:p>
        </w:tc>
        <w:tc>
          <w:tcPr>
            <w:tcW w:w="4962" w:type="dxa"/>
            <w:tcBorders>
              <w:top w:val="nil"/>
              <w:left w:val="nil"/>
              <w:bottom w:val="nil"/>
              <w:right w:val="nil"/>
            </w:tcBorders>
            <w:noWrap/>
            <w:vAlign w:val="bottom"/>
            <w:hideMark/>
          </w:tcPr>
          <w:p w14:paraId="0669EAC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Računalne usluge</w:t>
            </w:r>
          </w:p>
        </w:tc>
        <w:tc>
          <w:tcPr>
            <w:tcW w:w="1559" w:type="dxa"/>
            <w:tcBorders>
              <w:top w:val="nil"/>
              <w:left w:val="nil"/>
              <w:bottom w:val="nil"/>
              <w:right w:val="nil"/>
            </w:tcBorders>
            <w:noWrap/>
            <w:vAlign w:val="bottom"/>
            <w:hideMark/>
          </w:tcPr>
          <w:p w14:paraId="285FB299"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A53722B"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E4FCC9C"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458,30</w:t>
            </w:r>
          </w:p>
        </w:tc>
        <w:tc>
          <w:tcPr>
            <w:tcW w:w="993" w:type="dxa"/>
            <w:tcBorders>
              <w:top w:val="nil"/>
              <w:left w:val="nil"/>
              <w:bottom w:val="nil"/>
              <w:right w:val="nil"/>
            </w:tcBorders>
            <w:noWrap/>
            <w:vAlign w:val="bottom"/>
            <w:hideMark/>
          </w:tcPr>
          <w:p w14:paraId="06697995"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CB77B1F" w14:textId="77777777" w:rsidTr="008A61B1">
        <w:trPr>
          <w:trHeight w:val="255"/>
        </w:trPr>
        <w:tc>
          <w:tcPr>
            <w:tcW w:w="1134" w:type="dxa"/>
            <w:tcBorders>
              <w:top w:val="nil"/>
              <w:left w:val="nil"/>
              <w:bottom w:val="nil"/>
              <w:right w:val="nil"/>
            </w:tcBorders>
            <w:noWrap/>
            <w:vAlign w:val="bottom"/>
            <w:hideMark/>
          </w:tcPr>
          <w:p w14:paraId="56E1A56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3239</w:t>
            </w:r>
          </w:p>
        </w:tc>
        <w:tc>
          <w:tcPr>
            <w:tcW w:w="4962" w:type="dxa"/>
            <w:tcBorders>
              <w:top w:val="nil"/>
              <w:left w:val="nil"/>
              <w:bottom w:val="nil"/>
              <w:right w:val="nil"/>
            </w:tcBorders>
            <w:noWrap/>
            <w:vAlign w:val="bottom"/>
            <w:hideMark/>
          </w:tcPr>
          <w:p w14:paraId="29944CF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Ostale usluge</w:t>
            </w:r>
          </w:p>
        </w:tc>
        <w:tc>
          <w:tcPr>
            <w:tcW w:w="1559" w:type="dxa"/>
            <w:tcBorders>
              <w:top w:val="nil"/>
              <w:left w:val="nil"/>
              <w:bottom w:val="nil"/>
              <w:right w:val="nil"/>
            </w:tcBorders>
            <w:noWrap/>
            <w:vAlign w:val="bottom"/>
            <w:hideMark/>
          </w:tcPr>
          <w:p w14:paraId="3958AD8A"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A0667DE"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2CB763C"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533,36</w:t>
            </w:r>
          </w:p>
        </w:tc>
        <w:tc>
          <w:tcPr>
            <w:tcW w:w="993" w:type="dxa"/>
            <w:tcBorders>
              <w:top w:val="nil"/>
              <w:left w:val="nil"/>
              <w:bottom w:val="nil"/>
              <w:right w:val="nil"/>
            </w:tcBorders>
            <w:noWrap/>
            <w:vAlign w:val="bottom"/>
            <w:hideMark/>
          </w:tcPr>
          <w:p w14:paraId="52839351"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A7BD7F3" w14:textId="77777777" w:rsidTr="008A61B1">
        <w:trPr>
          <w:trHeight w:val="540"/>
        </w:trPr>
        <w:tc>
          <w:tcPr>
            <w:tcW w:w="1134" w:type="dxa"/>
            <w:tcBorders>
              <w:top w:val="nil"/>
              <w:left w:val="nil"/>
              <w:bottom w:val="nil"/>
              <w:right w:val="nil"/>
            </w:tcBorders>
            <w:noWrap/>
            <w:vAlign w:val="bottom"/>
            <w:hideMark/>
          </w:tcPr>
          <w:p w14:paraId="45FB25E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3291</w:t>
            </w:r>
          </w:p>
        </w:tc>
        <w:tc>
          <w:tcPr>
            <w:tcW w:w="4962" w:type="dxa"/>
            <w:tcBorders>
              <w:top w:val="nil"/>
              <w:left w:val="nil"/>
              <w:bottom w:val="nil"/>
              <w:right w:val="nil"/>
            </w:tcBorders>
            <w:vAlign w:val="bottom"/>
            <w:hideMark/>
          </w:tcPr>
          <w:p w14:paraId="4EEB1B3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Naknade za rad predstavničkih i izvršnih tijela, povjerenstava i slično</w:t>
            </w:r>
          </w:p>
        </w:tc>
        <w:tc>
          <w:tcPr>
            <w:tcW w:w="1559" w:type="dxa"/>
            <w:tcBorders>
              <w:top w:val="nil"/>
              <w:left w:val="nil"/>
              <w:bottom w:val="nil"/>
              <w:right w:val="nil"/>
            </w:tcBorders>
            <w:noWrap/>
            <w:vAlign w:val="bottom"/>
            <w:hideMark/>
          </w:tcPr>
          <w:p w14:paraId="2C7FDB35"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0094C02"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FB5B4B4"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1.456,98</w:t>
            </w:r>
          </w:p>
        </w:tc>
        <w:tc>
          <w:tcPr>
            <w:tcW w:w="993" w:type="dxa"/>
            <w:tcBorders>
              <w:top w:val="nil"/>
              <w:left w:val="nil"/>
              <w:bottom w:val="nil"/>
              <w:right w:val="nil"/>
            </w:tcBorders>
            <w:noWrap/>
            <w:vAlign w:val="bottom"/>
            <w:hideMark/>
          </w:tcPr>
          <w:p w14:paraId="38E23E46"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D88A9AD" w14:textId="77777777" w:rsidTr="008A61B1">
        <w:trPr>
          <w:trHeight w:val="255"/>
        </w:trPr>
        <w:tc>
          <w:tcPr>
            <w:tcW w:w="1134" w:type="dxa"/>
            <w:tcBorders>
              <w:top w:val="nil"/>
              <w:left w:val="nil"/>
              <w:bottom w:val="nil"/>
              <w:right w:val="nil"/>
            </w:tcBorders>
            <w:noWrap/>
            <w:vAlign w:val="bottom"/>
            <w:hideMark/>
          </w:tcPr>
          <w:p w14:paraId="5C185AE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3292</w:t>
            </w:r>
          </w:p>
        </w:tc>
        <w:tc>
          <w:tcPr>
            <w:tcW w:w="4962" w:type="dxa"/>
            <w:tcBorders>
              <w:top w:val="nil"/>
              <w:left w:val="nil"/>
              <w:bottom w:val="nil"/>
              <w:right w:val="nil"/>
            </w:tcBorders>
            <w:noWrap/>
            <w:vAlign w:val="bottom"/>
            <w:hideMark/>
          </w:tcPr>
          <w:p w14:paraId="2D64DAD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Premije osiguranja</w:t>
            </w:r>
          </w:p>
        </w:tc>
        <w:tc>
          <w:tcPr>
            <w:tcW w:w="1559" w:type="dxa"/>
            <w:tcBorders>
              <w:top w:val="nil"/>
              <w:left w:val="nil"/>
              <w:bottom w:val="nil"/>
              <w:right w:val="nil"/>
            </w:tcBorders>
            <w:noWrap/>
            <w:vAlign w:val="bottom"/>
            <w:hideMark/>
          </w:tcPr>
          <w:p w14:paraId="112B378E"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1FEFBD5"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E0FEB86"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2.758,36</w:t>
            </w:r>
          </w:p>
        </w:tc>
        <w:tc>
          <w:tcPr>
            <w:tcW w:w="993" w:type="dxa"/>
            <w:tcBorders>
              <w:top w:val="nil"/>
              <w:left w:val="nil"/>
              <w:bottom w:val="nil"/>
              <w:right w:val="nil"/>
            </w:tcBorders>
            <w:noWrap/>
            <w:vAlign w:val="bottom"/>
            <w:hideMark/>
          </w:tcPr>
          <w:p w14:paraId="73CB6904"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6ED4705" w14:textId="77777777" w:rsidTr="008A61B1">
        <w:trPr>
          <w:trHeight w:val="255"/>
        </w:trPr>
        <w:tc>
          <w:tcPr>
            <w:tcW w:w="1134" w:type="dxa"/>
            <w:tcBorders>
              <w:top w:val="nil"/>
              <w:left w:val="nil"/>
              <w:bottom w:val="nil"/>
              <w:right w:val="nil"/>
            </w:tcBorders>
            <w:noWrap/>
            <w:vAlign w:val="bottom"/>
            <w:hideMark/>
          </w:tcPr>
          <w:p w14:paraId="5EE228F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3293</w:t>
            </w:r>
          </w:p>
        </w:tc>
        <w:tc>
          <w:tcPr>
            <w:tcW w:w="4962" w:type="dxa"/>
            <w:tcBorders>
              <w:top w:val="nil"/>
              <w:left w:val="nil"/>
              <w:bottom w:val="nil"/>
              <w:right w:val="nil"/>
            </w:tcBorders>
            <w:noWrap/>
            <w:vAlign w:val="bottom"/>
            <w:hideMark/>
          </w:tcPr>
          <w:p w14:paraId="254B554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Reprezentacija</w:t>
            </w:r>
          </w:p>
        </w:tc>
        <w:tc>
          <w:tcPr>
            <w:tcW w:w="1559" w:type="dxa"/>
            <w:tcBorders>
              <w:top w:val="nil"/>
              <w:left w:val="nil"/>
              <w:bottom w:val="nil"/>
              <w:right w:val="nil"/>
            </w:tcBorders>
            <w:noWrap/>
            <w:vAlign w:val="bottom"/>
            <w:hideMark/>
          </w:tcPr>
          <w:p w14:paraId="5612E5FF"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E0E4EBD"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5EF8019"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517,84</w:t>
            </w:r>
          </w:p>
        </w:tc>
        <w:tc>
          <w:tcPr>
            <w:tcW w:w="993" w:type="dxa"/>
            <w:tcBorders>
              <w:top w:val="nil"/>
              <w:left w:val="nil"/>
              <w:bottom w:val="nil"/>
              <w:right w:val="nil"/>
            </w:tcBorders>
            <w:noWrap/>
            <w:vAlign w:val="bottom"/>
            <w:hideMark/>
          </w:tcPr>
          <w:p w14:paraId="00123E51"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86668C9" w14:textId="77777777" w:rsidTr="008A61B1">
        <w:trPr>
          <w:trHeight w:val="255"/>
        </w:trPr>
        <w:tc>
          <w:tcPr>
            <w:tcW w:w="1134" w:type="dxa"/>
            <w:tcBorders>
              <w:top w:val="nil"/>
              <w:left w:val="nil"/>
              <w:bottom w:val="nil"/>
              <w:right w:val="nil"/>
            </w:tcBorders>
            <w:noWrap/>
            <w:vAlign w:val="bottom"/>
            <w:hideMark/>
          </w:tcPr>
          <w:p w14:paraId="67CA815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3299</w:t>
            </w:r>
          </w:p>
        </w:tc>
        <w:tc>
          <w:tcPr>
            <w:tcW w:w="4962" w:type="dxa"/>
            <w:tcBorders>
              <w:top w:val="nil"/>
              <w:left w:val="nil"/>
              <w:bottom w:val="nil"/>
              <w:right w:val="nil"/>
            </w:tcBorders>
            <w:noWrap/>
            <w:vAlign w:val="bottom"/>
            <w:hideMark/>
          </w:tcPr>
          <w:p w14:paraId="5ED14EC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nespomenuti rashodi poslovanja</w:t>
            </w:r>
          </w:p>
        </w:tc>
        <w:tc>
          <w:tcPr>
            <w:tcW w:w="1559" w:type="dxa"/>
            <w:tcBorders>
              <w:top w:val="nil"/>
              <w:left w:val="nil"/>
              <w:bottom w:val="nil"/>
              <w:right w:val="nil"/>
            </w:tcBorders>
            <w:noWrap/>
            <w:vAlign w:val="bottom"/>
            <w:hideMark/>
          </w:tcPr>
          <w:p w14:paraId="1EC9315E"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777B8A5"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6F34F15"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1.916,25</w:t>
            </w:r>
          </w:p>
        </w:tc>
        <w:tc>
          <w:tcPr>
            <w:tcW w:w="993" w:type="dxa"/>
            <w:tcBorders>
              <w:top w:val="nil"/>
              <w:left w:val="nil"/>
              <w:bottom w:val="nil"/>
              <w:right w:val="nil"/>
            </w:tcBorders>
            <w:noWrap/>
            <w:vAlign w:val="bottom"/>
            <w:hideMark/>
          </w:tcPr>
          <w:p w14:paraId="2F2DBADC"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4B9CB3F" w14:textId="77777777" w:rsidTr="008A61B1">
        <w:trPr>
          <w:trHeight w:val="255"/>
        </w:trPr>
        <w:tc>
          <w:tcPr>
            <w:tcW w:w="1134" w:type="dxa"/>
            <w:tcBorders>
              <w:top w:val="nil"/>
              <w:left w:val="nil"/>
              <w:bottom w:val="nil"/>
              <w:right w:val="nil"/>
            </w:tcBorders>
            <w:noWrap/>
            <w:vAlign w:val="bottom"/>
            <w:hideMark/>
          </w:tcPr>
          <w:p w14:paraId="5BCE98D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34</w:t>
            </w:r>
          </w:p>
        </w:tc>
        <w:tc>
          <w:tcPr>
            <w:tcW w:w="4962" w:type="dxa"/>
            <w:tcBorders>
              <w:top w:val="nil"/>
              <w:left w:val="nil"/>
              <w:bottom w:val="nil"/>
              <w:right w:val="nil"/>
            </w:tcBorders>
            <w:noWrap/>
            <w:vAlign w:val="bottom"/>
            <w:hideMark/>
          </w:tcPr>
          <w:p w14:paraId="1FCA8EA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Financijski rashodi</w:t>
            </w:r>
          </w:p>
        </w:tc>
        <w:tc>
          <w:tcPr>
            <w:tcW w:w="1559" w:type="dxa"/>
            <w:tcBorders>
              <w:top w:val="nil"/>
              <w:left w:val="nil"/>
              <w:bottom w:val="nil"/>
              <w:right w:val="nil"/>
            </w:tcBorders>
            <w:noWrap/>
            <w:vAlign w:val="bottom"/>
            <w:hideMark/>
          </w:tcPr>
          <w:p w14:paraId="38CF83F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1.950,00</w:t>
            </w:r>
          </w:p>
        </w:tc>
        <w:tc>
          <w:tcPr>
            <w:tcW w:w="1559" w:type="dxa"/>
            <w:tcBorders>
              <w:top w:val="nil"/>
              <w:left w:val="nil"/>
              <w:bottom w:val="nil"/>
              <w:right w:val="nil"/>
            </w:tcBorders>
            <w:noWrap/>
            <w:vAlign w:val="bottom"/>
            <w:hideMark/>
          </w:tcPr>
          <w:p w14:paraId="0C0793A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1.950,00</w:t>
            </w:r>
          </w:p>
        </w:tc>
        <w:tc>
          <w:tcPr>
            <w:tcW w:w="1559" w:type="dxa"/>
            <w:tcBorders>
              <w:top w:val="nil"/>
              <w:left w:val="nil"/>
              <w:bottom w:val="nil"/>
              <w:right w:val="nil"/>
            </w:tcBorders>
            <w:noWrap/>
            <w:vAlign w:val="bottom"/>
            <w:hideMark/>
          </w:tcPr>
          <w:p w14:paraId="19B7074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1.688,22</w:t>
            </w:r>
          </w:p>
        </w:tc>
        <w:tc>
          <w:tcPr>
            <w:tcW w:w="993" w:type="dxa"/>
            <w:tcBorders>
              <w:top w:val="nil"/>
              <w:left w:val="nil"/>
              <w:bottom w:val="nil"/>
              <w:right w:val="nil"/>
            </w:tcBorders>
            <w:noWrap/>
            <w:vAlign w:val="bottom"/>
            <w:hideMark/>
          </w:tcPr>
          <w:p w14:paraId="1D9E80A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86,58%</w:t>
            </w:r>
          </w:p>
        </w:tc>
      </w:tr>
      <w:tr w:rsidR="006967F8" w:rsidRPr="006967F8" w14:paraId="2208A740" w14:textId="77777777" w:rsidTr="008A61B1">
        <w:trPr>
          <w:trHeight w:val="255"/>
        </w:trPr>
        <w:tc>
          <w:tcPr>
            <w:tcW w:w="1134" w:type="dxa"/>
            <w:tcBorders>
              <w:top w:val="nil"/>
              <w:left w:val="nil"/>
              <w:bottom w:val="nil"/>
              <w:right w:val="nil"/>
            </w:tcBorders>
            <w:noWrap/>
            <w:vAlign w:val="bottom"/>
            <w:hideMark/>
          </w:tcPr>
          <w:p w14:paraId="46B72E8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3431</w:t>
            </w:r>
          </w:p>
        </w:tc>
        <w:tc>
          <w:tcPr>
            <w:tcW w:w="4962" w:type="dxa"/>
            <w:tcBorders>
              <w:top w:val="nil"/>
              <w:left w:val="nil"/>
              <w:bottom w:val="nil"/>
              <w:right w:val="nil"/>
            </w:tcBorders>
            <w:noWrap/>
            <w:vAlign w:val="bottom"/>
            <w:hideMark/>
          </w:tcPr>
          <w:p w14:paraId="7C8056B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Bankarske usluge i usluge platnog prometa</w:t>
            </w:r>
          </w:p>
        </w:tc>
        <w:tc>
          <w:tcPr>
            <w:tcW w:w="1559" w:type="dxa"/>
            <w:tcBorders>
              <w:top w:val="nil"/>
              <w:left w:val="nil"/>
              <w:bottom w:val="nil"/>
              <w:right w:val="nil"/>
            </w:tcBorders>
            <w:noWrap/>
            <w:vAlign w:val="bottom"/>
            <w:hideMark/>
          </w:tcPr>
          <w:p w14:paraId="628C9A3A"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7058FCB"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B6A27BA"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1.688,22</w:t>
            </w:r>
          </w:p>
        </w:tc>
        <w:tc>
          <w:tcPr>
            <w:tcW w:w="993" w:type="dxa"/>
            <w:tcBorders>
              <w:top w:val="nil"/>
              <w:left w:val="nil"/>
              <w:bottom w:val="nil"/>
              <w:right w:val="nil"/>
            </w:tcBorders>
            <w:noWrap/>
            <w:vAlign w:val="bottom"/>
            <w:hideMark/>
          </w:tcPr>
          <w:p w14:paraId="7282E14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6A49F28" w14:textId="77777777" w:rsidTr="008A61B1">
        <w:trPr>
          <w:trHeight w:val="525"/>
        </w:trPr>
        <w:tc>
          <w:tcPr>
            <w:tcW w:w="1134" w:type="dxa"/>
            <w:tcBorders>
              <w:top w:val="nil"/>
              <w:left w:val="nil"/>
              <w:bottom w:val="nil"/>
              <w:right w:val="nil"/>
            </w:tcBorders>
            <w:noWrap/>
            <w:vAlign w:val="bottom"/>
            <w:hideMark/>
          </w:tcPr>
          <w:p w14:paraId="410508E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7933912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4A53B1E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w:t>
            </w:r>
          </w:p>
        </w:tc>
        <w:tc>
          <w:tcPr>
            <w:tcW w:w="1559" w:type="dxa"/>
            <w:tcBorders>
              <w:top w:val="nil"/>
              <w:left w:val="nil"/>
              <w:bottom w:val="nil"/>
              <w:right w:val="nil"/>
            </w:tcBorders>
            <w:noWrap/>
            <w:vAlign w:val="bottom"/>
            <w:hideMark/>
          </w:tcPr>
          <w:p w14:paraId="07DD8C3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w:t>
            </w:r>
          </w:p>
        </w:tc>
        <w:tc>
          <w:tcPr>
            <w:tcW w:w="1559" w:type="dxa"/>
            <w:tcBorders>
              <w:top w:val="nil"/>
              <w:left w:val="nil"/>
              <w:bottom w:val="nil"/>
              <w:right w:val="nil"/>
            </w:tcBorders>
            <w:noWrap/>
            <w:vAlign w:val="bottom"/>
            <w:hideMark/>
          </w:tcPr>
          <w:p w14:paraId="5958FFE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465D5C2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312990B0" w14:textId="77777777" w:rsidTr="008A61B1">
        <w:trPr>
          <w:trHeight w:val="255"/>
        </w:trPr>
        <w:tc>
          <w:tcPr>
            <w:tcW w:w="6096" w:type="dxa"/>
            <w:gridSpan w:val="2"/>
            <w:tcBorders>
              <w:top w:val="nil"/>
              <w:left w:val="nil"/>
              <w:bottom w:val="nil"/>
              <w:right w:val="nil"/>
            </w:tcBorders>
            <w:shd w:val="clear" w:color="000000" w:fill="FF9900"/>
            <w:noWrap/>
            <w:vAlign w:val="bottom"/>
            <w:hideMark/>
          </w:tcPr>
          <w:p w14:paraId="747A7F5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1604 Program: INVESTICIJE U GRADITELJSTVU</w:t>
            </w:r>
          </w:p>
        </w:tc>
        <w:tc>
          <w:tcPr>
            <w:tcW w:w="1559" w:type="dxa"/>
            <w:tcBorders>
              <w:top w:val="nil"/>
              <w:left w:val="nil"/>
              <w:bottom w:val="nil"/>
              <w:right w:val="nil"/>
            </w:tcBorders>
            <w:shd w:val="clear" w:color="000000" w:fill="FF9900"/>
            <w:noWrap/>
            <w:vAlign w:val="bottom"/>
            <w:hideMark/>
          </w:tcPr>
          <w:p w14:paraId="1A744D8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114.600,00</w:t>
            </w:r>
          </w:p>
        </w:tc>
        <w:tc>
          <w:tcPr>
            <w:tcW w:w="1559" w:type="dxa"/>
            <w:tcBorders>
              <w:top w:val="nil"/>
              <w:left w:val="nil"/>
              <w:bottom w:val="nil"/>
              <w:right w:val="nil"/>
            </w:tcBorders>
            <w:shd w:val="clear" w:color="000000" w:fill="FF9900"/>
            <w:noWrap/>
            <w:vAlign w:val="bottom"/>
            <w:hideMark/>
          </w:tcPr>
          <w:p w14:paraId="7ACFFA5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114.600,00</w:t>
            </w:r>
          </w:p>
        </w:tc>
        <w:tc>
          <w:tcPr>
            <w:tcW w:w="1559" w:type="dxa"/>
            <w:tcBorders>
              <w:top w:val="nil"/>
              <w:left w:val="nil"/>
              <w:bottom w:val="nil"/>
              <w:right w:val="nil"/>
            </w:tcBorders>
            <w:shd w:val="clear" w:color="000000" w:fill="FF9900"/>
            <w:noWrap/>
            <w:vAlign w:val="bottom"/>
            <w:hideMark/>
          </w:tcPr>
          <w:p w14:paraId="17C450A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94.178,44</w:t>
            </w:r>
          </w:p>
        </w:tc>
        <w:tc>
          <w:tcPr>
            <w:tcW w:w="993" w:type="dxa"/>
            <w:tcBorders>
              <w:top w:val="nil"/>
              <w:left w:val="nil"/>
              <w:bottom w:val="nil"/>
              <w:right w:val="nil"/>
            </w:tcBorders>
            <w:shd w:val="clear" w:color="000000" w:fill="FF9900"/>
            <w:noWrap/>
            <w:vAlign w:val="bottom"/>
            <w:hideMark/>
          </w:tcPr>
          <w:p w14:paraId="6155BC6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82,18%</w:t>
            </w:r>
          </w:p>
        </w:tc>
      </w:tr>
      <w:tr w:rsidR="006967F8" w:rsidRPr="006967F8" w14:paraId="14F2EA92" w14:textId="77777777" w:rsidTr="008A61B1">
        <w:trPr>
          <w:trHeight w:val="540"/>
        </w:trPr>
        <w:tc>
          <w:tcPr>
            <w:tcW w:w="6096" w:type="dxa"/>
            <w:gridSpan w:val="2"/>
            <w:tcBorders>
              <w:top w:val="nil"/>
              <w:left w:val="nil"/>
              <w:bottom w:val="nil"/>
              <w:right w:val="nil"/>
            </w:tcBorders>
            <w:shd w:val="clear" w:color="000000" w:fill="FFFF99"/>
            <w:vAlign w:val="bottom"/>
            <w:hideMark/>
          </w:tcPr>
          <w:p w14:paraId="22A07E8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K100096 Kapitalni projekt: IZGRADNJA DJEČJEG IGRALIŠTA U KRTINAMA</w:t>
            </w:r>
          </w:p>
        </w:tc>
        <w:tc>
          <w:tcPr>
            <w:tcW w:w="1559" w:type="dxa"/>
            <w:tcBorders>
              <w:top w:val="nil"/>
              <w:left w:val="nil"/>
              <w:bottom w:val="nil"/>
              <w:right w:val="nil"/>
            </w:tcBorders>
            <w:shd w:val="clear" w:color="000000" w:fill="FFFF99"/>
            <w:noWrap/>
            <w:vAlign w:val="bottom"/>
            <w:hideMark/>
          </w:tcPr>
          <w:p w14:paraId="02233C5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114.600,00</w:t>
            </w:r>
          </w:p>
        </w:tc>
        <w:tc>
          <w:tcPr>
            <w:tcW w:w="1559" w:type="dxa"/>
            <w:tcBorders>
              <w:top w:val="nil"/>
              <w:left w:val="nil"/>
              <w:bottom w:val="nil"/>
              <w:right w:val="nil"/>
            </w:tcBorders>
            <w:shd w:val="clear" w:color="000000" w:fill="FFFF99"/>
            <w:noWrap/>
            <w:vAlign w:val="bottom"/>
            <w:hideMark/>
          </w:tcPr>
          <w:p w14:paraId="1CCF998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114.600,00</w:t>
            </w:r>
          </w:p>
        </w:tc>
        <w:tc>
          <w:tcPr>
            <w:tcW w:w="1559" w:type="dxa"/>
            <w:tcBorders>
              <w:top w:val="nil"/>
              <w:left w:val="nil"/>
              <w:bottom w:val="nil"/>
              <w:right w:val="nil"/>
            </w:tcBorders>
            <w:shd w:val="clear" w:color="000000" w:fill="FFFF99"/>
            <w:noWrap/>
            <w:vAlign w:val="bottom"/>
            <w:hideMark/>
          </w:tcPr>
          <w:p w14:paraId="6341661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94.178,44</w:t>
            </w:r>
          </w:p>
        </w:tc>
        <w:tc>
          <w:tcPr>
            <w:tcW w:w="993" w:type="dxa"/>
            <w:tcBorders>
              <w:top w:val="nil"/>
              <w:left w:val="nil"/>
              <w:bottom w:val="nil"/>
              <w:right w:val="nil"/>
            </w:tcBorders>
            <w:shd w:val="clear" w:color="000000" w:fill="FFFF99"/>
            <w:noWrap/>
            <w:vAlign w:val="bottom"/>
            <w:hideMark/>
          </w:tcPr>
          <w:p w14:paraId="5EF5C0D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82,18%</w:t>
            </w:r>
          </w:p>
        </w:tc>
      </w:tr>
      <w:tr w:rsidR="006967F8" w:rsidRPr="006967F8" w14:paraId="12A34BEB"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61D91F2"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7774BF8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114.600,00</w:t>
            </w:r>
          </w:p>
        </w:tc>
        <w:tc>
          <w:tcPr>
            <w:tcW w:w="1559" w:type="dxa"/>
            <w:tcBorders>
              <w:top w:val="nil"/>
              <w:left w:val="nil"/>
              <w:bottom w:val="nil"/>
              <w:right w:val="nil"/>
            </w:tcBorders>
            <w:shd w:val="clear" w:color="000000" w:fill="CCCCFF"/>
            <w:noWrap/>
            <w:vAlign w:val="bottom"/>
            <w:hideMark/>
          </w:tcPr>
          <w:p w14:paraId="54E3F32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114.600,00</w:t>
            </w:r>
          </w:p>
        </w:tc>
        <w:tc>
          <w:tcPr>
            <w:tcW w:w="1559" w:type="dxa"/>
            <w:tcBorders>
              <w:top w:val="nil"/>
              <w:left w:val="nil"/>
              <w:bottom w:val="nil"/>
              <w:right w:val="nil"/>
            </w:tcBorders>
            <w:shd w:val="clear" w:color="000000" w:fill="CCCCFF"/>
            <w:noWrap/>
            <w:vAlign w:val="bottom"/>
            <w:hideMark/>
          </w:tcPr>
          <w:p w14:paraId="47F52FC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94.178,44</w:t>
            </w:r>
          </w:p>
        </w:tc>
        <w:tc>
          <w:tcPr>
            <w:tcW w:w="993" w:type="dxa"/>
            <w:tcBorders>
              <w:top w:val="nil"/>
              <w:left w:val="nil"/>
              <w:bottom w:val="nil"/>
              <w:right w:val="nil"/>
            </w:tcBorders>
            <w:shd w:val="clear" w:color="000000" w:fill="CCCCFF"/>
            <w:noWrap/>
            <w:vAlign w:val="bottom"/>
            <w:hideMark/>
          </w:tcPr>
          <w:p w14:paraId="2437FAF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82,18%</w:t>
            </w:r>
          </w:p>
        </w:tc>
      </w:tr>
      <w:tr w:rsidR="006967F8" w:rsidRPr="006967F8" w14:paraId="19845FF3"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DA431B7"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3F140DE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114.600,00</w:t>
            </w:r>
          </w:p>
        </w:tc>
        <w:tc>
          <w:tcPr>
            <w:tcW w:w="1559" w:type="dxa"/>
            <w:tcBorders>
              <w:top w:val="nil"/>
              <w:left w:val="nil"/>
              <w:bottom w:val="nil"/>
              <w:right w:val="nil"/>
            </w:tcBorders>
            <w:shd w:val="clear" w:color="000000" w:fill="CCCCFF"/>
            <w:noWrap/>
            <w:vAlign w:val="bottom"/>
            <w:hideMark/>
          </w:tcPr>
          <w:p w14:paraId="7F670BC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114.600,00</w:t>
            </w:r>
          </w:p>
        </w:tc>
        <w:tc>
          <w:tcPr>
            <w:tcW w:w="1559" w:type="dxa"/>
            <w:tcBorders>
              <w:top w:val="nil"/>
              <w:left w:val="nil"/>
              <w:bottom w:val="nil"/>
              <w:right w:val="nil"/>
            </w:tcBorders>
            <w:shd w:val="clear" w:color="000000" w:fill="CCCCFF"/>
            <w:noWrap/>
            <w:vAlign w:val="bottom"/>
            <w:hideMark/>
          </w:tcPr>
          <w:p w14:paraId="2F3B7A2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94.178,44</w:t>
            </w:r>
          </w:p>
        </w:tc>
        <w:tc>
          <w:tcPr>
            <w:tcW w:w="993" w:type="dxa"/>
            <w:tcBorders>
              <w:top w:val="nil"/>
              <w:left w:val="nil"/>
              <w:bottom w:val="nil"/>
              <w:right w:val="nil"/>
            </w:tcBorders>
            <w:shd w:val="clear" w:color="000000" w:fill="CCCCFF"/>
            <w:noWrap/>
            <w:vAlign w:val="bottom"/>
            <w:hideMark/>
          </w:tcPr>
          <w:p w14:paraId="17C91DA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82,18%</w:t>
            </w:r>
          </w:p>
        </w:tc>
      </w:tr>
      <w:tr w:rsidR="006967F8" w:rsidRPr="006967F8" w14:paraId="603E5540" w14:textId="77777777" w:rsidTr="008A61B1">
        <w:trPr>
          <w:trHeight w:val="510"/>
        </w:trPr>
        <w:tc>
          <w:tcPr>
            <w:tcW w:w="1134" w:type="dxa"/>
            <w:tcBorders>
              <w:top w:val="nil"/>
              <w:left w:val="nil"/>
              <w:bottom w:val="nil"/>
              <w:right w:val="nil"/>
            </w:tcBorders>
            <w:noWrap/>
            <w:vAlign w:val="bottom"/>
            <w:hideMark/>
          </w:tcPr>
          <w:p w14:paraId="0661A88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6B8BD05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6DC4460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114.600,00</w:t>
            </w:r>
          </w:p>
        </w:tc>
        <w:tc>
          <w:tcPr>
            <w:tcW w:w="1559" w:type="dxa"/>
            <w:tcBorders>
              <w:top w:val="nil"/>
              <w:left w:val="nil"/>
              <w:bottom w:val="nil"/>
              <w:right w:val="nil"/>
            </w:tcBorders>
            <w:noWrap/>
            <w:vAlign w:val="bottom"/>
            <w:hideMark/>
          </w:tcPr>
          <w:p w14:paraId="1DBFBC8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114.600,00</w:t>
            </w:r>
          </w:p>
        </w:tc>
        <w:tc>
          <w:tcPr>
            <w:tcW w:w="1559" w:type="dxa"/>
            <w:tcBorders>
              <w:top w:val="nil"/>
              <w:left w:val="nil"/>
              <w:bottom w:val="nil"/>
              <w:right w:val="nil"/>
            </w:tcBorders>
            <w:noWrap/>
            <w:vAlign w:val="bottom"/>
            <w:hideMark/>
          </w:tcPr>
          <w:p w14:paraId="5FB0919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94.178,44</w:t>
            </w:r>
          </w:p>
        </w:tc>
        <w:tc>
          <w:tcPr>
            <w:tcW w:w="993" w:type="dxa"/>
            <w:tcBorders>
              <w:top w:val="nil"/>
              <w:left w:val="nil"/>
              <w:bottom w:val="nil"/>
              <w:right w:val="nil"/>
            </w:tcBorders>
            <w:noWrap/>
            <w:vAlign w:val="bottom"/>
            <w:hideMark/>
          </w:tcPr>
          <w:p w14:paraId="13CDFBB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82,18%</w:t>
            </w:r>
          </w:p>
        </w:tc>
      </w:tr>
      <w:tr w:rsidR="006967F8" w:rsidRPr="006967F8" w14:paraId="520F000B" w14:textId="77777777" w:rsidTr="008A61B1">
        <w:trPr>
          <w:trHeight w:val="255"/>
        </w:trPr>
        <w:tc>
          <w:tcPr>
            <w:tcW w:w="1134" w:type="dxa"/>
            <w:tcBorders>
              <w:top w:val="nil"/>
              <w:left w:val="nil"/>
              <w:bottom w:val="nil"/>
              <w:right w:val="nil"/>
            </w:tcBorders>
            <w:noWrap/>
            <w:vAlign w:val="bottom"/>
            <w:hideMark/>
          </w:tcPr>
          <w:p w14:paraId="525953D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4212</w:t>
            </w:r>
          </w:p>
        </w:tc>
        <w:tc>
          <w:tcPr>
            <w:tcW w:w="4962" w:type="dxa"/>
            <w:tcBorders>
              <w:top w:val="nil"/>
              <w:left w:val="nil"/>
              <w:bottom w:val="nil"/>
              <w:right w:val="nil"/>
            </w:tcBorders>
            <w:noWrap/>
            <w:vAlign w:val="bottom"/>
            <w:hideMark/>
          </w:tcPr>
          <w:p w14:paraId="47F12B0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Poslovni objekti</w:t>
            </w:r>
          </w:p>
        </w:tc>
        <w:tc>
          <w:tcPr>
            <w:tcW w:w="1559" w:type="dxa"/>
            <w:tcBorders>
              <w:top w:val="nil"/>
              <w:left w:val="nil"/>
              <w:bottom w:val="nil"/>
              <w:right w:val="nil"/>
            </w:tcBorders>
            <w:noWrap/>
            <w:vAlign w:val="bottom"/>
            <w:hideMark/>
          </w:tcPr>
          <w:p w14:paraId="0A0D7F6C"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2DE02B7"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A1AEDF6"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94.178,44</w:t>
            </w:r>
          </w:p>
        </w:tc>
        <w:tc>
          <w:tcPr>
            <w:tcW w:w="993" w:type="dxa"/>
            <w:tcBorders>
              <w:top w:val="nil"/>
              <w:left w:val="nil"/>
              <w:bottom w:val="nil"/>
              <w:right w:val="nil"/>
            </w:tcBorders>
            <w:noWrap/>
            <w:vAlign w:val="bottom"/>
            <w:hideMark/>
          </w:tcPr>
          <w:p w14:paraId="5627DB25"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AE53B87" w14:textId="77777777" w:rsidTr="008A61B1">
        <w:trPr>
          <w:trHeight w:val="255"/>
        </w:trPr>
        <w:tc>
          <w:tcPr>
            <w:tcW w:w="6096" w:type="dxa"/>
            <w:gridSpan w:val="2"/>
            <w:tcBorders>
              <w:top w:val="nil"/>
              <w:left w:val="nil"/>
              <w:bottom w:val="nil"/>
              <w:right w:val="nil"/>
            </w:tcBorders>
            <w:shd w:val="clear" w:color="000000" w:fill="FF9900"/>
            <w:noWrap/>
            <w:vAlign w:val="bottom"/>
            <w:hideMark/>
          </w:tcPr>
          <w:p w14:paraId="24818B8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1609 Program: UPRAVLJANJE IMOVINOM </w:t>
            </w:r>
          </w:p>
        </w:tc>
        <w:tc>
          <w:tcPr>
            <w:tcW w:w="1559" w:type="dxa"/>
            <w:tcBorders>
              <w:top w:val="nil"/>
              <w:left w:val="nil"/>
              <w:bottom w:val="nil"/>
              <w:right w:val="nil"/>
            </w:tcBorders>
            <w:shd w:val="clear" w:color="000000" w:fill="FF9900"/>
            <w:noWrap/>
            <w:vAlign w:val="bottom"/>
            <w:hideMark/>
          </w:tcPr>
          <w:p w14:paraId="18D2723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244.500,00</w:t>
            </w:r>
          </w:p>
        </w:tc>
        <w:tc>
          <w:tcPr>
            <w:tcW w:w="1559" w:type="dxa"/>
            <w:tcBorders>
              <w:top w:val="nil"/>
              <w:left w:val="nil"/>
              <w:bottom w:val="nil"/>
              <w:right w:val="nil"/>
            </w:tcBorders>
            <w:shd w:val="clear" w:color="000000" w:fill="FF9900"/>
            <w:noWrap/>
            <w:vAlign w:val="bottom"/>
            <w:hideMark/>
          </w:tcPr>
          <w:p w14:paraId="5C7570D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271.850,00</w:t>
            </w:r>
          </w:p>
        </w:tc>
        <w:tc>
          <w:tcPr>
            <w:tcW w:w="1559" w:type="dxa"/>
            <w:tcBorders>
              <w:top w:val="nil"/>
              <w:left w:val="nil"/>
              <w:bottom w:val="nil"/>
              <w:right w:val="nil"/>
            </w:tcBorders>
            <w:shd w:val="clear" w:color="000000" w:fill="FF9900"/>
            <w:noWrap/>
            <w:vAlign w:val="bottom"/>
            <w:hideMark/>
          </w:tcPr>
          <w:p w14:paraId="2076CA6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219.587,92</w:t>
            </w:r>
          </w:p>
        </w:tc>
        <w:tc>
          <w:tcPr>
            <w:tcW w:w="993" w:type="dxa"/>
            <w:tcBorders>
              <w:top w:val="nil"/>
              <w:left w:val="nil"/>
              <w:bottom w:val="nil"/>
              <w:right w:val="nil"/>
            </w:tcBorders>
            <w:shd w:val="clear" w:color="000000" w:fill="FF9900"/>
            <w:noWrap/>
            <w:vAlign w:val="bottom"/>
            <w:hideMark/>
          </w:tcPr>
          <w:p w14:paraId="084003F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80,78%</w:t>
            </w:r>
          </w:p>
        </w:tc>
      </w:tr>
      <w:tr w:rsidR="006967F8" w:rsidRPr="006967F8" w14:paraId="08825CC7" w14:textId="77777777" w:rsidTr="008A61B1">
        <w:trPr>
          <w:trHeight w:val="525"/>
        </w:trPr>
        <w:tc>
          <w:tcPr>
            <w:tcW w:w="6096" w:type="dxa"/>
            <w:gridSpan w:val="2"/>
            <w:tcBorders>
              <w:top w:val="nil"/>
              <w:left w:val="nil"/>
              <w:bottom w:val="nil"/>
              <w:right w:val="nil"/>
            </w:tcBorders>
            <w:shd w:val="clear" w:color="000000" w:fill="FFFF99"/>
            <w:vAlign w:val="bottom"/>
            <w:hideMark/>
          </w:tcPr>
          <w:p w14:paraId="67297C3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K100114 Kapitalni projekt: ZAMJENA TRAVNJAKA NA NOGOMETNOM IGRALIŠTU BATARIJA </w:t>
            </w:r>
          </w:p>
        </w:tc>
        <w:tc>
          <w:tcPr>
            <w:tcW w:w="1559" w:type="dxa"/>
            <w:tcBorders>
              <w:top w:val="nil"/>
              <w:left w:val="nil"/>
              <w:bottom w:val="nil"/>
              <w:right w:val="nil"/>
            </w:tcBorders>
            <w:shd w:val="clear" w:color="000000" w:fill="FFFF99"/>
            <w:noWrap/>
            <w:vAlign w:val="bottom"/>
            <w:hideMark/>
          </w:tcPr>
          <w:p w14:paraId="3D9013F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184.500,00</w:t>
            </w:r>
          </w:p>
        </w:tc>
        <w:tc>
          <w:tcPr>
            <w:tcW w:w="1559" w:type="dxa"/>
            <w:tcBorders>
              <w:top w:val="nil"/>
              <w:left w:val="nil"/>
              <w:bottom w:val="nil"/>
              <w:right w:val="nil"/>
            </w:tcBorders>
            <w:shd w:val="clear" w:color="000000" w:fill="FFFF99"/>
            <w:noWrap/>
            <w:vAlign w:val="bottom"/>
            <w:hideMark/>
          </w:tcPr>
          <w:p w14:paraId="5B5AC27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211.850,00</w:t>
            </w:r>
          </w:p>
        </w:tc>
        <w:tc>
          <w:tcPr>
            <w:tcW w:w="1559" w:type="dxa"/>
            <w:tcBorders>
              <w:top w:val="nil"/>
              <w:left w:val="nil"/>
              <w:bottom w:val="nil"/>
              <w:right w:val="nil"/>
            </w:tcBorders>
            <w:shd w:val="clear" w:color="000000" w:fill="FFFF99"/>
            <w:noWrap/>
            <w:vAlign w:val="bottom"/>
            <w:hideMark/>
          </w:tcPr>
          <w:p w14:paraId="43E36A5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178.481,28</w:t>
            </w:r>
          </w:p>
        </w:tc>
        <w:tc>
          <w:tcPr>
            <w:tcW w:w="993" w:type="dxa"/>
            <w:tcBorders>
              <w:top w:val="nil"/>
              <w:left w:val="nil"/>
              <w:bottom w:val="nil"/>
              <w:right w:val="nil"/>
            </w:tcBorders>
            <w:shd w:val="clear" w:color="000000" w:fill="FFFF99"/>
            <w:noWrap/>
            <w:vAlign w:val="bottom"/>
            <w:hideMark/>
          </w:tcPr>
          <w:p w14:paraId="0673189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84,25%</w:t>
            </w:r>
          </w:p>
        </w:tc>
      </w:tr>
      <w:tr w:rsidR="006967F8" w:rsidRPr="006967F8" w14:paraId="23E2A2A8"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C2DF991"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5ACBD6C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34.500,00</w:t>
            </w:r>
          </w:p>
        </w:tc>
        <w:tc>
          <w:tcPr>
            <w:tcW w:w="1559" w:type="dxa"/>
            <w:tcBorders>
              <w:top w:val="nil"/>
              <w:left w:val="nil"/>
              <w:bottom w:val="nil"/>
              <w:right w:val="nil"/>
            </w:tcBorders>
            <w:shd w:val="clear" w:color="000000" w:fill="CCCCFF"/>
            <w:noWrap/>
            <w:vAlign w:val="bottom"/>
            <w:hideMark/>
          </w:tcPr>
          <w:p w14:paraId="58FBD62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61.850,00</w:t>
            </w:r>
          </w:p>
        </w:tc>
        <w:tc>
          <w:tcPr>
            <w:tcW w:w="1559" w:type="dxa"/>
            <w:tcBorders>
              <w:top w:val="nil"/>
              <w:left w:val="nil"/>
              <w:bottom w:val="nil"/>
              <w:right w:val="nil"/>
            </w:tcBorders>
            <w:shd w:val="clear" w:color="000000" w:fill="CCCCFF"/>
            <w:noWrap/>
            <w:vAlign w:val="bottom"/>
            <w:hideMark/>
          </w:tcPr>
          <w:p w14:paraId="5054718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28.481,28</w:t>
            </w:r>
          </w:p>
        </w:tc>
        <w:tc>
          <w:tcPr>
            <w:tcW w:w="993" w:type="dxa"/>
            <w:tcBorders>
              <w:top w:val="nil"/>
              <w:left w:val="nil"/>
              <w:bottom w:val="nil"/>
              <w:right w:val="nil"/>
            </w:tcBorders>
            <w:shd w:val="clear" w:color="000000" w:fill="CCCCFF"/>
            <w:noWrap/>
            <w:vAlign w:val="bottom"/>
            <w:hideMark/>
          </w:tcPr>
          <w:p w14:paraId="529471E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46,05%</w:t>
            </w:r>
          </w:p>
        </w:tc>
      </w:tr>
      <w:tr w:rsidR="006967F8" w:rsidRPr="006967F8" w14:paraId="0D3786B7"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886C48C"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lastRenderedPageBreak/>
              <w:t>Izvor 1.1. Opći prihodi i primici</w:t>
            </w:r>
          </w:p>
        </w:tc>
        <w:tc>
          <w:tcPr>
            <w:tcW w:w="1559" w:type="dxa"/>
            <w:tcBorders>
              <w:top w:val="nil"/>
              <w:left w:val="nil"/>
              <w:bottom w:val="nil"/>
              <w:right w:val="nil"/>
            </w:tcBorders>
            <w:shd w:val="clear" w:color="000000" w:fill="CCCCFF"/>
            <w:noWrap/>
            <w:vAlign w:val="bottom"/>
            <w:hideMark/>
          </w:tcPr>
          <w:p w14:paraId="752F0D9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34.500,00</w:t>
            </w:r>
          </w:p>
        </w:tc>
        <w:tc>
          <w:tcPr>
            <w:tcW w:w="1559" w:type="dxa"/>
            <w:tcBorders>
              <w:top w:val="nil"/>
              <w:left w:val="nil"/>
              <w:bottom w:val="nil"/>
              <w:right w:val="nil"/>
            </w:tcBorders>
            <w:shd w:val="clear" w:color="000000" w:fill="CCCCFF"/>
            <w:noWrap/>
            <w:vAlign w:val="bottom"/>
            <w:hideMark/>
          </w:tcPr>
          <w:p w14:paraId="2928644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61.850,00</w:t>
            </w:r>
          </w:p>
        </w:tc>
        <w:tc>
          <w:tcPr>
            <w:tcW w:w="1559" w:type="dxa"/>
            <w:tcBorders>
              <w:top w:val="nil"/>
              <w:left w:val="nil"/>
              <w:bottom w:val="nil"/>
              <w:right w:val="nil"/>
            </w:tcBorders>
            <w:shd w:val="clear" w:color="000000" w:fill="CCCCFF"/>
            <w:noWrap/>
            <w:vAlign w:val="bottom"/>
            <w:hideMark/>
          </w:tcPr>
          <w:p w14:paraId="0D9C6B6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28.481,28</w:t>
            </w:r>
          </w:p>
        </w:tc>
        <w:tc>
          <w:tcPr>
            <w:tcW w:w="993" w:type="dxa"/>
            <w:tcBorders>
              <w:top w:val="nil"/>
              <w:left w:val="nil"/>
              <w:bottom w:val="nil"/>
              <w:right w:val="nil"/>
            </w:tcBorders>
            <w:shd w:val="clear" w:color="000000" w:fill="CCCCFF"/>
            <w:noWrap/>
            <w:vAlign w:val="bottom"/>
            <w:hideMark/>
          </w:tcPr>
          <w:p w14:paraId="44D07C2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46,05%</w:t>
            </w:r>
          </w:p>
        </w:tc>
      </w:tr>
      <w:tr w:rsidR="006967F8" w:rsidRPr="006967F8" w14:paraId="12F4E066" w14:textId="77777777" w:rsidTr="008A61B1">
        <w:trPr>
          <w:trHeight w:val="255"/>
        </w:trPr>
        <w:tc>
          <w:tcPr>
            <w:tcW w:w="1134" w:type="dxa"/>
            <w:tcBorders>
              <w:top w:val="nil"/>
              <w:left w:val="nil"/>
              <w:bottom w:val="nil"/>
              <w:right w:val="nil"/>
            </w:tcBorders>
            <w:noWrap/>
            <w:vAlign w:val="bottom"/>
            <w:hideMark/>
          </w:tcPr>
          <w:p w14:paraId="2637C3D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4460F32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565C4BF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w:t>
            </w:r>
          </w:p>
        </w:tc>
        <w:tc>
          <w:tcPr>
            <w:tcW w:w="1559" w:type="dxa"/>
            <w:tcBorders>
              <w:top w:val="nil"/>
              <w:left w:val="nil"/>
              <w:bottom w:val="nil"/>
              <w:right w:val="nil"/>
            </w:tcBorders>
            <w:noWrap/>
            <w:vAlign w:val="bottom"/>
            <w:hideMark/>
          </w:tcPr>
          <w:p w14:paraId="2DDC5E0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27.850,00</w:t>
            </w:r>
          </w:p>
        </w:tc>
        <w:tc>
          <w:tcPr>
            <w:tcW w:w="1559" w:type="dxa"/>
            <w:tcBorders>
              <w:top w:val="nil"/>
              <w:left w:val="nil"/>
              <w:bottom w:val="nil"/>
              <w:right w:val="nil"/>
            </w:tcBorders>
            <w:noWrap/>
            <w:vAlign w:val="bottom"/>
            <w:hideMark/>
          </w:tcPr>
          <w:p w14:paraId="7A0F73E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27.346,28</w:t>
            </w:r>
          </w:p>
        </w:tc>
        <w:tc>
          <w:tcPr>
            <w:tcW w:w="993" w:type="dxa"/>
            <w:tcBorders>
              <w:top w:val="nil"/>
              <w:left w:val="nil"/>
              <w:bottom w:val="nil"/>
              <w:right w:val="nil"/>
            </w:tcBorders>
            <w:noWrap/>
            <w:vAlign w:val="bottom"/>
            <w:hideMark/>
          </w:tcPr>
          <w:p w14:paraId="3DDE447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98,19%</w:t>
            </w:r>
          </w:p>
        </w:tc>
      </w:tr>
      <w:tr w:rsidR="006967F8" w:rsidRPr="006967F8" w14:paraId="20203BE2" w14:textId="77777777" w:rsidTr="008A61B1">
        <w:trPr>
          <w:trHeight w:val="255"/>
        </w:trPr>
        <w:tc>
          <w:tcPr>
            <w:tcW w:w="1134" w:type="dxa"/>
            <w:tcBorders>
              <w:top w:val="nil"/>
              <w:left w:val="nil"/>
              <w:bottom w:val="nil"/>
              <w:right w:val="nil"/>
            </w:tcBorders>
            <w:noWrap/>
            <w:vAlign w:val="bottom"/>
            <w:hideMark/>
          </w:tcPr>
          <w:p w14:paraId="57515CC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3232</w:t>
            </w:r>
          </w:p>
        </w:tc>
        <w:tc>
          <w:tcPr>
            <w:tcW w:w="4962" w:type="dxa"/>
            <w:tcBorders>
              <w:top w:val="nil"/>
              <w:left w:val="nil"/>
              <w:bottom w:val="nil"/>
              <w:right w:val="nil"/>
            </w:tcBorders>
            <w:noWrap/>
            <w:vAlign w:val="bottom"/>
            <w:hideMark/>
          </w:tcPr>
          <w:p w14:paraId="67603EB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noWrap/>
            <w:vAlign w:val="bottom"/>
            <w:hideMark/>
          </w:tcPr>
          <w:p w14:paraId="7251D953"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90B3ADD"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EDE17E9"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27.346,28</w:t>
            </w:r>
          </w:p>
        </w:tc>
        <w:tc>
          <w:tcPr>
            <w:tcW w:w="993" w:type="dxa"/>
            <w:tcBorders>
              <w:top w:val="nil"/>
              <w:left w:val="nil"/>
              <w:bottom w:val="nil"/>
              <w:right w:val="nil"/>
            </w:tcBorders>
            <w:noWrap/>
            <w:vAlign w:val="bottom"/>
            <w:hideMark/>
          </w:tcPr>
          <w:p w14:paraId="39482780"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8C6539C" w14:textId="77777777" w:rsidTr="008A61B1">
        <w:trPr>
          <w:trHeight w:val="255"/>
        </w:trPr>
        <w:tc>
          <w:tcPr>
            <w:tcW w:w="1134" w:type="dxa"/>
            <w:tcBorders>
              <w:top w:val="nil"/>
              <w:left w:val="nil"/>
              <w:bottom w:val="nil"/>
              <w:right w:val="nil"/>
            </w:tcBorders>
            <w:noWrap/>
            <w:vAlign w:val="bottom"/>
            <w:hideMark/>
          </w:tcPr>
          <w:p w14:paraId="0FA6138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34</w:t>
            </w:r>
          </w:p>
        </w:tc>
        <w:tc>
          <w:tcPr>
            <w:tcW w:w="4962" w:type="dxa"/>
            <w:tcBorders>
              <w:top w:val="nil"/>
              <w:left w:val="nil"/>
              <w:bottom w:val="nil"/>
              <w:right w:val="nil"/>
            </w:tcBorders>
            <w:noWrap/>
            <w:vAlign w:val="bottom"/>
            <w:hideMark/>
          </w:tcPr>
          <w:p w14:paraId="71483EB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Financijski rashodi</w:t>
            </w:r>
          </w:p>
        </w:tc>
        <w:tc>
          <w:tcPr>
            <w:tcW w:w="1559" w:type="dxa"/>
            <w:tcBorders>
              <w:top w:val="nil"/>
              <w:left w:val="nil"/>
              <w:bottom w:val="nil"/>
              <w:right w:val="nil"/>
            </w:tcBorders>
            <w:noWrap/>
            <w:vAlign w:val="bottom"/>
            <w:hideMark/>
          </w:tcPr>
          <w:p w14:paraId="7B9AEB6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4.000,00</w:t>
            </w:r>
          </w:p>
        </w:tc>
        <w:tc>
          <w:tcPr>
            <w:tcW w:w="1559" w:type="dxa"/>
            <w:tcBorders>
              <w:top w:val="nil"/>
              <w:left w:val="nil"/>
              <w:bottom w:val="nil"/>
              <w:right w:val="nil"/>
            </w:tcBorders>
            <w:noWrap/>
            <w:vAlign w:val="bottom"/>
            <w:hideMark/>
          </w:tcPr>
          <w:p w14:paraId="014621F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4.000,00</w:t>
            </w:r>
          </w:p>
        </w:tc>
        <w:tc>
          <w:tcPr>
            <w:tcW w:w="1559" w:type="dxa"/>
            <w:tcBorders>
              <w:top w:val="nil"/>
              <w:left w:val="nil"/>
              <w:bottom w:val="nil"/>
              <w:right w:val="nil"/>
            </w:tcBorders>
            <w:noWrap/>
            <w:vAlign w:val="bottom"/>
            <w:hideMark/>
          </w:tcPr>
          <w:p w14:paraId="7A90EBB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1.135,00</w:t>
            </w:r>
          </w:p>
        </w:tc>
        <w:tc>
          <w:tcPr>
            <w:tcW w:w="993" w:type="dxa"/>
            <w:tcBorders>
              <w:top w:val="nil"/>
              <w:left w:val="nil"/>
              <w:bottom w:val="nil"/>
              <w:right w:val="nil"/>
            </w:tcBorders>
            <w:noWrap/>
            <w:vAlign w:val="bottom"/>
            <w:hideMark/>
          </w:tcPr>
          <w:p w14:paraId="24AF010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28,38%</w:t>
            </w:r>
          </w:p>
        </w:tc>
      </w:tr>
      <w:tr w:rsidR="006967F8" w:rsidRPr="006967F8" w14:paraId="7D68D267" w14:textId="77777777" w:rsidTr="008A61B1">
        <w:trPr>
          <w:trHeight w:val="540"/>
        </w:trPr>
        <w:tc>
          <w:tcPr>
            <w:tcW w:w="1134" w:type="dxa"/>
            <w:tcBorders>
              <w:top w:val="nil"/>
              <w:left w:val="nil"/>
              <w:bottom w:val="nil"/>
              <w:right w:val="nil"/>
            </w:tcBorders>
            <w:noWrap/>
            <w:vAlign w:val="bottom"/>
            <w:hideMark/>
          </w:tcPr>
          <w:p w14:paraId="1B82761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3423</w:t>
            </w:r>
          </w:p>
        </w:tc>
        <w:tc>
          <w:tcPr>
            <w:tcW w:w="4962" w:type="dxa"/>
            <w:tcBorders>
              <w:top w:val="nil"/>
              <w:left w:val="nil"/>
              <w:bottom w:val="nil"/>
              <w:right w:val="nil"/>
            </w:tcBorders>
            <w:vAlign w:val="bottom"/>
            <w:hideMark/>
          </w:tcPr>
          <w:p w14:paraId="76FA2CB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Kamate za primljene kredite i zajmove od kreditnih i ostalih financijskih institucija izvan javnog s</w:t>
            </w:r>
          </w:p>
        </w:tc>
        <w:tc>
          <w:tcPr>
            <w:tcW w:w="1559" w:type="dxa"/>
            <w:tcBorders>
              <w:top w:val="nil"/>
              <w:left w:val="nil"/>
              <w:bottom w:val="nil"/>
              <w:right w:val="nil"/>
            </w:tcBorders>
            <w:noWrap/>
            <w:vAlign w:val="bottom"/>
            <w:hideMark/>
          </w:tcPr>
          <w:p w14:paraId="769193A9"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9DAA2EB"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3A8FA32"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385,00</w:t>
            </w:r>
          </w:p>
        </w:tc>
        <w:tc>
          <w:tcPr>
            <w:tcW w:w="993" w:type="dxa"/>
            <w:tcBorders>
              <w:top w:val="nil"/>
              <w:left w:val="nil"/>
              <w:bottom w:val="nil"/>
              <w:right w:val="nil"/>
            </w:tcBorders>
            <w:noWrap/>
            <w:vAlign w:val="bottom"/>
            <w:hideMark/>
          </w:tcPr>
          <w:p w14:paraId="64932E6C"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0CAFD20" w14:textId="77777777" w:rsidTr="008A61B1">
        <w:trPr>
          <w:trHeight w:val="255"/>
        </w:trPr>
        <w:tc>
          <w:tcPr>
            <w:tcW w:w="1134" w:type="dxa"/>
            <w:tcBorders>
              <w:top w:val="nil"/>
              <w:left w:val="nil"/>
              <w:bottom w:val="nil"/>
              <w:right w:val="nil"/>
            </w:tcBorders>
            <w:noWrap/>
            <w:vAlign w:val="bottom"/>
            <w:hideMark/>
          </w:tcPr>
          <w:p w14:paraId="395CAC3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3434</w:t>
            </w:r>
          </w:p>
        </w:tc>
        <w:tc>
          <w:tcPr>
            <w:tcW w:w="4962" w:type="dxa"/>
            <w:tcBorders>
              <w:top w:val="nil"/>
              <w:left w:val="nil"/>
              <w:bottom w:val="nil"/>
              <w:right w:val="nil"/>
            </w:tcBorders>
            <w:noWrap/>
            <w:vAlign w:val="bottom"/>
            <w:hideMark/>
          </w:tcPr>
          <w:p w14:paraId="3347519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nespomenuti financijski rashodi</w:t>
            </w:r>
          </w:p>
        </w:tc>
        <w:tc>
          <w:tcPr>
            <w:tcW w:w="1559" w:type="dxa"/>
            <w:tcBorders>
              <w:top w:val="nil"/>
              <w:left w:val="nil"/>
              <w:bottom w:val="nil"/>
              <w:right w:val="nil"/>
            </w:tcBorders>
            <w:noWrap/>
            <w:vAlign w:val="bottom"/>
            <w:hideMark/>
          </w:tcPr>
          <w:p w14:paraId="5211A349"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9B1FF6A"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CA03B76"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750,00</w:t>
            </w:r>
          </w:p>
        </w:tc>
        <w:tc>
          <w:tcPr>
            <w:tcW w:w="993" w:type="dxa"/>
            <w:tcBorders>
              <w:top w:val="nil"/>
              <w:left w:val="nil"/>
              <w:bottom w:val="nil"/>
              <w:right w:val="nil"/>
            </w:tcBorders>
            <w:noWrap/>
            <w:vAlign w:val="bottom"/>
            <w:hideMark/>
          </w:tcPr>
          <w:p w14:paraId="7A15C8F3"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C10A2A9" w14:textId="77777777" w:rsidTr="008A61B1">
        <w:trPr>
          <w:trHeight w:val="540"/>
        </w:trPr>
        <w:tc>
          <w:tcPr>
            <w:tcW w:w="1134" w:type="dxa"/>
            <w:tcBorders>
              <w:top w:val="nil"/>
              <w:left w:val="nil"/>
              <w:bottom w:val="nil"/>
              <w:right w:val="nil"/>
            </w:tcBorders>
            <w:noWrap/>
            <w:vAlign w:val="bottom"/>
            <w:hideMark/>
          </w:tcPr>
          <w:p w14:paraId="765D8F5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54</w:t>
            </w:r>
          </w:p>
        </w:tc>
        <w:tc>
          <w:tcPr>
            <w:tcW w:w="4962" w:type="dxa"/>
            <w:tcBorders>
              <w:top w:val="nil"/>
              <w:left w:val="nil"/>
              <w:bottom w:val="nil"/>
              <w:right w:val="nil"/>
            </w:tcBorders>
            <w:vAlign w:val="bottom"/>
            <w:hideMark/>
          </w:tcPr>
          <w:p w14:paraId="7E51BB5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Izdaci za otplatu glavnice primljenih kredita i zajmova</w:t>
            </w:r>
          </w:p>
        </w:tc>
        <w:tc>
          <w:tcPr>
            <w:tcW w:w="1559" w:type="dxa"/>
            <w:tcBorders>
              <w:top w:val="nil"/>
              <w:left w:val="nil"/>
              <w:bottom w:val="nil"/>
              <w:right w:val="nil"/>
            </w:tcBorders>
            <w:noWrap/>
            <w:vAlign w:val="bottom"/>
            <w:hideMark/>
          </w:tcPr>
          <w:p w14:paraId="208D3A2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30.000,00</w:t>
            </w:r>
          </w:p>
        </w:tc>
        <w:tc>
          <w:tcPr>
            <w:tcW w:w="1559" w:type="dxa"/>
            <w:tcBorders>
              <w:top w:val="nil"/>
              <w:left w:val="nil"/>
              <w:bottom w:val="nil"/>
              <w:right w:val="nil"/>
            </w:tcBorders>
            <w:noWrap/>
            <w:vAlign w:val="bottom"/>
            <w:hideMark/>
          </w:tcPr>
          <w:p w14:paraId="64FC7E2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30.000,00</w:t>
            </w:r>
          </w:p>
        </w:tc>
        <w:tc>
          <w:tcPr>
            <w:tcW w:w="1559" w:type="dxa"/>
            <w:tcBorders>
              <w:top w:val="nil"/>
              <w:left w:val="nil"/>
              <w:bottom w:val="nil"/>
              <w:right w:val="nil"/>
            </w:tcBorders>
            <w:noWrap/>
            <w:vAlign w:val="bottom"/>
            <w:hideMark/>
          </w:tcPr>
          <w:p w14:paraId="45814AE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0C246A5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6BEDA5F0"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53D0E6D"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8. NAMJENSKI PRIMICI</w:t>
            </w:r>
          </w:p>
        </w:tc>
        <w:tc>
          <w:tcPr>
            <w:tcW w:w="1559" w:type="dxa"/>
            <w:tcBorders>
              <w:top w:val="nil"/>
              <w:left w:val="nil"/>
              <w:bottom w:val="nil"/>
              <w:right w:val="nil"/>
            </w:tcBorders>
            <w:shd w:val="clear" w:color="000000" w:fill="CCCCFF"/>
            <w:noWrap/>
            <w:vAlign w:val="bottom"/>
            <w:hideMark/>
          </w:tcPr>
          <w:p w14:paraId="225F4E2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150.000,00</w:t>
            </w:r>
          </w:p>
        </w:tc>
        <w:tc>
          <w:tcPr>
            <w:tcW w:w="1559" w:type="dxa"/>
            <w:tcBorders>
              <w:top w:val="nil"/>
              <w:left w:val="nil"/>
              <w:bottom w:val="nil"/>
              <w:right w:val="nil"/>
            </w:tcBorders>
            <w:shd w:val="clear" w:color="000000" w:fill="CCCCFF"/>
            <w:noWrap/>
            <w:vAlign w:val="bottom"/>
            <w:hideMark/>
          </w:tcPr>
          <w:p w14:paraId="3D451C5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150.000,00</w:t>
            </w:r>
          </w:p>
        </w:tc>
        <w:tc>
          <w:tcPr>
            <w:tcW w:w="1559" w:type="dxa"/>
            <w:tcBorders>
              <w:top w:val="nil"/>
              <w:left w:val="nil"/>
              <w:bottom w:val="nil"/>
              <w:right w:val="nil"/>
            </w:tcBorders>
            <w:shd w:val="clear" w:color="000000" w:fill="CCCCFF"/>
            <w:noWrap/>
            <w:vAlign w:val="bottom"/>
            <w:hideMark/>
          </w:tcPr>
          <w:p w14:paraId="1F5DBD2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150.000,00</w:t>
            </w:r>
          </w:p>
        </w:tc>
        <w:tc>
          <w:tcPr>
            <w:tcW w:w="993" w:type="dxa"/>
            <w:tcBorders>
              <w:top w:val="nil"/>
              <w:left w:val="nil"/>
              <w:bottom w:val="nil"/>
              <w:right w:val="nil"/>
            </w:tcBorders>
            <w:shd w:val="clear" w:color="000000" w:fill="CCCCFF"/>
            <w:noWrap/>
            <w:vAlign w:val="bottom"/>
            <w:hideMark/>
          </w:tcPr>
          <w:p w14:paraId="6A2D6E4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7FA61939"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703CED8"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8.2. Namjenski primici od zaduživanja - PK</w:t>
            </w:r>
          </w:p>
        </w:tc>
        <w:tc>
          <w:tcPr>
            <w:tcW w:w="1559" w:type="dxa"/>
            <w:tcBorders>
              <w:top w:val="nil"/>
              <w:left w:val="nil"/>
              <w:bottom w:val="nil"/>
              <w:right w:val="nil"/>
            </w:tcBorders>
            <w:shd w:val="clear" w:color="000000" w:fill="CCCCFF"/>
            <w:noWrap/>
            <w:vAlign w:val="bottom"/>
            <w:hideMark/>
          </w:tcPr>
          <w:p w14:paraId="0822E24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150.000,00</w:t>
            </w:r>
          </w:p>
        </w:tc>
        <w:tc>
          <w:tcPr>
            <w:tcW w:w="1559" w:type="dxa"/>
            <w:tcBorders>
              <w:top w:val="nil"/>
              <w:left w:val="nil"/>
              <w:bottom w:val="nil"/>
              <w:right w:val="nil"/>
            </w:tcBorders>
            <w:shd w:val="clear" w:color="000000" w:fill="CCCCFF"/>
            <w:noWrap/>
            <w:vAlign w:val="bottom"/>
            <w:hideMark/>
          </w:tcPr>
          <w:p w14:paraId="3D4E8A6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150.000,00</w:t>
            </w:r>
          </w:p>
        </w:tc>
        <w:tc>
          <w:tcPr>
            <w:tcW w:w="1559" w:type="dxa"/>
            <w:tcBorders>
              <w:top w:val="nil"/>
              <w:left w:val="nil"/>
              <w:bottom w:val="nil"/>
              <w:right w:val="nil"/>
            </w:tcBorders>
            <w:shd w:val="clear" w:color="000000" w:fill="CCCCFF"/>
            <w:noWrap/>
            <w:vAlign w:val="bottom"/>
            <w:hideMark/>
          </w:tcPr>
          <w:p w14:paraId="0920E43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150.000,00</w:t>
            </w:r>
          </w:p>
        </w:tc>
        <w:tc>
          <w:tcPr>
            <w:tcW w:w="993" w:type="dxa"/>
            <w:tcBorders>
              <w:top w:val="nil"/>
              <w:left w:val="nil"/>
              <w:bottom w:val="nil"/>
              <w:right w:val="nil"/>
            </w:tcBorders>
            <w:shd w:val="clear" w:color="000000" w:fill="CCCCFF"/>
            <w:noWrap/>
            <w:vAlign w:val="bottom"/>
            <w:hideMark/>
          </w:tcPr>
          <w:p w14:paraId="4DDF03E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46879107" w14:textId="77777777" w:rsidTr="008A61B1">
        <w:trPr>
          <w:trHeight w:val="255"/>
        </w:trPr>
        <w:tc>
          <w:tcPr>
            <w:tcW w:w="1134" w:type="dxa"/>
            <w:tcBorders>
              <w:top w:val="nil"/>
              <w:left w:val="nil"/>
              <w:bottom w:val="nil"/>
              <w:right w:val="nil"/>
            </w:tcBorders>
            <w:noWrap/>
            <w:vAlign w:val="bottom"/>
            <w:hideMark/>
          </w:tcPr>
          <w:p w14:paraId="22228B2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2241434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3CBF4BD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150.000,00</w:t>
            </w:r>
          </w:p>
        </w:tc>
        <w:tc>
          <w:tcPr>
            <w:tcW w:w="1559" w:type="dxa"/>
            <w:tcBorders>
              <w:top w:val="nil"/>
              <w:left w:val="nil"/>
              <w:bottom w:val="nil"/>
              <w:right w:val="nil"/>
            </w:tcBorders>
            <w:noWrap/>
            <w:vAlign w:val="bottom"/>
            <w:hideMark/>
          </w:tcPr>
          <w:p w14:paraId="11CD6EC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150.000,00</w:t>
            </w:r>
          </w:p>
        </w:tc>
        <w:tc>
          <w:tcPr>
            <w:tcW w:w="1559" w:type="dxa"/>
            <w:tcBorders>
              <w:top w:val="nil"/>
              <w:left w:val="nil"/>
              <w:bottom w:val="nil"/>
              <w:right w:val="nil"/>
            </w:tcBorders>
            <w:noWrap/>
            <w:vAlign w:val="bottom"/>
            <w:hideMark/>
          </w:tcPr>
          <w:p w14:paraId="111F321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150.000,00</w:t>
            </w:r>
          </w:p>
        </w:tc>
        <w:tc>
          <w:tcPr>
            <w:tcW w:w="993" w:type="dxa"/>
            <w:tcBorders>
              <w:top w:val="nil"/>
              <w:left w:val="nil"/>
              <w:bottom w:val="nil"/>
              <w:right w:val="nil"/>
            </w:tcBorders>
            <w:noWrap/>
            <w:vAlign w:val="bottom"/>
            <w:hideMark/>
          </w:tcPr>
          <w:p w14:paraId="74D2655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r>
      <w:tr w:rsidR="006967F8" w:rsidRPr="006967F8" w14:paraId="035D14DA" w14:textId="77777777" w:rsidTr="008A61B1">
        <w:trPr>
          <w:trHeight w:val="255"/>
        </w:trPr>
        <w:tc>
          <w:tcPr>
            <w:tcW w:w="1134" w:type="dxa"/>
            <w:tcBorders>
              <w:top w:val="nil"/>
              <w:left w:val="nil"/>
              <w:bottom w:val="nil"/>
              <w:right w:val="nil"/>
            </w:tcBorders>
            <w:noWrap/>
            <w:vAlign w:val="bottom"/>
            <w:hideMark/>
          </w:tcPr>
          <w:p w14:paraId="59D3974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3232</w:t>
            </w:r>
          </w:p>
        </w:tc>
        <w:tc>
          <w:tcPr>
            <w:tcW w:w="4962" w:type="dxa"/>
            <w:tcBorders>
              <w:top w:val="nil"/>
              <w:left w:val="nil"/>
              <w:bottom w:val="nil"/>
              <w:right w:val="nil"/>
            </w:tcBorders>
            <w:noWrap/>
            <w:vAlign w:val="bottom"/>
            <w:hideMark/>
          </w:tcPr>
          <w:p w14:paraId="255F618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Usluge tekućeg i investicijskog  održavanja</w:t>
            </w:r>
          </w:p>
        </w:tc>
        <w:tc>
          <w:tcPr>
            <w:tcW w:w="1559" w:type="dxa"/>
            <w:tcBorders>
              <w:top w:val="nil"/>
              <w:left w:val="nil"/>
              <w:bottom w:val="nil"/>
              <w:right w:val="nil"/>
            </w:tcBorders>
            <w:noWrap/>
            <w:vAlign w:val="bottom"/>
            <w:hideMark/>
          </w:tcPr>
          <w:p w14:paraId="572E2122" w14:textId="77777777" w:rsidR="006967F8" w:rsidRPr="006967F8" w:rsidRDefault="006967F8" w:rsidP="006967F8">
            <w:pPr>
              <w:spacing w:after="0" w:line="240" w:lineRule="auto"/>
              <w:rPr>
                <w:rFonts w:ascii="Arial" w:eastAsia="Times New Roman" w:hAnsi="Arial" w:cs="Arial"/>
                <w:b/>
                <w:bCs/>
                <w:sz w:val="20"/>
                <w:szCs w:val="20"/>
                <w:lang w:eastAsia="hr-HR"/>
              </w:rPr>
            </w:pPr>
          </w:p>
        </w:tc>
        <w:tc>
          <w:tcPr>
            <w:tcW w:w="1559" w:type="dxa"/>
            <w:tcBorders>
              <w:top w:val="nil"/>
              <w:left w:val="nil"/>
              <w:bottom w:val="nil"/>
              <w:right w:val="nil"/>
            </w:tcBorders>
            <w:noWrap/>
            <w:vAlign w:val="bottom"/>
            <w:hideMark/>
          </w:tcPr>
          <w:p w14:paraId="1FB9F70F"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C47CEE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150.000,00</w:t>
            </w:r>
          </w:p>
        </w:tc>
        <w:tc>
          <w:tcPr>
            <w:tcW w:w="993" w:type="dxa"/>
            <w:tcBorders>
              <w:top w:val="nil"/>
              <w:left w:val="nil"/>
              <w:bottom w:val="nil"/>
              <w:right w:val="nil"/>
            </w:tcBorders>
            <w:noWrap/>
            <w:vAlign w:val="bottom"/>
            <w:hideMark/>
          </w:tcPr>
          <w:p w14:paraId="29D8F5D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p>
        </w:tc>
      </w:tr>
      <w:tr w:rsidR="006967F8" w:rsidRPr="006967F8" w14:paraId="387BE94D" w14:textId="77777777" w:rsidTr="008A61B1">
        <w:trPr>
          <w:trHeight w:val="525"/>
        </w:trPr>
        <w:tc>
          <w:tcPr>
            <w:tcW w:w="6096" w:type="dxa"/>
            <w:gridSpan w:val="2"/>
            <w:tcBorders>
              <w:top w:val="nil"/>
              <w:left w:val="nil"/>
              <w:bottom w:val="nil"/>
              <w:right w:val="nil"/>
            </w:tcBorders>
            <w:shd w:val="clear" w:color="000000" w:fill="FFFF99"/>
            <w:vAlign w:val="bottom"/>
            <w:hideMark/>
          </w:tcPr>
          <w:p w14:paraId="24F5A27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T100076 Tekući projekt: ODRŽAVANJE IMOVINE DOBIVENE NA KORIŠTENJE</w:t>
            </w:r>
          </w:p>
        </w:tc>
        <w:tc>
          <w:tcPr>
            <w:tcW w:w="1559" w:type="dxa"/>
            <w:tcBorders>
              <w:top w:val="nil"/>
              <w:left w:val="nil"/>
              <w:bottom w:val="nil"/>
              <w:right w:val="nil"/>
            </w:tcBorders>
            <w:shd w:val="clear" w:color="000000" w:fill="FFFF99"/>
            <w:noWrap/>
            <w:vAlign w:val="bottom"/>
            <w:hideMark/>
          </w:tcPr>
          <w:p w14:paraId="7E65D28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60.000,00</w:t>
            </w:r>
          </w:p>
        </w:tc>
        <w:tc>
          <w:tcPr>
            <w:tcW w:w="1559" w:type="dxa"/>
            <w:tcBorders>
              <w:top w:val="nil"/>
              <w:left w:val="nil"/>
              <w:bottom w:val="nil"/>
              <w:right w:val="nil"/>
            </w:tcBorders>
            <w:shd w:val="clear" w:color="000000" w:fill="FFFF99"/>
            <w:noWrap/>
            <w:vAlign w:val="bottom"/>
            <w:hideMark/>
          </w:tcPr>
          <w:p w14:paraId="234B044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60.000,00</w:t>
            </w:r>
          </w:p>
        </w:tc>
        <w:tc>
          <w:tcPr>
            <w:tcW w:w="1559" w:type="dxa"/>
            <w:tcBorders>
              <w:top w:val="nil"/>
              <w:left w:val="nil"/>
              <w:bottom w:val="nil"/>
              <w:right w:val="nil"/>
            </w:tcBorders>
            <w:shd w:val="clear" w:color="000000" w:fill="FFFF99"/>
            <w:noWrap/>
            <w:vAlign w:val="bottom"/>
            <w:hideMark/>
          </w:tcPr>
          <w:p w14:paraId="0FEED88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41.106,64</w:t>
            </w:r>
          </w:p>
        </w:tc>
        <w:tc>
          <w:tcPr>
            <w:tcW w:w="993" w:type="dxa"/>
            <w:tcBorders>
              <w:top w:val="nil"/>
              <w:left w:val="nil"/>
              <w:bottom w:val="nil"/>
              <w:right w:val="nil"/>
            </w:tcBorders>
            <w:shd w:val="clear" w:color="000000" w:fill="FFFF99"/>
            <w:noWrap/>
            <w:vAlign w:val="bottom"/>
            <w:hideMark/>
          </w:tcPr>
          <w:p w14:paraId="58F48AC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68,51%</w:t>
            </w:r>
          </w:p>
        </w:tc>
      </w:tr>
      <w:tr w:rsidR="006967F8" w:rsidRPr="006967F8" w14:paraId="759C71D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4B20AFD"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3D5C417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60.000,00</w:t>
            </w:r>
          </w:p>
        </w:tc>
        <w:tc>
          <w:tcPr>
            <w:tcW w:w="1559" w:type="dxa"/>
            <w:tcBorders>
              <w:top w:val="nil"/>
              <w:left w:val="nil"/>
              <w:bottom w:val="nil"/>
              <w:right w:val="nil"/>
            </w:tcBorders>
            <w:shd w:val="clear" w:color="000000" w:fill="CCCCFF"/>
            <w:noWrap/>
            <w:vAlign w:val="bottom"/>
            <w:hideMark/>
          </w:tcPr>
          <w:p w14:paraId="1749070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60.000,00</w:t>
            </w:r>
          </w:p>
        </w:tc>
        <w:tc>
          <w:tcPr>
            <w:tcW w:w="1559" w:type="dxa"/>
            <w:tcBorders>
              <w:top w:val="nil"/>
              <w:left w:val="nil"/>
              <w:bottom w:val="nil"/>
              <w:right w:val="nil"/>
            </w:tcBorders>
            <w:shd w:val="clear" w:color="000000" w:fill="CCCCFF"/>
            <w:noWrap/>
            <w:vAlign w:val="bottom"/>
            <w:hideMark/>
          </w:tcPr>
          <w:p w14:paraId="679EFD8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41.106,64</w:t>
            </w:r>
          </w:p>
        </w:tc>
        <w:tc>
          <w:tcPr>
            <w:tcW w:w="993" w:type="dxa"/>
            <w:tcBorders>
              <w:top w:val="nil"/>
              <w:left w:val="nil"/>
              <w:bottom w:val="nil"/>
              <w:right w:val="nil"/>
            </w:tcBorders>
            <w:shd w:val="clear" w:color="000000" w:fill="CCCCFF"/>
            <w:noWrap/>
            <w:vAlign w:val="bottom"/>
            <w:hideMark/>
          </w:tcPr>
          <w:p w14:paraId="5971963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68,51%</w:t>
            </w:r>
          </w:p>
        </w:tc>
      </w:tr>
      <w:tr w:rsidR="006967F8" w:rsidRPr="006967F8" w14:paraId="564BAE5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DC8A90A"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6609AD6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60.000,00</w:t>
            </w:r>
          </w:p>
        </w:tc>
        <w:tc>
          <w:tcPr>
            <w:tcW w:w="1559" w:type="dxa"/>
            <w:tcBorders>
              <w:top w:val="nil"/>
              <w:left w:val="nil"/>
              <w:bottom w:val="nil"/>
              <w:right w:val="nil"/>
            </w:tcBorders>
            <w:shd w:val="clear" w:color="000000" w:fill="CCCCFF"/>
            <w:noWrap/>
            <w:vAlign w:val="bottom"/>
            <w:hideMark/>
          </w:tcPr>
          <w:p w14:paraId="1C4D971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60.000,00</w:t>
            </w:r>
          </w:p>
        </w:tc>
        <w:tc>
          <w:tcPr>
            <w:tcW w:w="1559" w:type="dxa"/>
            <w:tcBorders>
              <w:top w:val="nil"/>
              <w:left w:val="nil"/>
              <w:bottom w:val="nil"/>
              <w:right w:val="nil"/>
            </w:tcBorders>
            <w:shd w:val="clear" w:color="000000" w:fill="CCCCFF"/>
            <w:noWrap/>
            <w:vAlign w:val="bottom"/>
            <w:hideMark/>
          </w:tcPr>
          <w:p w14:paraId="67AB1FC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41.106,64</w:t>
            </w:r>
          </w:p>
        </w:tc>
        <w:tc>
          <w:tcPr>
            <w:tcW w:w="993" w:type="dxa"/>
            <w:tcBorders>
              <w:top w:val="nil"/>
              <w:left w:val="nil"/>
              <w:bottom w:val="nil"/>
              <w:right w:val="nil"/>
            </w:tcBorders>
            <w:shd w:val="clear" w:color="000000" w:fill="CCCCFF"/>
            <w:noWrap/>
            <w:vAlign w:val="bottom"/>
            <w:hideMark/>
          </w:tcPr>
          <w:p w14:paraId="2AF00DB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68,51%</w:t>
            </w:r>
          </w:p>
        </w:tc>
      </w:tr>
      <w:tr w:rsidR="006967F8" w:rsidRPr="006967F8" w14:paraId="3B34A344" w14:textId="77777777" w:rsidTr="008A61B1">
        <w:trPr>
          <w:trHeight w:val="255"/>
        </w:trPr>
        <w:tc>
          <w:tcPr>
            <w:tcW w:w="1134" w:type="dxa"/>
            <w:tcBorders>
              <w:top w:val="nil"/>
              <w:left w:val="nil"/>
              <w:bottom w:val="nil"/>
              <w:right w:val="nil"/>
            </w:tcBorders>
            <w:noWrap/>
            <w:vAlign w:val="bottom"/>
            <w:hideMark/>
          </w:tcPr>
          <w:p w14:paraId="306C905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4FEACED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7E0E21D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60.000,00</w:t>
            </w:r>
          </w:p>
        </w:tc>
        <w:tc>
          <w:tcPr>
            <w:tcW w:w="1559" w:type="dxa"/>
            <w:tcBorders>
              <w:top w:val="nil"/>
              <w:left w:val="nil"/>
              <w:bottom w:val="nil"/>
              <w:right w:val="nil"/>
            </w:tcBorders>
            <w:noWrap/>
            <w:vAlign w:val="bottom"/>
            <w:hideMark/>
          </w:tcPr>
          <w:p w14:paraId="7F35FC9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60.000,00</w:t>
            </w:r>
          </w:p>
        </w:tc>
        <w:tc>
          <w:tcPr>
            <w:tcW w:w="1559" w:type="dxa"/>
            <w:tcBorders>
              <w:top w:val="nil"/>
              <w:left w:val="nil"/>
              <w:bottom w:val="nil"/>
              <w:right w:val="nil"/>
            </w:tcBorders>
            <w:noWrap/>
            <w:vAlign w:val="bottom"/>
            <w:hideMark/>
          </w:tcPr>
          <w:p w14:paraId="5529117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41.106,64</w:t>
            </w:r>
          </w:p>
        </w:tc>
        <w:tc>
          <w:tcPr>
            <w:tcW w:w="993" w:type="dxa"/>
            <w:tcBorders>
              <w:top w:val="nil"/>
              <w:left w:val="nil"/>
              <w:bottom w:val="nil"/>
              <w:right w:val="nil"/>
            </w:tcBorders>
            <w:noWrap/>
            <w:vAlign w:val="bottom"/>
            <w:hideMark/>
          </w:tcPr>
          <w:p w14:paraId="238EE00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68,51%</w:t>
            </w:r>
          </w:p>
        </w:tc>
      </w:tr>
      <w:tr w:rsidR="006967F8" w:rsidRPr="006967F8" w14:paraId="38B9ABDA" w14:textId="77777777" w:rsidTr="008A61B1">
        <w:trPr>
          <w:trHeight w:val="255"/>
        </w:trPr>
        <w:tc>
          <w:tcPr>
            <w:tcW w:w="1134" w:type="dxa"/>
            <w:tcBorders>
              <w:top w:val="nil"/>
              <w:left w:val="nil"/>
              <w:bottom w:val="nil"/>
              <w:right w:val="nil"/>
            </w:tcBorders>
            <w:noWrap/>
            <w:vAlign w:val="bottom"/>
            <w:hideMark/>
          </w:tcPr>
          <w:p w14:paraId="6D6828D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3232</w:t>
            </w:r>
          </w:p>
        </w:tc>
        <w:tc>
          <w:tcPr>
            <w:tcW w:w="4962" w:type="dxa"/>
            <w:tcBorders>
              <w:top w:val="nil"/>
              <w:left w:val="nil"/>
              <w:bottom w:val="nil"/>
              <w:right w:val="nil"/>
            </w:tcBorders>
            <w:noWrap/>
            <w:vAlign w:val="bottom"/>
            <w:hideMark/>
          </w:tcPr>
          <w:p w14:paraId="4FF2ADD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noWrap/>
            <w:vAlign w:val="bottom"/>
            <w:hideMark/>
          </w:tcPr>
          <w:p w14:paraId="2C042218"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59CB867"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85B1E69"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41.106,64</w:t>
            </w:r>
          </w:p>
        </w:tc>
        <w:tc>
          <w:tcPr>
            <w:tcW w:w="993" w:type="dxa"/>
            <w:tcBorders>
              <w:top w:val="nil"/>
              <w:left w:val="nil"/>
              <w:bottom w:val="nil"/>
              <w:right w:val="nil"/>
            </w:tcBorders>
            <w:noWrap/>
            <w:vAlign w:val="bottom"/>
            <w:hideMark/>
          </w:tcPr>
          <w:p w14:paraId="3AAA7790"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39242C3" w14:textId="77777777" w:rsidTr="008A61B1">
        <w:trPr>
          <w:trHeight w:val="255"/>
        </w:trPr>
        <w:tc>
          <w:tcPr>
            <w:tcW w:w="6096" w:type="dxa"/>
            <w:gridSpan w:val="2"/>
            <w:tcBorders>
              <w:top w:val="nil"/>
              <w:left w:val="nil"/>
              <w:bottom w:val="nil"/>
              <w:right w:val="nil"/>
            </w:tcBorders>
            <w:shd w:val="clear" w:color="000000" w:fill="9999FF"/>
            <w:noWrap/>
            <w:vAlign w:val="bottom"/>
            <w:hideMark/>
          </w:tcPr>
          <w:p w14:paraId="46028A2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GLAVA 02115 JAVNA VATROGASNA POSTROJBA </w:t>
            </w:r>
          </w:p>
        </w:tc>
        <w:tc>
          <w:tcPr>
            <w:tcW w:w="1559" w:type="dxa"/>
            <w:tcBorders>
              <w:top w:val="nil"/>
              <w:left w:val="nil"/>
              <w:bottom w:val="nil"/>
              <w:right w:val="nil"/>
            </w:tcBorders>
            <w:shd w:val="clear" w:color="000000" w:fill="9999FF"/>
            <w:noWrap/>
            <w:vAlign w:val="bottom"/>
            <w:hideMark/>
          </w:tcPr>
          <w:p w14:paraId="6A7C0B8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2.323.719,00</w:t>
            </w:r>
          </w:p>
        </w:tc>
        <w:tc>
          <w:tcPr>
            <w:tcW w:w="1559" w:type="dxa"/>
            <w:tcBorders>
              <w:top w:val="nil"/>
              <w:left w:val="nil"/>
              <w:bottom w:val="nil"/>
              <w:right w:val="nil"/>
            </w:tcBorders>
            <w:shd w:val="clear" w:color="000000" w:fill="9999FF"/>
            <w:noWrap/>
            <w:vAlign w:val="bottom"/>
            <w:hideMark/>
          </w:tcPr>
          <w:p w14:paraId="33D448A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2.323.719,00</w:t>
            </w:r>
          </w:p>
        </w:tc>
        <w:tc>
          <w:tcPr>
            <w:tcW w:w="1559" w:type="dxa"/>
            <w:tcBorders>
              <w:top w:val="nil"/>
              <w:left w:val="nil"/>
              <w:bottom w:val="nil"/>
              <w:right w:val="nil"/>
            </w:tcBorders>
            <w:shd w:val="clear" w:color="000000" w:fill="9999FF"/>
            <w:noWrap/>
            <w:vAlign w:val="bottom"/>
            <w:hideMark/>
          </w:tcPr>
          <w:p w14:paraId="71F461D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1.462.078,94</w:t>
            </w:r>
          </w:p>
        </w:tc>
        <w:tc>
          <w:tcPr>
            <w:tcW w:w="993" w:type="dxa"/>
            <w:tcBorders>
              <w:top w:val="nil"/>
              <w:left w:val="nil"/>
              <w:bottom w:val="nil"/>
              <w:right w:val="nil"/>
            </w:tcBorders>
            <w:shd w:val="clear" w:color="000000" w:fill="9999FF"/>
            <w:noWrap/>
            <w:vAlign w:val="bottom"/>
            <w:hideMark/>
          </w:tcPr>
          <w:p w14:paraId="47599AB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62,92%</w:t>
            </w:r>
          </w:p>
        </w:tc>
      </w:tr>
      <w:tr w:rsidR="006967F8" w:rsidRPr="006967F8" w14:paraId="199E2D60"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D182794"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12B3327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1.275.975,00</w:t>
            </w:r>
          </w:p>
        </w:tc>
        <w:tc>
          <w:tcPr>
            <w:tcW w:w="1559" w:type="dxa"/>
            <w:tcBorders>
              <w:top w:val="nil"/>
              <w:left w:val="nil"/>
              <w:bottom w:val="nil"/>
              <w:right w:val="nil"/>
            </w:tcBorders>
            <w:shd w:val="clear" w:color="000000" w:fill="CCCCFF"/>
            <w:noWrap/>
            <w:vAlign w:val="bottom"/>
            <w:hideMark/>
          </w:tcPr>
          <w:p w14:paraId="7FA3763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1.275.975,00</w:t>
            </w:r>
          </w:p>
        </w:tc>
        <w:tc>
          <w:tcPr>
            <w:tcW w:w="1559" w:type="dxa"/>
            <w:tcBorders>
              <w:top w:val="nil"/>
              <w:left w:val="nil"/>
              <w:bottom w:val="nil"/>
              <w:right w:val="nil"/>
            </w:tcBorders>
            <w:shd w:val="clear" w:color="000000" w:fill="CCCCFF"/>
            <w:noWrap/>
            <w:vAlign w:val="bottom"/>
            <w:hideMark/>
          </w:tcPr>
          <w:p w14:paraId="3CFBE3C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1.099.435,05</w:t>
            </w:r>
          </w:p>
        </w:tc>
        <w:tc>
          <w:tcPr>
            <w:tcW w:w="993" w:type="dxa"/>
            <w:tcBorders>
              <w:top w:val="nil"/>
              <w:left w:val="nil"/>
              <w:bottom w:val="nil"/>
              <w:right w:val="nil"/>
            </w:tcBorders>
            <w:shd w:val="clear" w:color="000000" w:fill="CCCCFF"/>
            <w:noWrap/>
            <w:vAlign w:val="bottom"/>
            <w:hideMark/>
          </w:tcPr>
          <w:p w14:paraId="265EB04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86,16%</w:t>
            </w:r>
          </w:p>
        </w:tc>
      </w:tr>
      <w:tr w:rsidR="006967F8" w:rsidRPr="006967F8" w14:paraId="65239236"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43F8694"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741AB94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1.275.975,00</w:t>
            </w:r>
          </w:p>
        </w:tc>
        <w:tc>
          <w:tcPr>
            <w:tcW w:w="1559" w:type="dxa"/>
            <w:tcBorders>
              <w:top w:val="nil"/>
              <w:left w:val="nil"/>
              <w:bottom w:val="nil"/>
              <w:right w:val="nil"/>
            </w:tcBorders>
            <w:shd w:val="clear" w:color="000000" w:fill="CCCCFF"/>
            <w:noWrap/>
            <w:vAlign w:val="bottom"/>
            <w:hideMark/>
          </w:tcPr>
          <w:p w14:paraId="4042A6A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1.275.975,00</w:t>
            </w:r>
          </w:p>
        </w:tc>
        <w:tc>
          <w:tcPr>
            <w:tcW w:w="1559" w:type="dxa"/>
            <w:tcBorders>
              <w:top w:val="nil"/>
              <w:left w:val="nil"/>
              <w:bottom w:val="nil"/>
              <w:right w:val="nil"/>
            </w:tcBorders>
            <w:shd w:val="clear" w:color="000000" w:fill="CCCCFF"/>
            <w:noWrap/>
            <w:vAlign w:val="bottom"/>
            <w:hideMark/>
          </w:tcPr>
          <w:p w14:paraId="57FFD74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1.099.435,05</w:t>
            </w:r>
          </w:p>
        </w:tc>
        <w:tc>
          <w:tcPr>
            <w:tcW w:w="993" w:type="dxa"/>
            <w:tcBorders>
              <w:top w:val="nil"/>
              <w:left w:val="nil"/>
              <w:bottom w:val="nil"/>
              <w:right w:val="nil"/>
            </w:tcBorders>
            <w:shd w:val="clear" w:color="000000" w:fill="CCCCFF"/>
            <w:noWrap/>
            <w:vAlign w:val="bottom"/>
            <w:hideMark/>
          </w:tcPr>
          <w:p w14:paraId="0CF3197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86,16%</w:t>
            </w:r>
          </w:p>
        </w:tc>
      </w:tr>
      <w:tr w:rsidR="006967F8" w:rsidRPr="006967F8" w14:paraId="1032D783"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0AD081F"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3. VLASTITI PRIHODI</w:t>
            </w:r>
          </w:p>
        </w:tc>
        <w:tc>
          <w:tcPr>
            <w:tcW w:w="1559" w:type="dxa"/>
            <w:tcBorders>
              <w:top w:val="nil"/>
              <w:left w:val="nil"/>
              <w:bottom w:val="nil"/>
              <w:right w:val="nil"/>
            </w:tcBorders>
            <w:shd w:val="clear" w:color="000000" w:fill="CCCCFF"/>
            <w:noWrap/>
            <w:vAlign w:val="bottom"/>
            <w:hideMark/>
          </w:tcPr>
          <w:p w14:paraId="291D535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35.005,00</w:t>
            </w:r>
          </w:p>
        </w:tc>
        <w:tc>
          <w:tcPr>
            <w:tcW w:w="1559" w:type="dxa"/>
            <w:tcBorders>
              <w:top w:val="nil"/>
              <w:left w:val="nil"/>
              <w:bottom w:val="nil"/>
              <w:right w:val="nil"/>
            </w:tcBorders>
            <w:shd w:val="clear" w:color="000000" w:fill="CCCCFF"/>
            <w:noWrap/>
            <w:vAlign w:val="bottom"/>
            <w:hideMark/>
          </w:tcPr>
          <w:p w14:paraId="6512444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35.005,00</w:t>
            </w:r>
          </w:p>
        </w:tc>
        <w:tc>
          <w:tcPr>
            <w:tcW w:w="1559" w:type="dxa"/>
            <w:tcBorders>
              <w:top w:val="nil"/>
              <w:left w:val="nil"/>
              <w:bottom w:val="nil"/>
              <w:right w:val="nil"/>
            </w:tcBorders>
            <w:shd w:val="clear" w:color="000000" w:fill="CCCCFF"/>
            <w:noWrap/>
            <w:vAlign w:val="bottom"/>
            <w:hideMark/>
          </w:tcPr>
          <w:p w14:paraId="08D17F2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29.529,89</w:t>
            </w:r>
          </w:p>
        </w:tc>
        <w:tc>
          <w:tcPr>
            <w:tcW w:w="993" w:type="dxa"/>
            <w:tcBorders>
              <w:top w:val="nil"/>
              <w:left w:val="nil"/>
              <w:bottom w:val="nil"/>
              <w:right w:val="nil"/>
            </w:tcBorders>
            <w:shd w:val="clear" w:color="000000" w:fill="CCCCFF"/>
            <w:noWrap/>
            <w:vAlign w:val="bottom"/>
            <w:hideMark/>
          </w:tcPr>
          <w:p w14:paraId="6807D99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84,36%</w:t>
            </w:r>
          </w:p>
        </w:tc>
      </w:tr>
      <w:tr w:rsidR="006967F8" w:rsidRPr="006967F8" w14:paraId="030C7908"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98280C7"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3.2. Vlastiti prihodi proračunskih korisnika</w:t>
            </w:r>
          </w:p>
        </w:tc>
        <w:tc>
          <w:tcPr>
            <w:tcW w:w="1559" w:type="dxa"/>
            <w:tcBorders>
              <w:top w:val="nil"/>
              <w:left w:val="nil"/>
              <w:bottom w:val="nil"/>
              <w:right w:val="nil"/>
            </w:tcBorders>
            <w:shd w:val="clear" w:color="000000" w:fill="CCCCFF"/>
            <w:noWrap/>
            <w:vAlign w:val="bottom"/>
            <w:hideMark/>
          </w:tcPr>
          <w:p w14:paraId="6E93110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35.005,00</w:t>
            </w:r>
          </w:p>
        </w:tc>
        <w:tc>
          <w:tcPr>
            <w:tcW w:w="1559" w:type="dxa"/>
            <w:tcBorders>
              <w:top w:val="nil"/>
              <w:left w:val="nil"/>
              <w:bottom w:val="nil"/>
              <w:right w:val="nil"/>
            </w:tcBorders>
            <w:shd w:val="clear" w:color="000000" w:fill="CCCCFF"/>
            <w:noWrap/>
            <w:vAlign w:val="bottom"/>
            <w:hideMark/>
          </w:tcPr>
          <w:p w14:paraId="1B0054D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35.005,00</w:t>
            </w:r>
          </w:p>
        </w:tc>
        <w:tc>
          <w:tcPr>
            <w:tcW w:w="1559" w:type="dxa"/>
            <w:tcBorders>
              <w:top w:val="nil"/>
              <w:left w:val="nil"/>
              <w:bottom w:val="nil"/>
              <w:right w:val="nil"/>
            </w:tcBorders>
            <w:shd w:val="clear" w:color="000000" w:fill="CCCCFF"/>
            <w:noWrap/>
            <w:vAlign w:val="bottom"/>
            <w:hideMark/>
          </w:tcPr>
          <w:p w14:paraId="76C3912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29.529,89</w:t>
            </w:r>
          </w:p>
        </w:tc>
        <w:tc>
          <w:tcPr>
            <w:tcW w:w="993" w:type="dxa"/>
            <w:tcBorders>
              <w:top w:val="nil"/>
              <w:left w:val="nil"/>
              <w:bottom w:val="nil"/>
              <w:right w:val="nil"/>
            </w:tcBorders>
            <w:shd w:val="clear" w:color="000000" w:fill="CCCCFF"/>
            <w:noWrap/>
            <w:vAlign w:val="bottom"/>
            <w:hideMark/>
          </w:tcPr>
          <w:p w14:paraId="47A43ED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84,36%</w:t>
            </w:r>
          </w:p>
        </w:tc>
      </w:tr>
      <w:tr w:rsidR="006967F8" w:rsidRPr="006967F8" w14:paraId="68267D1D"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08BEC18"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62ED136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346.614,00</w:t>
            </w:r>
          </w:p>
        </w:tc>
        <w:tc>
          <w:tcPr>
            <w:tcW w:w="1559" w:type="dxa"/>
            <w:tcBorders>
              <w:top w:val="nil"/>
              <w:left w:val="nil"/>
              <w:bottom w:val="nil"/>
              <w:right w:val="nil"/>
            </w:tcBorders>
            <w:shd w:val="clear" w:color="000000" w:fill="CCCCFF"/>
            <w:noWrap/>
            <w:vAlign w:val="bottom"/>
            <w:hideMark/>
          </w:tcPr>
          <w:p w14:paraId="3C0F7B7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346.614,00</w:t>
            </w:r>
          </w:p>
        </w:tc>
        <w:tc>
          <w:tcPr>
            <w:tcW w:w="1559" w:type="dxa"/>
            <w:tcBorders>
              <w:top w:val="nil"/>
              <w:left w:val="nil"/>
              <w:bottom w:val="nil"/>
              <w:right w:val="nil"/>
            </w:tcBorders>
            <w:shd w:val="clear" w:color="000000" w:fill="CCCCFF"/>
            <w:noWrap/>
            <w:vAlign w:val="bottom"/>
            <w:hideMark/>
          </w:tcPr>
          <w:p w14:paraId="38FF6A0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333.114,00</w:t>
            </w:r>
          </w:p>
        </w:tc>
        <w:tc>
          <w:tcPr>
            <w:tcW w:w="993" w:type="dxa"/>
            <w:tcBorders>
              <w:top w:val="nil"/>
              <w:left w:val="nil"/>
              <w:bottom w:val="nil"/>
              <w:right w:val="nil"/>
            </w:tcBorders>
            <w:shd w:val="clear" w:color="000000" w:fill="CCCCFF"/>
            <w:noWrap/>
            <w:vAlign w:val="bottom"/>
            <w:hideMark/>
          </w:tcPr>
          <w:p w14:paraId="39936F6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96,11%</w:t>
            </w:r>
          </w:p>
        </w:tc>
      </w:tr>
      <w:tr w:rsidR="006967F8" w:rsidRPr="006967F8" w14:paraId="7145E41B" w14:textId="77777777" w:rsidTr="008A61B1">
        <w:trPr>
          <w:trHeight w:val="510"/>
        </w:trPr>
        <w:tc>
          <w:tcPr>
            <w:tcW w:w="6096" w:type="dxa"/>
            <w:gridSpan w:val="2"/>
            <w:tcBorders>
              <w:top w:val="nil"/>
              <w:left w:val="nil"/>
              <w:bottom w:val="nil"/>
              <w:right w:val="nil"/>
            </w:tcBorders>
            <w:shd w:val="clear" w:color="000000" w:fill="CCCCFF"/>
            <w:vAlign w:val="bottom"/>
            <w:hideMark/>
          </w:tcPr>
          <w:p w14:paraId="279ABD8B"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4.4. Ostali prihodi za posebne namjene proračunskih korisnika</w:t>
            </w:r>
          </w:p>
        </w:tc>
        <w:tc>
          <w:tcPr>
            <w:tcW w:w="1559" w:type="dxa"/>
            <w:tcBorders>
              <w:top w:val="nil"/>
              <w:left w:val="nil"/>
              <w:bottom w:val="nil"/>
              <w:right w:val="nil"/>
            </w:tcBorders>
            <w:shd w:val="clear" w:color="000000" w:fill="CCCCFF"/>
            <w:noWrap/>
            <w:vAlign w:val="bottom"/>
            <w:hideMark/>
          </w:tcPr>
          <w:p w14:paraId="7666489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20.500,00</w:t>
            </w:r>
          </w:p>
        </w:tc>
        <w:tc>
          <w:tcPr>
            <w:tcW w:w="1559" w:type="dxa"/>
            <w:tcBorders>
              <w:top w:val="nil"/>
              <w:left w:val="nil"/>
              <w:bottom w:val="nil"/>
              <w:right w:val="nil"/>
            </w:tcBorders>
            <w:shd w:val="clear" w:color="000000" w:fill="CCCCFF"/>
            <w:noWrap/>
            <w:vAlign w:val="bottom"/>
            <w:hideMark/>
          </w:tcPr>
          <w:p w14:paraId="4CFB096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20.500,00</w:t>
            </w:r>
          </w:p>
        </w:tc>
        <w:tc>
          <w:tcPr>
            <w:tcW w:w="1559" w:type="dxa"/>
            <w:tcBorders>
              <w:top w:val="nil"/>
              <w:left w:val="nil"/>
              <w:bottom w:val="nil"/>
              <w:right w:val="nil"/>
            </w:tcBorders>
            <w:shd w:val="clear" w:color="000000" w:fill="CCCCFF"/>
            <w:noWrap/>
            <w:vAlign w:val="bottom"/>
            <w:hideMark/>
          </w:tcPr>
          <w:p w14:paraId="55A4210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7.000,00</w:t>
            </w:r>
          </w:p>
        </w:tc>
        <w:tc>
          <w:tcPr>
            <w:tcW w:w="993" w:type="dxa"/>
            <w:tcBorders>
              <w:top w:val="nil"/>
              <w:left w:val="nil"/>
              <w:bottom w:val="nil"/>
              <w:right w:val="nil"/>
            </w:tcBorders>
            <w:shd w:val="clear" w:color="000000" w:fill="CCCCFF"/>
            <w:noWrap/>
            <w:vAlign w:val="bottom"/>
            <w:hideMark/>
          </w:tcPr>
          <w:p w14:paraId="1493483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34,15%</w:t>
            </w:r>
          </w:p>
        </w:tc>
      </w:tr>
      <w:tr w:rsidR="006967F8" w:rsidRPr="006967F8" w14:paraId="61AED56F" w14:textId="77777777" w:rsidTr="008A61B1">
        <w:trPr>
          <w:trHeight w:val="585"/>
        </w:trPr>
        <w:tc>
          <w:tcPr>
            <w:tcW w:w="6096" w:type="dxa"/>
            <w:gridSpan w:val="2"/>
            <w:tcBorders>
              <w:top w:val="nil"/>
              <w:left w:val="nil"/>
              <w:bottom w:val="nil"/>
              <w:right w:val="nil"/>
            </w:tcBorders>
            <w:shd w:val="clear" w:color="000000" w:fill="CCCCFF"/>
            <w:vAlign w:val="bottom"/>
            <w:hideMark/>
          </w:tcPr>
          <w:p w14:paraId="214CCB42"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4.5.  Ostali prihodi za posebne namjene -decentralizacija- JVP</w:t>
            </w:r>
          </w:p>
        </w:tc>
        <w:tc>
          <w:tcPr>
            <w:tcW w:w="1559" w:type="dxa"/>
            <w:tcBorders>
              <w:top w:val="nil"/>
              <w:left w:val="nil"/>
              <w:bottom w:val="nil"/>
              <w:right w:val="nil"/>
            </w:tcBorders>
            <w:shd w:val="clear" w:color="000000" w:fill="CCCCFF"/>
            <w:noWrap/>
            <w:vAlign w:val="bottom"/>
            <w:hideMark/>
          </w:tcPr>
          <w:p w14:paraId="1A1E68B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326.114,00</w:t>
            </w:r>
          </w:p>
        </w:tc>
        <w:tc>
          <w:tcPr>
            <w:tcW w:w="1559" w:type="dxa"/>
            <w:tcBorders>
              <w:top w:val="nil"/>
              <w:left w:val="nil"/>
              <w:bottom w:val="nil"/>
              <w:right w:val="nil"/>
            </w:tcBorders>
            <w:shd w:val="clear" w:color="000000" w:fill="CCCCFF"/>
            <w:noWrap/>
            <w:vAlign w:val="bottom"/>
            <w:hideMark/>
          </w:tcPr>
          <w:p w14:paraId="1BA4D24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326.114,00</w:t>
            </w:r>
          </w:p>
        </w:tc>
        <w:tc>
          <w:tcPr>
            <w:tcW w:w="1559" w:type="dxa"/>
            <w:tcBorders>
              <w:top w:val="nil"/>
              <w:left w:val="nil"/>
              <w:bottom w:val="nil"/>
              <w:right w:val="nil"/>
            </w:tcBorders>
            <w:shd w:val="clear" w:color="000000" w:fill="CCCCFF"/>
            <w:noWrap/>
            <w:vAlign w:val="bottom"/>
            <w:hideMark/>
          </w:tcPr>
          <w:p w14:paraId="1D22FF4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326.114,00</w:t>
            </w:r>
          </w:p>
        </w:tc>
        <w:tc>
          <w:tcPr>
            <w:tcW w:w="993" w:type="dxa"/>
            <w:tcBorders>
              <w:top w:val="nil"/>
              <w:left w:val="nil"/>
              <w:bottom w:val="nil"/>
              <w:right w:val="nil"/>
            </w:tcBorders>
            <w:shd w:val="clear" w:color="000000" w:fill="CCCCFF"/>
            <w:noWrap/>
            <w:vAlign w:val="bottom"/>
            <w:hideMark/>
          </w:tcPr>
          <w:p w14:paraId="62A7FD5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7CF5B1E9"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B3EF392"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0912DF4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665.125,00</w:t>
            </w:r>
          </w:p>
        </w:tc>
        <w:tc>
          <w:tcPr>
            <w:tcW w:w="1559" w:type="dxa"/>
            <w:tcBorders>
              <w:top w:val="nil"/>
              <w:left w:val="nil"/>
              <w:bottom w:val="nil"/>
              <w:right w:val="nil"/>
            </w:tcBorders>
            <w:shd w:val="clear" w:color="000000" w:fill="CCCCFF"/>
            <w:noWrap/>
            <w:vAlign w:val="bottom"/>
            <w:hideMark/>
          </w:tcPr>
          <w:p w14:paraId="340BE22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665.125,00</w:t>
            </w:r>
          </w:p>
        </w:tc>
        <w:tc>
          <w:tcPr>
            <w:tcW w:w="1559" w:type="dxa"/>
            <w:tcBorders>
              <w:top w:val="nil"/>
              <w:left w:val="nil"/>
              <w:bottom w:val="nil"/>
              <w:right w:val="nil"/>
            </w:tcBorders>
            <w:shd w:val="clear" w:color="000000" w:fill="CCCCFF"/>
            <w:noWrap/>
            <w:vAlign w:val="bottom"/>
            <w:hideMark/>
          </w:tcPr>
          <w:p w14:paraId="46F00A0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01BE4F5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52FA2FE1"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8B72F87"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5.4. Pomoći EU  proračunskih korisnika</w:t>
            </w:r>
          </w:p>
        </w:tc>
        <w:tc>
          <w:tcPr>
            <w:tcW w:w="1559" w:type="dxa"/>
            <w:tcBorders>
              <w:top w:val="nil"/>
              <w:left w:val="nil"/>
              <w:bottom w:val="nil"/>
              <w:right w:val="nil"/>
            </w:tcBorders>
            <w:shd w:val="clear" w:color="000000" w:fill="CCCCFF"/>
            <w:noWrap/>
            <w:vAlign w:val="bottom"/>
            <w:hideMark/>
          </w:tcPr>
          <w:p w14:paraId="26A756F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665.125,00</w:t>
            </w:r>
          </w:p>
        </w:tc>
        <w:tc>
          <w:tcPr>
            <w:tcW w:w="1559" w:type="dxa"/>
            <w:tcBorders>
              <w:top w:val="nil"/>
              <w:left w:val="nil"/>
              <w:bottom w:val="nil"/>
              <w:right w:val="nil"/>
            </w:tcBorders>
            <w:shd w:val="clear" w:color="000000" w:fill="CCCCFF"/>
            <w:noWrap/>
            <w:vAlign w:val="bottom"/>
            <w:hideMark/>
          </w:tcPr>
          <w:p w14:paraId="7CBF09A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665.125,00</w:t>
            </w:r>
          </w:p>
        </w:tc>
        <w:tc>
          <w:tcPr>
            <w:tcW w:w="1559" w:type="dxa"/>
            <w:tcBorders>
              <w:top w:val="nil"/>
              <w:left w:val="nil"/>
              <w:bottom w:val="nil"/>
              <w:right w:val="nil"/>
            </w:tcBorders>
            <w:shd w:val="clear" w:color="000000" w:fill="CCCCFF"/>
            <w:noWrap/>
            <w:vAlign w:val="bottom"/>
            <w:hideMark/>
          </w:tcPr>
          <w:p w14:paraId="47E15A8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2B5ABC6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022FAAB7"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30BA5A0"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6. DONACIJE</w:t>
            </w:r>
          </w:p>
        </w:tc>
        <w:tc>
          <w:tcPr>
            <w:tcW w:w="1559" w:type="dxa"/>
            <w:tcBorders>
              <w:top w:val="nil"/>
              <w:left w:val="nil"/>
              <w:bottom w:val="nil"/>
              <w:right w:val="nil"/>
            </w:tcBorders>
            <w:shd w:val="clear" w:color="000000" w:fill="CCCCFF"/>
            <w:noWrap/>
            <w:vAlign w:val="bottom"/>
            <w:hideMark/>
          </w:tcPr>
          <w:p w14:paraId="50DDD1A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w:t>
            </w:r>
          </w:p>
        </w:tc>
        <w:tc>
          <w:tcPr>
            <w:tcW w:w="1559" w:type="dxa"/>
            <w:tcBorders>
              <w:top w:val="nil"/>
              <w:left w:val="nil"/>
              <w:bottom w:val="nil"/>
              <w:right w:val="nil"/>
            </w:tcBorders>
            <w:shd w:val="clear" w:color="000000" w:fill="CCCCFF"/>
            <w:noWrap/>
            <w:vAlign w:val="bottom"/>
            <w:hideMark/>
          </w:tcPr>
          <w:p w14:paraId="68BFD38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w:t>
            </w:r>
          </w:p>
        </w:tc>
        <w:tc>
          <w:tcPr>
            <w:tcW w:w="1559" w:type="dxa"/>
            <w:tcBorders>
              <w:top w:val="nil"/>
              <w:left w:val="nil"/>
              <w:bottom w:val="nil"/>
              <w:right w:val="nil"/>
            </w:tcBorders>
            <w:shd w:val="clear" w:color="000000" w:fill="CCCCFF"/>
            <w:noWrap/>
            <w:vAlign w:val="bottom"/>
            <w:hideMark/>
          </w:tcPr>
          <w:p w14:paraId="2223755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4558FEB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65EDC9A2"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9B4DCDC"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6.2. Donacije proračunskih korisnika</w:t>
            </w:r>
          </w:p>
        </w:tc>
        <w:tc>
          <w:tcPr>
            <w:tcW w:w="1559" w:type="dxa"/>
            <w:tcBorders>
              <w:top w:val="nil"/>
              <w:left w:val="nil"/>
              <w:bottom w:val="nil"/>
              <w:right w:val="nil"/>
            </w:tcBorders>
            <w:shd w:val="clear" w:color="000000" w:fill="CCCCFF"/>
            <w:noWrap/>
            <w:vAlign w:val="bottom"/>
            <w:hideMark/>
          </w:tcPr>
          <w:p w14:paraId="2A89CE7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w:t>
            </w:r>
          </w:p>
        </w:tc>
        <w:tc>
          <w:tcPr>
            <w:tcW w:w="1559" w:type="dxa"/>
            <w:tcBorders>
              <w:top w:val="nil"/>
              <w:left w:val="nil"/>
              <w:bottom w:val="nil"/>
              <w:right w:val="nil"/>
            </w:tcBorders>
            <w:shd w:val="clear" w:color="000000" w:fill="CCCCFF"/>
            <w:noWrap/>
            <w:vAlign w:val="bottom"/>
            <w:hideMark/>
          </w:tcPr>
          <w:p w14:paraId="03C2CDC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w:t>
            </w:r>
          </w:p>
        </w:tc>
        <w:tc>
          <w:tcPr>
            <w:tcW w:w="1559" w:type="dxa"/>
            <w:tcBorders>
              <w:top w:val="nil"/>
              <w:left w:val="nil"/>
              <w:bottom w:val="nil"/>
              <w:right w:val="nil"/>
            </w:tcBorders>
            <w:shd w:val="clear" w:color="000000" w:fill="CCCCFF"/>
            <w:noWrap/>
            <w:vAlign w:val="bottom"/>
            <w:hideMark/>
          </w:tcPr>
          <w:p w14:paraId="635C17C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5F088BF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693C835A" w14:textId="77777777" w:rsidTr="008A61B1">
        <w:trPr>
          <w:trHeight w:val="255"/>
        </w:trPr>
        <w:tc>
          <w:tcPr>
            <w:tcW w:w="6096" w:type="dxa"/>
            <w:gridSpan w:val="2"/>
            <w:tcBorders>
              <w:top w:val="nil"/>
              <w:left w:val="nil"/>
              <w:bottom w:val="nil"/>
              <w:right w:val="nil"/>
            </w:tcBorders>
            <w:shd w:val="clear" w:color="000000" w:fill="FF9900"/>
            <w:noWrap/>
            <w:vAlign w:val="bottom"/>
            <w:hideMark/>
          </w:tcPr>
          <w:p w14:paraId="6E5D3C5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1207 Program: CIVILNA ZAŠTITA </w:t>
            </w:r>
          </w:p>
        </w:tc>
        <w:tc>
          <w:tcPr>
            <w:tcW w:w="1559" w:type="dxa"/>
            <w:tcBorders>
              <w:top w:val="nil"/>
              <w:left w:val="nil"/>
              <w:bottom w:val="nil"/>
              <w:right w:val="nil"/>
            </w:tcBorders>
            <w:shd w:val="clear" w:color="000000" w:fill="FF9900"/>
            <w:noWrap/>
            <w:vAlign w:val="bottom"/>
            <w:hideMark/>
          </w:tcPr>
          <w:p w14:paraId="09DFE1E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2.323.719,00</w:t>
            </w:r>
          </w:p>
        </w:tc>
        <w:tc>
          <w:tcPr>
            <w:tcW w:w="1559" w:type="dxa"/>
            <w:tcBorders>
              <w:top w:val="nil"/>
              <w:left w:val="nil"/>
              <w:bottom w:val="nil"/>
              <w:right w:val="nil"/>
            </w:tcBorders>
            <w:shd w:val="clear" w:color="000000" w:fill="FF9900"/>
            <w:noWrap/>
            <w:vAlign w:val="bottom"/>
            <w:hideMark/>
          </w:tcPr>
          <w:p w14:paraId="6CEABCD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2.323.719,00</w:t>
            </w:r>
          </w:p>
        </w:tc>
        <w:tc>
          <w:tcPr>
            <w:tcW w:w="1559" w:type="dxa"/>
            <w:tcBorders>
              <w:top w:val="nil"/>
              <w:left w:val="nil"/>
              <w:bottom w:val="nil"/>
              <w:right w:val="nil"/>
            </w:tcBorders>
            <w:shd w:val="clear" w:color="000000" w:fill="FF9900"/>
            <w:noWrap/>
            <w:vAlign w:val="bottom"/>
            <w:hideMark/>
          </w:tcPr>
          <w:p w14:paraId="045ADD4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1.462.078,94</w:t>
            </w:r>
          </w:p>
        </w:tc>
        <w:tc>
          <w:tcPr>
            <w:tcW w:w="993" w:type="dxa"/>
            <w:tcBorders>
              <w:top w:val="nil"/>
              <w:left w:val="nil"/>
              <w:bottom w:val="nil"/>
              <w:right w:val="nil"/>
            </w:tcBorders>
            <w:shd w:val="clear" w:color="000000" w:fill="FF9900"/>
            <w:noWrap/>
            <w:vAlign w:val="bottom"/>
            <w:hideMark/>
          </w:tcPr>
          <w:p w14:paraId="2CE85CC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62,92%</w:t>
            </w:r>
          </w:p>
        </w:tc>
      </w:tr>
      <w:tr w:rsidR="006967F8" w:rsidRPr="006967F8" w14:paraId="573B8A7C" w14:textId="77777777" w:rsidTr="008A61B1">
        <w:trPr>
          <w:trHeight w:val="255"/>
        </w:trPr>
        <w:tc>
          <w:tcPr>
            <w:tcW w:w="6096" w:type="dxa"/>
            <w:gridSpan w:val="2"/>
            <w:tcBorders>
              <w:top w:val="nil"/>
              <w:left w:val="nil"/>
              <w:bottom w:val="nil"/>
              <w:right w:val="nil"/>
            </w:tcBorders>
            <w:shd w:val="clear" w:color="000000" w:fill="FFFF99"/>
            <w:noWrap/>
            <w:vAlign w:val="bottom"/>
            <w:hideMark/>
          </w:tcPr>
          <w:p w14:paraId="518808F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A100080 Aktivnost: OSNOVNA DJELATNOST JVP</w:t>
            </w:r>
          </w:p>
        </w:tc>
        <w:tc>
          <w:tcPr>
            <w:tcW w:w="1559" w:type="dxa"/>
            <w:tcBorders>
              <w:top w:val="nil"/>
              <w:left w:val="nil"/>
              <w:bottom w:val="nil"/>
              <w:right w:val="nil"/>
            </w:tcBorders>
            <w:shd w:val="clear" w:color="000000" w:fill="FFFF99"/>
            <w:noWrap/>
            <w:vAlign w:val="bottom"/>
            <w:hideMark/>
          </w:tcPr>
          <w:p w14:paraId="6ACC831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1.513.019,00</w:t>
            </w:r>
          </w:p>
        </w:tc>
        <w:tc>
          <w:tcPr>
            <w:tcW w:w="1559" w:type="dxa"/>
            <w:tcBorders>
              <w:top w:val="nil"/>
              <w:left w:val="nil"/>
              <w:bottom w:val="nil"/>
              <w:right w:val="nil"/>
            </w:tcBorders>
            <w:shd w:val="clear" w:color="000000" w:fill="FFFF99"/>
            <w:noWrap/>
            <w:vAlign w:val="bottom"/>
            <w:hideMark/>
          </w:tcPr>
          <w:p w14:paraId="42CE966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1.513.019,00</w:t>
            </w:r>
          </w:p>
        </w:tc>
        <w:tc>
          <w:tcPr>
            <w:tcW w:w="1559" w:type="dxa"/>
            <w:tcBorders>
              <w:top w:val="nil"/>
              <w:left w:val="nil"/>
              <w:bottom w:val="nil"/>
              <w:right w:val="nil"/>
            </w:tcBorders>
            <w:shd w:val="clear" w:color="000000" w:fill="FFFF99"/>
            <w:noWrap/>
            <w:vAlign w:val="bottom"/>
            <w:hideMark/>
          </w:tcPr>
          <w:p w14:paraId="0A6D919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1.434.071,33</w:t>
            </w:r>
          </w:p>
        </w:tc>
        <w:tc>
          <w:tcPr>
            <w:tcW w:w="993" w:type="dxa"/>
            <w:tcBorders>
              <w:top w:val="nil"/>
              <w:left w:val="nil"/>
              <w:bottom w:val="nil"/>
              <w:right w:val="nil"/>
            </w:tcBorders>
            <w:shd w:val="clear" w:color="000000" w:fill="FFFF99"/>
            <w:noWrap/>
            <w:vAlign w:val="bottom"/>
            <w:hideMark/>
          </w:tcPr>
          <w:p w14:paraId="2876237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94,78%</w:t>
            </w:r>
          </w:p>
        </w:tc>
      </w:tr>
      <w:tr w:rsidR="006967F8" w:rsidRPr="006967F8" w14:paraId="7C4D6B11"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23C935C"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08EE01D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1.130.400,00</w:t>
            </w:r>
          </w:p>
        </w:tc>
        <w:tc>
          <w:tcPr>
            <w:tcW w:w="1559" w:type="dxa"/>
            <w:tcBorders>
              <w:top w:val="nil"/>
              <w:left w:val="nil"/>
              <w:bottom w:val="nil"/>
              <w:right w:val="nil"/>
            </w:tcBorders>
            <w:shd w:val="clear" w:color="000000" w:fill="CCCCFF"/>
            <w:noWrap/>
            <w:vAlign w:val="bottom"/>
            <w:hideMark/>
          </w:tcPr>
          <w:p w14:paraId="2DCA8C7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1.130.400,00</w:t>
            </w:r>
          </w:p>
        </w:tc>
        <w:tc>
          <w:tcPr>
            <w:tcW w:w="1559" w:type="dxa"/>
            <w:tcBorders>
              <w:top w:val="nil"/>
              <w:left w:val="nil"/>
              <w:bottom w:val="nil"/>
              <w:right w:val="nil"/>
            </w:tcBorders>
            <w:shd w:val="clear" w:color="000000" w:fill="CCCCFF"/>
            <w:noWrap/>
            <w:vAlign w:val="bottom"/>
            <w:hideMark/>
          </w:tcPr>
          <w:p w14:paraId="4E7CBEB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1.071.427,44</w:t>
            </w:r>
          </w:p>
        </w:tc>
        <w:tc>
          <w:tcPr>
            <w:tcW w:w="993" w:type="dxa"/>
            <w:tcBorders>
              <w:top w:val="nil"/>
              <w:left w:val="nil"/>
              <w:bottom w:val="nil"/>
              <w:right w:val="nil"/>
            </w:tcBorders>
            <w:shd w:val="clear" w:color="000000" w:fill="CCCCFF"/>
            <w:noWrap/>
            <w:vAlign w:val="bottom"/>
            <w:hideMark/>
          </w:tcPr>
          <w:p w14:paraId="22ADB03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94,78%</w:t>
            </w:r>
          </w:p>
        </w:tc>
      </w:tr>
      <w:tr w:rsidR="006967F8" w:rsidRPr="006967F8" w14:paraId="5D95D75E"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1116383"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532367A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1.130.400,00</w:t>
            </w:r>
          </w:p>
        </w:tc>
        <w:tc>
          <w:tcPr>
            <w:tcW w:w="1559" w:type="dxa"/>
            <w:tcBorders>
              <w:top w:val="nil"/>
              <w:left w:val="nil"/>
              <w:bottom w:val="nil"/>
              <w:right w:val="nil"/>
            </w:tcBorders>
            <w:shd w:val="clear" w:color="000000" w:fill="CCCCFF"/>
            <w:noWrap/>
            <w:vAlign w:val="bottom"/>
            <w:hideMark/>
          </w:tcPr>
          <w:p w14:paraId="104BCA4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1.130.400,00</w:t>
            </w:r>
          </w:p>
        </w:tc>
        <w:tc>
          <w:tcPr>
            <w:tcW w:w="1559" w:type="dxa"/>
            <w:tcBorders>
              <w:top w:val="nil"/>
              <w:left w:val="nil"/>
              <w:bottom w:val="nil"/>
              <w:right w:val="nil"/>
            </w:tcBorders>
            <w:shd w:val="clear" w:color="000000" w:fill="CCCCFF"/>
            <w:noWrap/>
            <w:vAlign w:val="bottom"/>
            <w:hideMark/>
          </w:tcPr>
          <w:p w14:paraId="469B0AF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1.071.427,44</w:t>
            </w:r>
          </w:p>
        </w:tc>
        <w:tc>
          <w:tcPr>
            <w:tcW w:w="993" w:type="dxa"/>
            <w:tcBorders>
              <w:top w:val="nil"/>
              <w:left w:val="nil"/>
              <w:bottom w:val="nil"/>
              <w:right w:val="nil"/>
            </w:tcBorders>
            <w:shd w:val="clear" w:color="000000" w:fill="CCCCFF"/>
            <w:noWrap/>
            <w:vAlign w:val="bottom"/>
            <w:hideMark/>
          </w:tcPr>
          <w:p w14:paraId="45014A8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94,78%</w:t>
            </w:r>
          </w:p>
        </w:tc>
      </w:tr>
      <w:tr w:rsidR="006967F8" w:rsidRPr="006967F8" w14:paraId="15CBE991" w14:textId="77777777" w:rsidTr="008A61B1">
        <w:trPr>
          <w:trHeight w:val="255"/>
        </w:trPr>
        <w:tc>
          <w:tcPr>
            <w:tcW w:w="1134" w:type="dxa"/>
            <w:tcBorders>
              <w:top w:val="nil"/>
              <w:left w:val="nil"/>
              <w:bottom w:val="nil"/>
              <w:right w:val="nil"/>
            </w:tcBorders>
            <w:noWrap/>
            <w:vAlign w:val="bottom"/>
            <w:hideMark/>
          </w:tcPr>
          <w:p w14:paraId="58740A5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31</w:t>
            </w:r>
          </w:p>
        </w:tc>
        <w:tc>
          <w:tcPr>
            <w:tcW w:w="4962" w:type="dxa"/>
            <w:tcBorders>
              <w:top w:val="nil"/>
              <w:left w:val="nil"/>
              <w:bottom w:val="nil"/>
              <w:right w:val="nil"/>
            </w:tcBorders>
            <w:noWrap/>
            <w:vAlign w:val="bottom"/>
            <w:hideMark/>
          </w:tcPr>
          <w:p w14:paraId="76BC7EB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zaposlene</w:t>
            </w:r>
          </w:p>
        </w:tc>
        <w:tc>
          <w:tcPr>
            <w:tcW w:w="1559" w:type="dxa"/>
            <w:tcBorders>
              <w:top w:val="nil"/>
              <w:left w:val="nil"/>
              <w:bottom w:val="nil"/>
              <w:right w:val="nil"/>
            </w:tcBorders>
            <w:noWrap/>
            <w:vAlign w:val="bottom"/>
            <w:hideMark/>
          </w:tcPr>
          <w:p w14:paraId="38573D8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940.000,00</w:t>
            </w:r>
          </w:p>
        </w:tc>
        <w:tc>
          <w:tcPr>
            <w:tcW w:w="1559" w:type="dxa"/>
            <w:tcBorders>
              <w:top w:val="nil"/>
              <w:left w:val="nil"/>
              <w:bottom w:val="nil"/>
              <w:right w:val="nil"/>
            </w:tcBorders>
            <w:noWrap/>
            <w:vAlign w:val="bottom"/>
            <w:hideMark/>
          </w:tcPr>
          <w:p w14:paraId="05DF48B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932.220,00</w:t>
            </w:r>
          </w:p>
        </w:tc>
        <w:tc>
          <w:tcPr>
            <w:tcW w:w="1559" w:type="dxa"/>
            <w:tcBorders>
              <w:top w:val="nil"/>
              <w:left w:val="nil"/>
              <w:bottom w:val="nil"/>
              <w:right w:val="nil"/>
            </w:tcBorders>
            <w:noWrap/>
            <w:vAlign w:val="bottom"/>
            <w:hideMark/>
          </w:tcPr>
          <w:p w14:paraId="61F57FE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875.100,53</w:t>
            </w:r>
          </w:p>
        </w:tc>
        <w:tc>
          <w:tcPr>
            <w:tcW w:w="993" w:type="dxa"/>
            <w:tcBorders>
              <w:top w:val="nil"/>
              <w:left w:val="nil"/>
              <w:bottom w:val="nil"/>
              <w:right w:val="nil"/>
            </w:tcBorders>
            <w:noWrap/>
            <w:vAlign w:val="bottom"/>
            <w:hideMark/>
          </w:tcPr>
          <w:p w14:paraId="2239931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93,87%</w:t>
            </w:r>
          </w:p>
        </w:tc>
      </w:tr>
      <w:tr w:rsidR="006967F8" w:rsidRPr="006967F8" w14:paraId="6440966F" w14:textId="77777777" w:rsidTr="008A61B1">
        <w:trPr>
          <w:trHeight w:val="255"/>
        </w:trPr>
        <w:tc>
          <w:tcPr>
            <w:tcW w:w="1134" w:type="dxa"/>
            <w:tcBorders>
              <w:top w:val="nil"/>
              <w:left w:val="nil"/>
              <w:bottom w:val="nil"/>
              <w:right w:val="nil"/>
            </w:tcBorders>
            <w:noWrap/>
            <w:vAlign w:val="bottom"/>
            <w:hideMark/>
          </w:tcPr>
          <w:p w14:paraId="4ACC12D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3111</w:t>
            </w:r>
          </w:p>
        </w:tc>
        <w:tc>
          <w:tcPr>
            <w:tcW w:w="4962" w:type="dxa"/>
            <w:tcBorders>
              <w:top w:val="nil"/>
              <w:left w:val="nil"/>
              <w:bottom w:val="nil"/>
              <w:right w:val="nil"/>
            </w:tcBorders>
            <w:noWrap/>
            <w:vAlign w:val="bottom"/>
            <w:hideMark/>
          </w:tcPr>
          <w:p w14:paraId="11FC115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Plaće za redovan rad</w:t>
            </w:r>
          </w:p>
        </w:tc>
        <w:tc>
          <w:tcPr>
            <w:tcW w:w="1559" w:type="dxa"/>
            <w:tcBorders>
              <w:top w:val="nil"/>
              <w:left w:val="nil"/>
              <w:bottom w:val="nil"/>
              <w:right w:val="nil"/>
            </w:tcBorders>
            <w:noWrap/>
            <w:vAlign w:val="bottom"/>
            <w:hideMark/>
          </w:tcPr>
          <w:p w14:paraId="0E32B9F0"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B13D28D"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2814510"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501.753,20</w:t>
            </w:r>
          </w:p>
        </w:tc>
        <w:tc>
          <w:tcPr>
            <w:tcW w:w="993" w:type="dxa"/>
            <w:tcBorders>
              <w:top w:val="nil"/>
              <w:left w:val="nil"/>
              <w:bottom w:val="nil"/>
              <w:right w:val="nil"/>
            </w:tcBorders>
            <w:noWrap/>
            <w:vAlign w:val="bottom"/>
            <w:hideMark/>
          </w:tcPr>
          <w:p w14:paraId="4443487C"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BEE8D7E" w14:textId="77777777" w:rsidTr="008A61B1">
        <w:trPr>
          <w:trHeight w:val="255"/>
        </w:trPr>
        <w:tc>
          <w:tcPr>
            <w:tcW w:w="1134" w:type="dxa"/>
            <w:tcBorders>
              <w:top w:val="nil"/>
              <w:left w:val="nil"/>
              <w:bottom w:val="nil"/>
              <w:right w:val="nil"/>
            </w:tcBorders>
            <w:noWrap/>
            <w:vAlign w:val="bottom"/>
            <w:hideMark/>
          </w:tcPr>
          <w:p w14:paraId="1CD814E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3113</w:t>
            </w:r>
          </w:p>
        </w:tc>
        <w:tc>
          <w:tcPr>
            <w:tcW w:w="4962" w:type="dxa"/>
            <w:tcBorders>
              <w:top w:val="nil"/>
              <w:left w:val="nil"/>
              <w:bottom w:val="nil"/>
              <w:right w:val="nil"/>
            </w:tcBorders>
            <w:noWrap/>
            <w:vAlign w:val="bottom"/>
            <w:hideMark/>
          </w:tcPr>
          <w:p w14:paraId="28A720C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Plaće za prekovremeni rad</w:t>
            </w:r>
          </w:p>
        </w:tc>
        <w:tc>
          <w:tcPr>
            <w:tcW w:w="1559" w:type="dxa"/>
            <w:tcBorders>
              <w:top w:val="nil"/>
              <w:left w:val="nil"/>
              <w:bottom w:val="nil"/>
              <w:right w:val="nil"/>
            </w:tcBorders>
            <w:noWrap/>
            <w:vAlign w:val="bottom"/>
            <w:hideMark/>
          </w:tcPr>
          <w:p w14:paraId="2EA0A4D2"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3DFC6CE"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ADAC7B9"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70.006,96</w:t>
            </w:r>
          </w:p>
        </w:tc>
        <w:tc>
          <w:tcPr>
            <w:tcW w:w="993" w:type="dxa"/>
            <w:tcBorders>
              <w:top w:val="nil"/>
              <w:left w:val="nil"/>
              <w:bottom w:val="nil"/>
              <w:right w:val="nil"/>
            </w:tcBorders>
            <w:noWrap/>
            <w:vAlign w:val="bottom"/>
            <w:hideMark/>
          </w:tcPr>
          <w:p w14:paraId="562CB37C"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3AD8CAE" w14:textId="77777777" w:rsidTr="008A61B1">
        <w:trPr>
          <w:trHeight w:val="255"/>
        </w:trPr>
        <w:tc>
          <w:tcPr>
            <w:tcW w:w="1134" w:type="dxa"/>
            <w:tcBorders>
              <w:top w:val="nil"/>
              <w:left w:val="nil"/>
              <w:bottom w:val="nil"/>
              <w:right w:val="nil"/>
            </w:tcBorders>
            <w:noWrap/>
            <w:vAlign w:val="bottom"/>
            <w:hideMark/>
          </w:tcPr>
          <w:p w14:paraId="59B6CE6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3114</w:t>
            </w:r>
          </w:p>
        </w:tc>
        <w:tc>
          <w:tcPr>
            <w:tcW w:w="4962" w:type="dxa"/>
            <w:tcBorders>
              <w:top w:val="nil"/>
              <w:left w:val="nil"/>
              <w:bottom w:val="nil"/>
              <w:right w:val="nil"/>
            </w:tcBorders>
            <w:noWrap/>
            <w:vAlign w:val="bottom"/>
            <w:hideMark/>
          </w:tcPr>
          <w:p w14:paraId="5518FEA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Plaće za posebne uvjete rada</w:t>
            </w:r>
          </w:p>
        </w:tc>
        <w:tc>
          <w:tcPr>
            <w:tcW w:w="1559" w:type="dxa"/>
            <w:tcBorders>
              <w:top w:val="nil"/>
              <w:left w:val="nil"/>
              <w:bottom w:val="nil"/>
              <w:right w:val="nil"/>
            </w:tcBorders>
            <w:noWrap/>
            <w:vAlign w:val="bottom"/>
            <w:hideMark/>
          </w:tcPr>
          <w:p w14:paraId="3AEE90E8"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D39E341"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0D01FAF"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46.346,77</w:t>
            </w:r>
          </w:p>
        </w:tc>
        <w:tc>
          <w:tcPr>
            <w:tcW w:w="993" w:type="dxa"/>
            <w:tcBorders>
              <w:top w:val="nil"/>
              <w:left w:val="nil"/>
              <w:bottom w:val="nil"/>
              <w:right w:val="nil"/>
            </w:tcBorders>
            <w:noWrap/>
            <w:vAlign w:val="bottom"/>
            <w:hideMark/>
          </w:tcPr>
          <w:p w14:paraId="2B5C6C25"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61FBE55" w14:textId="77777777" w:rsidTr="008A61B1">
        <w:trPr>
          <w:trHeight w:val="255"/>
        </w:trPr>
        <w:tc>
          <w:tcPr>
            <w:tcW w:w="1134" w:type="dxa"/>
            <w:tcBorders>
              <w:top w:val="nil"/>
              <w:left w:val="nil"/>
              <w:bottom w:val="nil"/>
              <w:right w:val="nil"/>
            </w:tcBorders>
            <w:noWrap/>
            <w:vAlign w:val="bottom"/>
            <w:hideMark/>
          </w:tcPr>
          <w:p w14:paraId="03FA9C6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3121</w:t>
            </w:r>
          </w:p>
        </w:tc>
        <w:tc>
          <w:tcPr>
            <w:tcW w:w="4962" w:type="dxa"/>
            <w:tcBorders>
              <w:top w:val="nil"/>
              <w:left w:val="nil"/>
              <w:bottom w:val="nil"/>
              <w:right w:val="nil"/>
            </w:tcBorders>
            <w:noWrap/>
            <w:vAlign w:val="bottom"/>
            <w:hideMark/>
          </w:tcPr>
          <w:p w14:paraId="404E967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rashodi za zaposlene</w:t>
            </w:r>
          </w:p>
        </w:tc>
        <w:tc>
          <w:tcPr>
            <w:tcW w:w="1559" w:type="dxa"/>
            <w:tcBorders>
              <w:top w:val="nil"/>
              <w:left w:val="nil"/>
              <w:bottom w:val="nil"/>
              <w:right w:val="nil"/>
            </w:tcBorders>
            <w:noWrap/>
            <w:vAlign w:val="bottom"/>
            <w:hideMark/>
          </w:tcPr>
          <w:p w14:paraId="21EF7A3F"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B319801"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8A14564"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28.770,88</w:t>
            </w:r>
          </w:p>
        </w:tc>
        <w:tc>
          <w:tcPr>
            <w:tcW w:w="993" w:type="dxa"/>
            <w:tcBorders>
              <w:top w:val="nil"/>
              <w:left w:val="nil"/>
              <w:bottom w:val="nil"/>
              <w:right w:val="nil"/>
            </w:tcBorders>
            <w:noWrap/>
            <w:vAlign w:val="bottom"/>
            <w:hideMark/>
          </w:tcPr>
          <w:p w14:paraId="1DEFDDE1"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2EB1F89" w14:textId="77777777" w:rsidTr="008A61B1">
        <w:trPr>
          <w:trHeight w:val="585"/>
        </w:trPr>
        <w:tc>
          <w:tcPr>
            <w:tcW w:w="1134" w:type="dxa"/>
            <w:tcBorders>
              <w:top w:val="nil"/>
              <w:left w:val="nil"/>
              <w:bottom w:val="nil"/>
              <w:right w:val="nil"/>
            </w:tcBorders>
            <w:noWrap/>
            <w:vAlign w:val="bottom"/>
            <w:hideMark/>
          </w:tcPr>
          <w:p w14:paraId="5AD5823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3131</w:t>
            </w:r>
          </w:p>
        </w:tc>
        <w:tc>
          <w:tcPr>
            <w:tcW w:w="4962" w:type="dxa"/>
            <w:tcBorders>
              <w:top w:val="nil"/>
              <w:left w:val="nil"/>
              <w:bottom w:val="nil"/>
              <w:right w:val="nil"/>
            </w:tcBorders>
            <w:vAlign w:val="bottom"/>
            <w:hideMark/>
          </w:tcPr>
          <w:p w14:paraId="4BF07E4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Doprinosi za mirovinsko osiguranje za staž s povećanim trajanjem</w:t>
            </w:r>
          </w:p>
        </w:tc>
        <w:tc>
          <w:tcPr>
            <w:tcW w:w="1559" w:type="dxa"/>
            <w:tcBorders>
              <w:top w:val="nil"/>
              <w:left w:val="nil"/>
              <w:bottom w:val="nil"/>
              <w:right w:val="nil"/>
            </w:tcBorders>
            <w:noWrap/>
            <w:vAlign w:val="bottom"/>
            <w:hideMark/>
          </w:tcPr>
          <w:p w14:paraId="642A040C"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AEA236A"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35D784B"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72.426,33</w:t>
            </w:r>
          </w:p>
        </w:tc>
        <w:tc>
          <w:tcPr>
            <w:tcW w:w="993" w:type="dxa"/>
            <w:tcBorders>
              <w:top w:val="nil"/>
              <w:left w:val="nil"/>
              <w:bottom w:val="nil"/>
              <w:right w:val="nil"/>
            </w:tcBorders>
            <w:noWrap/>
            <w:vAlign w:val="bottom"/>
            <w:hideMark/>
          </w:tcPr>
          <w:p w14:paraId="73DCA677"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83BA376" w14:textId="77777777" w:rsidTr="008A61B1">
        <w:trPr>
          <w:trHeight w:val="255"/>
        </w:trPr>
        <w:tc>
          <w:tcPr>
            <w:tcW w:w="1134" w:type="dxa"/>
            <w:tcBorders>
              <w:top w:val="nil"/>
              <w:left w:val="nil"/>
              <w:bottom w:val="nil"/>
              <w:right w:val="nil"/>
            </w:tcBorders>
            <w:noWrap/>
            <w:vAlign w:val="bottom"/>
            <w:hideMark/>
          </w:tcPr>
          <w:p w14:paraId="4125B1C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3132</w:t>
            </w:r>
          </w:p>
        </w:tc>
        <w:tc>
          <w:tcPr>
            <w:tcW w:w="4962" w:type="dxa"/>
            <w:tcBorders>
              <w:top w:val="nil"/>
              <w:left w:val="nil"/>
              <w:bottom w:val="nil"/>
              <w:right w:val="nil"/>
            </w:tcBorders>
            <w:noWrap/>
            <w:vAlign w:val="bottom"/>
            <w:hideMark/>
          </w:tcPr>
          <w:p w14:paraId="5E22AFA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Doprinosi za obvezno zdravstveno osiguranje</w:t>
            </w:r>
          </w:p>
        </w:tc>
        <w:tc>
          <w:tcPr>
            <w:tcW w:w="1559" w:type="dxa"/>
            <w:tcBorders>
              <w:top w:val="nil"/>
              <w:left w:val="nil"/>
              <w:bottom w:val="nil"/>
              <w:right w:val="nil"/>
            </w:tcBorders>
            <w:noWrap/>
            <w:vAlign w:val="bottom"/>
            <w:hideMark/>
          </w:tcPr>
          <w:p w14:paraId="73B9A3FC"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3D4E03A"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8AAD748"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155.796,39</w:t>
            </w:r>
          </w:p>
        </w:tc>
        <w:tc>
          <w:tcPr>
            <w:tcW w:w="993" w:type="dxa"/>
            <w:tcBorders>
              <w:top w:val="nil"/>
              <w:left w:val="nil"/>
              <w:bottom w:val="nil"/>
              <w:right w:val="nil"/>
            </w:tcBorders>
            <w:noWrap/>
            <w:vAlign w:val="bottom"/>
            <w:hideMark/>
          </w:tcPr>
          <w:p w14:paraId="1D11A034"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9DD1BE3" w14:textId="77777777" w:rsidTr="008A61B1">
        <w:trPr>
          <w:trHeight w:val="255"/>
        </w:trPr>
        <w:tc>
          <w:tcPr>
            <w:tcW w:w="1134" w:type="dxa"/>
            <w:tcBorders>
              <w:top w:val="nil"/>
              <w:left w:val="nil"/>
              <w:bottom w:val="nil"/>
              <w:right w:val="nil"/>
            </w:tcBorders>
            <w:noWrap/>
            <w:vAlign w:val="bottom"/>
            <w:hideMark/>
          </w:tcPr>
          <w:p w14:paraId="32FAC50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59656B3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22D0113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159.600,00</w:t>
            </w:r>
          </w:p>
        </w:tc>
        <w:tc>
          <w:tcPr>
            <w:tcW w:w="1559" w:type="dxa"/>
            <w:tcBorders>
              <w:top w:val="nil"/>
              <w:left w:val="nil"/>
              <w:bottom w:val="nil"/>
              <w:right w:val="nil"/>
            </w:tcBorders>
            <w:noWrap/>
            <w:vAlign w:val="bottom"/>
            <w:hideMark/>
          </w:tcPr>
          <w:p w14:paraId="2331A08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167.380,00</w:t>
            </w:r>
          </w:p>
        </w:tc>
        <w:tc>
          <w:tcPr>
            <w:tcW w:w="1559" w:type="dxa"/>
            <w:tcBorders>
              <w:top w:val="nil"/>
              <w:left w:val="nil"/>
              <w:bottom w:val="nil"/>
              <w:right w:val="nil"/>
            </w:tcBorders>
            <w:noWrap/>
            <w:vAlign w:val="bottom"/>
            <w:hideMark/>
          </w:tcPr>
          <w:p w14:paraId="41E85FA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167.379,47</w:t>
            </w:r>
          </w:p>
        </w:tc>
        <w:tc>
          <w:tcPr>
            <w:tcW w:w="993" w:type="dxa"/>
            <w:tcBorders>
              <w:top w:val="nil"/>
              <w:left w:val="nil"/>
              <w:bottom w:val="nil"/>
              <w:right w:val="nil"/>
            </w:tcBorders>
            <w:noWrap/>
            <w:vAlign w:val="bottom"/>
            <w:hideMark/>
          </w:tcPr>
          <w:p w14:paraId="0AAAE9E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r>
      <w:tr w:rsidR="006967F8" w:rsidRPr="006967F8" w14:paraId="785D6AA2" w14:textId="77777777" w:rsidTr="008A61B1">
        <w:trPr>
          <w:trHeight w:val="255"/>
        </w:trPr>
        <w:tc>
          <w:tcPr>
            <w:tcW w:w="1134" w:type="dxa"/>
            <w:tcBorders>
              <w:top w:val="nil"/>
              <w:left w:val="nil"/>
              <w:bottom w:val="nil"/>
              <w:right w:val="nil"/>
            </w:tcBorders>
            <w:noWrap/>
            <w:vAlign w:val="bottom"/>
            <w:hideMark/>
          </w:tcPr>
          <w:p w14:paraId="1283B7C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3211</w:t>
            </w:r>
          </w:p>
        </w:tc>
        <w:tc>
          <w:tcPr>
            <w:tcW w:w="4962" w:type="dxa"/>
            <w:tcBorders>
              <w:top w:val="nil"/>
              <w:left w:val="nil"/>
              <w:bottom w:val="nil"/>
              <w:right w:val="nil"/>
            </w:tcBorders>
            <w:noWrap/>
            <w:vAlign w:val="bottom"/>
            <w:hideMark/>
          </w:tcPr>
          <w:p w14:paraId="622EC8E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Službena putovanja</w:t>
            </w:r>
          </w:p>
        </w:tc>
        <w:tc>
          <w:tcPr>
            <w:tcW w:w="1559" w:type="dxa"/>
            <w:tcBorders>
              <w:top w:val="nil"/>
              <w:left w:val="nil"/>
              <w:bottom w:val="nil"/>
              <w:right w:val="nil"/>
            </w:tcBorders>
            <w:noWrap/>
            <w:vAlign w:val="bottom"/>
            <w:hideMark/>
          </w:tcPr>
          <w:p w14:paraId="37DE1DCF"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F2A6A82"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944F509"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811,20</w:t>
            </w:r>
          </w:p>
        </w:tc>
        <w:tc>
          <w:tcPr>
            <w:tcW w:w="993" w:type="dxa"/>
            <w:tcBorders>
              <w:top w:val="nil"/>
              <w:left w:val="nil"/>
              <w:bottom w:val="nil"/>
              <w:right w:val="nil"/>
            </w:tcBorders>
            <w:noWrap/>
            <w:vAlign w:val="bottom"/>
            <w:hideMark/>
          </w:tcPr>
          <w:p w14:paraId="6579451E"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643CDCD" w14:textId="77777777" w:rsidTr="008A61B1">
        <w:trPr>
          <w:trHeight w:val="255"/>
        </w:trPr>
        <w:tc>
          <w:tcPr>
            <w:tcW w:w="1134" w:type="dxa"/>
            <w:tcBorders>
              <w:top w:val="nil"/>
              <w:left w:val="nil"/>
              <w:bottom w:val="nil"/>
              <w:right w:val="nil"/>
            </w:tcBorders>
            <w:noWrap/>
            <w:vAlign w:val="bottom"/>
            <w:hideMark/>
          </w:tcPr>
          <w:p w14:paraId="32D0C7C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3212</w:t>
            </w:r>
          </w:p>
        </w:tc>
        <w:tc>
          <w:tcPr>
            <w:tcW w:w="4962" w:type="dxa"/>
            <w:tcBorders>
              <w:top w:val="nil"/>
              <w:left w:val="nil"/>
              <w:bottom w:val="nil"/>
              <w:right w:val="nil"/>
            </w:tcBorders>
            <w:noWrap/>
            <w:vAlign w:val="bottom"/>
            <w:hideMark/>
          </w:tcPr>
          <w:p w14:paraId="0E8D121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Naknade za prijevoz, za rad na terenu i odvojeni život</w:t>
            </w:r>
          </w:p>
        </w:tc>
        <w:tc>
          <w:tcPr>
            <w:tcW w:w="1559" w:type="dxa"/>
            <w:tcBorders>
              <w:top w:val="nil"/>
              <w:left w:val="nil"/>
              <w:bottom w:val="nil"/>
              <w:right w:val="nil"/>
            </w:tcBorders>
            <w:noWrap/>
            <w:vAlign w:val="bottom"/>
            <w:hideMark/>
          </w:tcPr>
          <w:p w14:paraId="54FC7677"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4599934"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C576843"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5.705,32</w:t>
            </w:r>
          </w:p>
        </w:tc>
        <w:tc>
          <w:tcPr>
            <w:tcW w:w="993" w:type="dxa"/>
            <w:tcBorders>
              <w:top w:val="nil"/>
              <w:left w:val="nil"/>
              <w:bottom w:val="nil"/>
              <w:right w:val="nil"/>
            </w:tcBorders>
            <w:noWrap/>
            <w:vAlign w:val="bottom"/>
            <w:hideMark/>
          </w:tcPr>
          <w:p w14:paraId="30479C4C"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5777017" w14:textId="77777777" w:rsidTr="008A61B1">
        <w:trPr>
          <w:trHeight w:val="255"/>
        </w:trPr>
        <w:tc>
          <w:tcPr>
            <w:tcW w:w="1134" w:type="dxa"/>
            <w:tcBorders>
              <w:top w:val="nil"/>
              <w:left w:val="nil"/>
              <w:bottom w:val="nil"/>
              <w:right w:val="nil"/>
            </w:tcBorders>
            <w:noWrap/>
            <w:vAlign w:val="bottom"/>
            <w:hideMark/>
          </w:tcPr>
          <w:p w14:paraId="323B022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3213</w:t>
            </w:r>
          </w:p>
        </w:tc>
        <w:tc>
          <w:tcPr>
            <w:tcW w:w="4962" w:type="dxa"/>
            <w:tcBorders>
              <w:top w:val="nil"/>
              <w:left w:val="nil"/>
              <w:bottom w:val="nil"/>
              <w:right w:val="nil"/>
            </w:tcBorders>
            <w:noWrap/>
            <w:vAlign w:val="bottom"/>
            <w:hideMark/>
          </w:tcPr>
          <w:p w14:paraId="1CCF1D8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Stručno usavršavanje zaposlenika</w:t>
            </w:r>
          </w:p>
        </w:tc>
        <w:tc>
          <w:tcPr>
            <w:tcW w:w="1559" w:type="dxa"/>
            <w:tcBorders>
              <w:top w:val="nil"/>
              <w:left w:val="nil"/>
              <w:bottom w:val="nil"/>
              <w:right w:val="nil"/>
            </w:tcBorders>
            <w:noWrap/>
            <w:vAlign w:val="bottom"/>
            <w:hideMark/>
          </w:tcPr>
          <w:p w14:paraId="50AC0806"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2BCBB6C"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D6F17FE"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375,00</w:t>
            </w:r>
          </w:p>
        </w:tc>
        <w:tc>
          <w:tcPr>
            <w:tcW w:w="993" w:type="dxa"/>
            <w:tcBorders>
              <w:top w:val="nil"/>
              <w:left w:val="nil"/>
              <w:bottom w:val="nil"/>
              <w:right w:val="nil"/>
            </w:tcBorders>
            <w:noWrap/>
            <w:vAlign w:val="bottom"/>
            <w:hideMark/>
          </w:tcPr>
          <w:p w14:paraId="39F84B8F"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6C8E647" w14:textId="77777777" w:rsidTr="008A61B1">
        <w:trPr>
          <w:trHeight w:val="255"/>
        </w:trPr>
        <w:tc>
          <w:tcPr>
            <w:tcW w:w="1134" w:type="dxa"/>
            <w:tcBorders>
              <w:top w:val="nil"/>
              <w:left w:val="nil"/>
              <w:bottom w:val="nil"/>
              <w:right w:val="nil"/>
            </w:tcBorders>
            <w:noWrap/>
            <w:vAlign w:val="bottom"/>
            <w:hideMark/>
          </w:tcPr>
          <w:p w14:paraId="5213CC3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3221</w:t>
            </w:r>
          </w:p>
        </w:tc>
        <w:tc>
          <w:tcPr>
            <w:tcW w:w="4962" w:type="dxa"/>
            <w:tcBorders>
              <w:top w:val="nil"/>
              <w:left w:val="nil"/>
              <w:bottom w:val="nil"/>
              <w:right w:val="nil"/>
            </w:tcBorders>
            <w:noWrap/>
            <w:vAlign w:val="bottom"/>
            <w:hideMark/>
          </w:tcPr>
          <w:p w14:paraId="5C8F2E9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Uredski materijal i ostali materijalni rashodi</w:t>
            </w:r>
          </w:p>
        </w:tc>
        <w:tc>
          <w:tcPr>
            <w:tcW w:w="1559" w:type="dxa"/>
            <w:tcBorders>
              <w:top w:val="nil"/>
              <w:left w:val="nil"/>
              <w:bottom w:val="nil"/>
              <w:right w:val="nil"/>
            </w:tcBorders>
            <w:noWrap/>
            <w:vAlign w:val="bottom"/>
            <w:hideMark/>
          </w:tcPr>
          <w:p w14:paraId="7BFBC01B"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405B6CF"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A42E55C"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2.606,70</w:t>
            </w:r>
          </w:p>
        </w:tc>
        <w:tc>
          <w:tcPr>
            <w:tcW w:w="993" w:type="dxa"/>
            <w:tcBorders>
              <w:top w:val="nil"/>
              <w:left w:val="nil"/>
              <w:bottom w:val="nil"/>
              <w:right w:val="nil"/>
            </w:tcBorders>
            <w:noWrap/>
            <w:vAlign w:val="bottom"/>
            <w:hideMark/>
          </w:tcPr>
          <w:p w14:paraId="2365E32C"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4AF6C53" w14:textId="77777777" w:rsidTr="008A61B1">
        <w:trPr>
          <w:trHeight w:val="255"/>
        </w:trPr>
        <w:tc>
          <w:tcPr>
            <w:tcW w:w="1134" w:type="dxa"/>
            <w:tcBorders>
              <w:top w:val="nil"/>
              <w:left w:val="nil"/>
              <w:bottom w:val="nil"/>
              <w:right w:val="nil"/>
            </w:tcBorders>
            <w:noWrap/>
            <w:vAlign w:val="bottom"/>
            <w:hideMark/>
          </w:tcPr>
          <w:p w14:paraId="3436FCB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lastRenderedPageBreak/>
              <w:t>3223</w:t>
            </w:r>
          </w:p>
        </w:tc>
        <w:tc>
          <w:tcPr>
            <w:tcW w:w="4962" w:type="dxa"/>
            <w:tcBorders>
              <w:top w:val="nil"/>
              <w:left w:val="nil"/>
              <w:bottom w:val="nil"/>
              <w:right w:val="nil"/>
            </w:tcBorders>
            <w:noWrap/>
            <w:vAlign w:val="bottom"/>
            <w:hideMark/>
          </w:tcPr>
          <w:p w14:paraId="3C8A114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Energija</w:t>
            </w:r>
          </w:p>
        </w:tc>
        <w:tc>
          <w:tcPr>
            <w:tcW w:w="1559" w:type="dxa"/>
            <w:tcBorders>
              <w:top w:val="nil"/>
              <w:left w:val="nil"/>
              <w:bottom w:val="nil"/>
              <w:right w:val="nil"/>
            </w:tcBorders>
            <w:noWrap/>
            <w:vAlign w:val="bottom"/>
            <w:hideMark/>
          </w:tcPr>
          <w:p w14:paraId="17C4F8D4"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A8AAD69"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52B9187"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18.295,62</w:t>
            </w:r>
          </w:p>
        </w:tc>
        <w:tc>
          <w:tcPr>
            <w:tcW w:w="993" w:type="dxa"/>
            <w:tcBorders>
              <w:top w:val="nil"/>
              <w:left w:val="nil"/>
              <w:bottom w:val="nil"/>
              <w:right w:val="nil"/>
            </w:tcBorders>
            <w:noWrap/>
            <w:vAlign w:val="bottom"/>
            <w:hideMark/>
          </w:tcPr>
          <w:p w14:paraId="637AAF99"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7429FCB" w14:textId="77777777" w:rsidTr="008A61B1">
        <w:trPr>
          <w:trHeight w:val="255"/>
        </w:trPr>
        <w:tc>
          <w:tcPr>
            <w:tcW w:w="1134" w:type="dxa"/>
            <w:tcBorders>
              <w:top w:val="nil"/>
              <w:left w:val="nil"/>
              <w:bottom w:val="nil"/>
              <w:right w:val="nil"/>
            </w:tcBorders>
            <w:noWrap/>
            <w:vAlign w:val="bottom"/>
            <w:hideMark/>
          </w:tcPr>
          <w:p w14:paraId="08DBB40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3224</w:t>
            </w:r>
          </w:p>
        </w:tc>
        <w:tc>
          <w:tcPr>
            <w:tcW w:w="4962" w:type="dxa"/>
            <w:tcBorders>
              <w:top w:val="nil"/>
              <w:left w:val="nil"/>
              <w:bottom w:val="nil"/>
              <w:right w:val="nil"/>
            </w:tcBorders>
            <w:noWrap/>
            <w:vAlign w:val="bottom"/>
            <w:hideMark/>
          </w:tcPr>
          <w:p w14:paraId="6F95239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Materijal i dijelovi za tekuće i investicijsko održavanje</w:t>
            </w:r>
          </w:p>
        </w:tc>
        <w:tc>
          <w:tcPr>
            <w:tcW w:w="1559" w:type="dxa"/>
            <w:tcBorders>
              <w:top w:val="nil"/>
              <w:left w:val="nil"/>
              <w:bottom w:val="nil"/>
              <w:right w:val="nil"/>
            </w:tcBorders>
            <w:noWrap/>
            <w:vAlign w:val="bottom"/>
            <w:hideMark/>
          </w:tcPr>
          <w:p w14:paraId="4784200B"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2CE0FF4"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646C1D5"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5.363,99</w:t>
            </w:r>
          </w:p>
        </w:tc>
        <w:tc>
          <w:tcPr>
            <w:tcW w:w="993" w:type="dxa"/>
            <w:tcBorders>
              <w:top w:val="nil"/>
              <w:left w:val="nil"/>
              <w:bottom w:val="nil"/>
              <w:right w:val="nil"/>
            </w:tcBorders>
            <w:noWrap/>
            <w:vAlign w:val="bottom"/>
            <w:hideMark/>
          </w:tcPr>
          <w:p w14:paraId="0386D915"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A74F48F" w14:textId="77777777" w:rsidTr="008A61B1">
        <w:trPr>
          <w:trHeight w:val="255"/>
        </w:trPr>
        <w:tc>
          <w:tcPr>
            <w:tcW w:w="1134" w:type="dxa"/>
            <w:tcBorders>
              <w:top w:val="nil"/>
              <w:left w:val="nil"/>
              <w:bottom w:val="nil"/>
              <w:right w:val="nil"/>
            </w:tcBorders>
            <w:noWrap/>
            <w:vAlign w:val="bottom"/>
            <w:hideMark/>
          </w:tcPr>
          <w:p w14:paraId="01F90C3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3225</w:t>
            </w:r>
          </w:p>
        </w:tc>
        <w:tc>
          <w:tcPr>
            <w:tcW w:w="4962" w:type="dxa"/>
            <w:tcBorders>
              <w:top w:val="nil"/>
              <w:left w:val="nil"/>
              <w:bottom w:val="nil"/>
              <w:right w:val="nil"/>
            </w:tcBorders>
            <w:noWrap/>
            <w:vAlign w:val="bottom"/>
            <w:hideMark/>
          </w:tcPr>
          <w:p w14:paraId="4A552DF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 xml:space="preserve">Sitni inventar i </w:t>
            </w:r>
            <w:proofErr w:type="spellStart"/>
            <w:r w:rsidRPr="006967F8">
              <w:rPr>
                <w:rFonts w:ascii="Arial" w:eastAsia="Times New Roman" w:hAnsi="Arial" w:cs="Arial"/>
                <w:sz w:val="20"/>
                <w:szCs w:val="20"/>
                <w:lang w:eastAsia="hr-HR"/>
              </w:rPr>
              <w:t>autogume</w:t>
            </w:r>
            <w:proofErr w:type="spellEnd"/>
          </w:p>
        </w:tc>
        <w:tc>
          <w:tcPr>
            <w:tcW w:w="1559" w:type="dxa"/>
            <w:tcBorders>
              <w:top w:val="nil"/>
              <w:left w:val="nil"/>
              <w:bottom w:val="nil"/>
              <w:right w:val="nil"/>
            </w:tcBorders>
            <w:noWrap/>
            <w:vAlign w:val="bottom"/>
            <w:hideMark/>
          </w:tcPr>
          <w:p w14:paraId="40D0E367"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8B0B744"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E73852B"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6.089,96</w:t>
            </w:r>
          </w:p>
        </w:tc>
        <w:tc>
          <w:tcPr>
            <w:tcW w:w="993" w:type="dxa"/>
            <w:tcBorders>
              <w:top w:val="nil"/>
              <w:left w:val="nil"/>
              <w:bottom w:val="nil"/>
              <w:right w:val="nil"/>
            </w:tcBorders>
            <w:noWrap/>
            <w:vAlign w:val="bottom"/>
            <w:hideMark/>
          </w:tcPr>
          <w:p w14:paraId="50C897D0"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8BF132B" w14:textId="77777777" w:rsidTr="008A61B1">
        <w:trPr>
          <w:trHeight w:val="255"/>
        </w:trPr>
        <w:tc>
          <w:tcPr>
            <w:tcW w:w="1134" w:type="dxa"/>
            <w:tcBorders>
              <w:top w:val="nil"/>
              <w:left w:val="nil"/>
              <w:bottom w:val="nil"/>
              <w:right w:val="nil"/>
            </w:tcBorders>
            <w:noWrap/>
            <w:vAlign w:val="bottom"/>
            <w:hideMark/>
          </w:tcPr>
          <w:p w14:paraId="33D6DE4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3227</w:t>
            </w:r>
          </w:p>
        </w:tc>
        <w:tc>
          <w:tcPr>
            <w:tcW w:w="4962" w:type="dxa"/>
            <w:tcBorders>
              <w:top w:val="nil"/>
              <w:left w:val="nil"/>
              <w:bottom w:val="nil"/>
              <w:right w:val="nil"/>
            </w:tcBorders>
            <w:noWrap/>
            <w:vAlign w:val="bottom"/>
            <w:hideMark/>
          </w:tcPr>
          <w:p w14:paraId="551B0D5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Službena, radna i zaštitna odjeća i obuća</w:t>
            </w:r>
          </w:p>
        </w:tc>
        <w:tc>
          <w:tcPr>
            <w:tcW w:w="1559" w:type="dxa"/>
            <w:tcBorders>
              <w:top w:val="nil"/>
              <w:left w:val="nil"/>
              <w:bottom w:val="nil"/>
              <w:right w:val="nil"/>
            </w:tcBorders>
            <w:noWrap/>
            <w:vAlign w:val="bottom"/>
            <w:hideMark/>
          </w:tcPr>
          <w:p w14:paraId="09DB5C29"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F6B420C"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0D1A632"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19.640,23</w:t>
            </w:r>
          </w:p>
        </w:tc>
        <w:tc>
          <w:tcPr>
            <w:tcW w:w="993" w:type="dxa"/>
            <w:tcBorders>
              <w:top w:val="nil"/>
              <w:left w:val="nil"/>
              <w:bottom w:val="nil"/>
              <w:right w:val="nil"/>
            </w:tcBorders>
            <w:noWrap/>
            <w:vAlign w:val="bottom"/>
            <w:hideMark/>
          </w:tcPr>
          <w:p w14:paraId="55E18BDA"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3B8BB9C" w14:textId="77777777" w:rsidTr="008A61B1">
        <w:trPr>
          <w:trHeight w:val="255"/>
        </w:trPr>
        <w:tc>
          <w:tcPr>
            <w:tcW w:w="1134" w:type="dxa"/>
            <w:tcBorders>
              <w:top w:val="nil"/>
              <w:left w:val="nil"/>
              <w:bottom w:val="nil"/>
              <w:right w:val="nil"/>
            </w:tcBorders>
            <w:noWrap/>
            <w:vAlign w:val="bottom"/>
            <w:hideMark/>
          </w:tcPr>
          <w:p w14:paraId="654F44D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3231</w:t>
            </w:r>
          </w:p>
        </w:tc>
        <w:tc>
          <w:tcPr>
            <w:tcW w:w="4962" w:type="dxa"/>
            <w:tcBorders>
              <w:top w:val="nil"/>
              <w:left w:val="nil"/>
              <w:bottom w:val="nil"/>
              <w:right w:val="nil"/>
            </w:tcBorders>
            <w:noWrap/>
            <w:vAlign w:val="bottom"/>
            <w:hideMark/>
          </w:tcPr>
          <w:p w14:paraId="2D0FEAD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telefona, interneta, pošte i prijevoza</w:t>
            </w:r>
          </w:p>
        </w:tc>
        <w:tc>
          <w:tcPr>
            <w:tcW w:w="1559" w:type="dxa"/>
            <w:tcBorders>
              <w:top w:val="nil"/>
              <w:left w:val="nil"/>
              <w:bottom w:val="nil"/>
              <w:right w:val="nil"/>
            </w:tcBorders>
            <w:noWrap/>
            <w:vAlign w:val="bottom"/>
            <w:hideMark/>
          </w:tcPr>
          <w:p w14:paraId="56B1A0BC"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7702994"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4F81871"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8.011,74</w:t>
            </w:r>
          </w:p>
        </w:tc>
        <w:tc>
          <w:tcPr>
            <w:tcW w:w="993" w:type="dxa"/>
            <w:tcBorders>
              <w:top w:val="nil"/>
              <w:left w:val="nil"/>
              <w:bottom w:val="nil"/>
              <w:right w:val="nil"/>
            </w:tcBorders>
            <w:noWrap/>
            <w:vAlign w:val="bottom"/>
            <w:hideMark/>
          </w:tcPr>
          <w:p w14:paraId="5CCE5C53"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B3E6961" w14:textId="77777777" w:rsidTr="008A61B1">
        <w:trPr>
          <w:trHeight w:val="255"/>
        </w:trPr>
        <w:tc>
          <w:tcPr>
            <w:tcW w:w="1134" w:type="dxa"/>
            <w:tcBorders>
              <w:top w:val="nil"/>
              <w:left w:val="nil"/>
              <w:bottom w:val="nil"/>
              <w:right w:val="nil"/>
            </w:tcBorders>
            <w:noWrap/>
            <w:vAlign w:val="bottom"/>
            <w:hideMark/>
          </w:tcPr>
          <w:p w14:paraId="1102394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3232</w:t>
            </w:r>
          </w:p>
        </w:tc>
        <w:tc>
          <w:tcPr>
            <w:tcW w:w="4962" w:type="dxa"/>
            <w:tcBorders>
              <w:top w:val="nil"/>
              <w:left w:val="nil"/>
              <w:bottom w:val="nil"/>
              <w:right w:val="nil"/>
            </w:tcBorders>
            <w:noWrap/>
            <w:vAlign w:val="bottom"/>
            <w:hideMark/>
          </w:tcPr>
          <w:p w14:paraId="1D5AFD2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noWrap/>
            <w:vAlign w:val="bottom"/>
            <w:hideMark/>
          </w:tcPr>
          <w:p w14:paraId="46AF98A4"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97F97A1"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EE8E358"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44.919,94</w:t>
            </w:r>
          </w:p>
        </w:tc>
        <w:tc>
          <w:tcPr>
            <w:tcW w:w="993" w:type="dxa"/>
            <w:tcBorders>
              <w:top w:val="nil"/>
              <w:left w:val="nil"/>
              <w:bottom w:val="nil"/>
              <w:right w:val="nil"/>
            </w:tcBorders>
            <w:noWrap/>
            <w:vAlign w:val="bottom"/>
            <w:hideMark/>
          </w:tcPr>
          <w:p w14:paraId="1766510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3A59B77" w14:textId="77777777" w:rsidTr="008A61B1">
        <w:trPr>
          <w:trHeight w:val="255"/>
        </w:trPr>
        <w:tc>
          <w:tcPr>
            <w:tcW w:w="1134" w:type="dxa"/>
            <w:tcBorders>
              <w:top w:val="nil"/>
              <w:left w:val="nil"/>
              <w:bottom w:val="nil"/>
              <w:right w:val="nil"/>
            </w:tcBorders>
            <w:noWrap/>
            <w:vAlign w:val="bottom"/>
            <w:hideMark/>
          </w:tcPr>
          <w:p w14:paraId="345D9C2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3233</w:t>
            </w:r>
          </w:p>
        </w:tc>
        <w:tc>
          <w:tcPr>
            <w:tcW w:w="4962" w:type="dxa"/>
            <w:tcBorders>
              <w:top w:val="nil"/>
              <w:left w:val="nil"/>
              <w:bottom w:val="nil"/>
              <w:right w:val="nil"/>
            </w:tcBorders>
            <w:noWrap/>
            <w:vAlign w:val="bottom"/>
            <w:hideMark/>
          </w:tcPr>
          <w:p w14:paraId="063C964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promidžbe i informiranja</w:t>
            </w:r>
          </w:p>
        </w:tc>
        <w:tc>
          <w:tcPr>
            <w:tcW w:w="1559" w:type="dxa"/>
            <w:tcBorders>
              <w:top w:val="nil"/>
              <w:left w:val="nil"/>
              <w:bottom w:val="nil"/>
              <w:right w:val="nil"/>
            </w:tcBorders>
            <w:noWrap/>
            <w:vAlign w:val="bottom"/>
            <w:hideMark/>
          </w:tcPr>
          <w:p w14:paraId="5D5E0346"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AB07A54"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F51E9EA"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248,85</w:t>
            </w:r>
          </w:p>
        </w:tc>
        <w:tc>
          <w:tcPr>
            <w:tcW w:w="993" w:type="dxa"/>
            <w:tcBorders>
              <w:top w:val="nil"/>
              <w:left w:val="nil"/>
              <w:bottom w:val="nil"/>
              <w:right w:val="nil"/>
            </w:tcBorders>
            <w:noWrap/>
            <w:vAlign w:val="bottom"/>
            <w:hideMark/>
          </w:tcPr>
          <w:p w14:paraId="6487AA85"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34BE3ED" w14:textId="77777777" w:rsidTr="008A61B1">
        <w:trPr>
          <w:trHeight w:val="255"/>
        </w:trPr>
        <w:tc>
          <w:tcPr>
            <w:tcW w:w="1134" w:type="dxa"/>
            <w:tcBorders>
              <w:top w:val="nil"/>
              <w:left w:val="nil"/>
              <w:bottom w:val="nil"/>
              <w:right w:val="nil"/>
            </w:tcBorders>
            <w:noWrap/>
            <w:vAlign w:val="bottom"/>
            <w:hideMark/>
          </w:tcPr>
          <w:p w14:paraId="4349F45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3234</w:t>
            </w:r>
          </w:p>
        </w:tc>
        <w:tc>
          <w:tcPr>
            <w:tcW w:w="4962" w:type="dxa"/>
            <w:tcBorders>
              <w:top w:val="nil"/>
              <w:left w:val="nil"/>
              <w:bottom w:val="nil"/>
              <w:right w:val="nil"/>
            </w:tcBorders>
            <w:noWrap/>
            <w:vAlign w:val="bottom"/>
            <w:hideMark/>
          </w:tcPr>
          <w:p w14:paraId="072F1B0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Komunalne usluge</w:t>
            </w:r>
          </w:p>
        </w:tc>
        <w:tc>
          <w:tcPr>
            <w:tcW w:w="1559" w:type="dxa"/>
            <w:tcBorders>
              <w:top w:val="nil"/>
              <w:left w:val="nil"/>
              <w:bottom w:val="nil"/>
              <w:right w:val="nil"/>
            </w:tcBorders>
            <w:noWrap/>
            <w:vAlign w:val="bottom"/>
            <w:hideMark/>
          </w:tcPr>
          <w:p w14:paraId="352C8D39"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9328799"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2889B6C"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2.348,71</w:t>
            </w:r>
          </w:p>
        </w:tc>
        <w:tc>
          <w:tcPr>
            <w:tcW w:w="993" w:type="dxa"/>
            <w:tcBorders>
              <w:top w:val="nil"/>
              <w:left w:val="nil"/>
              <w:bottom w:val="nil"/>
              <w:right w:val="nil"/>
            </w:tcBorders>
            <w:noWrap/>
            <w:vAlign w:val="bottom"/>
            <w:hideMark/>
          </w:tcPr>
          <w:p w14:paraId="7DBF69D4"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2FD9DA3" w14:textId="77777777" w:rsidTr="008A61B1">
        <w:trPr>
          <w:trHeight w:val="255"/>
        </w:trPr>
        <w:tc>
          <w:tcPr>
            <w:tcW w:w="1134" w:type="dxa"/>
            <w:tcBorders>
              <w:top w:val="nil"/>
              <w:left w:val="nil"/>
              <w:bottom w:val="nil"/>
              <w:right w:val="nil"/>
            </w:tcBorders>
            <w:noWrap/>
            <w:vAlign w:val="bottom"/>
            <w:hideMark/>
          </w:tcPr>
          <w:p w14:paraId="0173C2F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3236</w:t>
            </w:r>
          </w:p>
        </w:tc>
        <w:tc>
          <w:tcPr>
            <w:tcW w:w="4962" w:type="dxa"/>
            <w:tcBorders>
              <w:top w:val="nil"/>
              <w:left w:val="nil"/>
              <w:bottom w:val="nil"/>
              <w:right w:val="nil"/>
            </w:tcBorders>
            <w:noWrap/>
            <w:vAlign w:val="bottom"/>
            <w:hideMark/>
          </w:tcPr>
          <w:p w14:paraId="510AEBE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Zdravstvene i veterinarske usluge</w:t>
            </w:r>
          </w:p>
        </w:tc>
        <w:tc>
          <w:tcPr>
            <w:tcW w:w="1559" w:type="dxa"/>
            <w:tcBorders>
              <w:top w:val="nil"/>
              <w:left w:val="nil"/>
              <w:bottom w:val="nil"/>
              <w:right w:val="nil"/>
            </w:tcBorders>
            <w:noWrap/>
            <w:vAlign w:val="bottom"/>
            <w:hideMark/>
          </w:tcPr>
          <w:p w14:paraId="2B08A78E"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610BF17"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B7F9A4A"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4.845,00</w:t>
            </w:r>
          </w:p>
        </w:tc>
        <w:tc>
          <w:tcPr>
            <w:tcW w:w="993" w:type="dxa"/>
            <w:tcBorders>
              <w:top w:val="nil"/>
              <w:left w:val="nil"/>
              <w:bottom w:val="nil"/>
              <w:right w:val="nil"/>
            </w:tcBorders>
            <w:noWrap/>
            <w:vAlign w:val="bottom"/>
            <w:hideMark/>
          </w:tcPr>
          <w:p w14:paraId="794EE6EA"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BC037C2" w14:textId="77777777" w:rsidTr="008A61B1">
        <w:trPr>
          <w:trHeight w:val="255"/>
        </w:trPr>
        <w:tc>
          <w:tcPr>
            <w:tcW w:w="1134" w:type="dxa"/>
            <w:tcBorders>
              <w:top w:val="nil"/>
              <w:left w:val="nil"/>
              <w:bottom w:val="nil"/>
              <w:right w:val="nil"/>
            </w:tcBorders>
            <w:noWrap/>
            <w:vAlign w:val="bottom"/>
            <w:hideMark/>
          </w:tcPr>
          <w:p w14:paraId="36954F2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3237</w:t>
            </w:r>
          </w:p>
        </w:tc>
        <w:tc>
          <w:tcPr>
            <w:tcW w:w="4962" w:type="dxa"/>
            <w:tcBorders>
              <w:top w:val="nil"/>
              <w:left w:val="nil"/>
              <w:bottom w:val="nil"/>
              <w:right w:val="nil"/>
            </w:tcBorders>
            <w:noWrap/>
            <w:vAlign w:val="bottom"/>
            <w:hideMark/>
          </w:tcPr>
          <w:p w14:paraId="190A7C5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Intelektualne i osobne usluge</w:t>
            </w:r>
          </w:p>
        </w:tc>
        <w:tc>
          <w:tcPr>
            <w:tcW w:w="1559" w:type="dxa"/>
            <w:tcBorders>
              <w:top w:val="nil"/>
              <w:left w:val="nil"/>
              <w:bottom w:val="nil"/>
              <w:right w:val="nil"/>
            </w:tcBorders>
            <w:noWrap/>
            <w:vAlign w:val="bottom"/>
            <w:hideMark/>
          </w:tcPr>
          <w:p w14:paraId="424FC72E"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998F972"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CA633B3"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28.795,11</w:t>
            </w:r>
          </w:p>
        </w:tc>
        <w:tc>
          <w:tcPr>
            <w:tcW w:w="993" w:type="dxa"/>
            <w:tcBorders>
              <w:top w:val="nil"/>
              <w:left w:val="nil"/>
              <w:bottom w:val="nil"/>
              <w:right w:val="nil"/>
            </w:tcBorders>
            <w:noWrap/>
            <w:vAlign w:val="bottom"/>
            <w:hideMark/>
          </w:tcPr>
          <w:p w14:paraId="1F1A3717"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B114C5A" w14:textId="77777777" w:rsidTr="008A61B1">
        <w:trPr>
          <w:trHeight w:val="255"/>
        </w:trPr>
        <w:tc>
          <w:tcPr>
            <w:tcW w:w="1134" w:type="dxa"/>
            <w:tcBorders>
              <w:top w:val="nil"/>
              <w:left w:val="nil"/>
              <w:bottom w:val="nil"/>
              <w:right w:val="nil"/>
            </w:tcBorders>
            <w:noWrap/>
            <w:vAlign w:val="bottom"/>
            <w:hideMark/>
          </w:tcPr>
          <w:p w14:paraId="2827F57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3238</w:t>
            </w:r>
          </w:p>
        </w:tc>
        <w:tc>
          <w:tcPr>
            <w:tcW w:w="4962" w:type="dxa"/>
            <w:tcBorders>
              <w:top w:val="nil"/>
              <w:left w:val="nil"/>
              <w:bottom w:val="nil"/>
              <w:right w:val="nil"/>
            </w:tcBorders>
            <w:noWrap/>
            <w:vAlign w:val="bottom"/>
            <w:hideMark/>
          </w:tcPr>
          <w:p w14:paraId="200127A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Računalne usluge</w:t>
            </w:r>
          </w:p>
        </w:tc>
        <w:tc>
          <w:tcPr>
            <w:tcW w:w="1559" w:type="dxa"/>
            <w:tcBorders>
              <w:top w:val="nil"/>
              <w:left w:val="nil"/>
              <w:bottom w:val="nil"/>
              <w:right w:val="nil"/>
            </w:tcBorders>
            <w:noWrap/>
            <w:vAlign w:val="bottom"/>
            <w:hideMark/>
          </w:tcPr>
          <w:p w14:paraId="675B25CE"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EC63E82"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658BF92"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3.419,67</w:t>
            </w:r>
          </w:p>
        </w:tc>
        <w:tc>
          <w:tcPr>
            <w:tcW w:w="993" w:type="dxa"/>
            <w:tcBorders>
              <w:top w:val="nil"/>
              <w:left w:val="nil"/>
              <w:bottom w:val="nil"/>
              <w:right w:val="nil"/>
            </w:tcBorders>
            <w:noWrap/>
            <w:vAlign w:val="bottom"/>
            <w:hideMark/>
          </w:tcPr>
          <w:p w14:paraId="15B9FC50"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5786FD4" w14:textId="77777777" w:rsidTr="008A61B1">
        <w:trPr>
          <w:trHeight w:val="255"/>
        </w:trPr>
        <w:tc>
          <w:tcPr>
            <w:tcW w:w="1134" w:type="dxa"/>
            <w:tcBorders>
              <w:top w:val="nil"/>
              <w:left w:val="nil"/>
              <w:bottom w:val="nil"/>
              <w:right w:val="nil"/>
            </w:tcBorders>
            <w:noWrap/>
            <w:vAlign w:val="bottom"/>
            <w:hideMark/>
          </w:tcPr>
          <w:p w14:paraId="01AAD08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3239</w:t>
            </w:r>
          </w:p>
        </w:tc>
        <w:tc>
          <w:tcPr>
            <w:tcW w:w="4962" w:type="dxa"/>
            <w:tcBorders>
              <w:top w:val="nil"/>
              <w:left w:val="nil"/>
              <w:bottom w:val="nil"/>
              <w:right w:val="nil"/>
            </w:tcBorders>
            <w:noWrap/>
            <w:vAlign w:val="bottom"/>
            <w:hideMark/>
          </w:tcPr>
          <w:p w14:paraId="110E3E2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Ostale usluge</w:t>
            </w:r>
          </w:p>
        </w:tc>
        <w:tc>
          <w:tcPr>
            <w:tcW w:w="1559" w:type="dxa"/>
            <w:tcBorders>
              <w:top w:val="nil"/>
              <w:left w:val="nil"/>
              <w:bottom w:val="nil"/>
              <w:right w:val="nil"/>
            </w:tcBorders>
            <w:noWrap/>
            <w:vAlign w:val="bottom"/>
            <w:hideMark/>
          </w:tcPr>
          <w:p w14:paraId="6A735514"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593DB39"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44DF651"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7.275,00</w:t>
            </w:r>
          </w:p>
        </w:tc>
        <w:tc>
          <w:tcPr>
            <w:tcW w:w="993" w:type="dxa"/>
            <w:tcBorders>
              <w:top w:val="nil"/>
              <w:left w:val="nil"/>
              <w:bottom w:val="nil"/>
              <w:right w:val="nil"/>
            </w:tcBorders>
            <w:noWrap/>
            <w:vAlign w:val="bottom"/>
            <w:hideMark/>
          </w:tcPr>
          <w:p w14:paraId="6DEF6EBE"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1B65AB5" w14:textId="77777777" w:rsidTr="008A61B1">
        <w:trPr>
          <w:trHeight w:val="255"/>
        </w:trPr>
        <w:tc>
          <w:tcPr>
            <w:tcW w:w="1134" w:type="dxa"/>
            <w:tcBorders>
              <w:top w:val="nil"/>
              <w:left w:val="nil"/>
              <w:bottom w:val="nil"/>
              <w:right w:val="nil"/>
            </w:tcBorders>
            <w:noWrap/>
            <w:vAlign w:val="bottom"/>
            <w:hideMark/>
          </w:tcPr>
          <w:p w14:paraId="4866D4C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3292</w:t>
            </w:r>
          </w:p>
        </w:tc>
        <w:tc>
          <w:tcPr>
            <w:tcW w:w="4962" w:type="dxa"/>
            <w:tcBorders>
              <w:top w:val="nil"/>
              <w:left w:val="nil"/>
              <w:bottom w:val="nil"/>
              <w:right w:val="nil"/>
            </w:tcBorders>
            <w:noWrap/>
            <w:vAlign w:val="bottom"/>
            <w:hideMark/>
          </w:tcPr>
          <w:p w14:paraId="2BFDE26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Premije osiguranja</w:t>
            </w:r>
          </w:p>
        </w:tc>
        <w:tc>
          <w:tcPr>
            <w:tcW w:w="1559" w:type="dxa"/>
            <w:tcBorders>
              <w:top w:val="nil"/>
              <w:left w:val="nil"/>
              <w:bottom w:val="nil"/>
              <w:right w:val="nil"/>
            </w:tcBorders>
            <w:noWrap/>
            <w:vAlign w:val="bottom"/>
            <w:hideMark/>
          </w:tcPr>
          <w:p w14:paraId="45E3A33F"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8FA7E34"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CC87452"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7.431,65</w:t>
            </w:r>
          </w:p>
        </w:tc>
        <w:tc>
          <w:tcPr>
            <w:tcW w:w="993" w:type="dxa"/>
            <w:tcBorders>
              <w:top w:val="nil"/>
              <w:left w:val="nil"/>
              <w:bottom w:val="nil"/>
              <w:right w:val="nil"/>
            </w:tcBorders>
            <w:noWrap/>
            <w:vAlign w:val="bottom"/>
            <w:hideMark/>
          </w:tcPr>
          <w:p w14:paraId="4123490D"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63A6821" w14:textId="77777777" w:rsidTr="008A61B1">
        <w:trPr>
          <w:trHeight w:val="255"/>
        </w:trPr>
        <w:tc>
          <w:tcPr>
            <w:tcW w:w="1134" w:type="dxa"/>
            <w:tcBorders>
              <w:top w:val="nil"/>
              <w:left w:val="nil"/>
              <w:bottom w:val="nil"/>
              <w:right w:val="nil"/>
            </w:tcBorders>
            <w:noWrap/>
            <w:vAlign w:val="bottom"/>
            <w:hideMark/>
          </w:tcPr>
          <w:p w14:paraId="4BC2833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3293</w:t>
            </w:r>
          </w:p>
        </w:tc>
        <w:tc>
          <w:tcPr>
            <w:tcW w:w="4962" w:type="dxa"/>
            <w:tcBorders>
              <w:top w:val="nil"/>
              <w:left w:val="nil"/>
              <w:bottom w:val="nil"/>
              <w:right w:val="nil"/>
            </w:tcBorders>
            <w:noWrap/>
            <w:vAlign w:val="bottom"/>
            <w:hideMark/>
          </w:tcPr>
          <w:p w14:paraId="00305D9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Reprezentacija</w:t>
            </w:r>
          </w:p>
        </w:tc>
        <w:tc>
          <w:tcPr>
            <w:tcW w:w="1559" w:type="dxa"/>
            <w:tcBorders>
              <w:top w:val="nil"/>
              <w:left w:val="nil"/>
              <w:bottom w:val="nil"/>
              <w:right w:val="nil"/>
            </w:tcBorders>
            <w:noWrap/>
            <w:vAlign w:val="bottom"/>
            <w:hideMark/>
          </w:tcPr>
          <w:p w14:paraId="5A83A327"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716F094"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61824BA"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767,72</w:t>
            </w:r>
          </w:p>
        </w:tc>
        <w:tc>
          <w:tcPr>
            <w:tcW w:w="993" w:type="dxa"/>
            <w:tcBorders>
              <w:top w:val="nil"/>
              <w:left w:val="nil"/>
              <w:bottom w:val="nil"/>
              <w:right w:val="nil"/>
            </w:tcBorders>
            <w:noWrap/>
            <w:vAlign w:val="bottom"/>
            <w:hideMark/>
          </w:tcPr>
          <w:p w14:paraId="3745A79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5C7A573" w14:textId="77777777" w:rsidTr="008A61B1">
        <w:trPr>
          <w:trHeight w:val="255"/>
        </w:trPr>
        <w:tc>
          <w:tcPr>
            <w:tcW w:w="1134" w:type="dxa"/>
            <w:tcBorders>
              <w:top w:val="nil"/>
              <w:left w:val="nil"/>
              <w:bottom w:val="nil"/>
              <w:right w:val="nil"/>
            </w:tcBorders>
            <w:noWrap/>
            <w:vAlign w:val="bottom"/>
            <w:hideMark/>
          </w:tcPr>
          <w:p w14:paraId="09B9768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3295</w:t>
            </w:r>
          </w:p>
        </w:tc>
        <w:tc>
          <w:tcPr>
            <w:tcW w:w="4962" w:type="dxa"/>
            <w:tcBorders>
              <w:top w:val="nil"/>
              <w:left w:val="nil"/>
              <w:bottom w:val="nil"/>
              <w:right w:val="nil"/>
            </w:tcBorders>
            <w:noWrap/>
            <w:vAlign w:val="bottom"/>
            <w:hideMark/>
          </w:tcPr>
          <w:p w14:paraId="2B05104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Pristojbe i naknade</w:t>
            </w:r>
          </w:p>
        </w:tc>
        <w:tc>
          <w:tcPr>
            <w:tcW w:w="1559" w:type="dxa"/>
            <w:tcBorders>
              <w:top w:val="nil"/>
              <w:left w:val="nil"/>
              <w:bottom w:val="nil"/>
              <w:right w:val="nil"/>
            </w:tcBorders>
            <w:noWrap/>
            <w:vAlign w:val="bottom"/>
            <w:hideMark/>
          </w:tcPr>
          <w:p w14:paraId="7C4D6713"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0783F76"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0275992"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26,55</w:t>
            </w:r>
          </w:p>
        </w:tc>
        <w:tc>
          <w:tcPr>
            <w:tcW w:w="993" w:type="dxa"/>
            <w:tcBorders>
              <w:top w:val="nil"/>
              <w:left w:val="nil"/>
              <w:bottom w:val="nil"/>
              <w:right w:val="nil"/>
            </w:tcBorders>
            <w:noWrap/>
            <w:vAlign w:val="bottom"/>
            <w:hideMark/>
          </w:tcPr>
          <w:p w14:paraId="60A42FB9"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784F550" w14:textId="77777777" w:rsidTr="008A61B1">
        <w:trPr>
          <w:trHeight w:val="255"/>
        </w:trPr>
        <w:tc>
          <w:tcPr>
            <w:tcW w:w="1134" w:type="dxa"/>
            <w:tcBorders>
              <w:top w:val="nil"/>
              <w:left w:val="nil"/>
              <w:bottom w:val="nil"/>
              <w:right w:val="nil"/>
            </w:tcBorders>
            <w:noWrap/>
            <w:vAlign w:val="bottom"/>
            <w:hideMark/>
          </w:tcPr>
          <w:p w14:paraId="2722ED1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3299</w:t>
            </w:r>
          </w:p>
        </w:tc>
        <w:tc>
          <w:tcPr>
            <w:tcW w:w="4962" w:type="dxa"/>
            <w:tcBorders>
              <w:top w:val="nil"/>
              <w:left w:val="nil"/>
              <w:bottom w:val="nil"/>
              <w:right w:val="nil"/>
            </w:tcBorders>
            <w:noWrap/>
            <w:vAlign w:val="bottom"/>
            <w:hideMark/>
          </w:tcPr>
          <w:p w14:paraId="01ED792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nespomenuti rashodi poslovanja</w:t>
            </w:r>
          </w:p>
        </w:tc>
        <w:tc>
          <w:tcPr>
            <w:tcW w:w="1559" w:type="dxa"/>
            <w:tcBorders>
              <w:top w:val="nil"/>
              <w:left w:val="nil"/>
              <w:bottom w:val="nil"/>
              <w:right w:val="nil"/>
            </w:tcBorders>
            <w:noWrap/>
            <w:vAlign w:val="bottom"/>
            <w:hideMark/>
          </w:tcPr>
          <w:p w14:paraId="0E4E5837"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E9AF78B"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A177DDD"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401,51</w:t>
            </w:r>
          </w:p>
        </w:tc>
        <w:tc>
          <w:tcPr>
            <w:tcW w:w="993" w:type="dxa"/>
            <w:tcBorders>
              <w:top w:val="nil"/>
              <w:left w:val="nil"/>
              <w:bottom w:val="nil"/>
              <w:right w:val="nil"/>
            </w:tcBorders>
            <w:noWrap/>
            <w:vAlign w:val="bottom"/>
            <w:hideMark/>
          </w:tcPr>
          <w:p w14:paraId="0244768F"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B8F8FBF" w14:textId="77777777" w:rsidTr="008A61B1">
        <w:trPr>
          <w:trHeight w:val="255"/>
        </w:trPr>
        <w:tc>
          <w:tcPr>
            <w:tcW w:w="1134" w:type="dxa"/>
            <w:tcBorders>
              <w:top w:val="nil"/>
              <w:left w:val="nil"/>
              <w:bottom w:val="nil"/>
              <w:right w:val="nil"/>
            </w:tcBorders>
            <w:noWrap/>
            <w:vAlign w:val="bottom"/>
            <w:hideMark/>
          </w:tcPr>
          <w:p w14:paraId="62C3BBB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34</w:t>
            </w:r>
          </w:p>
        </w:tc>
        <w:tc>
          <w:tcPr>
            <w:tcW w:w="4962" w:type="dxa"/>
            <w:tcBorders>
              <w:top w:val="nil"/>
              <w:left w:val="nil"/>
              <w:bottom w:val="nil"/>
              <w:right w:val="nil"/>
            </w:tcBorders>
            <w:noWrap/>
            <w:vAlign w:val="bottom"/>
            <w:hideMark/>
          </w:tcPr>
          <w:p w14:paraId="0A05D23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Financijski rashodi</w:t>
            </w:r>
          </w:p>
        </w:tc>
        <w:tc>
          <w:tcPr>
            <w:tcW w:w="1559" w:type="dxa"/>
            <w:tcBorders>
              <w:top w:val="nil"/>
              <w:left w:val="nil"/>
              <w:bottom w:val="nil"/>
              <w:right w:val="nil"/>
            </w:tcBorders>
            <w:noWrap/>
            <w:vAlign w:val="bottom"/>
            <w:hideMark/>
          </w:tcPr>
          <w:p w14:paraId="1C5E8DA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800,00</w:t>
            </w:r>
          </w:p>
        </w:tc>
        <w:tc>
          <w:tcPr>
            <w:tcW w:w="1559" w:type="dxa"/>
            <w:tcBorders>
              <w:top w:val="nil"/>
              <w:left w:val="nil"/>
              <w:bottom w:val="nil"/>
              <w:right w:val="nil"/>
            </w:tcBorders>
            <w:noWrap/>
            <w:vAlign w:val="bottom"/>
            <w:hideMark/>
          </w:tcPr>
          <w:p w14:paraId="726D1B4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800,00</w:t>
            </w:r>
          </w:p>
        </w:tc>
        <w:tc>
          <w:tcPr>
            <w:tcW w:w="1559" w:type="dxa"/>
            <w:tcBorders>
              <w:top w:val="nil"/>
              <w:left w:val="nil"/>
              <w:bottom w:val="nil"/>
              <w:right w:val="nil"/>
            </w:tcBorders>
            <w:noWrap/>
            <w:vAlign w:val="bottom"/>
            <w:hideMark/>
          </w:tcPr>
          <w:p w14:paraId="5EBD5EC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670,46</w:t>
            </w:r>
          </w:p>
        </w:tc>
        <w:tc>
          <w:tcPr>
            <w:tcW w:w="993" w:type="dxa"/>
            <w:tcBorders>
              <w:top w:val="nil"/>
              <w:left w:val="nil"/>
              <w:bottom w:val="nil"/>
              <w:right w:val="nil"/>
            </w:tcBorders>
            <w:noWrap/>
            <w:vAlign w:val="bottom"/>
            <w:hideMark/>
          </w:tcPr>
          <w:p w14:paraId="21EA7B7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83,81%</w:t>
            </w:r>
          </w:p>
        </w:tc>
      </w:tr>
      <w:tr w:rsidR="006967F8" w:rsidRPr="006967F8" w14:paraId="27E01EAF" w14:textId="77777777" w:rsidTr="008A61B1">
        <w:trPr>
          <w:trHeight w:val="255"/>
        </w:trPr>
        <w:tc>
          <w:tcPr>
            <w:tcW w:w="1134" w:type="dxa"/>
            <w:tcBorders>
              <w:top w:val="nil"/>
              <w:left w:val="nil"/>
              <w:bottom w:val="nil"/>
              <w:right w:val="nil"/>
            </w:tcBorders>
            <w:noWrap/>
            <w:vAlign w:val="bottom"/>
            <w:hideMark/>
          </w:tcPr>
          <w:p w14:paraId="0D8A747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3431</w:t>
            </w:r>
          </w:p>
        </w:tc>
        <w:tc>
          <w:tcPr>
            <w:tcW w:w="4962" w:type="dxa"/>
            <w:tcBorders>
              <w:top w:val="nil"/>
              <w:left w:val="nil"/>
              <w:bottom w:val="nil"/>
              <w:right w:val="nil"/>
            </w:tcBorders>
            <w:noWrap/>
            <w:vAlign w:val="bottom"/>
            <w:hideMark/>
          </w:tcPr>
          <w:p w14:paraId="13A2F08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Bankarske usluge i usluge platnog prometa</w:t>
            </w:r>
          </w:p>
        </w:tc>
        <w:tc>
          <w:tcPr>
            <w:tcW w:w="1559" w:type="dxa"/>
            <w:tcBorders>
              <w:top w:val="nil"/>
              <w:left w:val="nil"/>
              <w:bottom w:val="nil"/>
              <w:right w:val="nil"/>
            </w:tcBorders>
            <w:noWrap/>
            <w:vAlign w:val="bottom"/>
            <w:hideMark/>
          </w:tcPr>
          <w:p w14:paraId="6CF1D862"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5071F0A"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D3E8ACA"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670,46</w:t>
            </w:r>
          </w:p>
        </w:tc>
        <w:tc>
          <w:tcPr>
            <w:tcW w:w="993" w:type="dxa"/>
            <w:tcBorders>
              <w:top w:val="nil"/>
              <w:left w:val="nil"/>
              <w:bottom w:val="nil"/>
              <w:right w:val="nil"/>
            </w:tcBorders>
            <w:noWrap/>
            <w:vAlign w:val="bottom"/>
            <w:hideMark/>
          </w:tcPr>
          <w:p w14:paraId="735F3E26"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3FFD3B8" w14:textId="77777777" w:rsidTr="008A61B1">
        <w:trPr>
          <w:trHeight w:val="480"/>
        </w:trPr>
        <w:tc>
          <w:tcPr>
            <w:tcW w:w="1134" w:type="dxa"/>
            <w:tcBorders>
              <w:top w:val="nil"/>
              <w:left w:val="nil"/>
              <w:bottom w:val="nil"/>
              <w:right w:val="nil"/>
            </w:tcBorders>
            <w:noWrap/>
            <w:vAlign w:val="bottom"/>
            <w:hideMark/>
          </w:tcPr>
          <w:p w14:paraId="5C05E22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41</w:t>
            </w:r>
          </w:p>
        </w:tc>
        <w:tc>
          <w:tcPr>
            <w:tcW w:w="4962" w:type="dxa"/>
            <w:tcBorders>
              <w:top w:val="nil"/>
              <w:left w:val="nil"/>
              <w:bottom w:val="nil"/>
              <w:right w:val="nil"/>
            </w:tcBorders>
            <w:vAlign w:val="bottom"/>
            <w:hideMark/>
          </w:tcPr>
          <w:p w14:paraId="68C3114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Rashodi za nabavu </w:t>
            </w:r>
            <w:proofErr w:type="spellStart"/>
            <w:r w:rsidRPr="006967F8">
              <w:rPr>
                <w:rFonts w:ascii="Arial" w:eastAsia="Times New Roman" w:hAnsi="Arial" w:cs="Arial"/>
                <w:b/>
                <w:bCs/>
                <w:sz w:val="20"/>
                <w:szCs w:val="20"/>
                <w:lang w:eastAsia="hr-HR"/>
              </w:rPr>
              <w:t>neproizvedene</w:t>
            </w:r>
            <w:proofErr w:type="spellEnd"/>
            <w:r w:rsidRPr="006967F8">
              <w:rPr>
                <w:rFonts w:ascii="Arial" w:eastAsia="Times New Roman" w:hAnsi="Arial" w:cs="Arial"/>
                <w:b/>
                <w:bCs/>
                <w:sz w:val="20"/>
                <w:szCs w:val="20"/>
                <w:lang w:eastAsia="hr-HR"/>
              </w:rPr>
              <w:t xml:space="preserve"> dugotrajne imovine</w:t>
            </w:r>
          </w:p>
        </w:tc>
        <w:tc>
          <w:tcPr>
            <w:tcW w:w="1559" w:type="dxa"/>
            <w:tcBorders>
              <w:top w:val="nil"/>
              <w:left w:val="nil"/>
              <w:bottom w:val="nil"/>
              <w:right w:val="nil"/>
            </w:tcBorders>
            <w:noWrap/>
            <w:vAlign w:val="bottom"/>
            <w:hideMark/>
          </w:tcPr>
          <w:p w14:paraId="1E7A68F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w:t>
            </w:r>
          </w:p>
        </w:tc>
        <w:tc>
          <w:tcPr>
            <w:tcW w:w="1559" w:type="dxa"/>
            <w:tcBorders>
              <w:top w:val="nil"/>
              <w:left w:val="nil"/>
              <w:bottom w:val="nil"/>
              <w:right w:val="nil"/>
            </w:tcBorders>
            <w:noWrap/>
            <w:vAlign w:val="bottom"/>
            <w:hideMark/>
          </w:tcPr>
          <w:p w14:paraId="591ACBD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w:t>
            </w:r>
          </w:p>
        </w:tc>
        <w:tc>
          <w:tcPr>
            <w:tcW w:w="1559" w:type="dxa"/>
            <w:tcBorders>
              <w:top w:val="nil"/>
              <w:left w:val="nil"/>
              <w:bottom w:val="nil"/>
              <w:right w:val="nil"/>
            </w:tcBorders>
            <w:noWrap/>
            <w:vAlign w:val="bottom"/>
            <w:hideMark/>
          </w:tcPr>
          <w:p w14:paraId="7409C7D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771,60</w:t>
            </w:r>
          </w:p>
        </w:tc>
        <w:tc>
          <w:tcPr>
            <w:tcW w:w="993" w:type="dxa"/>
            <w:tcBorders>
              <w:top w:val="nil"/>
              <w:left w:val="nil"/>
              <w:bottom w:val="nil"/>
              <w:right w:val="nil"/>
            </w:tcBorders>
            <w:noWrap/>
            <w:vAlign w:val="bottom"/>
            <w:hideMark/>
          </w:tcPr>
          <w:p w14:paraId="3644AF2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77,16%</w:t>
            </w:r>
          </w:p>
        </w:tc>
      </w:tr>
      <w:tr w:rsidR="006967F8" w:rsidRPr="006967F8" w14:paraId="41AC20D6" w14:textId="77777777" w:rsidTr="008A61B1">
        <w:trPr>
          <w:trHeight w:val="255"/>
        </w:trPr>
        <w:tc>
          <w:tcPr>
            <w:tcW w:w="1134" w:type="dxa"/>
            <w:tcBorders>
              <w:top w:val="nil"/>
              <w:left w:val="nil"/>
              <w:bottom w:val="nil"/>
              <w:right w:val="nil"/>
            </w:tcBorders>
            <w:noWrap/>
            <w:vAlign w:val="bottom"/>
            <w:hideMark/>
          </w:tcPr>
          <w:p w14:paraId="0869F2F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4124</w:t>
            </w:r>
          </w:p>
        </w:tc>
        <w:tc>
          <w:tcPr>
            <w:tcW w:w="4962" w:type="dxa"/>
            <w:tcBorders>
              <w:top w:val="nil"/>
              <w:left w:val="nil"/>
              <w:bottom w:val="nil"/>
              <w:right w:val="nil"/>
            </w:tcBorders>
            <w:noWrap/>
            <w:vAlign w:val="bottom"/>
            <w:hideMark/>
          </w:tcPr>
          <w:p w14:paraId="6399CAC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Ostala prava</w:t>
            </w:r>
          </w:p>
        </w:tc>
        <w:tc>
          <w:tcPr>
            <w:tcW w:w="1559" w:type="dxa"/>
            <w:tcBorders>
              <w:top w:val="nil"/>
              <w:left w:val="nil"/>
              <w:bottom w:val="nil"/>
              <w:right w:val="nil"/>
            </w:tcBorders>
            <w:noWrap/>
            <w:vAlign w:val="bottom"/>
            <w:hideMark/>
          </w:tcPr>
          <w:p w14:paraId="1E04720F"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B986D69"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1AA2552"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771,60</w:t>
            </w:r>
          </w:p>
        </w:tc>
        <w:tc>
          <w:tcPr>
            <w:tcW w:w="993" w:type="dxa"/>
            <w:tcBorders>
              <w:top w:val="nil"/>
              <w:left w:val="nil"/>
              <w:bottom w:val="nil"/>
              <w:right w:val="nil"/>
            </w:tcBorders>
            <w:noWrap/>
            <w:vAlign w:val="bottom"/>
            <w:hideMark/>
          </w:tcPr>
          <w:p w14:paraId="47667BE7"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62EDC66" w14:textId="77777777" w:rsidTr="008A61B1">
        <w:trPr>
          <w:trHeight w:val="540"/>
        </w:trPr>
        <w:tc>
          <w:tcPr>
            <w:tcW w:w="1134" w:type="dxa"/>
            <w:tcBorders>
              <w:top w:val="nil"/>
              <w:left w:val="nil"/>
              <w:bottom w:val="nil"/>
              <w:right w:val="nil"/>
            </w:tcBorders>
            <w:noWrap/>
            <w:vAlign w:val="bottom"/>
            <w:hideMark/>
          </w:tcPr>
          <w:p w14:paraId="03749C5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2B9F87D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222ACD5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29.000,00</w:t>
            </w:r>
          </w:p>
        </w:tc>
        <w:tc>
          <w:tcPr>
            <w:tcW w:w="1559" w:type="dxa"/>
            <w:tcBorders>
              <w:top w:val="nil"/>
              <w:left w:val="nil"/>
              <w:bottom w:val="nil"/>
              <w:right w:val="nil"/>
            </w:tcBorders>
            <w:noWrap/>
            <w:vAlign w:val="bottom"/>
            <w:hideMark/>
          </w:tcPr>
          <w:p w14:paraId="5F158AE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29.000,00</w:t>
            </w:r>
          </w:p>
        </w:tc>
        <w:tc>
          <w:tcPr>
            <w:tcW w:w="1559" w:type="dxa"/>
            <w:tcBorders>
              <w:top w:val="nil"/>
              <w:left w:val="nil"/>
              <w:bottom w:val="nil"/>
              <w:right w:val="nil"/>
            </w:tcBorders>
            <w:noWrap/>
            <w:vAlign w:val="bottom"/>
            <w:hideMark/>
          </w:tcPr>
          <w:p w14:paraId="587FA8F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27.505,38</w:t>
            </w:r>
          </w:p>
        </w:tc>
        <w:tc>
          <w:tcPr>
            <w:tcW w:w="993" w:type="dxa"/>
            <w:tcBorders>
              <w:top w:val="nil"/>
              <w:left w:val="nil"/>
              <w:bottom w:val="nil"/>
              <w:right w:val="nil"/>
            </w:tcBorders>
            <w:noWrap/>
            <w:vAlign w:val="bottom"/>
            <w:hideMark/>
          </w:tcPr>
          <w:p w14:paraId="348324F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94,85%</w:t>
            </w:r>
          </w:p>
        </w:tc>
      </w:tr>
      <w:tr w:rsidR="006967F8" w:rsidRPr="006967F8" w14:paraId="44C8D8C2" w14:textId="77777777" w:rsidTr="008A61B1">
        <w:trPr>
          <w:trHeight w:val="255"/>
        </w:trPr>
        <w:tc>
          <w:tcPr>
            <w:tcW w:w="1134" w:type="dxa"/>
            <w:tcBorders>
              <w:top w:val="nil"/>
              <w:left w:val="nil"/>
              <w:bottom w:val="nil"/>
              <w:right w:val="nil"/>
            </w:tcBorders>
            <w:noWrap/>
            <w:vAlign w:val="bottom"/>
            <w:hideMark/>
          </w:tcPr>
          <w:p w14:paraId="6EC9EA6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4221</w:t>
            </w:r>
          </w:p>
        </w:tc>
        <w:tc>
          <w:tcPr>
            <w:tcW w:w="4962" w:type="dxa"/>
            <w:tcBorders>
              <w:top w:val="nil"/>
              <w:left w:val="nil"/>
              <w:bottom w:val="nil"/>
              <w:right w:val="nil"/>
            </w:tcBorders>
            <w:noWrap/>
            <w:vAlign w:val="bottom"/>
            <w:hideMark/>
          </w:tcPr>
          <w:p w14:paraId="533257D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Uredska oprema i namještaj</w:t>
            </w:r>
          </w:p>
        </w:tc>
        <w:tc>
          <w:tcPr>
            <w:tcW w:w="1559" w:type="dxa"/>
            <w:tcBorders>
              <w:top w:val="nil"/>
              <w:left w:val="nil"/>
              <w:bottom w:val="nil"/>
              <w:right w:val="nil"/>
            </w:tcBorders>
            <w:noWrap/>
            <w:vAlign w:val="bottom"/>
            <w:hideMark/>
          </w:tcPr>
          <w:p w14:paraId="4D60DEFF"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857BB33"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8B54FD7"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5.340,55</w:t>
            </w:r>
          </w:p>
        </w:tc>
        <w:tc>
          <w:tcPr>
            <w:tcW w:w="993" w:type="dxa"/>
            <w:tcBorders>
              <w:top w:val="nil"/>
              <w:left w:val="nil"/>
              <w:bottom w:val="nil"/>
              <w:right w:val="nil"/>
            </w:tcBorders>
            <w:noWrap/>
            <w:vAlign w:val="bottom"/>
            <w:hideMark/>
          </w:tcPr>
          <w:p w14:paraId="5EC4F3C6"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EE5D856" w14:textId="77777777" w:rsidTr="008A61B1">
        <w:trPr>
          <w:trHeight w:val="255"/>
        </w:trPr>
        <w:tc>
          <w:tcPr>
            <w:tcW w:w="1134" w:type="dxa"/>
            <w:tcBorders>
              <w:top w:val="nil"/>
              <w:left w:val="nil"/>
              <w:bottom w:val="nil"/>
              <w:right w:val="nil"/>
            </w:tcBorders>
            <w:noWrap/>
            <w:vAlign w:val="bottom"/>
            <w:hideMark/>
          </w:tcPr>
          <w:p w14:paraId="68305E8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4222</w:t>
            </w:r>
          </w:p>
        </w:tc>
        <w:tc>
          <w:tcPr>
            <w:tcW w:w="4962" w:type="dxa"/>
            <w:tcBorders>
              <w:top w:val="nil"/>
              <w:left w:val="nil"/>
              <w:bottom w:val="nil"/>
              <w:right w:val="nil"/>
            </w:tcBorders>
            <w:noWrap/>
            <w:vAlign w:val="bottom"/>
            <w:hideMark/>
          </w:tcPr>
          <w:p w14:paraId="22A7F30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Komunikacijska oprema</w:t>
            </w:r>
          </w:p>
        </w:tc>
        <w:tc>
          <w:tcPr>
            <w:tcW w:w="1559" w:type="dxa"/>
            <w:tcBorders>
              <w:top w:val="nil"/>
              <w:left w:val="nil"/>
              <w:bottom w:val="nil"/>
              <w:right w:val="nil"/>
            </w:tcBorders>
            <w:noWrap/>
            <w:vAlign w:val="bottom"/>
            <w:hideMark/>
          </w:tcPr>
          <w:p w14:paraId="202443E5"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A4D5992"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4720469"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4.804,98</w:t>
            </w:r>
          </w:p>
        </w:tc>
        <w:tc>
          <w:tcPr>
            <w:tcW w:w="993" w:type="dxa"/>
            <w:tcBorders>
              <w:top w:val="nil"/>
              <w:left w:val="nil"/>
              <w:bottom w:val="nil"/>
              <w:right w:val="nil"/>
            </w:tcBorders>
            <w:noWrap/>
            <w:vAlign w:val="bottom"/>
            <w:hideMark/>
          </w:tcPr>
          <w:p w14:paraId="5520303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05B25CC" w14:textId="77777777" w:rsidTr="008A61B1">
        <w:trPr>
          <w:trHeight w:val="255"/>
        </w:trPr>
        <w:tc>
          <w:tcPr>
            <w:tcW w:w="1134" w:type="dxa"/>
            <w:tcBorders>
              <w:top w:val="nil"/>
              <w:left w:val="nil"/>
              <w:bottom w:val="nil"/>
              <w:right w:val="nil"/>
            </w:tcBorders>
            <w:noWrap/>
            <w:vAlign w:val="bottom"/>
            <w:hideMark/>
          </w:tcPr>
          <w:p w14:paraId="62A943D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4223</w:t>
            </w:r>
          </w:p>
        </w:tc>
        <w:tc>
          <w:tcPr>
            <w:tcW w:w="4962" w:type="dxa"/>
            <w:tcBorders>
              <w:top w:val="nil"/>
              <w:left w:val="nil"/>
              <w:bottom w:val="nil"/>
              <w:right w:val="nil"/>
            </w:tcBorders>
            <w:noWrap/>
            <w:vAlign w:val="bottom"/>
            <w:hideMark/>
          </w:tcPr>
          <w:p w14:paraId="129C7ED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Oprema za održavanje i zaštitu</w:t>
            </w:r>
          </w:p>
        </w:tc>
        <w:tc>
          <w:tcPr>
            <w:tcW w:w="1559" w:type="dxa"/>
            <w:tcBorders>
              <w:top w:val="nil"/>
              <w:left w:val="nil"/>
              <w:bottom w:val="nil"/>
              <w:right w:val="nil"/>
            </w:tcBorders>
            <w:noWrap/>
            <w:vAlign w:val="bottom"/>
            <w:hideMark/>
          </w:tcPr>
          <w:p w14:paraId="18BA37D3"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AFC64F5"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FB9D388"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14.959,97</w:t>
            </w:r>
          </w:p>
        </w:tc>
        <w:tc>
          <w:tcPr>
            <w:tcW w:w="993" w:type="dxa"/>
            <w:tcBorders>
              <w:top w:val="nil"/>
              <w:left w:val="nil"/>
              <w:bottom w:val="nil"/>
              <w:right w:val="nil"/>
            </w:tcBorders>
            <w:noWrap/>
            <w:vAlign w:val="bottom"/>
            <w:hideMark/>
          </w:tcPr>
          <w:p w14:paraId="16F50205"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AC57D3F" w14:textId="77777777" w:rsidTr="008A61B1">
        <w:trPr>
          <w:trHeight w:val="255"/>
        </w:trPr>
        <w:tc>
          <w:tcPr>
            <w:tcW w:w="1134" w:type="dxa"/>
            <w:tcBorders>
              <w:top w:val="nil"/>
              <w:left w:val="nil"/>
              <w:bottom w:val="nil"/>
              <w:right w:val="nil"/>
            </w:tcBorders>
            <w:noWrap/>
            <w:vAlign w:val="bottom"/>
            <w:hideMark/>
          </w:tcPr>
          <w:p w14:paraId="53C5F4D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4226</w:t>
            </w:r>
          </w:p>
        </w:tc>
        <w:tc>
          <w:tcPr>
            <w:tcW w:w="4962" w:type="dxa"/>
            <w:tcBorders>
              <w:top w:val="nil"/>
              <w:left w:val="nil"/>
              <w:bottom w:val="nil"/>
              <w:right w:val="nil"/>
            </w:tcBorders>
            <w:noWrap/>
            <w:vAlign w:val="bottom"/>
            <w:hideMark/>
          </w:tcPr>
          <w:p w14:paraId="6C4F1EB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Sportska i glazbena oprema</w:t>
            </w:r>
          </w:p>
        </w:tc>
        <w:tc>
          <w:tcPr>
            <w:tcW w:w="1559" w:type="dxa"/>
            <w:tcBorders>
              <w:top w:val="nil"/>
              <w:left w:val="nil"/>
              <w:bottom w:val="nil"/>
              <w:right w:val="nil"/>
            </w:tcBorders>
            <w:noWrap/>
            <w:vAlign w:val="bottom"/>
            <w:hideMark/>
          </w:tcPr>
          <w:p w14:paraId="325961CA"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A095508"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30FD4CB"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2.399,88</w:t>
            </w:r>
          </w:p>
        </w:tc>
        <w:tc>
          <w:tcPr>
            <w:tcW w:w="993" w:type="dxa"/>
            <w:tcBorders>
              <w:top w:val="nil"/>
              <w:left w:val="nil"/>
              <w:bottom w:val="nil"/>
              <w:right w:val="nil"/>
            </w:tcBorders>
            <w:noWrap/>
            <w:vAlign w:val="bottom"/>
            <w:hideMark/>
          </w:tcPr>
          <w:p w14:paraId="51635520"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9D95E3D"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562C4CF"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3. VLASTITI PRIHODI</w:t>
            </w:r>
          </w:p>
        </w:tc>
        <w:tc>
          <w:tcPr>
            <w:tcW w:w="1559" w:type="dxa"/>
            <w:tcBorders>
              <w:top w:val="nil"/>
              <w:left w:val="nil"/>
              <w:bottom w:val="nil"/>
              <w:right w:val="nil"/>
            </w:tcBorders>
            <w:shd w:val="clear" w:color="000000" w:fill="CCCCFF"/>
            <w:noWrap/>
            <w:vAlign w:val="bottom"/>
            <w:hideMark/>
          </w:tcPr>
          <w:p w14:paraId="29251AD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35.005,00</w:t>
            </w:r>
          </w:p>
        </w:tc>
        <w:tc>
          <w:tcPr>
            <w:tcW w:w="1559" w:type="dxa"/>
            <w:tcBorders>
              <w:top w:val="nil"/>
              <w:left w:val="nil"/>
              <w:bottom w:val="nil"/>
              <w:right w:val="nil"/>
            </w:tcBorders>
            <w:shd w:val="clear" w:color="000000" w:fill="CCCCFF"/>
            <w:noWrap/>
            <w:vAlign w:val="bottom"/>
            <w:hideMark/>
          </w:tcPr>
          <w:p w14:paraId="0F832AD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35.005,00</w:t>
            </w:r>
          </w:p>
        </w:tc>
        <w:tc>
          <w:tcPr>
            <w:tcW w:w="1559" w:type="dxa"/>
            <w:tcBorders>
              <w:top w:val="nil"/>
              <w:left w:val="nil"/>
              <w:bottom w:val="nil"/>
              <w:right w:val="nil"/>
            </w:tcBorders>
            <w:shd w:val="clear" w:color="000000" w:fill="CCCCFF"/>
            <w:noWrap/>
            <w:vAlign w:val="bottom"/>
            <w:hideMark/>
          </w:tcPr>
          <w:p w14:paraId="360FE65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29.529,89</w:t>
            </w:r>
          </w:p>
        </w:tc>
        <w:tc>
          <w:tcPr>
            <w:tcW w:w="993" w:type="dxa"/>
            <w:tcBorders>
              <w:top w:val="nil"/>
              <w:left w:val="nil"/>
              <w:bottom w:val="nil"/>
              <w:right w:val="nil"/>
            </w:tcBorders>
            <w:shd w:val="clear" w:color="000000" w:fill="CCCCFF"/>
            <w:noWrap/>
            <w:vAlign w:val="bottom"/>
            <w:hideMark/>
          </w:tcPr>
          <w:p w14:paraId="1B04FFE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84,36%</w:t>
            </w:r>
          </w:p>
        </w:tc>
      </w:tr>
      <w:tr w:rsidR="006967F8" w:rsidRPr="006967F8" w14:paraId="4EB6C094"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3011B89"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3.2. Vlastiti prihodi proračunskih korisnika</w:t>
            </w:r>
          </w:p>
        </w:tc>
        <w:tc>
          <w:tcPr>
            <w:tcW w:w="1559" w:type="dxa"/>
            <w:tcBorders>
              <w:top w:val="nil"/>
              <w:left w:val="nil"/>
              <w:bottom w:val="nil"/>
              <w:right w:val="nil"/>
            </w:tcBorders>
            <w:shd w:val="clear" w:color="000000" w:fill="CCCCFF"/>
            <w:noWrap/>
            <w:vAlign w:val="bottom"/>
            <w:hideMark/>
          </w:tcPr>
          <w:p w14:paraId="2C8A144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35.005,00</w:t>
            </w:r>
          </w:p>
        </w:tc>
        <w:tc>
          <w:tcPr>
            <w:tcW w:w="1559" w:type="dxa"/>
            <w:tcBorders>
              <w:top w:val="nil"/>
              <w:left w:val="nil"/>
              <w:bottom w:val="nil"/>
              <w:right w:val="nil"/>
            </w:tcBorders>
            <w:shd w:val="clear" w:color="000000" w:fill="CCCCFF"/>
            <w:noWrap/>
            <w:vAlign w:val="bottom"/>
            <w:hideMark/>
          </w:tcPr>
          <w:p w14:paraId="4839133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35.005,00</w:t>
            </w:r>
          </w:p>
        </w:tc>
        <w:tc>
          <w:tcPr>
            <w:tcW w:w="1559" w:type="dxa"/>
            <w:tcBorders>
              <w:top w:val="nil"/>
              <w:left w:val="nil"/>
              <w:bottom w:val="nil"/>
              <w:right w:val="nil"/>
            </w:tcBorders>
            <w:shd w:val="clear" w:color="000000" w:fill="CCCCFF"/>
            <w:noWrap/>
            <w:vAlign w:val="bottom"/>
            <w:hideMark/>
          </w:tcPr>
          <w:p w14:paraId="50A388B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29.529,89</w:t>
            </w:r>
          </w:p>
        </w:tc>
        <w:tc>
          <w:tcPr>
            <w:tcW w:w="993" w:type="dxa"/>
            <w:tcBorders>
              <w:top w:val="nil"/>
              <w:left w:val="nil"/>
              <w:bottom w:val="nil"/>
              <w:right w:val="nil"/>
            </w:tcBorders>
            <w:shd w:val="clear" w:color="000000" w:fill="CCCCFF"/>
            <w:noWrap/>
            <w:vAlign w:val="bottom"/>
            <w:hideMark/>
          </w:tcPr>
          <w:p w14:paraId="2CBFA20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84,36%</w:t>
            </w:r>
          </w:p>
        </w:tc>
      </w:tr>
      <w:tr w:rsidR="006967F8" w:rsidRPr="006967F8" w14:paraId="63551BF8" w14:textId="77777777" w:rsidTr="008A61B1">
        <w:trPr>
          <w:trHeight w:val="255"/>
        </w:trPr>
        <w:tc>
          <w:tcPr>
            <w:tcW w:w="1134" w:type="dxa"/>
            <w:tcBorders>
              <w:top w:val="nil"/>
              <w:left w:val="nil"/>
              <w:bottom w:val="nil"/>
              <w:right w:val="nil"/>
            </w:tcBorders>
            <w:noWrap/>
            <w:vAlign w:val="bottom"/>
            <w:hideMark/>
          </w:tcPr>
          <w:p w14:paraId="5406BAC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2138CD1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1B20F94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22.505,00</w:t>
            </w:r>
          </w:p>
        </w:tc>
        <w:tc>
          <w:tcPr>
            <w:tcW w:w="1559" w:type="dxa"/>
            <w:tcBorders>
              <w:top w:val="nil"/>
              <w:left w:val="nil"/>
              <w:bottom w:val="nil"/>
              <w:right w:val="nil"/>
            </w:tcBorders>
            <w:noWrap/>
            <w:vAlign w:val="bottom"/>
            <w:hideMark/>
          </w:tcPr>
          <w:p w14:paraId="5B07A6F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22.505,00</w:t>
            </w:r>
          </w:p>
        </w:tc>
        <w:tc>
          <w:tcPr>
            <w:tcW w:w="1559" w:type="dxa"/>
            <w:tcBorders>
              <w:top w:val="nil"/>
              <w:left w:val="nil"/>
              <w:bottom w:val="nil"/>
              <w:right w:val="nil"/>
            </w:tcBorders>
            <w:noWrap/>
            <w:vAlign w:val="bottom"/>
            <w:hideMark/>
          </w:tcPr>
          <w:p w14:paraId="4F9CC52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18.740,71</w:t>
            </w:r>
          </w:p>
        </w:tc>
        <w:tc>
          <w:tcPr>
            <w:tcW w:w="993" w:type="dxa"/>
            <w:tcBorders>
              <w:top w:val="nil"/>
              <w:left w:val="nil"/>
              <w:bottom w:val="nil"/>
              <w:right w:val="nil"/>
            </w:tcBorders>
            <w:noWrap/>
            <w:vAlign w:val="bottom"/>
            <w:hideMark/>
          </w:tcPr>
          <w:p w14:paraId="4C43E28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83,27%</w:t>
            </w:r>
          </w:p>
        </w:tc>
      </w:tr>
      <w:tr w:rsidR="006967F8" w:rsidRPr="006967F8" w14:paraId="73D06D13" w14:textId="77777777" w:rsidTr="008A61B1">
        <w:trPr>
          <w:trHeight w:val="255"/>
        </w:trPr>
        <w:tc>
          <w:tcPr>
            <w:tcW w:w="1134" w:type="dxa"/>
            <w:tcBorders>
              <w:top w:val="nil"/>
              <w:left w:val="nil"/>
              <w:bottom w:val="nil"/>
              <w:right w:val="nil"/>
            </w:tcBorders>
            <w:noWrap/>
            <w:vAlign w:val="bottom"/>
            <w:hideMark/>
          </w:tcPr>
          <w:p w14:paraId="531EE04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3227</w:t>
            </w:r>
          </w:p>
        </w:tc>
        <w:tc>
          <w:tcPr>
            <w:tcW w:w="4962" w:type="dxa"/>
            <w:tcBorders>
              <w:top w:val="nil"/>
              <w:left w:val="nil"/>
              <w:bottom w:val="nil"/>
              <w:right w:val="nil"/>
            </w:tcBorders>
            <w:noWrap/>
            <w:vAlign w:val="bottom"/>
            <w:hideMark/>
          </w:tcPr>
          <w:p w14:paraId="628E957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Službena, radna i zaštitna odjeća i obuća</w:t>
            </w:r>
          </w:p>
        </w:tc>
        <w:tc>
          <w:tcPr>
            <w:tcW w:w="1559" w:type="dxa"/>
            <w:tcBorders>
              <w:top w:val="nil"/>
              <w:left w:val="nil"/>
              <w:bottom w:val="nil"/>
              <w:right w:val="nil"/>
            </w:tcBorders>
            <w:noWrap/>
            <w:vAlign w:val="bottom"/>
            <w:hideMark/>
          </w:tcPr>
          <w:p w14:paraId="13093E11"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49ED65C"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C926C80"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7.901,80</w:t>
            </w:r>
          </w:p>
        </w:tc>
        <w:tc>
          <w:tcPr>
            <w:tcW w:w="993" w:type="dxa"/>
            <w:tcBorders>
              <w:top w:val="nil"/>
              <w:left w:val="nil"/>
              <w:bottom w:val="nil"/>
              <w:right w:val="nil"/>
            </w:tcBorders>
            <w:noWrap/>
            <w:vAlign w:val="bottom"/>
            <w:hideMark/>
          </w:tcPr>
          <w:p w14:paraId="5859459D"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EF0D9AF" w14:textId="77777777" w:rsidTr="008A61B1">
        <w:trPr>
          <w:trHeight w:val="255"/>
        </w:trPr>
        <w:tc>
          <w:tcPr>
            <w:tcW w:w="1134" w:type="dxa"/>
            <w:tcBorders>
              <w:top w:val="nil"/>
              <w:left w:val="nil"/>
              <w:bottom w:val="nil"/>
              <w:right w:val="nil"/>
            </w:tcBorders>
            <w:noWrap/>
            <w:vAlign w:val="bottom"/>
            <w:hideMark/>
          </w:tcPr>
          <w:p w14:paraId="1DF5785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3232</w:t>
            </w:r>
          </w:p>
        </w:tc>
        <w:tc>
          <w:tcPr>
            <w:tcW w:w="4962" w:type="dxa"/>
            <w:tcBorders>
              <w:top w:val="nil"/>
              <w:left w:val="nil"/>
              <w:bottom w:val="nil"/>
              <w:right w:val="nil"/>
            </w:tcBorders>
            <w:noWrap/>
            <w:vAlign w:val="bottom"/>
            <w:hideMark/>
          </w:tcPr>
          <w:p w14:paraId="6D15DCE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noWrap/>
            <w:vAlign w:val="bottom"/>
            <w:hideMark/>
          </w:tcPr>
          <w:p w14:paraId="7AC827BC"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BA962E3"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C438796"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6.641,41</w:t>
            </w:r>
          </w:p>
        </w:tc>
        <w:tc>
          <w:tcPr>
            <w:tcW w:w="993" w:type="dxa"/>
            <w:tcBorders>
              <w:top w:val="nil"/>
              <w:left w:val="nil"/>
              <w:bottom w:val="nil"/>
              <w:right w:val="nil"/>
            </w:tcBorders>
            <w:noWrap/>
            <w:vAlign w:val="bottom"/>
            <w:hideMark/>
          </w:tcPr>
          <w:p w14:paraId="25B57FB4"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9DC398B" w14:textId="77777777" w:rsidTr="008A61B1">
        <w:trPr>
          <w:trHeight w:val="255"/>
        </w:trPr>
        <w:tc>
          <w:tcPr>
            <w:tcW w:w="1134" w:type="dxa"/>
            <w:tcBorders>
              <w:top w:val="nil"/>
              <w:left w:val="nil"/>
              <w:bottom w:val="nil"/>
              <w:right w:val="nil"/>
            </w:tcBorders>
            <w:noWrap/>
            <w:vAlign w:val="bottom"/>
            <w:hideMark/>
          </w:tcPr>
          <w:p w14:paraId="38DBD86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3239</w:t>
            </w:r>
          </w:p>
        </w:tc>
        <w:tc>
          <w:tcPr>
            <w:tcW w:w="4962" w:type="dxa"/>
            <w:tcBorders>
              <w:top w:val="nil"/>
              <w:left w:val="nil"/>
              <w:bottom w:val="nil"/>
              <w:right w:val="nil"/>
            </w:tcBorders>
            <w:noWrap/>
            <w:vAlign w:val="bottom"/>
            <w:hideMark/>
          </w:tcPr>
          <w:p w14:paraId="6508D7D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Ostale usluge</w:t>
            </w:r>
          </w:p>
        </w:tc>
        <w:tc>
          <w:tcPr>
            <w:tcW w:w="1559" w:type="dxa"/>
            <w:tcBorders>
              <w:top w:val="nil"/>
              <w:left w:val="nil"/>
              <w:bottom w:val="nil"/>
              <w:right w:val="nil"/>
            </w:tcBorders>
            <w:noWrap/>
            <w:vAlign w:val="bottom"/>
            <w:hideMark/>
          </w:tcPr>
          <w:p w14:paraId="1F4DC580"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59E8A48"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E2BAA46"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4.197,50</w:t>
            </w:r>
          </w:p>
        </w:tc>
        <w:tc>
          <w:tcPr>
            <w:tcW w:w="993" w:type="dxa"/>
            <w:tcBorders>
              <w:top w:val="nil"/>
              <w:left w:val="nil"/>
              <w:bottom w:val="nil"/>
              <w:right w:val="nil"/>
            </w:tcBorders>
            <w:noWrap/>
            <w:vAlign w:val="bottom"/>
            <w:hideMark/>
          </w:tcPr>
          <w:p w14:paraId="5C300928"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039DF48" w14:textId="77777777" w:rsidTr="008A61B1">
        <w:trPr>
          <w:trHeight w:val="555"/>
        </w:trPr>
        <w:tc>
          <w:tcPr>
            <w:tcW w:w="1134" w:type="dxa"/>
            <w:tcBorders>
              <w:top w:val="nil"/>
              <w:left w:val="nil"/>
              <w:bottom w:val="nil"/>
              <w:right w:val="nil"/>
            </w:tcBorders>
            <w:noWrap/>
            <w:vAlign w:val="bottom"/>
            <w:hideMark/>
          </w:tcPr>
          <w:p w14:paraId="5098668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01A3465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6FCED2B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12.500,00</w:t>
            </w:r>
          </w:p>
        </w:tc>
        <w:tc>
          <w:tcPr>
            <w:tcW w:w="1559" w:type="dxa"/>
            <w:tcBorders>
              <w:top w:val="nil"/>
              <w:left w:val="nil"/>
              <w:bottom w:val="nil"/>
              <w:right w:val="nil"/>
            </w:tcBorders>
            <w:noWrap/>
            <w:vAlign w:val="bottom"/>
            <w:hideMark/>
          </w:tcPr>
          <w:p w14:paraId="6C75D4F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12.500,00</w:t>
            </w:r>
          </w:p>
        </w:tc>
        <w:tc>
          <w:tcPr>
            <w:tcW w:w="1559" w:type="dxa"/>
            <w:tcBorders>
              <w:top w:val="nil"/>
              <w:left w:val="nil"/>
              <w:bottom w:val="nil"/>
              <w:right w:val="nil"/>
            </w:tcBorders>
            <w:noWrap/>
            <w:vAlign w:val="bottom"/>
            <w:hideMark/>
          </w:tcPr>
          <w:p w14:paraId="7F793A6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10.789,18</w:t>
            </w:r>
          </w:p>
        </w:tc>
        <w:tc>
          <w:tcPr>
            <w:tcW w:w="993" w:type="dxa"/>
            <w:tcBorders>
              <w:top w:val="nil"/>
              <w:left w:val="nil"/>
              <w:bottom w:val="nil"/>
              <w:right w:val="nil"/>
            </w:tcBorders>
            <w:noWrap/>
            <w:vAlign w:val="bottom"/>
            <w:hideMark/>
          </w:tcPr>
          <w:p w14:paraId="68C1DCA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86,31%</w:t>
            </w:r>
          </w:p>
        </w:tc>
      </w:tr>
      <w:tr w:rsidR="006967F8" w:rsidRPr="006967F8" w14:paraId="01A636C5" w14:textId="77777777" w:rsidTr="008A61B1">
        <w:trPr>
          <w:trHeight w:val="255"/>
        </w:trPr>
        <w:tc>
          <w:tcPr>
            <w:tcW w:w="1134" w:type="dxa"/>
            <w:tcBorders>
              <w:top w:val="nil"/>
              <w:left w:val="nil"/>
              <w:bottom w:val="nil"/>
              <w:right w:val="nil"/>
            </w:tcBorders>
            <w:noWrap/>
            <w:vAlign w:val="bottom"/>
            <w:hideMark/>
          </w:tcPr>
          <w:p w14:paraId="7737C25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4223</w:t>
            </w:r>
          </w:p>
        </w:tc>
        <w:tc>
          <w:tcPr>
            <w:tcW w:w="4962" w:type="dxa"/>
            <w:tcBorders>
              <w:top w:val="nil"/>
              <w:left w:val="nil"/>
              <w:bottom w:val="nil"/>
              <w:right w:val="nil"/>
            </w:tcBorders>
            <w:noWrap/>
            <w:vAlign w:val="bottom"/>
            <w:hideMark/>
          </w:tcPr>
          <w:p w14:paraId="3127871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Oprema za održavanje i zaštitu</w:t>
            </w:r>
          </w:p>
        </w:tc>
        <w:tc>
          <w:tcPr>
            <w:tcW w:w="1559" w:type="dxa"/>
            <w:tcBorders>
              <w:top w:val="nil"/>
              <w:left w:val="nil"/>
              <w:bottom w:val="nil"/>
              <w:right w:val="nil"/>
            </w:tcBorders>
            <w:noWrap/>
            <w:vAlign w:val="bottom"/>
            <w:hideMark/>
          </w:tcPr>
          <w:p w14:paraId="5476E841"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0B8F075"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1EDB976"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10.789,18</w:t>
            </w:r>
          </w:p>
        </w:tc>
        <w:tc>
          <w:tcPr>
            <w:tcW w:w="993" w:type="dxa"/>
            <w:tcBorders>
              <w:top w:val="nil"/>
              <w:left w:val="nil"/>
              <w:bottom w:val="nil"/>
              <w:right w:val="nil"/>
            </w:tcBorders>
            <w:noWrap/>
            <w:vAlign w:val="bottom"/>
            <w:hideMark/>
          </w:tcPr>
          <w:p w14:paraId="17F08836"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4407875"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08FE20E"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0AE01FA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346.614,00</w:t>
            </w:r>
          </w:p>
        </w:tc>
        <w:tc>
          <w:tcPr>
            <w:tcW w:w="1559" w:type="dxa"/>
            <w:tcBorders>
              <w:top w:val="nil"/>
              <w:left w:val="nil"/>
              <w:bottom w:val="nil"/>
              <w:right w:val="nil"/>
            </w:tcBorders>
            <w:shd w:val="clear" w:color="000000" w:fill="CCCCFF"/>
            <w:noWrap/>
            <w:vAlign w:val="bottom"/>
            <w:hideMark/>
          </w:tcPr>
          <w:p w14:paraId="532B5CE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346.614,00</w:t>
            </w:r>
          </w:p>
        </w:tc>
        <w:tc>
          <w:tcPr>
            <w:tcW w:w="1559" w:type="dxa"/>
            <w:tcBorders>
              <w:top w:val="nil"/>
              <w:left w:val="nil"/>
              <w:bottom w:val="nil"/>
              <w:right w:val="nil"/>
            </w:tcBorders>
            <w:shd w:val="clear" w:color="000000" w:fill="CCCCFF"/>
            <w:noWrap/>
            <w:vAlign w:val="bottom"/>
            <w:hideMark/>
          </w:tcPr>
          <w:p w14:paraId="4197E0D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333.114,00</w:t>
            </w:r>
          </w:p>
        </w:tc>
        <w:tc>
          <w:tcPr>
            <w:tcW w:w="993" w:type="dxa"/>
            <w:tcBorders>
              <w:top w:val="nil"/>
              <w:left w:val="nil"/>
              <w:bottom w:val="nil"/>
              <w:right w:val="nil"/>
            </w:tcBorders>
            <w:shd w:val="clear" w:color="000000" w:fill="CCCCFF"/>
            <w:noWrap/>
            <w:vAlign w:val="bottom"/>
            <w:hideMark/>
          </w:tcPr>
          <w:p w14:paraId="7A99403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96,11%</w:t>
            </w:r>
          </w:p>
        </w:tc>
      </w:tr>
      <w:tr w:rsidR="006967F8" w:rsidRPr="006967F8" w14:paraId="5DD43521" w14:textId="77777777" w:rsidTr="008A61B1">
        <w:trPr>
          <w:trHeight w:val="495"/>
        </w:trPr>
        <w:tc>
          <w:tcPr>
            <w:tcW w:w="6096" w:type="dxa"/>
            <w:gridSpan w:val="2"/>
            <w:tcBorders>
              <w:top w:val="nil"/>
              <w:left w:val="nil"/>
              <w:bottom w:val="nil"/>
              <w:right w:val="nil"/>
            </w:tcBorders>
            <w:shd w:val="clear" w:color="000000" w:fill="CCCCFF"/>
            <w:vAlign w:val="bottom"/>
            <w:hideMark/>
          </w:tcPr>
          <w:p w14:paraId="185A06A2"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4.4. Ostali prihodi za posebne namjene proračunskih korisnika</w:t>
            </w:r>
          </w:p>
        </w:tc>
        <w:tc>
          <w:tcPr>
            <w:tcW w:w="1559" w:type="dxa"/>
            <w:tcBorders>
              <w:top w:val="nil"/>
              <w:left w:val="nil"/>
              <w:bottom w:val="nil"/>
              <w:right w:val="nil"/>
            </w:tcBorders>
            <w:shd w:val="clear" w:color="000000" w:fill="CCCCFF"/>
            <w:noWrap/>
            <w:vAlign w:val="bottom"/>
            <w:hideMark/>
          </w:tcPr>
          <w:p w14:paraId="50BD3E6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20.500,00</w:t>
            </w:r>
          </w:p>
        </w:tc>
        <w:tc>
          <w:tcPr>
            <w:tcW w:w="1559" w:type="dxa"/>
            <w:tcBorders>
              <w:top w:val="nil"/>
              <w:left w:val="nil"/>
              <w:bottom w:val="nil"/>
              <w:right w:val="nil"/>
            </w:tcBorders>
            <w:shd w:val="clear" w:color="000000" w:fill="CCCCFF"/>
            <w:noWrap/>
            <w:vAlign w:val="bottom"/>
            <w:hideMark/>
          </w:tcPr>
          <w:p w14:paraId="0710EA0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20.500,00</w:t>
            </w:r>
          </w:p>
        </w:tc>
        <w:tc>
          <w:tcPr>
            <w:tcW w:w="1559" w:type="dxa"/>
            <w:tcBorders>
              <w:top w:val="nil"/>
              <w:left w:val="nil"/>
              <w:bottom w:val="nil"/>
              <w:right w:val="nil"/>
            </w:tcBorders>
            <w:shd w:val="clear" w:color="000000" w:fill="CCCCFF"/>
            <w:noWrap/>
            <w:vAlign w:val="bottom"/>
            <w:hideMark/>
          </w:tcPr>
          <w:p w14:paraId="2EEF409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7.000,00</w:t>
            </w:r>
          </w:p>
        </w:tc>
        <w:tc>
          <w:tcPr>
            <w:tcW w:w="993" w:type="dxa"/>
            <w:tcBorders>
              <w:top w:val="nil"/>
              <w:left w:val="nil"/>
              <w:bottom w:val="nil"/>
              <w:right w:val="nil"/>
            </w:tcBorders>
            <w:shd w:val="clear" w:color="000000" w:fill="CCCCFF"/>
            <w:noWrap/>
            <w:vAlign w:val="bottom"/>
            <w:hideMark/>
          </w:tcPr>
          <w:p w14:paraId="2B8D110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34,15%</w:t>
            </w:r>
          </w:p>
        </w:tc>
      </w:tr>
      <w:tr w:rsidR="006967F8" w:rsidRPr="006967F8" w14:paraId="5997D254" w14:textId="77777777" w:rsidTr="008A61B1">
        <w:trPr>
          <w:trHeight w:val="255"/>
        </w:trPr>
        <w:tc>
          <w:tcPr>
            <w:tcW w:w="1134" w:type="dxa"/>
            <w:tcBorders>
              <w:top w:val="nil"/>
              <w:left w:val="nil"/>
              <w:bottom w:val="nil"/>
              <w:right w:val="nil"/>
            </w:tcBorders>
            <w:noWrap/>
            <w:vAlign w:val="bottom"/>
            <w:hideMark/>
          </w:tcPr>
          <w:p w14:paraId="3107142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779DA60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75F6AC9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20.500,00</w:t>
            </w:r>
          </w:p>
        </w:tc>
        <w:tc>
          <w:tcPr>
            <w:tcW w:w="1559" w:type="dxa"/>
            <w:tcBorders>
              <w:top w:val="nil"/>
              <w:left w:val="nil"/>
              <w:bottom w:val="nil"/>
              <w:right w:val="nil"/>
            </w:tcBorders>
            <w:noWrap/>
            <w:vAlign w:val="bottom"/>
            <w:hideMark/>
          </w:tcPr>
          <w:p w14:paraId="1348CFB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20.500,00</w:t>
            </w:r>
          </w:p>
        </w:tc>
        <w:tc>
          <w:tcPr>
            <w:tcW w:w="1559" w:type="dxa"/>
            <w:tcBorders>
              <w:top w:val="nil"/>
              <w:left w:val="nil"/>
              <w:bottom w:val="nil"/>
              <w:right w:val="nil"/>
            </w:tcBorders>
            <w:noWrap/>
            <w:vAlign w:val="bottom"/>
            <w:hideMark/>
          </w:tcPr>
          <w:p w14:paraId="6B5465E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7.000,00</w:t>
            </w:r>
          </w:p>
        </w:tc>
        <w:tc>
          <w:tcPr>
            <w:tcW w:w="993" w:type="dxa"/>
            <w:tcBorders>
              <w:top w:val="nil"/>
              <w:left w:val="nil"/>
              <w:bottom w:val="nil"/>
              <w:right w:val="nil"/>
            </w:tcBorders>
            <w:noWrap/>
            <w:vAlign w:val="bottom"/>
            <w:hideMark/>
          </w:tcPr>
          <w:p w14:paraId="1FD56BD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34,15%</w:t>
            </w:r>
          </w:p>
        </w:tc>
      </w:tr>
      <w:tr w:rsidR="006967F8" w:rsidRPr="006967F8" w14:paraId="7ADC77F3" w14:textId="77777777" w:rsidTr="008A61B1">
        <w:trPr>
          <w:trHeight w:val="255"/>
        </w:trPr>
        <w:tc>
          <w:tcPr>
            <w:tcW w:w="1134" w:type="dxa"/>
            <w:tcBorders>
              <w:top w:val="nil"/>
              <w:left w:val="nil"/>
              <w:bottom w:val="nil"/>
              <w:right w:val="nil"/>
            </w:tcBorders>
            <w:noWrap/>
            <w:vAlign w:val="bottom"/>
            <w:hideMark/>
          </w:tcPr>
          <w:p w14:paraId="306CC09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3232</w:t>
            </w:r>
          </w:p>
        </w:tc>
        <w:tc>
          <w:tcPr>
            <w:tcW w:w="4962" w:type="dxa"/>
            <w:tcBorders>
              <w:top w:val="nil"/>
              <w:left w:val="nil"/>
              <w:bottom w:val="nil"/>
              <w:right w:val="nil"/>
            </w:tcBorders>
            <w:noWrap/>
            <w:vAlign w:val="bottom"/>
            <w:hideMark/>
          </w:tcPr>
          <w:p w14:paraId="57249BF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noWrap/>
            <w:vAlign w:val="bottom"/>
            <w:hideMark/>
          </w:tcPr>
          <w:p w14:paraId="32816240"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8A2F835"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F18E39F"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7.000,00</w:t>
            </w:r>
          </w:p>
        </w:tc>
        <w:tc>
          <w:tcPr>
            <w:tcW w:w="993" w:type="dxa"/>
            <w:tcBorders>
              <w:top w:val="nil"/>
              <w:left w:val="nil"/>
              <w:bottom w:val="nil"/>
              <w:right w:val="nil"/>
            </w:tcBorders>
            <w:noWrap/>
            <w:vAlign w:val="bottom"/>
            <w:hideMark/>
          </w:tcPr>
          <w:p w14:paraId="48E1007C"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C1D46AC" w14:textId="77777777" w:rsidTr="008A61B1">
        <w:trPr>
          <w:trHeight w:val="585"/>
        </w:trPr>
        <w:tc>
          <w:tcPr>
            <w:tcW w:w="6096" w:type="dxa"/>
            <w:gridSpan w:val="2"/>
            <w:tcBorders>
              <w:top w:val="nil"/>
              <w:left w:val="nil"/>
              <w:bottom w:val="nil"/>
              <w:right w:val="nil"/>
            </w:tcBorders>
            <w:shd w:val="clear" w:color="000000" w:fill="CCCCFF"/>
            <w:vAlign w:val="bottom"/>
            <w:hideMark/>
          </w:tcPr>
          <w:p w14:paraId="76F29C7C"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4.5.  Ostali prihodi za posebne namjene -decentralizacija- JVP</w:t>
            </w:r>
          </w:p>
        </w:tc>
        <w:tc>
          <w:tcPr>
            <w:tcW w:w="1559" w:type="dxa"/>
            <w:tcBorders>
              <w:top w:val="nil"/>
              <w:left w:val="nil"/>
              <w:bottom w:val="nil"/>
              <w:right w:val="nil"/>
            </w:tcBorders>
            <w:shd w:val="clear" w:color="000000" w:fill="CCCCFF"/>
            <w:noWrap/>
            <w:vAlign w:val="bottom"/>
            <w:hideMark/>
          </w:tcPr>
          <w:p w14:paraId="546A40F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326.114,00</w:t>
            </w:r>
          </w:p>
        </w:tc>
        <w:tc>
          <w:tcPr>
            <w:tcW w:w="1559" w:type="dxa"/>
            <w:tcBorders>
              <w:top w:val="nil"/>
              <w:left w:val="nil"/>
              <w:bottom w:val="nil"/>
              <w:right w:val="nil"/>
            </w:tcBorders>
            <w:shd w:val="clear" w:color="000000" w:fill="CCCCFF"/>
            <w:noWrap/>
            <w:vAlign w:val="bottom"/>
            <w:hideMark/>
          </w:tcPr>
          <w:p w14:paraId="0B4A868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326.114,00</w:t>
            </w:r>
          </w:p>
        </w:tc>
        <w:tc>
          <w:tcPr>
            <w:tcW w:w="1559" w:type="dxa"/>
            <w:tcBorders>
              <w:top w:val="nil"/>
              <w:left w:val="nil"/>
              <w:bottom w:val="nil"/>
              <w:right w:val="nil"/>
            </w:tcBorders>
            <w:shd w:val="clear" w:color="000000" w:fill="CCCCFF"/>
            <w:noWrap/>
            <w:vAlign w:val="bottom"/>
            <w:hideMark/>
          </w:tcPr>
          <w:p w14:paraId="4517406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326.114,00</w:t>
            </w:r>
          </w:p>
        </w:tc>
        <w:tc>
          <w:tcPr>
            <w:tcW w:w="993" w:type="dxa"/>
            <w:tcBorders>
              <w:top w:val="nil"/>
              <w:left w:val="nil"/>
              <w:bottom w:val="nil"/>
              <w:right w:val="nil"/>
            </w:tcBorders>
            <w:shd w:val="clear" w:color="000000" w:fill="CCCCFF"/>
            <w:noWrap/>
            <w:vAlign w:val="bottom"/>
            <w:hideMark/>
          </w:tcPr>
          <w:p w14:paraId="280FAAE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34558163" w14:textId="77777777" w:rsidTr="008A61B1">
        <w:trPr>
          <w:trHeight w:val="255"/>
        </w:trPr>
        <w:tc>
          <w:tcPr>
            <w:tcW w:w="1134" w:type="dxa"/>
            <w:tcBorders>
              <w:top w:val="nil"/>
              <w:left w:val="nil"/>
              <w:bottom w:val="nil"/>
              <w:right w:val="nil"/>
            </w:tcBorders>
            <w:noWrap/>
            <w:vAlign w:val="bottom"/>
            <w:hideMark/>
          </w:tcPr>
          <w:p w14:paraId="0A2D290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31</w:t>
            </w:r>
          </w:p>
        </w:tc>
        <w:tc>
          <w:tcPr>
            <w:tcW w:w="4962" w:type="dxa"/>
            <w:tcBorders>
              <w:top w:val="nil"/>
              <w:left w:val="nil"/>
              <w:bottom w:val="nil"/>
              <w:right w:val="nil"/>
            </w:tcBorders>
            <w:noWrap/>
            <w:vAlign w:val="bottom"/>
            <w:hideMark/>
          </w:tcPr>
          <w:p w14:paraId="018AA9D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zaposlene</w:t>
            </w:r>
          </w:p>
        </w:tc>
        <w:tc>
          <w:tcPr>
            <w:tcW w:w="1559" w:type="dxa"/>
            <w:tcBorders>
              <w:top w:val="nil"/>
              <w:left w:val="nil"/>
              <w:bottom w:val="nil"/>
              <w:right w:val="nil"/>
            </w:tcBorders>
            <w:noWrap/>
            <w:vAlign w:val="bottom"/>
            <w:hideMark/>
          </w:tcPr>
          <w:p w14:paraId="3FA333F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326.114,00</w:t>
            </w:r>
          </w:p>
        </w:tc>
        <w:tc>
          <w:tcPr>
            <w:tcW w:w="1559" w:type="dxa"/>
            <w:tcBorders>
              <w:top w:val="nil"/>
              <w:left w:val="nil"/>
              <w:bottom w:val="nil"/>
              <w:right w:val="nil"/>
            </w:tcBorders>
            <w:noWrap/>
            <w:vAlign w:val="bottom"/>
            <w:hideMark/>
          </w:tcPr>
          <w:p w14:paraId="730E4D4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326.114,00</w:t>
            </w:r>
          </w:p>
        </w:tc>
        <w:tc>
          <w:tcPr>
            <w:tcW w:w="1559" w:type="dxa"/>
            <w:tcBorders>
              <w:top w:val="nil"/>
              <w:left w:val="nil"/>
              <w:bottom w:val="nil"/>
              <w:right w:val="nil"/>
            </w:tcBorders>
            <w:noWrap/>
            <w:vAlign w:val="bottom"/>
            <w:hideMark/>
          </w:tcPr>
          <w:p w14:paraId="06B8407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326.114,00</w:t>
            </w:r>
          </w:p>
        </w:tc>
        <w:tc>
          <w:tcPr>
            <w:tcW w:w="993" w:type="dxa"/>
            <w:tcBorders>
              <w:top w:val="nil"/>
              <w:left w:val="nil"/>
              <w:bottom w:val="nil"/>
              <w:right w:val="nil"/>
            </w:tcBorders>
            <w:noWrap/>
            <w:vAlign w:val="bottom"/>
            <w:hideMark/>
          </w:tcPr>
          <w:p w14:paraId="658EDA3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r>
      <w:tr w:rsidR="006967F8" w:rsidRPr="006967F8" w14:paraId="7C002054" w14:textId="77777777" w:rsidTr="008A61B1">
        <w:trPr>
          <w:trHeight w:val="255"/>
        </w:trPr>
        <w:tc>
          <w:tcPr>
            <w:tcW w:w="1134" w:type="dxa"/>
            <w:tcBorders>
              <w:top w:val="nil"/>
              <w:left w:val="nil"/>
              <w:bottom w:val="nil"/>
              <w:right w:val="nil"/>
            </w:tcBorders>
            <w:noWrap/>
            <w:vAlign w:val="bottom"/>
            <w:hideMark/>
          </w:tcPr>
          <w:p w14:paraId="4F5188E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3111</w:t>
            </w:r>
          </w:p>
        </w:tc>
        <w:tc>
          <w:tcPr>
            <w:tcW w:w="4962" w:type="dxa"/>
            <w:tcBorders>
              <w:top w:val="nil"/>
              <w:left w:val="nil"/>
              <w:bottom w:val="nil"/>
              <w:right w:val="nil"/>
            </w:tcBorders>
            <w:noWrap/>
            <w:vAlign w:val="bottom"/>
            <w:hideMark/>
          </w:tcPr>
          <w:p w14:paraId="05FE133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Plaće za redovan rad</w:t>
            </w:r>
          </w:p>
        </w:tc>
        <w:tc>
          <w:tcPr>
            <w:tcW w:w="1559" w:type="dxa"/>
            <w:tcBorders>
              <w:top w:val="nil"/>
              <w:left w:val="nil"/>
              <w:bottom w:val="nil"/>
              <w:right w:val="nil"/>
            </w:tcBorders>
            <w:noWrap/>
            <w:vAlign w:val="bottom"/>
            <w:hideMark/>
          </w:tcPr>
          <w:p w14:paraId="7F34AE4C"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30FA115"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9A365B1"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326.114,00</w:t>
            </w:r>
          </w:p>
        </w:tc>
        <w:tc>
          <w:tcPr>
            <w:tcW w:w="993" w:type="dxa"/>
            <w:tcBorders>
              <w:top w:val="nil"/>
              <w:left w:val="nil"/>
              <w:bottom w:val="nil"/>
              <w:right w:val="nil"/>
            </w:tcBorders>
            <w:noWrap/>
            <w:vAlign w:val="bottom"/>
            <w:hideMark/>
          </w:tcPr>
          <w:p w14:paraId="7C810094"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D526380"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BE52C61"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6. DONACIJE</w:t>
            </w:r>
          </w:p>
        </w:tc>
        <w:tc>
          <w:tcPr>
            <w:tcW w:w="1559" w:type="dxa"/>
            <w:tcBorders>
              <w:top w:val="nil"/>
              <w:left w:val="nil"/>
              <w:bottom w:val="nil"/>
              <w:right w:val="nil"/>
            </w:tcBorders>
            <w:shd w:val="clear" w:color="000000" w:fill="CCCCFF"/>
            <w:noWrap/>
            <w:vAlign w:val="bottom"/>
            <w:hideMark/>
          </w:tcPr>
          <w:p w14:paraId="11E4547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w:t>
            </w:r>
          </w:p>
        </w:tc>
        <w:tc>
          <w:tcPr>
            <w:tcW w:w="1559" w:type="dxa"/>
            <w:tcBorders>
              <w:top w:val="nil"/>
              <w:left w:val="nil"/>
              <w:bottom w:val="nil"/>
              <w:right w:val="nil"/>
            </w:tcBorders>
            <w:shd w:val="clear" w:color="000000" w:fill="CCCCFF"/>
            <w:noWrap/>
            <w:vAlign w:val="bottom"/>
            <w:hideMark/>
          </w:tcPr>
          <w:p w14:paraId="7F88264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w:t>
            </w:r>
          </w:p>
        </w:tc>
        <w:tc>
          <w:tcPr>
            <w:tcW w:w="1559" w:type="dxa"/>
            <w:tcBorders>
              <w:top w:val="nil"/>
              <w:left w:val="nil"/>
              <w:bottom w:val="nil"/>
              <w:right w:val="nil"/>
            </w:tcBorders>
            <w:shd w:val="clear" w:color="000000" w:fill="CCCCFF"/>
            <w:noWrap/>
            <w:vAlign w:val="bottom"/>
            <w:hideMark/>
          </w:tcPr>
          <w:p w14:paraId="25323B1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13123A4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460853D5"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CBFF7B3"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6.2. Donacije proračunskih korisnika</w:t>
            </w:r>
          </w:p>
        </w:tc>
        <w:tc>
          <w:tcPr>
            <w:tcW w:w="1559" w:type="dxa"/>
            <w:tcBorders>
              <w:top w:val="nil"/>
              <w:left w:val="nil"/>
              <w:bottom w:val="nil"/>
              <w:right w:val="nil"/>
            </w:tcBorders>
            <w:shd w:val="clear" w:color="000000" w:fill="CCCCFF"/>
            <w:noWrap/>
            <w:vAlign w:val="bottom"/>
            <w:hideMark/>
          </w:tcPr>
          <w:p w14:paraId="0B8E4B7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w:t>
            </w:r>
          </w:p>
        </w:tc>
        <w:tc>
          <w:tcPr>
            <w:tcW w:w="1559" w:type="dxa"/>
            <w:tcBorders>
              <w:top w:val="nil"/>
              <w:left w:val="nil"/>
              <w:bottom w:val="nil"/>
              <w:right w:val="nil"/>
            </w:tcBorders>
            <w:shd w:val="clear" w:color="000000" w:fill="CCCCFF"/>
            <w:noWrap/>
            <w:vAlign w:val="bottom"/>
            <w:hideMark/>
          </w:tcPr>
          <w:p w14:paraId="6CF2125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w:t>
            </w:r>
          </w:p>
        </w:tc>
        <w:tc>
          <w:tcPr>
            <w:tcW w:w="1559" w:type="dxa"/>
            <w:tcBorders>
              <w:top w:val="nil"/>
              <w:left w:val="nil"/>
              <w:bottom w:val="nil"/>
              <w:right w:val="nil"/>
            </w:tcBorders>
            <w:shd w:val="clear" w:color="000000" w:fill="CCCCFF"/>
            <w:noWrap/>
            <w:vAlign w:val="bottom"/>
            <w:hideMark/>
          </w:tcPr>
          <w:p w14:paraId="1DB63B9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7319F63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2D809919" w14:textId="77777777" w:rsidTr="008A61B1">
        <w:trPr>
          <w:trHeight w:val="540"/>
        </w:trPr>
        <w:tc>
          <w:tcPr>
            <w:tcW w:w="1134" w:type="dxa"/>
            <w:tcBorders>
              <w:top w:val="nil"/>
              <w:left w:val="nil"/>
              <w:bottom w:val="nil"/>
              <w:right w:val="nil"/>
            </w:tcBorders>
            <w:noWrap/>
            <w:vAlign w:val="bottom"/>
            <w:hideMark/>
          </w:tcPr>
          <w:p w14:paraId="4884EBE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2E5B728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0545B54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w:t>
            </w:r>
          </w:p>
        </w:tc>
        <w:tc>
          <w:tcPr>
            <w:tcW w:w="1559" w:type="dxa"/>
            <w:tcBorders>
              <w:top w:val="nil"/>
              <w:left w:val="nil"/>
              <w:bottom w:val="nil"/>
              <w:right w:val="nil"/>
            </w:tcBorders>
            <w:noWrap/>
            <w:vAlign w:val="bottom"/>
            <w:hideMark/>
          </w:tcPr>
          <w:p w14:paraId="5E4857E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w:t>
            </w:r>
          </w:p>
        </w:tc>
        <w:tc>
          <w:tcPr>
            <w:tcW w:w="1559" w:type="dxa"/>
            <w:tcBorders>
              <w:top w:val="nil"/>
              <w:left w:val="nil"/>
              <w:bottom w:val="nil"/>
              <w:right w:val="nil"/>
            </w:tcBorders>
            <w:noWrap/>
            <w:vAlign w:val="bottom"/>
            <w:hideMark/>
          </w:tcPr>
          <w:p w14:paraId="186052F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425AB93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0D6345FE" w14:textId="77777777" w:rsidTr="008A61B1">
        <w:trPr>
          <w:trHeight w:val="540"/>
        </w:trPr>
        <w:tc>
          <w:tcPr>
            <w:tcW w:w="6096" w:type="dxa"/>
            <w:gridSpan w:val="2"/>
            <w:tcBorders>
              <w:top w:val="nil"/>
              <w:left w:val="nil"/>
              <w:bottom w:val="nil"/>
              <w:right w:val="nil"/>
            </w:tcBorders>
            <w:shd w:val="clear" w:color="000000" w:fill="FFFF99"/>
            <w:vAlign w:val="bottom"/>
            <w:hideMark/>
          </w:tcPr>
          <w:p w14:paraId="397E224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K100082 Kapitalni projekt: NABAVA NOVOG VATROGASNOG VOZILA </w:t>
            </w:r>
          </w:p>
        </w:tc>
        <w:tc>
          <w:tcPr>
            <w:tcW w:w="1559" w:type="dxa"/>
            <w:tcBorders>
              <w:top w:val="nil"/>
              <w:left w:val="nil"/>
              <w:bottom w:val="nil"/>
              <w:right w:val="nil"/>
            </w:tcBorders>
            <w:shd w:val="clear" w:color="000000" w:fill="FFFF99"/>
            <w:noWrap/>
            <w:vAlign w:val="bottom"/>
            <w:hideMark/>
          </w:tcPr>
          <w:p w14:paraId="36F6FC7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28.200,00</w:t>
            </w:r>
          </w:p>
        </w:tc>
        <w:tc>
          <w:tcPr>
            <w:tcW w:w="1559" w:type="dxa"/>
            <w:tcBorders>
              <w:top w:val="nil"/>
              <w:left w:val="nil"/>
              <w:bottom w:val="nil"/>
              <w:right w:val="nil"/>
            </w:tcBorders>
            <w:shd w:val="clear" w:color="000000" w:fill="FFFF99"/>
            <w:noWrap/>
            <w:vAlign w:val="bottom"/>
            <w:hideMark/>
          </w:tcPr>
          <w:p w14:paraId="3C3FBA1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28.200,00</w:t>
            </w:r>
          </w:p>
        </w:tc>
        <w:tc>
          <w:tcPr>
            <w:tcW w:w="1559" w:type="dxa"/>
            <w:tcBorders>
              <w:top w:val="nil"/>
              <w:left w:val="nil"/>
              <w:bottom w:val="nil"/>
              <w:right w:val="nil"/>
            </w:tcBorders>
            <w:shd w:val="clear" w:color="000000" w:fill="FFFF99"/>
            <w:noWrap/>
            <w:vAlign w:val="bottom"/>
            <w:hideMark/>
          </w:tcPr>
          <w:p w14:paraId="73D3F1C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28.007,61</w:t>
            </w:r>
          </w:p>
        </w:tc>
        <w:tc>
          <w:tcPr>
            <w:tcW w:w="993" w:type="dxa"/>
            <w:tcBorders>
              <w:top w:val="nil"/>
              <w:left w:val="nil"/>
              <w:bottom w:val="nil"/>
              <w:right w:val="nil"/>
            </w:tcBorders>
            <w:shd w:val="clear" w:color="000000" w:fill="FFFF99"/>
            <w:noWrap/>
            <w:vAlign w:val="bottom"/>
            <w:hideMark/>
          </w:tcPr>
          <w:p w14:paraId="24EF5A2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99,32%</w:t>
            </w:r>
          </w:p>
        </w:tc>
      </w:tr>
      <w:tr w:rsidR="006967F8" w:rsidRPr="006967F8" w14:paraId="05323E70"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480EC5A"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50F812A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28.200,00</w:t>
            </w:r>
          </w:p>
        </w:tc>
        <w:tc>
          <w:tcPr>
            <w:tcW w:w="1559" w:type="dxa"/>
            <w:tcBorders>
              <w:top w:val="nil"/>
              <w:left w:val="nil"/>
              <w:bottom w:val="nil"/>
              <w:right w:val="nil"/>
            </w:tcBorders>
            <w:shd w:val="clear" w:color="000000" w:fill="CCCCFF"/>
            <w:noWrap/>
            <w:vAlign w:val="bottom"/>
            <w:hideMark/>
          </w:tcPr>
          <w:p w14:paraId="57F1A32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28.200,00</w:t>
            </w:r>
          </w:p>
        </w:tc>
        <w:tc>
          <w:tcPr>
            <w:tcW w:w="1559" w:type="dxa"/>
            <w:tcBorders>
              <w:top w:val="nil"/>
              <w:left w:val="nil"/>
              <w:bottom w:val="nil"/>
              <w:right w:val="nil"/>
            </w:tcBorders>
            <w:shd w:val="clear" w:color="000000" w:fill="CCCCFF"/>
            <w:noWrap/>
            <w:vAlign w:val="bottom"/>
            <w:hideMark/>
          </w:tcPr>
          <w:p w14:paraId="6C0E133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28.007,61</w:t>
            </w:r>
          </w:p>
        </w:tc>
        <w:tc>
          <w:tcPr>
            <w:tcW w:w="993" w:type="dxa"/>
            <w:tcBorders>
              <w:top w:val="nil"/>
              <w:left w:val="nil"/>
              <w:bottom w:val="nil"/>
              <w:right w:val="nil"/>
            </w:tcBorders>
            <w:shd w:val="clear" w:color="000000" w:fill="CCCCFF"/>
            <w:noWrap/>
            <w:vAlign w:val="bottom"/>
            <w:hideMark/>
          </w:tcPr>
          <w:p w14:paraId="730440A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99,32%</w:t>
            </w:r>
          </w:p>
        </w:tc>
      </w:tr>
      <w:tr w:rsidR="006967F8" w:rsidRPr="006967F8" w14:paraId="0FE205BD"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391FF77"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43025B9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28.200,00</w:t>
            </w:r>
          </w:p>
        </w:tc>
        <w:tc>
          <w:tcPr>
            <w:tcW w:w="1559" w:type="dxa"/>
            <w:tcBorders>
              <w:top w:val="nil"/>
              <w:left w:val="nil"/>
              <w:bottom w:val="nil"/>
              <w:right w:val="nil"/>
            </w:tcBorders>
            <w:shd w:val="clear" w:color="000000" w:fill="CCCCFF"/>
            <w:noWrap/>
            <w:vAlign w:val="bottom"/>
            <w:hideMark/>
          </w:tcPr>
          <w:p w14:paraId="4C805DF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28.200,00</w:t>
            </w:r>
          </w:p>
        </w:tc>
        <w:tc>
          <w:tcPr>
            <w:tcW w:w="1559" w:type="dxa"/>
            <w:tcBorders>
              <w:top w:val="nil"/>
              <w:left w:val="nil"/>
              <w:bottom w:val="nil"/>
              <w:right w:val="nil"/>
            </w:tcBorders>
            <w:shd w:val="clear" w:color="000000" w:fill="CCCCFF"/>
            <w:noWrap/>
            <w:vAlign w:val="bottom"/>
            <w:hideMark/>
          </w:tcPr>
          <w:p w14:paraId="73A08ED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28.007,61</w:t>
            </w:r>
          </w:p>
        </w:tc>
        <w:tc>
          <w:tcPr>
            <w:tcW w:w="993" w:type="dxa"/>
            <w:tcBorders>
              <w:top w:val="nil"/>
              <w:left w:val="nil"/>
              <w:bottom w:val="nil"/>
              <w:right w:val="nil"/>
            </w:tcBorders>
            <w:shd w:val="clear" w:color="000000" w:fill="CCCCFF"/>
            <w:noWrap/>
            <w:vAlign w:val="bottom"/>
            <w:hideMark/>
          </w:tcPr>
          <w:p w14:paraId="7195837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99,32%</w:t>
            </w:r>
          </w:p>
        </w:tc>
      </w:tr>
      <w:tr w:rsidR="006967F8" w:rsidRPr="006967F8" w14:paraId="18C3FC35" w14:textId="77777777" w:rsidTr="008A61B1">
        <w:trPr>
          <w:trHeight w:val="255"/>
        </w:trPr>
        <w:tc>
          <w:tcPr>
            <w:tcW w:w="1134" w:type="dxa"/>
            <w:tcBorders>
              <w:top w:val="nil"/>
              <w:left w:val="nil"/>
              <w:bottom w:val="nil"/>
              <w:right w:val="nil"/>
            </w:tcBorders>
            <w:noWrap/>
            <w:vAlign w:val="bottom"/>
            <w:hideMark/>
          </w:tcPr>
          <w:p w14:paraId="6D02E77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lastRenderedPageBreak/>
              <w:t>34</w:t>
            </w:r>
          </w:p>
        </w:tc>
        <w:tc>
          <w:tcPr>
            <w:tcW w:w="4962" w:type="dxa"/>
            <w:tcBorders>
              <w:top w:val="nil"/>
              <w:left w:val="nil"/>
              <w:bottom w:val="nil"/>
              <w:right w:val="nil"/>
            </w:tcBorders>
            <w:noWrap/>
            <w:vAlign w:val="bottom"/>
            <w:hideMark/>
          </w:tcPr>
          <w:p w14:paraId="2376CF3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Financijski rashodi</w:t>
            </w:r>
          </w:p>
        </w:tc>
        <w:tc>
          <w:tcPr>
            <w:tcW w:w="1559" w:type="dxa"/>
            <w:tcBorders>
              <w:top w:val="nil"/>
              <w:left w:val="nil"/>
              <w:bottom w:val="nil"/>
              <w:right w:val="nil"/>
            </w:tcBorders>
            <w:noWrap/>
            <w:vAlign w:val="bottom"/>
            <w:hideMark/>
          </w:tcPr>
          <w:p w14:paraId="1FF77A8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w:t>
            </w:r>
          </w:p>
        </w:tc>
        <w:tc>
          <w:tcPr>
            <w:tcW w:w="1559" w:type="dxa"/>
            <w:tcBorders>
              <w:top w:val="nil"/>
              <w:left w:val="nil"/>
              <w:bottom w:val="nil"/>
              <w:right w:val="nil"/>
            </w:tcBorders>
            <w:noWrap/>
            <w:vAlign w:val="bottom"/>
            <w:hideMark/>
          </w:tcPr>
          <w:p w14:paraId="7424137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w:t>
            </w:r>
          </w:p>
        </w:tc>
        <w:tc>
          <w:tcPr>
            <w:tcW w:w="1559" w:type="dxa"/>
            <w:tcBorders>
              <w:top w:val="nil"/>
              <w:left w:val="nil"/>
              <w:bottom w:val="nil"/>
              <w:right w:val="nil"/>
            </w:tcBorders>
            <w:noWrap/>
            <w:vAlign w:val="bottom"/>
            <w:hideMark/>
          </w:tcPr>
          <w:p w14:paraId="270C6DB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1.894,41</w:t>
            </w:r>
          </w:p>
        </w:tc>
        <w:tc>
          <w:tcPr>
            <w:tcW w:w="993" w:type="dxa"/>
            <w:tcBorders>
              <w:top w:val="nil"/>
              <w:left w:val="nil"/>
              <w:bottom w:val="nil"/>
              <w:right w:val="nil"/>
            </w:tcBorders>
            <w:noWrap/>
            <w:vAlign w:val="bottom"/>
            <w:hideMark/>
          </w:tcPr>
          <w:p w14:paraId="22D9CE1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94,72%</w:t>
            </w:r>
          </w:p>
        </w:tc>
      </w:tr>
      <w:tr w:rsidR="006967F8" w:rsidRPr="006967F8" w14:paraId="5B88F17E" w14:textId="77777777" w:rsidTr="008A61B1">
        <w:trPr>
          <w:trHeight w:val="555"/>
        </w:trPr>
        <w:tc>
          <w:tcPr>
            <w:tcW w:w="1134" w:type="dxa"/>
            <w:tcBorders>
              <w:top w:val="nil"/>
              <w:left w:val="nil"/>
              <w:bottom w:val="nil"/>
              <w:right w:val="nil"/>
            </w:tcBorders>
            <w:noWrap/>
            <w:vAlign w:val="bottom"/>
            <w:hideMark/>
          </w:tcPr>
          <w:p w14:paraId="31AF4B6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3423</w:t>
            </w:r>
          </w:p>
        </w:tc>
        <w:tc>
          <w:tcPr>
            <w:tcW w:w="4962" w:type="dxa"/>
            <w:tcBorders>
              <w:top w:val="nil"/>
              <w:left w:val="nil"/>
              <w:bottom w:val="nil"/>
              <w:right w:val="nil"/>
            </w:tcBorders>
            <w:vAlign w:val="bottom"/>
            <w:hideMark/>
          </w:tcPr>
          <w:p w14:paraId="2CEC999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 xml:space="preserve">Kamate za primljene kredite i zajmove od kreditnih i ostalih financijskih institucija izvan javnog sektora </w:t>
            </w:r>
          </w:p>
        </w:tc>
        <w:tc>
          <w:tcPr>
            <w:tcW w:w="1559" w:type="dxa"/>
            <w:tcBorders>
              <w:top w:val="nil"/>
              <w:left w:val="nil"/>
              <w:bottom w:val="nil"/>
              <w:right w:val="nil"/>
            </w:tcBorders>
            <w:noWrap/>
            <w:vAlign w:val="bottom"/>
            <w:hideMark/>
          </w:tcPr>
          <w:p w14:paraId="0BCC1FC7"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0EBCF70"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181D3BA"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1.894,41</w:t>
            </w:r>
          </w:p>
        </w:tc>
        <w:tc>
          <w:tcPr>
            <w:tcW w:w="993" w:type="dxa"/>
            <w:tcBorders>
              <w:top w:val="nil"/>
              <w:left w:val="nil"/>
              <w:bottom w:val="nil"/>
              <w:right w:val="nil"/>
            </w:tcBorders>
            <w:noWrap/>
            <w:vAlign w:val="bottom"/>
            <w:hideMark/>
          </w:tcPr>
          <w:p w14:paraId="4CA470D1"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C563496" w14:textId="77777777" w:rsidTr="008A61B1">
        <w:trPr>
          <w:trHeight w:val="540"/>
        </w:trPr>
        <w:tc>
          <w:tcPr>
            <w:tcW w:w="1134" w:type="dxa"/>
            <w:tcBorders>
              <w:top w:val="nil"/>
              <w:left w:val="nil"/>
              <w:bottom w:val="nil"/>
              <w:right w:val="nil"/>
            </w:tcBorders>
            <w:noWrap/>
            <w:vAlign w:val="bottom"/>
            <w:hideMark/>
          </w:tcPr>
          <w:p w14:paraId="2FA55A5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54</w:t>
            </w:r>
          </w:p>
        </w:tc>
        <w:tc>
          <w:tcPr>
            <w:tcW w:w="4962" w:type="dxa"/>
            <w:tcBorders>
              <w:top w:val="nil"/>
              <w:left w:val="nil"/>
              <w:bottom w:val="nil"/>
              <w:right w:val="nil"/>
            </w:tcBorders>
            <w:vAlign w:val="bottom"/>
            <w:hideMark/>
          </w:tcPr>
          <w:p w14:paraId="7588C20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Izdaci za otplatu glavnice primljenih kredita i zajmova</w:t>
            </w:r>
          </w:p>
        </w:tc>
        <w:tc>
          <w:tcPr>
            <w:tcW w:w="1559" w:type="dxa"/>
            <w:tcBorders>
              <w:top w:val="nil"/>
              <w:left w:val="nil"/>
              <w:bottom w:val="nil"/>
              <w:right w:val="nil"/>
            </w:tcBorders>
            <w:noWrap/>
            <w:vAlign w:val="bottom"/>
            <w:hideMark/>
          </w:tcPr>
          <w:p w14:paraId="1A89813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26.200,00</w:t>
            </w:r>
          </w:p>
        </w:tc>
        <w:tc>
          <w:tcPr>
            <w:tcW w:w="1559" w:type="dxa"/>
            <w:tcBorders>
              <w:top w:val="nil"/>
              <w:left w:val="nil"/>
              <w:bottom w:val="nil"/>
              <w:right w:val="nil"/>
            </w:tcBorders>
            <w:noWrap/>
            <w:vAlign w:val="bottom"/>
            <w:hideMark/>
          </w:tcPr>
          <w:p w14:paraId="282F8EE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26.200,00</w:t>
            </w:r>
          </w:p>
        </w:tc>
        <w:tc>
          <w:tcPr>
            <w:tcW w:w="1559" w:type="dxa"/>
            <w:tcBorders>
              <w:top w:val="nil"/>
              <w:left w:val="nil"/>
              <w:bottom w:val="nil"/>
              <w:right w:val="nil"/>
            </w:tcBorders>
            <w:noWrap/>
            <w:vAlign w:val="bottom"/>
            <w:hideMark/>
          </w:tcPr>
          <w:p w14:paraId="4388E41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26.113,20</w:t>
            </w:r>
          </w:p>
        </w:tc>
        <w:tc>
          <w:tcPr>
            <w:tcW w:w="993" w:type="dxa"/>
            <w:tcBorders>
              <w:top w:val="nil"/>
              <w:left w:val="nil"/>
              <w:bottom w:val="nil"/>
              <w:right w:val="nil"/>
            </w:tcBorders>
            <w:noWrap/>
            <w:vAlign w:val="bottom"/>
            <w:hideMark/>
          </w:tcPr>
          <w:p w14:paraId="75A23EF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99,67%</w:t>
            </w:r>
          </w:p>
        </w:tc>
      </w:tr>
      <w:tr w:rsidR="006967F8" w:rsidRPr="006967F8" w14:paraId="01C22282" w14:textId="77777777" w:rsidTr="008A61B1">
        <w:trPr>
          <w:trHeight w:val="525"/>
        </w:trPr>
        <w:tc>
          <w:tcPr>
            <w:tcW w:w="1134" w:type="dxa"/>
            <w:tcBorders>
              <w:top w:val="nil"/>
              <w:left w:val="nil"/>
              <w:bottom w:val="nil"/>
              <w:right w:val="nil"/>
            </w:tcBorders>
            <w:noWrap/>
            <w:vAlign w:val="bottom"/>
            <w:hideMark/>
          </w:tcPr>
          <w:p w14:paraId="422C5AC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5443</w:t>
            </w:r>
          </w:p>
        </w:tc>
        <w:tc>
          <w:tcPr>
            <w:tcW w:w="4962" w:type="dxa"/>
            <w:tcBorders>
              <w:top w:val="nil"/>
              <w:left w:val="nil"/>
              <w:bottom w:val="nil"/>
              <w:right w:val="nil"/>
            </w:tcBorders>
            <w:vAlign w:val="bottom"/>
            <w:hideMark/>
          </w:tcPr>
          <w:p w14:paraId="3AA42B2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Otplata glavnice primljenih kredita od tuzemnih kreditnih institucija izvan javnog sektora</w:t>
            </w:r>
          </w:p>
        </w:tc>
        <w:tc>
          <w:tcPr>
            <w:tcW w:w="1559" w:type="dxa"/>
            <w:tcBorders>
              <w:top w:val="nil"/>
              <w:left w:val="nil"/>
              <w:bottom w:val="nil"/>
              <w:right w:val="nil"/>
            </w:tcBorders>
            <w:noWrap/>
            <w:vAlign w:val="bottom"/>
            <w:hideMark/>
          </w:tcPr>
          <w:p w14:paraId="4717AE30"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282446C"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A87CD09"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26.113,20</w:t>
            </w:r>
          </w:p>
        </w:tc>
        <w:tc>
          <w:tcPr>
            <w:tcW w:w="993" w:type="dxa"/>
            <w:tcBorders>
              <w:top w:val="nil"/>
              <w:left w:val="nil"/>
              <w:bottom w:val="nil"/>
              <w:right w:val="nil"/>
            </w:tcBorders>
            <w:noWrap/>
            <w:vAlign w:val="bottom"/>
            <w:hideMark/>
          </w:tcPr>
          <w:p w14:paraId="16D19808"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75B168F" w14:textId="77777777" w:rsidTr="008A61B1">
        <w:trPr>
          <w:trHeight w:val="750"/>
        </w:trPr>
        <w:tc>
          <w:tcPr>
            <w:tcW w:w="6096" w:type="dxa"/>
            <w:gridSpan w:val="2"/>
            <w:tcBorders>
              <w:top w:val="nil"/>
              <w:left w:val="nil"/>
              <w:bottom w:val="nil"/>
              <w:right w:val="nil"/>
            </w:tcBorders>
            <w:shd w:val="clear" w:color="000000" w:fill="FFFF99"/>
            <w:vAlign w:val="bottom"/>
            <w:hideMark/>
          </w:tcPr>
          <w:p w14:paraId="0FB2802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K100086 Kapitalni projekt: EU PROJEKT- REKONSTRUKCIJA VATROGASNOG DOMA DVD SLATINE I NABAVA VOZILA ZA DVD SLATINE I JVP TG</w:t>
            </w:r>
          </w:p>
        </w:tc>
        <w:tc>
          <w:tcPr>
            <w:tcW w:w="1559" w:type="dxa"/>
            <w:tcBorders>
              <w:top w:val="nil"/>
              <w:left w:val="nil"/>
              <w:bottom w:val="nil"/>
              <w:right w:val="nil"/>
            </w:tcBorders>
            <w:shd w:val="clear" w:color="000000" w:fill="FFFF99"/>
            <w:noWrap/>
            <w:vAlign w:val="bottom"/>
            <w:hideMark/>
          </w:tcPr>
          <w:p w14:paraId="4DEB81C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782.500,00</w:t>
            </w:r>
          </w:p>
        </w:tc>
        <w:tc>
          <w:tcPr>
            <w:tcW w:w="1559" w:type="dxa"/>
            <w:tcBorders>
              <w:top w:val="nil"/>
              <w:left w:val="nil"/>
              <w:bottom w:val="nil"/>
              <w:right w:val="nil"/>
            </w:tcBorders>
            <w:shd w:val="clear" w:color="000000" w:fill="FFFF99"/>
            <w:noWrap/>
            <w:vAlign w:val="bottom"/>
            <w:hideMark/>
          </w:tcPr>
          <w:p w14:paraId="5EDFB5A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782.500,00</w:t>
            </w:r>
          </w:p>
        </w:tc>
        <w:tc>
          <w:tcPr>
            <w:tcW w:w="1559" w:type="dxa"/>
            <w:tcBorders>
              <w:top w:val="nil"/>
              <w:left w:val="nil"/>
              <w:bottom w:val="nil"/>
              <w:right w:val="nil"/>
            </w:tcBorders>
            <w:shd w:val="clear" w:color="000000" w:fill="FFFF99"/>
            <w:noWrap/>
            <w:vAlign w:val="bottom"/>
            <w:hideMark/>
          </w:tcPr>
          <w:p w14:paraId="4749484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shd w:val="clear" w:color="000000" w:fill="FFFF99"/>
            <w:noWrap/>
            <w:vAlign w:val="bottom"/>
            <w:hideMark/>
          </w:tcPr>
          <w:p w14:paraId="61676A0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46F63126"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C7D567F"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4F6C2B3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117.375,00</w:t>
            </w:r>
          </w:p>
        </w:tc>
        <w:tc>
          <w:tcPr>
            <w:tcW w:w="1559" w:type="dxa"/>
            <w:tcBorders>
              <w:top w:val="nil"/>
              <w:left w:val="nil"/>
              <w:bottom w:val="nil"/>
              <w:right w:val="nil"/>
            </w:tcBorders>
            <w:shd w:val="clear" w:color="000000" w:fill="CCCCFF"/>
            <w:noWrap/>
            <w:vAlign w:val="bottom"/>
            <w:hideMark/>
          </w:tcPr>
          <w:p w14:paraId="03C2B81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117.375,00</w:t>
            </w:r>
          </w:p>
        </w:tc>
        <w:tc>
          <w:tcPr>
            <w:tcW w:w="1559" w:type="dxa"/>
            <w:tcBorders>
              <w:top w:val="nil"/>
              <w:left w:val="nil"/>
              <w:bottom w:val="nil"/>
              <w:right w:val="nil"/>
            </w:tcBorders>
            <w:shd w:val="clear" w:color="000000" w:fill="CCCCFF"/>
            <w:noWrap/>
            <w:vAlign w:val="bottom"/>
            <w:hideMark/>
          </w:tcPr>
          <w:p w14:paraId="601D45C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5E0A29E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40292D80"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DC85B6A"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3A67DED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117.375,00</w:t>
            </w:r>
          </w:p>
        </w:tc>
        <w:tc>
          <w:tcPr>
            <w:tcW w:w="1559" w:type="dxa"/>
            <w:tcBorders>
              <w:top w:val="nil"/>
              <w:left w:val="nil"/>
              <w:bottom w:val="nil"/>
              <w:right w:val="nil"/>
            </w:tcBorders>
            <w:shd w:val="clear" w:color="000000" w:fill="CCCCFF"/>
            <w:noWrap/>
            <w:vAlign w:val="bottom"/>
            <w:hideMark/>
          </w:tcPr>
          <w:p w14:paraId="3DDC457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117.375,00</w:t>
            </w:r>
          </w:p>
        </w:tc>
        <w:tc>
          <w:tcPr>
            <w:tcW w:w="1559" w:type="dxa"/>
            <w:tcBorders>
              <w:top w:val="nil"/>
              <w:left w:val="nil"/>
              <w:bottom w:val="nil"/>
              <w:right w:val="nil"/>
            </w:tcBorders>
            <w:shd w:val="clear" w:color="000000" w:fill="CCCCFF"/>
            <w:noWrap/>
            <w:vAlign w:val="bottom"/>
            <w:hideMark/>
          </w:tcPr>
          <w:p w14:paraId="4661563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1F349AF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79FA31B5" w14:textId="77777777" w:rsidTr="008A61B1">
        <w:trPr>
          <w:trHeight w:val="555"/>
        </w:trPr>
        <w:tc>
          <w:tcPr>
            <w:tcW w:w="1134" w:type="dxa"/>
            <w:tcBorders>
              <w:top w:val="nil"/>
              <w:left w:val="nil"/>
              <w:bottom w:val="nil"/>
              <w:right w:val="nil"/>
            </w:tcBorders>
            <w:noWrap/>
            <w:vAlign w:val="bottom"/>
            <w:hideMark/>
          </w:tcPr>
          <w:p w14:paraId="06C35D7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0FE49F0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50B4B2D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117.375,00</w:t>
            </w:r>
          </w:p>
        </w:tc>
        <w:tc>
          <w:tcPr>
            <w:tcW w:w="1559" w:type="dxa"/>
            <w:tcBorders>
              <w:top w:val="nil"/>
              <w:left w:val="nil"/>
              <w:bottom w:val="nil"/>
              <w:right w:val="nil"/>
            </w:tcBorders>
            <w:noWrap/>
            <w:vAlign w:val="bottom"/>
            <w:hideMark/>
          </w:tcPr>
          <w:p w14:paraId="3F3ECFC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117.375,00</w:t>
            </w:r>
          </w:p>
        </w:tc>
        <w:tc>
          <w:tcPr>
            <w:tcW w:w="1559" w:type="dxa"/>
            <w:tcBorders>
              <w:top w:val="nil"/>
              <w:left w:val="nil"/>
              <w:bottom w:val="nil"/>
              <w:right w:val="nil"/>
            </w:tcBorders>
            <w:noWrap/>
            <w:vAlign w:val="bottom"/>
            <w:hideMark/>
          </w:tcPr>
          <w:p w14:paraId="67B5088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27155F6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19C4BF9C"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E51E28B"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766CB6A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665.125,00</w:t>
            </w:r>
          </w:p>
        </w:tc>
        <w:tc>
          <w:tcPr>
            <w:tcW w:w="1559" w:type="dxa"/>
            <w:tcBorders>
              <w:top w:val="nil"/>
              <w:left w:val="nil"/>
              <w:bottom w:val="nil"/>
              <w:right w:val="nil"/>
            </w:tcBorders>
            <w:shd w:val="clear" w:color="000000" w:fill="CCCCFF"/>
            <w:noWrap/>
            <w:vAlign w:val="bottom"/>
            <w:hideMark/>
          </w:tcPr>
          <w:p w14:paraId="43A7FB6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665.125,00</w:t>
            </w:r>
          </w:p>
        </w:tc>
        <w:tc>
          <w:tcPr>
            <w:tcW w:w="1559" w:type="dxa"/>
            <w:tcBorders>
              <w:top w:val="nil"/>
              <w:left w:val="nil"/>
              <w:bottom w:val="nil"/>
              <w:right w:val="nil"/>
            </w:tcBorders>
            <w:shd w:val="clear" w:color="000000" w:fill="CCCCFF"/>
            <w:noWrap/>
            <w:vAlign w:val="bottom"/>
            <w:hideMark/>
          </w:tcPr>
          <w:p w14:paraId="1E65B85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3F5E252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2BE1B621"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BF7871C"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5.4. Pomoći EU  proračunskih korisnika</w:t>
            </w:r>
          </w:p>
        </w:tc>
        <w:tc>
          <w:tcPr>
            <w:tcW w:w="1559" w:type="dxa"/>
            <w:tcBorders>
              <w:top w:val="nil"/>
              <w:left w:val="nil"/>
              <w:bottom w:val="nil"/>
              <w:right w:val="nil"/>
            </w:tcBorders>
            <w:shd w:val="clear" w:color="000000" w:fill="CCCCFF"/>
            <w:noWrap/>
            <w:vAlign w:val="bottom"/>
            <w:hideMark/>
          </w:tcPr>
          <w:p w14:paraId="520702E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665.125,00</w:t>
            </w:r>
          </w:p>
        </w:tc>
        <w:tc>
          <w:tcPr>
            <w:tcW w:w="1559" w:type="dxa"/>
            <w:tcBorders>
              <w:top w:val="nil"/>
              <w:left w:val="nil"/>
              <w:bottom w:val="nil"/>
              <w:right w:val="nil"/>
            </w:tcBorders>
            <w:shd w:val="clear" w:color="000000" w:fill="CCCCFF"/>
            <w:noWrap/>
            <w:vAlign w:val="bottom"/>
            <w:hideMark/>
          </w:tcPr>
          <w:p w14:paraId="7208426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665.125,00</w:t>
            </w:r>
          </w:p>
        </w:tc>
        <w:tc>
          <w:tcPr>
            <w:tcW w:w="1559" w:type="dxa"/>
            <w:tcBorders>
              <w:top w:val="nil"/>
              <w:left w:val="nil"/>
              <w:bottom w:val="nil"/>
              <w:right w:val="nil"/>
            </w:tcBorders>
            <w:shd w:val="clear" w:color="000000" w:fill="CCCCFF"/>
            <w:noWrap/>
            <w:vAlign w:val="bottom"/>
            <w:hideMark/>
          </w:tcPr>
          <w:p w14:paraId="41E8FA8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21E0106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059144C3" w14:textId="77777777" w:rsidTr="008A61B1">
        <w:trPr>
          <w:trHeight w:val="600"/>
        </w:trPr>
        <w:tc>
          <w:tcPr>
            <w:tcW w:w="1134" w:type="dxa"/>
            <w:tcBorders>
              <w:top w:val="nil"/>
              <w:left w:val="nil"/>
              <w:bottom w:val="nil"/>
              <w:right w:val="nil"/>
            </w:tcBorders>
            <w:noWrap/>
            <w:vAlign w:val="bottom"/>
            <w:hideMark/>
          </w:tcPr>
          <w:p w14:paraId="0D14D5C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7358DE5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3356CDA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665.125,00</w:t>
            </w:r>
          </w:p>
        </w:tc>
        <w:tc>
          <w:tcPr>
            <w:tcW w:w="1559" w:type="dxa"/>
            <w:tcBorders>
              <w:top w:val="nil"/>
              <w:left w:val="nil"/>
              <w:bottom w:val="nil"/>
              <w:right w:val="nil"/>
            </w:tcBorders>
            <w:noWrap/>
            <w:vAlign w:val="bottom"/>
            <w:hideMark/>
          </w:tcPr>
          <w:p w14:paraId="241B767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665.125,00</w:t>
            </w:r>
          </w:p>
        </w:tc>
        <w:tc>
          <w:tcPr>
            <w:tcW w:w="1559" w:type="dxa"/>
            <w:tcBorders>
              <w:top w:val="nil"/>
              <w:left w:val="nil"/>
              <w:bottom w:val="nil"/>
              <w:right w:val="nil"/>
            </w:tcBorders>
            <w:noWrap/>
            <w:vAlign w:val="bottom"/>
            <w:hideMark/>
          </w:tcPr>
          <w:p w14:paraId="4C9CE9C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3AC07D3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25AB10A9" w14:textId="77777777" w:rsidTr="008A61B1">
        <w:trPr>
          <w:trHeight w:val="585"/>
        </w:trPr>
        <w:tc>
          <w:tcPr>
            <w:tcW w:w="6096" w:type="dxa"/>
            <w:gridSpan w:val="2"/>
            <w:tcBorders>
              <w:top w:val="nil"/>
              <w:left w:val="nil"/>
              <w:bottom w:val="nil"/>
              <w:right w:val="nil"/>
            </w:tcBorders>
            <w:shd w:val="clear" w:color="000000" w:fill="9999FF"/>
            <w:vAlign w:val="bottom"/>
            <w:hideMark/>
          </w:tcPr>
          <w:p w14:paraId="310797C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RAZDJEL 022 UPRAVNI ODJEL ZA FINANCIJE, PRORAČUN I NAPLATU POTRAŽIVANJA</w:t>
            </w:r>
          </w:p>
        </w:tc>
        <w:tc>
          <w:tcPr>
            <w:tcW w:w="1559" w:type="dxa"/>
            <w:tcBorders>
              <w:top w:val="nil"/>
              <w:left w:val="nil"/>
              <w:bottom w:val="nil"/>
              <w:right w:val="nil"/>
            </w:tcBorders>
            <w:shd w:val="clear" w:color="000000" w:fill="9999FF"/>
            <w:noWrap/>
            <w:vAlign w:val="bottom"/>
            <w:hideMark/>
          </w:tcPr>
          <w:p w14:paraId="0B5663D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609.200,00</w:t>
            </w:r>
          </w:p>
        </w:tc>
        <w:tc>
          <w:tcPr>
            <w:tcW w:w="1559" w:type="dxa"/>
            <w:tcBorders>
              <w:top w:val="nil"/>
              <w:left w:val="nil"/>
              <w:bottom w:val="nil"/>
              <w:right w:val="nil"/>
            </w:tcBorders>
            <w:shd w:val="clear" w:color="000000" w:fill="9999FF"/>
            <w:noWrap/>
            <w:vAlign w:val="bottom"/>
            <w:hideMark/>
          </w:tcPr>
          <w:p w14:paraId="0C4111F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602.700,00</w:t>
            </w:r>
          </w:p>
        </w:tc>
        <w:tc>
          <w:tcPr>
            <w:tcW w:w="1559" w:type="dxa"/>
            <w:tcBorders>
              <w:top w:val="nil"/>
              <w:left w:val="nil"/>
              <w:bottom w:val="nil"/>
              <w:right w:val="nil"/>
            </w:tcBorders>
            <w:shd w:val="clear" w:color="000000" w:fill="9999FF"/>
            <w:noWrap/>
            <w:vAlign w:val="bottom"/>
            <w:hideMark/>
          </w:tcPr>
          <w:p w14:paraId="3759EE1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504.509,77</w:t>
            </w:r>
          </w:p>
        </w:tc>
        <w:tc>
          <w:tcPr>
            <w:tcW w:w="993" w:type="dxa"/>
            <w:tcBorders>
              <w:top w:val="nil"/>
              <w:left w:val="nil"/>
              <w:bottom w:val="nil"/>
              <w:right w:val="nil"/>
            </w:tcBorders>
            <w:shd w:val="clear" w:color="000000" w:fill="9999FF"/>
            <w:noWrap/>
            <w:vAlign w:val="bottom"/>
            <w:hideMark/>
          </w:tcPr>
          <w:p w14:paraId="100EDFC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83,71%</w:t>
            </w:r>
          </w:p>
        </w:tc>
      </w:tr>
      <w:tr w:rsidR="006967F8" w:rsidRPr="006967F8" w14:paraId="7E63A5C7" w14:textId="77777777" w:rsidTr="008A61B1">
        <w:trPr>
          <w:trHeight w:val="540"/>
        </w:trPr>
        <w:tc>
          <w:tcPr>
            <w:tcW w:w="6096" w:type="dxa"/>
            <w:gridSpan w:val="2"/>
            <w:tcBorders>
              <w:top w:val="nil"/>
              <w:left w:val="nil"/>
              <w:bottom w:val="nil"/>
              <w:right w:val="nil"/>
            </w:tcBorders>
            <w:shd w:val="clear" w:color="000000" w:fill="9999FF"/>
            <w:vAlign w:val="bottom"/>
            <w:hideMark/>
          </w:tcPr>
          <w:p w14:paraId="2EAAEE8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GLAVA 02201 UPRAVNI ODJEL ZA FINANCIJE, PRORAČUN I NAPLATU POTRAŽIVANJA</w:t>
            </w:r>
          </w:p>
        </w:tc>
        <w:tc>
          <w:tcPr>
            <w:tcW w:w="1559" w:type="dxa"/>
            <w:tcBorders>
              <w:top w:val="nil"/>
              <w:left w:val="nil"/>
              <w:bottom w:val="nil"/>
              <w:right w:val="nil"/>
            </w:tcBorders>
            <w:shd w:val="clear" w:color="000000" w:fill="9999FF"/>
            <w:noWrap/>
            <w:vAlign w:val="bottom"/>
            <w:hideMark/>
          </w:tcPr>
          <w:p w14:paraId="6E8E51D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609.200,00</w:t>
            </w:r>
          </w:p>
        </w:tc>
        <w:tc>
          <w:tcPr>
            <w:tcW w:w="1559" w:type="dxa"/>
            <w:tcBorders>
              <w:top w:val="nil"/>
              <w:left w:val="nil"/>
              <w:bottom w:val="nil"/>
              <w:right w:val="nil"/>
            </w:tcBorders>
            <w:shd w:val="clear" w:color="000000" w:fill="9999FF"/>
            <w:noWrap/>
            <w:vAlign w:val="bottom"/>
            <w:hideMark/>
          </w:tcPr>
          <w:p w14:paraId="64E59A6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602.700,00</w:t>
            </w:r>
          </w:p>
        </w:tc>
        <w:tc>
          <w:tcPr>
            <w:tcW w:w="1559" w:type="dxa"/>
            <w:tcBorders>
              <w:top w:val="nil"/>
              <w:left w:val="nil"/>
              <w:bottom w:val="nil"/>
              <w:right w:val="nil"/>
            </w:tcBorders>
            <w:shd w:val="clear" w:color="000000" w:fill="9999FF"/>
            <w:noWrap/>
            <w:vAlign w:val="bottom"/>
            <w:hideMark/>
          </w:tcPr>
          <w:p w14:paraId="5761A61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504.509,77</w:t>
            </w:r>
          </w:p>
        </w:tc>
        <w:tc>
          <w:tcPr>
            <w:tcW w:w="993" w:type="dxa"/>
            <w:tcBorders>
              <w:top w:val="nil"/>
              <w:left w:val="nil"/>
              <w:bottom w:val="nil"/>
              <w:right w:val="nil"/>
            </w:tcBorders>
            <w:shd w:val="clear" w:color="000000" w:fill="9999FF"/>
            <w:noWrap/>
            <w:vAlign w:val="bottom"/>
            <w:hideMark/>
          </w:tcPr>
          <w:p w14:paraId="582E2C3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83,71%</w:t>
            </w:r>
          </w:p>
        </w:tc>
      </w:tr>
      <w:tr w:rsidR="006967F8" w:rsidRPr="006967F8" w14:paraId="46DF533F"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FDBB509"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3ABCE9E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609.200,00</w:t>
            </w:r>
          </w:p>
        </w:tc>
        <w:tc>
          <w:tcPr>
            <w:tcW w:w="1559" w:type="dxa"/>
            <w:tcBorders>
              <w:top w:val="nil"/>
              <w:left w:val="nil"/>
              <w:bottom w:val="nil"/>
              <w:right w:val="nil"/>
            </w:tcBorders>
            <w:shd w:val="clear" w:color="000000" w:fill="CCCCFF"/>
            <w:noWrap/>
            <w:vAlign w:val="bottom"/>
            <w:hideMark/>
          </w:tcPr>
          <w:p w14:paraId="7C66B96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602.700,00</w:t>
            </w:r>
          </w:p>
        </w:tc>
        <w:tc>
          <w:tcPr>
            <w:tcW w:w="1559" w:type="dxa"/>
            <w:tcBorders>
              <w:top w:val="nil"/>
              <w:left w:val="nil"/>
              <w:bottom w:val="nil"/>
              <w:right w:val="nil"/>
            </w:tcBorders>
            <w:shd w:val="clear" w:color="000000" w:fill="CCCCFF"/>
            <w:noWrap/>
            <w:vAlign w:val="bottom"/>
            <w:hideMark/>
          </w:tcPr>
          <w:p w14:paraId="0BE4A1B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504.509,77</w:t>
            </w:r>
          </w:p>
        </w:tc>
        <w:tc>
          <w:tcPr>
            <w:tcW w:w="993" w:type="dxa"/>
            <w:tcBorders>
              <w:top w:val="nil"/>
              <w:left w:val="nil"/>
              <w:bottom w:val="nil"/>
              <w:right w:val="nil"/>
            </w:tcBorders>
            <w:shd w:val="clear" w:color="000000" w:fill="CCCCFF"/>
            <w:noWrap/>
            <w:vAlign w:val="bottom"/>
            <w:hideMark/>
          </w:tcPr>
          <w:p w14:paraId="5D1D44A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83,71%</w:t>
            </w:r>
          </w:p>
        </w:tc>
      </w:tr>
      <w:tr w:rsidR="006967F8" w:rsidRPr="006967F8" w14:paraId="5B7AE0A9"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089618C"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316FDA2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609.200,00</w:t>
            </w:r>
          </w:p>
        </w:tc>
        <w:tc>
          <w:tcPr>
            <w:tcW w:w="1559" w:type="dxa"/>
            <w:tcBorders>
              <w:top w:val="nil"/>
              <w:left w:val="nil"/>
              <w:bottom w:val="nil"/>
              <w:right w:val="nil"/>
            </w:tcBorders>
            <w:shd w:val="clear" w:color="000000" w:fill="CCCCFF"/>
            <w:noWrap/>
            <w:vAlign w:val="bottom"/>
            <w:hideMark/>
          </w:tcPr>
          <w:p w14:paraId="2B11D18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602.700,00</w:t>
            </w:r>
          </w:p>
        </w:tc>
        <w:tc>
          <w:tcPr>
            <w:tcW w:w="1559" w:type="dxa"/>
            <w:tcBorders>
              <w:top w:val="nil"/>
              <w:left w:val="nil"/>
              <w:bottom w:val="nil"/>
              <w:right w:val="nil"/>
            </w:tcBorders>
            <w:shd w:val="clear" w:color="000000" w:fill="CCCCFF"/>
            <w:noWrap/>
            <w:vAlign w:val="bottom"/>
            <w:hideMark/>
          </w:tcPr>
          <w:p w14:paraId="65A023E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504.509,77</w:t>
            </w:r>
          </w:p>
        </w:tc>
        <w:tc>
          <w:tcPr>
            <w:tcW w:w="993" w:type="dxa"/>
            <w:tcBorders>
              <w:top w:val="nil"/>
              <w:left w:val="nil"/>
              <w:bottom w:val="nil"/>
              <w:right w:val="nil"/>
            </w:tcBorders>
            <w:shd w:val="clear" w:color="000000" w:fill="CCCCFF"/>
            <w:noWrap/>
            <w:vAlign w:val="bottom"/>
            <w:hideMark/>
          </w:tcPr>
          <w:p w14:paraId="4B8F81F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83,71%</w:t>
            </w:r>
          </w:p>
        </w:tc>
      </w:tr>
      <w:tr w:rsidR="006967F8" w:rsidRPr="006967F8" w14:paraId="6DD5CC8F" w14:textId="77777777" w:rsidTr="008A61B1">
        <w:trPr>
          <w:trHeight w:val="255"/>
        </w:trPr>
        <w:tc>
          <w:tcPr>
            <w:tcW w:w="1134" w:type="dxa"/>
            <w:tcBorders>
              <w:top w:val="nil"/>
              <w:left w:val="nil"/>
              <w:bottom w:val="nil"/>
              <w:right w:val="nil"/>
            </w:tcBorders>
            <w:shd w:val="clear" w:color="000000" w:fill="FF9900"/>
            <w:noWrap/>
            <w:vAlign w:val="bottom"/>
            <w:hideMark/>
          </w:tcPr>
          <w:p w14:paraId="1409A91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1101</w:t>
            </w:r>
          </w:p>
        </w:tc>
        <w:tc>
          <w:tcPr>
            <w:tcW w:w="4962" w:type="dxa"/>
            <w:tcBorders>
              <w:top w:val="nil"/>
              <w:left w:val="nil"/>
              <w:bottom w:val="nil"/>
              <w:right w:val="nil"/>
            </w:tcBorders>
            <w:shd w:val="clear" w:color="000000" w:fill="FF9900"/>
            <w:noWrap/>
            <w:vAlign w:val="bottom"/>
            <w:hideMark/>
          </w:tcPr>
          <w:p w14:paraId="51A9585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Program: JAVNA UPRAVA I ADMINISTRACIJA</w:t>
            </w:r>
          </w:p>
        </w:tc>
        <w:tc>
          <w:tcPr>
            <w:tcW w:w="1559" w:type="dxa"/>
            <w:tcBorders>
              <w:top w:val="nil"/>
              <w:left w:val="nil"/>
              <w:bottom w:val="nil"/>
              <w:right w:val="nil"/>
            </w:tcBorders>
            <w:shd w:val="clear" w:color="000000" w:fill="FF9900"/>
            <w:noWrap/>
            <w:vAlign w:val="bottom"/>
            <w:hideMark/>
          </w:tcPr>
          <w:p w14:paraId="68AF9C4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5.200,00</w:t>
            </w:r>
          </w:p>
        </w:tc>
        <w:tc>
          <w:tcPr>
            <w:tcW w:w="1559" w:type="dxa"/>
            <w:tcBorders>
              <w:top w:val="nil"/>
              <w:left w:val="nil"/>
              <w:bottom w:val="nil"/>
              <w:right w:val="nil"/>
            </w:tcBorders>
            <w:shd w:val="clear" w:color="000000" w:fill="FF9900"/>
            <w:noWrap/>
            <w:vAlign w:val="bottom"/>
            <w:hideMark/>
          </w:tcPr>
          <w:p w14:paraId="340C693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5.200,00</w:t>
            </w:r>
          </w:p>
        </w:tc>
        <w:tc>
          <w:tcPr>
            <w:tcW w:w="1559" w:type="dxa"/>
            <w:tcBorders>
              <w:top w:val="nil"/>
              <w:left w:val="nil"/>
              <w:bottom w:val="nil"/>
              <w:right w:val="nil"/>
            </w:tcBorders>
            <w:shd w:val="clear" w:color="000000" w:fill="FF9900"/>
            <w:noWrap/>
            <w:vAlign w:val="bottom"/>
            <w:hideMark/>
          </w:tcPr>
          <w:p w14:paraId="5B2CB5F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4.244,55</w:t>
            </w:r>
          </w:p>
        </w:tc>
        <w:tc>
          <w:tcPr>
            <w:tcW w:w="993" w:type="dxa"/>
            <w:tcBorders>
              <w:top w:val="nil"/>
              <w:left w:val="nil"/>
              <w:bottom w:val="nil"/>
              <w:right w:val="nil"/>
            </w:tcBorders>
            <w:shd w:val="clear" w:color="000000" w:fill="FF9900"/>
            <w:noWrap/>
            <w:vAlign w:val="bottom"/>
            <w:hideMark/>
          </w:tcPr>
          <w:p w14:paraId="5D4CFEB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81,63%</w:t>
            </w:r>
          </w:p>
        </w:tc>
      </w:tr>
      <w:tr w:rsidR="006967F8" w:rsidRPr="006967F8" w14:paraId="6A61FF79" w14:textId="77777777" w:rsidTr="008A61B1">
        <w:trPr>
          <w:trHeight w:val="255"/>
        </w:trPr>
        <w:tc>
          <w:tcPr>
            <w:tcW w:w="1134" w:type="dxa"/>
            <w:tcBorders>
              <w:top w:val="nil"/>
              <w:left w:val="nil"/>
              <w:bottom w:val="nil"/>
              <w:right w:val="nil"/>
            </w:tcBorders>
            <w:shd w:val="clear" w:color="000000" w:fill="FFFF99"/>
            <w:noWrap/>
            <w:vAlign w:val="bottom"/>
            <w:hideMark/>
          </w:tcPr>
          <w:p w14:paraId="3E158EB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A100001</w:t>
            </w:r>
          </w:p>
        </w:tc>
        <w:tc>
          <w:tcPr>
            <w:tcW w:w="4962" w:type="dxa"/>
            <w:tcBorders>
              <w:top w:val="nil"/>
              <w:left w:val="nil"/>
              <w:bottom w:val="nil"/>
              <w:right w:val="nil"/>
            </w:tcBorders>
            <w:shd w:val="clear" w:color="000000" w:fill="FFFF99"/>
            <w:noWrap/>
            <w:vAlign w:val="bottom"/>
            <w:hideMark/>
          </w:tcPr>
          <w:p w14:paraId="5C1123F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Aktivnost: FINANCIRANJE TEKUĆIH RASHODA</w:t>
            </w:r>
          </w:p>
        </w:tc>
        <w:tc>
          <w:tcPr>
            <w:tcW w:w="1559" w:type="dxa"/>
            <w:tcBorders>
              <w:top w:val="nil"/>
              <w:left w:val="nil"/>
              <w:bottom w:val="nil"/>
              <w:right w:val="nil"/>
            </w:tcBorders>
            <w:shd w:val="clear" w:color="000000" w:fill="FFFF99"/>
            <w:noWrap/>
            <w:vAlign w:val="bottom"/>
            <w:hideMark/>
          </w:tcPr>
          <w:p w14:paraId="189D0BD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5.200,00</w:t>
            </w:r>
          </w:p>
        </w:tc>
        <w:tc>
          <w:tcPr>
            <w:tcW w:w="1559" w:type="dxa"/>
            <w:tcBorders>
              <w:top w:val="nil"/>
              <w:left w:val="nil"/>
              <w:bottom w:val="nil"/>
              <w:right w:val="nil"/>
            </w:tcBorders>
            <w:shd w:val="clear" w:color="000000" w:fill="FFFF99"/>
            <w:noWrap/>
            <w:vAlign w:val="bottom"/>
            <w:hideMark/>
          </w:tcPr>
          <w:p w14:paraId="5BDB82B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5.200,00</w:t>
            </w:r>
          </w:p>
        </w:tc>
        <w:tc>
          <w:tcPr>
            <w:tcW w:w="1559" w:type="dxa"/>
            <w:tcBorders>
              <w:top w:val="nil"/>
              <w:left w:val="nil"/>
              <w:bottom w:val="nil"/>
              <w:right w:val="nil"/>
            </w:tcBorders>
            <w:shd w:val="clear" w:color="000000" w:fill="FFFF99"/>
            <w:noWrap/>
            <w:vAlign w:val="bottom"/>
            <w:hideMark/>
          </w:tcPr>
          <w:p w14:paraId="0F331B0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4.244,55</w:t>
            </w:r>
          </w:p>
        </w:tc>
        <w:tc>
          <w:tcPr>
            <w:tcW w:w="993" w:type="dxa"/>
            <w:tcBorders>
              <w:top w:val="nil"/>
              <w:left w:val="nil"/>
              <w:bottom w:val="nil"/>
              <w:right w:val="nil"/>
            </w:tcBorders>
            <w:shd w:val="clear" w:color="000000" w:fill="FFFF99"/>
            <w:noWrap/>
            <w:vAlign w:val="bottom"/>
            <w:hideMark/>
          </w:tcPr>
          <w:p w14:paraId="36A1706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81,63%</w:t>
            </w:r>
          </w:p>
        </w:tc>
      </w:tr>
      <w:tr w:rsidR="006967F8" w:rsidRPr="006967F8" w14:paraId="28EE4C83"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C92BFEA"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34D9509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5.200,00</w:t>
            </w:r>
          </w:p>
        </w:tc>
        <w:tc>
          <w:tcPr>
            <w:tcW w:w="1559" w:type="dxa"/>
            <w:tcBorders>
              <w:top w:val="nil"/>
              <w:left w:val="nil"/>
              <w:bottom w:val="nil"/>
              <w:right w:val="nil"/>
            </w:tcBorders>
            <w:shd w:val="clear" w:color="000000" w:fill="CCCCFF"/>
            <w:noWrap/>
            <w:vAlign w:val="bottom"/>
            <w:hideMark/>
          </w:tcPr>
          <w:p w14:paraId="0FF6AAB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5.200,00</w:t>
            </w:r>
          </w:p>
        </w:tc>
        <w:tc>
          <w:tcPr>
            <w:tcW w:w="1559" w:type="dxa"/>
            <w:tcBorders>
              <w:top w:val="nil"/>
              <w:left w:val="nil"/>
              <w:bottom w:val="nil"/>
              <w:right w:val="nil"/>
            </w:tcBorders>
            <w:shd w:val="clear" w:color="000000" w:fill="CCCCFF"/>
            <w:noWrap/>
            <w:vAlign w:val="bottom"/>
            <w:hideMark/>
          </w:tcPr>
          <w:p w14:paraId="05002F3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4.244,55</w:t>
            </w:r>
          </w:p>
        </w:tc>
        <w:tc>
          <w:tcPr>
            <w:tcW w:w="993" w:type="dxa"/>
            <w:tcBorders>
              <w:top w:val="nil"/>
              <w:left w:val="nil"/>
              <w:bottom w:val="nil"/>
              <w:right w:val="nil"/>
            </w:tcBorders>
            <w:shd w:val="clear" w:color="000000" w:fill="CCCCFF"/>
            <w:noWrap/>
            <w:vAlign w:val="bottom"/>
            <w:hideMark/>
          </w:tcPr>
          <w:p w14:paraId="731FE05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81,63%</w:t>
            </w:r>
          </w:p>
        </w:tc>
      </w:tr>
      <w:tr w:rsidR="006967F8" w:rsidRPr="006967F8" w14:paraId="50ED1111"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8FA0E70"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0C08B82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5.200,00</w:t>
            </w:r>
          </w:p>
        </w:tc>
        <w:tc>
          <w:tcPr>
            <w:tcW w:w="1559" w:type="dxa"/>
            <w:tcBorders>
              <w:top w:val="nil"/>
              <w:left w:val="nil"/>
              <w:bottom w:val="nil"/>
              <w:right w:val="nil"/>
            </w:tcBorders>
            <w:shd w:val="clear" w:color="000000" w:fill="CCCCFF"/>
            <w:noWrap/>
            <w:vAlign w:val="bottom"/>
            <w:hideMark/>
          </w:tcPr>
          <w:p w14:paraId="458D855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5.200,00</w:t>
            </w:r>
          </w:p>
        </w:tc>
        <w:tc>
          <w:tcPr>
            <w:tcW w:w="1559" w:type="dxa"/>
            <w:tcBorders>
              <w:top w:val="nil"/>
              <w:left w:val="nil"/>
              <w:bottom w:val="nil"/>
              <w:right w:val="nil"/>
            </w:tcBorders>
            <w:shd w:val="clear" w:color="000000" w:fill="CCCCFF"/>
            <w:noWrap/>
            <w:vAlign w:val="bottom"/>
            <w:hideMark/>
          </w:tcPr>
          <w:p w14:paraId="6142086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4.244,55</w:t>
            </w:r>
          </w:p>
        </w:tc>
        <w:tc>
          <w:tcPr>
            <w:tcW w:w="993" w:type="dxa"/>
            <w:tcBorders>
              <w:top w:val="nil"/>
              <w:left w:val="nil"/>
              <w:bottom w:val="nil"/>
              <w:right w:val="nil"/>
            </w:tcBorders>
            <w:shd w:val="clear" w:color="000000" w:fill="CCCCFF"/>
            <w:noWrap/>
            <w:vAlign w:val="bottom"/>
            <w:hideMark/>
          </w:tcPr>
          <w:p w14:paraId="3D49BD3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81,63%</w:t>
            </w:r>
          </w:p>
        </w:tc>
      </w:tr>
      <w:tr w:rsidR="006967F8" w:rsidRPr="006967F8" w14:paraId="1003F75F" w14:textId="77777777" w:rsidTr="008A61B1">
        <w:trPr>
          <w:trHeight w:val="255"/>
        </w:trPr>
        <w:tc>
          <w:tcPr>
            <w:tcW w:w="1134" w:type="dxa"/>
            <w:tcBorders>
              <w:top w:val="nil"/>
              <w:left w:val="nil"/>
              <w:bottom w:val="nil"/>
              <w:right w:val="nil"/>
            </w:tcBorders>
            <w:noWrap/>
            <w:vAlign w:val="bottom"/>
            <w:hideMark/>
          </w:tcPr>
          <w:p w14:paraId="31B49F7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7955FCA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72CA98D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5.200,00</w:t>
            </w:r>
          </w:p>
        </w:tc>
        <w:tc>
          <w:tcPr>
            <w:tcW w:w="1559" w:type="dxa"/>
            <w:tcBorders>
              <w:top w:val="nil"/>
              <w:left w:val="nil"/>
              <w:bottom w:val="nil"/>
              <w:right w:val="nil"/>
            </w:tcBorders>
            <w:noWrap/>
            <w:vAlign w:val="bottom"/>
            <w:hideMark/>
          </w:tcPr>
          <w:p w14:paraId="61573C6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5.200,00</w:t>
            </w:r>
          </w:p>
        </w:tc>
        <w:tc>
          <w:tcPr>
            <w:tcW w:w="1559" w:type="dxa"/>
            <w:tcBorders>
              <w:top w:val="nil"/>
              <w:left w:val="nil"/>
              <w:bottom w:val="nil"/>
              <w:right w:val="nil"/>
            </w:tcBorders>
            <w:noWrap/>
            <w:vAlign w:val="bottom"/>
            <w:hideMark/>
          </w:tcPr>
          <w:p w14:paraId="6AB5782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4.244,55</w:t>
            </w:r>
          </w:p>
        </w:tc>
        <w:tc>
          <w:tcPr>
            <w:tcW w:w="993" w:type="dxa"/>
            <w:tcBorders>
              <w:top w:val="nil"/>
              <w:left w:val="nil"/>
              <w:bottom w:val="nil"/>
              <w:right w:val="nil"/>
            </w:tcBorders>
            <w:noWrap/>
            <w:vAlign w:val="bottom"/>
            <w:hideMark/>
          </w:tcPr>
          <w:p w14:paraId="4ECFABF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81,63%</w:t>
            </w:r>
          </w:p>
        </w:tc>
      </w:tr>
      <w:tr w:rsidR="006967F8" w:rsidRPr="006967F8" w14:paraId="345C4791" w14:textId="77777777" w:rsidTr="008A61B1">
        <w:trPr>
          <w:trHeight w:val="255"/>
        </w:trPr>
        <w:tc>
          <w:tcPr>
            <w:tcW w:w="1134" w:type="dxa"/>
            <w:tcBorders>
              <w:top w:val="nil"/>
              <w:left w:val="nil"/>
              <w:bottom w:val="nil"/>
              <w:right w:val="nil"/>
            </w:tcBorders>
            <w:noWrap/>
            <w:vAlign w:val="bottom"/>
            <w:hideMark/>
          </w:tcPr>
          <w:p w14:paraId="0335C18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3211</w:t>
            </w:r>
          </w:p>
        </w:tc>
        <w:tc>
          <w:tcPr>
            <w:tcW w:w="4962" w:type="dxa"/>
            <w:tcBorders>
              <w:top w:val="nil"/>
              <w:left w:val="nil"/>
              <w:bottom w:val="nil"/>
              <w:right w:val="nil"/>
            </w:tcBorders>
            <w:noWrap/>
            <w:vAlign w:val="bottom"/>
            <w:hideMark/>
          </w:tcPr>
          <w:p w14:paraId="404EB6A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Službena putovanja</w:t>
            </w:r>
          </w:p>
        </w:tc>
        <w:tc>
          <w:tcPr>
            <w:tcW w:w="1559" w:type="dxa"/>
            <w:tcBorders>
              <w:top w:val="nil"/>
              <w:left w:val="nil"/>
              <w:bottom w:val="nil"/>
              <w:right w:val="nil"/>
            </w:tcBorders>
            <w:noWrap/>
            <w:vAlign w:val="bottom"/>
            <w:hideMark/>
          </w:tcPr>
          <w:p w14:paraId="26C2179D"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F109E93"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BA0649D"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785,50</w:t>
            </w:r>
          </w:p>
        </w:tc>
        <w:tc>
          <w:tcPr>
            <w:tcW w:w="993" w:type="dxa"/>
            <w:tcBorders>
              <w:top w:val="nil"/>
              <w:left w:val="nil"/>
              <w:bottom w:val="nil"/>
              <w:right w:val="nil"/>
            </w:tcBorders>
            <w:noWrap/>
            <w:vAlign w:val="bottom"/>
            <w:hideMark/>
          </w:tcPr>
          <w:p w14:paraId="1340B494"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2C5EE1C" w14:textId="77777777" w:rsidTr="008A61B1">
        <w:trPr>
          <w:trHeight w:val="255"/>
        </w:trPr>
        <w:tc>
          <w:tcPr>
            <w:tcW w:w="1134" w:type="dxa"/>
            <w:tcBorders>
              <w:top w:val="nil"/>
              <w:left w:val="nil"/>
              <w:bottom w:val="nil"/>
              <w:right w:val="nil"/>
            </w:tcBorders>
            <w:noWrap/>
            <w:vAlign w:val="bottom"/>
            <w:hideMark/>
          </w:tcPr>
          <w:p w14:paraId="5332492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3213</w:t>
            </w:r>
          </w:p>
        </w:tc>
        <w:tc>
          <w:tcPr>
            <w:tcW w:w="4962" w:type="dxa"/>
            <w:tcBorders>
              <w:top w:val="nil"/>
              <w:left w:val="nil"/>
              <w:bottom w:val="nil"/>
              <w:right w:val="nil"/>
            </w:tcBorders>
            <w:noWrap/>
            <w:vAlign w:val="bottom"/>
            <w:hideMark/>
          </w:tcPr>
          <w:p w14:paraId="4B2E832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Stručno usavršavanje zaposlenika</w:t>
            </w:r>
          </w:p>
        </w:tc>
        <w:tc>
          <w:tcPr>
            <w:tcW w:w="1559" w:type="dxa"/>
            <w:tcBorders>
              <w:top w:val="nil"/>
              <w:left w:val="nil"/>
              <w:bottom w:val="nil"/>
              <w:right w:val="nil"/>
            </w:tcBorders>
            <w:noWrap/>
            <w:vAlign w:val="bottom"/>
            <w:hideMark/>
          </w:tcPr>
          <w:p w14:paraId="526ABC19"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3BEDCC1"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C27B181"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1.779,75</w:t>
            </w:r>
          </w:p>
        </w:tc>
        <w:tc>
          <w:tcPr>
            <w:tcW w:w="993" w:type="dxa"/>
            <w:tcBorders>
              <w:top w:val="nil"/>
              <w:left w:val="nil"/>
              <w:bottom w:val="nil"/>
              <w:right w:val="nil"/>
            </w:tcBorders>
            <w:noWrap/>
            <w:vAlign w:val="bottom"/>
            <w:hideMark/>
          </w:tcPr>
          <w:p w14:paraId="09D17018"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87E4DF6" w14:textId="77777777" w:rsidTr="008A61B1">
        <w:trPr>
          <w:trHeight w:val="255"/>
        </w:trPr>
        <w:tc>
          <w:tcPr>
            <w:tcW w:w="1134" w:type="dxa"/>
            <w:tcBorders>
              <w:top w:val="nil"/>
              <w:left w:val="nil"/>
              <w:bottom w:val="nil"/>
              <w:right w:val="nil"/>
            </w:tcBorders>
            <w:noWrap/>
            <w:vAlign w:val="bottom"/>
            <w:hideMark/>
          </w:tcPr>
          <w:p w14:paraId="3E4C742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3221</w:t>
            </w:r>
          </w:p>
        </w:tc>
        <w:tc>
          <w:tcPr>
            <w:tcW w:w="4962" w:type="dxa"/>
            <w:tcBorders>
              <w:top w:val="nil"/>
              <w:left w:val="nil"/>
              <w:bottom w:val="nil"/>
              <w:right w:val="nil"/>
            </w:tcBorders>
            <w:noWrap/>
            <w:vAlign w:val="bottom"/>
            <w:hideMark/>
          </w:tcPr>
          <w:p w14:paraId="1610B6B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Uredski materijal i ostali materijalni rashodi</w:t>
            </w:r>
          </w:p>
        </w:tc>
        <w:tc>
          <w:tcPr>
            <w:tcW w:w="1559" w:type="dxa"/>
            <w:tcBorders>
              <w:top w:val="nil"/>
              <w:left w:val="nil"/>
              <w:bottom w:val="nil"/>
              <w:right w:val="nil"/>
            </w:tcBorders>
            <w:noWrap/>
            <w:vAlign w:val="bottom"/>
            <w:hideMark/>
          </w:tcPr>
          <w:p w14:paraId="1A3D5276"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D912826"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4BE04E3"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1.679,30</w:t>
            </w:r>
          </w:p>
        </w:tc>
        <w:tc>
          <w:tcPr>
            <w:tcW w:w="993" w:type="dxa"/>
            <w:tcBorders>
              <w:top w:val="nil"/>
              <w:left w:val="nil"/>
              <w:bottom w:val="nil"/>
              <w:right w:val="nil"/>
            </w:tcBorders>
            <w:noWrap/>
            <w:vAlign w:val="bottom"/>
            <w:hideMark/>
          </w:tcPr>
          <w:p w14:paraId="08CE2C18"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34A8A97" w14:textId="77777777" w:rsidTr="008A61B1">
        <w:trPr>
          <w:trHeight w:val="255"/>
        </w:trPr>
        <w:tc>
          <w:tcPr>
            <w:tcW w:w="1134" w:type="dxa"/>
            <w:tcBorders>
              <w:top w:val="nil"/>
              <w:left w:val="nil"/>
              <w:bottom w:val="nil"/>
              <w:right w:val="nil"/>
            </w:tcBorders>
            <w:shd w:val="clear" w:color="000000" w:fill="FF9900"/>
            <w:noWrap/>
            <w:vAlign w:val="bottom"/>
            <w:hideMark/>
          </w:tcPr>
          <w:p w14:paraId="5081CDE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1700</w:t>
            </w:r>
          </w:p>
        </w:tc>
        <w:tc>
          <w:tcPr>
            <w:tcW w:w="4962" w:type="dxa"/>
            <w:tcBorders>
              <w:top w:val="nil"/>
              <w:left w:val="nil"/>
              <w:bottom w:val="nil"/>
              <w:right w:val="nil"/>
            </w:tcBorders>
            <w:shd w:val="clear" w:color="000000" w:fill="FF9900"/>
            <w:noWrap/>
            <w:vAlign w:val="bottom"/>
            <w:hideMark/>
          </w:tcPr>
          <w:p w14:paraId="1EC3FFB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Program: UPRAVLJANJE FINANCIJAMA</w:t>
            </w:r>
          </w:p>
        </w:tc>
        <w:tc>
          <w:tcPr>
            <w:tcW w:w="1559" w:type="dxa"/>
            <w:tcBorders>
              <w:top w:val="nil"/>
              <w:left w:val="nil"/>
              <w:bottom w:val="nil"/>
              <w:right w:val="nil"/>
            </w:tcBorders>
            <w:shd w:val="clear" w:color="000000" w:fill="FF9900"/>
            <w:noWrap/>
            <w:vAlign w:val="bottom"/>
            <w:hideMark/>
          </w:tcPr>
          <w:p w14:paraId="6035D43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604.000,00</w:t>
            </w:r>
          </w:p>
        </w:tc>
        <w:tc>
          <w:tcPr>
            <w:tcW w:w="1559" w:type="dxa"/>
            <w:tcBorders>
              <w:top w:val="nil"/>
              <w:left w:val="nil"/>
              <w:bottom w:val="nil"/>
              <w:right w:val="nil"/>
            </w:tcBorders>
            <w:shd w:val="clear" w:color="000000" w:fill="FF9900"/>
            <w:noWrap/>
            <w:vAlign w:val="bottom"/>
            <w:hideMark/>
          </w:tcPr>
          <w:p w14:paraId="0C1A24E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597.500,00</w:t>
            </w:r>
          </w:p>
        </w:tc>
        <w:tc>
          <w:tcPr>
            <w:tcW w:w="1559" w:type="dxa"/>
            <w:tcBorders>
              <w:top w:val="nil"/>
              <w:left w:val="nil"/>
              <w:bottom w:val="nil"/>
              <w:right w:val="nil"/>
            </w:tcBorders>
            <w:shd w:val="clear" w:color="000000" w:fill="FF9900"/>
            <w:noWrap/>
            <w:vAlign w:val="bottom"/>
            <w:hideMark/>
          </w:tcPr>
          <w:p w14:paraId="6207A31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500.265,22</w:t>
            </w:r>
          </w:p>
        </w:tc>
        <w:tc>
          <w:tcPr>
            <w:tcW w:w="993" w:type="dxa"/>
            <w:tcBorders>
              <w:top w:val="nil"/>
              <w:left w:val="nil"/>
              <w:bottom w:val="nil"/>
              <w:right w:val="nil"/>
            </w:tcBorders>
            <w:shd w:val="clear" w:color="000000" w:fill="FF9900"/>
            <w:noWrap/>
            <w:vAlign w:val="bottom"/>
            <w:hideMark/>
          </w:tcPr>
          <w:p w14:paraId="5A08810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83,73%</w:t>
            </w:r>
          </w:p>
        </w:tc>
      </w:tr>
      <w:tr w:rsidR="006967F8" w:rsidRPr="006967F8" w14:paraId="1239D8A0" w14:textId="77777777" w:rsidTr="008A61B1">
        <w:trPr>
          <w:trHeight w:val="255"/>
        </w:trPr>
        <w:tc>
          <w:tcPr>
            <w:tcW w:w="1134" w:type="dxa"/>
            <w:tcBorders>
              <w:top w:val="nil"/>
              <w:left w:val="nil"/>
              <w:bottom w:val="nil"/>
              <w:right w:val="nil"/>
            </w:tcBorders>
            <w:shd w:val="clear" w:color="000000" w:fill="FFFF99"/>
            <w:noWrap/>
            <w:vAlign w:val="bottom"/>
            <w:hideMark/>
          </w:tcPr>
          <w:p w14:paraId="2DB37A4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A100001</w:t>
            </w:r>
          </w:p>
        </w:tc>
        <w:tc>
          <w:tcPr>
            <w:tcW w:w="4962" w:type="dxa"/>
            <w:tcBorders>
              <w:top w:val="nil"/>
              <w:left w:val="nil"/>
              <w:bottom w:val="nil"/>
              <w:right w:val="nil"/>
            </w:tcBorders>
            <w:shd w:val="clear" w:color="000000" w:fill="FFFF99"/>
            <w:noWrap/>
            <w:vAlign w:val="bottom"/>
            <w:hideMark/>
          </w:tcPr>
          <w:p w14:paraId="5967C5B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Aktivnost: FINANCIRANJE TEKUĆIH RASHODA</w:t>
            </w:r>
          </w:p>
        </w:tc>
        <w:tc>
          <w:tcPr>
            <w:tcW w:w="1559" w:type="dxa"/>
            <w:tcBorders>
              <w:top w:val="nil"/>
              <w:left w:val="nil"/>
              <w:bottom w:val="nil"/>
              <w:right w:val="nil"/>
            </w:tcBorders>
            <w:shd w:val="clear" w:color="000000" w:fill="FFFF99"/>
            <w:noWrap/>
            <w:vAlign w:val="bottom"/>
            <w:hideMark/>
          </w:tcPr>
          <w:p w14:paraId="7D1822D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527.000,00</w:t>
            </w:r>
          </w:p>
        </w:tc>
        <w:tc>
          <w:tcPr>
            <w:tcW w:w="1559" w:type="dxa"/>
            <w:tcBorders>
              <w:top w:val="nil"/>
              <w:left w:val="nil"/>
              <w:bottom w:val="nil"/>
              <w:right w:val="nil"/>
            </w:tcBorders>
            <w:shd w:val="clear" w:color="000000" w:fill="FFFF99"/>
            <w:noWrap/>
            <w:vAlign w:val="bottom"/>
            <w:hideMark/>
          </w:tcPr>
          <w:p w14:paraId="21FC8E0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520.500,00</w:t>
            </w:r>
          </w:p>
        </w:tc>
        <w:tc>
          <w:tcPr>
            <w:tcW w:w="1559" w:type="dxa"/>
            <w:tcBorders>
              <w:top w:val="nil"/>
              <w:left w:val="nil"/>
              <w:bottom w:val="nil"/>
              <w:right w:val="nil"/>
            </w:tcBorders>
            <w:shd w:val="clear" w:color="000000" w:fill="FFFF99"/>
            <w:noWrap/>
            <w:vAlign w:val="bottom"/>
            <w:hideMark/>
          </w:tcPr>
          <w:p w14:paraId="70E0B3B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468.686,60</w:t>
            </w:r>
          </w:p>
        </w:tc>
        <w:tc>
          <w:tcPr>
            <w:tcW w:w="993" w:type="dxa"/>
            <w:tcBorders>
              <w:top w:val="nil"/>
              <w:left w:val="nil"/>
              <w:bottom w:val="nil"/>
              <w:right w:val="nil"/>
            </w:tcBorders>
            <w:shd w:val="clear" w:color="000000" w:fill="FFFF99"/>
            <w:noWrap/>
            <w:vAlign w:val="bottom"/>
            <w:hideMark/>
          </w:tcPr>
          <w:p w14:paraId="775BA79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90,05%</w:t>
            </w:r>
          </w:p>
        </w:tc>
      </w:tr>
      <w:tr w:rsidR="006967F8" w:rsidRPr="006967F8" w14:paraId="35790A61"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0383A94"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182C326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527.000,00</w:t>
            </w:r>
          </w:p>
        </w:tc>
        <w:tc>
          <w:tcPr>
            <w:tcW w:w="1559" w:type="dxa"/>
            <w:tcBorders>
              <w:top w:val="nil"/>
              <w:left w:val="nil"/>
              <w:bottom w:val="nil"/>
              <w:right w:val="nil"/>
            </w:tcBorders>
            <w:shd w:val="clear" w:color="000000" w:fill="CCCCFF"/>
            <w:noWrap/>
            <w:vAlign w:val="bottom"/>
            <w:hideMark/>
          </w:tcPr>
          <w:p w14:paraId="7296962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520.500,00</w:t>
            </w:r>
          </w:p>
        </w:tc>
        <w:tc>
          <w:tcPr>
            <w:tcW w:w="1559" w:type="dxa"/>
            <w:tcBorders>
              <w:top w:val="nil"/>
              <w:left w:val="nil"/>
              <w:bottom w:val="nil"/>
              <w:right w:val="nil"/>
            </w:tcBorders>
            <w:shd w:val="clear" w:color="000000" w:fill="CCCCFF"/>
            <w:noWrap/>
            <w:vAlign w:val="bottom"/>
            <w:hideMark/>
          </w:tcPr>
          <w:p w14:paraId="160C006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468.686,60</w:t>
            </w:r>
          </w:p>
        </w:tc>
        <w:tc>
          <w:tcPr>
            <w:tcW w:w="993" w:type="dxa"/>
            <w:tcBorders>
              <w:top w:val="nil"/>
              <w:left w:val="nil"/>
              <w:bottom w:val="nil"/>
              <w:right w:val="nil"/>
            </w:tcBorders>
            <w:shd w:val="clear" w:color="000000" w:fill="CCCCFF"/>
            <w:noWrap/>
            <w:vAlign w:val="bottom"/>
            <w:hideMark/>
          </w:tcPr>
          <w:p w14:paraId="657786B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90,05%</w:t>
            </w:r>
          </w:p>
        </w:tc>
      </w:tr>
      <w:tr w:rsidR="006967F8" w:rsidRPr="006967F8" w14:paraId="53740171"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F8FFF87"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524AEB8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527.000,00</w:t>
            </w:r>
          </w:p>
        </w:tc>
        <w:tc>
          <w:tcPr>
            <w:tcW w:w="1559" w:type="dxa"/>
            <w:tcBorders>
              <w:top w:val="nil"/>
              <w:left w:val="nil"/>
              <w:bottom w:val="nil"/>
              <w:right w:val="nil"/>
            </w:tcBorders>
            <w:shd w:val="clear" w:color="000000" w:fill="CCCCFF"/>
            <w:noWrap/>
            <w:vAlign w:val="bottom"/>
            <w:hideMark/>
          </w:tcPr>
          <w:p w14:paraId="1F39B1A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520.500,00</w:t>
            </w:r>
          </w:p>
        </w:tc>
        <w:tc>
          <w:tcPr>
            <w:tcW w:w="1559" w:type="dxa"/>
            <w:tcBorders>
              <w:top w:val="nil"/>
              <w:left w:val="nil"/>
              <w:bottom w:val="nil"/>
              <w:right w:val="nil"/>
            </w:tcBorders>
            <w:shd w:val="clear" w:color="000000" w:fill="CCCCFF"/>
            <w:noWrap/>
            <w:vAlign w:val="bottom"/>
            <w:hideMark/>
          </w:tcPr>
          <w:p w14:paraId="0361C5F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468.686,60</w:t>
            </w:r>
          </w:p>
        </w:tc>
        <w:tc>
          <w:tcPr>
            <w:tcW w:w="993" w:type="dxa"/>
            <w:tcBorders>
              <w:top w:val="nil"/>
              <w:left w:val="nil"/>
              <w:bottom w:val="nil"/>
              <w:right w:val="nil"/>
            </w:tcBorders>
            <w:shd w:val="clear" w:color="000000" w:fill="CCCCFF"/>
            <w:noWrap/>
            <w:vAlign w:val="bottom"/>
            <w:hideMark/>
          </w:tcPr>
          <w:p w14:paraId="58F53EB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90,05%</w:t>
            </w:r>
          </w:p>
        </w:tc>
      </w:tr>
      <w:tr w:rsidR="006967F8" w:rsidRPr="006967F8" w14:paraId="1BE7289D" w14:textId="77777777" w:rsidTr="008A61B1">
        <w:trPr>
          <w:trHeight w:val="255"/>
        </w:trPr>
        <w:tc>
          <w:tcPr>
            <w:tcW w:w="1134" w:type="dxa"/>
            <w:tcBorders>
              <w:top w:val="nil"/>
              <w:left w:val="nil"/>
              <w:bottom w:val="nil"/>
              <w:right w:val="nil"/>
            </w:tcBorders>
            <w:noWrap/>
            <w:vAlign w:val="bottom"/>
            <w:hideMark/>
          </w:tcPr>
          <w:p w14:paraId="24683BC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4DC9C7B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510068F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143.000,00</w:t>
            </w:r>
          </w:p>
        </w:tc>
        <w:tc>
          <w:tcPr>
            <w:tcW w:w="1559" w:type="dxa"/>
            <w:tcBorders>
              <w:top w:val="nil"/>
              <w:left w:val="nil"/>
              <w:bottom w:val="nil"/>
              <w:right w:val="nil"/>
            </w:tcBorders>
            <w:noWrap/>
            <w:vAlign w:val="bottom"/>
            <w:hideMark/>
          </w:tcPr>
          <w:p w14:paraId="17C7944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136.500,00</w:t>
            </w:r>
          </w:p>
        </w:tc>
        <w:tc>
          <w:tcPr>
            <w:tcW w:w="1559" w:type="dxa"/>
            <w:tcBorders>
              <w:top w:val="nil"/>
              <w:left w:val="nil"/>
              <w:bottom w:val="nil"/>
              <w:right w:val="nil"/>
            </w:tcBorders>
            <w:noWrap/>
            <w:vAlign w:val="bottom"/>
            <w:hideMark/>
          </w:tcPr>
          <w:p w14:paraId="5E8FA19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116.313,13</w:t>
            </w:r>
          </w:p>
        </w:tc>
        <w:tc>
          <w:tcPr>
            <w:tcW w:w="993" w:type="dxa"/>
            <w:tcBorders>
              <w:top w:val="nil"/>
              <w:left w:val="nil"/>
              <w:bottom w:val="nil"/>
              <w:right w:val="nil"/>
            </w:tcBorders>
            <w:noWrap/>
            <w:vAlign w:val="bottom"/>
            <w:hideMark/>
          </w:tcPr>
          <w:p w14:paraId="4736C9C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85,21%</w:t>
            </w:r>
          </w:p>
        </w:tc>
      </w:tr>
      <w:tr w:rsidR="006967F8" w:rsidRPr="006967F8" w14:paraId="707CF198" w14:textId="77777777" w:rsidTr="008A61B1">
        <w:trPr>
          <w:trHeight w:val="255"/>
        </w:trPr>
        <w:tc>
          <w:tcPr>
            <w:tcW w:w="1134" w:type="dxa"/>
            <w:tcBorders>
              <w:top w:val="nil"/>
              <w:left w:val="nil"/>
              <w:bottom w:val="nil"/>
              <w:right w:val="nil"/>
            </w:tcBorders>
            <w:noWrap/>
            <w:vAlign w:val="bottom"/>
            <w:hideMark/>
          </w:tcPr>
          <w:p w14:paraId="0E0DE2A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3239</w:t>
            </w:r>
          </w:p>
        </w:tc>
        <w:tc>
          <w:tcPr>
            <w:tcW w:w="4962" w:type="dxa"/>
            <w:tcBorders>
              <w:top w:val="nil"/>
              <w:left w:val="nil"/>
              <w:bottom w:val="nil"/>
              <w:right w:val="nil"/>
            </w:tcBorders>
            <w:noWrap/>
            <w:vAlign w:val="bottom"/>
            <w:hideMark/>
          </w:tcPr>
          <w:p w14:paraId="45BD15C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Ostale usluge</w:t>
            </w:r>
          </w:p>
        </w:tc>
        <w:tc>
          <w:tcPr>
            <w:tcW w:w="1559" w:type="dxa"/>
            <w:tcBorders>
              <w:top w:val="nil"/>
              <w:left w:val="nil"/>
              <w:bottom w:val="nil"/>
              <w:right w:val="nil"/>
            </w:tcBorders>
            <w:noWrap/>
            <w:vAlign w:val="bottom"/>
            <w:hideMark/>
          </w:tcPr>
          <w:p w14:paraId="01F96FD4"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943C725"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83BB9F4"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110.499,08</w:t>
            </w:r>
          </w:p>
        </w:tc>
        <w:tc>
          <w:tcPr>
            <w:tcW w:w="993" w:type="dxa"/>
            <w:tcBorders>
              <w:top w:val="nil"/>
              <w:left w:val="nil"/>
              <w:bottom w:val="nil"/>
              <w:right w:val="nil"/>
            </w:tcBorders>
            <w:noWrap/>
            <w:vAlign w:val="bottom"/>
            <w:hideMark/>
          </w:tcPr>
          <w:p w14:paraId="46597226"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E2FC519" w14:textId="77777777" w:rsidTr="008A61B1">
        <w:trPr>
          <w:trHeight w:val="255"/>
        </w:trPr>
        <w:tc>
          <w:tcPr>
            <w:tcW w:w="1134" w:type="dxa"/>
            <w:tcBorders>
              <w:top w:val="nil"/>
              <w:left w:val="nil"/>
              <w:bottom w:val="nil"/>
              <w:right w:val="nil"/>
            </w:tcBorders>
            <w:noWrap/>
            <w:vAlign w:val="bottom"/>
            <w:hideMark/>
          </w:tcPr>
          <w:p w14:paraId="044D539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3295</w:t>
            </w:r>
          </w:p>
        </w:tc>
        <w:tc>
          <w:tcPr>
            <w:tcW w:w="4962" w:type="dxa"/>
            <w:tcBorders>
              <w:top w:val="nil"/>
              <w:left w:val="nil"/>
              <w:bottom w:val="nil"/>
              <w:right w:val="nil"/>
            </w:tcBorders>
            <w:noWrap/>
            <w:vAlign w:val="bottom"/>
            <w:hideMark/>
          </w:tcPr>
          <w:p w14:paraId="258CE65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Pristojbe i naknade</w:t>
            </w:r>
          </w:p>
        </w:tc>
        <w:tc>
          <w:tcPr>
            <w:tcW w:w="1559" w:type="dxa"/>
            <w:tcBorders>
              <w:top w:val="nil"/>
              <w:left w:val="nil"/>
              <w:bottom w:val="nil"/>
              <w:right w:val="nil"/>
            </w:tcBorders>
            <w:noWrap/>
            <w:vAlign w:val="bottom"/>
            <w:hideMark/>
          </w:tcPr>
          <w:p w14:paraId="296D04E0"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660CF7A"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B046DCF"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1.124,42</w:t>
            </w:r>
          </w:p>
        </w:tc>
        <w:tc>
          <w:tcPr>
            <w:tcW w:w="993" w:type="dxa"/>
            <w:tcBorders>
              <w:top w:val="nil"/>
              <w:left w:val="nil"/>
              <w:bottom w:val="nil"/>
              <w:right w:val="nil"/>
            </w:tcBorders>
            <w:noWrap/>
            <w:vAlign w:val="bottom"/>
            <w:hideMark/>
          </w:tcPr>
          <w:p w14:paraId="53F58D04"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FC90A1A" w14:textId="77777777" w:rsidTr="008A61B1">
        <w:trPr>
          <w:trHeight w:val="255"/>
        </w:trPr>
        <w:tc>
          <w:tcPr>
            <w:tcW w:w="1134" w:type="dxa"/>
            <w:tcBorders>
              <w:top w:val="nil"/>
              <w:left w:val="nil"/>
              <w:bottom w:val="nil"/>
              <w:right w:val="nil"/>
            </w:tcBorders>
            <w:noWrap/>
            <w:vAlign w:val="bottom"/>
            <w:hideMark/>
          </w:tcPr>
          <w:p w14:paraId="59A9001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3299</w:t>
            </w:r>
          </w:p>
        </w:tc>
        <w:tc>
          <w:tcPr>
            <w:tcW w:w="4962" w:type="dxa"/>
            <w:tcBorders>
              <w:top w:val="nil"/>
              <w:left w:val="nil"/>
              <w:bottom w:val="nil"/>
              <w:right w:val="nil"/>
            </w:tcBorders>
            <w:noWrap/>
            <w:vAlign w:val="bottom"/>
            <w:hideMark/>
          </w:tcPr>
          <w:p w14:paraId="43761C9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nespomenuti rashodi poslovanja</w:t>
            </w:r>
          </w:p>
        </w:tc>
        <w:tc>
          <w:tcPr>
            <w:tcW w:w="1559" w:type="dxa"/>
            <w:tcBorders>
              <w:top w:val="nil"/>
              <w:left w:val="nil"/>
              <w:bottom w:val="nil"/>
              <w:right w:val="nil"/>
            </w:tcBorders>
            <w:noWrap/>
            <w:vAlign w:val="bottom"/>
            <w:hideMark/>
          </w:tcPr>
          <w:p w14:paraId="2532E42F"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C689C11"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4380C78"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4.689,63</w:t>
            </w:r>
          </w:p>
        </w:tc>
        <w:tc>
          <w:tcPr>
            <w:tcW w:w="993" w:type="dxa"/>
            <w:tcBorders>
              <w:top w:val="nil"/>
              <w:left w:val="nil"/>
              <w:bottom w:val="nil"/>
              <w:right w:val="nil"/>
            </w:tcBorders>
            <w:noWrap/>
            <w:vAlign w:val="bottom"/>
            <w:hideMark/>
          </w:tcPr>
          <w:p w14:paraId="35433EB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8A0EB43" w14:textId="77777777" w:rsidTr="008A61B1">
        <w:trPr>
          <w:trHeight w:val="255"/>
        </w:trPr>
        <w:tc>
          <w:tcPr>
            <w:tcW w:w="1134" w:type="dxa"/>
            <w:tcBorders>
              <w:top w:val="nil"/>
              <w:left w:val="nil"/>
              <w:bottom w:val="nil"/>
              <w:right w:val="nil"/>
            </w:tcBorders>
            <w:noWrap/>
            <w:vAlign w:val="bottom"/>
            <w:hideMark/>
          </w:tcPr>
          <w:p w14:paraId="0E9586A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34</w:t>
            </w:r>
          </w:p>
        </w:tc>
        <w:tc>
          <w:tcPr>
            <w:tcW w:w="4962" w:type="dxa"/>
            <w:tcBorders>
              <w:top w:val="nil"/>
              <w:left w:val="nil"/>
              <w:bottom w:val="nil"/>
              <w:right w:val="nil"/>
            </w:tcBorders>
            <w:noWrap/>
            <w:vAlign w:val="bottom"/>
            <w:hideMark/>
          </w:tcPr>
          <w:p w14:paraId="195C5EC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Financijski rashodi</w:t>
            </w:r>
          </w:p>
        </w:tc>
        <w:tc>
          <w:tcPr>
            <w:tcW w:w="1559" w:type="dxa"/>
            <w:tcBorders>
              <w:top w:val="nil"/>
              <w:left w:val="nil"/>
              <w:bottom w:val="nil"/>
              <w:right w:val="nil"/>
            </w:tcBorders>
            <w:noWrap/>
            <w:vAlign w:val="bottom"/>
            <w:hideMark/>
          </w:tcPr>
          <w:p w14:paraId="07ADFB6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41.500,00</w:t>
            </w:r>
          </w:p>
        </w:tc>
        <w:tc>
          <w:tcPr>
            <w:tcW w:w="1559" w:type="dxa"/>
            <w:tcBorders>
              <w:top w:val="nil"/>
              <w:left w:val="nil"/>
              <w:bottom w:val="nil"/>
              <w:right w:val="nil"/>
            </w:tcBorders>
            <w:noWrap/>
            <w:vAlign w:val="bottom"/>
            <w:hideMark/>
          </w:tcPr>
          <w:p w14:paraId="389152F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41.500,00</w:t>
            </w:r>
          </w:p>
        </w:tc>
        <w:tc>
          <w:tcPr>
            <w:tcW w:w="1559" w:type="dxa"/>
            <w:tcBorders>
              <w:top w:val="nil"/>
              <w:left w:val="nil"/>
              <w:bottom w:val="nil"/>
              <w:right w:val="nil"/>
            </w:tcBorders>
            <w:noWrap/>
            <w:vAlign w:val="bottom"/>
            <w:hideMark/>
          </w:tcPr>
          <w:p w14:paraId="3A2987D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25.649,34</w:t>
            </w:r>
          </w:p>
        </w:tc>
        <w:tc>
          <w:tcPr>
            <w:tcW w:w="993" w:type="dxa"/>
            <w:tcBorders>
              <w:top w:val="nil"/>
              <w:left w:val="nil"/>
              <w:bottom w:val="nil"/>
              <w:right w:val="nil"/>
            </w:tcBorders>
            <w:noWrap/>
            <w:vAlign w:val="bottom"/>
            <w:hideMark/>
          </w:tcPr>
          <w:p w14:paraId="664CBAA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61,81%</w:t>
            </w:r>
          </w:p>
        </w:tc>
      </w:tr>
      <w:tr w:rsidR="006967F8" w:rsidRPr="006967F8" w14:paraId="338B45A7" w14:textId="77777777" w:rsidTr="008A61B1">
        <w:trPr>
          <w:trHeight w:val="555"/>
        </w:trPr>
        <w:tc>
          <w:tcPr>
            <w:tcW w:w="1134" w:type="dxa"/>
            <w:tcBorders>
              <w:top w:val="nil"/>
              <w:left w:val="nil"/>
              <w:bottom w:val="nil"/>
              <w:right w:val="nil"/>
            </w:tcBorders>
            <w:noWrap/>
            <w:vAlign w:val="bottom"/>
            <w:hideMark/>
          </w:tcPr>
          <w:p w14:paraId="406E405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3423</w:t>
            </w:r>
          </w:p>
        </w:tc>
        <w:tc>
          <w:tcPr>
            <w:tcW w:w="4962" w:type="dxa"/>
            <w:tcBorders>
              <w:top w:val="nil"/>
              <w:left w:val="nil"/>
              <w:bottom w:val="nil"/>
              <w:right w:val="nil"/>
            </w:tcBorders>
            <w:vAlign w:val="bottom"/>
            <w:hideMark/>
          </w:tcPr>
          <w:p w14:paraId="60A6D24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Kamate za primljene kredite i zajmove od kreditnih i ostalih financijskih institucija izvan javnog s</w:t>
            </w:r>
          </w:p>
        </w:tc>
        <w:tc>
          <w:tcPr>
            <w:tcW w:w="1559" w:type="dxa"/>
            <w:tcBorders>
              <w:top w:val="nil"/>
              <w:left w:val="nil"/>
              <w:bottom w:val="nil"/>
              <w:right w:val="nil"/>
            </w:tcBorders>
            <w:noWrap/>
            <w:vAlign w:val="bottom"/>
            <w:hideMark/>
          </w:tcPr>
          <w:p w14:paraId="7ADE8A24"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66693CB"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840B161"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12.615,08</w:t>
            </w:r>
          </w:p>
        </w:tc>
        <w:tc>
          <w:tcPr>
            <w:tcW w:w="993" w:type="dxa"/>
            <w:tcBorders>
              <w:top w:val="nil"/>
              <w:left w:val="nil"/>
              <w:bottom w:val="nil"/>
              <w:right w:val="nil"/>
            </w:tcBorders>
            <w:noWrap/>
            <w:vAlign w:val="bottom"/>
            <w:hideMark/>
          </w:tcPr>
          <w:p w14:paraId="14E1BFE4"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CACB75E" w14:textId="77777777" w:rsidTr="008A61B1">
        <w:trPr>
          <w:trHeight w:val="255"/>
        </w:trPr>
        <w:tc>
          <w:tcPr>
            <w:tcW w:w="1134" w:type="dxa"/>
            <w:tcBorders>
              <w:top w:val="nil"/>
              <w:left w:val="nil"/>
              <w:bottom w:val="nil"/>
              <w:right w:val="nil"/>
            </w:tcBorders>
            <w:noWrap/>
            <w:vAlign w:val="bottom"/>
            <w:hideMark/>
          </w:tcPr>
          <w:p w14:paraId="00FBD78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3431</w:t>
            </w:r>
          </w:p>
        </w:tc>
        <w:tc>
          <w:tcPr>
            <w:tcW w:w="4962" w:type="dxa"/>
            <w:tcBorders>
              <w:top w:val="nil"/>
              <w:left w:val="nil"/>
              <w:bottom w:val="nil"/>
              <w:right w:val="nil"/>
            </w:tcBorders>
            <w:noWrap/>
            <w:vAlign w:val="bottom"/>
            <w:hideMark/>
          </w:tcPr>
          <w:p w14:paraId="588766C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Bankarske usluge i usluge platnog prometa</w:t>
            </w:r>
          </w:p>
        </w:tc>
        <w:tc>
          <w:tcPr>
            <w:tcW w:w="1559" w:type="dxa"/>
            <w:tcBorders>
              <w:top w:val="nil"/>
              <w:left w:val="nil"/>
              <w:bottom w:val="nil"/>
              <w:right w:val="nil"/>
            </w:tcBorders>
            <w:noWrap/>
            <w:vAlign w:val="bottom"/>
            <w:hideMark/>
          </w:tcPr>
          <w:p w14:paraId="5D7E9DE2"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D7BD83E"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323A700"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10.698,54</w:t>
            </w:r>
          </w:p>
        </w:tc>
        <w:tc>
          <w:tcPr>
            <w:tcW w:w="993" w:type="dxa"/>
            <w:tcBorders>
              <w:top w:val="nil"/>
              <w:left w:val="nil"/>
              <w:bottom w:val="nil"/>
              <w:right w:val="nil"/>
            </w:tcBorders>
            <w:noWrap/>
            <w:vAlign w:val="bottom"/>
            <w:hideMark/>
          </w:tcPr>
          <w:p w14:paraId="39CA9B18"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8A708E9" w14:textId="77777777" w:rsidTr="008A61B1">
        <w:trPr>
          <w:trHeight w:val="555"/>
        </w:trPr>
        <w:tc>
          <w:tcPr>
            <w:tcW w:w="1134" w:type="dxa"/>
            <w:tcBorders>
              <w:top w:val="nil"/>
              <w:left w:val="nil"/>
              <w:bottom w:val="nil"/>
              <w:right w:val="nil"/>
            </w:tcBorders>
            <w:noWrap/>
            <w:vAlign w:val="bottom"/>
            <w:hideMark/>
          </w:tcPr>
          <w:p w14:paraId="79036E3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3432</w:t>
            </w:r>
          </w:p>
        </w:tc>
        <w:tc>
          <w:tcPr>
            <w:tcW w:w="4962" w:type="dxa"/>
            <w:tcBorders>
              <w:top w:val="nil"/>
              <w:left w:val="nil"/>
              <w:bottom w:val="nil"/>
              <w:right w:val="nil"/>
            </w:tcBorders>
            <w:vAlign w:val="bottom"/>
            <w:hideMark/>
          </w:tcPr>
          <w:p w14:paraId="13A7D80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Negativne tečajne razlike i razlike zbog primjene valutne klauzule</w:t>
            </w:r>
          </w:p>
        </w:tc>
        <w:tc>
          <w:tcPr>
            <w:tcW w:w="1559" w:type="dxa"/>
            <w:tcBorders>
              <w:top w:val="nil"/>
              <w:left w:val="nil"/>
              <w:bottom w:val="nil"/>
              <w:right w:val="nil"/>
            </w:tcBorders>
            <w:noWrap/>
            <w:vAlign w:val="bottom"/>
            <w:hideMark/>
          </w:tcPr>
          <w:p w14:paraId="29171FE5"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72F5321"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D950901"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0,30</w:t>
            </w:r>
          </w:p>
        </w:tc>
        <w:tc>
          <w:tcPr>
            <w:tcW w:w="993" w:type="dxa"/>
            <w:tcBorders>
              <w:top w:val="nil"/>
              <w:left w:val="nil"/>
              <w:bottom w:val="nil"/>
              <w:right w:val="nil"/>
            </w:tcBorders>
            <w:noWrap/>
            <w:vAlign w:val="bottom"/>
            <w:hideMark/>
          </w:tcPr>
          <w:p w14:paraId="09875A7C"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BB3C5A2" w14:textId="77777777" w:rsidTr="008A61B1">
        <w:trPr>
          <w:trHeight w:val="255"/>
        </w:trPr>
        <w:tc>
          <w:tcPr>
            <w:tcW w:w="1134" w:type="dxa"/>
            <w:tcBorders>
              <w:top w:val="nil"/>
              <w:left w:val="nil"/>
              <w:bottom w:val="nil"/>
              <w:right w:val="nil"/>
            </w:tcBorders>
            <w:noWrap/>
            <w:vAlign w:val="bottom"/>
            <w:hideMark/>
          </w:tcPr>
          <w:p w14:paraId="2B0D9F8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3433</w:t>
            </w:r>
          </w:p>
        </w:tc>
        <w:tc>
          <w:tcPr>
            <w:tcW w:w="4962" w:type="dxa"/>
            <w:tcBorders>
              <w:top w:val="nil"/>
              <w:left w:val="nil"/>
              <w:bottom w:val="nil"/>
              <w:right w:val="nil"/>
            </w:tcBorders>
            <w:noWrap/>
            <w:vAlign w:val="bottom"/>
            <w:hideMark/>
          </w:tcPr>
          <w:p w14:paraId="44AD991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Zatezne kamate</w:t>
            </w:r>
          </w:p>
        </w:tc>
        <w:tc>
          <w:tcPr>
            <w:tcW w:w="1559" w:type="dxa"/>
            <w:tcBorders>
              <w:top w:val="nil"/>
              <w:left w:val="nil"/>
              <w:bottom w:val="nil"/>
              <w:right w:val="nil"/>
            </w:tcBorders>
            <w:noWrap/>
            <w:vAlign w:val="bottom"/>
            <w:hideMark/>
          </w:tcPr>
          <w:p w14:paraId="52D6F726"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BD446F2"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9B27919"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2.335,42</w:t>
            </w:r>
          </w:p>
        </w:tc>
        <w:tc>
          <w:tcPr>
            <w:tcW w:w="993" w:type="dxa"/>
            <w:tcBorders>
              <w:top w:val="nil"/>
              <w:left w:val="nil"/>
              <w:bottom w:val="nil"/>
              <w:right w:val="nil"/>
            </w:tcBorders>
            <w:noWrap/>
            <w:vAlign w:val="bottom"/>
            <w:hideMark/>
          </w:tcPr>
          <w:p w14:paraId="0EDC7CFE"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156CA0F" w14:textId="77777777" w:rsidTr="008A61B1">
        <w:trPr>
          <w:trHeight w:val="510"/>
        </w:trPr>
        <w:tc>
          <w:tcPr>
            <w:tcW w:w="1134" w:type="dxa"/>
            <w:tcBorders>
              <w:top w:val="nil"/>
              <w:left w:val="nil"/>
              <w:bottom w:val="nil"/>
              <w:right w:val="nil"/>
            </w:tcBorders>
            <w:noWrap/>
            <w:vAlign w:val="bottom"/>
            <w:hideMark/>
          </w:tcPr>
          <w:p w14:paraId="7AB1BBE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54</w:t>
            </w:r>
          </w:p>
        </w:tc>
        <w:tc>
          <w:tcPr>
            <w:tcW w:w="4962" w:type="dxa"/>
            <w:tcBorders>
              <w:top w:val="nil"/>
              <w:left w:val="nil"/>
              <w:bottom w:val="nil"/>
              <w:right w:val="nil"/>
            </w:tcBorders>
            <w:vAlign w:val="bottom"/>
            <w:hideMark/>
          </w:tcPr>
          <w:p w14:paraId="0F81936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Izdaci za otplatu glavnice primljenih kredita i zajmova</w:t>
            </w:r>
          </w:p>
        </w:tc>
        <w:tc>
          <w:tcPr>
            <w:tcW w:w="1559" w:type="dxa"/>
            <w:tcBorders>
              <w:top w:val="nil"/>
              <w:left w:val="nil"/>
              <w:bottom w:val="nil"/>
              <w:right w:val="nil"/>
            </w:tcBorders>
            <w:noWrap/>
            <w:vAlign w:val="bottom"/>
            <w:hideMark/>
          </w:tcPr>
          <w:p w14:paraId="78FFFF2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342.500,00</w:t>
            </w:r>
          </w:p>
        </w:tc>
        <w:tc>
          <w:tcPr>
            <w:tcW w:w="1559" w:type="dxa"/>
            <w:tcBorders>
              <w:top w:val="nil"/>
              <w:left w:val="nil"/>
              <w:bottom w:val="nil"/>
              <w:right w:val="nil"/>
            </w:tcBorders>
            <w:noWrap/>
            <w:vAlign w:val="bottom"/>
            <w:hideMark/>
          </w:tcPr>
          <w:p w14:paraId="0FEB576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342.500,00</w:t>
            </w:r>
          </w:p>
        </w:tc>
        <w:tc>
          <w:tcPr>
            <w:tcW w:w="1559" w:type="dxa"/>
            <w:tcBorders>
              <w:top w:val="nil"/>
              <w:left w:val="nil"/>
              <w:bottom w:val="nil"/>
              <w:right w:val="nil"/>
            </w:tcBorders>
            <w:noWrap/>
            <w:vAlign w:val="bottom"/>
            <w:hideMark/>
          </w:tcPr>
          <w:p w14:paraId="5283D55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326.724,13</w:t>
            </w:r>
          </w:p>
        </w:tc>
        <w:tc>
          <w:tcPr>
            <w:tcW w:w="993" w:type="dxa"/>
            <w:tcBorders>
              <w:top w:val="nil"/>
              <w:left w:val="nil"/>
              <w:bottom w:val="nil"/>
              <w:right w:val="nil"/>
            </w:tcBorders>
            <w:noWrap/>
            <w:vAlign w:val="bottom"/>
            <w:hideMark/>
          </w:tcPr>
          <w:p w14:paraId="269B5D4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95,39%</w:t>
            </w:r>
          </w:p>
        </w:tc>
      </w:tr>
      <w:tr w:rsidR="006967F8" w:rsidRPr="006967F8" w14:paraId="1236C1D2" w14:textId="77777777" w:rsidTr="008A61B1">
        <w:trPr>
          <w:trHeight w:val="540"/>
        </w:trPr>
        <w:tc>
          <w:tcPr>
            <w:tcW w:w="1134" w:type="dxa"/>
            <w:tcBorders>
              <w:top w:val="nil"/>
              <w:left w:val="nil"/>
              <w:bottom w:val="nil"/>
              <w:right w:val="nil"/>
            </w:tcBorders>
            <w:noWrap/>
            <w:vAlign w:val="bottom"/>
            <w:hideMark/>
          </w:tcPr>
          <w:p w14:paraId="699263A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5422</w:t>
            </w:r>
          </w:p>
        </w:tc>
        <w:tc>
          <w:tcPr>
            <w:tcW w:w="4962" w:type="dxa"/>
            <w:tcBorders>
              <w:top w:val="nil"/>
              <w:left w:val="nil"/>
              <w:bottom w:val="nil"/>
              <w:right w:val="nil"/>
            </w:tcBorders>
            <w:vAlign w:val="bottom"/>
            <w:hideMark/>
          </w:tcPr>
          <w:p w14:paraId="3007204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Otplata glavnice primljenih kredita od kreditnih institucija u javnom sektoru</w:t>
            </w:r>
          </w:p>
        </w:tc>
        <w:tc>
          <w:tcPr>
            <w:tcW w:w="1559" w:type="dxa"/>
            <w:tcBorders>
              <w:top w:val="nil"/>
              <w:left w:val="nil"/>
              <w:bottom w:val="nil"/>
              <w:right w:val="nil"/>
            </w:tcBorders>
            <w:noWrap/>
            <w:vAlign w:val="bottom"/>
            <w:hideMark/>
          </w:tcPr>
          <w:p w14:paraId="1C6EB06B"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D72C42C"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6DCBAE2"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156.624,05</w:t>
            </w:r>
          </w:p>
        </w:tc>
        <w:tc>
          <w:tcPr>
            <w:tcW w:w="993" w:type="dxa"/>
            <w:tcBorders>
              <w:top w:val="nil"/>
              <w:left w:val="nil"/>
              <w:bottom w:val="nil"/>
              <w:right w:val="nil"/>
            </w:tcBorders>
            <w:noWrap/>
            <w:vAlign w:val="bottom"/>
            <w:hideMark/>
          </w:tcPr>
          <w:p w14:paraId="2CFA1CFC"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FE5064B" w14:textId="77777777" w:rsidTr="008A61B1">
        <w:trPr>
          <w:trHeight w:val="510"/>
        </w:trPr>
        <w:tc>
          <w:tcPr>
            <w:tcW w:w="1134" w:type="dxa"/>
            <w:tcBorders>
              <w:top w:val="nil"/>
              <w:left w:val="nil"/>
              <w:bottom w:val="nil"/>
              <w:right w:val="nil"/>
            </w:tcBorders>
            <w:noWrap/>
            <w:vAlign w:val="bottom"/>
            <w:hideMark/>
          </w:tcPr>
          <w:p w14:paraId="59B659B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5471</w:t>
            </w:r>
          </w:p>
        </w:tc>
        <w:tc>
          <w:tcPr>
            <w:tcW w:w="4962" w:type="dxa"/>
            <w:tcBorders>
              <w:top w:val="nil"/>
              <w:left w:val="nil"/>
              <w:bottom w:val="nil"/>
              <w:right w:val="nil"/>
            </w:tcBorders>
            <w:vAlign w:val="bottom"/>
            <w:hideMark/>
          </w:tcPr>
          <w:p w14:paraId="439BFBA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Otplata glavnice primljenih zajmova od državnog proračuna</w:t>
            </w:r>
          </w:p>
        </w:tc>
        <w:tc>
          <w:tcPr>
            <w:tcW w:w="1559" w:type="dxa"/>
            <w:tcBorders>
              <w:top w:val="nil"/>
              <w:left w:val="nil"/>
              <w:bottom w:val="nil"/>
              <w:right w:val="nil"/>
            </w:tcBorders>
            <w:noWrap/>
            <w:vAlign w:val="bottom"/>
            <w:hideMark/>
          </w:tcPr>
          <w:p w14:paraId="5211DE0E"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2809542"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9EAB41B"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170.100,08</w:t>
            </w:r>
          </w:p>
        </w:tc>
        <w:tc>
          <w:tcPr>
            <w:tcW w:w="993" w:type="dxa"/>
            <w:tcBorders>
              <w:top w:val="nil"/>
              <w:left w:val="nil"/>
              <w:bottom w:val="nil"/>
              <w:right w:val="nil"/>
            </w:tcBorders>
            <w:noWrap/>
            <w:vAlign w:val="bottom"/>
            <w:hideMark/>
          </w:tcPr>
          <w:p w14:paraId="6C0C5350"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FBFD8D4" w14:textId="77777777" w:rsidTr="008A61B1">
        <w:trPr>
          <w:trHeight w:val="570"/>
        </w:trPr>
        <w:tc>
          <w:tcPr>
            <w:tcW w:w="1134" w:type="dxa"/>
            <w:tcBorders>
              <w:top w:val="nil"/>
              <w:left w:val="nil"/>
              <w:bottom w:val="nil"/>
              <w:right w:val="nil"/>
            </w:tcBorders>
            <w:shd w:val="clear" w:color="000000" w:fill="FFFF99"/>
            <w:noWrap/>
            <w:vAlign w:val="bottom"/>
            <w:hideMark/>
          </w:tcPr>
          <w:p w14:paraId="002F4A2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lastRenderedPageBreak/>
              <w:t>A100002</w:t>
            </w:r>
          </w:p>
        </w:tc>
        <w:tc>
          <w:tcPr>
            <w:tcW w:w="4962" w:type="dxa"/>
            <w:tcBorders>
              <w:top w:val="nil"/>
              <w:left w:val="nil"/>
              <w:bottom w:val="nil"/>
              <w:right w:val="nil"/>
            </w:tcBorders>
            <w:shd w:val="clear" w:color="000000" w:fill="FFFF99"/>
            <w:vAlign w:val="bottom"/>
            <w:hideMark/>
          </w:tcPr>
          <w:p w14:paraId="313DA5D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Aktivnost: POLITIČKE STRANKE I NEZAVISNI VIJEĆNICI</w:t>
            </w:r>
          </w:p>
        </w:tc>
        <w:tc>
          <w:tcPr>
            <w:tcW w:w="1559" w:type="dxa"/>
            <w:tcBorders>
              <w:top w:val="nil"/>
              <w:left w:val="nil"/>
              <w:bottom w:val="nil"/>
              <w:right w:val="nil"/>
            </w:tcBorders>
            <w:shd w:val="clear" w:color="000000" w:fill="FFFF99"/>
            <w:noWrap/>
            <w:vAlign w:val="bottom"/>
            <w:hideMark/>
          </w:tcPr>
          <w:p w14:paraId="251129B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37.000,00</w:t>
            </w:r>
          </w:p>
        </w:tc>
        <w:tc>
          <w:tcPr>
            <w:tcW w:w="1559" w:type="dxa"/>
            <w:tcBorders>
              <w:top w:val="nil"/>
              <w:left w:val="nil"/>
              <w:bottom w:val="nil"/>
              <w:right w:val="nil"/>
            </w:tcBorders>
            <w:shd w:val="clear" w:color="000000" w:fill="FFFF99"/>
            <w:noWrap/>
            <w:vAlign w:val="bottom"/>
            <w:hideMark/>
          </w:tcPr>
          <w:p w14:paraId="1E7A213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37.000,00</w:t>
            </w:r>
          </w:p>
        </w:tc>
        <w:tc>
          <w:tcPr>
            <w:tcW w:w="1559" w:type="dxa"/>
            <w:tcBorders>
              <w:top w:val="nil"/>
              <w:left w:val="nil"/>
              <w:bottom w:val="nil"/>
              <w:right w:val="nil"/>
            </w:tcBorders>
            <w:shd w:val="clear" w:color="000000" w:fill="FFFF99"/>
            <w:noWrap/>
            <w:vAlign w:val="bottom"/>
            <w:hideMark/>
          </w:tcPr>
          <w:p w14:paraId="4E58ABE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31.578,62</w:t>
            </w:r>
          </w:p>
        </w:tc>
        <w:tc>
          <w:tcPr>
            <w:tcW w:w="993" w:type="dxa"/>
            <w:tcBorders>
              <w:top w:val="nil"/>
              <w:left w:val="nil"/>
              <w:bottom w:val="nil"/>
              <w:right w:val="nil"/>
            </w:tcBorders>
            <w:shd w:val="clear" w:color="000000" w:fill="FFFF99"/>
            <w:noWrap/>
            <w:vAlign w:val="bottom"/>
            <w:hideMark/>
          </w:tcPr>
          <w:p w14:paraId="3AC8430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85,35%</w:t>
            </w:r>
          </w:p>
        </w:tc>
      </w:tr>
      <w:tr w:rsidR="006967F8" w:rsidRPr="006967F8" w14:paraId="4FE7A7BD"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DEE17D4"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6214FF8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37.000,00</w:t>
            </w:r>
          </w:p>
        </w:tc>
        <w:tc>
          <w:tcPr>
            <w:tcW w:w="1559" w:type="dxa"/>
            <w:tcBorders>
              <w:top w:val="nil"/>
              <w:left w:val="nil"/>
              <w:bottom w:val="nil"/>
              <w:right w:val="nil"/>
            </w:tcBorders>
            <w:shd w:val="clear" w:color="000000" w:fill="CCCCFF"/>
            <w:noWrap/>
            <w:vAlign w:val="bottom"/>
            <w:hideMark/>
          </w:tcPr>
          <w:p w14:paraId="5A9C8E7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37.000,00</w:t>
            </w:r>
          </w:p>
        </w:tc>
        <w:tc>
          <w:tcPr>
            <w:tcW w:w="1559" w:type="dxa"/>
            <w:tcBorders>
              <w:top w:val="nil"/>
              <w:left w:val="nil"/>
              <w:bottom w:val="nil"/>
              <w:right w:val="nil"/>
            </w:tcBorders>
            <w:shd w:val="clear" w:color="000000" w:fill="CCCCFF"/>
            <w:noWrap/>
            <w:vAlign w:val="bottom"/>
            <w:hideMark/>
          </w:tcPr>
          <w:p w14:paraId="4312B86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31.578,62</w:t>
            </w:r>
          </w:p>
        </w:tc>
        <w:tc>
          <w:tcPr>
            <w:tcW w:w="993" w:type="dxa"/>
            <w:tcBorders>
              <w:top w:val="nil"/>
              <w:left w:val="nil"/>
              <w:bottom w:val="nil"/>
              <w:right w:val="nil"/>
            </w:tcBorders>
            <w:shd w:val="clear" w:color="000000" w:fill="CCCCFF"/>
            <w:noWrap/>
            <w:vAlign w:val="bottom"/>
            <w:hideMark/>
          </w:tcPr>
          <w:p w14:paraId="40386E2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85,35%</w:t>
            </w:r>
          </w:p>
        </w:tc>
      </w:tr>
      <w:tr w:rsidR="006967F8" w:rsidRPr="006967F8" w14:paraId="1CD1497F"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51ACD03"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7037AD4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37.000,00</w:t>
            </w:r>
          </w:p>
        </w:tc>
        <w:tc>
          <w:tcPr>
            <w:tcW w:w="1559" w:type="dxa"/>
            <w:tcBorders>
              <w:top w:val="nil"/>
              <w:left w:val="nil"/>
              <w:bottom w:val="nil"/>
              <w:right w:val="nil"/>
            </w:tcBorders>
            <w:shd w:val="clear" w:color="000000" w:fill="CCCCFF"/>
            <w:noWrap/>
            <w:vAlign w:val="bottom"/>
            <w:hideMark/>
          </w:tcPr>
          <w:p w14:paraId="22FF57A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37.000,00</w:t>
            </w:r>
          </w:p>
        </w:tc>
        <w:tc>
          <w:tcPr>
            <w:tcW w:w="1559" w:type="dxa"/>
            <w:tcBorders>
              <w:top w:val="nil"/>
              <w:left w:val="nil"/>
              <w:bottom w:val="nil"/>
              <w:right w:val="nil"/>
            </w:tcBorders>
            <w:shd w:val="clear" w:color="000000" w:fill="CCCCFF"/>
            <w:noWrap/>
            <w:vAlign w:val="bottom"/>
            <w:hideMark/>
          </w:tcPr>
          <w:p w14:paraId="38D394C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31.578,62</w:t>
            </w:r>
          </w:p>
        </w:tc>
        <w:tc>
          <w:tcPr>
            <w:tcW w:w="993" w:type="dxa"/>
            <w:tcBorders>
              <w:top w:val="nil"/>
              <w:left w:val="nil"/>
              <w:bottom w:val="nil"/>
              <w:right w:val="nil"/>
            </w:tcBorders>
            <w:shd w:val="clear" w:color="000000" w:fill="CCCCFF"/>
            <w:noWrap/>
            <w:vAlign w:val="bottom"/>
            <w:hideMark/>
          </w:tcPr>
          <w:p w14:paraId="27FFD66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85,35%</w:t>
            </w:r>
          </w:p>
        </w:tc>
      </w:tr>
      <w:tr w:rsidR="006967F8" w:rsidRPr="006967F8" w14:paraId="1D7443D8" w14:textId="77777777" w:rsidTr="008A61B1">
        <w:trPr>
          <w:trHeight w:val="615"/>
        </w:trPr>
        <w:tc>
          <w:tcPr>
            <w:tcW w:w="1134" w:type="dxa"/>
            <w:tcBorders>
              <w:top w:val="nil"/>
              <w:left w:val="nil"/>
              <w:bottom w:val="nil"/>
              <w:right w:val="nil"/>
            </w:tcBorders>
            <w:noWrap/>
            <w:vAlign w:val="bottom"/>
            <w:hideMark/>
          </w:tcPr>
          <w:p w14:paraId="23FD4E5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38</w:t>
            </w:r>
          </w:p>
        </w:tc>
        <w:tc>
          <w:tcPr>
            <w:tcW w:w="4962" w:type="dxa"/>
            <w:tcBorders>
              <w:top w:val="nil"/>
              <w:left w:val="nil"/>
              <w:bottom w:val="nil"/>
              <w:right w:val="nil"/>
            </w:tcBorders>
            <w:vAlign w:val="bottom"/>
            <w:hideMark/>
          </w:tcPr>
          <w:p w14:paraId="47B2A10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donacije, kazne, naknade šteta i kapitalne pomoći</w:t>
            </w:r>
          </w:p>
        </w:tc>
        <w:tc>
          <w:tcPr>
            <w:tcW w:w="1559" w:type="dxa"/>
            <w:tcBorders>
              <w:top w:val="nil"/>
              <w:left w:val="nil"/>
              <w:bottom w:val="nil"/>
              <w:right w:val="nil"/>
            </w:tcBorders>
            <w:noWrap/>
            <w:vAlign w:val="bottom"/>
            <w:hideMark/>
          </w:tcPr>
          <w:p w14:paraId="2AD8E32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37.000,00</w:t>
            </w:r>
          </w:p>
        </w:tc>
        <w:tc>
          <w:tcPr>
            <w:tcW w:w="1559" w:type="dxa"/>
            <w:tcBorders>
              <w:top w:val="nil"/>
              <w:left w:val="nil"/>
              <w:bottom w:val="nil"/>
              <w:right w:val="nil"/>
            </w:tcBorders>
            <w:noWrap/>
            <w:vAlign w:val="bottom"/>
            <w:hideMark/>
          </w:tcPr>
          <w:p w14:paraId="5D8E7BC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37.000,00</w:t>
            </w:r>
          </w:p>
        </w:tc>
        <w:tc>
          <w:tcPr>
            <w:tcW w:w="1559" w:type="dxa"/>
            <w:tcBorders>
              <w:top w:val="nil"/>
              <w:left w:val="nil"/>
              <w:bottom w:val="nil"/>
              <w:right w:val="nil"/>
            </w:tcBorders>
            <w:noWrap/>
            <w:vAlign w:val="bottom"/>
            <w:hideMark/>
          </w:tcPr>
          <w:p w14:paraId="3E2F2E6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31.578,62</w:t>
            </w:r>
          </w:p>
        </w:tc>
        <w:tc>
          <w:tcPr>
            <w:tcW w:w="993" w:type="dxa"/>
            <w:tcBorders>
              <w:top w:val="nil"/>
              <w:left w:val="nil"/>
              <w:bottom w:val="nil"/>
              <w:right w:val="nil"/>
            </w:tcBorders>
            <w:noWrap/>
            <w:vAlign w:val="bottom"/>
            <w:hideMark/>
          </w:tcPr>
          <w:p w14:paraId="3313E63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85,35%</w:t>
            </w:r>
          </w:p>
        </w:tc>
      </w:tr>
      <w:tr w:rsidR="006967F8" w:rsidRPr="006967F8" w14:paraId="5FBC2C75" w14:textId="77777777" w:rsidTr="008A61B1">
        <w:trPr>
          <w:trHeight w:val="255"/>
        </w:trPr>
        <w:tc>
          <w:tcPr>
            <w:tcW w:w="1134" w:type="dxa"/>
            <w:tcBorders>
              <w:top w:val="nil"/>
              <w:left w:val="nil"/>
              <w:bottom w:val="nil"/>
              <w:right w:val="nil"/>
            </w:tcBorders>
            <w:noWrap/>
            <w:vAlign w:val="bottom"/>
            <w:hideMark/>
          </w:tcPr>
          <w:p w14:paraId="105B8A3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3811</w:t>
            </w:r>
          </w:p>
        </w:tc>
        <w:tc>
          <w:tcPr>
            <w:tcW w:w="4962" w:type="dxa"/>
            <w:tcBorders>
              <w:top w:val="nil"/>
              <w:left w:val="nil"/>
              <w:bottom w:val="nil"/>
              <w:right w:val="nil"/>
            </w:tcBorders>
            <w:noWrap/>
            <w:vAlign w:val="bottom"/>
            <w:hideMark/>
          </w:tcPr>
          <w:p w14:paraId="22D2242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Tekuće donacije u novcu</w:t>
            </w:r>
          </w:p>
        </w:tc>
        <w:tc>
          <w:tcPr>
            <w:tcW w:w="1559" w:type="dxa"/>
            <w:tcBorders>
              <w:top w:val="nil"/>
              <w:left w:val="nil"/>
              <w:bottom w:val="nil"/>
              <w:right w:val="nil"/>
            </w:tcBorders>
            <w:noWrap/>
            <w:vAlign w:val="bottom"/>
            <w:hideMark/>
          </w:tcPr>
          <w:p w14:paraId="72C24455"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1C4725B"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863E21B"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31.578,62</w:t>
            </w:r>
          </w:p>
        </w:tc>
        <w:tc>
          <w:tcPr>
            <w:tcW w:w="993" w:type="dxa"/>
            <w:tcBorders>
              <w:top w:val="nil"/>
              <w:left w:val="nil"/>
              <w:bottom w:val="nil"/>
              <w:right w:val="nil"/>
            </w:tcBorders>
            <w:noWrap/>
            <w:vAlign w:val="bottom"/>
            <w:hideMark/>
          </w:tcPr>
          <w:p w14:paraId="7AE5DF80"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A8244B5" w14:textId="77777777" w:rsidTr="008A61B1">
        <w:trPr>
          <w:trHeight w:val="255"/>
        </w:trPr>
        <w:tc>
          <w:tcPr>
            <w:tcW w:w="1134" w:type="dxa"/>
            <w:tcBorders>
              <w:top w:val="nil"/>
              <w:left w:val="nil"/>
              <w:bottom w:val="nil"/>
              <w:right w:val="nil"/>
            </w:tcBorders>
            <w:shd w:val="clear" w:color="000000" w:fill="FFFF99"/>
            <w:noWrap/>
            <w:vAlign w:val="bottom"/>
            <w:hideMark/>
          </w:tcPr>
          <w:p w14:paraId="5102613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A100003</w:t>
            </w:r>
          </w:p>
        </w:tc>
        <w:tc>
          <w:tcPr>
            <w:tcW w:w="4962" w:type="dxa"/>
            <w:tcBorders>
              <w:top w:val="nil"/>
              <w:left w:val="nil"/>
              <w:bottom w:val="nil"/>
              <w:right w:val="nil"/>
            </w:tcBorders>
            <w:shd w:val="clear" w:color="000000" w:fill="FFFF99"/>
            <w:noWrap/>
            <w:vAlign w:val="bottom"/>
            <w:hideMark/>
          </w:tcPr>
          <w:p w14:paraId="635762B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Aktivnost: PRORAČUNSKA PRIČUVA</w:t>
            </w:r>
          </w:p>
        </w:tc>
        <w:tc>
          <w:tcPr>
            <w:tcW w:w="1559" w:type="dxa"/>
            <w:tcBorders>
              <w:top w:val="nil"/>
              <w:left w:val="nil"/>
              <w:bottom w:val="nil"/>
              <w:right w:val="nil"/>
            </w:tcBorders>
            <w:shd w:val="clear" w:color="000000" w:fill="FFFF99"/>
            <w:noWrap/>
            <w:vAlign w:val="bottom"/>
            <w:hideMark/>
          </w:tcPr>
          <w:p w14:paraId="2A734FD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40.000,00</w:t>
            </w:r>
          </w:p>
        </w:tc>
        <w:tc>
          <w:tcPr>
            <w:tcW w:w="1559" w:type="dxa"/>
            <w:tcBorders>
              <w:top w:val="nil"/>
              <w:left w:val="nil"/>
              <w:bottom w:val="nil"/>
              <w:right w:val="nil"/>
            </w:tcBorders>
            <w:shd w:val="clear" w:color="000000" w:fill="FFFF99"/>
            <w:noWrap/>
            <w:vAlign w:val="bottom"/>
            <w:hideMark/>
          </w:tcPr>
          <w:p w14:paraId="24C9BB0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40.000,00</w:t>
            </w:r>
          </w:p>
        </w:tc>
        <w:tc>
          <w:tcPr>
            <w:tcW w:w="1559" w:type="dxa"/>
            <w:tcBorders>
              <w:top w:val="nil"/>
              <w:left w:val="nil"/>
              <w:bottom w:val="nil"/>
              <w:right w:val="nil"/>
            </w:tcBorders>
            <w:shd w:val="clear" w:color="000000" w:fill="FFFF99"/>
            <w:noWrap/>
            <w:vAlign w:val="bottom"/>
            <w:hideMark/>
          </w:tcPr>
          <w:p w14:paraId="6A18B49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shd w:val="clear" w:color="000000" w:fill="FFFF99"/>
            <w:noWrap/>
            <w:vAlign w:val="bottom"/>
            <w:hideMark/>
          </w:tcPr>
          <w:p w14:paraId="50D3DAE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79D47B9B"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292BDB4"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7284761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40.000,00</w:t>
            </w:r>
          </w:p>
        </w:tc>
        <w:tc>
          <w:tcPr>
            <w:tcW w:w="1559" w:type="dxa"/>
            <w:tcBorders>
              <w:top w:val="nil"/>
              <w:left w:val="nil"/>
              <w:bottom w:val="nil"/>
              <w:right w:val="nil"/>
            </w:tcBorders>
            <w:shd w:val="clear" w:color="000000" w:fill="CCCCFF"/>
            <w:noWrap/>
            <w:vAlign w:val="bottom"/>
            <w:hideMark/>
          </w:tcPr>
          <w:p w14:paraId="5EB2FFB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40.000,00</w:t>
            </w:r>
          </w:p>
        </w:tc>
        <w:tc>
          <w:tcPr>
            <w:tcW w:w="1559" w:type="dxa"/>
            <w:tcBorders>
              <w:top w:val="nil"/>
              <w:left w:val="nil"/>
              <w:bottom w:val="nil"/>
              <w:right w:val="nil"/>
            </w:tcBorders>
            <w:shd w:val="clear" w:color="000000" w:fill="CCCCFF"/>
            <w:noWrap/>
            <w:vAlign w:val="bottom"/>
            <w:hideMark/>
          </w:tcPr>
          <w:p w14:paraId="1408BB2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2E01102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787BBD87"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796DD4C"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21B48D5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40.000,00</w:t>
            </w:r>
          </w:p>
        </w:tc>
        <w:tc>
          <w:tcPr>
            <w:tcW w:w="1559" w:type="dxa"/>
            <w:tcBorders>
              <w:top w:val="nil"/>
              <w:left w:val="nil"/>
              <w:bottom w:val="nil"/>
              <w:right w:val="nil"/>
            </w:tcBorders>
            <w:shd w:val="clear" w:color="000000" w:fill="CCCCFF"/>
            <w:noWrap/>
            <w:vAlign w:val="bottom"/>
            <w:hideMark/>
          </w:tcPr>
          <w:p w14:paraId="269F2F8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40.000,00</w:t>
            </w:r>
          </w:p>
        </w:tc>
        <w:tc>
          <w:tcPr>
            <w:tcW w:w="1559" w:type="dxa"/>
            <w:tcBorders>
              <w:top w:val="nil"/>
              <w:left w:val="nil"/>
              <w:bottom w:val="nil"/>
              <w:right w:val="nil"/>
            </w:tcBorders>
            <w:shd w:val="clear" w:color="000000" w:fill="CCCCFF"/>
            <w:noWrap/>
            <w:vAlign w:val="bottom"/>
            <w:hideMark/>
          </w:tcPr>
          <w:p w14:paraId="43F0121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6BF3868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6D36D74B" w14:textId="77777777" w:rsidTr="008A61B1">
        <w:trPr>
          <w:trHeight w:val="675"/>
        </w:trPr>
        <w:tc>
          <w:tcPr>
            <w:tcW w:w="1134" w:type="dxa"/>
            <w:tcBorders>
              <w:top w:val="nil"/>
              <w:left w:val="nil"/>
              <w:bottom w:val="nil"/>
              <w:right w:val="nil"/>
            </w:tcBorders>
            <w:noWrap/>
            <w:vAlign w:val="bottom"/>
            <w:hideMark/>
          </w:tcPr>
          <w:p w14:paraId="3E22ECF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38</w:t>
            </w:r>
          </w:p>
        </w:tc>
        <w:tc>
          <w:tcPr>
            <w:tcW w:w="4962" w:type="dxa"/>
            <w:tcBorders>
              <w:top w:val="nil"/>
              <w:left w:val="nil"/>
              <w:bottom w:val="nil"/>
              <w:right w:val="nil"/>
            </w:tcBorders>
            <w:vAlign w:val="bottom"/>
            <w:hideMark/>
          </w:tcPr>
          <w:p w14:paraId="5CE887A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donacije, kazne, naknade šteta i kapitalne pomoći</w:t>
            </w:r>
          </w:p>
        </w:tc>
        <w:tc>
          <w:tcPr>
            <w:tcW w:w="1559" w:type="dxa"/>
            <w:tcBorders>
              <w:top w:val="nil"/>
              <w:left w:val="nil"/>
              <w:bottom w:val="nil"/>
              <w:right w:val="nil"/>
            </w:tcBorders>
            <w:noWrap/>
            <w:vAlign w:val="bottom"/>
            <w:hideMark/>
          </w:tcPr>
          <w:p w14:paraId="5FA8208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40.000,00</w:t>
            </w:r>
          </w:p>
        </w:tc>
        <w:tc>
          <w:tcPr>
            <w:tcW w:w="1559" w:type="dxa"/>
            <w:tcBorders>
              <w:top w:val="nil"/>
              <w:left w:val="nil"/>
              <w:bottom w:val="nil"/>
              <w:right w:val="nil"/>
            </w:tcBorders>
            <w:noWrap/>
            <w:vAlign w:val="bottom"/>
            <w:hideMark/>
          </w:tcPr>
          <w:p w14:paraId="4FF4AA3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40.000,00</w:t>
            </w:r>
          </w:p>
        </w:tc>
        <w:tc>
          <w:tcPr>
            <w:tcW w:w="1559" w:type="dxa"/>
            <w:tcBorders>
              <w:top w:val="nil"/>
              <w:left w:val="nil"/>
              <w:bottom w:val="nil"/>
              <w:right w:val="nil"/>
            </w:tcBorders>
            <w:noWrap/>
            <w:vAlign w:val="bottom"/>
            <w:hideMark/>
          </w:tcPr>
          <w:p w14:paraId="7833E62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7A10AFD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2EB39627" w14:textId="77777777" w:rsidTr="008A61B1">
        <w:trPr>
          <w:trHeight w:val="675"/>
        </w:trPr>
        <w:tc>
          <w:tcPr>
            <w:tcW w:w="6096" w:type="dxa"/>
            <w:gridSpan w:val="2"/>
            <w:tcBorders>
              <w:top w:val="nil"/>
              <w:left w:val="nil"/>
              <w:bottom w:val="nil"/>
              <w:right w:val="nil"/>
            </w:tcBorders>
            <w:shd w:val="clear" w:color="000000" w:fill="9999FF"/>
            <w:vAlign w:val="bottom"/>
            <w:hideMark/>
          </w:tcPr>
          <w:p w14:paraId="6BEE52C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RAZDJEL 023 UPRAVNI ODJEL ZA KOMUNALNO GOSPODARSTVO I INVESTICIJE </w:t>
            </w:r>
          </w:p>
        </w:tc>
        <w:tc>
          <w:tcPr>
            <w:tcW w:w="1559" w:type="dxa"/>
            <w:tcBorders>
              <w:top w:val="nil"/>
              <w:left w:val="nil"/>
              <w:bottom w:val="nil"/>
              <w:right w:val="nil"/>
            </w:tcBorders>
            <w:shd w:val="clear" w:color="000000" w:fill="9999FF"/>
            <w:noWrap/>
            <w:vAlign w:val="bottom"/>
            <w:hideMark/>
          </w:tcPr>
          <w:p w14:paraId="30E98F5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11.078.135,09</w:t>
            </w:r>
          </w:p>
        </w:tc>
        <w:tc>
          <w:tcPr>
            <w:tcW w:w="1559" w:type="dxa"/>
            <w:tcBorders>
              <w:top w:val="nil"/>
              <w:left w:val="nil"/>
              <w:bottom w:val="nil"/>
              <w:right w:val="nil"/>
            </w:tcBorders>
            <w:shd w:val="clear" w:color="000000" w:fill="9999FF"/>
            <w:noWrap/>
            <w:vAlign w:val="bottom"/>
            <w:hideMark/>
          </w:tcPr>
          <w:p w14:paraId="0B2D566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10.981.181,09</w:t>
            </w:r>
          </w:p>
        </w:tc>
        <w:tc>
          <w:tcPr>
            <w:tcW w:w="1559" w:type="dxa"/>
            <w:tcBorders>
              <w:top w:val="nil"/>
              <w:left w:val="nil"/>
              <w:bottom w:val="nil"/>
              <w:right w:val="nil"/>
            </w:tcBorders>
            <w:shd w:val="clear" w:color="000000" w:fill="9999FF"/>
            <w:noWrap/>
            <w:vAlign w:val="bottom"/>
            <w:hideMark/>
          </w:tcPr>
          <w:p w14:paraId="6559483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8.008.315,52</w:t>
            </w:r>
          </w:p>
        </w:tc>
        <w:tc>
          <w:tcPr>
            <w:tcW w:w="993" w:type="dxa"/>
            <w:tcBorders>
              <w:top w:val="nil"/>
              <w:left w:val="nil"/>
              <w:bottom w:val="nil"/>
              <w:right w:val="nil"/>
            </w:tcBorders>
            <w:shd w:val="clear" w:color="000000" w:fill="9999FF"/>
            <w:noWrap/>
            <w:vAlign w:val="bottom"/>
            <w:hideMark/>
          </w:tcPr>
          <w:p w14:paraId="2D3393A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72,93%</w:t>
            </w:r>
          </w:p>
        </w:tc>
      </w:tr>
      <w:tr w:rsidR="006967F8" w:rsidRPr="006967F8" w14:paraId="6F34F657" w14:textId="77777777" w:rsidTr="008A61B1">
        <w:trPr>
          <w:trHeight w:val="495"/>
        </w:trPr>
        <w:tc>
          <w:tcPr>
            <w:tcW w:w="6096" w:type="dxa"/>
            <w:gridSpan w:val="2"/>
            <w:tcBorders>
              <w:top w:val="nil"/>
              <w:left w:val="nil"/>
              <w:bottom w:val="nil"/>
              <w:right w:val="nil"/>
            </w:tcBorders>
            <w:shd w:val="clear" w:color="000000" w:fill="9999FF"/>
            <w:vAlign w:val="bottom"/>
            <w:hideMark/>
          </w:tcPr>
          <w:p w14:paraId="3A942A0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GLAVA 02301 UPRAVNI ODJEL ZA KOMUNALNO GOSPODARSTVO I INVESTICIJE </w:t>
            </w:r>
          </w:p>
        </w:tc>
        <w:tc>
          <w:tcPr>
            <w:tcW w:w="1559" w:type="dxa"/>
            <w:tcBorders>
              <w:top w:val="nil"/>
              <w:left w:val="nil"/>
              <w:bottom w:val="nil"/>
              <w:right w:val="nil"/>
            </w:tcBorders>
            <w:shd w:val="clear" w:color="000000" w:fill="9999FF"/>
            <w:noWrap/>
            <w:vAlign w:val="bottom"/>
            <w:hideMark/>
          </w:tcPr>
          <w:p w14:paraId="611C98B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11.078.135,09</w:t>
            </w:r>
          </w:p>
        </w:tc>
        <w:tc>
          <w:tcPr>
            <w:tcW w:w="1559" w:type="dxa"/>
            <w:tcBorders>
              <w:top w:val="nil"/>
              <w:left w:val="nil"/>
              <w:bottom w:val="nil"/>
              <w:right w:val="nil"/>
            </w:tcBorders>
            <w:shd w:val="clear" w:color="000000" w:fill="9999FF"/>
            <w:noWrap/>
            <w:vAlign w:val="bottom"/>
            <w:hideMark/>
          </w:tcPr>
          <w:p w14:paraId="211CA13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10.981.181,09</w:t>
            </w:r>
          </w:p>
        </w:tc>
        <w:tc>
          <w:tcPr>
            <w:tcW w:w="1559" w:type="dxa"/>
            <w:tcBorders>
              <w:top w:val="nil"/>
              <w:left w:val="nil"/>
              <w:bottom w:val="nil"/>
              <w:right w:val="nil"/>
            </w:tcBorders>
            <w:shd w:val="clear" w:color="000000" w:fill="9999FF"/>
            <w:noWrap/>
            <w:vAlign w:val="bottom"/>
            <w:hideMark/>
          </w:tcPr>
          <w:p w14:paraId="6260AB6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8.008.315,52</w:t>
            </w:r>
          </w:p>
        </w:tc>
        <w:tc>
          <w:tcPr>
            <w:tcW w:w="993" w:type="dxa"/>
            <w:tcBorders>
              <w:top w:val="nil"/>
              <w:left w:val="nil"/>
              <w:bottom w:val="nil"/>
              <w:right w:val="nil"/>
            </w:tcBorders>
            <w:shd w:val="clear" w:color="000000" w:fill="9999FF"/>
            <w:noWrap/>
            <w:vAlign w:val="bottom"/>
            <w:hideMark/>
          </w:tcPr>
          <w:p w14:paraId="319D00D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72,93%</w:t>
            </w:r>
          </w:p>
        </w:tc>
      </w:tr>
      <w:tr w:rsidR="006967F8" w:rsidRPr="006967F8" w14:paraId="623D37A1"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DDB4C15"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4102B1C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2.096.240,00</w:t>
            </w:r>
          </w:p>
        </w:tc>
        <w:tc>
          <w:tcPr>
            <w:tcW w:w="1559" w:type="dxa"/>
            <w:tcBorders>
              <w:top w:val="nil"/>
              <w:left w:val="nil"/>
              <w:bottom w:val="nil"/>
              <w:right w:val="nil"/>
            </w:tcBorders>
            <w:shd w:val="clear" w:color="000000" w:fill="CCCCFF"/>
            <w:noWrap/>
            <w:vAlign w:val="bottom"/>
            <w:hideMark/>
          </w:tcPr>
          <w:p w14:paraId="1F6BB5B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2.117.484,00</w:t>
            </w:r>
          </w:p>
        </w:tc>
        <w:tc>
          <w:tcPr>
            <w:tcW w:w="1559" w:type="dxa"/>
            <w:tcBorders>
              <w:top w:val="nil"/>
              <w:left w:val="nil"/>
              <w:bottom w:val="nil"/>
              <w:right w:val="nil"/>
            </w:tcBorders>
            <w:shd w:val="clear" w:color="000000" w:fill="CCCCFF"/>
            <w:noWrap/>
            <w:vAlign w:val="bottom"/>
            <w:hideMark/>
          </w:tcPr>
          <w:p w14:paraId="0227798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1.327.625,98</w:t>
            </w:r>
          </w:p>
        </w:tc>
        <w:tc>
          <w:tcPr>
            <w:tcW w:w="993" w:type="dxa"/>
            <w:tcBorders>
              <w:top w:val="nil"/>
              <w:left w:val="nil"/>
              <w:bottom w:val="nil"/>
              <w:right w:val="nil"/>
            </w:tcBorders>
            <w:shd w:val="clear" w:color="000000" w:fill="CCCCFF"/>
            <w:noWrap/>
            <w:vAlign w:val="bottom"/>
            <w:hideMark/>
          </w:tcPr>
          <w:p w14:paraId="3F6D615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62,70%</w:t>
            </w:r>
          </w:p>
        </w:tc>
      </w:tr>
      <w:tr w:rsidR="006967F8" w:rsidRPr="006967F8" w14:paraId="0BEFCF2B"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18BFC38"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5257DD4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2.056.240,00</w:t>
            </w:r>
          </w:p>
        </w:tc>
        <w:tc>
          <w:tcPr>
            <w:tcW w:w="1559" w:type="dxa"/>
            <w:tcBorders>
              <w:top w:val="nil"/>
              <w:left w:val="nil"/>
              <w:bottom w:val="nil"/>
              <w:right w:val="nil"/>
            </w:tcBorders>
            <w:shd w:val="clear" w:color="000000" w:fill="CCCCFF"/>
            <w:noWrap/>
            <w:vAlign w:val="bottom"/>
            <w:hideMark/>
          </w:tcPr>
          <w:p w14:paraId="0FD13DC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2.078.369,00</w:t>
            </w:r>
          </w:p>
        </w:tc>
        <w:tc>
          <w:tcPr>
            <w:tcW w:w="1559" w:type="dxa"/>
            <w:tcBorders>
              <w:top w:val="nil"/>
              <w:left w:val="nil"/>
              <w:bottom w:val="nil"/>
              <w:right w:val="nil"/>
            </w:tcBorders>
            <w:shd w:val="clear" w:color="000000" w:fill="CCCCFF"/>
            <w:noWrap/>
            <w:vAlign w:val="bottom"/>
            <w:hideMark/>
          </w:tcPr>
          <w:p w14:paraId="693B78E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1.308.549,99</w:t>
            </w:r>
          </w:p>
        </w:tc>
        <w:tc>
          <w:tcPr>
            <w:tcW w:w="993" w:type="dxa"/>
            <w:tcBorders>
              <w:top w:val="nil"/>
              <w:left w:val="nil"/>
              <w:bottom w:val="nil"/>
              <w:right w:val="nil"/>
            </w:tcBorders>
            <w:shd w:val="clear" w:color="000000" w:fill="CCCCFF"/>
            <w:noWrap/>
            <w:vAlign w:val="bottom"/>
            <w:hideMark/>
          </w:tcPr>
          <w:p w14:paraId="2999CA3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62,96%</w:t>
            </w:r>
          </w:p>
        </w:tc>
      </w:tr>
      <w:tr w:rsidR="006967F8" w:rsidRPr="006967F8" w14:paraId="289D7DAF" w14:textId="77777777" w:rsidTr="008A61B1">
        <w:trPr>
          <w:trHeight w:val="585"/>
        </w:trPr>
        <w:tc>
          <w:tcPr>
            <w:tcW w:w="6096" w:type="dxa"/>
            <w:gridSpan w:val="2"/>
            <w:tcBorders>
              <w:top w:val="nil"/>
              <w:left w:val="nil"/>
              <w:bottom w:val="nil"/>
              <w:right w:val="nil"/>
            </w:tcBorders>
            <w:shd w:val="clear" w:color="000000" w:fill="CCCCFF"/>
            <w:vAlign w:val="bottom"/>
            <w:hideMark/>
          </w:tcPr>
          <w:p w14:paraId="09EB4BAA"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1.9. PRENESENI VIŠAK/ MANJAK- OPĆI PRIHODI I PRIMICI</w:t>
            </w:r>
          </w:p>
        </w:tc>
        <w:tc>
          <w:tcPr>
            <w:tcW w:w="1559" w:type="dxa"/>
            <w:tcBorders>
              <w:top w:val="nil"/>
              <w:left w:val="nil"/>
              <w:bottom w:val="nil"/>
              <w:right w:val="nil"/>
            </w:tcBorders>
            <w:shd w:val="clear" w:color="000000" w:fill="CCCCFF"/>
            <w:noWrap/>
            <w:vAlign w:val="bottom"/>
            <w:hideMark/>
          </w:tcPr>
          <w:p w14:paraId="22C25E3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40.000,00</w:t>
            </w:r>
          </w:p>
        </w:tc>
        <w:tc>
          <w:tcPr>
            <w:tcW w:w="1559" w:type="dxa"/>
            <w:tcBorders>
              <w:top w:val="nil"/>
              <w:left w:val="nil"/>
              <w:bottom w:val="nil"/>
              <w:right w:val="nil"/>
            </w:tcBorders>
            <w:shd w:val="clear" w:color="000000" w:fill="CCCCFF"/>
            <w:noWrap/>
            <w:vAlign w:val="bottom"/>
            <w:hideMark/>
          </w:tcPr>
          <w:p w14:paraId="15A583A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39.115,00</w:t>
            </w:r>
          </w:p>
        </w:tc>
        <w:tc>
          <w:tcPr>
            <w:tcW w:w="1559" w:type="dxa"/>
            <w:tcBorders>
              <w:top w:val="nil"/>
              <w:left w:val="nil"/>
              <w:bottom w:val="nil"/>
              <w:right w:val="nil"/>
            </w:tcBorders>
            <w:shd w:val="clear" w:color="000000" w:fill="CCCCFF"/>
            <w:noWrap/>
            <w:vAlign w:val="bottom"/>
            <w:hideMark/>
          </w:tcPr>
          <w:p w14:paraId="09B87A6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19.075,99</w:t>
            </w:r>
          </w:p>
        </w:tc>
        <w:tc>
          <w:tcPr>
            <w:tcW w:w="993" w:type="dxa"/>
            <w:tcBorders>
              <w:top w:val="nil"/>
              <w:left w:val="nil"/>
              <w:bottom w:val="nil"/>
              <w:right w:val="nil"/>
            </w:tcBorders>
            <w:shd w:val="clear" w:color="000000" w:fill="CCCCFF"/>
            <w:noWrap/>
            <w:vAlign w:val="bottom"/>
            <w:hideMark/>
          </w:tcPr>
          <w:p w14:paraId="053DA2D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48,77%</w:t>
            </w:r>
          </w:p>
        </w:tc>
      </w:tr>
      <w:tr w:rsidR="006967F8" w:rsidRPr="006967F8" w14:paraId="303C9F60"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CEB590C"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2BC3FD3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5.661.334,50</w:t>
            </w:r>
          </w:p>
        </w:tc>
        <w:tc>
          <w:tcPr>
            <w:tcW w:w="1559" w:type="dxa"/>
            <w:tcBorders>
              <w:top w:val="nil"/>
              <w:left w:val="nil"/>
              <w:bottom w:val="nil"/>
              <w:right w:val="nil"/>
            </w:tcBorders>
            <w:shd w:val="clear" w:color="000000" w:fill="CCCCFF"/>
            <w:noWrap/>
            <w:vAlign w:val="bottom"/>
            <w:hideMark/>
          </w:tcPr>
          <w:p w14:paraId="18D641B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5.619.386,50</w:t>
            </w:r>
          </w:p>
        </w:tc>
        <w:tc>
          <w:tcPr>
            <w:tcW w:w="1559" w:type="dxa"/>
            <w:tcBorders>
              <w:top w:val="nil"/>
              <w:left w:val="nil"/>
              <w:bottom w:val="nil"/>
              <w:right w:val="nil"/>
            </w:tcBorders>
            <w:shd w:val="clear" w:color="000000" w:fill="CCCCFF"/>
            <w:noWrap/>
            <w:vAlign w:val="bottom"/>
            <w:hideMark/>
          </w:tcPr>
          <w:p w14:paraId="6EA399F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4.112.084,74</w:t>
            </w:r>
          </w:p>
        </w:tc>
        <w:tc>
          <w:tcPr>
            <w:tcW w:w="993" w:type="dxa"/>
            <w:tcBorders>
              <w:top w:val="nil"/>
              <w:left w:val="nil"/>
              <w:bottom w:val="nil"/>
              <w:right w:val="nil"/>
            </w:tcBorders>
            <w:shd w:val="clear" w:color="000000" w:fill="CCCCFF"/>
            <w:noWrap/>
            <w:vAlign w:val="bottom"/>
            <w:hideMark/>
          </w:tcPr>
          <w:p w14:paraId="1556711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73,18%</w:t>
            </w:r>
          </w:p>
        </w:tc>
      </w:tr>
      <w:tr w:rsidR="006967F8" w:rsidRPr="006967F8" w14:paraId="103DDF14"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0BAE591"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4.1. Komunalni doprinos</w:t>
            </w:r>
          </w:p>
        </w:tc>
        <w:tc>
          <w:tcPr>
            <w:tcW w:w="1559" w:type="dxa"/>
            <w:tcBorders>
              <w:top w:val="nil"/>
              <w:left w:val="nil"/>
              <w:bottom w:val="nil"/>
              <w:right w:val="nil"/>
            </w:tcBorders>
            <w:shd w:val="clear" w:color="000000" w:fill="CCCCFF"/>
            <w:noWrap/>
            <w:vAlign w:val="bottom"/>
            <w:hideMark/>
          </w:tcPr>
          <w:p w14:paraId="3D05AE4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1.349.885,93</w:t>
            </w:r>
          </w:p>
        </w:tc>
        <w:tc>
          <w:tcPr>
            <w:tcW w:w="1559" w:type="dxa"/>
            <w:tcBorders>
              <w:top w:val="nil"/>
              <w:left w:val="nil"/>
              <w:bottom w:val="nil"/>
              <w:right w:val="nil"/>
            </w:tcBorders>
            <w:shd w:val="clear" w:color="000000" w:fill="CCCCFF"/>
            <w:noWrap/>
            <w:vAlign w:val="bottom"/>
            <w:hideMark/>
          </w:tcPr>
          <w:p w14:paraId="1DFC12B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1.326.645,93</w:t>
            </w:r>
          </w:p>
        </w:tc>
        <w:tc>
          <w:tcPr>
            <w:tcW w:w="1559" w:type="dxa"/>
            <w:tcBorders>
              <w:top w:val="nil"/>
              <w:left w:val="nil"/>
              <w:bottom w:val="nil"/>
              <w:right w:val="nil"/>
            </w:tcBorders>
            <w:shd w:val="clear" w:color="000000" w:fill="CCCCFF"/>
            <w:noWrap/>
            <w:vAlign w:val="bottom"/>
            <w:hideMark/>
          </w:tcPr>
          <w:p w14:paraId="6A66DB6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557.596,17</w:t>
            </w:r>
          </w:p>
        </w:tc>
        <w:tc>
          <w:tcPr>
            <w:tcW w:w="993" w:type="dxa"/>
            <w:tcBorders>
              <w:top w:val="nil"/>
              <w:left w:val="nil"/>
              <w:bottom w:val="nil"/>
              <w:right w:val="nil"/>
            </w:tcBorders>
            <w:shd w:val="clear" w:color="000000" w:fill="CCCCFF"/>
            <w:noWrap/>
            <w:vAlign w:val="bottom"/>
            <w:hideMark/>
          </w:tcPr>
          <w:p w14:paraId="06FC185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42,03%</w:t>
            </w:r>
          </w:p>
        </w:tc>
      </w:tr>
      <w:tr w:rsidR="006967F8" w:rsidRPr="006967F8" w14:paraId="08AFD214"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0A3BB36"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4.2. Komunalna naknada</w:t>
            </w:r>
          </w:p>
        </w:tc>
        <w:tc>
          <w:tcPr>
            <w:tcW w:w="1559" w:type="dxa"/>
            <w:tcBorders>
              <w:top w:val="nil"/>
              <w:left w:val="nil"/>
              <w:bottom w:val="nil"/>
              <w:right w:val="nil"/>
            </w:tcBorders>
            <w:shd w:val="clear" w:color="000000" w:fill="CCCCFF"/>
            <w:noWrap/>
            <w:vAlign w:val="bottom"/>
            <w:hideMark/>
          </w:tcPr>
          <w:p w14:paraId="1451E24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2.627.612,50</w:t>
            </w:r>
          </w:p>
        </w:tc>
        <w:tc>
          <w:tcPr>
            <w:tcW w:w="1559" w:type="dxa"/>
            <w:tcBorders>
              <w:top w:val="nil"/>
              <w:left w:val="nil"/>
              <w:bottom w:val="nil"/>
              <w:right w:val="nil"/>
            </w:tcBorders>
            <w:shd w:val="clear" w:color="000000" w:fill="CCCCFF"/>
            <w:noWrap/>
            <w:vAlign w:val="bottom"/>
            <w:hideMark/>
          </w:tcPr>
          <w:p w14:paraId="2461B71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2.630.018,50</w:t>
            </w:r>
          </w:p>
        </w:tc>
        <w:tc>
          <w:tcPr>
            <w:tcW w:w="1559" w:type="dxa"/>
            <w:tcBorders>
              <w:top w:val="nil"/>
              <w:left w:val="nil"/>
              <w:bottom w:val="nil"/>
              <w:right w:val="nil"/>
            </w:tcBorders>
            <w:shd w:val="clear" w:color="000000" w:fill="CCCCFF"/>
            <w:noWrap/>
            <w:vAlign w:val="bottom"/>
            <w:hideMark/>
          </w:tcPr>
          <w:p w14:paraId="53B9171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2.445.393,29</w:t>
            </w:r>
          </w:p>
        </w:tc>
        <w:tc>
          <w:tcPr>
            <w:tcW w:w="993" w:type="dxa"/>
            <w:tcBorders>
              <w:top w:val="nil"/>
              <w:left w:val="nil"/>
              <w:bottom w:val="nil"/>
              <w:right w:val="nil"/>
            </w:tcBorders>
            <w:shd w:val="clear" w:color="000000" w:fill="CCCCFF"/>
            <w:noWrap/>
            <w:vAlign w:val="bottom"/>
            <w:hideMark/>
          </w:tcPr>
          <w:p w14:paraId="7EB88AC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92,98%</w:t>
            </w:r>
          </w:p>
        </w:tc>
      </w:tr>
      <w:tr w:rsidR="006967F8" w:rsidRPr="006967F8" w14:paraId="47F604E1"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C1AF326"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4.3. Ostali prihodi za posebne namjene</w:t>
            </w:r>
          </w:p>
        </w:tc>
        <w:tc>
          <w:tcPr>
            <w:tcW w:w="1559" w:type="dxa"/>
            <w:tcBorders>
              <w:top w:val="nil"/>
              <w:left w:val="nil"/>
              <w:bottom w:val="nil"/>
              <w:right w:val="nil"/>
            </w:tcBorders>
            <w:shd w:val="clear" w:color="000000" w:fill="CCCCFF"/>
            <w:noWrap/>
            <w:vAlign w:val="bottom"/>
            <w:hideMark/>
          </w:tcPr>
          <w:p w14:paraId="10EEE74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624.750,00</w:t>
            </w:r>
          </w:p>
        </w:tc>
        <w:tc>
          <w:tcPr>
            <w:tcW w:w="1559" w:type="dxa"/>
            <w:tcBorders>
              <w:top w:val="nil"/>
              <w:left w:val="nil"/>
              <w:bottom w:val="nil"/>
              <w:right w:val="nil"/>
            </w:tcBorders>
            <w:shd w:val="clear" w:color="000000" w:fill="CCCCFF"/>
            <w:noWrap/>
            <w:vAlign w:val="bottom"/>
            <w:hideMark/>
          </w:tcPr>
          <w:p w14:paraId="382A520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625.340,00</w:t>
            </w:r>
          </w:p>
        </w:tc>
        <w:tc>
          <w:tcPr>
            <w:tcW w:w="1559" w:type="dxa"/>
            <w:tcBorders>
              <w:top w:val="nil"/>
              <w:left w:val="nil"/>
              <w:bottom w:val="nil"/>
              <w:right w:val="nil"/>
            </w:tcBorders>
            <w:shd w:val="clear" w:color="000000" w:fill="CCCCFF"/>
            <w:noWrap/>
            <w:vAlign w:val="bottom"/>
            <w:hideMark/>
          </w:tcPr>
          <w:p w14:paraId="4A9A815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496.428,97</w:t>
            </w:r>
          </w:p>
        </w:tc>
        <w:tc>
          <w:tcPr>
            <w:tcW w:w="993" w:type="dxa"/>
            <w:tcBorders>
              <w:top w:val="nil"/>
              <w:left w:val="nil"/>
              <w:bottom w:val="nil"/>
              <w:right w:val="nil"/>
            </w:tcBorders>
            <w:shd w:val="clear" w:color="000000" w:fill="CCCCFF"/>
            <w:noWrap/>
            <w:vAlign w:val="bottom"/>
            <w:hideMark/>
          </w:tcPr>
          <w:p w14:paraId="2461689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79,39%</w:t>
            </w:r>
          </w:p>
        </w:tc>
      </w:tr>
      <w:tr w:rsidR="006967F8" w:rsidRPr="006967F8" w14:paraId="2362B891" w14:textId="77777777" w:rsidTr="008A61B1">
        <w:trPr>
          <w:trHeight w:val="555"/>
        </w:trPr>
        <w:tc>
          <w:tcPr>
            <w:tcW w:w="6096" w:type="dxa"/>
            <w:gridSpan w:val="2"/>
            <w:tcBorders>
              <w:top w:val="nil"/>
              <w:left w:val="nil"/>
              <w:bottom w:val="nil"/>
              <w:right w:val="nil"/>
            </w:tcBorders>
            <w:shd w:val="clear" w:color="000000" w:fill="CCCCFF"/>
            <w:vAlign w:val="bottom"/>
            <w:hideMark/>
          </w:tcPr>
          <w:p w14:paraId="44260308"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4.9. PRENESENI VIŠAK/MANJAK- PRIHODI ZA POSEBNE NAMJENE</w:t>
            </w:r>
          </w:p>
        </w:tc>
        <w:tc>
          <w:tcPr>
            <w:tcW w:w="1559" w:type="dxa"/>
            <w:tcBorders>
              <w:top w:val="nil"/>
              <w:left w:val="nil"/>
              <w:bottom w:val="nil"/>
              <w:right w:val="nil"/>
            </w:tcBorders>
            <w:shd w:val="clear" w:color="000000" w:fill="CCCCFF"/>
            <w:noWrap/>
            <w:vAlign w:val="bottom"/>
            <w:hideMark/>
          </w:tcPr>
          <w:p w14:paraId="014F14D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1.059.086,07</w:t>
            </w:r>
          </w:p>
        </w:tc>
        <w:tc>
          <w:tcPr>
            <w:tcW w:w="1559" w:type="dxa"/>
            <w:tcBorders>
              <w:top w:val="nil"/>
              <w:left w:val="nil"/>
              <w:bottom w:val="nil"/>
              <w:right w:val="nil"/>
            </w:tcBorders>
            <w:shd w:val="clear" w:color="000000" w:fill="CCCCFF"/>
            <w:noWrap/>
            <w:vAlign w:val="bottom"/>
            <w:hideMark/>
          </w:tcPr>
          <w:p w14:paraId="51DF21C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1.037.382,07</w:t>
            </w:r>
          </w:p>
        </w:tc>
        <w:tc>
          <w:tcPr>
            <w:tcW w:w="1559" w:type="dxa"/>
            <w:tcBorders>
              <w:top w:val="nil"/>
              <w:left w:val="nil"/>
              <w:bottom w:val="nil"/>
              <w:right w:val="nil"/>
            </w:tcBorders>
            <w:shd w:val="clear" w:color="000000" w:fill="CCCCFF"/>
            <w:noWrap/>
            <w:vAlign w:val="bottom"/>
            <w:hideMark/>
          </w:tcPr>
          <w:p w14:paraId="7820509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612.666,31</w:t>
            </w:r>
          </w:p>
        </w:tc>
        <w:tc>
          <w:tcPr>
            <w:tcW w:w="993" w:type="dxa"/>
            <w:tcBorders>
              <w:top w:val="nil"/>
              <w:left w:val="nil"/>
              <w:bottom w:val="nil"/>
              <w:right w:val="nil"/>
            </w:tcBorders>
            <w:shd w:val="clear" w:color="000000" w:fill="CCCCFF"/>
            <w:noWrap/>
            <w:vAlign w:val="bottom"/>
            <w:hideMark/>
          </w:tcPr>
          <w:p w14:paraId="0AC0D97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59,06%</w:t>
            </w:r>
          </w:p>
        </w:tc>
      </w:tr>
      <w:tr w:rsidR="006967F8" w:rsidRPr="006967F8" w14:paraId="210FCA72"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D4F5776"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07DB19F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3.320.560,59</w:t>
            </w:r>
          </w:p>
        </w:tc>
        <w:tc>
          <w:tcPr>
            <w:tcW w:w="1559" w:type="dxa"/>
            <w:tcBorders>
              <w:top w:val="nil"/>
              <w:left w:val="nil"/>
              <w:bottom w:val="nil"/>
              <w:right w:val="nil"/>
            </w:tcBorders>
            <w:shd w:val="clear" w:color="000000" w:fill="CCCCFF"/>
            <w:noWrap/>
            <w:vAlign w:val="bottom"/>
            <w:hideMark/>
          </w:tcPr>
          <w:p w14:paraId="7B7FF93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3.244.310,59</w:t>
            </w:r>
          </w:p>
        </w:tc>
        <w:tc>
          <w:tcPr>
            <w:tcW w:w="1559" w:type="dxa"/>
            <w:tcBorders>
              <w:top w:val="nil"/>
              <w:left w:val="nil"/>
              <w:bottom w:val="nil"/>
              <w:right w:val="nil"/>
            </w:tcBorders>
            <w:shd w:val="clear" w:color="000000" w:fill="CCCCFF"/>
            <w:noWrap/>
            <w:vAlign w:val="bottom"/>
            <w:hideMark/>
          </w:tcPr>
          <w:p w14:paraId="7789713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2.568.604,80</w:t>
            </w:r>
          </w:p>
        </w:tc>
        <w:tc>
          <w:tcPr>
            <w:tcW w:w="993" w:type="dxa"/>
            <w:tcBorders>
              <w:top w:val="nil"/>
              <w:left w:val="nil"/>
              <w:bottom w:val="nil"/>
              <w:right w:val="nil"/>
            </w:tcBorders>
            <w:shd w:val="clear" w:color="000000" w:fill="CCCCFF"/>
            <w:noWrap/>
            <w:vAlign w:val="bottom"/>
            <w:hideMark/>
          </w:tcPr>
          <w:p w14:paraId="6EC89BD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79,17%</w:t>
            </w:r>
          </w:p>
        </w:tc>
      </w:tr>
      <w:tr w:rsidR="006967F8" w:rsidRPr="006967F8" w14:paraId="5BF1DCA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5D63F91"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5.1. Ostale pomoći</w:t>
            </w:r>
          </w:p>
        </w:tc>
        <w:tc>
          <w:tcPr>
            <w:tcW w:w="1559" w:type="dxa"/>
            <w:tcBorders>
              <w:top w:val="nil"/>
              <w:left w:val="nil"/>
              <w:bottom w:val="nil"/>
              <w:right w:val="nil"/>
            </w:tcBorders>
            <w:shd w:val="clear" w:color="000000" w:fill="CCCCFF"/>
            <w:noWrap/>
            <w:vAlign w:val="bottom"/>
            <w:hideMark/>
          </w:tcPr>
          <w:p w14:paraId="37519AC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1.164.496,00</w:t>
            </w:r>
          </w:p>
        </w:tc>
        <w:tc>
          <w:tcPr>
            <w:tcW w:w="1559" w:type="dxa"/>
            <w:tcBorders>
              <w:top w:val="nil"/>
              <w:left w:val="nil"/>
              <w:bottom w:val="nil"/>
              <w:right w:val="nil"/>
            </w:tcBorders>
            <w:shd w:val="clear" w:color="000000" w:fill="CCCCFF"/>
            <w:noWrap/>
            <w:vAlign w:val="bottom"/>
            <w:hideMark/>
          </w:tcPr>
          <w:p w14:paraId="50ACB7D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1.166.606,00</w:t>
            </w:r>
          </w:p>
        </w:tc>
        <w:tc>
          <w:tcPr>
            <w:tcW w:w="1559" w:type="dxa"/>
            <w:tcBorders>
              <w:top w:val="nil"/>
              <w:left w:val="nil"/>
              <w:bottom w:val="nil"/>
              <w:right w:val="nil"/>
            </w:tcBorders>
            <w:shd w:val="clear" w:color="000000" w:fill="CCCCFF"/>
            <w:noWrap/>
            <w:vAlign w:val="bottom"/>
            <w:hideMark/>
          </w:tcPr>
          <w:p w14:paraId="0D1669C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968.739,72</w:t>
            </w:r>
          </w:p>
        </w:tc>
        <w:tc>
          <w:tcPr>
            <w:tcW w:w="993" w:type="dxa"/>
            <w:tcBorders>
              <w:top w:val="nil"/>
              <w:left w:val="nil"/>
              <w:bottom w:val="nil"/>
              <w:right w:val="nil"/>
            </w:tcBorders>
            <w:shd w:val="clear" w:color="000000" w:fill="CCCCFF"/>
            <w:noWrap/>
            <w:vAlign w:val="bottom"/>
            <w:hideMark/>
          </w:tcPr>
          <w:p w14:paraId="2FE4147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83,04%</w:t>
            </w:r>
          </w:p>
        </w:tc>
      </w:tr>
      <w:tr w:rsidR="006967F8" w:rsidRPr="006967F8" w14:paraId="1B0FF6D3"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8AB51E1"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5.2. Pomoći EU</w:t>
            </w:r>
          </w:p>
        </w:tc>
        <w:tc>
          <w:tcPr>
            <w:tcW w:w="1559" w:type="dxa"/>
            <w:tcBorders>
              <w:top w:val="nil"/>
              <w:left w:val="nil"/>
              <w:bottom w:val="nil"/>
              <w:right w:val="nil"/>
            </w:tcBorders>
            <w:shd w:val="clear" w:color="000000" w:fill="CCCCFF"/>
            <w:noWrap/>
            <w:vAlign w:val="bottom"/>
            <w:hideMark/>
          </w:tcPr>
          <w:p w14:paraId="0F7102B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406.650,00</w:t>
            </w:r>
          </w:p>
        </w:tc>
        <w:tc>
          <w:tcPr>
            <w:tcW w:w="1559" w:type="dxa"/>
            <w:tcBorders>
              <w:top w:val="nil"/>
              <w:left w:val="nil"/>
              <w:bottom w:val="nil"/>
              <w:right w:val="nil"/>
            </w:tcBorders>
            <w:shd w:val="clear" w:color="000000" w:fill="CCCCFF"/>
            <w:noWrap/>
            <w:vAlign w:val="bottom"/>
            <w:hideMark/>
          </w:tcPr>
          <w:p w14:paraId="7D815E5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366.650,00</w:t>
            </w:r>
          </w:p>
        </w:tc>
        <w:tc>
          <w:tcPr>
            <w:tcW w:w="1559" w:type="dxa"/>
            <w:tcBorders>
              <w:top w:val="nil"/>
              <w:left w:val="nil"/>
              <w:bottom w:val="nil"/>
              <w:right w:val="nil"/>
            </w:tcBorders>
            <w:shd w:val="clear" w:color="000000" w:fill="CCCCFF"/>
            <w:noWrap/>
            <w:vAlign w:val="bottom"/>
            <w:hideMark/>
          </w:tcPr>
          <w:p w14:paraId="670C731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51.584,24</w:t>
            </w:r>
          </w:p>
        </w:tc>
        <w:tc>
          <w:tcPr>
            <w:tcW w:w="993" w:type="dxa"/>
            <w:tcBorders>
              <w:top w:val="nil"/>
              <w:left w:val="nil"/>
              <w:bottom w:val="nil"/>
              <w:right w:val="nil"/>
            </w:tcBorders>
            <w:shd w:val="clear" w:color="000000" w:fill="CCCCFF"/>
            <w:noWrap/>
            <w:vAlign w:val="bottom"/>
            <w:hideMark/>
          </w:tcPr>
          <w:p w14:paraId="63A70FA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14,07%</w:t>
            </w:r>
          </w:p>
        </w:tc>
      </w:tr>
      <w:tr w:rsidR="006967F8" w:rsidRPr="006967F8" w14:paraId="538A50E0"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E7CB3E0"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5.9. PRENESENI VIŠAK/MANJAK- POMOĆI</w:t>
            </w:r>
          </w:p>
        </w:tc>
        <w:tc>
          <w:tcPr>
            <w:tcW w:w="1559" w:type="dxa"/>
            <w:tcBorders>
              <w:top w:val="nil"/>
              <w:left w:val="nil"/>
              <w:bottom w:val="nil"/>
              <w:right w:val="nil"/>
            </w:tcBorders>
            <w:shd w:val="clear" w:color="000000" w:fill="CCCCFF"/>
            <w:noWrap/>
            <w:vAlign w:val="bottom"/>
            <w:hideMark/>
          </w:tcPr>
          <w:p w14:paraId="210D6D3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1.749.414,59</w:t>
            </w:r>
          </w:p>
        </w:tc>
        <w:tc>
          <w:tcPr>
            <w:tcW w:w="1559" w:type="dxa"/>
            <w:tcBorders>
              <w:top w:val="nil"/>
              <w:left w:val="nil"/>
              <w:bottom w:val="nil"/>
              <w:right w:val="nil"/>
            </w:tcBorders>
            <w:shd w:val="clear" w:color="000000" w:fill="CCCCFF"/>
            <w:noWrap/>
            <w:vAlign w:val="bottom"/>
            <w:hideMark/>
          </w:tcPr>
          <w:p w14:paraId="1B22E25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1.711.054,59</w:t>
            </w:r>
          </w:p>
        </w:tc>
        <w:tc>
          <w:tcPr>
            <w:tcW w:w="1559" w:type="dxa"/>
            <w:tcBorders>
              <w:top w:val="nil"/>
              <w:left w:val="nil"/>
              <w:bottom w:val="nil"/>
              <w:right w:val="nil"/>
            </w:tcBorders>
            <w:shd w:val="clear" w:color="000000" w:fill="CCCCFF"/>
            <w:noWrap/>
            <w:vAlign w:val="bottom"/>
            <w:hideMark/>
          </w:tcPr>
          <w:p w14:paraId="24511E6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1.548.280,84</w:t>
            </w:r>
          </w:p>
        </w:tc>
        <w:tc>
          <w:tcPr>
            <w:tcW w:w="993" w:type="dxa"/>
            <w:tcBorders>
              <w:top w:val="nil"/>
              <w:left w:val="nil"/>
              <w:bottom w:val="nil"/>
              <w:right w:val="nil"/>
            </w:tcBorders>
            <w:shd w:val="clear" w:color="000000" w:fill="CCCCFF"/>
            <w:noWrap/>
            <w:vAlign w:val="bottom"/>
            <w:hideMark/>
          </w:tcPr>
          <w:p w14:paraId="5707711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90,49%</w:t>
            </w:r>
          </w:p>
        </w:tc>
      </w:tr>
      <w:tr w:rsidR="006967F8" w:rsidRPr="006967F8" w14:paraId="5ED27490" w14:textId="77777777" w:rsidTr="008A61B1">
        <w:trPr>
          <w:trHeight w:val="255"/>
        </w:trPr>
        <w:tc>
          <w:tcPr>
            <w:tcW w:w="1134" w:type="dxa"/>
            <w:tcBorders>
              <w:top w:val="nil"/>
              <w:left w:val="nil"/>
              <w:bottom w:val="nil"/>
              <w:right w:val="nil"/>
            </w:tcBorders>
            <w:shd w:val="clear" w:color="000000" w:fill="FF9900"/>
            <w:noWrap/>
            <w:vAlign w:val="bottom"/>
            <w:hideMark/>
          </w:tcPr>
          <w:p w14:paraId="7C4D933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1101</w:t>
            </w:r>
          </w:p>
        </w:tc>
        <w:tc>
          <w:tcPr>
            <w:tcW w:w="4962" w:type="dxa"/>
            <w:tcBorders>
              <w:top w:val="nil"/>
              <w:left w:val="nil"/>
              <w:bottom w:val="nil"/>
              <w:right w:val="nil"/>
            </w:tcBorders>
            <w:shd w:val="clear" w:color="000000" w:fill="FF9900"/>
            <w:noWrap/>
            <w:vAlign w:val="bottom"/>
            <w:hideMark/>
          </w:tcPr>
          <w:p w14:paraId="4714954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Program: JAVNA UPRAVA I ADMINISTRACIJA</w:t>
            </w:r>
          </w:p>
        </w:tc>
        <w:tc>
          <w:tcPr>
            <w:tcW w:w="1559" w:type="dxa"/>
            <w:tcBorders>
              <w:top w:val="nil"/>
              <w:left w:val="nil"/>
              <w:bottom w:val="nil"/>
              <w:right w:val="nil"/>
            </w:tcBorders>
            <w:shd w:val="clear" w:color="000000" w:fill="FF9900"/>
            <w:noWrap/>
            <w:vAlign w:val="bottom"/>
            <w:hideMark/>
          </w:tcPr>
          <w:p w14:paraId="7BAF433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61.850,00</w:t>
            </w:r>
          </w:p>
        </w:tc>
        <w:tc>
          <w:tcPr>
            <w:tcW w:w="1559" w:type="dxa"/>
            <w:tcBorders>
              <w:top w:val="nil"/>
              <w:left w:val="nil"/>
              <w:bottom w:val="nil"/>
              <w:right w:val="nil"/>
            </w:tcBorders>
            <w:shd w:val="clear" w:color="000000" w:fill="FF9900"/>
            <w:noWrap/>
            <w:vAlign w:val="bottom"/>
            <w:hideMark/>
          </w:tcPr>
          <w:p w14:paraId="0DB29C4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61.850,00</w:t>
            </w:r>
          </w:p>
        </w:tc>
        <w:tc>
          <w:tcPr>
            <w:tcW w:w="1559" w:type="dxa"/>
            <w:tcBorders>
              <w:top w:val="nil"/>
              <w:left w:val="nil"/>
              <w:bottom w:val="nil"/>
              <w:right w:val="nil"/>
            </w:tcBorders>
            <w:shd w:val="clear" w:color="000000" w:fill="FF9900"/>
            <w:noWrap/>
            <w:vAlign w:val="bottom"/>
            <w:hideMark/>
          </w:tcPr>
          <w:p w14:paraId="1823119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36.276,83</w:t>
            </w:r>
          </w:p>
        </w:tc>
        <w:tc>
          <w:tcPr>
            <w:tcW w:w="993" w:type="dxa"/>
            <w:tcBorders>
              <w:top w:val="nil"/>
              <w:left w:val="nil"/>
              <w:bottom w:val="nil"/>
              <w:right w:val="nil"/>
            </w:tcBorders>
            <w:shd w:val="clear" w:color="000000" w:fill="FF9900"/>
            <w:noWrap/>
            <w:vAlign w:val="bottom"/>
            <w:hideMark/>
          </w:tcPr>
          <w:p w14:paraId="14676D2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58,65%</w:t>
            </w:r>
          </w:p>
        </w:tc>
      </w:tr>
      <w:tr w:rsidR="006967F8" w:rsidRPr="006967F8" w14:paraId="05C4590F" w14:textId="77777777" w:rsidTr="008A61B1">
        <w:trPr>
          <w:trHeight w:val="255"/>
        </w:trPr>
        <w:tc>
          <w:tcPr>
            <w:tcW w:w="1134" w:type="dxa"/>
            <w:tcBorders>
              <w:top w:val="nil"/>
              <w:left w:val="nil"/>
              <w:bottom w:val="nil"/>
              <w:right w:val="nil"/>
            </w:tcBorders>
            <w:shd w:val="clear" w:color="000000" w:fill="FFFF99"/>
            <w:noWrap/>
            <w:vAlign w:val="bottom"/>
            <w:hideMark/>
          </w:tcPr>
          <w:p w14:paraId="4ACE8F8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A100001</w:t>
            </w:r>
          </w:p>
        </w:tc>
        <w:tc>
          <w:tcPr>
            <w:tcW w:w="4962" w:type="dxa"/>
            <w:tcBorders>
              <w:top w:val="nil"/>
              <w:left w:val="nil"/>
              <w:bottom w:val="nil"/>
              <w:right w:val="nil"/>
            </w:tcBorders>
            <w:shd w:val="clear" w:color="000000" w:fill="FFFF99"/>
            <w:noWrap/>
            <w:vAlign w:val="bottom"/>
            <w:hideMark/>
          </w:tcPr>
          <w:p w14:paraId="7165185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Aktivnost: FINANCIRANJE TEKUĆIH RASHODA</w:t>
            </w:r>
          </w:p>
        </w:tc>
        <w:tc>
          <w:tcPr>
            <w:tcW w:w="1559" w:type="dxa"/>
            <w:tcBorders>
              <w:top w:val="nil"/>
              <w:left w:val="nil"/>
              <w:bottom w:val="nil"/>
              <w:right w:val="nil"/>
            </w:tcBorders>
            <w:shd w:val="clear" w:color="000000" w:fill="FFFF99"/>
            <w:noWrap/>
            <w:vAlign w:val="bottom"/>
            <w:hideMark/>
          </w:tcPr>
          <w:p w14:paraId="4E649E5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11.850,00</w:t>
            </w:r>
          </w:p>
        </w:tc>
        <w:tc>
          <w:tcPr>
            <w:tcW w:w="1559" w:type="dxa"/>
            <w:tcBorders>
              <w:top w:val="nil"/>
              <w:left w:val="nil"/>
              <w:bottom w:val="nil"/>
              <w:right w:val="nil"/>
            </w:tcBorders>
            <w:shd w:val="clear" w:color="000000" w:fill="FFFF99"/>
            <w:noWrap/>
            <w:vAlign w:val="bottom"/>
            <w:hideMark/>
          </w:tcPr>
          <w:p w14:paraId="051A976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11.850,00</w:t>
            </w:r>
          </w:p>
        </w:tc>
        <w:tc>
          <w:tcPr>
            <w:tcW w:w="1559" w:type="dxa"/>
            <w:tcBorders>
              <w:top w:val="nil"/>
              <w:left w:val="nil"/>
              <w:bottom w:val="nil"/>
              <w:right w:val="nil"/>
            </w:tcBorders>
            <w:shd w:val="clear" w:color="000000" w:fill="FFFF99"/>
            <w:noWrap/>
            <w:vAlign w:val="bottom"/>
            <w:hideMark/>
          </w:tcPr>
          <w:p w14:paraId="682F9F5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6.361,20</w:t>
            </w:r>
          </w:p>
        </w:tc>
        <w:tc>
          <w:tcPr>
            <w:tcW w:w="993" w:type="dxa"/>
            <w:tcBorders>
              <w:top w:val="nil"/>
              <w:left w:val="nil"/>
              <w:bottom w:val="nil"/>
              <w:right w:val="nil"/>
            </w:tcBorders>
            <w:shd w:val="clear" w:color="000000" w:fill="FFFF99"/>
            <w:noWrap/>
            <w:vAlign w:val="bottom"/>
            <w:hideMark/>
          </w:tcPr>
          <w:p w14:paraId="0601952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53,68%</w:t>
            </w:r>
          </w:p>
        </w:tc>
      </w:tr>
      <w:tr w:rsidR="006967F8" w:rsidRPr="006967F8" w14:paraId="2F7117C5"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8993E09"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09EDB1D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11.850,00</w:t>
            </w:r>
          </w:p>
        </w:tc>
        <w:tc>
          <w:tcPr>
            <w:tcW w:w="1559" w:type="dxa"/>
            <w:tcBorders>
              <w:top w:val="nil"/>
              <w:left w:val="nil"/>
              <w:bottom w:val="nil"/>
              <w:right w:val="nil"/>
            </w:tcBorders>
            <w:shd w:val="clear" w:color="000000" w:fill="CCCCFF"/>
            <w:noWrap/>
            <w:vAlign w:val="bottom"/>
            <w:hideMark/>
          </w:tcPr>
          <w:p w14:paraId="7ECC656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11.850,00</w:t>
            </w:r>
          </w:p>
        </w:tc>
        <w:tc>
          <w:tcPr>
            <w:tcW w:w="1559" w:type="dxa"/>
            <w:tcBorders>
              <w:top w:val="nil"/>
              <w:left w:val="nil"/>
              <w:bottom w:val="nil"/>
              <w:right w:val="nil"/>
            </w:tcBorders>
            <w:shd w:val="clear" w:color="000000" w:fill="CCCCFF"/>
            <w:noWrap/>
            <w:vAlign w:val="bottom"/>
            <w:hideMark/>
          </w:tcPr>
          <w:p w14:paraId="025A707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6.361,20</w:t>
            </w:r>
          </w:p>
        </w:tc>
        <w:tc>
          <w:tcPr>
            <w:tcW w:w="993" w:type="dxa"/>
            <w:tcBorders>
              <w:top w:val="nil"/>
              <w:left w:val="nil"/>
              <w:bottom w:val="nil"/>
              <w:right w:val="nil"/>
            </w:tcBorders>
            <w:shd w:val="clear" w:color="000000" w:fill="CCCCFF"/>
            <w:noWrap/>
            <w:vAlign w:val="bottom"/>
            <w:hideMark/>
          </w:tcPr>
          <w:p w14:paraId="6299557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53,68%</w:t>
            </w:r>
          </w:p>
        </w:tc>
      </w:tr>
      <w:tr w:rsidR="006967F8" w:rsidRPr="006967F8" w14:paraId="7AA74E00"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0A9A102"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2692854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11.850,00</w:t>
            </w:r>
          </w:p>
        </w:tc>
        <w:tc>
          <w:tcPr>
            <w:tcW w:w="1559" w:type="dxa"/>
            <w:tcBorders>
              <w:top w:val="nil"/>
              <w:left w:val="nil"/>
              <w:bottom w:val="nil"/>
              <w:right w:val="nil"/>
            </w:tcBorders>
            <w:shd w:val="clear" w:color="000000" w:fill="CCCCFF"/>
            <w:noWrap/>
            <w:vAlign w:val="bottom"/>
            <w:hideMark/>
          </w:tcPr>
          <w:p w14:paraId="5E10779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11.850,00</w:t>
            </w:r>
          </w:p>
        </w:tc>
        <w:tc>
          <w:tcPr>
            <w:tcW w:w="1559" w:type="dxa"/>
            <w:tcBorders>
              <w:top w:val="nil"/>
              <w:left w:val="nil"/>
              <w:bottom w:val="nil"/>
              <w:right w:val="nil"/>
            </w:tcBorders>
            <w:shd w:val="clear" w:color="000000" w:fill="CCCCFF"/>
            <w:noWrap/>
            <w:vAlign w:val="bottom"/>
            <w:hideMark/>
          </w:tcPr>
          <w:p w14:paraId="38C8EAE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6.361,20</w:t>
            </w:r>
          </w:p>
        </w:tc>
        <w:tc>
          <w:tcPr>
            <w:tcW w:w="993" w:type="dxa"/>
            <w:tcBorders>
              <w:top w:val="nil"/>
              <w:left w:val="nil"/>
              <w:bottom w:val="nil"/>
              <w:right w:val="nil"/>
            </w:tcBorders>
            <w:shd w:val="clear" w:color="000000" w:fill="CCCCFF"/>
            <w:noWrap/>
            <w:vAlign w:val="bottom"/>
            <w:hideMark/>
          </w:tcPr>
          <w:p w14:paraId="0EE8238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53,68%</w:t>
            </w:r>
          </w:p>
        </w:tc>
      </w:tr>
      <w:tr w:rsidR="006967F8" w:rsidRPr="006967F8" w14:paraId="552D3350" w14:textId="77777777" w:rsidTr="008A61B1">
        <w:trPr>
          <w:trHeight w:val="255"/>
        </w:trPr>
        <w:tc>
          <w:tcPr>
            <w:tcW w:w="1134" w:type="dxa"/>
            <w:tcBorders>
              <w:top w:val="nil"/>
              <w:left w:val="nil"/>
              <w:bottom w:val="nil"/>
              <w:right w:val="nil"/>
            </w:tcBorders>
            <w:noWrap/>
            <w:vAlign w:val="bottom"/>
            <w:hideMark/>
          </w:tcPr>
          <w:p w14:paraId="7F68480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5EA0932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513A322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10.500,00</w:t>
            </w:r>
          </w:p>
        </w:tc>
        <w:tc>
          <w:tcPr>
            <w:tcW w:w="1559" w:type="dxa"/>
            <w:tcBorders>
              <w:top w:val="nil"/>
              <w:left w:val="nil"/>
              <w:bottom w:val="nil"/>
              <w:right w:val="nil"/>
            </w:tcBorders>
            <w:noWrap/>
            <w:vAlign w:val="bottom"/>
            <w:hideMark/>
          </w:tcPr>
          <w:p w14:paraId="40A407F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10.500,00</w:t>
            </w:r>
          </w:p>
        </w:tc>
        <w:tc>
          <w:tcPr>
            <w:tcW w:w="1559" w:type="dxa"/>
            <w:tcBorders>
              <w:top w:val="nil"/>
              <w:left w:val="nil"/>
              <w:bottom w:val="nil"/>
              <w:right w:val="nil"/>
            </w:tcBorders>
            <w:noWrap/>
            <w:vAlign w:val="bottom"/>
            <w:hideMark/>
          </w:tcPr>
          <w:p w14:paraId="6FD1A4B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6.361,20</w:t>
            </w:r>
          </w:p>
        </w:tc>
        <w:tc>
          <w:tcPr>
            <w:tcW w:w="993" w:type="dxa"/>
            <w:tcBorders>
              <w:top w:val="nil"/>
              <w:left w:val="nil"/>
              <w:bottom w:val="nil"/>
              <w:right w:val="nil"/>
            </w:tcBorders>
            <w:noWrap/>
            <w:vAlign w:val="bottom"/>
            <w:hideMark/>
          </w:tcPr>
          <w:p w14:paraId="58A88CC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60,58%</w:t>
            </w:r>
          </w:p>
        </w:tc>
      </w:tr>
      <w:tr w:rsidR="006967F8" w:rsidRPr="006967F8" w14:paraId="7D63F0FB" w14:textId="77777777" w:rsidTr="008A61B1">
        <w:trPr>
          <w:trHeight w:val="255"/>
        </w:trPr>
        <w:tc>
          <w:tcPr>
            <w:tcW w:w="1134" w:type="dxa"/>
            <w:tcBorders>
              <w:top w:val="nil"/>
              <w:left w:val="nil"/>
              <w:bottom w:val="nil"/>
              <w:right w:val="nil"/>
            </w:tcBorders>
            <w:noWrap/>
            <w:vAlign w:val="bottom"/>
            <w:hideMark/>
          </w:tcPr>
          <w:p w14:paraId="4216646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3211</w:t>
            </w:r>
          </w:p>
        </w:tc>
        <w:tc>
          <w:tcPr>
            <w:tcW w:w="4962" w:type="dxa"/>
            <w:tcBorders>
              <w:top w:val="nil"/>
              <w:left w:val="nil"/>
              <w:bottom w:val="nil"/>
              <w:right w:val="nil"/>
            </w:tcBorders>
            <w:noWrap/>
            <w:vAlign w:val="bottom"/>
            <w:hideMark/>
          </w:tcPr>
          <w:p w14:paraId="70174D5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Službena putovanja</w:t>
            </w:r>
          </w:p>
        </w:tc>
        <w:tc>
          <w:tcPr>
            <w:tcW w:w="1559" w:type="dxa"/>
            <w:tcBorders>
              <w:top w:val="nil"/>
              <w:left w:val="nil"/>
              <w:bottom w:val="nil"/>
              <w:right w:val="nil"/>
            </w:tcBorders>
            <w:noWrap/>
            <w:vAlign w:val="bottom"/>
            <w:hideMark/>
          </w:tcPr>
          <w:p w14:paraId="48FECEBB"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24DCAC0"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D681A64"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2.991,20</w:t>
            </w:r>
          </w:p>
        </w:tc>
        <w:tc>
          <w:tcPr>
            <w:tcW w:w="993" w:type="dxa"/>
            <w:tcBorders>
              <w:top w:val="nil"/>
              <w:left w:val="nil"/>
              <w:bottom w:val="nil"/>
              <w:right w:val="nil"/>
            </w:tcBorders>
            <w:noWrap/>
            <w:vAlign w:val="bottom"/>
            <w:hideMark/>
          </w:tcPr>
          <w:p w14:paraId="0DC944E0"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9880AA3" w14:textId="77777777" w:rsidTr="008A61B1">
        <w:trPr>
          <w:trHeight w:val="255"/>
        </w:trPr>
        <w:tc>
          <w:tcPr>
            <w:tcW w:w="1134" w:type="dxa"/>
            <w:tcBorders>
              <w:top w:val="nil"/>
              <w:left w:val="nil"/>
              <w:bottom w:val="nil"/>
              <w:right w:val="nil"/>
            </w:tcBorders>
            <w:noWrap/>
            <w:vAlign w:val="bottom"/>
            <w:hideMark/>
          </w:tcPr>
          <w:p w14:paraId="7E20C27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3213</w:t>
            </w:r>
          </w:p>
        </w:tc>
        <w:tc>
          <w:tcPr>
            <w:tcW w:w="4962" w:type="dxa"/>
            <w:tcBorders>
              <w:top w:val="nil"/>
              <w:left w:val="nil"/>
              <w:bottom w:val="nil"/>
              <w:right w:val="nil"/>
            </w:tcBorders>
            <w:noWrap/>
            <w:vAlign w:val="bottom"/>
            <w:hideMark/>
          </w:tcPr>
          <w:p w14:paraId="49D0739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Stručno usavršavanje zaposlenika</w:t>
            </w:r>
          </w:p>
        </w:tc>
        <w:tc>
          <w:tcPr>
            <w:tcW w:w="1559" w:type="dxa"/>
            <w:tcBorders>
              <w:top w:val="nil"/>
              <w:left w:val="nil"/>
              <w:bottom w:val="nil"/>
              <w:right w:val="nil"/>
            </w:tcBorders>
            <w:noWrap/>
            <w:vAlign w:val="bottom"/>
            <w:hideMark/>
          </w:tcPr>
          <w:p w14:paraId="5CEF6283"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6A322B0"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B76B7BF"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2.275,00</w:t>
            </w:r>
          </w:p>
        </w:tc>
        <w:tc>
          <w:tcPr>
            <w:tcW w:w="993" w:type="dxa"/>
            <w:tcBorders>
              <w:top w:val="nil"/>
              <w:left w:val="nil"/>
              <w:bottom w:val="nil"/>
              <w:right w:val="nil"/>
            </w:tcBorders>
            <w:noWrap/>
            <w:vAlign w:val="bottom"/>
            <w:hideMark/>
          </w:tcPr>
          <w:p w14:paraId="3473CCE4"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8AF090B" w14:textId="77777777" w:rsidTr="008A61B1">
        <w:trPr>
          <w:trHeight w:val="255"/>
        </w:trPr>
        <w:tc>
          <w:tcPr>
            <w:tcW w:w="1134" w:type="dxa"/>
            <w:tcBorders>
              <w:top w:val="nil"/>
              <w:left w:val="nil"/>
              <w:bottom w:val="nil"/>
              <w:right w:val="nil"/>
            </w:tcBorders>
            <w:noWrap/>
            <w:vAlign w:val="bottom"/>
            <w:hideMark/>
          </w:tcPr>
          <w:p w14:paraId="530CF7D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3239</w:t>
            </w:r>
          </w:p>
        </w:tc>
        <w:tc>
          <w:tcPr>
            <w:tcW w:w="4962" w:type="dxa"/>
            <w:tcBorders>
              <w:top w:val="nil"/>
              <w:left w:val="nil"/>
              <w:bottom w:val="nil"/>
              <w:right w:val="nil"/>
            </w:tcBorders>
            <w:noWrap/>
            <w:vAlign w:val="bottom"/>
            <w:hideMark/>
          </w:tcPr>
          <w:p w14:paraId="338BD64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Ostale usluge</w:t>
            </w:r>
          </w:p>
        </w:tc>
        <w:tc>
          <w:tcPr>
            <w:tcW w:w="1559" w:type="dxa"/>
            <w:tcBorders>
              <w:top w:val="nil"/>
              <w:left w:val="nil"/>
              <w:bottom w:val="nil"/>
              <w:right w:val="nil"/>
            </w:tcBorders>
            <w:noWrap/>
            <w:vAlign w:val="bottom"/>
            <w:hideMark/>
          </w:tcPr>
          <w:p w14:paraId="16A85B54"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3C470D1"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228F0D2"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1.095,00</w:t>
            </w:r>
          </w:p>
        </w:tc>
        <w:tc>
          <w:tcPr>
            <w:tcW w:w="993" w:type="dxa"/>
            <w:tcBorders>
              <w:top w:val="nil"/>
              <w:left w:val="nil"/>
              <w:bottom w:val="nil"/>
              <w:right w:val="nil"/>
            </w:tcBorders>
            <w:noWrap/>
            <w:vAlign w:val="bottom"/>
            <w:hideMark/>
          </w:tcPr>
          <w:p w14:paraId="67AB7B88"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33D74F8" w14:textId="77777777" w:rsidTr="008A61B1">
        <w:trPr>
          <w:trHeight w:val="585"/>
        </w:trPr>
        <w:tc>
          <w:tcPr>
            <w:tcW w:w="1134" w:type="dxa"/>
            <w:tcBorders>
              <w:top w:val="nil"/>
              <w:left w:val="nil"/>
              <w:bottom w:val="nil"/>
              <w:right w:val="nil"/>
            </w:tcBorders>
            <w:noWrap/>
            <w:vAlign w:val="bottom"/>
            <w:hideMark/>
          </w:tcPr>
          <w:p w14:paraId="2DFAAF6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38</w:t>
            </w:r>
          </w:p>
        </w:tc>
        <w:tc>
          <w:tcPr>
            <w:tcW w:w="4962" w:type="dxa"/>
            <w:tcBorders>
              <w:top w:val="nil"/>
              <w:left w:val="nil"/>
              <w:bottom w:val="nil"/>
              <w:right w:val="nil"/>
            </w:tcBorders>
            <w:vAlign w:val="bottom"/>
            <w:hideMark/>
          </w:tcPr>
          <w:p w14:paraId="0527FC6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donacije, kazne, naknade šteta i kapitalne pomoći</w:t>
            </w:r>
          </w:p>
        </w:tc>
        <w:tc>
          <w:tcPr>
            <w:tcW w:w="1559" w:type="dxa"/>
            <w:tcBorders>
              <w:top w:val="nil"/>
              <w:left w:val="nil"/>
              <w:bottom w:val="nil"/>
              <w:right w:val="nil"/>
            </w:tcBorders>
            <w:noWrap/>
            <w:vAlign w:val="bottom"/>
            <w:hideMark/>
          </w:tcPr>
          <w:p w14:paraId="6A0ACA2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1.350,00</w:t>
            </w:r>
          </w:p>
        </w:tc>
        <w:tc>
          <w:tcPr>
            <w:tcW w:w="1559" w:type="dxa"/>
            <w:tcBorders>
              <w:top w:val="nil"/>
              <w:left w:val="nil"/>
              <w:bottom w:val="nil"/>
              <w:right w:val="nil"/>
            </w:tcBorders>
            <w:noWrap/>
            <w:vAlign w:val="bottom"/>
            <w:hideMark/>
          </w:tcPr>
          <w:p w14:paraId="3AFAA9C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1.350,00</w:t>
            </w:r>
          </w:p>
        </w:tc>
        <w:tc>
          <w:tcPr>
            <w:tcW w:w="1559" w:type="dxa"/>
            <w:tcBorders>
              <w:top w:val="nil"/>
              <w:left w:val="nil"/>
              <w:bottom w:val="nil"/>
              <w:right w:val="nil"/>
            </w:tcBorders>
            <w:noWrap/>
            <w:vAlign w:val="bottom"/>
            <w:hideMark/>
          </w:tcPr>
          <w:p w14:paraId="3D507FE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544697E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57576902" w14:textId="77777777" w:rsidTr="008A61B1">
        <w:trPr>
          <w:trHeight w:val="255"/>
        </w:trPr>
        <w:tc>
          <w:tcPr>
            <w:tcW w:w="1134" w:type="dxa"/>
            <w:tcBorders>
              <w:top w:val="nil"/>
              <w:left w:val="nil"/>
              <w:bottom w:val="nil"/>
              <w:right w:val="nil"/>
            </w:tcBorders>
            <w:shd w:val="clear" w:color="000000" w:fill="FFFF99"/>
            <w:noWrap/>
            <w:vAlign w:val="bottom"/>
            <w:hideMark/>
          </w:tcPr>
          <w:p w14:paraId="57BD2CF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A100022</w:t>
            </w:r>
          </w:p>
        </w:tc>
        <w:tc>
          <w:tcPr>
            <w:tcW w:w="4962" w:type="dxa"/>
            <w:tcBorders>
              <w:top w:val="nil"/>
              <w:left w:val="nil"/>
              <w:bottom w:val="nil"/>
              <w:right w:val="nil"/>
            </w:tcBorders>
            <w:shd w:val="clear" w:color="000000" w:fill="FFFF99"/>
            <w:noWrap/>
            <w:vAlign w:val="bottom"/>
            <w:hideMark/>
          </w:tcPr>
          <w:p w14:paraId="0F7264D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Aktivnost: OPREMANJE REDARSTVA </w:t>
            </w:r>
          </w:p>
        </w:tc>
        <w:tc>
          <w:tcPr>
            <w:tcW w:w="1559" w:type="dxa"/>
            <w:tcBorders>
              <w:top w:val="nil"/>
              <w:left w:val="nil"/>
              <w:bottom w:val="nil"/>
              <w:right w:val="nil"/>
            </w:tcBorders>
            <w:shd w:val="clear" w:color="000000" w:fill="FFFF99"/>
            <w:noWrap/>
            <w:vAlign w:val="bottom"/>
            <w:hideMark/>
          </w:tcPr>
          <w:p w14:paraId="3293113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50.000,00</w:t>
            </w:r>
          </w:p>
        </w:tc>
        <w:tc>
          <w:tcPr>
            <w:tcW w:w="1559" w:type="dxa"/>
            <w:tcBorders>
              <w:top w:val="nil"/>
              <w:left w:val="nil"/>
              <w:bottom w:val="nil"/>
              <w:right w:val="nil"/>
            </w:tcBorders>
            <w:shd w:val="clear" w:color="000000" w:fill="FFFF99"/>
            <w:noWrap/>
            <w:vAlign w:val="bottom"/>
            <w:hideMark/>
          </w:tcPr>
          <w:p w14:paraId="4F07B8D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50.000,00</w:t>
            </w:r>
          </w:p>
        </w:tc>
        <w:tc>
          <w:tcPr>
            <w:tcW w:w="1559" w:type="dxa"/>
            <w:tcBorders>
              <w:top w:val="nil"/>
              <w:left w:val="nil"/>
              <w:bottom w:val="nil"/>
              <w:right w:val="nil"/>
            </w:tcBorders>
            <w:shd w:val="clear" w:color="000000" w:fill="FFFF99"/>
            <w:noWrap/>
            <w:vAlign w:val="bottom"/>
            <w:hideMark/>
          </w:tcPr>
          <w:p w14:paraId="764B6F8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29.915,63</w:t>
            </w:r>
          </w:p>
        </w:tc>
        <w:tc>
          <w:tcPr>
            <w:tcW w:w="993" w:type="dxa"/>
            <w:tcBorders>
              <w:top w:val="nil"/>
              <w:left w:val="nil"/>
              <w:bottom w:val="nil"/>
              <w:right w:val="nil"/>
            </w:tcBorders>
            <w:shd w:val="clear" w:color="000000" w:fill="FFFF99"/>
            <w:noWrap/>
            <w:vAlign w:val="bottom"/>
            <w:hideMark/>
          </w:tcPr>
          <w:p w14:paraId="4702F3F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59,83%</w:t>
            </w:r>
          </w:p>
        </w:tc>
      </w:tr>
      <w:tr w:rsidR="006967F8" w:rsidRPr="006967F8" w14:paraId="55C7574D"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F6456BB"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5760181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50.000,00</w:t>
            </w:r>
          </w:p>
        </w:tc>
        <w:tc>
          <w:tcPr>
            <w:tcW w:w="1559" w:type="dxa"/>
            <w:tcBorders>
              <w:top w:val="nil"/>
              <w:left w:val="nil"/>
              <w:bottom w:val="nil"/>
              <w:right w:val="nil"/>
            </w:tcBorders>
            <w:shd w:val="clear" w:color="000000" w:fill="CCCCFF"/>
            <w:noWrap/>
            <w:vAlign w:val="bottom"/>
            <w:hideMark/>
          </w:tcPr>
          <w:p w14:paraId="1C88906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50.000,00</w:t>
            </w:r>
          </w:p>
        </w:tc>
        <w:tc>
          <w:tcPr>
            <w:tcW w:w="1559" w:type="dxa"/>
            <w:tcBorders>
              <w:top w:val="nil"/>
              <w:left w:val="nil"/>
              <w:bottom w:val="nil"/>
              <w:right w:val="nil"/>
            </w:tcBorders>
            <w:shd w:val="clear" w:color="000000" w:fill="CCCCFF"/>
            <w:noWrap/>
            <w:vAlign w:val="bottom"/>
            <w:hideMark/>
          </w:tcPr>
          <w:p w14:paraId="3E19ABA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29.915,63</w:t>
            </w:r>
          </w:p>
        </w:tc>
        <w:tc>
          <w:tcPr>
            <w:tcW w:w="993" w:type="dxa"/>
            <w:tcBorders>
              <w:top w:val="nil"/>
              <w:left w:val="nil"/>
              <w:bottom w:val="nil"/>
              <w:right w:val="nil"/>
            </w:tcBorders>
            <w:shd w:val="clear" w:color="000000" w:fill="CCCCFF"/>
            <w:noWrap/>
            <w:vAlign w:val="bottom"/>
            <w:hideMark/>
          </w:tcPr>
          <w:p w14:paraId="79DAB10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59,83%</w:t>
            </w:r>
          </w:p>
        </w:tc>
      </w:tr>
      <w:tr w:rsidR="006967F8" w:rsidRPr="006967F8" w14:paraId="4F7FA1A7"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B6D107E"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021EA4B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50.000,00</w:t>
            </w:r>
          </w:p>
        </w:tc>
        <w:tc>
          <w:tcPr>
            <w:tcW w:w="1559" w:type="dxa"/>
            <w:tcBorders>
              <w:top w:val="nil"/>
              <w:left w:val="nil"/>
              <w:bottom w:val="nil"/>
              <w:right w:val="nil"/>
            </w:tcBorders>
            <w:shd w:val="clear" w:color="000000" w:fill="CCCCFF"/>
            <w:noWrap/>
            <w:vAlign w:val="bottom"/>
            <w:hideMark/>
          </w:tcPr>
          <w:p w14:paraId="6CA1CC6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50.000,00</w:t>
            </w:r>
          </w:p>
        </w:tc>
        <w:tc>
          <w:tcPr>
            <w:tcW w:w="1559" w:type="dxa"/>
            <w:tcBorders>
              <w:top w:val="nil"/>
              <w:left w:val="nil"/>
              <w:bottom w:val="nil"/>
              <w:right w:val="nil"/>
            </w:tcBorders>
            <w:shd w:val="clear" w:color="000000" w:fill="CCCCFF"/>
            <w:noWrap/>
            <w:vAlign w:val="bottom"/>
            <w:hideMark/>
          </w:tcPr>
          <w:p w14:paraId="162AA58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29.915,63</w:t>
            </w:r>
          </w:p>
        </w:tc>
        <w:tc>
          <w:tcPr>
            <w:tcW w:w="993" w:type="dxa"/>
            <w:tcBorders>
              <w:top w:val="nil"/>
              <w:left w:val="nil"/>
              <w:bottom w:val="nil"/>
              <w:right w:val="nil"/>
            </w:tcBorders>
            <w:shd w:val="clear" w:color="000000" w:fill="CCCCFF"/>
            <w:noWrap/>
            <w:vAlign w:val="bottom"/>
            <w:hideMark/>
          </w:tcPr>
          <w:p w14:paraId="7D1CA8A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59,83%</w:t>
            </w:r>
          </w:p>
        </w:tc>
      </w:tr>
      <w:tr w:rsidR="006967F8" w:rsidRPr="006967F8" w14:paraId="005F7E0A" w14:textId="77777777" w:rsidTr="008A61B1">
        <w:trPr>
          <w:trHeight w:val="255"/>
        </w:trPr>
        <w:tc>
          <w:tcPr>
            <w:tcW w:w="1134" w:type="dxa"/>
            <w:tcBorders>
              <w:top w:val="nil"/>
              <w:left w:val="nil"/>
              <w:bottom w:val="nil"/>
              <w:right w:val="nil"/>
            </w:tcBorders>
            <w:noWrap/>
            <w:vAlign w:val="bottom"/>
            <w:hideMark/>
          </w:tcPr>
          <w:p w14:paraId="6E69757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5ECCEC8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769A4F1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37.000,00</w:t>
            </w:r>
          </w:p>
        </w:tc>
        <w:tc>
          <w:tcPr>
            <w:tcW w:w="1559" w:type="dxa"/>
            <w:tcBorders>
              <w:top w:val="nil"/>
              <w:left w:val="nil"/>
              <w:bottom w:val="nil"/>
              <w:right w:val="nil"/>
            </w:tcBorders>
            <w:noWrap/>
            <w:vAlign w:val="bottom"/>
            <w:hideMark/>
          </w:tcPr>
          <w:p w14:paraId="18D99FC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37.000,00</w:t>
            </w:r>
          </w:p>
        </w:tc>
        <w:tc>
          <w:tcPr>
            <w:tcW w:w="1559" w:type="dxa"/>
            <w:tcBorders>
              <w:top w:val="nil"/>
              <w:left w:val="nil"/>
              <w:bottom w:val="nil"/>
              <w:right w:val="nil"/>
            </w:tcBorders>
            <w:noWrap/>
            <w:vAlign w:val="bottom"/>
            <w:hideMark/>
          </w:tcPr>
          <w:p w14:paraId="6FD2FDD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29.915,63</w:t>
            </w:r>
          </w:p>
        </w:tc>
        <w:tc>
          <w:tcPr>
            <w:tcW w:w="993" w:type="dxa"/>
            <w:tcBorders>
              <w:top w:val="nil"/>
              <w:left w:val="nil"/>
              <w:bottom w:val="nil"/>
              <w:right w:val="nil"/>
            </w:tcBorders>
            <w:noWrap/>
            <w:vAlign w:val="bottom"/>
            <w:hideMark/>
          </w:tcPr>
          <w:p w14:paraId="0C61009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80,85%</w:t>
            </w:r>
          </w:p>
        </w:tc>
      </w:tr>
      <w:tr w:rsidR="006967F8" w:rsidRPr="006967F8" w14:paraId="48DEFA26" w14:textId="77777777" w:rsidTr="008A61B1">
        <w:trPr>
          <w:trHeight w:val="255"/>
        </w:trPr>
        <w:tc>
          <w:tcPr>
            <w:tcW w:w="1134" w:type="dxa"/>
            <w:tcBorders>
              <w:top w:val="nil"/>
              <w:left w:val="nil"/>
              <w:bottom w:val="nil"/>
              <w:right w:val="nil"/>
            </w:tcBorders>
            <w:noWrap/>
            <w:vAlign w:val="bottom"/>
            <w:hideMark/>
          </w:tcPr>
          <w:p w14:paraId="6A73046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3221</w:t>
            </w:r>
          </w:p>
        </w:tc>
        <w:tc>
          <w:tcPr>
            <w:tcW w:w="4962" w:type="dxa"/>
            <w:tcBorders>
              <w:top w:val="nil"/>
              <w:left w:val="nil"/>
              <w:bottom w:val="nil"/>
              <w:right w:val="nil"/>
            </w:tcBorders>
            <w:noWrap/>
            <w:vAlign w:val="bottom"/>
            <w:hideMark/>
          </w:tcPr>
          <w:p w14:paraId="597D855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Uredski materijal i ostali materijalni rashodi</w:t>
            </w:r>
          </w:p>
        </w:tc>
        <w:tc>
          <w:tcPr>
            <w:tcW w:w="1559" w:type="dxa"/>
            <w:tcBorders>
              <w:top w:val="nil"/>
              <w:left w:val="nil"/>
              <w:bottom w:val="nil"/>
              <w:right w:val="nil"/>
            </w:tcBorders>
            <w:noWrap/>
            <w:vAlign w:val="bottom"/>
            <w:hideMark/>
          </w:tcPr>
          <w:p w14:paraId="3F7053BC"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3492EEF"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99A6649"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205,63</w:t>
            </w:r>
          </w:p>
        </w:tc>
        <w:tc>
          <w:tcPr>
            <w:tcW w:w="993" w:type="dxa"/>
            <w:tcBorders>
              <w:top w:val="nil"/>
              <w:left w:val="nil"/>
              <w:bottom w:val="nil"/>
              <w:right w:val="nil"/>
            </w:tcBorders>
            <w:noWrap/>
            <w:vAlign w:val="bottom"/>
            <w:hideMark/>
          </w:tcPr>
          <w:p w14:paraId="7352C1BA"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A1A3F35" w14:textId="77777777" w:rsidTr="008A61B1">
        <w:trPr>
          <w:trHeight w:val="255"/>
        </w:trPr>
        <w:tc>
          <w:tcPr>
            <w:tcW w:w="1134" w:type="dxa"/>
            <w:tcBorders>
              <w:top w:val="nil"/>
              <w:left w:val="nil"/>
              <w:bottom w:val="nil"/>
              <w:right w:val="nil"/>
            </w:tcBorders>
            <w:noWrap/>
            <w:vAlign w:val="bottom"/>
            <w:hideMark/>
          </w:tcPr>
          <w:p w14:paraId="2D2F6E2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3235</w:t>
            </w:r>
          </w:p>
        </w:tc>
        <w:tc>
          <w:tcPr>
            <w:tcW w:w="4962" w:type="dxa"/>
            <w:tcBorders>
              <w:top w:val="nil"/>
              <w:left w:val="nil"/>
              <w:bottom w:val="nil"/>
              <w:right w:val="nil"/>
            </w:tcBorders>
            <w:noWrap/>
            <w:vAlign w:val="bottom"/>
            <w:hideMark/>
          </w:tcPr>
          <w:p w14:paraId="0FA0B82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Zakupnine i najamnine</w:t>
            </w:r>
          </w:p>
        </w:tc>
        <w:tc>
          <w:tcPr>
            <w:tcW w:w="1559" w:type="dxa"/>
            <w:tcBorders>
              <w:top w:val="nil"/>
              <w:left w:val="nil"/>
              <w:bottom w:val="nil"/>
              <w:right w:val="nil"/>
            </w:tcBorders>
            <w:noWrap/>
            <w:vAlign w:val="bottom"/>
            <w:hideMark/>
          </w:tcPr>
          <w:p w14:paraId="23C5E45F"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9D6E46E"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4063A95"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20.503,75</w:t>
            </w:r>
          </w:p>
        </w:tc>
        <w:tc>
          <w:tcPr>
            <w:tcW w:w="993" w:type="dxa"/>
            <w:tcBorders>
              <w:top w:val="nil"/>
              <w:left w:val="nil"/>
              <w:bottom w:val="nil"/>
              <w:right w:val="nil"/>
            </w:tcBorders>
            <w:noWrap/>
            <w:vAlign w:val="bottom"/>
            <w:hideMark/>
          </w:tcPr>
          <w:p w14:paraId="3E025240"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99788F9" w14:textId="77777777" w:rsidTr="008A61B1">
        <w:trPr>
          <w:trHeight w:val="255"/>
        </w:trPr>
        <w:tc>
          <w:tcPr>
            <w:tcW w:w="1134" w:type="dxa"/>
            <w:tcBorders>
              <w:top w:val="nil"/>
              <w:left w:val="nil"/>
              <w:bottom w:val="nil"/>
              <w:right w:val="nil"/>
            </w:tcBorders>
            <w:noWrap/>
            <w:vAlign w:val="bottom"/>
            <w:hideMark/>
          </w:tcPr>
          <w:p w14:paraId="5BF7CBE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3239</w:t>
            </w:r>
          </w:p>
        </w:tc>
        <w:tc>
          <w:tcPr>
            <w:tcW w:w="4962" w:type="dxa"/>
            <w:tcBorders>
              <w:top w:val="nil"/>
              <w:left w:val="nil"/>
              <w:bottom w:val="nil"/>
              <w:right w:val="nil"/>
            </w:tcBorders>
            <w:noWrap/>
            <w:vAlign w:val="bottom"/>
            <w:hideMark/>
          </w:tcPr>
          <w:p w14:paraId="4C56ACF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Ostale usluge</w:t>
            </w:r>
          </w:p>
        </w:tc>
        <w:tc>
          <w:tcPr>
            <w:tcW w:w="1559" w:type="dxa"/>
            <w:tcBorders>
              <w:top w:val="nil"/>
              <w:left w:val="nil"/>
              <w:bottom w:val="nil"/>
              <w:right w:val="nil"/>
            </w:tcBorders>
            <w:noWrap/>
            <w:vAlign w:val="bottom"/>
            <w:hideMark/>
          </w:tcPr>
          <w:p w14:paraId="34377613"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EB97CA9"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CF03D5B"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9.206,25</w:t>
            </w:r>
          </w:p>
        </w:tc>
        <w:tc>
          <w:tcPr>
            <w:tcW w:w="993" w:type="dxa"/>
            <w:tcBorders>
              <w:top w:val="nil"/>
              <w:left w:val="nil"/>
              <w:bottom w:val="nil"/>
              <w:right w:val="nil"/>
            </w:tcBorders>
            <w:noWrap/>
            <w:vAlign w:val="bottom"/>
            <w:hideMark/>
          </w:tcPr>
          <w:p w14:paraId="676E9D5B"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432D520" w14:textId="77777777" w:rsidTr="008A61B1">
        <w:trPr>
          <w:trHeight w:val="690"/>
        </w:trPr>
        <w:tc>
          <w:tcPr>
            <w:tcW w:w="1134" w:type="dxa"/>
            <w:tcBorders>
              <w:top w:val="nil"/>
              <w:left w:val="nil"/>
              <w:bottom w:val="nil"/>
              <w:right w:val="nil"/>
            </w:tcBorders>
            <w:noWrap/>
            <w:vAlign w:val="bottom"/>
            <w:hideMark/>
          </w:tcPr>
          <w:p w14:paraId="656E74E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598871F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6289616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13.000,00</w:t>
            </w:r>
          </w:p>
        </w:tc>
        <w:tc>
          <w:tcPr>
            <w:tcW w:w="1559" w:type="dxa"/>
            <w:tcBorders>
              <w:top w:val="nil"/>
              <w:left w:val="nil"/>
              <w:bottom w:val="nil"/>
              <w:right w:val="nil"/>
            </w:tcBorders>
            <w:noWrap/>
            <w:vAlign w:val="bottom"/>
            <w:hideMark/>
          </w:tcPr>
          <w:p w14:paraId="4B6AA79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13.000,00</w:t>
            </w:r>
          </w:p>
        </w:tc>
        <w:tc>
          <w:tcPr>
            <w:tcW w:w="1559" w:type="dxa"/>
            <w:tcBorders>
              <w:top w:val="nil"/>
              <w:left w:val="nil"/>
              <w:bottom w:val="nil"/>
              <w:right w:val="nil"/>
            </w:tcBorders>
            <w:noWrap/>
            <w:vAlign w:val="bottom"/>
            <w:hideMark/>
          </w:tcPr>
          <w:p w14:paraId="55AC8A1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573AC20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7236B9A3" w14:textId="77777777" w:rsidTr="008A61B1">
        <w:trPr>
          <w:trHeight w:val="630"/>
        </w:trPr>
        <w:tc>
          <w:tcPr>
            <w:tcW w:w="1134" w:type="dxa"/>
            <w:tcBorders>
              <w:top w:val="nil"/>
              <w:left w:val="nil"/>
              <w:bottom w:val="nil"/>
              <w:right w:val="nil"/>
            </w:tcBorders>
            <w:shd w:val="clear" w:color="000000" w:fill="FF9900"/>
            <w:noWrap/>
            <w:vAlign w:val="bottom"/>
            <w:hideMark/>
          </w:tcPr>
          <w:p w14:paraId="2D26D7C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1402</w:t>
            </w:r>
          </w:p>
        </w:tc>
        <w:tc>
          <w:tcPr>
            <w:tcW w:w="4962" w:type="dxa"/>
            <w:tcBorders>
              <w:top w:val="nil"/>
              <w:left w:val="nil"/>
              <w:bottom w:val="nil"/>
              <w:right w:val="nil"/>
            </w:tcBorders>
            <w:shd w:val="clear" w:color="000000" w:fill="FF9900"/>
            <w:vAlign w:val="bottom"/>
            <w:hideMark/>
          </w:tcPr>
          <w:p w14:paraId="4631057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Program: ODRŽAVANJE NERAZVRSTANIH CESTA I PUTEVA</w:t>
            </w:r>
          </w:p>
        </w:tc>
        <w:tc>
          <w:tcPr>
            <w:tcW w:w="1559" w:type="dxa"/>
            <w:tcBorders>
              <w:top w:val="nil"/>
              <w:left w:val="nil"/>
              <w:bottom w:val="nil"/>
              <w:right w:val="nil"/>
            </w:tcBorders>
            <w:shd w:val="clear" w:color="000000" w:fill="FF9900"/>
            <w:noWrap/>
            <w:vAlign w:val="bottom"/>
            <w:hideMark/>
          </w:tcPr>
          <w:p w14:paraId="61ABC96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490.850,00</w:t>
            </w:r>
          </w:p>
        </w:tc>
        <w:tc>
          <w:tcPr>
            <w:tcW w:w="1559" w:type="dxa"/>
            <w:tcBorders>
              <w:top w:val="nil"/>
              <w:left w:val="nil"/>
              <w:bottom w:val="nil"/>
              <w:right w:val="nil"/>
            </w:tcBorders>
            <w:shd w:val="clear" w:color="000000" w:fill="FF9900"/>
            <w:noWrap/>
            <w:vAlign w:val="bottom"/>
            <w:hideMark/>
          </w:tcPr>
          <w:p w14:paraId="165B259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493.010,00</w:t>
            </w:r>
          </w:p>
        </w:tc>
        <w:tc>
          <w:tcPr>
            <w:tcW w:w="1559" w:type="dxa"/>
            <w:tcBorders>
              <w:top w:val="nil"/>
              <w:left w:val="nil"/>
              <w:bottom w:val="nil"/>
              <w:right w:val="nil"/>
            </w:tcBorders>
            <w:shd w:val="clear" w:color="000000" w:fill="FF9900"/>
            <w:noWrap/>
            <w:vAlign w:val="bottom"/>
            <w:hideMark/>
          </w:tcPr>
          <w:p w14:paraId="41BE57F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380.371,66</w:t>
            </w:r>
          </w:p>
        </w:tc>
        <w:tc>
          <w:tcPr>
            <w:tcW w:w="993" w:type="dxa"/>
            <w:tcBorders>
              <w:top w:val="nil"/>
              <w:left w:val="nil"/>
              <w:bottom w:val="nil"/>
              <w:right w:val="nil"/>
            </w:tcBorders>
            <w:shd w:val="clear" w:color="000000" w:fill="FF9900"/>
            <w:noWrap/>
            <w:vAlign w:val="bottom"/>
            <w:hideMark/>
          </w:tcPr>
          <w:p w14:paraId="3E41827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77,15%</w:t>
            </w:r>
          </w:p>
        </w:tc>
      </w:tr>
      <w:tr w:rsidR="006967F8" w:rsidRPr="006967F8" w14:paraId="44018877" w14:textId="77777777" w:rsidTr="008A61B1">
        <w:trPr>
          <w:trHeight w:val="585"/>
        </w:trPr>
        <w:tc>
          <w:tcPr>
            <w:tcW w:w="1134" w:type="dxa"/>
            <w:tcBorders>
              <w:top w:val="nil"/>
              <w:left w:val="nil"/>
              <w:bottom w:val="nil"/>
              <w:right w:val="nil"/>
            </w:tcBorders>
            <w:shd w:val="clear" w:color="000000" w:fill="FFFF99"/>
            <w:noWrap/>
            <w:vAlign w:val="bottom"/>
            <w:hideMark/>
          </w:tcPr>
          <w:p w14:paraId="387C9B1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lastRenderedPageBreak/>
              <w:t>A100005</w:t>
            </w:r>
          </w:p>
        </w:tc>
        <w:tc>
          <w:tcPr>
            <w:tcW w:w="4962" w:type="dxa"/>
            <w:tcBorders>
              <w:top w:val="nil"/>
              <w:left w:val="nil"/>
              <w:bottom w:val="nil"/>
              <w:right w:val="nil"/>
            </w:tcBorders>
            <w:shd w:val="clear" w:color="000000" w:fill="FFFF99"/>
            <w:vAlign w:val="bottom"/>
            <w:hideMark/>
          </w:tcPr>
          <w:p w14:paraId="1F56014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Aktivnost: ODRŽAVANJE NERAZVRSTANIH CESTA I PUTEVA</w:t>
            </w:r>
          </w:p>
        </w:tc>
        <w:tc>
          <w:tcPr>
            <w:tcW w:w="1559" w:type="dxa"/>
            <w:tcBorders>
              <w:top w:val="nil"/>
              <w:left w:val="nil"/>
              <w:bottom w:val="nil"/>
              <w:right w:val="nil"/>
            </w:tcBorders>
            <w:shd w:val="clear" w:color="000000" w:fill="FFFF99"/>
            <w:noWrap/>
            <w:vAlign w:val="bottom"/>
            <w:hideMark/>
          </w:tcPr>
          <w:p w14:paraId="417C687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334.500,00</w:t>
            </w:r>
          </w:p>
        </w:tc>
        <w:tc>
          <w:tcPr>
            <w:tcW w:w="1559" w:type="dxa"/>
            <w:tcBorders>
              <w:top w:val="nil"/>
              <w:left w:val="nil"/>
              <w:bottom w:val="nil"/>
              <w:right w:val="nil"/>
            </w:tcBorders>
            <w:shd w:val="clear" w:color="000000" w:fill="FFFF99"/>
            <w:noWrap/>
            <w:vAlign w:val="bottom"/>
            <w:hideMark/>
          </w:tcPr>
          <w:p w14:paraId="5CC0B5B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334.500,00</w:t>
            </w:r>
          </w:p>
        </w:tc>
        <w:tc>
          <w:tcPr>
            <w:tcW w:w="1559" w:type="dxa"/>
            <w:tcBorders>
              <w:top w:val="nil"/>
              <w:left w:val="nil"/>
              <w:bottom w:val="nil"/>
              <w:right w:val="nil"/>
            </w:tcBorders>
            <w:shd w:val="clear" w:color="000000" w:fill="FFFF99"/>
            <w:noWrap/>
            <w:vAlign w:val="bottom"/>
            <w:hideMark/>
          </w:tcPr>
          <w:p w14:paraId="6807D31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266.962,77</w:t>
            </w:r>
          </w:p>
        </w:tc>
        <w:tc>
          <w:tcPr>
            <w:tcW w:w="993" w:type="dxa"/>
            <w:tcBorders>
              <w:top w:val="nil"/>
              <w:left w:val="nil"/>
              <w:bottom w:val="nil"/>
              <w:right w:val="nil"/>
            </w:tcBorders>
            <w:shd w:val="clear" w:color="000000" w:fill="FFFF99"/>
            <w:noWrap/>
            <w:vAlign w:val="bottom"/>
            <w:hideMark/>
          </w:tcPr>
          <w:p w14:paraId="0F3A209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79,81%</w:t>
            </w:r>
          </w:p>
        </w:tc>
      </w:tr>
      <w:tr w:rsidR="006967F8" w:rsidRPr="006967F8" w14:paraId="4790B21F"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9DD12E1"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0129E67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334.500,00</w:t>
            </w:r>
          </w:p>
        </w:tc>
        <w:tc>
          <w:tcPr>
            <w:tcW w:w="1559" w:type="dxa"/>
            <w:tcBorders>
              <w:top w:val="nil"/>
              <w:left w:val="nil"/>
              <w:bottom w:val="nil"/>
              <w:right w:val="nil"/>
            </w:tcBorders>
            <w:shd w:val="clear" w:color="000000" w:fill="CCCCFF"/>
            <w:noWrap/>
            <w:vAlign w:val="bottom"/>
            <w:hideMark/>
          </w:tcPr>
          <w:p w14:paraId="3F7ACA2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334.500,00</w:t>
            </w:r>
          </w:p>
        </w:tc>
        <w:tc>
          <w:tcPr>
            <w:tcW w:w="1559" w:type="dxa"/>
            <w:tcBorders>
              <w:top w:val="nil"/>
              <w:left w:val="nil"/>
              <w:bottom w:val="nil"/>
              <w:right w:val="nil"/>
            </w:tcBorders>
            <w:shd w:val="clear" w:color="000000" w:fill="CCCCFF"/>
            <w:noWrap/>
            <w:vAlign w:val="bottom"/>
            <w:hideMark/>
          </w:tcPr>
          <w:p w14:paraId="64A9339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266.962,77</w:t>
            </w:r>
          </w:p>
        </w:tc>
        <w:tc>
          <w:tcPr>
            <w:tcW w:w="993" w:type="dxa"/>
            <w:tcBorders>
              <w:top w:val="nil"/>
              <w:left w:val="nil"/>
              <w:bottom w:val="nil"/>
              <w:right w:val="nil"/>
            </w:tcBorders>
            <w:shd w:val="clear" w:color="000000" w:fill="CCCCFF"/>
            <w:noWrap/>
            <w:vAlign w:val="bottom"/>
            <w:hideMark/>
          </w:tcPr>
          <w:p w14:paraId="4A2D513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79,81%</w:t>
            </w:r>
          </w:p>
        </w:tc>
      </w:tr>
      <w:tr w:rsidR="006967F8" w:rsidRPr="006967F8" w14:paraId="461F057F"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50E29A1"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4.2. Komunalna naknada</w:t>
            </w:r>
          </w:p>
        </w:tc>
        <w:tc>
          <w:tcPr>
            <w:tcW w:w="1559" w:type="dxa"/>
            <w:tcBorders>
              <w:top w:val="nil"/>
              <w:left w:val="nil"/>
              <w:bottom w:val="nil"/>
              <w:right w:val="nil"/>
            </w:tcBorders>
            <w:shd w:val="clear" w:color="000000" w:fill="CCCCFF"/>
            <w:noWrap/>
            <w:vAlign w:val="bottom"/>
            <w:hideMark/>
          </w:tcPr>
          <w:p w14:paraId="5B5FBB3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334.500,00</w:t>
            </w:r>
          </w:p>
        </w:tc>
        <w:tc>
          <w:tcPr>
            <w:tcW w:w="1559" w:type="dxa"/>
            <w:tcBorders>
              <w:top w:val="nil"/>
              <w:left w:val="nil"/>
              <w:bottom w:val="nil"/>
              <w:right w:val="nil"/>
            </w:tcBorders>
            <w:shd w:val="clear" w:color="000000" w:fill="CCCCFF"/>
            <w:noWrap/>
            <w:vAlign w:val="bottom"/>
            <w:hideMark/>
          </w:tcPr>
          <w:p w14:paraId="029DE98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334.500,00</w:t>
            </w:r>
          </w:p>
        </w:tc>
        <w:tc>
          <w:tcPr>
            <w:tcW w:w="1559" w:type="dxa"/>
            <w:tcBorders>
              <w:top w:val="nil"/>
              <w:left w:val="nil"/>
              <w:bottom w:val="nil"/>
              <w:right w:val="nil"/>
            </w:tcBorders>
            <w:shd w:val="clear" w:color="000000" w:fill="CCCCFF"/>
            <w:noWrap/>
            <w:vAlign w:val="bottom"/>
            <w:hideMark/>
          </w:tcPr>
          <w:p w14:paraId="7F148A8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266.962,77</w:t>
            </w:r>
          </w:p>
        </w:tc>
        <w:tc>
          <w:tcPr>
            <w:tcW w:w="993" w:type="dxa"/>
            <w:tcBorders>
              <w:top w:val="nil"/>
              <w:left w:val="nil"/>
              <w:bottom w:val="nil"/>
              <w:right w:val="nil"/>
            </w:tcBorders>
            <w:shd w:val="clear" w:color="000000" w:fill="CCCCFF"/>
            <w:noWrap/>
            <w:vAlign w:val="bottom"/>
            <w:hideMark/>
          </w:tcPr>
          <w:p w14:paraId="5213368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79,81%</w:t>
            </w:r>
          </w:p>
        </w:tc>
      </w:tr>
      <w:tr w:rsidR="006967F8" w:rsidRPr="006967F8" w14:paraId="0A0C87E3" w14:textId="77777777" w:rsidTr="008A61B1">
        <w:trPr>
          <w:trHeight w:val="255"/>
        </w:trPr>
        <w:tc>
          <w:tcPr>
            <w:tcW w:w="1134" w:type="dxa"/>
            <w:tcBorders>
              <w:top w:val="nil"/>
              <w:left w:val="nil"/>
              <w:bottom w:val="nil"/>
              <w:right w:val="nil"/>
            </w:tcBorders>
            <w:noWrap/>
            <w:vAlign w:val="bottom"/>
            <w:hideMark/>
          </w:tcPr>
          <w:p w14:paraId="2F22C50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63EDB35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310554D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334.500,00</w:t>
            </w:r>
          </w:p>
        </w:tc>
        <w:tc>
          <w:tcPr>
            <w:tcW w:w="1559" w:type="dxa"/>
            <w:tcBorders>
              <w:top w:val="nil"/>
              <w:left w:val="nil"/>
              <w:bottom w:val="nil"/>
              <w:right w:val="nil"/>
            </w:tcBorders>
            <w:noWrap/>
            <w:vAlign w:val="bottom"/>
            <w:hideMark/>
          </w:tcPr>
          <w:p w14:paraId="34938B5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334.500,00</w:t>
            </w:r>
          </w:p>
        </w:tc>
        <w:tc>
          <w:tcPr>
            <w:tcW w:w="1559" w:type="dxa"/>
            <w:tcBorders>
              <w:top w:val="nil"/>
              <w:left w:val="nil"/>
              <w:bottom w:val="nil"/>
              <w:right w:val="nil"/>
            </w:tcBorders>
            <w:noWrap/>
            <w:vAlign w:val="bottom"/>
            <w:hideMark/>
          </w:tcPr>
          <w:p w14:paraId="1B55C2B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266.962,77</w:t>
            </w:r>
          </w:p>
        </w:tc>
        <w:tc>
          <w:tcPr>
            <w:tcW w:w="993" w:type="dxa"/>
            <w:tcBorders>
              <w:top w:val="nil"/>
              <w:left w:val="nil"/>
              <w:bottom w:val="nil"/>
              <w:right w:val="nil"/>
            </w:tcBorders>
            <w:noWrap/>
            <w:vAlign w:val="bottom"/>
            <w:hideMark/>
          </w:tcPr>
          <w:p w14:paraId="441C3AE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79,81%</w:t>
            </w:r>
          </w:p>
        </w:tc>
      </w:tr>
      <w:tr w:rsidR="006967F8" w:rsidRPr="006967F8" w14:paraId="29F2753E" w14:textId="77777777" w:rsidTr="008A61B1">
        <w:trPr>
          <w:trHeight w:val="255"/>
        </w:trPr>
        <w:tc>
          <w:tcPr>
            <w:tcW w:w="1134" w:type="dxa"/>
            <w:tcBorders>
              <w:top w:val="nil"/>
              <w:left w:val="nil"/>
              <w:bottom w:val="nil"/>
              <w:right w:val="nil"/>
            </w:tcBorders>
            <w:noWrap/>
            <w:vAlign w:val="bottom"/>
            <w:hideMark/>
          </w:tcPr>
          <w:p w14:paraId="1DC5CC6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3232</w:t>
            </w:r>
          </w:p>
        </w:tc>
        <w:tc>
          <w:tcPr>
            <w:tcW w:w="4962" w:type="dxa"/>
            <w:tcBorders>
              <w:top w:val="nil"/>
              <w:left w:val="nil"/>
              <w:bottom w:val="nil"/>
              <w:right w:val="nil"/>
            </w:tcBorders>
            <w:noWrap/>
            <w:vAlign w:val="bottom"/>
            <w:hideMark/>
          </w:tcPr>
          <w:p w14:paraId="483E98E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noWrap/>
            <w:vAlign w:val="bottom"/>
            <w:hideMark/>
          </w:tcPr>
          <w:p w14:paraId="247DA752"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388CBDC"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2016CF2"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259.962,77</w:t>
            </w:r>
          </w:p>
        </w:tc>
        <w:tc>
          <w:tcPr>
            <w:tcW w:w="993" w:type="dxa"/>
            <w:tcBorders>
              <w:top w:val="nil"/>
              <w:left w:val="nil"/>
              <w:bottom w:val="nil"/>
              <w:right w:val="nil"/>
            </w:tcBorders>
            <w:noWrap/>
            <w:vAlign w:val="bottom"/>
            <w:hideMark/>
          </w:tcPr>
          <w:p w14:paraId="7BBD5853"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4B67AE5" w14:textId="77777777" w:rsidTr="008A61B1">
        <w:trPr>
          <w:trHeight w:val="255"/>
        </w:trPr>
        <w:tc>
          <w:tcPr>
            <w:tcW w:w="1134" w:type="dxa"/>
            <w:tcBorders>
              <w:top w:val="nil"/>
              <w:left w:val="nil"/>
              <w:bottom w:val="nil"/>
              <w:right w:val="nil"/>
            </w:tcBorders>
            <w:noWrap/>
            <w:vAlign w:val="bottom"/>
            <w:hideMark/>
          </w:tcPr>
          <w:p w14:paraId="5588A68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3237</w:t>
            </w:r>
          </w:p>
        </w:tc>
        <w:tc>
          <w:tcPr>
            <w:tcW w:w="4962" w:type="dxa"/>
            <w:tcBorders>
              <w:top w:val="nil"/>
              <w:left w:val="nil"/>
              <w:bottom w:val="nil"/>
              <w:right w:val="nil"/>
            </w:tcBorders>
            <w:noWrap/>
            <w:vAlign w:val="bottom"/>
            <w:hideMark/>
          </w:tcPr>
          <w:p w14:paraId="766AB06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Intelektualne i osobne usluge</w:t>
            </w:r>
          </w:p>
        </w:tc>
        <w:tc>
          <w:tcPr>
            <w:tcW w:w="1559" w:type="dxa"/>
            <w:tcBorders>
              <w:top w:val="nil"/>
              <w:left w:val="nil"/>
              <w:bottom w:val="nil"/>
              <w:right w:val="nil"/>
            </w:tcBorders>
            <w:noWrap/>
            <w:vAlign w:val="bottom"/>
            <w:hideMark/>
          </w:tcPr>
          <w:p w14:paraId="75FDAA24"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F7521BD"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B9C1079"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7.000,00</w:t>
            </w:r>
          </w:p>
        </w:tc>
        <w:tc>
          <w:tcPr>
            <w:tcW w:w="993" w:type="dxa"/>
            <w:tcBorders>
              <w:top w:val="nil"/>
              <w:left w:val="nil"/>
              <w:bottom w:val="nil"/>
              <w:right w:val="nil"/>
            </w:tcBorders>
            <w:noWrap/>
            <w:vAlign w:val="bottom"/>
            <w:hideMark/>
          </w:tcPr>
          <w:p w14:paraId="5D30D05D"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0043B49" w14:textId="77777777" w:rsidTr="008A61B1">
        <w:trPr>
          <w:trHeight w:val="600"/>
        </w:trPr>
        <w:tc>
          <w:tcPr>
            <w:tcW w:w="1134" w:type="dxa"/>
            <w:tcBorders>
              <w:top w:val="nil"/>
              <w:left w:val="nil"/>
              <w:bottom w:val="nil"/>
              <w:right w:val="nil"/>
            </w:tcBorders>
            <w:shd w:val="clear" w:color="000000" w:fill="FFFF99"/>
            <w:noWrap/>
            <w:vAlign w:val="bottom"/>
            <w:hideMark/>
          </w:tcPr>
          <w:p w14:paraId="5795676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A100047</w:t>
            </w:r>
          </w:p>
        </w:tc>
        <w:tc>
          <w:tcPr>
            <w:tcW w:w="4962" w:type="dxa"/>
            <w:tcBorders>
              <w:top w:val="nil"/>
              <w:left w:val="nil"/>
              <w:bottom w:val="nil"/>
              <w:right w:val="nil"/>
            </w:tcBorders>
            <w:shd w:val="clear" w:color="000000" w:fill="FFFF99"/>
            <w:vAlign w:val="bottom"/>
            <w:hideMark/>
          </w:tcPr>
          <w:p w14:paraId="19ABB2F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Aktivnost: POBOLJŠANJE SIGURNOSTI NA CESTAMA </w:t>
            </w:r>
          </w:p>
        </w:tc>
        <w:tc>
          <w:tcPr>
            <w:tcW w:w="1559" w:type="dxa"/>
            <w:tcBorders>
              <w:top w:val="nil"/>
              <w:left w:val="nil"/>
              <w:bottom w:val="nil"/>
              <w:right w:val="nil"/>
            </w:tcBorders>
            <w:shd w:val="clear" w:color="000000" w:fill="FFFF99"/>
            <w:noWrap/>
            <w:vAlign w:val="bottom"/>
            <w:hideMark/>
          </w:tcPr>
          <w:p w14:paraId="6AFD15C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13.625,00</w:t>
            </w:r>
          </w:p>
        </w:tc>
        <w:tc>
          <w:tcPr>
            <w:tcW w:w="1559" w:type="dxa"/>
            <w:tcBorders>
              <w:top w:val="nil"/>
              <w:left w:val="nil"/>
              <w:bottom w:val="nil"/>
              <w:right w:val="nil"/>
            </w:tcBorders>
            <w:shd w:val="clear" w:color="000000" w:fill="FFFF99"/>
            <w:noWrap/>
            <w:vAlign w:val="bottom"/>
            <w:hideMark/>
          </w:tcPr>
          <w:p w14:paraId="0A38622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13.625,00</w:t>
            </w:r>
          </w:p>
        </w:tc>
        <w:tc>
          <w:tcPr>
            <w:tcW w:w="1559" w:type="dxa"/>
            <w:tcBorders>
              <w:top w:val="nil"/>
              <w:left w:val="nil"/>
              <w:bottom w:val="nil"/>
              <w:right w:val="nil"/>
            </w:tcBorders>
            <w:shd w:val="clear" w:color="000000" w:fill="FFFF99"/>
            <w:noWrap/>
            <w:vAlign w:val="bottom"/>
            <w:hideMark/>
          </w:tcPr>
          <w:p w14:paraId="301A78A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8.340,00</w:t>
            </w:r>
          </w:p>
        </w:tc>
        <w:tc>
          <w:tcPr>
            <w:tcW w:w="993" w:type="dxa"/>
            <w:tcBorders>
              <w:top w:val="nil"/>
              <w:left w:val="nil"/>
              <w:bottom w:val="nil"/>
              <w:right w:val="nil"/>
            </w:tcBorders>
            <w:shd w:val="clear" w:color="000000" w:fill="FFFF99"/>
            <w:noWrap/>
            <w:vAlign w:val="bottom"/>
            <w:hideMark/>
          </w:tcPr>
          <w:p w14:paraId="0293ED5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61,21%</w:t>
            </w:r>
          </w:p>
        </w:tc>
      </w:tr>
      <w:tr w:rsidR="006967F8" w:rsidRPr="006967F8" w14:paraId="392AF23C"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D63007E"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1A16A94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13.625,00</w:t>
            </w:r>
          </w:p>
        </w:tc>
        <w:tc>
          <w:tcPr>
            <w:tcW w:w="1559" w:type="dxa"/>
            <w:tcBorders>
              <w:top w:val="nil"/>
              <w:left w:val="nil"/>
              <w:bottom w:val="nil"/>
              <w:right w:val="nil"/>
            </w:tcBorders>
            <w:shd w:val="clear" w:color="000000" w:fill="CCCCFF"/>
            <w:noWrap/>
            <w:vAlign w:val="bottom"/>
            <w:hideMark/>
          </w:tcPr>
          <w:p w14:paraId="7267D03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13.625,00</w:t>
            </w:r>
          </w:p>
        </w:tc>
        <w:tc>
          <w:tcPr>
            <w:tcW w:w="1559" w:type="dxa"/>
            <w:tcBorders>
              <w:top w:val="nil"/>
              <w:left w:val="nil"/>
              <w:bottom w:val="nil"/>
              <w:right w:val="nil"/>
            </w:tcBorders>
            <w:shd w:val="clear" w:color="000000" w:fill="CCCCFF"/>
            <w:noWrap/>
            <w:vAlign w:val="bottom"/>
            <w:hideMark/>
          </w:tcPr>
          <w:p w14:paraId="13ACCC1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8.340,00</w:t>
            </w:r>
          </w:p>
        </w:tc>
        <w:tc>
          <w:tcPr>
            <w:tcW w:w="993" w:type="dxa"/>
            <w:tcBorders>
              <w:top w:val="nil"/>
              <w:left w:val="nil"/>
              <w:bottom w:val="nil"/>
              <w:right w:val="nil"/>
            </w:tcBorders>
            <w:shd w:val="clear" w:color="000000" w:fill="CCCCFF"/>
            <w:noWrap/>
            <w:vAlign w:val="bottom"/>
            <w:hideMark/>
          </w:tcPr>
          <w:p w14:paraId="671F5C7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61,21%</w:t>
            </w:r>
          </w:p>
        </w:tc>
      </w:tr>
      <w:tr w:rsidR="006967F8" w:rsidRPr="006967F8" w14:paraId="283438D3"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F9BB9B2"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4.2. Komunalna naknada</w:t>
            </w:r>
          </w:p>
        </w:tc>
        <w:tc>
          <w:tcPr>
            <w:tcW w:w="1559" w:type="dxa"/>
            <w:tcBorders>
              <w:top w:val="nil"/>
              <w:left w:val="nil"/>
              <w:bottom w:val="nil"/>
              <w:right w:val="nil"/>
            </w:tcBorders>
            <w:shd w:val="clear" w:color="000000" w:fill="CCCCFF"/>
            <w:noWrap/>
            <w:vAlign w:val="bottom"/>
            <w:hideMark/>
          </w:tcPr>
          <w:p w14:paraId="542FA99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13.625,00</w:t>
            </w:r>
          </w:p>
        </w:tc>
        <w:tc>
          <w:tcPr>
            <w:tcW w:w="1559" w:type="dxa"/>
            <w:tcBorders>
              <w:top w:val="nil"/>
              <w:left w:val="nil"/>
              <w:bottom w:val="nil"/>
              <w:right w:val="nil"/>
            </w:tcBorders>
            <w:shd w:val="clear" w:color="000000" w:fill="CCCCFF"/>
            <w:noWrap/>
            <w:vAlign w:val="bottom"/>
            <w:hideMark/>
          </w:tcPr>
          <w:p w14:paraId="438A147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13.625,00</w:t>
            </w:r>
          </w:p>
        </w:tc>
        <w:tc>
          <w:tcPr>
            <w:tcW w:w="1559" w:type="dxa"/>
            <w:tcBorders>
              <w:top w:val="nil"/>
              <w:left w:val="nil"/>
              <w:bottom w:val="nil"/>
              <w:right w:val="nil"/>
            </w:tcBorders>
            <w:shd w:val="clear" w:color="000000" w:fill="CCCCFF"/>
            <w:noWrap/>
            <w:vAlign w:val="bottom"/>
            <w:hideMark/>
          </w:tcPr>
          <w:p w14:paraId="233F264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8.340,00</w:t>
            </w:r>
          </w:p>
        </w:tc>
        <w:tc>
          <w:tcPr>
            <w:tcW w:w="993" w:type="dxa"/>
            <w:tcBorders>
              <w:top w:val="nil"/>
              <w:left w:val="nil"/>
              <w:bottom w:val="nil"/>
              <w:right w:val="nil"/>
            </w:tcBorders>
            <w:shd w:val="clear" w:color="000000" w:fill="CCCCFF"/>
            <w:noWrap/>
            <w:vAlign w:val="bottom"/>
            <w:hideMark/>
          </w:tcPr>
          <w:p w14:paraId="48ACCCA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61,21%</w:t>
            </w:r>
          </w:p>
        </w:tc>
      </w:tr>
      <w:tr w:rsidR="006967F8" w:rsidRPr="006967F8" w14:paraId="5CF8C42F" w14:textId="77777777" w:rsidTr="008A61B1">
        <w:trPr>
          <w:trHeight w:val="255"/>
        </w:trPr>
        <w:tc>
          <w:tcPr>
            <w:tcW w:w="1134" w:type="dxa"/>
            <w:tcBorders>
              <w:top w:val="nil"/>
              <w:left w:val="nil"/>
              <w:bottom w:val="nil"/>
              <w:right w:val="nil"/>
            </w:tcBorders>
            <w:noWrap/>
            <w:vAlign w:val="bottom"/>
            <w:hideMark/>
          </w:tcPr>
          <w:p w14:paraId="7674D0C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7A7AC2E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5294ED8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13.625,00</w:t>
            </w:r>
          </w:p>
        </w:tc>
        <w:tc>
          <w:tcPr>
            <w:tcW w:w="1559" w:type="dxa"/>
            <w:tcBorders>
              <w:top w:val="nil"/>
              <w:left w:val="nil"/>
              <w:bottom w:val="nil"/>
              <w:right w:val="nil"/>
            </w:tcBorders>
            <w:noWrap/>
            <w:vAlign w:val="bottom"/>
            <w:hideMark/>
          </w:tcPr>
          <w:p w14:paraId="3668BEB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13.625,00</w:t>
            </w:r>
          </w:p>
        </w:tc>
        <w:tc>
          <w:tcPr>
            <w:tcW w:w="1559" w:type="dxa"/>
            <w:tcBorders>
              <w:top w:val="nil"/>
              <w:left w:val="nil"/>
              <w:bottom w:val="nil"/>
              <w:right w:val="nil"/>
            </w:tcBorders>
            <w:noWrap/>
            <w:vAlign w:val="bottom"/>
            <w:hideMark/>
          </w:tcPr>
          <w:p w14:paraId="6B6848B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8.340,00</w:t>
            </w:r>
          </w:p>
        </w:tc>
        <w:tc>
          <w:tcPr>
            <w:tcW w:w="993" w:type="dxa"/>
            <w:tcBorders>
              <w:top w:val="nil"/>
              <w:left w:val="nil"/>
              <w:bottom w:val="nil"/>
              <w:right w:val="nil"/>
            </w:tcBorders>
            <w:noWrap/>
            <w:vAlign w:val="bottom"/>
            <w:hideMark/>
          </w:tcPr>
          <w:p w14:paraId="1AB9979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61,21%</w:t>
            </w:r>
          </w:p>
        </w:tc>
      </w:tr>
      <w:tr w:rsidR="006967F8" w:rsidRPr="006967F8" w14:paraId="5DEC5A57" w14:textId="77777777" w:rsidTr="008A61B1">
        <w:trPr>
          <w:trHeight w:val="255"/>
        </w:trPr>
        <w:tc>
          <w:tcPr>
            <w:tcW w:w="1134" w:type="dxa"/>
            <w:tcBorders>
              <w:top w:val="nil"/>
              <w:left w:val="nil"/>
              <w:bottom w:val="nil"/>
              <w:right w:val="nil"/>
            </w:tcBorders>
            <w:noWrap/>
            <w:vAlign w:val="bottom"/>
            <w:hideMark/>
          </w:tcPr>
          <w:p w14:paraId="4E8B1A7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3232</w:t>
            </w:r>
          </w:p>
        </w:tc>
        <w:tc>
          <w:tcPr>
            <w:tcW w:w="4962" w:type="dxa"/>
            <w:tcBorders>
              <w:top w:val="nil"/>
              <w:left w:val="nil"/>
              <w:bottom w:val="nil"/>
              <w:right w:val="nil"/>
            </w:tcBorders>
            <w:noWrap/>
            <w:vAlign w:val="bottom"/>
            <w:hideMark/>
          </w:tcPr>
          <w:p w14:paraId="4983F7F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noWrap/>
            <w:vAlign w:val="bottom"/>
            <w:hideMark/>
          </w:tcPr>
          <w:p w14:paraId="66CC8E4D"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07C1C6E"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45B767C"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8.340,00</w:t>
            </w:r>
          </w:p>
        </w:tc>
        <w:tc>
          <w:tcPr>
            <w:tcW w:w="993" w:type="dxa"/>
            <w:tcBorders>
              <w:top w:val="nil"/>
              <w:left w:val="nil"/>
              <w:bottom w:val="nil"/>
              <w:right w:val="nil"/>
            </w:tcBorders>
            <w:noWrap/>
            <w:vAlign w:val="bottom"/>
            <w:hideMark/>
          </w:tcPr>
          <w:p w14:paraId="03DD5AAD"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C54A5C5" w14:textId="77777777" w:rsidTr="008A61B1">
        <w:trPr>
          <w:trHeight w:val="540"/>
        </w:trPr>
        <w:tc>
          <w:tcPr>
            <w:tcW w:w="1134" w:type="dxa"/>
            <w:tcBorders>
              <w:top w:val="nil"/>
              <w:left w:val="nil"/>
              <w:bottom w:val="nil"/>
              <w:right w:val="nil"/>
            </w:tcBorders>
            <w:shd w:val="clear" w:color="000000" w:fill="FFFF99"/>
            <w:noWrap/>
            <w:vAlign w:val="bottom"/>
            <w:hideMark/>
          </w:tcPr>
          <w:p w14:paraId="4F529DF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A100049</w:t>
            </w:r>
          </w:p>
        </w:tc>
        <w:tc>
          <w:tcPr>
            <w:tcW w:w="4962" w:type="dxa"/>
            <w:tcBorders>
              <w:top w:val="nil"/>
              <w:left w:val="nil"/>
              <w:bottom w:val="nil"/>
              <w:right w:val="nil"/>
            </w:tcBorders>
            <w:shd w:val="clear" w:color="000000" w:fill="FFFF99"/>
            <w:vAlign w:val="bottom"/>
            <w:hideMark/>
          </w:tcPr>
          <w:p w14:paraId="2F83B95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Aktivnost: SANACIJA NERAZVRSTANIH CESTA I PUTEVA- I TEBE SE PITA</w:t>
            </w:r>
          </w:p>
        </w:tc>
        <w:tc>
          <w:tcPr>
            <w:tcW w:w="1559" w:type="dxa"/>
            <w:tcBorders>
              <w:top w:val="nil"/>
              <w:left w:val="nil"/>
              <w:bottom w:val="nil"/>
              <w:right w:val="nil"/>
            </w:tcBorders>
            <w:shd w:val="clear" w:color="000000" w:fill="FFFF99"/>
            <w:noWrap/>
            <w:vAlign w:val="bottom"/>
            <w:hideMark/>
          </w:tcPr>
          <w:p w14:paraId="6B6A34E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56.300,00</w:t>
            </w:r>
          </w:p>
        </w:tc>
        <w:tc>
          <w:tcPr>
            <w:tcW w:w="1559" w:type="dxa"/>
            <w:tcBorders>
              <w:top w:val="nil"/>
              <w:left w:val="nil"/>
              <w:bottom w:val="nil"/>
              <w:right w:val="nil"/>
            </w:tcBorders>
            <w:shd w:val="clear" w:color="000000" w:fill="FFFF99"/>
            <w:noWrap/>
            <w:vAlign w:val="bottom"/>
            <w:hideMark/>
          </w:tcPr>
          <w:p w14:paraId="647CEDF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58.460,00</w:t>
            </w:r>
          </w:p>
        </w:tc>
        <w:tc>
          <w:tcPr>
            <w:tcW w:w="1559" w:type="dxa"/>
            <w:tcBorders>
              <w:top w:val="nil"/>
              <w:left w:val="nil"/>
              <w:bottom w:val="nil"/>
              <w:right w:val="nil"/>
            </w:tcBorders>
            <w:shd w:val="clear" w:color="000000" w:fill="FFFF99"/>
            <w:noWrap/>
            <w:vAlign w:val="bottom"/>
            <w:hideMark/>
          </w:tcPr>
          <w:p w14:paraId="27C116F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58.457,90</w:t>
            </w:r>
          </w:p>
        </w:tc>
        <w:tc>
          <w:tcPr>
            <w:tcW w:w="993" w:type="dxa"/>
            <w:tcBorders>
              <w:top w:val="nil"/>
              <w:left w:val="nil"/>
              <w:bottom w:val="nil"/>
              <w:right w:val="nil"/>
            </w:tcBorders>
            <w:shd w:val="clear" w:color="000000" w:fill="FFFF99"/>
            <w:noWrap/>
            <w:vAlign w:val="bottom"/>
            <w:hideMark/>
          </w:tcPr>
          <w:p w14:paraId="359B929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r>
      <w:tr w:rsidR="006967F8" w:rsidRPr="006967F8" w14:paraId="02FD7187"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6683F66"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2854F4D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56.300,00</w:t>
            </w:r>
          </w:p>
        </w:tc>
        <w:tc>
          <w:tcPr>
            <w:tcW w:w="1559" w:type="dxa"/>
            <w:tcBorders>
              <w:top w:val="nil"/>
              <w:left w:val="nil"/>
              <w:bottom w:val="nil"/>
              <w:right w:val="nil"/>
            </w:tcBorders>
            <w:shd w:val="clear" w:color="000000" w:fill="CCCCFF"/>
            <w:noWrap/>
            <w:vAlign w:val="bottom"/>
            <w:hideMark/>
          </w:tcPr>
          <w:p w14:paraId="5E40915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58.460,00</w:t>
            </w:r>
          </w:p>
        </w:tc>
        <w:tc>
          <w:tcPr>
            <w:tcW w:w="1559" w:type="dxa"/>
            <w:tcBorders>
              <w:top w:val="nil"/>
              <w:left w:val="nil"/>
              <w:bottom w:val="nil"/>
              <w:right w:val="nil"/>
            </w:tcBorders>
            <w:shd w:val="clear" w:color="000000" w:fill="CCCCFF"/>
            <w:noWrap/>
            <w:vAlign w:val="bottom"/>
            <w:hideMark/>
          </w:tcPr>
          <w:p w14:paraId="6E14EF9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58.457,90</w:t>
            </w:r>
          </w:p>
        </w:tc>
        <w:tc>
          <w:tcPr>
            <w:tcW w:w="993" w:type="dxa"/>
            <w:tcBorders>
              <w:top w:val="nil"/>
              <w:left w:val="nil"/>
              <w:bottom w:val="nil"/>
              <w:right w:val="nil"/>
            </w:tcBorders>
            <w:shd w:val="clear" w:color="000000" w:fill="CCCCFF"/>
            <w:noWrap/>
            <w:vAlign w:val="bottom"/>
            <w:hideMark/>
          </w:tcPr>
          <w:p w14:paraId="3438D2D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59DBFD9C"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FF8FF57"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4.2. Komunalna naknada</w:t>
            </w:r>
          </w:p>
        </w:tc>
        <w:tc>
          <w:tcPr>
            <w:tcW w:w="1559" w:type="dxa"/>
            <w:tcBorders>
              <w:top w:val="nil"/>
              <w:left w:val="nil"/>
              <w:bottom w:val="nil"/>
              <w:right w:val="nil"/>
            </w:tcBorders>
            <w:shd w:val="clear" w:color="000000" w:fill="CCCCFF"/>
            <w:noWrap/>
            <w:vAlign w:val="bottom"/>
            <w:hideMark/>
          </w:tcPr>
          <w:p w14:paraId="1E68886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56.300,00</w:t>
            </w:r>
          </w:p>
        </w:tc>
        <w:tc>
          <w:tcPr>
            <w:tcW w:w="1559" w:type="dxa"/>
            <w:tcBorders>
              <w:top w:val="nil"/>
              <w:left w:val="nil"/>
              <w:bottom w:val="nil"/>
              <w:right w:val="nil"/>
            </w:tcBorders>
            <w:shd w:val="clear" w:color="000000" w:fill="CCCCFF"/>
            <w:noWrap/>
            <w:vAlign w:val="bottom"/>
            <w:hideMark/>
          </w:tcPr>
          <w:p w14:paraId="2B4568B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58.460,00</w:t>
            </w:r>
          </w:p>
        </w:tc>
        <w:tc>
          <w:tcPr>
            <w:tcW w:w="1559" w:type="dxa"/>
            <w:tcBorders>
              <w:top w:val="nil"/>
              <w:left w:val="nil"/>
              <w:bottom w:val="nil"/>
              <w:right w:val="nil"/>
            </w:tcBorders>
            <w:shd w:val="clear" w:color="000000" w:fill="CCCCFF"/>
            <w:noWrap/>
            <w:vAlign w:val="bottom"/>
            <w:hideMark/>
          </w:tcPr>
          <w:p w14:paraId="20CF7FD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58.457,90</w:t>
            </w:r>
          </w:p>
        </w:tc>
        <w:tc>
          <w:tcPr>
            <w:tcW w:w="993" w:type="dxa"/>
            <w:tcBorders>
              <w:top w:val="nil"/>
              <w:left w:val="nil"/>
              <w:bottom w:val="nil"/>
              <w:right w:val="nil"/>
            </w:tcBorders>
            <w:shd w:val="clear" w:color="000000" w:fill="CCCCFF"/>
            <w:noWrap/>
            <w:vAlign w:val="bottom"/>
            <w:hideMark/>
          </w:tcPr>
          <w:p w14:paraId="53680D8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7682171C" w14:textId="77777777" w:rsidTr="008A61B1">
        <w:trPr>
          <w:trHeight w:val="255"/>
        </w:trPr>
        <w:tc>
          <w:tcPr>
            <w:tcW w:w="1134" w:type="dxa"/>
            <w:tcBorders>
              <w:top w:val="nil"/>
              <w:left w:val="nil"/>
              <w:bottom w:val="nil"/>
              <w:right w:val="nil"/>
            </w:tcBorders>
            <w:noWrap/>
            <w:vAlign w:val="bottom"/>
            <w:hideMark/>
          </w:tcPr>
          <w:p w14:paraId="679D366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153C89A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4E7A622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56.300,00</w:t>
            </w:r>
          </w:p>
        </w:tc>
        <w:tc>
          <w:tcPr>
            <w:tcW w:w="1559" w:type="dxa"/>
            <w:tcBorders>
              <w:top w:val="nil"/>
              <w:left w:val="nil"/>
              <w:bottom w:val="nil"/>
              <w:right w:val="nil"/>
            </w:tcBorders>
            <w:noWrap/>
            <w:vAlign w:val="bottom"/>
            <w:hideMark/>
          </w:tcPr>
          <w:p w14:paraId="4815384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58.460,00</w:t>
            </w:r>
          </w:p>
        </w:tc>
        <w:tc>
          <w:tcPr>
            <w:tcW w:w="1559" w:type="dxa"/>
            <w:tcBorders>
              <w:top w:val="nil"/>
              <w:left w:val="nil"/>
              <w:bottom w:val="nil"/>
              <w:right w:val="nil"/>
            </w:tcBorders>
            <w:noWrap/>
            <w:vAlign w:val="bottom"/>
            <w:hideMark/>
          </w:tcPr>
          <w:p w14:paraId="711C02A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58.457,90</w:t>
            </w:r>
          </w:p>
        </w:tc>
        <w:tc>
          <w:tcPr>
            <w:tcW w:w="993" w:type="dxa"/>
            <w:tcBorders>
              <w:top w:val="nil"/>
              <w:left w:val="nil"/>
              <w:bottom w:val="nil"/>
              <w:right w:val="nil"/>
            </w:tcBorders>
            <w:noWrap/>
            <w:vAlign w:val="bottom"/>
            <w:hideMark/>
          </w:tcPr>
          <w:p w14:paraId="5A9DE5B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r>
      <w:tr w:rsidR="006967F8" w:rsidRPr="006967F8" w14:paraId="3D44510D" w14:textId="77777777" w:rsidTr="008A61B1">
        <w:trPr>
          <w:trHeight w:val="255"/>
        </w:trPr>
        <w:tc>
          <w:tcPr>
            <w:tcW w:w="1134" w:type="dxa"/>
            <w:tcBorders>
              <w:top w:val="nil"/>
              <w:left w:val="nil"/>
              <w:bottom w:val="nil"/>
              <w:right w:val="nil"/>
            </w:tcBorders>
            <w:noWrap/>
            <w:vAlign w:val="bottom"/>
            <w:hideMark/>
          </w:tcPr>
          <w:p w14:paraId="77BD7C8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3232</w:t>
            </w:r>
          </w:p>
        </w:tc>
        <w:tc>
          <w:tcPr>
            <w:tcW w:w="4962" w:type="dxa"/>
            <w:tcBorders>
              <w:top w:val="nil"/>
              <w:left w:val="nil"/>
              <w:bottom w:val="nil"/>
              <w:right w:val="nil"/>
            </w:tcBorders>
            <w:noWrap/>
            <w:vAlign w:val="bottom"/>
            <w:hideMark/>
          </w:tcPr>
          <w:p w14:paraId="3B5EAAC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noWrap/>
            <w:vAlign w:val="bottom"/>
            <w:hideMark/>
          </w:tcPr>
          <w:p w14:paraId="39CB1BAB"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FF13481"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3781A59"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58.457,90</w:t>
            </w:r>
          </w:p>
        </w:tc>
        <w:tc>
          <w:tcPr>
            <w:tcW w:w="993" w:type="dxa"/>
            <w:tcBorders>
              <w:top w:val="nil"/>
              <w:left w:val="nil"/>
              <w:bottom w:val="nil"/>
              <w:right w:val="nil"/>
            </w:tcBorders>
            <w:noWrap/>
            <w:vAlign w:val="bottom"/>
            <w:hideMark/>
          </w:tcPr>
          <w:p w14:paraId="519787DF"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76A7640" w14:textId="77777777" w:rsidTr="008A61B1">
        <w:trPr>
          <w:trHeight w:val="600"/>
        </w:trPr>
        <w:tc>
          <w:tcPr>
            <w:tcW w:w="1134" w:type="dxa"/>
            <w:tcBorders>
              <w:top w:val="nil"/>
              <w:left w:val="nil"/>
              <w:bottom w:val="nil"/>
              <w:right w:val="nil"/>
            </w:tcBorders>
            <w:shd w:val="clear" w:color="000000" w:fill="FFFF99"/>
            <w:noWrap/>
            <w:vAlign w:val="bottom"/>
            <w:hideMark/>
          </w:tcPr>
          <w:p w14:paraId="00E62DC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T100006</w:t>
            </w:r>
          </w:p>
        </w:tc>
        <w:tc>
          <w:tcPr>
            <w:tcW w:w="4962" w:type="dxa"/>
            <w:tcBorders>
              <w:top w:val="nil"/>
              <w:left w:val="nil"/>
              <w:bottom w:val="nil"/>
              <w:right w:val="nil"/>
            </w:tcBorders>
            <w:shd w:val="clear" w:color="000000" w:fill="FFFF99"/>
            <w:vAlign w:val="bottom"/>
            <w:hideMark/>
          </w:tcPr>
          <w:p w14:paraId="1977CF4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Tekući projekt: IZRADA PROJEKATA REGULACIJE PROMETA NA PODRUČJU GRADA</w:t>
            </w:r>
          </w:p>
        </w:tc>
        <w:tc>
          <w:tcPr>
            <w:tcW w:w="1559" w:type="dxa"/>
            <w:tcBorders>
              <w:top w:val="nil"/>
              <w:left w:val="nil"/>
              <w:bottom w:val="nil"/>
              <w:right w:val="nil"/>
            </w:tcBorders>
            <w:shd w:val="clear" w:color="000000" w:fill="FFFF99"/>
            <w:noWrap/>
            <w:vAlign w:val="bottom"/>
            <w:hideMark/>
          </w:tcPr>
          <w:p w14:paraId="24581E1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74.425,00</w:t>
            </w:r>
          </w:p>
        </w:tc>
        <w:tc>
          <w:tcPr>
            <w:tcW w:w="1559" w:type="dxa"/>
            <w:tcBorders>
              <w:top w:val="nil"/>
              <w:left w:val="nil"/>
              <w:bottom w:val="nil"/>
              <w:right w:val="nil"/>
            </w:tcBorders>
            <w:shd w:val="clear" w:color="000000" w:fill="FFFF99"/>
            <w:noWrap/>
            <w:vAlign w:val="bottom"/>
            <w:hideMark/>
          </w:tcPr>
          <w:p w14:paraId="6387B71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74.425,00</w:t>
            </w:r>
          </w:p>
        </w:tc>
        <w:tc>
          <w:tcPr>
            <w:tcW w:w="1559" w:type="dxa"/>
            <w:tcBorders>
              <w:top w:val="nil"/>
              <w:left w:val="nil"/>
              <w:bottom w:val="nil"/>
              <w:right w:val="nil"/>
            </w:tcBorders>
            <w:shd w:val="clear" w:color="000000" w:fill="FFFF99"/>
            <w:noWrap/>
            <w:vAlign w:val="bottom"/>
            <w:hideMark/>
          </w:tcPr>
          <w:p w14:paraId="6887647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43.123,49</w:t>
            </w:r>
          </w:p>
        </w:tc>
        <w:tc>
          <w:tcPr>
            <w:tcW w:w="993" w:type="dxa"/>
            <w:tcBorders>
              <w:top w:val="nil"/>
              <w:left w:val="nil"/>
              <w:bottom w:val="nil"/>
              <w:right w:val="nil"/>
            </w:tcBorders>
            <w:shd w:val="clear" w:color="000000" w:fill="FFFF99"/>
            <w:noWrap/>
            <w:vAlign w:val="bottom"/>
            <w:hideMark/>
          </w:tcPr>
          <w:p w14:paraId="2D26753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57,94%</w:t>
            </w:r>
          </w:p>
        </w:tc>
      </w:tr>
      <w:tr w:rsidR="006967F8" w:rsidRPr="006967F8" w14:paraId="4242BDC5"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A47377D"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69287FC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25.000,00</w:t>
            </w:r>
          </w:p>
        </w:tc>
        <w:tc>
          <w:tcPr>
            <w:tcW w:w="1559" w:type="dxa"/>
            <w:tcBorders>
              <w:top w:val="nil"/>
              <w:left w:val="nil"/>
              <w:bottom w:val="nil"/>
              <w:right w:val="nil"/>
            </w:tcBorders>
            <w:shd w:val="clear" w:color="000000" w:fill="CCCCFF"/>
            <w:noWrap/>
            <w:vAlign w:val="bottom"/>
            <w:hideMark/>
          </w:tcPr>
          <w:p w14:paraId="51BA555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25.000,00</w:t>
            </w:r>
          </w:p>
        </w:tc>
        <w:tc>
          <w:tcPr>
            <w:tcW w:w="1559" w:type="dxa"/>
            <w:tcBorders>
              <w:top w:val="nil"/>
              <w:left w:val="nil"/>
              <w:bottom w:val="nil"/>
              <w:right w:val="nil"/>
            </w:tcBorders>
            <w:shd w:val="clear" w:color="000000" w:fill="CCCCFF"/>
            <w:noWrap/>
            <w:vAlign w:val="bottom"/>
            <w:hideMark/>
          </w:tcPr>
          <w:p w14:paraId="746A0F2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8.470,48</w:t>
            </w:r>
          </w:p>
        </w:tc>
        <w:tc>
          <w:tcPr>
            <w:tcW w:w="993" w:type="dxa"/>
            <w:tcBorders>
              <w:top w:val="nil"/>
              <w:left w:val="nil"/>
              <w:bottom w:val="nil"/>
              <w:right w:val="nil"/>
            </w:tcBorders>
            <w:shd w:val="clear" w:color="000000" w:fill="CCCCFF"/>
            <w:noWrap/>
            <w:vAlign w:val="bottom"/>
            <w:hideMark/>
          </w:tcPr>
          <w:p w14:paraId="23D5203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33,88%</w:t>
            </w:r>
          </w:p>
        </w:tc>
      </w:tr>
      <w:tr w:rsidR="006967F8" w:rsidRPr="006967F8" w14:paraId="3512B7BD"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57700D7"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1167FC8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25.000,00</w:t>
            </w:r>
          </w:p>
        </w:tc>
        <w:tc>
          <w:tcPr>
            <w:tcW w:w="1559" w:type="dxa"/>
            <w:tcBorders>
              <w:top w:val="nil"/>
              <w:left w:val="nil"/>
              <w:bottom w:val="nil"/>
              <w:right w:val="nil"/>
            </w:tcBorders>
            <w:shd w:val="clear" w:color="000000" w:fill="CCCCFF"/>
            <w:noWrap/>
            <w:vAlign w:val="bottom"/>
            <w:hideMark/>
          </w:tcPr>
          <w:p w14:paraId="5D4F279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25.000,00</w:t>
            </w:r>
          </w:p>
        </w:tc>
        <w:tc>
          <w:tcPr>
            <w:tcW w:w="1559" w:type="dxa"/>
            <w:tcBorders>
              <w:top w:val="nil"/>
              <w:left w:val="nil"/>
              <w:bottom w:val="nil"/>
              <w:right w:val="nil"/>
            </w:tcBorders>
            <w:shd w:val="clear" w:color="000000" w:fill="CCCCFF"/>
            <w:noWrap/>
            <w:vAlign w:val="bottom"/>
            <w:hideMark/>
          </w:tcPr>
          <w:p w14:paraId="40AE012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8.470,48</w:t>
            </w:r>
          </w:p>
        </w:tc>
        <w:tc>
          <w:tcPr>
            <w:tcW w:w="993" w:type="dxa"/>
            <w:tcBorders>
              <w:top w:val="nil"/>
              <w:left w:val="nil"/>
              <w:bottom w:val="nil"/>
              <w:right w:val="nil"/>
            </w:tcBorders>
            <w:shd w:val="clear" w:color="000000" w:fill="CCCCFF"/>
            <w:noWrap/>
            <w:vAlign w:val="bottom"/>
            <w:hideMark/>
          </w:tcPr>
          <w:p w14:paraId="6E6F0B5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33,88%</w:t>
            </w:r>
          </w:p>
        </w:tc>
      </w:tr>
      <w:tr w:rsidR="006967F8" w:rsidRPr="006967F8" w14:paraId="5D8BA8BE" w14:textId="77777777" w:rsidTr="008A61B1">
        <w:trPr>
          <w:trHeight w:val="255"/>
        </w:trPr>
        <w:tc>
          <w:tcPr>
            <w:tcW w:w="1134" w:type="dxa"/>
            <w:tcBorders>
              <w:top w:val="nil"/>
              <w:left w:val="nil"/>
              <w:bottom w:val="nil"/>
              <w:right w:val="nil"/>
            </w:tcBorders>
            <w:noWrap/>
            <w:vAlign w:val="bottom"/>
            <w:hideMark/>
          </w:tcPr>
          <w:p w14:paraId="2A1F8AE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171F9C9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32C68E2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25.000,00</w:t>
            </w:r>
          </w:p>
        </w:tc>
        <w:tc>
          <w:tcPr>
            <w:tcW w:w="1559" w:type="dxa"/>
            <w:tcBorders>
              <w:top w:val="nil"/>
              <w:left w:val="nil"/>
              <w:bottom w:val="nil"/>
              <w:right w:val="nil"/>
            </w:tcBorders>
            <w:noWrap/>
            <w:vAlign w:val="bottom"/>
            <w:hideMark/>
          </w:tcPr>
          <w:p w14:paraId="0647D3A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25.000,00</w:t>
            </w:r>
          </w:p>
        </w:tc>
        <w:tc>
          <w:tcPr>
            <w:tcW w:w="1559" w:type="dxa"/>
            <w:tcBorders>
              <w:top w:val="nil"/>
              <w:left w:val="nil"/>
              <w:bottom w:val="nil"/>
              <w:right w:val="nil"/>
            </w:tcBorders>
            <w:noWrap/>
            <w:vAlign w:val="bottom"/>
            <w:hideMark/>
          </w:tcPr>
          <w:p w14:paraId="0C8F2F3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8.470,48</w:t>
            </w:r>
          </w:p>
        </w:tc>
        <w:tc>
          <w:tcPr>
            <w:tcW w:w="993" w:type="dxa"/>
            <w:tcBorders>
              <w:top w:val="nil"/>
              <w:left w:val="nil"/>
              <w:bottom w:val="nil"/>
              <w:right w:val="nil"/>
            </w:tcBorders>
            <w:noWrap/>
            <w:vAlign w:val="bottom"/>
            <w:hideMark/>
          </w:tcPr>
          <w:p w14:paraId="6C14303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33,88%</w:t>
            </w:r>
          </w:p>
        </w:tc>
      </w:tr>
      <w:tr w:rsidR="006967F8" w:rsidRPr="006967F8" w14:paraId="26D983B5" w14:textId="77777777" w:rsidTr="008A61B1">
        <w:trPr>
          <w:trHeight w:val="255"/>
        </w:trPr>
        <w:tc>
          <w:tcPr>
            <w:tcW w:w="1134" w:type="dxa"/>
            <w:tcBorders>
              <w:top w:val="nil"/>
              <w:left w:val="nil"/>
              <w:bottom w:val="nil"/>
              <w:right w:val="nil"/>
            </w:tcBorders>
            <w:noWrap/>
            <w:vAlign w:val="bottom"/>
            <w:hideMark/>
          </w:tcPr>
          <w:p w14:paraId="51D5625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3232</w:t>
            </w:r>
          </w:p>
        </w:tc>
        <w:tc>
          <w:tcPr>
            <w:tcW w:w="4962" w:type="dxa"/>
            <w:tcBorders>
              <w:top w:val="nil"/>
              <w:left w:val="nil"/>
              <w:bottom w:val="nil"/>
              <w:right w:val="nil"/>
            </w:tcBorders>
            <w:noWrap/>
            <w:vAlign w:val="bottom"/>
            <w:hideMark/>
          </w:tcPr>
          <w:p w14:paraId="022B150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noWrap/>
            <w:vAlign w:val="bottom"/>
            <w:hideMark/>
          </w:tcPr>
          <w:p w14:paraId="49D26A76"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84AFE33"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006A006"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3.845,48</w:t>
            </w:r>
          </w:p>
        </w:tc>
        <w:tc>
          <w:tcPr>
            <w:tcW w:w="993" w:type="dxa"/>
            <w:tcBorders>
              <w:top w:val="nil"/>
              <w:left w:val="nil"/>
              <w:bottom w:val="nil"/>
              <w:right w:val="nil"/>
            </w:tcBorders>
            <w:noWrap/>
            <w:vAlign w:val="bottom"/>
            <w:hideMark/>
          </w:tcPr>
          <w:p w14:paraId="7935FA8A"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3BF9306" w14:textId="77777777" w:rsidTr="008A61B1">
        <w:trPr>
          <w:trHeight w:val="255"/>
        </w:trPr>
        <w:tc>
          <w:tcPr>
            <w:tcW w:w="1134" w:type="dxa"/>
            <w:tcBorders>
              <w:top w:val="nil"/>
              <w:left w:val="nil"/>
              <w:bottom w:val="nil"/>
              <w:right w:val="nil"/>
            </w:tcBorders>
            <w:noWrap/>
            <w:vAlign w:val="bottom"/>
            <w:hideMark/>
          </w:tcPr>
          <w:p w14:paraId="019E8F1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3237</w:t>
            </w:r>
          </w:p>
        </w:tc>
        <w:tc>
          <w:tcPr>
            <w:tcW w:w="4962" w:type="dxa"/>
            <w:tcBorders>
              <w:top w:val="nil"/>
              <w:left w:val="nil"/>
              <w:bottom w:val="nil"/>
              <w:right w:val="nil"/>
            </w:tcBorders>
            <w:noWrap/>
            <w:vAlign w:val="bottom"/>
            <w:hideMark/>
          </w:tcPr>
          <w:p w14:paraId="3AE46B7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Intelektualne i osobne usluge</w:t>
            </w:r>
          </w:p>
        </w:tc>
        <w:tc>
          <w:tcPr>
            <w:tcW w:w="1559" w:type="dxa"/>
            <w:tcBorders>
              <w:top w:val="nil"/>
              <w:left w:val="nil"/>
              <w:bottom w:val="nil"/>
              <w:right w:val="nil"/>
            </w:tcBorders>
            <w:noWrap/>
            <w:vAlign w:val="bottom"/>
            <w:hideMark/>
          </w:tcPr>
          <w:p w14:paraId="67FC0667"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A8E95FA"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B1C7BA0"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4.625,00</w:t>
            </w:r>
          </w:p>
        </w:tc>
        <w:tc>
          <w:tcPr>
            <w:tcW w:w="993" w:type="dxa"/>
            <w:tcBorders>
              <w:top w:val="nil"/>
              <w:left w:val="nil"/>
              <w:bottom w:val="nil"/>
              <w:right w:val="nil"/>
            </w:tcBorders>
            <w:noWrap/>
            <w:vAlign w:val="bottom"/>
            <w:hideMark/>
          </w:tcPr>
          <w:p w14:paraId="6EBF80DD"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EA5C0A2"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7782705"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477DBC7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49.425,00</w:t>
            </w:r>
          </w:p>
        </w:tc>
        <w:tc>
          <w:tcPr>
            <w:tcW w:w="1559" w:type="dxa"/>
            <w:tcBorders>
              <w:top w:val="nil"/>
              <w:left w:val="nil"/>
              <w:bottom w:val="nil"/>
              <w:right w:val="nil"/>
            </w:tcBorders>
            <w:shd w:val="clear" w:color="000000" w:fill="CCCCFF"/>
            <w:noWrap/>
            <w:vAlign w:val="bottom"/>
            <w:hideMark/>
          </w:tcPr>
          <w:p w14:paraId="3DB4E0C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49.425,00</w:t>
            </w:r>
          </w:p>
        </w:tc>
        <w:tc>
          <w:tcPr>
            <w:tcW w:w="1559" w:type="dxa"/>
            <w:tcBorders>
              <w:top w:val="nil"/>
              <w:left w:val="nil"/>
              <w:bottom w:val="nil"/>
              <w:right w:val="nil"/>
            </w:tcBorders>
            <w:shd w:val="clear" w:color="000000" w:fill="CCCCFF"/>
            <w:noWrap/>
            <w:vAlign w:val="bottom"/>
            <w:hideMark/>
          </w:tcPr>
          <w:p w14:paraId="5F20E6B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34.653,01</w:t>
            </w:r>
          </w:p>
        </w:tc>
        <w:tc>
          <w:tcPr>
            <w:tcW w:w="993" w:type="dxa"/>
            <w:tcBorders>
              <w:top w:val="nil"/>
              <w:left w:val="nil"/>
              <w:bottom w:val="nil"/>
              <w:right w:val="nil"/>
            </w:tcBorders>
            <w:shd w:val="clear" w:color="000000" w:fill="CCCCFF"/>
            <w:noWrap/>
            <w:vAlign w:val="bottom"/>
            <w:hideMark/>
          </w:tcPr>
          <w:p w14:paraId="0C3F2CC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70,11%</w:t>
            </w:r>
          </w:p>
        </w:tc>
      </w:tr>
      <w:tr w:rsidR="006967F8" w:rsidRPr="006967F8" w14:paraId="42685D71"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7DBE7BB"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4.2. Komunalna naknada</w:t>
            </w:r>
          </w:p>
        </w:tc>
        <w:tc>
          <w:tcPr>
            <w:tcW w:w="1559" w:type="dxa"/>
            <w:tcBorders>
              <w:top w:val="nil"/>
              <w:left w:val="nil"/>
              <w:bottom w:val="nil"/>
              <w:right w:val="nil"/>
            </w:tcBorders>
            <w:shd w:val="clear" w:color="000000" w:fill="CCCCFF"/>
            <w:noWrap/>
            <w:vAlign w:val="bottom"/>
            <w:hideMark/>
          </w:tcPr>
          <w:p w14:paraId="7A55EBE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49.425,00</w:t>
            </w:r>
          </w:p>
        </w:tc>
        <w:tc>
          <w:tcPr>
            <w:tcW w:w="1559" w:type="dxa"/>
            <w:tcBorders>
              <w:top w:val="nil"/>
              <w:left w:val="nil"/>
              <w:bottom w:val="nil"/>
              <w:right w:val="nil"/>
            </w:tcBorders>
            <w:shd w:val="clear" w:color="000000" w:fill="CCCCFF"/>
            <w:noWrap/>
            <w:vAlign w:val="bottom"/>
            <w:hideMark/>
          </w:tcPr>
          <w:p w14:paraId="4D47667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49.425,00</w:t>
            </w:r>
          </w:p>
        </w:tc>
        <w:tc>
          <w:tcPr>
            <w:tcW w:w="1559" w:type="dxa"/>
            <w:tcBorders>
              <w:top w:val="nil"/>
              <w:left w:val="nil"/>
              <w:bottom w:val="nil"/>
              <w:right w:val="nil"/>
            </w:tcBorders>
            <w:shd w:val="clear" w:color="000000" w:fill="CCCCFF"/>
            <w:noWrap/>
            <w:vAlign w:val="bottom"/>
            <w:hideMark/>
          </w:tcPr>
          <w:p w14:paraId="4731C40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34.653,01</w:t>
            </w:r>
          </w:p>
        </w:tc>
        <w:tc>
          <w:tcPr>
            <w:tcW w:w="993" w:type="dxa"/>
            <w:tcBorders>
              <w:top w:val="nil"/>
              <w:left w:val="nil"/>
              <w:bottom w:val="nil"/>
              <w:right w:val="nil"/>
            </w:tcBorders>
            <w:shd w:val="clear" w:color="000000" w:fill="CCCCFF"/>
            <w:noWrap/>
            <w:vAlign w:val="bottom"/>
            <w:hideMark/>
          </w:tcPr>
          <w:p w14:paraId="5B395B1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70,11%</w:t>
            </w:r>
          </w:p>
        </w:tc>
      </w:tr>
      <w:tr w:rsidR="006967F8" w:rsidRPr="006967F8" w14:paraId="6E12FA9B" w14:textId="77777777" w:rsidTr="008A61B1">
        <w:trPr>
          <w:trHeight w:val="255"/>
        </w:trPr>
        <w:tc>
          <w:tcPr>
            <w:tcW w:w="1134" w:type="dxa"/>
            <w:tcBorders>
              <w:top w:val="nil"/>
              <w:left w:val="nil"/>
              <w:bottom w:val="nil"/>
              <w:right w:val="nil"/>
            </w:tcBorders>
            <w:noWrap/>
            <w:vAlign w:val="bottom"/>
            <w:hideMark/>
          </w:tcPr>
          <w:p w14:paraId="38D59AF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75A679D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0E9D79A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49.425,00</w:t>
            </w:r>
          </w:p>
        </w:tc>
        <w:tc>
          <w:tcPr>
            <w:tcW w:w="1559" w:type="dxa"/>
            <w:tcBorders>
              <w:top w:val="nil"/>
              <w:left w:val="nil"/>
              <w:bottom w:val="nil"/>
              <w:right w:val="nil"/>
            </w:tcBorders>
            <w:noWrap/>
            <w:vAlign w:val="bottom"/>
            <w:hideMark/>
          </w:tcPr>
          <w:p w14:paraId="4A511DB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49.425,00</w:t>
            </w:r>
          </w:p>
        </w:tc>
        <w:tc>
          <w:tcPr>
            <w:tcW w:w="1559" w:type="dxa"/>
            <w:tcBorders>
              <w:top w:val="nil"/>
              <w:left w:val="nil"/>
              <w:bottom w:val="nil"/>
              <w:right w:val="nil"/>
            </w:tcBorders>
            <w:noWrap/>
            <w:vAlign w:val="bottom"/>
            <w:hideMark/>
          </w:tcPr>
          <w:p w14:paraId="24EEB13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34.653,01</w:t>
            </w:r>
          </w:p>
        </w:tc>
        <w:tc>
          <w:tcPr>
            <w:tcW w:w="993" w:type="dxa"/>
            <w:tcBorders>
              <w:top w:val="nil"/>
              <w:left w:val="nil"/>
              <w:bottom w:val="nil"/>
              <w:right w:val="nil"/>
            </w:tcBorders>
            <w:noWrap/>
            <w:vAlign w:val="bottom"/>
            <w:hideMark/>
          </w:tcPr>
          <w:p w14:paraId="7411E88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70,11%</w:t>
            </w:r>
          </w:p>
        </w:tc>
      </w:tr>
      <w:tr w:rsidR="006967F8" w:rsidRPr="006967F8" w14:paraId="2B66AFFC" w14:textId="77777777" w:rsidTr="008A61B1">
        <w:trPr>
          <w:trHeight w:val="255"/>
        </w:trPr>
        <w:tc>
          <w:tcPr>
            <w:tcW w:w="1134" w:type="dxa"/>
            <w:tcBorders>
              <w:top w:val="nil"/>
              <w:left w:val="nil"/>
              <w:bottom w:val="nil"/>
              <w:right w:val="nil"/>
            </w:tcBorders>
            <w:noWrap/>
            <w:vAlign w:val="bottom"/>
            <w:hideMark/>
          </w:tcPr>
          <w:p w14:paraId="6924EB8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3232</w:t>
            </w:r>
          </w:p>
        </w:tc>
        <w:tc>
          <w:tcPr>
            <w:tcW w:w="4962" w:type="dxa"/>
            <w:tcBorders>
              <w:top w:val="nil"/>
              <w:left w:val="nil"/>
              <w:bottom w:val="nil"/>
              <w:right w:val="nil"/>
            </w:tcBorders>
            <w:noWrap/>
            <w:vAlign w:val="bottom"/>
            <w:hideMark/>
          </w:tcPr>
          <w:p w14:paraId="486D083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noWrap/>
            <w:vAlign w:val="bottom"/>
            <w:hideMark/>
          </w:tcPr>
          <w:p w14:paraId="19E1F6B6"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CC262D6"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856607F"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34.653,01</w:t>
            </w:r>
          </w:p>
        </w:tc>
        <w:tc>
          <w:tcPr>
            <w:tcW w:w="993" w:type="dxa"/>
            <w:tcBorders>
              <w:top w:val="nil"/>
              <w:left w:val="nil"/>
              <w:bottom w:val="nil"/>
              <w:right w:val="nil"/>
            </w:tcBorders>
            <w:noWrap/>
            <w:vAlign w:val="bottom"/>
            <w:hideMark/>
          </w:tcPr>
          <w:p w14:paraId="44C096D1"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726B70C" w14:textId="77777777" w:rsidTr="008A61B1">
        <w:trPr>
          <w:trHeight w:val="555"/>
        </w:trPr>
        <w:tc>
          <w:tcPr>
            <w:tcW w:w="1134" w:type="dxa"/>
            <w:tcBorders>
              <w:top w:val="nil"/>
              <w:left w:val="nil"/>
              <w:bottom w:val="nil"/>
              <w:right w:val="nil"/>
            </w:tcBorders>
            <w:shd w:val="clear" w:color="000000" w:fill="FFFF99"/>
            <w:noWrap/>
            <w:vAlign w:val="bottom"/>
            <w:hideMark/>
          </w:tcPr>
          <w:p w14:paraId="1D7A2B2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T100011</w:t>
            </w:r>
          </w:p>
        </w:tc>
        <w:tc>
          <w:tcPr>
            <w:tcW w:w="4962" w:type="dxa"/>
            <w:tcBorders>
              <w:top w:val="nil"/>
              <w:left w:val="nil"/>
              <w:bottom w:val="nil"/>
              <w:right w:val="nil"/>
            </w:tcBorders>
            <w:shd w:val="clear" w:color="000000" w:fill="FFFF99"/>
            <w:vAlign w:val="bottom"/>
            <w:hideMark/>
          </w:tcPr>
          <w:p w14:paraId="72D5E0B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Tekući projekt: ODRŽAVANJE PUTEVA NA DRVENIKU VELOM I MALOM</w:t>
            </w:r>
          </w:p>
        </w:tc>
        <w:tc>
          <w:tcPr>
            <w:tcW w:w="1559" w:type="dxa"/>
            <w:tcBorders>
              <w:top w:val="nil"/>
              <w:left w:val="nil"/>
              <w:bottom w:val="nil"/>
              <w:right w:val="nil"/>
            </w:tcBorders>
            <w:shd w:val="clear" w:color="000000" w:fill="FFFF99"/>
            <w:noWrap/>
            <w:vAlign w:val="bottom"/>
            <w:hideMark/>
          </w:tcPr>
          <w:p w14:paraId="1219AD4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12.000,00</w:t>
            </w:r>
          </w:p>
        </w:tc>
        <w:tc>
          <w:tcPr>
            <w:tcW w:w="1559" w:type="dxa"/>
            <w:tcBorders>
              <w:top w:val="nil"/>
              <w:left w:val="nil"/>
              <w:bottom w:val="nil"/>
              <w:right w:val="nil"/>
            </w:tcBorders>
            <w:shd w:val="clear" w:color="000000" w:fill="FFFF99"/>
            <w:noWrap/>
            <w:vAlign w:val="bottom"/>
            <w:hideMark/>
          </w:tcPr>
          <w:p w14:paraId="7E18976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12.000,00</w:t>
            </w:r>
          </w:p>
        </w:tc>
        <w:tc>
          <w:tcPr>
            <w:tcW w:w="1559" w:type="dxa"/>
            <w:tcBorders>
              <w:top w:val="nil"/>
              <w:left w:val="nil"/>
              <w:bottom w:val="nil"/>
              <w:right w:val="nil"/>
            </w:tcBorders>
            <w:shd w:val="clear" w:color="000000" w:fill="FFFF99"/>
            <w:noWrap/>
            <w:vAlign w:val="bottom"/>
            <w:hideMark/>
          </w:tcPr>
          <w:p w14:paraId="1075A09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3.487,50</w:t>
            </w:r>
          </w:p>
        </w:tc>
        <w:tc>
          <w:tcPr>
            <w:tcW w:w="993" w:type="dxa"/>
            <w:tcBorders>
              <w:top w:val="nil"/>
              <w:left w:val="nil"/>
              <w:bottom w:val="nil"/>
              <w:right w:val="nil"/>
            </w:tcBorders>
            <w:shd w:val="clear" w:color="000000" w:fill="FFFF99"/>
            <w:noWrap/>
            <w:vAlign w:val="bottom"/>
            <w:hideMark/>
          </w:tcPr>
          <w:p w14:paraId="0B9D934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29,06%</w:t>
            </w:r>
          </w:p>
        </w:tc>
      </w:tr>
      <w:tr w:rsidR="006967F8" w:rsidRPr="006967F8" w14:paraId="2F64CE61"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349150F"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05B9C82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12.000,00</w:t>
            </w:r>
          </w:p>
        </w:tc>
        <w:tc>
          <w:tcPr>
            <w:tcW w:w="1559" w:type="dxa"/>
            <w:tcBorders>
              <w:top w:val="nil"/>
              <w:left w:val="nil"/>
              <w:bottom w:val="nil"/>
              <w:right w:val="nil"/>
            </w:tcBorders>
            <w:shd w:val="clear" w:color="000000" w:fill="CCCCFF"/>
            <w:noWrap/>
            <w:vAlign w:val="bottom"/>
            <w:hideMark/>
          </w:tcPr>
          <w:p w14:paraId="434042A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12.000,00</w:t>
            </w:r>
          </w:p>
        </w:tc>
        <w:tc>
          <w:tcPr>
            <w:tcW w:w="1559" w:type="dxa"/>
            <w:tcBorders>
              <w:top w:val="nil"/>
              <w:left w:val="nil"/>
              <w:bottom w:val="nil"/>
              <w:right w:val="nil"/>
            </w:tcBorders>
            <w:shd w:val="clear" w:color="000000" w:fill="CCCCFF"/>
            <w:noWrap/>
            <w:vAlign w:val="bottom"/>
            <w:hideMark/>
          </w:tcPr>
          <w:p w14:paraId="1348F8C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3.487,50</w:t>
            </w:r>
          </w:p>
        </w:tc>
        <w:tc>
          <w:tcPr>
            <w:tcW w:w="993" w:type="dxa"/>
            <w:tcBorders>
              <w:top w:val="nil"/>
              <w:left w:val="nil"/>
              <w:bottom w:val="nil"/>
              <w:right w:val="nil"/>
            </w:tcBorders>
            <w:shd w:val="clear" w:color="000000" w:fill="CCCCFF"/>
            <w:noWrap/>
            <w:vAlign w:val="bottom"/>
            <w:hideMark/>
          </w:tcPr>
          <w:p w14:paraId="717BA48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29,06%</w:t>
            </w:r>
          </w:p>
        </w:tc>
      </w:tr>
      <w:tr w:rsidR="006967F8" w:rsidRPr="006967F8" w14:paraId="57B04353"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94E1D34"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54C3360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12.000,00</w:t>
            </w:r>
          </w:p>
        </w:tc>
        <w:tc>
          <w:tcPr>
            <w:tcW w:w="1559" w:type="dxa"/>
            <w:tcBorders>
              <w:top w:val="nil"/>
              <w:left w:val="nil"/>
              <w:bottom w:val="nil"/>
              <w:right w:val="nil"/>
            </w:tcBorders>
            <w:shd w:val="clear" w:color="000000" w:fill="CCCCFF"/>
            <w:noWrap/>
            <w:vAlign w:val="bottom"/>
            <w:hideMark/>
          </w:tcPr>
          <w:p w14:paraId="5FFD424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12.000,00</w:t>
            </w:r>
          </w:p>
        </w:tc>
        <w:tc>
          <w:tcPr>
            <w:tcW w:w="1559" w:type="dxa"/>
            <w:tcBorders>
              <w:top w:val="nil"/>
              <w:left w:val="nil"/>
              <w:bottom w:val="nil"/>
              <w:right w:val="nil"/>
            </w:tcBorders>
            <w:shd w:val="clear" w:color="000000" w:fill="CCCCFF"/>
            <w:noWrap/>
            <w:vAlign w:val="bottom"/>
            <w:hideMark/>
          </w:tcPr>
          <w:p w14:paraId="11E36D9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3.487,50</w:t>
            </w:r>
          </w:p>
        </w:tc>
        <w:tc>
          <w:tcPr>
            <w:tcW w:w="993" w:type="dxa"/>
            <w:tcBorders>
              <w:top w:val="nil"/>
              <w:left w:val="nil"/>
              <w:bottom w:val="nil"/>
              <w:right w:val="nil"/>
            </w:tcBorders>
            <w:shd w:val="clear" w:color="000000" w:fill="CCCCFF"/>
            <w:noWrap/>
            <w:vAlign w:val="bottom"/>
            <w:hideMark/>
          </w:tcPr>
          <w:p w14:paraId="5CEEFEC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29,06%</w:t>
            </w:r>
          </w:p>
        </w:tc>
      </w:tr>
      <w:tr w:rsidR="006967F8" w:rsidRPr="006967F8" w14:paraId="1B51A299" w14:textId="77777777" w:rsidTr="008A61B1">
        <w:trPr>
          <w:trHeight w:val="255"/>
        </w:trPr>
        <w:tc>
          <w:tcPr>
            <w:tcW w:w="1134" w:type="dxa"/>
            <w:tcBorders>
              <w:top w:val="nil"/>
              <w:left w:val="nil"/>
              <w:bottom w:val="nil"/>
              <w:right w:val="nil"/>
            </w:tcBorders>
            <w:noWrap/>
            <w:vAlign w:val="bottom"/>
            <w:hideMark/>
          </w:tcPr>
          <w:p w14:paraId="2013A1B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2C30C0A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655B9D3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12.000,00</w:t>
            </w:r>
          </w:p>
        </w:tc>
        <w:tc>
          <w:tcPr>
            <w:tcW w:w="1559" w:type="dxa"/>
            <w:tcBorders>
              <w:top w:val="nil"/>
              <w:left w:val="nil"/>
              <w:bottom w:val="nil"/>
              <w:right w:val="nil"/>
            </w:tcBorders>
            <w:noWrap/>
            <w:vAlign w:val="bottom"/>
            <w:hideMark/>
          </w:tcPr>
          <w:p w14:paraId="06AAF29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12.000,00</w:t>
            </w:r>
          </w:p>
        </w:tc>
        <w:tc>
          <w:tcPr>
            <w:tcW w:w="1559" w:type="dxa"/>
            <w:tcBorders>
              <w:top w:val="nil"/>
              <w:left w:val="nil"/>
              <w:bottom w:val="nil"/>
              <w:right w:val="nil"/>
            </w:tcBorders>
            <w:noWrap/>
            <w:vAlign w:val="bottom"/>
            <w:hideMark/>
          </w:tcPr>
          <w:p w14:paraId="672959C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3.487,50</w:t>
            </w:r>
          </w:p>
        </w:tc>
        <w:tc>
          <w:tcPr>
            <w:tcW w:w="993" w:type="dxa"/>
            <w:tcBorders>
              <w:top w:val="nil"/>
              <w:left w:val="nil"/>
              <w:bottom w:val="nil"/>
              <w:right w:val="nil"/>
            </w:tcBorders>
            <w:noWrap/>
            <w:vAlign w:val="bottom"/>
            <w:hideMark/>
          </w:tcPr>
          <w:p w14:paraId="3865253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29,06%</w:t>
            </w:r>
          </w:p>
        </w:tc>
      </w:tr>
      <w:tr w:rsidR="006967F8" w:rsidRPr="006967F8" w14:paraId="28E9922F" w14:textId="77777777" w:rsidTr="008A61B1">
        <w:trPr>
          <w:trHeight w:val="255"/>
        </w:trPr>
        <w:tc>
          <w:tcPr>
            <w:tcW w:w="1134" w:type="dxa"/>
            <w:tcBorders>
              <w:top w:val="nil"/>
              <w:left w:val="nil"/>
              <w:bottom w:val="nil"/>
              <w:right w:val="nil"/>
            </w:tcBorders>
            <w:noWrap/>
            <w:vAlign w:val="bottom"/>
            <w:hideMark/>
          </w:tcPr>
          <w:p w14:paraId="25D7857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3232</w:t>
            </w:r>
          </w:p>
        </w:tc>
        <w:tc>
          <w:tcPr>
            <w:tcW w:w="4962" w:type="dxa"/>
            <w:tcBorders>
              <w:top w:val="nil"/>
              <w:left w:val="nil"/>
              <w:bottom w:val="nil"/>
              <w:right w:val="nil"/>
            </w:tcBorders>
            <w:noWrap/>
            <w:vAlign w:val="bottom"/>
            <w:hideMark/>
          </w:tcPr>
          <w:p w14:paraId="58284E2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noWrap/>
            <w:vAlign w:val="bottom"/>
            <w:hideMark/>
          </w:tcPr>
          <w:p w14:paraId="1D4ABD75"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752E714"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277BF3D"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3.487,50</w:t>
            </w:r>
          </w:p>
        </w:tc>
        <w:tc>
          <w:tcPr>
            <w:tcW w:w="993" w:type="dxa"/>
            <w:tcBorders>
              <w:top w:val="nil"/>
              <w:left w:val="nil"/>
              <w:bottom w:val="nil"/>
              <w:right w:val="nil"/>
            </w:tcBorders>
            <w:noWrap/>
            <w:vAlign w:val="bottom"/>
            <w:hideMark/>
          </w:tcPr>
          <w:p w14:paraId="66F039E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8A612E8" w14:textId="77777777" w:rsidTr="008A61B1">
        <w:trPr>
          <w:trHeight w:val="255"/>
        </w:trPr>
        <w:tc>
          <w:tcPr>
            <w:tcW w:w="1134" w:type="dxa"/>
            <w:tcBorders>
              <w:top w:val="nil"/>
              <w:left w:val="nil"/>
              <w:bottom w:val="nil"/>
              <w:right w:val="nil"/>
            </w:tcBorders>
            <w:shd w:val="clear" w:color="000000" w:fill="FF9900"/>
            <w:noWrap/>
            <w:vAlign w:val="bottom"/>
            <w:hideMark/>
          </w:tcPr>
          <w:p w14:paraId="2399CAF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1403</w:t>
            </w:r>
          </w:p>
        </w:tc>
        <w:tc>
          <w:tcPr>
            <w:tcW w:w="4962" w:type="dxa"/>
            <w:tcBorders>
              <w:top w:val="nil"/>
              <w:left w:val="nil"/>
              <w:bottom w:val="nil"/>
              <w:right w:val="nil"/>
            </w:tcBorders>
            <w:shd w:val="clear" w:color="000000" w:fill="FF9900"/>
            <w:noWrap/>
            <w:vAlign w:val="bottom"/>
            <w:hideMark/>
          </w:tcPr>
          <w:p w14:paraId="5E0B96C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Program: ODRŽAVANJE JAVNE RASVJETE</w:t>
            </w:r>
          </w:p>
        </w:tc>
        <w:tc>
          <w:tcPr>
            <w:tcW w:w="1559" w:type="dxa"/>
            <w:tcBorders>
              <w:top w:val="nil"/>
              <w:left w:val="nil"/>
              <w:bottom w:val="nil"/>
              <w:right w:val="nil"/>
            </w:tcBorders>
            <w:shd w:val="clear" w:color="000000" w:fill="FF9900"/>
            <w:noWrap/>
            <w:vAlign w:val="bottom"/>
            <w:hideMark/>
          </w:tcPr>
          <w:p w14:paraId="7DA3591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512.500,00</w:t>
            </w:r>
          </w:p>
        </w:tc>
        <w:tc>
          <w:tcPr>
            <w:tcW w:w="1559" w:type="dxa"/>
            <w:tcBorders>
              <w:top w:val="nil"/>
              <w:left w:val="nil"/>
              <w:bottom w:val="nil"/>
              <w:right w:val="nil"/>
            </w:tcBorders>
            <w:shd w:val="clear" w:color="000000" w:fill="FF9900"/>
            <w:noWrap/>
            <w:vAlign w:val="bottom"/>
            <w:hideMark/>
          </w:tcPr>
          <w:p w14:paraId="7E9D54D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512.500,00</w:t>
            </w:r>
          </w:p>
        </w:tc>
        <w:tc>
          <w:tcPr>
            <w:tcW w:w="1559" w:type="dxa"/>
            <w:tcBorders>
              <w:top w:val="nil"/>
              <w:left w:val="nil"/>
              <w:bottom w:val="nil"/>
              <w:right w:val="nil"/>
            </w:tcBorders>
            <w:shd w:val="clear" w:color="000000" w:fill="FF9900"/>
            <w:noWrap/>
            <w:vAlign w:val="bottom"/>
            <w:hideMark/>
          </w:tcPr>
          <w:p w14:paraId="74CCB09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492.743,35</w:t>
            </w:r>
          </w:p>
        </w:tc>
        <w:tc>
          <w:tcPr>
            <w:tcW w:w="993" w:type="dxa"/>
            <w:tcBorders>
              <w:top w:val="nil"/>
              <w:left w:val="nil"/>
              <w:bottom w:val="nil"/>
              <w:right w:val="nil"/>
            </w:tcBorders>
            <w:shd w:val="clear" w:color="000000" w:fill="FF9900"/>
            <w:noWrap/>
            <w:vAlign w:val="bottom"/>
            <w:hideMark/>
          </w:tcPr>
          <w:p w14:paraId="6BA0889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96,15%</w:t>
            </w:r>
          </w:p>
        </w:tc>
      </w:tr>
      <w:tr w:rsidR="006967F8" w:rsidRPr="006967F8" w14:paraId="341AE81D" w14:textId="77777777" w:rsidTr="008A61B1">
        <w:trPr>
          <w:trHeight w:val="255"/>
        </w:trPr>
        <w:tc>
          <w:tcPr>
            <w:tcW w:w="1134" w:type="dxa"/>
            <w:tcBorders>
              <w:top w:val="nil"/>
              <w:left w:val="nil"/>
              <w:bottom w:val="nil"/>
              <w:right w:val="nil"/>
            </w:tcBorders>
            <w:shd w:val="clear" w:color="000000" w:fill="FFFF99"/>
            <w:noWrap/>
            <w:vAlign w:val="bottom"/>
            <w:hideMark/>
          </w:tcPr>
          <w:p w14:paraId="66300B5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A100007</w:t>
            </w:r>
          </w:p>
        </w:tc>
        <w:tc>
          <w:tcPr>
            <w:tcW w:w="4962" w:type="dxa"/>
            <w:tcBorders>
              <w:top w:val="nil"/>
              <w:left w:val="nil"/>
              <w:bottom w:val="nil"/>
              <w:right w:val="nil"/>
            </w:tcBorders>
            <w:shd w:val="clear" w:color="000000" w:fill="FFFF99"/>
            <w:noWrap/>
            <w:vAlign w:val="bottom"/>
            <w:hideMark/>
          </w:tcPr>
          <w:p w14:paraId="5C30309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Aktivnost: ODRŽAVANJE JAVNE RASVJETE</w:t>
            </w:r>
          </w:p>
        </w:tc>
        <w:tc>
          <w:tcPr>
            <w:tcW w:w="1559" w:type="dxa"/>
            <w:tcBorders>
              <w:top w:val="nil"/>
              <w:left w:val="nil"/>
              <w:bottom w:val="nil"/>
              <w:right w:val="nil"/>
            </w:tcBorders>
            <w:shd w:val="clear" w:color="000000" w:fill="FFFF99"/>
            <w:noWrap/>
            <w:vAlign w:val="bottom"/>
            <w:hideMark/>
          </w:tcPr>
          <w:p w14:paraId="3FC51A3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512.500,00</w:t>
            </w:r>
          </w:p>
        </w:tc>
        <w:tc>
          <w:tcPr>
            <w:tcW w:w="1559" w:type="dxa"/>
            <w:tcBorders>
              <w:top w:val="nil"/>
              <w:left w:val="nil"/>
              <w:bottom w:val="nil"/>
              <w:right w:val="nil"/>
            </w:tcBorders>
            <w:shd w:val="clear" w:color="000000" w:fill="FFFF99"/>
            <w:noWrap/>
            <w:vAlign w:val="bottom"/>
            <w:hideMark/>
          </w:tcPr>
          <w:p w14:paraId="078AEE5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512.500,00</w:t>
            </w:r>
          </w:p>
        </w:tc>
        <w:tc>
          <w:tcPr>
            <w:tcW w:w="1559" w:type="dxa"/>
            <w:tcBorders>
              <w:top w:val="nil"/>
              <w:left w:val="nil"/>
              <w:bottom w:val="nil"/>
              <w:right w:val="nil"/>
            </w:tcBorders>
            <w:shd w:val="clear" w:color="000000" w:fill="FFFF99"/>
            <w:noWrap/>
            <w:vAlign w:val="bottom"/>
            <w:hideMark/>
          </w:tcPr>
          <w:p w14:paraId="77E67B4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492.743,35</w:t>
            </w:r>
          </w:p>
        </w:tc>
        <w:tc>
          <w:tcPr>
            <w:tcW w:w="993" w:type="dxa"/>
            <w:tcBorders>
              <w:top w:val="nil"/>
              <w:left w:val="nil"/>
              <w:bottom w:val="nil"/>
              <w:right w:val="nil"/>
            </w:tcBorders>
            <w:shd w:val="clear" w:color="000000" w:fill="FFFF99"/>
            <w:noWrap/>
            <w:vAlign w:val="bottom"/>
            <w:hideMark/>
          </w:tcPr>
          <w:p w14:paraId="601581A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96,15%</w:t>
            </w:r>
          </w:p>
        </w:tc>
      </w:tr>
      <w:tr w:rsidR="006967F8" w:rsidRPr="006967F8" w14:paraId="1232720D"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7476639"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5929495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512.500,00</w:t>
            </w:r>
          </w:p>
        </w:tc>
        <w:tc>
          <w:tcPr>
            <w:tcW w:w="1559" w:type="dxa"/>
            <w:tcBorders>
              <w:top w:val="nil"/>
              <w:left w:val="nil"/>
              <w:bottom w:val="nil"/>
              <w:right w:val="nil"/>
            </w:tcBorders>
            <w:shd w:val="clear" w:color="000000" w:fill="CCCCFF"/>
            <w:noWrap/>
            <w:vAlign w:val="bottom"/>
            <w:hideMark/>
          </w:tcPr>
          <w:p w14:paraId="1FEF3DA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512.500,00</w:t>
            </w:r>
          </w:p>
        </w:tc>
        <w:tc>
          <w:tcPr>
            <w:tcW w:w="1559" w:type="dxa"/>
            <w:tcBorders>
              <w:top w:val="nil"/>
              <w:left w:val="nil"/>
              <w:bottom w:val="nil"/>
              <w:right w:val="nil"/>
            </w:tcBorders>
            <w:shd w:val="clear" w:color="000000" w:fill="CCCCFF"/>
            <w:noWrap/>
            <w:vAlign w:val="bottom"/>
            <w:hideMark/>
          </w:tcPr>
          <w:p w14:paraId="381D58E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492.743,35</w:t>
            </w:r>
          </w:p>
        </w:tc>
        <w:tc>
          <w:tcPr>
            <w:tcW w:w="993" w:type="dxa"/>
            <w:tcBorders>
              <w:top w:val="nil"/>
              <w:left w:val="nil"/>
              <w:bottom w:val="nil"/>
              <w:right w:val="nil"/>
            </w:tcBorders>
            <w:shd w:val="clear" w:color="000000" w:fill="CCCCFF"/>
            <w:noWrap/>
            <w:vAlign w:val="bottom"/>
            <w:hideMark/>
          </w:tcPr>
          <w:p w14:paraId="58E988D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96,15%</w:t>
            </w:r>
          </w:p>
        </w:tc>
      </w:tr>
      <w:tr w:rsidR="006967F8" w:rsidRPr="006967F8" w14:paraId="252CF0E2"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44E1213"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4.2. Komunalna naknada</w:t>
            </w:r>
          </w:p>
        </w:tc>
        <w:tc>
          <w:tcPr>
            <w:tcW w:w="1559" w:type="dxa"/>
            <w:tcBorders>
              <w:top w:val="nil"/>
              <w:left w:val="nil"/>
              <w:bottom w:val="nil"/>
              <w:right w:val="nil"/>
            </w:tcBorders>
            <w:shd w:val="clear" w:color="000000" w:fill="CCCCFF"/>
            <w:noWrap/>
            <w:vAlign w:val="bottom"/>
            <w:hideMark/>
          </w:tcPr>
          <w:p w14:paraId="321822F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512.500,00</w:t>
            </w:r>
          </w:p>
        </w:tc>
        <w:tc>
          <w:tcPr>
            <w:tcW w:w="1559" w:type="dxa"/>
            <w:tcBorders>
              <w:top w:val="nil"/>
              <w:left w:val="nil"/>
              <w:bottom w:val="nil"/>
              <w:right w:val="nil"/>
            </w:tcBorders>
            <w:shd w:val="clear" w:color="000000" w:fill="CCCCFF"/>
            <w:noWrap/>
            <w:vAlign w:val="bottom"/>
            <w:hideMark/>
          </w:tcPr>
          <w:p w14:paraId="6302432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512.500,00</w:t>
            </w:r>
          </w:p>
        </w:tc>
        <w:tc>
          <w:tcPr>
            <w:tcW w:w="1559" w:type="dxa"/>
            <w:tcBorders>
              <w:top w:val="nil"/>
              <w:left w:val="nil"/>
              <w:bottom w:val="nil"/>
              <w:right w:val="nil"/>
            </w:tcBorders>
            <w:shd w:val="clear" w:color="000000" w:fill="CCCCFF"/>
            <w:noWrap/>
            <w:vAlign w:val="bottom"/>
            <w:hideMark/>
          </w:tcPr>
          <w:p w14:paraId="68D839A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492.743,35</w:t>
            </w:r>
          </w:p>
        </w:tc>
        <w:tc>
          <w:tcPr>
            <w:tcW w:w="993" w:type="dxa"/>
            <w:tcBorders>
              <w:top w:val="nil"/>
              <w:left w:val="nil"/>
              <w:bottom w:val="nil"/>
              <w:right w:val="nil"/>
            </w:tcBorders>
            <w:shd w:val="clear" w:color="000000" w:fill="CCCCFF"/>
            <w:noWrap/>
            <w:vAlign w:val="bottom"/>
            <w:hideMark/>
          </w:tcPr>
          <w:p w14:paraId="4A29158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96,15%</w:t>
            </w:r>
          </w:p>
        </w:tc>
      </w:tr>
      <w:tr w:rsidR="006967F8" w:rsidRPr="006967F8" w14:paraId="2C128FAC" w14:textId="77777777" w:rsidTr="008A61B1">
        <w:trPr>
          <w:trHeight w:val="255"/>
        </w:trPr>
        <w:tc>
          <w:tcPr>
            <w:tcW w:w="1134" w:type="dxa"/>
            <w:tcBorders>
              <w:top w:val="nil"/>
              <w:left w:val="nil"/>
              <w:bottom w:val="nil"/>
              <w:right w:val="nil"/>
            </w:tcBorders>
            <w:noWrap/>
            <w:vAlign w:val="bottom"/>
            <w:hideMark/>
          </w:tcPr>
          <w:p w14:paraId="4821D11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545F21A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609B6D7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512.500,00</w:t>
            </w:r>
          </w:p>
        </w:tc>
        <w:tc>
          <w:tcPr>
            <w:tcW w:w="1559" w:type="dxa"/>
            <w:tcBorders>
              <w:top w:val="nil"/>
              <w:left w:val="nil"/>
              <w:bottom w:val="nil"/>
              <w:right w:val="nil"/>
            </w:tcBorders>
            <w:noWrap/>
            <w:vAlign w:val="bottom"/>
            <w:hideMark/>
          </w:tcPr>
          <w:p w14:paraId="45C27D7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512.500,00</w:t>
            </w:r>
          </w:p>
        </w:tc>
        <w:tc>
          <w:tcPr>
            <w:tcW w:w="1559" w:type="dxa"/>
            <w:tcBorders>
              <w:top w:val="nil"/>
              <w:left w:val="nil"/>
              <w:bottom w:val="nil"/>
              <w:right w:val="nil"/>
            </w:tcBorders>
            <w:noWrap/>
            <w:vAlign w:val="bottom"/>
            <w:hideMark/>
          </w:tcPr>
          <w:p w14:paraId="515409E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492.743,35</w:t>
            </w:r>
          </w:p>
        </w:tc>
        <w:tc>
          <w:tcPr>
            <w:tcW w:w="993" w:type="dxa"/>
            <w:tcBorders>
              <w:top w:val="nil"/>
              <w:left w:val="nil"/>
              <w:bottom w:val="nil"/>
              <w:right w:val="nil"/>
            </w:tcBorders>
            <w:noWrap/>
            <w:vAlign w:val="bottom"/>
            <w:hideMark/>
          </w:tcPr>
          <w:p w14:paraId="200CF4A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96,15%</w:t>
            </w:r>
          </w:p>
        </w:tc>
      </w:tr>
      <w:tr w:rsidR="006967F8" w:rsidRPr="006967F8" w14:paraId="717BAF8E" w14:textId="77777777" w:rsidTr="008A61B1">
        <w:trPr>
          <w:trHeight w:val="255"/>
        </w:trPr>
        <w:tc>
          <w:tcPr>
            <w:tcW w:w="1134" w:type="dxa"/>
            <w:tcBorders>
              <w:top w:val="nil"/>
              <w:left w:val="nil"/>
              <w:bottom w:val="nil"/>
              <w:right w:val="nil"/>
            </w:tcBorders>
            <w:noWrap/>
            <w:vAlign w:val="bottom"/>
            <w:hideMark/>
          </w:tcPr>
          <w:p w14:paraId="5F1E8DA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3223</w:t>
            </w:r>
          </w:p>
        </w:tc>
        <w:tc>
          <w:tcPr>
            <w:tcW w:w="4962" w:type="dxa"/>
            <w:tcBorders>
              <w:top w:val="nil"/>
              <w:left w:val="nil"/>
              <w:bottom w:val="nil"/>
              <w:right w:val="nil"/>
            </w:tcBorders>
            <w:noWrap/>
            <w:vAlign w:val="bottom"/>
            <w:hideMark/>
          </w:tcPr>
          <w:p w14:paraId="322C32A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Energija</w:t>
            </w:r>
          </w:p>
        </w:tc>
        <w:tc>
          <w:tcPr>
            <w:tcW w:w="1559" w:type="dxa"/>
            <w:tcBorders>
              <w:top w:val="nil"/>
              <w:left w:val="nil"/>
              <w:bottom w:val="nil"/>
              <w:right w:val="nil"/>
            </w:tcBorders>
            <w:noWrap/>
            <w:vAlign w:val="bottom"/>
            <w:hideMark/>
          </w:tcPr>
          <w:p w14:paraId="64A01059"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BA024CF"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9B10A6A"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64.329,74</w:t>
            </w:r>
          </w:p>
        </w:tc>
        <w:tc>
          <w:tcPr>
            <w:tcW w:w="993" w:type="dxa"/>
            <w:tcBorders>
              <w:top w:val="nil"/>
              <w:left w:val="nil"/>
              <w:bottom w:val="nil"/>
              <w:right w:val="nil"/>
            </w:tcBorders>
            <w:noWrap/>
            <w:vAlign w:val="bottom"/>
            <w:hideMark/>
          </w:tcPr>
          <w:p w14:paraId="17E97008"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321A750" w14:textId="77777777" w:rsidTr="008A61B1">
        <w:trPr>
          <w:trHeight w:val="255"/>
        </w:trPr>
        <w:tc>
          <w:tcPr>
            <w:tcW w:w="1134" w:type="dxa"/>
            <w:tcBorders>
              <w:top w:val="nil"/>
              <w:left w:val="nil"/>
              <w:bottom w:val="nil"/>
              <w:right w:val="nil"/>
            </w:tcBorders>
            <w:noWrap/>
            <w:vAlign w:val="bottom"/>
            <w:hideMark/>
          </w:tcPr>
          <w:p w14:paraId="310AD3D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3232</w:t>
            </w:r>
          </w:p>
        </w:tc>
        <w:tc>
          <w:tcPr>
            <w:tcW w:w="4962" w:type="dxa"/>
            <w:tcBorders>
              <w:top w:val="nil"/>
              <w:left w:val="nil"/>
              <w:bottom w:val="nil"/>
              <w:right w:val="nil"/>
            </w:tcBorders>
            <w:noWrap/>
            <w:vAlign w:val="bottom"/>
            <w:hideMark/>
          </w:tcPr>
          <w:p w14:paraId="076CF53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noWrap/>
            <w:vAlign w:val="bottom"/>
            <w:hideMark/>
          </w:tcPr>
          <w:p w14:paraId="7A08BF62"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CA30278"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4A296C6"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148.870,13</w:t>
            </w:r>
          </w:p>
        </w:tc>
        <w:tc>
          <w:tcPr>
            <w:tcW w:w="993" w:type="dxa"/>
            <w:tcBorders>
              <w:top w:val="nil"/>
              <w:left w:val="nil"/>
              <w:bottom w:val="nil"/>
              <w:right w:val="nil"/>
            </w:tcBorders>
            <w:noWrap/>
            <w:vAlign w:val="bottom"/>
            <w:hideMark/>
          </w:tcPr>
          <w:p w14:paraId="7C7F1A5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FE64C9F" w14:textId="77777777" w:rsidTr="008A61B1">
        <w:trPr>
          <w:trHeight w:val="255"/>
        </w:trPr>
        <w:tc>
          <w:tcPr>
            <w:tcW w:w="1134" w:type="dxa"/>
            <w:tcBorders>
              <w:top w:val="nil"/>
              <w:left w:val="nil"/>
              <w:bottom w:val="nil"/>
              <w:right w:val="nil"/>
            </w:tcBorders>
            <w:noWrap/>
            <w:vAlign w:val="bottom"/>
            <w:hideMark/>
          </w:tcPr>
          <w:p w14:paraId="2D1C74B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3237</w:t>
            </w:r>
          </w:p>
        </w:tc>
        <w:tc>
          <w:tcPr>
            <w:tcW w:w="4962" w:type="dxa"/>
            <w:tcBorders>
              <w:top w:val="nil"/>
              <w:left w:val="nil"/>
              <w:bottom w:val="nil"/>
              <w:right w:val="nil"/>
            </w:tcBorders>
            <w:noWrap/>
            <w:vAlign w:val="bottom"/>
            <w:hideMark/>
          </w:tcPr>
          <w:p w14:paraId="37B6635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Intelektualne i osobne usluge</w:t>
            </w:r>
          </w:p>
        </w:tc>
        <w:tc>
          <w:tcPr>
            <w:tcW w:w="1559" w:type="dxa"/>
            <w:tcBorders>
              <w:top w:val="nil"/>
              <w:left w:val="nil"/>
              <w:bottom w:val="nil"/>
              <w:right w:val="nil"/>
            </w:tcBorders>
            <w:noWrap/>
            <w:vAlign w:val="bottom"/>
            <w:hideMark/>
          </w:tcPr>
          <w:p w14:paraId="6B0E497C"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E26196D"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6AA3C58"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17.250,00</w:t>
            </w:r>
          </w:p>
        </w:tc>
        <w:tc>
          <w:tcPr>
            <w:tcW w:w="993" w:type="dxa"/>
            <w:tcBorders>
              <w:top w:val="nil"/>
              <w:left w:val="nil"/>
              <w:bottom w:val="nil"/>
              <w:right w:val="nil"/>
            </w:tcBorders>
            <w:noWrap/>
            <w:vAlign w:val="bottom"/>
            <w:hideMark/>
          </w:tcPr>
          <w:p w14:paraId="3BD9DC54"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A4065E8" w14:textId="77777777" w:rsidTr="008A61B1">
        <w:trPr>
          <w:trHeight w:val="255"/>
        </w:trPr>
        <w:tc>
          <w:tcPr>
            <w:tcW w:w="1134" w:type="dxa"/>
            <w:tcBorders>
              <w:top w:val="nil"/>
              <w:left w:val="nil"/>
              <w:bottom w:val="nil"/>
              <w:right w:val="nil"/>
            </w:tcBorders>
            <w:noWrap/>
            <w:vAlign w:val="bottom"/>
            <w:hideMark/>
          </w:tcPr>
          <w:p w14:paraId="31163BE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3239</w:t>
            </w:r>
          </w:p>
        </w:tc>
        <w:tc>
          <w:tcPr>
            <w:tcW w:w="4962" w:type="dxa"/>
            <w:tcBorders>
              <w:top w:val="nil"/>
              <w:left w:val="nil"/>
              <w:bottom w:val="nil"/>
              <w:right w:val="nil"/>
            </w:tcBorders>
            <w:noWrap/>
            <w:vAlign w:val="bottom"/>
            <w:hideMark/>
          </w:tcPr>
          <w:p w14:paraId="3D04624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Ostale usluge</w:t>
            </w:r>
          </w:p>
        </w:tc>
        <w:tc>
          <w:tcPr>
            <w:tcW w:w="1559" w:type="dxa"/>
            <w:tcBorders>
              <w:top w:val="nil"/>
              <w:left w:val="nil"/>
              <w:bottom w:val="nil"/>
              <w:right w:val="nil"/>
            </w:tcBorders>
            <w:noWrap/>
            <w:vAlign w:val="bottom"/>
            <w:hideMark/>
          </w:tcPr>
          <w:p w14:paraId="6C3B56CB"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B7DA681"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E6966F9"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262.293,48</w:t>
            </w:r>
          </w:p>
        </w:tc>
        <w:tc>
          <w:tcPr>
            <w:tcW w:w="993" w:type="dxa"/>
            <w:tcBorders>
              <w:top w:val="nil"/>
              <w:left w:val="nil"/>
              <w:bottom w:val="nil"/>
              <w:right w:val="nil"/>
            </w:tcBorders>
            <w:noWrap/>
            <w:vAlign w:val="bottom"/>
            <w:hideMark/>
          </w:tcPr>
          <w:p w14:paraId="0CA03C9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8CE9CEA" w14:textId="77777777" w:rsidTr="008A61B1">
        <w:trPr>
          <w:trHeight w:val="255"/>
        </w:trPr>
        <w:tc>
          <w:tcPr>
            <w:tcW w:w="1134" w:type="dxa"/>
            <w:tcBorders>
              <w:top w:val="nil"/>
              <w:left w:val="nil"/>
              <w:bottom w:val="nil"/>
              <w:right w:val="nil"/>
            </w:tcBorders>
            <w:shd w:val="clear" w:color="000000" w:fill="FF9900"/>
            <w:noWrap/>
            <w:vAlign w:val="bottom"/>
            <w:hideMark/>
          </w:tcPr>
          <w:p w14:paraId="1392705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1404</w:t>
            </w:r>
          </w:p>
        </w:tc>
        <w:tc>
          <w:tcPr>
            <w:tcW w:w="4962" w:type="dxa"/>
            <w:tcBorders>
              <w:top w:val="nil"/>
              <w:left w:val="nil"/>
              <w:bottom w:val="nil"/>
              <w:right w:val="nil"/>
            </w:tcBorders>
            <w:shd w:val="clear" w:color="000000" w:fill="FF9900"/>
            <w:noWrap/>
            <w:vAlign w:val="bottom"/>
            <w:hideMark/>
          </w:tcPr>
          <w:p w14:paraId="73EB90C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Program: ODRŽAVANJE GROBLJA</w:t>
            </w:r>
          </w:p>
        </w:tc>
        <w:tc>
          <w:tcPr>
            <w:tcW w:w="1559" w:type="dxa"/>
            <w:tcBorders>
              <w:top w:val="nil"/>
              <w:left w:val="nil"/>
              <w:bottom w:val="nil"/>
              <w:right w:val="nil"/>
            </w:tcBorders>
            <w:shd w:val="clear" w:color="000000" w:fill="FF9900"/>
            <w:noWrap/>
            <w:vAlign w:val="bottom"/>
            <w:hideMark/>
          </w:tcPr>
          <w:p w14:paraId="2F1E8C8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99.000,00</w:t>
            </w:r>
          </w:p>
        </w:tc>
        <w:tc>
          <w:tcPr>
            <w:tcW w:w="1559" w:type="dxa"/>
            <w:tcBorders>
              <w:top w:val="nil"/>
              <w:left w:val="nil"/>
              <w:bottom w:val="nil"/>
              <w:right w:val="nil"/>
            </w:tcBorders>
            <w:shd w:val="clear" w:color="000000" w:fill="FF9900"/>
            <w:noWrap/>
            <w:vAlign w:val="bottom"/>
            <w:hideMark/>
          </w:tcPr>
          <w:p w14:paraId="42019CF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96.840,00</w:t>
            </w:r>
          </w:p>
        </w:tc>
        <w:tc>
          <w:tcPr>
            <w:tcW w:w="1559" w:type="dxa"/>
            <w:tcBorders>
              <w:top w:val="nil"/>
              <w:left w:val="nil"/>
              <w:bottom w:val="nil"/>
              <w:right w:val="nil"/>
            </w:tcBorders>
            <w:shd w:val="clear" w:color="000000" w:fill="FF9900"/>
            <w:noWrap/>
            <w:vAlign w:val="bottom"/>
            <w:hideMark/>
          </w:tcPr>
          <w:p w14:paraId="52EF709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88.343,00</w:t>
            </w:r>
          </w:p>
        </w:tc>
        <w:tc>
          <w:tcPr>
            <w:tcW w:w="993" w:type="dxa"/>
            <w:tcBorders>
              <w:top w:val="nil"/>
              <w:left w:val="nil"/>
              <w:bottom w:val="nil"/>
              <w:right w:val="nil"/>
            </w:tcBorders>
            <w:shd w:val="clear" w:color="000000" w:fill="FF9900"/>
            <w:noWrap/>
            <w:vAlign w:val="bottom"/>
            <w:hideMark/>
          </w:tcPr>
          <w:p w14:paraId="46C042C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91,23%</w:t>
            </w:r>
          </w:p>
        </w:tc>
      </w:tr>
      <w:tr w:rsidR="006967F8" w:rsidRPr="006967F8" w14:paraId="5AA036A7" w14:textId="77777777" w:rsidTr="008A61B1">
        <w:trPr>
          <w:trHeight w:val="255"/>
        </w:trPr>
        <w:tc>
          <w:tcPr>
            <w:tcW w:w="1134" w:type="dxa"/>
            <w:tcBorders>
              <w:top w:val="nil"/>
              <w:left w:val="nil"/>
              <w:bottom w:val="nil"/>
              <w:right w:val="nil"/>
            </w:tcBorders>
            <w:shd w:val="clear" w:color="000000" w:fill="FFFF99"/>
            <w:noWrap/>
            <w:vAlign w:val="bottom"/>
            <w:hideMark/>
          </w:tcPr>
          <w:p w14:paraId="0966A7E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A100008</w:t>
            </w:r>
          </w:p>
        </w:tc>
        <w:tc>
          <w:tcPr>
            <w:tcW w:w="4962" w:type="dxa"/>
            <w:tcBorders>
              <w:top w:val="nil"/>
              <w:left w:val="nil"/>
              <w:bottom w:val="nil"/>
              <w:right w:val="nil"/>
            </w:tcBorders>
            <w:shd w:val="clear" w:color="000000" w:fill="FFFF99"/>
            <w:noWrap/>
            <w:vAlign w:val="bottom"/>
            <w:hideMark/>
          </w:tcPr>
          <w:p w14:paraId="4245370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Aktivnost: ODRŽAVANJE GROBLJA</w:t>
            </w:r>
          </w:p>
        </w:tc>
        <w:tc>
          <w:tcPr>
            <w:tcW w:w="1559" w:type="dxa"/>
            <w:tcBorders>
              <w:top w:val="nil"/>
              <w:left w:val="nil"/>
              <w:bottom w:val="nil"/>
              <w:right w:val="nil"/>
            </w:tcBorders>
            <w:shd w:val="clear" w:color="000000" w:fill="FFFF99"/>
            <w:noWrap/>
            <w:vAlign w:val="bottom"/>
            <w:hideMark/>
          </w:tcPr>
          <w:p w14:paraId="745C815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99.000,00</w:t>
            </w:r>
          </w:p>
        </w:tc>
        <w:tc>
          <w:tcPr>
            <w:tcW w:w="1559" w:type="dxa"/>
            <w:tcBorders>
              <w:top w:val="nil"/>
              <w:left w:val="nil"/>
              <w:bottom w:val="nil"/>
              <w:right w:val="nil"/>
            </w:tcBorders>
            <w:shd w:val="clear" w:color="000000" w:fill="FFFF99"/>
            <w:noWrap/>
            <w:vAlign w:val="bottom"/>
            <w:hideMark/>
          </w:tcPr>
          <w:p w14:paraId="1BDA241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96.840,00</w:t>
            </w:r>
          </w:p>
        </w:tc>
        <w:tc>
          <w:tcPr>
            <w:tcW w:w="1559" w:type="dxa"/>
            <w:tcBorders>
              <w:top w:val="nil"/>
              <w:left w:val="nil"/>
              <w:bottom w:val="nil"/>
              <w:right w:val="nil"/>
            </w:tcBorders>
            <w:shd w:val="clear" w:color="000000" w:fill="FFFF99"/>
            <w:noWrap/>
            <w:vAlign w:val="bottom"/>
            <w:hideMark/>
          </w:tcPr>
          <w:p w14:paraId="1AA694F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88.343,00</w:t>
            </w:r>
          </w:p>
        </w:tc>
        <w:tc>
          <w:tcPr>
            <w:tcW w:w="993" w:type="dxa"/>
            <w:tcBorders>
              <w:top w:val="nil"/>
              <w:left w:val="nil"/>
              <w:bottom w:val="nil"/>
              <w:right w:val="nil"/>
            </w:tcBorders>
            <w:shd w:val="clear" w:color="000000" w:fill="FFFF99"/>
            <w:noWrap/>
            <w:vAlign w:val="bottom"/>
            <w:hideMark/>
          </w:tcPr>
          <w:p w14:paraId="03AE8E9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91,23%</w:t>
            </w:r>
          </w:p>
        </w:tc>
      </w:tr>
      <w:tr w:rsidR="006967F8" w:rsidRPr="006967F8" w14:paraId="51B80828"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F5D86AC"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520464C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99.000,00</w:t>
            </w:r>
          </w:p>
        </w:tc>
        <w:tc>
          <w:tcPr>
            <w:tcW w:w="1559" w:type="dxa"/>
            <w:tcBorders>
              <w:top w:val="nil"/>
              <w:left w:val="nil"/>
              <w:bottom w:val="nil"/>
              <w:right w:val="nil"/>
            </w:tcBorders>
            <w:shd w:val="clear" w:color="000000" w:fill="CCCCFF"/>
            <w:noWrap/>
            <w:vAlign w:val="bottom"/>
            <w:hideMark/>
          </w:tcPr>
          <w:p w14:paraId="0D9BF10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96.840,00</w:t>
            </w:r>
          </w:p>
        </w:tc>
        <w:tc>
          <w:tcPr>
            <w:tcW w:w="1559" w:type="dxa"/>
            <w:tcBorders>
              <w:top w:val="nil"/>
              <w:left w:val="nil"/>
              <w:bottom w:val="nil"/>
              <w:right w:val="nil"/>
            </w:tcBorders>
            <w:shd w:val="clear" w:color="000000" w:fill="CCCCFF"/>
            <w:noWrap/>
            <w:vAlign w:val="bottom"/>
            <w:hideMark/>
          </w:tcPr>
          <w:p w14:paraId="327A6A3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88.343,00</w:t>
            </w:r>
          </w:p>
        </w:tc>
        <w:tc>
          <w:tcPr>
            <w:tcW w:w="993" w:type="dxa"/>
            <w:tcBorders>
              <w:top w:val="nil"/>
              <w:left w:val="nil"/>
              <w:bottom w:val="nil"/>
              <w:right w:val="nil"/>
            </w:tcBorders>
            <w:shd w:val="clear" w:color="000000" w:fill="CCCCFF"/>
            <w:noWrap/>
            <w:vAlign w:val="bottom"/>
            <w:hideMark/>
          </w:tcPr>
          <w:p w14:paraId="1D4A980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91,23%</w:t>
            </w:r>
          </w:p>
        </w:tc>
      </w:tr>
      <w:tr w:rsidR="006967F8" w:rsidRPr="006967F8" w14:paraId="5D3481DF"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C1DD3C7"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4.2. Komunalna naknada</w:t>
            </w:r>
          </w:p>
        </w:tc>
        <w:tc>
          <w:tcPr>
            <w:tcW w:w="1559" w:type="dxa"/>
            <w:tcBorders>
              <w:top w:val="nil"/>
              <w:left w:val="nil"/>
              <w:bottom w:val="nil"/>
              <w:right w:val="nil"/>
            </w:tcBorders>
            <w:shd w:val="clear" w:color="000000" w:fill="CCCCFF"/>
            <w:noWrap/>
            <w:vAlign w:val="bottom"/>
            <w:hideMark/>
          </w:tcPr>
          <w:p w14:paraId="3F524CB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99.000,00</w:t>
            </w:r>
          </w:p>
        </w:tc>
        <w:tc>
          <w:tcPr>
            <w:tcW w:w="1559" w:type="dxa"/>
            <w:tcBorders>
              <w:top w:val="nil"/>
              <w:left w:val="nil"/>
              <w:bottom w:val="nil"/>
              <w:right w:val="nil"/>
            </w:tcBorders>
            <w:shd w:val="clear" w:color="000000" w:fill="CCCCFF"/>
            <w:noWrap/>
            <w:vAlign w:val="bottom"/>
            <w:hideMark/>
          </w:tcPr>
          <w:p w14:paraId="5354DC2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96.840,00</w:t>
            </w:r>
          </w:p>
        </w:tc>
        <w:tc>
          <w:tcPr>
            <w:tcW w:w="1559" w:type="dxa"/>
            <w:tcBorders>
              <w:top w:val="nil"/>
              <w:left w:val="nil"/>
              <w:bottom w:val="nil"/>
              <w:right w:val="nil"/>
            </w:tcBorders>
            <w:shd w:val="clear" w:color="000000" w:fill="CCCCFF"/>
            <w:noWrap/>
            <w:vAlign w:val="bottom"/>
            <w:hideMark/>
          </w:tcPr>
          <w:p w14:paraId="798E59F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88.343,00</w:t>
            </w:r>
          </w:p>
        </w:tc>
        <w:tc>
          <w:tcPr>
            <w:tcW w:w="993" w:type="dxa"/>
            <w:tcBorders>
              <w:top w:val="nil"/>
              <w:left w:val="nil"/>
              <w:bottom w:val="nil"/>
              <w:right w:val="nil"/>
            </w:tcBorders>
            <w:shd w:val="clear" w:color="000000" w:fill="CCCCFF"/>
            <w:noWrap/>
            <w:vAlign w:val="bottom"/>
            <w:hideMark/>
          </w:tcPr>
          <w:p w14:paraId="651E79D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91,23%</w:t>
            </w:r>
          </w:p>
        </w:tc>
      </w:tr>
      <w:tr w:rsidR="006967F8" w:rsidRPr="006967F8" w14:paraId="5AAEC5E6" w14:textId="77777777" w:rsidTr="008A61B1">
        <w:trPr>
          <w:trHeight w:val="255"/>
        </w:trPr>
        <w:tc>
          <w:tcPr>
            <w:tcW w:w="1134" w:type="dxa"/>
            <w:tcBorders>
              <w:top w:val="nil"/>
              <w:left w:val="nil"/>
              <w:bottom w:val="nil"/>
              <w:right w:val="nil"/>
            </w:tcBorders>
            <w:noWrap/>
            <w:vAlign w:val="bottom"/>
            <w:hideMark/>
          </w:tcPr>
          <w:p w14:paraId="4267294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0AA70D1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45AD063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99.000,00</w:t>
            </w:r>
          </w:p>
        </w:tc>
        <w:tc>
          <w:tcPr>
            <w:tcW w:w="1559" w:type="dxa"/>
            <w:tcBorders>
              <w:top w:val="nil"/>
              <w:left w:val="nil"/>
              <w:bottom w:val="nil"/>
              <w:right w:val="nil"/>
            </w:tcBorders>
            <w:noWrap/>
            <w:vAlign w:val="bottom"/>
            <w:hideMark/>
          </w:tcPr>
          <w:p w14:paraId="19D438E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96.840,00</w:t>
            </w:r>
          </w:p>
        </w:tc>
        <w:tc>
          <w:tcPr>
            <w:tcW w:w="1559" w:type="dxa"/>
            <w:tcBorders>
              <w:top w:val="nil"/>
              <w:left w:val="nil"/>
              <w:bottom w:val="nil"/>
              <w:right w:val="nil"/>
            </w:tcBorders>
            <w:noWrap/>
            <w:vAlign w:val="bottom"/>
            <w:hideMark/>
          </w:tcPr>
          <w:p w14:paraId="7D98F13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88.343,00</w:t>
            </w:r>
          </w:p>
        </w:tc>
        <w:tc>
          <w:tcPr>
            <w:tcW w:w="993" w:type="dxa"/>
            <w:tcBorders>
              <w:top w:val="nil"/>
              <w:left w:val="nil"/>
              <w:bottom w:val="nil"/>
              <w:right w:val="nil"/>
            </w:tcBorders>
            <w:noWrap/>
            <w:vAlign w:val="bottom"/>
            <w:hideMark/>
          </w:tcPr>
          <w:p w14:paraId="6F6A438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91,23%</w:t>
            </w:r>
          </w:p>
        </w:tc>
      </w:tr>
      <w:tr w:rsidR="006967F8" w:rsidRPr="006967F8" w14:paraId="754EE3FD" w14:textId="77777777" w:rsidTr="008A61B1">
        <w:trPr>
          <w:trHeight w:val="255"/>
        </w:trPr>
        <w:tc>
          <w:tcPr>
            <w:tcW w:w="1134" w:type="dxa"/>
            <w:tcBorders>
              <w:top w:val="nil"/>
              <w:left w:val="nil"/>
              <w:bottom w:val="nil"/>
              <w:right w:val="nil"/>
            </w:tcBorders>
            <w:noWrap/>
            <w:vAlign w:val="bottom"/>
            <w:hideMark/>
          </w:tcPr>
          <w:p w14:paraId="7DEAF99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3232</w:t>
            </w:r>
          </w:p>
        </w:tc>
        <w:tc>
          <w:tcPr>
            <w:tcW w:w="4962" w:type="dxa"/>
            <w:tcBorders>
              <w:top w:val="nil"/>
              <w:left w:val="nil"/>
              <w:bottom w:val="nil"/>
              <w:right w:val="nil"/>
            </w:tcBorders>
            <w:noWrap/>
            <w:vAlign w:val="bottom"/>
            <w:hideMark/>
          </w:tcPr>
          <w:p w14:paraId="3A77264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noWrap/>
            <w:vAlign w:val="bottom"/>
            <w:hideMark/>
          </w:tcPr>
          <w:p w14:paraId="08041949"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04AAE6F"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C12928B"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88.343,00</w:t>
            </w:r>
          </w:p>
        </w:tc>
        <w:tc>
          <w:tcPr>
            <w:tcW w:w="993" w:type="dxa"/>
            <w:tcBorders>
              <w:top w:val="nil"/>
              <w:left w:val="nil"/>
              <w:bottom w:val="nil"/>
              <w:right w:val="nil"/>
            </w:tcBorders>
            <w:noWrap/>
            <w:vAlign w:val="bottom"/>
            <w:hideMark/>
          </w:tcPr>
          <w:p w14:paraId="1F8CBD8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9708FBE" w14:textId="77777777" w:rsidTr="008A61B1">
        <w:trPr>
          <w:trHeight w:val="795"/>
        </w:trPr>
        <w:tc>
          <w:tcPr>
            <w:tcW w:w="1134" w:type="dxa"/>
            <w:tcBorders>
              <w:top w:val="nil"/>
              <w:left w:val="nil"/>
              <w:bottom w:val="nil"/>
              <w:right w:val="nil"/>
            </w:tcBorders>
            <w:shd w:val="clear" w:color="000000" w:fill="FF9900"/>
            <w:noWrap/>
            <w:vAlign w:val="bottom"/>
            <w:hideMark/>
          </w:tcPr>
          <w:p w14:paraId="6E8D50D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lastRenderedPageBreak/>
              <w:t>1408</w:t>
            </w:r>
          </w:p>
        </w:tc>
        <w:tc>
          <w:tcPr>
            <w:tcW w:w="4962" w:type="dxa"/>
            <w:tcBorders>
              <w:top w:val="nil"/>
              <w:left w:val="nil"/>
              <w:bottom w:val="nil"/>
              <w:right w:val="nil"/>
            </w:tcBorders>
            <w:shd w:val="clear" w:color="000000" w:fill="FF9900"/>
            <w:vAlign w:val="bottom"/>
            <w:hideMark/>
          </w:tcPr>
          <w:p w14:paraId="3E63A36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Program: ODRŽAVANJE JAVNIH POVRŠINA NA KOJIMA NIJE DOPUŠTEN PROMET MOTORNIM VOZILIMA</w:t>
            </w:r>
          </w:p>
        </w:tc>
        <w:tc>
          <w:tcPr>
            <w:tcW w:w="1559" w:type="dxa"/>
            <w:tcBorders>
              <w:top w:val="nil"/>
              <w:left w:val="nil"/>
              <w:bottom w:val="nil"/>
              <w:right w:val="nil"/>
            </w:tcBorders>
            <w:shd w:val="clear" w:color="000000" w:fill="FF9900"/>
            <w:noWrap/>
            <w:vAlign w:val="bottom"/>
            <w:hideMark/>
          </w:tcPr>
          <w:p w14:paraId="0F81333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306.350,00</w:t>
            </w:r>
          </w:p>
        </w:tc>
        <w:tc>
          <w:tcPr>
            <w:tcW w:w="1559" w:type="dxa"/>
            <w:tcBorders>
              <w:top w:val="nil"/>
              <w:left w:val="nil"/>
              <w:bottom w:val="nil"/>
              <w:right w:val="nil"/>
            </w:tcBorders>
            <w:shd w:val="clear" w:color="000000" w:fill="FF9900"/>
            <w:noWrap/>
            <w:vAlign w:val="bottom"/>
            <w:hideMark/>
          </w:tcPr>
          <w:p w14:paraId="6A9580D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306.450,00</w:t>
            </w:r>
          </w:p>
        </w:tc>
        <w:tc>
          <w:tcPr>
            <w:tcW w:w="1559" w:type="dxa"/>
            <w:tcBorders>
              <w:top w:val="nil"/>
              <w:left w:val="nil"/>
              <w:bottom w:val="nil"/>
              <w:right w:val="nil"/>
            </w:tcBorders>
            <w:shd w:val="clear" w:color="000000" w:fill="FF9900"/>
            <w:noWrap/>
            <w:vAlign w:val="bottom"/>
            <w:hideMark/>
          </w:tcPr>
          <w:p w14:paraId="047BBD9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270.778,59</w:t>
            </w:r>
          </w:p>
        </w:tc>
        <w:tc>
          <w:tcPr>
            <w:tcW w:w="993" w:type="dxa"/>
            <w:tcBorders>
              <w:top w:val="nil"/>
              <w:left w:val="nil"/>
              <w:bottom w:val="nil"/>
              <w:right w:val="nil"/>
            </w:tcBorders>
            <w:shd w:val="clear" w:color="000000" w:fill="FF9900"/>
            <w:noWrap/>
            <w:vAlign w:val="bottom"/>
            <w:hideMark/>
          </w:tcPr>
          <w:p w14:paraId="1A25711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88,36%</w:t>
            </w:r>
          </w:p>
        </w:tc>
      </w:tr>
      <w:tr w:rsidR="006967F8" w:rsidRPr="006967F8" w14:paraId="7B476C57" w14:textId="77777777" w:rsidTr="008A61B1">
        <w:trPr>
          <w:trHeight w:val="255"/>
        </w:trPr>
        <w:tc>
          <w:tcPr>
            <w:tcW w:w="1134" w:type="dxa"/>
            <w:tcBorders>
              <w:top w:val="nil"/>
              <w:left w:val="nil"/>
              <w:bottom w:val="nil"/>
              <w:right w:val="nil"/>
            </w:tcBorders>
            <w:shd w:val="clear" w:color="000000" w:fill="FFFF99"/>
            <w:noWrap/>
            <w:vAlign w:val="bottom"/>
            <w:hideMark/>
          </w:tcPr>
          <w:p w14:paraId="5E4746A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A100037</w:t>
            </w:r>
          </w:p>
        </w:tc>
        <w:tc>
          <w:tcPr>
            <w:tcW w:w="4962" w:type="dxa"/>
            <w:tcBorders>
              <w:top w:val="nil"/>
              <w:left w:val="nil"/>
              <w:bottom w:val="nil"/>
              <w:right w:val="nil"/>
            </w:tcBorders>
            <w:shd w:val="clear" w:color="000000" w:fill="FFFF99"/>
            <w:noWrap/>
            <w:vAlign w:val="bottom"/>
            <w:hideMark/>
          </w:tcPr>
          <w:p w14:paraId="6F6F9F8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Aktivnost: ODRŽAVANJE JAVNIH POVRŠINA</w:t>
            </w:r>
          </w:p>
        </w:tc>
        <w:tc>
          <w:tcPr>
            <w:tcW w:w="1559" w:type="dxa"/>
            <w:tcBorders>
              <w:top w:val="nil"/>
              <w:left w:val="nil"/>
              <w:bottom w:val="nil"/>
              <w:right w:val="nil"/>
            </w:tcBorders>
            <w:shd w:val="clear" w:color="000000" w:fill="FFFF99"/>
            <w:noWrap/>
            <w:vAlign w:val="bottom"/>
            <w:hideMark/>
          </w:tcPr>
          <w:p w14:paraId="28481D3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235.000,00</w:t>
            </w:r>
          </w:p>
        </w:tc>
        <w:tc>
          <w:tcPr>
            <w:tcW w:w="1559" w:type="dxa"/>
            <w:tcBorders>
              <w:top w:val="nil"/>
              <w:left w:val="nil"/>
              <w:bottom w:val="nil"/>
              <w:right w:val="nil"/>
            </w:tcBorders>
            <w:shd w:val="clear" w:color="000000" w:fill="FFFF99"/>
            <w:noWrap/>
            <w:vAlign w:val="bottom"/>
            <w:hideMark/>
          </w:tcPr>
          <w:p w14:paraId="7194B32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235.000,00</w:t>
            </w:r>
          </w:p>
        </w:tc>
        <w:tc>
          <w:tcPr>
            <w:tcW w:w="1559" w:type="dxa"/>
            <w:tcBorders>
              <w:top w:val="nil"/>
              <w:left w:val="nil"/>
              <w:bottom w:val="nil"/>
              <w:right w:val="nil"/>
            </w:tcBorders>
            <w:shd w:val="clear" w:color="000000" w:fill="FFFF99"/>
            <w:noWrap/>
            <w:vAlign w:val="bottom"/>
            <w:hideMark/>
          </w:tcPr>
          <w:p w14:paraId="70A9842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219.332,60</w:t>
            </w:r>
          </w:p>
        </w:tc>
        <w:tc>
          <w:tcPr>
            <w:tcW w:w="993" w:type="dxa"/>
            <w:tcBorders>
              <w:top w:val="nil"/>
              <w:left w:val="nil"/>
              <w:bottom w:val="nil"/>
              <w:right w:val="nil"/>
            </w:tcBorders>
            <w:shd w:val="clear" w:color="000000" w:fill="FFFF99"/>
            <w:noWrap/>
            <w:vAlign w:val="bottom"/>
            <w:hideMark/>
          </w:tcPr>
          <w:p w14:paraId="3240CEB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93,33%</w:t>
            </w:r>
          </w:p>
        </w:tc>
      </w:tr>
      <w:tr w:rsidR="006967F8" w:rsidRPr="006967F8" w14:paraId="16811028"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E143D56"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698216A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235.000,00</w:t>
            </w:r>
          </w:p>
        </w:tc>
        <w:tc>
          <w:tcPr>
            <w:tcW w:w="1559" w:type="dxa"/>
            <w:tcBorders>
              <w:top w:val="nil"/>
              <w:left w:val="nil"/>
              <w:bottom w:val="nil"/>
              <w:right w:val="nil"/>
            </w:tcBorders>
            <w:shd w:val="clear" w:color="000000" w:fill="CCCCFF"/>
            <w:noWrap/>
            <w:vAlign w:val="bottom"/>
            <w:hideMark/>
          </w:tcPr>
          <w:p w14:paraId="3EAB319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235.000,00</w:t>
            </w:r>
          </w:p>
        </w:tc>
        <w:tc>
          <w:tcPr>
            <w:tcW w:w="1559" w:type="dxa"/>
            <w:tcBorders>
              <w:top w:val="nil"/>
              <w:left w:val="nil"/>
              <w:bottom w:val="nil"/>
              <w:right w:val="nil"/>
            </w:tcBorders>
            <w:shd w:val="clear" w:color="000000" w:fill="CCCCFF"/>
            <w:noWrap/>
            <w:vAlign w:val="bottom"/>
            <w:hideMark/>
          </w:tcPr>
          <w:p w14:paraId="48999D6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219.332,60</w:t>
            </w:r>
          </w:p>
        </w:tc>
        <w:tc>
          <w:tcPr>
            <w:tcW w:w="993" w:type="dxa"/>
            <w:tcBorders>
              <w:top w:val="nil"/>
              <w:left w:val="nil"/>
              <w:bottom w:val="nil"/>
              <w:right w:val="nil"/>
            </w:tcBorders>
            <w:shd w:val="clear" w:color="000000" w:fill="CCCCFF"/>
            <w:noWrap/>
            <w:vAlign w:val="bottom"/>
            <w:hideMark/>
          </w:tcPr>
          <w:p w14:paraId="48378F4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93,33%</w:t>
            </w:r>
          </w:p>
        </w:tc>
      </w:tr>
      <w:tr w:rsidR="006967F8" w:rsidRPr="006967F8" w14:paraId="743C110D"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0559530"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4.2. Komunalna naknada</w:t>
            </w:r>
          </w:p>
        </w:tc>
        <w:tc>
          <w:tcPr>
            <w:tcW w:w="1559" w:type="dxa"/>
            <w:tcBorders>
              <w:top w:val="nil"/>
              <w:left w:val="nil"/>
              <w:bottom w:val="nil"/>
              <w:right w:val="nil"/>
            </w:tcBorders>
            <w:shd w:val="clear" w:color="000000" w:fill="CCCCFF"/>
            <w:noWrap/>
            <w:vAlign w:val="bottom"/>
            <w:hideMark/>
          </w:tcPr>
          <w:p w14:paraId="1E49374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235.000,00</w:t>
            </w:r>
          </w:p>
        </w:tc>
        <w:tc>
          <w:tcPr>
            <w:tcW w:w="1559" w:type="dxa"/>
            <w:tcBorders>
              <w:top w:val="nil"/>
              <w:left w:val="nil"/>
              <w:bottom w:val="nil"/>
              <w:right w:val="nil"/>
            </w:tcBorders>
            <w:shd w:val="clear" w:color="000000" w:fill="CCCCFF"/>
            <w:noWrap/>
            <w:vAlign w:val="bottom"/>
            <w:hideMark/>
          </w:tcPr>
          <w:p w14:paraId="79DAFE9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235.000,00</w:t>
            </w:r>
          </w:p>
        </w:tc>
        <w:tc>
          <w:tcPr>
            <w:tcW w:w="1559" w:type="dxa"/>
            <w:tcBorders>
              <w:top w:val="nil"/>
              <w:left w:val="nil"/>
              <w:bottom w:val="nil"/>
              <w:right w:val="nil"/>
            </w:tcBorders>
            <w:shd w:val="clear" w:color="000000" w:fill="CCCCFF"/>
            <w:noWrap/>
            <w:vAlign w:val="bottom"/>
            <w:hideMark/>
          </w:tcPr>
          <w:p w14:paraId="6166494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219.332,60</w:t>
            </w:r>
          </w:p>
        </w:tc>
        <w:tc>
          <w:tcPr>
            <w:tcW w:w="993" w:type="dxa"/>
            <w:tcBorders>
              <w:top w:val="nil"/>
              <w:left w:val="nil"/>
              <w:bottom w:val="nil"/>
              <w:right w:val="nil"/>
            </w:tcBorders>
            <w:shd w:val="clear" w:color="000000" w:fill="CCCCFF"/>
            <w:noWrap/>
            <w:vAlign w:val="bottom"/>
            <w:hideMark/>
          </w:tcPr>
          <w:p w14:paraId="2C1672B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93,33%</w:t>
            </w:r>
          </w:p>
        </w:tc>
      </w:tr>
      <w:tr w:rsidR="006967F8" w:rsidRPr="006967F8" w14:paraId="69B240C3" w14:textId="77777777" w:rsidTr="008A61B1">
        <w:trPr>
          <w:trHeight w:val="255"/>
        </w:trPr>
        <w:tc>
          <w:tcPr>
            <w:tcW w:w="1134" w:type="dxa"/>
            <w:tcBorders>
              <w:top w:val="nil"/>
              <w:left w:val="nil"/>
              <w:bottom w:val="nil"/>
              <w:right w:val="nil"/>
            </w:tcBorders>
            <w:noWrap/>
            <w:vAlign w:val="bottom"/>
            <w:hideMark/>
          </w:tcPr>
          <w:p w14:paraId="3F67048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6E24882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0A8912D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235.000,00</w:t>
            </w:r>
          </w:p>
        </w:tc>
        <w:tc>
          <w:tcPr>
            <w:tcW w:w="1559" w:type="dxa"/>
            <w:tcBorders>
              <w:top w:val="nil"/>
              <w:left w:val="nil"/>
              <w:bottom w:val="nil"/>
              <w:right w:val="nil"/>
            </w:tcBorders>
            <w:noWrap/>
            <w:vAlign w:val="bottom"/>
            <w:hideMark/>
          </w:tcPr>
          <w:p w14:paraId="47A4C2E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235.000,00</w:t>
            </w:r>
          </w:p>
        </w:tc>
        <w:tc>
          <w:tcPr>
            <w:tcW w:w="1559" w:type="dxa"/>
            <w:tcBorders>
              <w:top w:val="nil"/>
              <w:left w:val="nil"/>
              <w:bottom w:val="nil"/>
              <w:right w:val="nil"/>
            </w:tcBorders>
            <w:noWrap/>
            <w:vAlign w:val="bottom"/>
            <w:hideMark/>
          </w:tcPr>
          <w:p w14:paraId="16D6215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219.332,60</w:t>
            </w:r>
          </w:p>
        </w:tc>
        <w:tc>
          <w:tcPr>
            <w:tcW w:w="993" w:type="dxa"/>
            <w:tcBorders>
              <w:top w:val="nil"/>
              <w:left w:val="nil"/>
              <w:bottom w:val="nil"/>
              <w:right w:val="nil"/>
            </w:tcBorders>
            <w:noWrap/>
            <w:vAlign w:val="bottom"/>
            <w:hideMark/>
          </w:tcPr>
          <w:p w14:paraId="2FC9BF0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93,33%</w:t>
            </w:r>
          </w:p>
        </w:tc>
      </w:tr>
      <w:tr w:rsidR="006967F8" w:rsidRPr="006967F8" w14:paraId="426C7107" w14:textId="77777777" w:rsidTr="008A61B1">
        <w:trPr>
          <w:trHeight w:val="255"/>
        </w:trPr>
        <w:tc>
          <w:tcPr>
            <w:tcW w:w="1134" w:type="dxa"/>
            <w:tcBorders>
              <w:top w:val="nil"/>
              <w:left w:val="nil"/>
              <w:bottom w:val="nil"/>
              <w:right w:val="nil"/>
            </w:tcBorders>
            <w:noWrap/>
            <w:vAlign w:val="bottom"/>
            <w:hideMark/>
          </w:tcPr>
          <w:p w14:paraId="766B752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3232</w:t>
            </w:r>
          </w:p>
        </w:tc>
        <w:tc>
          <w:tcPr>
            <w:tcW w:w="4962" w:type="dxa"/>
            <w:tcBorders>
              <w:top w:val="nil"/>
              <w:left w:val="nil"/>
              <w:bottom w:val="nil"/>
              <w:right w:val="nil"/>
            </w:tcBorders>
            <w:noWrap/>
            <w:vAlign w:val="bottom"/>
            <w:hideMark/>
          </w:tcPr>
          <w:p w14:paraId="1379F36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noWrap/>
            <w:vAlign w:val="bottom"/>
            <w:hideMark/>
          </w:tcPr>
          <w:p w14:paraId="487B3359"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96DA603"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E86A246"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3.946,25</w:t>
            </w:r>
          </w:p>
        </w:tc>
        <w:tc>
          <w:tcPr>
            <w:tcW w:w="993" w:type="dxa"/>
            <w:tcBorders>
              <w:top w:val="nil"/>
              <w:left w:val="nil"/>
              <w:bottom w:val="nil"/>
              <w:right w:val="nil"/>
            </w:tcBorders>
            <w:noWrap/>
            <w:vAlign w:val="bottom"/>
            <w:hideMark/>
          </w:tcPr>
          <w:p w14:paraId="4E0C2175"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55AACB9" w14:textId="77777777" w:rsidTr="008A61B1">
        <w:trPr>
          <w:trHeight w:val="255"/>
        </w:trPr>
        <w:tc>
          <w:tcPr>
            <w:tcW w:w="1134" w:type="dxa"/>
            <w:tcBorders>
              <w:top w:val="nil"/>
              <w:left w:val="nil"/>
              <w:bottom w:val="nil"/>
              <w:right w:val="nil"/>
            </w:tcBorders>
            <w:noWrap/>
            <w:vAlign w:val="bottom"/>
            <w:hideMark/>
          </w:tcPr>
          <w:p w14:paraId="5538E61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3234</w:t>
            </w:r>
          </w:p>
        </w:tc>
        <w:tc>
          <w:tcPr>
            <w:tcW w:w="4962" w:type="dxa"/>
            <w:tcBorders>
              <w:top w:val="nil"/>
              <w:left w:val="nil"/>
              <w:bottom w:val="nil"/>
              <w:right w:val="nil"/>
            </w:tcBorders>
            <w:noWrap/>
            <w:vAlign w:val="bottom"/>
            <w:hideMark/>
          </w:tcPr>
          <w:p w14:paraId="02E0FF2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Komunalne usluge</w:t>
            </w:r>
          </w:p>
        </w:tc>
        <w:tc>
          <w:tcPr>
            <w:tcW w:w="1559" w:type="dxa"/>
            <w:tcBorders>
              <w:top w:val="nil"/>
              <w:left w:val="nil"/>
              <w:bottom w:val="nil"/>
              <w:right w:val="nil"/>
            </w:tcBorders>
            <w:noWrap/>
            <w:vAlign w:val="bottom"/>
            <w:hideMark/>
          </w:tcPr>
          <w:p w14:paraId="0CA9C82D"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87118A0"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5CA9E63"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193.875,10</w:t>
            </w:r>
          </w:p>
        </w:tc>
        <w:tc>
          <w:tcPr>
            <w:tcW w:w="993" w:type="dxa"/>
            <w:tcBorders>
              <w:top w:val="nil"/>
              <w:left w:val="nil"/>
              <w:bottom w:val="nil"/>
              <w:right w:val="nil"/>
            </w:tcBorders>
            <w:noWrap/>
            <w:vAlign w:val="bottom"/>
            <w:hideMark/>
          </w:tcPr>
          <w:p w14:paraId="592B1893"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894817F" w14:textId="77777777" w:rsidTr="008A61B1">
        <w:trPr>
          <w:trHeight w:val="255"/>
        </w:trPr>
        <w:tc>
          <w:tcPr>
            <w:tcW w:w="1134" w:type="dxa"/>
            <w:tcBorders>
              <w:top w:val="nil"/>
              <w:left w:val="nil"/>
              <w:bottom w:val="nil"/>
              <w:right w:val="nil"/>
            </w:tcBorders>
            <w:noWrap/>
            <w:vAlign w:val="bottom"/>
            <w:hideMark/>
          </w:tcPr>
          <w:p w14:paraId="62A10F9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3237</w:t>
            </w:r>
          </w:p>
        </w:tc>
        <w:tc>
          <w:tcPr>
            <w:tcW w:w="4962" w:type="dxa"/>
            <w:tcBorders>
              <w:top w:val="nil"/>
              <w:left w:val="nil"/>
              <w:bottom w:val="nil"/>
              <w:right w:val="nil"/>
            </w:tcBorders>
            <w:noWrap/>
            <w:vAlign w:val="bottom"/>
            <w:hideMark/>
          </w:tcPr>
          <w:p w14:paraId="57DF302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Intelektualne i osobne usluge</w:t>
            </w:r>
          </w:p>
        </w:tc>
        <w:tc>
          <w:tcPr>
            <w:tcW w:w="1559" w:type="dxa"/>
            <w:tcBorders>
              <w:top w:val="nil"/>
              <w:left w:val="nil"/>
              <w:bottom w:val="nil"/>
              <w:right w:val="nil"/>
            </w:tcBorders>
            <w:noWrap/>
            <w:vAlign w:val="bottom"/>
            <w:hideMark/>
          </w:tcPr>
          <w:p w14:paraId="28461E88"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50E1841"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8C54F14"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21.250,00</w:t>
            </w:r>
          </w:p>
        </w:tc>
        <w:tc>
          <w:tcPr>
            <w:tcW w:w="993" w:type="dxa"/>
            <w:tcBorders>
              <w:top w:val="nil"/>
              <w:left w:val="nil"/>
              <w:bottom w:val="nil"/>
              <w:right w:val="nil"/>
            </w:tcBorders>
            <w:noWrap/>
            <w:vAlign w:val="bottom"/>
            <w:hideMark/>
          </w:tcPr>
          <w:p w14:paraId="34778776"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F540216" w14:textId="77777777" w:rsidTr="008A61B1">
        <w:trPr>
          <w:trHeight w:val="255"/>
        </w:trPr>
        <w:tc>
          <w:tcPr>
            <w:tcW w:w="1134" w:type="dxa"/>
            <w:tcBorders>
              <w:top w:val="nil"/>
              <w:left w:val="nil"/>
              <w:bottom w:val="nil"/>
              <w:right w:val="nil"/>
            </w:tcBorders>
            <w:noWrap/>
            <w:vAlign w:val="bottom"/>
            <w:hideMark/>
          </w:tcPr>
          <w:p w14:paraId="2438D7D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3239</w:t>
            </w:r>
          </w:p>
        </w:tc>
        <w:tc>
          <w:tcPr>
            <w:tcW w:w="4962" w:type="dxa"/>
            <w:tcBorders>
              <w:top w:val="nil"/>
              <w:left w:val="nil"/>
              <w:bottom w:val="nil"/>
              <w:right w:val="nil"/>
            </w:tcBorders>
            <w:noWrap/>
            <w:vAlign w:val="bottom"/>
            <w:hideMark/>
          </w:tcPr>
          <w:p w14:paraId="33BDA38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Ostale usluge</w:t>
            </w:r>
          </w:p>
        </w:tc>
        <w:tc>
          <w:tcPr>
            <w:tcW w:w="1559" w:type="dxa"/>
            <w:tcBorders>
              <w:top w:val="nil"/>
              <w:left w:val="nil"/>
              <w:bottom w:val="nil"/>
              <w:right w:val="nil"/>
            </w:tcBorders>
            <w:noWrap/>
            <w:vAlign w:val="bottom"/>
            <w:hideMark/>
          </w:tcPr>
          <w:p w14:paraId="0D3864DE"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78249CD"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C561D4E"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261,25</w:t>
            </w:r>
          </w:p>
        </w:tc>
        <w:tc>
          <w:tcPr>
            <w:tcW w:w="993" w:type="dxa"/>
            <w:tcBorders>
              <w:top w:val="nil"/>
              <w:left w:val="nil"/>
              <w:bottom w:val="nil"/>
              <w:right w:val="nil"/>
            </w:tcBorders>
            <w:noWrap/>
            <w:vAlign w:val="bottom"/>
            <w:hideMark/>
          </w:tcPr>
          <w:p w14:paraId="3EAF1F64"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93E769E" w14:textId="77777777" w:rsidTr="008A61B1">
        <w:trPr>
          <w:trHeight w:val="255"/>
        </w:trPr>
        <w:tc>
          <w:tcPr>
            <w:tcW w:w="1134" w:type="dxa"/>
            <w:tcBorders>
              <w:top w:val="nil"/>
              <w:left w:val="nil"/>
              <w:bottom w:val="nil"/>
              <w:right w:val="nil"/>
            </w:tcBorders>
            <w:shd w:val="clear" w:color="000000" w:fill="FFFF99"/>
            <w:noWrap/>
            <w:vAlign w:val="bottom"/>
            <w:hideMark/>
          </w:tcPr>
          <w:p w14:paraId="34E1002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A100038</w:t>
            </w:r>
          </w:p>
        </w:tc>
        <w:tc>
          <w:tcPr>
            <w:tcW w:w="4962" w:type="dxa"/>
            <w:tcBorders>
              <w:top w:val="nil"/>
              <w:left w:val="nil"/>
              <w:bottom w:val="nil"/>
              <w:right w:val="nil"/>
            </w:tcBorders>
            <w:shd w:val="clear" w:color="000000" w:fill="FFFF99"/>
            <w:noWrap/>
            <w:vAlign w:val="bottom"/>
            <w:hideMark/>
          </w:tcPr>
          <w:p w14:paraId="36CEA85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Aktivnost: ODRŽAVANJE KAMENIH PLOČNIKA</w:t>
            </w:r>
          </w:p>
        </w:tc>
        <w:tc>
          <w:tcPr>
            <w:tcW w:w="1559" w:type="dxa"/>
            <w:tcBorders>
              <w:top w:val="nil"/>
              <w:left w:val="nil"/>
              <w:bottom w:val="nil"/>
              <w:right w:val="nil"/>
            </w:tcBorders>
            <w:shd w:val="clear" w:color="000000" w:fill="FFFF99"/>
            <w:noWrap/>
            <w:vAlign w:val="bottom"/>
            <w:hideMark/>
          </w:tcPr>
          <w:p w14:paraId="311BD2F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shd w:val="clear" w:color="000000" w:fill="FFFF99"/>
            <w:noWrap/>
            <w:vAlign w:val="bottom"/>
            <w:hideMark/>
          </w:tcPr>
          <w:p w14:paraId="137A0A2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shd w:val="clear" w:color="000000" w:fill="FFFF99"/>
            <w:noWrap/>
            <w:vAlign w:val="bottom"/>
            <w:hideMark/>
          </w:tcPr>
          <w:p w14:paraId="4BE456A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shd w:val="clear" w:color="000000" w:fill="FFFF99"/>
            <w:noWrap/>
            <w:vAlign w:val="bottom"/>
            <w:hideMark/>
          </w:tcPr>
          <w:p w14:paraId="11DC3DE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1D835504"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C5966BC"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0CC7244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4EC658B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2A46E19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7C4927A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2E4DA05C"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2612D07"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4.2. Komunalna naknada</w:t>
            </w:r>
          </w:p>
        </w:tc>
        <w:tc>
          <w:tcPr>
            <w:tcW w:w="1559" w:type="dxa"/>
            <w:tcBorders>
              <w:top w:val="nil"/>
              <w:left w:val="nil"/>
              <w:bottom w:val="nil"/>
              <w:right w:val="nil"/>
            </w:tcBorders>
            <w:shd w:val="clear" w:color="000000" w:fill="CCCCFF"/>
            <w:noWrap/>
            <w:vAlign w:val="bottom"/>
            <w:hideMark/>
          </w:tcPr>
          <w:p w14:paraId="750956A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024F5C0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398B4EE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305E577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1FD32842" w14:textId="77777777" w:rsidTr="008A61B1">
        <w:trPr>
          <w:trHeight w:val="255"/>
        </w:trPr>
        <w:tc>
          <w:tcPr>
            <w:tcW w:w="1134" w:type="dxa"/>
            <w:tcBorders>
              <w:top w:val="nil"/>
              <w:left w:val="nil"/>
              <w:bottom w:val="nil"/>
              <w:right w:val="nil"/>
            </w:tcBorders>
            <w:noWrap/>
            <w:vAlign w:val="bottom"/>
            <w:hideMark/>
          </w:tcPr>
          <w:p w14:paraId="730DAB2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6E6B1CA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1E3722B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noWrap/>
            <w:vAlign w:val="bottom"/>
            <w:hideMark/>
          </w:tcPr>
          <w:p w14:paraId="443A82B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noWrap/>
            <w:vAlign w:val="bottom"/>
            <w:hideMark/>
          </w:tcPr>
          <w:p w14:paraId="13B4A87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14AF300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3A444853" w14:textId="77777777" w:rsidTr="008A61B1">
        <w:trPr>
          <w:trHeight w:val="540"/>
        </w:trPr>
        <w:tc>
          <w:tcPr>
            <w:tcW w:w="1134" w:type="dxa"/>
            <w:tcBorders>
              <w:top w:val="nil"/>
              <w:left w:val="nil"/>
              <w:bottom w:val="nil"/>
              <w:right w:val="nil"/>
            </w:tcBorders>
            <w:shd w:val="clear" w:color="000000" w:fill="FFFF99"/>
            <w:noWrap/>
            <w:vAlign w:val="bottom"/>
            <w:hideMark/>
          </w:tcPr>
          <w:p w14:paraId="02BC350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A100040</w:t>
            </w:r>
          </w:p>
        </w:tc>
        <w:tc>
          <w:tcPr>
            <w:tcW w:w="4962" w:type="dxa"/>
            <w:tcBorders>
              <w:top w:val="nil"/>
              <w:left w:val="nil"/>
              <w:bottom w:val="nil"/>
              <w:right w:val="nil"/>
            </w:tcBorders>
            <w:shd w:val="clear" w:color="000000" w:fill="FFFF99"/>
            <w:vAlign w:val="bottom"/>
            <w:hideMark/>
          </w:tcPr>
          <w:p w14:paraId="094B519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Aktivnost: ODRŽAVANJE JAVNIH POVRŠINA- I TEBE SE PITA</w:t>
            </w:r>
          </w:p>
        </w:tc>
        <w:tc>
          <w:tcPr>
            <w:tcW w:w="1559" w:type="dxa"/>
            <w:tcBorders>
              <w:top w:val="nil"/>
              <w:left w:val="nil"/>
              <w:bottom w:val="nil"/>
              <w:right w:val="nil"/>
            </w:tcBorders>
            <w:shd w:val="clear" w:color="000000" w:fill="FFFF99"/>
            <w:noWrap/>
            <w:vAlign w:val="bottom"/>
            <w:hideMark/>
          </w:tcPr>
          <w:p w14:paraId="2985037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51.350,00</w:t>
            </w:r>
          </w:p>
        </w:tc>
        <w:tc>
          <w:tcPr>
            <w:tcW w:w="1559" w:type="dxa"/>
            <w:tcBorders>
              <w:top w:val="nil"/>
              <w:left w:val="nil"/>
              <w:bottom w:val="nil"/>
              <w:right w:val="nil"/>
            </w:tcBorders>
            <w:shd w:val="clear" w:color="000000" w:fill="FFFF99"/>
            <w:noWrap/>
            <w:vAlign w:val="bottom"/>
            <w:hideMark/>
          </w:tcPr>
          <w:p w14:paraId="6EE2CA4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51.450,00</w:t>
            </w:r>
          </w:p>
        </w:tc>
        <w:tc>
          <w:tcPr>
            <w:tcW w:w="1559" w:type="dxa"/>
            <w:tcBorders>
              <w:top w:val="nil"/>
              <w:left w:val="nil"/>
              <w:bottom w:val="nil"/>
              <w:right w:val="nil"/>
            </w:tcBorders>
            <w:shd w:val="clear" w:color="000000" w:fill="FFFF99"/>
            <w:noWrap/>
            <w:vAlign w:val="bottom"/>
            <w:hideMark/>
          </w:tcPr>
          <w:p w14:paraId="0D760EF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51.445,99</w:t>
            </w:r>
          </w:p>
        </w:tc>
        <w:tc>
          <w:tcPr>
            <w:tcW w:w="993" w:type="dxa"/>
            <w:tcBorders>
              <w:top w:val="nil"/>
              <w:left w:val="nil"/>
              <w:bottom w:val="nil"/>
              <w:right w:val="nil"/>
            </w:tcBorders>
            <w:shd w:val="clear" w:color="000000" w:fill="FFFF99"/>
            <w:noWrap/>
            <w:vAlign w:val="bottom"/>
            <w:hideMark/>
          </w:tcPr>
          <w:p w14:paraId="052A13B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99,99%</w:t>
            </w:r>
          </w:p>
        </w:tc>
      </w:tr>
      <w:tr w:rsidR="006967F8" w:rsidRPr="006967F8" w14:paraId="41F61CA3"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8976BFF"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1416F94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51.350,00</w:t>
            </w:r>
          </w:p>
        </w:tc>
        <w:tc>
          <w:tcPr>
            <w:tcW w:w="1559" w:type="dxa"/>
            <w:tcBorders>
              <w:top w:val="nil"/>
              <w:left w:val="nil"/>
              <w:bottom w:val="nil"/>
              <w:right w:val="nil"/>
            </w:tcBorders>
            <w:shd w:val="clear" w:color="000000" w:fill="CCCCFF"/>
            <w:noWrap/>
            <w:vAlign w:val="bottom"/>
            <w:hideMark/>
          </w:tcPr>
          <w:p w14:paraId="50667C0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51.450,00</w:t>
            </w:r>
          </w:p>
        </w:tc>
        <w:tc>
          <w:tcPr>
            <w:tcW w:w="1559" w:type="dxa"/>
            <w:tcBorders>
              <w:top w:val="nil"/>
              <w:left w:val="nil"/>
              <w:bottom w:val="nil"/>
              <w:right w:val="nil"/>
            </w:tcBorders>
            <w:shd w:val="clear" w:color="000000" w:fill="CCCCFF"/>
            <w:noWrap/>
            <w:vAlign w:val="bottom"/>
            <w:hideMark/>
          </w:tcPr>
          <w:p w14:paraId="06B1D55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51.445,99</w:t>
            </w:r>
          </w:p>
        </w:tc>
        <w:tc>
          <w:tcPr>
            <w:tcW w:w="993" w:type="dxa"/>
            <w:tcBorders>
              <w:top w:val="nil"/>
              <w:left w:val="nil"/>
              <w:bottom w:val="nil"/>
              <w:right w:val="nil"/>
            </w:tcBorders>
            <w:shd w:val="clear" w:color="000000" w:fill="CCCCFF"/>
            <w:noWrap/>
            <w:vAlign w:val="bottom"/>
            <w:hideMark/>
          </w:tcPr>
          <w:p w14:paraId="6F52438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99,99%</w:t>
            </w:r>
          </w:p>
        </w:tc>
      </w:tr>
      <w:tr w:rsidR="006967F8" w:rsidRPr="006967F8" w14:paraId="65DF6391"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9B57DD9"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4.2. Komunalna naknada</w:t>
            </w:r>
          </w:p>
        </w:tc>
        <w:tc>
          <w:tcPr>
            <w:tcW w:w="1559" w:type="dxa"/>
            <w:tcBorders>
              <w:top w:val="nil"/>
              <w:left w:val="nil"/>
              <w:bottom w:val="nil"/>
              <w:right w:val="nil"/>
            </w:tcBorders>
            <w:shd w:val="clear" w:color="000000" w:fill="CCCCFF"/>
            <w:noWrap/>
            <w:vAlign w:val="bottom"/>
            <w:hideMark/>
          </w:tcPr>
          <w:p w14:paraId="62A99F2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51.350,00</w:t>
            </w:r>
          </w:p>
        </w:tc>
        <w:tc>
          <w:tcPr>
            <w:tcW w:w="1559" w:type="dxa"/>
            <w:tcBorders>
              <w:top w:val="nil"/>
              <w:left w:val="nil"/>
              <w:bottom w:val="nil"/>
              <w:right w:val="nil"/>
            </w:tcBorders>
            <w:shd w:val="clear" w:color="000000" w:fill="CCCCFF"/>
            <w:noWrap/>
            <w:vAlign w:val="bottom"/>
            <w:hideMark/>
          </w:tcPr>
          <w:p w14:paraId="204AC92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51.450,00</w:t>
            </w:r>
          </w:p>
        </w:tc>
        <w:tc>
          <w:tcPr>
            <w:tcW w:w="1559" w:type="dxa"/>
            <w:tcBorders>
              <w:top w:val="nil"/>
              <w:left w:val="nil"/>
              <w:bottom w:val="nil"/>
              <w:right w:val="nil"/>
            </w:tcBorders>
            <w:shd w:val="clear" w:color="000000" w:fill="CCCCFF"/>
            <w:noWrap/>
            <w:vAlign w:val="bottom"/>
            <w:hideMark/>
          </w:tcPr>
          <w:p w14:paraId="7012881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51.445,99</w:t>
            </w:r>
          </w:p>
        </w:tc>
        <w:tc>
          <w:tcPr>
            <w:tcW w:w="993" w:type="dxa"/>
            <w:tcBorders>
              <w:top w:val="nil"/>
              <w:left w:val="nil"/>
              <w:bottom w:val="nil"/>
              <w:right w:val="nil"/>
            </w:tcBorders>
            <w:shd w:val="clear" w:color="000000" w:fill="CCCCFF"/>
            <w:noWrap/>
            <w:vAlign w:val="bottom"/>
            <w:hideMark/>
          </w:tcPr>
          <w:p w14:paraId="11FB044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99,99%</w:t>
            </w:r>
          </w:p>
        </w:tc>
      </w:tr>
      <w:tr w:rsidR="006967F8" w:rsidRPr="006967F8" w14:paraId="27C7477E" w14:textId="77777777" w:rsidTr="008A61B1">
        <w:trPr>
          <w:trHeight w:val="255"/>
        </w:trPr>
        <w:tc>
          <w:tcPr>
            <w:tcW w:w="1134" w:type="dxa"/>
            <w:tcBorders>
              <w:top w:val="nil"/>
              <w:left w:val="nil"/>
              <w:bottom w:val="nil"/>
              <w:right w:val="nil"/>
            </w:tcBorders>
            <w:noWrap/>
            <w:vAlign w:val="bottom"/>
            <w:hideMark/>
          </w:tcPr>
          <w:p w14:paraId="45FB9AB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606B9E5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1BA7835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51.350,00</w:t>
            </w:r>
          </w:p>
        </w:tc>
        <w:tc>
          <w:tcPr>
            <w:tcW w:w="1559" w:type="dxa"/>
            <w:tcBorders>
              <w:top w:val="nil"/>
              <w:left w:val="nil"/>
              <w:bottom w:val="nil"/>
              <w:right w:val="nil"/>
            </w:tcBorders>
            <w:noWrap/>
            <w:vAlign w:val="bottom"/>
            <w:hideMark/>
          </w:tcPr>
          <w:p w14:paraId="0465AE5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51.450,00</w:t>
            </w:r>
          </w:p>
        </w:tc>
        <w:tc>
          <w:tcPr>
            <w:tcW w:w="1559" w:type="dxa"/>
            <w:tcBorders>
              <w:top w:val="nil"/>
              <w:left w:val="nil"/>
              <w:bottom w:val="nil"/>
              <w:right w:val="nil"/>
            </w:tcBorders>
            <w:noWrap/>
            <w:vAlign w:val="bottom"/>
            <w:hideMark/>
          </w:tcPr>
          <w:p w14:paraId="4BDE195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51.445,99</w:t>
            </w:r>
          </w:p>
        </w:tc>
        <w:tc>
          <w:tcPr>
            <w:tcW w:w="993" w:type="dxa"/>
            <w:tcBorders>
              <w:top w:val="nil"/>
              <w:left w:val="nil"/>
              <w:bottom w:val="nil"/>
              <w:right w:val="nil"/>
            </w:tcBorders>
            <w:noWrap/>
            <w:vAlign w:val="bottom"/>
            <w:hideMark/>
          </w:tcPr>
          <w:p w14:paraId="22801C3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99,99%</w:t>
            </w:r>
          </w:p>
        </w:tc>
      </w:tr>
      <w:tr w:rsidR="006967F8" w:rsidRPr="006967F8" w14:paraId="0782F512" w14:textId="77777777" w:rsidTr="008A61B1">
        <w:trPr>
          <w:trHeight w:val="255"/>
        </w:trPr>
        <w:tc>
          <w:tcPr>
            <w:tcW w:w="1134" w:type="dxa"/>
            <w:tcBorders>
              <w:top w:val="nil"/>
              <w:left w:val="nil"/>
              <w:bottom w:val="nil"/>
              <w:right w:val="nil"/>
            </w:tcBorders>
            <w:noWrap/>
            <w:vAlign w:val="bottom"/>
            <w:hideMark/>
          </w:tcPr>
          <w:p w14:paraId="230E7AA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3232</w:t>
            </w:r>
          </w:p>
        </w:tc>
        <w:tc>
          <w:tcPr>
            <w:tcW w:w="4962" w:type="dxa"/>
            <w:tcBorders>
              <w:top w:val="nil"/>
              <w:left w:val="nil"/>
              <w:bottom w:val="nil"/>
              <w:right w:val="nil"/>
            </w:tcBorders>
            <w:noWrap/>
            <w:vAlign w:val="bottom"/>
            <w:hideMark/>
          </w:tcPr>
          <w:p w14:paraId="7D831B6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noWrap/>
            <w:vAlign w:val="bottom"/>
            <w:hideMark/>
          </w:tcPr>
          <w:p w14:paraId="29BEF8A4"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E55644D"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CF5A4B4"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35.020,99</w:t>
            </w:r>
          </w:p>
        </w:tc>
        <w:tc>
          <w:tcPr>
            <w:tcW w:w="993" w:type="dxa"/>
            <w:tcBorders>
              <w:top w:val="nil"/>
              <w:left w:val="nil"/>
              <w:bottom w:val="nil"/>
              <w:right w:val="nil"/>
            </w:tcBorders>
            <w:noWrap/>
            <w:vAlign w:val="bottom"/>
            <w:hideMark/>
          </w:tcPr>
          <w:p w14:paraId="06BC7937"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13EC7F5" w14:textId="77777777" w:rsidTr="008A61B1">
        <w:trPr>
          <w:trHeight w:val="255"/>
        </w:trPr>
        <w:tc>
          <w:tcPr>
            <w:tcW w:w="1134" w:type="dxa"/>
            <w:tcBorders>
              <w:top w:val="nil"/>
              <w:left w:val="nil"/>
              <w:bottom w:val="nil"/>
              <w:right w:val="nil"/>
            </w:tcBorders>
            <w:noWrap/>
            <w:vAlign w:val="bottom"/>
            <w:hideMark/>
          </w:tcPr>
          <w:p w14:paraId="46006EF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3233</w:t>
            </w:r>
          </w:p>
        </w:tc>
        <w:tc>
          <w:tcPr>
            <w:tcW w:w="4962" w:type="dxa"/>
            <w:tcBorders>
              <w:top w:val="nil"/>
              <w:left w:val="nil"/>
              <w:bottom w:val="nil"/>
              <w:right w:val="nil"/>
            </w:tcBorders>
            <w:noWrap/>
            <w:vAlign w:val="bottom"/>
            <w:hideMark/>
          </w:tcPr>
          <w:p w14:paraId="19AD886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promidžbe i informiranja</w:t>
            </w:r>
          </w:p>
        </w:tc>
        <w:tc>
          <w:tcPr>
            <w:tcW w:w="1559" w:type="dxa"/>
            <w:tcBorders>
              <w:top w:val="nil"/>
              <w:left w:val="nil"/>
              <w:bottom w:val="nil"/>
              <w:right w:val="nil"/>
            </w:tcBorders>
            <w:noWrap/>
            <w:vAlign w:val="bottom"/>
            <w:hideMark/>
          </w:tcPr>
          <w:p w14:paraId="31573B6D"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A8F942B"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1343213"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7.375,00</w:t>
            </w:r>
          </w:p>
        </w:tc>
        <w:tc>
          <w:tcPr>
            <w:tcW w:w="993" w:type="dxa"/>
            <w:tcBorders>
              <w:top w:val="nil"/>
              <w:left w:val="nil"/>
              <w:bottom w:val="nil"/>
              <w:right w:val="nil"/>
            </w:tcBorders>
            <w:noWrap/>
            <w:vAlign w:val="bottom"/>
            <w:hideMark/>
          </w:tcPr>
          <w:p w14:paraId="7A71F7DD"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FDD694E" w14:textId="77777777" w:rsidTr="008A61B1">
        <w:trPr>
          <w:trHeight w:val="255"/>
        </w:trPr>
        <w:tc>
          <w:tcPr>
            <w:tcW w:w="1134" w:type="dxa"/>
            <w:tcBorders>
              <w:top w:val="nil"/>
              <w:left w:val="nil"/>
              <w:bottom w:val="nil"/>
              <w:right w:val="nil"/>
            </w:tcBorders>
            <w:noWrap/>
            <w:vAlign w:val="bottom"/>
            <w:hideMark/>
          </w:tcPr>
          <w:p w14:paraId="6089C06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3237</w:t>
            </w:r>
          </w:p>
        </w:tc>
        <w:tc>
          <w:tcPr>
            <w:tcW w:w="4962" w:type="dxa"/>
            <w:tcBorders>
              <w:top w:val="nil"/>
              <w:left w:val="nil"/>
              <w:bottom w:val="nil"/>
              <w:right w:val="nil"/>
            </w:tcBorders>
            <w:noWrap/>
            <w:vAlign w:val="bottom"/>
            <w:hideMark/>
          </w:tcPr>
          <w:p w14:paraId="1FA7AE7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Intelektualne i osobne usluge</w:t>
            </w:r>
          </w:p>
        </w:tc>
        <w:tc>
          <w:tcPr>
            <w:tcW w:w="1559" w:type="dxa"/>
            <w:tcBorders>
              <w:top w:val="nil"/>
              <w:left w:val="nil"/>
              <w:bottom w:val="nil"/>
              <w:right w:val="nil"/>
            </w:tcBorders>
            <w:noWrap/>
            <w:vAlign w:val="bottom"/>
            <w:hideMark/>
          </w:tcPr>
          <w:p w14:paraId="7EDD48F2"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A4468D3"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D761255"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8.750,00</w:t>
            </w:r>
          </w:p>
        </w:tc>
        <w:tc>
          <w:tcPr>
            <w:tcW w:w="993" w:type="dxa"/>
            <w:tcBorders>
              <w:top w:val="nil"/>
              <w:left w:val="nil"/>
              <w:bottom w:val="nil"/>
              <w:right w:val="nil"/>
            </w:tcBorders>
            <w:noWrap/>
            <w:vAlign w:val="bottom"/>
            <w:hideMark/>
          </w:tcPr>
          <w:p w14:paraId="35AA431C"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4926117" w14:textId="77777777" w:rsidTr="008A61B1">
        <w:trPr>
          <w:trHeight w:val="255"/>
        </w:trPr>
        <w:tc>
          <w:tcPr>
            <w:tcW w:w="1134" w:type="dxa"/>
            <w:tcBorders>
              <w:top w:val="nil"/>
              <w:left w:val="nil"/>
              <w:bottom w:val="nil"/>
              <w:right w:val="nil"/>
            </w:tcBorders>
            <w:noWrap/>
            <w:vAlign w:val="bottom"/>
            <w:hideMark/>
          </w:tcPr>
          <w:p w14:paraId="4C1DB0E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3239</w:t>
            </w:r>
          </w:p>
        </w:tc>
        <w:tc>
          <w:tcPr>
            <w:tcW w:w="4962" w:type="dxa"/>
            <w:tcBorders>
              <w:top w:val="nil"/>
              <w:left w:val="nil"/>
              <w:bottom w:val="nil"/>
              <w:right w:val="nil"/>
            </w:tcBorders>
            <w:noWrap/>
            <w:vAlign w:val="bottom"/>
            <w:hideMark/>
          </w:tcPr>
          <w:p w14:paraId="2A18400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Ostale usluge</w:t>
            </w:r>
          </w:p>
        </w:tc>
        <w:tc>
          <w:tcPr>
            <w:tcW w:w="1559" w:type="dxa"/>
            <w:tcBorders>
              <w:top w:val="nil"/>
              <w:left w:val="nil"/>
              <w:bottom w:val="nil"/>
              <w:right w:val="nil"/>
            </w:tcBorders>
            <w:noWrap/>
            <w:vAlign w:val="bottom"/>
            <w:hideMark/>
          </w:tcPr>
          <w:p w14:paraId="7F5DD3B0"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D8F0424"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29EC701"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300,00</w:t>
            </w:r>
          </w:p>
        </w:tc>
        <w:tc>
          <w:tcPr>
            <w:tcW w:w="993" w:type="dxa"/>
            <w:tcBorders>
              <w:top w:val="nil"/>
              <w:left w:val="nil"/>
              <w:bottom w:val="nil"/>
              <w:right w:val="nil"/>
            </w:tcBorders>
            <w:noWrap/>
            <w:vAlign w:val="bottom"/>
            <w:hideMark/>
          </w:tcPr>
          <w:p w14:paraId="20451063"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A790875" w14:textId="77777777" w:rsidTr="008A61B1">
        <w:trPr>
          <w:trHeight w:val="525"/>
        </w:trPr>
        <w:tc>
          <w:tcPr>
            <w:tcW w:w="1134" w:type="dxa"/>
            <w:tcBorders>
              <w:top w:val="nil"/>
              <w:left w:val="nil"/>
              <w:bottom w:val="nil"/>
              <w:right w:val="nil"/>
            </w:tcBorders>
            <w:shd w:val="clear" w:color="000000" w:fill="FF9900"/>
            <w:noWrap/>
            <w:vAlign w:val="bottom"/>
            <w:hideMark/>
          </w:tcPr>
          <w:p w14:paraId="4EA35F8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1409</w:t>
            </w:r>
          </w:p>
        </w:tc>
        <w:tc>
          <w:tcPr>
            <w:tcW w:w="4962" w:type="dxa"/>
            <w:tcBorders>
              <w:top w:val="nil"/>
              <w:left w:val="nil"/>
              <w:bottom w:val="nil"/>
              <w:right w:val="nil"/>
            </w:tcBorders>
            <w:shd w:val="clear" w:color="000000" w:fill="FF9900"/>
            <w:vAlign w:val="bottom"/>
            <w:hideMark/>
          </w:tcPr>
          <w:p w14:paraId="6C94DCB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Program: ODRŽAVANJE GRAĐEVINA JAVNE ODVODNJE OBORINSKIH VODA</w:t>
            </w:r>
          </w:p>
        </w:tc>
        <w:tc>
          <w:tcPr>
            <w:tcW w:w="1559" w:type="dxa"/>
            <w:tcBorders>
              <w:top w:val="nil"/>
              <w:left w:val="nil"/>
              <w:bottom w:val="nil"/>
              <w:right w:val="nil"/>
            </w:tcBorders>
            <w:shd w:val="clear" w:color="000000" w:fill="FF9900"/>
            <w:noWrap/>
            <w:vAlign w:val="bottom"/>
            <w:hideMark/>
          </w:tcPr>
          <w:p w14:paraId="25E533E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40.697,50</w:t>
            </w:r>
          </w:p>
        </w:tc>
        <w:tc>
          <w:tcPr>
            <w:tcW w:w="1559" w:type="dxa"/>
            <w:tcBorders>
              <w:top w:val="nil"/>
              <w:left w:val="nil"/>
              <w:bottom w:val="nil"/>
              <w:right w:val="nil"/>
            </w:tcBorders>
            <w:shd w:val="clear" w:color="000000" w:fill="FF9900"/>
            <w:noWrap/>
            <w:vAlign w:val="bottom"/>
            <w:hideMark/>
          </w:tcPr>
          <w:p w14:paraId="6505C8E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40.697,50</w:t>
            </w:r>
          </w:p>
        </w:tc>
        <w:tc>
          <w:tcPr>
            <w:tcW w:w="1559" w:type="dxa"/>
            <w:tcBorders>
              <w:top w:val="nil"/>
              <w:left w:val="nil"/>
              <w:bottom w:val="nil"/>
              <w:right w:val="nil"/>
            </w:tcBorders>
            <w:shd w:val="clear" w:color="000000" w:fill="FF9900"/>
            <w:noWrap/>
            <w:vAlign w:val="bottom"/>
            <w:hideMark/>
          </w:tcPr>
          <w:p w14:paraId="29F98D3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40.101,50</w:t>
            </w:r>
          </w:p>
        </w:tc>
        <w:tc>
          <w:tcPr>
            <w:tcW w:w="993" w:type="dxa"/>
            <w:tcBorders>
              <w:top w:val="nil"/>
              <w:left w:val="nil"/>
              <w:bottom w:val="nil"/>
              <w:right w:val="nil"/>
            </w:tcBorders>
            <w:shd w:val="clear" w:color="000000" w:fill="FF9900"/>
            <w:noWrap/>
            <w:vAlign w:val="bottom"/>
            <w:hideMark/>
          </w:tcPr>
          <w:p w14:paraId="65ABCA3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98,54%</w:t>
            </w:r>
          </w:p>
        </w:tc>
      </w:tr>
      <w:tr w:rsidR="006967F8" w:rsidRPr="006967F8" w14:paraId="21264942" w14:textId="77777777" w:rsidTr="008A61B1">
        <w:trPr>
          <w:trHeight w:val="555"/>
        </w:trPr>
        <w:tc>
          <w:tcPr>
            <w:tcW w:w="1134" w:type="dxa"/>
            <w:tcBorders>
              <w:top w:val="nil"/>
              <w:left w:val="nil"/>
              <w:bottom w:val="nil"/>
              <w:right w:val="nil"/>
            </w:tcBorders>
            <w:shd w:val="clear" w:color="000000" w:fill="FFFF99"/>
            <w:noWrap/>
            <w:vAlign w:val="bottom"/>
            <w:hideMark/>
          </w:tcPr>
          <w:p w14:paraId="604622A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A100039</w:t>
            </w:r>
          </w:p>
        </w:tc>
        <w:tc>
          <w:tcPr>
            <w:tcW w:w="4962" w:type="dxa"/>
            <w:tcBorders>
              <w:top w:val="nil"/>
              <w:left w:val="nil"/>
              <w:bottom w:val="nil"/>
              <w:right w:val="nil"/>
            </w:tcBorders>
            <w:shd w:val="clear" w:color="000000" w:fill="FFFF99"/>
            <w:vAlign w:val="bottom"/>
            <w:hideMark/>
          </w:tcPr>
          <w:p w14:paraId="7DAB682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Aktivnost: ODRŽAVANJE GRAĐEVINA JAVNE ODVODNJE OBORINSKIH VODA</w:t>
            </w:r>
          </w:p>
        </w:tc>
        <w:tc>
          <w:tcPr>
            <w:tcW w:w="1559" w:type="dxa"/>
            <w:tcBorders>
              <w:top w:val="nil"/>
              <w:left w:val="nil"/>
              <w:bottom w:val="nil"/>
              <w:right w:val="nil"/>
            </w:tcBorders>
            <w:shd w:val="clear" w:color="000000" w:fill="FFFF99"/>
            <w:noWrap/>
            <w:vAlign w:val="bottom"/>
            <w:hideMark/>
          </w:tcPr>
          <w:p w14:paraId="33C8A9E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40.697,50</w:t>
            </w:r>
          </w:p>
        </w:tc>
        <w:tc>
          <w:tcPr>
            <w:tcW w:w="1559" w:type="dxa"/>
            <w:tcBorders>
              <w:top w:val="nil"/>
              <w:left w:val="nil"/>
              <w:bottom w:val="nil"/>
              <w:right w:val="nil"/>
            </w:tcBorders>
            <w:shd w:val="clear" w:color="000000" w:fill="FFFF99"/>
            <w:noWrap/>
            <w:vAlign w:val="bottom"/>
            <w:hideMark/>
          </w:tcPr>
          <w:p w14:paraId="342B63E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40.697,50</w:t>
            </w:r>
          </w:p>
        </w:tc>
        <w:tc>
          <w:tcPr>
            <w:tcW w:w="1559" w:type="dxa"/>
            <w:tcBorders>
              <w:top w:val="nil"/>
              <w:left w:val="nil"/>
              <w:bottom w:val="nil"/>
              <w:right w:val="nil"/>
            </w:tcBorders>
            <w:shd w:val="clear" w:color="000000" w:fill="FFFF99"/>
            <w:noWrap/>
            <w:vAlign w:val="bottom"/>
            <w:hideMark/>
          </w:tcPr>
          <w:p w14:paraId="7FA566D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40.101,50</w:t>
            </w:r>
          </w:p>
        </w:tc>
        <w:tc>
          <w:tcPr>
            <w:tcW w:w="993" w:type="dxa"/>
            <w:tcBorders>
              <w:top w:val="nil"/>
              <w:left w:val="nil"/>
              <w:bottom w:val="nil"/>
              <w:right w:val="nil"/>
            </w:tcBorders>
            <w:shd w:val="clear" w:color="000000" w:fill="FFFF99"/>
            <w:noWrap/>
            <w:vAlign w:val="bottom"/>
            <w:hideMark/>
          </w:tcPr>
          <w:p w14:paraId="07674DF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98,54%</w:t>
            </w:r>
          </w:p>
        </w:tc>
      </w:tr>
      <w:tr w:rsidR="006967F8" w:rsidRPr="006967F8" w14:paraId="05EEF933"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4D5249E"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0FEAB1B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40.697,50</w:t>
            </w:r>
          </w:p>
        </w:tc>
        <w:tc>
          <w:tcPr>
            <w:tcW w:w="1559" w:type="dxa"/>
            <w:tcBorders>
              <w:top w:val="nil"/>
              <w:left w:val="nil"/>
              <w:bottom w:val="nil"/>
              <w:right w:val="nil"/>
            </w:tcBorders>
            <w:shd w:val="clear" w:color="000000" w:fill="CCCCFF"/>
            <w:noWrap/>
            <w:vAlign w:val="bottom"/>
            <w:hideMark/>
          </w:tcPr>
          <w:p w14:paraId="39B09E0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40.697,50</w:t>
            </w:r>
          </w:p>
        </w:tc>
        <w:tc>
          <w:tcPr>
            <w:tcW w:w="1559" w:type="dxa"/>
            <w:tcBorders>
              <w:top w:val="nil"/>
              <w:left w:val="nil"/>
              <w:bottom w:val="nil"/>
              <w:right w:val="nil"/>
            </w:tcBorders>
            <w:shd w:val="clear" w:color="000000" w:fill="CCCCFF"/>
            <w:noWrap/>
            <w:vAlign w:val="bottom"/>
            <w:hideMark/>
          </w:tcPr>
          <w:p w14:paraId="47AB8FF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40.101,50</w:t>
            </w:r>
          </w:p>
        </w:tc>
        <w:tc>
          <w:tcPr>
            <w:tcW w:w="993" w:type="dxa"/>
            <w:tcBorders>
              <w:top w:val="nil"/>
              <w:left w:val="nil"/>
              <w:bottom w:val="nil"/>
              <w:right w:val="nil"/>
            </w:tcBorders>
            <w:shd w:val="clear" w:color="000000" w:fill="CCCCFF"/>
            <w:noWrap/>
            <w:vAlign w:val="bottom"/>
            <w:hideMark/>
          </w:tcPr>
          <w:p w14:paraId="1BBEE8A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98,54%</w:t>
            </w:r>
          </w:p>
        </w:tc>
      </w:tr>
      <w:tr w:rsidR="006967F8" w:rsidRPr="006967F8" w14:paraId="4C9C2BB3"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BDAE069"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4.2. Komunalna naknada</w:t>
            </w:r>
          </w:p>
        </w:tc>
        <w:tc>
          <w:tcPr>
            <w:tcW w:w="1559" w:type="dxa"/>
            <w:tcBorders>
              <w:top w:val="nil"/>
              <w:left w:val="nil"/>
              <w:bottom w:val="nil"/>
              <w:right w:val="nil"/>
            </w:tcBorders>
            <w:shd w:val="clear" w:color="000000" w:fill="CCCCFF"/>
            <w:noWrap/>
            <w:vAlign w:val="bottom"/>
            <w:hideMark/>
          </w:tcPr>
          <w:p w14:paraId="56DFEF8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40.697,50</w:t>
            </w:r>
          </w:p>
        </w:tc>
        <w:tc>
          <w:tcPr>
            <w:tcW w:w="1559" w:type="dxa"/>
            <w:tcBorders>
              <w:top w:val="nil"/>
              <w:left w:val="nil"/>
              <w:bottom w:val="nil"/>
              <w:right w:val="nil"/>
            </w:tcBorders>
            <w:shd w:val="clear" w:color="000000" w:fill="CCCCFF"/>
            <w:noWrap/>
            <w:vAlign w:val="bottom"/>
            <w:hideMark/>
          </w:tcPr>
          <w:p w14:paraId="67F5615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40.697,50</w:t>
            </w:r>
          </w:p>
        </w:tc>
        <w:tc>
          <w:tcPr>
            <w:tcW w:w="1559" w:type="dxa"/>
            <w:tcBorders>
              <w:top w:val="nil"/>
              <w:left w:val="nil"/>
              <w:bottom w:val="nil"/>
              <w:right w:val="nil"/>
            </w:tcBorders>
            <w:shd w:val="clear" w:color="000000" w:fill="CCCCFF"/>
            <w:noWrap/>
            <w:vAlign w:val="bottom"/>
            <w:hideMark/>
          </w:tcPr>
          <w:p w14:paraId="4BA4292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40.101,50</w:t>
            </w:r>
          </w:p>
        </w:tc>
        <w:tc>
          <w:tcPr>
            <w:tcW w:w="993" w:type="dxa"/>
            <w:tcBorders>
              <w:top w:val="nil"/>
              <w:left w:val="nil"/>
              <w:bottom w:val="nil"/>
              <w:right w:val="nil"/>
            </w:tcBorders>
            <w:shd w:val="clear" w:color="000000" w:fill="CCCCFF"/>
            <w:noWrap/>
            <w:vAlign w:val="bottom"/>
            <w:hideMark/>
          </w:tcPr>
          <w:p w14:paraId="73CAF81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98,54%</w:t>
            </w:r>
          </w:p>
        </w:tc>
      </w:tr>
      <w:tr w:rsidR="006967F8" w:rsidRPr="006967F8" w14:paraId="679943A4" w14:textId="77777777" w:rsidTr="008A61B1">
        <w:trPr>
          <w:trHeight w:val="255"/>
        </w:trPr>
        <w:tc>
          <w:tcPr>
            <w:tcW w:w="1134" w:type="dxa"/>
            <w:tcBorders>
              <w:top w:val="nil"/>
              <w:left w:val="nil"/>
              <w:bottom w:val="nil"/>
              <w:right w:val="nil"/>
            </w:tcBorders>
            <w:noWrap/>
            <w:vAlign w:val="bottom"/>
            <w:hideMark/>
          </w:tcPr>
          <w:p w14:paraId="1E45456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6285207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283A719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40.697,50</w:t>
            </w:r>
          </w:p>
        </w:tc>
        <w:tc>
          <w:tcPr>
            <w:tcW w:w="1559" w:type="dxa"/>
            <w:tcBorders>
              <w:top w:val="nil"/>
              <w:left w:val="nil"/>
              <w:bottom w:val="nil"/>
              <w:right w:val="nil"/>
            </w:tcBorders>
            <w:noWrap/>
            <w:vAlign w:val="bottom"/>
            <w:hideMark/>
          </w:tcPr>
          <w:p w14:paraId="6524357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40.697,50</w:t>
            </w:r>
          </w:p>
        </w:tc>
        <w:tc>
          <w:tcPr>
            <w:tcW w:w="1559" w:type="dxa"/>
            <w:tcBorders>
              <w:top w:val="nil"/>
              <w:left w:val="nil"/>
              <w:bottom w:val="nil"/>
              <w:right w:val="nil"/>
            </w:tcBorders>
            <w:noWrap/>
            <w:vAlign w:val="bottom"/>
            <w:hideMark/>
          </w:tcPr>
          <w:p w14:paraId="3925373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40.101,50</w:t>
            </w:r>
          </w:p>
        </w:tc>
        <w:tc>
          <w:tcPr>
            <w:tcW w:w="993" w:type="dxa"/>
            <w:tcBorders>
              <w:top w:val="nil"/>
              <w:left w:val="nil"/>
              <w:bottom w:val="nil"/>
              <w:right w:val="nil"/>
            </w:tcBorders>
            <w:noWrap/>
            <w:vAlign w:val="bottom"/>
            <w:hideMark/>
          </w:tcPr>
          <w:p w14:paraId="63C3BF9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98,54%</w:t>
            </w:r>
          </w:p>
        </w:tc>
      </w:tr>
      <w:tr w:rsidR="006967F8" w:rsidRPr="006967F8" w14:paraId="1F2654E9" w14:textId="77777777" w:rsidTr="008A61B1">
        <w:trPr>
          <w:trHeight w:val="255"/>
        </w:trPr>
        <w:tc>
          <w:tcPr>
            <w:tcW w:w="1134" w:type="dxa"/>
            <w:tcBorders>
              <w:top w:val="nil"/>
              <w:left w:val="nil"/>
              <w:bottom w:val="nil"/>
              <w:right w:val="nil"/>
            </w:tcBorders>
            <w:noWrap/>
            <w:vAlign w:val="bottom"/>
            <w:hideMark/>
          </w:tcPr>
          <w:p w14:paraId="7DC4D13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3232</w:t>
            </w:r>
          </w:p>
        </w:tc>
        <w:tc>
          <w:tcPr>
            <w:tcW w:w="4962" w:type="dxa"/>
            <w:tcBorders>
              <w:top w:val="nil"/>
              <w:left w:val="nil"/>
              <w:bottom w:val="nil"/>
              <w:right w:val="nil"/>
            </w:tcBorders>
            <w:noWrap/>
            <w:vAlign w:val="bottom"/>
            <w:hideMark/>
          </w:tcPr>
          <w:p w14:paraId="029B986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noWrap/>
            <w:vAlign w:val="bottom"/>
            <w:hideMark/>
          </w:tcPr>
          <w:p w14:paraId="26337F44"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0A61C3D"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F96140C"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40.101,50</w:t>
            </w:r>
          </w:p>
        </w:tc>
        <w:tc>
          <w:tcPr>
            <w:tcW w:w="993" w:type="dxa"/>
            <w:tcBorders>
              <w:top w:val="nil"/>
              <w:left w:val="nil"/>
              <w:bottom w:val="nil"/>
              <w:right w:val="nil"/>
            </w:tcBorders>
            <w:noWrap/>
            <w:vAlign w:val="bottom"/>
            <w:hideMark/>
          </w:tcPr>
          <w:p w14:paraId="5B8BD990"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A1C1F96" w14:textId="77777777" w:rsidTr="008A61B1">
        <w:trPr>
          <w:trHeight w:val="570"/>
        </w:trPr>
        <w:tc>
          <w:tcPr>
            <w:tcW w:w="1134" w:type="dxa"/>
            <w:tcBorders>
              <w:top w:val="nil"/>
              <w:left w:val="nil"/>
              <w:bottom w:val="nil"/>
              <w:right w:val="nil"/>
            </w:tcBorders>
            <w:shd w:val="clear" w:color="000000" w:fill="FF9900"/>
            <w:noWrap/>
            <w:vAlign w:val="bottom"/>
            <w:hideMark/>
          </w:tcPr>
          <w:p w14:paraId="1C94423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1410</w:t>
            </w:r>
          </w:p>
        </w:tc>
        <w:tc>
          <w:tcPr>
            <w:tcW w:w="4962" w:type="dxa"/>
            <w:tcBorders>
              <w:top w:val="nil"/>
              <w:left w:val="nil"/>
              <w:bottom w:val="nil"/>
              <w:right w:val="nil"/>
            </w:tcBorders>
            <w:shd w:val="clear" w:color="000000" w:fill="FF9900"/>
            <w:vAlign w:val="bottom"/>
            <w:hideMark/>
          </w:tcPr>
          <w:p w14:paraId="7EBC199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Program: ODRŽAVANJE JAVNIH ZELENIH POVRŠINA</w:t>
            </w:r>
          </w:p>
        </w:tc>
        <w:tc>
          <w:tcPr>
            <w:tcW w:w="1559" w:type="dxa"/>
            <w:tcBorders>
              <w:top w:val="nil"/>
              <w:left w:val="nil"/>
              <w:bottom w:val="nil"/>
              <w:right w:val="nil"/>
            </w:tcBorders>
            <w:shd w:val="clear" w:color="000000" w:fill="FF9900"/>
            <w:noWrap/>
            <w:vAlign w:val="bottom"/>
            <w:hideMark/>
          </w:tcPr>
          <w:p w14:paraId="112E436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762.215,00</w:t>
            </w:r>
          </w:p>
        </w:tc>
        <w:tc>
          <w:tcPr>
            <w:tcW w:w="1559" w:type="dxa"/>
            <w:tcBorders>
              <w:top w:val="nil"/>
              <w:left w:val="nil"/>
              <w:bottom w:val="nil"/>
              <w:right w:val="nil"/>
            </w:tcBorders>
            <w:shd w:val="clear" w:color="000000" w:fill="FF9900"/>
            <w:noWrap/>
            <w:vAlign w:val="bottom"/>
            <w:hideMark/>
          </w:tcPr>
          <w:p w14:paraId="36DD351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762.115,00</w:t>
            </w:r>
          </w:p>
        </w:tc>
        <w:tc>
          <w:tcPr>
            <w:tcW w:w="1559" w:type="dxa"/>
            <w:tcBorders>
              <w:top w:val="nil"/>
              <w:left w:val="nil"/>
              <w:bottom w:val="nil"/>
              <w:right w:val="nil"/>
            </w:tcBorders>
            <w:shd w:val="clear" w:color="000000" w:fill="FF9900"/>
            <w:noWrap/>
            <w:vAlign w:val="bottom"/>
            <w:hideMark/>
          </w:tcPr>
          <w:p w14:paraId="5F4994C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729.659,07</w:t>
            </w:r>
          </w:p>
        </w:tc>
        <w:tc>
          <w:tcPr>
            <w:tcW w:w="993" w:type="dxa"/>
            <w:tcBorders>
              <w:top w:val="nil"/>
              <w:left w:val="nil"/>
              <w:bottom w:val="nil"/>
              <w:right w:val="nil"/>
            </w:tcBorders>
            <w:shd w:val="clear" w:color="000000" w:fill="FF9900"/>
            <w:noWrap/>
            <w:vAlign w:val="bottom"/>
            <w:hideMark/>
          </w:tcPr>
          <w:p w14:paraId="24DE958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95,74%</w:t>
            </w:r>
          </w:p>
        </w:tc>
      </w:tr>
      <w:tr w:rsidR="006967F8" w:rsidRPr="006967F8" w14:paraId="1757DDC2" w14:textId="77777777" w:rsidTr="008A61B1">
        <w:trPr>
          <w:trHeight w:val="285"/>
        </w:trPr>
        <w:tc>
          <w:tcPr>
            <w:tcW w:w="1134" w:type="dxa"/>
            <w:tcBorders>
              <w:top w:val="nil"/>
              <w:left w:val="nil"/>
              <w:bottom w:val="nil"/>
              <w:right w:val="nil"/>
            </w:tcBorders>
            <w:shd w:val="clear" w:color="000000" w:fill="FFFF99"/>
            <w:noWrap/>
            <w:vAlign w:val="bottom"/>
            <w:hideMark/>
          </w:tcPr>
          <w:p w14:paraId="73F47D6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A100040</w:t>
            </w:r>
          </w:p>
        </w:tc>
        <w:tc>
          <w:tcPr>
            <w:tcW w:w="4962" w:type="dxa"/>
            <w:tcBorders>
              <w:top w:val="nil"/>
              <w:left w:val="nil"/>
              <w:bottom w:val="nil"/>
              <w:right w:val="nil"/>
            </w:tcBorders>
            <w:shd w:val="clear" w:color="000000" w:fill="FFFF99"/>
            <w:noWrap/>
            <w:vAlign w:val="bottom"/>
            <w:hideMark/>
          </w:tcPr>
          <w:p w14:paraId="057BD64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Aktivnost: ODRŽAVANJE ZELENIH POVRŠINA</w:t>
            </w:r>
          </w:p>
        </w:tc>
        <w:tc>
          <w:tcPr>
            <w:tcW w:w="1559" w:type="dxa"/>
            <w:tcBorders>
              <w:top w:val="nil"/>
              <w:left w:val="nil"/>
              <w:bottom w:val="nil"/>
              <w:right w:val="nil"/>
            </w:tcBorders>
            <w:shd w:val="clear" w:color="000000" w:fill="FFFF99"/>
            <w:noWrap/>
            <w:vAlign w:val="bottom"/>
            <w:hideMark/>
          </w:tcPr>
          <w:p w14:paraId="7AD9017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762.215,00</w:t>
            </w:r>
          </w:p>
        </w:tc>
        <w:tc>
          <w:tcPr>
            <w:tcW w:w="1559" w:type="dxa"/>
            <w:tcBorders>
              <w:top w:val="nil"/>
              <w:left w:val="nil"/>
              <w:bottom w:val="nil"/>
              <w:right w:val="nil"/>
            </w:tcBorders>
            <w:shd w:val="clear" w:color="000000" w:fill="FFFF99"/>
            <w:noWrap/>
            <w:vAlign w:val="bottom"/>
            <w:hideMark/>
          </w:tcPr>
          <w:p w14:paraId="7219321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762.115,00</w:t>
            </w:r>
          </w:p>
        </w:tc>
        <w:tc>
          <w:tcPr>
            <w:tcW w:w="1559" w:type="dxa"/>
            <w:tcBorders>
              <w:top w:val="nil"/>
              <w:left w:val="nil"/>
              <w:bottom w:val="nil"/>
              <w:right w:val="nil"/>
            </w:tcBorders>
            <w:shd w:val="clear" w:color="000000" w:fill="FFFF99"/>
            <w:noWrap/>
            <w:vAlign w:val="bottom"/>
            <w:hideMark/>
          </w:tcPr>
          <w:p w14:paraId="4BA3F89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729.659,07</w:t>
            </w:r>
          </w:p>
        </w:tc>
        <w:tc>
          <w:tcPr>
            <w:tcW w:w="993" w:type="dxa"/>
            <w:tcBorders>
              <w:top w:val="nil"/>
              <w:left w:val="nil"/>
              <w:bottom w:val="nil"/>
              <w:right w:val="nil"/>
            </w:tcBorders>
            <w:shd w:val="clear" w:color="000000" w:fill="FFFF99"/>
            <w:noWrap/>
            <w:vAlign w:val="bottom"/>
            <w:hideMark/>
          </w:tcPr>
          <w:p w14:paraId="6C83CCE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95,74%</w:t>
            </w:r>
          </w:p>
        </w:tc>
      </w:tr>
      <w:tr w:rsidR="006967F8" w:rsidRPr="006967F8" w14:paraId="043A64E8"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0E3256F"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451FD18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762.215,00</w:t>
            </w:r>
          </w:p>
        </w:tc>
        <w:tc>
          <w:tcPr>
            <w:tcW w:w="1559" w:type="dxa"/>
            <w:tcBorders>
              <w:top w:val="nil"/>
              <w:left w:val="nil"/>
              <w:bottom w:val="nil"/>
              <w:right w:val="nil"/>
            </w:tcBorders>
            <w:shd w:val="clear" w:color="000000" w:fill="CCCCFF"/>
            <w:noWrap/>
            <w:vAlign w:val="bottom"/>
            <w:hideMark/>
          </w:tcPr>
          <w:p w14:paraId="70B585A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762.115,00</w:t>
            </w:r>
          </w:p>
        </w:tc>
        <w:tc>
          <w:tcPr>
            <w:tcW w:w="1559" w:type="dxa"/>
            <w:tcBorders>
              <w:top w:val="nil"/>
              <w:left w:val="nil"/>
              <w:bottom w:val="nil"/>
              <w:right w:val="nil"/>
            </w:tcBorders>
            <w:shd w:val="clear" w:color="000000" w:fill="CCCCFF"/>
            <w:noWrap/>
            <w:vAlign w:val="bottom"/>
            <w:hideMark/>
          </w:tcPr>
          <w:p w14:paraId="7ED5233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729.659,07</w:t>
            </w:r>
          </w:p>
        </w:tc>
        <w:tc>
          <w:tcPr>
            <w:tcW w:w="993" w:type="dxa"/>
            <w:tcBorders>
              <w:top w:val="nil"/>
              <w:left w:val="nil"/>
              <w:bottom w:val="nil"/>
              <w:right w:val="nil"/>
            </w:tcBorders>
            <w:shd w:val="clear" w:color="000000" w:fill="CCCCFF"/>
            <w:noWrap/>
            <w:vAlign w:val="bottom"/>
            <w:hideMark/>
          </w:tcPr>
          <w:p w14:paraId="51B4129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95,74%</w:t>
            </w:r>
          </w:p>
        </w:tc>
      </w:tr>
      <w:tr w:rsidR="006967F8" w:rsidRPr="006967F8" w14:paraId="55DBEF6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F3DCC48"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4.2. Komunalna naknada</w:t>
            </w:r>
          </w:p>
        </w:tc>
        <w:tc>
          <w:tcPr>
            <w:tcW w:w="1559" w:type="dxa"/>
            <w:tcBorders>
              <w:top w:val="nil"/>
              <w:left w:val="nil"/>
              <w:bottom w:val="nil"/>
              <w:right w:val="nil"/>
            </w:tcBorders>
            <w:shd w:val="clear" w:color="000000" w:fill="CCCCFF"/>
            <w:noWrap/>
            <w:vAlign w:val="bottom"/>
            <w:hideMark/>
          </w:tcPr>
          <w:p w14:paraId="10D2C23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762.215,00</w:t>
            </w:r>
          </w:p>
        </w:tc>
        <w:tc>
          <w:tcPr>
            <w:tcW w:w="1559" w:type="dxa"/>
            <w:tcBorders>
              <w:top w:val="nil"/>
              <w:left w:val="nil"/>
              <w:bottom w:val="nil"/>
              <w:right w:val="nil"/>
            </w:tcBorders>
            <w:shd w:val="clear" w:color="000000" w:fill="CCCCFF"/>
            <w:noWrap/>
            <w:vAlign w:val="bottom"/>
            <w:hideMark/>
          </w:tcPr>
          <w:p w14:paraId="0072A76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762.115,00</w:t>
            </w:r>
          </w:p>
        </w:tc>
        <w:tc>
          <w:tcPr>
            <w:tcW w:w="1559" w:type="dxa"/>
            <w:tcBorders>
              <w:top w:val="nil"/>
              <w:left w:val="nil"/>
              <w:bottom w:val="nil"/>
              <w:right w:val="nil"/>
            </w:tcBorders>
            <w:shd w:val="clear" w:color="000000" w:fill="CCCCFF"/>
            <w:noWrap/>
            <w:vAlign w:val="bottom"/>
            <w:hideMark/>
          </w:tcPr>
          <w:p w14:paraId="498DF7C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729.659,07</w:t>
            </w:r>
          </w:p>
        </w:tc>
        <w:tc>
          <w:tcPr>
            <w:tcW w:w="993" w:type="dxa"/>
            <w:tcBorders>
              <w:top w:val="nil"/>
              <w:left w:val="nil"/>
              <w:bottom w:val="nil"/>
              <w:right w:val="nil"/>
            </w:tcBorders>
            <w:shd w:val="clear" w:color="000000" w:fill="CCCCFF"/>
            <w:noWrap/>
            <w:vAlign w:val="bottom"/>
            <w:hideMark/>
          </w:tcPr>
          <w:p w14:paraId="666899A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95,74%</w:t>
            </w:r>
          </w:p>
        </w:tc>
      </w:tr>
      <w:tr w:rsidR="006967F8" w:rsidRPr="006967F8" w14:paraId="3DD3F0F6" w14:textId="77777777" w:rsidTr="008A61B1">
        <w:trPr>
          <w:trHeight w:val="255"/>
        </w:trPr>
        <w:tc>
          <w:tcPr>
            <w:tcW w:w="1134" w:type="dxa"/>
            <w:tcBorders>
              <w:top w:val="nil"/>
              <w:left w:val="nil"/>
              <w:bottom w:val="nil"/>
              <w:right w:val="nil"/>
            </w:tcBorders>
            <w:noWrap/>
            <w:vAlign w:val="bottom"/>
            <w:hideMark/>
          </w:tcPr>
          <w:p w14:paraId="717C9B7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5465C60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5F6BD10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762.215,00</w:t>
            </w:r>
          </w:p>
        </w:tc>
        <w:tc>
          <w:tcPr>
            <w:tcW w:w="1559" w:type="dxa"/>
            <w:tcBorders>
              <w:top w:val="nil"/>
              <w:left w:val="nil"/>
              <w:bottom w:val="nil"/>
              <w:right w:val="nil"/>
            </w:tcBorders>
            <w:noWrap/>
            <w:vAlign w:val="bottom"/>
            <w:hideMark/>
          </w:tcPr>
          <w:p w14:paraId="463F513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762.115,00</w:t>
            </w:r>
          </w:p>
        </w:tc>
        <w:tc>
          <w:tcPr>
            <w:tcW w:w="1559" w:type="dxa"/>
            <w:tcBorders>
              <w:top w:val="nil"/>
              <w:left w:val="nil"/>
              <w:bottom w:val="nil"/>
              <w:right w:val="nil"/>
            </w:tcBorders>
            <w:noWrap/>
            <w:vAlign w:val="bottom"/>
            <w:hideMark/>
          </w:tcPr>
          <w:p w14:paraId="061A6F2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729.659,07</w:t>
            </w:r>
          </w:p>
        </w:tc>
        <w:tc>
          <w:tcPr>
            <w:tcW w:w="993" w:type="dxa"/>
            <w:tcBorders>
              <w:top w:val="nil"/>
              <w:left w:val="nil"/>
              <w:bottom w:val="nil"/>
              <w:right w:val="nil"/>
            </w:tcBorders>
            <w:noWrap/>
            <w:vAlign w:val="bottom"/>
            <w:hideMark/>
          </w:tcPr>
          <w:p w14:paraId="3F265D3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95,74%</w:t>
            </w:r>
          </w:p>
        </w:tc>
      </w:tr>
      <w:tr w:rsidR="006967F8" w:rsidRPr="006967F8" w14:paraId="7902C557" w14:textId="77777777" w:rsidTr="008A61B1">
        <w:trPr>
          <w:trHeight w:val="255"/>
        </w:trPr>
        <w:tc>
          <w:tcPr>
            <w:tcW w:w="1134" w:type="dxa"/>
            <w:tcBorders>
              <w:top w:val="nil"/>
              <w:left w:val="nil"/>
              <w:bottom w:val="nil"/>
              <w:right w:val="nil"/>
            </w:tcBorders>
            <w:noWrap/>
            <w:vAlign w:val="bottom"/>
            <w:hideMark/>
          </w:tcPr>
          <w:p w14:paraId="06CFD44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3234</w:t>
            </w:r>
          </w:p>
        </w:tc>
        <w:tc>
          <w:tcPr>
            <w:tcW w:w="4962" w:type="dxa"/>
            <w:tcBorders>
              <w:top w:val="nil"/>
              <w:left w:val="nil"/>
              <w:bottom w:val="nil"/>
              <w:right w:val="nil"/>
            </w:tcBorders>
            <w:noWrap/>
            <w:vAlign w:val="bottom"/>
            <w:hideMark/>
          </w:tcPr>
          <w:p w14:paraId="6E0E6EA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Komunalne usluge</w:t>
            </w:r>
          </w:p>
        </w:tc>
        <w:tc>
          <w:tcPr>
            <w:tcW w:w="1559" w:type="dxa"/>
            <w:tcBorders>
              <w:top w:val="nil"/>
              <w:left w:val="nil"/>
              <w:bottom w:val="nil"/>
              <w:right w:val="nil"/>
            </w:tcBorders>
            <w:noWrap/>
            <w:vAlign w:val="bottom"/>
            <w:hideMark/>
          </w:tcPr>
          <w:p w14:paraId="3AB79026"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F21E456"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2418B9D"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729.659,07</w:t>
            </w:r>
          </w:p>
        </w:tc>
        <w:tc>
          <w:tcPr>
            <w:tcW w:w="993" w:type="dxa"/>
            <w:tcBorders>
              <w:top w:val="nil"/>
              <w:left w:val="nil"/>
              <w:bottom w:val="nil"/>
              <w:right w:val="nil"/>
            </w:tcBorders>
            <w:noWrap/>
            <w:vAlign w:val="bottom"/>
            <w:hideMark/>
          </w:tcPr>
          <w:p w14:paraId="6795CDBD"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4476F80" w14:textId="77777777" w:rsidTr="008A61B1">
        <w:trPr>
          <w:trHeight w:val="540"/>
        </w:trPr>
        <w:tc>
          <w:tcPr>
            <w:tcW w:w="1134" w:type="dxa"/>
            <w:tcBorders>
              <w:top w:val="nil"/>
              <w:left w:val="nil"/>
              <w:bottom w:val="nil"/>
              <w:right w:val="nil"/>
            </w:tcBorders>
            <w:shd w:val="clear" w:color="000000" w:fill="FF9900"/>
            <w:noWrap/>
            <w:vAlign w:val="bottom"/>
            <w:hideMark/>
          </w:tcPr>
          <w:p w14:paraId="7A599A3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1411</w:t>
            </w:r>
          </w:p>
        </w:tc>
        <w:tc>
          <w:tcPr>
            <w:tcW w:w="4962" w:type="dxa"/>
            <w:tcBorders>
              <w:top w:val="nil"/>
              <w:left w:val="nil"/>
              <w:bottom w:val="nil"/>
              <w:right w:val="nil"/>
            </w:tcBorders>
            <w:shd w:val="clear" w:color="000000" w:fill="FF9900"/>
            <w:vAlign w:val="bottom"/>
            <w:hideMark/>
          </w:tcPr>
          <w:p w14:paraId="5A7DC9F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Program: ODRŽAVANJE GRAĐEVINA, UREĐAJA I PREDMETA JAVNE NAMJENE</w:t>
            </w:r>
          </w:p>
        </w:tc>
        <w:tc>
          <w:tcPr>
            <w:tcW w:w="1559" w:type="dxa"/>
            <w:tcBorders>
              <w:top w:val="nil"/>
              <w:left w:val="nil"/>
              <w:bottom w:val="nil"/>
              <w:right w:val="nil"/>
            </w:tcBorders>
            <w:shd w:val="clear" w:color="000000" w:fill="FF9900"/>
            <w:noWrap/>
            <w:vAlign w:val="bottom"/>
            <w:hideMark/>
          </w:tcPr>
          <w:p w14:paraId="26BA7D3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10.200,00</w:t>
            </w:r>
          </w:p>
        </w:tc>
        <w:tc>
          <w:tcPr>
            <w:tcW w:w="1559" w:type="dxa"/>
            <w:tcBorders>
              <w:top w:val="nil"/>
              <w:left w:val="nil"/>
              <w:bottom w:val="nil"/>
              <w:right w:val="nil"/>
            </w:tcBorders>
            <w:shd w:val="clear" w:color="000000" w:fill="FF9900"/>
            <w:noWrap/>
            <w:vAlign w:val="bottom"/>
            <w:hideMark/>
          </w:tcPr>
          <w:p w14:paraId="5B62C1C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10.200,00</w:t>
            </w:r>
          </w:p>
        </w:tc>
        <w:tc>
          <w:tcPr>
            <w:tcW w:w="1559" w:type="dxa"/>
            <w:tcBorders>
              <w:top w:val="nil"/>
              <w:left w:val="nil"/>
              <w:bottom w:val="nil"/>
              <w:right w:val="nil"/>
            </w:tcBorders>
            <w:shd w:val="clear" w:color="000000" w:fill="FF9900"/>
            <w:noWrap/>
            <w:vAlign w:val="bottom"/>
            <w:hideMark/>
          </w:tcPr>
          <w:p w14:paraId="76B0F9D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6.575,00</w:t>
            </w:r>
          </w:p>
        </w:tc>
        <w:tc>
          <w:tcPr>
            <w:tcW w:w="993" w:type="dxa"/>
            <w:tcBorders>
              <w:top w:val="nil"/>
              <w:left w:val="nil"/>
              <w:bottom w:val="nil"/>
              <w:right w:val="nil"/>
            </w:tcBorders>
            <w:shd w:val="clear" w:color="000000" w:fill="FF9900"/>
            <w:noWrap/>
            <w:vAlign w:val="bottom"/>
            <w:hideMark/>
          </w:tcPr>
          <w:p w14:paraId="7E6D5AF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64,46%</w:t>
            </w:r>
          </w:p>
        </w:tc>
      </w:tr>
      <w:tr w:rsidR="006967F8" w:rsidRPr="006967F8" w14:paraId="30FCBE74" w14:textId="77777777" w:rsidTr="008A61B1">
        <w:trPr>
          <w:trHeight w:val="480"/>
        </w:trPr>
        <w:tc>
          <w:tcPr>
            <w:tcW w:w="1134" w:type="dxa"/>
            <w:tcBorders>
              <w:top w:val="nil"/>
              <w:left w:val="nil"/>
              <w:bottom w:val="nil"/>
              <w:right w:val="nil"/>
            </w:tcBorders>
            <w:shd w:val="clear" w:color="000000" w:fill="FFFF99"/>
            <w:noWrap/>
            <w:vAlign w:val="bottom"/>
            <w:hideMark/>
          </w:tcPr>
          <w:p w14:paraId="038D5D2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A100041</w:t>
            </w:r>
          </w:p>
        </w:tc>
        <w:tc>
          <w:tcPr>
            <w:tcW w:w="4962" w:type="dxa"/>
            <w:tcBorders>
              <w:top w:val="nil"/>
              <w:left w:val="nil"/>
              <w:bottom w:val="nil"/>
              <w:right w:val="nil"/>
            </w:tcBorders>
            <w:shd w:val="clear" w:color="000000" w:fill="FFFF99"/>
            <w:vAlign w:val="bottom"/>
            <w:hideMark/>
          </w:tcPr>
          <w:p w14:paraId="613AE72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Aktivnost: ODRŽAVANJE GRAĐEVINA, UREĐAJA I PREDMETA JAVNE NAMJENE</w:t>
            </w:r>
          </w:p>
        </w:tc>
        <w:tc>
          <w:tcPr>
            <w:tcW w:w="1559" w:type="dxa"/>
            <w:tcBorders>
              <w:top w:val="nil"/>
              <w:left w:val="nil"/>
              <w:bottom w:val="nil"/>
              <w:right w:val="nil"/>
            </w:tcBorders>
            <w:shd w:val="clear" w:color="000000" w:fill="FFFF99"/>
            <w:noWrap/>
            <w:vAlign w:val="bottom"/>
            <w:hideMark/>
          </w:tcPr>
          <w:p w14:paraId="2BC36C8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10.200,00</w:t>
            </w:r>
          </w:p>
        </w:tc>
        <w:tc>
          <w:tcPr>
            <w:tcW w:w="1559" w:type="dxa"/>
            <w:tcBorders>
              <w:top w:val="nil"/>
              <w:left w:val="nil"/>
              <w:bottom w:val="nil"/>
              <w:right w:val="nil"/>
            </w:tcBorders>
            <w:shd w:val="clear" w:color="000000" w:fill="FFFF99"/>
            <w:noWrap/>
            <w:vAlign w:val="bottom"/>
            <w:hideMark/>
          </w:tcPr>
          <w:p w14:paraId="0328812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10.200,00</w:t>
            </w:r>
          </w:p>
        </w:tc>
        <w:tc>
          <w:tcPr>
            <w:tcW w:w="1559" w:type="dxa"/>
            <w:tcBorders>
              <w:top w:val="nil"/>
              <w:left w:val="nil"/>
              <w:bottom w:val="nil"/>
              <w:right w:val="nil"/>
            </w:tcBorders>
            <w:shd w:val="clear" w:color="000000" w:fill="FFFF99"/>
            <w:noWrap/>
            <w:vAlign w:val="bottom"/>
            <w:hideMark/>
          </w:tcPr>
          <w:p w14:paraId="43F0129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6.575,00</w:t>
            </w:r>
          </w:p>
        </w:tc>
        <w:tc>
          <w:tcPr>
            <w:tcW w:w="993" w:type="dxa"/>
            <w:tcBorders>
              <w:top w:val="nil"/>
              <w:left w:val="nil"/>
              <w:bottom w:val="nil"/>
              <w:right w:val="nil"/>
            </w:tcBorders>
            <w:shd w:val="clear" w:color="000000" w:fill="FFFF99"/>
            <w:noWrap/>
            <w:vAlign w:val="bottom"/>
            <w:hideMark/>
          </w:tcPr>
          <w:p w14:paraId="6C05AE4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64,46%</w:t>
            </w:r>
          </w:p>
        </w:tc>
      </w:tr>
      <w:tr w:rsidR="006967F8" w:rsidRPr="006967F8" w14:paraId="7BC8793B"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B2332FE"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406825B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10.200,00</w:t>
            </w:r>
          </w:p>
        </w:tc>
        <w:tc>
          <w:tcPr>
            <w:tcW w:w="1559" w:type="dxa"/>
            <w:tcBorders>
              <w:top w:val="nil"/>
              <w:left w:val="nil"/>
              <w:bottom w:val="nil"/>
              <w:right w:val="nil"/>
            </w:tcBorders>
            <w:shd w:val="clear" w:color="000000" w:fill="CCCCFF"/>
            <w:noWrap/>
            <w:vAlign w:val="bottom"/>
            <w:hideMark/>
          </w:tcPr>
          <w:p w14:paraId="767BEFF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10.200,00</w:t>
            </w:r>
          </w:p>
        </w:tc>
        <w:tc>
          <w:tcPr>
            <w:tcW w:w="1559" w:type="dxa"/>
            <w:tcBorders>
              <w:top w:val="nil"/>
              <w:left w:val="nil"/>
              <w:bottom w:val="nil"/>
              <w:right w:val="nil"/>
            </w:tcBorders>
            <w:shd w:val="clear" w:color="000000" w:fill="CCCCFF"/>
            <w:noWrap/>
            <w:vAlign w:val="bottom"/>
            <w:hideMark/>
          </w:tcPr>
          <w:p w14:paraId="0BB1B4B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6.575,00</w:t>
            </w:r>
          </w:p>
        </w:tc>
        <w:tc>
          <w:tcPr>
            <w:tcW w:w="993" w:type="dxa"/>
            <w:tcBorders>
              <w:top w:val="nil"/>
              <w:left w:val="nil"/>
              <w:bottom w:val="nil"/>
              <w:right w:val="nil"/>
            </w:tcBorders>
            <w:shd w:val="clear" w:color="000000" w:fill="CCCCFF"/>
            <w:noWrap/>
            <w:vAlign w:val="bottom"/>
            <w:hideMark/>
          </w:tcPr>
          <w:p w14:paraId="3B6DBBC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64,46%</w:t>
            </w:r>
          </w:p>
        </w:tc>
      </w:tr>
      <w:tr w:rsidR="006967F8" w:rsidRPr="006967F8" w14:paraId="1F3D9058"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4DFCD62"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28D719A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10.200,00</w:t>
            </w:r>
          </w:p>
        </w:tc>
        <w:tc>
          <w:tcPr>
            <w:tcW w:w="1559" w:type="dxa"/>
            <w:tcBorders>
              <w:top w:val="nil"/>
              <w:left w:val="nil"/>
              <w:bottom w:val="nil"/>
              <w:right w:val="nil"/>
            </w:tcBorders>
            <w:shd w:val="clear" w:color="000000" w:fill="CCCCFF"/>
            <w:noWrap/>
            <w:vAlign w:val="bottom"/>
            <w:hideMark/>
          </w:tcPr>
          <w:p w14:paraId="5F0092A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10.200,00</w:t>
            </w:r>
          </w:p>
        </w:tc>
        <w:tc>
          <w:tcPr>
            <w:tcW w:w="1559" w:type="dxa"/>
            <w:tcBorders>
              <w:top w:val="nil"/>
              <w:left w:val="nil"/>
              <w:bottom w:val="nil"/>
              <w:right w:val="nil"/>
            </w:tcBorders>
            <w:shd w:val="clear" w:color="000000" w:fill="CCCCFF"/>
            <w:noWrap/>
            <w:vAlign w:val="bottom"/>
            <w:hideMark/>
          </w:tcPr>
          <w:p w14:paraId="34061EB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6.575,00</w:t>
            </w:r>
          </w:p>
        </w:tc>
        <w:tc>
          <w:tcPr>
            <w:tcW w:w="993" w:type="dxa"/>
            <w:tcBorders>
              <w:top w:val="nil"/>
              <w:left w:val="nil"/>
              <w:bottom w:val="nil"/>
              <w:right w:val="nil"/>
            </w:tcBorders>
            <w:shd w:val="clear" w:color="000000" w:fill="CCCCFF"/>
            <w:noWrap/>
            <w:vAlign w:val="bottom"/>
            <w:hideMark/>
          </w:tcPr>
          <w:p w14:paraId="69D4AEA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64,46%</w:t>
            </w:r>
          </w:p>
        </w:tc>
      </w:tr>
      <w:tr w:rsidR="006967F8" w:rsidRPr="006967F8" w14:paraId="1875790A" w14:textId="77777777" w:rsidTr="008A61B1">
        <w:trPr>
          <w:trHeight w:val="255"/>
        </w:trPr>
        <w:tc>
          <w:tcPr>
            <w:tcW w:w="1134" w:type="dxa"/>
            <w:tcBorders>
              <w:top w:val="nil"/>
              <w:left w:val="nil"/>
              <w:bottom w:val="nil"/>
              <w:right w:val="nil"/>
            </w:tcBorders>
            <w:noWrap/>
            <w:vAlign w:val="bottom"/>
            <w:hideMark/>
          </w:tcPr>
          <w:p w14:paraId="17D7389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36A3C52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43CFA5D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10.200,00</w:t>
            </w:r>
          </w:p>
        </w:tc>
        <w:tc>
          <w:tcPr>
            <w:tcW w:w="1559" w:type="dxa"/>
            <w:tcBorders>
              <w:top w:val="nil"/>
              <w:left w:val="nil"/>
              <w:bottom w:val="nil"/>
              <w:right w:val="nil"/>
            </w:tcBorders>
            <w:noWrap/>
            <w:vAlign w:val="bottom"/>
            <w:hideMark/>
          </w:tcPr>
          <w:p w14:paraId="1019EAD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10.200,00</w:t>
            </w:r>
          </w:p>
        </w:tc>
        <w:tc>
          <w:tcPr>
            <w:tcW w:w="1559" w:type="dxa"/>
            <w:tcBorders>
              <w:top w:val="nil"/>
              <w:left w:val="nil"/>
              <w:bottom w:val="nil"/>
              <w:right w:val="nil"/>
            </w:tcBorders>
            <w:noWrap/>
            <w:vAlign w:val="bottom"/>
            <w:hideMark/>
          </w:tcPr>
          <w:p w14:paraId="4D52393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6.575,00</w:t>
            </w:r>
          </w:p>
        </w:tc>
        <w:tc>
          <w:tcPr>
            <w:tcW w:w="993" w:type="dxa"/>
            <w:tcBorders>
              <w:top w:val="nil"/>
              <w:left w:val="nil"/>
              <w:bottom w:val="nil"/>
              <w:right w:val="nil"/>
            </w:tcBorders>
            <w:noWrap/>
            <w:vAlign w:val="bottom"/>
            <w:hideMark/>
          </w:tcPr>
          <w:p w14:paraId="666A561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64,46%</w:t>
            </w:r>
          </w:p>
        </w:tc>
      </w:tr>
      <w:tr w:rsidR="006967F8" w:rsidRPr="006967F8" w14:paraId="73C115E5" w14:textId="77777777" w:rsidTr="008A61B1">
        <w:trPr>
          <w:trHeight w:val="255"/>
        </w:trPr>
        <w:tc>
          <w:tcPr>
            <w:tcW w:w="1134" w:type="dxa"/>
            <w:tcBorders>
              <w:top w:val="nil"/>
              <w:left w:val="nil"/>
              <w:bottom w:val="nil"/>
              <w:right w:val="nil"/>
            </w:tcBorders>
            <w:noWrap/>
            <w:vAlign w:val="bottom"/>
            <w:hideMark/>
          </w:tcPr>
          <w:p w14:paraId="6DB12F7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3232</w:t>
            </w:r>
          </w:p>
        </w:tc>
        <w:tc>
          <w:tcPr>
            <w:tcW w:w="4962" w:type="dxa"/>
            <w:tcBorders>
              <w:top w:val="nil"/>
              <w:left w:val="nil"/>
              <w:bottom w:val="nil"/>
              <w:right w:val="nil"/>
            </w:tcBorders>
            <w:noWrap/>
            <w:vAlign w:val="bottom"/>
            <w:hideMark/>
          </w:tcPr>
          <w:p w14:paraId="41763F2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noWrap/>
            <w:vAlign w:val="bottom"/>
            <w:hideMark/>
          </w:tcPr>
          <w:p w14:paraId="70624024"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4439806"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02BC3DF"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5.425,00</w:t>
            </w:r>
          </w:p>
        </w:tc>
        <w:tc>
          <w:tcPr>
            <w:tcW w:w="993" w:type="dxa"/>
            <w:tcBorders>
              <w:top w:val="nil"/>
              <w:left w:val="nil"/>
              <w:bottom w:val="nil"/>
              <w:right w:val="nil"/>
            </w:tcBorders>
            <w:noWrap/>
            <w:vAlign w:val="bottom"/>
            <w:hideMark/>
          </w:tcPr>
          <w:p w14:paraId="1A060380"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A3C7C3C" w14:textId="77777777" w:rsidTr="008A61B1">
        <w:trPr>
          <w:trHeight w:val="255"/>
        </w:trPr>
        <w:tc>
          <w:tcPr>
            <w:tcW w:w="1134" w:type="dxa"/>
            <w:tcBorders>
              <w:top w:val="nil"/>
              <w:left w:val="nil"/>
              <w:bottom w:val="nil"/>
              <w:right w:val="nil"/>
            </w:tcBorders>
            <w:noWrap/>
            <w:vAlign w:val="bottom"/>
            <w:hideMark/>
          </w:tcPr>
          <w:p w14:paraId="5171EE9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3234</w:t>
            </w:r>
          </w:p>
        </w:tc>
        <w:tc>
          <w:tcPr>
            <w:tcW w:w="4962" w:type="dxa"/>
            <w:tcBorders>
              <w:top w:val="nil"/>
              <w:left w:val="nil"/>
              <w:bottom w:val="nil"/>
              <w:right w:val="nil"/>
            </w:tcBorders>
            <w:noWrap/>
            <w:vAlign w:val="bottom"/>
            <w:hideMark/>
          </w:tcPr>
          <w:p w14:paraId="1ADA44F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Komunalne usluge</w:t>
            </w:r>
          </w:p>
        </w:tc>
        <w:tc>
          <w:tcPr>
            <w:tcW w:w="1559" w:type="dxa"/>
            <w:tcBorders>
              <w:top w:val="nil"/>
              <w:left w:val="nil"/>
              <w:bottom w:val="nil"/>
              <w:right w:val="nil"/>
            </w:tcBorders>
            <w:noWrap/>
            <w:vAlign w:val="bottom"/>
            <w:hideMark/>
          </w:tcPr>
          <w:p w14:paraId="429456C0"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FD0E53B"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BF6EE57"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1.150,00</w:t>
            </w:r>
          </w:p>
        </w:tc>
        <w:tc>
          <w:tcPr>
            <w:tcW w:w="993" w:type="dxa"/>
            <w:tcBorders>
              <w:top w:val="nil"/>
              <w:left w:val="nil"/>
              <w:bottom w:val="nil"/>
              <w:right w:val="nil"/>
            </w:tcBorders>
            <w:noWrap/>
            <w:vAlign w:val="bottom"/>
            <w:hideMark/>
          </w:tcPr>
          <w:p w14:paraId="6B223447"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637C9FB" w14:textId="77777777" w:rsidTr="008A61B1">
        <w:trPr>
          <w:trHeight w:val="585"/>
        </w:trPr>
        <w:tc>
          <w:tcPr>
            <w:tcW w:w="1134" w:type="dxa"/>
            <w:tcBorders>
              <w:top w:val="nil"/>
              <w:left w:val="nil"/>
              <w:bottom w:val="nil"/>
              <w:right w:val="nil"/>
            </w:tcBorders>
            <w:shd w:val="clear" w:color="000000" w:fill="FF9900"/>
            <w:noWrap/>
            <w:vAlign w:val="bottom"/>
            <w:hideMark/>
          </w:tcPr>
          <w:p w14:paraId="1D76C7C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1412</w:t>
            </w:r>
          </w:p>
        </w:tc>
        <w:tc>
          <w:tcPr>
            <w:tcW w:w="4962" w:type="dxa"/>
            <w:tcBorders>
              <w:top w:val="nil"/>
              <w:left w:val="nil"/>
              <w:bottom w:val="nil"/>
              <w:right w:val="nil"/>
            </w:tcBorders>
            <w:shd w:val="clear" w:color="000000" w:fill="FF9900"/>
            <w:vAlign w:val="bottom"/>
            <w:hideMark/>
          </w:tcPr>
          <w:p w14:paraId="70DA65F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Program: ODRŽAVANJE ČISTOĆE JAVNIH POVRŠINA</w:t>
            </w:r>
          </w:p>
        </w:tc>
        <w:tc>
          <w:tcPr>
            <w:tcW w:w="1559" w:type="dxa"/>
            <w:tcBorders>
              <w:top w:val="nil"/>
              <w:left w:val="nil"/>
              <w:bottom w:val="nil"/>
              <w:right w:val="nil"/>
            </w:tcBorders>
            <w:shd w:val="clear" w:color="000000" w:fill="FF9900"/>
            <w:noWrap/>
            <w:vAlign w:val="bottom"/>
            <w:hideMark/>
          </w:tcPr>
          <w:p w14:paraId="0587BF8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601.000,00</w:t>
            </w:r>
          </w:p>
        </w:tc>
        <w:tc>
          <w:tcPr>
            <w:tcW w:w="1559" w:type="dxa"/>
            <w:tcBorders>
              <w:top w:val="nil"/>
              <w:left w:val="nil"/>
              <w:bottom w:val="nil"/>
              <w:right w:val="nil"/>
            </w:tcBorders>
            <w:shd w:val="clear" w:color="000000" w:fill="FF9900"/>
            <w:noWrap/>
            <w:vAlign w:val="bottom"/>
            <w:hideMark/>
          </w:tcPr>
          <w:p w14:paraId="43CB7A6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603.406,00</w:t>
            </w:r>
          </w:p>
        </w:tc>
        <w:tc>
          <w:tcPr>
            <w:tcW w:w="1559" w:type="dxa"/>
            <w:tcBorders>
              <w:top w:val="nil"/>
              <w:left w:val="nil"/>
              <w:bottom w:val="nil"/>
              <w:right w:val="nil"/>
            </w:tcBorders>
            <w:shd w:val="clear" w:color="000000" w:fill="FF9900"/>
            <w:noWrap/>
            <w:vAlign w:val="bottom"/>
            <w:hideMark/>
          </w:tcPr>
          <w:p w14:paraId="7024A66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603.297,85</w:t>
            </w:r>
          </w:p>
        </w:tc>
        <w:tc>
          <w:tcPr>
            <w:tcW w:w="993" w:type="dxa"/>
            <w:tcBorders>
              <w:top w:val="nil"/>
              <w:left w:val="nil"/>
              <w:bottom w:val="nil"/>
              <w:right w:val="nil"/>
            </w:tcBorders>
            <w:shd w:val="clear" w:color="000000" w:fill="FF9900"/>
            <w:noWrap/>
            <w:vAlign w:val="bottom"/>
            <w:hideMark/>
          </w:tcPr>
          <w:p w14:paraId="490F979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99,98%</w:t>
            </w:r>
          </w:p>
        </w:tc>
      </w:tr>
      <w:tr w:rsidR="006967F8" w:rsidRPr="006967F8" w14:paraId="2159A1E2" w14:textId="77777777" w:rsidTr="008A61B1">
        <w:trPr>
          <w:trHeight w:val="495"/>
        </w:trPr>
        <w:tc>
          <w:tcPr>
            <w:tcW w:w="1134" w:type="dxa"/>
            <w:tcBorders>
              <w:top w:val="nil"/>
              <w:left w:val="nil"/>
              <w:bottom w:val="nil"/>
              <w:right w:val="nil"/>
            </w:tcBorders>
            <w:shd w:val="clear" w:color="000000" w:fill="FFFF99"/>
            <w:noWrap/>
            <w:vAlign w:val="bottom"/>
            <w:hideMark/>
          </w:tcPr>
          <w:p w14:paraId="554C969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A100042</w:t>
            </w:r>
          </w:p>
        </w:tc>
        <w:tc>
          <w:tcPr>
            <w:tcW w:w="4962" w:type="dxa"/>
            <w:tcBorders>
              <w:top w:val="nil"/>
              <w:left w:val="nil"/>
              <w:bottom w:val="nil"/>
              <w:right w:val="nil"/>
            </w:tcBorders>
            <w:shd w:val="clear" w:color="000000" w:fill="FFFF99"/>
            <w:vAlign w:val="bottom"/>
            <w:hideMark/>
          </w:tcPr>
          <w:p w14:paraId="763B361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Aktivnost: ODRŽAVANJE ČISTOĆE JAVNIH POVRŠINA</w:t>
            </w:r>
          </w:p>
        </w:tc>
        <w:tc>
          <w:tcPr>
            <w:tcW w:w="1559" w:type="dxa"/>
            <w:tcBorders>
              <w:top w:val="nil"/>
              <w:left w:val="nil"/>
              <w:bottom w:val="nil"/>
              <w:right w:val="nil"/>
            </w:tcBorders>
            <w:shd w:val="clear" w:color="000000" w:fill="FFFF99"/>
            <w:noWrap/>
            <w:vAlign w:val="bottom"/>
            <w:hideMark/>
          </w:tcPr>
          <w:p w14:paraId="5896F28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431.000,00</w:t>
            </w:r>
          </w:p>
        </w:tc>
        <w:tc>
          <w:tcPr>
            <w:tcW w:w="1559" w:type="dxa"/>
            <w:tcBorders>
              <w:top w:val="nil"/>
              <w:left w:val="nil"/>
              <w:bottom w:val="nil"/>
              <w:right w:val="nil"/>
            </w:tcBorders>
            <w:shd w:val="clear" w:color="000000" w:fill="FFFF99"/>
            <w:noWrap/>
            <w:vAlign w:val="bottom"/>
            <w:hideMark/>
          </w:tcPr>
          <w:p w14:paraId="31E263A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433.406,00</w:t>
            </w:r>
          </w:p>
        </w:tc>
        <w:tc>
          <w:tcPr>
            <w:tcW w:w="1559" w:type="dxa"/>
            <w:tcBorders>
              <w:top w:val="nil"/>
              <w:left w:val="nil"/>
              <w:bottom w:val="nil"/>
              <w:right w:val="nil"/>
            </w:tcBorders>
            <w:shd w:val="clear" w:color="000000" w:fill="FFFF99"/>
            <w:noWrap/>
            <w:vAlign w:val="bottom"/>
            <w:hideMark/>
          </w:tcPr>
          <w:p w14:paraId="551501B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433.405,35</w:t>
            </w:r>
          </w:p>
        </w:tc>
        <w:tc>
          <w:tcPr>
            <w:tcW w:w="993" w:type="dxa"/>
            <w:tcBorders>
              <w:top w:val="nil"/>
              <w:left w:val="nil"/>
              <w:bottom w:val="nil"/>
              <w:right w:val="nil"/>
            </w:tcBorders>
            <w:shd w:val="clear" w:color="000000" w:fill="FFFF99"/>
            <w:noWrap/>
            <w:vAlign w:val="bottom"/>
            <w:hideMark/>
          </w:tcPr>
          <w:p w14:paraId="21F078D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r>
      <w:tr w:rsidR="006967F8" w:rsidRPr="006967F8" w14:paraId="0581FFFB"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6A42EA7"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639E5E1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431.000,00</w:t>
            </w:r>
          </w:p>
        </w:tc>
        <w:tc>
          <w:tcPr>
            <w:tcW w:w="1559" w:type="dxa"/>
            <w:tcBorders>
              <w:top w:val="nil"/>
              <w:left w:val="nil"/>
              <w:bottom w:val="nil"/>
              <w:right w:val="nil"/>
            </w:tcBorders>
            <w:shd w:val="clear" w:color="000000" w:fill="CCCCFF"/>
            <w:noWrap/>
            <w:vAlign w:val="bottom"/>
            <w:hideMark/>
          </w:tcPr>
          <w:p w14:paraId="4D8C4C4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433.406,00</w:t>
            </w:r>
          </w:p>
        </w:tc>
        <w:tc>
          <w:tcPr>
            <w:tcW w:w="1559" w:type="dxa"/>
            <w:tcBorders>
              <w:top w:val="nil"/>
              <w:left w:val="nil"/>
              <w:bottom w:val="nil"/>
              <w:right w:val="nil"/>
            </w:tcBorders>
            <w:shd w:val="clear" w:color="000000" w:fill="CCCCFF"/>
            <w:noWrap/>
            <w:vAlign w:val="bottom"/>
            <w:hideMark/>
          </w:tcPr>
          <w:p w14:paraId="1A573B4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433.405,35</w:t>
            </w:r>
          </w:p>
        </w:tc>
        <w:tc>
          <w:tcPr>
            <w:tcW w:w="993" w:type="dxa"/>
            <w:tcBorders>
              <w:top w:val="nil"/>
              <w:left w:val="nil"/>
              <w:bottom w:val="nil"/>
              <w:right w:val="nil"/>
            </w:tcBorders>
            <w:shd w:val="clear" w:color="000000" w:fill="CCCCFF"/>
            <w:noWrap/>
            <w:vAlign w:val="bottom"/>
            <w:hideMark/>
          </w:tcPr>
          <w:p w14:paraId="1F89D37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422616D4"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745F6CE"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lastRenderedPageBreak/>
              <w:t>Izvor 4.2. Komunalna naknada</w:t>
            </w:r>
          </w:p>
        </w:tc>
        <w:tc>
          <w:tcPr>
            <w:tcW w:w="1559" w:type="dxa"/>
            <w:tcBorders>
              <w:top w:val="nil"/>
              <w:left w:val="nil"/>
              <w:bottom w:val="nil"/>
              <w:right w:val="nil"/>
            </w:tcBorders>
            <w:shd w:val="clear" w:color="000000" w:fill="CCCCFF"/>
            <w:noWrap/>
            <w:vAlign w:val="bottom"/>
            <w:hideMark/>
          </w:tcPr>
          <w:p w14:paraId="021A26A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431.000,00</w:t>
            </w:r>
          </w:p>
        </w:tc>
        <w:tc>
          <w:tcPr>
            <w:tcW w:w="1559" w:type="dxa"/>
            <w:tcBorders>
              <w:top w:val="nil"/>
              <w:left w:val="nil"/>
              <w:bottom w:val="nil"/>
              <w:right w:val="nil"/>
            </w:tcBorders>
            <w:shd w:val="clear" w:color="000000" w:fill="CCCCFF"/>
            <w:noWrap/>
            <w:vAlign w:val="bottom"/>
            <w:hideMark/>
          </w:tcPr>
          <w:p w14:paraId="404900F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433.406,00</w:t>
            </w:r>
          </w:p>
        </w:tc>
        <w:tc>
          <w:tcPr>
            <w:tcW w:w="1559" w:type="dxa"/>
            <w:tcBorders>
              <w:top w:val="nil"/>
              <w:left w:val="nil"/>
              <w:bottom w:val="nil"/>
              <w:right w:val="nil"/>
            </w:tcBorders>
            <w:shd w:val="clear" w:color="000000" w:fill="CCCCFF"/>
            <w:noWrap/>
            <w:vAlign w:val="bottom"/>
            <w:hideMark/>
          </w:tcPr>
          <w:p w14:paraId="4BB72E6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433.405,35</w:t>
            </w:r>
          </w:p>
        </w:tc>
        <w:tc>
          <w:tcPr>
            <w:tcW w:w="993" w:type="dxa"/>
            <w:tcBorders>
              <w:top w:val="nil"/>
              <w:left w:val="nil"/>
              <w:bottom w:val="nil"/>
              <w:right w:val="nil"/>
            </w:tcBorders>
            <w:shd w:val="clear" w:color="000000" w:fill="CCCCFF"/>
            <w:noWrap/>
            <w:vAlign w:val="bottom"/>
            <w:hideMark/>
          </w:tcPr>
          <w:p w14:paraId="4D7CA72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498F9DDE" w14:textId="77777777" w:rsidTr="008A61B1">
        <w:trPr>
          <w:trHeight w:val="255"/>
        </w:trPr>
        <w:tc>
          <w:tcPr>
            <w:tcW w:w="1134" w:type="dxa"/>
            <w:tcBorders>
              <w:top w:val="nil"/>
              <w:left w:val="nil"/>
              <w:bottom w:val="nil"/>
              <w:right w:val="nil"/>
            </w:tcBorders>
            <w:noWrap/>
            <w:vAlign w:val="bottom"/>
            <w:hideMark/>
          </w:tcPr>
          <w:p w14:paraId="4A46A6A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1374DE4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0580938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431.000,00</w:t>
            </w:r>
          </w:p>
        </w:tc>
        <w:tc>
          <w:tcPr>
            <w:tcW w:w="1559" w:type="dxa"/>
            <w:tcBorders>
              <w:top w:val="nil"/>
              <w:left w:val="nil"/>
              <w:bottom w:val="nil"/>
              <w:right w:val="nil"/>
            </w:tcBorders>
            <w:noWrap/>
            <w:vAlign w:val="bottom"/>
            <w:hideMark/>
          </w:tcPr>
          <w:p w14:paraId="30A76E7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433.406,00</w:t>
            </w:r>
          </w:p>
        </w:tc>
        <w:tc>
          <w:tcPr>
            <w:tcW w:w="1559" w:type="dxa"/>
            <w:tcBorders>
              <w:top w:val="nil"/>
              <w:left w:val="nil"/>
              <w:bottom w:val="nil"/>
              <w:right w:val="nil"/>
            </w:tcBorders>
            <w:noWrap/>
            <w:vAlign w:val="bottom"/>
            <w:hideMark/>
          </w:tcPr>
          <w:p w14:paraId="2244AFD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433.405,35</w:t>
            </w:r>
          </w:p>
        </w:tc>
        <w:tc>
          <w:tcPr>
            <w:tcW w:w="993" w:type="dxa"/>
            <w:tcBorders>
              <w:top w:val="nil"/>
              <w:left w:val="nil"/>
              <w:bottom w:val="nil"/>
              <w:right w:val="nil"/>
            </w:tcBorders>
            <w:noWrap/>
            <w:vAlign w:val="bottom"/>
            <w:hideMark/>
          </w:tcPr>
          <w:p w14:paraId="401A3C7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r>
      <w:tr w:rsidR="006967F8" w:rsidRPr="006967F8" w14:paraId="363F5E73" w14:textId="77777777" w:rsidTr="008A61B1">
        <w:trPr>
          <w:trHeight w:val="255"/>
        </w:trPr>
        <w:tc>
          <w:tcPr>
            <w:tcW w:w="1134" w:type="dxa"/>
            <w:tcBorders>
              <w:top w:val="nil"/>
              <w:left w:val="nil"/>
              <w:bottom w:val="nil"/>
              <w:right w:val="nil"/>
            </w:tcBorders>
            <w:noWrap/>
            <w:vAlign w:val="bottom"/>
            <w:hideMark/>
          </w:tcPr>
          <w:p w14:paraId="25A81D4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3232</w:t>
            </w:r>
          </w:p>
        </w:tc>
        <w:tc>
          <w:tcPr>
            <w:tcW w:w="4962" w:type="dxa"/>
            <w:tcBorders>
              <w:top w:val="nil"/>
              <w:left w:val="nil"/>
              <w:bottom w:val="nil"/>
              <w:right w:val="nil"/>
            </w:tcBorders>
            <w:noWrap/>
            <w:vAlign w:val="bottom"/>
            <w:hideMark/>
          </w:tcPr>
          <w:p w14:paraId="3D78C9A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noWrap/>
            <w:vAlign w:val="bottom"/>
            <w:hideMark/>
          </w:tcPr>
          <w:p w14:paraId="5DDD95E3"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8CC0D78"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72D6C90"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433.405,35</w:t>
            </w:r>
          </w:p>
        </w:tc>
        <w:tc>
          <w:tcPr>
            <w:tcW w:w="993" w:type="dxa"/>
            <w:tcBorders>
              <w:top w:val="nil"/>
              <w:left w:val="nil"/>
              <w:bottom w:val="nil"/>
              <w:right w:val="nil"/>
            </w:tcBorders>
            <w:noWrap/>
            <w:vAlign w:val="bottom"/>
            <w:hideMark/>
          </w:tcPr>
          <w:p w14:paraId="54AAC473"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6968E33" w14:textId="77777777" w:rsidTr="008A61B1">
        <w:trPr>
          <w:trHeight w:val="510"/>
        </w:trPr>
        <w:tc>
          <w:tcPr>
            <w:tcW w:w="1134" w:type="dxa"/>
            <w:tcBorders>
              <w:top w:val="nil"/>
              <w:left w:val="nil"/>
              <w:bottom w:val="nil"/>
              <w:right w:val="nil"/>
            </w:tcBorders>
            <w:shd w:val="clear" w:color="000000" w:fill="FFFF99"/>
            <w:noWrap/>
            <w:vAlign w:val="bottom"/>
            <w:hideMark/>
          </w:tcPr>
          <w:p w14:paraId="3817201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A100043</w:t>
            </w:r>
          </w:p>
        </w:tc>
        <w:tc>
          <w:tcPr>
            <w:tcW w:w="4962" w:type="dxa"/>
            <w:tcBorders>
              <w:top w:val="nil"/>
              <w:left w:val="nil"/>
              <w:bottom w:val="nil"/>
              <w:right w:val="nil"/>
            </w:tcBorders>
            <w:shd w:val="clear" w:color="000000" w:fill="FFFF99"/>
            <w:vAlign w:val="bottom"/>
            <w:hideMark/>
          </w:tcPr>
          <w:p w14:paraId="6A37FD8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Aktivnost: UKLANJANJE OTPADA ODBAČENOG NA JPP</w:t>
            </w:r>
          </w:p>
        </w:tc>
        <w:tc>
          <w:tcPr>
            <w:tcW w:w="1559" w:type="dxa"/>
            <w:tcBorders>
              <w:top w:val="nil"/>
              <w:left w:val="nil"/>
              <w:bottom w:val="nil"/>
              <w:right w:val="nil"/>
            </w:tcBorders>
            <w:shd w:val="clear" w:color="000000" w:fill="FFFF99"/>
            <w:noWrap/>
            <w:vAlign w:val="bottom"/>
            <w:hideMark/>
          </w:tcPr>
          <w:p w14:paraId="0106340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135.000,00</w:t>
            </w:r>
          </w:p>
        </w:tc>
        <w:tc>
          <w:tcPr>
            <w:tcW w:w="1559" w:type="dxa"/>
            <w:tcBorders>
              <w:top w:val="nil"/>
              <w:left w:val="nil"/>
              <w:bottom w:val="nil"/>
              <w:right w:val="nil"/>
            </w:tcBorders>
            <w:shd w:val="clear" w:color="000000" w:fill="FFFF99"/>
            <w:noWrap/>
            <w:vAlign w:val="bottom"/>
            <w:hideMark/>
          </w:tcPr>
          <w:p w14:paraId="6607DB4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135.000,00</w:t>
            </w:r>
          </w:p>
        </w:tc>
        <w:tc>
          <w:tcPr>
            <w:tcW w:w="1559" w:type="dxa"/>
            <w:tcBorders>
              <w:top w:val="nil"/>
              <w:left w:val="nil"/>
              <w:bottom w:val="nil"/>
              <w:right w:val="nil"/>
            </w:tcBorders>
            <w:shd w:val="clear" w:color="000000" w:fill="FFFF99"/>
            <w:noWrap/>
            <w:vAlign w:val="bottom"/>
            <w:hideMark/>
          </w:tcPr>
          <w:p w14:paraId="5673CC4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134.993,75</w:t>
            </w:r>
          </w:p>
        </w:tc>
        <w:tc>
          <w:tcPr>
            <w:tcW w:w="993" w:type="dxa"/>
            <w:tcBorders>
              <w:top w:val="nil"/>
              <w:left w:val="nil"/>
              <w:bottom w:val="nil"/>
              <w:right w:val="nil"/>
            </w:tcBorders>
            <w:shd w:val="clear" w:color="000000" w:fill="FFFF99"/>
            <w:noWrap/>
            <w:vAlign w:val="bottom"/>
            <w:hideMark/>
          </w:tcPr>
          <w:p w14:paraId="33704F1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r>
      <w:tr w:rsidR="006967F8" w:rsidRPr="006967F8" w14:paraId="63EA59F1"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8DA35DD"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3651122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135.000,00</w:t>
            </w:r>
          </w:p>
        </w:tc>
        <w:tc>
          <w:tcPr>
            <w:tcW w:w="1559" w:type="dxa"/>
            <w:tcBorders>
              <w:top w:val="nil"/>
              <w:left w:val="nil"/>
              <w:bottom w:val="nil"/>
              <w:right w:val="nil"/>
            </w:tcBorders>
            <w:shd w:val="clear" w:color="000000" w:fill="CCCCFF"/>
            <w:noWrap/>
            <w:vAlign w:val="bottom"/>
            <w:hideMark/>
          </w:tcPr>
          <w:p w14:paraId="5F32958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135.000,00</w:t>
            </w:r>
          </w:p>
        </w:tc>
        <w:tc>
          <w:tcPr>
            <w:tcW w:w="1559" w:type="dxa"/>
            <w:tcBorders>
              <w:top w:val="nil"/>
              <w:left w:val="nil"/>
              <w:bottom w:val="nil"/>
              <w:right w:val="nil"/>
            </w:tcBorders>
            <w:shd w:val="clear" w:color="000000" w:fill="CCCCFF"/>
            <w:noWrap/>
            <w:vAlign w:val="bottom"/>
            <w:hideMark/>
          </w:tcPr>
          <w:p w14:paraId="329FEFD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134.993,75</w:t>
            </w:r>
          </w:p>
        </w:tc>
        <w:tc>
          <w:tcPr>
            <w:tcW w:w="993" w:type="dxa"/>
            <w:tcBorders>
              <w:top w:val="nil"/>
              <w:left w:val="nil"/>
              <w:bottom w:val="nil"/>
              <w:right w:val="nil"/>
            </w:tcBorders>
            <w:shd w:val="clear" w:color="000000" w:fill="CCCCFF"/>
            <w:noWrap/>
            <w:vAlign w:val="bottom"/>
            <w:hideMark/>
          </w:tcPr>
          <w:p w14:paraId="3CC16FC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67E04DC4"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0897048"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23A54C0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135.000,00</w:t>
            </w:r>
          </w:p>
        </w:tc>
        <w:tc>
          <w:tcPr>
            <w:tcW w:w="1559" w:type="dxa"/>
            <w:tcBorders>
              <w:top w:val="nil"/>
              <w:left w:val="nil"/>
              <w:bottom w:val="nil"/>
              <w:right w:val="nil"/>
            </w:tcBorders>
            <w:shd w:val="clear" w:color="000000" w:fill="CCCCFF"/>
            <w:noWrap/>
            <w:vAlign w:val="bottom"/>
            <w:hideMark/>
          </w:tcPr>
          <w:p w14:paraId="17637D0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135.000,00</w:t>
            </w:r>
          </w:p>
        </w:tc>
        <w:tc>
          <w:tcPr>
            <w:tcW w:w="1559" w:type="dxa"/>
            <w:tcBorders>
              <w:top w:val="nil"/>
              <w:left w:val="nil"/>
              <w:bottom w:val="nil"/>
              <w:right w:val="nil"/>
            </w:tcBorders>
            <w:shd w:val="clear" w:color="000000" w:fill="CCCCFF"/>
            <w:noWrap/>
            <w:vAlign w:val="bottom"/>
            <w:hideMark/>
          </w:tcPr>
          <w:p w14:paraId="5EBFEAA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134.993,75</w:t>
            </w:r>
          </w:p>
        </w:tc>
        <w:tc>
          <w:tcPr>
            <w:tcW w:w="993" w:type="dxa"/>
            <w:tcBorders>
              <w:top w:val="nil"/>
              <w:left w:val="nil"/>
              <w:bottom w:val="nil"/>
              <w:right w:val="nil"/>
            </w:tcBorders>
            <w:shd w:val="clear" w:color="000000" w:fill="CCCCFF"/>
            <w:noWrap/>
            <w:vAlign w:val="bottom"/>
            <w:hideMark/>
          </w:tcPr>
          <w:p w14:paraId="039AE21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23EBC894" w14:textId="77777777" w:rsidTr="008A61B1">
        <w:trPr>
          <w:trHeight w:val="255"/>
        </w:trPr>
        <w:tc>
          <w:tcPr>
            <w:tcW w:w="1134" w:type="dxa"/>
            <w:tcBorders>
              <w:top w:val="nil"/>
              <w:left w:val="nil"/>
              <w:bottom w:val="nil"/>
              <w:right w:val="nil"/>
            </w:tcBorders>
            <w:noWrap/>
            <w:vAlign w:val="bottom"/>
            <w:hideMark/>
          </w:tcPr>
          <w:p w14:paraId="2314480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5C1ADBC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0D6E287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135.000,00</w:t>
            </w:r>
          </w:p>
        </w:tc>
        <w:tc>
          <w:tcPr>
            <w:tcW w:w="1559" w:type="dxa"/>
            <w:tcBorders>
              <w:top w:val="nil"/>
              <w:left w:val="nil"/>
              <w:bottom w:val="nil"/>
              <w:right w:val="nil"/>
            </w:tcBorders>
            <w:noWrap/>
            <w:vAlign w:val="bottom"/>
            <w:hideMark/>
          </w:tcPr>
          <w:p w14:paraId="5613993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135.000,00</w:t>
            </w:r>
          </w:p>
        </w:tc>
        <w:tc>
          <w:tcPr>
            <w:tcW w:w="1559" w:type="dxa"/>
            <w:tcBorders>
              <w:top w:val="nil"/>
              <w:left w:val="nil"/>
              <w:bottom w:val="nil"/>
              <w:right w:val="nil"/>
            </w:tcBorders>
            <w:noWrap/>
            <w:vAlign w:val="bottom"/>
            <w:hideMark/>
          </w:tcPr>
          <w:p w14:paraId="48EA15C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134.993,75</w:t>
            </w:r>
          </w:p>
        </w:tc>
        <w:tc>
          <w:tcPr>
            <w:tcW w:w="993" w:type="dxa"/>
            <w:tcBorders>
              <w:top w:val="nil"/>
              <w:left w:val="nil"/>
              <w:bottom w:val="nil"/>
              <w:right w:val="nil"/>
            </w:tcBorders>
            <w:noWrap/>
            <w:vAlign w:val="bottom"/>
            <w:hideMark/>
          </w:tcPr>
          <w:p w14:paraId="5752F0C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r>
      <w:tr w:rsidR="006967F8" w:rsidRPr="006967F8" w14:paraId="6DC9410B" w14:textId="77777777" w:rsidTr="008A61B1">
        <w:trPr>
          <w:trHeight w:val="255"/>
        </w:trPr>
        <w:tc>
          <w:tcPr>
            <w:tcW w:w="1134" w:type="dxa"/>
            <w:tcBorders>
              <w:top w:val="nil"/>
              <w:left w:val="nil"/>
              <w:bottom w:val="nil"/>
              <w:right w:val="nil"/>
            </w:tcBorders>
            <w:noWrap/>
            <w:vAlign w:val="bottom"/>
            <w:hideMark/>
          </w:tcPr>
          <w:p w14:paraId="277A97C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3232</w:t>
            </w:r>
          </w:p>
        </w:tc>
        <w:tc>
          <w:tcPr>
            <w:tcW w:w="4962" w:type="dxa"/>
            <w:tcBorders>
              <w:top w:val="nil"/>
              <w:left w:val="nil"/>
              <w:bottom w:val="nil"/>
              <w:right w:val="nil"/>
            </w:tcBorders>
            <w:noWrap/>
            <w:vAlign w:val="bottom"/>
            <w:hideMark/>
          </w:tcPr>
          <w:p w14:paraId="251D881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noWrap/>
            <w:vAlign w:val="bottom"/>
            <w:hideMark/>
          </w:tcPr>
          <w:p w14:paraId="78FB5357"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CB92125"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539820D"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134.993,75</w:t>
            </w:r>
          </w:p>
        </w:tc>
        <w:tc>
          <w:tcPr>
            <w:tcW w:w="993" w:type="dxa"/>
            <w:tcBorders>
              <w:top w:val="nil"/>
              <w:left w:val="nil"/>
              <w:bottom w:val="nil"/>
              <w:right w:val="nil"/>
            </w:tcBorders>
            <w:noWrap/>
            <w:vAlign w:val="bottom"/>
            <w:hideMark/>
          </w:tcPr>
          <w:p w14:paraId="4A3EFEFE"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8A0BB67" w14:textId="77777777" w:rsidTr="008A61B1">
        <w:trPr>
          <w:trHeight w:val="600"/>
        </w:trPr>
        <w:tc>
          <w:tcPr>
            <w:tcW w:w="1134" w:type="dxa"/>
            <w:tcBorders>
              <w:top w:val="nil"/>
              <w:left w:val="nil"/>
              <w:bottom w:val="nil"/>
              <w:right w:val="nil"/>
            </w:tcBorders>
            <w:shd w:val="clear" w:color="000000" w:fill="FFFF99"/>
            <w:noWrap/>
            <w:vAlign w:val="bottom"/>
            <w:hideMark/>
          </w:tcPr>
          <w:p w14:paraId="5CD13CF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A100048</w:t>
            </w:r>
          </w:p>
        </w:tc>
        <w:tc>
          <w:tcPr>
            <w:tcW w:w="4962" w:type="dxa"/>
            <w:tcBorders>
              <w:top w:val="nil"/>
              <w:left w:val="nil"/>
              <w:bottom w:val="nil"/>
              <w:right w:val="nil"/>
            </w:tcBorders>
            <w:shd w:val="clear" w:color="000000" w:fill="FFFF99"/>
            <w:vAlign w:val="bottom"/>
            <w:hideMark/>
          </w:tcPr>
          <w:p w14:paraId="621D37E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Aktivnost: UKLANJANJE OTPADA ODBAČENOG U OKOLIŠ</w:t>
            </w:r>
          </w:p>
        </w:tc>
        <w:tc>
          <w:tcPr>
            <w:tcW w:w="1559" w:type="dxa"/>
            <w:tcBorders>
              <w:top w:val="nil"/>
              <w:left w:val="nil"/>
              <w:bottom w:val="nil"/>
              <w:right w:val="nil"/>
            </w:tcBorders>
            <w:shd w:val="clear" w:color="000000" w:fill="FFFF99"/>
            <w:noWrap/>
            <w:vAlign w:val="bottom"/>
            <w:hideMark/>
          </w:tcPr>
          <w:p w14:paraId="15F7A1F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35.000,00</w:t>
            </w:r>
          </w:p>
        </w:tc>
        <w:tc>
          <w:tcPr>
            <w:tcW w:w="1559" w:type="dxa"/>
            <w:tcBorders>
              <w:top w:val="nil"/>
              <w:left w:val="nil"/>
              <w:bottom w:val="nil"/>
              <w:right w:val="nil"/>
            </w:tcBorders>
            <w:shd w:val="clear" w:color="000000" w:fill="FFFF99"/>
            <w:noWrap/>
            <w:vAlign w:val="bottom"/>
            <w:hideMark/>
          </w:tcPr>
          <w:p w14:paraId="580E62C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35.000,00</w:t>
            </w:r>
          </w:p>
        </w:tc>
        <w:tc>
          <w:tcPr>
            <w:tcW w:w="1559" w:type="dxa"/>
            <w:tcBorders>
              <w:top w:val="nil"/>
              <w:left w:val="nil"/>
              <w:bottom w:val="nil"/>
              <w:right w:val="nil"/>
            </w:tcBorders>
            <w:shd w:val="clear" w:color="000000" w:fill="FFFF99"/>
            <w:noWrap/>
            <w:vAlign w:val="bottom"/>
            <w:hideMark/>
          </w:tcPr>
          <w:p w14:paraId="3AEFDCB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34.898,75</w:t>
            </w:r>
          </w:p>
        </w:tc>
        <w:tc>
          <w:tcPr>
            <w:tcW w:w="993" w:type="dxa"/>
            <w:tcBorders>
              <w:top w:val="nil"/>
              <w:left w:val="nil"/>
              <w:bottom w:val="nil"/>
              <w:right w:val="nil"/>
            </w:tcBorders>
            <w:shd w:val="clear" w:color="000000" w:fill="FFFF99"/>
            <w:noWrap/>
            <w:vAlign w:val="bottom"/>
            <w:hideMark/>
          </w:tcPr>
          <w:p w14:paraId="1EF2EDF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99,71%</w:t>
            </w:r>
          </w:p>
        </w:tc>
      </w:tr>
      <w:tr w:rsidR="006967F8" w:rsidRPr="006967F8" w14:paraId="57050A8F"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9425CF8"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01F58E4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22.000,00</w:t>
            </w:r>
          </w:p>
        </w:tc>
        <w:tc>
          <w:tcPr>
            <w:tcW w:w="1559" w:type="dxa"/>
            <w:tcBorders>
              <w:top w:val="nil"/>
              <w:left w:val="nil"/>
              <w:bottom w:val="nil"/>
              <w:right w:val="nil"/>
            </w:tcBorders>
            <w:shd w:val="clear" w:color="000000" w:fill="CCCCFF"/>
            <w:noWrap/>
            <w:vAlign w:val="bottom"/>
            <w:hideMark/>
          </w:tcPr>
          <w:p w14:paraId="4460211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22.000,00</w:t>
            </w:r>
          </w:p>
        </w:tc>
        <w:tc>
          <w:tcPr>
            <w:tcW w:w="1559" w:type="dxa"/>
            <w:tcBorders>
              <w:top w:val="nil"/>
              <w:left w:val="nil"/>
              <w:bottom w:val="nil"/>
              <w:right w:val="nil"/>
            </w:tcBorders>
            <w:shd w:val="clear" w:color="000000" w:fill="CCCCFF"/>
            <w:noWrap/>
            <w:vAlign w:val="bottom"/>
            <w:hideMark/>
          </w:tcPr>
          <w:p w14:paraId="36E3683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21.948,75</w:t>
            </w:r>
          </w:p>
        </w:tc>
        <w:tc>
          <w:tcPr>
            <w:tcW w:w="993" w:type="dxa"/>
            <w:tcBorders>
              <w:top w:val="nil"/>
              <w:left w:val="nil"/>
              <w:bottom w:val="nil"/>
              <w:right w:val="nil"/>
            </w:tcBorders>
            <w:shd w:val="clear" w:color="000000" w:fill="CCCCFF"/>
            <w:noWrap/>
            <w:vAlign w:val="bottom"/>
            <w:hideMark/>
          </w:tcPr>
          <w:p w14:paraId="4D231C6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99,77%</w:t>
            </w:r>
          </w:p>
        </w:tc>
      </w:tr>
      <w:tr w:rsidR="006967F8" w:rsidRPr="006967F8" w14:paraId="7DCA9005"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772EECE"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4.2. Komunalna naknada</w:t>
            </w:r>
          </w:p>
        </w:tc>
        <w:tc>
          <w:tcPr>
            <w:tcW w:w="1559" w:type="dxa"/>
            <w:tcBorders>
              <w:top w:val="nil"/>
              <w:left w:val="nil"/>
              <w:bottom w:val="nil"/>
              <w:right w:val="nil"/>
            </w:tcBorders>
            <w:shd w:val="clear" w:color="000000" w:fill="CCCCFF"/>
            <w:noWrap/>
            <w:vAlign w:val="bottom"/>
            <w:hideMark/>
          </w:tcPr>
          <w:p w14:paraId="0F40536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22.000,00</w:t>
            </w:r>
          </w:p>
        </w:tc>
        <w:tc>
          <w:tcPr>
            <w:tcW w:w="1559" w:type="dxa"/>
            <w:tcBorders>
              <w:top w:val="nil"/>
              <w:left w:val="nil"/>
              <w:bottom w:val="nil"/>
              <w:right w:val="nil"/>
            </w:tcBorders>
            <w:shd w:val="clear" w:color="000000" w:fill="CCCCFF"/>
            <w:noWrap/>
            <w:vAlign w:val="bottom"/>
            <w:hideMark/>
          </w:tcPr>
          <w:p w14:paraId="31CBF53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22.000,00</w:t>
            </w:r>
          </w:p>
        </w:tc>
        <w:tc>
          <w:tcPr>
            <w:tcW w:w="1559" w:type="dxa"/>
            <w:tcBorders>
              <w:top w:val="nil"/>
              <w:left w:val="nil"/>
              <w:bottom w:val="nil"/>
              <w:right w:val="nil"/>
            </w:tcBorders>
            <w:shd w:val="clear" w:color="000000" w:fill="CCCCFF"/>
            <w:noWrap/>
            <w:vAlign w:val="bottom"/>
            <w:hideMark/>
          </w:tcPr>
          <w:p w14:paraId="788B7A0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21.948,75</w:t>
            </w:r>
          </w:p>
        </w:tc>
        <w:tc>
          <w:tcPr>
            <w:tcW w:w="993" w:type="dxa"/>
            <w:tcBorders>
              <w:top w:val="nil"/>
              <w:left w:val="nil"/>
              <w:bottom w:val="nil"/>
              <w:right w:val="nil"/>
            </w:tcBorders>
            <w:shd w:val="clear" w:color="000000" w:fill="CCCCFF"/>
            <w:noWrap/>
            <w:vAlign w:val="bottom"/>
            <w:hideMark/>
          </w:tcPr>
          <w:p w14:paraId="19D43A3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99,77%</w:t>
            </w:r>
          </w:p>
        </w:tc>
      </w:tr>
      <w:tr w:rsidR="006967F8" w:rsidRPr="006967F8" w14:paraId="19BF4A90" w14:textId="77777777" w:rsidTr="008A61B1">
        <w:trPr>
          <w:trHeight w:val="255"/>
        </w:trPr>
        <w:tc>
          <w:tcPr>
            <w:tcW w:w="1134" w:type="dxa"/>
            <w:tcBorders>
              <w:top w:val="nil"/>
              <w:left w:val="nil"/>
              <w:bottom w:val="nil"/>
              <w:right w:val="nil"/>
            </w:tcBorders>
            <w:noWrap/>
            <w:vAlign w:val="bottom"/>
            <w:hideMark/>
          </w:tcPr>
          <w:p w14:paraId="5F03FE8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37499FC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1E83310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22.000,00</w:t>
            </w:r>
          </w:p>
        </w:tc>
        <w:tc>
          <w:tcPr>
            <w:tcW w:w="1559" w:type="dxa"/>
            <w:tcBorders>
              <w:top w:val="nil"/>
              <w:left w:val="nil"/>
              <w:bottom w:val="nil"/>
              <w:right w:val="nil"/>
            </w:tcBorders>
            <w:noWrap/>
            <w:vAlign w:val="bottom"/>
            <w:hideMark/>
          </w:tcPr>
          <w:p w14:paraId="29FC483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22.000,00</w:t>
            </w:r>
          </w:p>
        </w:tc>
        <w:tc>
          <w:tcPr>
            <w:tcW w:w="1559" w:type="dxa"/>
            <w:tcBorders>
              <w:top w:val="nil"/>
              <w:left w:val="nil"/>
              <w:bottom w:val="nil"/>
              <w:right w:val="nil"/>
            </w:tcBorders>
            <w:noWrap/>
            <w:vAlign w:val="bottom"/>
            <w:hideMark/>
          </w:tcPr>
          <w:p w14:paraId="4E6C013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21.948,75</w:t>
            </w:r>
          </w:p>
        </w:tc>
        <w:tc>
          <w:tcPr>
            <w:tcW w:w="993" w:type="dxa"/>
            <w:tcBorders>
              <w:top w:val="nil"/>
              <w:left w:val="nil"/>
              <w:bottom w:val="nil"/>
              <w:right w:val="nil"/>
            </w:tcBorders>
            <w:noWrap/>
            <w:vAlign w:val="bottom"/>
            <w:hideMark/>
          </w:tcPr>
          <w:p w14:paraId="20773F2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99,77%</w:t>
            </w:r>
          </w:p>
        </w:tc>
      </w:tr>
      <w:tr w:rsidR="006967F8" w:rsidRPr="006967F8" w14:paraId="0AEBB541" w14:textId="77777777" w:rsidTr="008A61B1">
        <w:trPr>
          <w:trHeight w:val="255"/>
        </w:trPr>
        <w:tc>
          <w:tcPr>
            <w:tcW w:w="1134" w:type="dxa"/>
            <w:tcBorders>
              <w:top w:val="nil"/>
              <w:left w:val="nil"/>
              <w:bottom w:val="nil"/>
              <w:right w:val="nil"/>
            </w:tcBorders>
            <w:noWrap/>
            <w:vAlign w:val="bottom"/>
            <w:hideMark/>
          </w:tcPr>
          <w:p w14:paraId="5A9C260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3234</w:t>
            </w:r>
          </w:p>
        </w:tc>
        <w:tc>
          <w:tcPr>
            <w:tcW w:w="4962" w:type="dxa"/>
            <w:tcBorders>
              <w:top w:val="nil"/>
              <w:left w:val="nil"/>
              <w:bottom w:val="nil"/>
              <w:right w:val="nil"/>
            </w:tcBorders>
            <w:noWrap/>
            <w:vAlign w:val="bottom"/>
            <w:hideMark/>
          </w:tcPr>
          <w:p w14:paraId="336C428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Komunalne usluge</w:t>
            </w:r>
          </w:p>
        </w:tc>
        <w:tc>
          <w:tcPr>
            <w:tcW w:w="1559" w:type="dxa"/>
            <w:tcBorders>
              <w:top w:val="nil"/>
              <w:left w:val="nil"/>
              <w:bottom w:val="nil"/>
              <w:right w:val="nil"/>
            </w:tcBorders>
            <w:noWrap/>
            <w:vAlign w:val="bottom"/>
            <w:hideMark/>
          </w:tcPr>
          <w:p w14:paraId="5B40CFF1"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0763268"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178A22A"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21.948,75</w:t>
            </w:r>
          </w:p>
        </w:tc>
        <w:tc>
          <w:tcPr>
            <w:tcW w:w="993" w:type="dxa"/>
            <w:tcBorders>
              <w:top w:val="nil"/>
              <w:left w:val="nil"/>
              <w:bottom w:val="nil"/>
              <w:right w:val="nil"/>
            </w:tcBorders>
            <w:noWrap/>
            <w:vAlign w:val="bottom"/>
            <w:hideMark/>
          </w:tcPr>
          <w:p w14:paraId="7BF1EBB0"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78D2148"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F952AE6"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689B7A7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13.000,00</w:t>
            </w:r>
          </w:p>
        </w:tc>
        <w:tc>
          <w:tcPr>
            <w:tcW w:w="1559" w:type="dxa"/>
            <w:tcBorders>
              <w:top w:val="nil"/>
              <w:left w:val="nil"/>
              <w:bottom w:val="nil"/>
              <w:right w:val="nil"/>
            </w:tcBorders>
            <w:shd w:val="clear" w:color="000000" w:fill="CCCCFF"/>
            <w:noWrap/>
            <w:vAlign w:val="bottom"/>
            <w:hideMark/>
          </w:tcPr>
          <w:p w14:paraId="2FB5266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13.000,00</w:t>
            </w:r>
          </w:p>
        </w:tc>
        <w:tc>
          <w:tcPr>
            <w:tcW w:w="1559" w:type="dxa"/>
            <w:tcBorders>
              <w:top w:val="nil"/>
              <w:left w:val="nil"/>
              <w:bottom w:val="nil"/>
              <w:right w:val="nil"/>
            </w:tcBorders>
            <w:shd w:val="clear" w:color="000000" w:fill="CCCCFF"/>
            <w:noWrap/>
            <w:vAlign w:val="bottom"/>
            <w:hideMark/>
          </w:tcPr>
          <w:p w14:paraId="53901A9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12.950,00</w:t>
            </w:r>
          </w:p>
        </w:tc>
        <w:tc>
          <w:tcPr>
            <w:tcW w:w="993" w:type="dxa"/>
            <w:tcBorders>
              <w:top w:val="nil"/>
              <w:left w:val="nil"/>
              <w:bottom w:val="nil"/>
              <w:right w:val="nil"/>
            </w:tcBorders>
            <w:shd w:val="clear" w:color="000000" w:fill="CCCCFF"/>
            <w:noWrap/>
            <w:vAlign w:val="bottom"/>
            <w:hideMark/>
          </w:tcPr>
          <w:p w14:paraId="5A58B10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99,62%</w:t>
            </w:r>
          </w:p>
        </w:tc>
      </w:tr>
      <w:tr w:rsidR="006967F8" w:rsidRPr="006967F8" w14:paraId="2A88D738"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C428DAB"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5.1. Ostale pomoći</w:t>
            </w:r>
          </w:p>
        </w:tc>
        <w:tc>
          <w:tcPr>
            <w:tcW w:w="1559" w:type="dxa"/>
            <w:tcBorders>
              <w:top w:val="nil"/>
              <w:left w:val="nil"/>
              <w:bottom w:val="nil"/>
              <w:right w:val="nil"/>
            </w:tcBorders>
            <w:shd w:val="clear" w:color="000000" w:fill="CCCCFF"/>
            <w:noWrap/>
            <w:vAlign w:val="bottom"/>
            <w:hideMark/>
          </w:tcPr>
          <w:p w14:paraId="404189A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13.000,00</w:t>
            </w:r>
          </w:p>
        </w:tc>
        <w:tc>
          <w:tcPr>
            <w:tcW w:w="1559" w:type="dxa"/>
            <w:tcBorders>
              <w:top w:val="nil"/>
              <w:left w:val="nil"/>
              <w:bottom w:val="nil"/>
              <w:right w:val="nil"/>
            </w:tcBorders>
            <w:shd w:val="clear" w:color="000000" w:fill="CCCCFF"/>
            <w:noWrap/>
            <w:vAlign w:val="bottom"/>
            <w:hideMark/>
          </w:tcPr>
          <w:p w14:paraId="2D4B804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13.000,00</w:t>
            </w:r>
          </w:p>
        </w:tc>
        <w:tc>
          <w:tcPr>
            <w:tcW w:w="1559" w:type="dxa"/>
            <w:tcBorders>
              <w:top w:val="nil"/>
              <w:left w:val="nil"/>
              <w:bottom w:val="nil"/>
              <w:right w:val="nil"/>
            </w:tcBorders>
            <w:shd w:val="clear" w:color="000000" w:fill="CCCCFF"/>
            <w:noWrap/>
            <w:vAlign w:val="bottom"/>
            <w:hideMark/>
          </w:tcPr>
          <w:p w14:paraId="4485C44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12.950,00</w:t>
            </w:r>
          </w:p>
        </w:tc>
        <w:tc>
          <w:tcPr>
            <w:tcW w:w="993" w:type="dxa"/>
            <w:tcBorders>
              <w:top w:val="nil"/>
              <w:left w:val="nil"/>
              <w:bottom w:val="nil"/>
              <w:right w:val="nil"/>
            </w:tcBorders>
            <w:shd w:val="clear" w:color="000000" w:fill="CCCCFF"/>
            <w:noWrap/>
            <w:vAlign w:val="bottom"/>
            <w:hideMark/>
          </w:tcPr>
          <w:p w14:paraId="5AC74AA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99,62%</w:t>
            </w:r>
          </w:p>
        </w:tc>
      </w:tr>
      <w:tr w:rsidR="006967F8" w:rsidRPr="006967F8" w14:paraId="23871D4C" w14:textId="77777777" w:rsidTr="008A61B1">
        <w:trPr>
          <w:trHeight w:val="255"/>
        </w:trPr>
        <w:tc>
          <w:tcPr>
            <w:tcW w:w="1134" w:type="dxa"/>
            <w:tcBorders>
              <w:top w:val="nil"/>
              <w:left w:val="nil"/>
              <w:bottom w:val="nil"/>
              <w:right w:val="nil"/>
            </w:tcBorders>
            <w:noWrap/>
            <w:vAlign w:val="bottom"/>
            <w:hideMark/>
          </w:tcPr>
          <w:p w14:paraId="5EB5494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6BC9CD2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37D094F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13.000,00</w:t>
            </w:r>
          </w:p>
        </w:tc>
        <w:tc>
          <w:tcPr>
            <w:tcW w:w="1559" w:type="dxa"/>
            <w:tcBorders>
              <w:top w:val="nil"/>
              <w:left w:val="nil"/>
              <w:bottom w:val="nil"/>
              <w:right w:val="nil"/>
            </w:tcBorders>
            <w:noWrap/>
            <w:vAlign w:val="bottom"/>
            <w:hideMark/>
          </w:tcPr>
          <w:p w14:paraId="57EF469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13.000,00</w:t>
            </w:r>
          </w:p>
        </w:tc>
        <w:tc>
          <w:tcPr>
            <w:tcW w:w="1559" w:type="dxa"/>
            <w:tcBorders>
              <w:top w:val="nil"/>
              <w:left w:val="nil"/>
              <w:bottom w:val="nil"/>
              <w:right w:val="nil"/>
            </w:tcBorders>
            <w:noWrap/>
            <w:vAlign w:val="bottom"/>
            <w:hideMark/>
          </w:tcPr>
          <w:p w14:paraId="11748CB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12.950,00</w:t>
            </w:r>
          </w:p>
        </w:tc>
        <w:tc>
          <w:tcPr>
            <w:tcW w:w="993" w:type="dxa"/>
            <w:tcBorders>
              <w:top w:val="nil"/>
              <w:left w:val="nil"/>
              <w:bottom w:val="nil"/>
              <w:right w:val="nil"/>
            </w:tcBorders>
            <w:noWrap/>
            <w:vAlign w:val="bottom"/>
            <w:hideMark/>
          </w:tcPr>
          <w:p w14:paraId="3F470B3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99,62%</w:t>
            </w:r>
          </w:p>
        </w:tc>
      </w:tr>
      <w:tr w:rsidR="006967F8" w:rsidRPr="006967F8" w14:paraId="4B7A1043" w14:textId="77777777" w:rsidTr="008A61B1">
        <w:trPr>
          <w:trHeight w:val="255"/>
        </w:trPr>
        <w:tc>
          <w:tcPr>
            <w:tcW w:w="1134" w:type="dxa"/>
            <w:tcBorders>
              <w:top w:val="nil"/>
              <w:left w:val="nil"/>
              <w:bottom w:val="nil"/>
              <w:right w:val="nil"/>
            </w:tcBorders>
            <w:noWrap/>
            <w:vAlign w:val="bottom"/>
            <w:hideMark/>
          </w:tcPr>
          <w:p w14:paraId="117BA2F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3234</w:t>
            </w:r>
          </w:p>
        </w:tc>
        <w:tc>
          <w:tcPr>
            <w:tcW w:w="4962" w:type="dxa"/>
            <w:tcBorders>
              <w:top w:val="nil"/>
              <w:left w:val="nil"/>
              <w:bottom w:val="nil"/>
              <w:right w:val="nil"/>
            </w:tcBorders>
            <w:noWrap/>
            <w:vAlign w:val="bottom"/>
            <w:hideMark/>
          </w:tcPr>
          <w:p w14:paraId="4F2678C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Komunalne usluge</w:t>
            </w:r>
          </w:p>
        </w:tc>
        <w:tc>
          <w:tcPr>
            <w:tcW w:w="1559" w:type="dxa"/>
            <w:tcBorders>
              <w:top w:val="nil"/>
              <w:left w:val="nil"/>
              <w:bottom w:val="nil"/>
              <w:right w:val="nil"/>
            </w:tcBorders>
            <w:noWrap/>
            <w:vAlign w:val="bottom"/>
            <w:hideMark/>
          </w:tcPr>
          <w:p w14:paraId="11F333FF"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A1E73BC"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D4AD2AE"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12.950,00</w:t>
            </w:r>
          </w:p>
        </w:tc>
        <w:tc>
          <w:tcPr>
            <w:tcW w:w="993" w:type="dxa"/>
            <w:tcBorders>
              <w:top w:val="nil"/>
              <w:left w:val="nil"/>
              <w:bottom w:val="nil"/>
              <w:right w:val="nil"/>
            </w:tcBorders>
            <w:noWrap/>
            <w:vAlign w:val="bottom"/>
            <w:hideMark/>
          </w:tcPr>
          <w:p w14:paraId="7A813FD0"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3D301F8" w14:textId="77777777" w:rsidTr="008A61B1">
        <w:trPr>
          <w:trHeight w:val="510"/>
        </w:trPr>
        <w:tc>
          <w:tcPr>
            <w:tcW w:w="1134" w:type="dxa"/>
            <w:tcBorders>
              <w:top w:val="nil"/>
              <w:left w:val="nil"/>
              <w:bottom w:val="nil"/>
              <w:right w:val="nil"/>
            </w:tcBorders>
            <w:shd w:val="clear" w:color="000000" w:fill="FF9900"/>
            <w:noWrap/>
            <w:vAlign w:val="bottom"/>
            <w:hideMark/>
          </w:tcPr>
          <w:p w14:paraId="24CEC45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1413</w:t>
            </w:r>
          </w:p>
        </w:tc>
        <w:tc>
          <w:tcPr>
            <w:tcW w:w="4962" w:type="dxa"/>
            <w:tcBorders>
              <w:top w:val="nil"/>
              <w:left w:val="nil"/>
              <w:bottom w:val="nil"/>
              <w:right w:val="nil"/>
            </w:tcBorders>
            <w:shd w:val="clear" w:color="000000" w:fill="FF9900"/>
            <w:vAlign w:val="bottom"/>
            <w:hideMark/>
          </w:tcPr>
          <w:p w14:paraId="2B4FFE7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Program: DERATIZACIJA, DEZINSEKCIJA I DEZINFEKCIJA</w:t>
            </w:r>
          </w:p>
        </w:tc>
        <w:tc>
          <w:tcPr>
            <w:tcW w:w="1559" w:type="dxa"/>
            <w:tcBorders>
              <w:top w:val="nil"/>
              <w:left w:val="nil"/>
              <w:bottom w:val="nil"/>
              <w:right w:val="nil"/>
            </w:tcBorders>
            <w:shd w:val="clear" w:color="000000" w:fill="FF9900"/>
            <w:noWrap/>
            <w:vAlign w:val="bottom"/>
            <w:hideMark/>
          </w:tcPr>
          <w:p w14:paraId="36E1536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50.000,00</w:t>
            </w:r>
          </w:p>
        </w:tc>
        <w:tc>
          <w:tcPr>
            <w:tcW w:w="1559" w:type="dxa"/>
            <w:tcBorders>
              <w:top w:val="nil"/>
              <w:left w:val="nil"/>
              <w:bottom w:val="nil"/>
              <w:right w:val="nil"/>
            </w:tcBorders>
            <w:shd w:val="clear" w:color="000000" w:fill="FF9900"/>
            <w:noWrap/>
            <w:vAlign w:val="bottom"/>
            <w:hideMark/>
          </w:tcPr>
          <w:p w14:paraId="7D485C4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47.594,00</w:t>
            </w:r>
          </w:p>
        </w:tc>
        <w:tc>
          <w:tcPr>
            <w:tcW w:w="1559" w:type="dxa"/>
            <w:tcBorders>
              <w:top w:val="nil"/>
              <w:left w:val="nil"/>
              <w:bottom w:val="nil"/>
              <w:right w:val="nil"/>
            </w:tcBorders>
            <w:shd w:val="clear" w:color="000000" w:fill="FF9900"/>
            <w:noWrap/>
            <w:vAlign w:val="bottom"/>
            <w:hideMark/>
          </w:tcPr>
          <w:p w14:paraId="5C09A1F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33.375,00</w:t>
            </w:r>
          </w:p>
        </w:tc>
        <w:tc>
          <w:tcPr>
            <w:tcW w:w="993" w:type="dxa"/>
            <w:tcBorders>
              <w:top w:val="nil"/>
              <w:left w:val="nil"/>
              <w:bottom w:val="nil"/>
              <w:right w:val="nil"/>
            </w:tcBorders>
            <w:shd w:val="clear" w:color="000000" w:fill="FF9900"/>
            <w:noWrap/>
            <w:vAlign w:val="bottom"/>
            <w:hideMark/>
          </w:tcPr>
          <w:p w14:paraId="7896FF7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70,12%</w:t>
            </w:r>
          </w:p>
        </w:tc>
      </w:tr>
      <w:tr w:rsidR="006967F8" w:rsidRPr="006967F8" w14:paraId="614DE064" w14:textId="77777777" w:rsidTr="008A61B1">
        <w:trPr>
          <w:trHeight w:val="540"/>
        </w:trPr>
        <w:tc>
          <w:tcPr>
            <w:tcW w:w="1134" w:type="dxa"/>
            <w:tcBorders>
              <w:top w:val="nil"/>
              <w:left w:val="nil"/>
              <w:bottom w:val="nil"/>
              <w:right w:val="nil"/>
            </w:tcBorders>
            <w:shd w:val="clear" w:color="000000" w:fill="FFFF99"/>
            <w:noWrap/>
            <w:vAlign w:val="bottom"/>
            <w:hideMark/>
          </w:tcPr>
          <w:p w14:paraId="60FF789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A100044</w:t>
            </w:r>
          </w:p>
        </w:tc>
        <w:tc>
          <w:tcPr>
            <w:tcW w:w="4962" w:type="dxa"/>
            <w:tcBorders>
              <w:top w:val="nil"/>
              <w:left w:val="nil"/>
              <w:bottom w:val="nil"/>
              <w:right w:val="nil"/>
            </w:tcBorders>
            <w:shd w:val="clear" w:color="000000" w:fill="FFFF99"/>
            <w:vAlign w:val="bottom"/>
            <w:hideMark/>
          </w:tcPr>
          <w:p w14:paraId="43C2D9A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Aktivnost: DERATIZACIJA, DEZINSEKCIJA I DEZINFEKCIJA </w:t>
            </w:r>
          </w:p>
        </w:tc>
        <w:tc>
          <w:tcPr>
            <w:tcW w:w="1559" w:type="dxa"/>
            <w:tcBorders>
              <w:top w:val="nil"/>
              <w:left w:val="nil"/>
              <w:bottom w:val="nil"/>
              <w:right w:val="nil"/>
            </w:tcBorders>
            <w:shd w:val="clear" w:color="000000" w:fill="FFFF99"/>
            <w:noWrap/>
            <w:vAlign w:val="bottom"/>
            <w:hideMark/>
          </w:tcPr>
          <w:p w14:paraId="2523D0F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50.000,00</w:t>
            </w:r>
          </w:p>
        </w:tc>
        <w:tc>
          <w:tcPr>
            <w:tcW w:w="1559" w:type="dxa"/>
            <w:tcBorders>
              <w:top w:val="nil"/>
              <w:left w:val="nil"/>
              <w:bottom w:val="nil"/>
              <w:right w:val="nil"/>
            </w:tcBorders>
            <w:shd w:val="clear" w:color="000000" w:fill="FFFF99"/>
            <w:noWrap/>
            <w:vAlign w:val="bottom"/>
            <w:hideMark/>
          </w:tcPr>
          <w:p w14:paraId="6A14D85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47.594,00</w:t>
            </w:r>
          </w:p>
        </w:tc>
        <w:tc>
          <w:tcPr>
            <w:tcW w:w="1559" w:type="dxa"/>
            <w:tcBorders>
              <w:top w:val="nil"/>
              <w:left w:val="nil"/>
              <w:bottom w:val="nil"/>
              <w:right w:val="nil"/>
            </w:tcBorders>
            <w:shd w:val="clear" w:color="000000" w:fill="FFFF99"/>
            <w:noWrap/>
            <w:vAlign w:val="bottom"/>
            <w:hideMark/>
          </w:tcPr>
          <w:p w14:paraId="3CBC736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33.375,00</w:t>
            </w:r>
          </w:p>
        </w:tc>
        <w:tc>
          <w:tcPr>
            <w:tcW w:w="993" w:type="dxa"/>
            <w:tcBorders>
              <w:top w:val="nil"/>
              <w:left w:val="nil"/>
              <w:bottom w:val="nil"/>
              <w:right w:val="nil"/>
            </w:tcBorders>
            <w:shd w:val="clear" w:color="000000" w:fill="FFFF99"/>
            <w:noWrap/>
            <w:vAlign w:val="bottom"/>
            <w:hideMark/>
          </w:tcPr>
          <w:p w14:paraId="24A4CCB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70,12%</w:t>
            </w:r>
          </w:p>
        </w:tc>
      </w:tr>
      <w:tr w:rsidR="006967F8" w:rsidRPr="006967F8" w14:paraId="1A69B66D"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3A655B7"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1F330AD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50.000,00</w:t>
            </w:r>
          </w:p>
        </w:tc>
        <w:tc>
          <w:tcPr>
            <w:tcW w:w="1559" w:type="dxa"/>
            <w:tcBorders>
              <w:top w:val="nil"/>
              <w:left w:val="nil"/>
              <w:bottom w:val="nil"/>
              <w:right w:val="nil"/>
            </w:tcBorders>
            <w:shd w:val="clear" w:color="000000" w:fill="CCCCFF"/>
            <w:noWrap/>
            <w:vAlign w:val="bottom"/>
            <w:hideMark/>
          </w:tcPr>
          <w:p w14:paraId="0433F79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47.594,00</w:t>
            </w:r>
          </w:p>
        </w:tc>
        <w:tc>
          <w:tcPr>
            <w:tcW w:w="1559" w:type="dxa"/>
            <w:tcBorders>
              <w:top w:val="nil"/>
              <w:left w:val="nil"/>
              <w:bottom w:val="nil"/>
              <w:right w:val="nil"/>
            </w:tcBorders>
            <w:shd w:val="clear" w:color="000000" w:fill="CCCCFF"/>
            <w:noWrap/>
            <w:vAlign w:val="bottom"/>
            <w:hideMark/>
          </w:tcPr>
          <w:p w14:paraId="58AEC7C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33.375,00</w:t>
            </w:r>
          </w:p>
        </w:tc>
        <w:tc>
          <w:tcPr>
            <w:tcW w:w="993" w:type="dxa"/>
            <w:tcBorders>
              <w:top w:val="nil"/>
              <w:left w:val="nil"/>
              <w:bottom w:val="nil"/>
              <w:right w:val="nil"/>
            </w:tcBorders>
            <w:shd w:val="clear" w:color="000000" w:fill="CCCCFF"/>
            <w:noWrap/>
            <w:vAlign w:val="bottom"/>
            <w:hideMark/>
          </w:tcPr>
          <w:p w14:paraId="4434032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70,12%</w:t>
            </w:r>
          </w:p>
        </w:tc>
      </w:tr>
      <w:tr w:rsidR="006967F8" w:rsidRPr="006967F8" w14:paraId="7D692322"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4884378"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5A91448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50.000,00</w:t>
            </w:r>
          </w:p>
        </w:tc>
        <w:tc>
          <w:tcPr>
            <w:tcW w:w="1559" w:type="dxa"/>
            <w:tcBorders>
              <w:top w:val="nil"/>
              <w:left w:val="nil"/>
              <w:bottom w:val="nil"/>
              <w:right w:val="nil"/>
            </w:tcBorders>
            <w:shd w:val="clear" w:color="000000" w:fill="CCCCFF"/>
            <w:noWrap/>
            <w:vAlign w:val="bottom"/>
            <w:hideMark/>
          </w:tcPr>
          <w:p w14:paraId="1200065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47.594,00</w:t>
            </w:r>
          </w:p>
        </w:tc>
        <w:tc>
          <w:tcPr>
            <w:tcW w:w="1559" w:type="dxa"/>
            <w:tcBorders>
              <w:top w:val="nil"/>
              <w:left w:val="nil"/>
              <w:bottom w:val="nil"/>
              <w:right w:val="nil"/>
            </w:tcBorders>
            <w:shd w:val="clear" w:color="000000" w:fill="CCCCFF"/>
            <w:noWrap/>
            <w:vAlign w:val="bottom"/>
            <w:hideMark/>
          </w:tcPr>
          <w:p w14:paraId="260093D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33.375,00</w:t>
            </w:r>
          </w:p>
        </w:tc>
        <w:tc>
          <w:tcPr>
            <w:tcW w:w="993" w:type="dxa"/>
            <w:tcBorders>
              <w:top w:val="nil"/>
              <w:left w:val="nil"/>
              <w:bottom w:val="nil"/>
              <w:right w:val="nil"/>
            </w:tcBorders>
            <w:shd w:val="clear" w:color="000000" w:fill="CCCCFF"/>
            <w:noWrap/>
            <w:vAlign w:val="bottom"/>
            <w:hideMark/>
          </w:tcPr>
          <w:p w14:paraId="7F33B30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70,12%</w:t>
            </w:r>
          </w:p>
        </w:tc>
      </w:tr>
      <w:tr w:rsidR="006967F8" w:rsidRPr="006967F8" w14:paraId="699BC181" w14:textId="77777777" w:rsidTr="008A61B1">
        <w:trPr>
          <w:trHeight w:val="255"/>
        </w:trPr>
        <w:tc>
          <w:tcPr>
            <w:tcW w:w="1134" w:type="dxa"/>
            <w:tcBorders>
              <w:top w:val="nil"/>
              <w:left w:val="nil"/>
              <w:bottom w:val="nil"/>
              <w:right w:val="nil"/>
            </w:tcBorders>
            <w:noWrap/>
            <w:vAlign w:val="bottom"/>
            <w:hideMark/>
          </w:tcPr>
          <w:p w14:paraId="4575C3B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51E220C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6B0FDE8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50.000,00</w:t>
            </w:r>
          </w:p>
        </w:tc>
        <w:tc>
          <w:tcPr>
            <w:tcW w:w="1559" w:type="dxa"/>
            <w:tcBorders>
              <w:top w:val="nil"/>
              <w:left w:val="nil"/>
              <w:bottom w:val="nil"/>
              <w:right w:val="nil"/>
            </w:tcBorders>
            <w:noWrap/>
            <w:vAlign w:val="bottom"/>
            <w:hideMark/>
          </w:tcPr>
          <w:p w14:paraId="5AD8233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47.594,00</w:t>
            </w:r>
          </w:p>
        </w:tc>
        <w:tc>
          <w:tcPr>
            <w:tcW w:w="1559" w:type="dxa"/>
            <w:tcBorders>
              <w:top w:val="nil"/>
              <w:left w:val="nil"/>
              <w:bottom w:val="nil"/>
              <w:right w:val="nil"/>
            </w:tcBorders>
            <w:noWrap/>
            <w:vAlign w:val="bottom"/>
            <w:hideMark/>
          </w:tcPr>
          <w:p w14:paraId="30CC479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33.375,00</w:t>
            </w:r>
          </w:p>
        </w:tc>
        <w:tc>
          <w:tcPr>
            <w:tcW w:w="993" w:type="dxa"/>
            <w:tcBorders>
              <w:top w:val="nil"/>
              <w:left w:val="nil"/>
              <w:bottom w:val="nil"/>
              <w:right w:val="nil"/>
            </w:tcBorders>
            <w:noWrap/>
            <w:vAlign w:val="bottom"/>
            <w:hideMark/>
          </w:tcPr>
          <w:p w14:paraId="27E3CF7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70,12%</w:t>
            </w:r>
          </w:p>
        </w:tc>
      </w:tr>
      <w:tr w:rsidR="006967F8" w:rsidRPr="006967F8" w14:paraId="0146F979" w14:textId="77777777" w:rsidTr="008A61B1">
        <w:trPr>
          <w:trHeight w:val="255"/>
        </w:trPr>
        <w:tc>
          <w:tcPr>
            <w:tcW w:w="1134" w:type="dxa"/>
            <w:tcBorders>
              <w:top w:val="nil"/>
              <w:left w:val="nil"/>
              <w:bottom w:val="nil"/>
              <w:right w:val="nil"/>
            </w:tcBorders>
            <w:noWrap/>
            <w:vAlign w:val="bottom"/>
            <w:hideMark/>
          </w:tcPr>
          <w:p w14:paraId="175B5C9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3234</w:t>
            </w:r>
          </w:p>
        </w:tc>
        <w:tc>
          <w:tcPr>
            <w:tcW w:w="4962" w:type="dxa"/>
            <w:tcBorders>
              <w:top w:val="nil"/>
              <w:left w:val="nil"/>
              <w:bottom w:val="nil"/>
              <w:right w:val="nil"/>
            </w:tcBorders>
            <w:noWrap/>
            <w:vAlign w:val="bottom"/>
            <w:hideMark/>
          </w:tcPr>
          <w:p w14:paraId="26FACCF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Komunalne usluge</w:t>
            </w:r>
          </w:p>
        </w:tc>
        <w:tc>
          <w:tcPr>
            <w:tcW w:w="1559" w:type="dxa"/>
            <w:tcBorders>
              <w:top w:val="nil"/>
              <w:left w:val="nil"/>
              <w:bottom w:val="nil"/>
              <w:right w:val="nil"/>
            </w:tcBorders>
            <w:noWrap/>
            <w:vAlign w:val="bottom"/>
            <w:hideMark/>
          </w:tcPr>
          <w:p w14:paraId="7E95F299"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988D3BD"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12FD2BF"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33.375,00</w:t>
            </w:r>
          </w:p>
        </w:tc>
        <w:tc>
          <w:tcPr>
            <w:tcW w:w="993" w:type="dxa"/>
            <w:tcBorders>
              <w:top w:val="nil"/>
              <w:left w:val="nil"/>
              <w:bottom w:val="nil"/>
              <w:right w:val="nil"/>
            </w:tcBorders>
            <w:noWrap/>
            <w:vAlign w:val="bottom"/>
            <w:hideMark/>
          </w:tcPr>
          <w:p w14:paraId="52B4E877"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167C09A" w14:textId="77777777" w:rsidTr="008A61B1">
        <w:trPr>
          <w:trHeight w:val="555"/>
        </w:trPr>
        <w:tc>
          <w:tcPr>
            <w:tcW w:w="1134" w:type="dxa"/>
            <w:tcBorders>
              <w:top w:val="nil"/>
              <w:left w:val="nil"/>
              <w:bottom w:val="nil"/>
              <w:right w:val="nil"/>
            </w:tcBorders>
            <w:shd w:val="clear" w:color="000000" w:fill="FF9900"/>
            <w:noWrap/>
            <w:vAlign w:val="bottom"/>
            <w:hideMark/>
          </w:tcPr>
          <w:p w14:paraId="1ADD3B1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1414</w:t>
            </w:r>
          </w:p>
        </w:tc>
        <w:tc>
          <w:tcPr>
            <w:tcW w:w="4962" w:type="dxa"/>
            <w:tcBorders>
              <w:top w:val="nil"/>
              <w:left w:val="nil"/>
              <w:bottom w:val="nil"/>
              <w:right w:val="nil"/>
            </w:tcBorders>
            <w:shd w:val="clear" w:color="000000" w:fill="FF9900"/>
            <w:vAlign w:val="bottom"/>
            <w:hideMark/>
          </w:tcPr>
          <w:p w14:paraId="3430108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Program: VETERINARSKO-HIGIJENIČARSKI POSLOVI </w:t>
            </w:r>
          </w:p>
        </w:tc>
        <w:tc>
          <w:tcPr>
            <w:tcW w:w="1559" w:type="dxa"/>
            <w:tcBorders>
              <w:top w:val="nil"/>
              <w:left w:val="nil"/>
              <w:bottom w:val="nil"/>
              <w:right w:val="nil"/>
            </w:tcBorders>
            <w:shd w:val="clear" w:color="000000" w:fill="FF9900"/>
            <w:noWrap/>
            <w:vAlign w:val="bottom"/>
            <w:hideMark/>
          </w:tcPr>
          <w:p w14:paraId="32F630F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33.000,00</w:t>
            </w:r>
          </w:p>
        </w:tc>
        <w:tc>
          <w:tcPr>
            <w:tcW w:w="1559" w:type="dxa"/>
            <w:tcBorders>
              <w:top w:val="nil"/>
              <w:left w:val="nil"/>
              <w:bottom w:val="nil"/>
              <w:right w:val="nil"/>
            </w:tcBorders>
            <w:shd w:val="clear" w:color="000000" w:fill="FF9900"/>
            <w:noWrap/>
            <w:vAlign w:val="bottom"/>
            <w:hideMark/>
          </w:tcPr>
          <w:p w14:paraId="29C06A5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33.000,00</w:t>
            </w:r>
          </w:p>
        </w:tc>
        <w:tc>
          <w:tcPr>
            <w:tcW w:w="1559" w:type="dxa"/>
            <w:tcBorders>
              <w:top w:val="nil"/>
              <w:left w:val="nil"/>
              <w:bottom w:val="nil"/>
              <w:right w:val="nil"/>
            </w:tcBorders>
            <w:shd w:val="clear" w:color="000000" w:fill="FF9900"/>
            <w:noWrap/>
            <w:vAlign w:val="bottom"/>
            <w:hideMark/>
          </w:tcPr>
          <w:p w14:paraId="55BCC3E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18.654,50</w:t>
            </w:r>
          </w:p>
        </w:tc>
        <w:tc>
          <w:tcPr>
            <w:tcW w:w="993" w:type="dxa"/>
            <w:tcBorders>
              <w:top w:val="nil"/>
              <w:left w:val="nil"/>
              <w:bottom w:val="nil"/>
              <w:right w:val="nil"/>
            </w:tcBorders>
            <w:shd w:val="clear" w:color="000000" w:fill="FF9900"/>
            <w:noWrap/>
            <w:vAlign w:val="bottom"/>
            <w:hideMark/>
          </w:tcPr>
          <w:p w14:paraId="45B3E51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56,53%</w:t>
            </w:r>
          </w:p>
        </w:tc>
      </w:tr>
      <w:tr w:rsidR="006967F8" w:rsidRPr="006967F8" w14:paraId="7005B10E" w14:textId="77777777" w:rsidTr="008A61B1">
        <w:trPr>
          <w:trHeight w:val="630"/>
        </w:trPr>
        <w:tc>
          <w:tcPr>
            <w:tcW w:w="1134" w:type="dxa"/>
            <w:tcBorders>
              <w:top w:val="nil"/>
              <w:left w:val="nil"/>
              <w:bottom w:val="nil"/>
              <w:right w:val="nil"/>
            </w:tcBorders>
            <w:shd w:val="clear" w:color="000000" w:fill="FFFF99"/>
            <w:noWrap/>
            <w:vAlign w:val="bottom"/>
            <w:hideMark/>
          </w:tcPr>
          <w:p w14:paraId="24549E5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A100045</w:t>
            </w:r>
          </w:p>
        </w:tc>
        <w:tc>
          <w:tcPr>
            <w:tcW w:w="4962" w:type="dxa"/>
            <w:tcBorders>
              <w:top w:val="nil"/>
              <w:left w:val="nil"/>
              <w:bottom w:val="nil"/>
              <w:right w:val="nil"/>
            </w:tcBorders>
            <w:shd w:val="clear" w:color="000000" w:fill="FFFF99"/>
            <w:vAlign w:val="bottom"/>
            <w:hideMark/>
          </w:tcPr>
          <w:p w14:paraId="5D4BA45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Aktivnost: VETERINARSKO-HIGIJENIČARSKI POSLOVI </w:t>
            </w:r>
          </w:p>
        </w:tc>
        <w:tc>
          <w:tcPr>
            <w:tcW w:w="1559" w:type="dxa"/>
            <w:tcBorders>
              <w:top w:val="nil"/>
              <w:left w:val="nil"/>
              <w:bottom w:val="nil"/>
              <w:right w:val="nil"/>
            </w:tcBorders>
            <w:shd w:val="clear" w:color="000000" w:fill="FFFF99"/>
            <w:noWrap/>
            <w:vAlign w:val="bottom"/>
            <w:hideMark/>
          </w:tcPr>
          <w:p w14:paraId="39EC2F3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33.000,00</w:t>
            </w:r>
          </w:p>
        </w:tc>
        <w:tc>
          <w:tcPr>
            <w:tcW w:w="1559" w:type="dxa"/>
            <w:tcBorders>
              <w:top w:val="nil"/>
              <w:left w:val="nil"/>
              <w:bottom w:val="nil"/>
              <w:right w:val="nil"/>
            </w:tcBorders>
            <w:shd w:val="clear" w:color="000000" w:fill="FFFF99"/>
            <w:noWrap/>
            <w:vAlign w:val="bottom"/>
            <w:hideMark/>
          </w:tcPr>
          <w:p w14:paraId="34DC1EC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33.000,00</w:t>
            </w:r>
          </w:p>
        </w:tc>
        <w:tc>
          <w:tcPr>
            <w:tcW w:w="1559" w:type="dxa"/>
            <w:tcBorders>
              <w:top w:val="nil"/>
              <w:left w:val="nil"/>
              <w:bottom w:val="nil"/>
              <w:right w:val="nil"/>
            </w:tcBorders>
            <w:shd w:val="clear" w:color="000000" w:fill="FFFF99"/>
            <w:noWrap/>
            <w:vAlign w:val="bottom"/>
            <w:hideMark/>
          </w:tcPr>
          <w:p w14:paraId="7B94C0C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18.654,50</w:t>
            </w:r>
          </w:p>
        </w:tc>
        <w:tc>
          <w:tcPr>
            <w:tcW w:w="993" w:type="dxa"/>
            <w:tcBorders>
              <w:top w:val="nil"/>
              <w:left w:val="nil"/>
              <w:bottom w:val="nil"/>
              <w:right w:val="nil"/>
            </w:tcBorders>
            <w:shd w:val="clear" w:color="000000" w:fill="FFFF99"/>
            <w:noWrap/>
            <w:vAlign w:val="bottom"/>
            <w:hideMark/>
          </w:tcPr>
          <w:p w14:paraId="14B49D5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56,53%</w:t>
            </w:r>
          </w:p>
        </w:tc>
      </w:tr>
      <w:tr w:rsidR="006967F8" w:rsidRPr="006967F8" w14:paraId="6D980369"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5664FBD"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610DBDA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33.000,00</w:t>
            </w:r>
          </w:p>
        </w:tc>
        <w:tc>
          <w:tcPr>
            <w:tcW w:w="1559" w:type="dxa"/>
            <w:tcBorders>
              <w:top w:val="nil"/>
              <w:left w:val="nil"/>
              <w:bottom w:val="nil"/>
              <w:right w:val="nil"/>
            </w:tcBorders>
            <w:shd w:val="clear" w:color="000000" w:fill="CCCCFF"/>
            <w:noWrap/>
            <w:vAlign w:val="bottom"/>
            <w:hideMark/>
          </w:tcPr>
          <w:p w14:paraId="6730BDA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33.000,00</w:t>
            </w:r>
          </w:p>
        </w:tc>
        <w:tc>
          <w:tcPr>
            <w:tcW w:w="1559" w:type="dxa"/>
            <w:tcBorders>
              <w:top w:val="nil"/>
              <w:left w:val="nil"/>
              <w:bottom w:val="nil"/>
              <w:right w:val="nil"/>
            </w:tcBorders>
            <w:shd w:val="clear" w:color="000000" w:fill="CCCCFF"/>
            <w:noWrap/>
            <w:vAlign w:val="bottom"/>
            <w:hideMark/>
          </w:tcPr>
          <w:p w14:paraId="53E791C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18.654,50</w:t>
            </w:r>
          </w:p>
        </w:tc>
        <w:tc>
          <w:tcPr>
            <w:tcW w:w="993" w:type="dxa"/>
            <w:tcBorders>
              <w:top w:val="nil"/>
              <w:left w:val="nil"/>
              <w:bottom w:val="nil"/>
              <w:right w:val="nil"/>
            </w:tcBorders>
            <w:shd w:val="clear" w:color="000000" w:fill="CCCCFF"/>
            <w:noWrap/>
            <w:vAlign w:val="bottom"/>
            <w:hideMark/>
          </w:tcPr>
          <w:p w14:paraId="75D0FD7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56,53%</w:t>
            </w:r>
          </w:p>
        </w:tc>
      </w:tr>
      <w:tr w:rsidR="006967F8" w:rsidRPr="006967F8" w14:paraId="2624BA0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BC7BCDD"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38A575E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33.000,00</w:t>
            </w:r>
          </w:p>
        </w:tc>
        <w:tc>
          <w:tcPr>
            <w:tcW w:w="1559" w:type="dxa"/>
            <w:tcBorders>
              <w:top w:val="nil"/>
              <w:left w:val="nil"/>
              <w:bottom w:val="nil"/>
              <w:right w:val="nil"/>
            </w:tcBorders>
            <w:shd w:val="clear" w:color="000000" w:fill="CCCCFF"/>
            <w:noWrap/>
            <w:vAlign w:val="bottom"/>
            <w:hideMark/>
          </w:tcPr>
          <w:p w14:paraId="3EA7FB8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33.000,00</w:t>
            </w:r>
          </w:p>
        </w:tc>
        <w:tc>
          <w:tcPr>
            <w:tcW w:w="1559" w:type="dxa"/>
            <w:tcBorders>
              <w:top w:val="nil"/>
              <w:left w:val="nil"/>
              <w:bottom w:val="nil"/>
              <w:right w:val="nil"/>
            </w:tcBorders>
            <w:shd w:val="clear" w:color="000000" w:fill="CCCCFF"/>
            <w:noWrap/>
            <w:vAlign w:val="bottom"/>
            <w:hideMark/>
          </w:tcPr>
          <w:p w14:paraId="4D68314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18.654,50</w:t>
            </w:r>
          </w:p>
        </w:tc>
        <w:tc>
          <w:tcPr>
            <w:tcW w:w="993" w:type="dxa"/>
            <w:tcBorders>
              <w:top w:val="nil"/>
              <w:left w:val="nil"/>
              <w:bottom w:val="nil"/>
              <w:right w:val="nil"/>
            </w:tcBorders>
            <w:shd w:val="clear" w:color="000000" w:fill="CCCCFF"/>
            <w:noWrap/>
            <w:vAlign w:val="bottom"/>
            <w:hideMark/>
          </w:tcPr>
          <w:p w14:paraId="313700C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56,53%</w:t>
            </w:r>
          </w:p>
        </w:tc>
      </w:tr>
      <w:tr w:rsidR="006967F8" w:rsidRPr="006967F8" w14:paraId="434E4FA6" w14:textId="77777777" w:rsidTr="008A61B1">
        <w:trPr>
          <w:trHeight w:val="255"/>
        </w:trPr>
        <w:tc>
          <w:tcPr>
            <w:tcW w:w="1134" w:type="dxa"/>
            <w:tcBorders>
              <w:top w:val="nil"/>
              <w:left w:val="nil"/>
              <w:bottom w:val="nil"/>
              <w:right w:val="nil"/>
            </w:tcBorders>
            <w:noWrap/>
            <w:vAlign w:val="bottom"/>
            <w:hideMark/>
          </w:tcPr>
          <w:p w14:paraId="6A01E7D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662958D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5B41E92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33.000,00</w:t>
            </w:r>
          </w:p>
        </w:tc>
        <w:tc>
          <w:tcPr>
            <w:tcW w:w="1559" w:type="dxa"/>
            <w:tcBorders>
              <w:top w:val="nil"/>
              <w:left w:val="nil"/>
              <w:bottom w:val="nil"/>
              <w:right w:val="nil"/>
            </w:tcBorders>
            <w:noWrap/>
            <w:vAlign w:val="bottom"/>
            <w:hideMark/>
          </w:tcPr>
          <w:p w14:paraId="0A99533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33.000,00</w:t>
            </w:r>
          </w:p>
        </w:tc>
        <w:tc>
          <w:tcPr>
            <w:tcW w:w="1559" w:type="dxa"/>
            <w:tcBorders>
              <w:top w:val="nil"/>
              <w:left w:val="nil"/>
              <w:bottom w:val="nil"/>
              <w:right w:val="nil"/>
            </w:tcBorders>
            <w:noWrap/>
            <w:vAlign w:val="bottom"/>
            <w:hideMark/>
          </w:tcPr>
          <w:p w14:paraId="371AD9C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18.654,50</w:t>
            </w:r>
          </w:p>
        </w:tc>
        <w:tc>
          <w:tcPr>
            <w:tcW w:w="993" w:type="dxa"/>
            <w:tcBorders>
              <w:top w:val="nil"/>
              <w:left w:val="nil"/>
              <w:bottom w:val="nil"/>
              <w:right w:val="nil"/>
            </w:tcBorders>
            <w:noWrap/>
            <w:vAlign w:val="bottom"/>
            <w:hideMark/>
          </w:tcPr>
          <w:p w14:paraId="1C21448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56,53%</w:t>
            </w:r>
          </w:p>
        </w:tc>
      </w:tr>
      <w:tr w:rsidR="006967F8" w:rsidRPr="006967F8" w14:paraId="6951785D" w14:textId="77777777" w:rsidTr="008A61B1">
        <w:trPr>
          <w:trHeight w:val="255"/>
        </w:trPr>
        <w:tc>
          <w:tcPr>
            <w:tcW w:w="1134" w:type="dxa"/>
            <w:tcBorders>
              <w:top w:val="nil"/>
              <w:left w:val="nil"/>
              <w:bottom w:val="nil"/>
              <w:right w:val="nil"/>
            </w:tcBorders>
            <w:noWrap/>
            <w:vAlign w:val="bottom"/>
            <w:hideMark/>
          </w:tcPr>
          <w:p w14:paraId="2E52690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3234</w:t>
            </w:r>
          </w:p>
        </w:tc>
        <w:tc>
          <w:tcPr>
            <w:tcW w:w="4962" w:type="dxa"/>
            <w:tcBorders>
              <w:top w:val="nil"/>
              <w:left w:val="nil"/>
              <w:bottom w:val="nil"/>
              <w:right w:val="nil"/>
            </w:tcBorders>
            <w:noWrap/>
            <w:vAlign w:val="bottom"/>
            <w:hideMark/>
          </w:tcPr>
          <w:p w14:paraId="2A93DD3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Komunalne usluge</w:t>
            </w:r>
          </w:p>
        </w:tc>
        <w:tc>
          <w:tcPr>
            <w:tcW w:w="1559" w:type="dxa"/>
            <w:tcBorders>
              <w:top w:val="nil"/>
              <w:left w:val="nil"/>
              <w:bottom w:val="nil"/>
              <w:right w:val="nil"/>
            </w:tcBorders>
            <w:noWrap/>
            <w:vAlign w:val="bottom"/>
            <w:hideMark/>
          </w:tcPr>
          <w:p w14:paraId="059ACFF1"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F280A2C"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E1B079C"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18.654,50</w:t>
            </w:r>
          </w:p>
        </w:tc>
        <w:tc>
          <w:tcPr>
            <w:tcW w:w="993" w:type="dxa"/>
            <w:tcBorders>
              <w:top w:val="nil"/>
              <w:left w:val="nil"/>
              <w:bottom w:val="nil"/>
              <w:right w:val="nil"/>
            </w:tcBorders>
            <w:noWrap/>
            <w:vAlign w:val="bottom"/>
            <w:hideMark/>
          </w:tcPr>
          <w:p w14:paraId="4DFFCC67"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37CF916" w14:textId="77777777" w:rsidTr="008A61B1">
        <w:trPr>
          <w:trHeight w:val="255"/>
        </w:trPr>
        <w:tc>
          <w:tcPr>
            <w:tcW w:w="1134" w:type="dxa"/>
            <w:tcBorders>
              <w:top w:val="nil"/>
              <w:left w:val="nil"/>
              <w:bottom w:val="nil"/>
              <w:right w:val="nil"/>
            </w:tcBorders>
            <w:shd w:val="clear" w:color="000000" w:fill="FF9900"/>
            <w:noWrap/>
            <w:vAlign w:val="bottom"/>
            <w:hideMark/>
          </w:tcPr>
          <w:p w14:paraId="758365A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1415</w:t>
            </w:r>
          </w:p>
        </w:tc>
        <w:tc>
          <w:tcPr>
            <w:tcW w:w="4962" w:type="dxa"/>
            <w:tcBorders>
              <w:top w:val="nil"/>
              <w:left w:val="nil"/>
              <w:bottom w:val="nil"/>
              <w:right w:val="nil"/>
            </w:tcBorders>
            <w:shd w:val="clear" w:color="000000" w:fill="FF9900"/>
            <w:noWrap/>
            <w:vAlign w:val="bottom"/>
            <w:hideMark/>
          </w:tcPr>
          <w:p w14:paraId="4CE041D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Program: PRIGODNO UKRAŠAVANJE </w:t>
            </w:r>
          </w:p>
        </w:tc>
        <w:tc>
          <w:tcPr>
            <w:tcW w:w="1559" w:type="dxa"/>
            <w:tcBorders>
              <w:top w:val="nil"/>
              <w:left w:val="nil"/>
              <w:bottom w:val="nil"/>
              <w:right w:val="nil"/>
            </w:tcBorders>
            <w:shd w:val="clear" w:color="000000" w:fill="FF9900"/>
            <w:noWrap/>
            <w:vAlign w:val="bottom"/>
            <w:hideMark/>
          </w:tcPr>
          <w:p w14:paraId="5249A99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90.000,00</w:t>
            </w:r>
          </w:p>
        </w:tc>
        <w:tc>
          <w:tcPr>
            <w:tcW w:w="1559" w:type="dxa"/>
            <w:tcBorders>
              <w:top w:val="nil"/>
              <w:left w:val="nil"/>
              <w:bottom w:val="nil"/>
              <w:right w:val="nil"/>
            </w:tcBorders>
            <w:shd w:val="clear" w:color="000000" w:fill="FF9900"/>
            <w:noWrap/>
            <w:vAlign w:val="bottom"/>
            <w:hideMark/>
          </w:tcPr>
          <w:p w14:paraId="6EFC0EA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90.000,00</w:t>
            </w:r>
          </w:p>
        </w:tc>
        <w:tc>
          <w:tcPr>
            <w:tcW w:w="1559" w:type="dxa"/>
            <w:tcBorders>
              <w:top w:val="nil"/>
              <w:left w:val="nil"/>
              <w:bottom w:val="nil"/>
              <w:right w:val="nil"/>
            </w:tcBorders>
            <w:shd w:val="clear" w:color="000000" w:fill="FF9900"/>
            <w:noWrap/>
            <w:vAlign w:val="bottom"/>
            <w:hideMark/>
          </w:tcPr>
          <w:p w14:paraId="56CBD03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82.577,63</w:t>
            </w:r>
          </w:p>
        </w:tc>
        <w:tc>
          <w:tcPr>
            <w:tcW w:w="993" w:type="dxa"/>
            <w:tcBorders>
              <w:top w:val="nil"/>
              <w:left w:val="nil"/>
              <w:bottom w:val="nil"/>
              <w:right w:val="nil"/>
            </w:tcBorders>
            <w:shd w:val="clear" w:color="000000" w:fill="FF9900"/>
            <w:noWrap/>
            <w:vAlign w:val="bottom"/>
            <w:hideMark/>
          </w:tcPr>
          <w:p w14:paraId="6400F32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91,75%</w:t>
            </w:r>
          </w:p>
        </w:tc>
      </w:tr>
      <w:tr w:rsidR="006967F8" w:rsidRPr="006967F8" w14:paraId="2217E57F" w14:textId="77777777" w:rsidTr="008A61B1">
        <w:trPr>
          <w:trHeight w:val="255"/>
        </w:trPr>
        <w:tc>
          <w:tcPr>
            <w:tcW w:w="1134" w:type="dxa"/>
            <w:tcBorders>
              <w:top w:val="nil"/>
              <w:left w:val="nil"/>
              <w:bottom w:val="nil"/>
              <w:right w:val="nil"/>
            </w:tcBorders>
            <w:shd w:val="clear" w:color="000000" w:fill="FFFF99"/>
            <w:noWrap/>
            <w:vAlign w:val="bottom"/>
            <w:hideMark/>
          </w:tcPr>
          <w:p w14:paraId="3C6C734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A100046</w:t>
            </w:r>
          </w:p>
        </w:tc>
        <w:tc>
          <w:tcPr>
            <w:tcW w:w="4962" w:type="dxa"/>
            <w:tcBorders>
              <w:top w:val="nil"/>
              <w:left w:val="nil"/>
              <w:bottom w:val="nil"/>
              <w:right w:val="nil"/>
            </w:tcBorders>
            <w:shd w:val="clear" w:color="000000" w:fill="FFFF99"/>
            <w:noWrap/>
            <w:vAlign w:val="bottom"/>
            <w:hideMark/>
          </w:tcPr>
          <w:p w14:paraId="278EF35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Aktivnost: PRIGODNO UKRAŠAVANJE</w:t>
            </w:r>
          </w:p>
        </w:tc>
        <w:tc>
          <w:tcPr>
            <w:tcW w:w="1559" w:type="dxa"/>
            <w:tcBorders>
              <w:top w:val="nil"/>
              <w:left w:val="nil"/>
              <w:bottom w:val="nil"/>
              <w:right w:val="nil"/>
            </w:tcBorders>
            <w:shd w:val="clear" w:color="000000" w:fill="FFFF99"/>
            <w:noWrap/>
            <w:vAlign w:val="bottom"/>
            <w:hideMark/>
          </w:tcPr>
          <w:p w14:paraId="3219F8D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90.000,00</w:t>
            </w:r>
          </w:p>
        </w:tc>
        <w:tc>
          <w:tcPr>
            <w:tcW w:w="1559" w:type="dxa"/>
            <w:tcBorders>
              <w:top w:val="nil"/>
              <w:left w:val="nil"/>
              <w:bottom w:val="nil"/>
              <w:right w:val="nil"/>
            </w:tcBorders>
            <w:shd w:val="clear" w:color="000000" w:fill="FFFF99"/>
            <w:noWrap/>
            <w:vAlign w:val="bottom"/>
            <w:hideMark/>
          </w:tcPr>
          <w:p w14:paraId="296C3EB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90.000,00</w:t>
            </w:r>
          </w:p>
        </w:tc>
        <w:tc>
          <w:tcPr>
            <w:tcW w:w="1559" w:type="dxa"/>
            <w:tcBorders>
              <w:top w:val="nil"/>
              <w:left w:val="nil"/>
              <w:bottom w:val="nil"/>
              <w:right w:val="nil"/>
            </w:tcBorders>
            <w:shd w:val="clear" w:color="000000" w:fill="FFFF99"/>
            <w:noWrap/>
            <w:vAlign w:val="bottom"/>
            <w:hideMark/>
          </w:tcPr>
          <w:p w14:paraId="38AE36C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82.577,63</w:t>
            </w:r>
          </w:p>
        </w:tc>
        <w:tc>
          <w:tcPr>
            <w:tcW w:w="993" w:type="dxa"/>
            <w:tcBorders>
              <w:top w:val="nil"/>
              <w:left w:val="nil"/>
              <w:bottom w:val="nil"/>
              <w:right w:val="nil"/>
            </w:tcBorders>
            <w:shd w:val="clear" w:color="000000" w:fill="FFFF99"/>
            <w:noWrap/>
            <w:vAlign w:val="bottom"/>
            <w:hideMark/>
          </w:tcPr>
          <w:p w14:paraId="0E77B99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91,75%</w:t>
            </w:r>
          </w:p>
        </w:tc>
      </w:tr>
      <w:tr w:rsidR="006967F8" w:rsidRPr="006967F8" w14:paraId="6F1D934F"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9CBF47C"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706EE72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90.000,00</w:t>
            </w:r>
          </w:p>
        </w:tc>
        <w:tc>
          <w:tcPr>
            <w:tcW w:w="1559" w:type="dxa"/>
            <w:tcBorders>
              <w:top w:val="nil"/>
              <w:left w:val="nil"/>
              <w:bottom w:val="nil"/>
              <w:right w:val="nil"/>
            </w:tcBorders>
            <w:shd w:val="clear" w:color="000000" w:fill="CCCCFF"/>
            <w:noWrap/>
            <w:vAlign w:val="bottom"/>
            <w:hideMark/>
          </w:tcPr>
          <w:p w14:paraId="69A5ABA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90.000,00</w:t>
            </w:r>
          </w:p>
        </w:tc>
        <w:tc>
          <w:tcPr>
            <w:tcW w:w="1559" w:type="dxa"/>
            <w:tcBorders>
              <w:top w:val="nil"/>
              <w:left w:val="nil"/>
              <w:bottom w:val="nil"/>
              <w:right w:val="nil"/>
            </w:tcBorders>
            <w:shd w:val="clear" w:color="000000" w:fill="CCCCFF"/>
            <w:noWrap/>
            <w:vAlign w:val="bottom"/>
            <w:hideMark/>
          </w:tcPr>
          <w:p w14:paraId="13B7681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82.577,63</w:t>
            </w:r>
          </w:p>
        </w:tc>
        <w:tc>
          <w:tcPr>
            <w:tcW w:w="993" w:type="dxa"/>
            <w:tcBorders>
              <w:top w:val="nil"/>
              <w:left w:val="nil"/>
              <w:bottom w:val="nil"/>
              <w:right w:val="nil"/>
            </w:tcBorders>
            <w:shd w:val="clear" w:color="000000" w:fill="CCCCFF"/>
            <w:noWrap/>
            <w:vAlign w:val="bottom"/>
            <w:hideMark/>
          </w:tcPr>
          <w:p w14:paraId="7E21BB5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91,75%</w:t>
            </w:r>
          </w:p>
        </w:tc>
      </w:tr>
      <w:tr w:rsidR="006967F8" w:rsidRPr="006967F8" w14:paraId="77855D39"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CA92446"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5FE184E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90.000,00</w:t>
            </w:r>
          </w:p>
        </w:tc>
        <w:tc>
          <w:tcPr>
            <w:tcW w:w="1559" w:type="dxa"/>
            <w:tcBorders>
              <w:top w:val="nil"/>
              <w:left w:val="nil"/>
              <w:bottom w:val="nil"/>
              <w:right w:val="nil"/>
            </w:tcBorders>
            <w:shd w:val="clear" w:color="000000" w:fill="CCCCFF"/>
            <w:noWrap/>
            <w:vAlign w:val="bottom"/>
            <w:hideMark/>
          </w:tcPr>
          <w:p w14:paraId="69B41B8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90.000,00</w:t>
            </w:r>
          </w:p>
        </w:tc>
        <w:tc>
          <w:tcPr>
            <w:tcW w:w="1559" w:type="dxa"/>
            <w:tcBorders>
              <w:top w:val="nil"/>
              <w:left w:val="nil"/>
              <w:bottom w:val="nil"/>
              <w:right w:val="nil"/>
            </w:tcBorders>
            <w:shd w:val="clear" w:color="000000" w:fill="CCCCFF"/>
            <w:noWrap/>
            <w:vAlign w:val="bottom"/>
            <w:hideMark/>
          </w:tcPr>
          <w:p w14:paraId="3D902DA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82.577,63</w:t>
            </w:r>
          </w:p>
        </w:tc>
        <w:tc>
          <w:tcPr>
            <w:tcW w:w="993" w:type="dxa"/>
            <w:tcBorders>
              <w:top w:val="nil"/>
              <w:left w:val="nil"/>
              <w:bottom w:val="nil"/>
              <w:right w:val="nil"/>
            </w:tcBorders>
            <w:shd w:val="clear" w:color="000000" w:fill="CCCCFF"/>
            <w:noWrap/>
            <w:vAlign w:val="bottom"/>
            <w:hideMark/>
          </w:tcPr>
          <w:p w14:paraId="5F34614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91,75%</w:t>
            </w:r>
          </w:p>
        </w:tc>
      </w:tr>
      <w:tr w:rsidR="006967F8" w:rsidRPr="006967F8" w14:paraId="234B45D5" w14:textId="77777777" w:rsidTr="008A61B1">
        <w:trPr>
          <w:trHeight w:val="255"/>
        </w:trPr>
        <w:tc>
          <w:tcPr>
            <w:tcW w:w="1134" w:type="dxa"/>
            <w:tcBorders>
              <w:top w:val="nil"/>
              <w:left w:val="nil"/>
              <w:bottom w:val="nil"/>
              <w:right w:val="nil"/>
            </w:tcBorders>
            <w:noWrap/>
            <w:vAlign w:val="bottom"/>
            <w:hideMark/>
          </w:tcPr>
          <w:p w14:paraId="525651E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549046C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3DF948C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90.000,00</w:t>
            </w:r>
          </w:p>
        </w:tc>
        <w:tc>
          <w:tcPr>
            <w:tcW w:w="1559" w:type="dxa"/>
            <w:tcBorders>
              <w:top w:val="nil"/>
              <w:left w:val="nil"/>
              <w:bottom w:val="nil"/>
              <w:right w:val="nil"/>
            </w:tcBorders>
            <w:noWrap/>
            <w:vAlign w:val="bottom"/>
            <w:hideMark/>
          </w:tcPr>
          <w:p w14:paraId="1F6971A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90.000,00</w:t>
            </w:r>
          </w:p>
        </w:tc>
        <w:tc>
          <w:tcPr>
            <w:tcW w:w="1559" w:type="dxa"/>
            <w:tcBorders>
              <w:top w:val="nil"/>
              <w:left w:val="nil"/>
              <w:bottom w:val="nil"/>
              <w:right w:val="nil"/>
            </w:tcBorders>
            <w:noWrap/>
            <w:vAlign w:val="bottom"/>
            <w:hideMark/>
          </w:tcPr>
          <w:p w14:paraId="2B3AD7F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82.577,63</w:t>
            </w:r>
          </w:p>
        </w:tc>
        <w:tc>
          <w:tcPr>
            <w:tcW w:w="993" w:type="dxa"/>
            <w:tcBorders>
              <w:top w:val="nil"/>
              <w:left w:val="nil"/>
              <w:bottom w:val="nil"/>
              <w:right w:val="nil"/>
            </w:tcBorders>
            <w:noWrap/>
            <w:vAlign w:val="bottom"/>
            <w:hideMark/>
          </w:tcPr>
          <w:p w14:paraId="0B7BB13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91,75%</w:t>
            </w:r>
          </w:p>
        </w:tc>
      </w:tr>
      <w:tr w:rsidR="006967F8" w:rsidRPr="006967F8" w14:paraId="4008B8B6" w14:textId="77777777" w:rsidTr="008A61B1">
        <w:trPr>
          <w:trHeight w:val="255"/>
        </w:trPr>
        <w:tc>
          <w:tcPr>
            <w:tcW w:w="1134" w:type="dxa"/>
            <w:tcBorders>
              <w:top w:val="nil"/>
              <w:left w:val="nil"/>
              <w:bottom w:val="nil"/>
              <w:right w:val="nil"/>
            </w:tcBorders>
            <w:noWrap/>
            <w:vAlign w:val="bottom"/>
            <w:hideMark/>
          </w:tcPr>
          <w:p w14:paraId="19C2B99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3234</w:t>
            </w:r>
          </w:p>
        </w:tc>
        <w:tc>
          <w:tcPr>
            <w:tcW w:w="4962" w:type="dxa"/>
            <w:tcBorders>
              <w:top w:val="nil"/>
              <w:left w:val="nil"/>
              <w:bottom w:val="nil"/>
              <w:right w:val="nil"/>
            </w:tcBorders>
            <w:noWrap/>
            <w:vAlign w:val="bottom"/>
            <w:hideMark/>
          </w:tcPr>
          <w:p w14:paraId="5E56E56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Komunalne usluge</w:t>
            </w:r>
          </w:p>
        </w:tc>
        <w:tc>
          <w:tcPr>
            <w:tcW w:w="1559" w:type="dxa"/>
            <w:tcBorders>
              <w:top w:val="nil"/>
              <w:left w:val="nil"/>
              <w:bottom w:val="nil"/>
              <w:right w:val="nil"/>
            </w:tcBorders>
            <w:noWrap/>
            <w:vAlign w:val="bottom"/>
            <w:hideMark/>
          </w:tcPr>
          <w:p w14:paraId="46AC149C"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29F7D3C"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B945B76"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82.577,63</w:t>
            </w:r>
          </w:p>
        </w:tc>
        <w:tc>
          <w:tcPr>
            <w:tcW w:w="993" w:type="dxa"/>
            <w:tcBorders>
              <w:top w:val="nil"/>
              <w:left w:val="nil"/>
              <w:bottom w:val="nil"/>
              <w:right w:val="nil"/>
            </w:tcBorders>
            <w:noWrap/>
            <w:vAlign w:val="bottom"/>
            <w:hideMark/>
          </w:tcPr>
          <w:p w14:paraId="15859097"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D839E76" w14:textId="77777777" w:rsidTr="008A61B1">
        <w:trPr>
          <w:trHeight w:val="795"/>
        </w:trPr>
        <w:tc>
          <w:tcPr>
            <w:tcW w:w="1134" w:type="dxa"/>
            <w:tcBorders>
              <w:top w:val="nil"/>
              <w:left w:val="nil"/>
              <w:bottom w:val="nil"/>
              <w:right w:val="nil"/>
            </w:tcBorders>
            <w:shd w:val="clear" w:color="000000" w:fill="FF9900"/>
            <w:noWrap/>
            <w:vAlign w:val="bottom"/>
            <w:hideMark/>
          </w:tcPr>
          <w:p w14:paraId="29A2FF6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1514</w:t>
            </w:r>
          </w:p>
        </w:tc>
        <w:tc>
          <w:tcPr>
            <w:tcW w:w="4962" w:type="dxa"/>
            <w:tcBorders>
              <w:top w:val="nil"/>
              <w:left w:val="nil"/>
              <w:bottom w:val="nil"/>
              <w:right w:val="nil"/>
            </w:tcBorders>
            <w:shd w:val="clear" w:color="000000" w:fill="FF9900"/>
            <w:vAlign w:val="bottom"/>
            <w:hideMark/>
          </w:tcPr>
          <w:p w14:paraId="6D2BD6D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Program: GRAĐEVINE KOM. INFRASTRUKTURE KOJE ĆE SE GRADITI RADI UREĐENJA NEUREĐENIH DIJELOVA GRAĐ.PODRUČJA</w:t>
            </w:r>
          </w:p>
        </w:tc>
        <w:tc>
          <w:tcPr>
            <w:tcW w:w="1559" w:type="dxa"/>
            <w:tcBorders>
              <w:top w:val="nil"/>
              <w:left w:val="nil"/>
              <w:bottom w:val="nil"/>
              <w:right w:val="nil"/>
            </w:tcBorders>
            <w:shd w:val="clear" w:color="000000" w:fill="FF9900"/>
            <w:noWrap/>
            <w:vAlign w:val="bottom"/>
            <w:hideMark/>
          </w:tcPr>
          <w:p w14:paraId="45DF106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1.988.010,00</w:t>
            </w:r>
          </w:p>
        </w:tc>
        <w:tc>
          <w:tcPr>
            <w:tcW w:w="1559" w:type="dxa"/>
            <w:tcBorders>
              <w:top w:val="nil"/>
              <w:left w:val="nil"/>
              <w:bottom w:val="nil"/>
              <w:right w:val="nil"/>
            </w:tcBorders>
            <w:shd w:val="clear" w:color="000000" w:fill="FF9900"/>
            <w:noWrap/>
            <w:vAlign w:val="bottom"/>
            <w:hideMark/>
          </w:tcPr>
          <w:p w14:paraId="19857F7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1.988.010,00</w:t>
            </w:r>
          </w:p>
        </w:tc>
        <w:tc>
          <w:tcPr>
            <w:tcW w:w="1559" w:type="dxa"/>
            <w:tcBorders>
              <w:top w:val="nil"/>
              <w:left w:val="nil"/>
              <w:bottom w:val="nil"/>
              <w:right w:val="nil"/>
            </w:tcBorders>
            <w:shd w:val="clear" w:color="000000" w:fill="FF9900"/>
            <w:noWrap/>
            <w:vAlign w:val="bottom"/>
            <w:hideMark/>
          </w:tcPr>
          <w:p w14:paraId="31779A4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1.655.089,35</w:t>
            </w:r>
          </w:p>
        </w:tc>
        <w:tc>
          <w:tcPr>
            <w:tcW w:w="993" w:type="dxa"/>
            <w:tcBorders>
              <w:top w:val="nil"/>
              <w:left w:val="nil"/>
              <w:bottom w:val="nil"/>
              <w:right w:val="nil"/>
            </w:tcBorders>
            <w:shd w:val="clear" w:color="000000" w:fill="FF9900"/>
            <w:noWrap/>
            <w:vAlign w:val="bottom"/>
            <w:hideMark/>
          </w:tcPr>
          <w:p w14:paraId="54654E8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83,25%</w:t>
            </w:r>
          </w:p>
        </w:tc>
      </w:tr>
      <w:tr w:rsidR="006967F8" w:rsidRPr="006967F8" w14:paraId="35FA8949" w14:textId="77777777" w:rsidTr="008A61B1">
        <w:trPr>
          <w:trHeight w:val="255"/>
        </w:trPr>
        <w:tc>
          <w:tcPr>
            <w:tcW w:w="1134" w:type="dxa"/>
            <w:tcBorders>
              <w:top w:val="nil"/>
              <w:left w:val="nil"/>
              <w:bottom w:val="nil"/>
              <w:right w:val="nil"/>
            </w:tcBorders>
            <w:shd w:val="clear" w:color="000000" w:fill="FFFF99"/>
            <w:noWrap/>
            <w:vAlign w:val="bottom"/>
            <w:hideMark/>
          </w:tcPr>
          <w:p w14:paraId="4D62FEE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A100200</w:t>
            </w:r>
          </w:p>
        </w:tc>
        <w:tc>
          <w:tcPr>
            <w:tcW w:w="4962" w:type="dxa"/>
            <w:tcBorders>
              <w:top w:val="nil"/>
              <w:left w:val="nil"/>
              <w:bottom w:val="nil"/>
              <w:right w:val="nil"/>
            </w:tcBorders>
            <w:shd w:val="clear" w:color="000000" w:fill="FFFF99"/>
            <w:noWrap/>
            <w:vAlign w:val="bottom"/>
            <w:hideMark/>
          </w:tcPr>
          <w:p w14:paraId="69D94B7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Aktivnost: UREĐENJE JAVNIH POVRŠINA </w:t>
            </w:r>
          </w:p>
        </w:tc>
        <w:tc>
          <w:tcPr>
            <w:tcW w:w="1559" w:type="dxa"/>
            <w:tcBorders>
              <w:top w:val="nil"/>
              <w:left w:val="nil"/>
              <w:bottom w:val="nil"/>
              <w:right w:val="nil"/>
            </w:tcBorders>
            <w:shd w:val="clear" w:color="000000" w:fill="FFFF99"/>
            <w:noWrap/>
            <w:vAlign w:val="bottom"/>
            <w:hideMark/>
          </w:tcPr>
          <w:p w14:paraId="5031F25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30.000,00</w:t>
            </w:r>
          </w:p>
        </w:tc>
        <w:tc>
          <w:tcPr>
            <w:tcW w:w="1559" w:type="dxa"/>
            <w:tcBorders>
              <w:top w:val="nil"/>
              <w:left w:val="nil"/>
              <w:bottom w:val="nil"/>
              <w:right w:val="nil"/>
            </w:tcBorders>
            <w:shd w:val="clear" w:color="000000" w:fill="FFFF99"/>
            <w:noWrap/>
            <w:vAlign w:val="bottom"/>
            <w:hideMark/>
          </w:tcPr>
          <w:p w14:paraId="272BF8E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30.000,00</w:t>
            </w:r>
          </w:p>
        </w:tc>
        <w:tc>
          <w:tcPr>
            <w:tcW w:w="1559" w:type="dxa"/>
            <w:tcBorders>
              <w:top w:val="nil"/>
              <w:left w:val="nil"/>
              <w:bottom w:val="nil"/>
              <w:right w:val="nil"/>
            </w:tcBorders>
            <w:shd w:val="clear" w:color="000000" w:fill="FFFF99"/>
            <w:noWrap/>
            <w:vAlign w:val="bottom"/>
            <w:hideMark/>
          </w:tcPr>
          <w:p w14:paraId="5CF9BB2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16.057,88</w:t>
            </w:r>
          </w:p>
        </w:tc>
        <w:tc>
          <w:tcPr>
            <w:tcW w:w="993" w:type="dxa"/>
            <w:tcBorders>
              <w:top w:val="nil"/>
              <w:left w:val="nil"/>
              <w:bottom w:val="nil"/>
              <w:right w:val="nil"/>
            </w:tcBorders>
            <w:shd w:val="clear" w:color="000000" w:fill="FFFF99"/>
            <w:noWrap/>
            <w:vAlign w:val="bottom"/>
            <w:hideMark/>
          </w:tcPr>
          <w:p w14:paraId="738E525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53,53%</w:t>
            </w:r>
          </w:p>
        </w:tc>
      </w:tr>
      <w:tr w:rsidR="006967F8" w:rsidRPr="006967F8" w14:paraId="2A99E034"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77184B7"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08FD607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30.000,00</w:t>
            </w:r>
          </w:p>
        </w:tc>
        <w:tc>
          <w:tcPr>
            <w:tcW w:w="1559" w:type="dxa"/>
            <w:tcBorders>
              <w:top w:val="nil"/>
              <w:left w:val="nil"/>
              <w:bottom w:val="nil"/>
              <w:right w:val="nil"/>
            </w:tcBorders>
            <w:shd w:val="clear" w:color="000000" w:fill="CCCCFF"/>
            <w:noWrap/>
            <w:vAlign w:val="bottom"/>
            <w:hideMark/>
          </w:tcPr>
          <w:p w14:paraId="7B6A4BA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30.000,00</w:t>
            </w:r>
          </w:p>
        </w:tc>
        <w:tc>
          <w:tcPr>
            <w:tcW w:w="1559" w:type="dxa"/>
            <w:tcBorders>
              <w:top w:val="nil"/>
              <w:left w:val="nil"/>
              <w:bottom w:val="nil"/>
              <w:right w:val="nil"/>
            </w:tcBorders>
            <w:shd w:val="clear" w:color="000000" w:fill="CCCCFF"/>
            <w:noWrap/>
            <w:vAlign w:val="bottom"/>
            <w:hideMark/>
          </w:tcPr>
          <w:p w14:paraId="37E46B9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16.057,88</w:t>
            </w:r>
          </w:p>
        </w:tc>
        <w:tc>
          <w:tcPr>
            <w:tcW w:w="993" w:type="dxa"/>
            <w:tcBorders>
              <w:top w:val="nil"/>
              <w:left w:val="nil"/>
              <w:bottom w:val="nil"/>
              <w:right w:val="nil"/>
            </w:tcBorders>
            <w:shd w:val="clear" w:color="000000" w:fill="CCCCFF"/>
            <w:noWrap/>
            <w:vAlign w:val="bottom"/>
            <w:hideMark/>
          </w:tcPr>
          <w:p w14:paraId="5100E68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53,53%</w:t>
            </w:r>
          </w:p>
        </w:tc>
      </w:tr>
      <w:tr w:rsidR="006967F8" w:rsidRPr="006967F8" w14:paraId="30C35E85"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C3B0613"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4.3. Ostali prihodi za posebne namjene</w:t>
            </w:r>
          </w:p>
        </w:tc>
        <w:tc>
          <w:tcPr>
            <w:tcW w:w="1559" w:type="dxa"/>
            <w:tcBorders>
              <w:top w:val="nil"/>
              <w:left w:val="nil"/>
              <w:bottom w:val="nil"/>
              <w:right w:val="nil"/>
            </w:tcBorders>
            <w:shd w:val="clear" w:color="000000" w:fill="CCCCFF"/>
            <w:noWrap/>
            <w:vAlign w:val="bottom"/>
            <w:hideMark/>
          </w:tcPr>
          <w:p w14:paraId="2F65094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30.000,00</w:t>
            </w:r>
          </w:p>
        </w:tc>
        <w:tc>
          <w:tcPr>
            <w:tcW w:w="1559" w:type="dxa"/>
            <w:tcBorders>
              <w:top w:val="nil"/>
              <w:left w:val="nil"/>
              <w:bottom w:val="nil"/>
              <w:right w:val="nil"/>
            </w:tcBorders>
            <w:shd w:val="clear" w:color="000000" w:fill="CCCCFF"/>
            <w:noWrap/>
            <w:vAlign w:val="bottom"/>
            <w:hideMark/>
          </w:tcPr>
          <w:p w14:paraId="5221C4B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30.000,00</w:t>
            </w:r>
          </w:p>
        </w:tc>
        <w:tc>
          <w:tcPr>
            <w:tcW w:w="1559" w:type="dxa"/>
            <w:tcBorders>
              <w:top w:val="nil"/>
              <w:left w:val="nil"/>
              <w:bottom w:val="nil"/>
              <w:right w:val="nil"/>
            </w:tcBorders>
            <w:shd w:val="clear" w:color="000000" w:fill="CCCCFF"/>
            <w:noWrap/>
            <w:vAlign w:val="bottom"/>
            <w:hideMark/>
          </w:tcPr>
          <w:p w14:paraId="74850EE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16.057,88</w:t>
            </w:r>
          </w:p>
        </w:tc>
        <w:tc>
          <w:tcPr>
            <w:tcW w:w="993" w:type="dxa"/>
            <w:tcBorders>
              <w:top w:val="nil"/>
              <w:left w:val="nil"/>
              <w:bottom w:val="nil"/>
              <w:right w:val="nil"/>
            </w:tcBorders>
            <w:shd w:val="clear" w:color="000000" w:fill="CCCCFF"/>
            <w:noWrap/>
            <w:vAlign w:val="bottom"/>
            <w:hideMark/>
          </w:tcPr>
          <w:p w14:paraId="2F998D0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53,53%</w:t>
            </w:r>
          </w:p>
        </w:tc>
      </w:tr>
      <w:tr w:rsidR="006967F8" w:rsidRPr="006967F8" w14:paraId="11B1FA40" w14:textId="77777777" w:rsidTr="008A61B1">
        <w:trPr>
          <w:trHeight w:val="255"/>
        </w:trPr>
        <w:tc>
          <w:tcPr>
            <w:tcW w:w="1134" w:type="dxa"/>
            <w:tcBorders>
              <w:top w:val="nil"/>
              <w:left w:val="nil"/>
              <w:bottom w:val="nil"/>
              <w:right w:val="nil"/>
            </w:tcBorders>
            <w:noWrap/>
            <w:vAlign w:val="bottom"/>
            <w:hideMark/>
          </w:tcPr>
          <w:p w14:paraId="520DD12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771DD84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4EFDFE9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30.000,00</w:t>
            </w:r>
          </w:p>
        </w:tc>
        <w:tc>
          <w:tcPr>
            <w:tcW w:w="1559" w:type="dxa"/>
            <w:tcBorders>
              <w:top w:val="nil"/>
              <w:left w:val="nil"/>
              <w:bottom w:val="nil"/>
              <w:right w:val="nil"/>
            </w:tcBorders>
            <w:noWrap/>
            <w:vAlign w:val="bottom"/>
            <w:hideMark/>
          </w:tcPr>
          <w:p w14:paraId="011CE41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30.000,00</w:t>
            </w:r>
          </w:p>
        </w:tc>
        <w:tc>
          <w:tcPr>
            <w:tcW w:w="1559" w:type="dxa"/>
            <w:tcBorders>
              <w:top w:val="nil"/>
              <w:left w:val="nil"/>
              <w:bottom w:val="nil"/>
              <w:right w:val="nil"/>
            </w:tcBorders>
            <w:noWrap/>
            <w:vAlign w:val="bottom"/>
            <w:hideMark/>
          </w:tcPr>
          <w:p w14:paraId="4C66014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16.057,88</w:t>
            </w:r>
          </w:p>
        </w:tc>
        <w:tc>
          <w:tcPr>
            <w:tcW w:w="993" w:type="dxa"/>
            <w:tcBorders>
              <w:top w:val="nil"/>
              <w:left w:val="nil"/>
              <w:bottom w:val="nil"/>
              <w:right w:val="nil"/>
            </w:tcBorders>
            <w:noWrap/>
            <w:vAlign w:val="bottom"/>
            <w:hideMark/>
          </w:tcPr>
          <w:p w14:paraId="004C7F0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53,53%</w:t>
            </w:r>
          </w:p>
        </w:tc>
      </w:tr>
      <w:tr w:rsidR="006967F8" w:rsidRPr="006967F8" w14:paraId="26C5096E" w14:textId="77777777" w:rsidTr="008A61B1">
        <w:trPr>
          <w:trHeight w:val="255"/>
        </w:trPr>
        <w:tc>
          <w:tcPr>
            <w:tcW w:w="1134" w:type="dxa"/>
            <w:tcBorders>
              <w:top w:val="nil"/>
              <w:left w:val="nil"/>
              <w:bottom w:val="nil"/>
              <w:right w:val="nil"/>
            </w:tcBorders>
            <w:noWrap/>
            <w:vAlign w:val="bottom"/>
            <w:hideMark/>
          </w:tcPr>
          <w:p w14:paraId="73DA206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3232</w:t>
            </w:r>
          </w:p>
        </w:tc>
        <w:tc>
          <w:tcPr>
            <w:tcW w:w="4962" w:type="dxa"/>
            <w:tcBorders>
              <w:top w:val="nil"/>
              <w:left w:val="nil"/>
              <w:bottom w:val="nil"/>
              <w:right w:val="nil"/>
            </w:tcBorders>
            <w:noWrap/>
            <w:vAlign w:val="bottom"/>
            <w:hideMark/>
          </w:tcPr>
          <w:p w14:paraId="1219C54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noWrap/>
            <w:vAlign w:val="bottom"/>
            <w:hideMark/>
          </w:tcPr>
          <w:p w14:paraId="01B1E0C8"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008FDAC"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3F87EFD"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16.057,88</w:t>
            </w:r>
          </w:p>
        </w:tc>
        <w:tc>
          <w:tcPr>
            <w:tcW w:w="993" w:type="dxa"/>
            <w:tcBorders>
              <w:top w:val="nil"/>
              <w:left w:val="nil"/>
              <w:bottom w:val="nil"/>
              <w:right w:val="nil"/>
            </w:tcBorders>
            <w:noWrap/>
            <w:vAlign w:val="bottom"/>
            <w:hideMark/>
          </w:tcPr>
          <w:p w14:paraId="3F2C6FAD"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60B54BC" w14:textId="77777777" w:rsidTr="008A61B1">
        <w:trPr>
          <w:trHeight w:val="255"/>
        </w:trPr>
        <w:tc>
          <w:tcPr>
            <w:tcW w:w="1134" w:type="dxa"/>
            <w:tcBorders>
              <w:top w:val="nil"/>
              <w:left w:val="nil"/>
              <w:bottom w:val="nil"/>
              <w:right w:val="nil"/>
            </w:tcBorders>
            <w:shd w:val="clear" w:color="000000" w:fill="FFFF99"/>
            <w:noWrap/>
            <w:vAlign w:val="bottom"/>
            <w:hideMark/>
          </w:tcPr>
          <w:p w14:paraId="700782A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lastRenderedPageBreak/>
              <w:t>A100201</w:t>
            </w:r>
          </w:p>
        </w:tc>
        <w:tc>
          <w:tcPr>
            <w:tcW w:w="4962" w:type="dxa"/>
            <w:tcBorders>
              <w:top w:val="nil"/>
              <w:left w:val="nil"/>
              <w:bottom w:val="nil"/>
              <w:right w:val="nil"/>
            </w:tcBorders>
            <w:shd w:val="clear" w:color="000000" w:fill="FFFF99"/>
            <w:noWrap/>
            <w:vAlign w:val="bottom"/>
            <w:hideMark/>
          </w:tcPr>
          <w:p w14:paraId="6B2CE5C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Aktivnost: UREĐENJE GRADSKIH PLAŽA</w:t>
            </w:r>
          </w:p>
        </w:tc>
        <w:tc>
          <w:tcPr>
            <w:tcW w:w="1559" w:type="dxa"/>
            <w:tcBorders>
              <w:top w:val="nil"/>
              <w:left w:val="nil"/>
              <w:bottom w:val="nil"/>
              <w:right w:val="nil"/>
            </w:tcBorders>
            <w:shd w:val="clear" w:color="000000" w:fill="FFFF99"/>
            <w:noWrap/>
            <w:vAlign w:val="bottom"/>
            <w:hideMark/>
          </w:tcPr>
          <w:p w14:paraId="3478400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173.750,00</w:t>
            </w:r>
          </w:p>
        </w:tc>
        <w:tc>
          <w:tcPr>
            <w:tcW w:w="1559" w:type="dxa"/>
            <w:tcBorders>
              <w:top w:val="nil"/>
              <w:left w:val="nil"/>
              <w:bottom w:val="nil"/>
              <w:right w:val="nil"/>
            </w:tcBorders>
            <w:shd w:val="clear" w:color="000000" w:fill="FFFF99"/>
            <w:noWrap/>
            <w:vAlign w:val="bottom"/>
            <w:hideMark/>
          </w:tcPr>
          <w:p w14:paraId="043D886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174.340,00</w:t>
            </w:r>
          </w:p>
        </w:tc>
        <w:tc>
          <w:tcPr>
            <w:tcW w:w="1559" w:type="dxa"/>
            <w:tcBorders>
              <w:top w:val="nil"/>
              <w:left w:val="nil"/>
              <w:bottom w:val="nil"/>
              <w:right w:val="nil"/>
            </w:tcBorders>
            <w:shd w:val="clear" w:color="000000" w:fill="FFFF99"/>
            <w:noWrap/>
            <w:vAlign w:val="bottom"/>
            <w:hideMark/>
          </w:tcPr>
          <w:p w14:paraId="47A6261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141.095,00</w:t>
            </w:r>
          </w:p>
        </w:tc>
        <w:tc>
          <w:tcPr>
            <w:tcW w:w="993" w:type="dxa"/>
            <w:tcBorders>
              <w:top w:val="nil"/>
              <w:left w:val="nil"/>
              <w:bottom w:val="nil"/>
              <w:right w:val="nil"/>
            </w:tcBorders>
            <w:shd w:val="clear" w:color="000000" w:fill="FFFF99"/>
            <w:noWrap/>
            <w:vAlign w:val="bottom"/>
            <w:hideMark/>
          </w:tcPr>
          <w:p w14:paraId="4C1112C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80,93%</w:t>
            </w:r>
          </w:p>
        </w:tc>
      </w:tr>
      <w:tr w:rsidR="006967F8" w:rsidRPr="006967F8" w14:paraId="07830071"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BBE795A"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15424F5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173.750,00</w:t>
            </w:r>
          </w:p>
        </w:tc>
        <w:tc>
          <w:tcPr>
            <w:tcW w:w="1559" w:type="dxa"/>
            <w:tcBorders>
              <w:top w:val="nil"/>
              <w:left w:val="nil"/>
              <w:bottom w:val="nil"/>
              <w:right w:val="nil"/>
            </w:tcBorders>
            <w:shd w:val="clear" w:color="000000" w:fill="CCCCFF"/>
            <w:noWrap/>
            <w:vAlign w:val="bottom"/>
            <w:hideMark/>
          </w:tcPr>
          <w:p w14:paraId="2BEB31D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174.340,00</w:t>
            </w:r>
          </w:p>
        </w:tc>
        <w:tc>
          <w:tcPr>
            <w:tcW w:w="1559" w:type="dxa"/>
            <w:tcBorders>
              <w:top w:val="nil"/>
              <w:left w:val="nil"/>
              <w:bottom w:val="nil"/>
              <w:right w:val="nil"/>
            </w:tcBorders>
            <w:shd w:val="clear" w:color="000000" w:fill="CCCCFF"/>
            <w:noWrap/>
            <w:vAlign w:val="bottom"/>
            <w:hideMark/>
          </w:tcPr>
          <w:p w14:paraId="78E418D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141.095,00</w:t>
            </w:r>
          </w:p>
        </w:tc>
        <w:tc>
          <w:tcPr>
            <w:tcW w:w="993" w:type="dxa"/>
            <w:tcBorders>
              <w:top w:val="nil"/>
              <w:left w:val="nil"/>
              <w:bottom w:val="nil"/>
              <w:right w:val="nil"/>
            </w:tcBorders>
            <w:shd w:val="clear" w:color="000000" w:fill="CCCCFF"/>
            <w:noWrap/>
            <w:vAlign w:val="bottom"/>
            <w:hideMark/>
          </w:tcPr>
          <w:p w14:paraId="619AB79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80,93%</w:t>
            </w:r>
          </w:p>
        </w:tc>
      </w:tr>
      <w:tr w:rsidR="006967F8" w:rsidRPr="006967F8" w14:paraId="152ECCA6"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7B4B2F0"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4.3. Ostali prihodi za posebne namjene</w:t>
            </w:r>
          </w:p>
        </w:tc>
        <w:tc>
          <w:tcPr>
            <w:tcW w:w="1559" w:type="dxa"/>
            <w:tcBorders>
              <w:top w:val="nil"/>
              <w:left w:val="nil"/>
              <w:bottom w:val="nil"/>
              <w:right w:val="nil"/>
            </w:tcBorders>
            <w:shd w:val="clear" w:color="000000" w:fill="CCCCFF"/>
            <w:noWrap/>
            <w:vAlign w:val="bottom"/>
            <w:hideMark/>
          </w:tcPr>
          <w:p w14:paraId="7A416A6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173.750,00</w:t>
            </w:r>
          </w:p>
        </w:tc>
        <w:tc>
          <w:tcPr>
            <w:tcW w:w="1559" w:type="dxa"/>
            <w:tcBorders>
              <w:top w:val="nil"/>
              <w:left w:val="nil"/>
              <w:bottom w:val="nil"/>
              <w:right w:val="nil"/>
            </w:tcBorders>
            <w:shd w:val="clear" w:color="000000" w:fill="CCCCFF"/>
            <w:noWrap/>
            <w:vAlign w:val="bottom"/>
            <w:hideMark/>
          </w:tcPr>
          <w:p w14:paraId="3A9B69E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174.340,00</w:t>
            </w:r>
          </w:p>
        </w:tc>
        <w:tc>
          <w:tcPr>
            <w:tcW w:w="1559" w:type="dxa"/>
            <w:tcBorders>
              <w:top w:val="nil"/>
              <w:left w:val="nil"/>
              <w:bottom w:val="nil"/>
              <w:right w:val="nil"/>
            </w:tcBorders>
            <w:shd w:val="clear" w:color="000000" w:fill="CCCCFF"/>
            <w:noWrap/>
            <w:vAlign w:val="bottom"/>
            <w:hideMark/>
          </w:tcPr>
          <w:p w14:paraId="773B7CA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141.095,00</w:t>
            </w:r>
          </w:p>
        </w:tc>
        <w:tc>
          <w:tcPr>
            <w:tcW w:w="993" w:type="dxa"/>
            <w:tcBorders>
              <w:top w:val="nil"/>
              <w:left w:val="nil"/>
              <w:bottom w:val="nil"/>
              <w:right w:val="nil"/>
            </w:tcBorders>
            <w:shd w:val="clear" w:color="000000" w:fill="CCCCFF"/>
            <w:noWrap/>
            <w:vAlign w:val="bottom"/>
            <w:hideMark/>
          </w:tcPr>
          <w:p w14:paraId="40298DB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80,93%</w:t>
            </w:r>
          </w:p>
        </w:tc>
      </w:tr>
      <w:tr w:rsidR="006967F8" w:rsidRPr="006967F8" w14:paraId="523C05C6" w14:textId="77777777" w:rsidTr="008A61B1">
        <w:trPr>
          <w:trHeight w:val="255"/>
        </w:trPr>
        <w:tc>
          <w:tcPr>
            <w:tcW w:w="1134" w:type="dxa"/>
            <w:tcBorders>
              <w:top w:val="nil"/>
              <w:left w:val="nil"/>
              <w:bottom w:val="nil"/>
              <w:right w:val="nil"/>
            </w:tcBorders>
            <w:noWrap/>
            <w:vAlign w:val="bottom"/>
            <w:hideMark/>
          </w:tcPr>
          <w:p w14:paraId="3F6DB8F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6F5EED6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27C7197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137.000,00</w:t>
            </w:r>
          </w:p>
        </w:tc>
        <w:tc>
          <w:tcPr>
            <w:tcW w:w="1559" w:type="dxa"/>
            <w:tcBorders>
              <w:top w:val="nil"/>
              <w:left w:val="nil"/>
              <w:bottom w:val="nil"/>
              <w:right w:val="nil"/>
            </w:tcBorders>
            <w:noWrap/>
            <w:vAlign w:val="bottom"/>
            <w:hideMark/>
          </w:tcPr>
          <w:p w14:paraId="1C28737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137.000,00</w:t>
            </w:r>
          </w:p>
        </w:tc>
        <w:tc>
          <w:tcPr>
            <w:tcW w:w="1559" w:type="dxa"/>
            <w:tcBorders>
              <w:top w:val="nil"/>
              <w:left w:val="nil"/>
              <w:bottom w:val="nil"/>
              <w:right w:val="nil"/>
            </w:tcBorders>
            <w:noWrap/>
            <w:vAlign w:val="bottom"/>
            <w:hideMark/>
          </w:tcPr>
          <w:p w14:paraId="56E1C35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103.756,25</w:t>
            </w:r>
          </w:p>
        </w:tc>
        <w:tc>
          <w:tcPr>
            <w:tcW w:w="993" w:type="dxa"/>
            <w:tcBorders>
              <w:top w:val="nil"/>
              <w:left w:val="nil"/>
              <w:bottom w:val="nil"/>
              <w:right w:val="nil"/>
            </w:tcBorders>
            <w:noWrap/>
            <w:vAlign w:val="bottom"/>
            <w:hideMark/>
          </w:tcPr>
          <w:p w14:paraId="2E10B6A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75,73%</w:t>
            </w:r>
          </w:p>
        </w:tc>
      </w:tr>
      <w:tr w:rsidR="006967F8" w:rsidRPr="006967F8" w14:paraId="2056B1C3" w14:textId="77777777" w:rsidTr="008A61B1">
        <w:trPr>
          <w:trHeight w:val="255"/>
        </w:trPr>
        <w:tc>
          <w:tcPr>
            <w:tcW w:w="1134" w:type="dxa"/>
            <w:tcBorders>
              <w:top w:val="nil"/>
              <w:left w:val="nil"/>
              <w:bottom w:val="nil"/>
              <w:right w:val="nil"/>
            </w:tcBorders>
            <w:noWrap/>
            <w:vAlign w:val="bottom"/>
            <w:hideMark/>
          </w:tcPr>
          <w:p w14:paraId="63B6665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3232</w:t>
            </w:r>
          </w:p>
        </w:tc>
        <w:tc>
          <w:tcPr>
            <w:tcW w:w="4962" w:type="dxa"/>
            <w:tcBorders>
              <w:top w:val="nil"/>
              <w:left w:val="nil"/>
              <w:bottom w:val="nil"/>
              <w:right w:val="nil"/>
            </w:tcBorders>
            <w:noWrap/>
            <w:vAlign w:val="bottom"/>
            <w:hideMark/>
          </w:tcPr>
          <w:p w14:paraId="67817A5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noWrap/>
            <w:vAlign w:val="bottom"/>
            <w:hideMark/>
          </w:tcPr>
          <w:p w14:paraId="6D3F27CE"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AE6FFA0"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AE96547"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94.506,25</w:t>
            </w:r>
          </w:p>
        </w:tc>
        <w:tc>
          <w:tcPr>
            <w:tcW w:w="993" w:type="dxa"/>
            <w:tcBorders>
              <w:top w:val="nil"/>
              <w:left w:val="nil"/>
              <w:bottom w:val="nil"/>
              <w:right w:val="nil"/>
            </w:tcBorders>
            <w:noWrap/>
            <w:vAlign w:val="bottom"/>
            <w:hideMark/>
          </w:tcPr>
          <w:p w14:paraId="66DF51EC"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B6256D3" w14:textId="77777777" w:rsidTr="008A61B1">
        <w:trPr>
          <w:trHeight w:val="255"/>
        </w:trPr>
        <w:tc>
          <w:tcPr>
            <w:tcW w:w="1134" w:type="dxa"/>
            <w:tcBorders>
              <w:top w:val="nil"/>
              <w:left w:val="nil"/>
              <w:bottom w:val="nil"/>
              <w:right w:val="nil"/>
            </w:tcBorders>
            <w:noWrap/>
            <w:vAlign w:val="bottom"/>
            <w:hideMark/>
          </w:tcPr>
          <w:p w14:paraId="38EE565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3235</w:t>
            </w:r>
          </w:p>
        </w:tc>
        <w:tc>
          <w:tcPr>
            <w:tcW w:w="4962" w:type="dxa"/>
            <w:tcBorders>
              <w:top w:val="nil"/>
              <w:left w:val="nil"/>
              <w:bottom w:val="nil"/>
              <w:right w:val="nil"/>
            </w:tcBorders>
            <w:noWrap/>
            <w:vAlign w:val="bottom"/>
            <w:hideMark/>
          </w:tcPr>
          <w:p w14:paraId="2A72180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Zakupnine i najamnine</w:t>
            </w:r>
          </w:p>
        </w:tc>
        <w:tc>
          <w:tcPr>
            <w:tcW w:w="1559" w:type="dxa"/>
            <w:tcBorders>
              <w:top w:val="nil"/>
              <w:left w:val="nil"/>
              <w:bottom w:val="nil"/>
              <w:right w:val="nil"/>
            </w:tcBorders>
            <w:noWrap/>
            <w:vAlign w:val="bottom"/>
            <w:hideMark/>
          </w:tcPr>
          <w:p w14:paraId="76116E28"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5BBE0A8"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3A644B3"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1.750,00</w:t>
            </w:r>
          </w:p>
        </w:tc>
        <w:tc>
          <w:tcPr>
            <w:tcW w:w="993" w:type="dxa"/>
            <w:tcBorders>
              <w:top w:val="nil"/>
              <w:left w:val="nil"/>
              <w:bottom w:val="nil"/>
              <w:right w:val="nil"/>
            </w:tcBorders>
            <w:noWrap/>
            <w:vAlign w:val="bottom"/>
            <w:hideMark/>
          </w:tcPr>
          <w:p w14:paraId="7CA685A7"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8D87EED" w14:textId="77777777" w:rsidTr="008A61B1">
        <w:trPr>
          <w:trHeight w:val="255"/>
        </w:trPr>
        <w:tc>
          <w:tcPr>
            <w:tcW w:w="1134" w:type="dxa"/>
            <w:tcBorders>
              <w:top w:val="nil"/>
              <w:left w:val="nil"/>
              <w:bottom w:val="nil"/>
              <w:right w:val="nil"/>
            </w:tcBorders>
            <w:noWrap/>
            <w:vAlign w:val="bottom"/>
            <w:hideMark/>
          </w:tcPr>
          <w:p w14:paraId="26A9999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3237</w:t>
            </w:r>
          </w:p>
        </w:tc>
        <w:tc>
          <w:tcPr>
            <w:tcW w:w="4962" w:type="dxa"/>
            <w:tcBorders>
              <w:top w:val="nil"/>
              <w:left w:val="nil"/>
              <w:bottom w:val="nil"/>
              <w:right w:val="nil"/>
            </w:tcBorders>
            <w:noWrap/>
            <w:vAlign w:val="bottom"/>
            <w:hideMark/>
          </w:tcPr>
          <w:p w14:paraId="5375435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Intelektualne i osobne usluge</w:t>
            </w:r>
          </w:p>
        </w:tc>
        <w:tc>
          <w:tcPr>
            <w:tcW w:w="1559" w:type="dxa"/>
            <w:tcBorders>
              <w:top w:val="nil"/>
              <w:left w:val="nil"/>
              <w:bottom w:val="nil"/>
              <w:right w:val="nil"/>
            </w:tcBorders>
            <w:noWrap/>
            <w:vAlign w:val="bottom"/>
            <w:hideMark/>
          </w:tcPr>
          <w:p w14:paraId="54A63202"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6D94DCC"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98A4122"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7.500,00</w:t>
            </w:r>
          </w:p>
        </w:tc>
        <w:tc>
          <w:tcPr>
            <w:tcW w:w="993" w:type="dxa"/>
            <w:tcBorders>
              <w:top w:val="nil"/>
              <w:left w:val="nil"/>
              <w:bottom w:val="nil"/>
              <w:right w:val="nil"/>
            </w:tcBorders>
            <w:noWrap/>
            <w:vAlign w:val="bottom"/>
            <w:hideMark/>
          </w:tcPr>
          <w:p w14:paraId="27F18DC5"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6B7A1E5" w14:textId="77777777" w:rsidTr="008A61B1">
        <w:trPr>
          <w:trHeight w:val="540"/>
        </w:trPr>
        <w:tc>
          <w:tcPr>
            <w:tcW w:w="1134" w:type="dxa"/>
            <w:tcBorders>
              <w:top w:val="nil"/>
              <w:left w:val="nil"/>
              <w:bottom w:val="nil"/>
              <w:right w:val="nil"/>
            </w:tcBorders>
            <w:noWrap/>
            <w:vAlign w:val="bottom"/>
            <w:hideMark/>
          </w:tcPr>
          <w:p w14:paraId="248A4B6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687C5BD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05DCB07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36.750,00</w:t>
            </w:r>
          </w:p>
        </w:tc>
        <w:tc>
          <w:tcPr>
            <w:tcW w:w="1559" w:type="dxa"/>
            <w:tcBorders>
              <w:top w:val="nil"/>
              <w:left w:val="nil"/>
              <w:bottom w:val="nil"/>
              <w:right w:val="nil"/>
            </w:tcBorders>
            <w:noWrap/>
            <w:vAlign w:val="bottom"/>
            <w:hideMark/>
          </w:tcPr>
          <w:p w14:paraId="7E695DE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37.340,00</w:t>
            </w:r>
          </w:p>
        </w:tc>
        <w:tc>
          <w:tcPr>
            <w:tcW w:w="1559" w:type="dxa"/>
            <w:tcBorders>
              <w:top w:val="nil"/>
              <w:left w:val="nil"/>
              <w:bottom w:val="nil"/>
              <w:right w:val="nil"/>
            </w:tcBorders>
            <w:noWrap/>
            <w:vAlign w:val="bottom"/>
            <w:hideMark/>
          </w:tcPr>
          <w:p w14:paraId="2B45318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37.338,75</w:t>
            </w:r>
          </w:p>
        </w:tc>
        <w:tc>
          <w:tcPr>
            <w:tcW w:w="993" w:type="dxa"/>
            <w:tcBorders>
              <w:top w:val="nil"/>
              <w:left w:val="nil"/>
              <w:bottom w:val="nil"/>
              <w:right w:val="nil"/>
            </w:tcBorders>
            <w:noWrap/>
            <w:vAlign w:val="bottom"/>
            <w:hideMark/>
          </w:tcPr>
          <w:p w14:paraId="1888E4A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r>
      <w:tr w:rsidR="006967F8" w:rsidRPr="006967F8" w14:paraId="4AED4AD4" w14:textId="77777777" w:rsidTr="008A61B1">
        <w:trPr>
          <w:trHeight w:val="255"/>
        </w:trPr>
        <w:tc>
          <w:tcPr>
            <w:tcW w:w="1134" w:type="dxa"/>
            <w:tcBorders>
              <w:top w:val="nil"/>
              <w:left w:val="nil"/>
              <w:bottom w:val="nil"/>
              <w:right w:val="nil"/>
            </w:tcBorders>
            <w:noWrap/>
            <w:vAlign w:val="bottom"/>
            <w:hideMark/>
          </w:tcPr>
          <w:p w14:paraId="5DCAAAE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4227</w:t>
            </w:r>
          </w:p>
        </w:tc>
        <w:tc>
          <w:tcPr>
            <w:tcW w:w="4962" w:type="dxa"/>
            <w:tcBorders>
              <w:top w:val="nil"/>
              <w:left w:val="nil"/>
              <w:bottom w:val="nil"/>
              <w:right w:val="nil"/>
            </w:tcBorders>
            <w:noWrap/>
            <w:vAlign w:val="bottom"/>
            <w:hideMark/>
          </w:tcPr>
          <w:p w14:paraId="430A47A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Uređaji, strojevi i oprema za ostale namjene</w:t>
            </w:r>
          </w:p>
        </w:tc>
        <w:tc>
          <w:tcPr>
            <w:tcW w:w="1559" w:type="dxa"/>
            <w:tcBorders>
              <w:top w:val="nil"/>
              <w:left w:val="nil"/>
              <w:bottom w:val="nil"/>
              <w:right w:val="nil"/>
            </w:tcBorders>
            <w:noWrap/>
            <w:vAlign w:val="bottom"/>
            <w:hideMark/>
          </w:tcPr>
          <w:p w14:paraId="7C6C1AFF"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A54AB76"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D42AD66"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37.338,75</w:t>
            </w:r>
          </w:p>
        </w:tc>
        <w:tc>
          <w:tcPr>
            <w:tcW w:w="993" w:type="dxa"/>
            <w:tcBorders>
              <w:top w:val="nil"/>
              <w:left w:val="nil"/>
              <w:bottom w:val="nil"/>
              <w:right w:val="nil"/>
            </w:tcBorders>
            <w:noWrap/>
            <w:vAlign w:val="bottom"/>
            <w:hideMark/>
          </w:tcPr>
          <w:p w14:paraId="0203129A"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2C6FA4F" w14:textId="77777777" w:rsidTr="008A61B1">
        <w:trPr>
          <w:trHeight w:val="555"/>
        </w:trPr>
        <w:tc>
          <w:tcPr>
            <w:tcW w:w="1134" w:type="dxa"/>
            <w:tcBorders>
              <w:top w:val="nil"/>
              <w:left w:val="nil"/>
              <w:bottom w:val="nil"/>
              <w:right w:val="nil"/>
            </w:tcBorders>
            <w:shd w:val="clear" w:color="000000" w:fill="FFFF99"/>
            <w:noWrap/>
            <w:vAlign w:val="bottom"/>
            <w:hideMark/>
          </w:tcPr>
          <w:p w14:paraId="0C5C794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K100100</w:t>
            </w:r>
          </w:p>
        </w:tc>
        <w:tc>
          <w:tcPr>
            <w:tcW w:w="4962" w:type="dxa"/>
            <w:tcBorders>
              <w:top w:val="nil"/>
              <w:left w:val="nil"/>
              <w:bottom w:val="nil"/>
              <w:right w:val="nil"/>
            </w:tcBorders>
            <w:shd w:val="clear" w:color="000000" w:fill="FFFF99"/>
            <w:vAlign w:val="bottom"/>
            <w:hideMark/>
          </w:tcPr>
          <w:p w14:paraId="52A5E74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Kapitalni projekt: IZGRADNJA PRISTUPNE CESTE ZA POS STANOVE OS12</w:t>
            </w:r>
          </w:p>
        </w:tc>
        <w:tc>
          <w:tcPr>
            <w:tcW w:w="1559" w:type="dxa"/>
            <w:tcBorders>
              <w:top w:val="nil"/>
              <w:left w:val="nil"/>
              <w:bottom w:val="nil"/>
              <w:right w:val="nil"/>
            </w:tcBorders>
            <w:shd w:val="clear" w:color="000000" w:fill="FFFF99"/>
            <w:noWrap/>
            <w:vAlign w:val="bottom"/>
            <w:hideMark/>
          </w:tcPr>
          <w:p w14:paraId="41A7192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shd w:val="clear" w:color="000000" w:fill="FFFF99"/>
            <w:noWrap/>
            <w:vAlign w:val="bottom"/>
            <w:hideMark/>
          </w:tcPr>
          <w:p w14:paraId="427D2FD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19.410,00</w:t>
            </w:r>
          </w:p>
        </w:tc>
        <w:tc>
          <w:tcPr>
            <w:tcW w:w="1559" w:type="dxa"/>
            <w:tcBorders>
              <w:top w:val="nil"/>
              <w:left w:val="nil"/>
              <w:bottom w:val="nil"/>
              <w:right w:val="nil"/>
            </w:tcBorders>
            <w:shd w:val="clear" w:color="000000" w:fill="FFFF99"/>
            <w:noWrap/>
            <w:vAlign w:val="bottom"/>
            <w:hideMark/>
          </w:tcPr>
          <w:p w14:paraId="57A0D47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496,23</w:t>
            </w:r>
          </w:p>
        </w:tc>
        <w:tc>
          <w:tcPr>
            <w:tcW w:w="993" w:type="dxa"/>
            <w:tcBorders>
              <w:top w:val="nil"/>
              <w:left w:val="nil"/>
              <w:bottom w:val="nil"/>
              <w:right w:val="nil"/>
            </w:tcBorders>
            <w:shd w:val="clear" w:color="000000" w:fill="FFFF99"/>
            <w:noWrap/>
            <w:vAlign w:val="bottom"/>
            <w:hideMark/>
          </w:tcPr>
          <w:p w14:paraId="5003F47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2,56%</w:t>
            </w:r>
          </w:p>
        </w:tc>
      </w:tr>
      <w:tr w:rsidR="006967F8" w:rsidRPr="006967F8" w14:paraId="71F51DC0"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67D8A8E"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79394BF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26242F8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19.410,00</w:t>
            </w:r>
          </w:p>
        </w:tc>
        <w:tc>
          <w:tcPr>
            <w:tcW w:w="1559" w:type="dxa"/>
            <w:tcBorders>
              <w:top w:val="nil"/>
              <w:left w:val="nil"/>
              <w:bottom w:val="nil"/>
              <w:right w:val="nil"/>
            </w:tcBorders>
            <w:shd w:val="clear" w:color="000000" w:fill="CCCCFF"/>
            <w:noWrap/>
            <w:vAlign w:val="bottom"/>
            <w:hideMark/>
          </w:tcPr>
          <w:p w14:paraId="55401DF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496,23</w:t>
            </w:r>
          </w:p>
        </w:tc>
        <w:tc>
          <w:tcPr>
            <w:tcW w:w="993" w:type="dxa"/>
            <w:tcBorders>
              <w:top w:val="nil"/>
              <w:left w:val="nil"/>
              <w:bottom w:val="nil"/>
              <w:right w:val="nil"/>
            </w:tcBorders>
            <w:shd w:val="clear" w:color="000000" w:fill="CCCCFF"/>
            <w:noWrap/>
            <w:vAlign w:val="bottom"/>
            <w:hideMark/>
          </w:tcPr>
          <w:p w14:paraId="17CB6BD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2,56%</w:t>
            </w:r>
          </w:p>
        </w:tc>
      </w:tr>
      <w:tr w:rsidR="006967F8" w:rsidRPr="006967F8" w14:paraId="58B60C3E"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383383F"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4.1. Komunalni doprinos</w:t>
            </w:r>
          </w:p>
        </w:tc>
        <w:tc>
          <w:tcPr>
            <w:tcW w:w="1559" w:type="dxa"/>
            <w:tcBorders>
              <w:top w:val="nil"/>
              <w:left w:val="nil"/>
              <w:bottom w:val="nil"/>
              <w:right w:val="nil"/>
            </w:tcBorders>
            <w:shd w:val="clear" w:color="000000" w:fill="CCCCFF"/>
            <w:noWrap/>
            <w:vAlign w:val="bottom"/>
            <w:hideMark/>
          </w:tcPr>
          <w:p w14:paraId="3C11BF8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0FEC599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19.410,00</w:t>
            </w:r>
          </w:p>
        </w:tc>
        <w:tc>
          <w:tcPr>
            <w:tcW w:w="1559" w:type="dxa"/>
            <w:tcBorders>
              <w:top w:val="nil"/>
              <w:left w:val="nil"/>
              <w:bottom w:val="nil"/>
              <w:right w:val="nil"/>
            </w:tcBorders>
            <w:shd w:val="clear" w:color="000000" w:fill="CCCCFF"/>
            <w:noWrap/>
            <w:vAlign w:val="bottom"/>
            <w:hideMark/>
          </w:tcPr>
          <w:p w14:paraId="793578E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496,23</w:t>
            </w:r>
          </w:p>
        </w:tc>
        <w:tc>
          <w:tcPr>
            <w:tcW w:w="993" w:type="dxa"/>
            <w:tcBorders>
              <w:top w:val="nil"/>
              <w:left w:val="nil"/>
              <w:bottom w:val="nil"/>
              <w:right w:val="nil"/>
            </w:tcBorders>
            <w:shd w:val="clear" w:color="000000" w:fill="CCCCFF"/>
            <w:noWrap/>
            <w:vAlign w:val="bottom"/>
            <w:hideMark/>
          </w:tcPr>
          <w:p w14:paraId="136D071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2,56%</w:t>
            </w:r>
          </w:p>
        </w:tc>
      </w:tr>
      <w:tr w:rsidR="006967F8" w:rsidRPr="006967F8" w14:paraId="5EE3E9F4" w14:textId="77777777" w:rsidTr="008A61B1">
        <w:trPr>
          <w:trHeight w:val="525"/>
        </w:trPr>
        <w:tc>
          <w:tcPr>
            <w:tcW w:w="1134" w:type="dxa"/>
            <w:tcBorders>
              <w:top w:val="nil"/>
              <w:left w:val="nil"/>
              <w:bottom w:val="nil"/>
              <w:right w:val="nil"/>
            </w:tcBorders>
            <w:noWrap/>
            <w:vAlign w:val="bottom"/>
            <w:hideMark/>
          </w:tcPr>
          <w:p w14:paraId="5B008F4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41</w:t>
            </w:r>
          </w:p>
        </w:tc>
        <w:tc>
          <w:tcPr>
            <w:tcW w:w="4962" w:type="dxa"/>
            <w:tcBorders>
              <w:top w:val="nil"/>
              <w:left w:val="nil"/>
              <w:bottom w:val="nil"/>
              <w:right w:val="nil"/>
            </w:tcBorders>
            <w:vAlign w:val="bottom"/>
            <w:hideMark/>
          </w:tcPr>
          <w:p w14:paraId="3F8547B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Rashodi za nabavu </w:t>
            </w:r>
            <w:proofErr w:type="spellStart"/>
            <w:r w:rsidRPr="006967F8">
              <w:rPr>
                <w:rFonts w:ascii="Arial" w:eastAsia="Times New Roman" w:hAnsi="Arial" w:cs="Arial"/>
                <w:b/>
                <w:bCs/>
                <w:sz w:val="20"/>
                <w:szCs w:val="20"/>
                <w:lang w:eastAsia="hr-HR"/>
              </w:rPr>
              <w:t>neproizvedene</w:t>
            </w:r>
            <w:proofErr w:type="spellEnd"/>
            <w:r w:rsidRPr="006967F8">
              <w:rPr>
                <w:rFonts w:ascii="Arial" w:eastAsia="Times New Roman" w:hAnsi="Arial" w:cs="Arial"/>
                <w:b/>
                <w:bCs/>
                <w:sz w:val="20"/>
                <w:szCs w:val="20"/>
                <w:lang w:eastAsia="hr-HR"/>
              </w:rPr>
              <w:t xml:space="preserve"> dugotrajne imovine</w:t>
            </w:r>
          </w:p>
        </w:tc>
        <w:tc>
          <w:tcPr>
            <w:tcW w:w="1559" w:type="dxa"/>
            <w:tcBorders>
              <w:top w:val="nil"/>
              <w:left w:val="nil"/>
              <w:bottom w:val="nil"/>
              <w:right w:val="nil"/>
            </w:tcBorders>
            <w:noWrap/>
            <w:vAlign w:val="bottom"/>
            <w:hideMark/>
          </w:tcPr>
          <w:p w14:paraId="771D4F2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noWrap/>
            <w:vAlign w:val="bottom"/>
            <w:hideMark/>
          </w:tcPr>
          <w:p w14:paraId="3A71BDC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19.410,00</w:t>
            </w:r>
          </w:p>
        </w:tc>
        <w:tc>
          <w:tcPr>
            <w:tcW w:w="1559" w:type="dxa"/>
            <w:tcBorders>
              <w:top w:val="nil"/>
              <w:left w:val="nil"/>
              <w:bottom w:val="nil"/>
              <w:right w:val="nil"/>
            </w:tcBorders>
            <w:noWrap/>
            <w:vAlign w:val="bottom"/>
            <w:hideMark/>
          </w:tcPr>
          <w:p w14:paraId="3889F02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496,23</w:t>
            </w:r>
          </w:p>
        </w:tc>
        <w:tc>
          <w:tcPr>
            <w:tcW w:w="993" w:type="dxa"/>
            <w:tcBorders>
              <w:top w:val="nil"/>
              <w:left w:val="nil"/>
              <w:bottom w:val="nil"/>
              <w:right w:val="nil"/>
            </w:tcBorders>
            <w:noWrap/>
            <w:vAlign w:val="bottom"/>
            <w:hideMark/>
          </w:tcPr>
          <w:p w14:paraId="1ECDF95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2,56%</w:t>
            </w:r>
          </w:p>
        </w:tc>
      </w:tr>
      <w:tr w:rsidR="006967F8" w:rsidRPr="006967F8" w14:paraId="356405E8" w14:textId="77777777" w:rsidTr="008A61B1">
        <w:trPr>
          <w:trHeight w:val="255"/>
        </w:trPr>
        <w:tc>
          <w:tcPr>
            <w:tcW w:w="1134" w:type="dxa"/>
            <w:tcBorders>
              <w:top w:val="nil"/>
              <w:left w:val="nil"/>
              <w:bottom w:val="nil"/>
              <w:right w:val="nil"/>
            </w:tcBorders>
            <w:noWrap/>
            <w:vAlign w:val="bottom"/>
            <w:hideMark/>
          </w:tcPr>
          <w:p w14:paraId="689323E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4111</w:t>
            </w:r>
          </w:p>
        </w:tc>
        <w:tc>
          <w:tcPr>
            <w:tcW w:w="4962" w:type="dxa"/>
            <w:tcBorders>
              <w:top w:val="nil"/>
              <w:left w:val="nil"/>
              <w:bottom w:val="nil"/>
              <w:right w:val="nil"/>
            </w:tcBorders>
            <w:noWrap/>
            <w:vAlign w:val="bottom"/>
            <w:hideMark/>
          </w:tcPr>
          <w:p w14:paraId="6FD6700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Zemljište</w:t>
            </w:r>
          </w:p>
        </w:tc>
        <w:tc>
          <w:tcPr>
            <w:tcW w:w="1559" w:type="dxa"/>
            <w:tcBorders>
              <w:top w:val="nil"/>
              <w:left w:val="nil"/>
              <w:bottom w:val="nil"/>
              <w:right w:val="nil"/>
            </w:tcBorders>
            <w:noWrap/>
            <w:vAlign w:val="bottom"/>
            <w:hideMark/>
          </w:tcPr>
          <w:p w14:paraId="10956F9A"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FE72882"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209DA97"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496,23</w:t>
            </w:r>
          </w:p>
        </w:tc>
        <w:tc>
          <w:tcPr>
            <w:tcW w:w="993" w:type="dxa"/>
            <w:tcBorders>
              <w:top w:val="nil"/>
              <w:left w:val="nil"/>
              <w:bottom w:val="nil"/>
              <w:right w:val="nil"/>
            </w:tcBorders>
            <w:noWrap/>
            <w:vAlign w:val="bottom"/>
            <w:hideMark/>
          </w:tcPr>
          <w:p w14:paraId="7F13CB1D"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47B6F5D" w14:textId="77777777" w:rsidTr="008A61B1">
        <w:trPr>
          <w:trHeight w:val="540"/>
        </w:trPr>
        <w:tc>
          <w:tcPr>
            <w:tcW w:w="1134" w:type="dxa"/>
            <w:tcBorders>
              <w:top w:val="nil"/>
              <w:left w:val="nil"/>
              <w:bottom w:val="nil"/>
              <w:right w:val="nil"/>
            </w:tcBorders>
            <w:shd w:val="clear" w:color="000000" w:fill="FFFF99"/>
            <w:noWrap/>
            <w:vAlign w:val="bottom"/>
            <w:hideMark/>
          </w:tcPr>
          <w:p w14:paraId="59435E2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K100101</w:t>
            </w:r>
          </w:p>
        </w:tc>
        <w:tc>
          <w:tcPr>
            <w:tcW w:w="4962" w:type="dxa"/>
            <w:tcBorders>
              <w:top w:val="nil"/>
              <w:left w:val="nil"/>
              <w:bottom w:val="nil"/>
              <w:right w:val="nil"/>
            </w:tcBorders>
            <w:shd w:val="clear" w:color="000000" w:fill="FFFF99"/>
            <w:vAlign w:val="bottom"/>
            <w:hideMark/>
          </w:tcPr>
          <w:p w14:paraId="0881272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Kapitalni projekt: GEODETSKI SNIMAK NERAZVRSTANIH CESTA </w:t>
            </w:r>
          </w:p>
        </w:tc>
        <w:tc>
          <w:tcPr>
            <w:tcW w:w="1559" w:type="dxa"/>
            <w:tcBorders>
              <w:top w:val="nil"/>
              <w:left w:val="nil"/>
              <w:bottom w:val="nil"/>
              <w:right w:val="nil"/>
            </w:tcBorders>
            <w:shd w:val="clear" w:color="000000" w:fill="FFFF99"/>
            <w:noWrap/>
            <w:vAlign w:val="bottom"/>
            <w:hideMark/>
          </w:tcPr>
          <w:p w14:paraId="5DC833E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2.200,00</w:t>
            </w:r>
          </w:p>
        </w:tc>
        <w:tc>
          <w:tcPr>
            <w:tcW w:w="1559" w:type="dxa"/>
            <w:tcBorders>
              <w:top w:val="nil"/>
              <w:left w:val="nil"/>
              <w:bottom w:val="nil"/>
              <w:right w:val="nil"/>
            </w:tcBorders>
            <w:shd w:val="clear" w:color="000000" w:fill="FFFF99"/>
            <w:noWrap/>
            <w:vAlign w:val="bottom"/>
            <w:hideMark/>
          </w:tcPr>
          <w:p w14:paraId="647CD16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2.200,00</w:t>
            </w:r>
          </w:p>
        </w:tc>
        <w:tc>
          <w:tcPr>
            <w:tcW w:w="1559" w:type="dxa"/>
            <w:tcBorders>
              <w:top w:val="nil"/>
              <w:left w:val="nil"/>
              <w:bottom w:val="nil"/>
              <w:right w:val="nil"/>
            </w:tcBorders>
            <w:shd w:val="clear" w:color="000000" w:fill="FFFF99"/>
            <w:noWrap/>
            <w:vAlign w:val="bottom"/>
            <w:hideMark/>
          </w:tcPr>
          <w:p w14:paraId="23795E9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w:t>
            </w:r>
          </w:p>
        </w:tc>
        <w:tc>
          <w:tcPr>
            <w:tcW w:w="993" w:type="dxa"/>
            <w:tcBorders>
              <w:top w:val="nil"/>
              <w:left w:val="nil"/>
              <w:bottom w:val="nil"/>
              <w:right w:val="nil"/>
            </w:tcBorders>
            <w:shd w:val="clear" w:color="000000" w:fill="FFFF99"/>
            <w:noWrap/>
            <w:vAlign w:val="bottom"/>
            <w:hideMark/>
          </w:tcPr>
          <w:p w14:paraId="022F87D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90,91%</w:t>
            </w:r>
          </w:p>
        </w:tc>
      </w:tr>
      <w:tr w:rsidR="006967F8" w:rsidRPr="006967F8" w14:paraId="4BC4436E"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E6C3355"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57FA07B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2.200,00</w:t>
            </w:r>
          </w:p>
        </w:tc>
        <w:tc>
          <w:tcPr>
            <w:tcW w:w="1559" w:type="dxa"/>
            <w:tcBorders>
              <w:top w:val="nil"/>
              <w:left w:val="nil"/>
              <w:bottom w:val="nil"/>
              <w:right w:val="nil"/>
            </w:tcBorders>
            <w:shd w:val="clear" w:color="000000" w:fill="CCCCFF"/>
            <w:noWrap/>
            <w:vAlign w:val="bottom"/>
            <w:hideMark/>
          </w:tcPr>
          <w:p w14:paraId="2E05D38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2.200,00</w:t>
            </w:r>
          </w:p>
        </w:tc>
        <w:tc>
          <w:tcPr>
            <w:tcW w:w="1559" w:type="dxa"/>
            <w:tcBorders>
              <w:top w:val="nil"/>
              <w:left w:val="nil"/>
              <w:bottom w:val="nil"/>
              <w:right w:val="nil"/>
            </w:tcBorders>
            <w:shd w:val="clear" w:color="000000" w:fill="CCCCFF"/>
            <w:noWrap/>
            <w:vAlign w:val="bottom"/>
            <w:hideMark/>
          </w:tcPr>
          <w:p w14:paraId="30911E7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w:t>
            </w:r>
          </w:p>
        </w:tc>
        <w:tc>
          <w:tcPr>
            <w:tcW w:w="993" w:type="dxa"/>
            <w:tcBorders>
              <w:top w:val="nil"/>
              <w:left w:val="nil"/>
              <w:bottom w:val="nil"/>
              <w:right w:val="nil"/>
            </w:tcBorders>
            <w:shd w:val="clear" w:color="000000" w:fill="CCCCFF"/>
            <w:noWrap/>
            <w:vAlign w:val="bottom"/>
            <w:hideMark/>
          </w:tcPr>
          <w:p w14:paraId="4A4B749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90,91%</w:t>
            </w:r>
          </w:p>
        </w:tc>
      </w:tr>
      <w:tr w:rsidR="006967F8" w:rsidRPr="006967F8" w14:paraId="04B6EB81"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35BC1DB"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3228C1C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2.200,00</w:t>
            </w:r>
          </w:p>
        </w:tc>
        <w:tc>
          <w:tcPr>
            <w:tcW w:w="1559" w:type="dxa"/>
            <w:tcBorders>
              <w:top w:val="nil"/>
              <w:left w:val="nil"/>
              <w:bottom w:val="nil"/>
              <w:right w:val="nil"/>
            </w:tcBorders>
            <w:shd w:val="clear" w:color="000000" w:fill="CCCCFF"/>
            <w:noWrap/>
            <w:vAlign w:val="bottom"/>
            <w:hideMark/>
          </w:tcPr>
          <w:p w14:paraId="609FCE1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2.200,00</w:t>
            </w:r>
          </w:p>
        </w:tc>
        <w:tc>
          <w:tcPr>
            <w:tcW w:w="1559" w:type="dxa"/>
            <w:tcBorders>
              <w:top w:val="nil"/>
              <w:left w:val="nil"/>
              <w:bottom w:val="nil"/>
              <w:right w:val="nil"/>
            </w:tcBorders>
            <w:shd w:val="clear" w:color="000000" w:fill="CCCCFF"/>
            <w:noWrap/>
            <w:vAlign w:val="bottom"/>
            <w:hideMark/>
          </w:tcPr>
          <w:p w14:paraId="6DB2CC9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w:t>
            </w:r>
          </w:p>
        </w:tc>
        <w:tc>
          <w:tcPr>
            <w:tcW w:w="993" w:type="dxa"/>
            <w:tcBorders>
              <w:top w:val="nil"/>
              <w:left w:val="nil"/>
              <w:bottom w:val="nil"/>
              <w:right w:val="nil"/>
            </w:tcBorders>
            <w:shd w:val="clear" w:color="000000" w:fill="CCCCFF"/>
            <w:noWrap/>
            <w:vAlign w:val="bottom"/>
            <w:hideMark/>
          </w:tcPr>
          <w:p w14:paraId="7F5F43B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90,91%</w:t>
            </w:r>
          </w:p>
        </w:tc>
      </w:tr>
      <w:tr w:rsidR="006967F8" w:rsidRPr="006967F8" w14:paraId="50D17711" w14:textId="77777777" w:rsidTr="008A61B1">
        <w:trPr>
          <w:trHeight w:val="555"/>
        </w:trPr>
        <w:tc>
          <w:tcPr>
            <w:tcW w:w="1134" w:type="dxa"/>
            <w:tcBorders>
              <w:top w:val="nil"/>
              <w:left w:val="nil"/>
              <w:bottom w:val="nil"/>
              <w:right w:val="nil"/>
            </w:tcBorders>
            <w:noWrap/>
            <w:vAlign w:val="bottom"/>
            <w:hideMark/>
          </w:tcPr>
          <w:p w14:paraId="787563B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4A804C7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3703109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2.200,00</w:t>
            </w:r>
          </w:p>
        </w:tc>
        <w:tc>
          <w:tcPr>
            <w:tcW w:w="1559" w:type="dxa"/>
            <w:tcBorders>
              <w:top w:val="nil"/>
              <w:left w:val="nil"/>
              <w:bottom w:val="nil"/>
              <w:right w:val="nil"/>
            </w:tcBorders>
            <w:noWrap/>
            <w:vAlign w:val="bottom"/>
            <w:hideMark/>
          </w:tcPr>
          <w:p w14:paraId="0B9FEE5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2.200,00</w:t>
            </w:r>
          </w:p>
        </w:tc>
        <w:tc>
          <w:tcPr>
            <w:tcW w:w="1559" w:type="dxa"/>
            <w:tcBorders>
              <w:top w:val="nil"/>
              <w:left w:val="nil"/>
              <w:bottom w:val="nil"/>
              <w:right w:val="nil"/>
            </w:tcBorders>
            <w:noWrap/>
            <w:vAlign w:val="bottom"/>
            <w:hideMark/>
          </w:tcPr>
          <w:p w14:paraId="11861FC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w:t>
            </w:r>
          </w:p>
        </w:tc>
        <w:tc>
          <w:tcPr>
            <w:tcW w:w="993" w:type="dxa"/>
            <w:tcBorders>
              <w:top w:val="nil"/>
              <w:left w:val="nil"/>
              <w:bottom w:val="nil"/>
              <w:right w:val="nil"/>
            </w:tcBorders>
            <w:noWrap/>
            <w:vAlign w:val="bottom"/>
            <w:hideMark/>
          </w:tcPr>
          <w:p w14:paraId="617E997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90,91%</w:t>
            </w:r>
          </w:p>
        </w:tc>
      </w:tr>
      <w:tr w:rsidR="006967F8" w:rsidRPr="006967F8" w14:paraId="11A93346" w14:textId="77777777" w:rsidTr="008A61B1">
        <w:trPr>
          <w:trHeight w:val="255"/>
        </w:trPr>
        <w:tc>
          <w:tcPr>
            <w:tcW w:w="1134" w:type="dxa"/>
            <w:tcBorders>
              <w:top w:val="nil"/>
              <w:left w:val="nil"/>
              <w:bottom w:val="nil"/>
              <w:right w:val="nil"/>
            </w:tcBorders>
            <w:noWrap/>
            <w:vAlign w:val="bottom"/>
            <w:hideMark/>
          </w:tcPr>
          <w:p w14:paraId="0ED19A0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4264</w:t>
            </w:r>
          </w:p>
        </w:tc>
        <w:tc>
          <w:tcPr>
            <w:tcW w:w="4962" w:type="dxa"/>
            <w:tcBorders>
              <w:top w:val="nil"/>
              <w:left w:val="nil"/>
              <w:bottom w:val="nil"/>
              <w:right w:val="nil"/>
            </w:tcBorders>
            <w:noWrap/>
            <w:vAlign w:val="bottom"/>
            <w:hideMark/>
          </w:tcPr>
          <w:p w14:paraId="1A0F942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Ostala nematerijalna proizvedena imovina</w:t>
            </w:r>
          </w:p>
        </w:tc>
        <w:tc>
          <w:tcPr>
            <w:tcW w:w="1559" w:type="dxa"/>
            <w:tcBorders>
              <w:top w:val="nil"/>
              <w:left w:val="nil"/>
              <w:bottom w:val="nil"/>
              <w:right w:val="nil"/>
            </w:tcBorders>
            <w:noWrap/>
            <w:vAlign w:val="bottom"/>
            <w:hideMark/>
          </w:tcPr>
          <w:p w14:paraId="62B3752E"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9A35DD3"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B5321A6"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2.000,00</w:t>
            </w:r>
          </w:p>
        </w:tc>
        <w:tc>
          <w:tcPr>
            <w:tcW w:w="993" w:type="dxa"/>
            <w:tcBorders>
              <w:top w:val="nil"/>
              <w:left w:val="nil"/>
              <w:bottom w:val="nil"/>
              <w:right w:val="nil"/>
            </w:tcBorders>
            <w:noWrap/>
            <w:vAlign w:val="bottom"/>
            <w:hideMark/>
          </w:tcPr>
          <w:p w14:paraId="2F3EA769"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9ABA927" w14:textId="77777777" w:rsidTr="008A61B1">
        <w:trPr>
          <w:trHeight w:val="690"/>
        </w:trPr>
        <w:tc>
          <w:tcPr>
            <w:tcW w:w="1134" w:type="dxa"/>
            <w:tcBorders>
              <w:top w:val="nil"/>
              <w:left w:val="nil"/>
              <w:bottom w:val="nil"/>
              <w:right w:val="nil"/>
            </w:tcBorders>
            <w:shd w:val="clear" w:color="000000" w:fill="FFFF99"/>
            <w:noWrap/>
            <w:vAlign w:val="bottom"/>
            <w:hideMark/>
          </w:tcPr>
          <w:p w14:paraId="2320CCE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K100202</w:t>
            </w:r>
          </w:p>
        </w:tc>
        <w:tc>
          <w:tcPr>
            <w:tcW w:w="4962" w:type="dxa"/>
            <w:tcBorders>
              <w:top w:val="nil"/>
              <w:left w:val="nil"/>
              <w:bottom w:val="nil"/>
              <w:right w:val="nil"/>
            </w:tcBorders>
            <w:shd w:val="clear" w:color="000000" w:fill="FFFF99"/>
            <w:vAlign w:val="bottom"/>
            <w:hideMark/>
          </w:tcPr>
          <w:p w14:paraId="3C60ECB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Kapitalni projekt: IZGRADNJA OBALNOG POJASA BRIGI LOKVICE </w:t>
            </w:r>
          </w:p>
        </w:tc>
        <w:tc>
          <w:tcPr>
            <w:tcW w:w="1559" w:type="dxa"/>
            <w:tcBorders>
              <w:top w:val="nil"/>
              <w:left w:val="nil"/>
              <w:bottom w:val="nil"/>
              <w:right w:val="nil"/>
            </w:tcBorders>
            <w:shd w:val="clear" w:color="000000" w:fill="FFFF99"/>
            <w:noWrap/>
            <w:vAlign w:val="bottom"/>
            <w:hideMark/>
          </w:tcPr>
          <w:p w14:paraId="6D670B6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1.080.000,00</w:t>
            </w:r>
          </w:p>
        </w:tc>
        <w:tc>
          <w:tcPr>
            <w:tcW w:w="1559" w:type="dxa"/>
            <w:tcBorders>
              <w:top w:val="nil"/>
              <w:left w:val="nil"/>
              <w:bottom w:val="nil"/>
              <w:right w:val="nil"/>
            </w:tcBorders>
            <w:shd w:val="clear" w:color="000000" w:fill="FFFF99"/>
            <w:noWrap/>
            <w:vAlign w:val="bottom"/>
            <w:hideMark/>
          </w:tcPr>
          <w:p w14:paraId="252DCBE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1.080.000,00</w:t>
            </w:r>
          </w:p>
        </w:tc>
        <w:tc>
          <w:tcPr>
            <w:tcW w:w="1559" w:type="dxa"/>
            <w:tcBorders>
              <w:top w:val="nil"/>
              <w:left w:val="nil"/>
              <w:bottom w:val="nil"/>
              <w:right w:val="nil"/>
            </w:tcBorders>
            <w:shd w:val="clear" w:color="000000" w:fill="FFFF99"/>
            <w:noWrap/>
            <w:vAlign w:val="bottom"/>
            <w:hideMark/>
          </w:tcPr>
          <w:p w14:paraId="68F45A6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953.420,48</w:t>
            </w:r>
          </w:p>
        </w:tc>
        <w:tc>
          <w:tcPr>
            <w:tcW w:w="993" w:type="dxa"/>
            <w:tcBorders>
              <w:top w:val="nil"/>
              <w:left w:val="nil"/>
              <w:bottom w:val="nil"/>
              <w:right w:val="nil"/>
            </w:tcBorders>
            <w:shd w:val="clear" w:color="000000" w:fill="FFFF99"/>
            <w:noWrap/>
            <w:vAlign w:val="bottom"/>
            <w:hideMark/>
          </w:tcPr>
          <w:p w14:paraId="013DC49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88,28%</w:t>
            </w:r>
          </w:p>
        </w:tc>
      </w:tr>
      <w:tr w:rsidR="006967F8" w:rsidRPr="006967F8" w14:paraId="4828A365"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984FDE9"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4E0D903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630.000,00</w:t>
            </w:r>
          </w:p>
        </w:tc>
        <w:tc>
          <w:tcPr>
            <w:tcW w:w="1559" w:type="dxa"/>
            <w:tcBorders>
              <w:top w:val="nil"/>
              <w:left w:val="nil"/>
              <w:bottom w:val="nil"/>
              <w:right w:val="nil"/>
            </w:tcBorders>
            <w:shd w:val="clear" w:color="000000" w:fill="CCCCFF"/>
            <w:noWrap/>
            <w:vAlign w:val="bottom"/>
            <w:hideMark/>
          </w:tcPr>
          <w:p w14:paraId="7961524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630.000,00</w:t>
            </w:r>
          </w:p>
        </w:tc>
        <w:tc>
          <w:tcPr>
            <w:tcW w:w="1559" w:type="dxa"/>
            <w:tcBorders>
              <w:top w:val="nil"/>
              <w:left w:val="nil"/>
              <w:bottom w:val="nil"/>
              <w:right w:val="nil"/>
            </w:tcBorders>
            <w:shd w:val="clear" w:color="000000" w:fill="CCCCFF"/>
            <w:noWrap/>
            <w:vAlign w:val="bottom"/>
            <w:hideMark/>
          </w:tcPr>
          <w:p w14:paraId="259E93F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597.205,91</w:t>
            </w:r>
          </w:p>
        </w:tc>
        <w:tc>
          <w:tcPr>
            <w:tcW w:w="993" w:type="dxa"/>
            <w:tcBorders>
              <w:top w:val="nil"/>
              <w:left w:val="nil"/>
              <w:bottom w:val="nil"/>
              <w:right w:val="nil"/>
            </w:tcBorders>
            <w:shd w:val="clear" w:color="000000" w:fill="CCCCFF"/>
            <w:noWrap/>
            <w:vAlign w:val="bottom"/>
            <w:hideMark/>
          </w:tcPr>
          <w:p w14:paraId="4F9FFFE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94,79%</w:t>
            </w:r>
          </w:p>
        </w:tc>
      </w:tr>
      <w:tr w:rsidR="006967F8" w:rsidRPr="006967F8" w14:paraId="38444EE2"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A11442A"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4.1. Komunalni doprinos</w:t>
            </w:r>
          </w:p>
        </w:tc>
        <w:tc>
          <w:tcPr>
            <w:tcW w:w="1559" w:type="dxa"/>
            <w:tcBorders>
              <w:top w:val="nil"/>
              <w:left w:val="nil"/>
              <w:bottom w:val="nil"/>
              <w:right w:val="nil"/>
            </w:tcBorders>
            <w:shd w:val="clear" w:color="000000" w:fill="CCCCFF"/>
            <w:noWrap/>
            <w:vAlign w:val="bottom"/>
            <w:hideMark/>
          </w:tcPr>
          <w:p w14:paraId="6370DD5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25.000,00</w:t>
            </w:r>
          </w:p>
        </w:tc>
        <w:tc>
          <w:tcPr>
            <w:tcW w:w="1559" w:type="dxa"/>
            <w:tcBorders>
              <w:top w:val="nil"/>
              <w:left w:val="nil"/>
              <w:bottom w:val="nil"/>
              <w:right w:val="nil"/>
            </w:tcBorders>
            <w:shd w:val="clear" w:color="000000" w:fill="CCCCFF"/>
            <w:noWrap/>
            <w:vAlign w:val="bottom"/>
            <w:hideMark/>
          </w:tcPr>
          <w:p w14:paraId="7BE93E6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25.000,00</w:t>
            </w:r>
          </w:p>
        </w:tc>
        <w:tc>
          <w:tcPr>
            <w:tcW w:w="1559" w:type="dxa"/>
            <w:tcBorders>
              <w:top w:val="nil"/>
              <w:left w:val="nil"/>
              <w:bottom w:val="nil"/>
              <w:right w:val="nil"/>
            </w:tcBorders>
            <w:shd w:val="clear" w:color="000000" w:fill="CCCCFF"/>
            <w:noWrap/>
            <w:vAlign w:val="bottom"/>
            <w:hideMark/>
          </w:tcPr>
          <w:p w14:paraId="3E0B0A4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1.900,00</w:t>
            </w:r>
          </w:p>
        </w:tc>
        <w:tc>
          <w:tcPr>
            <w:tcW w:w="993" w:type="dxa"/>
            <w:tcBorders>
              <w:top w:val="nil"/>
              <w:left w:val="nil"/>
              <w:bottom w:val="nil"/>
              <w:right w:val="nil"/>
            </w:tcBorders>
            <w:shd w:val="clear" w:color="000000" w:fill="CCCCFF"/>
            <w:noWrap/>
            <w:vAlign w:val="bottom"/>
            <w:hideMark/>
          </w:tcPr>
          <w:p w14:paraId="4895DCC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7,60%</w:t>
            </w:r>
          </w:p>
        </w:tc>
      </w:tr>
      <w:tr w:rsidR="006967F8" w:rsidRPr="006967F8" w14:paraId="78C6A5A4" w14:textId="77777777" w:rsidTr="008A61B1">
        <w:trPr>
          <w:trHeight w:val="540"/>
        </w:trPr>
        <w:tc>
          <w:tcPr>
            <w:tcW w:w="1134" w:type="dxa"/>
            <w:tcBorders>
              <w:top w:val="nil"/>
              <w:left w:val="nil"/>
              <w:bottom w:val="nil"/>
              <w:right w:val="nil"/>
            </w:tcBorders>
            <w:noWrap/>
            <w:vAlign w:val="bottom"/>
            <w:hideMark/>
          </w:tcPr>
          <w:p w14:paraId="2F93069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3670F4E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266FE2D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25.000,00</w:t>
            </w:r>
          </w:p>
        </w:tc>
        <w:tc>
          <w:tcPr>
            <w:tcW w:w="1559" w:type="dxa"/>
            <w:tcBorders>
              <w:top w:val="nil"/>
              <w:left w:val="nil"/>
              <w:bottom w:val="nil"/>
              <w:right w:val="nil"/>
            </w:tcBorders>
            <w:noWrap/>
            <w:vAlign w:val="bottom"/>
            <w:hideMark/>
          </w:tcPr>
          <w:p w14:paraId="2D5D157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25.000,00</w:t>
            </w:r>
          </w:p>
        </w:tc>
        <w:tc>
          <w:tcPr>
            <w:tcW w:w="1559" w:type="dxa"/>
            <w:tcBorders>
              <w:top w:val="nil"/>
              <w:left w:val="nil"/>
              <w:bottom w:val="nil"/>
              <w:right w:val="nil"/>
            </w:tcBorders>
            <w:noWrap/>
            <w:vAlign w:val="bottom"/>
            <w:hideMark/>
          </w:tcPr>
          <w:p w14:paraId="670C354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1.900,00</w:t>
            </w:r>
          </w:p>
        </w:tc>
        <w:tc>
          <w:tcPr>
            <w:tcW w:w="993" w:type="dxa"/>
            <w:tcBorders>
              <w:top w:val="nil"/>
              <w:left w:val="nil"/>
              <w:bottom w:val="nil"/>
              <w:right w:val="nil"/>
            </w:tcBorders>
            <w:noWrap/>
            <w:vAlign w:val="bottom"/>
            <w:hideMark/>
          </w:tcPr>
          <w:p w14:paraId="5A653C4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7,60%</w:t>
            </w:r>
          </w:p>
        </w:tc>
      </w:tr>
      <w:tr w:rsidR="006967F8" w:rsidRPr="006967F8" w14:paraId="5C8C1072" w14:textId="77777777" w:rsidTr="008A61B1">
        <w:trPr>
          <w:trHeight w:val="255"/>
        </w:trPr>
        <w:tc>
          <w:tcPr>
            <w:tcW w:w="1134" w:type="dxa"/>
            <w:tcBorders>
              <w:top w:val="nil"/>
              <w:left w:val="nil"/>
              <w:bottom w:val="nil"/>
              <w:right w:val="nil"/>
            </w:tcBorders>
            <w:noWrap/>
            <w:vAlign w:val="bottom"/>
            <w:hideMark/>
          </w:tcPr>
          <w:p w14:paraId="77CD7EB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4213</w:t>
            </w:r>
          </w:p>
        </w:tc>
        <w:tc>
          <w:tcPr>
            <w:tcW w:w="4962" w:type="dxa"/>
            <w:tcBorders>
              <w:top w:val="nil"/>
              <w:left w:val="nil"/>
              <w:bottom w:val="nil"/>
              <w:right w:val="nil"/>
            </w:tcBorders>
            <w:noWrap/>
            <w:vAlign w:val="bottom"/>
            <w:hideMark/>
          </w:tcPr>
          <w:p w14:paraId="2182E8F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Ceste, željeznice i ostali prometni objekti</w:t>
            </w:r>
          </w:p>
        </w:tc>
        <w:tc>
          <w:tcPr>
            <w:tcW w:w="1559" w:type="dxa"/>
            <w:tcBorders>
              <w:top w:val="nil"/>
              <w:left w:val="nil"/>
              <w:bottom w:val="nil"/>
              <w:right w:val="nil"/>
            </w:tcBorders>
            <w:noWrap/>
            <w:vAlign w:val="bottom"/>
            <w:hideMark/>
          </w:tcPr>
          <w:p w14:paraId="362FB494"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F2F66BC"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8851363"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1.900,00</w:t>
            </w:r>
          </w:p>
        </w:tc>
        <w:tc>
          <w:tcPr>
            <w:tcW w:w="993" w:type="dxa"/>
            <w:tcBorders>
              <w:top w:val="nil"/>
              <w:left w:val="nil"/>
              <w:bottom w:val="nil"/>
              <w:right w:val="nil"/>
            </w:tcBorders>
            <w:noWrap/>
            <w:vAlign w:val="bottom"/>
            <w:hideMark/>
          </w:tcPr>
          <w:p w14:paraId="644595AE"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C43FC76" w14:textId="77777777" w:rsidTr="008A61B1">
        <w:trPr>
          <w:trHeight w:val="540"/>
        </w:trPr>
        <w:tc>
          <w:tcPr>
            <w:tcW w:w="6096" w:type="dxa"/>
            <w:gridSpan w:val="2"/>
            <w:tcBorders>
              <w:top w:val="nil"/>
              <w:left w:val="nil"/>
              <w:bottom w:val="nil"/>
              <w:right w:val="nil"/>
            </w:tcBorders>
            <w:shd w:val="clear" w:color="000000" w:fill="CCCCFF"/>
            <w:vAlign w:val="bottom"/>
            <w:hideMark/>
          </w:tcPr>
          <w:p w14:paraId="045FD643"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4.9. PRENESENI VIŠAK/MANJAK- PRIHODI ZA POSEBNE NAMJENE</w:t>
            </w:r>
          </w:p>
        </w:tc>
        <w:tc>
          <w:tcPr>
            <w:tcW w:w="1559" w:type="dxa"/>
            <w:tcBorders>
              <w:top w:val="nil"/>
              <w:left w:val="nil"/>
              <w:bottom w:val="nil"/>
              <w:right w:val="nil"/>
            </w:tcBorders>
            <w:shd w:val="clear" w:color="000000" w:fill="CCCCFF"/>
            <w:noWrap/>
            <w:vAlign w:val="bottom"/>
            <w:hideMark/>
          </w:tcPr>
          <w:p w14:paraId="6BAB6A9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605.000,00</w:t>
            </w:r>
          </w:p>
        </w:tc>
        <w:tc>
          <w:tcPr>
            <w:tcW w:w="1559" w:type="dxa"/>
            <w:tcBorders>
              <w:top w:val="nil"/>
              <w:left w:val="nil"/>
              <w:bottom w:val="nil"/>
              <w:right w:val="nil"/>
            </w:tcBorders>
            <w:shd w:val="clear" w:color="000000" w:fill="CCCCFF"/>
            <w:noWrap/>
            <w:vAlign w:val="bottom"/>
            <w:hideMark/>
          </w:tcPr>
          <w:p w14:paraId="2A24B05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605.000,00</w:t>
            </w:r>
          </w:p>
        </w:tc>
        <w:tc>
          <w:tcPr>
            <w:tcW w:w="1559" w:type="dxa"/>
            <w:tcBorders>
              <w:top w:val="nil"/>
              <w:left w:val="nil"/>
              <w:bottom w:val="nil"/>
              <w:right w:val="nil"/>
            </w:tcBorders>
            <w:shd w:val="clear" w:color="000000" w:fill="CCCCFF"/>
            <w:noWrap/>
            <w:vAlign w:val="bottom"/>
            <w:hideMark/>
          </w:tcPr>
          <w:p w14:paraId="5C8DEE1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595.305,91</w:t>
            </w:r>
          </w:p>
        </w:tc>
        <w:tc>
          <w:tcPr>
            <w:tcW w:w="993" w:type="dxa"/>
            <w:tcBorders>
              <w:top w:val="nil"/>
              <w:left w:val="nil"/>
              <w:bottom w:val="nil"/>
              <w:right w:val="nil"/>
            </w:tcBorders>
            <w:shd w:val="clear" w:color="000000" w:fill="CCCCFF"/>
            <w:noWrap/>
            <w:vAlign w:val="bottom"/>
            <w:hideMark/>
          </w:tcPr>
          <w:p w14:paraId="4BF4E00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98,40%</w:t>
            </w:r>
          </w:p>
        </w:tc>
      </w:tr>
      <w:tr w:rsidR="006967F8" w:rsidRPr="006967F8" w14:paraId="7FF89C95" w14:textId="77777777" w:rsidTr="008A61B1">
        <w:trPr>
          <w:trHeight w:val="540"/>
        </w:trPr>
        <w:tc>
          <w:tcPr>
            <w:tcW w:w="1134" w:type="dxa"/>
            <w:tcBorders>
              <w:top w:val="nil"/>
              <w:left w:val="nil"/>
              <w:bottom w:val="nil"/>
              <w:right w:val="nil"/>
            </w:tcBorders>
            <w:noWrap/>
            <w:vAlign w:val="bottom"/>
            <w:hideMark/>
          </w:tcPr>
          <w:p w14:paraId="2738F50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4F1C4C2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0BA1783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605.000,00</w:t>
            </w:r>
          </w:p>
        </w:tc>
        <w:tc>
          <w:tcPr>
            <w:tcW w:w="1559" w:type="dxa"/>
            <w:tcBorders>
              <w:top w:val="nil"/>
              <w:left w:val="nil"/>
              <w:bottom w:val="nil"/>
              <w:right w:val="nil"/>
            </w:tcBorders>
            <w:noWrap/>
            <w:vAlign w:val="bottom"/>
            <w:hideMark/>
          </w:tcPr>
          <w:p w14:paraId="4C8E855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605.000,00</w:t>
            </w:r>
          </w:p>
        </w:tc>
        <w:tc>
          <w:tcPr>
            <w:tcW w:w="1559" w:type="dxa"/>
            <w:tcBorders>
              <w:top w:val="nil"/>
              <w:left w:val="nil"/>
              <w:bottom w:val="nil"/>
              <w:right w:val="nil"/>
            </w:tcBorders>
            <w:noWrap/>
            <w:vAlign w:val="bottom"/>
            <w:hideMark/>
          </w:tcPr>
          <w:p w14:paraId="129F2C6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595.305,91</w:t>
            </w:r>
          </w:p>
        </w:tc>
        <w:tc>
          <w:tcPr>
            <w:tcW w:w="993" w:type="dxa"/>
            <w:tcBorders>
              <w:top w:val="nil"/>
              <w:left w:val="nil"/>
              <w:bottom w:val="nil"/>
              <w:right w:val="nil"/>
            </w:tcBorders>
            <w:noWrap/>
            <w:vAlign w:val="bottom"/>
            <w:hideMark/>
          </w:tcPr>
          <w:p w14:paraId="7F767F2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98,40%</w:t>
            </w:r>
          </w:p>
        </w:tc>
      </w:tr>
      <w:tr w:rsidR="006967F8" w:rsidRPr="006967F8" w14:paraId="722D1BED" w14:textId="77777777" w:rsidTr="008A61B1">
        <w:trPr>
          <w:trHeight w:val="255"/>
        </w:trPr>
        <w:tc>
          <w:tcPr>
            <w:tcW w:w="1134" w:type="dxa"/>
            <w:tcBorders>
              <w:top w:val="nil"/>
              <w:left w:val="nil"/>
              <w:bottom w:val="nil"/>
              <w:right w:val="nil"/>
            </w:tcBorders>
            <w:noWrap/>
            <w:vAlign w:val="bottom"/>
            <w:hideMark/>
          </w:tcPr>
          <w:p w14:paraId="7F9C00E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4213</w:t>
            </w:r>
          </w:p>
        </w:tc>
        <w:tc>
          <w:tcPr>
            <w:tcW w:w="4962" w:type="dxa"/>
            <w:tcBorders>
              <w:top w:val="nil"/>
              <w:left w:val="nil"/>
              <w:bottom w:val="nil"/>
              <w:right w:val="nil"/>
            </w:tcBorders>
            <w:noWrap/>
            <w:vAlign w:val="bottom"/>
            <w:hideMark/>
          </w:tcPr>
          <w:p w14:paraId="1EDC8D9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Ceste, željeznice i ostali prometni objekti</w:t>
            </w:r>
          </w:p>
        </w:tc>
        <w:tc>
          <w:tcPr>
            <w:tcW w:w="1559" w:type="dxa"/>
            <w:tcBorders>
              <w:top w:val="nil"/>
              <w:left w:val="nil"/>
              <w:bottom w:val="nil"/>
              <w:right w:val="nil"/>
            </w:tcBorders>
            <w:noWrap/>
            <w:vAlign w:val="bottom"/>
            <w:hideMark/>
          </w:tcPr>
          <w:p w14:paraId="0E30BFB0"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F3670A4"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68C3C23"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595.305,91</w:t>
            </w:r>
          </w:p>
        </w:tc>
        <w:tc>
          <w:tcPr>
            <w:tcW w:w="993" w:type="dxa"/>
            <w:tcBorders>
              <w:top w:val="nil"/>
              <w:left w:val="nil"/>
              <w:bottom w:val="nil"/>
              <w:right w:val="nil"/>
            </w:tcBorders>
            <w:noWrap/>
            <w:vAlign w:val="bottom"/>
            <w:hideMark/>
          </w:tcPr>
          <w:p w14:paraId="2CEBEE99"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AA71A1F"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79543B7"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44539D9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450.000,00</w:t>
            </w:r>
          </w:p>
        </w:tc>
        <w:tc>
          <w:tcPr>
            <w:tcW w:w="1559" w:type="dxa"/>
            <w:tcBorders>
              <w:top w:val="nil"/>
              <w:left w:val="nil"/>
              <w:bottom w:val="nil"/>
              <w:right w:val="nil"/>
            </w:tcBorders>
            <w:shd w:val="clear" w:color="000000" w:fill="CCCCFF"/>
            <w:noWrap/>
            <w:vAlign w:val="bottom"/>
            <w:hideMark/>
          </w:tcPr>
          <w:p w14:paraId="56D2A3F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450.000,00</w:t>
            </w:r>
          </w:p>
        </w:tc>
        <w:tc>
          <w:tcPr>
            <w:tcW w:w="1559" w:type="dxa"/>
            <w:tcBorders>
              <w:top w:val="nil"/>
              <w:left w:val="nil"/>
              <w:bottom w:val="nil"/>
              <w:right w:val="nil"/>
            </w:tcBorders>
            <w:shd w:val="clear" w:color="000000" w:fill="CCCCFF"/>
            <w:noWrap/>
            <w:vAlign w:val="bottom"/>
            <w:hideMark/>
          </w:tcPr>
          <w:p w14:paraId="69E843D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356.214,57</w:t>
            </w:r>
          </w:p>
        </w:tc>
        <w:tc>
          <w:tcPr>
            <w:tcW w:w="993" w:type="dxa"/>
            <w:tcBorders>
              <w:top w:val="nil"/>
              <w:left w:val="nil"/>
              <w:bottom w:val="nil"/>
              <w:right w:val="nil"/>
            </w:tcBorders>
            <w:shd w:val="clear" w:color="000000" w:fill="CCCCFF"/>
            <w:noWrap/>
            <w:vAlign w:val="bottom"/>
            <w:hideMark/>
          </w:tcPr>
          <w:p w14:paraId="0E7E9F0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79,16%</w:t>
            </w:r>
          </w:p>
        </w:tc>
      </w:tr>
      <w:tr w:rsidR="006967F8" w:rsidRPr="006967F8" w14:paraId="64C10BA4"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7A1DD8B"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5.1. Ostale pomoći</w:t>
            </w:r>
          </w:p>
        </w:tc>
        <w:tc>
          <w:tcPr>
            <w:tcW w:w="1559" w:type="dxa"/>
            <w:tcBorders>
              <w:top w:val="nil"/>
              <w:left w:val="nil"/>
              <w:bottom w:val="nil"/>
              <w:right w:val="nil"/>
            </w:tcBorders>
            <w:shd w:val="clear" w:color="000000" w:fill="CCCCFF"/>
            <w:noWrap/>
            <w:vAlign w:val="bottom"/>
            <w:hideMark/>
          </w:tcPr>
          <w:p w14:paraId="47BD05D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450.000,00</w:t>
            </w:r>
          </w:p>
        </w:tc>
        <w:tc>
          <w:tcPr>
            <w:tcW w:w="1559" w:type="dxa"/>
            <w:tcBorders>
              <w:top w:val="nil"/>
              <w:left w:val="nil"/>
              <w:bottom w:val="nil"/>
              <w:right w:val="nil"/>
            </w:tcBorders>
            <w:shd w:val="clear" w:color="000000" w:fill="CCCCFF"/>
            <w:noWrap/>
            <w:vAlign w:val="bottom"/>
            <w:hideMark/>
          </w:tcPr>
          <w:p w14:paraId="399716D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450.000,00</w:t>
            </w:r>
          </w:p>
        </w:tc>
        <w:tc>
          <w:tcPr>
            <w:tcW w:w="1559" w:type="dxa"/>
            <w:tcBorders>
              <w:top w:val="nil"/>
              <w:left w:val="nil"/>
              <w:bottom w:val="nil"/>
              <w:right w:val="nil"/>
            </w:tcBorders>
            <w:shd w:val="clear" w:color="000000" w:fill="CCCCFF"/>
            <w:noWrap/>
            <w:vAlign w:val="bottom"/>
            <w:hideMark/>
          </w:tcPr>
          <w:p w14:paraId="74537C2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356.214,57</w:t>
            </w:r>
          </w:p>
        </w:tc>
        <w:tc>
          <w:tcPr>
            <w:tcW w:w="993" w:type="dxa"/>
            <w:tcBorders>
              <w:top w:val="nil"/>
              <w:left w:val="nil"/>
              <w:bottom w:val="nil"/>
              <w:right w:val="nil"/>
            </w:tcBorders>
            <w:shd w:val="clear" w:color="000000" w:fill="CCCCFF"/>
            <w:noWrap/>
            <w:vAlign w:val="bottom"/>
            <w:hideMark/>
          </w:tcPr>
          <w:p w14:paraId="41D0079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79,16%</w:t>
            </w:r>
          </w:p>
        </w:tc>
      </w:tr>
      <w:tr w:rsidR="006967F8" w:rsidRPr="006967F8" w14:paraId="48840E40" w14:textId="77777777" w:rsidTr="008A61B1">
        <w:trPr>
          <w:trHeight w:val="510"/>
        </w:trPr>
        <w:tc>
          <w:tcPr>
            <w:tcW w:w="1134" w:type="dxa"/>
            <w:tcBorders>
              <w:top w:val="nil"/>
              <w:left w:val="nil"/>
              <w:bottom w:val="nil"/>
              <w:right w:val="nil"/>
            </w:tcBorders>
            <w:noWrap/>
            <w:vAlign w:val="bottom"/>
            <w:hideMark/>
          </w:tcPr>
          <w:p w14:paraId="5CE88B3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6031816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663DACF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450.000,00</w:t>
            </w:r>
          </w:p>
        </w:tc>
        <w:tc>
          <w:tcPr>
            <w:tcW w:w="1559" w:type="dxa"/>
            <w:tcBorders>
              <w:top w:val="nil"/>
              <w:left w:val="nil"/>
              <w:bottom w:val="nil"/>
              <w:right w:val="nil"/>
            </w:tcBorders>
            <w:noWrap/>
            <w:vAlign w:val="bottom"/>
            <w:hideMark/>
          </w:tcPr>
          <w:p w14:paraId="6720B50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450.000,00</w:t>
            </w:r>
          </w:p>
        </w:tc>
        <w:tc>
          <w:tcPr>
            <w:tcW w:w="1559" w:type="dxa"/>
            <w:tcBorders>
              <w:top w:val="nil"/>
              <w:left w:val="nil"/>
              <w:bottom w:val="nil"/>
              <w:right w:val="nil"/>
            </w:tcBorders>
            <w:noWrap/>
            <w:vAlign w:val="bottom"/>
            <w:hideMark/>
          </w:tcPr>
          <w:p w14:paraId="6CCDA3B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356.214,57</w:t>
            </w:r>
          </w:p>
        </w:tc>
        <w:tc>
          <w:tcPr>
            <w:tcW w:w="993" w:type="dxa"/>
            <w:tcBorders>
              <w:top w:val="nil"/>
              <w:left w:val="nil"/>
              <w:bottom w:val="nil"/>
              <w:right w:val="nil"/>
            </w:tcBorders>
            <w:noWrap/>
            <w:vAlign w:val="bottom"/>
            <w:hideMark/>
          </w:tcPr>
          <w:p w14:paraId="280E529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79,16%</w:t>
            </w:r>
          </w:p>
        </w:tc>
      </w:tr>
      <w:tr w:rsidR="006967F8" w:rsidRPr="006967F8" w14:paraId="52E5330C" w14:textId="77777777" w:rsidTr="008A61B1">
        <w:trPr>
          <w:trHeight w:val="255"/>
        </w:trPr>
        <w:tc>
          <w:tcPr>
            <w:tcW w:w="1134" w:type="dxa"/>
            <w:tcBorders>
              <w:top w:val="nil"/>
              <w:left w:val="nil"/>
              <w:bottom w:val="nil"/>
              <w:right w:val="nil"/>
            </w:tcBorders>
            <w:noWrap/>
            <w:vAlign w:val="bottom"/>
            <w:hideMark/>
          </w:tcPr>
          <w:p w14:paraId="0D23967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4213</w:t>
            </w:r>
          </w:p>
        </w:tc>
        <w:tc>
          <w:tcPr>
            <w:tcW w:w="4962" w:type="dxa"/>
            <w:tcBorders>
              <w:top w:val="nil"/>
              <w:left w:val="nil"/>
              <w:bottom w:val="nil"/>
              <w:right w:val="nil"/>
            </w:tcBorders>
            <w:noWrap/>
            <w:vAlign w:val="bottom"/>
            <w:hideMark/>
          </w:tcPr>
          <w:p w14:paraId="294F948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Ceste, željeznice i ostali prometni objekti</w:t>
            </w:r>
          </w:p>
        </w:tc>
        <w:tc>
          <w:tcPr>
            <w:tcW w:w="1559" w:type="dxa"/>
            <w:tcBorders>
              <w:top w:val="nil"/>
              <w:left w:val="nil"/>
              <w:bottom w:val="nil"/>
              <w:right w:val="nil"/>
            </w:tcBorders>
            <w:noWrap/>
            <w:vAlign w:val="bottom"/>
            <w:hideMark/>
          </w:tcPr>
          <w:p w14:paraId="6D016484"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97A109D"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ADC5033"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356.214,57</w:t>
            </w:r>
          </w:p>
        </w:tc>
        <w:tc>
          <w:tcPr>
            <w:tcW w:w="993" w:type="dxa"/>
            <w:tcBorders>
              <w:top w:val="nil"/>
              <w:left w:val="nil"/>
              <w:bottom w:val="nil"/>
              <w:right w:val="nil"/>
            </w:tcBorders>
            <w:noWrap/>
            <w:vAlign w:val="bottom"/>
            <w:hideMark/>
          </w:tcPr>
          <w:p w14:paraId="40FD5CFD"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5745A88" w14:textId="77777777" w:rsidTr="008A61B1">
        <w:trPr>
          <w:trHeight w:val="630"/>
        </w:trPr>
        <w:tc>
          <w:tcPr>
            <w:tcW w:w="1134" w:type="dxa"/>
            <w:tcBorders>
              <w:top w:val="nil"/>
              <w:left w:val="nil"/>
              <w:bottom w:val="nil"/>
              <w:right w:val="nil"/>
            </w:tcBorders>
            <w:shd w:val="clear" w:color="000000" w:fill="FFFF99"/>
            <w:noWrap/>
            <w:vAlign w:val="bottom"/>
            <w:hideMark/>
          </w:tcPr>
          <w:p w14:paraId="3DE424B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K100203</w:t>
            </w:r>
          </w:p>
        </w:tc>
        <w:tc>
          <w:tcPr>
            <w:tcW w:w="4962" w:type="dxa"/>
            <w:tcBorders>
              <w:top w:val="nil"/>
              <w:left w:val="nil"/>
              <w:bottom w:val="nil"/>
              <w:right w:val="nil"/>
            </w:tcBorders>
            <w:shd w:val="clear" w:color="000000" w:fill="FFFF99"/>
            <w:vAlign w:val="bottom"/>
            <w:hideMark/>
          </w:tcPr>
          <w:p w14:paraId="7461FDC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Kapitalni projekt: UREĐENJE ŠETNICE I PARKING PROSTORA NA ČIOVU</w:t>
            </w:r>
          </w:p>
        </w:tc>
        <w:tc>
          <w:tcPr>
            <w:tcW w:w="1559" w:type="dxa"/>
            <w:tcBorders>
              <w:top w:val="nil"/>
              <w:left w:val="nil"/>
              <w:bottom w:val="nil"/>
              <w:right w:val="nil"/>
            </w:tcBorders>
            <w:shd w:val="clear" w:color="000000" w:fill="FFFF99"/>
            <w:noWrap/>
            <w:vAlign w:val="bottom"/>
            <w:hideMark/>
          </w:tcPr>
          <w:p w14:paraId="6E52F34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shd w:val="clear" w:color="000000" w:fill="FFFF99"/>
            <w:noWrap/>
            <w:vAlign w:val="bottom"/>
            <w:hideMark/>
          </w:tcPr>
          <w:p w14:paraId="7F4B8EA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shd w:val="clear" w:color="000000" w:fill="FFFF99"/>
            <w:noWrap/>
            <w:vAlign w:val="bottom"/>
            <w:hideMark/>
          </w:tcPr>
          <w:p w14:paraId="10ADA9B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shd w:val="clear" w:color="000000" w:fill="FFFF99"/>
            <w:noWrap/>
            <w:vAlign w:val="bottom"/>
            <w:hideMark/>
          </w:tcPr>
          <w:p w14:paraId="715498B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71FBEA29"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BC20585"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0D5AB1A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6B5E5B1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1DD8574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0F98BF9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54FB8F6B"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85317F6"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4.1. Komunalni doprinos</w:t>
            </w:r>
          </w:p>
        </w:tc>
        <w:tc>
          <w:tcPr>
            <w:tcW w:w="1559" w:type="dxa"/>
            <w:tcBorders>
              <w:top w:val="nil"/>
              <w:left w:val="nil"/>
              <w:bottom w:val="nil"/>
              <w:right w:val="nil"/>
            </w:tcBorders>
            <w:shd w:val="clear" w:color="000000" w:fill="CCCCFF"/>
            <w:noWrap/>
            <w:vAlign w:val="bottom"/>
            <w:hideMark/>
          </w:tcPr>
          <w:p w14:paraId="56CB15F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4816067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1002A80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50F4A8C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562B75E0" w14:textId="77777777" w:rsidTr="008A61B1">
        <w:trPr>
          <w:trHeight w:val="615"/>
        </w:trPr>
        <w:tc>
          <w:tcPr>
            <w:tcW w:w="1134" w:type="dxa"/>
            <w:tcBorders>
              <w:top w:val="nil"/>
              <w:left w:val="nil"/>
              <w:bottom w:val="nil"/>
              <w:right w:val="nil"/>
            </w:tcBorders>
            <w:noWrap/>
            <w:vAlign w:val="bottom"/>
            <w:hideMark/>
          </w:tcPr>
          <w:p w14:paraId="51B9CD6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6009672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63C6CCE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noWrap/>
            <w:vAlign w:val="bottom"/>
            <w:hideMark/>
          </w:tcPr>
          <w:p w14:paraId="5CAFD1A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noWrap/>
            <w:vAlign w:val="bottom"/>
            <w:hideMark/>
          </w:tcPr>
          <w:p w14:paraId="600AA05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12B573E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6EC53A7A" w14:textId="77777777" w:rsidTr="008A61B1">
        <w:trPr>
          <w:trHeight w:val="810"/>
        </w:trPr>
        <w:tc>
          <w:tcPr>
            <w:tcW w:w="1134" w:type="dxa"/>
            <w:tcBorders>
              <w:top w:val="nil"/>
              <w:left w:val="nil"/>
              <w:bottom w:val="nil"/>
              <w:right w:val="nil"/>
            </w:tcBorders>
            <w:shd w:val="clear" w:color="000000" w:fill="FFFF99"/>
            <w:noWrap/>
            <w:vAlign w:val="bottom"/>
            <w:hideMark/>
          </w:tcPr>
          <w:p w14:paraId="5C55E4D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K100204</w:t>
            </w:r>
          </w:p>
        </w:tc>
        <w:tc>
          <w:tcPr>
            <w:tcW w:w="4962" w:type="dxa"/>
            <w:tcBorders>
              <w:top w:val="nil"/>
              <w:left w:val="nil"/>
              <w:bottom w:val="nil"/>
              <w:right w:val="nil"/>
            </w:tcBorders>
            <w:shd w:val="clear" w:color="000000" w:fill="FFFF99"/>
            <w:vAlign w:val="bottom"/>
            <w:hideMark/>
          </w:tcPr>
          <w:p w14:paraId="663A185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Kapitalni projekt: UREĐENJE POJASA OD TRAJEKTNOG PRISTANIŠTA DO AUTOBUSNOG KOLODVORA </w:t>
            </w:r>
          </w:p>
        </w:tc>
        <w:tc>
          <w:tcPr>
            <w:tcW w:w="1559" w:type="dxa"/>
            <w:tcBorders>
              <w:top w:val="nil"/>
              <w:left w:val="nil"/>
              <w:bottom w:val="nil"/>
              <w:right w:val="nil"/>
            </w:tcBorders>
            <w:shd w:val="clear" w:color="000000" w:fill="FFFF99"/>
            <w:noWrap/>
            <w:vAlign w:val="bottom"/>
            <w:hideMark/>
          </w:tcPr>
          <w:p w14:paraId="5DC415C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63.500,00</w:t>
            </w:r>
          </w:p>
        </w:tc>
        <w:tc>
          <w:tcPr>
            <w:tcW w:w="1559" w:type="dxa"/>
            <w:tcBorders>
              <w:top w:val="nil"/>
              <w:left w:val="nil"/>
              <w:bottom w:val="nil"/>
              <w:right w:val="nil"/>
            </w:tcBorders>
            <w:shd w:val="clear" w:color="000000" w:fill="FFFF99"/>
            <w:noWrap/>
            <w:vAlign w:val="bottom"/>
            <w:hideMark/>
          </w:tcPr>
          <w:p w14:paraId="46841CC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63.500,00</w:t>
            </w:r>
          </w:p>
        </w:tc>
        <w:tc>
          <w:tcPr>
            <w:tcW w:w="1559" w:type="dxa"/>
            <w:tcBorders>
              <w:top w:val="nil"/>
              <w:left w:val="nil"/>
              <w:bottom w:val="nil"/>
              <w:right w:val="nil"/>
            </w:tcBorders>
            <w:shd w:val="clear" w:color="000000" w:fill="FFFF99"/>
            <w:noWrap/>
            <w:vAlign w:val="bottom"/>
            <w:hideMark/>
          </w:tcPr>
          <w:p w14:paraId="5551D67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57.925,00</w:t>
            </w:r>
          </w:p>
        </w:tc>
        <w:tc>
          <w:tcPr>
            <w:tcW w:w="993" w:type="dxa"/>
            <w:tcBorders>
              <w:top w:val="nil"/>
              <w:left w:val="nil"/>
              <w:bottom w:val="nil"/>
              <w:right w:val="nil"/>
            </w:tcBorders>
            <w:shd w:val="clear" w:color="000000" w:fill="FFFF99"/>
            <w:noWrap/>
            <w:vAlign w:val="bottom"/>
            <w:hideMark/>
          </w:tcPr>
          <w:p w14:paraId="3F9C6B1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91,22%</w:t>
            </w:r>
          </w:p>
        </w:tc>
      </w:tr>
      <w:tr w:rsidR="006967F8" w:rsidRPr="006967F8" w14:paraId="777E8227"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F615475"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73F1C2F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63.500,00</w:t>
            </w:r>
          </w:p>
        </w:tc>
        <w:tc>
          <w:tcPr>
            <w:tcW w:w="1559" w:type="dxa"/>
            <w:tcBorders>
              <w:top w:val="nil"/>
              <w:left w:val="nil"/>
              <w:bottom w:val="nil"/>
              <w:right w:val="nil"/>
            </w:tcBorders>
            <w:shd w:val="clear" w:color="000000" w:fill="CCCCFF"/>
            <w:noWrap/>
            <w:vAlign w:val="bottom"/>
            <w:hideMark/>
          </w:tcPr>
          <w:p w14:paraId="1CD1CCA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63.500,00</w:t>
            </w:r>
          </w:p>
        </w:tc>
        <w:tc>
          <w:tcPr>
            <w:tcW w:w="1559" w:type="dxa"/>
            <w:tcBorders>
              <w:top w:val="nil"/>
              <w:left w:val="nil"/>
              <w:bottom w:val="nil"/>
              <w:right w:val="nil"/>
            </w:tcBorders>
            <w:shd w:val="clear" w:color="000000" w:fill="CCCCFF"/>
            <w:noWrap/>
            <w:vAlign w:val="bottom"/>
            <w:hideMark/>
          </w:tcPr>
          <w:p w14:paraId="37A623B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57.925,00</w:t>
            </w:r>
          </w:p>
        </w:tc>
        <w:tc>
          <w:tcPr>
            <w:tcW w:w="993" w:type="dxa"/>
            <w:tcBorders>
              <w:top w:val="nil"/>
              <w:left w:val="nil"/>
              <w:bottom w:val="nil"/>
              <w:right w:val="nil"/>
            </w:tcBorders>
            <w:shd w:val="clear" w:color="000000" w:fill="CCCCFF"/>
            <w:noWrap/>
            <w:vAlign w:val="bottom"/>
            <w:hideMark/>
          </w:tcPr>
          <w:p w14:paraId="7BB55B5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91,22%</w:t>
            </w:r>
          </w:p>
        </w:tc>
      </w:tr>
      <w:tr w:rsidR="006967F8" w:rsidRPr="006967F8" w14:paraId="6DD517E6"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B54191D"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4.1. Komunalni doprinos</w:t>
            </w:r>
          </w:p>
        </w:tc>
        <w:tc>
          <w:tcPr>
            <w:tcW w:w="1559" w:type="dxa"/>
            <w:tcBorders>
              <w:top w:val="nil"/>
              <w:left w:val="nil"/>
              <w:bottom w:val="nil"/>
              <w:right w:val="nil"/>
            </w:tcBorders>
            <w:shd w:val="clear" w:color="000000" w:fill="CCCCFF"/>
            <w:noWrap/>
            <w:vAlign w:val="bottom"/>
            <w:hideMark/>
          </w:tcPr>
          <w:p w14:paraId="74544C9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63.500,00</w:t>
            </w:r>
          </w:p>
        </w:tc>
        <w:tc>
          <w:tcPr>
            <w:tcW w:w="1559" w:type="dxa"/>
            <w:tcBorders>
              <w:top w:val="nil"/>
              <w:left w:val="nil"/>
              <w:bottom w:val="nil"/>
              <w:right w:val="nil"/>
            </w:tcBorders>
            <w:shd w:val="clear" w:color="000000" w:fill="CCCCFF"/>
            <w:noWrap/>
            <w:vAlign w:val="bottom"/>
            <w:hideMark/>
          </w:tcPr>
          <w:p w14:paraId="610C367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63.500,00</w:t>
            </w:r>
          </w:p>
        </w:tc>
        <w:tc>
          <w:tcPr>
            <w:tcW w:w="1559" w:type="dxa"/>
            <w:tcBorders>
              <w:top w:val="nil"/>
              <w:left w:val="nil"/>
              <w:bottom w:val="nil"/>
              <w:right w:val="nil"/>
            </w:tcBorders>
            <w:shd w:val="clear" w:color="000000" w:fill="CCCCFF"/>
            <w:noWrap/>
            <w:vAlign w:val="bottom"/>
            <w:hideMark/>
          </w:tcPr>
          <w:p w14:paraId="2C936B9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57.925,00</w:t>
            </w:r>
          </w:p>
        </w:tc>
        <w:tc>
          <w:tcPr>
            <w:tcW w:w="993" w:type="dxa"/>
            <w:tcBorders>
              <w:top w:val="nil"/>
              <w:left w:val="nil"/>
              <w:bottom w:val="nil"/>
              <w:right w:val="nil"/>
            </w:tcBorders>
            <w:shd w:val="clear" w:color="000000" w:fill="CCCCFF"/>
            <w:noWrap/>
            <w:vAlign w:val="bottom"/>
            <w:hideMark/>
          </w:tcPr>
          <w:p w14:paraId="2E938EA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91,22%</w:t>
            </w:r>
          </w:p>
        </w:tc>
      </w:tr>
      <w:tr w:rsidR="006967F8" w:rsidRPr="006967F8" w14:paraId="001B6A54" w14:textId="77777777" w:rsidTr="008A61B1">
        <w:trPr>
          <w:trHeight w:val="255"/>
        </w:trPr>
        <w:tc>
          <w:tcPr>
            <w:tcW w:w="1134" w:type="dxa"/>
            <w:tcBorders>
              <w:top w:val="nil"/>
              <w:left w:val="nil"/>
              <w:bottom w:val="nil"/>
              <w:right w:val="nil"/>
            </w:tcBorders>
            <w:noWrap/>
            <w:vAlign w:val="bottom"/>
            <w:hideMark/>
          </w:tcPr>
          <w:p w14:paraId="2302D45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lastRenderedPageBreak/>
              <w:t>32</w:t>
            </w:r>
          </w:p>
        </w:tc>
        <w:tc>
          <w:tcPr>
            <w:tcW w:w="4962" w:type="dxa"/>
            <w:tcBorders>
              <w:top w:val="nil"/>
              <w:left w:val="nil"/>
              <w:bottom w:val="nil"/>
              <w:right w:val="nil"/>
            </w:tcBorders>
            <w:noWrap/>
            <w:vAlign w:val="bottom"/>
            <w:hideMark/>
          </w:tcPr>
          <w:p w14:paraId="3E988B6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7D29F0E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3.500,00</w:t>
            </w:r>
          </w:p>
        </w:tc>
        <w:tc>
          <w:tcPr>
            <w:tcW w:w="1559" w:type="dxa"/>
            <w:tcBorders>
              <w:top w:val="nil"/>
              <w:left w:val="nil"/>
              <w:bottom w:val="nil"/>
              <w:right w:val="nil"/>
            </w:tcBorders>
            <w:noWrap/>
            <w:vAlign w:val="bottom"/>
            <w:hideMark/>
          </w:tcPr>
          <w:p w14:paraId="4D0B7DA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3.500,00</w:t>
            </w:r>
          </w:p>
        </w:tc>
        <w:tc>
          <w:tcPr>
            <w:tcW w:w="1559" w:type="dxa"/>
            <w:tcBorders>
              <w:top w:val="nil"/>
              <w:left w:val="nil"/>
              <w:bottom w:val="nil"/>
              <w:right w:val="nil"/>
            </w:tcBorders>
            <w:noWrap/>
            <w:vAlign w:val="bottom"/>
            <w:hideMark/>
          </w:tcPr>
          <w:p w14:paraId="4CE017E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250,00</w:t>
            </w:r>
          </w:p>
        </w:tc>
        <w:tc>
          <w:tcPr>
            <w:tcW w:w="993" w:type="dxa"/>
            <w:tcBorders>
              <w:top w:val="nil"/>
              <w:left w:val="nil"/>
              <w:bottom w:val="nil"/>
              <w:right w:val="nil"/>
            </w:tcBorders>
            <w:noWrap/>
            <w:vAlign w:val="bottom"/>
            <w:hideMark/>
          </w:tcPr>
          <w:p w14:paraId="4C01E78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7,14%</w:t>
            </w:r>
          </w:p>
        </w:tc>
      </w:tr>
      <w:tr w:rsidR="006967F8" w:rsidRPr="006967F8" w14:paraId="4BE5770A" w14:textId="77777777" w:rsidTr="008A61B1">
        <w:trPr>
          <w:trHeight w:val="255"/>
        </w:trPr>
        <w:tc>
          <w:tcPr>
            <w:tcW w:w="1134" w:type="dxa"/>
            <w:tcBorders>
              <w:top w:val="nil"/>
              <w:left w:val="nil"/>
              <w:bottom w:val="nil"/>
              <w:right w:val="nil"/>
            </w:tcBorders>
            <w:noWrap/>
            <w:vAlign w:val="bottom"/>
            <w:hideMark/>
          </w:tcPr>
          <w:p w14:paraId="36CAD4E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3237</w:t>
            </w:r>
          </w:p>
        </w:tc>
        <w:tc>
          <w:tcPr>
            <w:tcW w:w="4962" w:type="dxa"/>
            <w:tcBorders>
              <w:top w:val="nil"/>
              <w:left w:val="nil"/>
              <w:bottom w:val="nil"/>
              <w:right w:val="nil"/>
            </w:tcBorders>
            <w:noWrap/>
            <w:vAlign w:val="bottom"/>
            <w:hideMark/>
          </w:tcPr>
          <w:p w14:paraId="1E56B18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Intelektualne i osobne usluge</w:t>
            </w:r>
          </w:p>
        </w:tc>
        <w:tc>
          <w:tcPr>
            <w:tcW w:w="1559" w:type="dxa"/>
            <w:tcBorders>
              <w:top w:val="nil"/>
              <w:left w:val="nil"/>
              <w:bottom w:val="nil"/>
              <w:right w:val="nil"/>
            </w:tcBorders>
            <w:noWrap/>
            <w:vAlign w:val="bottom"/>
            <w:hideMark/>
          </w:tcPr>
          <w:p w14:paraId="7EE684AD"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C7CD6DB"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C4B9310"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250,00</w:t>
            </w:r>
          </w:p>
        </w:tc>
        <w:tc>
          <w:tcPr>
            <w:tcW w:w="993" w:type="dxa"/>
            <w:tcBorders>
              <w:top w:val="nil"/>
              <w:left w:val="nil"/>
              <w:bottom w:val="nil"/>
              <w:right w:val="nil"/>
            </w:tcBorders>
            <w:noWrap/>
            <w:vAlign w:val="bottom"/>
            <w:hideMark/>
          </w:tcPr>
          <w:p w14:paraId="4A5577E5"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5B12D64" w14:textId="77777777" w:rsidTr="008A61B1">
        <w:trPr>
          <w:trHeight w:val="510"/>
        </w:trPr>
        <w:tc>
          <w:tcPr>
            <w:tcW w:w="1134" w:type="dxa"/>
            <w:tcBorders>
              <w:top w:val="nil"/>
              <w:left w:val="nil"/>
              <w:bottom w:val="nil"/>
              <w:right w:val="nil"/>
            </w:tcBorders>
            <w:noWrap/>
            <w:vAlign w:val="bottom"/>
            <w:hideMark/>
          </w:tcPr>
          <w:p w14:paraId="3D14953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59AD765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6EA197C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60.000,00</w:t>
            </w:r>
          </w:p>
        </w:tc>
        <w:tc>
          <w:tcPr>
            <w:tcW w:w="1559" w:type="dxa"/>
            <w:tcBorders>
              <w:top w:val="nil"/>
              <w:left w:val="nil"/>
              <w:bottom w:val="nil"/>
              <w:right w:val="nil"/>
            </w:tcBorders>
            <w:noWrap/>
            <w:vAlign w:val="bottom"/>
            <w:hideMark/>
          </w:tcPr>
          <w:p w14:paraId="4848CBF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60.000,00</w:t>
            </w:r>
          </w:p>
        </w:tc>
        <w:tc>
          <w:tcPr>
            <w:tcW w:w="1559" w:type="dxa"/>
            <w:tcBorders>
              <w:top w:val="nil"/>
              <w:left w:val="nil"/>
              <w:bottom w:val="nil"/>
              <w:right w:val="nil"/>
            </w:tcBorders>
            <w:noWrap/>
            <w:vAlign w:val="bottom"/>
            <w:hideMark/>
          </w:tcPr>
          <w:p w14:paraId="2BC69E5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57.675,00</w:t>
            </w:r>
          </w:p>
        </w:tc>
        <w:tc>
          <w:tcPr>
            <w:tcW w:w="993" w:type="dxa"/>
            <w:tcBorders>
              <w:top w:val="nil"/>
              <w:left w:val="nil"/>
              <w:bottom w:val="nil"/>
              <w:right w:val="nil"/>
            </w:tcBorders>
            <w:noWrap/>
            <w:vAlign w:val="bottom"/>
            <w:hideMark/>
          </w:tcPr>
          <w:p w14:paraId="7DB4A1D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96,13%</w:t>
            </w:r>
          </w:p>
        </w:tc>
      </w:tr>
      <w:tr w:rsidR="006967F8" w:rsidRPr="006967F8" w14:paraId="64452BBB" w14:textId="77777777" w:rsidTr="008A61B1">
        <w:trPr>
          <w:trHeight w:val="255"/>
        </w:trPr>
        <w:tc>
          <w:tcPr>
            <w:tcW w:w="1134" w:type="dxa"/>
            <w:tcBorders>
              <w:top w:val="nil"/>
              <w:left w:val="nil"/>
              <w:bottom w:val="nil"/>
              <w:right w:val="nil"/>
            </w:tcBorders>
            <w:noWrap/>
            <w:vAlign w:val="bottom"/>
            <w:hideMark/>
          </w:tcPr>
          <w:p w14:paraId="4927140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4213</w:t>
            </w:r>
          </w:p>
        </w:tc>
        <w:tc>
          <w:tcPr>
            <w:tcW w:w="4962" w:type="dxa"/>
            <w:tcBorders>
              <w:top w:val="nil"/>
              <w:left w:val="nil"/>
              <w:bottom w:val="nil"/>
              <w:right w:val="nil"/>
            </w:tcBorders>
            <w:noWrap/>
            <w:vAlign w:val="bottom"/>
            <w:hideMark/>
          </w:tcPr>
          <w:p w14:paraId="7B38C51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Ceste, željeznice i ostali prometni objekti</w:t>
            </w:r>
          </w:p>
        </w:tc>
        <w:tc>
          <w:tcPr>
            <w:tcW w:w="1559" w:type="dxa"/>
            <w:tcBorders>
              <w:top w:val="nil"/>
              <w:left w:val="nil"/>
              <w:bottom w:val="nil"/>
              <w:right w:val="nil"/>
            </w:tcBorders>
            <w:noWrap/>
            <w:vAlign w:val="bottom"/>
            <w:hideMark/>
          </w:tcPr>
          <w:p w14:paraId="4BEE9837"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B52561E"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0BE7219"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57.675,00</w:t>
            </w:r>
          </w:p>
        </w:tc>
        <w:tc>
          <w:tcPr>
            <w:tcW w:w="993" w:type="dxa"/>
            <w:tcBorders>
              <w:top w:val="nil"/>
              <w:left w:val="nil"/>
              <w:bottom w:val="nil"/>
              <w:right w:val="nil"/>
            </w:tcBorders>
            <w:noWrap/>
            <w:vAlign w:val="bottom"/>
            <w:hideMark/>
          </w:tcPr>
          <w:p w14:paraId="652C019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5FFE2B1" w14:textId="77777777" w:rsidTr="008A61B1">
        <w:trPr>
          <w:trHeight w:val="570"/>
        </w:trPr>
        <w:tc>
          <w:tcPr>
            <w:tcW w:w="1134" w:type="dxa"/>
            <w:tcBorders>
              <w:top w:val="nil"/>
              <w:left w:val="nil"/>
              <w:bottom w:val="nil"/>
              <w:right w:val="nil"/>
            </w:tcBorders>
            <w:shd w:val="clear" w:color="000000" w:fill="FFFF99"/>
            <w:noWrap/>
            <w:vAlign w:val="bottom"/>
            <w:hideMark/>
          </w:tcPr>
          <w:p w14:paraId="4CABA22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K100205</w:t>
            </w:r>
          </w:p>
        </w:tc>
        <w:tc>
          <w:tcPr>
            <w:tcW w:w="4962" w:type="dxa"/>
            <w:tcBorders>
              <w:top w:val="nil"/>
              <w:left w:val="nil"/>
              <w:bottom w:val="nil"/>
              <w:right w:val="nil"/>
            </w:tcBorders>
            <w:shd w:val="clear" w:color="000000" w:fill="FFFF99"/>
            <w:vAlign w:val="bottom"/>
            <w:hideMark/>
          </w:tcPr>
          <w:p w14:paraId="6F78068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Kapitalni projekt: SUSTAV BICIKLISTIČKIH STAZA URBANE AGLOMERACIJE SPLIT</w:t>
            </w:r>
          </w:p>
        </w:tc>
        <w:tc>
          <w:tcPr>
            <w:tcW w:w="1559" w:type="dxa"/>
            <w:tcBorders>
              <w:top w:val="nil"/>
              <w:left w:val="nil"/>
              <w:bottom w:val="nil"/>
              <w:right w:val="nil"/>
            </w:tcBorders>
            <w:shd w:val="clear" w:color="000000" w:fill="FFFF99"/>
            <w:noWrap/>
            <w:vAlign w:val="bottom"/>
            <w:hideMark/>
          </w:tcPr>
          <w:p w14:paraId="6AA080B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w:t>
            </w:r>
          </w:p>
        </w:tc>
        <w:tc>
          <w:tcPr>
            <w:tcW w:w="1559" w:type="dxa"/>
            <w:tcBorders>
              <w:top w:val="nil"/>
              <w:left w:val="nil"/>
              <w:bottom w:val="nil"/>
              <w:right w:val="nil"/>
            </w:tcBorders>
            <w:shd w:val="clear" w:color="000000" w:fill="FFFF99"/>
            <w:noWrap/>
            <w:vAlign w:val="bottom"/>
            <w:hideMark/>
          </w:tcPr>
          <w:p w14:paraId="2A77454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w:t>
            </w:r>
          </w:p>
        </w:tc>
        <w:tc>
          <w:tcPr>
            <w:tcW w:w="1559" w:type="dxa"/>
            <w:tcBorders>
              <w:top w:val="nil"/>
              <w:left w:val="nil"/>
              <w:bottom w:val="nil"/>
              <w:right w:val="nil"/>
            </w:tcBorders>
            <w:shd w:val="clear" w:color="000000" w:fill="FFFF99"/>
            <w:noWrap/>
            <w:vAlign w:val="bottom"/>
            <w:hideMark/>
          </w:tcPr>
          <w:p w14:paraId="3CA86E6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shd w:val="clear" w:color="000000" w:fill="FFFF99"/>
            <w:noWrap/>
            <w:vAlign w:val="bottom"/>
            <w:hideMark/>
          </w:tcPr>
          <w:p w14:paraId="249F800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3D56E823"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4A858BA"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1960826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500,00</w:t>
            </w:r>
          </w:p>
        </w:tc>
        <w:tc>
          <w:tcPr>
            <w:tcW w:w="1559" w:type="dxa"/>
            <w:tcBorders>
              <w:top w:val="nil"/>
              <w:left w:val="nil"/>
              <w:bottom w:val="nil"/>
              <w:right w:val="nil"/>
            </w:tcBorders>
            <w:shd w:val="clear" w:color="000000" w:fill="CCCCFF"/>
            <w:noWrap/>
            <w:vAlign w:val="bottom"/>
            <w:hideMark/>
          </w:tcPr>
          <w:p w14:paraId="26788BE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500,00</w:t>
            </w:r>
          </w:p>
        </w:tc>
        <w:tc>
          <w:tcPr>
            <w:tcW w:w="1559" w:type="dxa"/>
            <w:tcBorders>
              <w:top w:val="nil"/>
              <w:left w:val="nil"/>
              <w:bottom w:val="nil"/>
              <w:right w:val="nil"/>
            </w:tcBorders>
            <w:shd w:val="clear" w:color="000000" w:fill="CCCCFF"/>
            <w:noWrap/>
            <w:vAlign w:val="bottom"/>
            <w:hideMark/>
          </w:tcPr>
          <w:p w14:paraId="799C03D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714D4B8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33C2BE1D"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A1450D2"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4.1. Komunalni doprinos</w:t>
            </w:r>
          </w:p>
        </w:tc>
        <w:tc>
          <w:tcPr>
            <w:tcW w:w="1559" w:type="dxa"/>
            <w:tcBorders>
              <w:top w:val="nil"/>
              <w:left w:val="nil"/>
              <w:bottom w:val="nil"/>
              <w:right w:val="nil"/>
            </w:tcBorders>
            <w:shd w:val="clear" w:color="000000" w:fill="CCCCFF"/>
            <w:noWrap/>
            <w:vAlign w:val="bottom"/>
            <w:hideMark/>
          </w:tcPr>
          <w:p w14:paraId="086D546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500,00</w:t>
            </w:r>
          </w:p>
        </w:tc>
        <w:tc>
          <w:tcPr>
            <w:tcW w:w="1559" w:type="dxa"/>
            <w:tcBorders>
              <w:top w:val="nil"/>
              <w:left w:val="nil"/>
              <w:bottom w:val="nil"/>
              <w:right w:val="nil"/>
            </w:tcBorders>
            <w:shd w:val="clear" w:color="000000" w:fill="CCCCFF"/>
            <w:noWrap/>
            <w:vAlign w:val="bottom"/>
            <w:hideMark/>
          </w:tcPr>
          <w:p w14:paraId="654C555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500,00</w:t>
            </w:r>
          </w:p>
        </w:tc>
        <w:tc>
          <w:tcPr>
            <w:tcW w:w="1559" w:type="dxa"/>
            <w:tcBorders>
              <w:top w:val="nil"/>
              <w:left w:val="nil"/>
              <w:bottom w:val="nil"/>
              <w:right w:val="nil"/>
            </w:tcBorders>
            <w:shd w:val="clear" w:color="000000" w:fill="CCCCFF"/>
            <w:noWrap/>
            <w:vAlign w:val="bottom"/>
            <w:hideMark/>
          </w:tcPr>
          <w:p w14:paraId="3C7243C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069F992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7DFF840F" w14:textId="77777777" w:rsidTr="008A61B1">
        <w:trPr>
          <w:trHeight w:val="255"/>
        </w:trPr>
        <w:tc>
          <w:tcPr>
            <w:tcW w:w="1134" w:type="dxa"/>
            <w:tcBorders>
              <w:top w:val="nil"/>
              <w:left w:val="nil"/>
              <w:bottom w:val="nil"/>
              <w:right w:val="nil"/>
            </w:tcBorders>
            <w:noWrap/>
            <w:vAlign w:val="bottom"/>
            <w:hideMark/>
          </w:tcPr>
          <w:p w14:paraId="510435A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298C113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7D7CCC2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w:t>
            </w:r>
          </w:p>
        </w:tc>
        <w:tc>
          <w:tcPr>
            <w:tcW w:w="1559" w:type="dxa"/>
            <w:tcBorders>
              <w:top w:val="nil"/>
              <w:left w:val="nil"/>
              <w:bottom w:val="nil"/>
              <w:right w:val="nil"/>
            </w:tcBorders>
            <w:noWrap/>
            <w:vAlign w:val="bottom"/>
            <w:hideMark/>
          </w:tcPr>
          <w:p w14:paraId="37B20E2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w:t>
            </w:r>
          </w:p>
        </w:tc>
        <w:tc>
          <w:tcPr>
            <w:tcW w:w="1559" w:type="dxa"/>
            <w:tcBorders>
              <w:top w:val="nil"/>
              <w:left w:val="nil"/>
              <w:bottom w:val="nil"/>
              <w:right w:val="nil"/>
            </w:tcBorders>
            <w:noWrap/>
            <w:vAlign w:val="bottom"/>
            <w:hideMark/>
          </w:tcPr>
          <w:p w14:paraId="44D6ABC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7A893D3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5A6F55F6" w14:textId="77777777" w:rsidTr="008A61B1">
        <w:trPr>
          <w:trHeight w:val="540"/>
        </w:trPr>
        <w:tc>
          <w:tcPr>
            <w:tcW w:w="1134" w:type="dxa"/>
            <w:tcBorders>
              <w:top w:val="nil"/>
              <w:left w:val="nil"/>
              <w:bottom w:val="nil"/>
              <w:right w:val="nil"/>
            </w:tcBorders>
            <w:shd w:val="clear" w:color="000000" w:fill="FFFF99"/>
            <w:noWrap/>
            <w:vAlign w:val="bottom"/>
            <w:hideMark/>
          </w:tcPr>
          <w:p w14:paraId="4E7A1C2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K100206</w:t>
            </w:r>
          </w:p>
        </w:tc>
        <w:tc>
          <w:tcPr>
            <w:tcW w:w="4962" w:type="dxa"/>
            <w:tcBorders>
              <w:top w:val="nil"/>
              <w:left w:val="nil"/>
              <w:bottom w:val="nil"/>
              <w:right w:val="nil"/>
            </w:tcBorders>
            <w:shd w:val="clear" w:color="000000" w:fill="FFFF99"/>
            <w:vAlign w:val="bottom"/>
            <w:hideMark/>
          </w:tcPr>
          <w:p w14:paraId="3D95C80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Kapitalni projekt: IZGRADNJA OBALNOG POJASA U SALDUNU</w:t>
            </w:r>
          </w:p>
        </w:tc>
        <w:tc>
          <w:tcPr>
            <w:tcW w:w="1559" w:type="dxa"/>
            <w:tcBorders>
              <w:top w:val="nil"/>
              <w:left w:val="nil"/>
              <w:bottom w:val="nil"/>
              <w:right w:val="nil"/>
            </w:tcBorders>
            <w:shd w:val="clear" w:color="000000" w:fill="FFFF99"/>
            <w:noWrap/>
            <w:vAlign w:val="bottom"/>
            <w:hideMark/>
          </w:tcPr>
          <w:p w14:paraId="3627643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35.200,00</w:t>
            </w:r>
          </w:p>
        </w:tc>
        <w:tc>
          <w:tcPr>
            <w:tcW w:w="1559" w:type="dxa"/>
            <w:tcBorders>
              <w:top w:val="nil"/>
              <w:left w:val="nil"/>
              <w:bottom w:val="nil"/>
              <w:right w:val="nil"/>
            </w:tcBorders>
            <w:shd w:val="clear" w:color="000000" w:fill="FFFF99"/>
            <w:noWrap/>
            <w:vAlign w:val="bottom"/>
            <w:hideMark/>
          </w:tcPr>
          <w:p w14:paraId="203BC01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35.200,00</w:t>
            </w:r>
          </w:p>
        </w:tc>
        <w:tc>
          <w:tcPr>
            <w:tcW w:w="1559" w:type="dxa"/>
            <w:tcBorders>
              <w:top w:val="nil"/>
              <w:left w:val="nil"/>
              <w:bottom w:val="nil"/>
              <w:right w:val="nil"/>
            </w:tcBorders>
            <w:shd w:val="clear" w:color="000000" w:fill="FFFF99"/>
            <w:noWrap/>
            <w:vAlign w:val="bottom"/>
            <w:hideMark/>
          </w:tcPr>
          <w:p w14:paraId="2F44D16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31.875,00</w:t>
            </w:r>
          </w:p>
        </w:tc>
        <w:tc>
          <w:tcPr>
            <w:tcW w:w="993" w:type="dxa"/>
            <w:tcBorders>
              <w:top w:val="nil"/>
              <w:left w:val="nil"/>
              <w:bottom w:val="nil"/>
              <w:right w:val="nil"/>
            </w:tcBorders>
            <w:shd w:val="clear" w:color="000000" w:fill="FFFF99"/>
            <w:noWrap/>
            <w:vAlign w:val="bottom"/>
            <w:hideMark/>
          </w:tcPr>
          <w:p w14:paraId="7E21315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90,55%</w:t>
            </w:r>
          </w:p>
        </w:tc>
      </w:tr>
      <w:tr w:rsidR="006967F8" w:rsidRPr="006967F8" w14:paraId="762602DE"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C419967"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7BA6F8D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15.200,00</w:t>
            </w:r>
          </w:p>
        </w:tc>
        <w:tc>
          <w:tcPr>
            <w:tcW w:w="1559" w:type="dxa"/>
            <w:tcBorders>
              <w:top w:val="nil"/>
              <w:left w:val="nil"/>
              <w:bottom w:val="nil"/>
              <w:right w:val="nil"/>
            </w:tcBorders>
            <w:shd w:val="clear" w:color="000000" w:fill="CCCCFF"/>
            <w:noWrap/>
            <w:vAlign w:val="bottom"/>
            <w:hideMark/>
          </w:tcPr>
          <w:p w14:paraId="4FA5CDE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15.200,00</w:t>
            </w:r>
          </w:p>
        </w:tc>
        <w:tc>
          <w:tcPr>
            <w:tcW w:w="1559" w:type="dxa"/>
            <w:tcBorders>
              <w:top w:val="nil"/>
              <w:left w:val="nil"/>
              <w:bottom w:val="nil"/>
              <w:right w:val="nil"/>
            </w:tcBorders>
            <w:shd w:val="clear" w:color="000000" w:fill="CCCCFF"/>
            <w:noWrap/>
            <w:vAlign w:val="bottom"/>
            <w:hideMark/>
          </w:tcPr>
          <w:p w14:paraId="26D85FB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12.275,00</w:t>
            </w:r>
          </w:p>
        </w:tc>
        <w:tc>
          <w:tcPr>
            <w:tcW w:w="993" w:type="dxa"/>
            <w:tcBorders>
              <w:top w:val="nil"/>
              <w:left w:val="nil"/>
              <w:bottom w:val="nil"/>
              <w:right w:val="nil"/>
            </w:tcBorders>
            <w:shd w:val="clear" w:color="000000" w:fill="CCCCFF"/>
            <w:noWrap/>
            <w:vAlign w:val="bottom"/>
            <w:hideMark/>
          </w:tcPr>
          <w:p w14:paraId="55DC0E8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80,76%</w:t>
            </w:r>
          </w:p>
        </w:tc>
      </w:tr>
      <w:tr w:rsidR="006967F8" w:rsidRPr="006967F8" w14:paraId="5A8605D6"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B48F6D6"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293230B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15.200,00</w:t>
            </w:r>
          </w:p>
        </w:tc>
        <w:tc>
          <w:tcPr>
            <w:tcW w:w="1559" w:type="dxa"/>
            <w:tcBorders>
              <w:top w:val="nil"/>
              <w:left w:val="nil"/>
              <w:bottom w:val="nil"/>
              <w:right w:val="nil"/>
            </w:tcBorders>
            <w:shd w:val="clear" w:color="000000" w:fill="CCCCFF"/>
            <w:noWrap/>
            <w:vAlign w:val="bottom"/>
            <w:hideMark/>
          </w:tcPr>
          <w:p w14:paraId="058355B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15.200,00</w:t>
            </w:r>
          </w:p>
        </w:tc>
        <w:tc>
          <w:tcPr>
            <w:tcW w:w="1559" w:type="dxa"/>
            <w:tcBorders>
              <w:top w:val="nil"/>
              <w:left w:val="nil"/>
              <w:bottom w:val="nil"/>
              <w:right w:val="nil"/>
            </w:tcBorders>
            <w:shd w:val="clear" w:color="000000" w:fill="CCCCFF"/>
            <w:noWrap/>
            <w:vAlign w:val="bottom"/>
            <w:hideMark/>
          </w:tcPr>
          <w:p w14:paraId="1A7D002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12.275,00</w:t>
            </w:r>
          </w:p>
        </w:tc>
        <w:tc>
          <w:tcPr>
            <w:tcW w:w="993" w:type="dxa"/>
            <w:tcBorders>
              <w:top w:val="nil"/>
              <w:left w:val="nil"/>
              <w:bottom w:val="nil"/>
              <w:right w:val="nil"/>
            </w:tcBorders>
            <w:shd w:val="clear" w:color="000000" w:fill="CCCCFF"/>
            <w:noWrap/>
            <w:vAlign w:val="bottom"/>
            <w:hideMark/>
          </w:tcPr>
          <w:p w14:paraId="487C103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80,76%</w:t>
            </w:r>
          </w:p>
        </w:tc>
      </w:tr>
      <w:tr w:rsidR="006967F8" w:rsidRPr="006967F8" w14:paraId="22DDBF8E" w14:textId="77777777" w:rsidTr="008A61B1">
        <w:trPr>
          <w:trHeight w:val="555"/>
        </w:trPr>
        <w:tc>
          <w:tcPr>
            <w:tcW w:w="1134" w:type="dxa"/>
            <w:tcBorders>
              <w:top w:val="nil"/>
              <w:left w:val="nil"/>
              <w:bottom w:val="nil"/>
              <w:right w:val="nil"/>
            </w:tcBorders>
            <w:noWrap/>
            <w:vAlign w:val="bottom"/>
            <w:hideMark/>
          </w:tcPr>
          <w:p w14:paraId="629ABB0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6505148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0EF0EF2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15.200,00</w:t>
            </w:r>
          </w:p>
        </w:tc>
        <w:tc>
          <w:tcPr>
            <w:tcW w:w="1559" w:type="dxa"/>
            <w:tcBorders>
              <w:top w:val="nil"/>
              <w:left w:val="nil"/>
              <w:bottom w:val="nil"/>
              <w:right w:val="nil"/>
            </w:tcBorders>
            <w:noWrap/>
            <w:vAlign w:val="bottom"/>
            <w:hideMark/>
          </w:tcPr>
          <w:p w14:paraId="4C13BE4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15.200,00</w:t>
            </w:r>
          </w:p>
        </w:tc>
        <w:tc>
          <w:tcPr>
            <w:tcW w:w="1559" w:type="dxa"/>
            <w:tcBorders>
              <w:top w:val="nil"/>
              <w:left w:val="nil"/>
              <w:bottom w:val="nil"/>
              <w:right w:val="nil"/>
            </w:tcBorders>
            <w:noWrap/>
            <w:vAlign w:val="bottom"/>
            <w:hideMark/>
          </w:tcPr>
          <w:p w14:paraId="2C768C9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12.275,00</w:t>
            </w:r>
          </w:p>
        </w:tc>
        <w:tc>
          <w:tcPr>
            <w:tcW w:w="993" w:type="dxa"/>
            <w:tcBorders>
              <w:top w:val="nil"/>
              <w:left w:val="nil"/>
              <w:bottom w:val="nil"/>
              <w:right w:val="nil"/>
            </w:tcBorders>
            <w:noWrap/>
            <w:vAlign w:val="bottom"/>
            <w:hideMark/>
          </w:tcPr>
          <w:p w14:paraId="5AFC79E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80,76%</w:t>
            </w:r>
          </w:p>
        </w:tc>
      </w:tr>
      <w:tr w:rsidR="006967F8" w:rsidRPr="006967F8" w14:paraId="7C563F4B" w14:textId="77777777" w:rsidTr="008A61B1">
        <w:trPr>
          <w:trHeight w:val="255"/>
        </w:trPr>
        <w:tc>
          <w:tcPr>
            <w:tcW w:w="1134" w:type="dxa"/>
            <w:tcBorders>
              <w:top w:val="nil"/>
              <w:left w:val="nil"/>
              <w:bottom w:val="nil"/>
              <w:right w:val="nil"/>
            </w:tcBorders>
            <w:noWrap/>
            <w:vAlign w:val="bottom"/>
            <w:hideMark/>
          </w:tcPr>
          <w:p w14:paraId="300A713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4214</w:t>
            </w:r>
          </w:p>
        </w:tc>
        <w:tc>
          <w:tcPr>
            <w:tcW w:w="4962" w:type="dxa"/>
            <w:tcBorders>
              <w:top w:val="nil"/>
              <w:left w:val="nil"/>
              <w:bottom w:val="nil"/>
              <w:right w:val="nil"/>
            </w:tcBorders>
            <w:noWrap/>
            <w:vAlign w:val="bottom"/>
            <w:hideMark/>
          </w:tcPr>
          <w:p w14:paraId="1BA73C6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građevinski objekti</w:t>
            </w:r>
          </w:p>
        </w:tc>
        <w:tc>
          <w:tcPr>
            <w:tcW w:w="1559" w:type="dxa"/>
            <w:tcBorders>
              <w:top w:val="nil"/>
              <w:left w:val="nil"/>
              <w:bottom w:val="nil"/>
              <w:right w:val="nil"/>
            </w:tcBorders>
            <w:noWrap/>
            <w:vAlign w:val="bottom"/>
            <w:hideMark/>
          </w:tcPr>
          <w:p w14:paraId="79C41B71"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35DC5D1"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F7AE838"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12.275,00</w:t>
            </w:r>
          </w:p>
        </w:tc>
        <w:tc>
          <w:tcPr>
            <w:tcW w:w="993" w:type="dxa"/>
            <w:tcBorders>
              <w:top w:val="nil"/>
              <w:left w:val="nil"/>
              <w:bottom w:val="nil"/>
              <w:right w:val="nil"/>
            </w:tcBorders>
            <w:noWrap/>
            <w:vAlign w:val="bottom"/>
            <w:hideMark/>
          </w:tcPr>
          <w:p w14:paraId="592BB1F1"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B839A3E"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3C70ACC"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55F5F2F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5777238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1099FF0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19.600,00</w:t>
            </w:r>
          </w:p>
        </w:tc>
        <w:tc>
          <w:tcPr>
            <w:tcW w:w="993" w:type="dxa"/>
            <w:tcBorders>
              <w:top w:val="nil"/>
              <w:left w:val="nil"/>
              <w:bottom w:val="nil"/>
              <w:right w:val="nil"/>
            </w:tcBorders>
            <w:shd w:val="clear" w:color="000000" w:fill="CCCCFF"/>
            <w:noWrap/>
            <w:vAlign w:val="bottom"/>
            <w:hideMark/>
          </w:tcPr>
          <w:p w14:paraId="7ED9905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98,00%</w:t>
            </w:r>
          </w:p>
        </w:tc>
      </w:tr>
      <w:tr w:rsidR="006967F8" w:rsidRPr="006967F8" w14:paraId="18579901"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2C13CBB"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5.1. Ostale pomoći</w:t>
            </w:r>
          </w:p>
        </w:tc>
        <w:tc>
          <w:tcPr>
            <w:tcW w:w="1559" w:type="dxa"/>
            <w:tcBorders>
              <w:top w:val="nil"/>
              <w:left w:val="nil"/>
              <w:bottom w:val="nil"/>
              <w:right w:val="nil"/>
            </w:tcBorders>
            <w:shd w:val="clear" w:color="000000" w:fill="CCCCFF"/>
            <w:noWrap/>
            <w:vAlign w:val="bottom"/>
            <w:hideMark/>
          </w:tcPr>
          <w:p w14:paraId="4A437D5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1A2B6CC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0EF93C2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19.600,00</w:t>
            </w:r>
          </w:p>
        </w:tc>
        <w:tc>
          <w:tcPr>
            <w:tcW w:w="993" w:type="dxa"/>
            <w:tcBorders>
              <w:top w:val="nil"/>
              <w:left w:val="nil"/>
              <w:bottom w:val="nil"/>
              <w:right w:val="nil"/>
            </w:tcBorders>
            <w:shd w:val="clear" w:color="000000" w:fill="CCCCFF"/>
            <w:noWrap/>
            <w:vAlign w:val="bottom"/>
            <w:hideMark/>
          </w:tcPr>
          <w:p w14:paraId="0A84810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98,00%</w:t>
            </w:r>
          </w:p>
        </w:tc>
      </w:tr>
      <w:tr w:rsidR="006967F8" w:rsidRPr="006967F8" w14:paraId="4E7911FE" w14:textId="77777777" w:rsidTr="008A61B1">
        <w:trPr>
          <w:trHeight w:val="510"/>
        </w:trPr>
        <w:tc>
          <w:tcPr>
            <w:tcW w:w="1134" w:type="dxa"/>
            <w:tcBorders>
              <w:top w:val="nil"/>
              <w:left w:val="nil"/>
              <w:bottom w:val="nil"/>
              <w:right w:val="nil"/>
            </w:tcBorders>
            <w:noWrap/>
            <w:vAlign w:val="bottom"/>
            <w:hideMark/>
          </w:tcPr>
          <w:p w14:paraId="7395879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4A7E951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752ACE9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noWrap/>
            <w:vAlign w:val="bottom"/>
            <w:hideMark/>
          </w:tcPr>
          <w:p w14:paraId="0644C0B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noWrap/>
            <w:vAlign w:val="bottom"/>
            <w:hideMark/>
          </w:tcPr>
          <w:p w14:paraId="16A1ED2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19.600,00</w:t>
            </w:r>
          </w:p>
        </w:tc>
        <w:tc>
          <w:tcPr>
            <w:tcW w:w="993" w:type="dxa"/>
            <w:tcBorders>
              <w:top w:val="nil"/>
              <w:left w:val="nil"/>
              <w:bottom w:val="nil"/>
              <w:right w:val="nil"/>
            </w:tcBorders>
            <w:noWrap/>
            <w:vAlign w:val="bottom"/>
            <w:hideMark/>
          </w:tcPr>
          <w:p w14:paraId="5D1374E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98,00%</w:t>
            </w:r>
          </w:p>
        </w:tc>
      </w:tr>
      <w:tr w:rsidR="006967F8" w:rsidRPr="006967F8" w14:paraId="2385BB0E" w14:textId="77777777" w:rsidTr="008A61B1">
        <w:trPr>
          <w:trHeight w:val="255"/>
        </w:trPr>
        <w:tc>
          <w:tcPr>
            <w:tcW w:w="1134" w:type="dxa"/>
            <w:tcBorders>
              <w:top w:val="nil"/>
              <w:left w:val="nil"/>
              <w:bottom w:val="nil"/>
              <w:right w:val="nil"/>
            </w:tcBorders>
            <w:noWrap/>
            <w:vAlign w:val="bottom"/>
            <w:hideMark/>
          </w:tcPr>
          <w:p w14:paraId="15B4271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4214</w:t>
            </w:r>
          </w:p>
        </w:tc>
        <w:tc>
          <w:tcPr>
            <w:tcW w:w="4962" w:type="dxa"/>
            <w:tcBorders>
              <w:top w:val="nil"/>
              <w:left w:val="nil"/>
              <w:bottom w:val="nil"/>
              <w:right w:val="nil"/>
            </w:tcBorders>
            <w:noWrap/>
            <w:vAlign w:val="bottom"/>
            <w:hideMark/>
          </w:tcPr>
          <w:p w14:paraId="3B4BC9A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građevinski objekti</w:t>
            </w:r>
          </w:p>
        </w:tc>
        <w:tc>
          <w:tcPr>
            <w:tcW w:w="1559" w:type="dxa"/>
            <w:tcBorders>
              <w:top w:val="nil"/>
              <w:left w:val="nil"/>
              <w:bottom w:val="nil"/>
              <w:right w:val="nil"/>
            </w:tcBorders>
            <w:noWrap/>
            <w:vAlign w:val="bottom"/>
            <w:hideMark/>
          </w:tcPr>
          <w:p w14:paraId="6584365A"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C26125C"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B9B09F7"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19.600,00</w:t>
            </w:r>
          </w:p>
        </w:tc>
        <w:tc>
          <w:tcPr>
            <w:tcW w:w="993" w:type="dxa"/>
            <w:tcBorders>
              <w:top w:val="nil"/>
              <w:left w:val="nil"/>
              <w:bottom w:val="nil"/>
              <w:right w:val="nil"/>
            </w:tcBorders>
            <w:noWrap/>
            <w:vAlign w:val="bottom"/>
            <w:hideMark/>
          </w:tcPr>
          <w:p w14:paraId="05DA51EE"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C8EAF78" w14:textId="77777777" w:rsidTr="008A61B1">
        <w:trPr>
          <w:trHeight w:val="570"/>
        </w:trPr>
        <w:tc>
          <w:tcPr>
            <w:tcW w:w="1134" w:type="dxa"/>
            <w:tcBorders>
              <w:top w:val="nil"/>
              <w:left w:val="nil"/>
              <w:bottom w:val="nil"/>
              <w:right w:val="nil"/>
            </w:tcBorders>
            <w:shd w:val="clear" w:color="000000" w:fill="FFFF99"/>
            <w:noWrap/>
            <w:vAlign w:val="bottom"/>
            <w:hideMark/>
          </w:tcPr>
          <w:p w14:paraId="5C65C64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K100209</w:t>
            </w:r>
          </w:p>
        </w:tc>
        <w:tc>
          <w:tcPr>
            <w:tcW w:w="4962" w:type="dxa"/>
            <w:tcBorders>
              <w:top w:val="nil"/>
              <w:left w:val="nil"/>
              <w:bottom w:val="nil"/>
              <w:right w:val="nil"/>
            </w:tcBorders>
            <w:shd w:val="clear" w:color="000000" w:fill="FFFF99"/>
            <w:vAlign w:val="bottom"/>
            <w:hideMark/>
          </w:tcPr>
          <w:p w14:paraId="4774627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Kapitalni projekt: GEODETSKI SNIMAK JAVNIH POVRŠINA </w:t>
            </w:r>
          </w:p>
        </w:tc>
        <w:tc>
          <w:tcPr>
            <w:tcW w:w="1559" w:type="dxa"/>
            <w:tcBorders>
              <w:top w:val="nil"/>
              <w:left w:val="nil"/>
              <w:bottom w:val="nil"/>
              <w:right w:val="nil"/>
            </w:tcBorders>
            <w:shd w:val="clear" w:color="000000" w:fill="FFFF99"/>
            <w:noWrap/>
            <w:vAlign w:val="bottom"/>
            <w:hideMark/>
          </w:tcPr>
          <w:p w14:paraId="56F3474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shd w:val="clear" w:color="000000" w:fill="FFFF99"/>
            <w:noWrap/>
            <w:vAlign w:val="bottom"/>
            <w:hideMark/>
          </w:tcPr>
          <w:p w14:paraId="4E03326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shd w:val="clear" w:color="000000" w:fill="FFFF99"/>
            <w:noWrap/>
            <w:vAlign w:val="bottom"/>
            <w:hideMark/>
          </w:tcPr>
          <w:p w14:paraId="6BB1AD0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shd w:val="clear" w:color="000000" w:fill="FFFF99"/>
            <w:noWrap/>
            <w:vAlign w:val="bottom"/>
            <w:hideMark/>
          </w:tcPr>
          <w:p w14:paraId="1A47B8F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4CB2C736"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8EE7818"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0F8200F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096BF22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0D36782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7DAC0E7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3DB667E2"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1914B72"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3E080C5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55CD1FD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394C85E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47B9CB3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26F7BFA7" w14:textId="77777777" w:rsidTr="008A61B1">
        <w:trPr>
          <w:trHeight w:val="510"/>
        </w:trPr>
        <w:tc>
          <w:tcPr>
            <w:tcW w:w="1134" w:type="dxa"/>
            <w:tcBorders>
              <w:top w:val="nil"/>
              <w:left w:val="nil"/>
              <w:bottom w:val="nil"/>
              <w:right w:val="nil"/>
            </w:tcBorders>
            <w:noWrap/>
            <w:vAlign w:val="bottom"/>
            <w:hideMark/>
          </w:tcPr>
          <w:p w14:paraId="19BC0D9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5E620E1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72C3064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noWrap/>
            <w:vAlign w:val="bottom"/>
            <w:hideMark/>
          </w:tcPr>
          <w:p w14:paraId="3ED3E88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noWrap/>
            <w:vAlign w:val="bottom"/>
            <w:hideMark/>
          </w:tcPr>
          <w:p w14:paraId="628C085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3129ADA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1C86E6C4" w14:textId="77777777" w:rsidTr="008A61B1">
        <w:trPr>
          <w:trHeight w:val="660"/>
        </w:trPr>
        <w:tc>
          <w:tcPr>
            <w:tcW w:w="1134" w:type="dxa"/>
            <w:tcBorders>
              <w:top w:val="nil"/>
              <w:left w:val="nil"/>
              <w:bottom w:val="nil"/>
              <w:right w:val="nil"/>
            </w:tcBorders>
            <w:shd w:val="clear" w:color="000000" w:fill="FFFF99"/>
            <w:noWrap/>
            <w:vAlign w:val="bottom"/>
            <w:hideMark/>
          </w:tcPr>
          <w:p w14:paraId="0980374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K100211</w:t>
            </w:r>
          </w:p>
        </w:tc>
        <w:tc>
          <w:tcPr>
            <w:tcW w:w="4962" w:type="dxa"/>
            <w:tcBorders>
              <w:top w:val="nil"/>
              <w:left w:val="nil"/>
              <w:bottom w:val="nil"/>
              <w:right w:val="nil"/>
            </w:tcBorders>
            <w:shd w:val="clear" w:color="000000" w:fill="FFFF99"/>
            <w:vAlign w:val="bottom"/>
            <w:hideMark/>
          </w:tcPr>
          <w:p w14:paraId="16D618F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Kapitalni projekt: PROVEDBA MJERA PRILAGODBE KLIMATSKIM PROMJENAMA </w:t>
            </w:r>
          </w:p>
        </w:tc>
        <w:tc>
          <w:tcPr>
            <w:tcW w:w="1559" w:type="dxa"/>
            <w:tcBorders>
              <w:top w:val="nil"/>
              <w:left w:val="nil"/>
              <w:bottom w:val="nil"/>
              <w:right w:val="nil"/>
            </w:tcBorders>
            <w:shd w:val="clear" w:color="000000" w:fill="FFFF99"/>
            <w:noWrap/>
            <w:vAlign w:val="bottom"/>
            <w:hideMark/>
          </w:tcPr>
          <w:p w14:paraId="2E891BC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30.350,00</w:t>
            </w:r>
          </w:p>
        </w:tc>
        <w:tc>
          <w:tcPr>
            <w:tcW w:w="1559" w:type="dxa"/>
            <w:tcBorders>
              <w:top w:val="nil"/>
              <w:left w:val="nil"/>
              <w:bottom w:val="nil"/>
              <w:right w:val="nil"/>
            </w:tcBorders>
            <w:shd w:val="clear" w:color="000000" w:fill="FFFF99"/>
            <w:noWrap/>
            <w:vAlign w:val="bottom"/>
            <w:hideMark/>
          </w:tcPr>
          <w:p w14:paraId="5CFB0C1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30.350,00</w:t>
            </w:r>
          </w:p>
        </w:tc>
        <w:tc>
          <w:tcPr>
            <w:tcW w:w="1559" w:type="dxa"/>
            <w:tcBorders>
              <w:top w:val="nil"/>
              <w:left w:val="nil"/>
              <w:bottom w:val="nil"/>
              <w:right w:val="nil"/>
            </w:tcBorders>
            <w:shd w:val="clear" w:color="000000" w:fill="FFFF99"/>
            <w:noWrap/>
            <w:vAlign w:val="bottom"/>
            <w:hideMark/>
          </w:tcPr>
          <w:p w14:paraId="260B98B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30.338,88</w:t>
            </w:r>
          </w:p>
        </w:tc>
        <w:tc>
          <w:tcPr>
            <w:tcW w:w="993" w:type="dxa"/>
            <w:tcBorders>
              <w:top w:val="nil"/>
              <w:left w:val="nil"/>
              <w:bottom w:val="nil"/>
              <w:right w:val="nil"/>
            </w:tcBorders>
            <w:shd w:val="clear" w:color="000000" w:fill="FFFF99"/>
            <w:noWrap/>
            <w:vAlign w:val="bottom"/>
            <w:hideMark/>
          </w:tcPr>
          <w:p w14:paraId="25ED529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99,96%</w:t>
            </w:r>
          </w:p>
        </w:tc>
      </w:tr>
      <w:tr w:rsidR="006967F8" w:rsidRPr="006967F8" w14:paraId="058DEBB9"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E4FBA9A"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53B6982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6.075,00</w:t>
            </w:r>
          </w:p>
        </w:tc>
        <w:tc>
          <w:tcPr>
            <w:tcW w:w="1559" w:type="dxa"/>
            <w:tcBorders>
              <w:top w:val="nil"/>
              <w:left w:val="nil"/>
              <w:bottom w:val="nil"/>
              <w:right w:val="nil"/>
            </w:tcBorders>
            <w:shd w:val="clear" w:color="000000" w:fill="CCCCFF"/>
            <w:noWrap/>
            <w:vAlign w:val="bottom"/>
            <w:hideMark/>
          </w:tcPr>
          <w:p w14:paraId="1EF749A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6.075,00</w:t>
            </w:r>
          </w:p>
        </w:tc>
        <w:tc>
          <w:tcPr>
            <w:tcW w:w="1559" w:type="dxa"/>
            <w:tcBorders>
              <w:top w:val="nil"/>
              <w:left w:val="nil"/>
              <w:bottom w:val="nil"/>
              <w:right w:val="nil"/>
            </w:tcBorders>
            <w:shd w:val="clear" w:color="000000" w:fill="CCCCFF"/>
            <w:noWrap/>
            <w:vAlign w:val="bottom"/>
            <w:hideMark/>
          </w:tcPr>
          <w:p w14:paraId="0FD1B52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6.067,78</w:t>
            </w:r>
          </w:p>
        </w:tc>
        <w:tc>
          <w:tcPr>
            <w:tcW w:w="993" w:type="dxa"/>
            <w:tcBorders>
              <w:top w:val="nil"/>
              <w:left w:val="nil"/>
              <w:bottom w:val="nil"/>
              <w:right w:val="nil"/>
            </w:tcBorders>
            <w:shd w:val="clear" w:color="000000" w:fill="CCCCFF"/>
            <w:noWrap/>
            <w:vAlign w:val="bottom"/>
            <w:hideMark/>
          </w:tcPr>
          <w:p w14:paraId="7B1F946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99,88%</w:t>
            </w:r>
          </w:p>
        </w:tc>
      </w:tr>
      <w:tr w:rsidR="006967F8" w:rsidRPr="006967F8" w14:paraId="2E97E82B"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098CEAE"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4.1. Komunalni doprinos</w:t>
            </w:r>
          </w:p>
        </w:tc>
        <w:tc>
          <w:tcPr>
            <w:tcW w:w="1559" w:type="dxa"/>
            <w:tcBorders>
              <w:top w:val="nil"/>
              <w:left w:val="nil"/>
              <w:bottom w:val="nil"/>
              <w:right w:val="nil"/>
            </w:tcBorders>
            <w:shd w:val="clear" w:color="000000" w:fill="CCCCFF"/>
            <w:noWrap/>
            <w:vAlign w:val="bottom"/>
            <w:hideMark/>
          </w:tcPr>
          <w:p w14:paraId="713DC51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6.075,00</w:t>
            </w:r>
          </w:p>
        </w:tc>
        <w:tc>
          <w:tcPr>
            <w:tcW w:w="1559" w:type="dxa"/>
            <w:tcBorders>
              <w:top w:val="nil"/>
              <w:left w:val="nil"/>
              <w:bottom w:val="nil"/>
              <w:right w:val="nil"/>
            </w:tcBorders>
            <w:shd w:val="clear" w:color="000000" w:fill="CCCCFF"/>
            <w:noWrap/>
            <w:vAlign w:val="bottom"/>
            <w:hideMark/>
          </w:tcPr>
          <w:p w14:paraId="69BE37E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6.075,00</w:t>
            </w:r>
          </w:p>
        </w:tc>
        <w:tc>
          <w:tcPr>
            <w:tcW w:w="1559" w:type="dxa"/>
            <w:tcBorders>
              <w:top w:val="nil"/>
              <w:left w:val="nil"/>
              <w:bottom w:val="nil"/>
              <w:right w:val="nil"/>
            </w:tcBorders>
            <w:shd w:val="clear" w:color="000000" w:fill="CCCCFF"/>
            <w:noWrap/>
            <w:vAlign w:val="bottom"/>
            <w:hideMark/>
          </w:tcPr>
          <w:p w14:paraId="4173763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6.067,78</w:t>
            </w:r>
          </w:p>
        </w:tc>
        <w:tc>
          <w:tcPr>
            <w:tcW w:w="993" w:type="dxa"/>
            <w:tcBorders>
              <w:top w:val="nil"/>
              <w:left w:val="nil"/>
              <w:bottom w:val="nil"/>
              <w:right w:val="nil"/>
            </w:tcBorders>
            <w:shd w:val="clear" w:color="000000" w:fill="CCCCFF"/>
            <w:noWrap/>
            <w:vAlign w:val="bottom"/>
            <w:hideMark/>
          </w:tcPr>
          <w:p w14:paraId="058A883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99,88%</w:t>
            </w:r>
          </w:p>
        </w:tc>
      </w:tr>
      <w:tr w:rsidR="006967F8" w:rsidRPr="006967F8" w14:paraId="5667C391" w14:textId="77777777" w:rsidTr="008A61B1">
        <w:trPr>
          <w:trHeight w:val="600"/>
        </w:trPr>
        <w:tc>
          <w:tcPr>
            <w:tcW w:w="1134" w:type="dxa"/>
            <w:tcBorders>
              <w:top w:val="nil"/>
              <w:left w:val="nil"/>
              <w:bottom w:val="nil"/>
              <w:right w:val="nil"/>
            </w:tcBorders>
            <w:noWrap/>
            <w:vAlign w:val="bottom"/>
            <w:hideMark/>
          </w:tcPr>
          <w:p w14:paraId="14B272B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1CE7C00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01BFB04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6.075,00</w:t>
            </w:r>
          </w:p>
        </w:tc>
        <w:tc>
          <w:tcPr>
            <w:tcW w:w="1559" w:type="dxa"/>
            <w:tcBorders>
              <w:top w:val="nil"/>
              <w:left w:val="nil"/>
              <w:bottom w:val="nil"/>
              <w:right w:val="nil"/>
            </w:tcBorders>
            <w:noWrap/>
            <w:vAlign w:val="bottom"/>
            <w:hideMark/>
          </w:tcPr>
          <w:p w14:paraId="31DB644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6.075,00</w:t>
            </w:r>
          </w:p>
        </w:tc>
        <w:tc>
          <w:tcPr>
            <w:tcW w:w="1559" w:type="dxa"/>
            <w:tcBorders>
              <w:top w:val="nil"/>
              <w:left w:val="nil"/>
              <w:bottom w:val="nil"/>
              <w:right w:val="nil"/>
            </w:tcBorders>
            <w:noWrap/>
            <w:vAlign w:val="bottom"/>
            <w:hideMark/>
          </w:tcPr>
          <w:p w14:paraId="48A387C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6.067,78</w:t>
            </w:r>
          </w:p>
        </w:tc>
        <w:tc>
          <w:tcPr>
            <w:tcW w:w="993" w:type="dxa"/>
            <w:tcBorders>
              <w:top w:val="nil"/>
              <w:left w:val="nil"/>
              <w:bottom w:val="nil"/>
              <w:right w:val="nil"/>
            </w:tcBorders>
            <w:noWrap/>
            <w:vAlign w:val="bottom"/>
            <w:hideMark/>
          </w:tcPr>
          <w:p w14:paraId="449D022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99,88%</w:t>
            </w:r>
          </w:p>
        </w:tc>
      </w:tr>
      <w:tr w:rsidR="006967F8" w:rsidRPr="006967F8" w14:paraId="5B2F2C6F" w14:textId="77777777" w:rsidTr="008A61B1">
        <w:trPr>
          <w:trHeight w:val="255"/>
        </w:trPr>
        <w:tc>
          <w:tcPr>
            <w:tcW w:w="1134" w:type="dxa"/>
            <w:tcBorders>
              <w:top w:val="nil"/>
              <w:left w:val="nil"/>
              <w:bottom w:val="nil"/>
              <w:right w:val="nil"/>
            </w:tcBorders>
            <w:noWrap/>
            <w:vAlign w:val="bottom"/>
            <w:hideMark/>
          </w:tcPr>
          <w:p w14:paraId="65C67D1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4213</w:t>
            </w:r>
          </w:p>
        </w:tc>
        <w:tc>
          <w:tcPr>
            <w:tcW w:w="4962" w:type="dxa"/>
            <w:tcBorders>
              <w:top w:val="nil"/>
              <w:left w:val="nil"/>
              <w:bottom w:val="nil"/>
              <w:right w:val="nil"/>
            </w:tcBorders>
            <w:noWrap/>
            <w:vAlign w:val="bottom"/>
            <w:hideMark/>
          </w:tcPr>
          <w:p w14:paraId="0ABAFA3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Ceste, željeznice i ostali prometni objekti</w:t>
            </w:r>
          </w:p>
        </w:tc>
        <w:tc>
          <w:tcPr>
            <w:tcW w:w="1559" w:type="dxa"/>
            <w:tcBorders>
              <w:top w:val="nil"/>
              <w:left w:val="nil"/>
              <w:bottom w:val="nil"/>
              <w:right w:val="nil"/>
            </w:tcBorders>
            <w:noWrap/>
            <w:vAlign w:val="bottom"/>
            <w:hideMark/>
          </w:tcPr>
          <w:p w14:paraId="421E9FD2"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BE614D4"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4B9E52E"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1.266,65</w:t>
            </w:r>
          </w:p>
        </w:tc>
        <w:tc>
          <w:tcPr>
            <w:tcW w:w="993" w:type="dxa"/>
            <w:tcBorders>
              <w:top w:val="nil"/>
              <w:left w:val="nil"/>
              <w:bottom w:val="nil"/>
              <w:right w:val="nil"/>
            </w:tcBorders>
            <w:noWrap/>
            <w:vAlign w:val="bottom"/>
            <w:hideMark/>
          </w:tcPr>
          <w:p w14:paraId="5A99D938"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9DAE459" w14:textId="77777777" w:rsidTr="008A61B1">
        <w:trPr>
          <w:trHeight w:val="255"/>
        </w:trPr>
        <w:tc>
          <w:tcPr>
            <w:tcW w:w="1134" w:type="dxa"/>
            <w:tcBorders>
              <w:top w:val="nil"/>
              <w:left w:val="nil"/>
              <w:bottom w:val="nil"/>
              <w:right w:val="nil"/>
            </w:tcBorders>
            <w:noWrap/>
            <w:vAlign w:val="bottom"/>
            <w:hideMark/>
          </w:tcPr>
          <w:p w14:paraId="3BC8782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4251</w:t>
            </w:r>
          </w:p>
        </w:tc>
        <w:tc>
          <w:tcPr>
            <w:tcW w:w="4962" w:type="dxa"/>
            <w:tcBorders>
              <w:top w:val="nil"/>
              <w:left w:val="nil"/>
              <w:bottom w:val="nil"/>
              <w:right w:val="nil"/>
            </w:tcBorders>
            <w:noWrap/>
            <w:vAlign w:val="bottom"/>
            <w:hideMark/>
          </w:tcPr>
          <w:p w14:paraId="14B6B4E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Višegodišnji nasadi</w:t>
            </w:r>
          </w:p>
        </w:tc>
        <w:tc>
          <w:tcPr>
            <w:tcW w:w="1559" w:type="dxa"/>
            <w:tcBorders>
              <w:top w:val="nil"/>
              <w:left w:val="nil"/>
              <w:bottom w:val="nil"/>
              <w:right w:val="nil"/>
            </w:tcBorders>
            <w:noWrap/>
            <w:vAlign w:val="bottom"/>
            <w:hideMark/>
          </w:tcPr>
          <w:p w14:paraId="4047E7DA"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196646C"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1974EFD"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4.801,13</w:t>
            </w:r>
          </w:p>
        </w:tc>
        <w:tc>
          <w:tcPr>
            <w:tcW w:w="993" w:type="dxa"/>
            <w:tcBorders>
              <w:top w:val="nil"/>
              <w:left w:val="nil"/>
              <w:bottom w:val="nil"/>
              <w:right w:val="nil"/>
            </w:tcBorders>
            <w:noWrap/>
            <w:vAlign w:val="bottom"/>
            <w:hideMark/>
          </w:tcPr>
          <w:p w14:paraId="44BE0BE3"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C72E397"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D76FED9"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091BC6D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24.275,00</w:t>
            </w:r>
          </w:p>
        </w:tc>
        <w:tc>
          <w:tcPr>
            <w:tcW w:w="1559" w:type="dxa"/>
            <w:tcBorders>
              <w:top w:val="nil"/>
              <w:left w:val="nil"/>
              <w:bottom w:val="nil"/>
              <w:right w:val="nil"/>
            </w:tcBorders>
            <w:shd w:val="clear" w:color="000000" w:fill="CCCCFF"/>
            <w:noWrap/>
            <w:vAlign w:val="bottom"/>
            <w:hideMark/>
          </w:tcPr>
          <w:p w14:paraId="09A7F14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24.275,00</w:t>
            </w:r>
          </w:p>
        </w:tc>
        <w:tc>
          <w:tcPr>
            <w:tcW w:w="1559" w:type="dxa"/>
            <w:tcBorders>
              <w:top w:val="nil"/>
              <w:left w:val="nil"/>
              <w:bottom w:val="nil"/>
              <w:right w:val="nil"/>
            </w:tcBorders>
            <w:shd w:val="clear" w:color="000000" w:fill="CCCCFF"/>
            <w:noWrap/>
            <w:vAlign w:val="bottom"/>
            <w:hideMark/>
          </w:tcPr>
          <w:p w14:paraId="0ADF51F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24.271,10</w:t>
            </w:r>
          </w:p>
        </w:tc>
        <w:tc>
          <w:tcPr>
            <w:tcW w:w="993" w:type="dxa"/>
            <w:tcBorders>
              <w:top w:val="nil"/>
              <w:left w:val="nil"/>
              <w:bottom w:val="nil"/>
              <w:right w:val="nil"/>
            </w:tcBorders>
            <w:shd w:val="clear" w:color="000000" w:fill="CCCCFF"/>
            <w:noWrap/>
            <w:vAlign w:val="bottom"/>
            <w:hideMark/>
          </w:tcPr>
          <w:p w14:paraId="3457195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99,98%</w:t>
            </w:r>
          </w:p>
        </w:tc>
      </w:tr>
      <w:tr w:rsidR="006967F8" w:rsidRPr="006967F8" w14:paraId="07BB70A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E91BCF2"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5.1. Ostale pomoći</w:t>
            </w:r>
          </w:p>
        </w:tc>
        <w:tc>
          <w:tcPr>
            <w:tcW w:w="1559" w:type="dxa"/>
            <w:tcBorders>
              <w:top w:val="nil"/>
              <w:left w:val="nil"/>
              <w:bottom w:val="nil"/>
              <w:right w:val="nil"/>
            </w:tcBorders>
            <w:shd w:val="clear" w:color="000000" w:fill="CCCCFF"/>
            <w:noWrap/>
            <w:vAlign w:val="bottom"/>
            <w:hideMark/>
          </w:tcPr>
          <w:p w14:paraId="280A666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24.275,00</w:t>
            </w:r>
          </w:p>
        </w:tc>
        <w:tc>
          <w:tcPr>
            <w:tcW w:w="1559" w:type="dxa"/>
            <w:tcBorders>
              <w:top w:val="nil"/>
              <w:left w:val="nil"/>
              <w:bottom w:val="nil"/>
              <w:right w:val="nil"/>
            </w:tcBorders>
            <w:shd w:val="clear" w:color="000000" w:fill="CCCCFF"/>
            <w:noWrap/>
            <w:vAlign w:val="bottom"/>
            <w:hideMark/>
          </w:tcPr>
          <w:p w14:paraId="3206889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24.275,00</w:t>
            </w:r>
          </w:p>
        </w:tc>
        <w:tc>
          <w:tcPr>
            <w:tcW w:w="1559" w:type="dxa"/>
            <w:tcBorders>
              <w:top w:val="nil"/>
              <w:left w:val="nil"/>
              <w:bottom w:val="nil"/>
              <w:right w:val="nil"/>
            </w:tcBorders>
            <w:shd w:val="clear" w:color="000000" w:fill="CCCCFF"/>
            <w:noWrap/>
            <w:vAlign w:val="bottom"/>
            <w:hideMark/>
          </w:tcPr>
          <w:p w14:paraId="3FB3755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24.271,10</w:t>
            </w:r>
          </w:p>
        </w:tc>
        <w:tc>
          <w:tcPr>
            <w:tcW w:w="993" w:type="dxa"/>
            <w:tcBorders>
              <w:top w:val="nil"/>
              <w:left w:val="nil"/>
              <w:bottom w:val="nil"/>
              <w:right w:val="nil"/>
            </w:tcBorders>
            <w:shd w:val="clear" w:color="000000" w:fill="CCCCFF"/>
            <w:noWrap/>
            <w:vAlign w:val="bottom"/>
            <w:hideMark/>
          </w:tcPr>
          <w:p w14:paraId="62A8FB3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99,98%</w:t>
            </w:r>
          </w:p>
        </w:tc>
      </w:tr>
      <w:tr w:rsidR="006967F8" w:rsidRPr="006967F8" w14:paraId="6005A7E6" w14:textId="77777777" w:rsidTr="008A61B1">
        <w:trPr>
          <w:trHeight w:val="570"/>
        </w:trPr>
        <w:tc>
          <w:tcPr>
            <w:tcW w:w="1134" w:type="dxa"/>
            <w:tcBorders>
              <w:top w:val="nil"/>
              <w:left w:val="nil"/>
              <w:bottom w:val="nil"/>
              <w:right w:val="nil"/>
            </w:tcBorders>
            <w:noWrap/>
            <w:vAlign w:val="bottom"/>
            <w:hideMark/>
          </w:tcPr>
          <w:p w14:paraId="3CDDD5E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2563652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712C03B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24.275,00</w:t>
            </w:r>
          </w:p>
        </w:tc>
        <w:tc>
          <w:tcPr>
            <w:tcW w:w="1559" w:type="dxa"/>
            <w:tcBorders>
              <w:top w:val="nil"/>
              <w:left w:val="nil"/>
              <w:bottom w:val="nil"/>
              <w:right w:val="nil"/>
            </w:tcBorders>
            <w:noWrap/>
            <w:vAlign w:val="bottom"/>
            <w:hideMark/>
          </w:tcPr>
          <w:p w14:paraId="4096B9E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24.275,00</w:t>
            </w:r>
          </w:p>
        </w:tc>
        <w:tc>
          <w:tcPr>
            <w:tcW w:w="1559" w:type="dxa"/>
            <w:tcBorders>
              <w:top w:val="nil"/>
              <w:left w:val="nil"/>
              <w:bottom w:val="nil"/>
              <w:right w:val="nil"/>
            </w:tcBorders>
            <w:noWrap/>
            <w:vAlign w:val="bottom"/>
            <w:hideMark/>
          </w:tcPr>
          <w:p w14:paraId="71669EA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24.271,10</w:t>
            </w:r>
          </w:p>
        </w:tc>
        <w:tc>
          <w:tcPr>
            <w:tcW w:w="993" w:type="dxa"/>
            <w:tcBorders>
              <w:top w:val="nil"/>
              <w:left w:val="nil"/>
              <w:bottom w:val="nil"/>
              <w:right w:val="nil"/>
            </w:tcBorders>
            <w:noWrap/>
            <w:vAlign w:val="bottom"/>
            <w:hideMark/>
          </w:tcPr>
          <w:p w14:paraId="08E1F87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99,98%</w:t>
            </w:r>
          </w:p>
        </w:tc>
      </w:tr>
      <w:tr w:rsidR="006967F8" w:rsidRPr="006967F8" w14:paraId="745F0FDE" w14:textId="77777777" w:rsidTr="008A61B1">
        <w:trPr>
          <w:trHeight w:val="255"/>
        </w:trPr>
        <w:tc>
          <w:tcPr>
            <w:tcW w:w="1134" w:type="dxa"/>
            <w:tcBorders>
              <w:top w:val="nil"/>
              <w:left w:val="nil"/>
              <w:bottom w:val="nil"/>
              <w:right w:val="nil"/>
            </w:tcBorders>
            <w:noWrap/>
            <w:vAlign w:val="bottom"/>
            <w:hideMark/>
          </w:tcPr>
          <w:p w14:paraId="5407050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4213</w:t>
            </w:r>
          </w:p>
        </w:tc>
        <w:tc>
          <w:tcPr>
            <w:tcW w:w="4962" w:type="dxa"/>
            <w:tcBorders>
              <w:top w:val="nil"/>
              <w:left w:val="nil"/>
              <w:bottom w:val="nil"/>
              <w:right w:val="nil"/>
            </w:tcBorders>
            <w:noWrap/>
            <w:vAlign w:val="bottom"/>
            <w:hideMark/>
          </w:tcPr>
          <w:p w14:paraId="2C58117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Ceste, željeznice i ostali prometni objekti</w:t>
            </w:r>
          </w:p>
        </w:tc>
        <w:tc>
          <w:tcPr>
            <w:tcW w:w="1559" w:type="dxa"/>
            <w:tcBorders>
              <w:top w:val="nil"/>
              <w:left w:val="nil"/>
              <w:bottom w:val="nil"/>
              <w:right w:val="nil"/>
            </w:tcBorders>
            <w:noWrap/>
            <w:vAlign w:val="bottom"/>
            <w:hideMark/>
          </w:tcPr>
          <w:p w14:paraId="49A3DA9A"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E0618E4"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AF5BF97"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5.066,60</w:t>
            </w:r>
          </w:p>
        </w:tc>
        <w:tc>
          <w:tcPr>
            <w:tcW w:w="993" w:type="dxa"/>
            <w:tcBorders>
              <w:top w:val="nil"/>
              <w:left w:val="nil"/>
              <w:bottom w:val="nil"/>
              <w:right w:val="nil"/>
            </w:tcBorders>
            <w:noWrap/>
            <w:vAlign w:val="bottom"/>
            <w:hideMark/>
          </w:tcPr>
          <w:p w14:paraId="00C3D8C1"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1C17C94" w14:textId="77777777" w:rsidTr="008A61B1">
        <w:trPr>
          <w:trHeight w:val="255"/>
        </w:trPr>
        <w:tc>
          <w:tcPr>
            <w:tcW w:w="1134" w:type="dxa"/>
            <w:tcBorders>
              <w:top w:val="nil"/>
              <w:left w:val="nil"/>
              <w:bottom w:val="nil"/>
              <w:right w:val="nil"/>
            </w:tcBorders>
            <w:noWrap/>
            <w:vAlign w:val="bottom"/>
            <w:hideMark/>
          </w:tcPr>
          <w:p w14:paraId="7DF0BAD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4251</w:t>
            </w:r>
          </w:p>
        </w:tc>
        <w:tc>
          <w:tcPr>
            <w:tcW w:w="4962" w:type="dxa"/>
            <w:tcBorders>
              <w:top w:val="nil"/>
              <w:left w:val="nil"/>
              <w:bottom w:val="nil"/>
              <w:right w:val="nil"/>
            </w:tcBorders>
            <w:noWrap/>
            <w:vAlign w:val="bottom"/>
            <w:hideMark/>
          </w:tcPr>
          <w:p w14:paraId="173CFE5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Višegodišnji nasadi</w:t>
            </w:r>
          </w:p>
        </w:tc>
        <w:tc>
          <w:tcPr>
            <w:tcW w:w="1559" w:type="dxa"/>
            <w:tcBorders>
              <w:top w:val="nil"/>
              <w:left w:val="nil"/>
              <w:bottom w:val="nil"/>
              <w:right w:val="nil"/>
            </w:tcBorders>
            <w:noWrap/>
            <w:vAlign w:val="bottom"/>
            <w:hideMark/>
          </w:tcPr>
          <w:p w14:paraId="19F4F0B2"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4C2A7E4"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AAFBDC2"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19.204,50</w:t>
            </w:r>
          </w:p>
        </w:tc>
        <w:tc>
          <w:tcPr>
            <w:tcW w:w="993" w:type="dxa"/>
            <w:tcBorders>
              <w:top w:val="nil"/>
              <w:left w:val="nil"/>
              <w:bottom w:val="nil"/>
              <w:right w:val="nil"/>
            </w:tcBorders>
            <w:noWrap/>
            <w:vAlign w:val="bottom"/>
            <w:hideMark/>
          </w:tcPr>
          <w:p w14:paraId="630F6C7A"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B37CC8D" w14:textId="77777777" w:rsidTr="008A61B1">
        <w:trPr>
          <w:trHeight w:val="540"/>
        </w:trPr>
        <w:tc>
          <w:tcPr>
            <w:tcW w:w="1134" w:type="dxa"/>
            <w:tcBorders>
              <w:top w:val="nil"/>
              <w:left w:val="nil"/>
              <w:bottom w:val="nil"/>
              <w:right w:val="nil"/>
            </w:tcBorders>
            <w:shd w:val="clear" w:color="000000" w:fill="FFFF99"/>
            <w:noWrap/>
            <w:vAlign w:val="bottom"/>
            <w:hideMark/>
          </w:tcPr>
          <w:p w14:paraId="56D5280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K100212</w:t>
            </w:r>
          </w:p>
        </w:tc>
        <w:tc>
          <w:tcPr>
            <w:tcW w:w="4962" w:type="dxa"/>
            <w:tcBorders>
              <w:top w:val="nil"/>
              <w:left w:val="nil"/>
              <w:bottom w:val="nil"/>
              <w:right w:val="nil"/>
            </w:tcBorders>
            <w:shd w:val="clear" w:color="000000" w:fill="FFFF99"/>
            <w:vAlign w:val="bottom"/>
            <w:hideMark/>
          </w:tcPr>
          <w:p w14:paraId="4A6EAFA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Kapitalni projekt: DUŽOBALNA BICIKLISTIČKA STAZA I  ŠETNICA NA PODRUČJU BRIGI-LOKVICE </w:t>
            </w:r>
          </w:p>
        </w:tc>
        <w:tc>
          <w:tcPr>
            <w:tcW w:w="1559" w:type="dxa"/>
            <w:tcBorders>
              <w:top w:val="nil"/>
              <w:left w:val="nil"/>
              <w:bottom w:val="nil"/>
              <w:right w:val="nil"/>
            </w:tcBorders>
            <w:shd w:val="clear" w:color="000000" w:fill="FFFF99"/>
            <w:noWrap/>
            <w:vAlign w:val="bottom"/>
            <w:hideMark/>
          </w:tcPr>
          <w:p w14:paraId="13564CB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275.000,00</w:t>
            </w:r>
          </w:p>
        </w:tc>
        <w:tc>
          <w:tcPr>
            <w:tcW w:w="1559" w:type="dxa"/>
            <w:tcBorders>
              <w:top w:val="nil"/>
              <w:left w:val="nil"/>
              <w:bottom w:val="nil"/>
              <w:right w:val="nil"/>
            </w:tcBorders>
            <w:shd w:val="clear" w:color="000000" w:fill="FFFF99"/>
            <w:noWrap/>
            <w:vAlign w:val="bottom"/>
            <w:hideMark/>
          </w:tcPr>
          <w:p w14:paraId="70CA3CF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275.000,00</w:t>
            </w:r>
          </w:p>
        </w:tc>
        <w:tc>
          <w:tcPr>
            <w:tcW w:w="1559" w:type="dxa"/>
            <w:tcBorders>
              <w:top w:val="nil"/>
              <w:left w:val="nil"/>
              <w:bottom w:val="nil"/>
              <w:right w:val="nil"/>
            </w:tcBorders>
            <w:shd w:val="clear" w:color="000000" w:fill="FFFF99"/>
            <w:noWrap/>
            <w:vAlign w:val="bottom"/>
            <w:hideMark/>
          </w:tcPr>
          <w:p w14:paraId="199258F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201.554,50</w:t>
            </w:r>
          </w:p>
        </w:tc>
        <w:tc>
          <w:tcPr>
            <w:tcW w:w="993" w:type="dxa"/>
            <w:tcBorders>
              <w:top w:val="nil"/>
              <w:left w:val="nil"/>
              <w:bottom w:val="nil"/>
              <w:right w:val="nil"/>
            </w:tcBorders>
            <w:shd w:val="clear" w:color="000000" w:fill="FFFF99"/>
            <w:noWrap/>
            <w:vAlign w:val="bottom"/>
            <w:hideMark/>
          </w:tcPr>
          <w:p w14:paraId="1E6C48F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73,29%</w:t>
            </w:r>
          </w:p>
        </w:tc>
      </w:tr>
      <w:tr w:rsidR="006967F8" w:rsidRPr="006967F8" w14:paraId="54FCFE09"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6AF0620"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638AEFB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641AFD2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7A6E611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7.019,06</w:t>
            </w:r>
          </w:p>
        </w:tc>
        <w:tc>
          <w:tcPr>
            <w:tcW w:w="993" w:type="dxa"/>
            <w:tcBorders>
              <w:top w:val="nil"/>
              <w:left w:val="nil"/>
              <w:bottom w:val="nil"/>
              <w:right w:val="nil"/>
            </w:tcBorders>
            <w:shd w:val="clear" w:color="000000" w:fill="CCCCFF"/>
            <w:noWrap/>
            <w:vAlign w:val="bottom"/>
            <w:hideMark/>
          </w:tcPr>
          <w:p w14:paraId="778F715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35,10%</w:t>
            </w:r>
          </w:p>
        </w:tc>
      </w:tr>
      <w:tr w:rsidR="006967F8" w:rsidRPr="006967F8" w14:paraId="150F1207"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8AA85DA"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10DDA2D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21BDA14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02E0BB9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7.019,06</w:t>
            </w:r>
          </w:p>
        </w:tc>
        <w:tc>
          <w:tcPr>
            <w:tcW w:w="993" w:type="dxa"/>
            <w:tcBorders>
              <w:top w:val="nil"/>
              <w:left w:val="nil"/>
              <w:bottom w:val="nil"/>
              <w:right w:val="nil"/>
            </w:tcBorders>
            <w:shd w:val="clear" w:color="000000" w:fill="CCCCFF"/>
            <w:noWrap/>
            <w:vAlign w:val="bottom"/>
            <w:hideMark/>
          </w:tcPr>
          <w:p w14:paraId="028A774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35,10%</w:t>
            </w:r>
          </w:p>
        </w:tc>
      </w:tr>
      <w:tr w:rsidR="006967F8" w:rsidRPr="006967F8" w14:paraId="407D2A72" w14:textId="77777777" w:rsidTr="008A61B1">
        <w:trPr>
          <w:trHeight w:val="585"/>
        </w:trPr>
        <w:tc>
          <w:tcPr>
            <w:tcW w:w="1134" w:type="dxa"/>
            <w:tcBorders>
              <w:top w:val="nil"/>
              <w:left w:val="nil"/>
              <w:bottom w:val="nil"/>
              <w:right w:val="nil"/>
            </w:tcBorders>
            <w:noWrap/>
            <w:vAlign w:val="bottom"/>
            <w:hideMark/>
          </w:tcPr>
          <w:p w14:paraId="7E334D3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1126DFF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1B69EC9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noWrap/>
            <w:vAlign w:val="bottom"/>
            <w:hideMark/>
          </w:tcPr>
          <w:p w14:paraId="49A6B7C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noWrap/>
            <w:vAlign w:val="bottom"/>
            <w:hideMark/>
          </w:tcPr>
          <w:p w14:paraId="1BE5DD8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7.019,06</w:t>
            </w:r>
          </w:p>
        </w:tc>
        <w:tc>
          <w:tcPr>
            <w:tcW w:w="993" w:type="dxa"/>
            <w:tcBorders>
              <w:top w:val="nil"/>
              <w:left w:val="nil"/>
              <w:bottom w:val="nil"/>
              <w:right w:val="nil"/>
            </w:tcBorders>
            <w:noWrap/>
            <w:vAlign w:val="bottom"/>
            <w:hideMark/>
          </w:tcPr>
          <w:p w14:paraId="5C6F9A3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35,10%</w:t>
            </w:r>
          </w:p>
        </w:tc>
      </w:tr>
      <w:tr w:rsidR="006967F8" w:rsidRPr="006967F8" w14:paraId="6602BD6D" w14:textId="77777777" w:rsidTr="008A61B1">
        <w:trPr>
          <w:trHeight w:val="255"/>
        </w:trPr>
        <w:tc>
          <w:tcPr>
            <w:tcW w:w="1134" w:type="dxa"/>
            <w:tcBorders>
              <w:top w:val="nil"/>
              <w:left w:val="nil"/>
              <w:bottom w:val="nil"/>
              <w:right w:val="nil"/>
            </w:tcBorders>
            <w:noWrap/>
            <w:vAlign w:val="bottom"/>
            <w:hideMark/>
          </w:tcPr>
          <w:p w14:paraId="1CD21CC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4213</w:t>
            </w:r>
          </w:p>
        </w:tc>
        <w:tc>
          <w:tcPr>
            <w:tcW w:w="4962" w:type="dxa"/>
            <w:tcBorders>
              <w:top w:val="nil"/>
              <w:left w:val="nil"/>
              <w:bottom w:val="nil"/>
              <w:right w:val="nil"/>
            </w:tcBorders>
            <w:noWrap/>
            <w:vAlign w:val="bottom"/>
            <w:hideMark/>
          </w:tcPr>
          <w:p w14:paraId="43A79F9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Ceste, željeznice i ostali prometni objekti</w:t>
            </w:r>
          </w:p>
        </w:tc>
        <w:tc>
          <w:tcPr>
            <w:tcW w:w="1559" w:type="dxa"/>
            <w:tcBorders>
              <w:top w:val="nil"/>
              <w:left w:val="nil"/>
              <w:bottom w:val="nil"/>
              <w:right w:val="nil"/>
            </w:tcBorders>
            <w:noWrap/>
            <w:vAlign w:val="bottom"/>
            <w:hideMark/>
          </w:tcPr>
          <w:p w14:paraId="10A249C3"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CF47284"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8DA0008"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7.019,06</w:t>
            </w:r>
          </w:p>
        </w:tc>
        <w:tc>
          <w:tcPr>
            <w:tcW w:w="993" w:type="dxa"/>
            <w:tcBorders>
              <w:top w:val="nil"/>
              <w:left w:val="nil"/>
              <w:bottom w:val="nil"/>
              <w:right w:val="nil"/>
            </w:tcBorders>
            <w:noWrap/>
            <w:vAlign w:val="bottom"/>
            <w:hideMark/>
          </w:tcPr>
          <w:p w14:paraId="2E3FF0B9"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4FFF2B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229DEBC"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6B52877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255.000,00</w:t>
            </w:r>
          </w:p>
        </w:tc>
        <w:tc>
          <w:tcPr>
            <w:tcW w:w="1559" w:type="dxa"/>
            <w:tcBorders>
              <w:top w:val="nil"/>
              <w:left w:val="nil"/>
              <w:bottom w:val="nil"/>
              <w:right w:val="nil"/>
            </w:tcBorders>
            <w:shd w:val="clear" w:color="000000" w:fill="CCCCFF"/>
            <w:noWrap/>
            <w:vAlign w:val="bottom"/>
            <w:hideMark/>
          </w:tcPr>
          <w:p w14:paraId="5824EBA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255.000,00</w:t>
            </w:r>
          </w:p>
        </w:tc>
        <w:tc>
          <w:tcPr>
            <w:tcW w:w="1559" w:type="dxa"/>
            <w:tcBorders>
              <w:top w:val="nil"/>
              <w:left w:val="nil"/>
              <w:bottom w:val="nil"/>
              <w:right w:val="nil"/>
            </w:tcBorders>
            <w:shd w:val="clear" w:color="000000" w:fill="CCCCFF"/>
            <w:noWrap/>
            <w:vAlign w:val="bottom"/>
            <w:hideMark/>
          </w:tcPr>
          <w:p w14:paraId="1B7046E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194.535,44</w:t>
            </w:r>
          </w:p>
        </w:tc>
        <w:tc>
          <w:tcPr>
            <w:tcW w:w="993" w:type="dxa"/>
            <w:tcBorders>
              <w:top w:val="nil"/>
              <w:left w:val="nil"/>
              <w:bottom w:val="nil"/>
              <w:right w:val="nil"/>
            </w:tcBorders>
            <w:shd w:val="clear" w:color="000000" w:fill="CCCCFF"/>
            <w:noWrap/>
            <w:vAlign w:val="bottom"/>
            <w:hideMark/>
          </w:tcPr>
          <w:p w14:paraId="3D5C9D0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76,29%</w:t>
            </w:r>
          </w:p>
        </w:tc>
      </w:tr>
      <w:tr w:rsidR="006967F8" w:rsidRPr="006967F8" w14:paraId="4C00FFFC"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A0F885D"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5.1. Ostale pomoći</w:t>
            </w:r>
          </w:p>
        </w:tc>
        <w:tc>
          <w:tcPr>
            <w:tcW w:w="1559" w:type="dxa"/>
            <w:tcBorders>
              <w:top w:val="nil"/>
              <w:left w:val="nil"/>
              <w:bottom w:val="nil"/>
              <w:right w:val="nil"/>
            </w:tcBorders>
            <w:shd w:val="clear" w:color="000000" w:fill="CCCCFF"/>
            <w:noWrap/>
            <w:vAlign w:val="bottom"/>
            <w:hideMark/>
          </w:tcPr>
          <w:p w14:paraId="10EF138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255.000,00</w:t>
            </w:r>
          </w:p>
        </w:tc>
        <w:tc>
          <w:tcPr>
            <w:tcW w:w="1559" w:type="dxa"/>
            <w:tcBorders>
              <w:top w:val="nil"/>
              <w:left w:val="nil"/>
              <w:bottom w:val="nil"/>
              <w:right w:val="nil"/>
            </w:tcBorders>
            <w:shd w:val="clear" w:color="000000" w:fill="CCCCFF"/>
            <w:noWrap/>
            <w:vAlign w:val="bottom"/>
            <w:hideMark/>
          </w:tcPr>
          <w:p w14:paraId="3ECC0CC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255.000,00</w:t>
            </w:r>
          </w:p>
        </w:tc>
        <w:tc>
          <w:tcPr>
            <w:tcW w:w="1559" w:type="dxa"/>
            <w:tcBorders>
              <w:top w:val="nil"/>
              <w:left w:val="nil"/>
              <w:bottom w:val="nil"/>
              <w:right w:val="nil"/>
            </w:tcBorders>
            <w:shd w:val="clear" w:color="000000" w:fill="CCCCFF"/>
            <w:noWrap/>
            <w:vAlign w:val="bottom"/>
            <w:hideMark/>
          </w:tcPr>
          <w:p w14:paraId="35135B7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194.535,44</w:t>
            </w:r>
          </w:p>
        </w:tc>
        <w:tc>
          <w:tcPr>
            <w:tcW w:w="993" w:type="dxa"/>
            <w:tcBorders>
              <w:top w:val="nil"/>
              <w:left w:val="nil"/>
              <w:bottom w:val="nil"/>
              <w:right w:val="nil"/>
            </w:tcBorders>
            <w:shd w:val="clear" w:color="000000" w:fill="CCCCFF"/>
            <w:noWrap/>
            <w:vAlign w:val="bottom"/>
            <w:hideMark/>
          </w:tcPr>
          <w:p w14:paraId="42A8423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76,29%</w:t>
            </w:r>
          </w:p>
        </w:tc>
      </w:tr>
      <w:tr w:rsidR="006967F8" w:rsidRPr="006967F8" w14:paraId="2CF3ADEF" w14:textId="77777777" w:rsidTr="008A61B1">
        <w:trPr>
          <w:trHeight w:val="510"/>
        </w:trPr>
        <w:tc>
          <w:tcPr>
            <w:tcW w:w="1134" w:type="dxa"/>
            <w:tcBorders>
              <w:top w:val="nil"/>
              <w:left w:val="nil"/>
              <w:bottom w:val="nil"/>
              <w:right w:val="nil"/>
            </w:tcBorders>
            <w:noWrap/>
            <w:vAlign w:val="bottom"/>
            <w:hideMark/>
          </w:tcPr>
          <w:p w14:paraId="5D6955B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lastRenderedPageBreak/>
              <w:t>42</w:t>
            </w:r>
          </w:p>
        </w:tc>
        <w:tc>
          <w:tcPr>
            <w:tcW w:w="4962" w:type="dxa"/>
            <w:tcBorders>
              <w:top w:val="nil"/>
              <w:left w:val="nil"/>
              <w:bottom w:val="nil"/>
              <w:right w:val="nil"/>
            </w:tcBorders>
            <w:vAlign w:val="bottom"/>
            <w:hideMark/>
          </w:tcPr>
          <w:p w14:paraId="2D0B22C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1F42147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255.000,00</w:t>
            </w:r>
          </w:p>
        </w:tc>
        <w:tc>
          <w:tcPr>
            <w:tcW w:w="1559" w:type="dxa"/>
            <w:tcBorders>
              <w:top w:val="nil"/>
              <w:left w:val="nil"/>
              <w:bottom w:val="nil"/>
              <w:right w:val="nil"/>
            </w:tcBorders>
            <w:noWrap/>
            <w:vAlign w:val="bottom"/>
            <w:hideMark/>
          </w:tcPr>
          <w:p w14:paraId="45171F5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255.000,00</w:t>
            </w:r>
          </w:p>
        </w:tc>
        <w:tc>
          <w:tcPr>
            <w:tcW w:w="1559" w:type="dxa"/>
            <w:tcBorders>
              <w:top w:val="nil"/>
              <w:left w:val="nil"/>
              <w:bottom w:val="nil"/>
              <w:right w:val="nil"/>
            </w:tcBorders>
            <w:noWrap/>
            <w:vAlign w:val="bottom"/>
            <w:hideMark/>
          </w:tcPr>
          <w:p w14:paraId="231978B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194.535,44</w:t>
            </w:r>
          </w:p>
        </w:tc>
        <w:tc>
          <w:tcPr>
            <w:tcW w:w="993" w:type="dxa"/>
            <w:tcBorders>
              <w:top w:val="nil"/>
              <w:left w:val="nil"/>
              <w:bottom w:val="nil"/>
              <w:right w:val="nil"/>
            </w:tcBorders>
            <w:noWrap/>
            <w:vAlign w:val="bottom"/>
            <w:hideMark/>
          </w:tcPr>
          <w:p w14:paraId="2337C0F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76,29%</w:t>
            </w:r>
          </w:p>
        </w:tc>
      </w:tr>
      <w:tr w:rsidR="006967F8" w:rsidRPr="006967F8" w14:paraId="6657D810" w14:textId="77777777" w:rsidTr="008A61B1">
        <w:trPr>
          <w:trHeight w:val="255"/>
        </w:trPr>
        <w:tc>
          <w:tcPr>
            <w:tcW w:w="1134" w:type="dxa"/>
            <w:tcBorders>
              <w:top w:val="nil"/>
              <w:left w:val="nil"/>
              <w:bottom w:val="nil"/>
              <w:right w:val="nil"/>
            </w:tcBorders>
            <w:noWrap/>
            <w:vAlign w:val="bottom"/>
            <w:hideMark/>
          </w:tcPr>
          <w:p w14:paraId="1B64859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4213</w:t>
            </w:r>
          </w:p>
        </w:tc>
        <w:tc>
          <w:tcPr>
            <w:tcW w:w="4962" w:type="dxa"/>
            <w:tcBorders>
              <w:top w:val="nil"/>
              <w:left w:val="nil"/>
              <w:bottom w:val="nil"/>
              <w:right w:val="nil"/>
            </w:tcBorders>
            <w:noWrap/>
            <w:vAlign w:val="bottom"/>
            <w:hideMark/>
          </w:tcPr>
          <w:p w14:paraId="7A669F1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Ceste, željeznice i ostali prometni objekti</w:t>
            </w:r>
          </w:p>
        </w:tc>
        <w:tc>
          <w:tcPr>
            <w:tcW w:w="1559" w:type="dxa"/>
            <w:tcBorders>
              <w:top w:val="nil"/>
              <w:left w:val="nil"/>
              <w:bottom w:val="nil"/>
              <w:right w:val="nil"/>
            </w:tcBorders>
            <w:noWrap/>
            <w:vAlign w:val="bottom"/>
            <w:hideMark/>
          </w:tcPr>
          <w:p w14:paraId="4DF13082"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8DEC345"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4F5F1F3"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194.535,44</w:t>
            </w:r>
          </w:p>
        </w:tc>
        <w:tc>
          <w:tcPr>
            <w:tcW w:w="993" w:type="dxa"/>
            <w:tcBorders>
              <w:top w:val="nil"/>
              <w:left w:val="nil"/>
              <w:bottom w:val="nil"/>
              <w:right w:val="nil"/>
            </w:tcBorders>
            <w:noWrap/>
            <w:vAlign w:val="bottom"/>
            <w:hideMark/>
          </w:tcPr>
          <w:p w14:paraId="7A4FE6D8"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15BC99C" w14:textId="77777777" w:rsidTr="008A61B1">
        <w:trPr>
          <w:trHeight w:val="255"/>
        </w:trPr>
        <w:tc>
          <w:tcPr>
            <w:tcW w:w="1134" w:type="dxa"/>
            <w:tcBorders>
              <w:top w:val="nil"/>
              <w:left w:val="nil"/>
              <w:bottom w:val="nil"/>
              <w:right w:val="nil"/>
            </w:tcBorders>
            <w:shd w:val="clear" w:color="000000" w:fill="FFFF99"/>
            <w:noWrap/>
            <w:vAlign w:val="bottom"/>
            <w:hideMark/>
          </w:tcPr>
          <w:p w14:paraId="5308D7B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K100300</w:t>
            </w:r>
          </w:p>
        </w:tc>
        <w:tc>
          <w:tcPr>
            <w:tcW w:w="4962" w:type="dxa"/>
            <w:tcBorders>
              <w:top w:val="nil"/>
              <w:left w:val="nil"/>
              <w:bottom w:val="nil"/>
              <w:right w:val="nil"/>
            </w:tcBorders>
            <w:shd w:val="clear" w:color="000000" w:fill="FFFF99"/>
            <w:noWrap/>
            <w:vAlign w:val="bottom"/>
            <w:hideMark/>
          </w:tcPr>
          <w:p w14:paraId="15489BF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Kapitalni projekt: IZGRADNJA JAVNE RASVJETE </w:t>
            </w:r>
          </w:p>
        </w:tc>
        <w:tc>
          <w:tcPr>
            <w:tcW w:w="1559" w:type="dxa"/>
            <w:tcBorders>
              <w:top w:val="nil"/>
              <w:left w:val="nil"/>
              <w:bottom w:val="nil"/>
              <w:right w:val="nil"/>
            </w:tcBorders>
            <w:shd w:val="clear" w:color="000000" w:fill="FFFF99"/>
            <w:noWrap/>
            <w:vAlign w:val="bottom"/>
            <w:hideMark/>
          </w:tcPr>
          <w:p w14:paraId="1D95133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134.885,00</w:t>
            </w:r>
          </w:p>
        </w:tc>
        <w:tc>
          <w:tcPr>
            <w:tcW w:w="1559" w:type="dxa"/>
            <w:tcBorders>
              <w:top w:val="nil"/>
              <w:left w:val="nil"/>
              <w:bottom w:val="nil"/>
              <w:right w:val="nil"/>
            </w:tcBorders>
            <w:shd w:val="clear" w:color="000000" w:fill="FFFF99"/>
            <w:noWrap/>
            <w:vAlign w:val="bottom"/>
            <w:hideMark/>
          </w:tcPr>
          <w:p w14:paraId="7B0E60A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134.885,00</w:t>
            </w:r>
          </w:p>
        </w:tc>
        <w:tc>
          <w:tcPr>
            <w:tcW w:w="1559" w:type="dxa"/>
            <w:tcBorders>
              <w:top w:val="nil"/>
              <w:left w:val="nil"/>
              <w:bottom w:val="nil"/>
              <w:right w:val="nil"/>
            </w:tcBorders>
            <w:shd w:val="clear" w:color="000000" w:fill="FFFF99"/>
            <w:noWrap/>
            <w:vAlign w:val="bottom"/>
            <w:hideMark/>
          </w:tcPr>
          <w:p w14:paraId="719E80F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127.821,38</w:t>
            </w:r>
          </w:p>
        </w:tc>
        <w:tc>
          <w:tcPr>
            <w:tcW w:w="993" w:type="dxa"/>
            <w:tcBorders>
              <w:top w:val="nil"/>
              <w:left w:val="nil"/>
              <w:bottom w:val="nil"/>
              <w:right w:val="nil"/>
            </w:tcBorders>
            <w:shd w:val="clear" w:color="000000" w:fill="FFFF99"/>
            <w:noWrap/>
            <w:vAlign w:val="bottom"/>
            <w:hideMark/>
          </w:tcPr>
          <w:p w14:paraId="68C67AA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94,76%</w:t>
            </w:r>
          </w:p>
        </w:tc>
      </w:tr>
      <w:tr w:rsidR="006967F8" w:rsidRPr="006967F8" w14:paraId="12ECBEDB"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9522BF4"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406D180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134.885,00</w:t>
            </w:r>
          </w:p>
        </w:tc>
        <w:tc>
          <w:tcPr>
            <w:tcW w:w="1559" w:type="dxa"/>
            <w:tcBorders>
              <w:top w:val="nil"/>
              <w:left w:val="nil"/>
              <w:bottom w:val="nil"/>
              <w:right w:val="nil"/>
            </w:tcBorders>
            <w:shd w:val="clear" w:color="000000" w:fill="CCCCFF"/>
            <w:noWrap/>
            <w:vAlign w:val="bottom"/>
            <w:hideMark/>
          </w:tcPr>
          <w:p w14:paraId="343F2C4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134.885,00</w:t>
            </w:r>
          </w:p>
        </w:tc>
        <w:tc>
          <w:tcPr>
            <w:tcW w:w="1559" w:type="dxa"/>
            <w:tcBorders>
              <w:top w:val="nil"/>
              <w:left w:val="nil"/>
              <w:bottom w:val="nil"/>
              <w:right w:val="nil"/>
            </w:tcBorders>
            <w:shd w:val="clear" w:color="000000" w:fill="CCCCFF"/>
            <w:noWrap/>
            <w:vAlign w:val="bottom"/>
            <w:hideMark/>
          </w:tcPr>
          <w:p w14:paraId="76920C3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127.821,38</w:t>
            </w:r>
          </w:p>
        </w:tc>
        <w:tc>
          <w:tcPr>
            <w:tcW w:w="993" w:type="dxa"/>
            <w:tcBorders>
              <w:top w:val="nil"/>
              <w:left w:val="nil"/>
              <w:bottom w:val="nil"/>
              <w:right w:val="nil"/>
            </w:tcBorders>
            <w:shd w:val="clear" w:color="000000" w:fill="CCCCFF"/>
            <w:noWrap/>
            <w:vAlign w:val="bottom"/>
            <w:hideMark/>
          </w:tcPr>
          <w:p w14:paraId="5BEC4A5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94,76%</w:t>
            </w:r>
          </w:p>
        </w:tc>
      </w:tr>
      <w:tr w:rsidR="006967F8" w:rsidRPr="006967F8" w14:paraId="0276E2C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F628378"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215A570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134.885,00</w:t>
            </w:r>
          </w:p>
        </w:tc>
        <w:tc>
          <w:tcPr>
            <w:tcW w:w="1559" w:type="dxa"/>
            <w:tcBorders>
              <w:top w:val="nil"/>
              <w:left w:val="nil"/>
              <w:bottom w:val="nil"/>
              <w:right w:val="nil"/>
            </w:tcBorders>
            <w:shd w:val="clear" w:color="000000" w:fill="CCCCFF"/>
            <w:noWrap/>
            <w:vAlign w:val="bottom"/>
            <w:hideMark/>
          </w:tcPr>
          <w:p w14:paraId="21C894F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134.885,00</w:t>
            </w:r>
          </w:p>
        </w:tc>
        <w:tc>
          <w:tcPr>
            <w:tcW w:w="1559" w:type="dxa"/>
            <w:tcBorders>
              <w:top w:val="nil"/>
              <w:left w:val="nil"/>
              <w:bottom w:val="nil"/>
              <w:right w:val="nil"/>
            </w:tcBorders>
            <w:shd w:val="clear" w:color="000000" w:fill="CCCCFF"/>
            <w:noWrap/>
            <w:vAlign w:val="bottom"/>
            <w:hideMark/>
          </w:tcPr>
          <w:p w14:paraId="2708564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127.821,38</w:t>
            </w:r>
          </w:p>
        </w:tc>
        <w:tc>
          <w:tcPr>
            <w:tcW w:w="993" w:type="dxa"/>
            <w:tcBorders>
              <w:top w:val="nil"/>
              <w:left w:val="nil"/>
              <w:bottom w:val="nil"/>
              <w:right w:val="nil"/>
            </w:tcBorders>
            <w:shd w:val="clear" w:color="000000" w:fill="CCCCFF"/>
            <w:noWrap/>
            <w:vAlign w:val="bottom"/>
            <w:hideMark/>
          </w:tcPr>
          <w:p w14:paraId="05E377C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94,76%</w:t>
            </w:r>
          </w:p>
        </w:tc>
      </w:tr>
      <w:tr w:rsidR="006967F8" w:rsidRPr="006967F8" w14:paraId="3359B9F0" w14:textId="77777777" w:rsidTr="008A61B1">
        <w:trPr>
          <w:trHeight w:val="525"/>
        </w:trPr>
        <w:tc>
          <w:tcPr>
            <w:tcW w:w="1134" w:type="dxa"/>
            <w:tcBorders>
              <w:top w:val="nil"/>
              <w:left w:val="nil"/>
              <w:bottom w:val="nil"/>
              <w:right w:val="nil"/>
            </w:tcBorders>
            <w:noWrap/>
            <w:vAlign w:val="bottom"/>
            <w:hideMark/>
          </w:tcPr>
          <w:p w14:paraId="25E71C8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2E3E22E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20CE3A8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134.885,00</w:t>
            </w:r>
          </w:p>
        </w:tc>
        <w:tc>
          <w:tcPr>
            <w:tcW w:w="1559" w:type="dxa"/>
            <w:tcBorders>
              <w:top w:val="nil"/>
              <w:left w:val="nil"/>
              <w:bottom w:val="nil"/>
              <w:right w:val="nil"/>
            </w:tcBorders>
            <w:noWrap/>
            <w:vAlign w:val="bottom"/>
            <w:hideMark/>
          </w:tcPr>
          <w:p w14:paraId="22A75C5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134.885,00</w:t>
            </w:r>
          </w:p>
        </w:tc>
        <w:tc>
          <w:tcPr>
            <w:tcW w:w="1559" w:type="dxa"/>
            <w:tcBorders>
              <w:top w:val="nil"/>
              <w:left w:val="nil"/>
              <w:bottom w:val="nil"/>
              <w:right w:val="nil"/>
            </w:tcBorders>
            <w:noWrap/>
            <w:vAlign w:val="bottom"/>
            <w:hideMark/>
          </w:tcPr>
          <w:p w14:paraId="098EBB5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127.821,38</w:t>
            </w:r>
          </w:p>
        </w:tc>
        <w:tc>
          <w:tcPr>
            <w:tcW w:w="993" w:type="dxa"/>
            <w:tcBorders>
              <w:top w:val="nil"/>
              <w:left w:val="nil"/>
              <w:bottom w:val="nil"/>
              <w:right w:val="nil"/>
            </w:tcBorders>
            <w:noWrap/>
            <w:vAlign w:val="bottom"/>
            <w:hideMark/>
          </w:tcPr>
          <w:p w14:paraId="43B5DFD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94,76%</w:t>
            </w:r>
          </w:p>
        </w:tc>
      </w:tr>
      <w:tr w:rsidR="006967F8" w:rsidRPr="006967F8" w14:paraId="6D8AFBEE" w14:textId="77777777" w:rsidTr="008A61B1">
        <w:trPr>
          <w:trHeight w:val="255"/>
        </w:trPr>
        <w:tc>
          <w:tcPr>
            <w:tcW w:w="1134" w:type="dxa"/>
            <w:tcBorders>
              <w:top w:val="nil"/>
              <w:left w:val="nil"/>
              <w:bottom w:val="nil"/>
              <w:right w:val="nil"/>
            </w:tcBorders>
            <w:noWrap/>
            <w:vAlign w:val="bottom"/>
            <w:hideMark/>
          </w:tcPr>
          <w:p w14:paraId="143EFCD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4214</w:t>
            </w:r>
          </w:p>
        </w:tc>
        <w:tc>
          <w:tcPr>
            <w:tcW w:w="4962" w:type="dxa"/>
            <w:tcBorders>
              <w:top w:val="nil"/>
              <w:left w:val="nil"/>
              <w:bottom w:val="nil"/>
              <w:right w:val="nil"/>
            </w:tcBorders>
            <w:noWrap/>
            <w:vAlign w:val="bottom"/>
            <w:hideMark/>
          </w:tcPr>
          <w:p w14:paraId="4F757C1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građevinski objekti</w:t>
            </w:r>
          </w:p>
        </w:tc>
        <w:tc>
          <w:tcPr>
            <w:tcW w:w="1559" w:type="dxa"/>
            <w:tcBorders>
              <w:top w:val="nil"/>
              <w:left w:val="nil"/>
              <w:bottom w:val="nil"/>
              <w:right w:val="nil"/>
            </w:tcBorders>
            <w:noWrap/>
            <w:vAlign w:val="bottom"/>
            <w:hideMark/>
          </w:tcPr>
          <w:p w14:paraId="692792D1"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E3848CC"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04D9107"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127.821,38</w:t>
            </w:r>
          </w:p>
        </w:tc>
        <w:tc>
          <w:tcPr>
            <w:tcW w:w="993" w:type="dxa"/>
            <w:tcBorders>
              <w:top w:val="nil"/>
              <w:left w:val="nil"/>
              <w:bottom w:val="nil"/>
              <w:right w:val="nil"/>
            </w:tcBorders>
            <w:noWrap/>
            <w:vAlign w:val="bottom"/>
            <w:hideMark/>
          </w:tcPr>
          <w:p w14:paraId="7AC187FD"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6E2E0E5" w14:textId="77777777" w:rsidTr="008A61B1">
        <w:trPr>
          <w:trHeight w:val="840"/>
        </w:trPr>
        <w:tc>
          <w:tcPr>
            <w:tcW w:w="1134" w:type="dxa"/>
            <w:tcBorders>
              <w:top w:val="nil"/>
              <w:left w:val="nil"/>
              <w:bottom w:val="nil"/>
              <w:right w:val="nil"/>
            </w:tcBorders>
            <w:shd w:val="clear" w:color="000000" w:fill="FFFF99"/>
            <w:noWrap/>
            <w:vAlign w:val="bottom"/>
            <w:hideMark/>
          </w:tcPr>
          <w:p w14:paraId="07EFBF9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K100400</w:t>
            </w:r>
          </w:p>
        </w:tc>
        <w:tc>
          <w:tcPr>
            <w:tcW w:w="4962" w:type="dxa"/>
            <w:tcBorders>
              <w:top w:val="nil"/>
              <w:left w:val="nil"/>
              <w:bottom w:val="nil"/>
              <w:right w:val="nil"/>
            </w:tcBorders>
            <w:shd w:val="clear" w:color="000000" w:fill="FFFF99"/>
            <w:vAlign w:val="bottom"/>
            <w:hideMark/>
          </w:tcPr>
          <w:p w14:paraId="1395CD8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Kapitalni projekt: IZGRADNJA I REKONSTRUKCIJA OBORINSKE MREŽE U SVIM MO</w:t>
            </w:r>
          </w:p>
        </w:tc>
        <w:tc>
          <w:tcPr>
            <w:tcW w:w="1559" w:type="dxa"/>
            <w:tcBorders>
              <w:top w:val="nil"/>
              <w:left w:val="nil"/>
              <w:bottom w:val="nil"/>
              <w:right w:val="nil"/>
            </w:tcBorders>
            <w:shd w:val="clear" w:color="000000" w:fill="FFFF99"/>
            <w:noWrap/>
            <w:vAlign w:val="bottom"/>
            <w:hideMark/>
          </w:tcPr>
          <w:p w14:paraId="74F9E34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15.000,00</w:t>
            </w:r>
          </w:p>
        </w:tc>
        <w:tc>
          <w:tcPr>
            <w:tcW w:w="1559" w:type="dxa"/>
            <w:tcBorders>
              <w:top w:val="nil"/>
              <w:left w:val="nil"/>
              <w:bottom w:val="nil"/>
              <w:right w:val="nil"/>
            </w:tcBorders>
            <w:shd w:val="clear" w:color="000000" w:fill="FFFF99"/>
            <w:noWrap/>
            <w:vAlign w:val="bottom"/>
            <w:hideMark/>
          </w:tcPr>
          <w:p w14:paraId="3190AF4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15.000,00</w:t>
            </w:r>
          </w:p>
        </w:tc>
        <w:tc>
          <w:tcPr>
            <w:tcW w:w="1559" w:type="dxa"/>
            <w:tcBorders>
              <w:top w:val="nil"/>
              <w:left w:val="nil"/>
              <w:bottom w:val="nil"/>
              <w:right w:val="nil"/>
            </w:tcBorders>
            <w:shd w:val="clear" w:color="000000" w:fill="FFFF99"/>
            <w:noWrap/>
            <w:vAlign w:val="bottom"/>
            <w:hideMark/>
          </w:tcPr>
          <w:p w14:paraId="169FF45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11.250,00</w:t>
            </w:r>
          </w:p>
        </w:tc>
        <w:tc>
          <w:tcPr>
            <w:tcW w:w="993" w:type="dxa"/>
            <w:tcBorders>
              <w:top w:val="nil"/>
              <w:left w:val="nil"/>
              <w:bottom w:val="nil"/>
              <w:right w:val="nil"/>
            </w:tcBorders>
            <w:shd w:val="clear" w:color="000000" w:fill="FFFF99"/>
            <w:noWrap/>
            <w:vAlign w:val="bottom"/>
            <w:hideMark/>
          </w:tcPr>
          <w:p w14:paraId="116E133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75,00%</w:t>
            </w:r>
          </w:p>
        </w:tc>
      </w:tr>
      <w:tr w:rsidR="006967F8" w:rsidRPr="006967F8" w14:paraId="64EB3D58"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8DA7D79"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410C3AF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15.000,00</w:t>
            </w:r>
          </w:p>
        </w:tc>
        <w:tc>
          <w:tcPr>
            <w:tcW w:w="1559" w:type="dxa"/>
            <w:tcBorders>
              <w:top w:val="nil"/>
              <w:left w:val="nil"/>
              <w:bottom w:val="nil"/>
              <w:right w:val="nil"/>
            </w:tcBorders>
            <w:shd w:val="clear" w:color="000000" w:fill="CCCCFF"/>
            <w:noWrap/>
            <w:vAlign w:val="bottom"/>
            <w:hideMark/>
          </w:tcPr>
          <w:p w14:paraId="0D3FBFF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15.000,00</w:t>
            </w:r>
          </w:p>
        </w:tc>
        <w:tc>
          <w:tcPr>
            <w:tcW w:w="1559" w:type="dxa"/>
            <w:tcBorders>
              <w:top w:val="nil"/>
              <w:left w:val="nil"/>
              <w:bottom w:val="nil"/>
              <w:right w:val="nil"/>
            </w:tcBorders>
            <w:shd w:val="clear" w:color="000000" w:fill="CCCCFF"/>
            <w:noWrap/>
            <w:vAlign w:val="bottom"/>
            <w:hideMark/>
          </w:tcPr>
          <w:p w14:paraId="61B37E0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11.250,00</w:t>
            </w:r>
          </w:p>
        </w:tc>
        <w:tc>
          <w:tcPr>
            <w:tcW w:w="993" w:type="dxa"/>
            <w:tcBorders>
              <w:top w:val="nil"/>
              <w:left w:val="nil"/>
              <w:bottom w:val="nil"/>
              <w:right w:val="nil"/>
            </w:tcBorders>
            <w:shd w:val="clear" w:color="000000" w:fill="CCCCFF"/>
            <w:noWrap/>
            <w:vAlign w:val="bottom"/>
            <w:hideMark/>
          </w:tcPr>
          <w:p w14:paraId="3DF7C27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75,00%</w:t>
            </w:r>
          </w:p>
        </w:tc>
      </w:tr>
      <w:tr w:rsidR="006967F8" w:rsidRPr="006967F8" w14:paraId="099D2508"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F9D4012"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4.3. Ostali prihodi za posebne namjene</w:t>
            </w:r>
          </w:p>
        </w:tc>
        <w:tc>
          <w:tcPr>
            <w:tcW w:w="1559" w:type="dxa"/>
            <w:tcBorders>
              <w:top w:val="nil"/>
              <w:left w:val="nil"/>
              <w:bottom w:val="nil"/>
              <w:right w:val="nil"/>
            </w:tcBorders>
            <w:shd w:val="clear" w:color="000000" w:fill="CCCCFF"/>
            <w:noWrap/>
            <w:vAlign w:val="bottom"/>
            <w:hideMark/>
          </w:tcPr>
          <w:p w14:paraId="3EAFC9F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15.000,00</w:t>
            </w:r>
          </w:p>
        </w:tc>
        <w:tc>
          <w:tcPr>
            <w:tcW w:w="1559" w:type="dxa"/>
            <w:tcBorders>
              <w:top w:val="nil"/>
              <w:left w:val="nil"/>
              <w:bottom w:val="nil"/>
              <w:right w:val="nil"/>
            </w:tcBorders>
            <w:shd w:val="clear" w:color="000000" w:fill="CCCCFF"/>
            <w:noWrap/>
            <w:vAlign w:val="bottom"/>
            <w:hideMark/>
          </w:tcPr>
          <w:p w14:paraId="78E47B0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15.000,00</w:t>
            </w:r>
          </w:p>
        </w:tc>
        <w:tc>
          <w:tcPr>
            <w:tcW w:w="1559" w:type="dxa"/>
            <w:tcBorders>
              <w:top w:val="nil"/>
              <w:left w:val="nil"/>
              <w:bottom w:val="nil"/>
              <w:right w:val="nil"/>
            </w:tcBorders>
            <w:shd w:val="clear" w:color="000000" w:fill="CCCCFF"/>
            <w:noWrap/>
            <w:vAlign w:val="bottom"/>
            <w:hideMark/>
          </w:tcPr>
          <w:p w14:paraId="7051658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11.250,00</w:t>
            </w:r>
          </w:p>
        </w:tc>
        <w:tc>
          <w:tcPr>
            <w:tcW w:w="993" w:type="dxa"/>
            <w:tcBorders>
              <w:top w:val="nil"/>
              <w:left w:val="nil"/>
              <w:bottom w:val="nil"/>
              <w:right w:val="nil"/>
            </w:tcBorders>
            <w:shd w:val="clear" w:color="000000" w:fill="CCCCFF"/>
            <w:noWrap/>
            <w:vAlign w:val="bottom"/>
            <w:hideMark/>
          </w:tcPr>
          <w:p w14:paraId="7DB0FB1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75,00%</w:t>
            </w:r>
          </w:p>
        </w:tc>
      </w:tr>
      <w:tr w:rsidR="006967F8" w:rsidRPr="006967F8" w14:paraId="2289A918" w14:textId="77777777" w:rsidTr="008A61B1">
        <w:trPr>
          <w:trHeight w:val="525"/>
        </w:trPr>
        <w:tc>
          <w:tcPr>
            <w:tcW w:w="1134" w:type="dxa"/>
            <w:tcBorders>
              <w:top w:val="nil"/>
              <w:left w:val="nil"/>
              <w:bottom w:val="nil"/>
              <w:right w:val="nil"/>
            </w:tcBorders>
            <w:noWrap/>
            <w:vAlign w:val="bottom"/>
            <w:hideMark/>
          </w:tcPr>
          <w:p w14:paraId="6CA253A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2A6F62B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0E2BD44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15.000,00</w:t>
            </w:r>
          </w:p>
        </w:tc>
        <w:tc>
          <w:tcPr>
            <w:tcW w:w="1559" w:type="dxa"/>
            <w:tcBorders>
              <w:top w:val="nil"/>
              <w:left w:val="nil"/>
              <w:bottom w:val="nil"/>
              <w:right w:val="nil"/>
            </w:tcBorders>
            <w:noWrap/>
            <w:vAlign w:val="bottom"/>
            <w:hideMark/>
          </w:tcPr>
          <w:p w14:paraId="427BD66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15.000,00</w:t>
            </w:r>
          </w:p>
        </w:tc>
        <w:tc>
          <w:tcPr>
            <w:tcW w:w="1559" w:type="dxa"/>
            <w:tcBorders>
              <w:top w:val="nil"/>
              <w:left w:val="nil"/>
              <w:bottom w:val="nil"/>
              <w:right w:val="nil"/>
            </w:tcBorders>
            <w:noWrap/>
            <w:vAlign w:val="bottom"/>
            <w:hideMark/>
          </w:tcPr>
          <w:p w14:paraId="23DC034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11.250,00</w:t>
            </w:r>
          </w:p>
        </w:tc>
        <w:tc>
          <w:tcPr>
            <w:tcW w:w="993" w:type="dxa"/>
            <w:tcBorders>
              <w:top w:val="nil"/>
              <w:left w:val="nil"/>
              <w:bottom w:val="nil"/>
              <w:right w:val="nil"/>
            </w:tcBorders>
            <w:noWrap/>
            <w:vAlign w:val="bottom"/>
            <w:hideMark/>
          </w:tcPr>
          <w:p w14:paraId="4A75C16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75,00%</w:t>
            </w:r>
          </w:p>
        </w:tc>
      </w:tr>
      <w:tr w:rsidR="006967F8" w:rsidRPr="006967F8" w14:paraId="5362763A" w14:textId="77777777" w:rsidTr="008A61B1">
        <w:trPr>
          <w:trHeight w:val="255"/>
        </w:trPr>
        <w:tc>
          <w:tcPr>
            <w:tcW w:w="1134" w:type="dxa"/>
            <w:tcBorders>
              <w:top w:val="nil"/>
              <w:left w:val="nil"/>
              <w:bottom w:val="nil"/>
              <w:right w:val="nil"/>
            </w:tcBorders>
            <w:noWrap/>
            <w:vAlign w:val="bottom"/>
            <w:hideMark/>
          </w:tcPr>
          <w:p w14:paraId="1628D04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4264</w:t>
            </w:r>
          </w:p>
        </w:tc>
        <w:tc>
          <w:tcPr>
            <w:tcW w:w="4962" w:type="dxa"/>
            <w:tcBorders>
              <w:top w:val="nil"/>
              <w:left w:val="nil"/>
              <w:bottom w:val="nil"/>
              <w:right w:val="nil"/>
            </w:tcBorders>
            <w:noWrap/>
            <w:vAlign w:val="bottom"/>
            <w:hideMark/>
          </w:tcPr>
          <w:p w14:paraId="36CB872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Ostala nematerijalna proizvedena imovina</w:t>
            </w:r>
          </w:p>
        </w:tc>
        <w:tc>
          <w:tcPr>
            <w:tcW w:w="1559" w:type="dxa"/>
            <w:tcBorders>
              <w:top w:val="nil"/>
              <w:left w:val="nil"/>
              <w:bottom w:val="nil"/>
              <w:right w:val="nil"/>
            </w:tcBorders>
            <w:noWrap/>
            <w:vAlign w:val="bottom"/>
            <w:hideMark/>
          </w:tcPr>
          <w:p w14:paraId="390D3FC2"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C53C5B9"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4D538A7"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11.250,00</w:t>
            </w:r>
          </w:p>
        </w:tc>
        <w:tc>
          <w:tcPr>
            <w:tcW w:w="993" w:type="dxa"/>
            <w:tcBorders>
              <w:top w:val="nil"/>
              <w:left w:val="nil"/>
              <w:bottom w:val="nil"/>
              <w:right w:val="nil"/>
            </w:tcBorders>
            <w:noWrap/>
            <w:vAlign w:val="bottom"/>
            <w:hideMark/>
          </w:tcPr>
          <w:p w14:paraId="42EB2E77"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E38B547" w14:textId="77777777" w:rsidTr="008A61B1">
        <w:trPr>
          <w:trHeight w:val="570"/>
        </w:trPr>
        <w:tc>
          <w:tcPr>
            <w:tcW w:w="1134" w:type="dxa"/>
            <w:tcBorders>
              <w:top w:val="nil"/>
              <w:left w:val="nil"/>
              <w:bottom w:val="nil"/>
              <w:right w:val="nil"/>
            </w:tcBorders>
            <w:shd w:val="clear" w:color="000000" w:fill="FFFF99"/>
            <w:noWrap/>
            <w:vAlign w:val="bottom"/>
            <w:hideMark/>
          </w:tcPr>
          <w:p w14:paraId="035E779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K100501</w:t>
            </w:r>
          </w:p>
        </w:tc>
        <w:tc>
          <w:tcPr>
            <w:tcW w:w="4962" w:type="dxa"/>
            <w:tcBorders>
              <w:top w:val="nil"/>
              <w:left w:val="nil"/>
              <w:bottom w:val="nil"/>
              <w:right w:val="nil"/>
            </w:tcBorders>
            <w:shd w:val="clear" w:color="000000" w:fill="FFFF99"/>
            <w:vAlign w:val="bottom"/>
            <w:hideMark/>
          </w:tcPr>
          <w:p w14:paraId="5A1EEAF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Kapitalni projekt: IZGRADNJA DJEČJEG IGRALIŠTA U ARBANIJI</w:t>
            </w:r>
          </w:p>
        </w:tc>
        <w:tc>
          <w:tcPr>
            <w:tcW w:w="1559" w:type="dxa"/>
            <w:tcBorders>
              <w:top w:val="nil"/>
              <w:left w:val="nil"/>
              <w:bottom w:val="nil"/>
              <w:right w:val="nil"/>
            </w:tcBorders>
            <w:shd w:val="clear" w:color="000000" w:fill="FFFF99"/>
            <w:noWrap/>
            <w:vAlign w:val="bottom"/>
            <w:hideMark/>
          </w:tcPr>
          <w:p w14:paraId="6F29036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87.625,00</w:t>
            </w:r>
          </w:p>
        </w:tc>
        <w:tc>
          <w:tcPr>
            <w:tcW w:w="1559" w:type="dxa"/>
            <w:tcBorders>
              <w:top w:val="nil"/>
              <w:left w:val="nil"/>
              <w:bottom w:val="nil"/>
              <w:right w:val="nil"/>
            </w:tcBorders>
            <w:shd w:val="clear" w:color="000000" w:fill="FFFF99"/>
            <w:noWrap/>
            <w:vAlign w:val="bottom"/>
            <w:hideMark/>
          </w:tcPr>
          <w:p w14:paraId="1373B7E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87.625,00</w:t>
            </w:r>
          </w:p>
        </w:tc>
        <w:tc>
          <w:tcPr>
            <w:tcW w:w="1559" w:type="dxa"/>
            <w:tcBorders>
              <w:top w:val="nil"/>
              <w:left w:val="nil"/>
              <w:bottom w:val="nil"/>
              <w:right w:val="nil"/>
            </w:tcBorders>
            <w:shd w:val="clear" w:color="000000" w:fill="FFFF99"/>
            <w:noWrap/>
            <w:vAlign w:val="bottom"/>
            <w:hideMark/>
          </w:tcPr>
          <w:p w14:paraId="5962983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81.255,00</w:t>
            </w:r>
          </w:p>
        </w:tc>
        <w:tc>
          <w:tcPr>
            <w:tcW w:w="993" w:type="dxa"/>
            <w:tcBorders>
              <w:top w:val="nil"/>
              <w:left w:val="nil"/>
              <w:bottom w:val="nil"/>
              <w:right w:val="nil"/>
            </w:tcBorders>
            <w:shd w:val="clear" w:color="000000" w:fill="FFFF99"/>
            <w:noWrap/>
            <w:vAlign w:val="bottom"/>
            <w:hideMark/>
          </w:tcPr>
          <w:p w14:paraId="36776A6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92,73%</w:t>
            </w:r>
          </w:p>
        </w:tc>
      </w:tr>
      <w:tr w:rsidR="006967F8" w:rsidRPr="006967F8" w14:paraId="2E68B2CF"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08F1474"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0C10475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87.625,00</w:t>
            </w:r>
          </w:p>
        </w:tc>
        <w:tc>
          <w:tcPr>
            <w:tcW w:w="1559" w:type="dxa"/>
            <w:tcBorders>
              <w:top w:val="nil"/>
              <w:left w:val="nil"/>
              <w:bottom w:val="nil"/>
              <w:right w:val="nil"/>
            </w:tcBorders>
            <w:shd w:val="clear" w:color="000000" w:fill="CCCCFF"/>
            <w:noWrap/>
            <w:vAlign w:val="bottom"/>
            <w:hideMark/>
          </w:tcPr>
          <w:p w14:paraId="678D73A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87.625,00</w:t>
            </w:r>
          </w:p>
        </w:tc>
        <w:tc>
          <w:tcPr>
            <w:tcW w:w="1559" w:type="dxa"/>
            <w:tcBorders>
              <w:top w:val="nil"/>
              <w:left w:val="nil"/>
              <w:bottom w:val="nil"/>
              <w:right w:val="nil"/>
            </w:tcBorders>
            <w:shd w:val="clear" w:color="000000" w:fill="CCCCFF"/>
            <w:noWrap/>
            <w:vAlign w:val="bottom"/>
            <w:hideMark/>
          </w:tcPr>
          <w:p w14:paraId="3899AE1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81.255,00</w:t>
            </w:r>
          </w:p>
        </w:tc>
        <w:tc>
          <w:tcPr>
            <w:tcW w:w="993" w:type="dxa"/>
            <w:tcBorders>
              <w:top w:val="nil"/>
              <w:left w:val="nil"/>
              <w:bottom w:val="nil"/>
              <w:right w:val="nil"/>
            </w:tcBorders>
            <w:shd w:val="clear" w:color="000000" w:fill="CCCCFF"/>
            <w:noWrap/>
            <w:vAlign w:val="bottom"/>
            <w:hideMark/>
          </w:tcPr>
          <w:p w14:paraId="7AB9366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92,73%</w:t>
            </w:r>
          </w:p>
        </w:tc>
      </w:tr>
      <w:tr w:rsidR="006967F8" w:rsidRPr="006967F8" w14:paraId="013F120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1A07B41"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4.1. Komunalni doprinos</w:t>
            </w:r>
          </w:p>
        </w:tc>
        <w:tc>
          <w:tcPr>
            <w:tcW w:w="1559" w:type="dxa"/>
            <w:tcBorders>
              <w:top w:val="nil"/>
              <w:left w:val="nil"/>
              <w:bottom w:val="nil"/>
              <w:right w:val="nil"/>
            </w:tcBorders>
            <w:shd w:val="clear" w:color="000000" w:fill="CCCCFF"/>
            <w:noWrap/>
            <w:vAlign w:val="bottom"/>
            <w:hideMark/>
          </w:tcPr>
          <w:p w14:paraId="04A52E1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87.625,00</w:t>
            </w:r>
          </w:p>
        </w:tc>
        <w:tc>
          <w:tcPr>
            <w:tcW w:w="1559" w:type="dxa"/>
            <w:tcBorders>
              <w:top w:val="nil"/>
              <w:left w:val="nil"/>
              <w:bottom w:val="nil"/>
              <w:right w:val="nil"/>
            </w:tcBorders>
            <w:shd w:val="clear" w:color="000000" w:fill="CCCCFF"/>
            <w:noWrap/>
            <w:vAlign w:val="bottom"/>
            <w:hideMark/>
          </w:tcPr>
          <w:p w14:paraId="4FE66BD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87.625,00</w:t>
            </w:r>
          </w:p>
        </w:tc>
        <w:tc>
          <w:tcPr>
            <w:tcW w:w="1559" w:type="dxa"/>
            <w:tcBorders>
              <w:top w:val="nil"/>
              <w:left w:val="nil"/>
              <w:bottom w:val="nil"/>
              <w:right w:val="nil"/>
            </w:tcBorders>
            <w:shd w:val="clear" w:color="000000" w:fill="CCCCFF"/>
            <w:noWrap/>
            <w:vAlign w:val="bottom"/>
            <w:hideMark/>
          </w:tcPr>
          <w:p w14:paraId="55C41EF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81.255,00</w:t>
            </w:r>
          </w:p>
        </w:tc>
        <w:tc>
          <w:tcPr>
            <w:tcW w:w="993" w:type="dxa"/>
            <w:tcBorders>
              <w:top w:val="nil"/>
              <w:left w:val="nil"/>
              <w:bottom w:val="nil"/>
              <w:right w:val="nil"/>
            </w:tcBorders>
            <w:shd w:val="clear" w:color="000000" w:fill="CCCCFF"/>
            <w:noWrap/>
            <w:vAlign w:val="bottom"/>
            <w:hideMark/>
          </w:tcPr>
          <w:p w14:paraId="5FE5782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92,73%</w:t>
            </w:r>
          </w:p>
        </w:tc>
      </w:tr>
      <w:tr w:rsidR="006967F8" w:rsidRPr="006967F8" w14:paraId="44FBD6D6" w14:textId="77777777" w:rsidTr="008A61B1">
        <w:trPr>
          <w:trHeight w:val="585"/>
        </w:trPr>
        <w:tc>
          <w:tcPr>
            <w:tcW w:w="1134" w:type="dxa"/>
            <w:tcBorders>
              <w:top w:val="nil"/>
              <w:left w:val="nil"/>
              <w:bottom w:val="nil"/>
              <w:right w:val="nil"/>
            </w:tcBorders>
            <w:noWrap/>
            <w:vAlign w:val="bottom"/>
            <w:hideMark/>
          </w:tcPr>
          <w:p w14:paraId="6BA3C10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41</w:t>
            </w:r>
          </w:p>
        </w:tc>
        <w:tc>
          <w:tcPr>
            <w:tcW w:w="4962" w:type="dxa"/>
            <w:tcBorders>
              <w:top w:val="nil"/>
              <w:left w:val="nil"/>
              <w:bottom w:val="nil"/>
              <w:right w:val="nil"/>
            </w:tcBorders>
            <w:vAlign w:val="bottom"/>
            <w:hideMark/>
          </w:tcPr>
          <w:p w14:paraId="0430262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Rashodi za nabavu </w:t>
            </w:r>
            <w:proofErr w:type="spellStart"/>
            <w:r w:rsidRPr="006967F8">
              <w:rPr>
                <w:rFonts w:ascii="Arial" w:eastAsia="Times New Roman" w:hAnsi="Arial" w:cs="Arial"/>
                <w:b/>
                <w:bCs/>
                <w:sz w:val="20"/>
                <w:szCs w:val="20"/>
                <w:lang w:eastAsia="hr-HR"/>
              </w:rPr>
              <w:t>neproizvedene</w:t>
            </w:r>
            <w:proofErr w:type="spellEnd"/>
            <w:r w:rsidRPr="006967F8">
              <w:rPr>
                <w:rFonts w:ascii="Arial" w:eastAsia="Times New Roman" w:hAnsi="Arial" w:cs="Arial"/>
                <w:b/>
                <w:bCs/>
                <w:sz w:val="20"/>
                <w:szCs w:val="20"/>
                <w:lang w:eastAsia="hr-HR"/>
              </w:rPr>
              <w:t xml:space="preserve"> dugotrajne imovine</w:t>
            </w:r>
          </w:p>
        </w:tc>
        <w:tc>
          <w:tcPr>
            <w:tcW w:w="1559" w:type="dxa"/>
            <w:tcBorders>
              <w:top w:val="nil"/>
              <w:left w:val="nil"/>
              <w:bottom w:val="nil"/>
              <w:right w:val="nil"/>
            </w:tcBorders>
            <w:noWrap/>
            <w:vAlign w:val="bottom"/>
            <w:hideMark/>
          </w:tcPr>
          <w:p w14:paraId="463341B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80.000,00</w:t>
            </w:r>
          </w:p>
        </w:tc>
        <w:tc>
          <w:tcPr>
            <w:tcW w:w="1559" w:type="dxa"/>
            <w:tcBorders>
              <w:top w:val="nil"/>
              <w:left w:val="nil"/>
              <w:bottom w:val="nil"/>
              <w:right w:val="nil"/>
            </w:tcBorders>
            <w:noWrap/>
            <w:vAlign w:val="bottom"/>
            <w:hideMark/>
          </w:tcPr>
          <w:p w14:paraId="376CC3C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80.000,00</w:t>
            </w:r>
          </w:p>
        </w:tc>
        <w:tc>
          <w:tcPr>
            <w:tcW w:w="1559" w:type="dxa"/>
            <w:tcBorders>
              <w:top w:val="nil"/>
              <w:left w:val="nil"/>
              <w:bottom w:val="nil"/>
              <w:right w:val="nil"/>
            </w:tcBorders>
            <w:noWrap/>
            <w:vAlign w:val="bottom"/>
            <w:hideMark/>
          </w:tcPr>
          <w:p w14:paraId="629F68E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78.880,00</w:t>
            </w:r>
          </w:p>
        </w:tc>
        <w:tc>
          <w:tcPr>
            <w:tcW w:w="993" w:type="dxa"/>
            <w:tcBorders>
              <w:top w:val="nil"/>
              <w:left w:val="nil"/>
              <w:bottom w:val="nil"/>
              <w:right w:val="nil"/>
            </w:tcBorders>
            <w:noWrap/>
            <w:vAlign w:val="bottom"/>
            <w:hideMark/>
          </w:tcPr>
          <w:p w14:paraId="18886E4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98,60%</w:t>
            </w:r>
          </w:p>
        </w:tc>
      </w:tr>
      <w:tr w:rsidR="006967F8" w:rsidRPr="006967F8" w14:paraId="1351FDE3" w14:textId="77777777" w:rsidTr="008A61B1">
        <w:trPr>
          <w:trHeight w:val="255"/>
        </w:trPr>
        <w:tc>
          <w:tcPr>
            <w:tcW w:w="1134" w:type="dxa"/>
            <w:tcBorders>
              <w:top w:val="nil"/>
              <w:left w:val="nil"/>
              <w:bottom w:val="nil"/>
              <w:right w:val="nil"/>
            </w:tcBorders>
            <w:noWrap/>
            <w:vAlign w:val="bottom"/>
            <w:hideMark/>
          </w:tcPr>
          <w:p w14:paraId="0C6DB44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4111</w:t>
            </w:r>
          </w:p>
        </w:tc>
        <w:tc>
          <w:tcPr>
            <w:tcW w:w="4962" w:type="dxa"/>
            <w:tcBorders>
              <w:top w:val="nil"/>
              <w:left w:val="nil"/>
              <w:bottom w:val="nil"/>
              <w:right w:val="nil"/>
            </w:tcBorders>
            <w:noWrap/>
            <w:vAlign w:val="bottom"/>
            <w:hideMark/>
          </w:tcPr>
          <w:p w14:paraId="67AA984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Zemljište</w:t>
            </w:r>
          </w:p>
        </w:tc>
        <w:tc>
          <w:tcPr>
            <w:tcW w:w="1559" w:type="dxa"/>
            <w:tcBorders>
              <w:top w:val="nil"/>
              <w:left w:val="nil"/>
              <w:bottom w:val="nil"/>
              <w:right w:val="nil"/>
            </w:tcBorders>
            <w:noWrap/>
            <w:vAlign w:val="bottom"/>
            <w:hideMark/>
          </w:tcPr>
          <w:p w14:paraId="16A1DA3B"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A3DC081"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E0F021D"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78.880,00</w:t>
            </w:r>
          </w:p>
        </w:tc>
        <w:tc>
          <w:tcPr>
            <w:tcW w:w="993" w:type="dxa"/>
            <w:tcBorders>
              <w:top w:val="nil"/>
              <w:left w:val="nil"/>
              <w:bottom w:val="nil"/>
              <w:right w:val="nil"/>
            </w:tcBorders>
            <w:noWrap/>
            <w:vAlign w:val="bottom"/>
            <w:hideMark/>
          </w:tcPr>
          <w:p w14:paraId="70D0BF90"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D3FA1B3" w14:textId="77777777" w:rsidTr="008A61B1">
        <w:trPr>
          <w:trHeight w:val="540"/>
        </w:trPr>
        <w:tc>
          <w:tcPr>
            <w:tcW w:w="1134" w:type="dxa"/>
            <w:tcBorders>
              <w:top w:val="nil"/>
              <w:left w:val="nil"/>
              <w:bottom w:val="nil"/>
              <w:right w:val="nil"/>
            </w:tcBorders>
            <w:noWrap/>
            <w:vAlign w:val="bottom"/>
            <w:hideMark/>
          </w:tcPr>
          <w:p w14:paraId="4B85A9A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61C9803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0A48D26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7.625,00</w:t>
            </w:r>
          </w:p>
        </w:tc>
        <w:tc>
          <w:tcPr>
            <w:tcW w:w="1559" w:type="dxa"/>
            <w:tcBorders>
              <w:top w:val="nil"/>
              <w:left w:val="nil"/>
              <w:bottom w:val="nil"/>
              <w:right w:val="nil"/>
            </w:tcBorders>
            <w:noWrap/>
            <w:vAlign w:val="bottom"/>
            <w:hideMark/>
          </w:tcPr>
          <w:p w14:paraId="26BCFFD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7.625,00</w:t>
            </w:r>
          </w:p>
        </w:tc>
        <w:tc>
          <w:tcPr>
            <w:tcW w:w="1559" w:type="dxa"/>
            <w:tcBorders>
              <w:top w:val="nil"/>
              <w:left w:val="nil"/>
              <w:bottom w:val="nil"/>
              <w:right w:val="nil"/>
            </w:tcBorders>
            <w:noWrap/>
            <w:vAlign w:val="bottom"/>
            <w:hideMark/>
          </w:tcPr>
          <w:p w14:paraId="3BAF414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2.375,00</w:t>
            </w:r>
          </w:p>
        </w:tc>
        <w:tc>
          <w:tcPr>
            <w:tcW w:w="993" w:type="dxa"/>
            <w:tcBorders>
              <w:top w:val="nil"/>
              <w:left w:val="nil"/>
              <w:bottom w:val="nil"/>
              <w:right w:val="nil"/>
            </w:tcBorders>
            <w:noWrap/>
            <w:vAlign w:val="bottom"/>
            <w:hideMark/>
          </w:tcPr>
          <w:p w14:paraId="4D67414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31,15%</w:t>
            </w:r>
          </w:p>
        </w:tc>
      </w:tr>
      <w:tr w:rsidR="006967F8" w:rsidRPr="006967F8" w14:paraId="2CDC8AB3" w14:textId="77777777" w:rsidTr="008A61B1">
        <w:trPr>
          <w:trHeight w:val="255"/>
        </w:trPr>
        <w:tc>
          <w:tcPr>
            <w:tcW w:w="1134" w:type="dxa"/>
            <w:tcBorders>
              <w:top w:val="nil"/>
              <w:left w:val="nil"/>
              <w:bottom w:val="nil"/>
              <w:right w:val="nil"/>
            </w:tcBorders>
            <w:noWrap/>
            <w:vAlign w:val="bottom"/>
            <w:hideMark/>
          </w:tcPr>
          <w:p w14:paraId="5D2B1B4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4212</w:t>
            </w:r>
          </w:p>
        </w:tc>
        <w:tc>
          <w:tcPr>
            <w:tcW w:w="4962" w:type="dxa"/>
            <w:tcBorders>
              <w:top w:val="nil"/>
              <w:left w:val="nil"/>
              <w:bottom w:val="nil"/>
              <w:right w:val="nil"/>
            </w:tcBorders>
            <w:noWrap/>
            <w:vAlign w:val="bottom"/>
            <w:hideMark/>
          </w:tcPr>
          <w:p w14:paraId="59C1748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Poslovni objekti</w:t>
            </w:r>
          </w:p>
        </w:tc>
        <w:tc>
          <w:tcPr>
            <w:tcW w:w="1559" w:type="dxa"/>
            <w:tcBorders>
              <w:top w:val="nil"/>
              <w:left w:val="nil"/>
              <w:bottom w:val="nil"/>
              <w:right w:val="nil"/>
            </w:tcBorders>
            <w:noWrap/>
            <w:vAlign w:val="bottom"/>
            <w:hideMark/>
          </w:tcPr>
          <w:p w14:paraId="6DA0A97F"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7936566"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CA5C20F"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2.375,00</w:t>
            </w:r>
          </w:p>
        </w:tc>
        <w:tc>
          <w:tcPr>
            <w:tcW w:w="993" w:type="dxa"/>
            <w:tcBorders>
              <w:top w:val="nil"/>
              <w:left w:val="nil"/>
              <w:bottom w:val="nil"/>
              <w:right w:val="nil"/>
            </w:tcBorders>
            <w:noWrap/>
            <w:vAlign w:val="bottom"/>
            <w:hideMark/>
          </w:tcPr>
          <w:p w14:paraId="7E12A8A4"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93A6A80" w14:textId="77777777" w:rsidTr="008A61B1">
        <w:trPr>
          <w:trHeight w:val="795"/>
        </w:trPr>
        <w:tc>
          <w:tcPr>
            <w:tcW w:w="1134" w:type="dxa"/>
            <w:tcBorders>
              <w:top w:val="nil"/>
              <w:left w:val="nil"/>
              <w:bottom w:val="nil"/>
              <w:right w:val="nil"/>
            </w:tcBorders>
            <w:shd w:val="clear" w:color="000000" w:fill="FF9900"/>
            <w:noWrap/>
            <w:vAlign w:val="bottom"/>
            <w:hideMark/>
          </w:tcPr>
          <w:p w14:paraId="23C1B6E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1515</w:t>
            </w:r>
          </w:p>
        </w:tc>
        <w:tc>
          <w:tcPr>
            <w:tcW w:w="4962" w:type="dxa"/>
            <w:tcBorders>
              <w:top w:val="nil"/>
              <w:left w:val="nil"/>
              <w:bottom w:val="nil"/>
              <w:right w:val="nil"/>
            </w:tcBorders>
            <w:shd w:val="clear" w:color="000000" w:fill="FF9900"/>
            <w:vAlign w:val="bottom"/>
            <w:hideMark/>
          </w:tcPr>
          <w:p w14:paraId="599215B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Program: GRAĐEVINE KOM. INFRASTRUKTURE KOJE ĆE SE GRADITI U UREĐENIM DIJELOVIMA GRAĐ.PODRUČJA </w:t>
            </w:r>
          </w:p>
        </w:tc>
        <w:tc>
          <w:tcPr>
            <w:tcW w:w="1559" w:type="dxa"/>
            <w:tcBorders>
              <w:top w:val="nil"/>
              <w:left w:val="nil"/>
              <w:bottom w:val="nil"/>
              <w:right w:val="nil"/>
            </w:tcBorders>
            <w:shd w:val="clear" w:color="000000" w:fill="FF9900"/>
            <w:noWrap/>
            <w:vAlign w:val="bottom"/>
            <w:hideMark/>
          </w:tcPr>
          <w:p w14:paraId="5457822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1.265.237,00</w:t>
            </w:r>
          </w:p>
        </w:tc>
        <w:tc>
          <w:tcPr>
            <w:tcW w:w="1559" w:type="dxa"/>
            <w:tcBorders>
              <w:top w:val="nil"/>
              <w:left w:val="nil"/>
              <w:bottom w:val="nil"/>
              <w:right w:val="nil"/>
            </w:tcBorders>
            <w:shd w:val="clear" w:color="000000" w:fill="FF9900"/>
            <w:noWrap/>
            <w:vAlign w:val="bottom"/>
            <w:hideMark/>
          </w:tcPr>
          <w:p w14:paraId="3C29750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1.237.168,00</w:t>
            </w:r>
          </w:p>
        </w:tc>
        <w:tc>
          <w:tcPr>
            <w:tcW w:w="1559" w:type="dxa"/>
            <w:tcBorders>
              <w:top w:val="nil"/>
              <w:left w:val="nil"/>
              <w:bottom w:val="nil"/>
              <w:right w:val="nil"/>
            </w:tcBorders>
            <w:shd w:val="clear" w:color="000000" w:fill="FF9900"/>
            <w:noWrap/>
            <w:vAlign w:val="bottom"/>
            <w:hideMark/>
          </w:tcPr>
          <w:p w14:paraId="1D7C4DD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476.815,96</w:t>
            </w:r>
          </w:p>
        </w:tc>
        <w:tc>
          <w:tcPr>
            <w:tcW w:w="993" w:type="dxa"/>
            <w:tcBorders>
              <w:top w:val="nil"/>
              <w:left w:val="nil"/>
              <w:bottom w:val="nil"/>
              <w:right w:val="nil"/>
            </w:tcBorders>
            <w:shd w:val="clear" w:color="000000" w:fill="FF9900"/>
            <w:noWrap/>
            <w:vAlign w:val="bottom"/>
            <w:hideMark/>
          </w:tcPr>
          <w:p w14:paraId="44C3DE7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38,54%</w:t>
            </w:r>
          </w:p>
        </w:tc>
      </w:tr>
      <w:tr w:rsidR="006967F8" w:rsidRPr="006967F8" w14:paraId="027CE5E5" w14:textId="77777777" w:rsidTr="008A61B1">
        <w:trPr>
          <w:trHeight w:val="255"/>
        </w:trPr>
        <w:tc>
          <w:tcPr>
            <w:tcW w:w="1134" w:type="dxa"/>
            <w:tcBorders>
              <w:top w:val="nil"/>
              <w:left w:val="nil"/>
              <w:bottom w:val="nil"/>
              <w:right w:val="nil"/>
            </w:tcBorders>
            <w:shd w:val="clear" w:color="000000" w:fill="FFFF99"/>
            <w:noWrap/>
            <w:vAlign w:val="bottom"/>
            <w:hideMark/>
          </w:tcPr>
          <w:p w14:paraId="4114803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A100200</w:t>
            </w:r>
          </w:p>
        </w:tc>
        <w:tc>
          <w:tcPr>
            <w:tcW w:w="4962" w:type="dxa"/>
            <w:tcBorders>
              <w:top w:val="nil"/>
              <w:left w:val="nil"/>
              <w:bottom w:val="nil"/>
              <w:right w:val="nil"/>
            </w:tcBorders>
            <w:shd w:val="clear" w:color="000000" w:fill="FFFF99"/>
            <w:noWrap/>
            <w:vAlign w:val="bottom"/>
            <w:hideMark/>
          </w:tcPr>
          <w:p w14:paraId="4A87EEB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Aktivnost: UREĐENJE JAVNIH POVRŠINA </w:t>
            </w:r>
          </w:p>
        </w:tc>
        <w:tc>
          <w:tcPr>
            <w:tcW w:w="1559" w:type="dxa"/>
            <w:tcBorders>
              <w:top w:val="nil"/>
              <w:left w:val="nil"/>
              <w:bottom w:val="nil"/>
              <w:right w:val="nil"/>
            </w:tcBorders>
            <w:shd w:val="clear" w:color="000000" w:fill="FFFF99"/>
            <w:noWrap/>
            <w:vAlign w:val="bottom"/>
            <w:hideMark/>
          </w:tcPr>
          <w:p w14:paraId="5BDE8EF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24.000,00</w:t>
            </w:r>
          </w:p>
        </w:tc>
        <w:tc>
          <w:tcPr>
            <w:tcW w:w="1559" w:type="dxa"/>
            <w:tcBorders>
              <w:top w:val="nil"/>
              <w:left w:val="nil"/>
              <w:bottom w:val="nil"/>
              <w:right w:val="nil"/>
            </w:tcBorders>
            <w:shd w:val="clear" w:color="000000" w:fill="FFFF99"/>
            <w:noWrap/>
            <w:vAlign w:val="bottom"/>
            <w:hideMark/>
          </w:tcPr>
          <w:p w14:paraId="041E9BE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24.000,00</w:t>
            </w:r>
          </w:p>
        </w:tc>
        <w:tc>
          <w:tcPr>
            <w:tcW w:w="1559" w:type="dxa"/>
            <w:tcBorders>
              <w:top w:val="nil"/>
              <w:left w:val="nil"/>
              <w:bottom w:val="nil"/>
              <w:right w:val="nil"/>
            </w:tcBorders>
            <w:shd w:val="clear" w:color="000000" w:fill="FFFF99"/>
            <w:noWrap/>
            <w:vAlign w:val="bottom"/>
            <w:hideMark/>
          </w:tcPr>
          <w:p w14:paraId="2550ADE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shd w:val="clear" w:color="000000" w:fill="FFFF99"/>
            <w:noWrap/>
            <w:vAlign w:val="bottom"/>
            <w:hideMark/>
          </w:tcPr>
          <w:p w14:paraId="232CA32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3B26C308"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C8C2EED"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78F0FE6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24.000,00</w:t>
            </w:r>
          </w:p>
        </w:tc>
        <w:tc>
          <w:tcPr>
            <w:tcW w:w="1559" w:type="dxa"/>
            <w:tcBorders>
              <w:top w:val="nil"/>
              <w:left w:val="nil"/>
              <w:bottom w:val="nil"/>
              <w:right w:val="nil"/>
            </w:tcBorders>
            <w:shd w:val="clear" w:color="000000" w:fill="CCCCFF"/>
            <w:noWrap/>
            <w:vAlign w:val="bottom"/>
            <w:hideMark/>
          </w:tcPr>
          <w:p w14:paraId="505DCBF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24.000,00</w:t>
            </w:r>
          </w:p>
        </w:tc>
        <w:tc>
          <w:tcPr>
            <w:tcW w:w="1559" w:type="dxa"/>
            <w:tcBorders>
              <w:top w:val="nil"/>
              <w:left w:val="nil"/>
              <w:bottom w:val="nil"/>
              <w:right w:val="nil"/>
            </w:tcBorders>
            <w:shd w:val="clear" w:color="000000" w:fill="CCCCFF"/>
            <w:noWrap/>
            <w:vAlign w:val="bottom"/>
            <w:hideMark/>
          </w:tcPr>
          <w:p w14:paraId="3966CA2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3765101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15123154"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914D5BC"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4.3. Ostali prihodi za posebne namjene</w:t>
            </w:r>
          </w:p>
        </w:tc>
        <w:tc>
          <w:tcPr>
            <w:tcW w:w="1559" w:type="dxa"/>
            <w:tcBorders>
              <w:top w:val="nil"/>
              <w:left w:val="nil"/>
              <w:bottom w:val="nil"/>
              <w:right w:val="nil"/>
            </w:tcBorders>
            <w:shd w:val="clear" w:color="000000" w:fill="CCCCFF"/>
            <w:noWrap/>
            <w:vAlign w:val="bottom"/>
            <w:hideMark/>
          </w:tcPr>
          <w:p w14:paraId="0F58603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24.000,00</w:t>
            </w:r>
          </w:p>
        </w:tc>
        <w:tc>
          <w:tcPr>
            <w:tcW w:w="1559" w:type="dxa"/>
            <w:tcBorders>
              <w:top w:val="nil"/>
              <w:left w:val="nil"/>
              <w:bottom w:val="nil"/>
              <w:right w:val="nil"/>
            </w:tcBorders>
            <w:shd w:val="clear" w:color="000000" w:fill="CCCCFF"/>
            <w:noWrap/>
            <w:vAlign w:val="bottom"/>
            <w:hideMark/>
          </w:tcPr>
          <w:p w14:paraId="4C71074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24.000,00</w:t>
            </w:r>
          </w:p>
        </w:tc>
        <w:tc>
          <w:tcPr>
            <w:tcW w:w="1559" w:type="dxa"/>
            <w:tcBorders>
              <w:top w:val="nil"/>
              <w:left w:val="nil"/>
              <w:bottom w:val="nil"/>
              <w:right w:val="nil"/>
            </w:tcBorders>
            <w:shd w:val="clear" w:color="000000" w:fill="CCCCFF"/>
            <w:noWrap/>
            <w:vAlign w:val="bottom"/>
            <w:hideMark/>
          </w:tcPr>
          <w:p w14:paraId="2731506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29E6C4A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0FCDD999" w14:textId="77777777" w:rsidTr="008A61B1">
        <w:trPr>
          <w:trHeight w:val="495"/>
        </w:trPr>
        <w:tc>
          <w:tcPr>
            <w:tcW w:w="1134" w:type="dxa"/>
            <w:tcBorders>
              <w:top w:val="nil"/>
              <w:left w:val="nil"/>
              <w:bottom w:val="nil"/>
              <w:right w:val="nil"/>
            </w:tcBorders>
            <w:noWrap/>
            <w:vAlign w:val="bottom"/>
            <w:hideMark/>
          </w:tcPr>
          <w:p w14:paraId="75FB190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3CFB7C7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16E24B6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24.000,00</w:t>
            </w:r>
          </w:p>
        </w:tc>
        <w:tc>
          <w:tcPr>
            <w:tcW w:w="1559" w:type="dxa"/>
            <w:tcBorders>
              <w:top w:val="nil"/>
              <w:left w:val="nil"/>
              <w:bottom w:val="nil"/>
              <w:right w:val="nil"/>
            </w:tcBorders>
            <w:noWrap/>
            <w:vAlign w:val="bottom"/>
            <w:hideMark/>
          </w:tcPr>
          <w:p w14:paraId="027473E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24.000,00</w:t>
            </w:r>
          </w:p>
        </w:tc>
        <w:tc>
          <w:tcPr>
            <w:tcW w:w="1559" w:type="dxa"/>
            <w:tcBorders>
              <w:top w:val="nil"/>
              <w:left w:val="nil"/>
              <w:bottom w:val="nil"/>
              <w:right w:val="nil"/>
            </w:tcBorders>
            <w:noWrap/>
            <w:vAlign w:val="bottom"/>
            <w:hideMark/>
          </w:tcPr>
          <w:p w14:paraId="488F66E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406C24D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372C8790" w14:textId="77777777" w:rsidTr="008A61B1">
        <w:trPr>
          <w:trHeight w:val="525"/>
        </w:trPr>
        <w:tc>
          <w:tcPr>
            <w:tcW w:w="1134" w:type="dxa"/>
            <w:tcBorders>
              <w:top w:val="nil"/>
              <w:left w:val="nil"/>
              <w:bottom w:val="nil"/>
              <w:right w:val="nil"/>
            </w:tcBorders>
            <w:shd w:val="clear" w:color="000000" w:fill="FFFF99"/>
            <w:noWrap/>
            <w:vAlign w:val="bottom"/>
            <w:hideMark/>
          </w:tcPr>
          <w:p w14:paraId="67216A5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K100101</w:t>
            </w:r>
          </w:p>
        </w:tc>
        <w:tc>
          <w:tcPr>
            <w:tcW w:w="4962" w:type="dxa"/>
            <w:tcBorders>
              <w:top w:val="nil"/>
              <w:left w:val="nil"/>
              <w:bottom w:val="nil"/>
              <w:right w:val="nil"/>
            </w:tcBorders>
            <w:shd w:val="clear" w:color="000000" w:fill="FFFF99"/>
            <w:vAlign w:val="bottom"/>
            <w:hideMark/>
          </w:tcPr>
          <w:p w14:paraId="07FA834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Kapitalni projekt: GEODETSKI SNIMAK NERAZVRSTANIH CESTA</w:t>
            </w:r>
          </w:p>
        </w:tc>
        <w:tc>
          <w:tcPr>
            <w:tcW w:w="1559" w:type="dxa"/>
            <w:tcBorders>
              <w:top w:val="nil"/>
              <w:left w:val="nil"/>
              <w:bottom w:val="nil"/>
              <w:right w:val="nil"/>
            </w:tcBorders>
            <w:shd w:val="clear" w:color="000000" w:fill="FFFF99"/>
            <w:noWrap/>
            <w:vAlign w:val="bottom"/>
            <w:hideMark/>
          </w:tcPr>
          <w:p w14:paraId="308BCAB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3.500,00</w:t>
            </w:r>
          </w:p>
        </w:tc>
        <w:tc>
          <w:tcPr>
            <w:tcW w:w="1559" w:type="dxa"/>
            <w:tcBorders>
              <w:top w:val="nil"/>
              <w:left w:val="nil"/>
              <w:bottom w:val="nil"/>
              <w:right w:val="nil"/>
            </w:tcBorders>
            <w:shd w:val="clear" w:color="000000" w:fill="FFFF99"/>
            <w:noWrap/>
            <w:vAlign w:val="bottom"/>
            <w:hideMark/>
          </w:tcPr>
          <w:p w14:paraId="7DEC624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3.500,00</w:t>
            </w:r>
          </w:p>
        </w:tc>
        <w:tc>
          <w:tcPr>
            <w:tcW w:w="1559" w:type="dxa"/>
            <w:tcBorders>
              <w:top w:val="nil"/>
              <w:left w:val="nil"/>
              <w:bottom w:val="nil"/>
              <w:right w:val="nil"/>
            </w:tcBorders>
            <w:shd w:val="clear" w:color="000000" w:fill="FFFF99"/>
            <w:noWrap/>
            <w:vAlign w:val="bottom"/>
            <w:hideMark/>
          </w:tcPr>
          <w:p w14:paraId="70827C6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2.625,00</w:t>
            </w:r>
          </w:p>
        </w:tc>
        <w:tc>
          <w:tcPr>
            <w:tcW w:w="993" w:type="dxa"/>
            <w:tcBorders>
              <w:top w:val="nil"/>
              <w:left w:val="nil"/>
              <w:bottom w:val="nil"/>
              <w:right w:val="nil"/>
            </w:tcBorders>
            <w:shd w:val="clear" w:color="000000" w:fill="FFFF99"/>
            <w:noWrap/>
            <w:vAlign w:val="bottom"/>
            <w:hideMark/>
          </w:tcPr>
          <w:p w14:paraId="58EA7F8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75,00%</w:t>
            </w:r>
          </w:p>
        </w:tc>
      </w:tr>
      <w:tr w:rsidR="006967F8" w:rsidRPr="006967F8" w14:paraId="37FFD149"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2596765"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7AE05D7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3.500,00</w:t>
            </w:r>
          </w:p>
        </w:tc>
        <w:tc>
          <w:tcPr>
            <w:tcW w:w="1559" w:type="dxa"/>
            <w:tcBorders>
              <w:top w:val="nil"/>
              <w:left w:val="nil"/>
              <w:bottom w:val="nil"/>
              <w:right w:val="nil"/>
            </w:tcBorders>
            <w:shd w:val="clear" w:color="000000" w:fill="CCCCFF"/>
            <w:noWrap/>
            <w:vAlign w:val="bottom"/>
            <w:hideMark/>
          </w:tcPr>
          <w:p w14:paraId="0C6F6F6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3.500,00</w:t>
            </w:r>
          </w:p>
        </w:tc>
        <w:tc>
          <w:tcPr>
            <w:tcW w:w="1559" w:type="dxa"/>
            <w:tcBorders>
              <w:top w:val="nil"/>
              <w:left w:val="nil"/>
              <w:bottom w:val="nil"/>
              <w:right w:val="nil"/>
            </w:tcBorders>
            <w:shd w:val="clear" w:color="000000" w:fill="CCCCFF"/>
            <w:noWrap/>
            <w:vAlign w:val="bottom"/>
            <w:hideMark/>
          </w:tcPr>
          <w:p w14:paraId="2A11D14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2.625,00</w:t>
            </w:r>
          </w:p>
        </w:tc>
        <w:tc>
          <w:tcPr>
            <w:tcW w:w="993" w:type="dxa"/>
            <w:tcBorders>
              <w:top w:val="nil"/>
              <w:left w:val="nil"/>
              <w:bottom w:val="nil"/>
              <w:right w:val="nil"/>
            </w:tcBorders>
            <w:shd w:val="clear" w:color="000000" w:fill="CCCCFF"/>
            <w:noWrap/>
            <w:vAlign w:val="bottom"/>
            <w:hideMark/>
          </w:tcPr>
          <w:p w14:paraId="0897861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75,00%</w:t>
            </w:r>
          </w:p>
        </w:tc>
      </w:tr>
      <w:tr w:rsidR="006967F8" w:rsidRPr="006967F8" w14:paraId="742552BC"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C0CA872"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3CA70FD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3.500,00</w:t>
            </w:r>
          </w:p>
        </w:tc>
        <w:tc>
          <w:tcPr>
            <w:tcW w:w="1559" w:type="dxa"/>
            <w:tcBorders>
              <w:top w:val="nil"/>
              <w:left w:val="nil"/>
              <w:bottom w:val="nil"/>
              <w:right w:val="nil"/>
            </w:tcBorders>
            <w:shd w:val="clear" w:color="000000" w:fill="CCCCFF"/>
            <w:noWrap/>
            <w:vAlign w:val="bottom"/>
            <w:hideMark/>
          </w:tcPr>
          <w:p w14:paraId="70171FF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3.500,00</w:t>
            </w:r>
          </w:p>
        </w:tc>
        <w:tc>
          <w:tcPr>
            <w:tcW w:w="1559" w:type="dxa"/>
            <w:tcBorders>
              <w:top w:val="nil"/>
              <w:left w:val="nil"/>
              <w:bottom w:val="nil"/>
              <w:right w:val="nil"/>
            </w:tcBorders>
            <w:shd w:val="clear" w:color="000000" w:fill="CCCCFF"/>
            <w:noWrap/>
            <w:vAlign w:val="bottom"/>
            <w:hideMark/>
          </w:tcPr>
          <w:p w14:paraId="423137E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2.625,00</w:t>
            </w:r>
          </w:p>
        </w:tc>
        <w:tc>
          <w:tcPr>
            <w:tcW w:w="993" w:type="dxa"/>
            <w:tcBorders>
              <w:top w:val="nil"/>
              <w:left w:val="nil"/>
              <w:bottom w:val="nil"/>
              <w:right w:val="nil"/>
            </w:tcBorders>
            <w:shd w:val="clear" w:color="000000" w:fill="CCCCFF"/>
            <w:noWrap/>
            <w:vAlign w:val="bottom"/>
            <w:hideMark/>
          </w:tcPr>
          <w:p w14:paraId="753B046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75,00%</w:t>
            </w:r>
          </w:p>
        </w:tc>
      </w:tr>
      <w:tr w:rsidR="006967F8" w:rsidRPr="006967F8" w14:paraId="0A59D485" w14:textId="77777777" w:rsidTr="008A61B1">
        <w:trPr>
          <w:trHeight w:val="465"/>
        </w:trPr>
        <w:tc>
          <w:tcPr>
            <w:tcW w:w="1134" w:type="dxa"/>
            <w:tcBorders>
              <w:top w:val="nil"/>
              <w:left w:val="nil"/>
              <w:bottom w:val="nil"/>
              <w:right w:val="nil"/>
            </w:tcBorders>
            <w:noWrap/>
            <w:vAlign w:val="bottom"/>
            <w:hideMark/>
          </w:tcPr>
          <w:p w14:paraId="56E3FCC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0365D36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746B360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3.500,00</w:t>
            </w:r>
          </w:p>
        </w:tc>
        <w:tc>
          <w:tcPr>
            <w:tcW w:w="1559" w:type="dxa"/>
            <w:tcBorders>
              <w:top w:val="nil"/>
              <w:left w:val="nil"/>
              <w:bottom w:val="nil"/>
              <w:right w:val="nil"/>
            </w:tcBorders>
            <w:noWrap/>
            <w:vAlign w:val="bottom"/>
            <w:hideMark/>
          </w:tcPr>
          <w:p w14:paraId="5005C70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3.500,00</w:t>
            </w:r>
          </w:p>
        </w:tc>
        <w:tc>
          <w:tcPr>
            <w:tcW w:w="1559" w:type="dxa"/>
            <w:tcBorders>
              <w:top w:val="nil"/>
              <w:left w:val="nil"/>
              <w:bottom w:val="nil"/>
              <w:right w:val="nil"/>
            </w:tcBorders>
            <w:noWrap/>
            <w:vAlign w:val="bottom"/>
            <w:hideMark/>
          </w:tcPr>
          <w:p w14:paraId="08B1087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2.625,00</w:t>
            </w:r>
          </w:p>
        </w:tc>
        <w:tc>
          <w:tcPr>
            <w:tcW w:w="993" w:type="dxa"/>
            <w:tcBorders>
              <w:top w:val="nil"/>
              <w:left w:val="nil"/>
              <w:bottom w:val="nil"/>
              <w:right w:val="nil"/>
            </w:tcBorders>
            <w:noWrap/>
            <w:vAlign w:val="bottom"/>
            <w:hideMark/>
          </w:tcPr>
          <w:p w14:paraId="0A9ED4E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75,00%</w:t>
            </w:r>
          </w:p>
        </w:tc>
      </w:tr>
      <w:tr w:rsidR="006967F8" w:rsidRPr="006967F8" w14:paraId="21E185F5" w14:textId="77777777" w:rsidTr="008A61B1">
        <w:trPr>
          <w:trHeight w:val="255"/>
        </w:trPr>
        <w:tc>
          <w:tcPr>
            <w:tcW w:w="1134" w:type="dxa"/>
            <w:tcBorders>
              <w:top w:val="nil"/>
              <w:left w:val="nil"/>
              <w:bottom w:val="nil"/>
              <w:right w:val="nil"/>
            </w:tcBorders>
            <w:noWrap/>
            <w:vAlign w:val="bottom"/>
            <w:hideMark/>
          </w:tcPr>
          <w:p w14:paraId="333AB3C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4264</w:t>
            </w:r>
          </w:p>
        </w:tc>
        <w:tc>
          <w:tcPr>
            <w:tcW w:w="4962" w:type="dxa"/>
            <w:tcBorders>
              <w:top w:val="nil"/>
              <w:left w:val="nil"/>
              <w:bottom w:val="nil"/>
              <w:right w:val="nil"/>
            </w:tcBorders>
            <w:noWrap/>
            <w:vAlign w:val="bottom"/>
            <w:hideMark/>
          </w:tcPr>
          <w:p w14:paraId="6E10B63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Ostala nematerijalna proizvedena imovina</w:t>
            </w:r>
          </w:p>
        </w:tc>
        <w:tc>
          <w:tcPr>
            <w:tcW w:w="1559" w:type="dxa"/>
            <w:tcBorders>
              <w:top w:val="nil"/>
              <w:left w:val="nil"/>
              <w:bottom w:val="nil"/>
              <w:right w:val="nil"/>
            </w:tcBorders>
            <w:noWrap/>
            <w:vAlign w:val="bottom"/>
            <w:hideMark/>
          </w:tcPr>
          <w:p w14:paraId="122BF1D1"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AE8A67C"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A47A86F"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2.625,00</w:t>
            </w:r>
          </w:p>
        </w:tc>
        <w:tc>
          <w:tcPr>
            <w:tcW w:w="993" w:type="dxa"/>
            <w:tcBorders>
              <w:top w:val="nil"/>
              <w:left w:val="nil"/>
              <w:bottom w:val="nil"/>
              <w:right w:val="nil"/>
            </w:tcBorders>
            <w:noWrap/>
            <w:vAlign w:val="bottom"/>
            <w:hideMark/>
          </w:tcPr>
          <w:p w14:paraId="7A156570"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0E849BA" w14:textId="77777777" w:rsidTr="008A61B1">
        <w:trPr>
          <w:trHeight w:val="255"/>
        </w:trPr>
        <w:tc>
          <w:tcPr>
            <w:tcW w:w="1134" w:type="dxa"/>
            <w:tcBorders>
              <w:top w:val="nil"/>
              <w:left w:val="nil"/>
              <w:bottom w:val="nil"/>
              <w:right w:val="nil"/>
            </w:tcBorders>
            <w:shd w:val="clear" w:color="000000" w:fill="FFFF99"/>
            <w:noWrap/>
            <w:vAlign w:val="bottom"/>
            <w:hideMark/>
          </w:tcPr>
          <w:p w14:paraId="63DCBCA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K100103</w:t>
            </w:r>
          </w:p>
        </w:tc>
        <w:tc>
          <w:tcPr>
            <w:tcW w:w="4962" w:type="dxa"/>
            <w:tcBorders>
              <w:top w:val="nil"/>
              <w:left w:val="nil"/>
              <w:bottom w:val="nil"/>
              <w:right w:val="nil"/>
            </w:tcBorders>
            <w:shd w:val="clear" w:color="000000" w:fill="FFFF99"/>
            <w:noWrap/>
            <w:vAlign w:val="bottom"/>
            <w:hideMark/>
          </w:tcPr>
          <w:p w14:paraId="263F2D4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Kapitalni projekt: UREĐENJE PARKA FORTIN</w:t>
            </w:r>
          </w:p>
        </w:tc>
        <w:tc>
          <w:tcPr>
            <w:tcW w:w="1559" w:type="dxa"/>
            <w:tcBorders>
              <w:top w:val="nil"/>
              <w:left w:val="nil"/>
              <w:bottom w:val="nil"/>
              <w:right w:val="nil"/>
            </w:tcBorders>
            <w:shd w:val="clear" w:color="000000" w:fill="FFFF99"/>
            <w:noWrap/>
            <w:vAlign w:val="bottom"/>
            <w:hideMark/>
          </w:tcPr>
          <w:p w14:paraId="60B92DB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16.000,00</w:t>
            </w:r>
          </w:p>
        </w:tc>
        <w:tc>
          <w:tcPr>
            <w:tcW w:w="1559" w:type="dxa"/>
            <w:tcBorders>
              <w:top w:val="nil"/>
              <w:left w:val="nil"/>
              <w:bottom w:val="nil"/>
              <w:right w:val="nil"/>
            </w:tcBorders>
            <w:shd w:val="clear" w:color="000000" w:fill="FFFF99"/>
            <w:noWrap/>
            <w:vAlign w:val="bottom"/>
            <w:hideMark/>
          </w:tcPr>
          <w:p w14:paraId="3B1B003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16.000,00</w:t>
            </w:r>
          </w:p>
        </w:tc>
        <w:tc>
          <w:tcPr>
            <w:tcW w:w="1559" w:type="dxa"/>
            <w:tcBorders>
              <w:top w:val="nil"/>
              <w:left w:val="nil"/>
              <w:bottom w:val="nil"/>
              <w:right w:val="nil"/>
            </w:tcBorders>
            <w:shd w:val="clear" w:color="000000" w:fill="FFFF99"/>
            <w:noWrap/>
            <w:vAlign w:val="bottom"/>
            <w:hideMark/>
          </w:tcPr>
          <w:p w14:paraId="15E5510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15.948,75</w:t>
            </w:r>
          </w:p>
        </w:tc>
        <w:tc>
          <w:tcPr>
            <w:tcW w:w="993" w:type="dxa"/>
            <w:tcBorders>
              <w:top w:val="nil"/>
              <w:left w:val="nil"/>
              <w:bottom w:val="nil"/>
              <w:right w:val="nil"/>
            </w:tcBorders>
            <w:shd w:val="clear" w:color="000000" w:fill="FFFF99"/>
            <w:noWrap/>
            <w:vAlign w:val="bottom"/>
            <w:hideMark/>
          </w:tcPr>
          <w:p w14:paraId="1962086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99,68%</w:t>
            </w:r>
          </w:p>
        </w:tc>
      </w:tr>
      <w:tr w:rsidR="006967F8" w:rsidRPr="006967F8" w14:paraId="29711A6C"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A615244"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129DD18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16.000,00</w:t>
            </w:r>
          </w:p>
        </w:tc>
        <w:tc>
          <w:tcPr>
            <w:tcW w:w="1559" w:type="dxa"/>
            <w:tcBorders>
              <w:top w:val="nil"/>
              <w:left w:val="nil"/>
              <w:bottom w:val="nil"/>
              <w:right w:val="nil"/>
            </w:tcBorders>
            <w:shd w:val="clear" w:color="000000" w:fill="CCCCFF"/>
            <w:noWrap/>
            <w:vAlign w:val="bottom"/>
            <w:hideMark/>
          </w:tcPr>
          <w:p w14:paraId="4B7CAF5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16.000,00</w:t>
            </w:r>
          </w:p>
        </w:tc>
        <w:tc>
          <w:tcPr>
            <w:tcW w:w="1559" w:type="dxa"/>
            <w:tcBorders>
              <w:top w:val="nil"/>
              <w:left w:val="nil"/>
              <w:bottom w:val="nil"/>
              <w:right w:val="nil"/>
            </w:tcBorders>
            <w:shd w:val="clear" w:color="000000" w:fill="CCCCFF"/>
            <w:noWrap/>
            <w:vAlign w:val="bottom"/>
            <w:hideMark/>
          </w:tcPr>
          <w:p w14:paraId="095F816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15.948,75</w:t>
            </w:r>
          </w:p>
        </w:tc>
        <w:tc>
          <w:tcPr>
            <w:tcW w:w="993" w:type="dxa"/>
            <w:tcBorders>
              <w:top w:val="nil"/>
              <w:left w:val="nil"/>
              <w:bottom w:val="nil"/>
              <w:right w:val="nil"/>
            </w:tcBorders>
            <w:shd w:val="clear" w:color="000000" w:fill="CCCCFF"/>
            <w:noWrap/>
            <w:vAlign w:val="bottom"/>
            <w:hideMark/>
          </w:tcPr>
          <w:p w14:paraId="2FF3723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99,68%</w:t>
            </w:r>
          </w:p>
        </w:tc>
      </w:tr>
      <w:tr w:rsidR="006967F8" w:rsidRPr="006967F8" w14:paraId="42EDD0CE"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30F596E"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4.1. Komunalni doprinos</w:t>
            </w:r>
          </w:p>
        </w:tc>
        <w:tc>
          <w:tcPr>
            <w:tcW w:w="1559" w:type="dxa"/>
            <w:tcBorders>
              <w:top w:val="nil"/>
              <w:left w:val="nil"/>
              <w:bottom w:val="nil"/>
              <w:right w:val="nil"/>
            </w:tcBorders>
            <w:shd w:val="clear" w:color="000000" w:fill="CCCCFF"/>
            <w:noWrap/>
            <w:vAlign w:val="bottom"/>
            <w:hideMark/>
          </w:tcPr>
          <w:p w14:paraId="2EE6B3A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16.000,00</w:t>
            </w:r>
          </w:p>
        </w:tc>
        <w:tc>
          <w:tcPr>
            <w:tcW w:w="1559" w:type="dxa"/>
            <w:tcBorders>
              <w:top w:val="nil"/>
              <w:left w:val="nil"/>
              <w:bottom w:val="nil"/>
              <w:right w:val="nil"/>
            </w:tcBorders>
            <w:shd w:val="clear" w:color="000000" w:fill="CCCCFF"/>
            <w:noWrap/>
            <w:vAlign w:val="bottom"/>
            <w:hideMark/>
          </w:tcPr>
          <w:p w14:paraId="63867CF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16.000,00</w:t>
            </w:r>
          </w:p>
        </w:tc>
        <w:tc>
          <w:tcPr>
            <w:tcW w:w="1559" w:type="dxa"/>
            <w:tcBorders>
              <w:top w:val="nil"/>
              <w:left w:val="nil"/>
              <w:bottom w:val="nil"/>
              <w:right w:val="nil"/>
            </w:tcBorders>
            <w:shd w:val="clear" w:color="000000" w:fill="CCCCFF"/>
            <w:noWrap/>
            <w:vAlign w:val="bottom"/>
            <w:hideMark/>
          </w:tcPr>
          <w:p w14:paraId="3974AFC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15.948,75</w:t>
            </w:r>
          </w:p>
        </w:tc>
        <w:tc>
          <w:tcPr>
            <w:tcW w:w="993" w:type="dxa"/>
            <w:tcBorders>
              <w:top w:val="nil"/>
              <w:left w:val="nil"/>
              <w:bottom w:val="nil"/>
              <w:right w:val="nil"/>
            </w:tcBorders>
            <w:shd w:val="clear" w:color="000000" w:fill="CCCCFF"/>
            <w:noWrap/>
            <w:vAlign w:val="bottom"/>
            <w:hideMark/>
          </w:tcPr>
          <w:p w14:paraId="4C891B6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99,68%</w:t>
            </w:r>
          </w:p>
        </w:tc>
      </w:tr>
      <w:tr w:rsidR="006967F8" w:rsidRPr="006967F8" w14:paraId="60B03E6C" w14:textId="77777777" w:rsidTr="008A61B1">
        <w:trPr>
          <w:trHeight w:val="495"/>
        </w:trPr>
        <w:tc>
          <w:tcPr>
            <w:tcW w:w="1134" w:type="dxa"/>
            <w:tcBorders>
              <w:top w:val="nil"/>
              <w:left w:val="nil"/>
              <w:bottom w:val="nil"/>
              <w:right w:val="nil"/>
            </w:tcBorders>
            <w:noWrap/>
            <w:vAlign w:val="bottom"/>
            <w:hideMark/>
          </w:tcPr>
          <w:p w14:paraId="38704F1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47981B6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315FE84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16.000,00</w:t>
            </w:r>
          </w:p>
        </w:tc>
        <w:tc>
          <w:tcPr>
            <w:tcW w:w="1559" w:type="dxa"/>
            <w:tcBorders>
              <w:top w:val="nil"/>
              <w:left w:val="nil"/>
              <w:bottom w:val="nil"/>
              <w:right w:val="nil"/>
            </w:tcBorders>
            <w:noWrap/>
            <w:vAlign w:val="bottom"/>
            <w:hideMark/>
          </w:tcPr>
          <w:p w14:paraId="475FC06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16.000,00</w:t>
            </w:r>
          </w:p>
        </w:tc>
        <w:tc>
          <w:tcPr>
            <w:tcW w:w="1559" w:type="dxa"/>
            <w:tcBorders>
              <w:top w:val="nil"/>
              <w:left w:val="nil"/>
              <w:bottom w:val="nil"/>
              <w:right w:val="nil"/>
            </w:tcBorders>
            <w:noWrap/>
            <w:vAlign w:val="bottom"/>
            <w:hideMark/>
          </w:tcPr>
          <w:p w14:paraId="3F6598A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15.948,75</w:t>
            </w:r>
          </w:p>
        </w:tc>
        <w:tc>
          <w:tcPr>
            <w:tcW w:w="993" w:type="dxa"/>
            <w:tcBorders>
              <w:top w:val="nil"/>
              <w:left w:val="nil"/>
              <w:bottom w:val="nil"/>
              <w:right w:val="nil"/>
            </w:tcBorders>
            <w:noWrap/>
            <w:vAlign w:val="bottom"/>
            <w:hideMark/>
          </w:tcPr>
          <w:p w14:paraId="379EC31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99,68%</w:t>
            </w:r>
          </w:p>
        </w:tc>
      </w:tr>
      <w:tr w:rsidR="006967F8" w:rsidRPr="006967F8" w14:paraId="429FCFD7" w14:textId="77777777" w:rsidTr="008A61B1">
        <w:trPr>
          <w:trHeight w:val="255"/>
        </w:trPr>
        <w:tc>
          <w:tcPr>
            <w:tcW w:w="1134" w:type="dxa"/>
            <w:tcBorders>
              <w:top w:val="nil"/>
              <w:left w:val="nil"/>
              <w:bottom w:val="nil"/>
              <w:right w:val="nil"/>
            </w:tcBorders>
            <w:noWrap/>
            <w:vAlign w:val="bottom"/>
            <w:hideMark/>
          </w:tcPr>
          <w:p w14:paraId="64579DF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4214</w:t>
            </w:r>
          </w:p>
        </w:tc>
        <w:tc>
          <w:tcPr>
            <w:tcW w:w="4962" w:type="dxa"/>
            <w:tcBorders>
              <w:top w:val="nil"/>
              <w:left w:val="nil"/>
              <w:bottom w:val="nil"/>
              <w:right w:val="nil"/>
            </w:tcBorders>
            <w:noWrap/>
            <w:vAlign w:val="bottom"/>
            <w:hideMark/>
          </w:tcPr>
          <w:p w14:paraId="1054A3D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građevinski objekti</w:t>
            </w:r>
          </w:p>
        </w:tc>
        <w:tc>
          <w:tcPr>
            <w:tcW w:w="1559" w:type="dxa"/>
            <w:tcBorders>
              <w:top w:val="nil"/>
              <w:left w:val="nil"/>
              <w:bottom w:val="nil"/>
              <w:right w:val="nil"/>
            </w:tcBorders>
            <w:noWrap/>
            <w:vAlign w:val="bottom"/>
            <w:hideMark/>
          </w:tcPr>
          <w:p w14:paraId="1A1E3A09"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4A53753"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1482CA4"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15.948,75</w:t>
            </w:r>
          </w:p>
        </w:tc>
        <w:tc>
          <w:tcPr>
            <w:tcW w:w="993" w:type="dxa"/>
            <w:tcBorders>
              <w:top w:val="nil"/>
              <w:left w:val="nil"/>
              <w:bottom w:val="nil"/>
              <w:right w:val="nil"/>
            </w:tcBorders>
            <w:noWrap/>
            <w:vAlign w:val="bottom"/>
            <w:hideMark/>
          </w:tcPr>
          <w:p w14:paraId="68E55FF9"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4BE3E32" w14:textId="77777777" w:rsidTr="008A61B1">
        <w:trPr>
          <w:trHeight w:val="255"/>
        </w:trPr>
        <w:tc>
          <w:tcPr>
            <w:tcW w:w="1134" w:type="dxa"/>
            <w:tcBorders>
              <w:top w:val="nil"/>
              <w:left w:val="nil"/>
              <w:bottom w:val="nil"/>
              <w:right w:val="nil"/>
            </w:tcBorders>
            <w:shd w:val="clear" w:color="000000" w:fill="FFFF99"/>
            <w:noWrap/>
            <w:vAlign w:val="bottom"/>
            <w:hideMark/>
          </w:tcPr>
          <w:p w14:paraId="07F532A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K100104</w:t>
            </w:r>
          </w:p>
        </w:tc>
        <w:tc>
          <w:tcPr>
            <w:tcW w:w="4962" w:type="dxa"/>
            <w:tcBorders>
              <w:top w:val="nil"/>
              <w:left w:val="nil"/>
              <w:bottom w:val="nil"/>
              <w:right w:val="nil"/>
            </w:tcBorders>
            <w:shd w:val="clear" w:color="000000" w:fill="FFFF99"/>
            <w:noWrap/>
            <w:vAlign w:val="bottom"/>
            <w:hideMark/>
          </w:tcPr>
          <w:p w14:paraId="64A5692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Kapitalni projekt: UREĐENJE PARKA ŽUDIKA </w:t>
            </w:r>
          </w:p>
        </w:tc>
        <w:tc>
          <w:tcPr>
            <w:tcW w:w="1559" w:type="dxa"/>
            <w:tcBorders>
              <w:top w:val="nil"/>
              <w:left w:val="nil"/>
              <w:bottom w:val="nil"/>
              <w:right w:val="nil"/>
            </w:tcBorders>
            <w:shd w:val="clear" w:color="000000" w:fill="FFFF99"/>
            <w:noWrap/>
            <w:vAlign w:val="bottom"/>
            <w:hideMark/>
          </w:tcPr>
          <w:p w14:paraId="38BF6B9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98.154,00</w:t>
            </w:r>
          </w:p>
        </w:tc>
        <w:tc>
          <w:tcPr>
            <w:tcW w:w="1559" w:type="dxa"/>
            <w:tcBorders>
              <w:top w:val="nil"/>
              <w:left w:val="nil"/>
              <w:bottom w:val="nil"/>
              <w:right w:val="nil"/>
            </w:tcBorders>
            <w:shd w:val="clear" w:color="000000" w:fill="FFFF99"/>
            <w:noWrap/>
            <w:vAlign w:val="bottom"/>
            <w:hideMark/>
          </w:tcPr>
          <w:p w14:paraId="228E32D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98.154,00</w:t>
            </w:r>
          </w:p>
        </w:tc>
        <w:tc>
          <w:tcPr>
            <w:tcW w:w="1559" w:type="dxa"/>
            <w:tcBorders>
              <w:top w:val="nil"/>
              <w:left w:val="nil"/>
              <w:bottom w:val="nil"/>
              <w:right w:val="nil"/>
            </w:tcBorders>
            <w:shd w:val="clear" w:color="000000" w:fill="FFFF99"/>
            <w:noWrap/>
            <w:vAlign w:val="bottom"/>
            <w:hideMark/>
          </w:tcPr>
          <w:p w14:paraId="4441B03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35.828,44</w:t>
            </w:r>
          </w:p>
        </w:tc>
        <w:tc>
          <w:tcPr>
            <w:tcW w:w="993" w:type="dxa"/>
            <w:tcBorders>
              <w:top w:val="nil"/>
              <w:left w:val="nil"/>
              <w:bottom w:val="nil"/>
              <w:right w:val="nil"/>
            </w:tcBorders>
            <w:shd w:val="clear" w:color="000000" w:fill="FFFF99"/>
            <w:noWrap/>
            <w:vAlign w:val="bottom"/>
            <w:hideMark/>
          </w:tcPr>
          <w:p w14:paraId="2712BBE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36,50%</w:t>
            </w:r>
          </w:p>
        </w:tc>
      </w:tr>
      <w:tr w:rsidR="006967F8" w:rsidRPr="006967F8" w14:paraId="1A85A1A3"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164B205"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6F0E49F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98.154,00</w:t>
            </w:r>
          </w:p>
        </w:tc>
        <w:tc>
          <w:tcPr>
            <w:tcW w:w="1559" w:type="dxa"/>
            <w:tcBorders>
              <w:top w:val="nil"/>
              <w:left w:val="nil"/>
              <w:bottom w:val="nil"/>
              <w:right w:val="nil"/>
            </w:tcBorders>
            <w:shd w:val="clear" w:color="000000" w:fill="CCCCFF"/>
            <w:noWrap/>
            <w:vAlign w:val="bottom"/>
            <w:hideMark/>
          </w:tcPr>
          <w:p w14:paraId="1237CAD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98.154,00</w:t>
            </w:r>
          </w:p>
        </w:tc>
        <w:tc>
          <w:tcPr>
            <w:tcW w:w="1559" w:type="dxa"/>
            <w:tcBorders>
              <w:top w:val="nil"/>
              <w:left w:val="nil"/>
              <w:bottom w:val="nil"/>
              <w:right w:val="nil"/>
            </w:tcBorders>
            <w:shd w:val="clear" w:color="000000" w:fill="CCCCFF"/>
            <w:noWrap/>
            <w:vAlign w:val="bottom"/>
            <w:hideMark/>
          </w:tcPr>
          <w:p w14:paraId="016D72C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35.828,44</w:t>
            </w:r>
          </w:p>
        </w:tc>
        <w:tc>
          <w:tcPr>
            <w:tcW w:w="993" w:type="dxa"/>
            <w:tcBorders>
              <w:top w:val="nil"/>
              <w:left w:val="nil"/>
              <w:bottom w:val="nil"/>
              <w:right w:val="nil"/>
            </w:tcBorders>
            <w:shd w:val="clear" w:color="000000" w:fill="CCCCFF"/>
            <w:noWrap/>
            <w:vAlign w:val="bottom"/>
            <w:hideMark/>
          </w:tcPr>
          <w:p w14:paraId="5ED7DEA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36,50%</w:t>
            </w:r>
          </w:p>
        </w:tc>
      </w:tr>
      <w:tr w:rsidR="006967F8" w:rsidRPr="006967F8" w14:paraId="0A267F8B"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396978D"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4.1. Komunalni doprinos</w:t>
            </w:r>
          </w:p>
        </w:tc>
        <w:tc>
          <w:tcPr>
            <w:tcW w:w="1559" w:type="dxa"/>
            <w:tcBorders>
              <w:top w:val="nil"/>
              <w:left w:val="nil"/>
              <w:bottom w:val="nil"/>
              <w:right w:val="nil"/>
            </w:tcBorders>
            <w:shd w:val="clear" w:color="000000" w:fill="CCCCFF"/>
            <w:noWrap/>
            <w:vAlign w:val="bottom"/>
            <w:hideMark/>
          </w:tcPr>
          <w:p w14:paraId="1340AB9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98.154,00</w:t>
            </w:r>
          </w:p>
        </w:tc>
        <w:tc>
          <w:tcPr>
            <w:tcW w:w="1559" w:type="dxa"/>
            <w:tcBorders>
              <w:top w:val="nil"/>
              <w:left w:val="nil"/>
              <w:bottom w:val="nil"/>
              <w:right w:val="nil"/>
            </w:tcBorders>
            <w:shd w:val="clear" w:color="000000" w:fill="CCCCFF"/>
            <w:noWrap/>
            <w:vAlign w:val="bottom"/>
            <w:hideMark/>
          </w:tcPr>
          <w:p w14:paraId="33031ED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98.154,00</w:t>
            </w:r>
          </w:p>
        </w:tc>
        <w:tc>
          <w:tcPr>
            <w:tcW w:w="1559" w:type="dxa"/>
            <w:tcBorders>
              <w:top w:val="nil"/>
              <w:left w:val="nil"/>
              <w:bottom w:val="nil"/>
              <w:right w:val="nil"/>
            </w:tcBorders>
            <w:shd w:val="clear" w:color="000000" w:fill="CCCCFF"/>
            <w:noWrap/>
            <w:vAlign w:val="bottom"/>
            <w:hideMark/>
          </w:tcPr>
          <w:p w14:paraId="19C1E76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35.828,44</w:t>
            </w:r>
          </w:p>
        </w:tc>
        <w:tc>
          <w:tcPr>
            <w:tcW w:w="993" w:type="dxa"/>
            <w:tcBorders>
              <w:top w:val="nil"/>
              <w:left w:val="nil"/>
              <w:bottom w:val="nil"/>
              <w:right w:val="nil"/>
            </w:tcBorders>
            <w:shd w:val="clear" w:color="000000" w:fill="CCCCFF"/>
            <w:noWrap/>
            <w:vAlign w:val="bottom"/>
            <w:hideMark/>
          </w:tcPr>
          <w:p w14:paraId="3ED846F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36,50%</w:t>
            </w:r>
          </w:p>
        </w:tc>
      </w:tr>
      <w:tr w:rsidR="006967F8" w:rsidRPr="006967F8" w14:paraId="0743471A" w14:textId="77777777" w:rsidTr="008A61B1">
        <w:trPr>
          <w:trHeight w:val="510"/>
        </w:trPr>
        <w:tc>
          <w:tcPr>
            <w:tcW w:w="1134" w:type="dxa"/>
            <w:tcBorders>
              <w:top w:val="nil"/>
              <w:left w:val="nil"/>
              <w:bottom w:val="nil"/>
              <w:right w:val="nil"/>
            </w:tcBorders>
            <w:noWrap/>
            <w:vAlign w:val="bottom"/>
            <w:hideMark/>
          </w:tcPr>
          <w:p w14:paraId="01F7B1D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166F583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4898AD5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98.154,00</w:t>
            </w:r>
          </w:p>
        </w:tc>
        <w:tc>
          <w:tcPr>
            <w:tcW w:w="1559" w:type="dxa"/>
            <w:tcBorders>
              <w:top w:val="nil"/>
              <w:left w:val="nil"/>
              <w:bottom w:val="nil"/>
              <w:right w:val="nil"/>
            </w:tcBorders>
            <w:noWrap/>
            <w:vAlign w:val="bottom"/>
            <w:hideMark/>
          </w:tcPr>
          <w:p w14:paraId="243E041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98.154,00</w:t>
            </w:r>
          </w:p>
        </w:tc>
        <w:tc>
          <w:tcPr>
            <w:tcW w:w="1559" w:type="dxa"/>
            <w:tcBorders>
              <w:top w:val="nil"/>
              <w:left w:val="nil"/>
              <w:bottom w:val="nil"/>
              <w:right w:val="nil"/>
            </w:tcBorders>
            <w:noWrap/>
            <w:vAlign w:val="bottom"/>
            <w:hideMark/>
          </w:tcPr>
          <w:p w14:paraId="7A30F13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35.828,44</w:t>
            </w:r>
          </w:p>
        </w:tc>
        <w:tc>
          <w:tcPr>
            <w:tcW w:w="993" w:type="dxa"/>
            <w:tcBorders>
              <w:top w:val="nil"/>
              <w:left w:val="nil"/>
              <w:bottom w:val="nil"/>
              <w:right w:val="nil"/>
            </w:tcBorders>
            <w:noWrap/>
            <w:vAlign w:val="bottom"/>
            <w:hideMark/>
          </w:tcPr>
          <w:p w14:paraId="42A3215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36,50%</w:t>
            </w:r>
          </w:p>
        </w:tc>
      </w:tr>
      <w:tr w:rsidR="006967F8" w:rsidRPr="006967F8" w14:paraId="42932D69" w14:textId="77777777" w:rsidTr="008A61B1">
        <w:trPr>
          <w:trHeight w:val="255"/>
        </w:trPr>
        <w:tc>
          <w:tcPr>
            <w:tcW w:w="1134" w:type="dxa"/>
            <w:tcBorders>
              <w:top w:val="nil"/>
              <w:left w:val="nil"/>
              <w:bottom w:val="nil"/>
              <w:right w:val="nil"/>
            </w:tcBorders>
            <w:noWrap/>
            <w:vAlign w:val="bottom"/>
            <w:hideMark/>
          </w:tcPr>
          <w:p w14:paraId="3B0B55E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lastRenderedPageBreak/>
              <w:t>4214</w:t>
            </w:r>
          </w:p>
        </w:tc>
        <w:tc>
          <w:tcPr>
            <w:tcW w:w="4962" w:type="dxa"/>
            <w:tcBorders>
              <w:top w:val="nil"/>
              <w:left w:val="nil"/>
              <w:bottom w:val="nil"/>
              <w:right w:val="nil"/>
            </w:tcBorders>
            <w:noWrap/>
            <w:vAlign w:val="bottom"/>
            <w:hideMark/>
          </w:tcPr>
          <w:p w14:paraId="3CEB9E9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građevinski objekti</w:t>
            </w:r>
          </w:p>
        </w:tc>
        <w:tc>
          <w:tcPr>
            <w:tcW w:w="1559" w:type="dxa"/>
            <w:tcBorders>
              <w:top w:val="nil"/>
              <w:left w:val="nil"/>
              <w:bottom w:val="nil"/>
              <w:right w:val="nil"/>
            </w:tcBorders>
            <w:noWrap/>
            <w:vAlign w:val="bottom"/>
            <w:hideMark/>
          </w:tcPr>
          <w:p w14:paraId="362FE39E"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63BF94A"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5D7845F"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35.828,44</w:t>
            </w:r>
          </w:p>
        </w:tc>
        <w:tc>
          <w:tcPr>
            <w:tcW w:w="993" w:type="dxa"/>
            <w:tcBorders>
              <w:top w:val="nil"/>
              <w:left w:val="nil"/>
              <w:bottom w:val="nil"/>
              <w:right w:val="nil"/>
            </w:tcBorders>
            <w:noWrap/>
            <w:vAlign w:val="bottom"/>
            <w:hideMark/>
          </w:tcPr>
          <w:p w14:paraId="57FDE6FC"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18D8674" w14:textId="77777777" w:rsidTr="008A61B1">
        <w:trPr>
          <w:trHeight w:val="540"/>
        </w:trPr>
        <w:tc>
          <w:tcPr>
            <w:tcW w:w="1134" w:type="dxa"/>
            <w:tcBorders>
              <w:top w:val="nil"/>
              <w:left w:val="nil"/>
              <w:bottom w:val="nil"/>
              <w:right w:val="nil"/>
            </w:tcBorders>
            <w:shd w:val="clear" w:color="000000" w:fill="FFFF99"/>
            <w:noWrap/>
            <w:vAlign w:val="bottom"/>
            <w:hideMark/>
          </w:tcPr>
          <w:p w14:paraId="2341E32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K100106</w:t>
            </w:r>
          </w:p>
        </w:tc>
        <w:tc>
          <w:tcPr>
            <w:tcW w:w="4962" w:type="dxa"/>
            <w:tcBorders>
              <w:top w:val="nil"/>
              <w:left w:val="nil"/>
              <w:bottom w:val="nil"/>
              <w:right w:val="nil"/>
            </w:tcBorders>
            <w:shd w:val="clear" w:color="000000" w:fill="FFFF99"/>
            <w:vAlign w:val="bottom"/>
            <w:hideMark/>
          </w:tcPr>
          <w:p w14:paraId="31B3DFA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Kapitalni projekt: REKONSTRUKCIJA OBALNOG ZIDA U PARKU ŽUDIKA</w:t>
            </w:r>
          </w:p>
        </w:tc>
        <w:tc>
          <w:tcPr>
            <w:tcW w:w="1559" w:type="dxa"/>
            <w:tcBorders>
              <w:top w:val="nil"/>
              <w:left w:val="nil"/>
              <w:bottom w:val="nil"/>
              <w:right w:val="nil"/>
            </w:tcBorders>
            <w:shd w:val="clear" w:color="000000" w:fill="FFFF99"/>
            <w:noWrap/>
            <w:vAlign w:val="bottom"/>
            <w:hideMark/>
          </w:tcPr>
          <w:p w14:paraId="5C97E20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29.000,00</w:t>
            </w:r>
          </w:p>
        </w:tc>
        <w:tc>
          <w:tcPr>
            <w:tcW w:w="1559" w:type="dxa"/>
            <w:tcBorders>
              <w:top w:val="nil"/>
              <w:left w:val="nil"/>
              <w:bottom w:val="nil"/>
              <w:right w:val="nil"/>
            </w:tcBorders>
            <w:shd w:val="clear" w:color="000000" w:fill="FFFF99"/>
            <w:noWrap/>
            <w:vAlign w:val="bottom"/>
            <w:hideMark/>
          </w:tcPr>
          <w:p w14:paraId="49C6467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29.000,00</w:t>
            </w:r>
          </w:p>
        </w:tc>
        <w:tc>
          <w:tcPr>
            <w:tcW w:w="1559" w:type="dxa"/>
            <w:tcBorders>
              <w:top w:val="nil"/>
              <w:left w:val="nil"/>
              <w:bottom w:val="nil"/>
              <w:right w:val="nil"/>
            </w:tcBorders>
            <w:shd w:val="clear" w:color="000000" w:fill="FFFF99"/>
            <w:noWrap/>
            <w:vAlign w:val="bottom"/>
            <w:hideMark/>
          </w:tcPr>
          <w:p w14:paraId="568AE22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9.037,50</w:t>
            </w:r>
          </w:p>
        </w:tc>
        <w:tc>
          <w:tcPr>
            <w:tcW w:w="993" w:type="dxa"/>
            <w:tcBorders>
              <w:top w:val="nil"/>
              <w:left w:val="nil"/>
              <w:bottom w:val="nil"/>
              <w:right w:val="nil"/>
            </w:tcBorders>
            <w:shd w:val="clear" w:color="000000" w:fill="FFFF99"/>
            <w:noWrap/>
            <w:vAlign w:val="bottom"/>
            <w:hideMark/>
          </w:tcPr>
          <w:p w14:paraId="2911F91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31,16%</w:t>
            </w:r>
          </w:p>
        </w:tc>
      </w:tr>
      <w:tr w:rsidR="006967F8" w:rsidRPr="006967F8" w14:paraId="77110D08"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D6BD23B"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4C6CDCD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0761729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4076953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6.326,25</w:t>
            </w:r>
          </w:p>
        </w:tc>
        <w:tc>
          <w:tcPr>
            <w:tcW w:w="993" w:type="dxa"/>
            <w:tcBorders>
              <w:top w:val="nil"/>
              <w:left w:val="nil"/>
              <w:bottom w:val="nil"/>
              <w:right w:val="nil"/>
            </w:tcBorders>
            <w:shd w:val="clear" w:color="000000" w:fill="CCCCFF"/>
            <w:noWrap/>
            <w:vAlign w:val="bottom"/>
            <w:hideMark/>
          </w:tcPr>
          <w:p w14:paraId="2047A1A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31,63%</w:t>
            </w:r>
          </w:p>
        </w:tc>
      </w:tr>
      <w:tr w:rsidR="006967F8" w:rsidRPr="006967F8" w14:paraId="37FAA40E"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42DE0CB"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4.1. Komunalni doprinos</w:t>
            </w:r>
          </w:p>
        </w:tc>
        <w:tc>
          <w:tcPr>
            <w:tcW w:w="1559" w:type="dxa"/>
            <w:tcBorders>
              <w:top w:val="nil"/>
              <w:left w:val="nil"/>
              <w:bottom w:val="nil"/>
              <w:right w:val="nil"/>
            </w:tcBorders>
            <w:shd w:val="clear" w:color="000000" w:fill="CCCCFF"/>
            <w:noWrap/>
            <w:vAlign w:val="bottom"/>
            <w:hideMark/>
          </w:tcPr>
          <w:p w14:paraId="4F15B35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0E8F255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2499698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6.326,25</w:t>
            </w:r>
          </w:p>
        </w:tc>
        <w:tc>
          <w:tcPr>
            <w:tcW w:w="993" w:type="dxa"/>
            <w:tcBorders>
              <w:top w:val="nil"/>
              <w:left w:val="nil"/>
              <w:bottom w:val="nil"/>
              <w:right w:val="nil"/>
            </w:tcBorders>
            <w:shd w:val="clear" w:color="000000" w:fill="CCCCFF"/>
            <w:noWrap/>
            <w:vAlign w:val="bottom"/>
            <w:hideMark/>
          </w:tcPr>
          <w:p w14:paraId="2C724CD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31,63%</w:t>
            </w:r>
          </w:p>
        </w:tc>
      </w:tr>
      <w:tr w:rsidR="006967F8" w:rsidRPr="006967F8" w14:paraId="3C2E3FAE" w14:textId="77777777" w:rsidTr="008A61B1">
        <w:trPr>
          <w:trHeight w:val="570"/>
        </w:trPr>
        <w:tc>
          <w:tcPr>
            <w:tcW w:w="1134" w:type="dxa"/>
            <w:tcBorders>
              <w:top w:val="nil"/>
              <w:left w:val="nil"/>
              <w:bottom w:val="nil"/>
              <w:right w:val="nil"/>
            </w:tcBorders>
            <w:noWrap/>
            <w:vAlign w:val="bottom"/>
            <w:hideMark/>
          </w:tcPr>
          <w:p w14:paraId="25747FA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0152305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4914569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noWrap/>
            <w:vAlign w:val="bottom"/>
            <w:hideMark/>
          </w:tcPr>
          <w:p w14:paraId="2C49A29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noWrap/>
            <w:vAlign w:val="bottom"/>
            <w:hideMark/>
          </w:tcPr>
          <w:p w14:paraId="1FEE41D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6.326,25</w:t>
            </w:r>
          </w:p>
        </w:tc>
        <w:tc>
          <w:tcPr>
            <w:tcW w:w="993" w:type="dxa"/>
            <w:tcBorders>
              <w:top w:val="nil"/>
              <w:left w:val="nil"/>
              <w:bottom w:val="nil"/>
              <w:right w:val="nil"/>
            </w:tcBorders>
            <w:noWrap/>
            <w:vAlign w:val="bottom"/>
            <w:hideMark/>
          </w:tcPr>
          <w:p w14:paraId="12615CB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31,63%</w:t>
            </w:r>
          </w:p>
        </w:tc>
      </w:tr>
      <w:tr w:rsidR="006967F8" w:rsidRPr="006967F8" w14:paraId="621C9FC8" w14:textId="77777777" w:rsidTr="008A61B1">
        <w:trPr>
          <w:trHeight w:val="255"/>
        </w:trPr>
        <w:tc>
          <w:tcPr>
            <w:tcW w:w="1134" w:type="dxa"/>
            <w:tcBorders>
              <w:top w:val="nil"/>
              <w:left w:val="nil"/>
              <w:bottom w:val="nil"/>
              <w:right w:val="nil"/>
            </w:tcBorders>
            <w:noWrap/>
            <w:vAlign w:val="bottom"/>
            <w:hideMark/>
          </w:tcPr>
          <w:p w14:paraId="554DCB5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4214</w:t>
            </w:r>
          </w:p>
        </w:tc>
        <w:tc>
          <w:tcPr>
            <w:tcW w:w="4962" w:type="dxa"/>
            <w:tcBorders>
              <w:top w:val="nil"/>
              <w:left w:val="nil"/>
              <w:bottom w:val="nil"/>
              <w:right w:val="nil"/>
            </w:tcBorders>
            <w:noWrap/>
            <w:vAlign w:val="bottom"/>
            <w:hideMark/>
          </w:tcPr>
          <w:p w14:paraId="247E3C8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građevinski objekti</w:t>
            </w:r>
          </w:p>
        </w:tc>
        <w:tc>
          <w:tcPr>
            <w:tcW w:w="1559" w:type="dxa"/>
            <w:tcBorders>
              <w:top w:val="nil"/>
              <w:left w:val="nil"/>
              <w:bottom w:val="nil"/>
              <w:right w:val="nil"/>
            </w:tcBorders>
            <w:noWrap/>
            <w:vAlign w:val="bottom"/>
            <w:hideMark/>
          </w:tcPr>
          <w:p w14:paraId="19E570F9"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22BB715"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21B6411"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6.326,25</w:t>
            </w:r>
          </w:p>
        </w:tc>
        <w:tc>
          <w:tcPr>
            <w:tcW w:w="993" w:type="dxa"/>
            <w:tcBorders>
              <w:top w:val="nil"/>
              <w:left w:val="nil"/>
              <w:bottom w:val="nil"/>
              <w:right w:val="nil"/>
            </w:tcBorders>
            <w:noWrap/>
            <w:vAlign w:val="bottom"/>
            <w:hideMark/>
          </w:tcPr>
          <w:p w14:paraId="5FDAA5EF"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7DFA458"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F2AB350"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242E075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9.000,00</w:t>
            </w:r>
          </w:p>
        </w:tc>
        <w:tc>
          <w:tcPr>
            <w:tcW w:w="1559" w:type="dxa"/>
            <w:tcBorders>
              <w:top w:val="nil"/>
              <w:left w:val="nil"/>
              <w:bottom w:val="nil"/>
              <w:right w:val="nil"/>
            </w:tcBorders>
            <w:shd w:val="clear" w:color="000000" w:fill="CCCCFF"/>
            <w:noWrap/>
            <w:vAlign w:val="bottom"/>
            <w:hideMark/>
          </w:tcPr>
          <w:p w14:paraId="14DC511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9.000,00</w:t>
            </w:r>
          </w:p>
        </w:tc>
        <w:tc>
          <w:tcPr>
            <w:tcW w:w="1559" w:type="dxa"/>
            <w:tcBorders>
              <w:top w:val="nil"/>
              <w:left w:val="nil"/>
              <w:bottom w:val="nil"/>
              <w:right w:val="nil"/>
            </w:tcBorders>
            <w:shd w:val="clear" w:color="000000" w:fill="CCCCFF"/>
            <w:noWrap/>
            <w:vAlign w:val="bottom"/>
            <w:hideMark/>
          </w:tcPr>
          <w:p w14:paraId="631F0FC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2.711,25</w:t>
            </w:r>
          </w:p>
        </w:tc>
        <w:tc>
          <w:tcPr>
            <w:tcW w:w="993" w:type="dxa"/>
            <w:tcBorders>
              <w:top w:val="nil"/>
              <w:left w:val="nil"/>
              <w:bottom w:val="nil"/>
              <w:right w:val="nil"/>
            </w:tcBorders>
            <w:shd w:val="clear" w:color="000000" w:fill="CCCCFF"/>
            <w:noWrap/>
            <w:vAlign w:val="bottom"/>
            <w:hideMark/>
          </w:tcPr>
          <w:p w14:paraId="39AD493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30,13%</w:t>
            </w:r>
          </w:p>
        </w:tc>
      </w:tr>
      <w:tr w:rsidR="006967F8" w:rsidRPr="006967F8" w14:paraId="4D28D7F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9B08F1F"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5.1. Ostale pomoći</w:t>
            </w:r>
          </w:p>
        </w:tc>
        <w:tc>
          <w:tcPr>
            <w:tcW w:w="1559" w:type="dxa"/>
            <w:tcBorders>
              <w:top w:val="nil"/>
              <w:left w:val="nil"/>
              <w:bottom w:val="nil"/>
              <w:right w:val="nil"/>
            </w:tcBorders>
            <w:shd w:val="clear" w:color="000000" w:fill="CCCCFF"/>
            <w:noWrap/>
            <w:vAlign w:val="bottom"/>
            <w:hideMark/>
          </w:tcPr>
          <w:p w14:paraId="356F793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9.000,00</w:t>
            </w:r>
          </w:p>
        </w:tc>
        <w:tc>
          <w:tcPr>
            <w:tcW w:w="1559" w:type="dxa"/>
            <w:tcBorders>
              <w:top w:val="nil"/>
              <w:left w:val="nil"/>
              <w:bottom w:val="nil"/>
              <w:right w:val="nil"/>
            </w:tcBorders>
            <w:shd w:val="clear" w:color="000000" w:fill="CCCCFF"/>
            <w:noWrap/>
            <w:vAlign w:val="bottom"/>
            <w:hideMark/>
          </w:tcPr>
          <w:p w14:paraId="108A34D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9.000,00</w:t>
            </w:r>
          </w:p>
        </w:tc>
        <w:tc>
          <w:tcPr>
            <w:tcW w:w="1559" w:type="dxa"/>
            <w:tcBorders>
              <w:top w:val="nil"/>
              <w:left w:val="nil"/>
              <w:bottom w:val="nil"/>
              <w:right w:val="nil"/>
            </w:tcBorders>
            <w:shd w:val="clear" w:color="000000" w:fill="CCCCFF"/>
            <w:noWrap/>
            <w:vAlign w:val="bottom"/>
            <w:hideMark/>
          </w:tcPr>
          <w:p w14:paraId="2119A0E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2.711,25</w:t>
            </w:r>
          </w:p>
        </w:tc>
        <w:tc>
          <w:tcPr>
            <w:tcW w:w="993" w:type="dxa"/>
            <w:tcBorders>
              <w:top w:val="nil"/>
              <w:left w:val="nil"/>
              <w:bottom w:val="nil"/>
              <w:right w:val="nil"/>
            </w:tcBorders>
            <w:shd w:val="clear" w:color="000000" w:fill="CCCCFF"/>
            <w:noWrap/>
            <w:vAlign w:val="bottom"/>
            <w:hideMark/>
          </w:tcPr>
          <w:p w14:paraId="6F3E895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30,13%</w:t>
            </w:r>
          </w:p>
        </w:tc>
      </w:tr>
      <w:tr w:rsidR="006967F8" w:rsidRPr="006967F8" w14:paraId="2565EC6E" w14:textId="77777777" w:rsidTr="008A61B1">
        <w:trPr>
          <w:trHeight w:val="480"/>
        </w:trPr>
        <w:tc>
          <w:tcPr>
            <w:tcW w:w="1134" w:type="dxa"/>
            <w:tcBorders>
              <w:top w:val="nil"/>
              <w:left w:val="nil"/>
              <w:bottom w:val="nil"/>
              <w:right w:val="nil"/>
            </w:tcBorders>
            <w:noWrap/>
            <w:vAlign w:val="bottom"/>
            <w:hideMark/>
          </w:tcPr>
          <w:p w14:paraId="32F2835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1CA55B3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0EA88F0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9.000,00</w:t>
            </w:r>
          </w:p>
        </w:tc>
        <w:tc>
          <w:tcPr>
            <w:tcW w:w="1559" w:type="dxa"/>
            <w:tcBorders>
              <w:top w:val="nil"/>
              <w:left w:val="nil"/>
              <w:bottom w:val="nil"/>
              <w:right w:val="nil"/>
            </w:tcBorders>
            <w:noWrap/>
            <w:vAlign w:val="bottom"/>
            <w:hideMark/>
          </w:tcPr>
          <w:p w14:paraId="73835DF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9.000,00</w:t>
            </w:r>
          </w:p>
        </w:tc>
        <w:tc>
          <w:tcPr>
            <w:tcW w:w="1559" w:type="dxa"/>
            <w:tcBorders>
              <w:top w:val="nil"/>
              <w:left w:val="nil"/>
              <w:bottom w:val="nil"/>
              <w:right w:val="nil"/>
            </w:tcBorders>
            <w:noWrap/>
            <w:vAlign w:val="bottom"/>
            <w:hideMark/>
          </w:tcPr>
          <w:p w14:paraId="11B90B4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2.711,25</w:t>
            </w:r>
          </w:p>
        </w:tc>
        <w:tc>
          <w:tcPr>
            <w:tcW w:w="993" w:type="dxa"/>
            <w:tcBorders>
              <w:top w:val="nil"/>
              <w:left w:val="nil"/>
              <w:bottom w:val="nil"/>
              <w:right w:val="nil"/>
            </w:tcBorders>
            <w:noWrap/>
            <w:vAlign w:val="bottom"/>
            <w:hideMark/>
          </w:tcPr>
          <w:p w14:paraId="02F252F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30,13%</w:t>
            </w:r>
          </w:p>
        </w:tc>
      </w:tr>
      <w:tr w:rsidR="006967F8" w:rsidRPr="006967F8" w14:paraId="437D9B79" w14:textId="77777777" w:rsidTr="008A61B1">
        <w:trPr>
          <w:trHeight w:val="255"/>
        </w:trPr>
        <w:tc>
          <w:tcPr>
            <w:tcW w:w="1134" w:type="dxa"/>
            <w:tcBorders>
              <w:top w:val="nil"/>
              <w:left w:val="nil"/>
              <w:bottom w:val="nil"/>
              <w:right w:val="nil"/>
            </w:tcBorders>
            <w:noWrap/>
            <w:vAlign w:val="bottom"/>
            <w:hideMark/>
          </w:tcPr>
          <w:p w14:paraId="522C06D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4214</w:t>
            </w:r>
          </w:p>
        </w:tc>
        <w:tc>
          <w:tcPr>
            <w:tcW w:w="4962" w:type="dxa"/>
            <w:tcBorders>
              <w:top w:val="nil"/>
              <w:left w:val="nil"/>
              <w:bottom w:val="nil"/>
              <w:right w:val="nil"/>
            </w:tcBorders>
            <w:noWrap/>
            <w:vAlign w:val="bottom"/>
            <w:hideMark/>
          </w:tcPr>
          <w:p w14:paraId="7E10210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građevinski objekti</w:t>
            </w:r>
          </w:p>
        </w:tc>
        <w:tc>
          <w:tcPr>
            <w:tcW w:w="1559" w:type="dxa"/>
            <w:tcBorders>
              <w:top w:val="nil"/>
              <w:left w:val="nil"/>
              <w:bottom w:val="nil"/>
              <w:right w:val="nil"/>
            </w:tcBorders>
            <w:noWrap/>
            <w:vAlign w:val="bottom"/>
            <w:hideMark/>
          </w:tcPr>
          <w:p w14:paraId="4BCFF417"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3D3FB96"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6676C2D"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2.711,25</w:t>
            </w:r>
          </w:p>
        </w:tc>
        <w:tc>
          <w:tcPr>
            <w:tcW w:w="993" w:type="dxa"/>
            <w:tcBorders>
              <w:top w:val="nil"/>
              <w:left w:val="nil"/>
              <w:bottom w:val="nil"/>
              <w:right w:val="nil"/>
            </w:tcBorders>
            <w:noWrap/>
            <w:vAlign w:val="bottom"/>
            <w:hideMark/>
          </w:tcPr>
          <w:p w14:paraId="78ADED8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72DDBA3" w14:textId="77777777" w:rsidTr="008A61B1">
        <w:trPr>
          <w:trHeight w:val="540"/>
        </w:trPr>
        <w:tc>
          <w:tcPr>
            <w:tcW w:w="1134" w:type="dxa"/>
            <w:tcBorders>
              <w:top w:val="nil"/>
              <w:left w:val="nil"/>
              <w:bottom w:val="nil"/>
              <w:right w:val="nil"/>
            </w:tcBorders>
            <w:shd w:val="clear" w:color="000000" w:fill="FFFF99"/>
            <w:noWrap/>
            <w:vAlign w:val="bottom"/>
            <w:hideMark/>
          </w:tcPr>
          <w:p w14:paraId="44C2458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K100204</w:t>
            </w:r>
          </w:p>
        </w:tc>
        <w:tc>
          <w:tcPr>
            <w:tcW w:w="4962" w:type="dxa"/>
            <w:tcBorders>
              <w:top w:val="nil"/>
              <w:left w:val="nil"/>
              <w:bottom w:val="nil"/>
              <w:right w:val="nil"/>
            </w:tcBorders>
            <w:shd w:val="clear" w:color="000000" w:fill="FFFF99"/>
            <w:vAlign w:val="bottom"/>
            <w:hideMark/>
          </w:tcPr>
          <w:p w14:paraId="6BF30ED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Kapitalni projekt: UREĐENJE TRGA ISPRED SV.DOMINIKA </w:t>
            </w:r>
          </w:p>
        </w:tc>
        <w:tc>
          <w:tcPr>
            <w:tcW w:w="1559" w:type="dxa"/>
            <w:tcBorders>
              <w:top w:val="nil"/>
              <w:left w:val="nil"/>
              <w:bottom w:val="nil"/>
              <w:right w:val="nil"/>
            </w:tcBorders>
            <w:shd w:val="clear" w:color="000000" w:fill="FFFF99"/>
            <w:noWrap/>
            <w:vAlign w:val="bottom"/>
            <w:hideMark/>
          </w:tcPr>
          <w:p w14:paraId="668CEEB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485.000,00</w:t>
            </w:r>
          </w:p>
        </w:tc>
        <w:tc>
          <w:tcPr>
            <w:tcW w:w="1559" w:type="dxa"/>
            <w:tcBorders>
              <w:top w:val="nil"/>
              <w:left w:val="nil"/>
              <w:bottom w:val="nil"/>
              <w:right w:val="nil"/>
            </w:tcBorders>
            <w:shd w:val="clear" w:color="000000" w:fill="FFFF99"/>
            <w:noWrap/>
            <w:vAlign w:val="bottom"/>
            <w:hideMark/>
          </w:tcPr>
          <w:p w14:paraId="47AE237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463.296,00</w:t>
            </w:r>
          </w:p>
        </w:tc>
        <w:tc>
          <w:tcPr>
            <w:tcW w:w="1559" w:type="dxa"/>
            <w:tcBorders>
              <w:top w:val="nil"/>
              <w:left w:val="nil"/>
              <w:bottom w:val="nil"/>
              <w:right w:val="nil"/>
            </w:tcBorders>
            <w:shd w:val="clear" w:color="000000" w:fill="FFFF99"/>
            <w:noWrap/>
            <w:vAlign w:val="bottom"/>
            <w:hideMark/>
          </w:tcPr>
          <w:p w14:paraId="7E936F4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11.250,00</w:t>
            </w:r>
          </w:p>
        </w:tc>
        <w:tc>
          <w:tcPr>
            <w:tcW w:w="993" w:type="dxa"/>
            <w:tcBorders>
              <w:top w:val="nil"/>
              <w:left w:val="nil"/>
              <w:bottom w:val="nil"/>
              <w:right w:val="nil"/>
            </w:tcBorders>
            <w:shd w:val="clear" w:color="000000" w:fill="FFFF99"/>
            <w:noWrap/>
            <w:vAlign w:val="bottom"/>
            <w:hideMark/>
          </w:tcPr>
          <w:p w14:paraId="7921224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2,43%</w:t>
            </w:r>
          </w:p>
        </w:tc>
      </w:tr>
      <w:tr w:rsidR="006967F8" w:rsidRPr="006967F8" w14:paraId="094251AF"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54FB2D7"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5D8CA58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485.000,00</w:t>
            </w:r>
          </w:p>
        </w:tc>
        <w:tc>
          <w:tcPr>
            <w:tcW w:w="1559" w:type="dxa"/>
            <w:tcBorders>
              <w:top w:val="nil"/>
              <w:left w:val="nil"/>
              <w:bottom w:val="nil"/>
              <w:right w:val="nil"/>
            </w:tcBorders>
            <w:shd w:val="clear" w:color="000000" w:fill="CCCCFF"/>
            <w:noWrap/>
            <w:vAlign w:val="bottom"/>
            <w:hideMark/>
          </w:tcPr>
          <w:p w14:paraId="77B78B4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463.296,00</w:t>
            </w:r>
          </w:p>
        </w:tc>
        <w:tc>
          <w:tcPr>
            <w:tcW w:w="1559" w:type="dxa"/>
            <w:tcBorders>
              <w:top w:val="nil"/>
              <w:left w:val="nil"/>
              <w:bottom w:val="nil"/>
              <w:right w:val="nil"/>
            </w:tcBorders>
            <w:shd w:val="clear" w:color="000000" w:fill="CCCCFF"/>
            <w:noWrap/>
            <w:vAlign w:val="bottom"/>
            <w:hideMark/>
          </w:tcPr>
          <w:p w14:paraId="57661A9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11.250,00</w:t>
            </w:r>
          </w:p>
        </w:tc>
        <w:tc>
          <w:tcPr>
            <w:tcW w:w="993" w:type="dxa"/>
            <w:tcBorders>
              <w:top w:val="nil"/>
              <w:left w:val="nil"/>
              <w:bottom w:val="nil"/>
              <w:right w:val="nil"/>
            </w:tcBorders>
            <w:shd w:val="clear" w:color="000000" w:fill="CCCCFF"/>
            <w:noWrap/>
            <w:vAlign w:val="bottom"/>
            <w:hideMark/>
          </w:tcPr>
          <w:p w14:paraId="03164AD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2,43%</w:t>
            </w:r>
          </w:p>
        </w:tc>
      </w:tr>
      <w:tr w:rsidR="006967F8" w:rsidRPr="006967F8" w14:paraId="556B0963"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0445ACD"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4.1. Komunalni doprinos</w:t>
            </w:r>
          </w:p>
        </w:tc>
        <w:tc>
          <w:tcPr>
            <w:tcW w:w="1559" w:type="dxa"/>
            <w:tcBorders>
              <w:top w:val="nil"/>
              <w:left w:val="nil"/>
              <w:bottom w:val="nil"/>
              <w:right w:val="nil"/>
            </w:tcBorders>
            <w:shd w:val="clear" w:color="000000" w:fill="CCCCFF"/>
            <w:noWrap/>
            <w:vAlign w:val="bottom"/>
            <w:hideMark/>
          </w:tcPr>
          <w:p w14:paraId="695C4C1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50.913,93</w:t>
            </w:r>
          </w:p>
        </w:tc>
        <w:tc>
          <w:tcPr>
            <w:tcW w:w="1559" w:type="dxa"/>
            <w:tcBorders>
              <w:top w:val="nil"/>
              <w:left w:val="nil"/>
              <w:bottom w:val="nil"/>
              <w:right w:val="nil"/>
            </w:tcBorders>
            <w:shd w:val="clear" w:color="000000" w:fill="CCCCFF"/>
            <w:noWrap/>
            <w:vAlign w:val="bottom"/>
            <w:hideMark/>
          </w:tcPr>
          <w:p w14:paraId="14E0194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50.913,93</w:t>
            </w:r>
          </w:p>
        </w:tc>
        <w:tc>
          <w:tcPr>
            <w:tcW w:w="1559" w:type="dxa"/>
            <w:tcBorders>
              <w:top w:val="nil"/>
              <w:left w:val="nil"/>
              <w:bottom w:val="nil"/>
              <w:right w:val="nil"/>
            </w:tcBorders>
            <w:shd w:val="clear" w:color="000000" w:fill="CCCCFF"/>
            <w:noWrap/>
            <w:vAlign w:val="bottom"/>
            <w:hideMark/>
          </w:tcPr>
          <w:p w14:paraId="7436632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11.250,00</w:t>
            </w:r>
          </w:p>
        </w:tc>
        <w:tc>
          <w:tcPr>
            <w:tcW w:w="993" w:type="dxa"/>
            <w:tcBorders>
              <w:top w:val="nil"/>
              <w:left w:val="nil"/>
              <w:bottom w:val="nil"/>
              <w:right w:val="nil"/>
            </w:tcBorders>
            <w:shd w:val="clear" w:color="000000" w:fill="CCCCFF"/>
            <w:noWrap/>
            <w:vAlign w:val="bottom"/>
            <w:hideMark/>
          </w:tcPr>
          <w:p w14:paraId="6585B48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22,10%</w:t>
            </w:r>
          </w:p>
        </w:tc>
      </w:tr>
      <w:tr w:rsidR="006967F8" w:rsidRPr="006967F8" w14:paraId="5DF1B85E" w14:textId="77777777" w:rsidTr="008A61B1">
        <w:trPr>
          <w:trHeight w:val="540"/>
        </w:trPr>
        <w:tc>
          <w:tcPr>
            <w:tcW w:w="1134" w:type="dxa"/>
            <w:tcBorders>
              <w:top w:val="nil"/>
              <w:left w:val="nil"/>
              <w:bottom w:val="nil"/>
              <w:right w:val="nil"/>
            </w:tcBorders>
            <w:noWrap/>
            <w:vAlign w:val="bottom"/>
            <w:hideMark/>
          </w:tcPr>
          <w:p w14:paraId="0654083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60CBD30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066AFA4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50.913,93</w:t>
            </w:r>
          </w:p>
        </w:tc>
        <w:tc>
          <w:tcPr>
            <w:tcW w:w="1559" w:type="dxa"/>
            <w:tcBorders>
              <w:top w:val="nil"/>
              <w:left w:val="nil"/>
              <w:bottom w:val="nil"/>
              <w:right w:val="nil"/>
            </w:tcBorders>
            <w:noWrap/>
            <w:vAlign w:val="bottom"/>
            <w:hideMark/>
          </w:tcPr>
          <w:p w14:paraId="5111182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50.913,93</w:t>
            </w:r>
          </w:p>
        </w:tc>
        <w:tc>
          <w:tcPr>
            <w:tcW w:w="1559" w:type="dxa"/>
            <w:tcBorders>
              <w:top w:val="nil"/>
              <w:left w:val="nil"/>
              <w:bottom w:val="nil"/>
              <w:right w:val="nil"/>
            </w:tcBorders>
            <w:noWrap/>
            <w:vAlign w:val="bottom"/>
            <w:hideMark/>
          </w:tcPr>
          <w:p w14:paraId="17D7F17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11.250,00</w:t>
            </w:r>
          </w:p>
        </w:tc>
        <w:tc>
          <w:tcPr>
            <w:tcW w:w="993" w:type="dxa"/>
            <w:tcBorders>
              <w:top w:val="nil"/>
              <w:left w:val="nil"/>
              <w:bottom w:val="nil"/>
              <w:right w:val="nil"/>
            </w:tcBorders>
            <w:noWrap/>
            <w:vAlign w:val="bottom"/>
            <w:hideMark/>
          </w:tcPr>
          <w:p w14:paraId="5256907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22,10%</w:t>
            </w:r>
          </w:p>
        </w:tc>
      </w:tr>
      <w:tr w:rsidR="006967F8" w:rsidRPr="006967F8" w14:paraId="76256EEB" w14:textId="77777777" w:rsidTr="008A61B1">
        <w:trPr>
          <w:trHeight w:val="255"/>
        </w:trPr>
        <w:tc>
          <w:tcPr>
            <w:tcW w:w="1134" w:type="dxa"/>
            <w:tcBorders>
              <w:top w:val="nil"/>
              <w:left w:val="nil"/>
              <w:bottom w:val="nil"/>
              <w:right w:val="nil"/>
            </w:tcBorders>
            <w:noWrap/>
            <w:vAlign w:val="bottom"/>
            <w:hideMark/>
          </w:tcPr>
          <w:p w14:paraId="1D3AC76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4214</w:t>
            </w:r>
          </w:p>
        </w:tc>
        <w:tc>
          <w:tcPr>
            <w:tcW w:w="4962" w:type="dxa"/>
            <w:tcBorders>
              <w:top w:val="nil"/>
              <w:left w:val="nil"/>
              <w:bottom w:val="nil"/>
              <w:right w:val="nil"/>
            </w:tcBorders>
            <w:noWrap/>
            <w:vAlign w:val="bottom"/>
            <w:hideMark/>
          </w:tcPr>
          <w:p w14:paraId="7300079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građevinski objekti</w:t>
            </w:r>
          </w:p>
        </w:tc>
        <w:tc>
          <w:tcPr>
            <w:tcW w:w="1559" w:type="dxa"/>
            <w:tcBorders>
              <w:top w:val="nil"/>
              <w:left w:val="nil"/>
              <w:bottom w:val="nil"/>
              <w:right w:val="nil"/>
            </w:tcBorders>
            <w:noWrap/>
            <w:vAlign w:val="bottom"/>
            <w:hideMark/>
          </w:tcPr>
          <w:p w14:paraId="63310C64"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BB549FE"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4E4842B"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11.250,00</w:t>
            </w:r>
          </w:p>
        </w:tc>
        <w:tc>
          <w:tcPr>
            <w:tcW w:w="993" w:type="dxa"/>
            <w:tcBorders>
              <w:top w:val="nil"/>
              <w:left w:val="nil"/>
              <w:bottom w:val="nil"/>
              <w:right w:val="nil"/>
            </w:tcBorders>
            <w:noWrap/>
            <w:vAlign w:val="bottom"/>
            <w:hideMark/>
          </w:tcPr>
          <w:p w14:paraId="6DAF38DD"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8F297E7" w14:textId="77777777" w:rsidTr="008A61B1">
        <w:trPr>
          <w:trHeight w:val="510"/>
        </w:trPr>
        <w:tc>
          <w:tcPr>
            <w:tcW w:w="6096" w:type="dxa"/>
            <w:gridSpan w:val="2"/>
            <w:tcBorders>
              <w:top w:val="nil"/>
              <w:left w:val="nil"/>
              <w:bottom w:val="nil"/>
              <w:right w:val="nil"/>
            </w:tcBorders>
            <w:shd w:val="clear" w:color="000000" w:fill="CCCCFF"/>
            <w:vAlign w:val="bottom"/>
            <w:hideMark/>
          </w:tcPr>
          <w:p w14:paraId="151D184C"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4.9. PRENESENI VIŠAK/MANJAK- PRIHODI ZA POSEBNE NAMJENE</w:t>
            </w:r>
          </w:p>
        </w:tc>
        <w:tc>
          <w:tcPr>
            <w:tcW w:w="1559" w:type="dxa"/>
            <w:tcBorders>
              <w:top w:val="nil"/>
              <w:left w:val="nil"/>
              <w:bottom w:val="nil"/>
              <w:right w:val="nil"/>
            </w:tcBorders>
            <w:shd w:val="clear" w:color="000000" w:fill="CCCCFF"/>
            <w:noWrap/>
            <w:vAlign w:val="bottom"/>
            <w:hideMark/>
          </w:tcPr>
          <w:p w14:paraId="1839D6E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434.086,07</w:t>
            </w:r>
          </w:p>
        </w:tc>
        <w:tc>
          <w:tcPr>
            <w:tcW w:w="1559" w:type="dxa"/>
            <w:tcBorders>
              <w:top w:val="nil"/>
              <w:left w:val="nil"/>
              <w:bottom w:val="nil"/>
              <w:right w:val="nil"/>
            </w:tcBorders>
            <w:shd w:val="clear" w:color="000000" w:fill="CCCCFF"/>
            <w:noWrap/>
            <w:vAlign w:val="bottom"/>
            <w:hideMark/>
          </w:tcPr>
          <w:p w14:paraId="7DF5433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412.382,07</w:t>
            </w:r>
          </w:p>
        </w:tc>
        <w:tc>
          <w:tcPr>
            <w:tcW w:w="1559" w:type="dxa"/>
            <w:tcBorders>
              <w:top w:val="nil"/>
              <w:left w:val="nil"/>
              <w:bottom w:val="nil"/>
              <w:right w:val="nil"/>
            </w:tcBorders>
            <w:shd w:val="clear" w:color="000000" w:fill="CCCCFF"/>
            <w:noWrap/>
            <w:vAlign w:val="bottom"/>
            <w:hideMark/>
          </w:tcPr>
          <w:p w14:paraId="452067C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073A0C3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4E30A110" w14:textId="77777777" w:rsidTr="008A61B1">
        <w:trPr>
          <w:trHeight w:val="480"/>
        </w:trPr>
        <w:tc>
          <w:tcPr>
            <w:tcW w:w="1134" w:type="dxa"/>
            <w:tcBorders>
              <w:top w:val="nil"/>
              <w:left w:val="nil"/>
              <w:bottom w:val="nil"/>
              <w:right w:val="nil"/>
            </w:tcBorders>
            <w:noWrap/>
            <w:vAlign w:val="bottom"/>
            <w:hideMark/>
          </w:tcPr>
          <w:p w14:paraId="6DBA6C8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23E281A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43950BB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434.086,07</w:t>
            </w:r>
          </w:p>
        </w:tc>
        <w:tc>
          <w:tcPr>
            <w:tcW w:w="1559" w:type="dxa"/>
            <w:tcBorders>
              <w:top w:val="nil"/>
              <w:left w:val="nil"/>
              <w:bottom w:val="nil"/>
              <w:right w:val="nil"/>
            </w:tcBorders>
            <w:noWrap/>
            <w:vAlign w:val="bottom"/>
            <w:hideMark/>
          </w:tcPr>
          <w:p w14:paraId="47EFEEE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412.382,07</w:t>
            </w:r>
          </w:p>
        </w:tc>
        <w:tc>
          <w:tcPr>
            <w:tcW w:w="1559" w:type="dxa"/>
            <w:tcBorders>
              <w:top w:val="nil"/>
              <w:left w:val="nil"/>
              <w:bottom w:val="nil"/>
              <w:right w:val="nil"/>
            </w:tcBorders>
            <w:noWrap/>
            <w:vAlign w:val="bottom"/>
            <w:hideMark/>
          </w:tcPr>
          <w:p w14:paraId="5AAC27C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197F92D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3871C669" w14:textId="77777777" w:rsidTr="008A61B1">
        <w:trPr>
          <w:trHeight w:val="600"/>
        </w:trPr>
        <w:tc>
          <w:tcPr>
            <w:tcW w:w="1134" w:type="dxa"/>
            <w:tcBorders>
              <w:top w:val="nil"/>
              <w:left w:val="nil"/>
              <w:bottom w:val="nil"/>
              <w:right w:val="nil"/>
            </w:tcBorders>
            <w:shd w:val="clear" w:color="000000" w:fill="FFFF99"/>
            <w:noWrap/>
            <w:vAlign w:val="bottom"/>
            <w:hideMark/>
          </w:tcPr>
          <w:p w14:paraId="3A9FB8A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K100206</w:t>
            </w:r>
          </w:p>
        </w:tc>
        <w:tc>
          <w:tcPr>
            <w:tcW w:w="4962" w:type="dxa"/>
            <w:tcBorders>
              <w:top w:val="nil"/>
              <w:left w:val="nil"/>
              <w:bottom w:val="nil"/>
              <w:right w:val="nil"/>
            </w:tcBorders>
            <w:shd w:val="clear" w:color="000000" w:fill="FFFF99"/>
            <w:vAlign w:val="bottom"/>
            <w:hideMark/>
          </w:tcPr>
          <w:p w14:paraId="1C7CCB3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Kapitalni projekt: GEODETSKI SNIMAK JAVNIH POVRŠINA </w:t>
            </w:r>
          </w:p>
        </w:tc>
        <w:tc>
          <w:tcPr>
            <w:tcW w:w="1559" w:type="dxa"/>
            <w:tcBorders>
              <w:top w:val="nil"/>
              <w:left w:val="nil"/>
              <w:bottom w:val="nil"/>
              <w:right w:val="nil"/>
            </w:tcBorders>
            <w:shd w:val="clear" w:color="000000" w:fill="FFFF99"/>
            <w:noWrap/>
            <w:vAlign w:val="bottom"/>
            <w:hideMark/>
          </w:tcPr>
          <w:p w14:paraId="7A8C0AC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shd w:val="clear" w:color="000000" w:fill="FFFF99"/>
            <w:noWrap/>
            <w:vAlign w:val="bottom"/>
            <w:hideMark/>
          </w:tcPr>
          <w:p w14:paraId="6986C81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shd w:val="clear" w:color="000000" w:fill="FFFF99"/>
            <w:noWrap/>
            <w:vAlign w:val="bottom"/>
            <w:hideMark/>
          </w:tcPr>
          <w:p w14:paraId="72B7ED8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1.500,00</w:t>
            </w:r>
          </w:p>
        </w:tc>
        <w:tc>
          <w:tcPr>
            <w:tcW w:w="993" w:type="dxa"/>
            <w:tcBorders>
              <w:top w:val="nil"/>
              <w:left w:val="nil"/>
              <w:bottom w:val="nil"/>
              <w:right w:val="nil"/>
            </w:tcBorders>
            <w:shd w:val="clear" w:color="000000" w:fill="FFFF99"/>
            <w:noWrap/>
            <w:vAlign w:val="bottom"/>
            <w:hideMark/>
          </w:tcPr>
          <w:p w14:paraId="1521457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7,50%</w:t>
            </w:r>
          </w:p>
        </w:tc>
      </w:tr>
      <w:tr w:rsidR="006967F8" w:rsidRPr="006967F8" w14:paraId="15A7B78F"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FD5731F"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3AAE695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500B286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571A11C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1.500,00</w:t>
            </w:r>
          </w:p>
        </w:tc>
        <w:tc>
          <w:tcPr>
            <w:tcW w:w="993" w:type="dxa"/>
            <w:tcBorders>
              <w:top w:val="nil"/>
              <w:left w:val="nil"/>
              <w:bottom w:val="nil"/>
              <w:right w:val="nil"/>
            </w:tcBorders>
            <w:shd w:val="clear" w:color="000000" w:fill="CCCCFF"/>
            <w:noWrap/>
            <w:vAlign w:val="bottom"/>
            <w:hideMark/>
          </w:tcPr>
          <w:p w14:paraId="1E28934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7,50%</w:t>
            </w:r>
          </w:p>
        </w:tc>
      </w:tr>
      <w:tr w:rsidR="006967F8" w:rsidRPr="006967F8" w14:paraId="2C3FAEAE"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E39A078"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63CE0C4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72BA2D8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6B725CA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1.500,00</w:t>
            </w:r>
          </w:p>
        </w:tc>
        <w:tc>
          <w:tcPr>
            <w:tcW w:w="993" w:type="dxa"/>
            <w:tcBorders>
              <w:top w:val="nil"/>
              <w:left w:val="nil"/>
              <w:bottom w:val="nil"/>
              <w:right w:val="nil"/>
            </w:tcBorders>
            <w:shd w:val="clear" w:color="000000" w:fill="CCCCFF"/>
            <w:noWrap/>
            <w:vAlign w:val="bottom"/>
            <w:hideMark/>
          </w:tcPr>
          <w:p w14:paraId="1D5A4CC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7,50%</w:t>
            </w:r>
          </w:p>
        </w:tc>
      </w:tr>
      <w:tr w:rsidR="006967F8" w:rsidRPr="006967F8" w14:paraId="571133AE" w14:textId="77777777" w:rsidTr="008A61B1">
        <w:trPr>
          <w:trHeight w:val="465"/>
        </w:trPr>
        <w:tc>
          <w:tcPr>
            <w:tcW w:w="1134" w:type="dxa"/>
            <w:tcBorders>
              <w:top w:val="nil"/>
              <w:left w:val="nil"/>
              <w:bottom w:val="nil"/>
              <w:right w:val="nil"/>
            </w:tcBorders>
            <w:noWrap/>
            <w:vAlign w:val="bottom"/>
            <w:hideMark/>
          </w:tcPr>
          <w:p w14:paraId="221D1AE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519D297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154D950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noWrap/>
            <w:vAlign w:val="bottom"/>
            <w:hideMark/>
          </w:tcPr>
          <w:p w14:paraId="5C59ECC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noWrap/>
            <w:vAlign w:val="bottom"/>
            <w:hideMark/>
          </w:tcPr>
          <w:p w14:paraId="00DC741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1.500,00</w:t>
            </w:r>
          </w:p>
        </w:tc>
        <w:tc>
          <w:tcPr>
            <w:tcW w:w="993" w:type="dxa"/>
            <w:tcBorders>
              <w:top w:val="nil"/>
              <w:left w:val="nil"/>
              <w:bottom w:val="nil"/>
              <w:right w:val="nil"/>
            </w:tcBorders>
            <w:noWrap/>
            <w:vAlign w:val="bottom"/>
            <w:hideMark/>
          </w:tcPr>
          <w:p w14:paraId="245E773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7,50%</w:t>
            </w:r>
          </w:p>
        </w:tc>
      </w:tr>
      <w:tr w:rsidR="006967F8" w:rsidRPr="006967F8" w14:paraId="6EBC3E07" w14:textId="77777777" w:rsidTr="008A61B1">
        <w:trPr>
          <w:trHeight w:val="255"/>
        </w:trPr>
        <w:tc>
          <w:tcPr>
            <w:tcW w:w="1134" w:type="dxa"/>
            <w:tcBorders>
              <w:top w:val="nil"/>
              <w:left w:val="nil"/>
              <w:bottom w:val="nil"/>
              <w:right w:val="nil"/>
            </w:tcBorders>
            <w:noWrap/>
            <w:vAlign w:val="bottom"/>
            <w:hideMark/>
          </w:tcPr>
          <w:p w14:paraId="49F87B5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4264</w:t>
            </w:r>
          </w:p>
        </w:tc>
        <w:tc>
          <w:tcPr>
            <w:tcW w:w="4962" w:type="dxa"/>
            <w:tcBorders>
              <w:top w:val="nil"/>
              <w:left w:val="nil"/>
              <w:bottom w:val="nil"/>
              <w:right w:val="nil"/>
            </w:tcBorders>
            <w:noWrap/>
            <w:vAlign w:val="bottom"/>
            <w:hideMark/>
          </w:tcPr>
          <w:p w14:paraId="5CA12BD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Ostala nematerijalna proizvedena imovina</w:t>
            </w:r>
          </w:p>
        </w:tc>
        <w:tc>
          <w:tcPr>
            <w:tcW w:w="1559" w:type="dxa"/>
            <w:tcBorders>
              <w:top w:val="nil"/>
              <w:left w:val="nil"/>
              <w:bottom w:val="nil"/>
              <w:right w:val="nil"/>
            </w:tcBorders>
            <w:noWrap/>
            <w:vAlign w:val="bottom"/>
            <w:hideMark/>
          </w:tcPr>
          <w:p w14:paraId="2E1B085B"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E1C6891"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2E476E5"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1.500,00</w:t>
            </w:r>
          </w:p>
        </w:tc>
        <w:tc>
          <w:tcPr>
            <w:tcW w:w="993" w:type="dxa"/>
            <w:tcBorders>
              <w:top w:val="nil"/>
              <w:left w:val="nil"/>
              <w:bottom w:val="nil"/>
              <w:right w:val="nil"/>
            </w:tcBorders>
            <w:noWrap/>
            <w:vAlign w:val="bottom"/>
            <w:hideMark/>
          </w:tcPr>
          <w:p w14:paraId="11B1D81B"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E0224B1" w14:textId="77777777" w:rsidTr="008A61B1">
        <w:trPr>
          <w:trHeight w:val="645"/>
        </w:trPr>
        <w:tc>
          <w:tcPr>
            <w:tcW w:w="1134" w:type="dxa"/>
            <w:tcBorders>
              <w:top w:val="nil"/>
              <w:left w:val="nil"/>
              <w:bottom w:val="nil"/>
              <w:right w:val="nil"/>
            </w:tcBorders>
            <w:shd w:val="clear" w:color="000000" w:fill="FFFF99"/>
            <w:noWrap/>
            <w:vAlign w:val="bottom"/>
            <w:hideMark/>
          </w:tcPr>
          <w:p w14:paraId="46A4888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K100207</w:t>
            </w:r>
          </w:p>
        </w:tc>
        <w:tc>
          <w:tcPr>
            <w:tcW w:w="4962" w:type="dxa"/>
            <w:tcBorders>
              <w:top w:val="nil"/>
              <w:left w:val="nil"/>
              <w:bottom w:val="nil"/>
              <w:right w:val="nil"/>
            </w:tcBorders>
            <w:shd w:val="clear" w:color="000000" w:fill="FFFF99"/>
            <w:vAlign w:val="bottom"/>
            <w:hideMark/>
          </w:tcPr>
          <w:p w14:paraId="31178CB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Kapitalni projekt: REKONSTRUKCIJA POSTOJEĆEG MOSTA U FOŠI</w:t>
            </w:r>
          </w:p>
        </w:tc>
        <w:tc>
          <w:tcPr>
            <w:tcW w:w="1559" w:type="dxa"/>
            <w:tcBorders>
              <w:top w:val="nil"/>
              <w:left w:val="nil"/>
              <w:bottom w:val="nil"/>
              <w:right w:val="nil"/>
            </w:tcBorders>
            <w:shd w:val="clear" w:color="000000" w:fill="FFFF99"/>
            <w:noWrap/>
            <w:vAlign w:val="bottom"/>
            <w:hideMark/>
          </w:tcPr>
          <w:p w14:paraId="6F7E669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shd w:val="clear" w:color="000000" w:fill="FFFF99"/>
            <w:noWrap/>
            <w:vAlign w:val="bottom"/>
            <w:hideMark/>
          </w:tcPr>
          <w:p w14:paraId="5F321FA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shd w:val="clear" w:color="000000" w:fill="FFFF99"/>
            <w:noWrap/>
            <w:vAlign w:val="bottom"/>
            <w:hideMark/>
          </w:tcPr>
          <w:p w14:paraId="20F4DBB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9.450,38</w:t>
            </w:r>
          </w:p>
        </w:tc>
        <w:tc>
          <w:tcPr>
            <w:tcW w:w="993" w:type="dxa"/>
            <w:tcBorders>
              <w:top w:val="nil"/>
              <w:left w:val="nil"/>
              <w:bottom w:val="nil"/>
              <w:right w:val="nil"/>
            </w:tcBorders>
            <w:shd w:val="clear" w:color="000000" w:fill="FFFF99"/>
            <w:noWrap/>
            <w:vAlign w:val="bottom"/>
            <w:hideMark/>
          </w:tcPr>
          <w:p w14:paraId="6C9E3FC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94,50%</w:t>
            </w:r>
          </w:p>
        </w:tc>
      </w:tr>
      <w:tr w:rsidR="006967F8" w:rsidRPr="006967F8" w14:paraId="6F911633"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3465AF8"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3D1C863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10.000,00</w:t>
            </w:r>
          </w:p>
        </w:tc>
        <w:tc>
          <w:tcPr>
            <w:tcW w:w="1559" w:type="dxa"/>
            <w:tcBorders>
              <w:top w:val="nil"/>
              <w:left w:val="nil"/>
              <w:bottom w:val="nil"/>
              <w:right w:val="nil"/>
            </w:tcBorders>
            <w:shd w:val="clear" w:color="000000" w:fill="CCCCFF"/>
            <w:noWrap/>
            <w:vAlign w:val="bottom"/>
            <w:hideMark/>
          </w:tcPr>
          <w:p w14:paraId="0A5555E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10.000,00</w:t>
            </w:r>
          </w:p>
        </w:tc>
        <w:tc>
          <w:tcPr>
            <w:tcW w:w="1559" w:type="dxa"/>
            <w:tcBorders>
              <w:top w:val="nil"/>
              <w:left w:val="nil"/>
              <w:bottom w:val="nil"/>
              <w:right w:val="nil"/>
            </w:tcBorders>
            <w:shd w:val="clear" w:color="000000" w:fill="CCCCFF"/>
            <w:noWrap/>
            <w:vAlign w:val="bottom"/>
            <w:hideMark/>
          </w:tcPr>
          <w:p w14:paraId="06CC732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9.450,38</w:t>
            </w:r>
          </w:p>
        </w:tc>
        <w:tc>
          <w:tcPr>
            <w:tcW w:w="993" w:type="dxa"/>
            <w:tcBorders>
              <w:top w:val="nil"/>
              <w:left w:val="nil"/>
              <w:bottom w:val="nil"/>
              <w:right w:val="nil"/>
            </w:tcBorders>
            <w:shd w:val="clear" w:color="000000" w:fill="CCCCFF"/>
            <w:noWrap/>
            <w:vAlign w:val="bottom"/>
            <w:hideMark/>
          </w:tcPr>
          <w:p w14:paraId="6C6B686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94,50%</w:t>
            </w:r>
          </w:p>
        </w:tc>
      </w:tr>
      <w:tr w:rsidR="006967F8" w:rsidRPr="006967F8" w14:paraId="08B0DC09"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C0D9A30"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20E1006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10.000,00</w:t>
            </w:r>
          </w:p>
        </w:tc>
        <w:tc>
          <w:tcPr>
            <w:tcW w:w="1559" w:type="dxa"/>
            <w:tcBorders>
              <w:top w:val="nil"/>
              <w:left w:val="nil"/>
              <w:bottom w:val="nil"/>
              <w:right w:val="nil"/>
            </w:tcBorders>
            <w:shd w:val="clear" w:color="000000" w:fill="CCCCFF"/>
            <w:noWrap/>
            <w:vAlign w:val="bottom"/>
            <w:hideMark/>
          </w:tcPr>
          <w:p w14:paraId="72DA190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10.000,00</w:t>
            </w:r>
          </w:p>
        </w:tc>
        <w:tc>
          <w:tcPr>
            <w:tcW w:w="1559" w:type="dxa"/>
            <w:tcBorders>
              <w:top w:val="nil"/>
              <w:left w:val="nil"/>
              <w:bottom w:val="nil"/>
              <w:right w:val="nil"/>
            </w:tcBorders>
            <w:shd w:val="clear" w:color="000000" w:fill="CCCCFF"/>
            <w:noWrap/>
            <w:vAlign w:val="bottom"/>
            <w:hideMark/>
          </w:tcPr>
          <w:p w14:paraId="33FF340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9.450,38</w:t>
            </w:r>
          </w:p>
        </w:tc>
        <w:tc>
          <w:tcPr>
            <w:tcW w:w="993" w:type="dxa"/>
            <w:tcBorders>
              <w:top w:val="nil"/>
              <w:left w:val="nil"/>
              <w:bottom w:val="nil"/>
              <w:right w:val="nil"/>
            </w:tcBorders>
            <w:shd w:val="clear" w:color="000000" w:fill="CCCCFF"/>
            <w:noWrap/>
            <w:vAlign w:val="bottom"/>
            <w:hideMark/>
          </w:tcPr>
          <w:p w14:paraId="607BCE9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94,50%</w:t>
            </w:r>
          </w:p>
        </w:tc>
      </w:tr>
      <w:tr w:rsidR="006967F8" w:rsidRPr="006967F8" w14:paraId="1D0C00BD" w14:textId="77777777" w:rsidTr="008A61B1">
        <w:trPr>
          <w:trHeight w:val="495"/>
        </w:trPr>
        <w:tc>
          <w:tcPr>
            <w:tcW w:w="1134" w:type="dxa"/>
            <w:tcBorders>
              <w:top w:val="nil"/>
              <w:left w:val="nil"/>
              <w:bottom w:val="nil"/>
              <w:right w:val="nil"/>
            </w:tcBorders>
            <w:noWrap/>
            <w:vAlign w:val="bottom"/>
            <w:hideMark/>
          </w:tcPr>
          <w:p w14:paraId="03F5F7B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0E2C4AD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5441135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noWrap/>
            <w:vAlign w:val="bottom"/>
            <w:hideMark/>
          </w:tcPr>
          <w:p w14:paraId="5F90EC7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noWrap/>
            <w:vAlign w:val="bottom"/>
            <w:hideMark/>
          </w:tcPr>
          <w:p w14:paraId="55CD747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9.450,38</w:t>
            </w:r>
          </w:p>
        </w:tc>
        <w:tc>
          <w:tcPr>
            <w:tcW w:w="993" w:type="dxa"/>
            <w:tcBorders>
              <w:top w:val="nil"/>
              <w:left w:val="nil"/>
              <w:bottom w:val="nil"/>
              <w:right w:val="nil"/>
            </w:tcBorders>
            <w:noWrap/>
            <w:vAlign w:val="bottom"/>
            <w:hideMark/>
          </w:tcPr>
          <w:p w14:paraId="45F9D92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94,50%</w:t>
            </w:r>
          </w:p>
        </w:tc>
      </w:tr>
      <w:tr w:rsidR="006967F8" w:rsidRPr="006967F8" w14:paraId="05873FBE" w14:textId="77777777" w:rsidTr="008A61B1">
        <w:trPr>
          <w:trHeight w:val="255"/>
        </w:trPr>
        <w:tc>
          <w:tcPr>
            <w:tcW w:w="1134" w:type="dxa"/>
            <w:tcBorders>
              <w:top w:val="nil"/>
              <w:left w:val="nil"/>
              <w:bottom w:val="nil"/>
              <w:right w:val="nil"/>
            </w:tcBorders>
            <w:noWrap/>
            <w:vAlign w:val="bottom"/>
            <w:hideMark/>
          </w:tcPr>
          <w:p w14:paraId="7085112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4213</w:t>
            </w:r>
          </w:p>
        </w:tc>
        <w:tc>
          <w:tcPr>
            <w:tcW w:w="4962" w:type="dxa"/>
            <w:tcBorders>
              <w:top w:val="nil"/>
              <w:left w:val="nil"/>
              <w:bottom w:val="nil"/>
              <w:right w:val="nil"/>
            </w:tcBorders>
            <w:noWrap/>
            <w:vAlign w:val="bottom"/>
            <w:hideMark/>
          </w:tcPr>
          <w:p w14:paraId="3BEFCB6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Ceste, željeznice i ostali prometni objekti</w:t>
            </w:r>
          </w:p>
        </w:tc>
        <w:tc>
          <w:tcPr>
            <w:tcW w:w="1559" w:type="dxa"/>
            <w:tcBorders>
              <w:top w:val="nil"/>
              <w:left w:val="nil"/>
              <w:bottom w:val="nil"/>
              <w:right w:val="nil"/>
            </w:tcBorders>
            <w:noWrap/>
            <w:vAlign w:val="bottom"/>
            <w:hideMark/>
          </w:tcPr>
          <w:p w14:paraId="795A035B"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D3F9FF7"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CE87B67"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9.450,38</w:t>
            </w:r>
          </w:p>
        </w:tc>
        <w:tc>
          <w:tcPr>
            <w:tcW w:w="993" w:type="dxa"/>
            <w:tcBorders>
              <w:top w:val="nil"/>
              <w:left w:val="nil"/>
              <w:bottom w:val="nil"/>
              <w:right w:val="nil"/>
            </w:tcBorders>
            <w:noWrap/>
            <w:vAlign w:val="bottom"/>
            <w:hideMark/>
          </w:tcPr>
          <w:p w14:paraId="5DD312DB"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6F5403D" w14:textId="77777777" w:rsidTr="008A61B1">
        <w:trPr>
          <w:trHeight w:val="840"/>
        </w:trPr>
        <w:tc>
          <w:tcPr>
            <w:tcW w:w="1134" w:type="dxa"/>
            <w:tcBorders>
              <w:top w:val="nil"/>
              <w:left w:val="nil"/>
              <w:bottom w:val="nil"/>
              <w:right w:val="nil"/>
            </w:tcBorders>
            <w:shd w:val="clear" w:color="000000" w:fill="FFFF99"/>
            <w:noWrap/>
            <w:vAlign w:val="bottom"/>
            <w:hideMark/>
          </w:tcPr>
          <w:p w14:paraId="30A509E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K100208</w:t>
            </w:r>
          </w:p>
        </w:tc>
        <w:tc>
          <w:tcPr>
            <w:tcW w:w="4962" w:type="dxa"/>
            <w:tcBorders>
              <w:top w:val="nil"/>
              <w:left w:val="nil"/>
              <w:bottom w:val="nil"/>
              <w:right w:val="nil"/>
            </w:tcBorders>
            <w:shd w:val="clear" w:color="000000" w:fill="FFFF99"/>
            <w:vAlign w:val="bottom"/>
            <w:hideMark/>
          </w:tcPr>
          <w:p w14:paraId="4678DCD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Kapitalni projekt: REKONSTRUKCIJA DRŽAVNE CESTE D126 I IZGRADNJA ŠETNICE I BICIKLISTIČKE STAZE</w:t>
            </w:r>
          </w:p>
        </w:tc>
        <w:tc>
          <w:tcPr>
            <w:tcW w:w="1559" w:type="dxa"/>
            <w:tcBorders>
              <w:top w:val="nil"/>
              <w:left w:val="nil"/>
              <w:bottom w:val="nil"/>
              <w:right w:val="nil"/>
            </w:tcBorders>
            <w:shd w:val="clear" w:color="000000" w:fill="FFFF99"/>
            <w:noWrap/>
            <w:vAlign w:val="bottom"/>
            <w:hideMark/>
          </w:tcPr>
          <w:p w14:paraId="25BE329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25.000,00</w:t>
            </w:r>
          </w:p>
        </w:tc>
        <w:tc>
          <w:tcPr>
            <w:tcW w:w="1559" w:type="dxa"/>
            <w:tcBorders>
              <w:top w:val="nil"/>
              <w:left w:val="nil"/>
              <w:bottom w:val="nil"/>
              <w:right w:val="nil"/>
            </w:tcBorders>
            <w:shd w:val="clear" w:color="000000" w:fill="FFFF99"/>
            <w:noWrap/>
            <w:vAlign w:val="bottom"/>
            <w:hideMark/>
          </w:tcPr>
          <w:p w14:paraId="0CA709E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25.000,00</w:t>
            </w:r>
          </w:p>
        </w:tc>
        <w:tc>
          <w:tcPr>
            <w:tcW w:w="1559" w:type="dxa"/>
            <w:tcBorders>
              <w:top w:val="nil"/>
              <w:left w:val="nil"/>
              <w:bottom w:val="nil"/>
              <w:right w:val="nil"/>
            </w:tcBorders>
            <w:shd w:val="clear" w:color="000000" w:fill="FFFF99"/>
            <w:noWrap/>
            <w:vAlign w:val="bottom"/>
            <w:hideMark/>
          </w:tcPr>
          <w:p w14:paraId="7F335D8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14.707,34</w:t>
            </w:r>
          </w:p>
        </w:tc>
        <w:tc>
          <w:tcPr>
            <w:tcW w:w="993" w:type="dxa"/>
            <w:tcBorders>
              <w:top w:val="nil"/>
              <w:left w:val="nil"/>
              <w:bottom w:val="nil"/>
              <w:right w:val="nil"/>
            </w:tcBorders>
            <w:shd w:val="clear" w:color="000000" w:fill="FFFF99"/>
            <w:noWrap/>
            <w:vAlign w:val="bottom"/>
            <w:hideMark/>
          </w:tcPr>
          <w:p w14:paraId="7097B48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58,83%</w:t>
            </w:r>
          </w:p>
        </w:tc>
      </w:tr>
      <w:tr w:rsidR="006967F8" w:rsidRPr="006967F8" w14:paraId="6ED2AE57"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9AE299F"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797F7AD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25.000,00</w:t>
            </w:r>
          </w:p>
        </w:tc>
        <w:tc>
          <w:tcPr>
            <w:tcW w:w="1559" w:type="dxa"/>
            <w:tcBorders>
              <w:top w:val="nil"/>
              <w:left w:val="nil"/>
              <w:bottom w:val="nil"/>
              <w:right w:val="nil"/>
            </w:tcBorders>
            <w:shd w:val="clear" w:color="000000" w:fill="CCCCFF"/>
            <w:noWrap/>
            <w:vAlign w:val="bottom"/>
            <w:hideMark/>
          </w:tcPr>
          <w:p w14:paraId="2A98B89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25.000,00</w:t>
            </w:r>
          </w:p>
        </w:tc>
        <w:tc>
          <w:tcPr>
            <w:tcW w:w="1559" w:type="dxa"/>
            <w:tcBorders>
              <w:top w:val="nil"/>
              <w:left w:val="nil"/>
              <w:bottom w:val="nil"/>
              <w:right w:val="nil"/>
            </w:tcBorders>
            <w:shd w:val="clear" w:color="000000" w:fill="CCCCFF"/>
            <w:noWrap/>
            <w:vAlign w:val="bottom"/>
            <w:hideMark/>
          </w:tcPr>
          <w:p w14:paraId="3FEF3A8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14.707,34</w:t>
            </w:r>
          </w:p>
        </w:tc>
        <w:tc>
          <w:tcPr>
            <w:tcW w:w="993" w:type="dxa"/>
            <w:tcBorders>
              <w:top w:val="nil"/>
              <w:left w:val="nil"/>
              <w:bottom w:val="nil"/>
              <w:right w:val="nil"/>
            </w:tcBorders>
            <w:shd w:val="clear" w:color="000000" w:fill="CCCCFF"/>
            <w:noWrap/>
            <w:vAlign w:val="bottom"/>
            <w:hideMark/>
          </w:tcPr>
          <w:p w14:paraId="57A4F83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58,83%</w:t>
            </w:r>
          </w:p>
        </w:tc>
      </w:tr>
      <w:tr w:rsidR="006967F8" w:rsidRPr="006967F8" w14:paraId="069AD777"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3773C70"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30565FD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25.000,00</w:t>
            </w:r>
          </w:p>
        </w:tc>
        <w:tc>
          <w:tcPr>
            <w:tcW w:w="1559" w:type="dxa"/>
            <w:tcBorders>
              <w:top w:val="nil"/>
              <w:left w:val="nil"/>
              <w:bottom w:val="nil"/>
              <w:right w:val="nil"/>
            </w:tcBorders>
            <w:shd w:val="clear" w:color="000000" w:fill="CCCCFF"/>
            <w:noWrap/>
            <w:vAlign w:val="bottom"/>
            <w:hideMark/>
          </w:tcPr>
          <w:p w14:paraId="7CA79C0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25.000,00</w:t>
            </w:r>
          </w:p>
        </w:tc>
        <w:tc>
          <w:tcPr>
            <w:tcW w:w="1559" w:type="dxa"/>
            <w:tcBorders>
              <w:top w:val="nil"/>
              <w:left w:val="nil"/>
              <w:bottom w:val="nil"/>
              <w:right w:val="nil"/>
            </w:tcBorders>
            <w:shd w:val="clear" w:color="000000" w:fill="CCCCFF"/>
            <w:noWrap/>
            <w:vAlign w:val="bottom"/>
            <w:hideMark/>
          </w:tcPr>
          <w:p w14:paraId="451AED4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14.707,34</w:t>
            </w:r>
          </w:p>
        </w:tc>
        <w:tc>
          <w:tcPr>
            <w:tcW w:w="993" w:type="dxa"/>
            <w:tcBorders>
              <w:top w:val="nil"/>
              <w:left w:val="nil"/>
              <w:bottom w:val="nil"/>
              <w:right w:val="nil"/>
            </w:tcBorders>
            <w:shd w:val="clear" w:color="000000" w:fill="CCCCFF"/>
            <w:noWrap/>
            <w:vAlign w:val="bottom"/>
            <w:hideMark/>
          </w:tcPr>
          <w:p w14:paraId="350E749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58,83%</w:t>
            </w:r>
          </w:p>
        </w:tc>
      </w:tr>
      <w:tr w:rsidR="006967F8" w:rsidRPr="006967F8" w14:paraId="0BAA8800" w14:textId="77777777" w:rsidTr="008A61B1">
        <w:trPr>
          <w:trHeight w:val="540"/>
        </w:trPr>
        <w:tc>
          <w:tcPr>
            <w:tcW w:w="1134" w:type="dxa"/>
            <w:tcBorders>
              <w:top w:val="nil"/>
              <w:left w:val="nil"/>
              <w:bottom w:val="nil"/>
              <w:right w:val="nil"/>
            </w:tcBorders>
            <w:noWrap/>
            <w:vAlign w:val="bottom"/>
            <w:hideMark/>
          </w:tcPr>
          <w:p w14:paraId="7D489C3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41</w:t>
            </w:r>
          </w:p>
        </w:tc>
        <w:tc>
          <w:tcPr>
            <w:tcW w:w="4962" w:type="dxa"/>
            <w:tcBorders>
              <w:top w:val="nil"/>
              <w:left w:val="nil"/>
              <w:bottom w:val="nil"/>
              <w:right w:val="nil"/>
            </w:tcBorders>
            <w:vAlign w:val="bottom"/>
            <w:hideMark/>
          </w:tcPr>
          <w:p w14:paraId="659DB55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Rashodi za nabavu </w:t>
            </w:r>
            <w:proofErr w:type="spellStart"/>
            <w:r w:rsidRPr="006967F8">
              <w:rPr>
                <w:rFonts w:ascii="Arial" w:eastAsia="Times New Roman" w:hAnsi="Arial" w:cs="Arial"/>
                <w:b/>
                <w:bCs/>
                <w:sz w:val="20"/>
                <w:szCs w:val="20"/>
                <w:lang w:eastAsia="hr-HR"/>
              </w:rPr>
              <w:t>neproizvedene</w:t>
            </w:r>
            <w:proofErr w:type="spellEnd"/>
            <w:r w:rsidRPr="006967F8">
              <w:rPr>
                <w:rFonts w:ascii="Arial" w:eastAsia="Times New Roman" w:hAnsi="Arial" w:cs="Arial"/>
                <w:b/>
                <w:bCs/>
                <w:sz w:val="20"/>
                <w:szCs w:val="20"/>
                <w:lang w:eastAsia="hr-HR"/>
              </w:rPr>
              <w:t xml:space="preserve"> dugotrajne imovine</w:t>
            </w:r>
          </w:p>
        </w:tc>
        <w:tc>
          <w:tcPr>
            <w:tcW w:w="1559" w:type="dxa"/>
            <w:tcBorders>
              <w:top w:val="nil"/>
              <w:left w:val="nil"/>
              <w:bottom w:val="nil"/>
              <w:right w:val="nil"/>
            </w:tcBorders>
            <w:noWrap/>
            <w:vAlign w:val="bottom"/>
            <w:hideMark/>
          </w:tcPr>
          <w:p w14:paraId="6E435A1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25.000,00</w:t>
            </w:r>
          </w:p>
        </w:tc>
        <w:tc>
          <w:tcPr>
            <w:tcW w:w="1559" w:type="dxa"/>
            <w:tcBorders>
              <w:top w:val="nil"/>
              <w:left w:val="nil"/>
              <w:bottom w:val="nil"/>
              <w:right w:val="nil"/>
            </w:tcBorders>
            <w:noWrap/>
            <w:vAlign w:val="bottom"/>
            <w:hideMark/>
          </w:tcPr>
          <w:p w14:paraId="28E3419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25.000,00</w:t>
            </w:r>
          </w:p>
        </w:tc>
        <w:tc>
          <w:tcPr>
            <w:tcW w:w="1559" w:type="dxa"/>
            <w:tcBorders>
              <w:top w:val="nil"/>
              <w:left w:val="nil"/>
              <w:bottom w:val="nil"/>
              <w:right w:val="nil"/>
            </w:tcBorders>
            <w:noWrap/>
            <w:vAlign w:val="bottom"/>
            <w:hideMark/>
          </w:tcPr>
          <w:p w14:paraId="31587B8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14.707,34</w:t>
            </w:r>
          </w:p>
        </w:tc>
        <w:tc>
          <w:tcPr>
            <w:tcW w:w="993" w:type="dxa"/>
            <w:tcBorders>
              <w:top w:val="nil"/>
              <w:left w:val="nil"/>
              <w:bottom w:val="nil"/>
              <w:right w:val="nil"/>
            </w:tcBorders>
            <w:noWrap/>
            <w:vAlign w:val="bottom"/>
            <w:hideMark/>
          </w:tcPr>
          <w:p w14:paraId="2A86AD1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58,83%</w:t>
            </w:r>
          </w:p>
        </w:tc>
      </w:tr>
      <w:tr w:rsidR="006967F8" w:rsidRPr="006967F8" w14:paraId="13FD7FEA" w14:textId="77777777" w:rsidTr="008A61B1">
        <w:trPr>
          <w:trHeight w:val="255"/>
        </w:trPr>
        <w:tc>
          <w:tcPr>
            <w:tcW w:w="1134" w:type="dxa"/>
            <w:tcBorders>
              <w:top w:val="nil"/>
              <w:left w:val="nil"/>
              <w:bottom w:val="nil"/>
              <w:right w:val="nil"/>
            </w:tcBorders>
            <w:noWrap/>
            <w:vAlign w:val="bottom"/>
            <w:hideMark/>
          </w:tcPr>
          <w:p w14:paraId="2830102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4124</w:t>
            </w:r>
          </w:p>
        </w:tc>
        <w:tc>
          <w:tcPr>
            <w:tcW w:w="4962" w:type="dxa"/>
            <w:tcBorders>
              <w:top w:val="nil"/>
              <w:left w:val="nil"/>
              <w:bottom w:val="nil"/>
              <w:right w:val="nil"/>
            </w:tcBorders>
            <w:noWrap/>
            <w:vAlign w:val="bottom"/>
            <w:hideMark/>
          </w:tcPr>
          <w:p w14:paraId="56E8DC8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Ostala prava</w:t>
            </w:r>
          </w:p>
        </w:tc>
        <w:tc>
          <w:tcPr>
            <w:tcW w:w="1559" w:type="dxa"/>
            <w:tcBorders>
              <w:top w:val="nil"/>
              <w:left w:val="nil"/>
              <w:bottom w:val="nil"/>
              <w:right w:val="nil"/>
            </w:tcBorders>
            <w:noWrap/>
            <w:vAlign w:val="bottom"/>
            <w:hideMark/>
          </w:tcPr>
          <w:p w14:paraId="3E60BC2C"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01FC65E"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E09CA94"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14.707,34</w:t>
            </w:r>
          </w:p>
        </w:tc>
        <w:tc>
          <w:tcPr>
            <w:tcW w:w="993" w:type="dxa"/>
            <w:tcBorders>
              <w:top w:val="nil"/>
              <w:left w:val="nil"/>
              <w:bottom w:val="nil"/>
              <w:right w:val="nil"/>
            </w:tcBorders>
            <w:noWrap/>
            <w:vAlign w:val="bottom"/>
            <w:hideMark/>
          </w:tcPr>
          <w:p w14:paraId="58AD8614"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BB0763D" w14:textId="77777777" w:rsidTr="008A61B1">
        <w:trPr>
          <w:trHeight w:val="585"/>
        </w:trPr>
        <w:tc>
          <w:tcPr>
            <w:tcW w:w="1134" w:type="dxa"/>
            <w:tcBorders>
              <w:top w:val="nil"/>
              <w:left w:val="nil"/>
              <w:bottom w:val="nil"/>
              <w:right w:val="nil"/>
            </w:tcBorders>
            <w:shd w:val="clear" w:color="000000" w:fill="FFFF99"/>
            <w:noWrap/>
            <w:vAlign w:val="bottom"/>
            <w:hideMark/>
          </w:tcPr>
          <w:p w14:paraId="7F20F4E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K100209</w:t>
            </w:r>
          </w:p>
        </w:tc>
        <w:tc>
          <w:tcPr>
            <w:tcW w:w="4962" w:type="dxa"/>
            <w:tcBorders>
              <w:top w:val="nil"/>
              <w:left w:val="nil"/>
              <w:bottom w:val="nil"/>
              <w:right w:val="nil"/>
            </w:tcBorders>
            <w:shd w:val="clear" w:color="000000" w:fill="FFFF99"/>
            <w:vAlign w:val="bottom"/>
            <w:hideMark/>
          </w:tcPr>
          <w:p w14:paraId="2E5FDA9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Kapitalni projekt: PROVEDBA MJERA PRILAGODBE KLIMATSKIM PROMJENAMA </w:t>
            </w:r>
          </w:p>
        </w:tc>
        <w:tc>
          <w:tcPr>
            <w:tcW w:w="1559" w:type="dxa"/>
            <w:tcBorders>
              <w:top w:val="nil"/>
              <w:left w:val="nil"/>
              <w:bottom w:val="nil"/>
              <w:right w:val="nil"/>
            </w:tcBorders>
            <w:shd w:val="clear" w:color="000000" w:fill="FFFF99"/>
            <w:noWrap/>
            <w:vAlign w:val="bottom"/>
            <w:hideMark/>
          </w:tcPr>
          <w:p w14:paraId="2E50E3B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21.400,00</w:t>
            </w:r>
          </w:p>
        </w:tc>
        <w:tc>
          <w:tcPr>
            <w:tcW w:w="1559" w:type="dxa"/>
            <w:tcBorders>
              <w:top w:val="nil"/>
              <w:left w:val="nil"/>
              <w:bottom w:val="nil"/>
              <w:right w:val="nil"/>
            </w:tcBorders>
            <w:shd w:val="clear" w:color="000000" w:fill="FFFF99"/>
            <w:noWrap/>
            <w:vAlign w:val="bottom"/>
            <w:hideMark/>
          </w:tcPr>
          <w:p w14:paraId="703D952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21.400,00</w:t>
            </w:r>
          </w:p>
        </w:tc>
        <w:tc>
          <w:tcPr>
            <w:tcW w:w="1559" w:type="dxa"/>
            <w:tcBorders>
              <w:top w:val="nil"/>
              <w:left w:val="nil"/>
              <w:bottom w:val="nil"/>
              <w:right w:val="nil"/>
            </w:tcBorders>
            <w:shd w:val="clear" w:color="000000" w:fill="FFFF99"/>
            <w:noWrap/>
            <w:vAlign w:val="bottom"/>
            <w:hideMark/>
          </w:tcPr>
          <w:p w14:paraId="05912FE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21.088,12</w:t>
            </w:r>
          </w:p>
        </w:tc>
        <w:tc>
          <w:tcPr>
            <w:tcW w:w="993" w:type="dxa"/>
            <w:tcBorders>
              <w:top w:val="nil"/>
              <w:left w:val="nil"/>
              <w:bottom w:val="nil"/>
              <w:right w:val="nil"/>
            </w:tcBorders>
            <w:shd w:val="clear" w:color="000000" w:fill="FFFF99"/>
            <w:noWrap/>
            <w:vAlign w:val="bottom"/>
            <w:hideMark/>
          </w:tcPr>
          <w:p w14:paraId="2DE66B5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98,54%</w:t>
            </w:r>
          </w:p>
        </w:tc>
      </w:tr>
      <w:tr w:rsidR="006967F8" w:rsidRPr="006967F8" w14:paraId="4C7E1FA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BB5049C"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2A7EB7A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4.300,00</w:t>
            </w:r>
          </w:p>
        </w:tc>
        <w:tc>
          <w:tcPr>
            <w:tcW w:w="1559" w:type="dxa"/>
            <w:tcBorders>
              <w:top w:val="nil"/>
              <w:left w:val="nil"/>
              <w:bottom w:val="nil"/>
              <w:right w:val="nil"/>
            </w:tcBorders>
            <w:shd w:val="clear" w:color="000000" w:fill="CCCCFF"/>
            <w:noWrap/>
            <w:vAlign w:val="bottom"/>
            <w:hideMark/>
          </w:tcPr>
          <w:p w14:paraId="5A58597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4.300,00</w:t>
            </w:r>
          </w:p>
        </w:tc>
        <w:tc>
          <w:tcPr>
            <w:tcW w:w="1559" w:type="dxa"/>
            <w:tcBorders>
              <w:top w:val="nil"/>
              <w:left w:val="nil"/>
              <w:bottom w:val="nil"/>
              <w:right w:val="nil"/>
            </w:tcBorders>
            <w:shd w:val="clear" w:color="000000" w:fill="CCCCFF"/>
            <w:noWrap/>
            <w:vAlign w:val="bottom"/>
            <w:hideMark/>
          </w:tcPr>
          <w:p w14:paraId="0A6DBF6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4.217,63</w:t>
            </w:r>
          </w:p>
        </w:tc>
        <w:tc>
          <w:tcPr>
            <w:tcW w:w="993" w:type="dxa"/>
            <w:tcBorders>
              <w:top w:val="nil"/>
              <w:left w:val="nil"/>
              <w:bottom w:val="nil"/>
              <w:right w:val="nil"/>
            </w:tcBorders>
            <w:shd w:val="clear" w:color="000000" w:fill="CCCCFF"/>
            <w:noWrap/>
            <w:vAlign w:val="bottom"/>
            <w:hideMark/>
          </w:tcPr>
          <w:p w14:paraId="2F5434E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98,08%</w:t>
            </w:r>
          </w:p>
        </w:tc>
      </w:tr>
      <w:tr w:rsidR="006967F8" w:rsidRPr="006967F8" w14:paraId="580F55F8"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D919ADF"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4.1. Komunalni doprinos</w:t>
            </w:r>
          </w:p>
        </w:tc>
        <w:tc>
          <w:tcPr>
            <w:tcW w:w="1559" w:type="dxa"/>
            <w:tcBorders>
              <w:top w:val="nil"/>
              <w:left w:val="nil"/>
              <w:bottom w:val="nil"/>
              <w:right w:val="nil"/>
            </w:tcBorders>
            <w:shd w:val="clear" w:color="000000" w:fill="CCCCFF"/>
            <w:noWrap/>
            <w:vAlign w:val="bottom"/>
            <w:hideMark/>
          </w:tcPr>
          <w:p w14:paraId="75EF15E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4.300,00</w:t>
            </w:r>
          </w:p>
        </w:tc>
        <w:tc>
          <w:tcPr>
            <w:tcW w:w="1559" w:type="dxa"/>
            <w:tcBorders>
              <w:top w:val="nil"/>
              <w:left w:val="nil"/>
              <w:bottom w:val="nil"/>
              <w:right w:val="nil"/>
            </w:tcBorders>
            <w:shd w:val="clear" w:color="000000" w:fill="CCCCFF"/>
            <w:noWrap/>
            <w:vAlign w:val="bottom"/>
            <w:hideMark/>
          </w:tcPr>
          <w:p w14:paraId="702753C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4.300,00</w:t>
            </w:r>
          </w:p>
        </w:tc>
        <w:tc>
          <w:tcPr>
            <w:tcW w:w="1559" w:type="dxa"/>
            <w:tcBorders>
              <w:top w:val="nil"/>
              <w:left w:val="nil"/>
              <w:bottom w:val="nil"/>
              <w:right w:val="nil"/>
            </w:tcBorders>
            <w:shd w:val="clear" w:color="000000" w:fill="CCCCFF"/>
            <w:noWrap/>
            <w:vAlign w:val="bottom"/>
            <w:hideMark/>
          </w:tcPr>
          <w:p w14:paraId="2FC5904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4.217,63</w:t>
            </w:r>
          </w:p>
        </w:tc>
        <w:tc>
          <w:tcPr>
            <w:tcW w:w="993" w:type="dxa"/>
            <w:tcBorders>
              <w:top w:val="nil"/>
              <w:left w:val="nil"/>
              <w:bottom w:val="nil"/>
              <w:right w:val="nil"/>
            </w:tcBorders>
            <w:shd w:val="clear" w:color="000000" w:fill="CCCCFF"/>
            <w:noWrap/>
            <w:vAlign w:val="bottom"/>
            <w:hideMark/>
          </w:tcPr>
          <w:p w14:paraId="493D847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98,08%</w:t>
            </w:r>
          </w:p>
        </w:tc>
      </w:tr>
      <w:tr w:rsidR="006967F8" w:rsidRPr="006967F8" w14:paraId="1B890A03" w14:textId="77777777" w:rsidTr="008A61B1">
        <w:trPr>
          <w:trHeight w:val="510"/>
        </w:trPr>
        <w:tc>
          <w:tcPr>
            <w:tcW w:w="1134" w:type="dxa"/>
            <w:tcBorders>
              <w:top w:val="nil"/>
              <w:left w:val="nil"/>
              <w:bottom w:val="nil"/>
              <w:right w:val="nil"/>
            </w:tcBorders>
            <w:noWrap/>
            <w:vAlign w:val="bottom"/>
            <w:hideMark/>
          </w:tcPr>
          <w:p w14:paraId="5F61E04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48E63E8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43F91A4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4.300,00</w:t>
            </w:r>
          </w:p>
        </w:tc>
        <w:tc>
          <w:tcPr>
            <w:tcW w:w="1559" w:type="dxa"/>
            <w:tcBorders>
              <w:top w:val="nil"/>
              <w:left w:val="nil"/>
              <w:bottom w:val="nil"/>
              <w:right w:val="nil"/>
            </w:tcBorders>
            <w:noWrap/>
            <w:vAlign w:val="bottom"/>
            <w:hideMark/>
          </w:tcPr>
          <w:p w14:paraId="4672FFB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4.300,00</w:t>
            </w:r>
          </w:p>
        </w:tc>
        <w:tc>
          <w:tcPr>
            <w:tcW w:w="1559" w:type="dxa"/>
            <w:tcBorders>
              <w:top w:val="nil"/>
              <w:left w:val="nil"/>
              <w:bottom w:val="nil"/>
              <w:right w:val="nil"/>
            </w:tcBorders>
            <w:noWrap/>
            <w:vAlign w:val="bottom"/>
            <w:hideMark/>
          </w:tcPr>
          <w:p w14:paraId="44C835F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4.217,63</w:t>
            </w:r>
          </w:p>
        </w:tc>
        <w:tc>
          <w:tcPr>
            <w:tcW w:w="993" w:type="dxa"/>
            <w:tcBorders>
              <w:top w:val="nil"/>
              <w:left w:val="nil"/>
              <w:bottom w:val="nil"/>
              <w:right w:val="nil"/>
            </w:tcBorders>
            <w:noWrap/>
            <w:vAlign w:val="bottom"/>
            <w:hideMark/>
          </w:tcPr>
          <w:p w14:paraId="4FCA361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98,08%</w:t>
            </w:r>
          </w:p>
        </w:tc>
      </w:tr>
      <w:tr w:rsidR="006967F8" w:rsidRPr="006967F8" w14:paraId="05F19EF5" w14:textId="77777777" w:rsidTr="008A61B1">
        <w:trPr>
          <w:trHeight w:val="255"/>
        </w:trPr>
        <w:tc>
          <w:tcPr>
            <w:tcW w:w="1134" w:type="dxa"/>
            <w:tcBorders>
              <w:top w:val="nil"/>
              <w:left w:val="nil"/>
              <w:bottom w:val="nil"/>
              <w:right w:val="nil"/>
            </w:tcBorders>
            <w:noWrap/>
            <w:vAlign w:val="bottom"/>
            <w:hideMark/>
          </w:tcPr>
          <w:p w14:paraId="7351D4C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4213</w:t>
            </w:r>
          </w:p>
        </w:tc>
        <w:tc>
          <w:tcPr>
            <w:tcW w:w="4962" w:type="dxa"/>
            <w:tcBorders>
              <w:top w:val="nil"/>
              <w:left w:val="nil"/>
              <w:bottom w:val="nil"/>
              <w:right w:val="nil"/>
            </w:tcBorders>
            <w:noWrap/>
            <w:vAlign w:val="bottom"/>
            <w:hideMark/>
          </w:tcPr>
          <w:p w14:paraId="255CBF4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Ceste, željeznice i ostali prometni objekti</w:t>
            </w:r>
          </w:p>
        </w:tc>
        <w:tc>
          <w:tcPr>
            <w:tcW w:w="1559" w:type="dxa"/>
            <w:tcBorders>
              <w:top w:val="nil"/>
              <w:left w:val="nil"/>
              <w:bottom w:val="nil"/>
              <w:right w:val="nil"/>
            </w:tcBorders>
            <w:noWrap/>
            <w:vAlign w:val="bottom"/>
            <w:hideMark/>
          </w:tcPr>
          <w:p w14:paraId="72227FF9"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0945F5B"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71AEF1D"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762,50</w:t>
            </w:r>
          </w:p>
        </w:tc>
        <w:tc>
          <w:tcPr>
            <w:tcW w:w="993" w:type="dxa"/>
            <w:tcBorders>
              <w:top w:val="nil"/>
              <w:left w:val="nil"/>
              <w:bottom w:val="nil"/>
              <w:right w:val="nil"/>
            </w:tcBorders>
            <w:noWrap/>
            <w:vAlign w:val="bottom"/>
            <w:hideMark/>
          </w:tcPr>
          <w:p w14:paraId="6F540931"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6EE816E" w14:textId="77777777" w:rsidTr="008A61B1">
        <w:trPr>
          <w:trHeight w:val="255"/>
        </w:trPr>
        <w:tc>
          <w:tcPr>
            <w:tcW w:w="1134" w:type="dxa"/>
            <w:tcBorders>
              <w:top w:val="nil"/>
              <w:left w:val="nil"/>
              <w:bottom w:val="nil"/>
              <w:right w:val="nil"/>
            </w:tcBorders>
            <w:noWrap/>
            <w:vAlign w:val="bottom"/>
            <w:hideMark/>
          </w:tcPr>
          <w:p w14:paraId="216BBDC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lastRenderedPageBreak/>
              <w:t>4251</w:t>
            </w:r>
          </w:p>
        </w:tc>
        <w:tc>
          <w:tcPr>
            <w:tcW w:w="4962" w:type="dxa"/>
            <w:tcBorders>
              <w:top w:val="nil"/>
              <w:left w:val="nil"/>
              <w:bottom w:val="nil"/>
              <w:right w:val="nil"/>
            </w:tcBorders>
            <w:noWrap/>
            <w:vAlign w:val="bottom"/>
            <w:hideMark/>
          </w:tcPr>
          <w:p w14:paraId="3D5B30B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Višegodišnji nasadi</w:t>
            </w:r>
          </w:p>
        </w:tc>
        <w:tc>
          <w:tcPr>
            <w:tcW w:w="1559" w:type="dxa"/>
            <w:tcBorders>
              <w:top w:val="nil"/>
              <w:left w:val="nil"/>
              <w:bottom w:val="nil"/>
              <w:right w:val="nil"/>
            </w:tcBorders>
            <w:noWrap/>
            <w:vAlign w:val="bottom"/>
            <w:hideMark/>
          </w:tcPr>
          <w:p w14:paraId="6E67A3C8"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9031350"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608AE05"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3.455,13</w:t>
            </w:r>
          </w:p>
        </w:tc>
        <w:tc>
          <w:tcPr>
            <w:tcW w:w="993" w:type="dxa"/>
            <w:tcBorders>
              <w:top w:val="nil"/>
              <w:left w:val="nil"/>
              <w:bottom w:val="nil"/>
              <w:right w:val="nil"/>
            </w:tcBorders>
            <w:noWrap/>
            <w:vAlign w:val="bottom"/>
            <w:hideMark/>
          </w:tcPr>
          <w:p w14:paraId="3608B40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B25CD91"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6E7FE21"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0D0CEF1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17.100,00</w:t>
            </w:r>
          </w:p>
        </w:tc>
        <w:tc>
          <w:tcPr>
            <w:tcW w:w="1559" w:type="dxa"/>
            <w:tcBorders>
              <w:top w:val="nil"/>
              <w:left w:val="nil"/>
              <w:bottom w:val="nil"/>
              <w:right w:val="nil"/>
            </w:tcBorders>
            <w:shd w:val="clear" w:color="000000" w:fill="CCCCFF"/>
            <w:noWrap/>
            <w:vAlign w:val="bottom"/>
            <w:hideMark/>
          </w:tcPr>
          <w:p w14:paraId="443BFFB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17.100,00</w:t>
            </w:r>
          </w:p>
        </w:tc>
        <w:tc>
          <w:tcPr>
            <w:tcW w:w="1559" w:type="dxa"/>
            <w:tcBorders>
              <w:top w:val="nil"/>
              <w:left w:val="nil"/>
              <w:bottom w:val="nil"/>
              <w:right w:val="nil"/>
            </w:tcBorders>
            <w:shd w:val="clear" w:color="000000" w:fill="CCCCFF"/>
            <w:noWrap/>
            <w:vAlign w:val="bottom"/>
            <w:hideMark/>
          </w:tcPr>
          <w:p w14:paraId="4CCD230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16.870,49</w:t>
            </w:r>
          </w:p>
        </w:tc>
        <w:tc>
          <w:tcPr>
            <w:tcW w:w="993" w:type="dxa"/>
            <w:tcBorders>
              <w:top w:val="nil"/>
              <w:left w:val="nil"/>
              <w:bottom w:val="nil"/>
              <w:right w:val="nil"/>
            </w:tcBorders>
            <w:shd w:val="clear" w:color="000000" w:fill="CCCCFF"/>
            <w:noWrap/>
            <w:vAlign w:val="bottom"/>
            <w:hideMark/>
          </w:tcPr>
          <w:p w14:paraId="74C6D6A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98,66%</w:t>
            </w:r>
          </w:p>
        </w:tc>
      </w:tr>
      <w:tr w:rsidR="006967F8" w:rsidRPr="006967F8" w14:paraId="7C20C6D8"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44BE1C2"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5.1. Ostale pomoći</w:t>
            </w:r>
          </w:p>
        </w:tc>
        <w:tc>
          <w:tcPr>
            <w:tcW w:w="1559" w:type="dxa"/>
            <w:tcBorders>
              <w:top w:val="nil"/>
              <w:left w:val="nil"/>
              <w:bottom w:val="nil"/>
              <w:right w:val="nil"/>
            </w:tcBorders>
            <w:shd w:val="clear" w:color="000000" w:fill="CCCCFF"/>
            <w:noWrap/>
            <w:vAlign w:val="bottom"/>
            <w:hideMark/>
          </w:tcPr>
          <w:p w14:paraId="2E209E2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17.100,00</w:t>
            </w:r>
          </w:p>
        </w:tc>
        <w:tc>
          <w:tcPr>
            <w:tcW w:w="1559" w:type="dxa"/>
            <w:tcBorders>
              <w:top w:val="nil"/>
              <w:left w:val="nil"/>
              <w:bottom w:val="nil"/>
              <w:right w:val="nil"/>
            </w:tcBorders>
            <w:shd w:val="clear" w:color="000000" w:fill="CCCCFF"/>
            <w:noWrap/>
            <w:vAlign w:val="bottom"/>
            <w:hideMark/>
          </w:tcPr>
          <w:p w14:paraId="34600D5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17.100,00</w:t>
            </w:r>
          </w:p>
        </w:tc>
        <w:tc>
          <w:tcPr>
            <w:tcW w:w="1559" w:type="dxa"/>
            <w:tcBorders>
              <w:top w:val="nil"/>
              <w:left w:val="nil"/>
              <w:bottom w:val="nil"/>
              <w:right w:val="nil"/>
            </w:tcBorders>
            <w:shd w:val="clear" w:color="000000" w:fill="CCCCFF"/>
            <w:noWrap/>
            <w:vAlign w:val="bottom"/>
            <w:hideMark/>
          </w:tcPr>
          <w:p w14:paraId="63EDA8C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16.870,49</w:t>
            </w:r>
          </w:p>
        </w:tc>
        <w:tc>
          <w:tcPr>
            <w:tcW w:w="993" w:type="dxa"/>
            <w:tcBorders>
              <w:top w:val="nil"/>
              <w:left w:val="nil"/>
              <w:bottom w:val="nil"/>
              <w:right w:val="nil"/>
            </w:tcBorders>
            <w:shd w:val="clear" w:color="000000" w:fill="CCCCFF"/>
            <w:noWrap/>
            <w:vAlign w:val="bottom"/>
            <w:hideMark/>
          </w:tcPr>
          <w:p w14:paraId="2F7023F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98,66%</w:t>
            </w:r>
          </w:p>
        </w:tc>
      </w:tr>
      <w:tr w:rsidR="006967F8" w:rsidRPr="006967F8" w14:paraId="47F7AD6F" w14:textId="77777777" w:rsidTr="008A61B1">
        <w:trPr>
          <w:trHeight w:val="585"/>
        </w:trPr>
        <w:tc>
          <w:tcPr>
            <w:tcW w:w="1134" w:type="dxa"/>
            <w:tcBorders>
              <w:top w:val="nil"/>
              <w:left w:val="nil"/>
              <w:bottom w:val="nil"/>
              <w:right w:val="nil"/>
            </w:tcBorders>
            <w:noWrap/>
            <w:vAlign w:val="bottom"/>
            <w:hideMark/>
          </w:tcPr>
          <w:p w14:paraId="10793FF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16968A3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28414A6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17.100,00</w:t>
            </w:r>
          </w:p>
        </w:tc>
        <w:tc>
          <w:tcPr>
            <w:tcW w:w="1559" w:type="dxa"/>
            <w:tcBorders>
              <w:top w:val="nil"/>
              <w:left w:val="nil"/>
              <w:bottom w:val="nil"/>
              <w:right w:val="nil"/>
            </w:tcBorders>
            <w:noWrap/>
            <w:vAlign w:val="bottom"/>
            <w:hideMark/>
          </w:tcPr>
          <w:p w14:paraId="6BCF426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17.100,00</w:t>
            </w:r>
          </w:p>
        </w:tc>
        <w:tc>
          <w:tcPr>
            <w:tcW w:w="1559" w:type="dxa"/>
            <w:tcBorders>
              <w:top w:val="nil"/>
              <w:left w:val="nil"/>
              <w:bottom w:val="nil"/>
              <w:right w:val="nil"/>
            </w:tcBorders>
            <w:noWrap/>
            <w:vAlign w:val="bottom"/>
            <w:hideMark/>
          </w:tcPr>
          <w:p w14:paraId="0932669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16.870,49</w:t>
            </w:r>
          </w:p>
        </w:tc>
        <w:tc>
          <w:tcPr>
            <w:tcW w:w="993" w:type="dxa"/>
            <w:tcBorders>
              <w:top w:val="nil"/>
              <w:left w:val="nil"/>
              <w:bottom w:val="nil"/>
              <w:right w:val="nil"/>
            </w:tcBorders>
            <w:noWrap/>
            <w:vAlign w:val="bottom"/>
            <w:hideMark/>
          </w:tcPr>
          <w:p w14:paraId="6D96A9A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98,66%</w:t>
            </w:r>
          </w:p>
        </w:tc>
      </w:tr>
      <w:tr w:rsidR="006967F8" w:rsidRPr="006967F8" w14:paraId="46C64398" w14:textId="77777777" w:rsidTr="008A61B1">
        <w:trPr>
          <w:trHeight w:val="255"/>
        </w:trPr>
        <w:tc>
          <w:tcPr>
            <w:tcW w:w="1134" w:type="dxa"/>
            <w:tcBorders>
              <w:top w:val="nil"/>
              <w:left w:val="nil"/>
              <w:bottom w:val="nil"/>
              <w:right w:val="nil"/>
            </w:tcBorders>
            <w:noWrap/>
            <w:vAlign w:val="bottom"/>
            <w:hideMark/>
          </w:tcPr>
          <w:p w14:paraId="03C54AA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4213</w:t>
            </w:r>
          </w:p>
        </w:tc>
        <w:tc>
          <w:tcPr>
            <w:tcW w:w="4962" w:type="dxa"/>
            <w:tcBorders>
              <w:top w:val="nil"/>
              <w:left w:val="nil"/>
              <w:bottom w:val="nil"/>
              <w:right w:val="nil"/>
            </w:tcBorders>
            <w:noWrap/>
            <w:vAlign w:val="bottom"/>
            <w:hideMark/>
          </w:tcPr>
          <w:p w14:paraId="42CE900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Ceste, željeznice i ostali prometni objekti</w:t>
            </w:r>
          </w:p>
        </w:tc>
        <w:tc>
          <w:tcPr>
            <w:tcW w:w="1559" w:type="dxa"/>
            <w:tcBorders>
              <w:top w:val="nil"/>
              <w:left w:val="nil"/>
              <w:bottom w:val="nil"/>
              <w:right w:val="nil"/>
            </w:tcBorders>
            <w:noWrap/>
            <w:vAlign w:val="bottom"/>
            <w:hideMark/>
          </w:tcPr>
          <w:p w14:paraId="09788429"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F72D908"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3FCF454"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3.050,00</w:t>
            </w:r>
          </w:p>
        </w:tc>
        <w:tc>
          <w:tcPr>
            <w:tcW w:w="993" w:type="dxa"/>
            <w:tcBorders>
              <w:top w:val="nil"/>
              <w:left w:val="nil"/>
              <w:bottom w:val="nil"/>
              <w:right w:val="nil"/>
            </w:tcBorders>
            <w:noWrap/>
            <w:vAlign w:val="bottom"/>
            <w:hideMark/>
          </w:tcPr>
          <w:p w14:paraId="3A360E10"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1EEC66C" w14:textId="77777777" w:rsidTr="008A61B1">
        <w:trPr>
          <w:trHeight w:val="255"/>
        </w:trPr>
        <w:tc>
          <w:tcPr>
            <w:tcW w:w="1134" w:type="dxa"/>
            <w:tcBorders>
              <w:top w:val="nil"/>
              <w:left w:val="nil"/>
              <w:bottom w:val="nil"/>
              <w:right w:val="nil"/>
            </w:tcBorders>
            <w:noWrap/>
            <w:vAlign w:val="bottom"/>
            <w:hideMark/>
          </w:tcPr>
          <w:p w14:paraId="3F1BF88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4251</w:t>
            </w:r>
          </w:p>
        </w:tc>
        <w:tc>
          <w:tcPr>
            <w:tcW w:w="4962" w:type="dxa"/>
            <w:tcBorders>
              <w:top w:val="nil"/>
              <w:left w:val="nil"/>
              <w:bottom w:val="nil"/>
              <w:right w:val="nil"/>
            </w:tcBorders>
            <w:noWrap/>
            <w:vAlign w:val="bottom"/>
            <w:hideMark/>
          </w:tcPr>
          <w:p w14:paraId="2F19685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Višegodišnji nasadi</w:t>
            </w:r>
          </w:p>
        </w:tc>
        <w:tc>
          <w:tcPr>
            <w:tcW w:w="1559" w:type="dxa"/>
            <w:tcBorders>
              <w:top w:val="nil"/>
              <w:left w:val="nil"/>
              <w:bottom w:val="nil"/>
              <w:right w:val="nil"/>
            </w:tcBorders>
            <w:noWrap/>
            <w:vAlign w:val="bottom"/>
            <w:hideMark/>
          </w:tcPr>
          <w:p w14:paraId="7CC4DEFE"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7ABAD1D"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01CE850"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13.820,49</w:t>
            </w:r>
          </w:p>
        </w:tc>
        <w:tc>
          <w:tcPr>
            <w:tcW w:w="993" w:type="dxa"/>
            <w:tcBorders>
              <w:top w:val="nil"/>
              <w:left w:val="nil"/>
              <w:bottom w:val="nil"/>
              <w:right w:val="nil"/>
            </w:tcBorders>
            <w:noWrap/>
            <w:vAlign w:val="bottom"/>
            <w:hideMark/>
          </w:tcPr>
          <w:p w14:paraId="7008F01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D00F1DF" w14:textId="77777777" w:rsidTr="008A61B1">
        <w:trPr>
          <w:trHeight w:val="750"/>
        </w:trPr>
        <w:tc>
          <w:tcPr>
            <w:tcW w:w="1134" w:type="dxa"/>
            <w:tcBorders>
              <w:top w:val="nil"/>
              <w:left w:val="nil"/>
              <w:bottom w:val="nil"/>
              <w:right w:val="nil"/>
            </w:tcBorders>
            <w:shd w:val="clear" w:color="000000" w:fill="FFFF99"/>
            <w:noWrap/>
            <w:vAlign w:val="bottom"/>
            <w:hideMark/>
          </w:tcPr>
          <w:p w14:paraId="603EE40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K100210</w:t>
            </w:r>
          </w:p>
        </w:tc>
        <w:tc>
          <w:tcPr>
            <w:tcW w:w="4962" w:type="dxa"/>
            <w:tcBorders>
              <w:top w:val="nil"/>
              <w:left w:val="nil"/>
              <w:bottom w:val="nil"/>
              <w:right w:val="nil"/>
            </w:tcBorders>
            <w:shd w:val="clear" w:color="000000" w:fill="FFFF99"/>
            <w:vAlign w:val="bottom"/>
            <w:hideMark/>
          </w:tcPr>
          <w:p w14:paraId="67BF466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Kapitalni projekt: IZGRADNJA SPOJA ULICE ŠPIRA PUOVIĆA NA ULICU K. TOMISLAVA (Ž6134) U TROGIRU</w:t>
            </w:r>
          </w:p>
        </w:tc>
        <w:tc>
          <w:tcPr>
            <w:tcW w:w="1559" w:type="dxa"/>
            <w:tcBorders>
              <w:top w:val="nil"/>
              <w:left w:val="nil"/>
              <w:bottom w:val="nil"/>
              <w:right w:val="nil"/>
            </w:tcBorders>
            <w:shd w:val="clear" w:color="000000" w:fill="FFFF99"/>
            <w:noWrap/>
            <w:vAlign w:val="bottom"/>
            <w:hideMark/>
          </w:tcPr>
          <w:p w14:paraId="2FFD819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1.200,00</w:t>
            </w:r>
          </w:p>
        </w:tc>
        <w:tc>
          <w:tcPr>
            <w:tcW w:w="1559" w:type="dxa"/>
            <w:tcBorders>
              <w:top w:val="nil"/>
              <w:left w:val="nil"/>
              <w:bottom w:val="nil"/>
              <w:right w:val="nil"/>
            </w:tcBorders>
            <w:shd w:val="clear" w:color="000000" w:fill="FFFF99"/>
            <w:noWrap/>
            <w:vAlign w:val="bottom"/>
            <w:hideMark/>
          </w:tcPr>
          <w:p w14:paraId="2B60537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1.200,00</w:t>
            </w:r>
          </w:p>
        </w:tc>
        <w:tc>
          <w:tcPr>
            <w:tcW w:w="1559" w:type="dxa"/>
            <w:tcBorders>
              <w:top w:val="nil"/>
              <w:left w:val="nil"/>
              <w:bottom w:val="nil"/>
              <w:right w:val="nil"/>
            </w:tcBorders>
            <w:shd w:val="clear" w:color="000000" w:fill="FFFF99"/>
            <w:noWrap/>
            <w:vAlign w:val="bottom"/>
            <w:hideMark/>
          </w:tcPr>
          <w:p w14:paraId="296EFA7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1.112,50</w:t>
            </w:r>
          </w:p>
        </w:tc>
        <w:tc>
          <w:tcPr>
            <w:tcW w:w="993" w:type="dxa"/>
            <w:tcBorders>
              <w:top w:val="nil"/>
              <w:left w:val="nil"/>
              <w:bottom w:val="nil"/>
              <w:right w:val="nil"/>
            </w:tcBorders>
            <w:shd w:val="clear" w:color="000000" w:fill="FFFF99"/>
            <w:noWrap/>
            <w:vAlign w:val="bottom"/>
            <w:hideMark/>
          </w:tcPr>
          <w:p w14:paraId="218C435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92,71%</w:t>
            </w:r>
          </w:p>
        </w:tc>
      </w:tr>
      <w:tr w:rsidR="006967F8" w:rsidRPr="006967F8" w14:paraId="5BFCD7A3"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84BBC7F"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1C8B2EB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1.200,00</w:t>
            </w:r>
          </w:p>
        </w:tc>
        <w:tc>
          <w:tcPr>
            <w:tcW w:w="1559" w:type="dxa"/>
            <w:tcBorders>
              <w:top w:val="nil"/>
              <w:left w:val="nil"/>
              <w:bottom w:val="nil"/>
              <w:right w:val="nil"/>
            </w:tcBorders>
            <w:shd w:val="clear" w:color="000000" w:fill="CCCCFF"/>
            <w:noWrap/>
            <w:vAlign w:val="bottom"/>
            <w:hideMark/>
          </w:tcPr>
          <w:p w14:paraId="228C603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1.200,00</w:t>
            </w:r>
          </w:p>
        </w:tc>
        <w:tc>
          <w:tcPr>
            <w:tcW w:w="1559" w:type="dxa"/>
            <w:tcBorders>
              <w:top w:val="nil"/>
              <w:left w:val="nil"/>
              <w:bottom w:val="nil"/>
              <w:right w:val="nil"/>
            </w:tcBorders>
            <w:shd w:val="clear" w:color="000000" w:fill="CCCCFF"/>
            <w:noWrap/>
            <w:vAlign w:val="bottom"/>
            <w:hideMark/>
          </w:tcPr>
          <w:p w14:paraId="7E535B1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1.112,50</w:t>
            </w:r>
          </w:p>
        </w:tc>
        <w:tc>
          <w:tcPr>
            <w:tcW w:w="993" w:type="dxa"/>
            <w:tcBorders>
              <w:top w:val="nil"/>
              <w:left w:val="nil"/>
              <w:bottom w:val="nil"/>
              <w:right w:val="nil"/>
            </w:tcBorders>
            <w:shd w:val="clear" w:color="000000" w:fill="CCCCFF"/>
            <w:noWrap/>
            <w:vAlign w:val="bottom"/>
            <w:hideMark/>
          </w:tcPr>
          <w:p w14:paraId="5ED9938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92,71%</w:t>
            </w:r>
          </w:p>
        </w:tc>
      </w:tr>
      <w:tr w:rsidR="006967F8" w:rsidRPr="006967F8" w14:paraId="2EF86EBF"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DE97A42"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4.1. Komunalni doprinos</w:t>
            </w:r>
          </w:p>
        </w:tc>
        <w:tc>
          <w:tcPr>
            <w:tcW w:w="1559" w:type="dxa"/>
            <w:tcBorders>
              <w:top w:val="nil"/>
              <w:left w:val="nil"/>
              <w:bottom w:val="nil"/>
              <w:right w:val="nil"/>
            </w:tcBorders>
            <w:shd w:val="clear" w:color="000000" w:fill="CCCCFF"/>
            <w:noWrap/>
            <w:vAlign w:val="bottom"/>
            <w:hideMark/>
          </w:tcPr>
          <w:p w14:paraId="5103FAF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1.200,00</w:t>
            </w:r>
          </w:p>
        </w:tc>
        <w:tc>
          <w:tcPr>
            <w:tcW w:w="1559" w:type="dxa"/>
            <w:tcBorders>
              <w:top w:val="nil"/>
              <w:left w:val="nil"/>
              <w:bottom w:val="nil"/>
              <w:right w:val="nil"/>
            </w:tcBorders>
            <w:shd w:val="clear" w:color="000000" w:fill="CCCCFF"/>
            <w:noWrap/>
            <w:vAlign w:val="bottom"/>
            <w:hideMark/>
          </w:tcPr>
          <w:p w14:paraId="20C07A8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1.200,00</w:t>
            </w:r>
          </w:p>
        </w:tc>
        <w:tc>
          <w:tcPr>
            <w:tcW w:w="1559" w:type="dxa"/>
            <w:tcBorders>
              <w:top w:val="nil"/>
              <w:left w:val="nil"/>
              <w:bottom w:val="nil"/>
              <w:right w:val="nil"/>
            </w:tcBorders>
            <w:shd w:val="clear" w:color="000000" w:fill="CCCCFF"/>
            <w:noWrap/>
            <w:vAlign w:val="bottom"/>
            <w:hideMark/>
          </w:tcPr>
          <w:p w14:paraId="132A475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1.112,50</w:t>
            </w:r>
          </w:p>
        </w:tc>
        <w:tc>
          <w:tcPr>
            <w:tcW w:w="993" w:type="dxa"/>
            <w:tcBorders>
              <w:top w:val="nil"/>
              <w:left w:val="nil"/>
              <w:bottom w:val="nil"/>
              <w:right w:val="nil"/>
            </w:tcBorders>
            <w:shd w:val="clear" w:color="000000" w:fill="CCCCFF"/>
            <w:noWrap/>
            <w:vAlign w:val="bottom"/>
            <w:hideMark/>
          </w:tcPr>
          <w:p w14:paraId="5800BA5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92,71%</w:t>
            </w:r>
          </w:p>
        </w:tc>
      </w:tr>
      <w:tr w:rsidR="006967F8" w:rsidRPr="006967F8" w14:paraId="348F61C3" w14:textId="77777777" w:rsidTr="008A61B1">
        <w:trPr>
          <w:trHeight w:val="510"/>
        </w:trPr>
        <w:tc>
          <w:tcPr>
            <w:tcW w:w="1134" w:type="dxa"/>
            <w:tcBorders>
              <w:top w:val="nil"/>
              <w:left w:val="nil"/>
              <w:bottom w:val="nil"/>
              <w:right w:val="nil"/>
            </w:tcBorders>
            <w:noWrap/>
            <w:vAlign w:val="bottom"/>
            <w:hideMark/>
          </w:tcPr>
          <w:p w14:paraId="0BBD6D8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7D1EB8B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1EA12FE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1.200,00</w:t>
            </w:r>
          </w:p>
        </w:tc>
        <w:tc>
          <w:tcPr>
            <w:tcW w:w="1559" w:type="dxa"/>
            <w:tcBorders>
              <w:top w:val="nil"/>
              <w:left w:val="nil"/>
              <w:bottom w:val="nil"/>
              <w:right w:val="nil"/>
            </w:tcBorders>
            <w:noWrap/>
            <w:vAlign w:val="bottom"/>
            <w:hideMark/>
          </w:tcPr>
          <w:p w14:paraId="28B8833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1.200,00</w:t>
            </w:r>
          </w:p>
        </w:tc>
        <w:tc>
          <w:tcPr>
            <w:tcW w:w="1559" w:type="dxa"/>
            <w:tcBorders>
              <w:top w:val="nil"/>
              <w:left w:val="nil"/>
              <w:bottom w:val="nil"/>
              <w:right w:val="nil"/>
            </w:tcBorders>
            <w:noWrap/>
            <w:vAlign w:val="bottom"/>
            <w:hideMark/>
          </w:tcPr>
          <w:p w14:paraId="498ED94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1.112,50</w:t>
            </w:r>
          </w:p>
        </w:tc>
        <w:tc>
          <w:tcPr>
            <w:tcW w:w="993" w:type="dxa"/>
            <w:tcBorders>
              <w:top w:val="nil"/>
              <w:left w:val="nil"/>
              <w:bottom w:val="nil"/>
              <w:right w:val="nil"/>
            </w:tcBorders>
            <w:noWrap/>
            <w:vAlign w:val="bottom"/>
            <w:hideMark/>
          </w:tcPr>
          <w:p w14:paraId="083356A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92,71%</w:t>
            </w:r>
          </w:p>
        </w:tc>
      </w:tr>
      <w:tr w:rsidR="006967F8" w:rsidRPr="006967F8" w14:paraId="2C2FF183" w14:textId="77777777" w:rsidTr="008A61B1">
        <w:trPr>
          <w:trHeight w:val="255"/>
        </w:trPr>
        <w:tc>
          <w:tcPr>
            <w:tcW w:w="1134" w:type="dxa"/>
            <w:tcBorders>
              <w:top w:val="nil"/>
              <w:left w:val="nil"/>
              <w:bottom w:val="nil"/>
              <w:right w:val="nil"/>
            </w:tcBorders>
            <w:noWrap/>
            <w:vAlign w:val="bottom"/>
            <w:hideMark/>
          </w:tcPr>
          <w:p w14:paraId="7BA658A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4213</w:t>
            </w:r>
          </w:p>
        </w:tc>
        <w:tc>
          <w:tcPr>
            <w:tcW w:w="4962" w:type="dxa"/>
            <w:tcBorders>
              <w:top w:val="nil"/>
              <w:left w:val="nil"/>
              <w:bottom w:val="nil"/>
              <w:right w:val="nil"/>
            </w:tcBorders>
            <w:noWrap/>
            <w:vAlign w:val="bottom"/>
            <w:hideMark/>
          </w:tcPr>
          <w:p w14:paraId="37A4885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Ceste, željeznice i ostali prometni objekti</w:t>
            </w:r>
          </w:p>
        </w:tc>
        <w:tc>
          <w:tcPr>
            <w:tcW w:w="1559" w:type="dxa"/>
            <w:tcBorders>
              <w:top w:val="nil"/>
              <w:left w:val="nil"/>
              <w:bottom w:val="nil"/>
              <w:right w:val="nil"/>
            </w:tcBorders>
            <w:noWrap/>
            <w:vAlign w:val="bottom"/>
            <w:hideMark/>
          </w:tcPr>
          <w:p w14:paraId="3E103585"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EE21213"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1DC25D1"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1.112,50</w:t>
            </w:r>
          </w:p>
        </w:tc>
        <w:tc>
          <w:tcPr>
            <w:tcW w:w="993" w:type="dxa"/>
            <w:tcBorders>
              <w:top w:val="nil"/>
              <w:left w:val="nil"/>
              <w:bottom w:val="nil"/>
              <w:right w:val="nil"/>
            </w:tcBorders>
            <w:noWrap/>
            <w:vAlign w:val="bottom"/>
            <w:hideMark/>
          </w:tcPr>
          <w:p w14:paraId="45A37E45"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6A863F9" w14:textId="77777777" w:rsidTr="008A61B1">
        <w:trPr>
          <w:trHeight w:val="810"/>
        </w:trPr>
        <w:tc>
          <w:tcPr>
            <w:tcW w:w="1134" w:type="dxa"/>
            <w:tcBorders>
              <w:top w:val="nil"/>
              <w:left w:val="nil"/>
              <w:bottom w:val="nil"/>
              <w:right w:val="nil"/>
            </w:tcBorders>
            <w:shd w:val="clear" w:color="000000" w:fill="FFFF99"/>
            <w:noWrap/>
            <w:vAlign w:val="bottom"/>
            <w:hideMark/>
          </w:tcPr>
          <w:p w14:paraId="4650FD4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K100211</w:t>
            </w:r>
          </w:p>
        </w:tc>
        <w:tc>
          <w:tcPr>
            <w:tcW w:w="4962" w:type="dxa"/>
            <w:tcBorders>
              <w:top w:val="nil"/>
              <w:left w:val="nil"/>
              <w:bottom w:val="nil"/>
              <w:right w:val="nil"/>
            </w:tcBorders>
            <w:shd w:val="clear" w:color="000000" w:fill="FFFF99"/>
            <w:vAlign w:val="bottom"/>
            <w:hideMark/>
          </w:tcPr>
          <w:p w14:paraId="2C10E8E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Kapitalni projekt: UREĐENJE PARKA KOD EDUKACIJSKO -KULTURNOG CENTRA "KANTUN KULTURE"</w:t>
            </w:r>
          </w:p>
        </w:tc>
        <w:tc>
          <w:tcPr>
            <w:tcW w:w="1559" w:type="dxa"/>
            <w:tcBorders>
              <w:top w:val="nil"/>
              <w:left w:val="nil"/>
              <w:bottom w:val="nil"/>
              <w:right w:val="nil"/>
            </w:tcBorders>
            <w:shd w:val="clear" w:color="000000" w:fill="FFFF99"/>
            <w:noWrap/>
            <w:vAlign w:val="bottom"/>
            <w:hideMark/>
          </w:tcPr>
          <w:p w14:paraId="1FC3BF8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15.000,00</w:t>
            </w:r>
          </w:p>
        </w:tc>
        <w:tc>
          <w:tcPr>
            <w:tcW w:w="1559" w:type="dxa"/>
            <w:tcBorders>
              <w:top w:val="nil"/>
              <w:left w:val="nil"/>
              <w:bottom w:val="nil"/>
              <w:right w:val="nil"/>
            </w:tcBorders>
            <w:shd w:val="clear" w:color="000000" w:fill="FFFF99"/>
            <w:noWrap/>
            <w:vAlign w:val="bottom"/>
            <w:hideMark/>
          </w:tcPr>
          <w:p w14:paraId="3397A78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15.000,00</w:t>
            </w:r>
          </w:p>
        </w:tc>
        <w:tc>
          <w:tcPr>
            <w:tcW w:w="1559" w:type="dxa"/>
            <w:tcBorders>
              <w:top w:val="nil"/>
              <w:left w:val="nil"/>
              <w:bottom w:val="nil"/>
              <w:right w:val="nil"/>
            </w:tcBorders>
            <w:shd w:val="clear" w:color="000000" w:fill="FFFF99"/>
            <w:noWrap/>
            <w:vAlign w:val="bottom"/>
            <w:hideMark/>
          </w:tcPr>
          <w:p w14:paraId="5C03188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shd w:val="clear" w:color="000000" w:fill="FFFF99"/>
            <w:noWrap/>
            <w:vAlign w:val="bottom"/>
            <w:hideMark/>
          </w:tcPr>
          <w:p w14:paraId="7DD099C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46880C77"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5102AE3"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184A21B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15.000,00</w:t>
            </w:r>
          </w:p>
        </w:tc>
        <w:tc>
          <w:tcPr>
            <w:tcW w:w="1559" w:type="dxa"/>
            <w:tcBorders>
              <w:top w:val="nil"/>
              <w:left w:val="nil"/>
              <w:bottom w:val="nil"/>
              <w:right w:val="nil"/>
            </w:tcBorders>
            <w:shd w:val="clear" w:color="000000" w:fill="CCCCFF"/>
            <w:noWrap/>
            <w:vAlign w:val="bottom"/>
            <w:hideMark/>
          </w:tcPr>
          <w:p w14:paraId="6EFCBF8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15.000,00</w:t>
            </w:r>
          </w:p>
        </w:tc>
        <w:tc>
          <w:tcPr>
            <w:tcW w:w="1559" w:type="dxa"/>
            <w:tcBorders>
              <w:top w:val="nil"/>
              <w:left w:val="nil"/>
              <w:bottom w:val="nil"/>
              <w:right w:val="nil"/>
            </w:tcBorders>
            <w:shd w:val="clear" w:color="000000" w:fill="CCCCFF"/>
            <w:noWrap/>
            <w:vAlign w:val="bottom"/>
            <w:hideMark/>
          </w:tcPr>
          <w:p w14:paraId="714D5C0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3FD0C0F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0735404E"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C52FC4E"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4.1. Komunalni doprinos</w:t>
            </w:r>
          </w:p>
        </w:tc>
        <w:tc>
          <w:tcPr>
            <w:tcW w:w="1559" w:type="dxa"/>
            <w:tcBorders>
              <w:top w:val="nil"/>
              <w:left w:val="nil"/>
              <w:bottom w:val="nil"/>
              <w:right w:val="nil"/>
            </w:tcBorders>
            <w:shd w:val="clear" w:color="000000" w:fill="CCCCFF"/>
            <w:noWrap/>
            <w:vAlign w:val="bottom"/>
            <w:hideMark/>
          </w:tcPr>
          <w:p w14:paraId="46A63CB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15.000,00</w:t>
            </w:r>
          </w:p>
        </w:tc>
        <w:tc>
          <w:tcPr>
            <w:tcW w:w="1559" w:type="dxa"/>
            <w:tcBorders>
              <w:top w:val="nil"/>
              <w:left w:val="nil"/>
              <w:bottom w:val="nil"/>
              <w:right w:val="nil"/>
            </w:tcBorders>
            <w:shd w:val="clear" w:color="000000" w:fill="CCCCFF"/>
            <w:noWrap/>
            <w:vAlign w:val="bottom"/>
            <w:hideMark/>
          </w:tcPr>
          <w:p w14:paraId="72730B9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15.000,00</w:t>
            </w:r>
          </w:p>
        </w:tc>
        <w:tc>
          <w:tcPr>
            <w:tcW w:w="1559" w:type="dxa"/>
            <w:tcBorders>
              <w:top w:val="nil"/>
              <w:left w:val="nil"/>
              <w:bottom w:val="nil"/>
              <w:right w:val="nil"/>
            </w:tcBorders>
            <w:shd w:val="clear" w:color="000000" w:fill="CCCCFF"/>
            <w:noWrap/>
            <w:vAlign w:val="bottom"/>
            <w:hideMark/>
          </w:tcPr>
          <w:p w14:paraId="4291AAE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6955449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1D19ACF0" w14:textId="77777777" w:rsidTr="008A61B1">
        <w:trPr>
          <w:trHeight w:val="255"/>
        </w:trPr>
        <w:tc>
          <w:tcPr>
            <w:tcW w:w="1134" w:type="dxa"/>
            <w:tcBorders>
              <w:top w:val="nil"/>
              <w:left w:val="nil"/>
              <w:bottom w:val="nil"/>
              <w:right w:val="nil"/>
            </w:tcBorders>
            <w:noWrap/>
            <w:vAlign w:val="bottom"/>
            <w:hideMark/>
          </w:tcPr>
          <w:p w14:paraId="20F0B5F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4D80D4F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6275D4B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15.000,00</w:t>
            </w:r>
          </w:p>
        </w:tc>
        <w:tc>
          <w:tcPr>
            <w:tcW w:w="1559" w:type="dxa"/>
            <w:tcBorders>
              <w:top w:val="nil"/>
              <w:left w:val="nil"/>
              <w:bottom w:val="nil"/>
              <w:right w:val="nil"/>
            </w:tcBorders>
            <w:noWrap/>
            <w:vAlign w:val="bottom"/>
            <w:hideMark/>
          </w:tcPr>
          <w:p w14:paraId="5D6EBFB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15.000,00</w:t>
            </w:r>
          </w:p>
        </w:tc>
        <w:tc>
          <w:tcPr>
            <w:tcW w:w="1559" w:type="dxa"/>
            <w:tcBorders>
              <w:top w:val="nil"/>
              <w:left w:val="nil"/>
              <w:bottom w:val="nil"/>
              <w:right w:val="nil"/>
            </w:tcBorders>
            <w:noWrap/>
            <w:vAlign w:val="bottom"/>
            <w:hideMark/>
          </w:tcPr>
          <w:p w14:paraId="7CBE52C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2C7B9BE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180A4477" w14:textId="77777777" w:rsidTr="008A61B1">
        <w:trPr>
          <w:trHeight w:val="630"/>
        </w:trPr>
        <w:tc>
          <w:tcPr>
            <w:tcW w:w="1134" w:type="dxa"/>
            <w:tcBorders>
              <w:top w:val="nil"/>
              <w:left w:val="nil"/>
              <w:bottom w:val="nil"/>
              <w:right w:val="nil"/>
            </w:tcBorders>
            <w:shd w:val="clear" w:color="000000" w:fill="FFFF99"/>
            <w:noWrap/>
            <w:vAlign w:val="bottom"/>
            <w:hideMark/>
          </w:tcPr>
          <w:p w14:paraId="7D0C44D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K100212</w:t>
            </w:r>
          </w:p>
        </w:tc>
        <w:tc>
          <w:tcPr>
            <w:tcW w:w="4962" w:type="dxa"/>
            <w:tcBorders>
              <w:top w:val="nil"/>
              <w:left w:val="nil"/>
              <w:bottom w:val="nil"/>
              <w:right w:val="nil"/>
            </w:tcBorders>
            <w:shd w:val="clear" w:color="000000" w:fill="FFFF99"/>
            <w:vAlign w:val="bottom"/>
            <w:hideMark/>
          </w:tcPr>
          <w:p w14:paraId="5ABA854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Kapitalni projekt: UREĐENJE JAVNIH POVRŠINA NA BALANČANAMA</w:t>
            </w:r>
          </w:p>
        </w:tc>
        <w:tc>
          <w:tcPr>
            <w:tcW w:w="1559" w:type="dxa"/>
            <w:tcBorders>
              <w:top w:val="nil"/>
              <w:left w:val="nil"/>
              <w:bottom w:val="nil"/>
              <w:right w:val="nil"/>
            </w:tcBorders>
            <w:shd w:val="clear" w:color="000000" w:fill="FFFF99"/>
            <w:noWrap/>
            <w:vAlign w:val="bottom"/>
            <w:hideMark/>
          </w:tcPr>
          <w:p w14:paraId="40991C5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387.368,00</w:t>
            </w:r>
          </w:p>
        </w:tc>
        <w:tc>
          <w:tcPr>
            <w:tcW w:w="1559" w:type="dxa"/>
            <w:tcBorders>
              <w:top w:val="nil"/>
              <w:left w:val="nil"/>
              <w:bottom w:val="nil"/>
              <w:right w:val="nil"/>
            </w:tcBorders>
            <w:shd w:val="clear" w:color="000000" w:fill="FFFF99"/>
            <w:noWrap/>
            <w:vAlign w:val="bottom"/>
            <w:hideMark/>
          </w:tcPr>
          <w:p w14:paraId="4CE1EE8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379.118,00</w:t>
            </w:r>
          </w:p>
        </w:tc>
        <w:tc>
          <w:tcPr>
            <w:tcW w:w="1559" w:type="dxa"/>
            <w:tcBorders>
              <w:top w:val="nil"/>
              <w:left w:val="nil"/>
              <w:bottom w:val="nil"/>
              <w:right w:val="nil"/>
            </w:tcBorders>
            <w:shd w:val="clear" w:color="000000" w:fill="FFFF99"/>
            <w:noWrap/>
            <w:vAlign w:val="bottom"/>
            <w:hideMark/>
          </w:tcPr>
          <w:p w14:paraId="1287B91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225.519,14</w:t>
            </w:r>
          </w:p>
        </w:tc>
        <w:tc>
          <w:tcPr>
            <w:tcW w:w="993" w:type="dxa"/>
            <w:tcBorders>
              <w:top w:val="nil"/>
              <w:left w:val="nil"/>
              <w:bottom w:val="nil"/>
              <w:right w:val="nil"/>
            </w:tcBorders>
            <w:shd w:val="clear" w:color="000000" w:fill="FFFF99"/>
            <w:noWrap/>
            <w:vAlign w:val="bottom"/>
            <w:hideMark/>
          </w:tcPr>
          <w:p w14:paraId="7BD43BE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59,49%</w:t>
            </w:r>
          </w:p>
        </w:tc>
      </w:tr>
      <w:tr w:rsidR="006967F8" w:rsidRPr="006967F8" w14:paraId="41FFA59E"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CF14A57"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2FBDE5E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387.368,00</w:t>
            </w:r>
          </w:p>
        </w:tc>
        <w:tc>
          <w:tcPr>
            <w:tcW w:w="1559" w:type="dxa"/>
            <w:tcBorders>
              <w:top w:val="nil"/>
              <w:left w:val="nil"/>
              <w:bottom w:val="nil"/>
              <w:right w:val="nil"/>
            </w:tcBorders>
            <w:shd w:val="clear" w:color="000000" w:fill="CCCCFF"/>
            <w:noWrap/>
            <w:vAlign w:val="bottom"/>
            <w:hideMark/>
          </w:tcPr>
          <w:p w14:paraId="2329201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379.118,00</w:t>
            </w:r>
          </w:p>
        </w:tc>
        <w:tc>
          <w:tcPr>
            <w:tcW w:w="1559" w:type="dxa"/>
            <w:tcBorders>
              <w:top w:val="nil"/>
              <w:left w:val="nil"/>
              <w:bottom w:val="nil"/>
              <w:right w:val="nil"/>
            </w:tcBorders>
            <w:shd w:val="clear" w:color="000000" w:fill="CCCCFF"/>
            <w:noWrap/>
            <w:vAlign w:val="bottom"/>
            <w:hideMark/>
          </w:tcPr>
          <w:p w14:paraId="7BC0D80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225.519,14</w:t>
            </w:r>
          </w:p>
        </w:tc>
        <w:tc>
          <w:tcPr>
            <w:tcW w:w="993" w:type="dxa"/>
            <w:tcBorders>
              <w:top w:val="nil"/>
              <w:left w:val="nil"/>
              <w:bottom w:val="nil"/>
              <w:right w:val="nil"/>
            </w:tcBorders>
            <w:shd w:val="clear" w:color="000000" w:fill="CCCCFF"/>
            <w:noWrap/>
            <w:vAlign w:val="bottom"/>
            <w:hideMark/>
          </w:tcPr>
          <w:p w14:paraId="302CCEA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59,49%</w:t>
            </w:r>
          </w:p>
        </w:tc>
      </w:tr>
      <w:tr w:rsidR="006967F8" w:rsidRPr="006967F8" w14:paraId="1682C869"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78181E8"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4.1. Komunalni doprinos</w:t>
            </w:r>
          </w:p>
        </w:tc>
        <w:tc>
          <w:tcPr>
            <w:tcW w:w="1559" w:type="dxa"/>
            <w:tcBorders>
              <w:top w:val="nil"/>
              <w:left w:val="nil"/>
              <w:bottom w:val="nil"/>
              <w:right w:val="nil"/>
            </w:tcBorders>
            <w:shd w:val="clear" w:color="000000" w:fill="CCCCFF"/>
            <w:noWrap/>
            <w:vAlign w:val="bottom"/>
            <w:hideMark/>
          </w:tcPr>
          <w:p w14:paraId="0E615D2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387.368,00</w:t>
            </w:r>
          </w:p>
        </w:tc>
        <w:tc>
          <w:tcPr>
            <w:tcW w:w="1559" w:type="dxa"/>
            <w:tcBorders>
              <w:top w:val="nil"/>
              <w:left w:val="nil"/>
              <w:bottom w:val="nil"/>
              <w:right w:val="nil"/>
            </w:tcBorders>
            <w:shd w:val="clear" w:color="000000" w:fill="CCCCFF"/>
            <w:noWrap/>
            <w:vAlign w:val="bottom"/>
            <w:hideMark/>
          </w:tcPr>
          <w:p w14:paraId="483F59A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379.118,00</w:t>
            </w:r>
          </w:p>
        </w:tc>
        <w:tc>
          <w:tcPr>
            <w:tcW w:w="1559" w:type="dxa"/>
            <w:tcBorders>
              <w:top w:val="nil"/>
              <w:left w:val="nil"/>
              <w:bottom w:val="nil"/>
              <w:right w:val="nil"/>
            </w:tcBorders>
            <w:shd w:val="clear" w:color="000000" w:fill="CCCCFF"/>
            <w:noWrap/>
            <w:vAlign w:val="bottom"/>
            <w:hideMark/>
          </w:tcPr>
          <w:p w14:paraId="415FA6F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225.519,14</w:t>
            </w:r>
          </w:p>
        </w:tc>
        <w:tc>
          <w:tcPr>
            <w:tcW w:w="993" w:type="dxa"/>
            <w:tcBorders>
              <w:top w:val="nil"/>
              <w:left w:val="nil"/>
              <w:bottom w:val="nil"/>
              <w:right w:val="nil"/>
            </w:tcBorders>
            <w:shd w:val="clear" w:color="000000" w:fill="CCCCFF"/>
            <w:noWrap/>
            <w:vAlign w:val="bottom"/>
            <w:hideMark/>
          </w:tcPr>
          <w:p w14:paraId="0D948A1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59,49%</w:t>
            </w:r>
          </w:p>
        </w:tc>
      </w:tr>
      <w:tr w:rsidR="006967F8" w:rsidRPr="006967F8" w14:paraId="135DECED" w14:textId="77777777" w:rsidTr="008A61B1">
        <w:trPr>
          <w:trHeight w:val="525"/>
        </w:trPr>
        <w:tc>
          <w:tcPr>
            <w:tcW w:w="1134" w:type="dxa"/>
            <w:tcBorders>
              <w:top w:val="nil"/>
              <w:left w:val="nil"/>
              <w:bottom w:val="nil"/>
              <w:right w:val="nil"/>
            </w:tcBorders>
            <w:noWrap/>
            <w:vAlign w:val="bottom"/>
            <w:hideMark/>
          </w:tcPr>
          <w:p w14:paraId="324F2A2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2210007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5AEFA6B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387.368,00</w:t>
            </w:r>
          </w:p>
        </w:tc>
        <w:tc>
          <w:tcPr>
            <w:tcW w:w="1559" w:type="dxa"/>
            <w:tcBorders>
              <w:top w:val="nil"/>
              <w:left w:val="nil"/>
              <w:bottom w:val="nil"/>
              <w:right w:val="nil"/>
            </w:tcBorders>
            <w:noWrap/>
            <w:vAlign w:val="bottom"/>
            <w:hideMark/>
          </w:tcPr>
          <w:p w14:paraId="36DB4BC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379.118,00</w:t>
            </w:r>
          </w:p>
        </w:tc>
        <w:tc>
          <w:tcPr>
            <w:tcW w:w="1559" w:type="dxa"/>
            <w:tcBorders>
              <w:top w:val="nil"/>
              <w:left w:val="nil"/>
              <w:bottom w:val="nil"/>
              <w:right w:val="nil"/>
            </w:tcBorders>
            <w:noWrap/>
            <w:vAlign w:val="bottom"/>
            <w:hideMark/>
          </w:tcPr>
          <w:p w14:paraId="15F75CA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225.519,14</w:t>
            </w:r>
          </w:p>
        </w:tc>
        <w:tc>
          <w:tcPr>
            <w:tcW w:w="993" w:type="dxa"/>
            <w:tcBorders>
              <w:top w:val="nil"/>
              <w:left w:val="nil"/>
              <w:bottom w:val="nil"/>
              <w:right w:val="nil"/>
            </w:tcBorders>
            <w:noWrap/>
            <w:vAlign w:val="bottom"/>
            <w:hideMark/>
          </w:tcPr>
          <w:p w14:paraId="4DAA251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59,49%</w:t>
            </w:r>
          </w:p>
        </w:tc>
      </w:tr>
      <w:tr w:rsidR="006967F8" w:rsidRPr="006967F8" w14:paraId="3F046886" w14:textId="77777777" w:rsidTr="008A61B1">
        <w:trPr>
          <w:trHeight w:val="255"/>
        </w:trPr>
        <w:tc>
          <w:tcPr>
            <w:tcW w:w="1134" w:type="dxa"/>
            <w:tcBorders>
              <w:top w:val="nil"/>
              <w:left w:val="nil"/>
              <w:bottom w:val="nil"/>
              <w:right w:val="nil"/>
            </w:tcBorders>
            <w:noWrap/>
            <w:vAlign w:val="bottom"/>
            <w:hideMark/>
          </w:tcPr>
          <w:p w14:paraId="1557067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4212</w:t>
            </w:r>
          </w:p>
        </w:tc>
        <w:tc>
          <w:tcPr>
            <w:tcW w:w="4962" w:type="dxa"/>
            <w:tcBorders>
              <w:top w:val="nil"/>
              <w:left w:val="nil"/>
              <w:bottom w:val="nil"/>
              <w:right w:val="nil"/>
            </w:tcBorders>
            <w:noWrap/>
            <w:vAlign w:val="bottom"/>
            <w:hideMark/>
          </w:tcPr>
          <w:p w14:paraId="469F7F7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Poslovni objekti</w:t>
            </w:r>
          </w:p>
        </w:tc>
        <w:tc>
          <w:tcPr>
            <w:tcW w:w="1559" w:type="dxa"/>
            <w:tcBorders>
              <w:top w:val="nil"/>
              <w:left w:val="nil"/>
              <w:bottom w:val="nil"/>
              <w:right w:val="nil"/>
            </w:tcBorders>
            <w:noWrap/>
            <w:vAlign w:val="bottom"/>
            <w:hideMark/>
          </w:tcPr>
          <w:p w14:paraId="6FEA8EBC"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472C892"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2854FB3"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69.237,89</w:t>
            </w:r>
          </w:p>
        </w:tc>
        <w:tc>
          <w:tcPr>
            <w:tcW w:w="993" w:type="dxa"/>
            <w:tcBorders>
              <w:top w:val="nil"/>
              <w:left w:val="nil"/>
              <w:bottom w:val="nil"/>
              <w:right w:val="nil"/>
            </w:tcBorders>
            <w:noWrap/>
            <w:vAlign w:val="bottom"/>
            <w:hideMark/>
          </w:tcPr>
          <w:p w14:paraId="1F4F4485"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193BAE9" w14:textId="77777777" w:rsidTr="008A61B1">
        <w:trPr>
          <w:trHeight w:val="255"/>
        </w:trPr>
        <w:tc>
          <w:tcPr>
            <w:tcW w:w="1134" w:type="dxa"/>
            <w:tcBorders>
              <w:top w:val="nil"/>
              <w:left w:val="nil"/>
              <w:bottom w:val="nil"/>
              <w:right w:val="nil"/>
            </w:tcBorders>
            <w:noWrap/>
            <w:vAlign w:val="bottom"/>
            <w:hideMark/>
          </w:tcPr>
          <w:p w14:paraId="272ABE1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4213</w:t>
            </w:r>
          </w:p>
        </w:tc>
        <w:tc>
          <w:tcPr>
            <w:tcW w:w="4962" w:type="dxa"/>
            <w:tcBorders>
              <w:top w:val="nil"/>
              <w:left w:val="nil"/>
              <w:bottom w:val="nil"/>
              <w:right w:val="nil"/>
            </w:tcBorders>
            <w:noWrap/>
            <w:vAlign w:val="bottom"/>
            <w:hideMark/>
          </w:tcPr>
          <w:p w14:paraId="2DCB30E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Ceste, željeznice i ostali prometni objekti</w:t>
            </w:r>
          </w:p>
        </w:tc>
        <w:tc>
          <w:tcPr>
            <w:tcW w:w="1559" w:type="dxa"/>
            <w:tcBorders>
              <w:top w:val="nil"/>
              <w:left w:val="nil"/>
              <w:bottom w:val="nil"/>
              <w:right w:val="nil"/>
            </w:tcBorders>
            <w:noWrap/>
            <w:vAlign w:val="bottom"/>
            <w:hideMark/>
          </w:tcPr>
          <w:p w14:paraId="6720D341"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15558AD"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237CC8C"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3.250,00</w:t>
            </w:r>
          </w:p>
        </w:tc>
        <w:tc>
          <w:tcPr>
            <w:tcW w:w="993" w:type="dxa"/>
            <w:tcBorders>
              <w:top w:val="nil"/>
              <w:left w:val="nil"/>
              <w:bottom w:val="nil"/>
              <w:right w:val="nil"/>
            </w:tcBorders>
            <w:noWrap/>
            <w:vAlign w:val="bottom"/>
            <w:hideMark/>
          </w:tcPr>
          <w:p w14:paraId="61AEFFAF"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DA638DC" w14:textId="77777777" w:rsidTr="008A61B1">
        <w:trPr>
          <w:trHeight w:val="255"/>
        </w:trPr>
        <w:tc>
          <w:tcPr>
            <w:tcW w:w="1134" w:type="dxa"/>
            <w:tcBorders>
              <w:top w:val="nil"/>
              <w:left w:val="nil"/>
              <w:bottom w:val="nil"/>
              <w:right w:val="nil"/>
            </w:tcBorders>
            <w:noWrap/>
            <w:vAlign w:val="bottom"/>
            <w:hideMark/>
          </w:tcPr>
          <w:p w14:paraId="6B764A6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4227</w:t>
            </w:r>
          </w:p>
        </w:tc>
        <w:tc>
          <w:tcPr>
            <w:tcW w:w="4962" w:type="dxa"/>
            <w:tcBorders>
              <w:top w:val="nil"/>
              <w:left w:val="nil"/>
              <w:bottom w:val="nil"/>
              <w:right w:val="nil"/>
            </w:tcBorders>
            <w:noWrap/>
            <w:vAlign w:val="bottom"/>
            <w:hideMark/>
          </w:tcPr>
          <w:p w14:paraId="3411D98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Uređaji, strojevi i oprema za ostale namjene</w:t>
            </w:r>
          </w:p>
        </w:tc>
        <w:tc>
          <w:tcPr>
            <w:tcW w:w="1559" w:type="dxa"/>
            <w:tcBorders>
              <w:top w:val="nil"/>
              <w:left w:val="nil"/>
              <w:bottom w:val="nil"/>
              <w:right w:val="nil"/>
            </w:tcBorders>
            <w:noWrap/>
            <w:vAlign w:val="bottom"/>
            <w:hideMark/>
          </w:tcPr>
          <w:p w14:paraId="2BD367EA"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8463B3F"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95BC56A"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153.031,25</w:t>
            </w:r>
          </w:p>
        </w:tc>
        <w:tc>
          <w:tcPr>
            <w:tcW w:w="993" w:type="dxa"/>
            <w:tcBorders>
              <w:top w:val="nil"/>
              <w:left w:val="nil"/>
              <w:bottom w:val="nil"/>
              <w:right w:val="nil"/>
            </w:tcBorders>
            <w:noWrap/>
            <w:vAlign w:val="bottom"/>
            <w:hideMark/>
          </w:tcPr>
          <w:p w14:paraId="00B1521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D3E987D" w14:textId="77777777" w:rsidTr="008A61B1">
        <w:trPr>
          <w:trHeight w:val="600"/>
        </w:trPr>
        <w:tc>
          <w:tcPr>
            <w:tcW w:w="1134" w:type="dxa"/>
            <w:tcBorders>
              <w:top w:val="nil"/>
              <w:left w:val="nil"/>
              <w:bottom w:val="nil"/>
              <w:right w:val="nil"/>
            </w:tcBorders>
            <w:shd w:val="clear" w:color="000000" w:fill="FFFF99"/>
            <w:noWrap/>
            <w:vAlign w:val="bottom"/>
            <w:hideMark/>
          </w:tcPr>
          <w:p w14:paraId="5CE00BD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K100301</w:t>
            </w:r>
          </w:p>
        </w:tc>
        <w:tc>
          <w:tcPr>
            <w:tcW w:w="4962" w:type="dxa"/>
            <w:tcBorders>
              <w:top w:val="nil"/>
              <w:left w:val="nil"/>
              <w:bottom w:val="nil"/>
              <w:right w:val="nil"/>
            </w:tcBorders>
            <w:shd w:val="clear" w:color="000000" w:fill="FFFF99"/>
            <w:vAlign w:val="bottom"/>
            <w:hideMark/>
          </w:tcPr>
          <w:p w14:paraId="1A340E9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Kapitalni projekt: IZGRADNJA JAVNE RASVJETE - I TEBE SE PITA</w:t>
            </w:r>
          </w:p>
        </w:tc>
        <w:tc>
          <w:tcPr>
            <w:tcW w:w="1559" w:type="dxa"/>
            <w:tcBorders>
              <w:top w:val="nil"/>
              <w:left w:val="nil"/>
              <w:bottom w:val="nil"/>
              <w:right w:val="nil"/>
            </w:tcBorders>
            <w:shd w:val="clear" w:color="000000" w:fill="FFFF99"/>
            <w:noWrap/>
            <w:vAlign w:val="bottom"/>
            <w:hideMark/>
          </w:tcPr>
          <w:p w14:paraId="5A217FC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12.800,00</w:t>
            </w:r>
          </w:p>
        </w:tc>
        <w:tc>
          <w:tcPr>
            <w:tcW w:w="1559" w:type="dxa"/>
            <w:tcBorders>
              <w:top w:val="nil"/>
              <w:left w:val="nil"/>
              <w:bottom w:val="nil"/>
              <w:right w:val="nil"/>
            </w:tcBorders>
            <w:shd w:val="clear" w:color="000000" w:fill="FFFF99"/>
            <w:noWrap/>
            <w:vAlign w:val="bottom"/>
            <w:hideMark/>
          </w:tcPr>
          <w:p w14:paraId="523051A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12.800,00</w:t>
            </w:r>
          </w:p>
        </w:tc>
        <w:tc>
          <w:tcPr>
            <w:tcW w:w="1559" w:type="dxa"/>
            <w:tcBorders>
              <w:top w:val="nil"/>
              <w:left w:val="nil"/>
              <w:bottom w:val="nil"/>
              <w:right w:val="nil"/>
            </w:tcBorders>
            <w:shd w:val="clear" w:color="000000" w:fill="FFFF99"/>
            <w:noWrap/>
            <w:vAlign w:val="bottom"/>
            <w:hideMark/>
          </w:tcPr>
          <w:p w14:paraId="22B97BB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12.785,00</w:t>
            </w:r>
          </w:p>
        </w:tc>
        <w:tc>
          <w:tcPr>
            <w:tcW w:w="993" w:type="dxa"/>
            <w:tcBorders>
              <w:top w:val="nil"/>
              <w:left w:val="nil"/>
              <w:bottom w:val="nil"/>
              <w:right w:val="nil"/>
            </w:tcBorders>
            <w:shd w:val="clear" w:color="000000" w:fill="FFFF99"/>
            <w:noWrap/>
            <w:vAlign w:val="bottom"/>
            <w:hideMark/>
          </w:tcPr>
          <w:p w14:paraId="40CCD61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99,88%</w:t>
            </w:r>
          </w:p>
        </w:tc>
      </w:tr>
      <w:tr w:rsidR="006967F8" w:rsidRPr="006967F8" w14:paraId="06120C72"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56C9C3F"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22B2F68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12.800,00</w:t>
            </w:r>
          </w:p>
        </w:tc>
        <w:tc>
          <w:tcPr>
            <w:tcW w:w="1559" w:type="dxa"/>
            <w:tcBorders>
              <w:top w:val="nil"/>
              <w:left w:val="nil"/>
              <w:bottom w:val="nil"/>
              <w:right w:val="nil"/>
            </w:tcBorders>
            <w:shd w:val="clear" w:color="000000" w:fill="CCCCFF"/>
            <w:noWrap/>
            <w:vAlign w:val="bottom"/>
            <w:hideMark/>
          </w:tcPr>
          <w:p w14:paraId="46A76FA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12.800,00</w:t>
            </w:r>
          </w:p>
        </w:tc>
        <w:tc>
          <w:tcPr>
            <w:tcW w:w="1559" w:type="dxa"/>
            <w:tcBorders>
              <w:top w:val="nil"/>
              <w:left w:val="nil"/>
              <w:bottom w:val="nil"/>
              <w:right w:val="nil"/>
            </w:tcBorders>
            <w:shd w:val="clear" w:color="000000" w:fill="CCCCFF"/>
            <w:noWrap/>
            <w:vAlign w:val="bottom"/>
            <w:hideMark/>
          </w:tcPr>
          <w:p w14:paraId="2072593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12.785,00</w:t>
            </w:r>
          </w:p>
        </w:tc>
        <w:tc>
          <w:tcPr>
            <w:tcW w:w="993" w:type="dxa"/>
            <w:tcBorders>
              <w:top w:val="nil"/>
              <w:left w:val="nil"/>
              <w:bottom w:val="nil"/>
              <w:right w:val="nil"/>
            </w:tcBorders>
            <w:shd w:val="clear" w:color="000000" w:fill="CCCCFF"/>
            <w:noWrap/>
            <w:vAlign w:val="bottom"/>
            <w:hideMark/>
          </w:tcPr>
          <w:p w14:paraId="5DD66CA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99,88%</w:t>
            </w:r>
          </w:p>
        </w:tc>
      </w:tr>
      <w:tr w:rsidR="006967F8" w:rsidRPr="006967F8" w14:paraId="6BF20A67"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D742E7A"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6D27FFF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12.800,00</w:t>
            </w:r>
          </w:p>
        </w:tc>
        <w:tc>
          <w:tcPr>
            <w:tcW w:w="1559" w:type="dxa"/>
            <w:tcBorders>
              <w:top w:val="nil"/>
              <w:left w:val="nil"/>
              <w:bottom w:val="nil"/>
              <w:right w:val="nil"/>
            </w:tcBorders>
            <w:shd w:val="clear" w:color="000000" w:fill="CCCCFF"/>
            <w:noWrap/>
            <w:vAlign w:val="bottom"/>
            <w:hideMark/>
          </w:tcPr>
          <w:p w14:paraId="3292CA0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12.800,00</w:t>
            </w:r>
          </w:p>
        </w:tc>
        <w:tc>
          <w:tcPr>
            <w:tcW w:w="1559" w:type="dxa"/>
            <w:tcBorders>
              <w:top w:val="nil"/>
              <w:left w:val="nil"/>
              <w:bottom w:val="nil"/>
              <w:right w:val="nil"/>
            </w:tcBorders>
            <w:shd w:val="clear" w:color="000000" w:fill="CCCCFF"/>
            <w:noWrap/>
            <w:vAlign w:val="bottom"/>
            <w:hideMark/>
          </w:tcPr>
          <w:p w14:paraId="445DEDD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12.785,00</w:t>
            </w:r>
          </w:p>
        </w:tc>
        <w:tc>
          <w:tcPr>
            <w:tcW w:w="993" w:type="dxa"/>
            <w:tcBorders>
              <w:top w:val="nil"/>
              <w:left w:val="nil"/>
              <w:bottom w:val="nil"/>
              <w:right w:val="nil"/>
            </w:tcBorders>
            <w:shd w:val="clear" w:color="000000" w:fill="CCCCFF"/>
            <w:noWrap/>
            <w:vAlign w:val="bottom"/>
            <w:hideMark/>
          </w:tcPr>
          <w:p w14:paraId="62798BB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99,88%</w:t>
            </w:r>
          </w:p>
        </w:tc>
      </w:tr>
      <w:tr w:rsidR="006967F8" w:rsidRPr="006967F8" w14:paraId="721E763B" w14:textId="77777777" w:rsidTr="008A61B1">
        <w:trPr>
          <w:trHeight w:val="525"/>
        </w:trPr>
        <w:tc>
          <w:tcPr>
            <w:tcW w:w="1134" w:type="dxa"/>
            <w:tcBorders>
              <w:top w:val="nil"/>
              <w:left w:val="nil"/>
              <w:bottom w:val="nil"/>
              <w:right w:val="nil"/>
            </w:tcBorders>
            <w:noWrap/>
            <w:vAlign w:val="bottom"/>
            <w:hideMark/>
          </w:tcPr>
          <w:p w14:paraId="3F85F53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111D637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2F7D012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12.800,00</w:t>
            </w:r>
          </w:p>
        </w:tc>
        <w:tc>
          <w:tcPr>
            <w:tcW w:w="1559" w:type="dxa"/>
            <w:tcBorders>
              <w:top w:val="nil"/>
              <w:left w:val="nil"/>
              <w:bottom w:val="nil"/>
              <w:right w:val="nil"/>
            </w:tcBorders>
            <w:noWrap/>
            <w:vAlign w:val="bottom"/>
            <w:hideMark/>
          </w:tcPr>
          <w:p w14:paraId="69A20ED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12.800,00</w:t>
            </w:r>
          </w:p>
        </w:tc>
        <w:tc>
          <w:tcPr>
            <w:tcW w:w="1559" w:type="dxa"/>
            <w:tcBorders>
              <w:top w:val="nil"/>
              <w:left w:val="nil"/>
              <w:bottom w:val="nil"/>
              <w:right w:val="nil"/>
            </w:tcBorders>
            <w:noWrap/>
            <w:vAlign w:val="bottom"/>
            <w:hideMark/>
          </w:tcPr>
          <w:p w14:paraId="0920D1A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12.785,00</w:t>
            </w:r>
          </w:p>
        </w:tc>
        <w:tc>
          <w:tcPr>
            <w:tcW w:w="993" w:type="dxa"/>
            <w:tcBorders>
              <w:top w:val="nil"/>
              <w:left w:val="nil"/>
              <w:bottom w:val="nil"/>
              <w:right w:val="nil"/>
            </w:tcBorders>
            <w:noWrap/>
            <w:vAlign w:val="bottom"/>
            <w:hideMark/>
          </w:tcPr>
          <w:p w14:paraId="4B17FBA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99,88%</w:t>
            </w:r>
          </w:p>
        </w:tc>
      </w:tr>
      <w:tr w:rsidR="006967F8" w:rsidRPr="006967F8" w14:paraId="5589E98D" w14:textId="77777777" w:rsidTr="008A61B1">
        <w:trPr>
          <w:trHeight w:val="255"/>
        </w:trPr>
        <w:tc>
          <w:tcPr>
            <w:tcW w:w="1134" w:type="dxa"/>
            <w:tcBorders>
              <w:top w:val="nil"/>
              <w:left w:val="nil"/>
              <w:bottom w:val="nil"/>
              <w:right w:val="nil"/>
            </w:tcBorders>
            <w:noWrap/>
            <w:vAlign w:val="bottom"/>
            <w:hideMark/>
          </w:tcPr>
          <w:p w14:paraId="15AAAE9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4214</w:t>
            </w:r>
          </w:p>
        </w:tc>
        <w:tc>
          <w:tcPr>
            <w:tcW w:w="4962" w:type="dxa"/>
            <w:tcBorders>
              <w:top w:val="nil"/>
              <w:left w:val="nil"/>
              <w:bottom w:val="nil"/>
              <w:right w:val="nil"/>
            </w:tcBorders>
            <w:noWrap/>
            <w:vAlign w:val="bottom"/>
            <w:hideMark/>
          </w:tcPr>
          <w:p w14:paraId="4FF8CC1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građevinski objekti</w:t>
            </w:r>
          </w:p>
        </w:tc>
        <w:tc>
          <w:tcPr>
            <w:tcW w:w="1559" w:type="dxa"/>
            <w:tcBorders>
              <w:top w:val="nil"/>
              <w:left w:val="nil"/>
              <w:bottom w:val="nil"/>
              <w:right w:val="nil"/>
            </w:tcBorders>
            <w:noWrap/>
            <w:vAlign w:val="bottom"/>
            <w:hideMark/>
          </w:tcPr>
          <w:p w14:paraId="16BB7F01"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204169E"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1E4694A"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12.785,00</w:t>
            </w:r>
          </w:p>
        </w:tc>
        <w:tc>
          <w:tcPr>
            <w:tcW w:w="993" w:type="dxa"/>
            <w:tcBorders>
              <w:top w:val="nil"/>
              <w:left w:val="nil"/>
              <w:bottom w:val="nil"/>
              <w:right w:val="nil"/>
            </w:tcBorders>
            <w:noWrap/>
            <w:vAlign w:val="bottom"/>
            <w:hideMark/>
          </w:tcPr>
          <w:p w14:paraId="12A81713"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6EDAE49" w14:textId="77777777" w:rsidTr="008A61B1">
        <w:trPr>
          <w:trHeight w:val="825"/>
        </w:trPr>
        <w:tc>
          <w:tcPr>
            <w:tcW w:w="1134" w:type="dxa"/>
            <w:tcBorders>
              <w:top w:val="nil"/>
              <w:left w:val="nil"/>
              <w:bottom w:val="nil"/>
              <w:right w:val="nil"/>
            </w:tcBorders>
            <w:shd w:val="clear" w:color="000000" w:fill="FFFF99"/>
            <w:noWrap/>
            <w:vAlign w:val="bottom"/>
            <w:hideMark/>
          </w:tcPr>
          <w:p w14:paraId="26D1A22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K100501</w:t>
            </w:r>
          </w:p>
        </w:tc>
        <w:tc>
          <w:tcPr>
            <w:tcW w:w="4962" w:type="dxa"/>
            <w:tcBorders>
              <w:top w:val="nil"/>
              <w:left w:val="nil"/>
              <w:bottom w:val="nil"/>
              <w:right w:val="nil"/>
            </w:tcBorders>
            <w:shd w:val="clear" w:color="000000" w:fill="FFFF99"/>
            <w:vAlign w:val="bottom"/>
            <w:hideMark/>
          </w:tcPr>
          <w:p w14:paraId="5346D3D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Kapitalni projekt: OPREMANJE DJEČJEG IGRALIŠTA TE OSIGURANJE PRISTUPAČNOSTI PLAŽE I MORA OSOBAMA S INVALIDITETOM </w:t>
            </w:r>
          </w:p>
        </w:tc>
        <w:tc>
          <w:tcPr>
            <w:tcW w:w="1559" w:type="dxa"/>
            <w:tcBorders>
              <w:top w:val="nil"/>
              <w:left w:val="nil"/>
              <w:bottom w:val="nil"/>
              <w:right w:val="nil"/>
            </w:tcBorders>
            <w:shd w:val="clear" w:color="000000" w:fill="FFFF99"/>
            <w:noWrap/>
            <w:vAlign w:val="bottom"/>
            <w:hideMark/>
          </w:tcPr>
          <w:p w14:paraId="5F3A9E6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76.815,00</w:t>
            </w:r>
          </w:p>
        </w:tc>
        <w:tc>
          <w:tcPr>
            <w:tcW w:w="1559" w:type="dxa"/>
            <w:tcBorders>
              <w:top w:val="nil"/>
              <w:left w:val="nil"/>
              <w:bottom w:val="nil"/>
              <w:right w:val="nil"/>
            </w:tcBorders>
            <w:shd w:val="clear" w:color="000000" w:fill="FFFF99"/>
            <w:noWrap/>
            <w:vAlign w:val="bottom"/>
            <w:hideMark/>
          </w:tcPr>
          <w:p w14:paraId="66DAA19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78.700,00</w:t>
            </w:r>
          </w:p>
        </w:tc>
        <w:tc>
          <w:tcPr>
            <w:tcW w:w="1559" w:type="dxa"/>
            <w:tcBorders>
              <w:top w:val="nil"/>
              <w:left w:val="nil"/>
              <w:bottom w:val="nil"/>
              <w:right w:val="nil"/>
            </w:tcBorders>
            <w:shd w:val="clear" w:color="000000" w:fill="FFFF99"/>
            <w:noWrap/>
            <w:vAlign w:val="bottom"/>
            <w:hideMark/>
          </w:tcPr>
          <w:p w14:paraId="6C75FA1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78.676,29</w:t>
            </w:r>
          </w:p>
        </w:tc>
        <w:tc>
          <w:tcPr>
            <w:tcW w:w="993" w:type="dxa"/>
            <w:tcBorders>
              <w:top w:val="nil"/>
              <w:left w:val="nil"/>
              <w:bottom w:val="nil"/>
              <w:right w:val="nil"/>
            </w:tcBorders>
            <w:shd w:val="clear" w:color="000000" w:fill="FFFF99"/>
            <w:noWrap/>
            <w:vAlign w:val="bottom"/>
            <w:hideMark/>
          </w:tcPr>
          <w:p w14:paraId="0508353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99,97%</w:t>
            </w:r>
          </w:p>
        </w:tc>
      </w:tr>
      <w:tr w:rsidR="006967F8" w:rsidRPr="006967F8" w14:paraId="59E1F535"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743E84F"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5333E49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40.795,00</w:t>
            </w:r>
          </w:p>
        </w:tc>
        <w:tc>
          <w:tcPr>
            <w:tcW w:w="1559" w:type="dxa"/>
            <w:tcBorders>
              <w:top w:val="nil"/>
              <w:left w:val="nil"/>
              <w:bottom w:val="nil"/>
              <w:right w:val="nil"/>
            </w:tcBorders>
            <w:shd w:val="clear" w:color="000000" w:fill="CCCCFF"/>
            <w:noWrap/>
            <w:vAlign w:val="bottom"/>
            <w:hideMark/>
          </w:tcPr>
          <w:p w14:paraId="08D5FA3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42.680,00</w:t>
            </w:r>
          </w:p>
        </w:tc>
        <w:tc>
          <w:tcPr>
            <w:tcW w:w="1559" w:type="dxa"/>
            <w:tcBorders>
              <w:top w:val="nil"/>
              <w:left w:val="nil"/>
              <w:bottom w:val="nil"/>
              <w:right w:val="nil"/>
            </w:tcBorders>
            <w:shd w:val="clear" w:color="000000" w:fill="CCCCFF"/>
            <w:noWrap/>
            <w:vAlign w:val="bottom"/>
            <w:hideMark/>
          </w:tcPr>
          <w:p w14:paraId="13EC8C5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42.676,29</w:t>
            </w:r>
          </w:p>
        </w:tc>
        <w:tc>
          <w:tcPr>
            <w:tcW w:w="993" w:type="dxa"/>
            <w:tcBorders>
              <w:top w:val="nil"/>
              <w:left w:val="nil"/>
              <w:bottom w:val="nil"/>
              <w:right w:val="nil"/>
            </w:tcBorders>
            <w:shd w:val="clear" w:color="000000" w:fill="CCCCFF"/>
            <w:noWrap/>
            <w:vAlign w:val="bottom"/>
            <w:hideMark/>
          </w:tcPr>
          <w:p w14:paraId="74CF905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99,99%</w:t>
            </w:r>
          </w:p>
        </w:tc>
      </w:tr>
      <w:tr w:rsidR="006967F8" w:rsidRPr="006967F8" w14:paraId="16DB00C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C88DFB9"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39FBA48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40.795,00</w:t>
            </w:r>
          </w:p>
        </w:tc>
        <w:tc>
          <w:tcPr>
            <w:tcW w:w="1559" w:type="dxa"/>
            <w:tcBorders>
              <w:top w:val="nil"/>
              <w:left w:val="nil"/>
              <w:bottom w:val="nil"/>
              <w:right w:val="nil"/>
            </w:tcBorders>
            <w:shd w:val="clear" w:color="000000" w:fill="CCCCFF"/>
            <w:noWrap/>
            <w:vAlign w:val="bottom"/>
            <w:hideMark/>
          </w:tcPr>
          <w:p w14:paraId="05E2E31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42.680,00</w:t>
            </w:r>
          </w:p>
        </w:tc>
        <w:tc>
          <w:tcPr>
            <w:tcW w:w="1559" w:type="dxa"/>
            <w:tcBorders>
              <w:top w:val="nil"/>
              <w:left w:val="nil"/>
              <w:bottom w:val="nil"/>
              <w:right w:val="nil"/>
            </w:tcBorders>
            <w:shd w:val="clear" w:color="000000" w:fill="CCCCFF"/>
            <w:noWrap/>
            <w:vAlign w:val="bottom"/>
            <w:hideMark/>
          </w:tcPr>
          <w:p w14:paraId="6C2E0D3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42.676,29</w:t>
            </w:r>
          </w:p>
        </w:tc>
        <w:tc>
          <w:tcPr>
            <w:tcW w:w="993" w:type="dxa"/>
            <w:tcBorders>
              <w:top w:val="nil"/>
              <w:left w:val="nil"/>
              <w:bottom w:val="nil"/>
              <w:right w:val="nil"/>
            </w:tcBorders>
            <w:shd w:val="clear" w:color="000000" w:fill="CCCCFF"/>
            <w:noWrap/>
            <w:vAlign w:val="bottom"/>
            <w:hideMark/>
          </w:tcPr>
          <w:p w14:paraId="3DBD00F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99,99%</w:t>
            </w:r>
          </w:p>
        </w:tc>
      </w:tr>
      <w:tr w:rsidR="006967F8" w:rsidRPr="006967F8" w14:paraId="44A482A6" w14:textId="77777777" w:rsidTr="008A61B1">
        <w:trPr>
          <w:trHeight w:val="255"/>
        </w:trPr>
        <w:tc>
          <w:tcPr>
            <w:tcW w:w="1134" w:type="dxa"/>
            <w:tcBorders>
              <w:top w:val="nil"/>
              <w:left w:val="nil"/>
              <w:bottom w:val="nil"/>
              <w:right w:val="nil"/>
            </w:tcBorders>
            <w:noWrap/>
            <w:vAlign w:val="bottom"/>
            <w:hideMark/>
          </w:tcPr>
          <w:p w14:paraId="6AB9FEE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7C75B71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4AFEDEC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23.555,00</w:t>
            </w:r>
          </w:p>
        </w:tc>
        <w:tc>
          <w:tcPr>
            <w:tcW w:w="1559" w:type="dxa"/>
            <w:tcBorders>
              <w:top w:val="nil"/>
              <w:left w:val="nil"/>
              <w:bottom w:val="nil"/>
              <w:right w:val="nil"/>
            </w:tcBorders>
            <w:noWrap/>
            <w:vAlign w:val="bottom"/>
            <w:hideMark/>
          </w:tcPr>
          <w:p w14:paraId="2EB4587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25.435,00</w:t>
            </w:r>
          </w:p>
        </w:tc>
        <w:tc>
          <w:tcPr>
            <w:tcW w:w="1559" w:type="dxa"/>
            <w:tcBorders>
              <w:top w:val="nil"/>
              <w:left w:val="nil"/>
              <w:bottom w:val="nil"/>
              <w:right w:val="nil"/>
            </w:tcBorders>
            <w:noWrap/>
            <w:vAlign w:val="bottom"/>
            <w:hideMark/>
          </w:tcPr>
          <w:p w14:paraId="57B2E2F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25.431,91</w:t>
            </w:r>
          </w:p>
        </w:tc>
        <w:tc>
          <w:tcPr>
            <w:tcW w:w="993" w:type="dxa"/>
            <w:tcBorders>
              <w:top w:val="nil"/>
              <w:left w:val="nil"/>
              <w:bottom w:val="nil"/>
              <w:right w:val="nil"/>
            </w:tcBorders>
            <w:noWrap/>
            <w:vAlign w:val="bottom"/>
            <w:hideMark/>
          </w:tcPr>
          <w:p w14:paraId="04B8E7E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99,99%</w:t>
            </w:r>
          </w:p>
        </w:tc>
      </w:tr>
      <w:tr w:rsidR="006967F8" w:rsidRPr="006967F8" w14:paraId="0917770F" w14:textId="77777777" w:rsidTr="008A61B1">
        <w:trPr>
          <w:trHeight w:val="255"/>
        </w:trPr>
        <w:tc>
          <w:tcPr>
            <w:tcW w:w="1134" w:type="dxa"/>
            <w:tcBorders>
              <w:top w:val="nil"/>
              <w:left w:val="nil"/>
              <w:bottom w:val="nil"/>
              <w:right w:val="nil"/>
            </w:tcBorders>
            <w:noWrap/>
            <w:vAlign w:val="bottom"/>
            <w:hideMark/>
          </w:tcPr>
          <w:p w14:paraId="7634E0F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3232</w:t>
            </w:r>
          </w:p>
        </w:tc>
        <w:tc>
          <w:tcPr>
            <w:tcW w:w="4962" w:type="dxa"/>
            <w:tcBorders>
              <w:top w:val="nil"/>
              <w:left w:val="nil"/>
              <w:bottom w:val="nil"/>
              <w:right w:val="nil"/>
            </w:tcBorders>
            <w:noWrap/>
            <w:vAlign w:val="bottom"/>
            <w:hideMark/>
          </w:tcPr>
          <w:p w14:paraId="65A7223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noWrap/>
            <w:vAlign w:val="bottom"/>
            <w:hideMark/>
          </w:tcPr>
          <w:p w14:paraId="57D8AB10"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E277428"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A9FF939"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25.431,91</w:t>
            </w:r>
          </w:p>
        </w:tc>
        <w:tc>
          <w:tcPr>
            <w:tcW w:w="993" w:type="dxa"/>
            <w:tcBorders>
              <w:top w:val="nil"/>
              <w:left w:val="nil"/>
              <w:bottom w:val="nil"/>
              <w:right w:val="nil"/>
            </w:tcBorders>
            <w:noWrap/>
            <w:vAlign w:val="bottom"/>
            <w:hideMark/>
          </w:tcPr>
          <w:p w14:paraId="2628DF9E"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05A8219" w14:textId="77777777" w:rsidTr="008A61B1">
        <w:trPr>
          <w:trHeight w:val="570"/>
        </w:trPr>
        <w:tc>
          <w:tcPr>
            <w:tcW w:w="1134" w:type="dxa"/>
            <w:tcBorders>
              <w:top w:val="nil"/>
              <w:left w:val="nil"/>
              <w:bottom w:val="nil"/>
              <w:right w:val="nil"/>
            </w:tcBorders>
            <w:noWrap/>
            <w:vAlign w:val="bottom"/>
            <w:hideMark/>
          </w:tcPr>
          <w:p w14:paraId="643F38F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68783BC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679962E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17.240,00</w:t>
            </w:r>
          </w:p>
        </w:tc>
        <w:tc>
          <w:tcPr>
            <w:tcW w:w="1559" w:type="dxa"/>
            <w:tcBorders>
              <w:top w:val="nil"/>
              <w:left w:val="nil"/>
              <w:bottom w:val="nil"/>
              <w:right w:val="nil"/>
            </w:tcBorders>
            <w:noWrap/>
            <w:vAlign w:val="bottom"/>
            <w:hideMark/>
          </w:tcPr>
          <w:p w14:paraId="0273570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17.245,00</w:t>
            </w:r>
          </w:p>
        </w:tc>
        <w:tc>
          <w:tcPr>
            <w:tcW w:w="1559" w:type="dxa"/>
            <w:tcBorders>
              <w:top w:val="nil"/>
              <w:left w:val="nil"/>
              <w:bottom w:val="nil"/>
              <w:right w:val="nil"/>
            </w:tcBorders>
            <w:noWrap/>
            <w:vAlign w:val="bottom"/>
            <w:hideMark/>
          </w:tcPr>
          <w:p w14:paraId="1DDED36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17.244,38</w:t>
            </w:r>
          </w:p>
        </w:tc>
        <w:tc>
          <w:tcPr>
            <w:tcW w:w="993" w:type="dxa"/>
            <w:tcBorders>
              <w:top w:val="nil"/>
              <w:left w:val="nil"/>
              <w:bottom w:val="nil"/>
              <w:right w:val="nil"/>
            </w:tcBorders>
            <w:noWrap/>
            <w:vAlign w:val="bottom"/>
            <w:hideMark/>
          </w:tcPr>
          <w:p w14:paraId="0861F0A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r>
      <w:tr w:rsidR="006967F8" w:rsidRPr="006967F8" w14:paraId="303FAD7F" w14:textId="77777777" w:rsidTr="008A61B1">
        <w:trPr>
          <w:trHeight w:val="255"/>
        </w:trPr>
        <w:tc>
          <w:tcPr>
            <w:tcW w:w="1134" w:type="dxa"/>
            <w:tcBorders>
              <w:top w:val="nil"/>
              <w:left w:val="nil"/>
              <w:bottom w:val="nil"/>
              <w:right w:val="nil"/>
            </w:tcBorders>
            <w:noWrap/>
            <w:vAlign w:val="bottom"/>
            <w:hideMark/>
          </w:tcPr>
          <w:p w14:paraId="1B3DD8D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4212</w:t>
            </w:r>
          </w:p>
        </w:tc>
        <w:tc>
          <w:tcPr>
            <w:tcW w:w="4962" w:type="dxa"/>
            <w:tcBorders>
              <w:top w:val="nil"/>
              <w:left w:val="nil"/>
              <w:bottom w:val="nil"/>
              <w:right w:val="nil"/>
            </w:tcBorders>
            <w:noWrap/>
            <w:vAlign w:val="bottom"/>
            <w:hideMark/>
          </w:tcPr>
          <w:p w14:paraId="2EB48F3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Poslovni objekti</w:t>
            </w:r>
          </w:p>
        </w:tc>
        <w:tc>
          <w:tcPr>
            <w:tcW w:w="1559" w:type="dxa"/>
            <w:tcBorders>
              <w:top w:val="nil"/>
              <w:left w:val="nil"/>
              <w:bottom w:val="nil"/>
              <w:right w:val="nil"/>
            </w:tcBorders>
            <w:noWrap/>
            <w:vAlign w:val="bottom"/>
            <w:hideMark/>
          </w:tcPr>
          <w:p w14:paraId="5FE61188"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83B7A3B"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CCCEB85"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6.000,00</w:t>
            </w:r>
          </w:p>
        </w:tc>
        <w:tc>
          <w:tcPr>
            <w:tcW w:w="993" w:type="dxa"/>
            <w:tcBorders>
              <w:top w:val="nil"/>
              <w:left w:val="nil"/>
              <w:bottom w:val="nil"/>
              <w:right w:val="nil"/>
            </w:tcBorders>
            <w:noWrap/>
            <w:vAlign w:val="bottom"/>
            <w:hideMark/>
          </w:tcPr>
          <w:p w14:paraId="1C742F1A"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F804B26" w14:textId="77777777" w:rsidTr="008A61B1">
        <w:trPr>
          <w:trHeight w:val="255"/>
        </w:trPr>
        <w:tc>
          <w:tcPr>
            <w:tcW w:w="1134" w:type="dxa"/>
            <w:tcBorders>
              <w:top w:val="nil"/>
              <w:left w:val="nil"/>
              <w:bottom w:val="nil"/>
              <w:right w:val="nil"/>
            </w:tcBorders>
            <w:noWrap/>
            <w:vAlign w:val="bottom"/>
            <w:hideMark/>
          </w:tcPr>
          <w:p w14:paraId="15EFABB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4227</w:t>
            </w:r>
          </w:p>
        </w:tc>
        <w:tc>
          <w:tcPr>
            <w:tcW w:w="4962" w:type="dxa"/>
            <w:tcBorders>
              <w:top w:val="nil"/>
              <w:left w:val="nil"/>
              <w:bottom w:val="nil"/>
              <w:right w:val="nil"/>
            </w:tcBorders>
            <w:noWrap/>
            <w:vAlign w:val="bottom"/>
            <w:hideMark/>
          </w:tcPr>
          <w:p w14:paraId="269A74E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Uređaji, strojevi i oprema za ostale namjene</w:t>
            </w:r>
          </w:p>
        </w:tc>
        <w:tc>
          <w:tcPr>
            <w:tcW w:w="1559" w:type="dxa"/>
            <w:tcBorders>
              <w:top w:val="nil"/>
              <w:left w:val="nil"/>
              <w:bottom w:val="nil"/>
              <w:right w:val="nil"/>
            </w:tcBorders>
            <w:noWrap/>
            <w:vAlign w:val="bottom"/>
            <w:hideMark/>
          </w:tcPr>
          <w:p w14:paraId="0E828B79"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12D491E"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15AEB87"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11.244,38</w:t>
            </w:r>
          </w:p>
        </w:tc>
        <w:tc>
          <w:tcPr>
            <w:tcW w:w="993" w:type="dxa"/>
            <w:tcBorders>
              <w:top w:val="nil"/>
              <w:left w:val="nil"/>
              <w:bottom w:val="nil"/>
              <w:right w:val="nil"/>
            </w:tcBorders>
            <w:noWrap/>
            <w:vAlign w:val="bottom"/>
            <w:hideMark/>
          </w:tcPr>
          <w:p w14:paraId="180A558A"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5C28D9E"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7CFE91A"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5E2E690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36.020,00</w:t>
            </w:r>
          </w:p>
        </w:tc>
        <w:tc>
          <w:tcPr>
            <w:tcW w:w="1559" w:type="dxa"/>
            <w:tcBorders>
              <w:top w:val="nil"/>
              <w:left w:val="nil"/>
              <w:bottom w:val="nil"/>
              <w:right w:val="nil"/>
            </w:tcBorders>
            <w:shd w:val="clear" w:color="000000" w:fill="CCCCFF"/>
            <w:noWrap/>
            <w:vAlign w:val="bottom"/>
            <w:hideMark/>
          </w:tcPr>
          <w:p w14:paraId="357F2E0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36.020,00</w:t>
            </w:r>
          </w:p>
        </w:tc>
        <w:tc>
          <w:tcPr>
            <w:tcW w:w="1559" w:type="dxa"/>
            <w:tcBorders>
              <w:top w:val="nil"/>
              <w:left w:val="nil"/>
              <w:bottom w:val="nil"/>
              <w:right w:val="nil"/>
            </w:tcBorders>
            <w:shd w:val="clear" w:color="000000" w:fill="CCCCFF"/>
            <w:noWrap/>
            <w:vAlign w:val="bottom"/>
            <w:hideMark/>
          </w:tcPr>
          <w:p w14:paraId="6B163E4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36.000,00</w:t>
            </w:r>
          </w:p>
        </w:tc>
        <w:tc>
          <w:tcPr>
            <w:tcW w:w="993" w:type="dxa"/>
            <w:tcBorders>
              <w:top w:val="nil"/>
              <w:left w:val="nil"/>
              <w:bottom w:val="nil"/>
              <w:right w:val="nil"/>
            </w:tcBorders>
            <w:shd w:val="clear" w:color="000000" w:fill="CCCCFF"/>
            <w:noWrap/>
            <w:vAlign w:val="bottom"/>
            <w:hideMark/>
          </w:tcPr>
          <w:p w14:paraId="4F60F5C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99,94%</w:t>
            </w:r>
          </w:p>
        </w:tc>
      </w:tr>
      <w:tr w:rsidR="006967F8" w:rsidRPr="006967F8" w14:paraId="61EB5F51"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3BFBF91"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5.1. Ostale pomoći</w:t>
            </w:r>
          </w:p>
        </w:tc>
        <w:tc>
          <w:tcPr>
            <w:tcW w:w="1559" w:type="dxa"/>
            <w:tcBorders>
              <w:top w:val="nil"/>
              <w:left w:val="nil"/>
              <w:bottom w:val="nil"/>
              <w:right w:val="nil"/>
            </w:tcBorders>
            <w:shd w:val="clear" w:color="000000" w:fill="CCCCFF"/>
            <w:noWrap/>
            <w:vAlign w:val="bottom"/>
            <w:hideMark/>
          </w:tcPr>
          <w:p w14:paraId="0E24D70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36.020,00</w:t>
            </w:r>
          </w:p>
        </w:tc>
        <w:tc>
          <w:tcPr>
            <w:tcW w:w="1559" w:type="dxa"/>
            <w:tcBorders>
              <w:top w:val="nil"/>
              <w:left w:val="nil"/>
              <w:bottom w:val="nil"/>
              <w:right w:val="nil"/>
            </w:tcBorders>
            <w:shd w:val="clear" w:color="000000" w:fill="CCCCFF"/>
            <w:noWrap/>
            <w:vAlign w:val="bottom"/>
            <w:hideMark/>
          </w:tcPr>
          <w:p w14:paraId="3658CCC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36.020,00</w:t>
            </w:r>
          </w:p>
        </w:tc>
        <w:tc>
          <w:tcPr>
            <w:tcW w:w="1559" w:type="dxa"/>
            <w:tcBorders>
              <w:top w:val="nil"/>
              <w:left w:val="nil"/>
              <w:bottom w:val="nil"/>
              <w:right w:val="nil"/>
            </w:tcBorders>
            <w:shd w:val="clear" w:color="000000" w:fill="CCCCFF"/>
            <w:noWrap/>
            <w:vAlign w:val="bottom"/>
            <w:hideMark/>
          </w:tcPr>
          <w:p w14:paraId="07B3D2F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36.000,00</w:t>
            </w:r>
          </w:p>
        </w:tc>
        <w:tc>
          <w:tcPr>
            <w:tcW w:w="993" w:type="dxa"/>
            <w:tcBorders>
              <w:top w:val="nil"/>
              <w:left w:val="nil"/>
              <w:bottom w:val="nil"/>
              <w:right w:val="nil"/>
            </w:tcBorders>
            <w:shd w:val="clear" w:color="000000" w:fill="CCCCFF"/>
            <w:noWrap/>
            <w:vAlign w:val="bottom"/>
            <w:hideMark/>
          </w:tcPr>
          <w:p w14:paraId="18B1392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99,94%</w:t>
            </w:r>
          </w:p>
        </w:tc>
      </w:tr>
      <w:tr w:rsidR="006967F8" w:rsidRPr="006967F8" w14:paraId="3BE0C9BC" w14:textId="77777777" w:rsidTr="008A61B1">
        <w:trPr>
          <w:trHeight w:val="255"/>
        </w:trPr>
        <w:tc>
          <w:tcPr>
            <w:tcW w:w="1134" w:type="dxa"/>
            <w:tcBorders>
              <w:top w:val="nil"/>
              <w:left w:val="nil"/>
              <w:bottom w:val="nil"/>
              <w:right w:val="nil"/>
            </w:tcBorders>
            <w:noWrap/>
            <w:vAlign w:val="bottom"/>
            <w:hideMark/>
          </w:tcPr>
          <w:p w14:paraId="1DB49CD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34F0B11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10C70E9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8.400,00</w:t>
            </w:r>
          </w:p>
        </w:tc>
        <w:tc>
          <w:tcPr>
            <w:tcW w:w="1559" w:type="dxa"/>
            <w:tcBorders>
              <w:top w:val="nil"/>
              <w:left w:val="nil"/>
              <w:bottom w:val="nil"/>
              <w:right w:val="nil"/>
            </w:tcBorders>
            <w:noWrap/>
            <w:vAlign w:val="bottom"/>
            <w:hideMark/>
          </w:tcPr>
          <w:p w14:paraId="3F883A2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8.400,00</w:t>
            </w:r>
          </w:p>
        </w:tc>
        <w:tc>
          <w:tcPr>
            <w:tcW w:w="1559" w:type="dxa"/>
            <w:tcBorders>
              <w:top w:val="nil"/>
              <w:left w:val="nil"/>
              <w:bottom w:val="nil"/>
              <w:right w:val="nil"/>
            </w:tcBorders>
            <w:noWrap/>
            <w:vAlign w:val="bottom"/>
            <w:hideMark/>
          </w:tcPr>
          <w:p w14:paraId="682CE9C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8.387,50</w:t>
            </w:r>
          </w:p>
        </w:tc>
        <w:tc>
          <w:tcPr>
            <w:tcW w:w="993" w:type="dxa"/>
            <w:tcBorders>
              <w:top w:val="nil"/>
              <w:left w:val="nil"/>
              <w:bottom w:val="nil"/>
              <w:right w:val="nil"/>
            </w:tcBorders>
            <w:noWrap/>
            <w:vAlign w:val="bottom"/>
            <w:hideMark/>
          </w:tcPr>
          <w:p w14:paraId="1E12375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99,85%</w:t>
            </w:r>
          </w:p>
        </w:tc>
      </w:tr>
      <w:tr w:rsidR="006967F8" w:rsidRPr="006967F8" w14:paraId="244D1DAF" w14:textId="77777777" w:rsidTr="008A61B1">
        <w:trPr>
          <w:trHeight w:val="255"/>
        </w:trPr>
        <w:tc>
          <w:tcPr>
            <w:tcW w:w="1134" w:type="dxa"/>
            <w:tcBorders>
              <w:top w:val="nil"/>
              <w:left w:val="nil"/>
              <w:bottom w:val="nil"/>
              <w:right w:val="nil"/>
            </w:tcBorders>
            <w:noWrap/>
            <w:vAlign w:val="bottom"/>
            <w:hideMark/>
          </w:tcPr>
          <w:p w14:paraId="39A80AB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3232</w:t>
            </w:r>
          </w:p>
        </w:tc>
        <w:tc>
          <w:tcPr>
            <w:tcW w:w="4962" w:type="dxa"/>
            <w:tcBorders>
              <w:top w:val="nil"/>
              <w:left w:val="nil"/>
              <w:bottom w:val="nil"/>
              <w:right w:val="nil"/>
            </w:tcBorders>
            <w:noWrap/>
            <w:vAlign w:val="bottom"/>
            <w:hideMark/>
          </w:tcPr>
          <w:p w14:paraId="7EAED02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noWrap/>
            <w:vAlign w:val="bottom"/>
            <w:hideMark/>
          </w:tcPr>
          <w:p w14:paraId="1374A703"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D37EA23"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51E4EED"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8.387,50</w:t>
            </w:r>
          </w:p>
        </w:tc>
        <w:tc>
          <w:tcPr>
            <w:tcW w:w="993" w:type="dxa"/>
            <w:tcBorders>
              <w:top w:val="nil"/>
              <w:left w:val="nil"/>
              <w:bottom w:val="nil"/>
              <w:right w:val="nil"/>
            </w:tcBorders>
            <w:noWrap/>
            <w:vAlign w:val="bottom"/>
            <w:hideMark/>
          </w:tcPr>
          <w:p w14:paraId="56C6D10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09D8BB4" w14:textId="77777777" w:rsidTr="008A61B1">
        <w:trPr>
          <w:trHeight w:val="525"/>
        </w:trPr>
        <w:tc>
          <w:tcPr>
            <w:tcW w:w="1134" w:type="dxa"/>
            <w:tcBorders>
              <w:top w:val="nil"/>
              <w:left w:val="nil"/>
              <w:bottom w:val="nil"/>
              <w:right w:val="nil"/>
            </w:tcBorders>
            <w:noWrap/>
            <w:vAlign w:val="bottom"/>
            <w:hideMark/>
          </w:tcPr>
          <w:p w14:paraId="3D7881E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lastRenderedPageBreak/>
              <w:t>42</w:t>
            </w:r>
          </w:p>
        </w:tc>
        <w:tc>
          <w:tcPr>
            <w:tcW w:w="4962" w:type="dxa"/>
            <w:tcBorders>
              <w:top w:val="nil"/>
              <w:left w:val="nil"/>
              <w:bottom w:val="nil"/>
              <w:right w:val="nil"/>
            </w:tcBorders>
            <w:vAlign w:val="bottom"/>
            <w:hideMark/>
          </w:tcPr>
          <w:p w14:paraId="531BCDF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6CB930C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27.620,00</w:t>
            </w:r>
          </w:p>
        </w:tc>
        <w:tc>
          <w:tcPr>
            <w:tcW w:w="1559" w:type="dxa"/>
            <w:tcBorders>
              <w:top w:val="nil"/>
              <w:left w:val="nil"/>
              <w:bottom w:val="nil"/>
              <w:right w:val="nil"/>
            </w:tcBorders>
            <w:noWrap/>
            <w:vAlign w:val="bottom"/>
            <w:hideMark/>
          </w:tcPr>
          <w:p w14:paraId="179231E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27.620,00</w:t>
            </w:r>
          </w:p>
        </w:tc>
        <w:tc>
          <w:tcPr>
            <w:tcW w:w="1559" w:type="dxa"/>
            <w:tcBorders>
              <w:top w:val="nil"/>
              <w:left w:val="nil"/>
              <w:bottom w:val="nil"/>
              <w:right w:val="nil"/>
            </w:tcBorders>
            <w:noWrap/>
            <w:vAlign w:val="bottom"/>
            <w:hideMark/>
          </w:tcPr>
          <w:p w14:paraId="5E90D6C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27.612,50</w:t>
            </w:r>
          </w:p>
        </w:tc>
        <w:tc>
          <w:tcPr>
            <w:tcW w:w="993" w:type="dxa"/>
            <w:tcBorders>
              <w:top w:val="nil"/>
              <w:left w:val="nil"/>
              <w:bottom w:val="nil"/>
              <w:right w:val="nil"/>
            </w:tcBorders>
            <w:noWrap/>
            <w:vAlign w:val="bottom"/>
            <w:hideMark/>
          </w:tcPr>
          <w:p w14:paraId="758BD5F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99,97%</w:t>
            </w:r>
          </w:p>
        </w:tc>
      </w:tr>
      <w:tr w:rsidR="006967F8" w:rsidRPr="006967F8" w14:paraId="31B45DAD" w14:textId="77777777" w:rsidTr="008A61B1">
        <w:trPr>
          <w:trHeight w:val="255"/>
        </w:trPr>
        <w:tc>
          <w:tcPr>
            <w:tcW w:w="1134" w:type="dxa"/>
            <w:tcBorders>
              <w:top w:val="nil"/>
              <w:left w:val="nil"/>
              <w:bottom w:val="nil"/>
              <w:right w:val="nil"/>
            </w:tcBorders>
            <w:noWrap/>
            <w:vAlign w:val="bottom"/>
            <w:hideMark/>
          </w:tcPr>
          <w:p w14:paraId="070539C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4212</w:t>
            </w:r>
          </w:p>
        </w:tc>
        <w:tc>
          <w:tcPr>
            <w:tcW w:w="4962" w:type="dxa"/>
            <w:tcBorders>
              <w:top w:val="nil"/>
              <w:left w:val="nil"/>
              <w:bottom w:val="nil"/>
              <w:right w:val="nil"/>
            </w:tcBorders>
            <w:noWrap/>
            <w:vAlign w:val="bottom"/>
            <w:hideMark/>
          </w:tcPr>
          <w:p w14:paraId="6E875D4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Poslovni objekti</w:t>
            </w:r>
          </w:p>
        </w:tc>
        <w:tc>
          <w:tcPr>
            <w:tcW w:w="1559" w:type="dxa"/>
            <w:tcBorders>
              <w:top w:val="nil"/>
              <w:left w:val="nil"/>
              <w:bottom w:val="nil"/>
              <w:right w:val="nil"/>
            </w:tcBorders>
            <w:noWrap/>
            <w:vAlign w:val="bottom"/>
            <w:hideMark/>
          </w:tcPr>
          <w:p w14:paraId="5A11D3D7"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8F8CCB9"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BD2CB71"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15.856,88</w:t>
            </w:r>
          </w:p>
        </w:tc>
        <w:tc>
          <w:tcPr>
            <w:tcW w:w="993" w:type="dxa"/>
            <w:tcBorders>
              <w:top w:val="nil"/>
              <w:left w:val="nil"/>
              <w:bottom w:val="nil"/>
              <w:right w:val="nil"/>
            </w:tcBorders>
            <w:noWrap/>
            <w:vAlign w:val="bottom"/>
            <w:hideMark/>
          </w:tcPr>
          <w:p w14:paraId="60D3A02A"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F42F59A" w14:textId="77777777" w:rsidTr="008A61B1">
        <w:trPr>
          <w:trHeight w:val="255"/>
        </w:trPr>
        <w:tc>
          <w:tcPr>
            <w:tcW w:w="1134" w:type="dxa"/>
            <w:tcBorders>
              <w:top w:val="nil"/>
              <w:left w:val="nil"/>
              <w:bottom w:val="nil"/>
              <w:right w:val="nil"/>
            </w:tcBorders>
            <w:noWrap/>
            <w:vAlign w:val="bottom"/>
            <w:hideMark/>
          </w:tcPr>
          <w:p w14:paraId="6F7A775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4227</w:t>
            </w:r>
          </w:p>
        </w:tc>
        <w:tc>
          <w:tcPr>
            <w:tcW w:w="4962" w:type="dxa"/>
            <w:tcBorders>
              <w:top w:val="nil"/>
              <w:left w:val="nil"/>
              <w:bottom w:val="nil"/>
              <w:right w:val="nil"/>
            </w:tcBorders>
            <w:noWrap/>
            <w:vAlign w:val="bottom"/>
            <w:hideMark/>
          </w:tcPr>
          <w:p w14:paraId="4840EEA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Uređaji, strojevi i oprema za ostale namjene</w:t>
            </w:r>
          </w:p>
        </w:tc>
        <w:tc>
          <w:tcPr>
            <w:tcW w:w="1559" w:type="dxa"/>
            <w:tcBorders>
              <w:top w:val="nil"/>
              <w:left w:val="nil"/>
              <w:bottom w:val="nil"/>
              <w:right w:val="nil"/>
            </w:tcBorders>
            <w:noWrap/>
            <w:vAlign w:val="bottom"/>
            <w:hideMark/>
          </w:tcPr>
          <w:p w14:paraId="7E0FDFAB"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2049802"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5486C5A"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11.755,62</w:t>
            </w:r>
          </w:p>
        </w:tc>
        <w:tc>
          <w:tcPr>
            <w:tcW w:w="993" w:type="dxa"/>
            <w:tcBorders>
              <w:top w:val="nil"/>
              <w:left w:val="nil"/>
              <w:bottom w:val="nil"/>
              <w:right w:val="nil"/>
            </w:tcBorders>
            <w:noWrap/>
            <w:vAlign w:val="bottom"/>
            <w:hideMark/>
          </w:tcPr>
          <w:p w14:paraId="06719A8E"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69090F5" w14:textId="77777777" w:rsidTr="008A61B1">
        <w:trPr>
          <w:trHeight w:val="585"/>
        </w:trPr>
        <w:tc>
          <w:tcPr>
            <w:tcW w:w="1134" w:type="dxa"/>
            <w:tcBorders>
              <w:top w:val="nil"/>
              <w:left w:val="nil"/>
              <w:bottom w:val="nil"/>
              <w:right w:val="nil"/>
            </w:tcBorders>
            <w:shd w:val="clear" w:color="000000" w:fill="FFFF99"/>
            <w:noWrap/>
            <w:vAlign w:val="bottom"/>
            <w:hideMark/>
          </w:tcPr>
          <w:p w14:paraId="56D501B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K100601</w:t>
            </w:r>
          </w:p>
        </w:tc>
        <w:tc>
          <w:tcPr>
            <w:tcW w:w="4962" w:type="dxa"/>
            <w:tcBorders>
              <w:top w:val="nil"/>
              <w:left w:val="nil"/>
              <w:bottom w:val="nil"/>
              <w:right w:val="nil"/>
            </w:tcBorders>
            <w:shd w:val="clear" w:color="000000" w:fill="FFFF99"/>
            <w:vAlign w:val="bottom"/>
            <w:hideMark/>
          </w:tcPr>
          <w:p w14:paraId="44B0A5F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Kapitalni projekt: IZGRADNJA JAVNE GARAŽE "TRAVARICA -ISTOK"</w:t>
            </w:r>
          </w:p>
        </w:tc>
        <w:tc>
          <w:tcPr>
            <w:tcW w:w="1559" w:type="dxa"/>
            <w:tcBorders>
              <w:top w:val="nil"/>
              <w:left w:val="nil"/>
              <w:bottom w:val="nil"/>
              <w:right w:val="nil"/>
            </w:tcBorders>
            <w:shd w:val="clear" w:color="000000" w:fill="FFFF99"/>
            <w:noWrap/>
            <w:vAlign w:val="bottom"/>
            <w:hideMark/>
          </w:tcPr>
          <w:p w14:paraId="47DC140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40.000,00</w:t>
            </w:r>
          </w:p>
        </w:tc>
        <w:tc>
          <w:tcPr>
            <w:tcW w:w="1559" w:type="dxa"/>
            <w:tcBorders>
              <w:top w:val="nil"/>
              <w:left w:val="nil"/>
              <w:bottom w:val="nil"/>
              <w:right w:val="nil"/>
            </w:tcBorders>
            <w:shd w:val="clear" w:color="000000" w:fill="FFFF99"/>
            <w:noWrap/>
            <w:vAlign w:val="bottom"/>
            <w:hideMark/>
          </w:tcPr>
          <w:p w14:paraId="60F930D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40.000,00</w:t>
            </w:r>
          </w:p>
        </w:tc>
        <w:tc>
          <w:tcPr>
            <w:tcW w:w="1559" w:type="dxa"/>
            <w:tcBorders>
              <w:top w:val="nil"/>
              <w:left w:val="nil"/>
              <w:bottom w:val="nil"/>
              <w:right w:val="nil"/>
            </w:tcBorders>
            <w:shd w:val="clear" w:color="000000" w:fill="FFFF99"/>
            <w:noWrap/>
            <w:vAlign w:val="bottom"/>
            <w:hideMark/>
          </w:tcPr>
          <w:p w14:paraId="52D2F82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37.287,50</w:t>
            </w:r>
          </w:p>
        </w:tc>
        <w:tc>
          <w:tcPr>
            <w:tcW w:w="993" w:type="dxa"/>
            <w:tcBorders>
              <w:top w:val="nil"/>
              <w:left w:val="nil"/>
              <w:bottom w:val="nil"/>
              <w:right w:val="nil"/>
            </w:tcBorders>
            <w:shd w:val="clear" w:color="000000" w:fill="FFFF99"/>
            <w:noWrap/>
            <w:vAlign w:val="bottom"/>
            <w:hideMark/>
          </w:tcPr>
          <w:p w14:paraId="0286C06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93,22%</w:t>
            </w:r>
          </w:p>
        </w:tc>
      </w:tr>
      <w:tr w:rsidR="006967F8" w:rsidRPr="006967F8" w14:paraId="169CC4F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315B070"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221EBAA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40.000,00</w:t>
            </w:r>
          </w:p>
        </w:tc>
        <w:tc>
          <w:tcPr>
            <w:tcW w:w="1559" w:type="dxa"/>
            <w:tcBorders>
              <w:top w:val="nil"/>
              <w:left w:val="nil"/>
              <w:bottom w:val="nil"/>
              <w:right w:val="nil"/>
            </w:tcBorders>
            <w:shd w:val="clear" w:color="000000" w:fill="CCCCFF"/>
            <w:noWrap/>
            <w:vAlign w:val="bottom"/>
            <w:hideMark/>
          </w:tcPr>
          <w:p w14:paraId="0FEC757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40.000,00</w:t>
            </w:r>
          </w:p>
        </w:tc>
        <w:tc>
          <w:tcPr>
            <w:tcW w:w="1559" w:type="dxa"/>
            <w:tcBorders>
              <w:top w:val="nil"/>
              <w:left w:val="nil"/>
              <w:bottom w:val="nil"/>
              <w:right w:val="nil"/>
            </w:tcBorders>
            <w:shd w:val="clear" w:color="000000" w:fill="CCCCFF"/>
            <w:noWrap/>
            <w:vAlign w:val="bottom"/>
            <w:hideMark/>
          </w:tcPr>
          <w:p w14:paraId="7D62F7F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37.287,50</w:t>
            </w:r>
          </w:p>
        </w:tc>
        <w:tc>
          <w:tcPr>
            <w:tcW w:w="993" w:type="dxa"/>
            <w:tcBorders>
              <w:top w:val="nil"/>
              <w:left w:val="nil"/>
              <w:bottom w:val="nil"/>
              <w:right w:val="nil"/>
            </w:tcBorders>
            <w:shd w:val="clear" w:color="000000" w:fill="CCCCFF"/>
            <w:noWrap/>
            <w:vAlign w:val="bottom"/>
            <w:hideMark/>
          </w:tcPr>
          <w:p w14:paraId="58CEF51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93,22%</w:t>
            </w:r>
          </w:p>
        </w:tc>
      </w:tr>
      <w:tr w:rsidR="006967F8" w:rsidRPr="006967F8" w14:paraId="11859954"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73D73F4"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4.1. Komunalni doprinos</w:t>
            </w:r>
          </w:p>
        </w:tc>
        <w:tc>
          <w:tcPr>
            <w:tcW w:w="1559" w:type="dxa"/>
            <w:tcBorders>
              <w:top w:val="nil"/>
              <w:left w:val="nil"/>
              <w:bottom w:val="nil"/>
              <w:right w:val="nil"/>
            </w:tcBorders>
            <w:shd w:val="clear" w:color="000000" w:fill="CCCCFF"/>
            <w:noWrap/>
            <w:vAlign w:val="bottom"/>
            <w:hideMark/>
          </w:tcPr>
          <w:p w14:paraId="2B9615E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40.000,00</w:t>
            </w:r>
          </w:p>
        </w:tc>
        <w:tc>
          <w:tcPr>
            <w:tcW w:w="1559" w:type="dxa"/>
            <w:tcBorders>
              <w:top w:val="nil"/>
              <w:left w:val="nil"/>
              <w:bottom w:val="nil"/>
              <w:right w:val="nil"/>
            </w:tcBorders>
            <w:shd w:val="clear" w:color="000000" w:fill="CCCCFF"/>
            <w:noWrap/>
            <w:vAlign w:val="bottom"/>
            <w:hideMark/>
          </w:tcPr>
          <w:p w14:paraId="37D33CF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40.000,00</w:t>
            </w:r>
          </w:p>
        </w:tc>
        <w:tc>
          <w:tcPr>
            <w:tcW w:w="1559" w:type="dxa"/>
            <w:tcBorders>
              <w:top w:val="nil"/>
              <w:left w:val="nil"/>
              <w:bottom w:val="nil"/>
              <w:right w:val="nil"/>
            </w:tcBorders>
            <w:shd w:val="clear" w:color="000000" w:fill="CCCCFF"/>
            <w:noWrap/>
            <w:vAlign w:val="bottom"/>
            <w:hideMark/>
          </w:tcPr>
          <w:p w14:paraId="3DD5FDA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37.287,50</w:t>
            </w:r>
          </w:p>
        </w:tc>
        <w:tc>
          <w:tcPr>
            <w:tcW w:w="993" w:type="dxa"/>
            <w:tcBorders>
              <w:top w:val="nil"/>
              <w:left w:val="nil"/>
              <w:bottom w:val="nil"/>
              <w:right w:val="nil"/>
            </w:tcBorders>
            <w:shd w:val="clear" w:color="000000" w:fill="CCCCFF"/>
            <w:noWrap/>
            <w:vAlign w:val="bottom"/>
            <w:hideMark/>
          </w:tcPr>
          <w:p w14:paraId="5572006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93,22%</w:t>
            </w:r>
          </w:p>
        </w:tc>
      </w:tr>
      <w:tr w:rsidR="006967F8" w:rsidRPr="006967F8" w14:paraId="79C9865F" w14:textId="77777777" w:rsidTr="008A61B1">
        <w:trPr>
          <w:trHeight w:val="600"/>
        </w:trPr>
        <w:tc>
          <w:tcPr>
            <w:tcW w:w="1134" w:type="dxa"/>
            <w:tcBorders>
              <w:top w:val="nil"/>
              <w:left w:val="nil"/>
              <w:bottom w:val="nil"/>
              <w:right w:val="nil"/>
            </w:tcBorders>
            <w:noWrap/>
            <w:vAlign w:val="bottom"/>
            <w:hideMark/>
          </w:tcPr>
          <w:p w14:paraId="4D57EA4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40C4946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507E9DC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40.000,00</w:t>
            </w:r>
          </w:p>
        </w:tc>
        <w:tc>
          <w:tcPr>
            <w:tcW w:w="1559" w:type="dxa"/>
            <w:tcBorders>
              <w:top w:val="nil"/>
              <w:left w:val="nil"/>
              <w:bottom w:val="nil"/>
              <w:right w:val="nil"/>
            </w:tcBorders>
            <w:noWrap/>
            <w:vAlign w:val="bottom"/>
            <w:hideMark/>
          </w:tcPr>
          <w:p w14:paraId="2478552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40.000,00</w:t>
            </w:r>
          </w:p>
        </w:tc>
        <w:tc>
          <w:tcPr>
            <w:tcW w:w="1559" w:type="dxa"/>
            <w:tcBorders>
              <w:top w:val="nil"/>
              <w:left w:val="nil"/>
              <w:bottom w:val="nil"/>
              <w:right w:val="nil"/>
            </w:tcBorders>
            <w:noWrap/>
            <w:vAlign w:val="bottom"/>
            <w:hideMark/>
          </w:tcPr>
          <w:p w14:paraId="376896C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37.287,50</w:t>
            </w:r>
          </w:p>
        </w:tc>
        <w:tc>
          <w:tcPr>
            <w:tcW w:w="993" w:type="dxa"/>
            <w:tcBorders>
              <w:top w:val="nil"/>
              <w:left w:val="nil"/>
              <w:bottom w:val="nil"/>
              <w:right w:val="nil"/>
            </w:tcBorders>
            <w:noWrap/>
            <w:vAlign w:val="bottom"/>
            <w:hideMark/>
          </w:tcPr>
          <w:p w14:paraId="426D650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93,22%</w:t>
            </w:r>
          </w:p>
        </w:tc>
      </w:tr>
      <w:tr w:rsidR="006967F8" w:rsidRPr="006967F8" w14:paraId="29B0C3CF" w14:textId="77777777" w:rsidTr="008A61B1">
        <w:trPr>
          <w:trHeight w:val="255"/>
        </w:trPr>
        <w:tc>
          <w:tcPr>
            <w:tcW w:w="1134" w:type="dxa"/>
            <w:tcBorders>
              <w:top w:val="nil"/>
              <w:left w:val="nil"/>
              <w:bottom w:val="nil"/>
              <w:right w:val="nil"/>
            </w:tcBorders>
            <w:noWrap/>
            <w:vAlign w:val="bottom"/>
            <w:hideMark/>
          </w:tcPr>
          <w:p w14:paraId="4334D9A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4213</w:t>
            </w:r>
          </w:p>
        </w:tc>
        <w:tc>
          <w:tcPr>
            <w:tcW w:w="4962" w:type="dxa"/>
            <w:tcBorders>
              <w:top w:val="nil"/>
              <w:left w:val="nil"/>
              <w:bottom w:val="nil"/>
              <w:right w:val="nil"/>
            </w:tcBorders>
            <w:noWrap/>
            <w:vAlign w:val="bottom"/>
            <w:hideMark/>
          </w:tcPr>
          <w:p w14:paraId="5D8DDDB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Ceste, željeznice i ostali prometni objekti</w:t>
            </w:r>
          </w:p>
        </w:tc>
        <w:tc>
          <w:tcPr>
            <w:tcW w:w="1559" w:type="dxa"/>
            <w:tcBorders>
              <w:top w:val="nil"/>
              <w:left w:val="nil"/>
              <w:bottom w:val="nil"/>
              <w:right w:val="nil"/>
            </w:tcBorders>
            <w:noWrap/>
            <w:vAlign w:val="bottom"/>
            <w:hideMark/>
          </w:tcPr>
          <w:p w14:paraId="267F825C"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4B8C4D7"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F640F2C"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37.287,50</w:t>
            </w:r>
          </w:p>
        </w:tc>
        <w:tc>
          <w:tcPr>
            <w:tcW w:w="993" w:type="dxa"/>
            <w:tcBorders>
              <w:top w:val="nil"/>
              <w:left w:val="nil"/>
              <w:bottom w:val="nil"/>
              <w:right w:val="nil"/>
            </w:tcBorders>
            <w:noWrap/>
            <w:vAlign w:val="bottom"/>
            <w:hideMark/>
          </w:tcPr>
          <w:p w14:paraId="7CA6E51F"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34C7B5D" w14:textId="77777777" w:rsidTr="008A61B1">
        <w:trPr>
          <w:trHeight w:val="765"/>
        </w:trPr>
        <w:tc>
          <w:tcPr>
            <w:tcW w:w="1134" w:type="dxa"/>
            <w:tcBorders>
              <w:top w:val="nil"/>
              <w:left w:val="nil"/>
              <w:bottom w:val="nil"/>
              <w:right w:val="nil"/>
            </w:tcBorders>
            <w:shd w:val="clear" w:color="000000" w:fill="FF9900"/>
            <w:noWrap/>
            <w:vAlign w:val="bottom"/>
            <w:hideMark/>
          </w:tcPr>
          <w:p w14:paraId="7D54A54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1516</w:t>
            </w:r>
          </w:p>
        </w:tc>
        <w:tc>
          <w:tcPr>
            <w:tcW w:w="4962" w:type="dxa"/>
            <w:tcBorders>
              <w:top w:val="nil"/>
              <w:left w:val="nil"/>
              <w:bottom w:val="nil"/>
              <w:right w:val="nil"/>
            </w:tcBorders>
            <w:shd w:val="clear" w:color="000000" w:fill="FF9900"/>
            <w:vAlign w:val="bottom"/>
            <w:hideMark/>
          </w:tcPr>
          <w:p w14:paraId="33548C4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Program: GRAĐEVINE KOM. INFRASTRUKTURE KOJE ĆE SE GRADITI IZVAN GRAĐ. PODRUČJA </w:t>
            </w:r>
          </w:p>
        </w:tc>
        <w:tc>
          <w:tcPr>
            <w:tcW w:w="1559" w:type="dxa"/>
            <w:tcBorders>
              <w:top w:val="nil"/>
              <w:left w:val="nil"/>
              <w:bottom w:val="nil"/>
              <w:right w:val="nil"/>
            </w:tcBorders>
            <w:shd w:val="clear" w:color="000000" w:fill="FF9900"/>
            <w:noWrap/>
            <w:vAlign w:val="bottom"/>
            <w:hideMark/>
          </w:tcPr>
          <w:p w14:paraId="4D96355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248.500,00</w:t>
            </w:r>
          </w:p>
        </w:tc>
        <w:tc>
          <w:tcPr>
            <w:tcW w:w="1559" w:type="dxa"/>
            <w:tcBorders>
              <w:top w:val="nil"/>
              <w:left w:val="nil"/>
              <w:bottom w:val="nil"/>
              <w:right w:val="nil"/>
            </w:tcBorders>
            <w:shd w:val="clear" w:color="000000" w:fill="FF9900"/>
            <w:noWrap/>
            <w:vAlign w:val="bottom"/>
            <w:hideMark/>
          </w:tcPr>
          <w:p w14:paraId="168A2C1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247.500,00</w:t>
            </w:r>
          </w:p>
        </w:tc>
        <w:tc>
          <w:tcPr>
            <w:tcW w:w="1559" w:type="dxa"/>
            <w:tcBorders>
              <w:top w:val="nil"/>
              <w:left w:val="nil"/>
              <w:bottom w:val="nil"/>
              <w:right w:val="nil"/>
            </w:tcBorders>
            <w:shd w:val="clear" w:color="000000" w:fill="FF9900"/>
            <w:noWrap/>
            <w:vAlign w:val="bottom"/>
            <w:hideMark/>
          </w:tcPr>
          <w:p w14:paraId="4DCB53F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107.630,70</w:t>
            </w:r>
          </w:p>
        </w:tc>
        <w:tc>
          <w:tcPr>
            <w:tcW w:w="993" w:type="dxa"/>
            <w:tcBorders>
              <w:top w:val="nil"/>
              <w:left w:val="nil"/>
              <w:bottom w:val="nil"/>
              <w:right w:val="nil"/>
            </w:tcBorders>
            <w:shd w:val="clear" w:color="000000" w:fill="FF9900"/>
            <w:noWrap/>
            <w:vAlign w:val="bottom"/>
            <w:hideMark/>
          </w:tcPr>
          <w:p w14:paraId="0C61E9A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43,49%</w:t>
            </w:r>
          </w:p>
        </w:tc>
      </w:tr>
      <w:tr w:rsidR="006967F8" w:rsidRPr="006967F8" w14:paraId="33465A19" w14:textId="77777777" w:rsidTr="008A61B1">
        <w:trPr>
          <w:trHeight w:val="630"/>
        </w:trPr>
        <w:tc>
          <w:tcPr>
            <w:tcW w:w="1134" w:type="dxa"/>
            <w:tcBorders>
              <w:top w:val="nil"/>
              <w:left w:val="nil"/>
              <w:bottom w:val="nil"/>
              <w:right w:val="nil"/>
            </w:tcBorders>
            <w:shd w:val="clear" w:color="000000" w:fill="FFFF99"/>
            <w:noWrap/>
            <w:vAlign w:val="bottom"/>
            <w:hideMark/>
          </w:tcPr>
          <w:p w14:paraId="4825694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K100100</w:t>
            </w:r>
          </w:p>
        </w:tc>
        <w:tc>
          <w:tcPr>
            <w:tcW w:w="4962" w:type="dxa"/>
            <w:tcBorders>
              <w:top w:val="nil"/>
              <w:left w:val="nil"/>
              <w:bottom w:val="nil"/>
              <w:right w:val="nil"/>
            </w:tcBorders>
            <w:shd w:val="clear" w:color="000000" w:fill="FFFF99"/>
            <w:vAlign w:val="bottom"/>
            <w:hideMark/>
          </w:tcPr>
          <w:p w14:paraId="5E441E4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Kapitalni projekt: GEODETSKI SNIMAK NERAZVRSTANIH CESTA </w:t>
            </w:r>
          </w:p>
        </w:tc>
        <w:tc>
          <w:tcPr>
            <w:tcW w:w="1559" w:type="dxa"/>
            <w:tcBorders>
              <w:top w:val="nil"/>
              <w:left w:val="nil"/>
              <w:bottom w:val="nil"/>
              <w:right w:val="nil"/>
            </w:tcBorders>
            <w:shd w:val="clear" w:color="000000" w:fill="FFFF99"/>
            <w:noWrap/>
            <w:vAlign w:val="bottom"/>
            <w:hideMark/>
          </w:tcPr>
          <w:p w14:paraId="764B96E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shd w:val="clear" w:color="000000" w:fill="FFFF99"/>
            <w:noWrap/>
            <w:vAlign w:val="bottom"/>
            <w:hideMark/>
          </w:tcPr>
          <w:p w14:paraId="4CE95D2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shd w:val="clear" w:color="000000" w:fill="FFFF99"/>
            <w:noWrap/>
            <w:vAlign w:val="bottom"/>
            <w:hideMark/>
          </w:tcPr>
          <w:p w14:paraId="2FA7B2C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w:t>
            </w:r>
          </w:p>
        </w:tc>
        <w:tc>
          <w:tcPr>
            <w:tcW w:w="993" w:type="dxa"/>
            <w:tcBorders>
              <w:top w:val="nil"/>
              <w:left w:val="nil"/>
              <w:bottom w:val="nil"/>
              <w:right w:val="nil"/>
            </w:tcBorders>
            <w:shd w:val="clear" w:color="000000" w:fill="FFFF99"/>
            <w:noWrap/>
            <w:vAlign w:val="bottom"/>
            <w:hideMark/>
          </w:tcPr>
          <w:p w14:paraId="4F816D2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w:t>
            </w:r>
          </w:p>
        </w:tc>
      </w:tr>
      <w:tr w:rsidR="006967F8" w:rsidRPr="006967F8" w14:paraId="05D6B8A8"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CFB4980"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3F3F73D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10.000,00</w:t>
            </w:r>
          </w:p>
        </w:tc>
        <w:tc>
          <w:tcPr>
            <w:tcW w:w="1559" w:type="dxa"/>
            <w:tcBorders>
              <w:top w:val="nil"/>
              <w:left w:val="nil"/>
              <w:bottom w:val="nil"/>
              <w:right w:val="nil"/>
            </w:tcBorders>
            <w:shd w:val="clear" w:color="000000" w:fill="CCCCFF"/>
            <w:noWrap/>
            <w:vAlign w:val="bottom"/>
            <w:hideMark/>
          </w:tcPr>
          <w:p w14:paraId="004CC04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10.000,00</w:t>
            </w:r>
          </w:p>
        </w:tc>
        <w:tc>
          <w:tcPr>
            <w:tcW w:w="1559" w:type="dxa"/>
            <w:tcBorders>
              <w:top w:val="nil"/>
              <w:left w:val="nil"/>
              <w:bottom w:val="nil"/>
              <w:right w:val="nil"/>
            </w:tcBorders>
            <w:shd w:val="clear" w:color="000000" w:fill="CCCCFF"/>
            <w:noWrap/>
            <w:vAlign w:val="bottom"/>
            <w:hideMark/>
          </w:tcPr>
          <w:p w14:paraId="1B781E5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w:t>
            </w:r>
          </w:p>
        </w:tc>
        <w:tc>
          <w:tcPr>
            <w:tcW w:w="993" w:type="dxa"/>
            <w:tcBorders>
              <w:top w:val="nil"/>
              <w:left w:val="nil"/>
              <w:bottom w:val="nil"/>
              <w:right w:val="nil"/>
            </w:tcBorders>
            <w:shd w:val="clear" w:color="000000" w:fill="CCCCFF"/>
            <w:noWrap/>
            <w:vAlign w:val="bottom"/>
            <w:hideMark/>
          </w:tcPr>
          <w:p w14:paraId="6A31715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w:t>
            </w:r>
          </w:p>
        </w:tc>
      </w:tr>
      <w:tr w:rsidR="006967F8" w:rsidRPr="006967F8" w14:paraId="7CE3C016"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976BD88"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7B51BC3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10.000,00</w:t>
            </w:r>
          </w:p>
        </w:tc>
        <w:tc>
          <w:tcPr>
            <w:tcW w:w="1559" w:type="dxa"/>
            <w:tcBorders>
              <w:top w:val="nil"/>
              <w:left w:val="nil"/>
              <w:bottom w:val="nil"/>
              <w:right w:val="nil"/>
            </w:tcBorders>
            <w:shd w:val="clear" w:color="000000" w:fill="CCCCFF"/>
            <w:noWrap/>
            <w:vAlign w:val="bottom"/>
            <w:hideMark/>
          </w:tcPr>
          <w:p w14:paraId="09AF1B9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10.000,00</w:t>
            </w:r>
          </w:p>
        </w:tc>
        <w:tc>
          <w:tcPr>
            <w:tcW w:w="1559" w:type="dxa"/>
            <w:tcBorders>
              <w:top w:val="nil"/>
              <w:left w:val="nil"/>
              <w:bottom w:val="nil"/>
              <w:right w:val="nil"/>
            </w:tcBorders>
            <w:shd w:val="clear" w:color="000000" w:fill="CCCCFF"/>
            <w:noWrap/>
            <w:vAlign w:val="bottom"/>
            <w:hideMark/>
          </w:tcPr>
          <w:p w14:paraId="1DC363B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w:t>
            </w:r>
          </w:p>
        </w:tc>
        <w:tc>
          <w:tcPr>
            <w:tcW w:w="993" w:type="dxa"/>
            <w:tcBorders>
              <w:top w:val="nil"/>
              <w:left w:val="nil"/>
              <w:bottom w:val="nil"/>
              <w:right w:val="nil"/>
            </w:tcBorders>
            <w:shd w:val="clear" w:color="000000" w:fill="CCCCFF"/>
            <w:noWrap/>
            <w:vAlign w:val="bottom"/>
            <w:hideMark/>
          </w:tcPr>
          <w:p w14:paraId="6BD59C8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w:t>
            </w:r>
          </w:p>
        </w:tc>
      </w:tr>
      <w:tr w:rsidR="006967F8" w:rsidRPr="006967F8" w14:paraId="23197119" w14:textId="77777777" w:rsidTr="008A61B1">
        <w:trPr>
          <w:trHeight w:val="525"/>
        </w:trPr>
        <w:tc>
          <w:tcPr>
            <w:tcW w:w="1134" w:type="dxa"/>
            <w:tcBorders>
              <w:top w:val="nil"/>
              <w:left w:val="nil"/>
              <w:bottom w:val="nil"/>
              <w:right w:val="nil"/>
            </w:tcBorders>
            <w:noWrap/>
            <w:vAlign w:val="bottom"/>
            <w:hideMark/>
          </w:tcPr>
          <w:p w14:paraId="484CF75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4BBA8FD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4F2DEC6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noWrap/>
            <w:vAlign w:val="bottom"/>
            <w:hideMark/>
          </w:tcPr>
          <w:p w14:paraId="2FD2DA1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noWrap/>
            <w:vAlign w:val="bottom"/>
            <w:hideMark/>
          </w:tcPr>
          <w:p w14:paraId="4705D12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w:t>
            </w:r>
          </w:p>
        </w:tc>
        <w:tc>
          <w:tcPr>
            <w:tcW w:w="993" w:type="dxa"/>
            <w:tcBorders>
              <w:top w:val="nil"/>
              <w:left w:val="nil"/>
              <w:bottom w:val="nil"/>
              <w:right w:val="nil"/>
            </w:tcBorders>
            <w:noWrap/>
            <w:vAlign w:val="bottom"/>
            <w:hideMark/>
          </w:tcPr>
          <w:p w14:paraId="453526A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w:t>
            </w:r>
          </w:p>
        </w:tc>
      </w:tr>
      <w:tr w:rsidR="006967F8" w:rsidRPr="006967F8" w14:paraId="61D5D55E" w14:textId="77777777" w:rsidTr="008A61B1">
        <w:trPr>
          <w:trHeight w:val="255"/>
        </w:trPr>
        <w:tc>
          <w:tcPr>
            <w:tcW w:w="1134" w:type="dxa"/>
            <w:tcBorders>
              <w:top w:val="nil"/>
              <w:left w:val="nil"/>
              <w:bottom w:val="nil"/>
              <w:right w:val="nil"/>
            </w:tcBorders>
            <w:noWrap/>
            <w:vAlign w:val="bottom"/>
            <w:hideMark/>
          </w:tcPr>
          <w:p w14:paraId="2214930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4264</w:t>
            </w:r>
          </w:p>
        </w:tc>
        <w:tc>
          <w:tcPr>
            <w:tcW w:w="4962" w:type="dxa"/>
            <w:tcBorders>
              <w:top w:val="nil"/>
              <w:left w:val="nil"/>
              <w:bottom w:val="nil"/>
              <w:right w:val="nil"/>
            </w:tcBorders>
            <w:noWrap/>
            <w:vAlign w:val="bottom"/>
            <w:hideMark/>
          </w:tcPr>
          <w:p w14:paraId="0A59C10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Ostala nematerijalna proizvedena imovina</w:t>
            </w:r>
          </w:p>
        </w:tc>
        <w:tc>
          <w:tcPr>
            <w:tcW w:w="1559" w:type="dxa"/>
            <w:tcBorders>
              <w:top w:val="nil"/>
              <w:left w:val="nil"/>
              <w:bottom w:val="nil"/>
              <w:right w:val="nil"/>
            </w:tcBorders>
            <w:noWrap/>
            <w:vAlign w:val="bottom"/>
            <w:hideMark/>
          </w:tcPr>
          <w:p w14:paraId="304DD2BA"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499E61D"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F1DB763"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200,00</w:t>
            </w:r>
          </w:p>
        </w:tc>
        <w:tc>
          <w:tcPr>
            <w:tcW w:w="993" w:type="dxa"/>
            <w:tcBorders>
              <w:top w:val="nil"/>
              <w:left w:val="nil"/>
              <w:bottom w:val="nil"/>
              <w:right w:val="nil"/>
            </w:tcBorders>
            <w:noWrap/>
            <w:vAlign w:val="bottom"/>
            <w:hideMark/>
          </w:tcPr>
          <w:p w14:paraId="0211041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998A6C8" w14:textId="77777777" w:rsidTr="008A61B1">
        <w:trPr>
          <w:trHeight w:val="555"/>
        </w:trPr>
        <w:tc>
          <w:tcPr>
            <w:tcW w:w="1134" w:type="dxa"/>
            <w:tcBorders>
              <w:top w:val="nil"/>
              <w:left w:val="nil"/>
              <w:bottom w:val="nil"/>
              <w:right w:val="nil"/>
            </w:tcBorders>
            <w:shd w:val="clear" w:color="000000" w:fill="FFFF99"/>
            <w:noWrap/>
            <w:vAlign w:val="bottom"/>
            <w:hideMark/>
          </w:tcPr>
          <w:p w14:paraId="6367652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K100104</w:t>
            </w:r>
          </w:p>
        </w:tc>
        <w:tc>
          <w:tcPr>
            <w:tcW w:w="4962" w:type="dxa"/>
            <w:tcBorders>
              <w:top w:val="nil"/>
              <w:left w:val="nil"/>
              <w:bottom w:val="nil"/>
              <w:right w:val="nil"/>
            </w:tcBorders>
            <w:shd w:val="clear" w:color="000000" w:fill="FFFF99"/>
            <w:vAlign w:val="bottom"/>
            <w:hideMark/>
          </w:tcPr>
          <w:p w14:paraId="10A01FC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Kapitalni projekt: IZGRADNJA IZLAZA IZ COCINE DRAGE NA SPOJNU  CESTU D126-Ž6136</w:t>
            </w:r>
          </w:p>
        </w:tc>
        <w:tc>
          <w:tcPr>
            <w:tcW w:w="1559" w:type="dxa"/>
            <w:tcBorders>
              <w:top w:val="nil"/>
              <w:left w:val="nil"/>
              <w:bottom w:val="nil"/>
              <w:right w:val="nil"/>
            </w:tcBorders>
            <w:shd w:val="clear" w:color="000000" w:fill="FFFF99"/>
            <w:noWrap/>
            <w:vAlign w:val="bottom"/>
            <w:hideMark/>
          </w:tcPr>
          <w:p w14:paraId="69F0A96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shd w:val="clear" w:color="000000" w:fill="FFFF99"/>
            <w:noWrap/>
            <w:vAlign w:val="bottom"/>
            <w:hideMark/>
          </w:tcPr>
          <w:p w14:paraId="509FBB8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shd w:val="clear" w:color="000000" w:fill="FFFF99"/>
            <w:noWrap/>
            <w:vAlign w:val="bottom"/>
            <w:hideMark/>
          </w:tcPr>
          <w:p w14:paraId="1AE9B4C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1.500,00</w:t>
            </w:r>
          </w:p>
        </w:tc>
        <w:tc>
          <w:tcPr>
            <w:tcW w:w="993" w:type="dxa"/>
            <w:tcBorders>
              <w:top w:val="nil"/>
              <w:left w:val="nil"/>
              <w:bottom w:val="nil"/>
              <w:right w:val="nil"/>
            </w:tcBorders>
            <w:shd w:val="clear" w:color="000000" w:fill="FFFF99"/>
            <w:noWrap/>
            <w:vAlign w:val="bottom"/>
            <w:hideMark/>
          </w:tcPr>
          <w:p w14:paraId="12C84F5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7,50%</w:t>
            </w:r>
          </w:p>
        </w:tc>
      </w:tr>
      <w:tr w:rsidR="006967F8" w:rsidRPr="006967F8" w14:paraId="06DC120F"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04308E4"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06B9028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02A3880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56A6663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1.500,00</w:t>
            </w:r>
          </w:p>
        </w:tc>
        <w:tc>
          <w:tcPr>
            <w:tcW w:w="993" w:type="dxa"/>
            <w:tcBorders>
              <w:top w:val="nil"/>
              <w:left w:val="nil"/>
              <w:bottom w:val="nil"/>
              <w:right w:val="nil"/>
            </w:tcBorders>
            <w:shd w:val="clear" w:color="000000" w:fill="CCCCFF"/>
            <w:noWrap/>
            <w:vAlign w:val="bottom"/>
            <w:hideMark/>
          </w:tcPr>
          <w:p w14:paraId="48ABEE2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7,50%</w:t>
            </w:r>
          </w:p>
        </w:tc>
      </w:tr>
      <w:tr w:rsidR="006967F8" w:rsidRPr="006967F8" w14:paraId="28650D14"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3AD6C4A"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4.1. Komunalni doprinos</w:t>
            </w:r>
          </w:p>
        </w:tc>
        <w:tc>
          <w:tcPr>
            <w:tcW w:w="1559" w:type="dxa"/>
            <w:tcBorders>
              <w:top w:val="nil"/>
              <w:left w:val="nil"/>
              <w:bottom w:val="nil"/>
              <w:right w:val="nil"/>
            </w:tcBorders>
            <w:shd w:val="clear" w:color="000000" w:fill="CCCCFF"/>
            <w:noWrap/>
            <w:vAlign w:val="bottom"/>
            <w:hideMark/>
          </w:tcPr>
          <w:p w14:paraId="6F203E7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4309C83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6953474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1.500,00</w:t>
            </w:r>
          </w:p>
        </w:tc>
        <w:tc>
          <w:tcPr>
            <w:tcW w:w="993" w:type="dxa"/>
            <w:tcBorders>
              <w:top w:val="nil"/>
              <w:left w:val="nil"/>
              <w:bottom w:val="nil"/>
              <w:right w:val="nil"/>
            </w:tcBorders>
            <w:shd w:val="clear" w:color="000000" w:fill="CCCCFF"/>
            <w:noWrap/>
            <w:vAlign w:val="bottom"/>
            <w:hideMark/>
          </w:tcPr>
          <w:p w14:paraId="3AE2C32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7,50%</w:t>
            </w:r>
          </w:p>
        </w:tc>
      </w:tr>
      <w:tr w:rsidR="006967F8" w:rsidRPr="006967F8" w14:paraId="5B44C9C1" w14:textId="77777777" w:rsidTr="008A61B1">
        <w:trPr>
          <w:trHeight w:val="510"/>
        </w:trPr>
        <w:tc>
          <w:tcPr>
            <w:tcW w:w="1134" w:type="dxa"/>
            <w:tcBorders>
              <w:top w:val="nil"/>
              <w:left w:val="nil"/>
              <w:bottom w:val="nil"/>
              <w:right w:val="nil"/>
            </w:tcBorders>
            <w:noWrap/>
            <w:vAlign w:val="bottom"/>
            <w:hideMark/>
          </w:tcPr>
          <w:p w14:paraId="47B3794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4B41724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28CA494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noWrap/>
            <w:vAlign w:val="bottom"/>
            <w:hideMark/>
          </w:tcPr>
          <w:p w14:paraId="73697B0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noWrap/>
            <w:vAlign w:val="bottom"/>
            <w:hideMark/>
          </w:tcPr>
          <w:p w14:paraId="30A0FC9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1.500,00</w:t>
            </w:r>
          </w:p>
        </w:tc>
        <w:tc>
          <w:tcPr>
            <w:tcW w:w="993" w:type="dxa"/>
            <w:tcBorders>
              <w:top w:val="nil"/>
              <w:left w:val="nil"/>
              <w:bottom w:val="nil"/>
              <w:right w:val="nil"/>
            </w:tcBorders>
            <w:noWrap/>
            <w:vAlign w:val="bottom"/>
            <w:hideMark/>
          </w:tcPr>
          <w:p w14:paraId="2B0789F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7,50%</w:t>
            </w:r>
          </w:p>
        </w:tc>
      </w:tr>
      <w:tr w:rsidR="006967F8" w:rsidRPr="006967F8" w14:paraId="08C2D82B" w14:textId="77777777" w:rsidTr="008A61B1">
        <w:trPr>
          <w:trHeight w:val="255"/>
        </w:trPr>
        <w:tc>
          <w:tcPr>
            <w:tcW w:w="1134" w:type="dxa"/>
            <w:tcBorders>
              <w:top w:val="nil"/>
              <w:left w:val="nil"/>
              <w:bottom w:val="nil"/>
              <w:right w:val="nil"/>
            </w:tcBorders>
            <w:noWrap/>
            <w:vAlign w:val="bottom"/>
            <w:hideMark/>
          </w:tcPr>
          <w:p w14:paraId="78FCE91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4213</w:t>
            </w:r>
          </w:p>
        </w:tc>
        <w:tc>
          <w:tcPr>
            <w:tcW w:w="4962" w:type="dxa"/>
            <w:tcBorders>
              <w:top w:val="nil"/>
              <w:left w:val="nil"/>
              <w:bottom w:val="nil"/>
              <w:right w:val="nil"/>
            </w:tcBorders>
            <w:noWrap/>
            <w:vAlign w:val="bottom"/>
            <w:hideMark/>
          </w:tcPr>
          <w:p w14:paraId="1986505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Ceste, željeznice i ostali prometni objekti</w:t>
            </w:r>
          </w:p>
        </w:tc>
        <w:tc>
          <w:tcPr>
            <w:tcW w:w="1559" w:type="dxa"/>
            <w:tcBorders>
              <w:top w:val="nil"/>
              <w:left w:val="nil"/>
              <w:bottom w:val="nil"/>
              <w:right w:val="nil"/>
            </w:tcBorders>
            <w:noWrap/>
            <w:vAlign w:val="bottom"/>
            <w:hideMark/>
          </w:tcPr>
          <w:p w14:paraId="50C4527F"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69DC3E1"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D705E3D"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1.500,00</w:t>
            </w:r>
          </w:p>
        </w:tc>
        <w:tc>
          <w:tcPr>
            <w:tcW w:w="993" w:type="dxa"/>
            <w:tcBorders>
              <w:top w:val="nil"/>
              <w:left w:val="nil"/>
              <w:bottom w:val="nil"/>
              <w:right w:val="nil"/>
            </w:tcBorders>
            <w:noWrap/>
            <w:vAlign w:val="bottom"/>
            <w:hideMark/>
          </w:tcPr>
          <w:p w14:paraId="1ADC1949"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7425518" w14:textId="77777777" w:rsidTr="008A61B1">
        <w:trPr>
          <w:trHeight w:val="495"/>
        </w:trPr>
        <w:tc>
          <w:tcPr>
            <w:tcW w:w="1134" w:type="dxa"/>
            <w:tcBorders>
              <w:top w:val="nil"/>
              <w:left w:val="nil"/>
              <w:bottom w:val="nil"/>
              <w:right w:val="nil"/>
            </w:tcBorders>
            <w:shd w:val="clear" w:color="000000" w:fill="FFFF99"/>
            <w:noWrap/>
            <w:vAlign w:val="bottom"/>
            <w:hideMark/>
          </w:tcPr>
          <w:p w14:paraId="35EBAA8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K100201</w:t>
            </w:r>
          </w:p>
        </w:tc>
        <w:tc>
          <w:tcPr>
            <w:tcW w:w="4962" w:type="dxa"/>
            <w:tcBorders>
              <w:top w:val="nil"/>
              <w:left w:val="nil"/>
              <w:bottom w:val="nil"/>
              <w:right w:val="nil"/>
            </w:tcBorders>
            <w:shd w:val="clear" w:color="000000" w:fill="FFFF99"/>
            <w:vAlign w:val="bottom"/>
            <w:hideMark/>
          </w:tcPr>
          <w:p w14:paraId="2CF9229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Kapitalni projekt: GEODETSKI SNIMAK JAVNIH POVRŠINA </w:t>
            </w:r>
          </w:p>
        </w:tc>
        <w:tc>
          <w:tcPr>
            <w:tcW w:w="1559" w:type="dxa"/>
            <w:tcBorders>
              <w:top w:val="nil"/>
              <w:left w:val="nil"/>
              <w:bottom w:val="nil"/>
              <w:right w:val="nil"/>
            </w:tcBorders>
            <w:shd w:val="clear" w:color="000000" w:fill="FFFF99"/>
            <w:noWrap/>
            <w:vAlign w:val="bottom"/>
            <w:hideMark/>
          </w:tcPr>
          <w:p w14:paraId="6CB164E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shd w:val="clear" w:color="000000" w:fill="FFFF99"/>
            <w:noWrap/>
            <w:vAlign w:val="bottom"/>
            <w:hideMark/>
          </w:tcPr>
          <w:p w14:paraId="6C79E96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shd w:val="clear" w:color="000000" w:fill="FFFF99"/>
            <w:noWrap/>
            <w:vAlign w:val="bottom"/>
            <w:hideMark/>
          </w:tcPr>
          <w:p w14:paraId="1BFB363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shd w:val="clear" w:color="000000" w:fill="FFFF99"/>
            <w:noWrap/>
            <w:vAlign w:val="bottom"/>
            <w:hideMark/>
          </w:tcPr>
          <w:p w14:paraId="0F5C695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7B4E1933"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6C76AC8"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5B587E8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10.000,00</w:t>
            </w:r>
          </w:p>
        </w:tc>
        <w:tc>
          <w:tcPr>
            <w:tcW w:w="1559" w:type="dxa"/>
            <w:tcBorders>
              <w:top w:val="nil"/>
              <w:left w:val="nil"/>
              <w:bottom w:val="nil"/>
              <w:right w:val="nil"/>
            </w:tcBorders>
            <w:shd w:val="clear" w:color="000000" w:fill="CCCCFF"/>
            <w:noWrap/>
            <w:vAlign w:val="bottom"/>
            <w:hideMark/>
          </w:tcPr>
          <w:p w14:paraId="6CFAF54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10.000,00</w:t>
            </w:r>
          </w:p>
        </w:tc>
        <w:tc>
          <w:tcPr>
            <w:tcW w:w="1559" w:type="dxa"/>
            <w:tcBorders>
              <w:top w:val="nil"/>
              <w:left w:val="nil"/>
              <w:bottom w:val="nil"/>
              <w:right w:val="nil"/>
            </w:tcBorders>
            <w:shd w:val="clear" w:color="000000" w:fill="CCCCFF"/>
            <w:noWrap/>
            <w:vAlign w:val="bottom"/>
            <w:hideMark/>
          </w:tcPr>
          <w:p w14:paraId="729FB43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73D2DBF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6B8810D9"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E29C4D1"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2370798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10.000,00</w:t>
            </w:r>
          </w:p>
        </w:tc>
        <w:tc>
          <w:tcPr>
            <w:tcW w:w="1559" w:type="dxa"/>
            <w:tcBorders>
              <w:top w:val="nil"/>
              <w:left w:val="nil"/>
              <w:bottom w:val="nil"/>
              <w:right w:val="nil"/>
            </w:tcBorders>
            <w:shd w:val="clear" w:color="000000" w:fill="CCCCFF"/>
            <w:noWrap/>
            <w:vAlign w:val="bottom"/>
            <w:hideMark/>
          </w:tcPr>
          <w:p w14:paraId="2CF3877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10.000,00</w:t>
            </w:r>
          </w:p>
        </w:tc>
        <w:tc>
          <w:tcPr>
            <w:tcW w:w="1559" w:type="dxa"/>
            <w:tcBorders>
              <w:top w:val="nil"/>
              <w:left w:val="nil"/>
              <w:bottom w:val="nil"/>
              <w:right w:val="nil"/>
            </w:tcBorders>
            <w:shd w:val="clear" w:color="000000" w:fill="CCCCFF"/>
            <w:noWrap/>
            <w:vAlign w:val="bottom"/>
            <w:hideMark/>
          </w:tcPr>
          <w:p w14:paraId="15A09C0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4D8E6A1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5774D7BB" w14:textId="77777777" w:rsidTr="008A61B1">
        <w:trPr>
          <w:trHeight w:val="510"/>
        </w:trPr>
        <w:tc>
          <w:tcPr>
            <w:tcW w:w="1134" w:type="dxa"/>
            <w:tcBorders>
              <w:top w:val="nil"/>
              <w:left w:val="nil"/>
              <w:bottom w:val="nil"/>
              <w:right w:val="nil"/>
            </w:tcBorders>
            <w:noWrap/>
            <w:vAlign w:val="bottom"/>
            <w:hideMark/>
          </w:tcPr>
          <w:p w14:paraId="5DFB4CA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0CB81A8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0DDD820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noWrap/>
            <w:vAlign w:val="bottom"/>
            <w:hideMark/>
          </w:tcPr>
          <w:p w14:paraId="05D33FF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noWrap/>
            <w:vAlign w:val="bottom"/>
            <w:hideMark/>
          </w:tcPr>
          <w:p w14:paraId="144970E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607DDC2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308FFE9B" w14:textId="77777777" w:rsidTr="008A61B1">
        <w:trPr>
          <w:trHeight w:val="840"/>
        </w:trPr>
        <w:tc>
          <w:tcPr>
            <w:tcW w:w="1134" w:type="dxa"/>
            <w:tcBorders>
              <w:top w:val="nil"/>
              <w:left w:val="nil"/>
              <w:bottom w:val="nil"/>
              <w:right w:val="nil"/>
            </w:tcBorders>
            <w:shd w:val="clear" w:color="000000" w:fill="FFFF99"/>
            <w:noWrap/>
            <w:vAlign w:val="bottom"/>
            <w:hideMark/>
          </w:tcPr>
          <w:p w14:paraId="388506E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K100202</w:t>
            </w:r>
          </w:p>
        </w:tc>
        <w:tc>
          <w:tcPr>
            <w:tcW w:w="4962" w:type="dxa"/>
            <w:tcBorders>
              <w:top w:val="nil"/>
              <w:left w:val="nil"/>
              <w:bottom w:val="nil"/>
              <w:right w:val="nil"/>
            </w:tcBorders>
            <w:shd w:val="clear" w:color="000000" w:fill="FFFF99"/>
            <w:vAlign w:val="bottom"/>
            <w:hideMark/>
          </w:tcPr>
          <w:p w14:paraId="6266FAA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Kapitalni projekt: IZGRADNJA ŠETNICE SELO GRABULE PREKO RTA ARTIĆA NA DRVENIKU VELIKOM</w:t>
            </w:r>
          </w:p>
        </w:tc>
        <w:tc>
          <w:tcPr>
            <w:tcW w:w="1559" w:type="dxa"/>
            <w:tcBorders>
              <w:top w:val="nil"/>
              <w:left w:val="nil"/>
              <w:bottom w:val="nil"/>
              <w:right w:val="nil"/>
            </w:tcBorders>
            <w:shd w:val="clear" w:color="000000" w:fill="FFFF99"/>
            <w:noWrap/>
            <w:vAlign w:val="bottom"/>
            <w:hideMark/>
          </w:tcPr>
          <w:p w14:paraId="23AAA2A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98.500,00</w:t>
            </w:r>
          </w:p>
        </w:tc>
        <w:tc>
          <w:tcPr>
            <w:tcW w:w="1559" w:type="dxa"/>
            <w:tcBorders>
              <w:top w:val="nil"/>
              <w:left w:val="nil"/>
              <w:bottom w:val="nil"/>
              <w:right w:val="nil"/>
            </w:tcBorders>
            <w:shd w:val="clear" w:color="000000" w:fill="FFFF99"/>
            <w:noWrap/>
            <w:vAlign w:val="bottom"/>
            <w:hideMark/>
          </w:tcPr>
          <w:p w14:paraId="642D925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98.500,00</w:t>
            </w:r>
          </w:p>
        </w:tc>
        <w:tc>
          <w:tcPr>
            <w:tcW w:w="1559" w:type="dxa"/>
            <w:tcBorders>
              <w:top w:val="nil"/>
              <w:left w:val="nil"/>
              <w:bottom w:val="nil"/>
              <w:right w:val="nil"/>
            </w:tcBorders>
            <w:shd w:val="clear" w:color="000000" w:fill="FFFF99"/>
            <w:noWrap/>
            <w:vAlign w:val="bottom"/>
            <w:hideMark/>
          </w:tcPr>
          <w:p w14:paraId="4352FE2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10.460,23</w:t>
            </w:r>
          </w:p>
        </w:tc>
        <w:tc>
          <w:tcPr>
            <w:tcW w:w="993" w:type="dxa"/>
            <w:tcBorders>
              <w:top w:val="nil"/>
              <w:left w:val="nil"/>
              <w:bottom w:val="nil"/>
              <w:right w:val="nil"/>
            </w:tcBorders>
            <w:shd w:val="clear" w:color="000000" w:fill="FFFF99"/>
            <w:noWrap/>
            <w:vAlign w:val="bottom"/>
            <w:hideMark/>
          </w:tcPr>
          <w:p w14:paraId="61EBDD2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10,62%</w:t>
            </w:r>
          </w:p>
        </w:tc>
      </w:tr>
      <w:tr w:rsidR="006967F8" w:rsidRPr="006967F8" w14:paraId="79C232DB"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F274731"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40E2F63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44.250,00</w:t>
            </w:r>
          </w:p>
        </w:tc>
        <w:tc>
          <w:tcPr>
            <w:tcW w:w="1559" w:type="dxa"/>
            <w:tcBorders>
              <w:top w:val="nil"/>
              <w:left w:val="nil"/>
              <w:bottom w:val="nil"/>
              <w:right w:val="nil"/>
            </w:tcBorders>
            <w:shd w:val="clear" w:color="000000" w:fill="CCCCFF"/>
            <w:noWrap/>
            <w:vAlign w:val="bottom"/>
            <w:hideMark/>
          </w:tcPr>
          <w:p w14:paraId="5E0BBC5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44.250,00</w:t>
            </w:r>
          </w:p>
        </w:tc>
        <w:tc>
          <w:tcPr>
            <w:tcW w:w="1559" w:type="dxa"/>
            <w:tcBorders>
              <w:top w:val="nil"/>
              <w:left w:val="nil"/>
              <w:bottom w:val="nil"/>
              <w:right w:val="nil"/>
            </w:tcBorders>
            <w:shd w:val="clear" w:color="000000" w:fill="CCCCFF"/>
            <w:noWrap/>
            <w:vAlign w:val="bottom"/>
            <w:hideMark/>
          </w:tcPr>
          <w:p w14:paraId="03466B0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10.460,23</w:t>
            </w:r>
          </w:p>
        </w:tc>
        <w:tc>
          <w:tcPr>
            <w:tcW w:w="993" w:type="dxa"/>
            <w:tcBorders>
              <w:top w:val="nil"/>
              <w:left w:val="nil"/>
              <w:bottom w:val="nil"/>
              <w:right w:val="nil"/>
            </w:tcBorders>
            <w:shd w:val="clear" w:color="000000" w:fill="CCCCFF"/>
            <w:noWrap/>
            <w:vAlign w:val="bottom"/>
            <w:hideMark/>
          </w:tcPr>
          <w:p w14:paraId="3F85595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23,64%</w:t>
            </w:r>
          </w:p>
        </w:tc>
      </w:tr>
      <w:tr w:rsidR="006967F8" w:rsidRPr="006967F8" w14:paraId="5AEFC338"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A25E5E2"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4.1. Komunalni doprinos</w:t>
            </w:r>
          </w:p>
        </w:tc>
        <w:tc>
          <w:tcPr>
            <w:tcW w:w="1559" w:type="dxa"/>
            <w:tcBorders>
              <w:top w:val="nil"/>
              <w:left w:val="nil"/>
              <w:bottom w:val="nil"/>
              <w:right w:val="nil"/>
            </w:tcBorders>
            <w:shd w:val="clear" w:color="000000" w:fill="CCCCFF"/>
            <w:noWrap/>
            <w:vAlign w:val="bottom"/>
            <w:hideMark/>
          </w:tcPr>
          <w:p w14:paraId="0AF0DF5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44.250,00</w:t>
            </w:r>
          </w:p>
        </w:tc>
        <w:tc>
          <w:tcPr>
            <w:tcW w:w="1559" w:type="dxa"/>
            <w:tcBorders>
              <w:top w:val="nil"/>
              <w:left w:val="nil"/>
              <w:bottom w:val="nil"/>
              <w:right w:val="nil"/>
            </w:tcBorders>
            <w:shd w:val="clear" w:color="000000" w:fill="CCCCFF"/>
            <w:noWrap/>
            <w:vAlign w:val="bottom"/>
            <w:hideMark/>
          </w:tcPr>
          <w:p w14:paraId="55B547C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44.250,00</w:t>
            </w:r>
          </w:p>
        </w:tc>
        <w:tc>
          <w:tcPr>
            <w:tcW w:w="1559" w:type="dxa"/>
            <w:tcBorders>
              <w:top w:val="nil"/>
              <w:left w:val="nil"/>
              <w:bottom w:val="nil"/>
              <w:right w:val="nil"/>
            </w:tcBorders>
            <w:shd w:val="clear" w:color="000000" w:fill="CCCCFF"/>
            <w:noWrap/>
            <w:vAlign w:val="bottom"/>
            <w:hideMark/>
          </w:tcPr>
          <w:p w14:paraId="268F6D1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10.460,23</w:t>
            </w:r>
          </w:p>
        </w:tc>
        <w:tc>
          <w:tcPr>
            <w:tcW w:w="993" w:type="dxa"/>
            <w:tcBorders>
              <w:top w:val="nil"/>
              <w:left w:val="nil"/>
              <w:bottom w:val="nil"/>
              <w:right w:val="nil"/>
            </w:tcBorders>
            <w:shd w:val="clear" w:color="000000" w:fill="CCCCFF"/>
            <w:noWrap/>
            <w:vAlign w:val="bottom"/>
            <w:hideMark/>
          </w:tcPr>
          <w:p w14:paraId="6758F65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23,64%</w:t>
            </w:r>
          </w:p>
        </w:tc>
      </w:tr>
      <w:tr w:rsidR="006967F8" w:rsidRPr="006967F8" w14:paraId="150926CB" w14:textId="77777777" w:rsidTr="008A61B1">
        <w:trPr>
          <w:trHeight w:val="255"/>
        </w:trPr>
        <w:tc>
          <w:tcPr>
            <w:tcW w:w="1134" w:type="dxa"/>
            <w:tcBorders>
              <w:top w:val="nil"/>
              <w:left w:val="nil"/>
              <w:bottom w:val="nil"/>
              <w:right w:val="nil"/>
            </w:tcBorders>
            <w:noWrap/>
            <w:vAlign w:val="bottom"/>
            <w:hideMark/>
          </w:tcPr>
          <w:p w14:paraId="3B21241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0172840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213F320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4.250,00</w:t>
            </w:r>
          </w:p>
        </w:tc>
        <w:tc>
          <w:tcPr>
            <w:tcW w:w="1559" w:type="dxa"/>
            <w:tcBorders>
              <w:top w:val="nil"/>
              <w:left w:val="nil"/>
              <w:bottom w:val="nil"/>
              <w:right w:val="nil"/>
            </w:tcBorders>
            <w:noWrap/>
            <w:vAlign w:val="bottom"/>
            <w:hideMark/>
          </w:tcPr>
          <w:p w14:paraId="106EB5D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4.250,00</w:t>
            </w:r>
          </w:p>
        </w:tc>
        <w:tc>
          <w:tcPr>
            <w:tcW w:w="1559" w:type="dxa"/>
            <w:tcBorders>
              <w:top w:val="nil"/>
              <w:left w:val="nil"/>
              <w:bottom w:val="nil"/>
              <w:right w:val="nil"/>
            </w:tcBorders>
            <w:noWrap/>
            <w:vAlign w:val="bottom"/>
            <w:hideMark/>
          </w:tcPr>
          <w:p w14:paraId="0243F90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04B4540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46EAC0C9" w14:textId="77777777" w:rsidTr="008A61B1">
        <w:trPr>
          <w:trHeight w:val="510"/>
        </w:trPr>
        <w:tc>
          <w:tcPr>
            <w:tcW w:w="1134" w:type="dxa"/>
            <w:tcBorders>
              <w:top w:val="nil"/>
              <w:left w:val="nil"/>
              <w:bottom w:val="nil"/>
              <w:right w:val="nil"/>
            </w:tcBorders>
            <w:noWrap/>
            <w:vAlign w:val="bottom"/>
            <w:hideMark/>
          </w:tcPr>
          <w:p w14:paraId="1B22051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0329A03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6EF4308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40.000,00</w:t>
            </w:r>
          </w:p>
        </w:tc>
        <w:tc>
          <w:tcPr>
            <w:tcW w:w="1559" w:type="dxa"/>
            <w:tcBorders>
              <w:top w:val="nil"/>
              <w:left w:val="nil"/>
              <w:bottom w:val="nil"/>
              <w:right w:val="nil"/>
            </w:tcBorders>
            <w:noWrap/>
            <w:vAlign w:val="bottom"/>
            <w:hideMark/>
          </w:tcPr>
          <w:p w14:paraId="28F7718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40.000,00</w:t>
            </w:r>
          </w:p>
        </w:tc>
        <w:tc>
          <w:tcPr>
            <w:tcW w:w="1559" w:type="dxa"/>
            <w:tcBorders>
              <w:top w:val="nil"/>
              <w:left w:val="nil"/>
              <w:bottom w:val="nil"/>
              <w:right w:val="nil"/>
            </w:tcBorders>
            <w:noWrap/>
            <w:vAlign w:val="bottom"/>
            <w:hideMark/>
          </w:tcPr>
          <w:p w14:paraId="37CA625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10.460,23</w:t>
            </w:r>
          </w:p>
        </w:tc>
        <w:tc>
          <w:tcPr>
            <w:tcW w:w="993" w:type="dxa"/>
            <w:tcBorders>
              <w:top w:val="nil"/>
              <w:left w:val="nil"/>
              <w:bottom w:val="nil"/>
              <w:right w:val="nil"/>
            </w:tcBorders>
            <w:noWrap/>
            <w:vAlign w:val="bottom"/>
            <w:hideMark/>
          </w:tcPr>
          <w:p w14:paraId="6A2C775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26,15%</w:t>
            </w:r>
          </w:p>
        </w:tc>
      </w:tr>
      <w:tr w:rsidR="006967F8" w:rsidRPr="006967F8" w14:paraId="321480E1" w14:textId="77777777" w:rsidTr="008A61B1">
        <w:trPr>
          <w:trHeight w:val="255"/>
        </w:trPr>
        <w:tc>
          <w:tcPr>
            <w:tcW w:w="1134" w:type="dxa"/>
            <w:tcBorders>
              <w:top w:val="nil"/>
              <w:left w:val="nil"/>
              <w:bottom w:val="nil"/>
              <w:right w:val="nil"/>
            </w:tcBorders>
            <w:noWrap/>
            <w:vAlign w:val="bottom"/>
            <w:hideMark/>
          </w:tcPr>
          <w:p w14:paraId="36F2AEB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4214</w:t>
            </w:r>
          </w:p>
        </w:tc>
        <w:tc>
          <w:tcPr>
            <w:tcW w:w="4962" w:type="dxa"/>
            <w:tcBorders>
              <w:top w:val="nil"/>
              <w:left w:val="nil"/>
              <w:bottom w:val="nil"/>
              <w:right w:val="nil"/>
            </w:tcBorders>
            <w:noWrap/>
            <w:vAlign w:val="bottom"/>
            <w:hideMark/>
          </w:tcPr>
          <w:p w14:paraId="1726930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građevinski objekti</w:t>
            </w:r>
          </w:p>
        </w:tc>
        <w:tc>
          <w:tcPr>
            <w:tcW w:w="1559" w:type="dxa"/>
            <w:tcBorders>
              <w:top w:val="nil"/>
              <w:left w:val="nil"/>
              <w:bottom w:val="nil"/>
              <w:right w:val="nil"/>
            </w:tcBorders>
            <w:noWrap/>
            <w:vAlign w:val="bottom"/>
            <w:hideMark/>
          </w:tcPr>
          <w:p w14:paraId="3DE4465E"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96C6C85"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F8C2B7E"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10.460,23</w:t>
            </w:r>
          </w:p>
        </w:tc>
        <w:tc>
          <w:tcPr>
            <w:tcW w:w="993" w:type="dxa"/>
            <w:tcBorders>
              <w:top w:val="nil"/>
              <w:left w:val="nil"/>
              <w:bottom w:val="nil"/>
              <w:right w:val="nil"/>
            </w:tcBorders>
            <w:noWrap/>
            <w:vAlign w:val="bottom"/>
            <w:hideMark/>
          </w:tcPr>
          <w:p w14:paraId="4F6D604E"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9066570"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7A10AD5"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5829781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54.250,00</w:t>
            </w:r>
          </w:p>
        </w:tc>
        <w:tc>
          <w:tcPr>
            <w:tcW w:w="1559" w:type="dxa"/>
            <w:tcBorders>
              <w:top w:val="nil"/>
              <w:left w:val="nil"/>
              <w:bottom w:val="nil"/>
              <w:right w:val="nil"/>
            </w:tcBorders>
            <w:shd w:val="clear" w:color="000000" w:fill="CCCCFF"/>
            <w:noWrap/>
            <w:vAlign w:val="bottom"/>
            <w:hideMark/>
          </w:tcPr>
          <w:p w14:paraId="49F063E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54.250,00</w:t>
            </w:r>
          </w:p>
        </w:tc>
        <w:tc>
          <w:tcPr>
            <w:tcW w:w="1559" w:type="dxa"/>
            <w:tcBorders>
              <w:top w:val="nil"/>
              <w:left w:val="nil"/>
              <w:bottom w:val="nil"/>
              <w:right w:val="nil"/>
            </w:tcBorders>
            <w:shd w:val="clear" w:color="000000" w:fill="CCCCFF"/>
            <w:noWrap/>
            <w:vAlign w:val="bottom"/>
            <w:hideMark/>
          </w:tcPr>
          <w:p w14:paraId="2636013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00DA7D5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0E1ABAA6"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56E71CC"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5.2. Pomoći EU</w:t>
            </w:r>
          </w:p>
        </w:tc>
        <w:tc>
          <w:tcPr>
            <w:tcW w:w="1559" w:type="dxa"/>
            <w:tcBorders>
              <w:top w:val="nil"/>
              <w:left w:val="nil"/>
              <w:bottom w:val="nil"/>
              <w:right w:val="nil"/>
            </w:tcBorders>
            <w:shd w:val="clear" w:color="000000" w:fill="CCCCFF"/>
            <w:noWrap/>
            <w:vAlign w:val="bottom"/>
            <w:hideMark/>
          </w:tcPr>
          <w:p w14:paraId="59108AE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54.250,00</w:t>
            </w:r>
          </w:p>
        </w:tc>
        <w:tc>
          <w:tcPr>
            <w:tcW w:w="1559" w:type="dxa"/>
            <w:tcBorders>
              <w:top w:val="nil"/>
              <w:left w:val="nil"/>
              <w:bottom w:val="nil"/>
              <w:right w:val="nil"/>
            </w:tcBorders>
            <w:shd w:val="clear" w:color="000000" w:fill="CCCCFF"/>
            <w:noWrap/>
            <w:vAlign w:val="bottom"/>
            <w:hideMark/>
          </w:tcPr>
          <w:p w14:paraId="6AAEB4E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54.250,00</w:t>
            </w:r>
          </w:p>
        </w:tc>
        <w:tc>
          <w:tcPr>
            <w:tcW w:w="1559" w:type="dxa"/>
            <w:tcBorders>
              <w:top w:val="nil"/>
              <w:left w:val="nil"/>
              <w:bottom w:val="nil"/>
              <w:right w:val="nil"/>
            </w:tcBorders>
            <w:shd w:val="clear" w:color="000000" w:fill="CCCCFF"/>
            <w:noWrap/>
            <w:vAlign w:val="bottom"/>
            <w:hideMark/>
          </w:tcPr>
          <w:p w14:paraId="4B5F306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1DD1A10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0CAE9FC5" w14:textId="77777777" w:rsidTr="008A61B1">
        <w:trPr>
          <w:trHeight w:val="255"/>
        </w:trPr>
        <w:tc>
          <w:tcPr>
            <w:tcW w:w="1134" w:type="dxa"/>
            <w:tcBorders>
              <w:top w:val="nil"/>
              <w:left w:val="nil"/>
              <w:bottom w:val="nil"/>
              <w:right w:val="nil"/>
            </w:tcBorders>
            <w:noWrap/>
            <w:vAlign w:val="bottom"/>
            <w:hideMark/>
          </w:tcPr>
          <w:p w14:paraId="32771B8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1E676D0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00CF33E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4.250,00</w:t>
            </w:r>
          </w:p>
        </w:tc>
        <w:tc>
          <w:tcPr>
            <w:tcW w:w="1559" w:type="dxa"/>
            <w:tcBorders>
              <w:top w:val="nil"/>
              <w:left w:val="nil"/>
              <w:bottom w:val="nil"/>
              <w:right w:val="nil"/>
            </w:tcBorders>
            <w:noWrap/>
            <w:vAlign w:val="bottom"/>
            <w:hideMark/>
          </w:tcPr>
          <w:p w14:paraId="28064CB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4.250,00</w:t>
            </w:r>
          </w:p>
        </w:tc>
        <w:tc>
          <w:tcPr>
            <w:tcW w:w="1559" w:type="dxa"/>
            <w:tcBorders>
              <w:top w:val="nil"/>
              <w:left w:val="nil"/>
              <w:bottom w:val="nil"/>
              <w:right w:val="nil"/>
            </w:tcBorders>
            <w:noWrap/>
            <w:vAlign w:val="bottom"/>
            <w:hideMark/>
          </w:tcPr>
          <w:p w14:paraId="14BA5D6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4C9F0C7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661B41B4" w14:textId="77777777" w:rsidTr="008A61B1">
        <w:trPr>
          <w:trHeight w:val="525"/>
        </w:trPr>
        <w:tc>
          <w:tcPr>
            <w:tcW w:w="1134" w:type="dxa"/>
            <w:tcBorders>
              <w:top w:val="nil"/>
              <w:left w:val="nil"/>
              <w:bottom w:val="nil"/>
              <w:right w:val="nil"/>
            </w:tcBorders>
            <w:noWrap/>
            <w:vAlign w:val="bottom"/>
            <w:hideMark/>
          </w:tcPr>
          <w:p w14:paraId="2233F28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3DEBF41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2000086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50.000,00</w:t>
            </w:r>
          </w:p>
        </w:tc>
        <w:tc>
          <w:tcPr>
            <w:tcW w:w="1559" w:type="dxa"/>
            <w:tcBorders>
              <w:top w:val="nil"/>
              <w:left w:val="nil"/>
              <w:bottom w:val="nil"/>
              <w:right w:val="nil"/>
            </w:tcBorders>
            <w:noWrap/>
            <w:vAlign w:val="bottom"/>
            <w:hideMark/>
          </w:tcPr>
          <w:p w14:paraId="3C4EF61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50.000,00</w:t>
            </w:r>
          </w:p>
        </w:tc>
        <w:tc>
          <w:tcPr>
            <w:tcW w:w="1559" w:type="dxa"/>
            <w:tcBorders>
              <w:top w:val="nil"/>
              <w:left w:val="nil"/>
              <w:bottom w:val="nil"/>
              <w:right w:val="nil"/>
            </w:tcBorders>
            <w:noWrap/>
            <w:vAlign w:val="bottom"/>
            <w:hideMark/>
          </w:tcPr>
          <w:p w14:paraId="3C42A8D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64532E1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399B7A0E" w14:textId="77777777" w:rsidTr="008A61B1">
        <w:trPr>
          <w:trHeight w:val="645"/>
        </w:trPr>
        <w:tc>
          <w:tcPr>
            <w:tcW w:w="1134" w:type="dxa"/>
            <w:tcBorders>
              <w:top w:val="nil"/>
              <w:left w:val="nil"/>
              <w:bottom w:val="nil"/>
              <w:right w:val="nil"/>
            </w:tcBorders>
            <w:shd w:val="clear" w:color="000000" w:fill="FFFF99"/>
            <w:noWrap/>
            <w:vAlign w:val="bottom"/>
            <w:hideMark/>
          </w:tcPr>
          <w:p w14:paraId="3EB4761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K100203</w:t>
            </w:r>
          </w:p>
        </w:tc>
        <w:tc>
          <w:tcPr>
            <w:tcW w:w="4962" w:type="dxa"/>
            <w:tcBorders>
              <w:top w:val="nil"/>
              <w:left w:val="nil"/>
              <w:bottom w:val="nil"/>
              <w:right w:val="nil"/>
            </w:tcBorders>
            <w:shd w:val="clear" w:color="000000" w:fill="FFFF99"/>
            <w:vAlign w:val="bottom"/>
            <w:hideMark/>
          </w:tcPr>
          <w:p w14:paraId="2C228F0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Kapitalni projekt: UREĐENJE TRGA RUDINE NA DRVENIKU MALOM</w:t>
            </w:r>
          </w:p>
        </w:tc>
        <w:tc>
          <w:tcPr>
            <w:tcW w:w="1559" w:type="dxa"/>
            <w:tcBorders>
              <w:top w:val="nil"/>
              <w:left w:val="nil"/>
              <w:bottom w:val="nil"/>
              <w:right w:val="nil"/>
            </w:tcBorders>
            <w:shd w:val="clear" w:color="000000" w:fill="FFFF99"/>
            <w:noWrap/>
            <w:vAlign w:val="bottom"/>
            <w:hideMark/>
          </w:tcPr>
          <w:p w14:paraId="44D57DA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110.000,00</w:t>
            </w:r>
          </w:p>
        </w:tc>
        <w:tc>
          <w:tcPr>
            <w:tcW w:w="1559" w:type="dxa"/>
            <w:tcBorders>
              <w:top w:val="nil"/>
              <w:left w:val="nil"/>
              <w:bottom w:val="nil"/>
              <w:right w:val="nil"/>
            </w:tcBorders>
            <w:shd w:val="clear" w:color="000000" w:fill="FFFF99"/>
            <w:noWrap/>
            <w:vAlign w:val="bottom"/>
            <w:hideMark/>
          </w:tcPr>
          <w:p w14:paraId="4D42F49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109.000,00</w:t>
            </w:r>
          </w:p>
        </w:tc>
        <w:tc>
          <w:tcPr>
            <w:tcW w:w="1559" w:type="dxa"/>
            <w:tcBorders>
              <w:top w:val="nil"/>
              <w:left w:val="nil"/>
              <w:bottom w:val="nil"/>
              <w:right w:val="nil"/>
            </w:tcBorders>
            <w:shd w:val="clear" w:color="000000" w:fill="FFFF99"/>
            <w:noWrap/>
            <w:vAlign w:val="bottom"/>
            <w:hideMark/>
          </w:tcPr>
          <w:p w14:paraId="1CAD4AA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95.470,47</w:t>
            </w:r>
          </w:p>
        </w:tc>
        <w:tc>
          <w:tcPr>
            <w:tcW w:w="993" w:type="dxa"/>
            <w:tcBorders>
              <w:top w:val="nil"/>
              <w:left w:val="nil"/>
              <w:bottom w:val="nil"/>
              <w:right w:val="nil"/>
            </w:tcBorders>
            <w:shd w:val="clear" w:color="000000" w:fill="FFFF99"/>
            <w:noWrap/>
            <w:vAlign w:val="bottom"/>
            <w:hideMark/>
          </w:tcPr>
          <w:p w14:paraId="3F15925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87,59%</w:t>
            </w:r>
          </w:p>
        </w:tc>
      </w:tr>
      <w:tr w:rsidR="006967F8" w:rsidRPr="006967F8" w14:paraId="4862CA63"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CA64740"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320825C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7D9D769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19.000,00</w:t>
            </w:r>
          </w:p>
        </w:tc>
        <w:tc>
          <w:tcPr>
            <w:tcW w:w="1559" w:type="dxa"/>
            <w:tcBorders>
              <w:top w:val="nil"/>
              <w:left w:val="nil"/>
              <w:bottom w:val="nil"/>
              <w:right w:val="nil"/>
            </w:tcBorders>
            <w:shd w:val="clear" w:color="000000" w:fill="CCCCFF"/>
            <w:noWrap/>
            <w:vAlign w:val="bottom"/>
            <w:hideMark/>
          </w:tcPr>
          <w:p w14:paraId="1CDA728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5.470,47</w:t>
            </w:r>
          </w:p>
        </w:tc>
        <w:tc>
          <w:tcPr>
            <w:tcW w:w="993" w:type="dxa"/>
            <w:tcBorders>
              <w:top w:val="nil"/>
              <w:left w:val="nil"/>
              <w:bottom w:val="nil"/>
              <w:right w:val="nil"/>
            </w:tcBorders>
            <w:shd w:val="clear" w:color="000000" w:fill="CCCCFF"/>
            <w:noWrap/>
            <w:vAlign w:val="bottom"/>
            <w:hideMark/>
          </w:tcPr>
          <w:p w14:paraId="036803B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28,79%</w:t>
            </w:r>
          </w:p>
        </w:tc>
      </w:tr>
      <w:tr w:rsidR="006967F8" w:rsidRPr="006967F8" w14:paraId="7AFFD66F"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0FB0212"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4.1. Komunalni doprinos</w:t>
            </w:r>
          </w:p>
        </w:tc>
        <w:tc>
          <w:tcPr>
            <w:tcW w:w="1559" w:type="dxa"/>
            <w:tcBorders>
              <w:top w:val="nil"/>
              <w:left w:val="nil"/>
              <w:bottom w:val="nil"/>
              <w:right w:val="nil"/>
            </w:tcBorders>
            <w:shd w:val="clear" w:color="000000" w:fill="CCCCFF"/>
            <w:noWrap/>
            <w:vAlign w:val="bottom"/>
            <w:hideMark/>
          </w:tcPr>
          <w:p w14:paraId="088B38A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6009C09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19.000,00</w:t>
            </w:r>
          </w:p>
        </w:tc>
        <w:tc>
          <w:tcPr>
            <w:tcW w:w="1559" w:type="dxa"/>
            <w:tcBorders>
              <w:top w:val="nil"/>
              <w:left w:val="nil"/>
              <w:bottom w:val="nil"/>
              <w:right w:val="nil"/>
            </w:tcBorders>
            <w:shd w:val="clear" w:color="000000" w:fill="CCCCFF"/>
            <w:noWrap/>
            <w:vAlign w:val="bottom"/>
            <w:hideMark/>
          </w:tcPr>
          <w:p w14:paraId="712DBA0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5.470,47</w:t>
            </w:r>
          </w:p>
        </w:tc>
        <w:tc>
          <w:tcPr>
            <w:tcW w:w="993" w:type="dxa"/>
            <w:tcBorders>
              <w:top w:val="nil"/>
              <w:left w:val="nil"/>
              <w:bottom w:val="nil"/>
              <w:right w:val="nil"/>
            </w:tcBorders>
            <w:shd w:val="clear" w:color="000000" w:fill="CCCCFF"/>
            <w:noWrap/>
            <w:vAlign w:val="bottom"/>
            <w:hideMark/>
          </w:tcPr>
          <w:p w14:paraId="02470E6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28,79%</w:t>
            </w:r>
          </w:p>
        </w:tc>
      </w:tr>
      <w:tr w:rsidR="006967F8" w:rsidRPr="006967F8" w14:paraId="7D2F0DD2" w14:textId="77777777" w:rsidTr="008A61B1">
        <w:trPr>
          <w:trHeight w:val="510"/>
        </w:trPr>
        <w:tc>
          <w:tcPr>
            <w:tcW w:w="1134" w:type="dxa"/>
            <w:tcBorders>
              <w:top w:val="nil"/>
              <w:left w:val="nil"/>
              <w:bottom w:val="nil"/>
              <w:right w:val="nil"/>
            </w:tcBorders>
            <w:noWrap/>
            <w:vAlign w:val="bottom"/>
            <w:hideMark/>
          </w:tcPr>
          <w:p w14:paraId="43D264C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lastRenderedPageBreak/>
              <w:t>42</w:t>
            </w:r>
          </w:p>
        </w:tc>
        <w:tc>
          <w:tcPr>
            <w:tcW w:w="4962" w:type="dxa"/>
            <w:tcBorders>
              <w:top w:val="nil"/>
              <w:left w:val="nil"/>
              <w:bottom w:val="nil"/>
              <w:right w:val="nil"/>
            </w:tcBorders>
            <w:vAlign w:val="bottom"/>
            <w:hideMark/>
          </w:tcPr>
          <w:p w14:paraId="7971DC6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2021EDC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noWrap/>
            <w:vAlign w:val="bottom"/>
            <w:hideMark/>
          </w:tcPr>
          <w:p w14:paraId="50ACD84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19.000,00</w:t>
            </w:r>
          </w:p>
        </w:tc>
        <w:tc>
          <w:tcPr>
            <w:tcW w:w="1559" w:type="dxa"/>
            <w:tcBorders>
              <w:top w:val="nil"/>
              <w:left w:val="nil"/>
              <w:bottom w:val="nil"/>
              <w:right w:val="nil"/>
            </w:tcBorders>
            <w:noWrap/>
            <w:vAlign w:val="bottom"/>
            <w:hideMark/>
          </w:tcPr>
          <w:p w14:paraId="11F1A02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5.470,47</w:t>
            </w:r>
          </w:p>
        </w:tc>
        <w:tc>
          <w:tcPr>
            <w:tcW w:w="993" w:type="dxa"/>
            <w:tcBorders>
              <w:top w:val="nil"/>
              <w:left w:val="nil"/>
              <w:bottom w:val="nil"/>
              <w:right w:val="nil"/>
            </w:tcBorders>
            <w:noWrap/>
            <w:vAlign w:val="bottom"/>
            <w:hideMark/>
          </w:tcPr>
          <w:p w14:paraId="7D994D1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28,79%</w:t>
            </w:r>
          </w:p>
        </w:tc>
      </w:tr>
      <w:tr w:rsidR="006967F8" w:rsidRPr="006967F8" w14:paraId="6A515D3D" w14:textId="77777777" w:rsidTr="008A61B1">
        <w:trPr>
          <w:trHeight w:val="255"/>
        </w:trPr>
        <w:tc>
          <w:tcPr>
            <w:tcW w:w="1134" w:type="dxa"/>
            <w:tcBorders>
              <w:top w:val="nil"/>
              <w:left w:val="nil"/>
              <w:bottom w:val="nil"/>
              <w:right w:val="nil"/>
            </w:tcBorders>
            <w:noWrap/>
            <w:vAlign w:val="bottom"/>
            <w:hideMark/>
          </w:tcPr>
          <w:p w14:paraId="1132206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4214</w:t>
            </w:r>
          </w:p>
        </w:tc>
        <w:tc>
          <w:tcPr>
            <w:tcW w:w="4962" w:type="dxa"/>
            <w:tcBorders>
              <w:top w:val="nil"/>
              <w:left w:val="nil"/>
              <w:bottom w:val="nil"/>
              <w:right w:val="nil"/>
            </w:tcBorders>
            <w:noWrap/>
            <w:vAlign w:val="bottom"/>
            <w:hideMark/>
          </w:tcPr>
          <w:p w14:paraId="4B121E0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građevinski objekti</w:t>
            </w:r>
          </w:p>
        </w:tc>
        <w:tc>
          <w:tcPr>
            <w:tcW w:w="1559" w:type="dxa"/>
            <w:tcBorders>
              <w:top w:val="nil"/>
              <w:left w:val="nil"/>
              <w:bottom w:val="nil"/>
              <w:right w:val="nil"/>
            </w:tcBorders>
            <w:noWrap/>
            <w:vAlign w:val="bottom"/>
            <w:hideMark/>
          </w:tcPr>
          <w:p w14:paraId="1115FF9B"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3FB9EB9"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704E8A3"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5.470,47</w:t>
            </w:r>
          </w:p>
        </w:tc>
        <w:tc>
          <w:tcPr>
            <w:tcW w:w="993" w:type="dxa"/>
            <w:tcBorders>
              <w:top w:val="nil"/>
              <w:left w:val="nil"/>
              <w:bottom w:val="nil"/>
              <w:right w:val="nil"/>
            </w:tcBorders>
            <w:noWrap/>
            <w:vAlign w:val="bottom"/>
            <w:hideMark/>
          </w:tcPr>
          <w:p w14:paraId="525D8F5A"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C00EF3F"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E72DC6E"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277F37B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90.000,00</w:t>
            </w:r>
          </w:p>
        </w:tc>
        <w:tc>
          <w:tcPr>
            <w:tcW w:w="1559" w:type="dxa"/>
            <w:tcBorders>
              <w:top w:val="nil"/>
              <w:left w:val="nil"/>
              <w:bottom w:val="nil"/>
              <w:right w:val="nil"/>
            </w:tcBorders>
            <w:shd w:val="clear" w:color="000000" w:fill="CCCCFF"/>
            <w:noWrap/>
            <w:vAlign w:val="bottom"/>
            <w:hideMark/>
          </w:tcPr>
          <w:p w14:paraId="5688189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90.000,00</w:t>
            </w:r>
          </w:p>
        </w:tc>
        <w:tc>
          <w:tcPr>
            <w:tcW w:w="1559" w:type="dxa"/>
            <w:tcBorders>
              <w:top w:val="nil"/>
              <w:left w:val="nil"/>
              <w:bottom w:val="nil"/>
              <w:right w:val="nil"/>
            </w:tcBorders>
            <w:shd w:val="clear" w:color="000000" w:fill="CCCCFF"/>
            <w:noWrap/>
            <w:vAlign w:val="bottom"/>
            <w:hideMark/>
          </w:tcPr>
          <w:p w14:paraId="3E24B89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90.000,00</w:t>
            </w:r>
          </w:p>
        </w:tc>
        <w:tc>
          <w:tcPr>
            <w:tcW w:w="993" w:type="dxa"/>
            <w:tcBorders>
              <w:top w:val="nil"/>
              <w:left w:val="nil"/>
              <w:bottom w:val="nil"/>
              <w:right w:val="nil"/>
            </w:tcBorders>
            <w:shd w:val="clear" w:color="000000" w:fill="CCCCFF"/>
            <w:noWrap/>
            <w:vAlign w:val="bottom"/>
            <w:hideMark/>
          </w:tcPr>
          <w:p w14:paraId="21CA613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55DC2DA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AE7236B"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5.1. Ostale pomoći</w:t>
            </w:r>
          </w:p>
        </w:tc>
        <w:tc>
          <w:tcPr>
            <w:tcW w:w="1559" w:type="dxa"/>
            <w:tcBorders>
              <w:top w:val="nil"/>
              <w:left w:val="nil"/>
              <w:bottom w:val="nil"/>
              <w:right w:val="nil"/>
            </w:tcBorders>
            <w:shd w:val="clear" w:color="000000" w:fill="CCCCFF"/>
            <w:noWrap/>
            <w:vAlign w:val="bottom"/>
            <w:hideMark/>
          </w:tcPr>
          <w:p w14:paraId="1046B07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90.000,00</w:t>
            </w:r>
          </w:p>
        </w:tc>
        <w:tc>
          <w:tcPr>
            <w:tcW w:w="1559" w:type="dxa"/>
            <w:tcBorders>
              <w:top w:val="nil"/>
              <w:left w:val="nil"/>
              <w:bottom w:val="nil"/>
              <w:right w:val="nil"/>
            </w:tcBorders>
            <w:shd w:val="clear" w:color="000000" w:fill="CCCCFF"/>
            <w:noWrap/>
            <w:vAlign w:val="bottom"/>
            <w:hideMark/>
          </w:tcPr>
          <w:p w14:paraId="02ED858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90.000,00</w:t>
            </w:r>
          </w:p>
        </w:tc>
        <w:tc>
          <w:tcPr>
            <w:tcW w:w="1559" w:type="dxa"/>
            <w:tcBorders>
              <w:top w:val="nil"/>
              <w:left w:val="nil"/>
              <w:bottom w:val="nil"/>
              <w:right w:val="nil"/>
            </w:tcBorders>
            <w:shd w:val="clear" w:color="000000" w:fill="CCCCFF"/>
            <w:noWrap/>
            <w:vAlign w:val="bottom"/>
            <w:hideMark/>
          </w:tcPr>
          <w:p w14:paraId="6D29396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90.000,00</w:t>
            </w:r>
          </w:p>
        </w:tc>
        <w:tc>
          <w:tcPr>
            <w:tcW w:w="993" w:type="dxa"/>
            <w:tcBorders>
              <w:top w:val="nil"/>
              <w:left w:val="nil"/>
              <w:bottom w:val="nil"/>
              <w:right w:val="nil"/>
            </w:tcBorders>
            <w:shd w:val="clear" w:color="000000" w:fill="CCCCFF"/>
            <w:noWrap/>
            <w:vAlign w:val="bottom"/>
            <w:hideMark/>
          </w:tcPr>
          <w:p w14:paraId="618C13B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0AC54CE0" w14:textId="77777777" w:rsidTr="008A61B1">
        <w:trPr>
          <w:trHeight w:val="600"/>
        </w:trPr>
        <w:tc>
          <w:tcPr>
            <w:tcW w:w="1134" w:type="dxa"/>
            <w:tcBorders>
              <w:top w:val="nil"/>
              <w:left w:val="nil"/>
              <w:bottom w:val="nil"/>
              <w:right w:val="nil"/>
            </w:tcBorders>
            <w:noWrap/>
            <w:vAlign w:val="bottom"/>
            <w:hideMark/>
          </w:tcPr>
          <w:p w14:paraId="7AD0ADB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32A5595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0C603A7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90.000,00</w:t>
            </w:r>
          </w:p>
        </w:tc>
        <w:tc>
          <w:tcPr>
            <w:tcW w:w="1559" w:type="dxa"/>
            <w:tcBorders>
              <w:top w:val="nil"/>
              <w:left w:val="nil"/>
              <w:bottom w:val="nil"/>
              <w:right w:val="nil"/>
            </w:tcBorders>
            <w:noWrap/>
            <w:vAlign w:val="bottom"/>
            <w:hideMark/>
          </w:tcPr>
          <w:p w14:paraId="62AEB58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90.000,00</w:t>
            </w:r>
          </w:p>
        </w:tc>
        <w:tc>
          <w:tcPr>
            <w:tcW w:w="1559" w:type="dxa"/>
            <w:tcBorders>
              <w:top w:val="nil"/>
              <w:left w:val="nil"/>
              <w:bottom w:val="nil"/>
              <w:right w:val="nil"/>
            </w:tcBorders>
            <w:noWrap/>
            <w:vAlign w:val="bottom"/>
            <w:hideMark/>
          </w:tcPr>
          <w:p w14:paraId="6375CF0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90.000,00</w:t>
            </w:r>
          </w:p>
        </w:tc>
        <w:tc>
          <w:tcPr>
            <w:tcW w:w="993" w:type="dxa"/>
            <w:tcBorders>
              <w:top w:val="nil"/>
              <w:left w:val="nil"/>
              <w:bottom w:val="nil"/>
              <w:right w:val="nil"/>
            </w:tcBorders>
            <w:noWrap/>
            <w:vAlign w:val="bottom"/>
            <w:hideMark/>
          </w:tcPr>
          <w:p w14:paraId="3994567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r>
      <w:tr w:rsidR="006967F8" w:rsidRPr="006967F8" w14:paraId="5A6B0049" w14:textId="77777777" w:rsidTr="008A61B1">
        <w:trPr>
          <w:trHeight w:val="255"/>
        </w:trPr>
        <w:tc>
          <w:tcPr>
            <w:tcW w:w="1134" w:type="dxa"/>
            <w:tcBorders>
              <w:top w:val="nil"/>
              <w:left w:val="nil"/>
              <w:bottom w:val="nil"/>
              <w:right w:val="nil"/>
            </w:tcBorders>
            <w:noWrap/>
            <w:vAlign w:val="bottom"/>
            <w:hideMark/>
          </w:tcPr>
          <w:p w14:paraId="4E22F1B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4214</w:t>
            </w:r>
          </w:p>
        </w:tc>
        <w:tc>
          <w:tcPr>
            <w:tcW w:w="4962" w:type="dxa"/>
            <w:tcBorders>
              <w:top w:val="nil"/>
              <w:left w:val="nil"/>
              <w:bottom w:val="nil"/>
              <w:right w:val="nil"/>
            </w:tcBorders>
            <w:noWrap/>
            <w:vAlign w:val="bottom"/>
            <w:hideMark/>
          </w:tcPr>
          <w:p w14:paraId="2D9F9FC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građevinski objekti</w:t>
            </w:r>
          </w:p>
        </w:tc>
        <w:tc>
          <w:tcPr>
            <w:tcW w:w="1559" w:type="dxa"/>
            <w:tcBorders>
              <w:top w:val="nil"/>
              <w:left w:val="nil"/>
              <w:bottom w:val="nil"/>
              <w:right w:val="nil"/>
            </w:tcBorders>
            <w:noWrap/>
            <w:vAlign w:val="bottom"/>
            <w:hideMark/>
          </w:tcPr>
          <w:p w14:paraId="5FC11B6F"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E466D7C"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EE2E0B3"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90.000,00</w:t>
            </w:r>
          </w:p>
        </w:tc>
        <w:tc>
          <w:tcPr>
            <w:tcW w:w="993" w:type="dxa"/>
            <w:tcBorders>
              <w:top w:val="nil"/>
              <w:left w:val="nil"/>
              <w:bottom w:val="nil"/>
              <w:right w:val="nil"/>
            </w:tcBorders>
            <w:noWrap/>
            <w:vAlign w:val="bottom"/>
            <w:hideMark/>
          </w:tcPr>
          <w:p w14:paraId="20D304C7"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CEA8A14" w14:textId="77777777" w:rsidTr="008A61B1">
        <w:trPr>
          <w:trHeight w:val="930"/>
        </w:trPr>
        <w:tc>
          <w:tcPr>
            <w:tcW w:w="1134" w:type="dxa"/>
            <w:tcBorders>
              <w:top w:val="nil"/>
              <w:left w:val="nil"/>
              <w:bottom w:val="nil"/>
              <w:right w:val="nil"/>
            </w:tcBorders>
            <w:shd w:val="clear" w:color="000000" w:fill="FF9900"/>
            <w:noWrap/>
            <w:vAlign w:val="bottom"/>
            <w:hideMark/>
          </w:tcPr>
          <w:p w14:paraId="55F6E0F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1517</w:t>
            </w:r>
          </w:p>
        </w:tc>
        <w:tc>
          <w:tcPr>
            <w:tcW w:w="4962" w:type="dxa"/>
            <w:tcBorders>
              <w:top w:val="nil"/>
              <w:left w:val="nil"/>
              <w:bottom w:val="nil"/>
              <w:right w:val="nil"/>
            </w:tcBorders>
            <w:shd w:val="clear" w:color="000000" w:fill="FF9900"/>
            <w:vAlign w:val="bottom"/>
            <w:hideMark/>
          </w:tcPr>
          <w:p w14:paraId="7B22160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Program: POSTOJEĆE GRAĐEVINE KOM.INFRASTRUKTURE KOJE ĆE SE REKONSTRUIRATI I NAČIN REKONSTRUKCIJE </w:t>
            </w:r>
          </w:p>
        </w:tc>
        <w:tc>
          <w:tcPr>
            <w:tcW w:w="1559" w:type="dxa"/>
            <w:tcBorders>
              <w:top w:val="nil"/>
              <w:left w:val="nil"/>
              <w:bottom w:val="nil"/>
              <w:right w:val="nil"/>
            </w:tcBorders>
            <w:shd w:val="clear" w:color="000000" w:fill="FF9900"/>
            <w:noWrap/>
            <w:vAlign w:val="bottom"/>
            <w:hideMark/>
          </w:tcPr>
          <w:p w14:paraId="65B4461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2.042.000,00</w:t>
            </w:r>
          </w:p>
        </w:tc>
        <w:tc>
          <w:tcPr>
            <w:tcW w:w="1559" w:type="dxa"/>
            <w:tcBorders>
              <w:top w:val="nil"/>
              <w:left w:val="nil"/>
              <w:bottom w:val="nil"/>
              <w:right w:val="nil"/>
            </w:tcBorders>
            <w:shd w:val="clear" w:color="000000" w:fill="FF9900"/>
            <w:noWrap/>
            <w:vAlign w:val="bottom"/>
            <w:hideMark/>
          </w:tcPr>
          <w:p w14:paraId="4FF1ACB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1.987.590,00</w:t>
            </w:r>
          </w:p>
        </w:tc>
        <w:tc>
          <w:tcPr>
            <w:tcW w:w="1559" w:type="dxa"/>
            <w:tcBorders>
              <w:top w:val="nil"/>
              <w:left w:val="nil"/>
              <w:bottom w:val="nil"/>
              <w:right w:val="nil"/>
            </w:tcBorders>
            <w:shd w:val="clear" w:color="000000" w:fill="FF9900"/>
            <w:noWrap/>
            <w:vAlign w:val="bottom"/>
            <w:hideMark/>
          </w:tcPr>
          <w:p w14:paraId="057B791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1.462.845,59</w:t>
            </w:r>
          </w:p>
        </w:tc>
        <w:tc>
          <w:tcPr>
            <w:tcW w:w="993" w:type="dxa"/>
            <w:tcBorders>
              <w:top w:val="nil"/>
              <w:left w:val="nil"/>
              <w:bottom w:val="nil"/>
              <w:right w:val="nil"/>
            </w:tcBorders>
            <w:shd w:val="clear" w:color="000000" w:fill="FF9900"/>
            <w:noWrap/>
            <w:vAlign w:val="bottom"/>
            <w:hideMark/>
          </w:tcPr>
          <w:p w14:paraId="6CE233C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73,60%</w:t>
            </w:r>
          </w:p>
        </w:tc>
      </w:tr>
      <w:tr w:rsidR="006967F8" w:rsidRPr="006967F8" w14:paraId="561B8A3D" w14:textId="77777777" w:rsidTr="008A61B1">
        <w:trPr>
          <w:trHeight w:val="540"/>
        </w:trPr>
        <w:tc>
          <w:tcPr>
            <w:tcW w:w="1134" w:type="dxa"/>
            <w:tcBorders>
              <w:top w:val="nil"/>
              <w:left w:val="nil"/>
              <w:bottom w:val="nil"/>
              <w:right w:val="nil"/>
            </w:tcBorders>
            <w:shd w:val="clear" w:color="000000" w:fill="FFFF99"/>
            <w:noWrap/>
            <w:vAlign w:val="bottom"/>
            <w:hideMark/>
          </w:tcPr>
          <w:p w14:paraId="0CC0011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K100101</w:t>
            </w:r>
          </w:p>
        </w:tc>
        <w:tc>
          <w:tcPr>
            <w:tcW w:w="4962" w:type="dxa"/>
            <w:tcBorders>
              <w:top w:val="nil"/>
              <w:left w:val="nil"/>
              <w:bottom w:val="nil"/>
              <w:right w:val="nil"/>
            </w:tcBorders>
            <w:shd w:val="clear" w:color="000000" w:fill="FFFF99"/>
            <w:vAlign w:val="bottom"/>
            <w:hideMark/>
          </w:tcPr>
          <w:p w14:paraId="3CF7022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Kapitalni projekt: REKONSTRUKCIJA ULICE RIMSKI PUT</w:t>
            </w:r>
          </w:p>
        </w:tc>
        <w:tc>
          <w:tcPr>
            <w:tcW w:w="1559" w:type="dxa"/>
            <w:tcBorders>
              <w:top w:val="nil"/>
              <w:left w:val="nil"/>
              <w:bottom w:val="nil"/>
              <w:right w:val="nil"/>
            </w:tcBorders>
            <w:shd w:val="clear" w:color="000000" w:fill="FFFF99"/>
            <w:noWrap/>
            <w:vAlign w:val="bottom"/>
            <w:hideMark/>
          </w:tcPr>
          <w:p w14:paraId="6B19BB5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40.000,00</w:t>
            </w:r>
          </w:p>
        </w:tc>
        <w:tc>
          <w:tcPr>
            <w:tcW w:w="1559" w:type="dxa"/>
            <w:tcBorders>
              <w:top w:val="nil"/>
              <w:left w:val="nil"/>
              <w:bottom w:val="nil"/>
              <w:right w:val="nil"/>
            </w:tcBorders>
            <w:shd w:val="clear" w:color="000000" w:fill="FFFF99"/>
            <w:noWrap/>
            <w:vAlign w:val="bottom"/>
            <w:hideMark/>
          </w:tcPr>
          <w:p w14:paraId="55344B5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39.115,00</w:t>
            </w:r>
          </w:p>
        </w:tc>
        <w:tc>
          <w:tcPr>
            <w:tcW w:w="1559" w:type="dxa"/>
            <w:tcBorders>
              <w:top w:val="nil"/>
              <w:left w:val="nil"/>
              <w:bottom w:val="nil"/>
              <w:right w:val="nil"/>
            </w:tcBorders>
            <w:shd w:val="clear" w:color="000000" w:fill="FFFF99"/>
            <w:noWrap/>
            <w:vAlign w:val="bottom"/>
            <w:hideMark/>
          </w:tcPr>
          <w:p w14:paraId="523B7A4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19.075,99</w:t>
            </w:r>
          </w:p>
        </w:tc>
        <w:tc>
          <w:tcPr>
            <w:tcW w:w="993" w:type="dxa"/>
            <w:tcBorders>
              <w:top w:val="nil"/>
              <w:left w:val="nil"/>
              <w:bottom w:val="nil"/>
              <w:right w:val="nil"/>
            </w:tcBorders>
            <w:shd w:val="clear" w:color="000000" w:fill="FFFF99"/>
            <w:noWrap/>
            <w:vAlign w:val="bottom"/>
            <w:hideMark/>
          </w:tcPr>
          <w:p w14:paraId="4ECE298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48,77%</w:t>
            </w:r>
          </w:p>
        </w:tc>
      </w:tr>
      <w:tr w:rsidR="006967F8" w:rsidRPr="006967F8" w14:paraId="5E85F973"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9932577"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1D11483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40.000,00</w:t>
            </w:r>
          </w:p>
        </w:tc>
        <w:tc>
          <w:tcPr>
            <w:tcW w:w="1559" w:type="dxa"/>
            <w:tcBorders>
              <w:top w:val="nil"/>
              <w:left w:val="nil"/>
              <w:bottom w:val="nil"/>
              <w:right w:val="nil"/>
            </w:tcBorders>
            <w:shd w:val="clear" w:color="000000" w:fill="CCCCFF"/>
            <w:noWrap/>
            <w:vAlign w:val="bottom"/>
            <w:hideMark/>
          </w:tcPr>
          <w:p w14:paraId="3B0CDEF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39.115,00</w:t>
            </w:r>
          </w:p>
        </w:tc>
        <w:tc>
          <w:tcPr>
            <w:tcW w:w="1559" w:type="dxa"/>
            <w:tcBorders>
              <w:top w:val="nil"/>
              <w:left w:val="nil"/>
              <w:bottom w:val="nil"/>
              <w:right w:val="nil"/>
            </w:tcBorders>
            <w:shd w:val="clear" w:color="000000" w:fill="CCCCFF"/>
            <w:noWrap/>
            <w:vAlign w:val="bottom"/>
            <w:hideMark/>
          </w:tcPr>
          <w:p w14:paraId="77D29A4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19.075,99</w:t>
            </w:r>
          </w:p>
        </w:tc>
        <w:tc>
          <w:tcPr>
            <w:tcW w:w="993" w:type="dxa"/>
            <w:tcBorders>
              <w:top w:val="nil"/>
              <w:left w:val="nil"/>
              <w:bottom w:val="nil"/>
              <w:right w:val="nil"/>
            </w:tcBorders>
            <w:shd w:val="clear" w:color="000000" w:fill="CCCCFF"/>
            <w:noWrap/>
            <w:vAlign w:val="bottom"/>
            <w:hideMark/>
          </w:tcPr>
          <w:p w14:paraId="6575428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48,77%</w:t>
            </w:r>
          </w:p>
        </w:tc>
      </w:tr>
      <w:tr w:rsidR="006967F8" w:rsidRPr="006967F8" w14:paraId="253D7025" w14:textId="77777777" w:rsidTr="008A61B1">
        <w:trPr>
          <w:trHeight w:val="510"/>
        </w:trPr>
        <w:tc>
          <w:tcPr>
            <w:tcW w:w="6096" w:type="dxa"/>
            <w:gridSpan w:val="2"/>
            <w:tcBorders>
              <w:top w:val="nil"/>
              <w:left w:val="nil"/>
              <w:bottom w:val="nil"/>
              <w:right w:val="nil"/>
            </w:tcBorders>
            <w:shd w:val="clear" w:color="000000" w:fill="CCCCFF"/>
            <w:vAlign w:val="bottom"/>
            <w:hideMark/>
          </w:tcPr>
          <w:p w14:paraId="54BFAAC2"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1.9. PRENESENI VIŠAK/ MANJAK- OPĆI PRIHODI I PRIMICI</w:t>
            </w:r>
          </w:p>
        </w:tc>
        <w:tc>
          <w:tcPr>
            <w:tcW w:w="1559" w:type="dxa"/>
            <w:tcBorders>
              <w:top w:val="nil"/>
              <w:left w:val="nil"/>
              <w:bottom w:val="nil"/>
              <w:right w:val="nil"/>
            </w:tcBorders>
            <w:shd w:val="clear" w:color="000000" w:fill="CCCCFF"/>
            <w:noWrap/>
            <w:vAlign w:val="bottom"/>
            <w:hideMark/>
          </w:tcPr>
          <w:p w14:paraId="5806C99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40.000,00</w:t>
            </w:r>
          </w:p>
        </w:tc>
        <w:tc>
          <w:tcPr>
            <w:tcW w:w="1559" w:type="dxa"/>
            <w:tcBorders>
              <w:top w:val="nil"/>
              <w:left w:val="nil"/>
              <w:bottom w:val="nil"/>
              <w:right w:val="nil"/>
            </w:tcBorders>
            <w:shd w:val="clear" w:color="000000" w:fill="CCCCFF"/>
            <w:noWrap/>
            <w:vAlign w:val="bottom"/>
            <w:hideMark/>
          </w:tcPr>
          <w:p w14:paraId="17707C0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39.115,00</w:t>
            </w:r>
          </w:p>
        </w:tc>
        <w:tc>
          <w:tcPr>
            <w:tcW w:w="1559" w:type="dxa"/>
            <w:tcBorders>
              <w:top w:val="nil"/>
              <w:left w:val="nil"/>
              <w:bottom w:val="nil"/>
              <w:right w:val="nil"/>
            </w:tcBorders>
            <w:shd w:val="clear" w:color="000000" w:fill="CCCCFF"/>
            <w:noWrap/>
            <w:vAlign w:val="bottom"/>
            <w:hideMark/>
          </w:tcPr>
          <w:p w14:paraId="5152C7A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19.075,99</w:t>
            </w:r>
          </w:p>
        </w:tc>
        <w:tc>
          <w:tcPr>
            <w:tcW w:w="993" w:type="dxa"/>
            <w:tcBorders>
              <w:top w:val="nil"/>
              <w:left w:val="nil"/>
              <w:bottom w:val="nil"/>
              <w:right w:val="nil"/>
            </w:tcBorders>
            <w:shd w:val="clear" w:color="000000" w:fill="CCCCFF"/>
            <w:noWrap/>
            <w:vAlign w:val="bottom"/>
            <w:hideMark/>
          </w:tcPr>
          <w:p w14:paraId="6FC2F4F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48,77%</w:t>
            </w:r>
          </w:p>
        </w:tc>
      </w:tr>
      <w:tr w:rsidR="006967F8" w:rsidRPr="006967F8" w14:paraId="4CF13791" w14:textId="77777777" w:rsidTr="008A61B1">
        <w:trPr>
          <w:trHeight w:val="525"/>
        </w:trPr>
        <w:tc>
          <w:tcPr>
            <w:tcW w:w="1134" w:type="dxa"/>
            <w:tcBorders>
              <w:top w:val="nil"/>
              <w:left w:val="nil"/>
              <w:bottom w:val="nil"/>
              <w:right w:val="nil"/>
            </w:tcBorders>
            <w:noWrap/>
            <w:vAlign w:val="bottom"/>
            <w:hideMark/>
          </w:tcPr>
          <w:p w14:paraId="4103F40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41</w:t>
            </w:r>
          </w:p>
        </w:tc>
        <w:tc>
          <w:tcPr>
            <w:tcW w:w="4962" w:type="dxa"/>
            <w:tcBorders>
              <w:top w:val="nil"/>
              <w:left w:val="nil"/>
              <w:bottom w:val="nil"/>
              <w:right w:val="nil"/>
            </w:tcBorders>
            <w:vAlign w:val="bottom"/>
            <w:hideMark/>
          </w:tcPr>
          <w:p w14:paraId="4FB4F64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Rashodi za nabavu </w:t>
            </w:r>
            <w:proofErr w:type="spellStart"/>
            <w:r w:rsidRPr="006967F8">
              <w:rPr>
                <w:rFonts w:ascii="Arial" w:eastAsia="Times New Roman" w:hAnsi="Arial" w:cs="Arial"/>
                <w:b/>
                <w:bCs/>
                <w:sz w:val="20"/>
                <w:szCs w:val="20"/>
                <w:lang w:eastAsia="hr-HR"/>
              </w:rPr>
              <w:t>neproizvedene</w:t>
            </w:r>
            <w:proofErr w:type="spellEnd"/>
            <w:r w:rsidRPr="006967F8">
              <w:rPr>
                <w:rFonts w:ascii="Arial" w:eastAsia="Times New Roman" w:hAnsi="Arial" w:cs="Arial"/>
                <w:b/>
                <w:bCs/>
                <w:sz w:val="20"/>
                <w:szCs w:val="20"/>
                <w:lang w:eastAsia="hr-HR"/>
              </w:rPr>
              <w:t xml:space="preserve"> dugotrajne imovine</w:t>
            </w:r>
          </w:p>
        </w:tc>
        <w:tc>
          <w:tcPr>
            <w:tcW w:w="1559" w:type="dxa"/>
            <w:tcBorders>
              <w:top w:val="nil"/>
              <w:left w:val="nil"/>
              <w:bottom w:val="nil"/>
              <w:right w:val="nil"/>
            </w:tcBorders>
            <w:noWrap/>
            <w:vAlign w:val="bottom"/>
            <w:hideMark/>
          </w:tcPr>
          <w:p w14:paraId="6C57C2F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40.000,00</w:t>
            </w:r>
          </w:p>
        </w:tc>
        <w:tc>
          <w:tcPr>
            <w:tcW w:w="1559" w:type="dxa"/>
            <w:tcBorders>
              <w:top w:val="nil"/>
              <w:left w:val="nil"/>
              <w:bottom w:val="nil"/>
              <w:right w:val="nil"/>
            </w:tcBorders>
            <w:noWrap/>
            <w:vAlign w:val="bottom"/>
            <w:hideMark/>
          </w:tcPr>
          <w:p w14:paraId="7DDECBF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39.115,00</w:t>
            </w:r>
          </w:p>
        </w:tc>
        <w:tc>
          <w:tcPr>
            <w:tcW w:w="1559" w:type="dxa"/>
            <w:tcBorders>
              <w:top w:val="nil"/>
              <w:left w:val="nil"/>
              <w:bottom w:val="nil"/>
              <w:right w:val="nil"/>
            </w:tcBorders>
            <w:noWrap/>
            <w:vAlign w:val="bottom"/>
            <w:hideMark/>
          </w:tcPr>
          <w:p w14:paraId="67441EA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19.075,99</w:t>
            </w:r>
          </w:p>
        </w:tc>
        <w:tc>
          <w:tcPr>
            <w:tcW w:w="993" w:type="dxa"/>
            <w:tcBorders>
              <w:top w:val="nil"/>
              <w:left w:val="nil"/>
              <w:bottom w:val="nil"/>
              <w:right w:val="nil"/>
            </w:tcBorders>
            <w:noWrap/>
            <w:vAlign w:val="bottom"/>
            <w:hideMark/>
          </w:tcPr>
          <w:p w14:paraId="3B587E4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48,77%</w:t>
            </w:r>
          </w:p>
        </w:tc>
      </w:tr>
      <w:tr w:rsidR="006967F8" w:rsidRPr="006967F8" w14:paraId="2BBDF714" w14:textId="77777777" w:rsidTr="008A61B1">
        <w:trPr>
          <w:trHeight w:val="255"/>
        </w:trPr>
        <w:tc>
          <w:tcPr>
            <w:tcW w:w="1134" w:type="dxa"/>
            <w:tcBorders>
              <w:top w:val="nil"/>
              <w:left w:val="nil"/>
              <w:bottom w:val="nil"/>
              <w:right w:val="nil"/>
            </w:tcBorders>
            <w:noWrap/>
            <w:vAlign w:val="bottom"/>
            <w:hideMark/>
          </w:tcPr>
          <w:p w14:paraId="5CEDA45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4111</w:t>
            </w:r>
          </w:p>
        </w:tc>
        <w:tc>
          <w:tcPr>
            <w:tcW w:w="4962" w:type="dxa"/>
            <w:tcBorders>
              <w:top w:val="nil"/>
              <w:left w:val="nil"/>
              <w:bottom w:val="nil"/>
              <w:right w:val="nil"/>
            </w:tcBorders>
            <w:noWrap/>
            <w:vAlign w:val="bottom"/>
            <w:hideMark/>
          </w:tcPr>
          <w:p w14:paraId="23C6A8A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Zemljište</w:t>
            </w:r>
          </w:p>
        </w:tc>
        <w:tc>
          <w:tcPr>
            <w:tcW w:w="1559" w:type="dxa"/>
            <w:tcBorders>
              <w:top w:val="nil"/>
              <w:left w:val="nil"/>
              <w:bottom w:val="nil"/>
              <w:right w:val="nil"/>
            </w:tcBorders>
            <w:noWrap/>
            <w:vAlign w:val="bottom"/>
            <w:hideMark/>
          </w:tcPr>
          <w:p w14:paraId="1741AD1F"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D9B418C"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82E760B"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19.075,99</w:t>
            </w:r>
          </w:p>
        </w:tc>
        <w:tc>
          <w:tcPr>
            <w:tcW w:w="993" w:type="dxa"/>
            <w:tcBorders>
              <w:top w:val="nil"/>
              <w:left w:val="nil"/>
              <w:bottom w:val="nil"/>
              <w:right w:val="nil"/>
            </w:tcBorders>
            <w:noWrap/>
            <w:vAlign w:val="bottom"/>
            <w:hideMark/>
          </w:tcPr>
          <w:p w14:paraId="09736A34"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40B74B9" w14:textId="77777777" w:rsidTr="008A61B1">
        <w:trPr>
          <w:trHeight w:val="645"/>
        </w:trPr>
        <w:tc>
          <w:tcPr>
            <w:tcW w:w="1134" w:type="dxa"/>
            <w:tcBorders>
              <w:top w:val="nil"/>
              <w:left w:val="nil"/>
              <w:bottom w:val="nil"/>
              <w:right w:val="nil"/>
            </w:tcBorders>
            <w:shd w:val="clear" w:color="000000" w:fill="FFFF99"/>
            <w:noWrap/>
            <w:vAlign w:val="bottom"/>
            <w:hideMark/>
          </w:tcPr>
          <w:p w14:paraId="31BC77D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K100102</w:t>
            </w:r>
          </w:p>
        </w:tc>
        <w:tc>
          <w:tcPr>
            <w:tcW w:w="4962" w:type="dxa"/>
            <w:tcBorders>
              <w:top w:val="nil"/>
              <w:left w:val="nil"/>
              <w:bottom w:val="nil"/>
              <w:right w:val="nil"/>
            </w:tcBorders>
            <w:shd w:val="clear" w:color="000000" w:fill="FFFF99"/>
            <w:vAlign w:val="bottom"/>
            <w:hideMark/>
          </w:tcPr>
          <w:p w14:paraId="264EF23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Kapitalni projekt: REKONSTRUKCIJA ZAGORSKE ULICE</w:t>
            </w:r>
          </w:p>
        </w:tc>
        <w:tc>
          <w:tcPr>
            <w:tcW w:w="1559" w:type="dxa"/>
            <w:tcBorders>
              <w:top w:val="nil"/>
              <w:left w:val="nil"/>
              <w:bottom w:val="nil"/>
              <w:right w:val="nil"/>
            </w:tcBorders>
            <w:shd w:val="clear" w:color="000000" w:fill="FFFF99"/>
            <w:noWrap/>
            <w:vAlign w:val="bottom"/>
            <w:hideMark/>
          </w:tcPr>
          <w:p w14:paraId="3DAFD44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shd w:val="clear" w:color="000000" w:fill="FFFF99"/>
            <w:noWrap/>
            <w:vAlign w:val="bottom"/>
            <w:hideMark/>
          </w:tcPr>
          <w:p w14:paraId="1D701BB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shd w:val="clear" w:color="000000" w:fill="FFFF99"/>
            <w:noWrap/>
            <w:vAlign w:val="bottom"/>
            <w:hideMark/>
          </w:tcPr>
          <w:p w14:paraId="70E2EBA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shd w:val="clear" w:color="000000" w:fill="FFFF99"/>
            <w:noWrap/>
            <w:vAlign w:val="bottom"/>
            <w:hideMark/>
          </w:tcPr>
          <w:p w14:paraId="4C765E4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1BA21295"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689E07A"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2275B18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10.000,00</w:t>
            </w:r>
          </w:p>
        </w:tc>
        <w:tc>
          <w:tcPr>
            <w:tcW w:w="1559" w:type="dxa"/>
            <w:tcBorders>
              <w:top w:val="nil"/>
              <w:left w:val="nil"/>
              <w:bottom w:val="nil"/>
              <w:right w:val="nil"/>
            </w:tcBorders>
            <w:shd w:val="clear" w:color="000000" w:fill="CCCCFF"/>
            <w:noWrap/>
            <w:vAlign w:val="bottom"/>
            <w:hideMark/>
          </w:tcPr>
          <w:p w14:paraId="1827DEE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10.000,00</w:t>
            </w:r>
          </w:p>
        </w:tc>
        <w:tc>
          <w:tcPr>
            <w:tcW w:w="1559" w:type="dxa"/>
            <w:tcBorders>
              <w:top w:val="nil"/>
              <w:left w:val="nil"/>
              <w:bottom w:val="nil"/>
              <w:right w:val="nil"/>
            </w:tcBorders>
            <w:shd w:val="clear" w:color="000000" w:fill="CCCCFF"/>
            <w:noWrap/>
            <w:vAlign w:val="bottom"/>
            <w:hideMark/>
          </w:tcPr>
          <w:p w14:paraId="4C9F4ED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16A0387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79A08AE6"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3AF9534"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4.1. Komunalni doprinos</w:t>
            </w:r>
          </w:p>
        </w:tc>
        <w:tc>
          <w:tcPr>
            <w:tcW w:w="1559" w:type="dxa"/>
            <w:tcBorders>
              <w:top w:val="nil"/>
              <w:left w:val="nil"/>
              <w:bottom w:val="nil"/>
              <w:right w:val="nil"/>
            </w:tcBorders>
            <w:shd w:val="clear" w:color="000000" w:fill="CCCCFF"/>
            <w:noWrap/>
            <w:vAlign w:val="bottom"/>
            <w:hideMark/>
          </w:tcPr>
          <w:p w14:paraId="71FBB2C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10.000,00</w:t>
            </w:r>
          </w:p>
        </w:tc>
        <w:tc>
          <w:tcPr>
            <w:tcW w:w="1559" w:type="dxa"/>
            <w:tcBorders>
              <w:top w:val="nil"/>
              <w:left w:val="nil"/>
              <w:bottom w:val="nil"/>
              <w:right w:val="nil"/>
            </w:tcBorders>
            <w:shd w:val="clear" w:color="000000" w:fill="CCCCFF"/>
            <w:noWrap/>
            <w:vAlign w:val="bottom"/>
            <w:hideMark/>
          </w:tcPr>
          <w:p w14:paraId="6006295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10.000,00</w:t>
            </w:r>
          </w:p>
        </w:tc>
        <w:tc>
          <w:tcPr>
            <w:tcW w:w="1559" w:type="dxa"/>
            <w:tcBorders>
              <w:top w:val="nil"/>
              <w:left w:val="nil"/>
              <w:bottom w:val="nil"/>
              <w:right w:val="nil"/>
            </w:tcBorders>
            <w:shd w:val="clear" w:color="000000" w:fill="CCCCFF"/>
            <w:noWrap/>
            <w:vAlign w:val="bottom"/>
            <w:hideMark/>
          </w:tcPr>
          <w:p w14:paraId="676C356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3D4ACCD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5E7DEDCD" w14:textId="77777777" w:rsidTr="008A61B1">
        <w:trPr>
          <w:trHeight w:val="495"/>
        </w:trPr>
        <w:tc>
          <w:tcPr>
            <w:tcW w:w="1134" w:type="dxa"/>
            <w:tcBorders>
              <w:top w:val="nil"/>
              <w:left w:val="nil"/>
              <w:bottom w:val="nil"/>
              <w:right w:val="nil"/>
            </w:tcBorders>
            <w:noWrap/>
            <w:vAlign w:val="bottom"/>
            <w:hideMark/>
          </w:tcPr>
          <w:p w14:paraId="1EFD880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7F5737F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500A37D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noWrap/>
            <w:vAlign w:val="bottom"/>
            <w:hideMark/>
          </w:tcPr>
          <w:p w14:paraId="330D604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noWrap/>
            <w:vAlign w:val="bottom"/>
            <w:hideMark/>
          </w:tcPr>
          <w:p w14:paraId="2332E1C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720C574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1694A905" w14:textId="77777777" w:rsidTr="008A61B1">
        <w:trPr>
          <w:trHeight w:val="570"/>
        </w:trPr>
        <w:tc>
          <w:tcPr>
            <w:tcW w:w="1134" w:type="dxa"/>
            <w:tcBorders>
              <w:top w:val="nil"/>
              <w:left w:val="nil"/>
              <w:bottom w:val="nil"/>
              <w:right w:val="nil"/>
            </w:tcBorders>
            <w:shd w:val="clear" w:color="000000" w:fill="FFFF99"/>
            <w:noWrap/>
            <w:vAlign w:val="bottom"/>
            <w:hideMark/>
          </w:tcPr>
          <w:p w14:paraId="2018C09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K100103</w:t>
            </w:r>
          </w:p>
        </w:tc>
        <w:tc>
          <w:tcPr>
            <w:tcW w:w="4962" w:type="dxa"/>
            <w:tcBorders>
              <w:top w:val="nil"/>
              <w:left w:val="nil"/>
              <w:bottom w:val="nil"/>
              <w:right w:val="nil"/>
            </w:tcBorders>
            <w:shd w:val="clear" w:color="000000" w:fill="FFFF99"/>
            <w:vAlign w:val="bottom"/>
            <w:hideMark/>
          </w:tcPr>
          <w:p w14:paraId="70A1490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Kapitalni projekt: REKONSTRUKCIJA ULICE TINA UJEVIĆA</w:t>
            </w:r>
          </w:p>
        </w:tc>
        <w:tc>
          <w:tcPr>
            <w:tcW w:w="1559" w:type="dxa"/>
            <w:tcBorders>
              <w:top w:val="nil"/>
              <w:left w:val="nil"/>
              <w:bottom w:val="nil"/>
              <w:right w:val="nil"/>
            </w:tcBorders>
            <w:shd w:val="clear" w:color="000000" w:fill="FFFF99"/>
            <w:noWrap/>
            <w:vAlign w:val="bottom"/>
            <w:hideMark/>
          </w:tcPr>
          <w:p w14:paraId="767A97A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172.000,00</w:t>
            </w:r>
          </w:p>
        </w:tc>
        <w:tc>
          <w:tcPr>
            <w:tcW w:w="1559" w:type="dxa"/>
            <w:tcBorders>
              <w:top w:val="nil"/>
              <w:left w:val="nil"/>
              <w:bottom w:val="nil"/>
              <w:right w:val="nil"/>
            </w:tcBorders>
            <w:shd w:val="clear" w:color="000000" w:fill="FFFF99"/>
            <w:noWrap/>
            <w:vAlign w:val="bottom"/>
            <w:hideMark/>
          </w:tcPr>
          <w:p w14:paraId="58180DD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172.000,00</w:t>
            </w:r>
          </w:p>
        </w:tc>
        <w:tc>
          <w:tcPr>
            <w:tcW w:w="1559" w:type="dxa"/>
            <w:tcBorders>
              <w:top w:val="nil"/>
              <w:left w:val="nil"/>
              <w:bottom w:val="nil"/>
              <w:right w:val="nil"/>
            </w:tcBorders>
            <w:shd w:val="clear" w:color="000000" w:fill="FFFF99"/>
            <w:noWrap/>
            <w:vAlign w:val="bottom"/>
            <w:hideMark/>
          </w:tcPr>
          <w:p w14:paraId="2DD727C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171.632,91</w:t>
            </w:r>
          </w:p>
        </w:tc>
        <w:tc>
          <w:tcPr>
            <w:tcW w:w="993" w:type="dxa"/>
            <w:tcBorders>
              <w:top w:val="nil"/>
              <w:left w:val="nil"/>
              <w:bottom w:val="nil"/>
              <w:right w:val="nil"/>
            </w:tcBorders>
            <w:shd w:val="clear" w:color="000000" w:fill="FFFF99"/>
            <w:noWrap/>
            <w:vAlign w:val="bottom"/>
            <w:hideMark/>
          </w:tcPr>
          <w:p w14:paraId="321CD14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99,79%</w:t>
            </w:r>
          </w:p>
        </w:tc>
      </w:tr>
      <w:tr w:rsidR="006967F8" w:rsidRPr="006967F8" w14:paraId="6F36FB3E"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024E8B3"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03000A9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172.000,00</w:t>
            </w:r>
          </w:p>
        </w:tc>
        <w:tc>
          <w:tcPr>
            <w:tcW w:w="1559" w:type="dxa"/>
            <w:tcBorders>
              <w:top w:val="nil"/>
              <w:left w:val="nil"/>
              <w:bottom w:val="nil"/>
              <w:right w:val="nil"/>
            </w:tcBorders>
            <w:shd w:val="clear" w:color="000000" w:fill="CCCCFF"/>
            <w:noWrap/>
            <w:vAlign w:val="bottom"/>
            <w:hideMark/>
          </w:tcPr>
          <w:p w14:paraId="33A354D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172.000,00</w:t>
            </w:r>
          </w:p>
        </w:tc>
        <w:tc>
          <w:tcPr>
            <w:tcW w:w="1559" w:type="dxa"/>
            <w:tcBorders>
              <w:top w:val="nil"/>
              <w:left w:val="nil"/>
              <w:bottom w:val="nil"/>
              <w:right w:val="nil"/>
            </w:tcBorders>
            <w:shd w:val="clear" w:color="000000" w:fill="CCCCFF"/>
            <w:noWrap/>
            <w:vAlign w:val="bottom"/>
            <w:hideMark/>
          </w:tcPr>
          <w:p w14:paraId="1BF9A97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171.632,91</w:t>
            </w:r>
          </w:p>
        </w:tc>
        <w:tc>
          <w:tcPr>
            <w:tcW w:w="993" w:type="dxa"/>
            <w:tcBorders>
              <w:top w:val="nil"/>
              <w:left w:val="nil"/>
              <w:bottom w:val="nil"/>
              <w:right w:val="nil"/>
            </w:tcBorders>
            <w:shd w:val="clear" w:color="000000" w:fill="CCCCFF"/>
            <w:noWrap/>
            <w:vAlign w:val="bottom"/>
            <w:hideMark/>
          </w:tcPr>
          <w:p w14:paraId="53E765B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99,79%</w:t>
            </w:r>
          </w:p>
        </w:tc>
      </w:tr>
      <w:tr w:rsidR="006967F8" w:rsidRPr="006967F8" w14:paraId="72025236"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B5175D5"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4.3. Ostali prihodi za posebne namjene</w:t>
            </w:r>
          </w:p>
        </w:tc>
        <w:tc>
          <w:tcPr>
            <w:tcW w:w="1559" w:type="dxa"/>
            <w:tcBorders>
              <w:top w:val="nil"/>
              <w:left w:val="nil"/>
              <w:bottom w:val="nil"/>
              <w:right w:val="nil"/>
            </w:tcBorders>
            <w:shd w:val="clear" w:color="000000" w:fill="CCCCFF"/>
            <w:noWrap/>
            <w:vAlign w:val="bottom"/>
            <w:hideMark/>
          </w:tcPr>
          <w:p w14:paraId="6F222D0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172.000,00</w:t>
            </w:r>
          </w:p>
        </w:tc>
        <w:tc>
          <w:tcPr>
            <w:tcW w:w="1559" w:type="dxa"/>
            <w:tcBorders>
              <w:top w:val="nil"/>
              <w:left w:val="nil"/>
              <w:bottom w:val="nil"/>
              <w:right w:val="nil"/>
            </w:tcBorders>
            <w:shd w:val="clear" w:color="000000" w:fill="CCCCFF"/>
            <w:noWrap/>
            <w:vAlign w:val="bottom"/>
            <w:hideMark/>
          </w:tcPr>
          <w:p w14:paraId="0D26CF7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172.000,00</w:t>
            </w:r>
          </w:p>
        </w:tc>
        <w:tc>
          <w:tcPr>
            <w:tcW w:w="1559" w:type="dxa"/>
            <w:tcBorders>
              <w:top w:val="nil"/>
              <w:left w:val="nil"/>
              <w:bottom w:val="nil"/>
              <w:right w:val="nil"/>
            </w:tcBorders>
            <w:shd w:val="clear" w:color="000000" w:fill="CCCCFF"/>
            <w:noWrap/>
            <w:vAlign w:val="bottom"/>
            <w:hideMark/>
          </w:tcPr>
          <w:p w14:paraId="24F20BB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171.632,91</w:t>
            </w:r>
          </w:p>
        </w:tc>
        <w:tc>
          <w:tcPr>
            <w:tcW w:w="993" w:type="dxa"/>
            <w:tcBorders>
              <w:top w:val="nil"/>
              <w:left w:val="nil"/>
              <w:bottom w:val="nil"/>
              <w:right w:val="nil"/>
            </w:tcBorders>
            <w:shd w:val="clear" w:color="000000" w:fill="CCCCFF"/>
            <w:noWrap/>
            <w:vAlign w:val="bottom"/>
            <w:hideMark/>
          </w:tcPr>
          <w:p w14:paraId="74B8D64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99,79%</w:t>
            </w:r>
          </w:p>
        </w:tc>
      </w:tr>
      <w:tr w:rsidR="006967F8" w:rsidRPr="006967F8" w14:paraId="419582DB" w14:textId="77777777" w:rsidTr="008A61B1">
        <w:trPr>
          <w:trHeight w:val="525"/>
        </w:trPr>
        <w:tc>
          <w:tcPr>
            <w:tcW w:w="1134" w:type="dxa"/>
            <w:tcBorders>
              <w:top w:val="nil"/>
              <w:left w:val="nil"/>
              <w:bottom w:val="nil"/>
              <w:right w:val="nil"/>
            </w:tcBorders>
            <w:noWrap/>
            <w:vAlign w:val="bottom"/>
            <w:hideMark/>
          </w:tcPr>
          <w:p w14:paraId="5E18E6C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7C59BE7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19EE116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172.000,00</w:t>
            </w:r>
          </w:p>
        </w:tc>
        <w:tc>
          <w:tcPr>
            <w:tcW w:w="1559" w:type="dxa"/>
            <w:tcBorders>
              <w:top w:val="nil"/>
              <w:left w:val="nil"/>
              <w:bottom w:val="nil"/>
              <w:right w:val="nil"/>
            </w:tcBorders>
            <w:noWrap/>
            <w:vAlign w:val="bottom"/>
            <w:hideMark/>
          </w:tcPr>
          <w:p w14:paraId="5D1ECBF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172.000,00</w:t>
            </w:r>
          </w:p>
        </w:tc>
        <w:tc>
          <w:tcPr>
            <w:tcW w:w="1559" w:type="dxa"/>
            <w:tcBorders>
              <w:top w:val="nil"/>
              <w:left w:val="nil"/>
              <w:bottom w:val="nil"/>
              <w:right w:val="nil"/>
            </w:tcBorders>
            <w:noWrap/>
            <w:vAlign w:val="bottom"/>
            <w:hideMark/>
          </w:tcPr>
          <w:p w14:paraId="0183FFB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171.632,91</w:t>
            </w:r>
          </w:p>
        </w:tc>
        <w:tc>
          <w:tcPr>
            <w:tcW w:w="993" w:type="dxa"/>
            <w:tcBorders>
              <w:top w:val="nil"/>
              <w:left w:val="nil"/>
              <w:bottom w:val="nil"/>
              <w:right w:val="nil"/>
            </w:tcBorders>
            <w:noWrap/>
            <w:vAlign w:val="bottom"/>
            <w:hideMark/>
          </w:tcPr>
          <w:p w14:paraId="3FF5539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99,79%</w:t>
            </w:r>
          </w:p>
        </w:tc>
      </w:tr>
      <w:tr w:rsidR="006967F8" w:rsidRPr="006967F8" w14:paraId="08B85254" w14:textId="77777777" w:rsidTr="008A61B1">
        <w:trPr>
          <w:trHeight w:val="255"/>
        </w:trPr>
        <w:tc>
          <w:tcPr>
            <w:tcW w:w="1134" w:type="dxa"/>
            <w:tcBorders>
              <w:top w:val="nil"/>
              <w:left w:val="nil"/>
              <w:bottom w:val="nil"/>
              <w:right w:val="nil"/>
            </w:tcBorders>
            <w:noWrap/>
            <w:vAlign w:val="bottom"/>
            <w:hideMark/>
          </w:tcPr>
          <w:p w14:paraId="1FC9E22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4213</w:t>
            </w:r>
          </w:p>
        </w:tc>
        <w:tc>
          <w:tcPr>
            <w:tcW w:w="4962" w:type="dxa"/>
            <w:tcBorders>
              <w:top w:val="nil"/>
              <w:left w:val="nil"/>
              <w:bottom w:val="nil"/>
              <w:right w:val="nil"/>
            </w:tcBorders>
            <w:noWrap/>
            <w:vAlign w:val="bottom"/>
            <w:hideMark/>
          </w:tcPr>
          <w:p w14:paraId="1EF6B14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Ceste, željeznice i ostali prometni objekti</w:t>
            </w:r>
          </w:p>
        </w:tc>
        <w:tc>
          <w:tcPr>
            <w:tcW w:w="1559" w:type="dxa"/>
            <w:tcBorders>
              <w:top w:val="nil"/>
              <w:left w:val="nil"/>
              <w:bottom w:val="nil"/>
              <w:right w:val="nil"/>
            </w:tcBorders>
            <w:noWrap/>
            <w:vAlign w:val="bottom"/>
            <w:hideMark/>
          </w:tcPr>
          <w:p w14:paraId="78FC2EA8"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D96EDDF"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230742E"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171.632,91</w:t>
            </w:r>
          </w:p>
        </w:tc>
        <w:tc>
          <w:tcPr>
            <w:tcW w:w="993" w:type="dxa"/>
            <w:tcBorders>
              <w:top w:val="nil"/>
              <w:left w:val="nil"/>
              <w:bottom w:val="nil"/>
              <w:right w:val="nil"/>
            </w:tcBorders>
            <w:noWrap/>
            <w:vAlign w:val="bottom"/>
            <w:hideMark/>
          </w:tcPr>
          <w:p w14:paraId="37E5DF67"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38C8397" w14:textId="77777777" w:rsidTr="008A61B1">
        <w:trPr>
          <w:trHeight w:val="900"/>
        </w:trPr>
        <w:tc>
          <w:tcPr>
            <w:tcW w:w="1134" w:type="dxa"/>
            <w:tcBorders>
              <w:top w:val="nil"/>
              <w:left w:val="nil"/>
              <w:bottom w:val="nil"/>
              <w:right w:val="nil"/>
            </w:tcBorders>
            <w:shd w:val="clear" w:color="000000" w:fill="FFFF99"/>
            <w:noWrap/>
            <w:vAlign w:val="bottom"/>
            <w:hideMark/>
          </w:tcPr>
          <w:p w14:paraId="223B272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K100106</w:t>
            </w:r>
          </w:p>
        </w:tc>
        <w:tc>
          <w:tcPr>
            <w:tcW w:w="4962" w:type="dxa"/>
            <w:tcBorders>
              <w:top w:val="nil"/>
              <w:left w:val="nil"/>
              <w:bottom w:val="nil"/>
              <w:right w:val="nil"/>
            </w:tcBorders>
            <w:shd w:val="clear" w:color="000000" w:fill="FFFF99"/>
            <w:vAlign w:val="bottom"/>
            <w:hideMark/>
          </w:tcPr>
          <w:p w14:paraId="525AA7D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Kapitalni projekt: REKONSTRUKCIJA ULICE KNEZA TRPIMIRA DO DJEČJEG VRTIĆA MASLAČAK</w:t>
            </w:r>
          </w:p>
        </w:tc>
        <w:tc>
          <w:tcPr>
            <w:tcW w:w="1559" w:type="dxa"/>
            <w:tcBorders>
              <w:top w:val="nil"/>
              <w:left w:val="nil"/>
              <w:bottom w:val="nil"/>
              <w:right w:val="nil"/>
            </w:tcBorders>
            <w:shd w:val="clear" w:color="000000" w:fill="FFFF99"/>
            <w:noWrap/>
            <w:vAlign w:val="bottom"/>
            <w:hideMark/>
          </w:tcPr>
          <w:p w14:paraId="7AE5A94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12.000,00</w:t>
            </w:r>
          </w:p>
        </w:tc>
        <w:tc>
          <w:tcPr>
            <w:tcW w:w="1559" w:type="dxa"/>
            <w:tcBorders>
              <w:top w:val="nil"/>
              <w:left w:val="nil"/>
              <w:bottom w:val="nil"/>
              <w:right w:val="nil"/>
            </w:tcBorders>
            <w:shd w:val="clear" w:color="000000" w:fill="FFFF99"/>
            <w:noWrap/>
            <w:vAlign w:val="bottom"/>
            <w:hideMark/>
          </w:tcPr>
          <w:p w14:paraId="579D437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12.000,00</w:t>
            </w:r>
          </w:p>
        </w:tc>
        <w:tc>
          <w:tcPr>
            <w:tcW w:w="1559" w:type="dxa"/>
            <w:tcBorders>
              <w:top w:val="nil"/>
              <w:left w:val="nil"/>
              <w:bottom w:val="nil"/>
              <w:right w:val="nil"/>
            </w:tcBorders>
            <w:shd w:val="clear" w:color="000000" w:fill="FFFF99"/>
            <w:noWrap/>
            <w:vAlign w:val="bottom"/>
            <w:hideMark/>
          </w:tcPr>
          <w:p w14:paraId="4732318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w:t>
            </w:r>
          </w:p>
        </w:tc>
        <w:tc>
          <w:tcPr>
            <w:tcW w:w="993" w:type="dxa"/>
            <w:tcBorders>
              <w:top w:val="nil"/>
              <w:left w:val="nil"/>
              <w:bottom w:val="nil"/>
              <w:right w:val="nil"/>
            </w:tcBorders>
            <w:shd w:val="clear" w:color="000000" w:fill="FFFF99"/>
            <w:noWrap/>
            <w:vAlign w:val="bottom"/>
            <w:hideMark/>
          </w:tcPr>
          <w:p w14:paraId="6BA2E73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4,17%</w:t>
            </w:r>
          </w:p>
        </w:tc>
      </w:tr>
      <w:tr w:rsidR="006967F8" w:rsidRPr="006967F8" w14:paraId="2EC0AB65"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0A11FA2"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6047534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12.000,00</w:t>
            </w:r>
          </w:p>
        </w:tc>
        <w:tc>
          <w:tcPr>
            <w:tcW w:w="1559" w:type="dxa"/>
            <w:tcBorders>
              <w:top w:val="nil"/>
              <w:left w:val="nil"/>
              <w:bottom w:val="nil"/>
              <w:right w:val="nil"/>
            </w:tcBorders>
            <w:shd w:val="clear" w:color="000000" w:fill="CCCCFF"/>
            <w:noWrap/>
            <w:vAlign w:val="bottom"/>
            <w:hideMark/>
          </w:tcPr>
          <w:p w14:paraId="2B52CB4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12.000,00</w:t>
            </w:r>
          </w:p>
        </w:tc>
        <w:tc>
          <w:tcPr>
            <w:tcW w:w="1559" w:type="dxa"/>
            <w:tcBorders>
              <w:top w:val="nil"/>
              <w:left w:val="nil"/>
              <w:bottom w:val="nil"/>
              <w:right w:val="nil"/>
            </w:tcBorders>
            <w:shd w:val="clear" w:color="000000" w:fill="CCCCFF"/>
            <w:noWrap/>
            <w:vAlign w:val="bottom"/>
            <w:hideMark/>
          </w:tcPr>
          <w:p w14:paraId="224DE9C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500,00</w:t>
            </w:r>
          </w:p>
        </w:tc>
        <w:tc>
          <w:tcPr>
            <w:tcW w:w="993" w:type="dxa"/>
            <w:tcBorders>
              <w:top w:val="nil"/>
              <w:left w:val="nil"/>
              <w:bottom w:val="nil"/>
              <w:right w:val="nil"/>
            </w:tcBorders>
            <w:shd w:val="clear" w:color="000000" w:fill="CCCCFF"/>
            <w:noWrap/>
            <w:vAlign w:val="bottom"/>
            <w:hideMark/>
          </w:tcPr>
          <w:p w14:paraId="220ED9A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4,17%</w:t>
            </w:r>
          </w:p>
        </w:tc>
      </w:tr>
      <w:tr w:rsidR="006967F8" w:rsidRPr="006967F8" w14:paraId="4CB70D2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07BFF5C"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4.1. Komunalni doprinos</w:t>
            </w:r>
          </w:p>
        </w:tc>
        <w:tc>
          <w:tcPr>
            <w:tcW w:w="1559" w:type="dxa"/>
            <w:tcBorders>
              <w:top w:val="nil"/>
              <w:left w:val="nil"/>
              <w:bottom w:val="nil"/>
              <w:right w:val="nil"/>
            </w:tcBorders>
            <w:shd w:val="clear" w:color="000000" w:fill="CCCCFF"/>
            <w:noWrap/>
            <w:vAlign w:val="bottom"/>
            <w:hideMark/>
          </w:tcPr>
          <w:p w14:paraId="200032B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12.000,00</w:t>
            </w:r>
          </w:p>
        </w:tc>
        <w:tc>
          <w:tcPr>
            <w:tcW w:w="1559" w:type="dxa"/>
            <w:tcBorders>
              <w:top w:val="nil"/>
              <w:left w:val="nil"/>
              <w:bottom w:val="nil"/>
              <w:right w:val="nil"/>
            </w:tcBorders>
            <w:shd w:val="clear" w:color="000000" w:fill="CCCCFF"/>
            <w:noWrap/>
            <w:vAlign w:val="bottom"/>
            <w:hideMark/>
          </w:tcPr>
          <w:p w14:paraId="42A60BC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12.000,00</w:t>
            </w:r>
          </w:p>
        </w:tc>
        <w:tc>
          <w:tcPr>
            <w:tcW w:w="1559" w:type="dxa"/>
            <w:tcBorders>
              <w:top w:val="nil"/>
              <w:left w:val="nil"/>
              <w:bottom w:val="nil"/>
              <w:right w:val="nil"/>
            </w:tcBorders>
            <w:shd w:val="clear" w:color="000000" w:fill="CCCCFF"/>
            <w:noWrap/>
            <w:vAlign w:val="bottom"/>
            <w:hideMark/>
          </w:tcPr>
          <w:p w14:paraId="771E390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500,00</w:t>
            </w:r>
          </w:p>
        </w:tc>
        <w:tc>
          <w:tcPr>
            <w:tcW w:w="993" w:type="dxa"/>
            <w:tcBorders>
              <w:top w:val="nil"/>
              <w:left w:val="nil"/>
              <w:bottom w:val="nil"/>
              <w:right w:val="nil"/>
            </w:tcBorders>
            <w:shd w:val="clear" w:color="000000" w:fill="CCCCFF"/>
            <w:noWrap/>
            <w:vAlign w:val="bottom"/>
            <w:hideMark/>
          </w:tcPr>
          <w:p w14:paraId="5D7E2DF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4,17%</w:t>
            </w:r>
          </w:p>
        </w:tc>
      </w:tr>
      <w:tr w:rsidR="006967F8" w:rsidRPr="006967F8" w14:paraId="4A184926" w14:textId="77777777" w:rsidTr="008A61B1">
        <w:trPr>
          <w:trHeight w:val="540"/>
        </w:trPr>
        <w:tc>
          <w:tcPr>
            <w:tcW w:w="1134" w:type="dxa"/>
            <w:tcBorders>
              <w:top w:val="nil"/>
              <w:left w:val="nil"/>
              <w:bottom w:val="nil"/>
              <w:right w:val="nil"/>
            </w:tcBorders>
            <w:noWrap/>
            <w:vAlign w:val="bottom"/>
            <w:hideMark/>
          </w:tcPr>
          <w:p w14:paraId="2580DE5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41</w:t>
            </w:r>
          </w:p>
        </w:tc>
        <w:tc>
          <w:tcPr>
            <w:tcW w:w="4962" w:type="dxa"/>
            <w:tcBorders>
              <w:top w:val="nil"/>
              <w:left w:val="nil"/>
              <w:bottom w:val="nil"/>
              <w:right w:val="nil"/>
            </w:tcBorders>
            <w:vAlign w:val="bottom"/>
            <w:hideMark/>
          </w:tcPr>
          <w:p w14:paraId="5BDDD65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Rashodi za nabavu </w:t>
            </w:r>
            <w:proofErr w:type="spellStart"/>
            <w:r w:rsidRPr="006967F8">
              <w:rPr>
                <w:rFonts w:ascii="Arial" w:eastAsia="Times New Roman" w:hAnsi="Arial" w:cs="Arial"/>
                <w:b/>
                <w:bCs/>
                <w:sz w:val="20"/>
                <w:szCs w:val="20"/>
                <w:lang w:eastAsia="hr-HR"/>
              </w:rPr>
              <w:t>neproizvedene</w:t>
            </w:r>
            <w:proofErr w:type="spellEnd"/>
            <w:r w:rsidRPr="006967F8">
              <w:rPr>
                <w:rFonts w:ascii="Arial" w:eastAsia="Times New Roman" w:hAnsi="Arial" w:cs="Arial"/>
                <w:b/>
                <w:bCs/>
                <w:sz w:val="20"/>
                <w:szCs w:val="20"/>
                <w:lang w:eastAsia="hr-HR"/>
              </w:rPr>
              <w:t xml:space="preserve"> dugotrajne imovine</w:t>
            </w:r>
          </w:p>
        </w:tc>
        <w:tc>
          <w:tcPr>
            <w:tcW w:w="1559" w:type="dxa"/>
            <w:tcBorders>
              <w:top w:val="nil"/>
              <w:left w:val="nil"/>
              <w:bottom w:val="nil"/>
              <w:right w:val="nil"/>
            </w:tcBorders>
            <w:noWrap/>
            <w:vAlign w:val="bottom"/>
            <w:hideMark/>
          </w:tcPr>
          <w:p w14:paraId="6875A12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w:t>
            </w:r>
          </w:p>
        </w:tc>
        <w:tc>
          <w:tcPr>
            <w:tcW w:w="1559" w:type="dxa"/>
            <w:tcBorders>
              <w:top w:val="nil"/>
              <w:left w:val="nil"/>
              <w:bottom w:val="nil"/>
              <w:right w:val="nil"/>
            </w:tcBorders>
            <w:noWrap/>
            <w:vAlign w:val="bottom"/>
            <w:hideMark/>
          </w:tcPr>
          <w:p w14:paraId="03B50AB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w:t>
            </w:r>
          </w:p>
        </w:tc>
        <w:tc>
          <w:tcPr>
            <w:tcW w:w="1559" w:type="dxa"/>
            <w:tcBorders>
              <w:top w:val="nil"/>
              <w:left w:val="nil"/>
              <w:bottom w:val="nil"/>
              <w:right w:val="nil"/>
            </w:tcBorders>
            <w:noWrap/>
            <w:vAlign w:val="bottom"/>
            <w:hideMark/>
          </w:tcPr>
          <w:p w14:paraId="5368363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5FF4B6D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3970DEAA" w14:textId="77777777" w:rsidTr="008A61B1">
        <w:trPr>
          <w:trHeight w:val="465"/>
        </w:trPr>
        <w:tc>
          <w:tcPr>
            <w:tcW w:w="1134" w:type="dxa"/>
            <w:tcBorders>
              <w:top w:val="nil"/>
              <w:left w:val="nil"/>
              <w:bottom w:val="nil"/>
              <w:right w:val="nil"/>
            </w:tcBorders>
            <w:noWrap/>
            <w:vAlign w:val="bottom"/>
            <w:hideMark/>
          </w:tcPr>
          <w:p w14:paraId="20BB233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46433B8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1C50045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noWrap/>
            <w:vAlign w:val="bottom"/>
            <w:hideMark/>
          </w:tcPr>
          <w:p w14:paraId="44C2291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noWrap/>
            <w:vAlign w:val="bottom"/>
            <w:hideMark/>
          </w:tcPr>
          <w:p w14:paraId="67AFEBE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w:t>
            </w:r>
          </w:p>
        </w:tc>
        <w:tc>
          <w:tcPr>
            <w:tcW w:w="993" w:type="dxa"/>
            <w:tcBorders>
              <w:top w:val="nil"/>
              <w:left w:val="nil"/>
              <w:bottom w:val="nil"/>
              <w:right w:val="nil"/>
            </w:tcBorders>
            <w:noWrap/>
            <w:vAlign w:val="bottom"/>
            <w:hideMark/>
          </w:tcPr>
          <w:p w14:paraId="62FA5A8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w:t>
            </w:r>
          </w:p>
        </w:tc>
      </w:tr>
      <w:tr w:rsidR="006967F8" w:rsidRPr="006967F8" w14:paraId="081F7AD1" w14:textId="77777777" w:rsidTr="008A61B1">
        <w:trPr>
          <w:trHeight w:val="255"/>
        </w:trPr>
        <w:tc>
          <w:tcPr>
            <w:tcW w:w="1134" w:type="dxa"/>
            <w:tcBorders>
              <w:top w:val="nil"/>
              <w:left w:val="nil"/>
              <w:bottom w:val="nil"/>
              <w:right w:val="nil"/>
            </w:tcBorders>
            <w:noWrap/>
            <w:vAlign w:val="bottom"/>
            <w:hideMark/>
          </w:tcPr>
          <w:p w14:paraId="3A1AFAD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4213</w:t>
            </w:r>
          </w:p>
        </w:tc>
        <w:tc>
          <w:tcPr>
            <w:tcW w:w="4962" w:type="dxa"/>
            <w:tcBorders>
              <w:top w:val="nil"/>
              <w:left w:val="nil"/>
              <w:bottom w:val="nil"/>
              <w:right w:val="nil"/>
            </w:tcBorders>
            <w:noWrap/>
            <w:vAlign w:val="bottom"/>
            <w:hideMark/>
          </w:tcPr>
          <w:p w14:paraId="3817120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Ceste, željeznice i ostali prometni objekti</w:t>
            </w:r>
          </w:p>
        </w:tc>
        <w:tc>
          <w:tcPr>
            <w:tcW w:w="1559" w:type="dxa"/>
            <w:tcBorders>
              <w:top w:val="nil"/>
              <w:left w:val="nil"/>
              <w:bottom w:val="nil"/>
              <w:right w:val="nil"/>
            </w:tcBorders>
            <w:noWrap/>
            <w:vAlign w:val="bottom"/>
            <w:hideMark/>
          </w:tcPr>
          <w:p w14:paraId="681C8324"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8DFF70A"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314F0E2"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500,00</w:t>
            </w:r>
          </w:p>
        </w:tc>
        <w:tc>
          <w:tcPr>
            <w:tcW w:w="993" w:type="dxa"/>
            <w:tcBorders>
              <w:top w:val="nil"/>
              <w:left w:val="nil"/>
              <w:bottom w:val="nil"/>
              <w:right w:val="nil"/>
            </w:tcBorders>
            <w:noWrap/>
            <w:vAlign w:val="bottom"/>
            <w:hideMark/>
          </w:tcPr>
          <w:p w14:paraId="4569D50F"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43F7998" w14:textId="77777777" w:rsidTr="008A61B1">
        <w:trPr>
          <w:trHeight w:val="585"/>
        </w:trPr>
        <w:tc>
          <w:tcPr>
            <w:tcW w:w="1134" w:type="dxa"/>
            <w:tcBorders>
              <w:top w:val="nil"/>
              <w:left w:val="nil"/>
              <w:bottom w:val="nil"/>
              <w:right w:val="nil"/>
            </w:tcBorders>
            <w:shd w:val="clear" w:color="000000" w:fill="FFFF99"/>
            <w:noWrap/>
            <w:vAlign w:val="bottom"/>
            <w:hideMark/>
          </w:tcPr>
          <w:p w14:paraId="3AB759A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K100107</w:t>
            </w:r>
          </w:p>
        </w:tc>
        <w:tc>
          <w:tcPr>
            <w:tcW w:w="4962" w:type="dxa"/>
            <w:tcBorders>
              <w:top w:val="nil"/>
              <w:left w:val="nil"/>
              <w:bottom w:val="nil"/>
              <w:right w:val="nil"/>
            </w:tcBorders>
            <w:shd w:val="clear" w:color="000000" w:fill="FFFF99"/>
            <w:vAlign w:val="bottom"/>
            <w:hideMark/>
          </w:tcPr>
          <w:p w14:paraId="26F7183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Kapitalni projekt: REKONSTRUKCIJA ULICE ANTE STARČEVIĆA</w:t>
            </w:r>
          </w:p>
        </w:tc>
        <w:tc>
          <w:tcPr>
            <w:tcW w:w="1559" w:type="dxa"/>
            <w:tcBorders>
              <w:top w:val="nil"/>
              <w:left w:val="nil"/>
              <w:bottom w:val="nil"/>
              <w:right w:val="nil"/>
            </w:tcBorders>
            <w:shd w:val="clear" w:color="000000" w:fill="FFFF99"/>
            <w:noWrap/>
            <w:vAlign w:val="bottom"/>
            <w:hideMark/>
          </w:tcPr>
          <w:p w14:paraId="7068A07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1.658.000,00</w:t>
            </w:r>
          </w:p>
        </w:tc>
        <w:tc>
          <w:tcPr>
            <w:tcW w:w="1559" w:type="dxa"/>
            <w:tcBorders>
              <w:top w:val="nil"/>
              <w:left w:val="nil"/>
              <w:bottom w:val="nil"/>
              <w:right w:val="nil"/>
            </w:tcBorders>
            <w:shd w:val="clear" w:color="000000" w:fill="FFFF99"/>
            <w:noWrap/>
            <w:vAlign w:val="bottom"/>
            <w:hideMark/>
          </w:tcPr>
          <w:p w14:paraId="78E0CEB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1.605.975,00</w:t>
            </w:r>
          </w:p>
        </w:tc>
        <w:tc>
          <w:tcPr>
            <w:tcW w:w="1559" w:type="dxa"/>
            <w:tcBorders>
              <w:top w:val="nil"/>
              <w:left w:val="nil"/>
              <w:bottom w:val="nil"/>
              <w:right w:val="nil"/>
            </w:tcBorders>
            <w:shd w:val="clear" w:color="000000" w:fill="FFFF99"/>
            <w:noWrap/>
            <w:vAlign w:val="bottom"/>
            <w:hideMark/>
          </w:tcPr>
          <w:p w14:paraId="6366580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1.217.105,44</w:t>
            </w:r>
          </w:p>
        </w:tc>
        <w:tc>
          <w:tcPr>
            <w:tcW w:w="993" w:type="dxa"/>
            <w:tcBorders>
              <w:top w:val="nil"/>
              <w:left w:val="nil"/>
              <w:bottom w:val="nil"/>
              <w:right w:val="nil"/>
            </w:tcBorders>
            <w:shd w:val="clear" w:color="000000" w:fill="FFFF99"/>
            <w:noWrap/>
            <w:vAlign w:val="bottom"/>
            <w:hideMark/>
          </w:tcPr>
          <w:p w14:paraId="684B1A5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75,79%</w:t>
            </w:r>
          </w:p>
        </w:tc>
      </w:tr>
      <w:tr w:rsidR="006967F8" w:rsidRPr="006967F8" w14:paraId="2C9A9A9C"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2286FD8"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5457911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238.000,00</w:t>
            </w:r>
          </w:p>
        </w:tc>
        <w:tc>
          <w:tcPr>
            <w:tcW w:w="1559" w:type="dxa"/>
            <w:tcBorders>
              <w:top w:val="nil"/>
              <w:left w:val="nil"/>
              <w:bottom w:val="nil"/>
              <w:right w:val="nil"/>
            </w:tcBorders>
            <w:shd w:val="clear" w:color="000000" w:fill="CCCCFF"/>
            <w:noWrap/>
            <w:vAlign w:val="bottom"/>
            <w:hideMark/>
          </w:tcPr>
          <w:p w14:paraId="3E657D6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226.100,00</w:t>
            </w:r>
          </w:p>
        </w:tc>
        <w:tc>
          <w:tcPr>
            <w:tcW w:w="1559" w:type="dxa"/>
            <w:tcBorders>
              <w:top w:val="nil"/>
              <w:left w:val="nil"/>
              <w:bottom w:val="nil"/>
              <w:right w:val="nil"/>
            </w:tcBorders>
            <w:shd w:val="clear" w:color="000000" w:fill="CCCCFF"/>
            <w:noWrap/>
            <w:vAlign w:val="bottom"/>
            <w:hideMark/>
          </w:tcPr>
          <w:p w14:paraId="56891A7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64C9CBC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082130B7"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22A10F0"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4.1. Komunalni doprinos</w:t>
            </w:r>
          </w:p>
        </w:tc>
        <w:tc>
          <w:tcPr>
            <w:tcW w:w="1559" w:type="dxa"/>
            <w:tcBorders>
              <w:top w:val="nil"/>
              <w:left w:val="nil"/>
              <w:bottom w:val="nil"/>
              <w:right w:val="nil"/>
            </w:tcBorders>
            <w:shd w:val="clear" w:color="000000" w:fill="CCCCFF"/>
            <w:noWrap/>
            <w:vAlign w:val="bottom"/>
            <w:hideMark/>
          </w:tcPr>
          <w:p w14:paraId="62D89ED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238.000,00</w:t>
            </w:r>
          </w:p>
        </w:tc>
        <w:tc>
          <w:tcPr>
            <w:tcW w:w="1559" w:type="dxa"/>
            <w:tcBorders>
              <w:top w:val="nil"/>
              <w:left w:val="nil"/>
              <w:bottom w:val="nil"/>
              <w:right w:val="nil"/>
            </w:tcBorders>
            <w:shd w:val="clear" w:color="000000" w:fill="CCCCFF"/>
            <w:noWrap/>
            <w:vAlign w:val="bottom"/>
            <w:hideMark/>
          </w:tcPr>
          <w:p w14:paraId="2B52FEF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226.100,00</w:t>
            </w:r>
          </w:p>
        </w:tc>
        <w:tc>
          <w:tcPr>
            <w:tcW w:w="1559" w:type="dxa"/>
            <w:tcBorders>
              <w:top w:val="nil"/>
              <w:left w:val="nil"/>
              <w:bottom w:val="nil"/>
              <w:right w:val="nil"/>
            </w:tcBorders>
            <w:shd w:val="clear" w:color="000000" w:fill="CCCCFF"/>
            <w:noWrap/>
            <w:vAlign w:val="bottom"/>
            <w:hideMark/>
          </w:tcPr>
          <w:p w14:paraId="2A0C278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2F55C2D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6B016BD0" w14:textId="77777777" w:rsidTr="008A61B1">
        <w:trPr>
          <w:trHeight w:val="630"/>
        </w:trPr>
        <w:tc>
          <w:tcPr>
            <w:tcW w:w="1134" w:type="dxa"/>
            <w:tcBorders>
              <w:top w:val="nil"/>
              <w:left w:val="nil"/>
              <w:bottom w:val="nil"/>
              <w:right w:val="nil"/>
            </w:tcBorders>
            <w:noWrap/>
            <w:vAlign w:val="bottom"/>
            <w:hideMark/>
          </w:tcPr>
          <w:p w14:paraId="7C56983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2119AD7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711FF53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238.000,00</w:t>
            </w:r>
          </w:p>
        </w:tc>
        <w:tc>
          <w:tcPr>
            <w:tcW w:w="1559" w:type="dxa"/>
            <w:tcBorders>
              <w:top w:val="nil"/>
              <w:left w:val="nil"/>
              <w:bottom w:val="nil"/>
              <w:right w:val="nil"/>
            </w:tcBorders>
            <w:noWrap/>
            <w:vAlign w:val="bottom"/>
            <w:hideMark/>
          </w:tcPr>
          <w:p w14:paraId="720EE9B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226.100,00</w:t>
            </w:r>
          </w:p>
        </w:tc>
        <w:tc>
          <w:tcPr>
            <w:tcW w:w="1559" w:type="dxa"/>
            <w:tcBorders>
              <w:top w:val="nil"/>
              <w:left w:val="nil"/>
              <w:bottom w:val="nil"/>
              <w:right w:val="nil"/>
            </w:tcBorders>
            <w:noWrap/>
            <w:vAlign w:val="bottom"/>
            <w:hideMark/>
          </w:tcPr>
          <w:p w14:paraId="4127F37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34B3A65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2E1FEBF1"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091EF58"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6997C24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1.420.000,00</w:t>
            </w:r>
          </w:p>
        </w:tc>
        <w:tc>
          <w:tcPr>
            <w:tcW w:w="1559" w:type="dxa"/>
            <w:tcBorders>
              <w:top w:val="nil"/>
              <w:left w:val="nil"/>
              <w:bottom w:val="nil"/>
              <w:right w:val="nil"/>
            </w:tcBorders>
            <w:shd w:val="clear" w:color="000000" w:fill="CCCCFF"/>
            <w:noWrap/>
            <w:vAlign w:val="bottom"/>
            <w:hideMark/>
          </w:tcPr>
          <w:p w14:paraId="7E0530A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1.379.875,00</w:t>
            </w:r>
          </w:p>
        </w:tc>
        <w:tc>
          <w:tcPr>
            <w:tcW w:w="1559" w:type="dxa"/>
            <w:tcBorders>
              <w:top w:val="nil"/>
              <w:left w:val="nil"/>
              <w:bottom w:val="nil"/>
              <w:right w:val="nil"/>
            </w:tcBorders>
            <w:shd w:val="clear" w:color="000000" w:fill="CCCCFF"/>
            <w:noWrap/>
            <w:vAlign w:val="bottom"/>
            <w:hideMark/>
          </w:tcPr>
          <w:p w14:paraId="2828511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1.217.105,44</w:t>
            </w:r>
          </w:p>
        </w:tc>
        <w:tc>
          <w:tcPr>
            <w:tcW w:w="993" w:type="dxa"/>
            <w:tcBorders>
              <w:top w:val="nil"/>
              <w:left w:val="nil"/>
              <w:bottom w:val="nil"/>
              <w:right w:val="nil"/>
            </w:tcBorders>
            <w:shd w:val="clear" w:color="000000" w:fill="CCCCFF"/>
            <w:noWrap/>
            <w:vAlign w:val="bottom"/>
            <w:hideMark/>
          </w:tcPr>
          <w:p w14:paraId="2DBC5BF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88,20%</w:t>
            </w:r>
          </w:p>
        </w:tc>
      </w:tr>
      <w:tr w:rsidR="006967F8" w:rsidRPr="006967F8" w14:paraId="7C7BF17C"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9AB49A8"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5.9. PRENESENI VIŠAK/MANJAK- POMOĆI</w:t>
            </w:r>
          </w:p>
        </w:tc>
        <w:tc>
          <w:tcPr>
            <w:tcW w:w="1559" w:type="dxa"/>
            <w:tcBorders>
              <w:top w:val="nil"/>
              <w:left w:val="nil"/>
              <w:bottom w:val="nil"/>
              <w:right w:val="nil"/>
            </w:tcBorders>
            <w:shd w:val="clear" w:color="000000" w:fill="CCCCFF"/>
            <w:noWrap/>
            <w:vAlign w:val="bottom"/>
            <w:hideMark/>
          </w:tcPr>
          <w:p w14:paraId="5B3561F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1.420.000,00</w:t>
            </w:r>
          </w:p>
        </w:tc>
        <w:tc>
          <w:tcPr>
            <w:tcW w:w="1559" w:type="dxa"/>
            <w:tcBorders>
              <w:top w:val="nil"/>
              <w:left w:val="nil"/>
              <w:bottom w:val="nil"/>
              <w:right w:val="nil"/>
            </w:tcBorders>
            <w:shd w:val="clear" w:color="000000" w:fill="CCCCFF"/>
            <w:noWrap/>
            <w:vAlign w:val="bottom"/>
            <w:hideMark/>
          </w:tcPr>
          <w:p w14:paraId="29FCE3F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1.379.875,00</w:t>
            </w:r>
          </w:p>
        </w:tc>
        <w:tc>
          <w:tcPr>
            <w:tcW w:w="1559" w:type="dxa"/>
            <w:tcBorders>
              <w:top w:val="nil"/>
              <w:left w:val="nil"/>
              <w:bottom w:val="nil"/>
              <w:right w:val="nil"/>
            </w:tcBorders>
            <w:shd w:val="clear" w:color="000000" w:fill="CCCCFF"/>
            <w:noWrap/>
            <w:vAlign w:val="bottom"/>
            <w:hideMark/>
          </w:tcPr>
          <w:p w14:paraId="65C2C91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1.217.105,44</w:t>
            </w:r>
          </w:p>
        </w:tc>
        <w:tc>
          <w:tcPr>
            <w:tcW w:w="993" w:type="dxa"/>
            <w:tcBorders>
              <w:top w:val="nil"/>
              <w:left w:val="nil"/>
              <w:bottom w:val="nil"/>
              <w:right w:val="nil"/>
            </w:tcBorders>
            <w:shd w:val="clear" w:color="000000" w:fill="CCCCFF"/>
            <w:noWrap/>
            <w:vAlign w:val="bottom"/>
            <w:hideMark/>
          </w:tcPr>
          <w:p w14:paraId="7CA90D9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88,20%</w:t>
            </w:r>
          </w:p>
        </w:tc>
      </w:tr>
      <w:tr w:rsidR="006967F8" w:rsidRPr="006967F8" w14:paraId="6A7F9A22" w14:textId="77777777" w:rsidTr="008A61B1">
        <w:trPr>
          <w:trHeight w:val="525"/>
        </w:trPr>
        <w:tc>
          <w:tcPr>
            <w:tcW w:w="1134" w:type="dxa"/>
            <w:tcBorders>
              <w:top w:val="nil"/>
              <w:left w:val="nil"/>
              <w:bottom w:val="nil"/>
              <w:right w:val="nil"/>
            </w:tcBorders>
            <w:noWrap/>
            <w:vAlign w:val="bottom"/>
            <w:hideMark/>
          </w:tcPr>
          <w:p w14:paraId="39EC1DC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lastRenderedPageBreak/>
              <w:t>41</w:t>
            </w:r>
          </w:p>
        </w:tc>
        <w:tc>
          <w:tcPr>
            <w:tcW w:w="4962" w:type="dxa"/>
            <w:tcBorders>
              <w:top w:val="nil"/>
              <w:left w:val="nil"/>
              <w:bottom w:val="nil"/>
              <w:right w:val="nil"/>
            </w:tcBorders>
            <w:vAlign w:val="bottom"/>
            <w:hideMark/>
          </w:tcPr>
          <w:p w14:paraId="323E4AC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Rashodi za nabavu </w:t>
            </w:r>
            <w:proofErr w:type="spellStart"/>
            <w:r w:rsidRPr="006967F8">
              <w:rPr>
                <w:rFonts w:ascii="Arial" w:eastAsia="Times New Roman" w:hAnsi="Arial" w:cs="Arial"/>
                <w:b/>
                <w:bCs/>
                <w:sz w:val="20"/>
                <w:szCs w:val="20"/>
                <w:lang w:eastAsia="hr-HR"/>
              </w:rPr>
              <w:t>neproizvedene</w:t>
            </w:r>
            <w:proofErr w:type="spellEnd"/>
            <w:r w:rsidRPr="006967F8">
              <w:rPr>
                <w:rFonts w:ascii="Arial" w:eastAsia="Times New Roman" w:hAnsi="Arial" w:cs="Arial"/>
                <w:b/>
                <w:bCs/>
                <w:sz w:val="20"/>
                <w:szCs w:val="20"/>
                <w:lang w:eastAsia="hr-HR"/>
              </w:rPr>
              <w:t xml:space="preserve"> dugotrajne imovine</w:t>
            </w:r>
          </w:p>
        </w:tc>
        <w:tc>
          <w:tcPr>
            <w:tcW w:w="1559" w:type="dxa"/>
            <w:tcBorders>
              <w:top w:val="nil"/>
              <w:left w:val="nil"/>
              <w:bottom w:val="nil"/>
              <w:right w:val="nil"/>
            </w:tcBorders>
            <w:noWrap/>
            <w:vAlign w:val="bottom"/>
            <w:hideMark/>
          </w:tcPr>
          <w:p w14:paraId="1AC6BF8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170.000,00</w:t>
            </w:r>
          </w:p>
        </w:tc>
        <w:tc>
          <w:tcPr>
            <w:tcW w:w="1559" w:type="dxa"/>
            <w:tcBorders>
              <w:top w:val="nil"/>
              <w:left w:val="nil"/>
              <w:bottom w:val="nil"/>
              <w:right w:val="nil"/>
            </w:tcBorders>
            <w:noWrap/>
            <w:vAlign w:val="bottom"/>
            <w:hideMark/>
          </w:tcPr>
          <w:p w14:paraId="55AF849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192.375,00</w:t>
            </w:r>
          </w:p>
        </w:tc>
        <w:tc>
          <w:tcPr>
            <w:tcW w:w="1559" w:type="dxa"/>
            <w:tcBorders>
              <w:top w:val="nil"/>
              <w:left w:val="nil"/>
              <w:bottom w:val="nil"/>
              <w:right w:val="nil"/>
            </w:tcBorders>
            <w:noWrap/>
            <w:vAlign w:val="bottom"/>
            <w:hideMark/>
          </w:tcPr>
          <w:p w14:paraId="497DDB0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192.372,10</w:t>
            </w:r>
          </w:p>
        </w:tc>
        <w:tc>
          <w:tcPr>
            <w:tcW w:w="993" w:type="dxa"/>
            <w:tcBorders>
              <w:top w:val="nil"/>
              <w:left w:val="nil"/>
              <w:bottom w:val="nil"/>
              <w:right w:val="nil"/>
            </w:tcBorders>
            <w:noWrap/>
            <w:vAlign w:val="bottom"/>
            <w:hideMark/>
          </w:tcPr>
          <w:p w14:paraId="7C47D33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r>
      <w:tr w:rsidR="006967F8" w:rsidRPr="006967F8" w14:paraId="6C9C44DD" w14:textId="77777777" w:rsidTr="008A61B1">
        <w:trPr>
          <w:trHeight w:val="255"/>
        </w:trPr>
        <w:tc>
          <w:tcPr>
            <w:tcW w:w="1134" w:type="dxa"/>
            <w:tcBorders>
              <w:top w:val="nil"/>
              <w:left w:val="nil"/>
              <w:bottom w:val="nil"/>
              <w:right w:val="nil"/>
            </w:tcBorders>
            <w:noWrap/>
            <w:vAlign w:val="bottom"/>
            <w:hideMark/>
          </w:tcPr>
          <w:p w14:paraId="3C48F59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4111</w:t>
            </w:r>
          </w:p>
        </w:tc>
        <w:tc>
          <w:tcPr>
            <w:tcW w:w="4962" w:type="dxa"/>
            <w:tcBorders>
              <w:top w:val="nil"/>
              <w:left w:val="nil"/>
              <w:bottom w:val="nil"/>
              <w:right w:val="nil"/>
            </w:tcBorders>
            <w:noWrap/>
            <w:vAlign w:val="bottom"/>
            <w:hideMark/>
          </w:tcPr>
          <w:p w14:paraId="5601DF7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Zemljište</w:t>
            </w:r>
          </w:p>
        </w:tc>
        <w:tc>
          <w:tcPr>
            <w:tcW w:w="1559" w:type="dxa"/>
            <w:tcBorders>
              <w:top w:val="nil"/>
              <w:left w:val="nil"/>
              <w:bottom w:val="nil"/>
              <w:right w:val="nil"/>
            </w:tcBorders>
            <w:noWrap/>
            <w:vAlign w:val="bottom"/>
            <w:hideMark/>
          </w:tcPr>
          <w:p w14:paraId="20E6DAFC"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36BA799"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4097F4F"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192.372,10</w:t>
            </w:r>
          </w:p>
        </w:tc>
        <w:tc>
          <w:tcPr>
            <w:tcW w:w="993" w:type="dxa"/>
            <w:tcBorders>
              <w:top w:val="nil"/>
              <w:left w:val="nil"/>
              <w:bottom w:val="nil"/>
              <w:right w:val="nil"/>
            </w:tcBorders>
            <w:noWrap/>
            <w:vAlign w:val="bottom"/>
            <w:hideMark/>
          </w:tcPr>
          <w:p w14:paraId="5B65D4A9"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1FCB52F" w14:textId="77777777" w:rsidTr="008A61B1">
        <w:trPr>
          <w:trHeight w:val="540"/>
        </w:trPr>
        <w:tc>
          <w:tcPr>
            <w:tcW w:w="1134" w:type="dxa"/>
            <w:tcBorders>
              <w:top w:val="nil"/>
              <w:left w:val="nil"/>
              <w:bottom w:val="nil"/>
              <w:right w:val="nil"/>
            </w:tcBorders>
            <w:noWrap/>
            <w:vAlign w:val="bottom"/>
            <w:hideMark/>
          </w:tcPr>
          <w:p w14:paraId="420ABA9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30A4E05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403F26E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1.250.000,00</w:t>
            </w:r>
          </w:p>
        </w:tc>
        <w:tc>
          <w:tcPr>
            <w:tcW w:w="1559" w:type="dxa"/>
            <w:tcBorders>
              <w:top w:val="nil"/>
              <w:left w:val="nil"/>
              <w:bottom w:val="nil"/>
              <w:right w:val="nil"/>
            </w:tcBorders>
            <w:noWrap/>
            <w:vAlign w:val="bottom"/>
            <w:hideMark/>
          </w:tcPr>
          <w:p w14:paraId="51C40F5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1.187.500,00</w:t>
            </w:r>
          </w:p>
        </w:tc>
        <w:tc>
          <w:tcPr>
            <w:tcW w:w="1559" w:type="dxa"/>
            <w:tcBorders>
              <w:top w:val="nil"/>
              <w:left w:val="nil"/>
              <w:bottom w:val="nil"/>
              <w:right w:val="nil"/>
            </w:tcBorders>
            <w:noWrap/>
            <w:vAlign w:val="bottom"/>
            <w:hideMark/>
          </w:tcPr>
          <w:p w14:paraId="698E130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1.024.733,34</w:t>
            </w:r>
          </w:p>
        </w:tc>
        <w:tc>
          <w:tcPr>
            <w:tcW w:w="993" w:type="dxa"/>
            <w:tcBorders>
              <w:top w:val="nil"/>
              <w:left w:val="nil"/>
              <w:bottom w:val="nil"/>
              <w:right w:val="nil"/>
            </w:tcBorders>
            <w:noWrap/>
            <w:vAlign w:val="bottom"/>
            <w:hideMark/>
          </w:tcPr>
          <w:p w14:paraId="0A7D3F9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86,29%</w:t>
            </w:r>
          </w:p>
        </w:tc>
      </w:tr>
      <w:tr w:rsidR="006967F8" w:rsidRPr="006967F8" w14:paraId="14CEE93C" w14:textId="77777777" w:rsidTr="008A61B1">
        <w:trPr>
          <w:trHeight w:val="255"/>
        </w:trPr>
        <w:tc>
          <w:tcPr>
            <w:tcW w:w="1134" w:type="dxa"/>
            <w:tcBorders>
              <w:top w:val="nil"/>
              <w:left w:val="nil"/>
              <w:bottom w:val="nil"/>
              <w:right w:val="nil"/>
            </w:tcBorders>
            <w:noWrap/>
            <w:vAlign w:val="bottom"/>
            <w:hideMark/>
          </w:tcPr>
          <w:p w14:paraId="56BF8A3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4213</w:t>
            </w:r>
          </w:p>
        </w:tc>
        <w:tc>
          <w:tcPr>
            <w:tcW w:w="4962" w:type="dxa"/>
            <w:tcBorders>
              <w:top w:val="nil"/>
              <w:left w:val="nil"/>
              <w:bottom w:val="nil"/>
              <w:right w:val="nil"/>
            </w:tcBorders>
            <w:noWrap/>
            <w:vAlign w:val="bottom"/>
            <w:hideMark/>
          </w:tcPr>
          <w:p w14:paraId="0D25438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Ceste, željeznice i ostali prometni objekti</w:t>
            </w:r>
          </w:p>
        </w:tc>
        <w:tc>
          <w:tcPr>
            <w:tcW w:w="1559" w:type="dxa"/>
            <w:tcBorders>
              <w:top w:val="nil"/>
              <w:left w:val="nil"/>
              <w:bottom w:val="nil"/>
              <w:right w:val="nil"/>
            </w:tcBorders>
            <w:noWrap/>
            <w:vAlign w:val="bottom"/>
            <w:hideMark/>
          </w:tcPr>
          <w:p w14:paraId="699C9F0E"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88ED672"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AC59EA4"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1.024.733,34</w:t>
            </w:r>
          </w:p>
        </w:tc>
        <w:tc>
          <w:tcPr>
            <w:tcW w:w="993" w:type="dxa"/>
            <w:tcBorders>
              <w:top w:val="nil"/>
              <w:left w:val="nil"/>
              <w:bottom w:val="nil"/>
              <w:right w:val="nil"/>
            </w:tcBorders>
            <w:noWrap/>
            <w:vAlign w:val="bottom"/>
            <w:hideMark/>
          </w:tcPr>
          <w:p w14:paraId="6A63E180"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AA0C4B5" w14:textId="77777777" w:rsidTr="008A61B1">
        <w:trPr>
          <w:trHeight w:val="615"/>
        </w:trPr>
        <w:tc>
          <w:tcPr>
            <w:tcW w:w="1134" w:type="dxa"/>
            <w:tcBorders>
              <w:top w:val="nil"/>
              <w:left w:val="nil"/>
              <w:bottom w:val="nil"/>
              <w:right w:val="nil"/>
            </w:tcBorders>
            <w:shd w:val="clear" w:color="000000" w:fill="FFFF99"/>
            <w:noWrap/>
            <w:vAlign w:val="bottom"/>
            <w:hideMark/>
          </w:tcPr>
          <w:p w14:paraId="60D64E5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K100108</w:t>
            </w:r>
          </w:p>
        </w:tc>
        <w:tc>
          <w:tcPr>
            <w:tcW w:w="4962" w:type="dxa"/>
            <w:tcBorders>
              <w:top w:val="nil"/>
              <w:left w:val="nil"/>
              <w:bottom w:val="nil"/>
              <w:right w:val="nil"/>
            </w:tcBorders>
            <w:shd w:val="clear" w:color="000000" w:fill="FFFF99"/>
            <w:vAlign w:val="bottom"/>
            <w:hideMark/>
          </w:tcPr>
          <w:p w14:paraId="1887DAD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Kapitalni projekt: REKONSTRUKCIJA ULICE BALANCANE </w:t>
            </w:r>
          </w:p>
        </w:tc>
        <w:tc>
          <w:tcPr>
            <w:tcW w:w="1559" w:type="dxa"/>
            <w:tcBorders>
              <w:top w:val="nil"/>
              <w:left w:val="nil"/>
              <w:bottom w:val="nil"/>
              <w:right w:val="nil"/>
            </w:tcBorders>
            <w:shd w:val="clear" w:color="000000" w:fill="FFFF99"/>
            <w:noWrap/>
            <w:vAlign w:val="bottom"/>
            <w:hideMark/>
          </w:tcPr>
          <w:p w14:paraId="2EE21F6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40.000,00</w:t>
            </w:r>
          </w:p>
        </w:tc>
        <w:tc>
          <w:tcPr>
            <w:tcW w:w="1559" w:type="dxa"/>
            <w:tcBorders>
              <w:top w:val="nil"/>
              <w:left w:val="nil"/>
              <w:bottom w:val="nil"/>
              <w:right w:val="nil"/>
            </w:tcBorders>
            <w:shd w:val="clear" w:color="000000" w:fill="FFFF99"/>
            <w:noWrap/>
            <w:vAlign w:val="bottom"/>
            <w:hideMark/>
          </w:tcPr>
          <w:p w14:paraId="33DC657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40.000,00</w:t>
            </w:r>
          </w:p>
        </w:tc>
        <w:tc>
          <w:tcPr>
            <w:tcW w:w="1559" w:type="dxa"/>
            <w:tcBorders>
              <w:top w:val="nil"/>
              <w:left w:val="nil"/>
              <w:bottom w:val="nil"/>
              <w:right w:val="nil"/>
            </w:tcBorders>
            <w:shd w:val="clear" w:color="000000" w:fill="FFFF99"/>
            <w:noWrap/>
            <w:vAlign w:val="bottom"/>
            <w:hideMark/>
          </w:tcPr>
          <w:p w14:paraId="292DBAB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21.662,50</w:t>
            </w:r>
          </w:p>
        </w:tc>
        <w:tc>
          <w:tcPr>
            <w:tcW w:w="993" w:type="dxa"/>
            <w:tcBorders>
              <w:top w:val="nil"/>
              <w:left w:val="nil"/>
              <w:bottom w:val="nil"/>
              <w:right w:val="nil"/>
            </w:tcBorders>
            <w:shd w:val="clear" w:color="000000" w:fill="FFFF99"/>
            <w:noWrap/>
            <w:vAlign w:val="bottom"/>
            <w:hideMark/>
          </w:tcPr>
          <w:p w14:paraId="5A6187B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54,16%</w:t>
            </w:r>
          </w:p>
        </w:tc>
      </w:tr>
      <w:tr w:rsidR="006967F8" w:rsidRPr="006967F8" w14:paraId="57FB871E"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4A7414D"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0F80EFE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40.000,00</w:t>
            </w:r>
          </w:p>
        </w:tc>
        <w:tc>
          <w:tcPr>
            <w:tcW w:w="1559" w:type="dxa"/>
            <w:tcBorders>
              <w:top w:val="nil"/>
              <w:left w:val="nil"/>
              <w:bottom w:val="nil"/>
              <w:right w:val="nil"/>
            </w:tcBorders>
            <w:shd w:val="clear" w:color="000000" w:fill="CCCCFF"/>
            <w:noWrap/>
            <w:vAlign w:val="bottom"/>
            <w:hideMark/>
          </w:tcPr>
          <w:p w14:paraId="607F5A7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40.000,00</w:t>
            </w:r>
          </w:p>
        </w:tc>
        <w:tc>
          <w:tcPr>
            <w:tcW w:w="1559" w:type="dxa"/>
            <w:tcBorders>
              <w:top w:val="nil"/>
              <w:left w:val="nil"/>
              <w:bottom w:val="nil"/>
              <w:right w:val="nil"/>
            </w:tcBorders>
            <w:shd w:val="clear" w:color="000000" w:fill="CCCCFF"/>
            <w:noWrap/>
            <w:vAlign w:val="bottom"/>
            <w:hideMark/>
          </w:tcPr>
          <w:p w14:paraId="10BE44E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21.662,50</w:t>
            </w:r>
          </w:p>
        </w:tc>
        <w:tc>
          <w:tcPr>
            <w:tcW w:w="993" w:type="dxa"/>
            <w:tcBorders>
              <w:top w:val="nil"/>
              <w:left w:val="nil"/>
              <w:bottom w:val="nil"/>
              <w:right w:val="nil"/>
            </w:tcBorders>
            <w:shd w:val="clear" w:color="000000" w:fill="CCCCFF"/>
            <w:noWrap/>
            <w:vAlign w:val="bottom"/>
            <w:hideMark/>
          </w:tcPr>
          <w:p w14:paraId="6E65F1D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54,16%</w:t>
            </w:r>
          </w:p>
        </w:tc>
      </w:tr>
      <w:tr w:rsidR="006967F8" w:rsidRPr="006967F8" w14:paraId="04E3BFAC"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77B64C9"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4.1. Komunalni doprinos</w:t>
            </w:r>
          </w:p>
        </w:tc>
        <w:tc>
          <w:tcPr>
            <w:tcW w:w="1559" w:type="dxa"/>
            <w:tcBorders>
              <w:top w:val="nil"/>
              <w:left w:val="nil"/>
              <w:bottom w:val="nil"/>
              <w:right w:val="nil"/>
            </w:tcBorders>
            <w:shd w:val="clear" w:color="000000" w:fill="CCCCFF"/>
            <w:noWrap/>
            <w:vAlign w:val="bottom"/>
            <w:hideMark/>
          </w:tcPr>
          <w:p w14:paraId="03D6598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40.000,00</w:t>
            </w:r>
          </w:p>
        </w:tc>
        <w:tc>
          <w:tcPr>
            <w:tcW w:w="1559" w:type="dxa"/>
            <w:tcBorders>
              <w:top w:val="nil"/>
              <w:left w:val="nil"/>
              <w:bottom w:val="nil"/>
              <w:right w:val="nil"/>
            </w:tcBorders>
            <w:shd w:val="clear" w:color="000000" w:fill="CCCCFF"/>
            <w:noWrap/>
            <w:vAlign w:val="bottom"/>
            <w:hideMark/>
          </w:tcPr>
          <w:p w14:paraId="51352FB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40.000,00</w:t>
            </w:r>
          </w:p>
        </w:tc>
        <w:tc>
          <w:tcPr>
            <w:tcW w:w="1559" w:type="dxa"/>
            <w:tcBorders>
              <w:top w:val="nil"/>
              <w:left w:val="nil"/>
              <w:bottom w:val="nil"/>
              <w:right w:val="nil"/>
            </w:tcBorders>
            <w:shd w:val="clear" w:color="000000" w:fill="CCCCFF"/>
            <w:noWrap/>
            <w:vAlign w:val="bottom"/>
            <w:hideMark/>
          </w:tcPr>
          <w:p w14:paraId="0075392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21.662,50</w:t>
            </w:r>
          </w:p>
        </w:tc>
        <w:tc>
          <w:tcPr>
            <w:tcW w:w="993" w:type="dxa"/>
            <w:tcBorders>
              <w:top w:val="nil"/>
              <w:left w:val="nil"/>
              <w:bottom w:val="nil"/>
              <w:right w:val="nil"/>
            </w:tcBorders>
            <w:shd w:val="clear" w:color="000000" w:fill="CCCCFF"/>
            <w:noWrap/>
            <w:vAlign w:val="bottom"/>
            <w:hideMark/>
          </w:tcPr>
          <w:p w14:paraId="2C1D8E2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54,16%</w:t>
            </w:r>
          </w:p>
        </w:tc>
      </w:tr>
      <w:tr w:rsidR="006967F8" w:rsidRPr="006967F8" w14:paraId="448A1969" w14:textId="77777777" w:rsidTr="008A61B1">
        <w:trPr>
          <w:trHeight w:val="540"/>
        </w:trPr>
        <w:tc>
          <w:tcPr>
            <w:tcW w:w="1134" w:type="dxa"/>
            <w:tcBorders>
              <w:top w:val="nil"/>
              <w:left w:val="nil"/>
              <w:bottom w:val="nil"/>
              <w:right w:val="nil"/>
            </w:tcBorders>
            <w:noWrap/>
            <w:vAlign w:val="bottom"/>
            <w:hideMark/>
          </w:tcPr>
          <w:p w14:paraId="303CE35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41</w:t>
            </w:r>
          </w:p>
        </w:tc>
        <w:tc>
          <w:tcPr>
            <w:tcW w:w="4962" w:type="dxa"/>
            <w:tcBorders>
              <w:top w:val="nil"/>
              <w:left w:val="nil"/>
              <w:bottom w:val="nil"/>
              <w:right w:val="nil"/>
            </w:tcBorders>
            <w:vAlign w:val="bottom"/>
            <w:hideMark/>
          </w:tcPr>
          <w:p w14:paraId="2AEB5FF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Rashodi za nabavu </w:t>
            </w:r>
            <w:proofErr w:type="spellStart"/>
            <w:r w:rsidRPr="006967F8">
              <w:rPr>
                <w:rFonts w:ascii="Arial" w:eastAsia="Times New Roman" w:hAnsi="Arial" w:cs="Arial"/>
                <w:b/>
                <w:bCs/>
                <w:sz w:val="20"/>
                <w:szCs w:val="20"/>
                <w:lang w:eastAsia="hr-HR"/>
              </w:rPr>
              <w:t>neproizvedene</w:t>
            </w:r>
            <w:proofErr w:type="spellEnd"/>
            <w:r w:rsidRPr="006967F8">
              <w:rPr>
                <w:rFonts w:ascii="Arial" w:eastAsia="Times New Roman" w:hAnsi="Arial" w:cs="Arial"/>
                <w:b/>
                <w:bCs/>
                <w:sz w:val="20"/>
                <w:szCs w:val="20"/>
                <w:lang w:eastAsia="hr-HR"/>
              </w:rPr>
              <w:t xml:space="preserve"> dugotrajne imovine</w:t>
            </w:r>
          </w:p>
        </w:tc>
        <w:tc>
          <w:tcPr>
            <w:tcW w:w="1559" w:type="dxa"/>
            <w:tcBorders>
              <w:top w:val="nil"/>
              <w:left w:val="nil"/>
              <w:bottom w:val="nil"/>
              <w:right w:val="nil"/>
            </w:tcBorders>
            <w:noWrap/>
            <w:vAlign w:val="bottom"/>
            <w:hideMark/>
          </w:tcPr>
          <w:p w14:paraId="22CE05A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noWrap/>
            <w:vAlign w:val="bottom"/>
            <w:hideMark/>
          </w:tcPr>
          <w:p w14:paraId="54BC85B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noWrap/>
            <w:vAlign w:val="bottom"/>
            <w:hideMark/>
          </w:tcPr>
          <w:p w14:paraId="5F639B9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0B54854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1C60571E" w14:textId="77777777" w:rsidTr="008A61B1">
        <w:trPr>
          <w:trHeight w:val="540"/>
        </w:trPr>
        <w:tc>
          <w:tcPr>
            <w:tcW w:w="1134" w:type="dxa"/>
            <w:tcBorders>
              <w:top w:val="nil"/>
              <w:left w:val="nil"/>
              <w:bottom w:val="nil"/>
              <w:right w:val="nil"/>
            </w:tcBorders>
            <w:noWrap/>
            <w:vAlign w:val="bottom"/>
            <w:hideMark/>
          </w:tcPr>
          <w:p w14:paraId="00FDAD7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1EF432F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19537F2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30.000,00</w:t>
            </w:r>
          </w:p>
        </w:tc>
        <w:tc>
          <w:tcPr>
            <w:tcW w:w="1559" w:type="dxa"/>
            <w:tcBorders>
              <w:top w:val="nil"/>
              <w:left w:val="nil"/>
              <w:bottom w:val="nil"/>
              <w:right w:val="nil"/>
            </w:tcBorders>
            <w:noWrap/>
            <w:vAlign w:val="bottom"/>
            <w:hideMark/>
          </w:tcPr>
          <w:p w14:paraId="3340D4B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30.000,00</w:t>
            </w:r>
          </w:p>
        </w:tc>
        <w:tc>
          <w:tcPr>
            <w:tcW w:w="1559" w:type="dxa"/>
            <w:tcBorders>
              <w:top w:val="nil"/>
              <w:left w:val="nil"/>
              <w:bottom w:val="nil"/>
              <w:right w:val="nil"/>
            </w:tcBorders>
            <w:noWrap/>
            <w:vAlign w:val="bottom"/>
            <w:hideMark/>
          </w:tcPr>
          <w:p w14:paraId="592D49C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21.662,50</w:t>
            </w:r>
          </w:p>
        </w:tc>
        <w:tc>
          <w:tcPr>
            <w:tcW w:w="993" w:type="dxa"/>
            <w:tcBorders>
              <w:top w:val="nil"/>
              <w:left w:val="nil"/>
              <w:bottom w:val="nil"/>
              <w:right w:val="nil"/>
            </w:tcBorders>
            <w:noWrap/>
            <w:vAlign w:val="bottom"/>
            <w:hideMark/>
          </w:tcPr>
          <w:p w14:paraId="39736E6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72,21%</w:t>
            </w:r>
          </w:p>
        </w:tc>
      </w:tr>
      <w:tr w:rsidR="006967F8" w:rsidRPr="006967F8" w14:paraId="66F9A79C" w14:textId="77777777" w:rsidTr="008A61B1">
        <w:trPr>
          <w:trHeight w:val="255"/>
        </w:trPr>
        <w:tc>
          <w:tcPr>
            <w:tcW w:w="1134" w:type="dxa"/>
            <w:tcBorders>
              <w:top w:val="nil"/>
              <w:left w:val="nil"/>
              <w:bottom w:val="nil"/>
              <w:right w:val="nil"/>
            </w:tcBorders>
            <w:noWrap/>
            <w:vAlign w:val="bottom"/>
            <w:hideMark/>
          </w:tcPr>
          <w:p w14:paraId="36FAD59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4213</w:t>
            </w:r>
          </w:p>
        </w:tc>
        <w:tc>
          <w:tcPr>
            <w:tcW w:w="4962" w:type="dxa"/>
            <w:tcBorders>
              <w:top w:val="nil"/>
              <w:left w:val="nil"/>
              <w:bottom w:val="nil"/>
              <w:right w:val="nil"/>
            </w:tcBorders>
            <w:noWrap/>
            <w:vAlign w:val="bottom"/>
            <w:hideMark/>
          </w:tcPr>
          <w:p w14:paraId="4FE1DF5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Ceste, željeznice i ostali prometni objekti</w:t>
            </w:r>
          </w:p>
        </w:tc>
        <w:tc>
          <w:tcPr>
            <w:tcW w:w="1559" w:type="dxa"/>
            <w:tcBorders>
              <w:top w:val="nil"/>
              <w:left w:val="nil"/>
              <w:bottom w:val="nil"/>
              <w:right w:val="nil"/>
            </w:tcBorders>
            <w:noWrap/>
            <w:vAlign w:val="bottom"/>
            <w:hideMark/>
          </w:tcPr>
          <w:p w14:paraId="27412D39"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A70B4C8"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0D424AA"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21.662,50</w:t>
            </w:r>
          </w:p>
        </w:tc>
        <w:tc>
          <w:tcPr>
            <w:tcW w:w="993" w:type="dxa"/>
            <w:tcBorders>
              <w:top w:val="nil"/>
              <w:left w:val="nil"/>
              <w:bottom w:val="nil"/>
              <w:right w:val="nil"/>
            </w:tcBorders>
            <w:noWrap/>
            <w:vAlign w:val="bottom"/>
            <w:hideMark/>
          </w:tcPr>
          <w:p w14:paraId="058F5698"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D753F8A" w14:textId="77777777" w:rsidTr="008A61B1">
        <w:trPr>
          <w:trHeight w:val="540"/>
        </w:trPr>
        <w:tc>
          <w:tcPr>
            <w:tcW w:w="1134" w:type="dxa"/>
            <w:tcBorders>
              <w:top w:val="nil"/>
              <w:left w:val="nil"/>
              <w:bottom w:val="nil"/>
              <w:right w:val="nil"/>
            </w:tcBorders>
            <w:shd w:val="clear" w:color="000000" w:fill="FFFF99"/>
            <w:noWrap/>
            <w:vAlign w:val="bottom"/>
            <w:hideMark/>
          </w:tcPr>
          <w:p w14:paraId="129FF3D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K100110</w:t>
            </w:r>
          </w:p>
        </w:tc>
        <w:tc>
          <w:tcPr>
            <w:tcW w:w="4962" w:type="dxa"/>
            <w:tcBorders>
              <w:top w:val="nil"/>
              <w:left w:val="nil"/>
              <w:bottom w:val="nil"/>
              <w:right w:val="nil"/>
            </w:tcBorders>
            <w:shd w:val="clear" w:color="000000" w:fill="FFFF99"/>
            <w:vAlign w:val="bottom"/>
            <w:hideMark/>
          </w:tcPr>
          <w:p w14:paraId="1D59AB9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Kapitalni projekt: REKONSTRUKCIJA ULICE PUT BALANA </w:t>
            </w:r>
          </w:p>
        </w:tc>
        <w:tc>
          <w:tcPr>
            <w:tcW w:w="1559" w:type="dxa"/>
            <w:tcBorders>
              <w:top w:val="nil"/>
              <w:left w:val="nil"/>
              <w:bottom w:val="nil"/>
              <w:right w:val="nil"/>
            </w:tcBorders>
            <w:shd w:val="clear" w:color="000000" w:fill="FFFF99"/>
            <w:noWrap/>
            <w:vAlign w:val="bottom"/>
            <w:hideMark/>
          </w:tcPr>
          <w:p w14:paraId="141778D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shd w:val="clear" w:color="000000" w:fill="FFFF99"/>
            <w:noWrap/>
            <w:vAlign w:val="bottom"/>
            <w:hideMark/>
          </w:tcPr>
          <w:p w14:paraId="6383E5E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shd w:val="clear" w:color="000000" w:fill="FFFF99"/>
            <w:noWrap/>
            <w:vAlign w:val="bottom"/>
            <w:hideMark/>
          </w:tcPr>
          <w:p w14:paraId="5617132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shd w:val="clear" w:color="000000" w:fill="FFFF99"/>
            <w:noWrap/>
            <w:vAlign w:val="bottom"/>
            <w:hideMark/>
          </w:tcPr>
          <w:p w14:paraId="4E458E6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2CAD9CA6"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6137276"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631B173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10.000,00</w:t>
            </w:r>
          </w:p>
        </w:tc>
        <w:tc>
          <w:tcPr>
            <w:tcW w:w="1559" w:type="dxa"/>
            <w:tcBorders>
              <w:top w:val="nil"/>
              <w:left w:val="nil"/>
              <w:bottom w:val="nil"/>
              <w:right w:val="nil"/>
            </w:tcBorders>
            <w:shd w:val="clear" w:color="000000" w:fill="CCCCFF"/>
            <w:noWrap/>
            <w:vAlign w:val="bottom"/>
            <w:hideMark/>
          </w:tcPr>
          <w:p w14:paraId="2155BC9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10.000,00</w:t>
            </w:r>
          </w:p>
        </w:tc>
        <w:tc>
          <w:tcPr>
            <w:tcW w:w="1559" w:type="dxa"/>
            <w:tcBorders>
              <w:top w:val="nil"/>
              <w:left w:val="nil"/>
              <w:bottom w:val="nil"/>
              <w:right w:val="nil"/>
            </w:tcBorders>
            <w:shd w:val="clear" w:color="000000" w:fill="CCCCFF"/>
            <w:noWrap/>
            <w:vAlign w:val="bottom"/>
            <w:hideMark/>
          </w:tcPr>
          <w:p w14:paraId="7130EE7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7D39C7A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336B9414"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B5F68B2"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4.1. Komunalni doprinos</w:t>
            </w:r>
          </w:p>
        </w:tc>
        <w:tc>
          <w:tcPr>
            <w:tcW w:w="1559" w:type="dxa"/>
            <w:tcBorders>
              <w:top w:val="nil"/>
              <w:left w:val="nil"/>
              <w:bottom w:val="nil"/>
              <w:right w:val="nil"/>
            </w:tcBorders>
            <w:shd w:val="clear" w:color="000000" w:fill="CCCCFF"/>
            <w:noWrap/>
            <w:vAlign w:val="bottom"/>
            <w:hideMark/>
          </w:tcPr>
          <w:p w14:paraId="364026B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10.000,00</w:t>
            </w:r>
          </w:p>
        </w:tc>
        <w:tc>
          <w:tcPr>
            <w:tcW w:w="1559" w:type="dxa"/>
            <w:tcBorders>
              <w:top w:val="nil"/>
              <w:left w:val="nil"/>
              <w:bottom w:val="nil"/>
              <w:right w:val="nil"/>
            </w:tcBorders>
            <w:shd w:val="clear" w:color="000000" w:fill="CCCCFF"/>
            <w:noWrap/>
            <w:vAlign w:val="bottom"/>
            <w:hideMark/>
          </w:tcPr>
          <w:p w14:paraId="561A213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10.000,00</w:t>
            </w:r>
          </w:p>
        </w:tc>
        <w:tc>
          <w:tcPr>
            <w:tcW w:w="1559" w:type="dxa"/>
            <w:tcBorders>
              <w:top w:val="nil"/>
              <w:left w:val="nil"/>
              <w:bottom w:val="nil"/>
              <w:right w:val="nil"/>
            </w:tcBorders>
            <w:shd w:val="clear" w:color="000000" w:fill="CCCCFF"/>
            <w:noWrap/>
            <w:vAlign w:val="bottom"/>
            <w:hideMark/>
          </w:tcPr>
          <w:p w14:paraId="4378C93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0BCC307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5BE48CDF" w14:textId="77777777" w:rsidTr="008A61B1">
        <w:trPr>
          <w:trHeight w:val="555"/>
        </w:trPr>
        <w:tc>
          <w:tcPr>
            <w:tcW w:w="1134" w:type="dxa"/>
            <w:tcBorders>
              <w:top w:val="nil"/>
              <w:left w:val="nil"/>
              <w:bottom w:val="nil"/>
              <w:right w:val="nil"/>
            </w:tcBorders>
            <w:noWrap/>
            <w:vAlign w:val="bottom"/>
            <w:hideMark/>
          </w:tcPr>
          <w:p w14:paraId="411C971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00DDF0D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5D6CBED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noWrap/>
            <w:vAlign w:val="bottom"/>
            <w:hideMark/>
          </w:tcPr>
          <w:p w14:paraId="2FE154E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noWrap/>
            <w:vAlign w:val="bottom"/>
            <w:hideMark/>
          </w:tcPr>
          <w:p w14:paraId="72832CA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2D561EB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751CB1C4" w14:textId="77777777" w:rsidTr="008A61B1">
        <w:trPr>
          <w:trHeight w:val="570"/>
        </w:trPr>
        <w:tc>
          <w:tcPr>
            <w:tcW w:w="1134" w:type="dxa"/>
            <w:tcBorders>
              <w:top w:val="nil"/>
              <w:left w:val="nil"/>
              <w:bottom w:val="nil"/>
              <w:right w:val="nil"/>
            </w:tcBorders>
            <w:shd w:val="clear" w:color="000000" w:fill="FFFF99"/>
            <w:noWrap/>
            <w:vAlign w:val="bottom"/>
            <w:hideMark/>
          </w:tcPr>
          <w:p w14:paraId="69FD2AA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K100111</w:t>
            </w:r>
          </w:p>
        </w:tc>
        <w:tc>
          <w:tcPr>
            <w:tcW w:w="4962" w:type="dxa"/>
            <w:tcBorders>
              <w:top w:val="nil"/>
              <w:left w:val="nil"/>
              <w:bottom w:val="nil"/>
              <w:right w:val="nil"/>
            </w:tcBorders>
            <w:shd w:val="clear" w:color="000000" w:fill="FFFF99"/>
            <w:vAlign w:val="bottom"/>
            <w:hideMark/>
          </w:tcPr>
          <w:p w14:paraId="305AABE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Kapitalni projekt: REKONSTRUKCIJA ULICE DR.FRANJE TUĐMANA </w:t>
            </w:r>
          </w:p>
        </w:tc>
        <w:tc>
          <w:tcPr>
            <w:tcW w:w="1559" w:type="dxa"/>
            <w:tcBorders>
              <w:top w:val="nil"/>
              <w:left w:val="nil"/>
              <w:bottom w:val="nil"/>
              <w:right w:val="nil"/>
            </w:tcBorders>
            <w:shd w:val="clear" w:color="000000" w:fill="FFFF99"/>
            <w:noWrap/>
            <w:vAlign w:val="bottom"/>
            <w:hideMark/>
          </w:tcPr>
          <w:p w14:paraId="218279B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30.000,00</w:t>
            </w:r>
          </w:p>
        </w:tc>
        <w:tc>
          <w:tcPr>
            <w:tcW w:w="1559" w:type="dxa"/>
            <w:tcBorders>
              <w:top w:val="nil"/>
              <w:left w:val="nil"/>
              <w:bottom w:val="nil"/>
              <w:right w:val="nil"/>
            </w:tcBorders>
            <w:shd w:val="clear" w:color="000000" w:fill="FFFF99"/>
            <w:noWrap/>
            <w:vAlign w:val="bottom"/>
            <w:hideMark/>
          </w:tcPr>
          <w:p w14:paraId="25843A6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28.500,00</w:t>
            </w:r>
          </w:p>
        </w:tc>
        <w:tc>
          <w:tcPr>
            <w:tcW w:w="1559" w:type="dxa"/>
            <w:tcBorders>
              <w:top w:val="nil"/>
              <w:left w:val="nil"/>
              <w:bottom w:val="nil"/>
              <w:right w:val="nil"/>
            </w:tcBorders>
            <w:shd w:val="clear" w:color="000000" w:fill="FFFF99"/>
            <w:noWrap/>
            <w:vAlign w:val="bottom"/>
            <w:hideMark/>
          </w:tcPr>
          <w:p w14:paraId="5CC20C0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shd w:val="clear" w:color="000000" w:fill="FFFF99"/>
            <w:noWrap/>
            <w:vAlign w:val="bottom"/>
            <w:hideMark/>
          </w:tcPr>
          <w:p w14:paraId="1B53B39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03CE1150"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8DCA237"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7347F51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30.000,00</w:t>
            </w:r>
          </w:p>
        </w:tc>
        <w:tc>
          <w:tcPr>
            <w:tcW w:w="1559" w:type="dxa"/>
            <w:tcBorders>
              <w:top w:val="nil"/>
              <w:left w:val="nil"/>
              <w:bottom w:val="nil"/>
              <w:right w:val="nil"/>
            </w:tcBorders>
            <w:shd w:val="clear" w:color="000000" w:fill="CCCCFF"/>
            <w:noWrap/>
            <w:vAlign w:val="bottom"/>
            <w:hideMark/>
          </w:tcPr>
          <w:p w14:paraId="2A93514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28.500,00</w:t>
            </w:r>
          </w:p>
        </w:tc>
        <w:tc>
          <w:tcPr>
            <w:tcW w:w="1559" w:type="dxa"/>
            <w:tcBorders>
              <w:top w:val="nil"/>
              <w:left w:val="nil"/>
              <w:bottom w:val="nil"/>
              <w:right w:val="nil"/>
            </w:tcBorders>
            <w:shd w:val="clear" w:color="000000" w:fill="CCCCFF"/>
            <w:noWrap/>
            <w:vAlign w:val="bottom"/>
            <w:hideMark/>
          </w:tcPr>
          <w:p w14:paraId="70A1A81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04BA8D5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06166826"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37AEC74"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4.1. Komunalni doprinos</w:t>
            </w:r>
          </w:p>
        </w:tc>
        <w:tc>
          <w:tcPr>
            <w:tcW w:w="1559" w:type="dxa"/>
            <w:tcBorders>
              <w:top w:val="nil"/>
              <w:left w:val="nil"/>
              <w:bottom w:val="nil"/>
              <w:right w:val="nil"/>
            </w:tcBorders>
            <w:shd w:val="clear" w:color="000000" w:fill="CCCCFF"/>
            <w:noWrap/>
            <w:vAlign w:val="bottom"/>
            <w:hideMark/>
          </w:tcPr>
          <w:p w14:paraId="6DCDCF1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30.000,00</w:t>
            </w:r>
          </w:p>
        </w:tc>
        <w:tc>
          <w:tcPr>
            <w:tcW w:w="1559" w:type="dxa"/>
            <w:tcBorders>
              <w:top w:val="nil"/>
              <w:left w:val="nil"/>
              <w:bottom w:val="nil"/>
              <w:right w:val="nil"/>
            </w:tcBorders>
            <w:shd w:val="clear" w:color="000000" w:fill="CCCCFF"/>
            <w:noWrap/>
            <w:vAlign w:val="bottom"/>
            <w:hideMark/>
          </w:tcPr>
          <w:p w14:paraId="0B8DB07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28.500,00</w:t>
            </w:r>
          </w:p>
        </w:tc>
        <w:tc>
          <w:tcPr>
            <w:tcW w:w="1559" w:type="dxa"/>
            <w:tcBorders>
              <w:top w:val="nil"/>
              <w:left w:val="nil"/>
              <w:bottom w:val="nil"/>
              <w:right w:val="nil"/>
            </w:tcBorders>
            <w:shd w:val="clear" w:color="000000" w:fill="CCCCFF"/>
            <w:noWrap/>
            <w:vAlign w:val="bottom"/>
            <w:hideMark/>
          </w:tcPr>
          <w:p w14:paraId="55B7B7A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040D1CC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261DAC67" w14:textId="77777777" w:rsidTr="008A61B1">
        <w:trPr>
          <w:trHeight w:val="570"/>
        </w:trPr>
        <w:tc>
          <w:tcPr>
            <w:tcW w:w="1134" w:type="dxa"/>
            <w:tcBorders>
              <w:top w:val="nil"/>
              <w:left w:val="nil"/>
              <w:bottom w:val="nil"/>
              <w:right w:val="nil"/>
            </w:tcBorders>
            <w:noWrap/>
            <w:vAlign w:val="bottom"/>
            <w:hideMark/>
          </w:tcPr>
          <w:p w14:paraId="24A6297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15915B6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046D29F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30.000,00</w:t>
            </w:r>
          </w:p>
        </w:tc>
        <w:tc>
          <w:tcPr>
            <w:tcW w:w="1559" w:type="dxa"/>
            <w:tcBorders>
              <w:top w:val="nil"/>
              <w:left w:val="nil"/>
              <w:bottom w:val="nil"/>
              <w:right w:val="nil"/>
            </w:tcBorders>
            <w:noWrap/>
            <w:vAlign w:val="bottom"/>
            <w:hideMark/>
          </w:tcPr>
          <w:p w14:paraId="6AF063A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28.500,00</w:t>
            </w:r>
          </w:p>
        </w:tc>
        <w:tc>
          <w:tcPr>
            <w:tcW w:w="1559" w:type="dxa"/>
            <w:tcBorders>
              <w:top w:val="nil"/>
              <w:left w:val="nil"/>
              <w:bottom w:val="nil"/>
              <w:right w:val="nil"/>
            </w:tcBorders>
            <w:noWrap/>
            <w:vAlign w:val="bottom"/>
            <w:hideMark/>
          </w:tcPr>
          <w:p w14:paraId="232C56A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77056C6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62C1B262" w14:textId="77777777" w:rsidTr="008A61B1">
        <w:trPr>
          <w:trHeight w:val="765"/>
        </w:trPr>
        <w:tc>
          <w:tcPr>
            <w:tcW w:w="1134" w:type="dxa"/>
            <w:tcBorders>
              <w:top w:val="nil"/>
              <w:left w:val="nil"/>
              <w:bottom w:val="nil"/>
              <w:right w:val="nil"/>
            </w:tcBorders>
            <w:shd w:val="clear" w:color="000000" w:fill="FFFF99"/>
            <w:noWrap/>
            <w:vAlign w:val="bottom"/>
            <w:hideMark/>
          </w:tcPr>
          <w:p w14:paraId="5B6BA96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K100113</w:t>
            </w:r>
          </w:p>
        </w:tc>
        <w:tc>
          <w:tcPr>
            <w:tcW w:w="4962" w:type="dxa"/>
            <w:tcBorders>
              <w:top w:val="nil"/>
              <w:left w:val="nil"/>
              <w:bottom w:val="nil"/>
              <w:right w:val="nil"/>
            </w:tcBorders>
            <w:shd w:val="clear" w:color="000000" w:fill="FFFF99"/>
            <w:vAlign w:val="bottom"/>
            <w:hideMark/>
          </w:tcPr>
          <w:p w14:paraId="4C4DF6C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Kapitalni projekt: REKONSTRUKCIJA ULICE SV.IVANA TROGIRSKOG SA SPOJEM NA PUT DRAGULINA</w:t>
            </w:r>
          </w:p>
        </w:tc>
        <w:tc>
          <w:tcPr>
            <w:tcW w:w="1559" w:type="dxa"/>
            <w:tcBorders>
              <w:top w:val="nil"/>
              <w:left w:val="nil"/>
              <w:bottom w:val="nil"/>
              <w:right w:val="nil"/>
            </w:tcBorders>
            <w:shd w:val="clear" w:color="000000" w:fill="FFFF99"/>
            <w:noWrap/>
            <w:vAlign w:val="bottom"/>
            <w:hideMark/>
          </w:tcPr>
          <w:p w14:paraId="6600485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shd w:val="clear" w:color="000000" w:fill="FFFF99"/>
            <w:noWrap/>
            <w:vAlign w:val="bottom"/>
            <w:hideMark/>
          </w:tcPr>
          <w:p w14:paraId="33E51A7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shd w:val="clear" w:color="000000" w:fill="FFFF99"/>
            <w:noWrap/>
            <w:vAlign w:val="bottom"/>
            <w:hideMark/>
          </w:tcPr>
          <w:p w14:paraId="7734F25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7.250,00</w:t>
            </w:r>
          </w:p>
        </w:tc>
        <w:tc>
          <w:tcPr>
            <w:tcW w:w="993" w:type="dxa"/>
            <w:tcBorders>
              <w:top w:val="nil"/>
              <w:left w:val="nil"/>
              <w:bottom w:val="nil"/>
              <w:right w:val="nil"/>
            </w:tcBorders>
            <w:shd w:val="clear" w:color="000000" w:fill="FFFF99"/>
            <w:noWrap/>
            <w:vAlign w:val="bottom"/>
            <w:hideMark/>
          </w:tcPr>
          <w:p w14:paraId="4540D1E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72,50%</w:t>
            </w:r>
          </w:p>
        </w:tc>
      </w:tr>
      <w:tr w:rsidR="006967F8" w:rsidRPr="006967F8" w14:paraId="7B571F35"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BE5322B"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62C269E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10.000,00</w:t>
            </w:r>
          </w:p>
        </w:tc>
        <w:tc>
          <w:tcPr>
            <w:tcW w:w="1559" w:type="dxa"/>
            <w:tcBorders>
              <w:top w:val="nil"/>
              <w:left w:val="nil"/>
              <w:bottom w:val="nil"/>
              <w:right w:val="nil"/>
            </w:tcBorders>
            <w:shd w:val="clear" w:color="000000" w:fill="CCCCFF"/>
            <w:noWrap/>
            <w:vAlign w:val="bottom"/>
            <w:hideMark/>
          </w:tcPr>
          <w:p w14:paraId="5766557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10.000,00</w:t>
            </w:r>
          </w:p>
        </w:tc>
        <w:tc>
          <w:tcPr>
            <w:tcW w:w="1559" w:type="dxa"/>
            <w:tcBorders>
              <w:top w:val="nil"/>
              <w:left w:val="nil"/>
              <w:bottom w:val="nil"/>
              <w:right w:val="nil"/>
            </w:tcBorders>
            <w:shd w:val="clear" w:color="000000" w:fill="CCCCFF"/>
            <w:noWrap/>
            <w:vAlign w:val="bottom"/>
            <w:hideMark/>
          </w:tcPr>
          <w:p w14:paraId="0BE9315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7.250,00</w:t>
            </w:r>
          </w:p>
        </w:tc>
        <w:tc>
          <w:tcPr>
            <w:tcW w:w="993" w:type="dxa"/>
            <w:tcBorders>
              <w:top w:val="nil"/>
              <w:left w:val="nil"/>
              <w:bottom w:val="nil"/>
              <w:right w:val="nil"/>
            </w:tcBorders>
            <w:shd w:val="clear" w:color="000000" w:fill="CCCCFF"/>
            <w:noWrap/>
            <w:vAlign w:val="bottom"/>
            <w:hideMark/>
          </w:tcPr>
          <w:p w14:paraId="0C1777A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72,50%</w:t>
            </w:r>
          </w:p>
        </w:tc>
      </w:tr>
      <w:tr w:rsidR="006967F8" w:rsidRPr="006967F8" w14:paraId="7713CF28"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8551BA7"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4.1. Komunalni doprinos</w:t>
            </w:r>
          </w:p>
        </w:tc>
        <w:tc>
          <w:tcPr>
            <w:tcW w:w="1559" w:type="dxa"/>
            <w:tcBorders>
              <w:top w:val="nil"/>
              <w:left w:val="nil"/>
              <w:bottom w:val="nil"/>
              <w:right w:val="nil"/>
            </w:tcBorders>
            <w:shd w:val="clear" w:color="000000" w:fill="CCCCFF"/>
            <w:noWrap/>
            <w:vAlign w:val="bottom"/>
            <w:hideMark/>
          </w:tcPr>
          <w:p w14:paraId="5412C8F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10.000,00</w:t>
            </w:r>
          </w:p>
        </w:tc>
        <w:tc>
          <w:tcPr>
            <w:tcW w:w="1559" w:type="dxa"/>
            <w:tcBorders>
              <w:top w:val="nil"/>
              <w:left w:val="nil"/>
              <w:bottom w:val="nil"/>
              <w:right w:val="nil"/>
            </w:tcBorders>
            <w:shd w:val="clear" w:color="000000" w:fill="CCCCFF"/>
            <w:noWrap/>
            <w:vAlign w:val="bottom"/>
            <w:hideMark/>
          </w:tcPr>
          <w:p w14:paraId="6FB533E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10.000,00</w:t>
            </w:r>
          </w:p>
        </w:tc>
        <w:tc>
          <w:tcPr>
            <w:tcW w:w="1559" w:type="dxa"/>
            <w:tcBorders>
              <w:top w:val="nil"/>
              <w:left w:val="nil"/>
              <w:bottom w:val="nil"/>
              <w:right w:val="nil"/>
            </w:tcBorders>
            <w:shd w:val="clear" w:color="000000" w:fill="CCCCFF"/>
            <w:noWrap/>
            <w:vAlign w:val="bottom"/>
            <w:hideMark/>
          </w:tcPr>
          <w:p w14:paraId="1595F6C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7.250,00</w:t>
            </w:r>
          </w:p>
        </w:tc>
        <w:tc>
          <w:tcPr>
            <w:tcW w:w="993" w:type="dxa"/>
            <w:tcBorders>
              <w:top w:val="nil"/>
              <w:left w:val="nil"/>
              <w:bottom w:val="nil"/>
              <w:right w:val="nil"/>
            </w:tcBorders>
            <w:shd w:val="clear" w:color="000000" w:fill="CCCCFF"/>
            <w:noWrap/>
            <w:vAlign w:val="bottom"/>
            <w:hideMark/>
          </w:tcPr>
          <w:p w14:paraId="3528BE2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72,50%</w:t>
            </w:r>
          </w:p>
        </w:tc>
      </w:tr>
      <w:tr w:rsidR="006967F8" w:rsidRPr="006967F8" w14:paraId="69A8DFB7" w14:textId="77777777" w:rsidTr="008A61B1">
        <w:trPr>
          <w:trHeight w:val="495"/>
        </w:trPr>
        <w:tc>
          <w:tcPr>
            <w:tcW w:w="1134" w:type="dxa"/>
            <w:tcBorders>
              <w:top w:val="nil"/>
              <w:left w:val="nil"/>
              <w:bottom w:val="nil"/>
              <w:right w:val="nil"/>
            </w:tcBorders>
            <w:noWrap/>
            <w:vAlign w:val="bottom"/>
            <w:hideMark/>
          </w:tcPr>
          <w:p w14:paraId="4DFF2E7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51A550B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4E17122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noWrap/>
            <w:vAlign w:val="bottom"/>
            <w:hideMark/>
          </w:tcPr>
          <w:p w14:paraId="6620B53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noWrap/>
            <w:vAlign w:val="bottom"/>
            <w:hideMark/>
          </w:tcPr>
          <w:p w14:paraId="0FD5D92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7.250,00</w:t>
            </w:r>
          </w:p>
        </w:tc>
        <w:tc>
          <w:tcPr>
            <w:tcW w:w="993" w:type="dxa"/>
            <w:tcBorders>
              <w:top w:val="nil"/>
              <w:left w:val="nil"/>
              <w:bottom w:val="nil"/>
              <w:right w:val="nil"/>
            </w:tcBorders>
            <w:noWrap/>
            <w:vAlign w:val="bottom"/>
            <w:hideMark/>
          </w:tcPr>
          <w:p w14:paraId="19F8678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72,50%</w:t>
            </w:r>
          </w:p>
        </w:tc>
      </w:tr>
      <w:tr w:rsidR="006967F8" w:rsidRPr="006967F8" w14:paraId="2DD6A9E0" w14:textId="77777777" w:rsidTr="008A61B1">
        <w:trPr>
          <w:trHeight w:val="255"/>
        </w:trPr>
        <w:tc>
          <w:tcPr>
            <w:tcW w:w="1134" w:type="dxa"/>
            <w:tcBorders>
              <w:top w:val="nil"/>
              <w:left w:val="nil"/>
              <w:bottom w:val="nil"/>
              <w:right w:val="nil"/>
            </w:tcBorders>
            <w:noWrap/>
            <w:vAlign w:val="bottom"/>
            <w:hideMark/>
          </w:tcPr>
          <w:p w14:paraId="0E9B4D5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4213</w:t>
            </w:r>
          </w:p>
        </w:tc>
        <w:tc>
          <w:tcPr>
            <w:tcW w:w="4962" w:type="dxa"/>
            <w:tcBorders>
              <w:top w:val="nil"/>
              <w:left w:val="nil"/>
              <w:bottom w:val="nil"/>
              <w:right w:val="nil"/>
            </w:tcBorders>
            <w:noWrap/>
            <w:vAlign w:val="bottom"/>
            <w:hideMark/>
          </w:tcPr>
          <w:p w14:paraId="76F3D97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Ceste, željeznice i ostali prometni objekti</w:t>
            </w:r>
          </w:p>
        </w:tc>
        <w:tc>
          <w:tcPr>
            <w:tcW w:w="1559" w:type="dxa"/>
            <w:tcBorders>
              <w:top w:val="nil"/>
              <w:left w:val="nil"/>
              <w:bottom w:val="nil"/>
              <w:right w:val="nil"/>
            </w:tcBorders>
            <w:noWrap/>
            <w:vAlign w:val="bottom"/>
            <w:hideMark/>
          </w:tcPr>
          <w:p w14:paraId="03EAFE5B"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92CA539"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0CB7670"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7.250,00</w:t>
            </w:r>
          </w:p>
        </w:tc>
        <w:tc>
          <w:tcPr>
            <w:tcW w:w="993" w:type="dxa"/>
            <w:tcBorders>
              <w:top w:val="nil"/>
              <w:left w:val="nil"/>
              <w:bottom w:val="nil"/>
              <w:right w:val="nil"/>
            </w:tcBorders>
            <w:noWrap/>
            <w:vAlign w:val="bottom"/>
            <w:hideMark/>
          </w:tcPr>
          <w:p w14:paraId="488B94C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57AD56D" w14:textId="77777777" w:rsidTr="008A61B1">
        <w:trPr>
          <w:trHeight w:val="645"/>
        </w:trPr>
        <w:tc>
          <w:tcPr>
            <w:tcW w:w="1134" w:type="dxa"/>
            <w:tcBorders>
              <w:top w:val="nil"/>
              <w:left w:val="nil"/>
              <w:bottom w:val="nil"/>
              <w:right w:val="nil"/>
            </w:tcBorders>
            <w:shd w:val="clear" w:color="000000" w:fill="FFFF99"/>
            <w:noWrap/>
            <w:vAlign w:val="bottom"/>
            <w:hideMark/>
          </w:tcPr>
          <w:p w14:paraId="1F3FB03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K100202</w:t>
            </w:r>
          </w:p>
        </w:tc>
        <w:tc>
          <w:tcPr>
            <w:tcW w:w="4962" w:type="dxa"/>
            <w:tcBorders>
              <w:top w:val="nil"/>
              <w:left w:val="nil"/>
              <w:bottom w:val="nil"/>
              <w:right w:val="nil"/>
            </w:tcBorders>
            <w:shd w:val="clear" w:color="000000" w:fill="FFFF99"/>
            <w:vAlign w:val="bottom"/>
            <w:hideMark/>
          </w:tcPr>
          <w:p w14:paraId="695836D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Kapitalni projekt: REKONSTRUKCIJA ZAPADNE ČIOVSKE OBALE S TRGOM LUČICA</w:t>
            </w:r>
          </w:p>
        </w:tc>
        <w:tc>
          <w:tcPr>
            <w:tcW w:w="1559" w:type="dxa"/>
            <w:tcBorders>
              <w:top w:val="nil"/>
              <w:left w:val="nil"/>
              <w:bottom w:val="nil"/>
              <w:right w:val="nil"/>
            </w:tcBorders>
            <w:shd w:val="clear" w:color="000000" w:fill="FFFF99"/>
            <w:noWrap/>
            <w:vAlign w:val="bottom"/>
            <w:hideMark/>
          </w:tcPr>
          <w:p w14:paraId="783E03B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shd w:val="clear" w:color="000000" w:fill="FFFF99"/>
            <w:noWrap/>
            <w:vAlign w:val="bottom"/>
            <w:hideMark/>
          </w:tcPr>
          <w:p w14:paraId="7E227E1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shd w:val="clear" w:color="000000" w:fill="FFFF99"/>
            <w:noWrap/>
            <w:vAlign w:val="bottom"/>
            <w:hideMark/>
          </w:tcPr>
          <w:p w14:paraId="0C4C321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18.868,75</w:t>
            </w:r>
          </w:p>
        </w:tc>
        <w:tc>
          <w:tcPr>
            <w:tcW w:w="993" w:type="dxa"/>
            <w:tcBorders>
              <w:top w:val="nil"/>
              <w:left w:val="nil"/>
              <w:bottom w:val="nil"/>
              <w:right w:val="nil"/>
            </w:tcBorders>
            <w:shd w:val="clear" w:color="000000" w:fill="FFFF99"/>
            <w:noWrap/>
            <w:vAlign w:val="bottom"/>
            <w:hideMark/>
          </w:tcPr>
          <w:p w14:paraId="622B62D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94,34%</w:t>
            </w:r>
          </w:p>
        </w:tc>
      </w:tr>
      <w:tr w:rsidR="006967F8" w:rsidRPr="006967F8" w14:paraId="104478AC"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45A86D9"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5FF3FAE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2DEDB2C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12F173D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18.868,75</w:t>
            </w:r>
          </w:p>
        </w:tc>
        <w:tc>
          <w:tcPr>
            <w:tcW w:w="993" w:type="dxa"/>
            <w:tcBorders>
              <w:top w:val="nil"/>
              <w:left w:val="nil"/>
              <w:bottom w:val="nil"/>
              <w:right w:val="nil"/>
            </w:tcBorders>
            <w:shd w:val="clear" w:color="000000" w:fill="CCCCFF"/>
            <w:noWrap/>
            <w:vAlign w:val="bottom"/>
            <w:hideMark/>
          </w:tcPr>
          <w:p w14:paraId="53F59AE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94,34%</w:t>
            </w:r>
          </w:p>
        </w:tc>
      </w:tr>
      <w:tr w:rsidR="006967F8" w:rsidRPr="006967F8" w14:paraId="0F601AAC"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DD60F6A"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4.1. Komunalni doprinos</w:t>
            </w:r>
          </w:p>
        </w:tc>
        <w:tc>
          <w:tcPr>
            <w:tcW w:w="1559" w:type="dxa"/>
            <w:tcBorders>
              <w:top w:val="nil"/>
              <w:left w:val="nil"/>
              <w:bottom w:val="nil"/>
              <w:right w:val="nil"/>
            </w:tcBorders>
            <w:shd w:val="clear" w:color="000000" w:fill="CCCCFF"/>
            <w:noWrap/>
            <w:vAlign w:val="bottom"/>
            <w:hideMark/>
          </w:tcPr>
          <w:p w14:paraId="081A207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6D5B34B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5F031E8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18.868,75</w:t>
            </w:r>
          </w:p>
        </w:tc>
        <w:tc>
          <w:tcPr>
            <w:tcW w:w="993" w:type="dxa"/>
            <w:tcBorders>
              <w:top w:val="nil"/>
              <w:left w:val="nil"/>
              <w:bottom w:val="nil"/>
              <w:right w:val="nil"/>
            </w:tcBorders>
            <w:shd w:val="clear" w:color="000000" w:fill="CCCCFF"/>
            <w:noWrap/>
            <w:vAlign w:val="bottom"/>
            <w:hideMark/>
          </w:tcPr>
          <w:p w14:paraId="15B6582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94,34%</w:t>
            </w:r>
          </w:p>
        </w:tc>
      </w:tr>
      <w:tr w:rsidR="006967F8" w:rsidRPr="006967F8" w14:paraId="5C346B8B" w14:textId="77777777" w:rsidTr="008A61B1">
        <w:trPr>
          <w:trHeight w:val="540"/>
        </w:trPr>
        <w:tc>
          <w:tcPr>
            <w:tcW w:w="1134" w:type="dxa"/>
            <w:tcBorders>
              <w:top w:val="nil"/>
              <w:left w:val="nil"/>
              <w:bottom w:val="nil"/>
              <w:right w:val="nil"/>
            </w:tcBorders>
            <w:noWrap/>
            <w:vAlign w:val="bottom"/>
            <w:hideMark/>
          </w:tcPr>
          <w:p w14:paraId="74EBF7C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1B8E399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3A44C9B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noWrap/>
            <w:vAlign w:val="bottom"/>
            <w:hideMark/>
          </w:tcPr>
          <w:p w14:paraId="7BFC877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noWrap/>
            <w:vAlign w:val="bottom"/>
            <w:hideMark/>
          </w:tcPr>
          <w:p w14:paraId="21E4D8D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18.868,75</w:t>
            </w:r>
          </w:p>
        </w:tc>
        <w:tc>
          <w:tcPr>
            <w:tcW w:w="993" w:type="dxa"/>
            <w:tcBorders>
              <w:top w:val="nil"/>
              <w:left w:val="nil"/>
              <w:bottom w:val="nil"/>
              <w:right w:val="nil"/>
            </w:tcBorders>
            <w:noWrap/>
            <w:vAlign w:val="bottom"/>
            <w:hideMark/>
          </w:tcPr>
          <w:p w14:paraId="635F5B0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94,34%</w:t>
            </w:r>
          </w:p>
        </w:tc>
      </w:tr>
      <w:tr w:rsidR="006967F8" w:rsidRPr="006967F8" w14:paraId="397CC82E" w14:textId="77777777" w:rsidTr="008A61B1">
        <w:trPr>
          <w:trHeight w:val="255"/>
        </w:trPr>
        <w:tc>
          <w:tcPr>
            <w:tcW w:w="1134" w:type="dxa"/>
            <w:tcBorders>
              <w:top w:val="nil"/>
              <w:left w:val="nil"/>
              <w:bottom w:val="nil"/>
              <w:right w:val="nil"/>
            </w:tcBorders>
            <w:noWrap/>
            <w:vAlign w:val="bottom"/>
            <w:hideMark/>
          </w:tcPr>
          <w:p w14:paraId="620E965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4214</w:t>
            </w:r>
          </w:p>
        </w:tc>
        <w:tc>
          <w:tcPr>
            <w:tcW w:w="4962" w:type="dxa"/>
            <w:tcBorders>
              <w:top w:val="nil"/>
              <w:left w:val="nil"/>
              <w:bottom w:val="nil"/>
              <w:right w:val="nil"/>
            </w:tcBorders>
            <w:noWrap/>
            <w:vAlign w:val="bottom"/>
            <w:hideMark/>
          </w:tcPr>
          <w:p w14:paraId="64A9DE6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građevinski objekti</w:t>
            </w:r>
          </w:p>
        </w:tc>
        <w:tc>
          <w:tcPr>
            <w:tcW w:w="1559" w:type="dxa"/>
            <w:tcBorders>
              <w:top w:val="nil"/>
              <w:left w:val="nil"/>
              <w:bottom w:val="nil"/>
              <w:right w:val="nil"/>
            </w:tcBorders>
            <w:noWrap/>
            <w:vAlign w:val="bottom"/>
            <w:hideMark/>
          </w:tcPr>
          <w:p w14:paraId="63C5A646"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088C69D"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A384031"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18.868,75</w:t>
            </w:r>
          </w:p>
        </w:tc>
        <w:tc>
          <w:tcPr>
            <w:tcW w:w="993" w:type="dxa"/>
            <w:tcBorders>
              <w:top w:val="nil"/>
              <w:left w:val="nil"/>
              <w:bottom w:val="nil"/>
              <w:right w:val="nil"/>
            </w:tcBorders>
            <w:noWrap/>
            <w:vAlign w:val="bottom"/>
            <w:hideMark/>
          </w:tcPr>
          <w:p w14:paraId="2B035265"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64D7946" w14:textId="77777777" w:rsidTr="008A61B1">
        <w:trPr>
          <w:trHeight w:val="570"/>
        </w:trPr>
        <w:tc>
          <w:tcPr>
            <w:tcW w:w="1134" w:type="dxa"/>
            <w:tcBorders>
              <w:top w:val="nil"/>
              <w:left w:val="nil"/>
              <w:bottom w:val="nil"/>
              <w:right w:val="nil"/>
            </w:tcBorders>
            <w:shd w:val="clear" w:color="000000" w:fill="FFFF99"/>
            <w:noWrap/>
            <w:vAlign w:val="bottom"/>
            <w:hideMark/>
          </w:tcPr>
          <w:p w14:paraId="03185E3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K100203</w:t>
            </w:r>
          </w:p>
        </w:tc>
        <w:tc>
          <w:tcPr>
            <w:tcW w:w="4962" w:type="dxa"/>
            <w:tcBorders>
              <w:top w:val="nil"/>
              <w:left w:val="nil"/>
              <w:bottom w:val="nil"/>
              <w:right w:val="nil"/>
            </w:tcBorders>
            <w:shd w:val="clear" w:color="000000" w:fill="FFFF99"/>
            <w:vAlign w:val="bottom"/>
            <w:hideMark/>
          </w:tcPr>
          <w:p w14:paraId="58E3EF4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Kapitalni projekt: REKONSTRUKCIJA ULICE PUT KRBANA</w:t>
            </w:r>
          </w:p>
        </w:tc>
        <w:tc>
          <w:tcPr>
            <w:tcW w:w="1559" w:type="dxa"/>
            <w:tcBorders>
              <w:top w:val="nil"/>
              <w:left w:val="nil"/>
              <w:bottom w:val="nil"/>
              <w:right w:val="nil"/>
            </w:tcBorders>
            <w:shd w:val="clear" w:color="000000" w:fill="FFFF99"/>
            <w:noWrap/>
            <w:vAlign w:val="bottom"/>
            <w:hideMark/>
          </w:tcPr>
          <w:p w14:paraId="3B5E40B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40.000,00</w:t>
            </w:r>
          </w:p>
        </w:tc>
        <w:tc>
          <w:tcPr>
            <w:tcW w:w="1559" w:type="dxa"/>
            <w:tcBorders>
              <w:top w:val="nil"/>
              <w:left w:val="nil"/>
              <w:bottom w:val="nil"/>
              <w:right w:val="nil"/>
            </w:tcBorders>
            <w:shd w:val="clear" w:color="000000" w:fill="FFFF99"/>
            <w:noWrap/>
            <w:vAlign w:val="bottom"/>
            <w:hideMark/>
          </w:tcPr>
          <w:p w14:paraId="29E5B4D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40.000,00</w:t>
            </w:r>
          </w:p>
        </w:tc>
        <w:tc>
          <w:tcPr>
            <w:tcW w:w="1559" w:type="dxa"/>
            <w:tcBorders>
              <w:top w:val="nil"/>
              <w:left w:val="nil"/>
              <w:bottom w:val="nil"/>
              <w:right w:val="nil"/>
            </w:tcBorders>
            <w:shd w:val="clear" w:color="000000" w:fill="FFFF99"/>
            <w:noWrap/>
            <w:vAlign w:val="bottom"/>
            <w:hideMark/>
          </w:tcPr>
          <w:p w14:paraId="6C57D92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6.750,00</w:t>
            </w:r>
          </w:p>
        </w:tc>
        <w:tc>
          <w:tcPr>
            <w:tcW w:w="993" w:type="dxa"/>
            <w:tcBorders>
              <w:top w:val="nil"/>
              <w:left w:val="nil"/>
              <w:bottom w:val="nil"/>
              <w:right w:val="nil"/>
            </w:tcBorders>
            <w:shd w:val="clear" w:color="000000" w:fill="FFFF99"/>
            <w:noWrap/>
            <w:vAlign w:val="bottom"/>
            <w:hideMark/>
          </w:tcPr>
          <w:p w14:paraId="01326B5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16,88%</w:t>
            </w:r>
          </w:p>
        </w:tc>
      </w:tr>
      <w:tr w:rsidR="006967F8" w:rsidRPr="006967F8" w14:paraId="7461ECDD"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5322588"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4FD6B31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40.000,00</w:t>
            </w:r>
          </w:p>
        </w:tc>
        <w:tc>
          <w:tcPr>
            <w:tcW w:w="1559" w:type="dxa"/>
            <w:tcBorders>
              <w:top w:val="nil"/>
              <w:left w:val="nil"/>
              <w:bottom w:val="nil"/>
              <w:right w:val="nil"/>
            </w:tcBorders>
            <w:shd w:val="clear" w:color="000000" w:fill="CCCCFF"/>
            <w:noWrap/>
            <w:vAlign w:val="bottom"/>
            <w:hideMark/>
          </w:tcPr>
          <w:p w14:paraId="7AA194C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40.000,00</w:t>
            </w:r>
          </w:p>
        </w:tc>
        <w:tc>
          <w:tcPr>
            <w:tcW w:w="1559" w:type="dxa"/>
            <w:tcBorders>
              <w:top w:val="nil"/>
              <w:left w:val="nil"/>
              <w:bottom w:val="nil"/>
              <w:right w:val="nil"/>
            </w:tcBorders>
            <w:shd w:val="clear" w:color="000000" w:fill="CCCCFF"/>
            <w:noWrap/>
            <w:vAlign w:val="bottom"/>
            <w:hideMark/>
          </w:tcPr>
          <w:p w14:paraId="23D4A5A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6.750,00</w:t>
            </w:r>
          </w:p>
        </w:tc>
        <w:tc>
          <w:tcPr>
            <w:tcW w:w="993" w:type="dxa"/>
            <w:tcBorders>
              <w:top w:val="nil"/>
              <w:left w:val="nil"/>
              <w:bottom w:val="nil"/>
              <w:right w:val="nil"/>
            </w:tcBorders>
            <w:shd w:val="clear" w:color="000000" w:fill="CCCCFF"/>
            <w:noWrap/>
            <w:vAlign w:val="bottom"/>
            <w:hideMark/>
          </w:tcPr>
          <w:p w14:paraId="2FE4B78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16,88%</w:t>
            </w:r>
          </w:p>
        </w:tc>
      </w:tr>
      <w:tr w:rsidR="006967F8" w:rsidRPr="006967F8" w14:paraId="58306812"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BC8E247"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4.1. Komunalni doprinos</w:t>
            </w:r>
          </w:p>
        </w:tc>
        <w:tc>
          <w:tcPr>
            <w:tcW w:w="1559" w:type="dxa"/>
            <w:tcBorders>
              <w:top w:val="nil"/>
              <w:left w:val="nil"/>
              <w:bottom w:val="nil"/>
              <w:right w:val="nil"/>
            </w:tcBorders>
            <w:shd w:val="clear" w:color="000000" w:fill="CCCCFF"/>
            <w:noWrap/>
            <w:vAlign w:val="bottom"/>
            <w:hideMark/>
          </w:tcPr>
          <w:p w14:paraId="149DB1B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40.000,00</w:t>
            </w:r>
          </w:p>
        </w:tc>
        <w:tc>
          <w:tcPr>
            <w:tcW w:w="1559" w:type="dxa"/>
            <w:tcBorders>
              <w:top w:val="nil"/>
              <w:left w:val="nil"/>
              <w:bottom w:val="nil"/>
              <w:right w:val="nil"/>
            </w:tcBorders>
            <w:shd w:val="clear" w:color="000000" w:fill="CCCCFF"/>
            <w:noWrap/>
            <w:vAlign w:val="bottom"/>
            <w:hideMark/>
          </w:tcPr>
          <w:p w14:paraId="00B7469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40.000,00</w:t>
            </w:r>
          </w:p>
        </w:tc>
        <w:tc>
          <w:tcPr>
            <w:tcW w:w="1559" w:type="dxa"/>
            <w:tcBorders>
              <w:top w:val="nil"/>
              <w:left w:val="nil"/>
              <w:bottom w:val="nil"/>
              <w:right w:val="nil"/>
            </w:tcBorders>
            <w:shd w:val="clear" w:color="000000" w:fill="CCCCFF"/>
            <w:noWrap/>
            <w:vAlign w:val="bottom"/>
            <w:hideMark/>
          </w:tcPr>
          <w:p w14:paraId="121C06E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6.750,00</w:t>
            </w:r>
          </w:p>
        </w:tc>
        <w:tc>
          <w:tcPr>
            <w:tcW w:w="993" w:type="dxa"/>
            <w:tcBorders>
              <w:top w:val="nil"/>
              <w:left w:val="nil"/>
              <w:bottom w:val="nil"/>
              <w:right w:val="nil"/>
            </w:tcBorders>
            <w:shd w:val="clear" w:color="000000" w:fill="CCCCFF"/>
            <w:noWrap/>
            <w:vAlign w:val="bottom"/>
            <w:hideMark/>
          </w:tcPr>
          <w:p w14:paraId="5841323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16,88%</w:t>
            </w:r>
          </w:p>
        </w:tc>
      </w:tr>
      <w:tr w:rsidR="006967F8" w:rsidRPr="006967F8" w14:paraId="24B3C0B1" w14:textId="77777777" w:rsidTr="008A61B1">
        <w:trPr>
          <w:trHeight w:val="585"/>
        </w:trPr>
        <w:tc>
          <w:tcPr>
            <w:tcW w:w="1134" w:type="dxa"/>
            <w:tcBorders>
              <w:top w:val="nil"/>
              <w:left w:val="nil"/>
              <w:bottom w:val="nil"/>
              <w:right w:val="nil"/>
            </w:tcBorders>
            <w:noWrap/>
            <w:vAlign w:val="bottom"/>
            <w:hideMark/>
          </w:tcPr>
          <w:p w14:paraId="541554E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5166FE0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772B4F4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40.000,00</w:t>
            </w:r>
          </w:p>
        </w:tc>
        <w:tc>
          <w:tcPr>
            <w:tcW w:w="1559" w:type="dxa"/>
            <w:tcBorders>
              <w:top w:val="nil"/>
              <w:left w:val="nil"/>
              <w:bottom w:val="nil"/>
              <w:right w:val="nil"/>
            </w:tcBorders>
            <w:noWrap/>
            <w:vAlign w:val="bottom"/>
            <w:hideMark/>
          </w:tcPr>
          <w:p w14:paraId="538CDAE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40.000,00</w:t>
            </w:r>
          </w:p>
        </w:tc>
        <w:tc>
          <w:tcPr>
            <w:tcW w:w="1559" w:type="dxa"/>
            <w:tcBorders>
              <w:top w:val="nil"/>
              <w:left w:val="nil"/>
              <w:bottom w:val="nil"/>
              <w:right w:val="nil"/>
            </w:tcBorders>
            <w:noWrap/>
            <w:vAlign w:val="bottom"/>
            <w:hideMark/>
          </w:tcPr>
          <w:p w14:paraId="5DB71C8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6.750,00</w:t>
            </w:r>
          </w:p>
        </w:tc>
        <w:tc>
          <w:tcPr>
            <w:tcW w:w="993" w:type="dxa"/>
            <w:tcBorders>
              <w:top w:val="nil"/>
              <w:left w:val="nil"/>
              <w:bottom w:val="nil"/>
              <w:right w:val="nil"/>
            </w:tcBorders>
            <w:noWrap/>
            <w:vAlign w:val="bottom"/>
            <w:hideMark/>
          </w:tcPr>
          <w:p w14:paraId="54CF030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16,88%</w:t>
            </w:r>
          </w:p>
        </w:tc>
      </w:tr>
      <w:tr w:rsidR="006967F8" w:rsidRPr="006967F8" w14:paraId="4B4C10BB" w14:textId="77777777" w:rsidTr="008A61B1">
        <w:trPr>
          <w:trHeight w:val="255"/>
        </w:trPr>
        <w:tc>
          <w:tcPr>
            <w:tcW w:w="1134" w:type="dxa"/>
            <w:tcBorders>
              <w:top w:val="nil"/>
              <w:left w:val="nil"/>
              <w:bottom w:val="nil"/>
              <w:right w:val="nil"/>
            </w:tcBorders>
            <w:noWrap/>
            <w:vAlign w:val="bottom"/>
            <w:hideMark/>
          </w:tcPr>
          <w:p w14:paraId="1EF4130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4213</w:t>
            </w:r>
          </w:p>
        </w:tc>
        <w:tc>
          <w:tcPr>
            <w:tcW w:w="4962" w:type="dxa"/>
            <w:tcBorders>
              <w:top w:val="nil"/>
              <w:left w:val="nil"/>
              <w:bottom w:val="nil"/>
              <w:right w:val="nil"/>
            </w:tcBorders>
            <w:noWrap/>
            <w:vAlign w:val="bottom"/>
            <w:hideMark/>
          </w:tcPr>
          <w:p w14:paraId="148ACD6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Ceste, željeznice i ostali prometni objekti</w:t>
            </w:r>
          </w:p>
        </w:tc>
        <w:tc>
          <w:tcPr>
            <w:tcW w:w="1559" w:type="dxa"/>
            <w:tcBorders>
              <w:top w:val="nil"/>
              <w:left w:val="nil"/>
              <w:bottom w:val="nil"/>
              <w:right w:val="nil"/>
            </w:tcBorders>
            <w:noWrap/>
            <w:vAlign w:val="bottom"/>
            <w:hideMark/>
          </w:tcPr>
          <w:p w14:paraId="2BF5FA46"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68F28D2"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D1DCE85"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6.750,00</w:t>
            </w:r>
          </w:p>
        </w:tc>
        <w:tc>
          <w:tcPr>
            <w:tcW w:w="993" w:type="dxa"/>
            <w:tcBorders>
              <w:top w:val="nil"/>
              <w:left w:val="nil"/>
              <w:bottom w:val="nil"/>
              <w:right w:val="nil"/>
            </w:tcBorders>
            <w:noWrap/>
            <w:vAlign w:val="bottom"/>
            <w:hideMark/>
          </w:tcPr>
          <w:p w14:paraId="4B8869B5"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A4BA119" w14:textId="77777777" w:rsidTr="008A61B1">
        <w:trPr>
          <w:trHeight w:val="585"/>
        </w:trPr>
        <w:tc>
          <w:tcPr>
            <w:tcW w:w="1134" w:type="dxa"/>
            <w:tcBorders>
              <w:top w:val="nil"/>
              <w:left w:val="nil"/>
              <w:bottom w:val="nil"/>
              <w:right w:val="nil"/>
            </w:tcBorders>
            <w:shd w:val="clear" w:color="000000" w:fill="FF9900"/>
            <w:noWrap/>
            <w:vAlign w:val="bottom"/>
            <w:hideMark/>
          </w:tcPr>
          <w:p w14:paraId="402AB6D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1601</w:t>
            </w:r>
          </w:p>
        </w:tc>
        <w:tc>
          <w:tcPr>
            <w:tcW w:w="4962" w:type="dxa"/>
            <w:tcBorders>
              <w:top w:val="nil"/>
              <w:left w:val="nil"/>
              <w:bottom w:val="nil"/>
              <w:right w:val="nil"/>
            </w:tcBorders>
            <w:shd w:val="clear" w:color="000000" w:fill="FF9900"/>
            <w:vAlign w:val="bottom"/>
            <w:hideMark/>
          </w:tcPr>
          <w:p w14:paraId="41B4447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Program: ODRŽAVANJE PROSTORA U VLASNIŠTVU I SUVLASNIŠTVU GRADA</w:t>
            </w:r>
          </w:p>
        </w:tc>
        <w:tc>
          <w:tcPr>
            <w:tcW w:w="1559" w:type="dxa"/>
            <w:tcBorders>
              <w:top w:val="nil"/>
              <w:left w:val="nil"/>
              <w:bottom w:val="nil"/>
              <w:right w:val="nil"/>
            </w:tcBorders>
            <w:shd w:val="clear" w:color="000000" w:fill="FF9900"/>
            <w:noWrap/>
            <w:vAlign w:val="bottom"/>
            <w:hideMark/>
          </w:tcPr>
          <w:p w14:paraId="3BB29F0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129.000,00</w:t>
            </w:r>
          </w:p>
        </w:tc>
        <w:tc>
          <w:tcPr>
            <w:tcW w:w="1559" w:type="dxa"/>
            <w:tcBorders>
              <w:top w:val="nil"/>
              <w:left w:val="nil"/>
              <w:bottom w:val="nil"/>
              <w:right w:val="nil"/>
            </w:tcBorders>
            <w:shd w:val="clear" w:color="000000" w:fill="FF9900"/>
            <w:noWrap/>
            <w:vAlign w:val="bottom"/>
            <w:hideMark/>
          </w:tcPr>
          <w:p w14:paraId="4E8CCD8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129.000,00</w:t>
            </w:r>
          </w:p>
        </w:tc>
        <w:tc>
          <w:tcPr>
            <w:tcW w:w="1559" w:type="dxa"/>
            <w:tcBorders>
              <w:top w:val="nil"/>
              <w:left w:val="nil"/>
              <w:bottom w:val="nil"/>
              <w:right w:val="nil"/>
            </w:tcBorders>
            <w:shd w:val="clear" w:color="000000" w:fill="FF9900"/>
            <w:noWrap/>
            <w:vAlign w:val="bottom"/>
            <w:hideMark/>
          </w:tcPr>
          <w:p w14:paraId="0AB58E0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72.882,84</w:t>
            </w:r>
          </w:p>
        </w:tc>
        <w:tc>
          <w:tcPr>
            <w:tcW w:w="993" w:type="dxa"/>
            <w:tcBorders>
              <w:top w:val="nil"/>
              <w:left w:val="nil"/>
              <w:bottom w:val="nil"/>
              <w:right w:val="nil"/>
            </w:tcBorders>
            <w:shd w:val="clear" w:color="000000" w:fill="FF9900"/>
            <w:noWrap/>
            <w:vAlign w:val="bottom"/>
            <w:hideMark/>
          </w:tcPr>
          <w:p w14:paraId="7216A88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56,50%</w:t>
            </w:r>
          </w:p>
        </w:tc>
      </w:tr>
      <w:tr w:rsidR="006967F8" w:rsidRPr="006967F8" w14:paraId="35D3BEA8" w14:textId="77777777" w:rsidTr="008A61B1">
        <w:trPr>
          <w:trHeight w:val="585"/>
        </w:trPr>
        <w:tc>
          <w:tcPr>
            <w:tcW w:w="1134" w:type="dxa"/>
            <w:tcBorders>
              <w:top w:val="nil"/>
              <w:left w:val="nil"/>
              <w:bottom w:val="nil"/>
              <w:right w:val="nil"/>
            </w:tcBorders>
            <w:shd w:val="clear" w:color="000000" w:fill="FFFF99"/>
            <w:noWrap/>
            <w:vAlign w:val="bottom"/>
            <w:hideMark/>
          </w:tcPr>
          <w:p w14:paraId="7270317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lastRenderedPageBreak/>
              <w:t>A100003</w:t>
            </w:r>
          </w:p>
        </w:tc>
        <w:tc>
          <w:tcPr>
            <w:tcW w:w="4962" w:type="dxa"/>
            <w:tcBorders>
              <w:top w:val="nil"/>
              <w:left w:val="nil"/>
              <w:bottom w:val="nil"/>
              <w:right w:val="nil"/>
            </w:tcBorders>
            <w:shd w:val="clear" w:color="000000" w:fill="FFFF99"/>
            <w:vAlign w:val="bottom"/>
            <w:hideMark/>
          </w:tcPr>
          <w:p w14:paraId="5527A0D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Aktivnost: ODRŽAVANJE PROSTORA U VLASNIŠTVU I SUVLASNIŠTVU GRADA </w:t>
            </w:r>
          </w:p>
        </w:tc>
        <w:tc>
          <w:tcPr>
            <w:tcW w:w="1559" w:type="dxa"/>
            <w:tcBorders>
              <w:top w:val="nil"/>
              <w:left w:val="nil"/>
              <w:bottom w:val="nil"/>
              <w:right w:val="nil"/>
            </w:tcBorders>
            <w:shd w:val="clear" w:color="000000" w:fill="FFFF99"/>
            <w:noWrap/>
            <w:vAlign w:val="bottom"/>
            <w:hideMark/>
          </w:tcPr>
          <w:p w14:paraId="6C51371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129.000,00</w:t>
            </w:r>
          </w:p>
        </w:tc>
        <w:tc>
          <w:tcPr>
            <w:tcW w:w="1559" w:type="dxa"/>
            <w:tcBorders>
              <w:top w:val="nil"/>
              <w:left w:val="nil"/>
              <w:bottom w:val="nil"/>
              <w:right w:val="nil"/>
            </w:tcBorders>
            <w:shd w:val="clear" w:color="000000" w:fill="FFFF99"/>
            <w:noWrap/>
            <w:vAlign w:val="bottom"/>
            <w:hideMark/>
          </w:tcPr>
          <w:p w14:paraId="02BB139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129.000,00</w:t>
            </w:r>
          </w:p>
        </w:tc>
        <w:tc>
          <w:tcPr>
            <w:tcW w:w="1559" w:type="dxa"/>
            <w:tcBorders>
              <w:top w:val="nil"/>
              <w:left w:val="nil"/>
              <w:bottom w:val="nil"/>
              <w:right w:val="nil"/>
            </w:tcBorders>
            <w:shd w:val="clear" w:color="000000" w:fill="FFFF99"/>
            <w:noWrap/>
            <w:vAlign w:val="bottom"/>
            <w:hideMark/>
          </w:tcPr>
          <w:p w14:paraId="5DEA941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72.882,84</w:t>
            </w:r>
          </w:p>
        </w:tc>
        <w:tc>
          <w:tcPr>
            <w:tcW w:w="993" w:type="dxa"/>
            <w:tcBorders>
              <w:top w:val="nil"/>
              <w:left w:val="nil"/>
              <w:bottom w:val="nil"/>
              <w:right w:val="nil"/>
            </w:tcBorders>
            <w:shd w:val="clear" w:color="000000" w:fill="FFFF99"/>
            <w:noWrap/>
            <w:vAlign w:val="bottom"/>
            <w:hideMark/>
          </w:tcPr>
          <w:p w14:paraId="0B401E3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56,50%</w:t>
            </w:r>
          </w:p>
        </w:tc>
      </w:tr>
      <w:tr w:rsidR="006967F8" w:rsidRPr="006967F8" w14:paraId="02CD1971"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745FFFC"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737A2EE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129.000,00</w:t>
            </w:r>
          </w:p>
        </w:tc>
        <w:tc>
          <w:tcPr>
            <w:tcW w:w="1559" w:type="dxa"/>
            <w:tcBorders>
              <w:top w:val="nil"/>
              <w:left w:val="nil"/>
              <w:bottom w:val="nil"/>
              <w:right w:val="nil"/>
            </w:tcBorders>
            <w:shd w:val="clear" w:color="000000" w:fill="CCCCFF"/>
            <w:noWrap/>
            <w:vAlign w:val="bottom"/>
            <w:hideMark/>
          </w:tcPr>
          <w:p w14:paraId="316725C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129.000,00</w:t>
            </w:r>
          </w:p>
        </w:tc>
        <w:tc>
          <w:tcPr>
            <w:tcW w:w="1559" w:type="dxa"/>
            <w:tcBorders>
              <w:top w:val="nil"/>
              <w:left w:val="nil"/>
              <w:bottom w:val="nil"/>
              <w:right w:val="nil"/>
            </w:tcBorders>
            <w:shd w:val="clear" w:color="000000" w:fill="CCCCFF"/>
            <w:noWrap/>
            <w:vAlign w:val="bottom"/>
            <w:hideMark/>
          </w:tcPr>
          <w:p w14:paraId="5D20D12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72.882,84</w:t>
            </w:r>
          </w:p>
        </w:tc>
        <w:tc>
          <w:tcPr>
            <w:tcW w:w="993" w:type="dxa"/>
            <w:tcBorders>
              <w:top w:val="nil"/>
              <w:left w:val="nil"/>
              <w:bottom w:val="nil"/>
              <w:right w:val="nil"/>
            </w:tcBorders>
            <w:shd w:val="clear" w:color="000000" w:fill="CCCCFF"/>
            <w:noWrap/>
            <w:vAlign w:val="bottom"/>
            <w:hideMark/>
          </w:tcPr>
          <w:p w14:paraId="4F04B62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56,50%</w:t>
            </w:r>
          </w:p>
        </w:tc>
      </w:tr>
      <w:tr w:rsidR="006967F8" w:rsidRPr="006967F8" w14:paraId="23D2BE0F"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155AFAA"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1F40B54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129.000,00</w:t>
            </w:r>
          </w:p>
        </w:tc>
        <w:tc>
          <w:tcPr>
            <w:tcW w:w="1559" w:type="dxa"/>
            <w:tcBorders>
              <w:top w:val="nil"/>
              <w:left w:val="nil"/>
              <w:bottom w:val="nil"/>
              <w:right w:val="nil"/>
            </w:tcBorders>
            <w:shd w:val="clear" w:color="000000" w:fill="CCCCFF"/>
            <w:noWrap/>
            <w:vAlign w:val="bottom"/>
            <w:hideMark/>
          </w:tcPr>
          <w:p w14:paraId="1077F95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129.000,00</w:t>
            </w:r>
          </w:p>
        </w:tc>
        <w:tc>
          <w:tcPr>
            <w:tcW w:w="1559" w:type="dxa"/>
            <w:tcBorders>
              <w:top w:val="nil"/>
              <w:left w:val="nil"/>
              <w:bottom w:val="nil"/>
              <w:right w:val="nil"/>
            </w:tcBorders>
            <w:shd w:val="clear" w:color="000000" w:fill="CCCCFF"/>
            <w:noWrap/>
            <w:vAlign w:val="bottom"/>
            <w:hideMark/>
          </w:tcPr>
          <w:p w14:paraId="65A5DC3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72.882,84</w:t>
            </w:r>
          </w:p>
        </w:tc>
        <w:tc>
          <w:tcPr>
            <w:tcW w:w="993" w:type="dxa"/>
            <w:tcBorders>
              <w:top w:val="nil"/>
              <w:left w:val="nil"/>
              <w:bottom w:val="nil"/>
              <w:right w:val="nil"/>
            </w:tcBorders>
            <w:shd w:val="clear" w:color="000000" w:fill="CCCCFF"/>
            <w:noWrap/>
            <w:vAlign w:val="bottom"/>
            <w:hideMark/>
          </w:tcPr>
          <w:p w14:paraId="26FF1B9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56,50%</w:t>
            </w:r>
          </w:p>
        </w:tc>
      </w:tr>
      <w:tr w:rsidR="006967F8" w:rsidRPr="006967F8" w14:paraId="64090C88" w14:textId="77777777" w:rsidTr="008A61B1">
        <w:trPr>
          <w:trHeight w:val="255"/>
        </w:trPr>
        <w:tc>
          <w:tcPr>
            <w:tcW w:w="1134" w:type="dxa"/>
            <w:tcBorders>
              <w:top w:val="nil"/>
              <w:left w:val="nil"/>
              <w:bottom w:val="nil"/>
              <w:right w:val="nil"/>
            </w:tcBorders>
            <w:noWrap/>
            <w:vAlign w:val="bottom"/>
            <w:hideMark/>
          </w:tcPr>
          <w:p w14:paraId="66D21A7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254F33D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6A8446F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119.000,00</w:t>
            </w:r>
          </w:p>
        </w:tc>
        <w:tc>
          <w:tcPr>
            <w:tcW w:w="1559" w:type="dxa"/>
            <w:tcBorders>
              <w:top w:val="nil"/>
              <w:left w:val="nil"/>
              <w:bottom w:val="nil"/>
              <w:right w:val="nil"/>
            </w:tcBorders>
            <w:noWrap/>
            <w:vAlign w:val="bottom"/>
            <w:hideMark/>
          </w:tcPr>
          <w:p w14:paraId="6FA39B1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119.000,00</w:t>
            </w:r>
          </w:p>
        </w:tc>
        <w:tc>
          <w:tcPr>
            <w:tcW w:w="1559" w:type="dxa"/>
            <w:tcBorders>
              <w:top w:val="nil"/>
              <w:left w:val="nil"/>
              <w:bottom w:val="nil"/>
              <w:right w:val="nil"/>
            </w:tcBorders>
            <w:noWrap/>
            <w:vAlign w:val="bottom"/>
            <w:hideMark/>
          </w:tcPr>
          <w:p w14:paraId="7280C87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72.882,84</w:t>
            </w:r>
          </w:p>
        </w:tc>
        <w:tc>
          <w:tcPr>
            <w:tcW w:w="993" w:type="dxa"/>
            <w:tcBorders>
              <w:top w:val="nil"/>
              <w:left w:val="nil"/>
              <w:bottom w:val="nil"/>
              <w:right w:val="nil"/>
            </w:tcBorders>
            <w:noWrap/>
            <w:vAlign w:val="bottom"/>
            <w:hideMark/>
          </w:tcPr>
          <w:p w14:paraId="51988A9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61,25%</w:t>
            </w:r>
          </w:p>
        </w:tc>
      </w:tr>
      <w:tr w:rsidR="006967F8" w:rsidRPr="006967F8" w14:paraId="42BAAE20" w14:textId="77777777" w:rsidTr="008A61B1">
        <w:trPr>
          <w:trHeight w:val="255"/>
        </w:trPr>
        <w:tc>
          <w:tcPr>
            <w:tcW w:w="1134" w:type="dxa"/>
            <w:tcBorders>
              <w:top w:val="nil"/>
              <w:left w:val="nil"/>
              <w:bottom w:val="nil"/>
              <w:right w:val="nil"/>
            </w:tcBorders>
            <w:noWrap/>
            <w:vAlign w:val="bottom"/>
            <w:hideMark/>
          </w:tcPr>
          <w:p w14:paraId="4A32A32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3232</w:t>
            </w:r>
          </w:p>
        </w:tc>
        <w:tc>
          <w:tcPr>
            <w:tcW w:w="4962" w:type="dxa"/>
            <w:tcBorders>
              <w:top w:val="nil"/>
              <w:left w:val="nil"/>
              <w:bottom w:val="nil"/>
              <w:right w:val="nil"/>
            </w:tcBorders>
            <w:noWrap/>
            <w:vAlign w:val="bottom"/>
            <w:hideMark/>
          </w:tcPr>
          <w:p w14:paraId="13AA290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noWrap/>
            <w:vAlign w:val="bottom"/>
            <w:hideMark/>
          </w:tcPr>
          <w:p w14:paraId="01F394F5"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8A63811"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BC1E5CE"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71.532,84</w:t>
            </w:r>
          </w:p>
        </w:tc>
        <w:tc>
          <w:tcPr>
            <w:tcW w:w="993" w:type="dxa"/>
            <w:tcBorders>
              <w:top w:val="nil"/>
              <w:left w:val="nil"/>
              <w:bottom w:val="nil"/>
              <w:right w:val="nil"/>
            </w:tcBorders>
            <w:noWrap/>
            <w:vAlign w:val="bottom"/>
            <w:hideMark/>
          </w:tcPr>
          <w:p w14:paraId="7899E387"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66416CF" w14:textId="77777777" w:rsidTr="008A61B1">
        <w:trPr>
          <w:trHeight w:val="255"/>
        </w:trPr>
        <w:tc>
          <w:tcPr>
            <w:tcW w:w="1134" w:type="dxa"/>
            <w:tcBorders>
              <w:top w:val="nil"/>
              <w:left w:val="nil"/>
              <w:bottom w:val="nil"/>
              <w:right w:val="nil"/>
            </w:tcBorders>
            <w:noWrap/>
            <w:vAlign w:val="bottom"/>
            <w:hideMark/>
          </w:tcPr>
          <w:p w14:paraId="0EB6D3A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3235</w:t>
            </w:r>
          </w:p>
        </w:tc>
        <w:tc>
          <w:tcPr>
            <w:tcW w:w="4962" w:type="dxa"/>
            <w:tcBorders>
              <w:top w:val="nil"/>
              <w:left w:val="nil"/>
              <w:bottom w:val="nil"/>
              <w:right w:val="nil"/>
            </w:tcBorders>
            <w:noWrap/>
            <w:vAlign w:val="bottom"/>
            <w:hideMark/>
          </w:tcPr>
          <w:p w14:paraId="16E3435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Zakupnine i najamnine</w:t>
            </w:r>
          </w:p>
        </w:tc>
        <w:tc>
          <w:tcPr>
            <w:tcW w:w="1559" w:type="dxa"/>
            <w:tcBorders>
              <w:top w:val="nil"/>
              <w:left w:val="nil"/>
              <w:bottom w:val="nil"/>
              <w:right w:val="nil"/>
            </w:tcBorders>
            <w:noWrap/>
            <w:vAlign w:val="bottom"/>
            <w:hideMark/>
          </w:tcPr>
          <w:p w14:paraId="279BB3AE"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B48E7D7"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6F2DD79"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1.350,00</w:t>
            </w:r>
          </w:p>
        </w:tc>
        <w:tc>
          <w:tcPr>
            <w:tcW w:w="993" w:type="dxa"/>
            <w:tcBorders>
              <w:top w:val="nil"/>
              <w:left w:val="nil"/>
              <w:bottom w:val="nil"/>
              <w:right w:val="nil"/>
            </w:tcBorders>
            <w:noWrap/>
            <w:vAlign w:val="bottom"/>
            <w:hideMark/>
          </w:tcPr>
          <w:p w14:paraId="3E2757E7"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A3E0F2C" w14:textId="77777777" w:rsidTr="008A61B1">
        <w:trPr>
          <w:trHeight w:val="255"/>
        </w:trPr>
        <w:tc>
          <w:tcPr>
            <w:tcW w:w="1134" w:type="dxa"/>
            <w:tcBorders>
              <w:top w:val="nil"/>
              <w:left w:val="nil"/>
              <w:bottom w:val="nil"/>
              <w:right w:val="nil"/>
            </w:tcBorders>
            <w:noWrap/>
            <w:vAlign w:val="bottom"/>
            <w:hideMark/>
          </w:tcPr>
          <w:p w14:paraId="48CBA72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47D8D74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64C8145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noWrap/>
            <w:vAlign w:val="bottom"/>
            <w:hideMark/>
          </w:tcPr>
          <w:p w14:paraId="6AC11B0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noWrap/>
            <w:vAlign w:val="bottom"/>
            <w:hideMark/>
          </w:tcPr>
          <w:p w14:paraId="0D35E78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6801058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7CB1F792" w14:textId="77777777" w:rsidTr="008A61B1">
        <w:trPr>
          <w:trHeight w:val="255"/>
        </w:trPr>
        <w:tc>
          <w:tcPr>
            <w:tcW w:w="1134" w:type="dxa"/>
            <w:tcBorders>
              <w:top w:val="nil"/>
              <w:left w:val="nil"/>
              <w:bottom w:val="nil"/>
              <w:right w:val="nil"/>
            </w:tcBorders>
            <w:shd w:val="clear" w:color="000000" w:fill="FF9900"/>
            <w:noWrap/>
            <w:vAlign w:val="bottom"/>
            <w:hideMark/>
          </w:tcPr>
          <w:p w14:paraId="09D8B98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1602</w:t>
            </w:r>
          </w:p>
        </w:tc>
        <w:tc>
          <w:tcPr>
            <w:tcW w:w="4962" w:type="dxa"/>
            <w:tcBorders>
              <w:top w:val="nil"/>
              <w:left w:val="nil"/>
              <w:bottom w:val="nil"/>
              <w:right w:val="nil"/>
            </w:tcBorders>
            <w:shd w:val="clear" w:color="000000" w:fill="FF9900"/>
            <w:noWrap/>
            <w:vAlign w:val="bottom"/>
            <w:hideMark/>
          </w:tcPr>
          <w:p w14:paraId="5A51CF1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Program: OČUVANJE KULTURNE BAŠTINE</w:t>
            </w:r>
          </w:p>
        </w:tc>
        <w:tc>
          <w:tcPr>
            <w:tcW w:w="1559" w:type="dxa"/>
            <w:tcBorders>
              <w:top w:val="nil"/>
              <w:left w:val="nil"/>
              <w:bottom w:val="nil"/>
              <w:right w:val="nil"/>
            </w:tcBorders>
            <w:shd w:val="clear" w:color="000000" w:fill="FF9900"/>
            <w:noWrap/>
            <w:vAlign w:val="bottom"/>
            <w:hideMark/>
          </w:tcPr>
          <w:p w14:paraId="0F81E8B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909.614,59</w:t>
            </w:r>
          </w:p>
        </w:tc>
        <w:tc>
          <w:tcPr>
            <w:tcW w:w="1559" w:type="dxa"/>
            <w:tcBorders>
              <w:top w:val="nil"/>
              <w:left w:val="nil"/>
              <w:bottom w:val="nil"/>
              <w:right w:val="nil"/>
            </w:tcBorders>
            <w:shd w:val="clear" w:color="000000" w:fill="FF9900"/>
            <w:noWrap/>
            <w:vAlign w:val="bottom"/>
            <w:hideMark/>
          </w:tcPr>
          <w:p w14:paraId="05CA768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918.979,59</w:t>
            </w:r>
          </w:p>
        </w:tc>
        <w:tc>
          <w:tcPr>
            <w:tcW w:w="1559" w:type="dxa"/>
            <w:tcBorders>
              <w:top w:val="nil"/>
              <w:left w:val="nil"/>
              <w:bottom w:val="nil"/>
              <w:right w:val="nil"/>
            </w:tcBorders>
            <w:shd w:val="clear" w:color="000000" w:fill="FF9900"/>
            <w:noWrap/>
            <w:vAlign w:val="bottom"/>
            <w:hideMark/>
          </w:tcPr>
          <w:p w14:paraId="4331C0A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720.064,16</w:t>
            </w:r>
          </w:p>
        </w:tc>
        <w:tc>
          <w:tcPr>
            <w:tcW w:w="993" w:type="dxa"/>
            <w:tcBorders>
              <w:top w:val="nil"/>
              <w:left w:val="nil"/>
              <w:bottom w:val="nil"/>
              <w:right w:val="nil"/>
            </w:tcBorders>
            <w:shd w:val="clear" w:color="000000" w:fill="FF9900"/>
            <w:noWrap/>
            <w:vAlign w:val="bottom"/>
            <w:hideMark/>
          </w:tcPr>
          <w:p w14:paraId="66B9B06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78,35%</w:t>
            </w:r>
          </w:p>
        </w:tc>
      </w:tr>
      <w:tr w:rsidR="006967F8" w:rsidRPr="006967F8" w14:paraId="48797C64" w14:textId="77777777" w:rsidTr="008A61B1">
        <w:trPr>
          <w:trHeight w:val="645"/>
        </w:trPr>
        <w:tc>
          <w:tcPr>
            <w:tcW w:w="1134" w:type="dxa"/>
            <w:tcBorders>
              <w:top w:val="nil"/>
              <w:left w:val="nil"/>
              <w:bottom w:val="nil"/>
              <w:right w:val="nil"/>
            </w:tcBorders>
            <w:shd w:val="clear" w:color="000000" w:fill="FFFF99"/>
            <w:noWrap/>
            <w:vAlign w:val="bottom"/>
            <w:hideMark/>
          </w:tcPr>
          <w:p w14:paraId="5273A22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A100004</w:t>
            </w:r>
          </w:p>
        </w:tc>
        <w:tc>
          <w:tcPr>
            <w:tcW w:w="4962" w:type="dxa"/>
            <w:tcBorders>
              <w:top w:val="nil"/>
              <w:left w:val="nil"/>
              <w:bottom w:val="nil"/>
              <w:right w:val="nil"/>
            </w:tcBorders>
            <w:shd w:val="clear" w:color="000000" w:fill="FFFF99"/>
            <w:vAlign w:val="bottom"/>
            <w:hideMark/>
          </w:tcPr>
          <w:p w14:paraId="3920DE2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Aktivnost: SUFINANCIRANJE ZAHVATA NA OČUVANJU KULTURNE BAŠTINE</w:t>
            </w:r>
          </w:p>
        </w:tc>
        <w:tc>
          <w:tcPr>
            <w:tcW w:w="1559" w:type="dxa"/>
            <w:tcBorders>
              <w:top w:val="nil"/>
              <w:left w:val="nil"/>
              <w:bottom w:val="nil"/>
              <w:right w:val="nil"/>
            </w:tcBorders>
            <w:shd w:val="clear" w:color="000000" w:fill="FFFF99"/>
            <w:noWrap/>
            <w:vAlign w:val="bottom"/>
            <w:hideMark/>
          </w:tcPr>
          <w:p w14:paraId="3CF66CA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122.500,00</w:t>
            </w:r>
          </w:p>
        </w:tc>
        <w:tc>
          <w:tcPr>
            <w:tcW w:w="1559" w:type="dxa"/>
            <w:tcBorders>
              <w:top w:val="nil"/>
              <w:left w:val="nil"/>
              <w:bottom w:val="nil"/>
              <w:right w:val="nil"/>
            </w:tcBorders>
            <w:shd w:val="clear" w:color="000000" w:fill="FFFF99"/>
            <w:noWrap/>
            <w:vAlign w:val="bottom"/>
            <w:hideMark/>
          </w:tcPr>
          <w:p w14:paraId="54B34C9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122.500,00</w:t>
            </w:r>
          </w:p>
        </w:tc>
        <w:tc>
          <w:tcPr>
            <w:tcW w:w="1559" w:type="dxa"/>
            <w:tcBorders>
              <w:top w:val="nil"/>
              <w:left w:val="nil"/>
              <w:bottom w:val="nil"/>
              <w:right w:val="nil"/>
            </w:tcBorders>
            <w:shd w:val="clear" w:color="000000" w:fill="FFFF99"/>
            <w:noWrap/>
            <w:vAlign w:val="bottom"/>
            <w:hideMark/>
          </w:tcPr>
          <w:p w14:paraId="7D8EE5D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96.144,51</w:t>
            </w:r>
          </w:p>
        </w:tc>
        <w:tc>
          <w:tcPr>
            <w:tcW w:w="993" w:type="dxa"/>
            <w:tcBorders>
              <w:top w:val="nil"/>
              <w:left w:val="nil"/>
              <w:bottom w:val="nil"/>
              <w:right w:val="nil"/>
            </w:tcBorders>
            <w:shd w:val="clear" w:color="000000" w:fill="FFFF99"/>
            <w:noWrap/>
            <w:vAlign w:val="bottom"/>
            <w:hideMark/>
          </w:tcPr>
          <w:p w14:paraId="6E1576B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78,49%</w:t>
            </w:r>
          </w:p>
        </w:tc>
      </w:tr>
      <w:tr w:rsidR="006967F8" w:rsidRPr="006967F8" w14:paraId="26E69CA7"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7A5DDAB"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3135E50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70.000,00</w:t>
            </w:r>
          </w:p>
        </w:tc>
        <w:tc>
          <w:tcPr>
            <w:tcW w:w="1559" w:type="dxa"/>
            <w:tcBorders>
              <w:top w:val="nil"/>
              <w:left w:val="nil"/>
              <w:bottom w:val="nil"/>
              <w:right w:val="nil"/>
            </w:tcBorders>
            <w:shd w:val="clear" w:color="000000" w:fill="CCCCFF"/>
            <w:noWrap/>
            <w:vAlign w:val="bottom"/>
            <w:hideMark/>
          </w:tcPr>
          <w:p w14:paraId="7BA10E5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70.000,00</w:t>
            </w:r>
          </w:p>
        </w:tc>
        <w:tc>
          <w:tcPr>
            <w:tcW w:w="1559" w:type="dxa"/>
            <w:tcBorders>
              <w:top w:val="nil"/>
              <w:left w:val="nil"/>
              <w:bottom w:val="nil"/>
              <w:right w:val="nil"/>
            </w:tcBorders>
            <w:shd w:val="clear" w:color="000000" w:fill="CCCCFF"/>
            <w:noWrap/>
            <w:vAlign w:val="bottom"/>
            <w:hideMark/>
          </w:tcPr>
          <w:p w14:paraId="6CB0320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56.144,51</w:t>
            </w:r>
          </w:p>
        </w:tc>
        <w:tc>
          <w:tcPr>
            <w:tcW w:w="993" w:type="dxa"/>
            <w:tcBorders>
              <w:top w:val="nil"/>
              <w:left w:val="nil"/>
              <w:bottom w:val="nil"/>
              <w:right w:val="nil"/>
            </w:tcBorders>
            <w:shd w:val="clear" w:color="000000" w:fill="CCCCFF"/>
            <w:noWrap/>
            <w:vAlign w:val="bottom"/>
            <w:hideMark/>
          </w:tcPr>
          <w:p w14:paraId="3E7B9A9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80,21%</w:t>
            </w:r>
          </w:p>
        </w:tc>
      </w:tr>
      <w:tr w:rsidR="006967F8" w:rsidRPr="006967F8" w14:paraId="384AF8AF"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8146790"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4.3. Ostali prihodi za posebne namjene</w:t>
            </w:r>
          </w:p>
        </w:tc>
        <w:tc>
          <w:tcPr>
            <w:tcW w:w="1559" w:type="dxa"/>
            <w:tcBorders>
              <w:top w:val="nil"/>
              <w:left w:val="nil"/>
              <w:bottom w:val="nil"/>
              <w:right w:val="nil"/>
            </w:tcBorders>
            <w:shd w:val="clear" w:color="000000" w:fill="CCCCFF"/>
            <w:noWrap/>
            <w:vAlign w:val="bottom"/>
            <w:hideMark/>
          </w:tcPr>
          <w:p w14:paraId="41D608A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70.000,00</w:t>
            </w:r>
          </w:p>
        </w:tc>
        <w:tc>
          <w:tcPr>
            <w:tcW w:w="1559" w:type="dxa"/>
            <w:tcBorders>
              <w:top w:val="nil"/>
              <w:left w:val="nil"/>
              <w:bottom w:val="nil"/>
              <w:right w:val="nil"/>
            </w:tcBorders>
            <w:shd w:val="clear" w:color="000000" w:fill="CCCCFF"/>
            <w:noWrap/>
            <w:vAlign w:val="bottom"/>
            <w:hideMark/>
          </w:tcPr>
          <w:p w14:paraId="4B16ECE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70.000,00</w:t>
            </w:r>
          </w:p>
        </w:tc>
        <w:tc>
          <w:tcPr>
            <w:tcW w:w="1559" w:type="dxa"/>
            <w:tcBorders>
              <w:top w:val="nil"/>
              <w:left w:val="nil"/>
              <w:bottom w:val="nil"/>
              <w:right w:val="nil"/>
            </w:tcBorders>
            <w:shd w:val="clear" w:color="000000" w:fill="CCCCFF"/>
            <w:noWrap/>
            <w:vAlign w:val="bottom"/>
            <w:hideMark/>
          </w:tcPr>
          <w:p w14:paraId="498BF60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56.144,51</w:t>
            </w:r>
          </w:p>
        </w:tc>
        <w:tc>
          <w:tcPr>
            <w:tcW w:w="993" w:type="dxa"/>
            <w:tcBorders>
              <w:top w:val="nil"/>
              <w:left w:val="nil"/>
              <w:bottom w:val="nil"/>
              <w:right w:val="nil"/>
            </w:tcBorders>
            <w:shd w:val="clear" w:color="000000" w:fill="CCCCFF"/>
            <w:noWrap/>
            <w:vAlign w:val="bottom"/>
            <w:hideMark/>
          </w:tcPr>
          <w:p w14:paraId="196AFBC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80,21%</w:t>
            </w:r>
          </w:p>
        </w:tc>
      </w:tr>
      <w:tr w:rsidR="006967F8" w:rsidRPr="006967F8" w14:paraId="0C86BAED" w14:textId="77777777" w:rsidTr="008A61B1">
        <w:trPr>
          <w:trHeight w:val="255"/>
        </w:trPr>
        <w:tc>
          <w:tcPr>
            <w:tcW w:w="1134" w:type="dxa"/>
            <w:tcBorders>
              <w:top w:val="nil"/>
              <w:left w:val="nil"/>
              <w:bottom w:val="nil"/>
              <w:right w:val="nil"/>
            </w:tcBorders>
            <w:noWrap/>
            <w:vAlign w:val="bottom"/>
            <w:hideMark/>
          </w:tcPr>
          <w:p w14:paraId="2F332C2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593211E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70E5080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70.000,00</w:t>
            </w:r>
          </w:p>
        </w:tc>
        <w:tc>
          <w:tcPr>
            <w:tcW w:w="1559" w:type="dxa"/>
            <w:tcBorders>
              <w:top w:val="nil"/>
              <w:left w:val="nil"/>
              <w:bottom w:val="nil"/>
              <w:right w:val="nil"/>
            </w:tcBorders>
            <w:noWrap/>
            <w:vAlign w:val="bottom"/>
            <w:hideMark/>
          </w:tcPr>
          <w:p w14:paraId="1D7106B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70.000,00</w:t>
            </w:r>
          </w:p>
        </w:tc>
        <w:tc>
          <w:tcPr>
            <w:tcW w:w="1559" w:type="dxa"/>
            <w:tcBorders>
              <w:top w:val="nil"/>
              <w:left w:val="nil"/>
              <w:bottom w:val="nil"/>
              <w:right w:val="nil"/>
            </w:tcBorders>
            <w:noWrap/>
            <w:vAlign w:val="bottom"/>
            <w:hideMark/>
          </w:tcPr>
          <w:p w14:paraId="141AD01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56.144,51</w:t>
            </w:r>
          </w:p>
        </w:tc>
        <w:tc>
          <w:tcPr>
            <w:tcW w:w="993" w:type="dxa"/>
            <w:tcBorders>
              <w:top w:val="nil"/>
              <w:left w:val="nil"/>
              <w:bottom w:val="nil"/>
              <w:right w:val="nil"/>
            </w:tcBorders>
            <w:noWrap/>
            <w:vAlign w:val="bottom"/>
            <w:hideMark/>
          </w:tcPr>
          <w:p w14:paraId="63AD5AF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80,21%</w:t>
            </w:r>
          </w:p>
        </w:tc>
      </w:tr>
      <w:tr w:rsidR="006967F8" w:rsidRPr="006967F8" w14:paraId="4195FE9E" w14:textId="77777777" w:rsidTr="008A61B1">
        <w:trPr>
          <w:trHeight w:val="255"/>
        </w:trPr>
        <w:tc>
          <w:tcPr>
            <w:tcW w:w="1134" w:type="dxa"/>
            <w:tcBorders>
              <w:top w:val="nil"/>
              <w:left w:val="nil"/>
              <w:bottom w:val="nil"/>
              <w:right w:val="nil"/>
            </w:tcBorders>
            <w:noWrap/>
            <w:vAlign w:val="bottom"/>
            <w:hideMark/>
          </w:tcPr>
          <w:p w14:paraId="27BDD4B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3232</w:t>
            </w:r>
          </w:p>
        </w:tc>
        <w:tc>
          <w:tcPr>
            <w:tcW w:w="4962" w:type="dxa"/>
            <w:tcBorders>
              <w:top w:val="nil"/>
              <w:left w:val="nil"/>
              <w:bottom w:val="nil"/>
              <w:right w:val="nil"/>
            </w:tcBorders>
            <w:noWrap/>
            <w:vAlign w:val="bottom"/>
            <w:hideMark/>
          </w:tcPr>
          <w:p w14:paraId="38972AC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noWrap/>
            <w:vAlign w:val="bottom"/>
            <w:hideMark/>
          </w:tcPr>
          <w:p w14:paraId="1A51FA01"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5F0B1AF"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DDD5EB1"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56.144,51</w:t>
            </w:r>
          </w:p>
        </w:tc>
        <w:tc>
          <w:tcPr>
            <w:tcW w:w="993" w:type="dxa"/>
            <w:tcBorders>
              <w:top w:val="nil"/>
              <w:left w:val="nil"/>
              <w:bottom w:val="nil"/>
              <w:right w:val="nil"/>
            </w:tcBorders>
            <w:noWrap/>
            <w:vAlign w:val="bottom"/>
            <w:hideMark/>
          </w:tcPr>
          <w:p w14:paraId="00867729"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03FE933"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255B902"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1DA75D3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52.500,00</w:t>
            </w:r>
          </w:p>
        </w:tc>
        <w:tc>
          <w:tcPr>
            <w:tcW w:w="1559" w:type="dxa"/>
            <w:tcBorders>
              <w:top w:val="nil"/>
              <w:left w:val="nil"/>
              <w:bottom w:val="nil"/>
              <w:right w:val="nil"/>
            </w:tcBorders>
            <w:shd w:val="clear" w:color="000000" w:fill="CCCCFF"/>
            <w:noWrap/>
            <w:vAlign w:val="bottom"/>
            <w:hideMark/>
          </w:tcPr>
          <w:p w14:paraId="38AFD88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52.500,00</w:t>
            </w:r>
          </w:p>
        </w:tc>
        <w:tc>
          <w:tcPr>
            <w:tcW w:w="1559" w:type="dxa"/>
            <w:tcBorders>
              <w:top w:val="nil"/>
              <w:left w:val="nil"/>
              <w:bottom w:val="nil"/>
              <w:right w:val="nil"/>
            </w:tcBorders>
            <w:shd w:val="clear" w:color="000000" w:fill="CCCCFF"/>
            <w:noWrap/>
            <w:vAlign w:val="bottom"/>
            <w:hideMark/>
          </w:tcPr>
          <w:p w14:paraId="4D11985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40.000,00</w:t>
            </w:r>
          </w:p>
        </w:tc>
        <w:tc>
          <w:tcPr>
            <w:tcW w:w="993" w:type="dxa"/>
            <w:tcBorders>
              <w:top w:val="nil"/>
              <w:left w:val="nil"/>
              <w:bottom w:val="nil"/>
              <w:right w:val="nil"/>
            </w:tcBorders>
            <w:shd w:val="clear" w:color="000000" w:fill="CCCCFF"/>
            <w:noWrap/>
            <w:vAlign w:val="bottom"/>
            <w:hideMark/>
          </w:tcPr>
          <w:p w14:paraId="370D31E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76,19%</w:t>
            </w:r>
          </w:p>
        </w:tc>
      </w:tr>
      <w:tr w:rsidR="006967F8" w:rsidRPr="006967F8" w14:paraId="490072A6"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EE1F62E"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5.1. Ostale pomoći</w:t>
            </w:r>
          </w:p>
        </w:tc>
        <w:tc>
          <w:tcPr>
            <w:tcW w:w="1559" w:type="dxa"/>
            <w:tcBorders>
              <w:top w:val="nil"/>
              <w:left w:val="nil"/>
              <w:bottom w:val="nil"/>
              <w:right w:val="nil"/>
            </w:tcBorders>
            <w:shd w:val="clear" w:color="000000" w:fill="CCCCFF"/>
            <w:noWrap/>
            <w:vAlign w:val="bottom"/>
            <w:hideMark/>
          </w:tcPr>
          <w:p w14:paraId="3DAE4CC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52.500,00</w:t>
            </w:r>
          </w:p>
        </w:tc>
        <w:tc>
          <w:tcPr>
            <w:tcW w:w="1559" w:type="dxa"/>
            <w:tcBorders>
              <w:top w:val="nil"/>
              <w:left w:val="nil"/>
              <w:bottom w:val="nil"/>
              <w:right w:val="nil"/>
            </w:tcBorders>
            <w:shd w:val="clear" w:color="000000" w:fill="CCCCFF"/>
            <w:noWrap/>
            <w:vAlign w:val="bottom"/>
            <w:hideMark/>
          </w:tcPr>
          <w:p w14:paraId="62C54BA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52.500,00</w:t>
            </w:r>
          </w:p>
        </w:tc>
        <w:tc>
          <w:tcPr>
            <w:tcW w:w="1559" w:type="dxa"/>
            <w:tcBorders>
              <w:top w:val="nil"/>
              <w:left w:val="nil"/>
              <w:bottom w:val="nil"/>
              <w:right w:val="nil"/>
            </w:tcBorders>
            <w:shd w:val="clear" w:color="000000" w:fill="CCCCFF"/>
            <w:noWrap/>
            <w:vAlign w:val="bottom"/>
            <w:hideMark/>
          </w:tcPr>
          <w:p w14:paraId="45F5520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40.000,00</w:t>
            </w:r>
          </w:p>
        </w:tc>
        <w:tc>
          <w:tcPr>
            <w:tcW w:w="993" w:type="dxa"/>
            <w:tcBorders>
              <w:top w:val="nil"/>
              <w:left w:val="nil"/>
              <w:bottom w:val="nil"/>
              <w:right w:val="nil"/>
            </w:tcBorders>
            <w:shd w:val="clear" w:color="000000" w:fill="CCCCFF"/>
            <w:noWrap/>
            <w:vAlign w:val="bottom"/>
            <w:hideMark/>
          </w:tcPr>
          <w:p w14:paraId="6F591ED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76,19%</w:t>
            </w:r>
          </w:p>
        </w:tc>
      </w:tr>
      <w:tr w:rsidR="006967F8" w:rsidRPr="006967F8" w14:paraId="4099840F" w14:textId="77777777" w:rsidTr="008A61B1">
        <w:trPr>
          <w:trHeight w:val="255"/>
        </w:trPr>
        <w:tc>
          <w:tcPr>
            <w:tcW w:w="1134" w:type="dxa"/>
            <w:tcBorders>
              <w:top w:val="nil"/>
              <w:left w:val="nil"/>
              <w:bottom w:val="nil"/>
              <w:right w:val="nil"/>
            </w:tcBorders>
            <w:noWrap/>
            <w:vAlign w:val="bottom"/>
            <w:hideMark/>
          </w:tcPr>
          <w:p w14:paraId="313B16A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42E1086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4E0BCA9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52.500,00</w:t>
            </w:r>
          </w:p>
        </w:tc>
        <w:tc>
          <w:tcPr>
            <w:tcW w:w="1559" w:type="dxa"/>
            <w:tcBorders>
              <w:top w:val="nil"/>
              <w:left w:val="nil"/>
              <w:bottom w:val="nil"/>
              <w:right w:val="nil"/>
            </w:tcBorders>
            <w:noWrap/>
            <w:vAlign w:val="bottom"/>
            <w:hideMark/>
          </w:tcPr>
          <w:p w14:paraId="356873D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52.500,00</w:t>
            </w:r>
          </w:p>
        </w:tc>
        <w:tc>
          <w:tcPr>
            <w:tcW w:w="1559" w:type="dxa"/>
            <w:tcBorders>
              <w:top w:val="nil"/>
              <w:left w:val="nil"/>
              <w:bottom w:val="nil"/>
              <w:right w:val="nil"/>
            </w:tcBorders>
            <w:noWrap/>
            <w:vAlign w:val="bottom"/>
            <w:hideMark/>
          </w:tcPr>
          <w:p w14:paraId="0330457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40.000,00</w:t>
            </w:r>
          </w:p>
        </w:tc>
        <w:tc>
          <w:tcPr>
            <w:tcW w:w="993" w:type="dxa"/>
            <w:tcBorders>
              <w:top w:val="nil"/>
              <w:left w:val="nil"/>
              <w:bottom w:val="nil"/>
              <w:right w:val="nil"/>
            </w:tcBorders>
            <w:noWrap/>
            <w:vAlign w:val="bottom"/>
            <w:hideMark/>
          </w:tcPr>
          <w:p w14:paraId="6DE68C1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76,19%</w:t>
            </w:r>
          </w:p>
        </w:tc>
      </w:tr>
      <w:tr w:rsidR="006967F8" w:rsidRPr="006967F8" w14:paraId="17DF5A86" w14:textId="77777777" w:rsidTr="008A61B1">
        <w:trPr>
          <w:trHeight w:val="255"/>
        </w:trPr>
        <w:tc>
          <w:tcPr>
            <w:tcW w:w="1134" w:type="dxa"/>
            <w:tcBorders>
              <w:top w:val="nil"/>
              <w:left w:val="nil"/>
              <w:bottom w:val="nil"/>
              <w:right w:val="nil"/>
            </w:tcBorders>
            <w:noWrap/>
            <w:vAlign w:val="bottom"/>
            <w:hideMark/>
          </w:tcPr>
          <w:p w14:paraId="5C6C104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3232</w:t>
            </w:r>
          </w:p>
        </w:tc>
        <w:tc>
          <w:tcPr>
            <w:tcW w:w="4962" w:type="dxa"/>
            <w:tcBorders>
              <w:top w:val="nil"/>
              <w:left w:val="nil"/>
              <w:bottom w:val="nil"/>
              <w:right w:val="nil"/>
            </w:tcBorders>
            <w:noWrap/>
            <w:vAlign w:val="bottom"/>
            <w:hideMark/>
          </w:tcPr>
          <w:p w14:paraId="38B99C6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noWrap/>
            <w:vAlign w:val="bottom"/>
            <w:hideMark/>
          </w:tcPr>
          <w:p w14:paraId="43B1299A"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E95D627"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54594DF"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40.000,00</w:t>
            </w:r>
          </w:p>
        </w:tc>
        <w:tc>
          <w:tcPr>
            <w:tcW w:w="993" w:type="dxa"/>
            <w:tcBorders>
              <w:top w:val="nil"/>
              <w:left w:val="nil"/>
              <w:bottom w:val="nil"/>
              <w:right w:val="nil"/>
            </w:tcBorders>
            <w:noWrap/>
            <w:vAlign w:val="bottom"/>
            <w:hideMark/>
          </w:tcPr>
          <w:p w14:paraId="696D0ED8"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1E7155A" w14:textId="77777777" w:rsidTr="008A61B1">
        <w:trPr>
          <w:trHeight w:val="555"/>
        </w:trPr>
        <w:tc>
          <w:tcPr>
            <w:tcW w:w="1134" w:type="dxa"/>
            <w:tcBorders>
              <w:top w:val="nil"/>
              <w:left w:val="nil"/>
              <w:bottom w:val="nil"/>
              <w:right w:val="nil"/>
            </w:tcBorders>
            <w:shd w:val="clear" w:color="000000" w:fill="FFFF99"/>
            <w:noWrap/>
            <w:vAlign w:val="bottom"/>
            <w:hideMark/>
          </w:tcPr>
          <w:p w14:paraId="6EA0894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K100005</w:t>
            </w:r>
          </w:p>
        </w:tc>
        <w:tc>
          <w:tcPr>
            <w:tcW w:w="4962" w:type="dxa"/>
            <w:tcBorders>
              <w:top w:val="nil"/>
              <w:left w:val="nil"/>
              <w:bottom w:val="nil"/>
              <w:right w:val="nil"/>
            </w:tcBorders>
            <w:shd w:val="clear" w:color="000000" w:fill="FFFF99"/>
            <w:vAlign w:val="bottom"/>
            <w:hideMark/>
          </w:tcPr>
          <w:p w14:paraId="1FBFC81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Kapitalni projekt: REKONSTRUKCIJA I UREĐENJE KULTURNIH OBJEKATA</w:t>
            </w:r>
          </w:p>
        </w:tc>
        <w:tc>
          <w:tcPr>
            <w:tcW w:w="1559" w:type="dxa"/>
            <w:tcBorders>
              <w:top w:val="nil"/>
              <w:left w:val="nil"/>
              <w:bottom w:val="nil"/>
              <w:right w:val="nil"/>
            </w:tcBorders>
            <w:shd w:val="clear" w:color="000000" w:fill="FFFF99"/>
            <w:noWrap/>
            <w:vAlign w:val="bottom"/>
            <w:hideMark/>
          </w:tcPr>
          <w:p w14:paraId="1B6B8C3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222.000,00</w:t>
            </w:r>
          </w:p>
        </w:tc>
        <w:tc>
          <w:tcPr>
            <w:tcW w:w="1559" w:type="dxa"/>
            <w:tcBorders>
              <w:top w:val="nil"/>
              <w:left w:val="nil"/>
              <w:bottom w:val="nil"/>
              <w:right w:val="nil"/>
            </w:tcBorders>
            <w:shd w:val="clear" w:color="000000" w:fill="FFFF99"/>
            <w:noWrap/>
            <w:vAlign w:val="bottom"/>
            <w:hideMark/>
          </w:tcPr>
          <w:p w14:paraId="07EE275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222.000,00</w:t>
            </w:r>
          </w:p>
        </w:tc>
        <w:tc>
          <w:tcPr>
            <w:tcW w:w="1559" w:type="dxa"/>
            <w:tcBorders>
              <w:top w:val="nil"/>
              <w:left w:val="nil"/>
              <w:bottom w:val="nil"/>
              <w:right w:val="nil"/>
            </w:tcBorders>
            <w:shd w:val="clear" w:color="000000" w:fill="FFFF99"/>
            <w:noWrap/>
            <w:vAlign w:val="bottom"/>
            <w:hideMark/>
          </w:tcPr>
          <w:p w14:paraId="566811E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182.248,67</w:t>
            </w:r>
          </w:p>
        </w:tc>
        <w:tc>
          <w:tcPr>
            <w:tcW w:w="993" w:type="dxa"/>
            <w:tcBorders>
              <w:top w:val="nil"/>
              <w:left w:val="nil"/>
              <w:bottom w:val="nil"/>
              <w:right w:val="nil"/>
            </w:tcBorders>
            <w:shd w:val="clear" w:color="000000" w:fill="FFFF99"/>
            <w:noWrap/>
            <w:vAlign w:val="bottom"/>
            <w:hideMark/>
          </w:tcPr>
          <w:p w14:paraId="7183372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82,09%</w:t>
            </w:r>
          </w:p>
        </w:tc>
      </w:tr>
      <w:tr w:rsidR="006967F8" w:rsidRPr="006967F8" w14:paraId="7CAEE17C"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92AFD3B"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71418A9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140.000,00</w:t>
            </w:r>
          </w:p>
        </w:tc>
        <w:tc>
          <w:tcPr>
            <w:tcW w:w="1559" w:type="dxa"/>
            <w:tcBorders>
              <w:top w:val="nil"/>
              <w:left w:val="nil"/>
              <w:bottom w:val="nil"/>
              <w:right w:val="nil"/>
            </w:tcBorders>
            <w:shd w:val="clear" w:color="000000" w:fill="CCCCFF"/>
            <w:noWrap/>
            <w:vAlign w:val="bottom"/>
            <w:hideMark/>
          </w:tcPr>
          <w:p w14:paraId="7A6F7C2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140.000,00</w:t>
            </w:r>
          </w:p>
        </w:tc>
        <w:tc>
          <w:tcPr>
            <w:tcW w:w="1559" w:type="dxa"/>
            <w:tcBorders>
              <w:top w:val="nil"/>
              <w:left w:val="nil"/>
              <w:bottom w:val="nil"/>
              <w:right w:val="nil"/>
            </w:tcBorders>
            <w:shd w:val="clear" w:color="000000" w:fill="CCCCFF"/>
            <w:noWrap/>
            <w:vAlign w:val="bottom"/>
            <w:hideMark/>
          </w:tcPr>
          <w:p w14:paraId="21F9E8C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100.248,67</w:t>
            </w:r>
          </w:p>
        </w:tc>
        <w:tc>
          <w:tcPr>
            <w:tcW w:w="993" w:type="dxa"/>
            <w:tcBorders>
              <w:top w:val="nil"/>
              <w:left w:val="nil"/>
              <w:bottom w:val="nil"/>
              <w:right w:val="nil"/>
            </w:tcBorders>
            <w:shd w:val="clear" w:color="000000" w:fill="CCCCFF"/>
            <w:noWrap/>
            <w:vAlign w:val="bottom"/>
            <w:hideMark/>
          </w:tcPr>
          <w:p w14:paraId="0B63548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71,61%</w:t>
            </w:r>
          </w:p>
        </w:tc>
      </w:tr>
      <w:tr w:rsidR="006967F8" w:rsidRPr="006967F8" w14:paraId="22ADC35B"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C0D4A75"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4.3. Ostali prihodi za posebne namjene</w:t>
            </w:r>
          </w:p>
        </w:tc>
        <w:tc>
          <w:tcPr>
            <w:tcW w:w="1559" w:type="dxa"/>
            <w:tcBorders>
              <w:top w:val="nil"/>
              <w:left w:val="nil"/>
              <w:bottom w:val="nil"/>
              <w:right w:val="nil"/>
            </w:tcBorders>
            <w:shd w:val="clear" w:color="000000" w:fill="CCCCFF"/>
            <w:noWrap/>
            <w:vAlign w:val="bottom"/>
            <w:hideMark/>
          </w:tcPr>
          <w:p w14:paraId="04EE407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140.000,00</w:t>
            </w:r>
          </w:p>
        </w:tc>
        <w:tc>
          <w:tcPr>
            <w:tcW w:w="1559" w:type="dxa"/>
            <w:tcBorders>
              <w:top w:val="nil"/>
              <w:left w:val="nil"/>
              <w:bottom w:val="nil"/>
              <w:right w:val="nil"/>
            </w:tcBorders>
            <w:shd w:val="clear" w:color="000000" w:fill="CCCCFF"/>
            <w:noWrap/>
            <w:vAlign w:val="bottom"/>
            <w:hideMark/>
          </w:tcPr>
          <w:p w14:paraId="432B3C5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140.000,00</w:t>
            </w:r>
          </w:p>
        </w:tc>
        <w:tc>
          <w:tcPr>
            <w:tcW w:w="1559" w:type="dxa"/>
            <w:tcBorders>
              <w:top w:val="nil"/>
              <w:left w:val="nil"/>
              <w:bottom w:val="nil"/>
              <w:right w:val="nil"/>
            </w:tcBorders>
            <w:shd w:val="clear" w:color="000000" w:fill="CCCCFF"/>
            <w:noWrap/>
            <w:vAlign w:val="bottom"/>
            <w:hideMark/>
          </w:tcPr>
          <w:p w14:paraId="6CB7ABA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100.248,67</w:t>
            </w:r>
          </w:p>
        </w:tc>
        <w:tc>
          <w:tcPr>
            <w:tcW w:w="993" w:type="dxa"/>
            <w:tcBorders>
              <w:top w:val="nil"/>
              <w:left w:val="nil"/>
              <w:bottom w:val="nil"/>
              <w:right w:val="nil"/>
            </w:tcBorders>
            <w:shd w:val="clear" w:color="000000" w:fill="CCCCFF"/>
            <w:noWrap/>
            <w:vAlign w:val="bottom"/>
            <w:hideMark/>
          </w:tcPr>
          <w:p w14:paraId="5D4106C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71,61%</w:t>
            </w:r>
          </w:p>
        </w:tc>
      </w:tr>
      <w:tr w:rsidR="006967F8" w:rsidRPr="006967F8" w14:paraId="3F870F17" w14:textId="77777777" w:rsidTr="008A61B1">
        <w:trPr>
          <w:trHeight w:val="570"/>
        </w:trPr>
        <w:tc>
          <w:tcPr>
            <w:tcW w:w="1134" w:type="dxa"/>
            <w:tcBorders>
              <w:top w:val="nil"/>
              <w:left w:val="nil"/>
              <w:bottom w:val="nil"/>
              <w:right w:val="nil"/>
            </w:tcBorders>
            <w:noWrap/>
            <w:vAlign w:val="bottom"/>
            <w:hideMark/>
          </w:tcPr>
          <w:p w14:paraId="7F2C435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60202CC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4D63D0B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130.000,00</w:t>
            </w:r>
          </w:p>
        </w:tc>
        <w:tc>
          <w:tcPr>
            <w:tcW w:w="1559" w:type="dxa"/>
            <w:tcBorders>
              <w:top w:val="nil"/>
              <w:left w:val="nil"/>
              <w:bottom w:val="nil"/>
              <w:right w:val="nil"/>
            </w:tcBorders>
            <w:noWrap/>
            <w:vAlign w:val="bottom"/>
            <w:hideMark/>
          </w:tcPr>
          <w:p w14:paraId="094A322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130.000,00</w:t>
            </w:r>
          </w:p>
        </w:tc>
        <w:tc>
          <w:tcPr>
            <w:tcW w:w="1559" w:type="dxa"/>
            <w:tcBorders>
              <w:top w:val="nil"/>
              <w:left w:val="nil"/>
              <w:bottom w:val="nil"/>
              <w:right w:val="nil"/>
            </w:tcBorders>
            <w:noWrap/>
            <w:vAlign w:val="bottom"/>
            <w:hideMark/>
          </w:tcPr>
          <w:p w14:paraId="7E72D4C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100.248,67</w:t>
            </w:r>
          </w:p>
        </w:tc>
        <w:tc>
          <w:tcPr>
            <w:tcW w:w="993" w:type="dxa"/>
            <w:tcBorders>
              <w:top w:val="nil"/>
              <w:left w:val="nil"/>
              <w:bottom w:val="nil"/>
              <w:right w:val="nil"/>
            </w:tcBorders>
            <w:noWrap/>
            <w:vAlign w:val="bottom"/>
            <w:hideMark/>
          </w:tcPr>
          <w:p w14:paraId="165B16D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77,11%</w:t>
            </w:r>
          </w:p>
        </w:tc>
      </w:tr>
      <w:tr w:rsidR="006967F8" w:rsidRPr="006967F8" w14:paraId="2A1D9DDC" w14:textId="77777777" w:rsidTr="008A61B1">
        <w:trPr>
          <w:trHeight w:val="255"/>
        </w:trPr>
        <w:tc>
          <w:tcPr>
            <w:tcW w:w="1134" w:type="dxa"/>
            <w:tcBorders>
              <w:top w:val="nil"/>
              <w:left w:val="nil"/>
              <w:bottom w:val="nil"/>
              <w:right w:val="nil"/>
            </w:tcBorders>
            <w:noWrap/>
            <w:vAlign w:val="bottom"/>
            <w:hideMark/>
          </w:tcPr>
          <w:p w14:paraId="3B5AC3E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4212</w:t>
            </w:r>
          </w:p>
        </w:tc>
        <w:tc>
          <w:tcPr>
            <w:tcW w:w="4962" w:type="dxa"/>
            <w:tcBorders>
              <w:top w:val="nil"/>
              <w:left w:val="nil"/>
              <w:bottom w:val="nil"/>
              <w:right w:val="nil"/>
            </w:tcBorders>
            <w:noWrap/>
            <w:vAlign w:val="bottom"/>
            <w:hideMark/>
          </w:tcPr>
          <w:p w14:paraId="241ACAB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Poslovni objekti</w:t>
            </w:r>
          </w:p>
        </w:tc>
        <w:tc>
          <w:tcPr>
            <w:tcW w:w="1559" w:type="dxa"/>
            <w:tcBorders>
              <w:top w:val="nil"/>
              <w:left w:val="nil"/>
              <w:bottom w:val="nil"/>
              <w:right w:val="nil"/>
            </w:tcBorders>
            <w:noWrap/>
            <w:vAlign w:val="bottom"/>
            <w:hideMark/>
          </w:tcPr>
          <w:p w14:paraId="32DEA43F"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24FC45A"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92C84C3"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100.248,67</w:t>
            </w:r>
          </w:p>
        </w:tc>
        <w:tc>
          <w:tcPr>
            <w:tcW w:w="993" w:type="dxa"/>
            <w:tcBorders>
              <w:top w:val="nil"/>
              <w:left w:val="nil"/>
              <w:bottom w:val="nil"/>
              <w:right w:val="nil"/>
            </w:tcBorders>
            <w:noWrap/>
            <w:vAlign w:val="bottom"/>
            <w:hideMark/>
          </w:tcPr>
          <w:p w14:paraId="6BEE2566"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DA5D0F8" w14:textId="77777777" w:rsidTr="008A61B1">
        <w:trPr>
          <w:trHeight w:val="585"/>
        </w:trPr>
        <w:tc>
          <w:tcPr>
            <w:tcW w:w="1134" w:type="dxa"/>
            <w:tcBorders>
              <w:top w:val="nil"/>
              <w:left w:val="nil"/>
              <w:bottom w:val="nil"/>
              <w:right w:val="nil"/>
            </w:tcBorders>
            <w:noWrap/>
            <w:vAlign w:val="bottom"/>
            <w:hideMark/>
          </w:tcPr>
          <w:p w14:paraId="4D3DD8A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45</w:t>
            </w:r>
          </w:p>
        </w:tc>
        <w:tc>
          <w:tcPr>
            <w:tcW w:w="4962" w:type="dxa"/>
            <w:tcBorders>
              <w:top w:val="nil"/>
              <w:left w:val="nil"/>
              <w:bottom w:val="nil"/>
              <w:right w:val="nil"/>
            </w:tcBorders>
            <w:vAlign w:val="bottom"/>
            <w:hideMark/>
          </w:tcPr>
          <w:p w14:paraId="58ADC02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dodatna ulaganja na nefinancijskoj imovini</w:t>
            </w:r>
          </w:p>
        </w:tc>
        <w:tc>
          <w:tcPr>
            <w:tcW w:w="1559" w:type="dxa"/>
            <w:tcBorders>
              <w:top w:val="nil"/>
              <w:left w:val="nil"/>
              <w:bottom w:val="nil"/>
              <w:right w:val="nil"/>
            </w:tcBorders>
            <w:noWrap/>
            <w:vAlign w:val="bottom"/>
            <w:hideMark/>
          </w:tcPr>
          <w:p w14:paraId="1CB0B20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noWrap/>
            <w:vAlign w:val="bottom"/>
            <w:hideMark/>
          </w:tcPr>
          <w:p w14:paraId="41AB13B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noWrap/>
            <w:vAlign w:val="bottom"/>
            <w:hideMark/>
          </w:tcPr>
          <w:p w14:paraId="5B20CE9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14A15E2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5FF231EC"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D4E628E"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3327BEB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82.000,00</w:t>
            </w:r>
          </w:p>
        </w:tc>
        <w:tc>
          <w:tcPr>
            <w:tcW w:w="1559" w:type="dxa"/>
            <w:tcBorders>
              <w:top w:val="nil"/>
              <w:left w:val="nil"/>
              <w:bottom w:val="nil"/>
              <w:right w:val="nil"/>
            </w:tcBorders>
            <w:shd w:val="clear" w:color="000000" w:fill="CCCCFF"/>
            <w:noWrap/>
            <w:vAlign w:val="bottom"/>
            <w:hideMark/>
          </w:tcPr>
          <w:p w14:paraId="16CC909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82.000,00</w:t>
            </w:r>
          </w:p>
        </w:tc>
        <w:tc>
          <w:tcPr>
            <w:tcW w:w="1559" w:type="dxa"/>
            <w:tcBorders>
              <w:top w:val="nil"/>
              <w:left w:val="nil"/>
              <w:bottom w:val="nil"/>
              <w:right w:val="nil"/>
            </w:tcBorders>
            <w:shd w:val="clear" w:color="000000" w:fill="CCCCFF"/>
            <w:noWrap/>
            <w:vAlign w:val="bottom"/>
            <w:hideMark/>
          </w:tcPr>
          <w:p w14:paraId="40D361A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82.000,00</w:t>
            </w:r>
          </w:p>
        </w:tc>
        <w:tc>
          <w:tcPr>
            <w:tcW w:w="993" w:type="dxa"/>
            <w:tcBorders>
              <w:top w:val="nil"/>
              <w:left w:val="nil"/>
              <w:bottom w:val="nil"/>
              <w:right w:val="nil"/>
            </w:tcBorders>
            <w:shd w:val="clear" w:color="000000" w:fill="CCCCFF"/>
            <w:noWrap/>
            <w:vAlign w:val="bottom"/>
            <w:hideMark/>
          </w:tcPr>
          <w:p w14:paraId="0855D5A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7F62EDCF"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97204CC"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5.1. Ostale pomoći</w:t>
            </w:r>
          </w:p>
        </w:tc>
        <w:tc>
          <w:tcPr>
            <w:tcW w:w="1559" w:type="dxa"/>
            <w:tcBorders>
              <w:top w:val="nil"/>
              <w:left w:val="nil"/>
              <w:bottom w:val="nil"/>
              <w:right w:val="nil"/>
            </w:tcBorders>
            <w:shd w:val="clear" w:color="000000" w:fill="CCCCFF"/>
            <w:noWrap/>
            <w:vAlign w:val="bottom"/>
            <w:hideMark/>
          </w:tcPr>
          <w:p w14:paraId="562EECA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82.000,00</w:t>
            </w:r>
          </w:p>
        </w:tc>
        <w:tc>
          <w:tcPr>
            <w:tcW w:w="1559" w:type="dxa"/>
            <w:tcBorders>
              <w:top w:val="nil"/>
              <w:left w:val="nil"/>
              <w:bottom w:val="nil"/>
              <w:right w:val="nil"/>
            </w:tcBorders>
            <w:shd w:val="clear" w:color="000000" w:fill="CCCCFF"/>
            <w:noWrap/>
            <w:vAlign w:val="bottom"/>
            <w:hideMark/>
          </w:tcPr>
          <w:p w14:paraId="613AE8F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82.000,00</w:t>
            </w:r>
          </w:p>
        </w:tc>
        <w:tc>
          <w:tcPr>
            <w:tcW w:w="1559" w:type="dxa"/>
            <w:tcBorders>
              <w:top w:val="nil"/>
              <w:left w:val="nil"/>
              <w:bottom w:val="nil"/>
              <w:right w:val="nil"/>
            </w:tcBorders>
            <w:shd w:val="clear" w:color="000000" w:fill="CCCCFF"/>
            <w:noWrap/>
            <w:vAlign w:val="bottom"/>
            <w:hideMark/>
          </w:tcPr>
          <w:p w14:paraId="2C081B1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82.000,00</w:t>
            </w:r>
          </w:p>
        </w:tc>
        <w:tc>
          <w:tcPr>
            <w:tcW w:w="993" w:type="dxa"/>
            <w:tcBorders>
              <w:top w:val="nil"/>
              <w:left w:val="nil"/>
              <w:bottom w:val="nil"/>
              <w:right w:val="nil"/>
            </w:tcBorders>
            <w:shd w:val="clear" w:color="000000" w:fill="CCCCFF"/>
            <w:noWrap/>
            <w:vAlign w:val="bottom"/>
            <w:hideMark/>
          </w:tcPr>
          <w:p w14:paraId="4E03B5D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34F98A69" w14:textId="77777777" w:rsidTr="008A61B1">
        <w:trPr>
          <w:trHeight w:val="540"/>
        </w:trPr>
        <w:tc>
          <w:tcPr>
            <w:tcW w:w="1134" w:type="dxa"/>
            <w:tcBorders>
              <w:top w:val="nil"/>
              <w:left w:val="nil"/>
              <w:bottom w:val="nil"/>
              <w:right w:val="nil"/>
            </w:tcBorders>
            <w:noWrap/>
            <w:vAlign w:val="bottom"/>
            <w:hideMark/>
          </w:tcPr>
          <w:p w14:paraId="114A2B1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6562F13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1FCD5E4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82.000,00</w:t>
            </w:r>
          </w:p>
        </w:tc>
        <w:tc>
          <w:tcPr>
            <w:tcW w:w="1559" w:type="dxa"/>
            <w:tcBorders>
              <w:top w:val="nil"/>
              <w:left w:val="nil"/>
              <w:bottom w:val="nil"/>
              <w:right w:val="nil"/>
            </w:tcBorders>
            <w:noWrap/>
            <w:vAlign w:val="bottom"/>
            <w:hideMark/>
          </w:tcPr>
          <w:p w14:paraId="24A63DE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82.000,00</w:t>
            </w:r>
          </w:p>
        </w:tc>
        <w:tc>
          <w:tcPr>
            <w:tcW w:w="1559" w:type="dxa"/>
            <w:tcBorders>
              <w:top w:val="nil"/>
              <w:left w:val="nil"/>
              <w:bottom w:val="nil"/>
              <w:right w:val="nil"/>
            </w:tcBorders>
            <w:noWrap/>
            <w:vAlign w:val="bottom"/>
            <w:hideMark/>
          </w:tcPr>
          <w:p w14:paraId="18A0BF2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82.000,00</w:t>
            </w:r>
          </w:p>
        </w:tc>
        <w:tc>
          <w:tcPr>
            <w:tcW w:w="993" w:type="dxa"/>
            <w:tcBorders>
              <w:top w:val="nil"/>
              <w:left w:val="nil"/>
              <w:bottom w:val="nil"/>
              <w:right w:val="nil"/>
            </w:tcBorders>
            <w:noWrap/>
            <w:vAlign w:val="bottom"/>
            <w:hideMark/>
          </w:tcPr>
          <w:p w14:paraId="69D1E98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r>
      <w:tr w:rsidR="006967F8" w:rsidRPr="006967F8" w14:paraId="19695826" w14:textId="77777777" w:rsidTr="008A61B1">
        <w:trPr>
          <w:trHeight w:val="255"/>
        </w:trPr>
        <w:tc>
          <w:tcPr>
            <w:tcW w:w="1134" w:type="dxa"/>
            <w:tcBorders>
              <w:top w:val="nil"/>
              <w:left w:val="nil"/>
              <w:bottom w:val="nil"/>
              <w:right w:val="nil"/>
            </w:tcBorders>
            <w:noWrap/>
            <w:vAlign w:val="bottom"/>
            <w:hideMark/>
          </w:tcPr>
          <w:p w14:paraId="643F9CD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4212</w:t>
            </w:r>
          </w:p>
        </w:tc>
        <w:tc>
          <w:tcPr>
            <w:tcW w:w="4962" w:type="dxa"/>
            <w:tcBorders>
              <w:top w:val="nil"/>
              <w:left w:val="nil"/>
              <w:bottom w:val="nil"/>
              <w:right w:val="nil"/>
            </w:tcBorders>
            <w:noWrap/>
            <w:vAlign w:val="bottom"/>
            <w:hideMark/>
          </w:tcPr>
          <w:p w14:paraId="77717F0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Poslovni objekti</w:t>
            </w:r>
          </w:p>
        </w:tc>
        <w:tc>
          <w:tcPr>
            <w:tcW w:w="1559" w:type="dxa"/>
            <w:tcBorders>
              <w:top w:val="nil"/>
              <w:left w:val="nil"/>
              <w:bottom w:val="nil"/>
              <w:right w:val="nil"/>
            </w:tcBorders>
            <w:noWrap/>
            <w:vAlign w:val="bottom"/>
            <w:hideMark/>
          </w:tcPr>
          <w:p w14:paraId="58235150"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DF34A32"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9723BBA"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82.000,00</w:t>
            </w:r>
          </w:p>
        </w:tc>
        <w:tc>
          <w:tcPr>
            <w:tcW w:w="993" w:type="dxa"/>
            <w:tcBorders>
              <w:top w:val="nil"/>
              <w:left w:val="nil"/>
              <w:bottom w:val="nil"/>
              <w:right w:val="nil"/>
            </w:tcBorders>
            <w:noWrap/>
            <w:vAlign w:val="bottom"/>
            <w:hideMark/>
          </w:tcPr>
          <w:p w14:paraId="0E6A2710"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B214CD7" w14:textId="77777777" w:rsidTr="008A61B1">
        <w:trPr>
          <w:trHeight w:val="255"/>
        </w:trPr>
        <w:tc>
          <w:tcPr>
            <w:tcW w:w="1134" w:type="dxa"/>
            <w:tcBorders>
              <w:top w:val="nil"/>
              <w:left w:val="nil"/>
              <w:bottom w:val="nil"/>
              <w:right w:val="nil"/>
            </w:tcBorders>
            <w:shd w:val="clear" w:color="000000" w:fill="FFFF99"/>
            <w:noWrap/>
            <w:vAlign w:val="bottom"/>
            <w:hideMark/>
          </w:tcPr>
          <w:p w14:paraId="79675A4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K100086</w:t>
            </w:r>
          </w:p>
        </w:tc>
        <w:tc>
          <w:tcPr>
            <w:tcW w:w="4962" w:type="dxa"/>
            <w:tcBorders>
              <w:top w:val="nil"/>
              <w:left w:val="nil"/>
              <w:bottom w:val="nil"/>
              <w:right w:val="nil"/>
            </w:tcBorders>
            <w:shd w:val="clear" w:color="000000" w:fill="FFFF99"/>
            <w:noWrap/>
            <w:vAlign w:val="bottom"/>
            <w:hideMark/>
          </w:tcPr>
          <w:p w14:paraId="0CFF6A0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Kapitalni projekt: OBNOVA PARKA GARAGNIN</w:t>
            </w:r>
          </w:p>
        </w:tc>
        <w:tc>
          <w:tcPr>
            <w:tcW w:w="1559" w:type="dxa"/>
            <w:tcBorders>
              <w:top w:val="nil"/>
              <w:left w:val="nil"/>
              <w:bottom w:val="nil"/>
              <w:right w:val="nil"/>
            </w:tcBorders>
            <w:shd w:val="clear" w:color="000000" w:fill="FFFF99"/>
            <w:noWrap/>
            <w:vAlign w:val="bottom"/>
            <w:hideMark/>
          </w:tcPr>
          <w:p w14:paraId="3D9266E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42.700,00</w:t>
            </w:r>
          </w:p>
        </w:tc>
        <w:tc>
          <w:tcPr>
            <w:tcW w:w="1559" w:type="dxa"/>
            <w:tcBorders>
              <w:top w:val="nil"/>
              <w:left w:val="nil"/>
              <w:bottom w:val="nil"/>
              <w:right w:val="nil"/>
            </w:tcBorders>
            <w:shd w:val="clear" w:color="000000" w:fill="FFFF99"/>
            <w:noWrap/>
            <w:vAlign w:val="bottom"/>
            <w:hideMark/>
          </w:tcPr>
          <w:p w14:paraId="348385A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42.700,00</w:t>
            </w:r>
          </w:p>
        </w:tc>
        <w:tc>
          <w:tcPr>
            <w:tcW w:w="1559" w:type="dxa"/>
            <w:tcBorders>
              <w:top w:val="nil"/>
              <w:left w:val="nil"/>
              <w:bottom w:val="nil"/>
              <w:right w:val="nil"/>
            </w:tcBorders>
            <w:shd w:val="clear" w:color="000000" w:fill="FFFF99"/>
            <w:noWrap/>
            <w:vAlign w:val="bottom"/>
            <w:hideMark/>
          </w:tcPr>
          <w:p w14:paraId="34AA9B8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37.426,83</w:t>
            </w:r>
          </w:p>
        </w:tc>
        <w:tc>
          <w:tcPr>
            <w:tcW w:w="993" w:type="dxa"/>
            <w:tcBorders>
              <w:top w:val="nil"/>
              <w:left w:val="nil"/>
              <w:bottom w:val="nil"/>
              <w:right w:val="nil"/>
            </w:tcBorders>
            <w:shd w:val="clear" w:color="000000" w:fill="FFFF99"/>
            <w:noWrap/>
            <w:vAlign w:val="bottom"/>
            <w:hideMark/>
          </w:tcPr>
          <w:p w14:paraId="101C5CD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87,65%</w:t>
            </w:r>
          </w:p>
        </w:tc>
      </w:tr>
      <w:tr w:rsidR="006967F8" w:rsidRPr="006967F8" w14:paraId="6D2F7FED"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78D8D34"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4C6EC71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42.700,00</w:t>
            </w:r>
          </w:p>
        </w:tc>
        <w:tc>
          <w:tcPr>
            <w:tcW w:w="1559" w:type="dxa"/>
            <w:tcBorders>
              <w:top w:val="nil"/>
              <w:left w:val="nil"/>
              <w:bottom w:val="nil"/>
              <w:right w:val="nil"/>
            </w:tcBorders>
            <w:shd w:val="clear" w:color="000000" w:fill="CCCCFF"/>
            <w:noWrap/>
            <w:vAlign w:val="bottom"/>
            <w:hideMark/>
          </w:tcPr>
          <w:p w14:paraId="50D907A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42.700,00</w:t>
            </w:r>
          </w:p>
        </w:tc>
        <w:tc>
          <w:tcPr>
            <w:tcW w:w="1559" w:type="dxa"/>
            <w:tcBorders>
              <w:top w:val="nil"/>
              <w:left w:val="nil"/>
              <w:bottom w:val="nil"/>
              <w:right w:val="nil"/>
            </w:tcBorders>
            <w:shd w:val="clear" w:color="000000" w:fill="CCCCFF"/>
            <w:noWrap/>
            <w:vAlign w:val="bottom"/>
            <w:hideMark/>
          </w:tcPr>
          <w:p w14:paraId="3107C8B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37.426,83</w:t>
            </w:r>
          </w:p>
        </w:tc>
        <w:tc>
          <w:tcPr>
            <w:tcW w:w="993" w:type="dxa"/>
            <w:tcBorders>
              <w:top w:val="nil"/>
              <w:left w:val="nil"/>
              <w:bottom w:val="nil"/>
              <w:right w:val="nil"/>
            </w:tcBorders>
            <w:shd w:val="clear" w:color="000000" w:fill="CCCCFF"/>
            <w:noWrap/>
            <w:vAlign w:val="bottom"/>
            <w:hideMark/>
          </w:tcPr>
          <w:p w14:paraId="12AC0B0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87,65%</w:t>
            </w:r>
          </w:p>
        </w:tc>
      </w:tr>
      <w:tr w:rsidR="006967F8" w:rsidRPr="006967F8" w14:paraId="0809BDAF"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24BA161"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3A7AF0D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42.700,00</w:t>
            </w:r>
          </w:p>
        </w:tc>
        <w:tc>
          <w:tcPr>
            <w:tcW w:w="1559" w:type="dxa"/>
            <w:tcBorders>
              <w:top w:val="nil"/>
              <w:left w:val="nil"/>
              <w:bottom w:val="nil"/>
              <w:right w:val="nil"/>
            </w:tcBorders>
            <w:shd w:val="clear" w:color="000000" w:fill="CCCCFF"/>
            <w:noWrap/>
            <w:vAlign w:val="bottom"/>
            <w:hideMark/>
          </w:tcPr>
          <w:p w14:paraId="197713F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42.700,00</w:t>
            </w:r>
          </w:p>
        </w:tc>
        <w:tc>
          <w:tcPr>
            <w:tcW w:w="1559" w:type="dxa"/>
            <w:tcBorders>
              <w:top w:val="nil"/>
              <w:left w:val="nil"/>
              <w:bottom w:val="nil"/>
              <w:right w:val="nil"/>
            </w:tcBorders>
            <w:shd w:val="clear" w:color="000000" w:fill="CCCCFF"/>
            <w:noWrap/>
            <w:vAlign w:val="bottom"/>
            <w:hideMark/>
          </w:tcPr>
          <w:p w14:paraId="0845E81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37.426,83</w:t>
            </w:r>
          </w:p>
        </w:tc>
        <w:tc>
          <w:tcPr>
            <w:tcW w:w="993" w:type="dxa"/>
            <w:tcBorders>
              <w:top w:val="nil"/>
              <w:left w:val="nil"/>
              <w:bottom w:val="nil"/>
              <w:right w:val="nil"/>
            </w:tcBorders>
            <w:shd w:val="clear" w:color="000000" w:fill="CCCCFF"/>
            <w:noWrap/>
            <w:vAlign w:val="bottom"/>
            <w:hideMark/>
          </w:tcPr>
          <w:p w14:paraId="7CE5696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87,65%</w:t>
            </w:r>
          </w:p>
        </w:tc>
      </w:tr>
      <w:tr w:rsidR="006967F8" w:rsidRPr="006967F8" w14:paraId="5087DBFC" w14:textId="77777777" w:rsidTr="008A61B1">
        <w:trPr>
          <w:trHeight w:val="540"/>
        </w:trPr>
        <w:tc>
          <w:tcPr>
            <w:tcW w:w="1134" w:type="dxa"/>
            <w:tcBorders>
              <w:top w:val="nil"/>
              <w:left w:val="nil"/>
              <w:bottom w:val="nil"/>
              <w:right w:val="nil"/>
            </w:tcBorders>
            <w:noWrap/>
            <w:vAlign w:val="bottom"/>
            <w:hideMark/>
          </w:tcPr>
          <w:p w14:paraId="78BEA2A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41</w:t>
            </w:r>
          </w:p>
        </w:tc>
        <w:tc>
          <w:tcPr>
            <w:tcW w:w="4962" w:type="dxa"/>
            <w:tcBorders>
              <w:top w:val="nil"/>
              <w:left w:val="nil"/>
              <w:bottom w:val="nil"/>
              <w:right w:val="nil"/>
            </w:tcBorders>
            <w:vAlign w:val="bottom"/>
            <w:hideMark/>
          </w:tcPr>
          <w:p w14:paraId="44722CA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Rashodi za nabavu </w:t>
            </w:r>
            <w:proofErr w:type="spellStart"/>
            <w:r w:rsidRPr="006967F8">
              <w:rPr>
                <w:rFonts w:ascii="Arial" w:eastAsia="Times New Roman" w:hAnsi="Arial" w:cs="Arial"/>
                <w:b/>
                <w:bCs/>
                <w:sz w:val="20"/>
                <w:szCs w:val="20"/>
                <w:lang w:eastAsia="hr-HR"/>
              </w:rPr>
              <w:t>neproizvedene</w:t>
            </w:r>
            <w:proofErr w:type="spellEnd"/>
            <w:r w:rsidRPr="006967F8">
              <w:rPr>
                <w:rFonts w:ascii="Arial" w:eastAsia="Times New Roman" w:hAnsi="Arial" w:cs="Arial"/>
                <w:b/>
                <w:bCs/>
                <w:sz w:val="20"/>
                <w:szCs w:val="20"/>
                <w:lang w:eastAsia="hr-HR"/>
              </w:rPr>
              <w:t xml:space="preserve"> dugotrajne imovine</w:t>
            </w:r>
          </w:p>
        </w:tc>
        <w:tc>
          <w:tcPr>
            <w:tcW w:w="1559" w:type="dxa"/>
            <w:tcBorders>
              <w:top w:val="nil"/>
              <w:left w:val="nil"/>
              <w:bottom w:val="nil"/>
              <w:right w:val="nil"/>
            </w:tcBorders>
            <w:noWrap/>
            <w:vAlign w:val="bottom"/>
            <w:hideMark/>
          </w:tcPr>
          <w:p w14:paraId="6B2873D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2.700,00</w:t>
            </w:r>
          </w:p>
        </w:tc>
        <w:tc>
          <w:tcPr>
            <w:tcW w:w="1559" w:type="dxa"/>
            <w:tcBorders>
              <w:top w:val="nil"/>
              <w:left w:val="nil"/>
              <w:bottom w:val="nil"/>
              <w:right w:val="nil"/>
            </w:tcBorders>
            <w:noWrap/>
            <w:vAlign w:val="bottom"/>
            <w:hideMark/>
          </w:tcPr>
          <w:p w14:paraId="09F1B3A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2.700,00</w:t>
            </w:r>
          </w:p>
        </w:tc>
        <w:tc>
          <w:tcPr>
            <w:tcW w:w="1559" w:type="dxa"/>
            <w:tcBorders>
              <w:top w:val="nil"/>
              <w:left w:val="nil"/>
              <w:bottom w:val="nil"/>
              <w:right w:val="nil"/>
            </w:tcBorders>
            <w:noWrap/>
            <w:vAlign w:val="bottom"/>
            <w:hideMark/>
          </w:tcPr>
          <w:p w14:paraId="1886343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6F8EB37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19523621" w14:textId="77777777" w:rsidTr="008A61B1">
        <w:trPr>
          <w:trHeight w:val="525"/>
        </w:trPr>
        <w:tc>
          <w:tcPr>
            <w:tcW w:w="1134" w:type="dxa"/>
            <w:tcBorders>
              <w:top w:val="nil"/>
              <w:left w:val="nil"/>
              <w:bottom w:val="nil"/>
              <w:right w:val="nil"/>
            </w:tcBorders>
            <w:noWrap/>
            <w:vAlign w:val="bottom"/>
            <w:hideMark/>
          </w:tcPr>
          <w:p w14:paraId="070F20D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6A6BF78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4B04CA7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40.000,00</w:t>
            </w:r>
          </w:p>
        </w:tc>
        <w:tc>
          <w:tcPr>
            <w:tcW w:w="1559" w:type="dxa"/>
            <w:tcBorders>
              <w:top w:val="nil"/>
              <w:left w:val="nil"/>
              <w:bottom w:val="nil"/>
              <w:right w:val="nil"/>
            </w:tcBorders>
            <w:noWrap/>
            <w:vAlign w:val="bottom"/>
            <w:hideMark/>
          </w:tcPr>
          <w:p w14:paraId="11D7325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40.000,00</w:t>
            </w:r>
          </w:p>
        </w:tc>
        <w:tc>
          <w:tcPr>
            <w:tcW w:w="1559" w:type="dxa"/>
            <w:tcBorders>
              <w:top w:val="nil"/>
              <w:left w:val="nil"/>
              <w:bottom w:val="nil"/>
              <w:right w:val="nil"/>
            </w:tcBorders>
            <w:noWrap/>
            <w:vAlign w:val="bottom"/>
            <w:hideMark/>
          </w:tcPr>
          <w:p w14:paraId="07B1D1B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37.426,83</w:t>
            </w:r>
          </w:p>
        </w:tc>
        <w:tc>
          <w:tcPr>
            <w:tcW w:w="993" w:type="dxa"/>
            <w:tcBorders>
              <w:top w:val="nil"/>
              <w:left w:val="nil"/>
              <w:bottom w:val="nil"/>
              <w:right w:val="nil"/>
            </w:tcBorders>
            <w:noWrap/>
            <w:vAlign w:val="bottom"/>
            <w:hideMark/>
          </w:tcPr>
          <w:p w14:paraId="4BC6811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93,57%</w:t>
            </w:r>
          </w:p>
        </w:tc>
      </w:tr>
      <w:tr w:rsidR="006967F8" w:rsidRPr="006967F8" w14:paraId="7FA63869" w14:textId="77777777" w:rsidTr="008A61B1">
        <w:trPr>
          <w:trHeight w:val="255"/>
        </w:trPr>
        <w:tc>
          <w:tcPr>
            <w:tcW w:w="1134" w:type="dxa"/>
            <w:tcBorders>
              <w:top w:val="nil"/>
              <w:left w:val="nil"/>
              <w:bottom w:val="nil"/>
              <w:right w:val="nil"/>
            </w:tcBorders>
            <w:noWrap/>
            <w:vAlign w:val="bottom"/>
            <w:hideMark/>
          </w:tcPr>
          <w:p w14:paraId="01F3586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4214</w:t>
            </w:r>
          </w:p>
        </w:tc>
        <w:tc>
          <w:tcPr>
            <w:tcW w:w="4962" w:type="dxa"/>
            <w:tcBorders>
              <w:top w:val="nil"/>
              <w:left w:val="nil"/>
              <w:bottom w:val="nil"/>
              <w:right w:val="nil"/>
            </w:tcBorders>
            <w:noWrap/>
            <w:vAlign w:val="bottom"/>
            <w:hideMark/>
          </w:tcPr>
          <w:p w14:paraId="6F91F9D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građevinski objekti</w:t>
            </w:r>
          </w:p>
        </w:tc>
        <w:tc>
          <w:tcPr>
            <w:tcW w:w="1559" w:type="dxa"/>
            <w:tcBorders>
              <w:top w:val="nil"/>
              <w:left w:val="nil"/>
              <w:bottom w:val="nil"/>
              <w:right w:val="nil"/>
            </w:tcBorders>
            <w:noWrap/>
            <w:vAlign w:val="bottom"/>
            <w:hideMark/>
          </w:tcPr>
          <w:p w14:paraId="4E29C7CE"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3E30493"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73353F8"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37.426,83</w:t>
            </w:r>
          </w:p>
        </w:tc>
        <w:tc>
          <w:tcPr>
            <w:tcW w:w="993" w:type="dxa"/>
            <w:tcBorders>
              <w:top w:val="nil"/>
              <w:left w:val="nil"/>
              <w:bottom w:val="nil"/>
              <w:right w:val="nil"/>
            </w:tcBorders>
            <w:noWrap/>
            <w:vAlign w:val="bottom"/>
            <w:hideMark/>
          </w:tcPr>
          <w:p w14:paraId="77291F64"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05C1342" w14:textId="77777777" w:rsidTr="008A61B1">
        <w:trPr>
          <w:trHeight w:val="780"/>
        </w:trPr>
        <w:tc>
          <w:tcPr>
            <w:tcW w:w="1134" w:type="dxa"/>
            <w:tcBorders>
              <w:top w:val="nil"/>
              <w:left w:val="nil"/>
              <w:bottom w:val="nil"/>
              <w:right w:val="nil"/>
            </w:tcBorders>
            <w:shd w:val="clear" w:color="000000" w:fill="FFFF99"/>
            <w:noWrap/>
            <w:vAlign w:val="bottom"/>
            <w:hideMark/>
          </w:tcPr>
          <w:p w14:paraId="26CF025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K100121</w:t>
            </w:r>
          </w:p>
        </w:tc>
        <w:tc>
          <w:tcPr>
            <w:tcW w:w="4962" w:type="dxa"/>
            <w:tcBorders>
              <w:top w:val="nil"/>
              <w:left w:val="nil"/>
              <w:bottom w:val="nil"/>
              <w:right w:val="nil"/>
            </w:tcBorders>
            <w:shd w:val="clear" w:color="000000" w:fill="FFFF99"/>
            <w:vAlign w:val="bottom"/>
            <w:hideMark/>
          </w:tcPr>
          <w:p w14:paraId="6E9A8B1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Kapitalni projekt: OBNOVA PARKA GARAGNIN (CJELINA U SKLOPU PROJEKTA KULTURNO DRUŠTVENIH TOKOVA UAS)</w:t>
            </w:r>
          </w:p>
        </w:tc>
        <w:tc>
          <w:tcPr>
            <w:tcW w:w="1559" w:type="dxa"/>
            <w:tcBorders>
              <w:top w:val="nil"/>
              <w:left w:val="nil"/>
              <w:bottom w:val="nil"/>
              <w:right w:val="nil"/>
            </w:tcBorders>
            <w:shd w:val="clear" w:color="000000" w:fill="FFFF99"/>
            <w:noWrap/>
            <w:vAlign w:val="bottom"/>
            <w:hideMark/>
          </w:tcPr>
          <w:p w14:paraId="39D7D5D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522.414,59</w:t>
            </w:r>
          </w:p>
        </w:tc>
        <w:tc>
          <w:tcPr>
            <w:tcW w:w="1559" w:type="dxa"/>
            <w:tcBorders>
              <w:top w:val="nil"/>
              <w:left w:val="nil"/>
              <w:bottom w:val="nil"/>
              <w:right w:val="nil"/>
            </w:tcBorders>
            <w:shd w:val="clear" w:color="000000" w:fill="FFFF99"/>
            <w:noWrap/>
            <w:vAlign w:val="bottom"/>
            <w:hideMark/>
          </w:tcPr>
          <w:p w14:paraId="283462B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531.779,59</w:t>
            </w:r>
          </w:p>
        </w:tc>
        <w:tc>
          <w:tcPr>
            <w:tcW w:w="1559" w:type="dxa"/>
            <w:tcBorders>
              <w:top w:val="nil"/>
              <w:left w:val="nil"/>
              <w:bottom w:val="nil"/>
              <w:right w:val="nil"/>
            </w:tcBorders>
            <w:shd w:val="clear" w:color="000000" w:fill="FFFF99"/>
            <w:noWrap/>
            <w:vAlign w:val="bottom"/>
            <w:hideMark/>
          </w:tcPr>
          <w:p w14:paraId="7CBBE1B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404.244,15</w:t>
            </w:r>
          </w:p>
        </w:tc>
        <w:tc>
          <w:tcPr>
            <w:tcW w:w="993" w:type="dxa"/>
            <w:tcBorders>
              <w:top w:val="nil"/>
              <w:left w:val="nil"/>
              <w:bottom w:val="nil"/>
              <w:right w:val="nil"/>
            </w:tcBorders>
            <w:shd w:val="clear" w:color="000000" w:fill="FFFF99"/>
            <w:noWrap/>
            <w:vAlign w:val="bottom"/>
            <w:hideMark/>
          </w:tcPr>
          <w:p w14:paraId="4ED0190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76,02%</w:t>
            </w:r>
          </w:p>
        </w:tc>
      </w:tr>
      <w:tr w:rsidR="006967F8" w:rsidRPr="006967F8" w14:paraId="19F6B62E"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75B80EE"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5C6DD58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43.000,00</w:t>
            </w:r>
          </w:p>
        </w:tc>
        <w:tc>
          <w:tcPr>
            <w:tcW w:w="1559" w:type="dxa"/>
            <w:tcBorders>
              <w:top w:val="nil"/>
              <w:left w:val="nil"/>
              <w:bottom w:val="nil"/>
              <w:right w:val="nil"/>
            </w:tcBorders>
            <w:shd w:val="clear" w:color="000000" w:fill="CCCCFF"/>
            <w:noWrap/>
            <w:vAlign w:val="bottom"/>
            <w:hideMark/>
          </w:tcPr>
          <w:p w14:paraId="7CA6205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73.100,00</w:t>
            </w:r>
          </w:p>
        </w:tc>
        <w:tc>
          <w:tcPr>
            <w:tcW w:w="1559" w:type="dxa"/>
            <w:tcBorders>
              <w:top w:val="nil"/>
              <w:left w:val="nil"/>
              <w:bottom w:val="nil"/>
              <w:right w:val="nil"/>
            </w:tcBorders>
            <w:shd w:val="clear" w:color="000000" w:fill="CCCCFF"/>
            <w:noWrap/>
            <w:vAlign w:val="bottom"/>
            <w:hideMark/>
          </w:tcPr>
          <w:p w14:paraId="0C33AA9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73.068,75</w:t>
            </w:r>
          </w:p>
        </w:tc>
        <w:tc>
          <w:tcPr>
            <w:tcW w:w="993" w:type="dxa"/>
            <w:tcBorders>
              <w:top w:val="nil"/>
              <w:left w:val="nil"/>
              <w:bottom w:val="nil"/>
              <w:right w:val="nil"/>
            </w:tcBorders>
            <w:shd w:val="clear" w:color="000000" w:fill="CCCCFF"/>
            <w:noWrap/>
            <w:vAlign w:val="bottom"/>
            <w:hideMark/>
          </w:tcPr>
          <w:p w14:paraId="3522FAA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99,96%</w:t>
            </w:r>
          </w:p>
        </w:tc>
      </w:tr>
      <w:tr w:rsidR="006967F8" w:rsidRPr="006967F8" w14:paraId="0A76DE83"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8B7D090"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2EC8F39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43.000,00</w:t>
            </w:r>
          </w:p>
        </w:tc>
        <w:tc>
          <w:tcPr>
            <w:tcW w:w="1559" w:type="dxa"/>
            <w:tcBorders>
              <w:top w:val="nil"/>
              <w:left w:val="nil"/>
              <w:bottom w:val="nil"/>
              <w:right w:val="nil"/>
            </w:tcBorders>
            <w:shd w:val="clear" w:color="000000" w:fill="CCCCFF"/>
            <w:noWrap/>
            <w:vAlign w:val="bottom"/>
            <w:hideMark/>
          </w:tcPr>
          <w:p w14:paraId="6E35A21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73.100,00</w:t>
            </w:r>
          </w:p>
        </w:tc>
        <w:tc>
          <w:tcPr>
            <w:tcW w:w="1559" w:type="dxa"/>
            <w:tcBorders>
              <w:top w:val="nil"/>
              <w:left w:val="nil"/>
              <w:bottom w:val="nil"/>
              <w:right w:val="nil"/>
            </w:tcBorders>
            <w:shd w:val="clear" w:color="000000" w:fill="CCCCFF"/>
            <w:noWrap/>
            <w:vAlign w:val="bottom"/>
            <w:hideMark/>
          </w:tcPr>
          <w:p w14:paraId="1A9791E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73.068,75</w:t>
            </w:r>
          </w:p>
        </w:tc>
        <w:tc>
          <w:tcPr>
            <w:tcW w:w="993" w:type="dxa"/>
            <w:tcBorders>
              <w:top w:val="nil"/>
              <w:left w:val="nil"/>
              <w:bottom w:val="nil"/>
              <w:right w:val="nil"/>
            </w:tcBorders>
            <w:shd w:val="clear" w:color="000000" w:fill="CCCCFF"/>
            <w:noWrap/>
            <w:vAlign w:val="bottom"/>
            <w:hideMark/>
          </w:tcPr>
          <w:p w14:paraId="43C57DC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99,96%</w:t>
            </w:r>
          </w:p>
        </w:tc>
      </w:tr>
      <w:tr w:rsidR="006967F8" w:rsidRPr="006967F8" w14:paraId="3896FA41" w14:textId="77777777" w:rsidTr="008A61B1">
        <w:trPr>
          <w:trHeight w:val="540"/>
        </w:trPr>
        <w:tc>
          <w:tcPr>
            <w:tcW w:w="1134" w:type="dxa"/>
            <w:tcBorders>
              <w:top w:val="nil"/>
              <w:left w:val="nil"/>
              <w:bottom w:val="nil"/>
              <w:right w:val="nil"/>
            </w:tcBorders>
            <w:noWrap/>
            <w:vAlign w:val="bottom"/>
            <w:hideMark/>
          </w:tcPr>
          <w:p w14:paraId="0D43094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5FC8B44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31B8D17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43.000,00</w:t>
            </w:r>
          </w:p>
        </w:tc>
        <w:tc>
          <w:tcPr>
            <w:tcW w:w="1559" w:type="dxa"/>
            <w:tcBorders>
              <w:top w:val="nil"/>
              <w:left w:val="nil"/>
              <w:bottom w:val="nil"/>
              <w:right w:val="nil"/>
            </w:tcBorders>
            <w:noWrap/>
            <w:vAlign w:val="bottom"/>
            <w:hideMark/>
          </w:tcPr>
          <w:p w14:paraId="1A47F17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73.100,00</w:t>
            </w:r>
          </w:p>
        </w:tc>
        <w:tc>
          <w:tcPr>
            <w:tcW w:w="1559" w:type="dxa"/>
            <w:tcBorders>
              <w:top w:val="nil"/>
              <w:left w:val="nil"/>
              <w:bottom w:val="nil"/>
              <w:right w:val="nil"/>
            </w:tcBorders>
            <w:noWrap/>
            <w:vAlign w:val="bottom"/>
            <w:hideMark/>
          </w:tcPr>
          <w:p w14:paraId="5506F6A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73.068,75</w:t>
            </w:r>
          </w:p>
        </w:tc>
        <w:tc>
          <w:tcPr>
            <w:tcW w:w="993" w:type="dxa"/>
            <w:tcBorders>
              <w:top w:val="nil"/>
              <w:left w:val="nil"/>
              <w:bottom w:val="nil"/>
              <w:right w:val="nil"/>
            </w:tcBorders>
            <w:noWrap/>
            <w:vAlign w:val="bottom"/>
            <w:hideMark/>
          </w:tcPr>
          <w:p w14:paraId="073287F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99,96%</w:t>
            </w:r>
          </w:p>
        </w:tc>
      </w:tr>
      <w:tr w:rsidR="006967F8" w:rsidRPr="006967F8" w14:paraId="6D89B94F" w14:textId="77777777" w:rsidTr="008A61B1">
        <w:trPr>
          <w:trHeight w:val="255"/>
        </w:trPr>
        <w:tc>
          <w:tcPr>
            <w:tcW w:w="1134" w:type="dxa"/>
            <w:tcBorders>
              <w:top w:val="nil"/>
              <w:left w:val="nil"/>
              <w:bottom w:val="nil"/>
              <w:right w:val="nil"/>
            </w:tcBorders>
            <w:noWrap/>
            <w:vAlign w:val="bottom"/>
            <w:hideMark/>
          </w:tcPr>
          <w:p w14:paraId="130B5C3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4214</w:t>
            </w:r>
          </w:p>
        </w:tc>
        <w:tc>
          <w:tcPr>
            <w:tcW w:w="4962" w:type="dxa"/>
            <w:tcBorders>
              <w:top w:val="nil"/>
              <w:left w:val="nil"/>
              <w:bottom w:val="nil"/>
              <w:right w:val="nil"/>
            </w:tcBorders>
            <w:noWrap/>
            <w:vAlign w:val="bottom"/>
            <w:hideMark/>
          </w:tcPr>
          <w:p w14:paraId="35DC8FB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građevinski objekti</w:t>
            </w:r>
          </w:p>
        </w:tc>
        <w:tc>
          <w:tcPr>
            <w:tcW w:w="1559" w:type="dxa"/>
            <w:tcBorders>
              <w:top w:val="nil"/>
              <w:left w:val="nil"/>
              <w:bottom w:val="nil"/>
              <w:right w:val="nil"/>
            </w:tcBorders>
            <w:noWrap/>
            <w:vAlign w:val="bottom"/>
            <w:hideMark/>
          </w:tcPr>
          <w:p w14:paraId="6981C64D"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2A176FA"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75E2A16"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73.068,75</w:t>
            </w:r>
          </w:p>
        </w:tc>
        <w:tc>
          <w:tcPr>
            <w:tcW w:w="993" w:type="dxa"/>
            <w:tcBorders>
              <w:top w:val="nil"/>
              <w:left w:val="nil"/>
              <w:bottom w:val="nil"/>
              <w:right w:val="nil"/>
            </w:tcBorders>
            <w:noWrap/>
            <w:vAlign w:val="bottom"/>
            <w:hideMark/>
          </w:tcPr>
          <w:p w14:paraId="728182F4"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35ECD79"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796F07A"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54945DF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479.414,59</w:t>
            </w:r>
          </w:p>
        </w:tc>
        <w:tc>
          <w:tcPr>
            <w:tcW w:w="1559" w:type="dxa"/>
            <w:tcBorders>
              <w:top w:val="nil"/>
              <w:left w:val="nil"/>
              <w:bottom w:val="nil"/>
              <w:right w:val="nil"/>
            </w:tcBorders>
            <w:shd w:val="clear" w:color="000000" w:fill="CCCCFF"/>
            <w:noWrap/>
            <w:vAlign w:val="bottom"/>
            <w:hideMark/>
          </w:tcPr>
          <w:p w14:paraId="5AE6EC2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458.679,59</w:t>
            </w:r>
          </w:p>
        </w:tc>
        <w:tc>
          <w:tcPr>
            <w:tcW w:w="1559" w:type="dxa"/>
            <w:tcBorders>
              <w:top w:val="nil"/>
              <w:left w:val="nil"/>
              <w:bottom w:val="nil"/>
              <w:right w:val="nil"/>
            </w:tcBorders>
            <w:shd w:val="clear" w:color="000000" w:fill="CCCCFF"/>
            <w:noWrap/>
            <w:vAlign w:val="bottom"/>
            <w:hideMark/>
          </w:tcPr>
          <w:p w14:paraId="67FDAEC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331.175,40</w:t>
            </w:r>
          </w:p>
        </w:tc>
        <w:tc>
          <w:tcPr>
            <w:tcW w:w="993" w:type="dxa"/>
            <w:tcBorders>
              <w:top w:val="nil"/>
              <w:left w:val="nil"/>
              <w:bottom w:val="nil"/>
              <w:right w:val="nil"/>
            </w:tcBorders>
            <w:shd w:val="clear" w:color="000000" w:fill="CCCCFF"/>
            <w:noWrap/>
            <w:vAlign w:val="bottom"/>
            <w:hideMark/>
          </w:tcPr>
          <w:p w14:paraId="0A275E7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72,20%</w:t>
            </w:r>
          </w:p>
        </w:tc>
      </w:tr>
      <w:tr w:rsidR="006967F8" w:rsidRPr="006967F8" w14:paraId="207ED7A0"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6FD6C2F"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lastRenderedPageBreak/>
              <w:t>Izvor 5.2. Pomoći EU</w:t>
            </w:r>
          </w:p>
        </w:tc>
        <w:tc>
          <w:tcPr>
            <w:tcW w:w="1559" w:type="dxa"/>
            <w:tcBorders>
              <w:top w:val="nil"/>
              <w:left w:val="nil"/>
              <w:bottom w:val="nil"/>
              <w:right w:val="nil"/>
            </w:tcBorders>
            <w:shd w:val="clear" w:color="000000" w:fill="CCCCFF"/>
            <w:noWrap/>
            <w:vAlign w:val="bottom"/>
            <w:hideMark/>
          </w:tcPr>
          <w:p w14:paraId="432BF6A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150.000,00</w:t>
            </w:r>
          </w:p>
        </w:tc>
        <w:tc>
          <w:tcPr>
            <w:tcW w:w="1559" w:type="dxa"/>
            <w:tcBorders>
              <w:top w:val="nil"/>
              <w:left w:val="nil"/>
              <w:bottom w:val="nil"/>
              <w:right w:val="nil"/>
            </w:tcBorders>
            <w:shd w:val="clear" w:color="000000" w:fill="CCCCFF"/>
            <w:noWrap/>
            <w:vAlign w:val="bottom"/>
            <w:hideMark/>
          </w:tcPr>
          <w:p w14:paraId="08A24BA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127.500,00</w:t>
            </w:r>
          </w:p>
        </w:tc>
        <w:tc>
          <w:tcPr>
            <w:tcW w:w="1559" w:type="dxa"/>
            <w:tcBorders>
              <w:top w:val="nil"/>
              <w:left w:val="nil"/>
              <w:bottom w:val="nil"/>
              <w:right w:val="nil"/>
            </w:tcBorders>
            <w:shd w:val="clear" w:color="000000" w:fill="CCCCFF"/>
            <w:noWrap/>
            <w:vAlign w:val="bottom"/>
            <w:hideMark/>
          </w:tcPr>
          <w:p w14:paraId="553BDC4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747DFDC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2C75A67B" w14:textId="77777777" w:rsidTr="008A61B1">
        <w:trPr>
          <w:trHeight w:val="465"/>
        </w:trPr>
        <w:tc>
          <w:tcPr>
            <w:tcW w:w="1134" w:type="dxa"/>
            <w:tcBorders>
              <w:top w:val="nil"/>
              <w:left w:val="nil"/>
              <w:bottom w:val="nil"/>
              <w:right w:val="nil"/>
            </w:tcBorders>
            <w:noWrap/>
            <w:vAlign w:val="bottom"/>
            <w:hideMark/>
          </w:tcPr>
          <w:p w14:paraId="3D22DE7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7DBDE7D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797487D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150.000,00</w:t>
            </w:r>
          </w:p>
        </w:tc>
        <w:tc>
          <w:tcPr>
            <w:tcW w:w="1559" w:type="dxa"/>
            <w:tcBorders>
              <w:top w:val="nil"/>
              <w:left w:val="nil"/>
              <w:bottom w:val="nil"/>
              <w:right w:val="nil"/>
            </w:tcBorders>
            <w:noWrap/>
            <w:vAlign w:val="bottom"/>
            <w:hideMark/>
          </w:tcPr>
          <w:p w14:paraId="068CF1E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127.500,00</w:t>
            </w:r>
          </w:p>
        </w:tc>
        <w:tc>
          <w:tcPr>
            <w:tcW w:w="1559" w:type="dxa"/>
            <w:tcBorders>
              <w:top w:val="nil"/>
              <w:left w:val="nil"/>
              <w:bottom w:val="nil"/>
              <w:right w:val="nil"/>
            </w:tcBorders>
            <w:noWrap/>
            <w:vAlign w:val="bottom"/>
            <w:hideMark/>
          </w:tcPr>
          <w:p w14:paraId="6828921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777A5E0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5E7D4EA9"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8808D3B"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5.9. PRENESENI VIŠAK/MANJAK- POMOĆI</w:t>
            </w:r>
          </w:p>
        </w:tc>
        <w:tc>
          <w:tcPr>
            <w:tcW w:w="1559" w:type="dxa"/>
            <w:tcBorders>
              <w:top w:val="nil"/>
              <w:left w:val="nil"/>
              <w:bottom w:val="nil"/>
              <w:right w:val="nil"/>
            </w:tcBorders>
            <w:shd w:val="clear" w:color="000000" w:fill="CCCCFF"/>
            <w:noWrap/>
            <w:vAlign w:val="bottom"/>
            <w:hideMark/>
          </w:tcPr>
          <w:p w14:paraId="36B6F46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329.414,59</w:t>
            </w:r>
          </w:p>
        </w:tc>
        <w:tc>
          <w:tcPr>
            <w:tcW w:w="1559" w:type="dxa"/>
            <w:tcBorders>
              <w:top w:val="nil"/>
              <w:left w:val="nil"/>
              <w:bottom w:val="nil"/>
              <w:right w:val="nil"/>
            </w:tcBorders>
            <w:shd w:val="clear" w:color="000000" w:fill="CCCCFF"/>
            <w:noWrap/>
            <w:vAlign w:val="bottom"/>
            <w:hideMark/>
          </w:tcPr>
          <w:p w14:paraId="23CA5FA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331.179,59</w:t>
            </w:r>
          </w:p>
        </w:tc>
        <w:tc>
          <w:tcPr>
            <w:tcW w:w="1559" w:type="dxa"/>
            <w:tcBorders>
              <w:top w:val="nil"/>
              <w:left w:val="nil"/>
              <w:bottom w:val="nil"/>
              <w:right w:val="nil"/>
            </w:tcBorders>
            <w:shd w:val="clear" w:color="000000" w:fill="CCCCFF"/>
            <w:noWrap/>
            <w:vAlign w:val="bottom"/>
            <w:hideMark/>
          </w:tcPr>
          <w:p w14:paraId="25C4031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331.175,40</w:t>
            </w:r>
          </w:p>
        </w:tc>
        <w:tc>
          <w:tcPr>
            <w:tcW w:w="993" w:type="dxa"/>
            <w:tcBorders>
              <w:top w:val="nil"/>
              <w:left w:val="nil"/>
              <w:bottom w:val="nil"/>
              <w:right w:val="nil"/>
            </w:tcBorders>
            <w:shd w:val="clear" w:color="000000" w:fill="CCCCFF"/>
            <w:noWrap/>
            <w:vAlign w:val="bottom"/>
            <w:hideMark/>
          </w:tcPr>
          <w:p w14:paraId="6BB6CA5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4459837B" w14:textId="77777777" w:rsidTr="008A61B1">
        <w:trPr>
          <w:trHeight w:val="555"/>
        </w:trPr>
        <w:tc>
          <w:tcPr>
            <w:tcW w:w="1134" w:type="dxa"/>
            <w:tcBorders>
              <w:top w:val="nil"/>
              <w:left w:val="nil"/>
              <w:bottom w:val="nil"/>
              <w:right w:val="nil"/>
            </w:tcBorders>
            <w:noWrap/>
            <w:vAlign w:val="bottom"/>
            <w:hideMark/>
          </w:tcPr>
          <w:p w14:paraId="083F885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085DDDA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140E038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329.414,59</w:t>
            </w:r>
          </w:p>
        </w:tc>
        <w:tc>
          <w:tcPr>
            <w:tcW w:w="1559" w:type="dxa"/>
            <w:tcBorders>
              <w:top w:val="nil"/>
              <w:left w:val="nil"/>
              <w:bottom w:val="nil"/>
              <w:right w:val="nil"/>
            </w:tcBorders>
            <w:noWrap/>
            <w:vAlign w:val="bottom"/>
            <w:hideMark/>
          </w:tcPr>
          <w:p w14:paraId="78AAF98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331.179,59</w:t>
            </w:r>
          </w:p>
        </w:tc>
        <w:tc>
          <w:tcPr>
            <w:tcW w:w="1559" w:type="dxa"/>
            <w:tcBorders>
              <w:top w:val="nil"/>
              <w:left w:val="nil"/>
              <w:bottom w:val="nil"/>
              <w:right w:val="nil"/>
            </w:tcBorders>
            <w:noWrap/>
            <w:vAlign w:val="bottom"/>
            <w:hideMark/>
          </w:tcPr>
          <w:p w14:paraId="5234CBC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331.175,40</w:t>
            </w:r>
          </w:p>
        </w:tc>
        <w:tc>
          <w:tcPr>
            <w:tcW w:w="993" w:type="dxa"/>
            <w:tcBorders>
              <w:top w:val="nil"/>
              <w:left w:val="nil"/>
              <w:bottom w:val="nil"/>
              <w:right w:val="nil"/>
            </w:tcBorders>
            <w:noWrap/>
            <w:vAlign w:val="bottom"/>
            <w:hideMark/>
          </w:tcPr>
          <w:p w14:paraId="4E7A494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r>
      <w:tr w:rsidR="006967F8" w:rsidRPr="006967F8" w14:paraId="6C391830" w14:textId="77777777" w:rsidTr="008A61B1">
        <w:trPr>
          <w:trHeight w:val="255"/>
        </w:trPr>
        <w:tc>
          <w:tcPr>
            <w:tcW w:w="1134" w:type="dxa"/>
            <w:tcBorders>
              <w:top w:val="nil"/>
              <w:left w:val="nil"/>
              <w:bottom w:val="nil"/>
              <w:right w:val="nil"/>
            </w:tcBorders>
            <w:noWrap/>
            <w:vAlign w:val="bottom"/>
            <w:hideMark/>
          </w:tcPr>
          <w:p w14:paraId="3915CDF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4214</w:t>
            </w:r>
          </w:p>
        </w:tc>
        <w:tc>
          <w:tcPr>
            <w:tcW w:w="4962" w:type="dxa"/>
            <w:tcBorders>
              <w:top w:val="nil"/>
              <w:left w:val="nil"/>
              <w:bottom w:val="nil"/>
              <w:right w:val="nil"/>
            </w:tcBorders>
            <w:noWrap/>
            <w:vAlign w:val="bottom"/>
            <w:hideMark/>
          </w:tcPr>
          <w:p w14:paraId="148C479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građevinski objekti</w:t>
            </w:r>
          </w:p>
        </w:tc>
        <w:tc>
          <w:tcPr>
            <w:tcW w:w="1559" w:type="dxa"/>
            <w:tcBorders>
              <w:top w:val="nil"/>
              <w:left w:val="nil"/>
              <w:bottom w:val="nil"/>
              <w:right w:val="nil"/>
            </w:tcBorders>
            <w:noWrap/>
            <w:vAlign w:val="bottom"/>
            <w:hideMark/>
          </w:tcPr>
          <w:p w14:paraId="64A430AB"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9EBF9C6"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CD9D8C0"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331.175,40</w:t>
            </w:r>
          </w:p>
        </w:tc>
        <w:tc>
          <w:tcPr>
            <w:tcW w:w="993" w:type="dxa"/>
            <w:tcBorders>
              <w:top w:val="nil"/>
              <w:left w:val="nil"/>
              <w:bottom w:val="nil"/>
              <w:right w:val="nil"/>
            </w:tcBorders>
            <w:noWrap/>
            <w:vAlign w:val="bottom"/>
            <w:hideMark/>
          </w:tcPr>
          <w:p w14:paraId="0C5D23F5"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8424554" w14:textId="77777777" w:rsidTr="008A61B1">
        <w:trPr>
          <w:trHeight w:val="540"/>
        </w:trPr>
        <w:tc>
          <w:tcPr>
            <w:tcW w:w="1134" w:type="dxa"/>
            <w:tcBorders>
              <w:top w:val="nil"/>
              <w:left w:val="nil"/>
              <w:bottom w:val="nil"/>
              <w:right w:val="nil"/>
            </w:tcBorders>
            <w:shd w:val="clear" w:color="000000" w:fill="FF9900"/>
            <w:noWrap/>
            <w:vAlign w:val="bottom"/>
            <w:hideMark/>
          </w:tcPr>
          <w:p w14:paraId="6561CD6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1604</w:t>
            </w:r>
          </w:p>
        </w:tc>
        <w:tc>
          <w:tcPr>
            <w:tcW w:w="4962" w:type="dxa"/>
            <w:tcBorders>
              <w:top w:val="nil"/>
              <w:left w:val="nil"/>
              <w:bottom w:val="nil"/>
              <w:right w:val="nil"/>
            </w:tcBorders>
            <w:shd w:val="clear" w:color="000000" w:fill="FF9900"/>
            <w:vAlign w:val="bottom"/>
            <w:hideMark/>
          </w:tcPr>
          <w:p w14:paraId="74115B2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Program: INVESTICIJE U GRADITELJSTVU</w:t>
            </w:r>
          </w:p>
        </w:tc>
        <w:tc>
          <w:tcPr>
            <w:tcW w:w="1559" w:type="dxa"/>
            <w:tcBorders>
              <w:top w:val="nil"/>
              <w:left w:val="nil"/>
              <w:bottom w:val="nil"/>
              <w:right w:val="nil"/>
            </w:tcBorders>
            <w:shd w:val="clear" w:color="000000" w:fill="FF9900"/>
            <w:noWrap/>
            <w:vAlign w:val="bottom"/>
            <w:hideMark/>
          </w:tcPr>
          <w:p w14:paraId="58E2E19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434.586,00</w:t>
            </w:r>
          </w:p>
        </w:tc>
        <w:tc>
          <w:tcPr>
            <w:tcW w:w="1559" w:type="dxa"/>
            <w:tcBorders>
              <w:top w:val="nil"/>
              <w:left w:val="nil"/>
              <w:bottom w:val="nil"/>
              <w:right w:val="nil"/>
            </w:tcBorders>
            <w:shd w:val="clear" w:color="000000" w:fill="FF9900"/>
            <w:noWrap/>
            <w:vAlign w:val="bottom"/>
            <w:hideMark/>
          </w:tcPr>
          <w:p w14:paraId="12F5A34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423.586,00</w:t>
            </w:r>
          </w:p>
        </w:tc>
        <w:tc>
          <w:tcPr>
            <w:tcW w:w="1559" w:type="dxa"/>
            <w:tcBorders>
              <w:top w:val="nil"/>
              <w:left w:val="nil"/>
              <w:bottom w:val="nil"/>
              <w:right w:val="nil"/>
            </w:tcBorders>
            <w:shd w:val="clear" w:color="000000" w:fill="FF9900"/>
            <w:noWrap/>
            <w:vAlign w:val="bottom"/>
            <w:hideMark/>
          </w:tcPr>
          <w:p w14:paraId="74863F9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217.302,20</w:t>
            </w:r>
          </w:p>
        </w:tc>
        <w:tc>
          <w:tcPr>
            <w:tcW w:w="993" w:type="dxa"/>
            <w:tcBorders>
              <w:top w:val="nil"/>
              <w:left w:val="nil"/>
              <w:bottom w:val="nil"/>
              <w:right w:val="nil"/>
            </w:tcBorders>
            <w:shd w:val="clear" w:color="000000" w:fill="FF9900"/>
            <w:noWrap/>
            <w:vAlign w:val="bottom"/>
            <w:hideMark/>
          </w:tcPr>
          <w:p w14:paraId="5D43AC9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51,30%</w:t>
            </w:r>
          </w:p>
        </w:tc>
      </w:tr>
      <w:tr w:rsidR="006967F8" w:rsidRPr="006967F8" w14:paraId="4909CCBB" w14:textId="77777777" w:rsidTr="008A61B1">
        <w:trPr>
          <w:trHeight w:val="600"/>
        </w:trPr>
        <w:tc>
          <w:tcPr>
            <w:tcW w:w="1134" w:type="dxa"/>
            <w:tcBorders>
              <w:top w:val="nil"/>
              <w:left w:val="nil"/>
              <w:bottom w:val="nil"/>
              <w:right w:val="nil"/>
            </w:tcBorders>
            <w:shd w:val="clear" w:color="000000" w:fill="FFFF99"/>
            <w:noWrap/>
            <w:vAlign w:val="bottom"/>
            <w:hideMark/>
          </w:tcPr>
          <w:p w14:paraId="716A5AC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K100009</w:t>
            </w:r>
          </w:p>
        </w:tc>
        <w:tc>
          <w:tcPr>
            <w:tcW w:w="4962" w:type="dxa"/>
            <w:tcBorders>
              <w:top w:val="nil"/>
              <w:left w:val="nil"/>
              <w:bottom w:val="nil"/>
              <w:right w:val="nil"/>
            </w:tcBorders>
            <w:shd w:val="clear" w:color="000000" w:fill="FFFF99"/>
            <w:vAlign w:val="bottom"/>
            <w:hideMark/>
          </w:tcPr>
          <w:p w14:paraId="1828F45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Kapitalni projekt: REKONSTRUKCIJA I DOGRADNJA DJEČJIH VRTIĆA</w:t>
            </w:r>
          </w:p>
        </w:tc>
        <w:tc>
          <w:tcPr>
            <w:tcW w:w="1559" w:type="dxa"/>
            <w:tcBorders>
              <w:top w:val="nil"/>
              <w:left w:val="nil"/>
              <w:bottom w:val="nil"/>
              <w:right w:val="nil"/>
            </w:tcBorders>
            <w:shd w:val="clear" w:color="000000" w:fill="FFFF99"/>
            <w:noWrap/>
            <w:vAlign w:val="bottom"/>
            <w:hideMark/>
          </w:tcPr>
          <w:p w14:paraId="763246B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2.500,00</w:t>
            </w:r>
          </w:p>
        </w:tc>
        <w:tc>
          <w:tcPr>
            <w:tcW w:w="1559" w:type="dxa"/>
            <w:tcBorders>
              <w:top w:val="nil"/>
              <w:left w:val="nil"/>
              <w:bottom w:val="nil"/>
              <w:right w:val="nil"/>
            </w:tcBorders>
            <w:shd w:val="clear" w:color="000000" w:fill="FFFF99"/>
            <w:noWrap/>
            <w:vAlign w:val="bottom"/>
            <w:hideMark/>
          </w:tcPr>
          <w:p w14:paraId="01CF61D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2.500,00</w:t>
            </w:r>
          </w:p>
        </w:tc>
        <w:tc>
          <w:tcPr>
            <w:tcW w:w="1559" w:type="dxa"/>
            <w:tcBorders>
              <w:top w:val="nil"/>
              <w:left w:val="nil"/>
              <w:bottom w:val="nil"/>
              <w:right w:val="nil"/>
            </w:tcBorders>
            <w:shd w:val="clear" w:color="000000" w:fill="FFFF99"/>
            <w:noWrap/>
            <w:vAlign w:val="bottom"/>
            <w:hideMark/>
          </w:tcPr>
          <w:p w14:paraId="0BE8AE0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shd w:val="clear" w:color="000000" w:fill="FFFF99"/>
            <w:noWrap/>
            <w:vAlign w:val="bottom"/>
            <w:hideMark/>
          </w:tcPr>
          <w:p w14:paraId="7868016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7B317901"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7FFFF39"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52EEE6A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2.500,00</w:t>
            </w:r>
          </w:p>
        </w:tc>
        <w:tc>
          <w:tcPr>
            <w:tcW w:w="1559" w:type="dxa"/>
            <w:tcBorders>
              <w:top w:val="nil"/>
              <w:left w:val="nil"/>
              <w:bottom w:val="nil"/>
              <w:right w:val="nil"/>
            </w:tcBorders>
            <w:shd w:val="clear" w:color="000000" w:fill="CCCCFF"/>
            <w:noWrap/>
            <w:vAlign w:val="bottom"/>
            <w:hideMark/>
          </w:tcPr>
          <w:p w14:paraId="3213704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2.500,00</w:t>
            </w:r>
          </w:p>
        </w:tc>
        <w:tc>
          <w:tcPr>
            <w:tcW w:w="1559" w:type="dxa"/>
            <w:tcBorders>
              <w:top w:val="nil"/>
              <w:left w:val="nil"/>
              <w:bottom w:val="nil"/>
              <w:right w:val="nil"/>
            </w:tcBorders>
            <w:shd w:val="clear" w:color="000000" w:fill="CCCCFF"/>
            <w:noWrap/>
            <w:vAlign w:val="bottom"/>
            <w:hideMark/>
          </w:tcPr>
          <w:p w14:paraId="2EC83FC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5344385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218A7CEF"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3FC05B0"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6673012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2.500,00</w:t>
            </w:r>
          </w:p>
        </w:tc>
        <w:tc>
          <w:tcPr>
            <w:tcW w:w="1559" w:type="dxa"/>
            <w:tcBorders>
              <w:top w:val="nil"/>
              <w:left w:val="nil"/>
              <w:bottom w:val="nil"/>
              <w:right w:val="nil"/>
            </w:tcBorders>
            <w:shd w:val="clear" w:color="000000" w:fill="CCCCFF"/>
            <w:noWrap/>
            <w:vAlign w:val="bottom"/>
            <w:hideMark/>
          </w:tcPr>
          <w:p w14:paraId="6501568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2.500,00</w:t>
            </w:r>
          </w:p>
        </w:tc>
        <w:tc>
          <w:tcPr>
            <w:tcW w:w="1559" w:type="dxa"/>
            <w:tcBorders>
              <w:top w:val="nil"/>
              <w:left w:val="nil"/>
              <w:bottom w:val="nil"/>
              <w:right w:val="nil"/>
            </w:tcBorders>
            <w:shd w:val="clear" w:color="000000" w:fill="CCCCFF"/>
            <w:noWrap/>
            <w:vAlign w:val="bottom"/>
            <w:hideMark/>
          </w:tcPr>
          <w:p w14:paraId="7F60FC1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46B4CF8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6F17788A" w14:textId="77777777" w:rsidTr="008A61B1">
        <w:trPr>
          <w:trHeight w:val="255"/>
        </w:trPr>
        <w:tc>
          <w:tcPr>
            <w:tcW w:w="1134" w:type="dxa"/>
            <w:tcBorders>
              <w:top w:val="nil"/>
              <w:left w:val="nil"/>
              <w:bottom w:val="nil"/>
              <w:right w:val="nil"/>
            </w:tcBorders>
            <w:noWrap/>
            <w:vAlign w:val="bottom"/>
            <w:hideMark/>
          </w:tcPr>
          <w:p w14:paraId="58E79F3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48D3B1E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7C5D029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2.500,00</w:t>
            </w:r>
          </w:p>
        </w:tc>
        <w:tc>
          <w:tcPr>
            <w:tcW w:w="1559" w:type="dxa"/>
            <w:tcBorders>
              <w:top w:val="nil"/>
              <w:left w:val="nil"/>
              <w:bottom w:val="nil"/>
              <w:right w:val="nil"/>
            </w:tcBorders>
            <w:noWrap/>
            <w:vAlign w:val="bottom"/>
            <w:hideMark/>
          </w:tcPr>
          <w:p w14:paraId="17388D7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2.500,00</w:t>
            </w:r>
          </w:p>
        </w:tc>
        <w:tc>
          <w:tcPr>
            <w:tcW w:w="1559" w:type="dxa"/>
            <w:tcBorders>
              <w:top w:val="nil"/>
              <w:left w:val="nil"/>
              <w:bottom w:val="nil"/>
              <w:right w:val="nil"/>
            </w:tcBorders>
            <w:noWrap/>
            <w:vAlign w:val="bottom"/>
            <w:hideMark/>
          </w:tcPr>
          <w:p w14:paraId="6F97831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228BFA8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41875BA4" w14:textId="77777777" w:rsidTr="008A61B1">
        <w:trPr>
          <w:trHeight w:val="585"/>
        </w:trPr>
        <w:tc>
          <w:tcPr>
            <w:tcW w:w="1134" w:type="dxa"/>
            <w:tcBorders>
              <w:top w:val="nil"/>
              <w:left w:val="nil"/>
              <w:bottom w:val="nil"/>
              <w:right w:val="nil"/>
            </w:tcBorders>
            <w:shd w:val="clear" w:color="000000" w:fill="FFFF99"/>
            <w:noWrap/>
            <w:vAlign w:val="bottom"/>
            <w:hideMark/>
          </w:tcPr>
          <w:p w14:paraId="7278425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K100010</w:t>
            </w:r>
          </w:p>
        </w:tc>
        <w:tc>
          <w:tcPr>
            <w:tcW w:w="4962" w:type="dxa"/>
            <w:tcBorders>
              <w:top w:val="nil"/>
              <w:left w:val="nil"/>
              <w:bottom w:val="nil"/>
              <w:right w:val="nil"/>
            </w:tcBorders>
            <w:shd w:val="clear" w:color="000000" w:fill="FFFF99"/>
            <w:vAlign w:val="bottom"/>
            <w:hideMark/>
          </w:tcPr>
          <w:p w14:paraId="0A96C9E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Kapitalni projekt: IZGRADNJA DJEČJIH I SLIČNIH IGRALIŠTA</w:t>
            </w:r>
          </w:p>
        </w:tc>
        <w:tc>
          <w:tcPr>
            <w:tcW w:w="1559" w:type="dxa"/>
            <w:tcBorders>
              <w:top w:val="nil"/>
              <w:left w:val="nil"/>
              <w:bottom w:val="nil"/>
              <w:right w:val="nil"/>
            </w:tcBorders>
            <w:shd w:val="clear" w:color="000000" w:fill="FFFF99"/>
            <w:noWrap/>
            <w:vAlign w:val="bottom"/>
            <w:hideMark/>
          </w:tcPr>
          <w:p w14:paraId="55CD180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43.000,00</w:t>
            </w:r>
          </w:p>
        </w:tc>
        <w:tc>
          <w:tcPr>
            <w:tcW w:w="1559" w:type="dxa"/>
            <w:tcBorders>
              <w:top w:val="nil"/>
              <w:left w:val="nil"/>
              <w:bottom w:val="nil"/>
              <w:right w:val="nil"/>
            </w:tcBorders>
            <w:shd w:val="clear" w:color="000000" w:fill="FFFF99"/>
            <w:noWrap/>
            <w:vAlign w:val="bottom"/>
            <w:hideMark/>
          </w:tcPr>
          <w:p w14:paraId="381EE43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43.000,00</w:t>
            </w:r>
          </w:p>
        </w:tc>
        <w:tc>
          <w:tcPr>
            <w:tcW w:w="1559" w:type="dxa"/>
            <w:tcBorders>
              <w:top w:val="nil"/>
              <w:left w:val="nil"/>
              <w:bottom w:val="nil"/>
              <w:right w:val="nil"/>
            </w:tcBorders>
            <w:shd w:val="clear" w:color="000000" w:fill="FFFF99"/>
            <w:noWrap/>
            <w:vAlign w:val="bottom"/>
            <w:hideMark/>
          </w:tcPr>
          <w:p w14:paraId="1424C8A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21.524,58</w:t>
            </w:r>
          </w:p>
        </w:tc>
        <w:tc>
          <w:tcPr>
            <w:tcW w:w="993" w:type="dxa"/>
            <w:tcBorders>
              <w:top w:val="nil"/>
              <w:left w:val="nil"/>
              <w:bottom w:val="nil"/>
              <w:right w:val="nil"/>
            </w:tcBorders>
            <w:shd w:val="clear" w:color="000000" w:fill="FFFF99"/>
            <w:noWrap/>
            <w:vAlign w:val="bottom"/>
            <w:hideMark/>
          </w:tcPr>
          <w:p w14:paraId="62325F8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50,06%</w:t>
            </w:r>
          </w:p>
        </w:tc>
      </w:tr>
      <w:tr w:rsidR="006967F8" w:rsidRPr="006967F8" w14:paraId="18CC4A7B"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0D372C1"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4AE6173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43.000,00</w:t>
            </w:r>
          </w:p>
        </w:tc>
        <w:tc>
          <w:tcPr>
            <w:tcW w:w="1559" w:type="dxa"/>
            <w:tcBorders>
              <w:top w:val="nil"/>
              <w:left w:val="nil"/>
              <w:bottom w:val="nil"/>
              <w:right w:val="nil"/>
            </w:tcBorders>
            <w:shd w:val="clear" w:color="000000" w:fill="CCCCFF"/>
            <w:noWrap/>
            <w:vAlign w:val="bottom"/>
            <w:hideMark/>
          </w:tcPr>
          <w:p w14:paraId="7815DFF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43.000,00</w:t>
            </w:r>
          </w:p>
        </w:tc>
        <w:tc>
          <w:tcPr>
            <w:tcW w:w="1559" w:type="dxa"/>
            <w:tcBorders>
              <w:top w:val="nil"/>
              <w:left w:val="nil"/>
              <w:bottom w:val="nil"/>
              <w:right w:val="nil"/>
            </w:tcBorders>
            <w:shd w:val="clear" w:color="000000" w:fill="CCCCFF"/>
            <w:noWrap/>
            <w:vAlign w:val="bottom"/>
            <w:hideMark/>
          </w:tcPr>
          <w:p w14:paraId="7A3EE2F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21.524,58</w:t>
            </w:r>
          </w:p>
        </w:tc>
        <w:tc>
          <w:tcPr>
            <w:tcW w:w="993" w:type="dxa"/>
            <w:tcBorders>
              <w:top w:val="nil"/>
              <w:left w:val="nil"/>
              <w:bottom w:val="nil"/>
              <w:right w:val="nil"/>
            </w:tcBorders>
            <w:shd w:val="clear" w:color="000000" w:fill="CCCCFF"/>
            <w:noWrap/>
            <w:vAlign w:val="bottom"/>
            <w:hideMark/>
          </w:tcPr>
          <w:p w14:paraId="599734A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50,06%</w:t>
            </w:r>
          </w:p>
        </w:tc>
      </w:tr>
      <w:tr w:rsidR="006967F8" w:rsidRPr="006967F8" w14:paraId="7F273D4F"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05219A9"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18AF657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43.000,00</w:t>
            </w:r>
          </w:p>
        </w:tc>
        <w:tc>
          <w:tcPr>
            <w:tcW w:w="1559" w:type="dxa"/>
            <w:tcBorders>
              <w:top w:val="nil"/>
              <w:left w:val="nil"/>
              <w:bottom w:val="nil"/>
              <w:right w:val="nil"/>
            </w:tcBorders>
            <w:shd w:val="clear" w:color="000000" w:fill="CCCCFF"/>
            <w:noWrap/>
            <w:vAlign w:val="bottom"/>
            <w:hideMark/>
          </w:tcPr>
          <w:p w14:paraId="1BD3CCC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43.000,00</w:t>
            </w:r>
          </w:p>
        </w:tc>
        <w:tc>
          <w:tcPr>
            <w:tcW w:w="1559" w:type="dxa"/>
            <w:tcBorders>
              <w:top w:val="nil"/>
              <w:left w:val="nil"/>
              <w:bottom w:val="nil"/>
              <w:right w:val="nil"/>
            </w:tcBorders>
            <w:shd w:val="clear" w:color="000000" w:fill="CCCCFF"/>
            <w:noWrap/>
            <w:vAlign w:val="bottom"/>
            <w:hideMark/>
          </w:tcPr>
          <w:p w14:paraId="2763227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21.524,58</w:t>
            </w:r>
          </w:p>
        </w:tc>
        <w:tc>
          <w:tcPr>
            <w:tcW w:w="993" w:type="dxa"/>
            <w:tcBorders>
              <w:top w:val="nil"/>
              <w:left w:val="nil"/>
              <w:bottom w:val="nil"/>
              <w:right w:val="nil"/>
            </w:tcBorders>
            <w:shd w:val="clear" w:color="000000" w:fill="CCCCFF"/>
            <w:noWrap/>
            <w:vAlign w:val="bottom"/>
            <w:hideMark/>
          </w:tcPr>
          <w:p w14:paraId="212E0FF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50,06%</w:t>
            </w:r>
          </w:p>
        </w:tc>
      </w:tr>
      <w:tr w:rsidR="006967F8" w:rsidRPr="006967F8" w14:paraId="70F6EAF0" w14:textId="77777777" w:rsidTr="008A61B1">
        <w:trPr>
          <w:trHeight w:val="495"/>
        </w:trPr>
        <w:tc>
          <w:tcPr>
            <w:tcW w:w="1134" w:type="dxa"/>
            <w:tcBorders>
              <w:top w:val="nil"/>
              <w:left w:val="nil"/>
              <w:bottom w:val="nil"/>
              <w:right w:val="nil"/>
            </w:tcBorders>
            <w:noWrap/>
            <w:vAlign w:val="bottom"/>
            <w:hideMark/>
          </w:tcPr>
          <w:p w14:paraId="1F6803F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746C4BA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79A03A3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43.000,00</w:t>
            </w:r>
          </w:p>
        </w:tc>
        <w:tc>
          <w:tcPr>
            <w:tcW w:w="1559" w:type="dxa"/>
            <w:tcBorders>
              <w:top w:val="nil"/>
              <w:left w:val="nil"/>
              <w:bottom w:val="nil"/>
              <w:right w:val="nil"/>
            </w:tcBorders>
            <w:noWrap/>
            <w:vAlign w:val="bottom"/>
            <w:hideMark/>
          </w:tcPr>
          <w:p w14:paraId="12E607F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43.000,00</w:t>
            </w:r>
          </w:p>
        </w:tc>
        <w:tc>
          <w:tcPr>
            <w:tcW w:w="1559" w:type="dxa"/>
            <w:tcBorders>
              <w:top w:val="nil"/>
              <w:left w:val="nil"/>
              <w:bottom w:val="nil"/>
              <w:right w:val="nil"/>
            </w:tcBorders>
            <w:noWrap/>
            <w:vAlign w:val="bottom"/>
            <w:hideMark/>
          </w:tcPr>
          <w:p w14:paraId="1DCBE97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21.524,58</w:t>
            </w:r>
          </w:p>
        </w:tc>
        <w:tc>
          <w:tcPr>
            <w:tcW w:w="993" w:type="dxa"/>
            <w:tcBorders>
              <w:top w:val="nil"/>
              <w:left w:val="nil"/>
              <w:bottom w:val="nil"/>
              <w:right w:val="nil"/>
            </w:tcBorders>
            <w:noWrap/>
            <w:vAlign w:val="bottom"/>
            <w:hideMark/>
          </w:tcPr>
          <w:p w14:paraId="32C9560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50,06%</w:t>
            </w:r>
          </w:p>
        </w:tc>
      </w:tr>
      <w:tr w:rsidR="006967F8" w:rsidRPr="006967F8" w14:paraId="769F6DAA" w14:textId="77777777" w:rsidTr="008A61B1">
        <w:trPr>
          <w:trHeight w:val="255"/>
        </w:trPr>
        <w:tc>
          <w:tcPr>
            <w:tcW w:w="1134" w:type="dxa"/>
            <w:tcBorders>
              <w:top w:val="nil"/>
              <w:left w:val="nil"/>
              <w:bottom w:val="nil"/>
              <w:right w:val="nil"/>
            </w:tcBorders>
            <w:noWrap/>
            <w:vAlign w:val="bottom"/>
            <w:hideMark/>
          </w:tcPr>
          <w:p w14:paraId="4B9FFE8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4212</w:t>
            </w:r>
          </w:p>
        </w:tc>
        <w:tc>
          <w:tcPr>
            <w:tcW w:w="4962" w:type="dxa"/>
            <w:tcBorders>
              <w:top w:val="nil"/>
              <w:left w:val="nil"/>
              <w:bottom w:val="nil"/>
              <w:right w:val="nil"/>
            </w:tcBorders>
            <w:noWrap/>
            <w:vAlign w:val="bottom"/>
            <w:hideMark/>
          </w:tcPr>
          <w:p w14:paraId="53F59A1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Poslovni objekti</w:t>
            </w:r>
          </w:p>
        </w:tc>
        <w:tc>
          <w:tcPr>
            <w:tcW w:w="1559" w:type="dxa"/>
            <w:tcBorders>
              <w:top w:val="nil"/>
              <w:left w:val="nil"/>
              <w:bottom w:val="nil"/>
              <w:right w:val="nil"/>
            </w:tcBorders>
            <w:noWrap/>
            <w:vAlign w:val="bottom"/>
            <w:hideMark/>
          </w:tcPr>
          <w:p w14:paraId="1024BAD9"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C20D88B"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32031CD"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14.386,35</w:t>
            </w:r>
          </w:p>
        </w:tc>
        <w:tc>
          <w:tcPr>
            <w:tcW w:w="993" w:type="dxa"/>
            <w:tcBorders>
              <w:top w:val="nil"/>
              <w:left w:val="nil"/>
              <w:bottom w:val="nil"/>
              <w:right w:val="nil"/>
            </w:tcBorders>
            <w:noWrap/>
            <w:vAlign w:val="bottom"/>
            <w:hideMark/>
          </w:tcPr>
          <w:p w14:paraId="45234F21"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E899450" w14:textId="77777777" w:rsidTr="008A61B1">
        <w:trPr>
          <w:trHeight w:val="255"/>
        </w:trPr>
        <w:tc>
          <w:tcPr>
            <w:tcW w:w="1134" w:type="dxa"/>
            <w:tcBorders>
              <w:top w:val="nil"/>
              <w:left w:val="nil"/>
              <w:bottom w:val="nil"/>
              <w:right w:val="nil"/>
            </w:tcBorders>
            <w:noWrap/>
            <w:vAlign w:val="bottom"/>
            <w:hideMark/>
          </w:tcPr>
          <w:p w14:paraId="5D3F1A4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4227</w:t>
            </w:r>
          </w:p>
        </w:tc>
        <w:tc>
          <w:tcPr>
            <w:tcW w:w="4962" w:type="dxa"/>
            <w:tcBorders>
              <w:top w:val="nil"/>
              <w:left w:val="nil"/>
              <w:bottom w:val="nil"/>
              <w:right w:val="nil"/>
            </w:tcBorders>
            <w:noWrap/>
            <w:vAlign w:val="bottom"/>
            <w:hideMark/>
          </w:tcPr>
          <w:p w14:paraId="58E0EC7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Uređaji, strojevi i oprema za ostale namjene</w:t>
            </w:r>
          </w:p>
        </w:tc>
        <w:tc>
          <w:tcPr>
            <w:tcW w:w="1559" w:type="dxa"/>
            <w:tcBorders>
              <w:top w:val="nil"/>
              <w:left w:val="nil"/>
              <w:bottom w:val="nil"/>
              <w:right w:val="nil"/>
            </w:tcBorders>
            <w:noWrap/>
            <w:vAlign w:val="bottom"/>
            <w:hideMark/>
          </w:tcPr>
          <w:p w14:paraId="47DB772E"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977E82B"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81285E7"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7.138,23</w:t>
            </w:r>
          </w:p>
        </w:tc>
        <w:tc>
          <w:tcPr>
            <w:tcW w:w="993" w:type="dxa"/>
            <w:tcBorders>
              <w:top w:val="nil"/>
              <w:left w:val="nil"/>
              <w:bottom w:val="nil"/>
              <w:right w:val="nil"/>
            </w:tcBorders>
            <w:noWrap/>
            <w:vAlign w:val="bottom"/>
            <w:hideMark/>
          </w:tcPr>
          <w:p w14:paraId="19A79EF3"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0E8D33E" w14:textId="77777777" w:rsidTr="008A61B1">
        <w:trPr>
          <w:trHeight w:val="630"/>
        </w:trPr>
        <w:tc>
          <w:tcPr>
            <w:tcW w:w="1134" w:type="dxa"/>
            <w:tcBorders>
              <w:top w:val="nil"/>
              <w:left w:val="nil"/>
              <w:bottom w:val="nil"/>
              <w:right w:val="nil"/>
            </w:tcBorders>
            <w:shd w:val="clear" w:color="000000" w:fill="FFFF99"/>
            <w:noWrap/>
            <w:vAlign w:val="bottom"/>
            <w:hideMark/>
          </w:tcPr>
          <w:p w14:paraId="0F0B983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K100051</w:t>
            </w:r>
          </w:p>
        </w:tc>
        <w:tc>
          <w:tcPr>
            <w:tcW w:w="4962" w:type="dxa"/>
            <w:tcBorders>
              <w:top w:val="nil"/>
              <w:left w:val="nil"/>
              <w:bottom w:val="nil"/>
              <w:right w:val="nil"/>
            </w:tcBorders>
            <w:shd w:val="clear" w:color="000000" w:fill="FFFF99"/>
            <w:vAlign w:val="bottom"/>
            <w:hideMark/>
          </w:tcPr>
          <w:p w14:paraId="4ADAE63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Kapitalni projekt: IZGRADNJA NOVE SPORTSKE DVORANE </w:t>
            </w:r>
          </w:p>
        </w:tc>
        <w:tc>
          <w:tcPr>
            <w:tcW w:w="1559" w:type="dxa"/>
            <w:tcBorders>
              <w:top w:val="nil"/>
              <w:left w:val="nil"/>
              <w:bottom w:val="nil"/>
              <w:right w:val="nil"/>
            </w:tcBorders>
            <w:shd w:val="clear" w:color="000000" w:fill="FFFF99"/>
            <w:noWrap/>
            <w:vAlign w:val="bottom"/>
            <w:hideMark/>
          </w:tcPr>
          <w:p w14:paraId="4ABFD32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305.550,00</w:t>
            </w:r>
          </w:p>
        </w:tc>
        <w:tc>
          <w:tcPr>
            <w:tcW w:w="1559" w:type="dxa"/>
            <w:tcBorders>
              <w:top w:val="nil"/>
              <w:left w:val="nil"/>
              <w:bottom w:val="nil"/>
              <w:right w:val="nil"/>
            </w:tcBorders>
            <w:shd w:val="clear" w:color="000000" w:fill="FFFF99"/>
            <w:noWrap/>
            <w:vAlign w:val="bottom"/>
            <w:hideMark/>
          </w:tcPr>
          <w:p w14:paraId="3C1572D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294.550,00</w:t>
            </w:r>
          </w:p>
        </w:tc>
        <w:tc>
          <w:tcPr>
            <w:tcW w:w="1559" w:type="dxa"/>
            <w:tcBorders>
              <w:top w:val="nil"/>
              <w:left w:val="nil"/>
              <w:bottom w:val="nil"/>
              <w:right w:val="nil"/>
            </w:tcBorders>
            <w:shd w:val="clear" w:color="000000" w:fill="FFFF99"/>
            <w:noWrap/>
            <w:vAlign w:val="bottom"/>
            <w:hideMark/>
          </w:tcPr>
          <w:p w14:paraId="1DE26D0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117.940,36</w:t>
            </w:r>
          </w:p>
        </w:tc>
        <w:tc>
          <w:tcPr>
            <w:tcW w:w="993" w:type="dxa"/>
            <w:tcBorders>
              <w:top w:val="nil"/>
              <w:left w:val="nil"/>
              <w:bottom w:val="nil"/>
              <w:right w:val="nil"/>
            </w:tcBorders>
            <w:shd w:val="clear" w:color="000000" w:fill="FFFF99"/>
            <w:noWrap/>
            <w:vAlign w:val="bottom"/>
            <w:hideMark/>
          </w:tcPr>
          <w:p w14:paraId="127C983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40,04%</w:t>
            </w:r>
          </w:p>
        </w:tc>
      </w:tr>
      <w:tr w:rsidR="006967F8" w:rsidRPr="006967F8" w14:paraId="6FA402AB"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EFCDA20"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1548C6F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305.550,00</w:t>
            </w:r>
          </w:p>
        </w:tc>
        <w:tc>
          <w:tcPr>
            <w:tcW w:w="1559" w:type="dxa"/>
            <w:tcBorders>
              <w:top w:val="nil"/>
              <w:left w:val="nil"/>
              <w:bottom w:val="nil"/>
              <w:right w:val="nil"/>
            </w:tcBorders>
            <w:shd w:val="clear" w:color="000000" w:fill="CCCCFF"/>
            <w:noWrap/>
            <w:vAlign w:val="bottom"/>
            <w:hideMark/>
          </w:tcPr>
          <w:p w14:paraId="24065E5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294.550,00</w:t>
            </w:r>
          </w:p>
        </w:tc>
        <w:tc>
          <w:tcPr>
            <w:tcW w:w="1559" w:type="dxa"/>
            <w:tcBorders>
              <w:top w:val="nil"/>
              <w:left w:val="nil"/>
              <w:bottom w:val="nil"/>
              <w:right w:val="nil"/>
            </w:tcBorders>
            <w:shd w:val="clear" w:color="000000" w:fill="CCCCFF"/>
            <w:noWrap/>
            <w:vAlign w:val="bottom"/>
            <w:hideMark/>
          </w:tcPr>
          <w:p w14:paraId="235E945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117.940,36</w:t>
            </w:r>
          </w:p>
        </w:tc>
        <w:tc>
          <w:tcPr>
            <w:tcW w:w="993" w:type="dxa"/>
            <w:tcBorders>
              <w:top w:val="nil"/>
              <w:left w:val="nil"/>
              <w:bottom w:val="nil"/>
              <w:right w:val="nil"/>
            </w:tcBorders>
            <w:shd w:val="clear" w:color="000000" w:fill="CCCCFF"/>
            <w:noWrap/>
            <w:vAlign w:val="bottom"/>
            <w:hideMark/>
          </w:tcPr>
          <w:p w14:paraId="7E6E7C5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40,04%</w:t>
            </w:r>
          </w:p>
        </w:tc>
      </w:tr>
      <w:tr w:rsidR="006967F8" w:rsidRPr="006967F8" w14:paraId="074FA2E6"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20752D6"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6E0180D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305.550,00</w:t>
            </w:r>
          </w:p>
        </w:tc>
        <w:tc>
          <w:tcPr>
            <w:tcW w:w="1559" w:type="dxa"/>
            <w:tcBorders>
              <w:top w:val="nil"/>
              <w:left w:val="nil"/>
              <w:bottom w:val="nil"/>
              <w:right w:val="nil"/>
            </w:tcBorders>
            <w:shd w:val="clear" w:color="000000" w:fill="CCCCFF"/>
            <w:noWrap/>
            <w:vAlign w:val="bottom"/>
            <w:hideMark/>
          </w:tcPr>
          <w:p w14:paraId="4AB841D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294.550,00</w:t>
            </w:r>
          </w:p>
        </w:tc>
        <w:tc>
          <w:tcPr>
            <w:tcW w:w="1559" w:type="dxa"/>
            <w:tcBorders>
              <w:top w:val="nil"/>
              <w:left w:val="nil"/>
              <w:bottom w:val="nil"/>
              <w:right w:val="nil"/>
            </w:tcBorders>
            <w:shd w:val="clear" w:color="000000" w:fill="CCCCFF"/>
            <w:noWrap/>
            <w:vAlign w:val="bottom"/>
            <w:hideMark/>
          </w:tcPr>
          <w:p w14:paraId="19C303E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117.940,36</w:t>
            </w:r>
          </w:p>
        </w:tc>
        <w:tc>
          <w:tcPr>
            <w:tcW w:w="993" w:type="dxa"/>
            <w:tcBorders>
              <w:top w:val="nil"/>
              <w:left w:val="nil"/>
              <w:bottom w:val="nil"/>
              <w:right w:val="nil"/>
            </w:tcBorders>
            <w:shd w:val="clear" w:color="000000" w:fill="CCCCFF"/>
            <w:noWrap/>
            <w:vAlign w:val="bottom"/>
            <w:hideMark/>
          </w:tcPr>
          <w:p w14:paraId="6979F8E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40,04%</w:t>
            </w:r>
          </w:p>
        </w:tc>
      </w:tr>
      <w:tr w:rsidR="006967F8" w:rsidRPr="006967F8" w14:paraId="4D9733F4" w14:textId="77777777" w:rsidTr="008A61B1">
        <w:trPr>
          <w:trHeight w:val="255"/>
        </w:trPr>
        <w:tc>
          <w:tcPr>
            <w:tcW w:w="1134" w:type="dxa"/>
            <w:tcBorders>
              <w:top w:val="nil"/>
              <w:left w:val="nil"/>
              <w:bottom w:val="nil"/>
              <w:right w:val="nil"/>
            </w:tcBorders>
            <w:noWrap/>
            <w:vAlign w:val="bottom"/>
            <w:hideMark/>
          </w:tcPr>
          <w:p w14:paraId="1528FC4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606284B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3E8A02F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85.550,00</w:t>
            </w:r>
          </w:p>
        </w:tc>
        <w:tc>
          <w:tcPr>
            <w:tcW w:w="1559" w:type="dxa"/>
            <w:tcBorders>
              <w:top w:val="nil"/>
              <w:left w:val="nil"/>
              <w:bottom w:val="nil"/>
              <w:right w:val="nil"/>
            </w:tcBorders>
            <w:noWrap/>
            <w:vAlign w:val="bottom"/>
            <w:hideMark/>
          </w:tcPr>
          <w:p w14:paraId="4F9FED0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85.550,00</w:t>
            </w:r>
          </w:p>
        </w:tc>
        <w:tc>
          <w:tcPr>
            <w:tcW w:w="1559" w:type="dxa"/>
            <w:tcBorders>
              <w:top w:val="nil"/>
              <w:left w:val="nil"/>
              <w:bottom w:val="nil"/>
              <w:right w:val="nil"/>
            </w:tcBorders>
            <w:noWrap/>
            <w:vAlign w:val="bottom"/>
            <w:hideMark/>
          </w:tcPr>
          <w:p w14:paraId="4555340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84.693,64</w:t>
            </w:r>
          </w:p>
        </w:tc>
        <w:tc>
          <w:tcPr>
            <w:tcW w:w="993" w:type="dxa"/>
            <w:tcBorders>
              <w:top w:val="nil"/>
              <w:left w:val="nil"/>
              <w:bottom w:val="nil"/>
              <w:right w:val="nil"/>
            </w:tcBorders>
            <w:noWrap/>
            <w:vAlign w:val="bottom"/>
            <w:hideMark/>
          </w:tcPr>
          <w:p w14:paraId="70BAE95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99,00%</w:t>
            </w:r>
          </w:p>
        </w:tc>
      </w:tr>
      <w:tr w:rsidR="006967F8" w:rsidRPr="006967F8" w14:paraId="50DA09F1" w14:textId="77777777" w:rsidTr="008A61B1">
        <w:trPr>
          <w:trHeight w:val="255"/>
        </w:trPr>
        <w:tc>
          <w:tcPr>
            <w:tcW w:w="1134" w:type="dxa"/>
            <w:tcBorders>
              <w:top w:val="nil"/>
              <w:left w:val="nil"/>
              <w:bottom w:val="nil"/>
              <w:right w:val="nil"/>
            </w:tcBorders>
            <w:noWrap/>
            <w:vAlign w:val="bottom"/>
            <w:hideMark/>
          </w:tcPr>
          <w:p w14:paraId="3CB1070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3237</w:t>
            </w:r>
          </w:p>
        </w:tc>
        <w:tc>
          <w:tcPr>
            <w:tcW w:w="4962" w:type="dxa"/>
            <w:tcBorders>
              <w:top w:val="nil"/>
              <w:left w:val="nil"/>
              <w:bottom w:val="nil"/>
              <w:right w:val="nil"/>
            </w:tcBorders>
            <w:noWrap/>
            <w:vAlign w:val="bottom"/>
            <w:hideMark/>
          </w:tcPr>
          <w:p w14:paraId="6E68A81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Intelektualne i osobne usluge</w:t>
            </w:r>
          </w:p>
        </w:tc>
        <w:tc>
          <w:tcPr>
            <w:tcW w:w="1559" w:type="dxa"/>
            <w:tcBorders>
              <w:top w:val="nil"/>
              <w:left w:val="nil"/>
              <w:bottom w:val="nil"/>
              <w:right w:val="nil"/>
            </w:tcBorders>
            <w:noWrap/>
            <w:vAlign w:val="bottom"/>
            <w:hideMark/>
          </w:tcPr>
          <w:p w14:paraId="400615F6"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4854579"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7C71B42"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60.065,64</w:t>
            </w:r>
          </w:p>
        </w:tc>
        <w:tc>
          <w:tcPr>
            <w:tcW w:w="993" w:type="dxa"/>
            <w:tcBorders>
              <w:top w:val="nil"/>
              <w:left w:val="nil"/>
              <w:bottom w:val="nil"/>
              <w:right w:val="nil"/>
            </w:tcBorders>
            <w:noWrap/>
            <w:vAlign w:val="bottom"/>
            <w:hideMark/>
          </w:tcPr>
          <w:p w14:paraId="3C6D86D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7AE2C3F" w14:textId="77777777" w:rsidTr="008A61B1">
        <w:trPr>
          <w:trHeight w:val="255"/>
        </w:trPr>
        <w:tc>
          <w:tcPr>
            <w:tcW w:w="1134" w:type="dxa"/>
            <w:tcBorders>
              <w:top w:val="nil"/>
              <w:left w:val="nil"/>
              <w:bottom w:val="nil"/>
              <w:right w:val="nil"/>
            </w:tcBorders>
            <w:noWrap/>
            <w:vAlign w:val="bottom"/>
            <w:hideMark/>
          </w:tcPr>
          <w:p w14:paraId="57BC52B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3291</w:t>
            </w:r>
          </w:p>
        </w:tc>
        <w:tc>
          <w:tcPr>
            <w:tcW w:w="4962" w:type="dxa"/>
            <w:tcBorders>
              <w:top w:val="nil"/>
              <w:left w:val="nil"/>
              <w:bottom w:val="nil"/>
              <w:right w:val="nil"/>
            </w:tcBorders>
            <w:noWrap/>
            <w:vAlign w:val="bottom"/>
            <w:hideMark/>
          </w:tcPr>
          <w:p w14:paraId="6EBE337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Naknade za rad predstavničkih i izvršnih tijela, povjerenstava i slično</w:t>
            </w:r>
          </w:p>
        </w:tc>
        <w:tc>
          <w:tcPr>
            <w:tcW w:w="1559" w:type="dxa"/>
            <w:tcBorders>
              <w:top w:val="nil"/>
              <w:left w:val="nil"/>
              <w:bottom w:val="nil"/>
              <w:right w:val="nil"/>
            </w:tcBorders>
            <w:noWrap/>
            <w:vAlign w:val="bottom"/>
            <w:hideMark/>
          </w:tcPr>
          <w:p w14:paraId="11C90ECF"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949E60D"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30B6C2B"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24.628,00</w:t>
            </w:r>
          </w:p>
        </w:tc>
        <w:tc>
          <w:tcPr>
            <w:tcW w:w="993" w:type="dxa"/>
            <w:tcBorders>
              <w:top w:val="nil"/>
              <w:left w:val="nil"/>
              <w:bottom w:val="nil"/>
              <w:right w:val="nil"/>
            </w:tcBorders>
            <w:noWrap/>
            <w:vAlign w:val="bottom"/>
            <w:hideMark/>
          </w:tcPr>
          <w:p w14:paraId="78419997"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363C0B6" w14:textId="77777777" w:rsidTr="008A61B1">
        <w:trPr>
          <w:trHeight w:val="510"/>
        </w:trPr>
        <w:tc>
          <w:tcPr>
            <w:tcW w:w="1134" w:type="dxa"/>
            <w:tcBorders>
              <w:top w:val="nil"/>
              <w:left w:val="nil"/>
              <w:bottom w:val="nil"/>
              <w:right w:val="nil"/>
            </w:tcBorders>
            <w:noWrap/>
            <w:vAlign w:val="bottom"/>
            <w:hideMark/>
          </w:tcPr>
          <w:p w14:paraId="3FE4201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2DAEE1F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291FF75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220.000,00</w:t>
            </w:r>
          </w:p>
        </w:tc>
        <w:tc>
          <w:tcPr>
            <w:tcW w:w="1559" w:type="dxa"/>
            <w:tcBorders>
              <w:top w:val="nil"/>
              <w:left w:val="nil"/>
              <w:bottom w:val="nil"/>
              <w:right w:val="nil"/>
            </w:tcBorders>
            <w:noWrap/>
            <w:vAlign w:val="bottom"/>
            <w:hideMark/>
          </w:tcPr>
          <w:p w14:paraId="4A60449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209.000,00</w:t>
            </w:r>
          </w:p>
        </w:tc>
        <w:tc>
          <w:tcPr>
            <w:tcW w:w="1559" w:type="dxa"/>
            <w:tcBorders>
              <w:top w:val="nil"/>
              <w:left w:val="nil"/>
              <w:bottom w:val="nil"/>
              <w:right w:val="nil"/>
            </w:tcBorders>
            <w:noWrap/>
            <w:vAlign w:val="bottom"/>
            <w:hideMark/>
          </w:tcPr>
          <w:p w14:paraId="6A34C82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33.246,72</w:t>
            </w:r>
          </w:p>
        </w:tc>
        <w:tc>
          <w:tcPr>
            <w:tcW w:w="993" w:type="dxa"/>
            <w:tcBorders>
              <w:top w:val="nil"/>
              <w:left w:val="nil"/>
              <w:bottom w:val="nil"/>
              <w:right w:val="nil"/>
            </w:tcBorders>
            <w:noWrap/>
            <w:vAlign w:val="bottom"/>
            <w:hideMark/>
          </w:tcPr>
          <w:p w14:paraId="05EF2B7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15,91%</w:t>
            </w:r>
          </w:p>
        </w:tc>
      </w:tr>
      <w:tr w:rsidR="006967F8" w:rsidRPr="006967F8" w14:paraId="0CDC9F3C" w14:textId="77777777" w:rsidTr="008A61B1">
        <w:trPr>
          <w:trHeight w:val="255"/>
        </w:trPr>
        <w:tc>
          <w:tcPr>
            <w:tcW w:w="1134" w:type="dxa"/>
            <w:tcBorders>
              <w:top w:val="nil"/>
              <w:left w:val="nil"/>
              <w:bottom w:val="nil"/>
              <w:right w:val="nil"/>
            </w:tcBorders>
            <w:noWrap/>
            <w:vAlign w:val="bottom"/>
            <w:hideMark/>
          </w:tcPr>
          <w:p w14:paraId="64E4D45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4212</w:t>
            </w:r>
          </w:p>
        </w:tc>
        <w:tc>
          <w:tcPr>
            <w:tcW w:w="4962" w:type="dxa"/>
            <w:tcBorders>
              <w:top w:val="nil"/>
              <w:left w:val="nil"/>
              <w:bottom w:val="nil"/>
              <w:right w:val="nil"/>
            </w:tcBorders>
            <w:noWrap/>
            <w:vAlign w:val="bottom"/>
            <w:hideMark/>
          </w:tcPr>
          <w:p w14:paraId="39B2FFB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Poslovni objekti</w:t>
            </w:r>
          </w:p>
        </w:tc>
        <w:tc>
          <w:tcPr>
            <w:tcW w:w="1559" w:type="dxa"/>
            <w:tcBorders>
              <w:top w:val="nil"/>
              <w:left w:val="nil"/>
              <w:bottom w:val="nil"/>
              <w:right w:val="nil"/>
            </w:tcBorders>
            <w:noWrap/>
            <w:vAlign w:val="bottom"/>
            <w:hideMark/>
          </w:tcPr>
          <w:p w14:paraId="23092830"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15773F5"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3085287"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33.246,72</w:t>
            </w:r>
          </w:p>
        </w:tc>
        <w:tc>
          <w:tcPr>
            <w:tcW w:w="993" w:type="dxa"/>
            <w:tcBorders>
              <w:top w:val="nil"/>
              <w:left w:val="nil"/>
              <w:bottom w:val="nil"/>
              <w:right w:val="nil"/>
            </w:tcBorders>
            <w:noWrap/>
            <w:vAlign w:val="bottom"/>
            <w:hideMark/>
          </w:tcPr>
          <w:p w14:paraId="7152B45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D2FC6BE" w14:textId="77777777" w:rsidTr="008A61B1">
        <w:trPr>
          <w:trHeight w:val="675"/>
        </w:trPr>
        <w:tc>
          <w:tcPr>
            <w:tcW w:w="1134" w:type="dxa"/>
            <w:tcBorders>
              <w:top w:val="nil"/>
              <w:left w:val="nil"/>
              <w:bottom w:val="nil"/>
              <w:right w:val="nil"/>
            </w:tcBorders>
            <w:shd w:val="clear" w:color="000000" w:fill="FFFF99"/>
            <w:noWrap/>
            <w:vAlign w:val="bottom"/>
            <w:hideMark/>
          </w:tcPr>
          <w:p w14:paraId="06D58B8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K100106</w:t>
            </w:r>
          </w:p>
        </w:tc>
        <w:tc>
          <w:tcPr>
            <w:tcW w:w="4962" w:type="dxa"/>
            <w:tcBorders>
              <w:top w:val="nil"/>
              <w:left w:val="nil"/>
              <w:bottom w:val="nil"/>
              <w:right w:val="nil"/>
            </w:tcBorders>
            <w:shd w:val="clear" w:color="000000" w:fill="FFFF99"/>
            <w:vAlign w:val="bottom"/>
            <w:hideMark/>
          </w:tcPr>
          <w:p w14:paraId="49558B0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Kapitalni projekt: NADOGRADNJA I REKONSTRUKCIJA DJEČJEG VRTIĆA MASLAČAK</w:t>
            </w:r>
          </w:p>
        </w:tc>
        <w:tc>
          <w:tcPr>
            <w:tcW w:w="1559" w:type="dxa"/>
            <w:tcBorders>
              <w:top w:val="nil"/>
              <w:left w:val="nil"/>
              <w:bottom w:val="nil"/>
              <w:right w:val="nil"/>
            </w:tcBorders>
            <w:shd w:val="clear" w:color="000000" w:fill="FFFF99"/>
            <w:noWrap/>
            <w:vAlign w:val="bottom"/>
            <w:hideMark/>
          </w:tcPr>
          <w:p w14:paraId="71C2BFF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35.500,00</w:t>
            </w:r>
          </w:p>
        </w:tc>
        <w:tc>
          <w:tcPr>
            <w:tcW w:w="1559" w:type="dxa"/>
            <w:tcBorders>
              <w:top w:val="nil"/>
              <w:left w:val="nil"/>
              <w:bottom w:val="nil"/>
              <w:right w:val="nil"/>
            </w:tcBorders>
            <w:shd w:val="clear" w:color="000000" w:fill="FFFF99"/>
            <w:noWrap/>
            <w:vAlign w:val="bottom"/>
            <w:hideMark/>
          </w:tcPr>
          <w:p w14:paraId="574A4FD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35.500,00</w:t>
            </w:r>
          </w:p>
        </w:tc>
        <w:tc>
          <w:tcPr>
            <w:tcW w:w="1559" w:type="dxa"/>
            <w:tcBorders>
              <w:top w:val="nil"/>
              <w:left w:val="nil"/>
              <w:bottom w:val="nil"/>
              <w:right w:val="nil"/>
            </w:tcBorders>
            <w:shd w:val="clear" w:color="000000" w:fill="FFFF99"/>
            <w:noWrap/>
            <w:vAlign w:val="bottom"/>
            <w:hideMark/>
          </w:tcPr>
          <w:p w14:paraId="58E5326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31.875,00</w:t>
            </w:r>
          </w:p>
        </w:tc>
        <w:tc>
          <w:tcPr>
            <w:tcW w:w="993" w:type="dxa"/>
            <w:tcBorders>
              <w:top w:val="nil"/>
              <w:left w:val="nil"/>
              <w:bottom w:val="nil"/>
              <w:right w:val="nil"/>
            </w:tcBorders>
            <w:shd w:val="clear" w:color="000000" w:fill="FFFF99"/>
            <w:noWrap/>
            <w:vAlign w:val="bottom"/>
            <w:hideMark/>
          </w:tcPr>
          <w:p w14:paraId="6BCAC68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89,79%</w:t>
            </w:r>
          </w:p>
        </w:tc>
      </w:tr>
      <w:tr w:rsidR="006967F8" w:rsidRPr="006967F8" w14:paraId="1D7A06B8"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CE857CB"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487CC86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35.500,00</w:t>
            </w:r>
          </w:p>
        </w:tc>
        <w:tc>
          <w:tcPr>
            <w:tcW w:w="1559" w:type="dxa"/>
            <w:tcBorders>
              <w:top w:val="nil"/>
              <w:left w:val="nil"/>
              <w:bottom w:val="nil"/>
              <w:right w:val="nil"/>
            </w:tcBorders>
            <w:shd w:val="clear" w:color="000000" w:fill="CCCCFF"/>
            <w:noWrap/>
            <w:vAlign w:val="bottom"/>
            <w:hideMark/>
          </w:tcPr>
          <w:p w14:paraId="762035E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35.500,00</w:t>
            </w:r>
          </w:p>
        </w:tc>
        <w:tc>
          <w:tcPr>
            <w:tcW w:w="1559" w:type="dxa"/>
            <w:tcBorders>
              <w:top w:val="nil"/>
              <w:left w:val="nil"/>
              <w:bottom w:val="nil"/>
              <w:right w:val="nil"/>
            </w:tcBorders>
            <w:shd w:val="clear" w:color="000000" w:fill="CCCCFF"/>
            <w:noWrap/>
            <w:vAlign w:val="bottom"/>
            <w:hideMark/>
          </w:tcPr>
          <w:p w14:paraId="4CC205F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31.875,00</w:t>
            </w:r>
          </w:p>
        </w:tc>
        <w:tc>
          <w:tcPr>
            <w:tcW w:w="993" w:type="dxa"/>
            <w:tcBorders>
              <w:top w:val="nil"/>
              <w:left w:val="nil"/>
              <w:bottom w:val="nil"/>
              <w:right w:val="nil"/>
            </w:tcBorders>
            <w:shd w:val="clear" w:color="000000" w:fill="CCCCFF"/>
            <w:noWrap/>
            <w:vAlign w:val="bottom"/>
            <w:hideMark/>
          </w:tcPr>
          <w:p w14:paraId="4A6B9D3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89,79%</w:t>
            </w:r>
          </w:p>
        </w:tc>
      </w:tr>
      <w:tr w:rsidR="006967F8" w:rsidRPr="006967F8" w14:paraId="5475970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D6070DF"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27D7056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35.500,00</w:t>
            </w:r>
          </w:p>
        </w:tc>
        <w:tc>
          <w:tcPr>
            <w:tcW w:w="1559" w:type="dxa"/>
            <w:tcBorders>
              <w:top w:val="nil"/>
              <w:left w:val="nil"/>
              <w:bottom w:val="nil"/>
              <w:right w:val="nil"/>
            </w:tcBorders>
            <w:shd w:val="clear" w:color="000000" w:fill="CCCCFF"/>
            <w:noWrap/>
            <w:vAlign w:val="bottom"/>
            <w:hideMark/>
          </w:tcPr>
          <w:p w14:paraId="7EF7644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35.500,00</w:t>
            </w:r>
          </w:p>
        </w:tc>
        <w:tc>
          <w:tcPr>
            <w:tcW w:w="1559" w:type="dxa"/>
            <w:tcBorders>
              <w:top w:val="nil"/>
              <w:left w:val="nil"/>
              <w:bottom w:val="nil"/>
              <w:right w:val="nil"/>
            </w:tcBorders>
            <w:shd w:val="clear" w:color="000000" w:fill="CCCCFF"/>
            <w:noWrap/>
            <w:vAlign w:val="bottom"/>
            <w:hideMark/>
          </w:tcPr>
          <w:p w14:paraId="73CF27D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31.875,00</w:t>
            </w:r>
          </w:p>
        </w:tc>
        <w:tc>
          <w:tcPr>
            <w:tcW w:w="993" w:type="dxa"/>
            <w:tcBorders>
              <w:top w:val="nil"/>
              <w:left w:val="nil"/>
              <w:bottom w:val="nil"/>
              <w:right w:val="nil"/>
            </w:tcBorders>
            <w:shd w:val="clear" w:color="000000" w:fill="CCCCFF"/>
            <w:noWrap/>
            <w:vAlign w:val="bottom"/>
            <w:hideMark/>
          </w:tcPr>
          <w:p w14:paraId="6D3990D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89,79%</w:t>
            </w:r>
          </w:p>
        </w:tc>
      </w:tr>
      <w:tr w:rsidR="006967F8" w:rsidRPr="006967F8" w14:paraId="042370A7" w14:textId="77777777" w:rsidTr="008A61B1">
        <w:trPr>
          <w:trHeight w:val="255"/>
        </w:trPr>
        <w:tc>
          <w:tcPr>
            <w:tcW w:w="1134" w:type="dxa"/>
            <w:tcBorders>
              <w:top w:val="nil"/>
              <w:left w:val="nil"/>
              <w:bottom w:val="nil"/>
              <w:right w:val="nil"/>
            </w:tcBorders>
            <w:noWrap/>
            <w:vAlign w:val="bottom"/>
            <w:hideMark/>
          </w:tcPr>
          <w:p w14:paraId="3E3030E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59CFDDD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167E3A2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w:t>
            </w:r>
          </w:p>
        </w:tc>
        <w:tc>
          <w:tcPr>
            <w:tcW w:w="1559" w:type="dxa"/>
            <w:tcBorders>
              <w:top w:val="nil"/>
              <w:left w:val="nil"/>
              <w:bottom w:val="nil"/>
              <w:right w:val="nil"/>
            </w:tcBorders>
            <w:noWrap/>
            <w:vAlign w:val="bottom"/>
            <w:hideMark/>
          </w:tcPr>
          <w:p w14:paraId="0388C03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w:t>
            </w:r>
          </w:p>
        </w:tc>
        <w:tc>
          <w:tcPr>
            <w:tcW w:w="1559" w:type="dxa"/>
            <w:tcBorders>
              <w:top w:val="nil"/>
              <w:left w:val="nil"/>
              <w:bottom w:val="nil"/>
              <w:right w:val="nil"/>
            </w:tcBorders>
            <w:noWrap/>
            <w:vAlign w:val="bottom"/>
            <w:hideMark/>
          </w:tcPr>
          <w:p w14:paraId="304372C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2696D98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6E45771F" w14:textId="77777777" w:rsidTr="008A61B1">
        <w:trPr>
          <w:trHeight w:val="510"/>
        </w:trPr>
        <w:tc>
          <w:tcPr>
            <w:tcW w:w="1134" w:type="dxa"/>
            <w:tcBorders>
              <w:top w:val="nil"/>
              <w:left w:val="nil"/>
              <w:bottom w:val="nil"/>
              <w:right w:val="nil"/>
            </w:tcBorders>
            <w:noWrap/>
            <w:vAlign w:val="bottom"/>
            <w:hideMark/>
          </w:tcPr>
          <w:p w14:paraId="5EA5660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0A47C63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7E8C74E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35.000,00</w:t>
            </w:r>
          </w:p>
        </w:tc>
        <w:tc>
          <w:tcPr>
            <w:tcW w:w="1559" w:type="dxa"/>
            <w:tcBorders>
              <w:top w:val="nil"/>
              <w:left w:val="nil"/>
              <w:bottom w:val="nil"/>
              <w:right w:val="nil"/>
            </w:tcBorders>
            <w:noWrap/>
            <w:vAlign w:val="bottom"/>
            <w:hideMark/>
          </w:tcPr>
          <w:p w14:paraId="6D6EFB2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35.000,00</w:t>
            </w:r>
          </w:p>
        </w:tc>
        <w:tc>
          <w:tcPr>
            <w:tcW w:w="1559" w:type="dxa"/>
            <w:tcBorders>
              <w:top w:val="nil"/>
              <w:left w:val="nil"/>
              <w:bottom w:val="nil"/>
              <w:right w:val="nil"/>
            </w:tcBorders>
            <w:noWrap/>
            <w:vAlign w:val="bottom"/>
            <w:hideMark/>
          </w:tcPr>
          <w:p w14:paraId="55A694A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31.875,00</w:t>
            </w:r>
          </w:p>
        </w:tc>
        <w:tc>
          <w:tcPr>
            <w:tcW w:w="993" w:type="dxa"/>
            <w:tcBorders>
              <w:top w:val="nil"/>
              <w:left w:val="nil"/>
              <w:bottom w:val="nil"/>
              <w:right w:val="nil"/>
            </w:tcBorders>
            <w:noWrap/>
            <w:vAlign w:val="bottom"/>
            <w:hideMark/>
          </w:tcPr>
          <w:p w14:paraId="72A2E55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91,07%</w:t>
            </w:r>
          </w:p>
        </w:tc>
      </w:tr>
      <w:tr w:rsidR="006967F8" w:rsidRPr="006967F8" w14:paraId="28989EB5" w14:textId="77777777" w:rsidTr="008A61B1">
        <w:trPr>
          <w:trHeight w:val="255"/>
        </w:trPr>
        <w:tc>
          <w:tcPr>
            <w:tcW w:w="1134" w:type="dxa"/>
            <w:tcBorders>
              <w:top w:val="nil"/>
              <w:left w:val="nil"/>
              <w:bottom w:val="nil"/>
              <w:right w:val="nil"/>
            </w:tcBorders>
            <w:noWrap/>
            <w:vAlign w:val="bottom"/>
            <w:hideMark/>
          </w:tcPr>
          <w:p w14:paraId="79F7E0C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4212</w:t>
            </w:r>
          </w:p>
        </w:tc>
        <w:tc>
          <w:tcPr>
            <w:tcW w:w="4962" w:type="dxa"/>
            <w:tcBorders>
              <w:top w:val="nil"/>
              <w:left w:val="nil"/>
              <w:bottom w:val="nil"/>
              <w:right w:val="nil"/>
            </w:tcBorders>
            <w:noWrap/>
            <w:vAlign w:val="bottom"/>
            <w:hideMark/>
          </w:tcPr>
          <w:p w14:paraId="3576867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Poslovni objekti</w:t>
            </w:r>
          </w:p>
        </w:tc>
        <w:tc>
          <w:tcPr>
            <w:tcW w:w="1559" w:type="dxa"/>
            <w:tcBorders>
              <w:top w:val="nil"/>
              <w:left w:val="nil"/>
              <w:bottom w:val="nil"/>
              <w:right w:val="nil"/>
            </w:tcBorders>
            <w:noWrap/>
            <w:vAlign w:val="bottom"/>
            <w:hideMark/>
          </w:tcPr>
          <w:p w14:paraId="1F112CD1"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0F1207E"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D78886B"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31.875,00</w:t>
            </w:r>
          </w:p>
        </w:tc>
        <w:tc>
          <w:tcPr>
            <w:tcW w:w="993" w:type="dxa"/>
            <w:tcBorders>
              <w:top w:val="nil"/>
              <w:left w:val="nil"/>
              <w:bottom w:val="nil"/>
              <w:right w:val="nil"/>
            </w:tcBorders>
            <w:noWrap/>
            <w:vAlign w:val="bottom"/>
            <w:hideMark/>
          </w:tcPr>
          <w:p w14:paraId="44165A7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E27AD9A" w14:textId="77777777" w:rsidTr="008A61B1">
        <w:trPr>
          <w:trHeight w:val="570"/>
        </w:trPr>
        <w:tc>
          <w:tcPr>
            <w:tcW w:w="1134" w:type="dxa"/>
            <w:tcBorders>
              <w:top w:val="nil"/>
              <w:left w:val="nil"/>
              <w:bottom w:val="nil"/>
              <w:right w:val="nil"/>
            </w:tcBorders>
            <w:shd w:val="clear" w:color="000000" w:fill="FFFF99"/>
            <w:noWrap/>
            <w:vAlign w:val="bottom"/>
            <w:hideMark/>
          </w:tcPr>
          <w:p w14:paraId="020D50B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K100116</w:t>
            </w:r>
          </w:p>
        </w:tc>
        <w:tc>
          <w:tcPr>
            <w:tcW w:w="4962" w:type="dxa"/>
            <w:tcBorders>
              <w:top w:val="nil"/>
              <w:left w:val="nil"/>
              <w:bottom w:val="nil"/>
              <w:right w:val="nil"/>
            </w:tcBorders>
            <w:shd w:val="clear" w:color="000000" w:fill="FFFF99"/>
            <w:vAlign w:val="bottom"/>
            <w:hideMark/>
          </w:tcPr>
          <w:p w14:paraId="53DD15A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Kapitalni projekt: UREĐENJE I OPREMANJE DVORIŠTA I OBJEKTA DJEČJEG VRTIĆA "MORE"</w:t>
            </w:r>
          </w:p>
        </w:tc>
        <w:tc>
          <w:tcPr>
            <w:tcW w:w="1559" w:type="dxa"/>
            <w:tcBorders>
              <w:top w:val="nil"/>
              <w:left w:val="nil"/>
              <w:bottom w:val="nil"/>
              <w:right w:val="nil"/>
            </w:tcBorders>
            <w:shd w:val="clear" w:color="000000" w:fill="FFFF99"/>
            <w:noWrap/>
            <w:vAlign w:val="bottom"/>
            <w:hideMark/>
          </w:tcPr>
          <w:p w14:paraId="639382F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48.036,00</w:t>
            </w:r>
          </w:p>
        </w:tc>
        <w:tc>
          <w:tcPr>
            <w:tcW w:w="1559" w:type="dxa"/>
            <w:tcBorders>
              <w:top w:val="nil"/>
              <w:left w:val="nil"/>
              <w:bottom w:val="nil"/>
              <w:right w:val="nil"/>
            </w:tcBorders>
            <w:shd w:val="clear" w:color="000000" w:fill="FFFF99"/>
            <w:noWrap/>
            <w:vAlign w:val="bottom"/>
            <w:hideMark/>
          </w:tcPr>
          <w:p w14:paraId="2D14983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48.036,00</w:t>
            </w:r>
          </w:p>
        </w:tc>
        <w:tc>
          <w:tcPr>
            <w:tcW w:w="1559" w:type="dxa"/>
            <w:tcBorders>
              <w:top w:val="nil"/>
              <w:left w:val="nil"/>
              <w:bottom w:val="nil"/>
              <w:right w:val="nil"/>
            </w:tcBorders>
            <w:shd w:val="clear" w:color="000000" w:fill="FFFF99"/>
            <w:noWrap/>
            <w:vAlign w:val="bottom"/>
            <w:hideMark/>
          </w:tcPr>
          <w:p w14:paraId="0A208FA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45.962,26</w:t>
            </w:r>
          </w:p>
        </w:tc>
        <w:tc>
          <w:tcPr>
            <w:tcW w:w="993" w:type="dxa"/>
            <w:tcBorders>
              <w:top w:val="nil"/>
              <w:left w:val="nil"/>
              <w:bottom w:val="nil"/>
              <w:right w:val="nil"/>
            </w:tcBorders>
            <w:shd w:val="clear" w:color="000000" w:fill="FFFF99"/>
            <w:noWrap/>
            <w:vAlign w:val="bottom"/>
            <w:hideMark/>
          </w:tcPr>
          <w:p w14:paraId="1E340EC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95,68%</w:t>
            </w:r>
          </w:p>
        </w:tc>
      </w:tr>
      <w:tr w:rsidR="006967F8" w:rsidRPr="006967F8" w14:paraId="52E7D31D"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33BC775"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075FBD8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14.435,00</w:t>
            </w:r>
          </w:p>
        </w:tc>
        <w:tc>
          <w:tcPr>
            <w:tcW w:w="1559" w:type="dxa"/>
            <w:tcBorders>
              <w:top w:val="nil"/>
              <w:left w:val="nil"/>
              <w:bottom w:val="nil"/>
              <w:right w:val="nil"/>
            </w:tcBorders>
            <w:shd w:val="clear" w:color="000000" w:fill="CCCCFF"/>
            <w:noWrap/>
            <w:vAlign w:val="bottom"/>
            <w:hideMark/>
          </w:tcPr>
          <w:p w14:paraId="7EF6BEB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14.435,00</w:t>
            </w:r>
          </w:p>
        </w:tc>
        <w:tc>
          <w:tcPr>
            <w:tcW w:w="1559" w:type="dxa"/>
            <w:tcBorders>
              <w:top w:val="nil"/>
              <w:left w:val="nil"/>
              <w:bottom w:val="nil"/>
              <w:right w:val="nil"/>
            </w:tcBorders>
            <w:shd w:val="clear" w:color="000000" w:fill="CCCCFF"/>
            <w:noWrap/>
            <w:vAlign w:val="bottom"/>
            <w:hideMark/>
          </w:tcPr>
          <w:p w14:paraId="5AFEF75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13.788,67</w:t>
            </w:r>
          </w:p>
        </w:tc>
        <w:tc>
          <w:tcPr>
            <w:tcW w:w="993" w:type="dxa"/>
            <w:tcBorders>
              <w:top w:val="nil"/>
              <w:left w:val="nil"/>
              <w:bottom w:val="nil"/>
              <w:right w:val="nil"/>
            </w:tcBorders>
            <w:shd w:val="clear" w:color="000000" w:fill="CCCCFF"/>
            <w:noWrap/>
            <w:vAlign w:val="bottom"/>
            <w:hideMark/>
          </w:tcPr>
          <w:p w14:paraId="02640A3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95,52%</w:t>
            </w:r>
          </w:p>
        </w:tc>
      </w:tr>
      <w:tr w:rsidR="006967F8" w:rsidRPr="006967F8" w14:paraId="59F0F876"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29AED29"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2C88FE6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14.435,00</w:t>
            </w:r>
          </w:p>
        </w:tc>
        <w:tc>
          <w:tcPr>
            <w:tcW w:w="1559" w:type="dxa"/>
            <w:tcBorders>
              <w:top w:val="nil"/>
              <w:left w:val="nil"/>
              <w:bottom w:val="nil"/>
              <w:right w:val="nil"/>
            </w:tcBorders>
            <w:shd w:val="clear" w:color="000000" w:fill="CCCCFF"/>
            <w:noWrap/>
            <w:vAlign w:val="bottom"/>
            <w:hideMark/>
          </w:tcPr>
          <w:p w14:paraId="1E94C4A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14.435,00</w:t>
            </w:r>
          </w:p>
        </w:tc>
        <w:tc>
          <w:tcPr>
            <w:tcW w:w="1559" w:type="dxa"/>
            <w:tcBorders>
              <w:top w:val="nil"/>
              <w:left w:val="nil"/>
              <w:bottom w:val="nil"/>
              <w:right w:val="nil"/>
            </w:tcBorders>
            <w:shd w:val="clear" w:color="000000" w:fill="CCCCFF"/>
            <w:noWrap/>
            <w:vAlign w:val="bottom"/>
            <w:hideMark/>
          </w:tcPr>
          <w:p w14:paraId="4C4A2C7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13.788,67</w:t>
            </w:r>
          </w:p>
        </w:tc>
        <w:tc>
          <w:tcPr>
            <w:tcW w:w="993" w:type="dxa"/>
            <w:tcBorders>
              <w:top w:val="nil"/>
              <w:left w:val="nil"/>
              <w:bottom w:val="nil"/>
              <w:right w:val="nil"/>
            </w:tcBorders>
            <w:shd w:val="clear" w:color="000000" w:fill="CCCCFF"/>
            <w:noWrap/>
            <w:vAlign w:val="bottom"/>
            <w:hideMark/>
          </w:tcPr>
          <w:p w14:paraId="5497ADB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95,52%</w:t>
            </w:r>
          </w:p>
        </w:tc>
      </w:tr>
      <w:tr w:rsidR="006967F8" w:rsidRPr="006967F8" w14:paraId="56C09849" w14:textId="77777777" w:rsidTr="008A61B1">
        <w:trPr>
          <w:trHeight w:val="255"/>
        </w:trPr>
        <w:tc>
          <w:tcPr>
            <w:tcW w:w="1134" w:type="dxa"/>
            <w:tcBorders>
              <w:top w:val="nil"/>
              <w:left w:val="nil"/>
              <w:bottom w:val="nil"/>
              <w:right w:val="nil"/>
            </w:tcBorders>
            <w:noWrap/>
            <w:vAlign w:val="bottom"/>
            <w:hideMark/>
          </w:tcPr>
          <w:p w14:paraId="0C78A7A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0BC5656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2ECFD3D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4.555,00</w:t>
            </w:r>
          </w:p>
        </w:tc>
        <w:tc>
          <w:tcPr>
            <w:tcW w:w="1559" w:type="dxa"/>
            <w:tcBorders>
              <w:top w:val="nil"/>
              <w:left w:val="nil"/>
              <w:bottom w:val="nil"/>
              <w:right w:val="nil"/>
            </w:tcBorders>
            <w:noWrap/>
            <w:vAlign w:val="bottom"/>
            <w:hideMark/>
          </w:tcPr>
          <w:p w14:paraId="75FDE9F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4.555,00</w:t>
            </w:r>
          </w:p>
        </w:tc>
        <w:tc>
          <w:tcPr>
            <w:tcW w:w="1559" w:type="dxa"/>
            <w:tcBorders>
              <w:top w:val="nil"/>
              <w:left w:val="nil"/>
              <w:bottom w:val="nil"/>
              <w:right w:val="nil"/>
            </w:tcBorders>
            <w:noWrap/>
            <w:vAlign w:val="bottom"/>
            <w:hideMark/>
          </w:tcPr>
          <w:p w14:paraId="290692C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4.070,82</w:t>
            </w:r>
          </w:p>
        </w:tc>
        <w:tc>
          <w:tcPr>
            <w:tcW w:w="993" w:type="dxa"/>
            <w:tcBorders>
              <w:top w:val="nil"/>
              <w:left w:val="nil"/>
              <w:bottom w:val="nil"/>
              <w:right w:val="nil"/>
            </w:tcBorders>
            <w:noWrap/>
            <w:vAlign w:val="bottom"/>
            <w:hideMark/>
          </w:tcPr>
          <w:p w14:paraId="7C39F6D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89,37%</w:t>
            </w:r>
          </w:p>
        </w:tc>
      </w:tr>
      <w:tr w:rsidR="006967F8" w:rsidRPr="006967F8" w14:paraId="5F861170" w14:textId="77777777" w:rsidTr="008A61B1">
        <w:trPr>
          <w:trHeight w:val="255"/>
        </w:trPr>
        <w:tc>
          <w:tcPr>
            <w:tcW w:w="1134" w:type="dxa"/>
            <w:tcBorders>
              <w:top w:val="nil"/>
              <w:left w:val="nil"/>
              <w:bottom w:val="nil"/>
              <w:right w:val="nil"/>
            </w:tcBorders>
            <w:noWrap/>
            <w:vAlign w:val="bottom"/>
            <w:hideMark/>
          </w:tcPr>
          <w:p w14:paraId="359F094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3221</w:t>
            </w:r>
          </w:p>
        </w:tc>
        <w:tc>
          <w:tcPr>
            <w:tcW w:w="4962" w:type="dxa"/>
            <w:tcBorders>
              <w:top w:val="nil"/>
              <w:left w:val="nil"/>
              <w:bottom w:val="nil"/>
              <w:right w:val="nil"/>
            </w:tcBorders>
            <w:noWrap/>
            <w:vAlign w:val="bottom"/>
            <w:hideMark/>
          </w:tcPr>
          <w:p w14:paraId="3132C93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Uredski materijal i ostali materijalni rashodi</w:t>
            </w:r>
          </w:p>
        </w:tc>
        <w:tc>
          <w:tcPr>
            <w:tcW w:w="1559" w:type="dxa"/>
            <w:tcBorders>
              <w:top w:val="nil"/>
              <w:left w:val="nil"/>
              <w:bottom w:val="nil"/>
              <w:right w:val="nil"/>
            </w:tcBorders>
            <w:noWrap/>
            <w:vAlign w:val="bottom"/>
            <w:hideMark/>
          </w:tcPr>
          <w:p w14:paraId="045D610E"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D60FA0E"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C65A5C1"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278,70</w:t>
            </w:r>
          </w:p>
        </w:tc>
        <w:tc>
          <w:tcPr>
            <w:tcW w:w="993" w:type="dxa"/>
            <w:tcBorders>
              <w:top w:val="nil"/>
              <w:left w:val="nil"/>
              <w:bottom w:val="nil"/>
              <w:right w:val="nil"/>
            </w:tcBorders>
            <w:noWrap/>
            <w:vAlign w:val="bottom"/>
            <w:hideMark/>
          </w:tcPr>
          <w:p w14:paraId="4294BF9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07EEEA0" w14:textId="77777777" w:rsidTr="008A61B1">
        <w:trPr>
          <w:trHeight w:val="255"/>
        </w:trPr>
        <w:tc>
          <w:tcPr>
            <w:tcW w:w="1134" w:type="dxa"/>
            <w:tcBorders>
              <w:top w:val="nil"/>
              <w:left w:val="nil"/>
              <w:bottom w:val="nil"/>
              <w:right w:val="nil"/>
            </w:tcBorders>
            <w:noWrap/>
            <w:vAlign w:val="bottom"/>
            <w:hideMark/>
          </w:tcPr>
          <w:p w14:paraId="3557E7E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3222</w:t>
            </w:r>
          </w:p>
        </w:tc>
        <w:tc>
          <w:tcPr>
            <w:tcW w:w="4962" w:type="dxa"/>
            <w:tcBorders>
              <w:top w:val="nil"/>
              <w:left w:val="nil"/>
              <w:bottom w:val="nil"/>
              <w:right w:val="nil"/>
            </w:tcBorders>
            <w:noWrap/>
            <w:vAlign w:val="bottom"/>
            <w:hideMark/>
          </w:tcPr>
          <w:p w14:paraId="086775B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Materijal i sirovine</w:t>
            </w:r>
          </w:p>
        </w:tc>
        <w:tc>
          <w:tcPr>
            <w:tcW w:w="1559" w:type="dxa"/>
            <w:tcBorders>
              <w:top w:val="nil"/>
              <w:left w:val="nil"/>
              <w:bottom w:val="nil"/>
              <w:right w:val="nil"/>
            </w:tcBorders>
            <w:noWrap/>
            <w:vAlign w:val="bottom"/>
            <w:hideMark/>
          </w:tcPr>
          <w:p w14:paraId="041A9757"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B2C9324"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81577D6"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3.748,08</w:t>
            </w:r>
          </w:p>
        </w:tc>
        <w:tc>
          <w:tcPr>
            <w:tcW w:w="993" w:type="dxa"/>
            <w:tcBorders>
              <w:top w:val="nil"/>
              <w:left w:val="nil"/>
              <w:bottom w:val="nil"/>
              <w:right w:val="nil"/>
            </w:tcBorders>
            <w:noWrap/>
            <w:vAlign w:val="bottom"/>
            <w:hideMark/>
          </w:tcPr>
          <w:p w14:paraId="7AA32993"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FE2B7C8" w14:textId="77777777" w:rsidTr="008A61B1">
        <w:trPr>
          <w:trHeight w:val="255"/>
        </w:trPr>
        <w:tc>
          <w:tcPr>
            <w:tcW w:w="1134" w:type="dxa"/>
            <w:tcBorders>
              <w:top w:val="nil"/>
              <w:left w:val="nil"/>
              <w:bottom w:val="nil"/>
              <w:right w:val="nil"/>
            </w:tcBorders>
            <w:noWrap/>
            <w:vAlign w:val="bottom"/>
            <w:hideMark/>
          </w:tcPr>
          <w:p w14:paraId="009564A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3233</w:t>
            </w:r>
          </w:p>
        </w:tc>
        <w:tc>
          <w:tcPr>
            <w:tcW w:w="4962" w:type="dxa"/>
            <w:tcBorders>
              <w:top w:val="nil"/>
              <w:left w:val="nil"/>
              <w:bottom w:val="nil"/>
              <w:right w:val="nil"/>
            </w:tcBorders>
            <w:noWrap/>
            <w:vAlign w:val="bottom"/>
            <w:hideMark/>
          </w:tcPr>
          <w:p w14:paraId="7E42AC5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promidžbe i informiranja</w:t>
            </w:r>
          </w:p>
        </w:tc>
        <w:tc>
          <w:tcPr>
            <w:tcW w:w="1559" w:type="dxa"/>
            <w:tcBorders>
              <w:top w:val="nil"/>
              <w:left w:val="nil"/>
              <w:bottom w:val="nil"/>
              <w:right w:val="nil"/>
            </w:tcBorders>
            <w:noWrap/>
            <w:vAlign w:val="bottom"/>
            <w:hideMark/>
          </w:tcPr>
          <w:p w14:paraId="5EDB3BE2"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B95393A"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6C11DAB"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44,04</w:t>
            </w:r>
          </w:p>
        </w:tc>
        <w:tc>
          <w:tcPr>
            <w:tcW w:w="993" w:type="dxa"/>
            <w:tcBorders>
              <w:top w:val="nil"/>
              <w:left w:val="nil"/>
              <w:bottom w:val="nil"/>
              <w:right w:val="nil"/>
            </w:tcBorders>
            <w:noWrap/>
            <w:vAlign w:val="bottom"/>
            <w:hideMark/>
          </w:tcPr>
          <w:p w14:paraId="799BFA6A"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C361F17" w14:textId="77777777" w:rsidTr="008A61B1">
        <w:trPr>
          <w:trHeight w:val="495"/>
        </w:trPr>
        <w:tc>
          <w:tcPr>
            <w:tcW w:w="1134" w:type="dxa"/>
            <w:tcBorders>
              <w:top w:val="nil"/>
              <w:left w:val="nil"/>
              <w:bottom w:val="nil"/>
              <w:right w:val="nil"/>
            </w:tcBorders>
            <w:noWrap/>
            <w:vAlign w:val="bottom"/>
            <w:hideMark/>
          </w:tcPr>
          <w:p w14:paraId="67B1567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194FC35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2406AB5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9.880,00</w:t>
            </w:r>
          </w:p>
        </w:tc>
        <w:tc>
          <w:tcPr>
            <w:tcW w:w="1559" w:type="dxa"/>
            <w:tcBorders>
              <w:top w:val="nil"/>
              <w:left w:val="nil"/>
              <w:bottom w:val="nil"/>
              <w:right w:val="nil"/>
            </w:tcBorders>
            <w:noWrap/>
            <w:vAlign w:val="bottom"/>
            <w:hideMark/>
          </w:tcPr>
          <w:p w14:paraId="2EE7F94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9.880,00</w:t>
            </w:r>
          </w:p>
        </w:tc>
        <w:tc>
          <w:tcPr>
            <w:tcW w:w="1559" w:type="dxa"/>
            <w:tcBorders>
              <w:top w:val="nil"/>
              <w:left w:val="nil"/>
              <w:bottom w:val="nil"/>
              <w:right w:val="nil"/>
            </w:tcBorders>
            <w:noWrap/>
            <w:vAlign w:val="bottom"/>
            <w:hideMark/>
          </w:tcPr>
          <w:p w14:paraId="1453F0D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9.717,85</w:t>
            </w:r>
          </w:p>
        </w:tc>
        <w:tc>
          <w:tcPr>
            <w:tcW w:w="993" w:type="dxa"/>
            <w:tcBorders>
              <w:top w:val="nil"/>
              <w:left w:val="nil"/>
              <w:bottom w:val="nil"/>
              <w:right w:val="nil"/>
            </w:tcBorders>
            <w:noWrap/>
            <w:vAlign w:val="bottom"/>
            <w:hideMark/>
          </w:tcPr>
          <w:p w14:paraId="734C2BB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98,36%</w:t>
            </w:r>
          </w:p>
        </w:tc>
      </w:tr>
      <w:tr w:rsidR="006967F8" w:rsidRPr="006967F8" w14:paraId="0D7F9728" w14:textId="77777777" w:rsidTr="008A61B1">
        <w:trPr>
          <w:trHeight w:val="255"/>
        </w:trPr>
        <w:tc>
          <w:tcPr>
            <w:tcW w:w="1134" w:type="dxa"/>
            <w:tcBorders>
              <w:top w:val="nil"/>
              <w:left w:val="nil"/>
              <w:bottom w:val="nil"/>
              <w:right w:val="nil"/>
            </w:tcBorders>
            <w:noWrap/>
            <w:vAlign w:val="bottom"/>
            <w:hideMark/>
          </w:tcPr>
          <w:p w14:paraId="535388E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lastRenderedPageBreak/>
              <w:t>4212</w:t>
            </w:r>
          </w:p>
        </w:tc>
        <w:tc>
          <w:tcPr>
            <w:tcW w:w="4962" w:type="dxa"/>
            <w:tcBorders>
              <w:top w:val="nil"/>
              <w:left w:val="nil"/>
              <w:bottom w:val="nil"/>
              <w:right w:val="nil"/>
            </w:tcBorders>
            <w:noWrap/>
            <w:vAlign w:val="bottom"/>
            <w:hideMark/>
          </w:tcPr>
          <w:p w14:paraId="46B7CDB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Poslovni objekti</w:t>
            </w:r>
          </w:p>
        </w:tc>
        <w:tc>
          <w:tcPr>
            <w:tcW w:w="1559" w:type="dxa"/>
            <w:tcBorders>
              <w:top w:val="nil"/>
              <w:left w:val="nil"/>
              <w:bottom w:val="nil"/>
              <w:right w:val="nil"/>
            </w:tcBorders>
            <w:noWrap/>
            <w:vAlign w:val="bottom"/>
            <w:hideMark/>
          </w:tcPr>
          <w:p w14:paraId="145B2652"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7D9C68C"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8A2A986"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7.490,35</w:t>
            </w:r>
          </w:p>
        </w:tc>
        <w:tc>
          <w:tcPr>
            <w:tcW w:w="993" w:type="dxa"/>
            <w:tcBorders>
              <w:top w:val="nil"/>
              <w:left w:val="nil"/>
              <w:bottom w:val="nil"/>
              <w:right w:val="nil"/>
            </w:tcBorders>
            <w:noWrap/>
            <w:vAlign w:val="bottom"/>
            <w:hideMark/>
          </w:tcPr>
          <w:p w14:paraId="234E4A28"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E4725B5" w14:textId="77777777" w:rsidTr="008A61B1">
        <w:trPr>
          <w:trHeight w:val="255"/>
        </w:trPr>
        <w:tc>
          <w:tcPr>
            <w:tcW w:w="1134" w:type="dxa"/>
            <w:tcBorders>
              <w:top w:val="nil"/>
              <w:left w:val="nil"/>
              <w:bottom w:val="nil"/>
              <w:right w:val="nil"/>
            </w:tcBorders>
            <w:noWrap/>
            <w:vAlign w:val="bottom"/>
            <w:hideMark/>
          </w:tcPr>
          <w:p w14:paraId="72D69CF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4227</w:t>
            </w:r>
          </w:p>
        </w:tc>
        <w:tc>
          <w:tcPr>
            <w:tcW w:w="4962" w:type="dxa"/>
            <w:tcBorders>
              <w:top w:val="nil"/>
              <w:left w:val="nil"/>
              <w:bottom w:val="nil"/>
              <w:right w:val="nil"/>
            </w:tcBorders>
            <w:noWrap/>
            <w:vAlign w:val="bottom"/>
            <w:hideMark/>
          </w:tcPr>
          <w:p w14:paraId="2E509BD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Uređaji, strojevi i oprema za ostale namjene</w:t>
            </w:r>
          </w:p>
        </w:tc>
        <w:tc>
          <w:tcPr>
            <w:tcW w:w="1559" w:type="dxa"/>
            <w:tcBorders>
              <w:top w:val="nil"/>
              <w:left w:val="nil"/>
              <w:bottom w:val="nil"/>
              <w:right w:val="nil"/>
            </w:tcBorders>
            <w:noWrap/>
            <w:vAlign w:val="bottom"/>
            <w:hideMark/>
          </w:tcPr>
          <w:p w14:paraId="6577D83A"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1AF27B3"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792D6D0"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2.227,50</w:t>
            </w:r>
          </w:p>
        </w:tc>
        <w:tc>
          <w:tcPr>
            <w:tcW w:w="993" w:type="dxa"/>
            <w:tcBorders>
              <w:top w:val="nil"/>
              <w:left w:val="nil"/>
              <w:bottom w:val="nil"/>
              <w:right w:val="nil"/>
            </w:tcBorders>
            <w:noWrap/>
            <w:vAlign w:val="bottom"/>
            <w:hideMark/>
          </w:tcPr>
          <w:p w14:paraId="5747F321"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DE2F49C"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A7E801A"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320515E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33.601,00</w:t>
            </w:r>
          </w:p>
        </w:tc>
        <w:tc>
          <w:tcPr>
            <w:tcW w:w="1559" w:type="dxa"/>
            <w:tcBorders>
              <w:top w:val="nil"/>
              <w:left w:val="nil"/>
              <w:bottom w:val="nil"/>
              <w:right w:val="nil"/>
            </w:tcBorders>
            <w:shd w:val="clear" w:color="000000" w:fill="CCCCFF"/>
            <w:noWrap/>
            <w:vAlign w:val="bottom"/>
            <w:hideMark/>
          </w:tcPr>
          <w:p w14:paraId="0826EC9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33.601,00</w:t>
            </w:r>
          </w:p>
        </w:tc>
        <w:tc>
          <w:tcPr>
            <w:tcW w:w="1559" w:type="dxa"/>
            <w:tcBorders>
              <w:top w:val="nil"/>
              <w:left w:val="nil"/>
              <w:bottom w:val="nil"/>
              <w:right w:val="nil"/>
            </w:tcBorders>
            <w:shd w:val="clear" w:color="000000" w:fill="CCCCFF"/>
            <w:noWrap/>
            <w:vAlign w:val="bottom"/>
            <w:hideMark/>
          </w:tcPr>
          <w:p w14:paraId="584ECE8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32.173,59</w:t>
            </w:r>
          </w:p>
        </w:tc>
        <w:tc>
          <w:tcPr>
            <w:tcW w:w="993" w:type="dxa"/>
            <w:tcBorders>
              <w:top w:val="nil"/>
              <w:left w:val="nil"/>
              <w:bottom w:val="nil"/>
              <w:right w:val="nil"/>
            </w:tcBorders>
            <w:shd w:val="clear" w:color="000000" w:fill="CCCCFF"/>
            <w:noWrap/>
            <w:vAlign w:val="bottom"/>
            <w:hideMark/>
          </w:tcPr>
          <w:p w14:paraId="6256901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95,75%</w:t>
            </w:r>
          </w:p>
        </w:tc>
      </w:tr>
      <w:tr w:rsidR="006967F8" w:rsidRPr="006967F8" w14:paraId="090F597C"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6CEE33A"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5.1. Ostale pomoći</w:t>
            </w:r>
          </w:p>
        </w:tc>
        <w:tc>
          <w:tcPr>
            <w:tcW w:w="1559" w:type="dxa"/>
            <w:tcBorders>
              <w:top w:val="nil"/>
              <w:left w:val="nil"/>
              <w:bottom w:val="nil"/>
              <w:right w:val="nil"/>
            </w:tcBorders>
            <w:shd w:val="clear" w:color="000000" w:fill="CCCCFF"/>
            <w:noWrap/>
            <w:vAlign w:val="bottom"/>
            <w:hideMark/>
          </w:tcPr>
          <w:p w14:paraId="79F0311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33.601,00</w:t>
            </w:r>
          </w:p>
        </w:tc>
        <w:tc>
          <w:tcPr>
            <w:tcW w:w="1559" w:type="dxa"/>
            <w:tcBorders>
              <w:top w:val="nil"/>
              <w:left w:val="nil"/>
              <w:bottom w:val="nil"/>
              <w:right w:val="nil"/>
            </w:tcBorders>
            <w:shd w:val="clear" w:color="000000" w:fill="CCCCFF"/>
            <w:noWrap/>
            <w:vAlign w:val="bottom"/>
            <w:hideMark/>
          </w:tcPr>
          <w:p w14:paraId="0E9907E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33.601,00</w:t>
            </w:r>
          </w:p>
        </w:tc>
        <w:tc>
          <w:tcPr>
            <w:tcW w:w="1559" w:type="dxa"/>
            <w:tcBorders>
              <w:top w:val="nil"/>
              <w:left w:val="nil"/>
              <w:bottom w:val="nil"/>
              <w:right w:val="nil"/>
            </w:tcBorders>
            <w:shd w:val="clear" w:color="000000" w:fill="CCCCFF"/>
            <w:noWrap/>
            <w:vAlign w:val="bottom"/>
            <w:hideMark/>
          </w:tcPr>
          <w:p w14:paraId="1FD188E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32.173,59</w:t>
            </w:r>
          </w:p>
        </w:tc>
        <w:tc>
          <w:tcPr>
            <w:tcW w:w="993" w:type="dxa"/>
            <w:tcBorders>
              <w:top w:val="nil"/>
              <w:left w:val="nil"/>
              <w:bottom w:val="nil"/>
              <w:right w:val="nil"/>
            </w:tcBorders>
            <w:shd w:val="clear" w:color="000000" w:fill="CCCCFF"/>
            <w:noWrap/>
            <w:vAlign w:val="bottom"/>
            <w:hideMark/>
          </w:tcPr>
          <w:p w14:paraId="447CF6A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95,75%</w:t>
            </w:r>
          </w:p>
        </w:tc>
      </w:tr>
      <w:tr w:rsidR="006967F8" w:rsidRPr="006967F8" w14:paraId="6D859862" w14:textId="77777777" w:rsidTr="008A61B1">
        <w:trPr>
          <w:trHeight w:val="255"/>
        </w:trPr>
        <w:tc>
          <w:tcPr>
            <w:tcW w:w="1134" w:type="dxa"/>
            <w:tcBorders>
              <w:top w:val="nil"/>
              <w:left w:val="nil"/>
              <w:bottom w:val="nil"/>
              <w:right w:val="nil"/>
            </w:tcBorders>
            <w:noWrap/>
            <w:vAlign w:val="bottom"/>
            <w:hideMark/>
          </w:tcPr>
          <w:p w14:paraId="2CE8A45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73F5839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2CC5CD2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10.558,00</w:t>
            </w:r>
          </w:p>
        </w:tc>
        <w:tc>
          <w:tcPr>
            <w:tcW w:w="1559" w:type="dxa"/>
            <w:tcBorders>
              <w:top w:val="nil"/>
              <w:left w:val="nil"/>
              <w:bottom w:val="nil"/>
              <w:right w:val="nil"/>
            </w:tcBorders>
            <w:noWrap/>
            <w:vAlign w:val="bottom"/>
            <w:hideMark/>
          </w:tcPr>
          <w:p w14:paraId="3B5B81A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10.558,00</w:t>
            </w:r>
          </w:p>
        </w:tc>
        <w:tc>
          <w:tcPr>
            <w:tcW w:w="1559" w:type="dxa"/>
            <w:tcBorders>
              <w:top w:val="nil"/>
              <w:left w:val="nil"/>
              <w:bottom w:val="nil"/>
              <w:right w:val="nil"/>
            </w:tcBorders>
            <w:noWrap/>
            <w:vAlign w:val="bottom"/>
            <w:hideMark/>
          </w:tcPr>
          <w:p w14:paraId="408A61A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9.498,59</w:t>
            </w:r>
          </w:p>
        </w:tc>
        <w:tc>
          <w:tcPr>
            <w:tcW w:w="993" w:type="dxa"/>
            <w:tcBorders>
              <w:top w:val="nil"/>
              <w:left w:val="nil"/>
              <w:bottom w:val="nil"/>
              <w:right w:val="nil"/>
            </w:tcBorders>
            <w:noWrap/>
            <w:vAlign w:val="bottom"/>
            <w:hideMark/>
          </w:tcPr>
          <w:p w14:paraId="17D1FA8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89,97%</w:t>
            </w:r>
          </w:p>
        </w:tc>
      </w:tr>
      <w:tr w:rsidR="006967F8" w:rsidRPr="006967F8" w14:paraId="608C55AE" w14:textId="77777777" w:rsidTr="008A61B1">
        <w:trPr>
          <w:trHeight w:val="255"/>
        </w:trPr>
        <w:tc>
          <w:tcPr>
            <w:tcW w:w="1134" w:type="dxa"/>
            <w:tcBorders>
              <w:top w:val="nil"/>
              <w:left w:val="nil"/>
              <w:bottom w:val="nil"/>
              <w:right w:val="nil"/>
            </w:tcBorders>
            <w:noWrap/>
            <w:vAlign w:val="bottom"/>
            <w:hideMark/>
          </w:tcPr>
          <w:p w14:paraId="3933EB6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3221</w:t>
            </w:r>
          </w:p>
        </w:tc>
        <w:tc>
          <w:tcPr>
            <w:tcW w:w="4962" w:type="dxa"/>
            <w:tcBorders>
              <w:top w:val="nil"/>
              <w:left w:val="nil"/>
              <w:bottom w:val="nil"/>
              <w:right w:val="nil"/>
            </w:tcBorders>
            <w:noWrap/>
            <w:vAlign w:val="bottom"/>
            <w:hideMark/>
          </w:tcPr>
          <w:p w14:paraId="17DA956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Uredski materijal i ostali materijalni rashodi</w:t>
            </w:r>
          </w:p>
        </w:tc>
        <w:tc>
          <w:tcPr>
            <w:tcW w:w="1559" w:type="dxa"/>
            <w:tcBorders>
              <w:top w:val="nil"/>
              <w:left w:val="nil"/>
              <w:bottom w:val="nil"/>
              <w:right w:val="nil"/>
            </w:tcBorders>
            <w:noWrap/>
            <w:vAlign w:val="bottom"/>
            <w:hideMark/>
          </w:tcPr>
          <w:p w14:paraId="37A15E3D"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4A9263F"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82D21CB"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650,31</w:t>
            </w:r>
          </w:p>
        </w:tc>
        <w:tc>
          <w:tcPr>
            <w:tcW w:w="993" w:type="dxa"/>
            <w:tcBorders>
              <w:top w:val="nil"/>
              <w:left w:val="nil"/>
              <w:bottom w:val="nil"/>
              <w:right w:val="nil"/>
            </w:tcBorders>
            <w:noWrap/>
            <w:vAlign w:val="bottom"/>
            <w:hideMark/>
          </w:tcPr>
          <w:p w14:paraId="66763997"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E00F507" w14:textId="77777777" w:rsidTr="008A61B1">
        <w:trPr>
          <w:trHeight w:val="255"/>
        </w:trPr>
        <w:tc>
          <w:tcPr>
            <w:tcW w:w="1134" w:type="dxa"/>
            <w:tcBorders>
              <w:top w:val="nil"/>
              <w:left w:val="nil"/>
              <w:bottom w:val="nil"/>
              <w:right w:val="nil"/>
            </w:tcBorders>
            <w:noWrap/>
            <w:vAlign w:val="bottom"/>
            <w:hideMark/>
          </w:tcPr>
          <w:p w14:paraId="02BFEFC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3222</w:t>
            </w:r>
          </w:p>
        </w:tc>
        <w:tc>
          <w:tcPr>
            <w:tcW w:w="4962" w:type="dxa"/>
            <w:tcBorders>
              <w:top w:val="nil"/>
              <w:left w:val="nil"/>
              <w:bottom w:val="nil"/>
              <w:right w:val="nil"/>
            </w:tcBorders>
            <w:noWrap/>
            <w:vAlign w:val="bottom"/>
            <w:hideMark/>
          </w:tcPr>
          <w:p w14:paraId="185E203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Materijal i sirovine</w:t>
            </w:r>
          </w:p>
        </w:tc>
        <w:tc>
          <w:tcPr>
            <w:tcW w:w="1559" w:type="dxa"/>
            <w:tcBorders>
              <w:top w:val="nil"/>
              <w:left w:val="nil"/>
              <w:bottom w:val="nil"/>
              <w:right w:val="nil"/>
            </w:tcBorders>
            <w:noWrap/>
            <w:vAlign w:val="bottom"/>
            <w:hideMark/>
          </w:tcPr>
          <w:p w14:paraId="6E0610E1"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79C27C19"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51FCEBB"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8.745,52</w:t>
            </w:r>
          </w:p>
        </w:tc>
        <w:tc>
          <w:tcPr>
            <w:tcW w:w="993" w:type="dxa"/>
            <w:tcBorders>
              <w:top w:val="nil"/>
              <w:left w:val="nil"/>
              <w:bottom w:val="nil"/>
              <w:right w:val="nil"/>
            </w:tcBorders>
            <w:noWrap/>
            <w:vAlign w:val="bottom"/>
            <w:hideMark/>
          </w:tcPr>
          <w:p w14:paraId="204ABB5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57CD5E5" w14:textId="77777777" w:rsidTr="008A61B1">
        <w:trPr>
          <w:trHeight w:val="255"/>
        </w:trPr>
        <w:tc>
          <w:tcPr>
            <w:tcW w:w="1134" w:type="dxa"/>
            <w:tcBorders>
              <w:top w:val="nil"/>
              <w:left w:val="nil"/>
              <w:bottom w:val="nil"/>
              <w:right w:val="nil"/>
            </w:tcBorders>
            <w:noWrap/>
            <w:vAlign w:val="bottom"/>
            <w:hideMark/>
          </w:tcPr>
          <w:p w14:paraId="35C50F3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3233</w:t>
            </w:r>
          </w:p>
        </w:tc>
        <w:tc>
          <w:tcPr>
            <w:tcW w:w="4962" w:type="dxa"/>
            <w:tcBorders>
              <w:top w:val="nil"/>
              <w:left w:val="nil"/>
              <w:bottom w:val="nil"/>
              <w:right w:val="nil"/>
            </w:tcBorders>
            <w:noWrap/>
            <w:vAlign w:val="bottom"/>
            <w:hideMark/>
          </w:tcPr>
          <w:p w14:paraId="63E6A78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promidžbe i informiranja</w:t>
            </w:r>
          </w:p>
        </w:tc>
        <w:tc>
          <w:tcPr>
            <w:tcW w:w="1559" w:type="dxa"/>
            <w:tcBorders>
              <w:top w:val="nil"/>
              <w:left w:val="nil"/>
              <w:bottom w:val="nil"/>
              <w:right w:val="nil"/>
            </w:tcBorders>
            <w:noWrap/>
            <w:vAlign w:val="bottom"/>
            <w:hideMark/>
          </w:tcPr>
          <w:p w14:paraId="22B68086"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E6D6647"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5F98437"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102,76</w:t>
            </w:r>
          </w:p>
        </w:tc>
        <w:tc>
          <w:tcPr>
            <w:tcW w:w="993" w:type="dxa"/>
            <w:tcBorders>
              <w:top w:val="nil"/>
              <w:left w:val="nil"/>
              <w:bottom w:val="nil"/>
              <w:right w:val="nil"/>
            </w:tcBorders>
            <w:noWrap/>
            <w:vAlign w:val="bottom"/>
            <w:hideMark/>
          </w:tcPr>
          <w:p w14:paraId="60520453"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1559FB6" w14:textId="77777777" w:rsidTr="008A61B1">
        <w:trPr>
          <w:trHeight w:val="480"/>
        </w:trPr>
        <w:tc>
          <w:tcPr>
            <w:tcW w:w="1134" w:type="dxa"/>
            <w:tcBorders>
              <w:top w:val="nil"/>
              <w:left w:val="nil"/>
              <w:bottom w:val="nil"/>
              <w:right w:val="nil"/>
            </w:tcBorders>
            <w:noWrap/>
            <w:vAlign w:val="bottom"/>
            <w:hideMark/>
          </w:tcPr>
          <w:p w14:paraId="612681B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1D4A326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427D523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23.043,00</w:t>
            </w:r>
          </w:p>
        </w:tc>
        <w:tc>
          <w:tcPr>
            <w:tcW w:w="1559" w:type="dxa"/>
            <w:tcBorders>
              <w:top w:val="nil"/>
              <w:left w:val="nil"/>
              <w:bottom w:val="nil"/>
              <w:right w:val="nil"/>
            </w:tcBorders>
            <w:noWrap/>
            <w:vAlign w:val="bottom"/>
            <w:hideMark/>
          </w:tcPr>
          <w:p w14:paraId="5CC8FBC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23.043,00</w:t>
            </w:r>
          </w:p>
        </w:tc>
        <w:tc>
          <w:tcPr>
            <w:tcW w:w="1559" w:type="dxa"/>
            <w:tcBorders>
              <w:top w:val="nil"/>
              <w:left w:val="nil"/>
              <w:bottom w:val="nil"/>
              <w:right w:val="nil"/>
            </w:tcBorders>
            <w:noWrap/>
            <w:vAlign w:val="bottom"/>
            <w:hideMark/>
          </w:tcPr>
          <w:p w14:paraId="256FC04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22.675,00</w:t>
            </w:r>
          </w:p>
        </w:tc>
        <w:tc>
          <w:tcPr>
            <w:tcW w:w="993" w:type="dxa"/>
            <w:tcBorders>
              <w:top w:val="nil"/>
              <w:left w:val="nil"/>
              <w:bottom w:val="nil"/>
              <w:right w:val="nil"/>
            </w:tcBorders>
            <w:noWrap/>
            <w:vAlign w:val="bottom"/>
            <w:hideMark/>
          </w:tcPr>
          <w:p w14:paraId="4B31675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98,40%</w:t>
            </w:r>
          </w:p>
        </w:tc>
      </w:tr>
      <w:tr w:rsidR="006967F8" w:rsidRPr="006967F8" w14:paraId="7EB4FC1E" w14:textId="77777777" w:rsidTr="008A61B1">
        <w:trPr>
          <w:trHeight w:val="255"/>
        </w:trPr>
        <w:tc>
          <w:tcPr>
            <w:tcW w:w="1134" w:type="dxa"/>
            <w:tcBorders>
              <w:top w:val="nil"/>
              <w:left w:val="nil"/>
              <w:bottom w:val="nil"/>
              <w:right w:val="nil"/>
            </w:tcBorders>
            <w:noWrap/>
            <w:vAlign w:val="bottom"/>
            <w:hideMark/>
          </w:tcPr>
          <w:p w14:paraId="0CDCEAA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4212</w:t>
            </w:r>
          </w:p>
        </w:tc>
        <w:tc>
          <w:tcPr>
            <w:tcW w:w="4962" w:type="dxa"/>
            <w:tcBorders>
              <w:top w:val="nil"/>
              <w:left w:val="nil"/>
              <w:bottom w:val="nil"/>
              <w:right w:val="nil"/>
            </w:tcBorders>
            <w:noWrap/>
            <w:vAlign w:val="bottom"/>
            <w:hideMark/>
          </w:tcPr>
          <w:p w14:paraId="1223B55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Poslovni objekti</w:t>
            </w:r>
          </w:p>
        </w:tc>
        <w:tc>
          <w:tcPr>
            <w:tcW w:w="1559" w:type="dxa"/>
            <w:tcBorders>
              <w:top w:val="nil"/>
              <w:left w:val="nil"/>
              <w:bottom w:val="nil"/>
              <w:right w:val="nil"/>
            </w:tcBorders>
            <w:noWrap/>
            <w:vAlign w:val="bottom"/>
            <w:hideMark/>
          </w:tcPr>
          <w:p w14:paraId="7EF13AF9"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7705746"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BD0D2CC"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17.477,50</w:t>
            </w:r>
          </w:p>
        </w:tc>
        <w:tc>
          <w:tcPr>
            <w:tcW w:w="993" w:type="dxa"/>
            <w:tcBorders>
              <w:top w:val="nil"/>
              <w:left w:val="nil"/>
              <w:bottom w:val="nil"/>
              <w:right w:val="nil"/>
            </w:tcBorders>
            <w:noWrap/>
            <w:vAlign w:val="bottom"/>
            <w:hideMark/>
          </w:tcPr>
          <w:p w14:paraId="1533C90F"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78412748" w14:textId="77777777" w:rsidTr="008A61B1">
        <w:trPr>
          <w:trHeight w:val="255"/>
        </w:trPr>
        <w:tc>
          <w:tcPr>
            <w:tcW w:w="1134" w:type="dxa"/>
            <w:tcBorders>
              <w:top w:val="nil"/>
              <w:left w:val="nil"/>
              <w:bottom w:val="nil"/>
              <w:right w:val="nil"/>
            </w:tcBorders>
            <w:noWrap/>
            <w:vAlign w:val="bottom"/>
            <w:hideMark/>
          </w:tcPr>
          <w:p w14:paraId="0039098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4227</w:t>
            </w:r>
          </w:p>
        </w:tc>
        <w:tc>
          <w:tcPr>
            <w:tcW w:w="4962" w:type="dxa"/>
            <w:tcBorders>
              <w:top w:val="nil"/>
              <w:left w:val="nil"/>
              <w:bottom w:val="nil"/>
              <w:right w:val="nil"/>
            </w:tcBorders>
            <w:noWrap/>
            <w:vAlign w:val="bottom"/>
            <w:hideMark/>
          </w:tcPr>
          <w:p w14:paraId="272F58F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Uređaji, strojevi i oprema za ostale namjene</w:t>
            </w:r>
          </w:p>
        </w:tc>
        <w:tc>
          <w:tcPr>
            <w:tcW w:w="1559" w:type="dxa"/>
            <w:tcBorders>
              <w:top w:val="nil"/>
              <w:left w:val="nil"/>
              <w:bottom w:val="nil"/>
              <w:right w:val="nil"/>
            </w:tcBorders>
            <w:noWrap/>
            <w:vAlign w:val="bottom"/>
            <w:hideMark/>
          </w:tcPr>
          <w:p w14:paraId="5E758653"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DAF1104"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02CB1C1"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5.197,50</w:t>
            </w:r>
          </w:p>
        </w:tc>
        <w:tc>
          <w:tcPr>
            <w:tcW w:w="993" w:type="dxa"/>
            <w:tcBorders>
              <w:top w:val="nil"/>
              <w:left w:val="nil"/>
              <w:bottom w:val="nil"/>
              <w:right w:val="nil"/>
            </w:tcBorders>
            <w:noWrap/>
            <w:vAlign w:val="bottom"/>
            <w:hideMark/>
          </w:tcPr>
          <w:p w14:paraId="6DABF0C8"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9CBD6A8" w14:textId="77777777" w:rsidTr="008A61B1">
        <w:trPr>
          <w:trHeight w:val="585"/>
        </w:trPr>
        <w:tc>
          <w:tcPr>
            <w:tcW w:w="1134" w:type="dxa"/>
            <w:tcBorders>
              <w:top w:val="nil"/>
              <w:left w:val="nil"/>
              <w:bottom w:val="nil"/>
              <w:right w:val="nil"/>
            </w:tcBorders>
            <w:shd w:val="clear" w:color="000000" w:fill="FF9900"/>
            <w:noWrap/>
            <w:vAlign w:val="bottom"/>
            <w:hideMark/>
          </w:tcPr>
          <w:p w14:paraId="768CF47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1605</w:t>
            </w:r>
          </w:p>
        </w:tc>
        <w:tc>
          <w:tcPr>
            <w:tcW w:w="4962" w:type="dxa"/>
            <w:tcBorders>
              <w:top w:val="nil"/>
              <w:left w:val="nil"/>
              <w:bottom w:val="nil"/>
              <w:right w:val="nil"/>
            </w:tcBorders>
            <w:shd w:val="clear" w:color="000000" w:fill="FF9900"/>
            <w:vAlign w:val="bottom"/>
            <w:hideMark/>
          </w:tcPr>
          <w:p w14:paraId="188B1DB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Program: INVESTICIJE NA OBJEKTIMA OD JAVNOG INTERESA</w:t>
            </w:r>
          </w:p>
        </w:tc>
        <w:tc>
          <w:tcPr>
            <w:tcW w:w="1559" w:type="dxa"/>
            <w:tcBorders>
              <w:top w:val="nil"/>
              <w:left w:val="nil"/>
              <w:bottom w:val="nil"/>
              <w:right w:val="nil"/>
            </w:tcBorders>
            <w:shd w:val="clear" w:color="000000" w:fill="FF9900"/>
            <w:noWrap/>
            <w:vAlign w:val="bottom"/>
            <w:hideMark/>
          </w:tcPr>
          <w:p w14:paraId="2C00075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471.875,00</w:t>
            </w:r>
          </w:p>
        </w:tc>
        <w:tc>
          <w:tcPr>
            <w:tcW w:w="1559" w:type="dxa"/>
            <w:tcBorders>
              <w:top w:val="nil"/>
              <w:left w:val="nil"/>
              <w:bottom w:val="nil"/>
              <w:right w:val="nil"/>
            </w:tcBorders>
            <w:shd w:val="clear" w:color="000000" w:fill="FF9900"/>
            <w:noWrap/>
            <w:vAlign w:val="bottom"/>
            <w:hideMark/>
          </w:tcPr>
          <w:p w14:paraId="18276DB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456.875,00</w:t>
            </w:r>
          </w:p>
        </w:tc>
        <w:tc>
          <w:tcPr>
            <w:tcW w:w="1559" w:type="dxa"/>
            <w:tcBorders>
              <w:top w:val="nil"/>
              <w:left w:val="nil"/>
              <w:bottom w:val="nil"/>
              <w:right w:val="nil"/>
            </w:tcBorders>
            <w:shd w:val="clear" w:color="000000" w:fill="FF9900"/>
            <w:noWrap/>
            <w:vAlign w:val="bottom"/>
            <w:hideMark/>
          </w:tcPr>
          <w:p w14:paraId="3BA9447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210.222,21</w:t>
            </w:r>
          </w:p>
        </w:tc>
        <w:tc>
          <w:tcPr>
            <w:tcW w:w="993" w:type="dxa"/>
            <w:tcBorders>
              <w:top w:val="nil"/>
              <w:left w:val="nil"/>
              <w:bottom w:val="nil"/>
              <w:right w:val="nil"/>
            </w:tcBorders>
            <w:shd w:val="clear" w:color="000000" w:fill="FF9900"/>
            <w:noWrap/>
            <w:vAlign w:val="bottom"/>
            <w:hideMark/>
          </w:tcPr>
          <w:p w14:paraId="67B4AFD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46,01%</w:t>
            </w:r>
          </w:p>
        </w:tc>
      </w:tr>
      <w:tr w:rsidR="006967F8" w:rsidRPr="006967F8" w14:paraId="054A5999" w14:textId="77777777" w:rsidTr="008A61B1">
        <w:trPr>
          <w:trHeight w:val="570"/>
        </w:trPr>
        <w:tc>
          <w:tcPr>
            <w:tcW w:w="1134" w:type="dxa"/>
            <w:tcBorders>
              <w:top w:val="nil"/>
              <w:left w:val="nil"/>
              <w:bottom w:val="nil"/>
              <w:right w:val="nil"/>
            </w:tcBorders>
            <w:shd w:val="clear" w:color="000000" w:fill="FFFF99"/>
            <w:noWrap/>
            <w:vAlign w:val="bottom"/>
            <w:hideMark/>
          </w:tcPr>
          <w:p w14:paraId="3BF699F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A100075</w:t>
            </w:r>
          </w:p>
        </w:tc>
        <w:tc>
          <w:tcPr>
            <w:tcW w:w="4962" w:type="dxa"/>
            <w:tcBorders>
              <w:top w:val="nil"/>
              <w:left w:val="nil"/>
              <w:bottom w:val="nil"/>
              <w:right w:val="nil"/>
            </w:tcBorders>
            <w:shd w:val="clear" w:color="000000" w:fill="FFFF99"/>
            <w:vAlign w:val="bottom"/>
            <w:hideMark/>
          </w:tcPr>
          <w:p w14:paraId="7E7C5AC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Aktivnost: TEKUĆI RASHODI ZA PRIPREMU PROJEKATA</w:t>
            </w:r>
          </w:p>
        </w:tc>
        <w:tc>
          <w:tcPr>
            <w:tcW w:w="1559" w:type="dxa"/>
            <w:tcBorders>
              <w:top w:val="nil"/>
              <w:left w:val="nil"/>
              <w:bottom w:val="nil"/>
              <w:right w:val="nil"/>
            </w:tcBorders>
            <w:shd w:val="clear" w:color="000000" w:fill="FFFF99"/>
            <w:noWrap/>
            <w:vAlign w:val="bottom"/>
            <w:hideMark/>
          </w:tcPr>
          <w:p w14:paraId="03B3BF9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16.500,00</w:t>
            </w:r>
          </w:p>
        </w:tc>
        <w:tc>
          <w:tcPr>
            <w:tcW w:w="1559" w:type="dxa"/>
            <w:tcBorders>
              <w:top w:val="nil"/>
              <w:left w:val="nil"/>
              <w:bottom w:val="nil"/>
              <w:right w:val="nil"/>
            </w:tcBorders>
            <w:shd w:val="clear" w:color="000000" w:fill="FFFF99"/>
            <w:noWrap/>
            <w:vAlign w:val="bottom"/>
            <w:hideMark/>
          </w:tcPr>
          <w:p w14:paraId="21CAC7C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16.500,00</w:t>
            </w:r>
          </w:p>
        </w:tc>
        <w:tc>
          <w:tcPr>
            <w:tcW w:w="1559" w:type="dxa"/>
            <w:tcBorders>
              <w:top w:val="nil"/>
              <w:left w:val="nil"/>
              <w:bottom w:val="nil"/>
              <w:right w:val="nil"/>
            </w:tcBorders>
            <w:shd w:val="clear" w:color="000000" w:fill="FFFF99"/>
            <w:noWrap/>
            <w:vAlign w:val="bottom"/>
            <w:hideMark/>
          </w:tcPr>
          <w:p w14:paraId="7B5EB35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shd w:val="clear" w:color="000000" w:fill="FFFF99"/>
            <w:noWrap/>
            <w:vAlign w:val="bottom"/>
            <w:hideMark/>
          </w:tcPr>
          <w:p w14:paraId="7B123A0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51334493"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05BF7B6"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333AAC4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16.500,00</w:t>
            </w:r>
          </w:p>
        </w:tc>
        <w:tc>
          <w:tcPr>
            <w:tcW w:w="1559" w:type="dxa"/>
            <w:tcBorders>
              <w:top w:val="nil"/>
              <w:left w:val="nil"/>
              <w:bottom w:val="nil"/>
              <w:right w:val="nil"/>
            </w:tcBorders>
            <w:shd w:val="clear" w:color="000000" w:fill="CCCCFF"/>
            <w:noWrap/>
            <w:vAlign w:val="bottom"/>
            <w:hideMark/>
          </w:tcPr>
          <w:p w14:paraId="6CEFEB3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16.500,00</w:t>
            </w:r>
          </w:p>
        </w:tc>
        <w:tc>
          <w:tcPr>
            <w:tcW w:w="1559" w:type="dxa"/>
            <w:tcBorders>
              <w:top w:val="nil"/>
              <w:left w:val="nil"/>
              <w:bottom w:val="nil"/>
              <w:right w:val="nil"/>
            </w:tcBorders>
            <w:shd w:val="clear" w:color="000000" w:fill="CCCCFF"/>
            <w:noWrap/>
            <w:vAlign w:val="bottom"/>
            <w:hideMark/>
          </w:tcPr>
          <w:p w14:paraId="4B20A65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3E9ABC3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0085D13D"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6DA96E4"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7ADB7A5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16.500,00</w:t>
            </w:r>
          </w:p>
        </w:tc>
        <w:tc>
          <w:tcPr>
            <w:tcW w:w="1559" w:type="dxa"/>
            <w:tcBorders>
              <w:top w:val="nil"/>
              <w:left w:val="nil"/>
              <w:bottom w:val="nil"/>
              <w:right w:val="nil"/>
            </w:tcBorders>
            <w:shd w:val="clear" w:color="000000" w:fill="CCCCFF"/>
            <w:noWrap/>
            <w:vAlign w:val="bottom"/>
            <w:hideMark/>
          </w:tcPr>
          <w:p w14:paraId="50F19A2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16.500,00</w:t>
            </w:r>
          </w:p>
        </w:tc>
        <w:tc>
          <w:tcPr>
            <w:tcW w:w="1559" w:type="dxa"/>
            <w:tcBorders>
              <w:top w:val="nil"/>
              <w:left w:val="nil"/>
              <w:bottom w:val="nil"/>
              <w:right w:val="nil"/>
            </w:tcBorders>
            <w:shd w:val="clear" w:color="000000" w:fill="CCCCFF"/>
            <w:noWrap/>
            <w:vAlign w:val="bottom"/>
            <w:hideMark/>
          </w:tcPr>
          <w:p w14:paraId="5FB37A5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03697A4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683A5C3B" w14:textId="77777777" w:rsidTr="008A61B1">
        <w:trPr>
          <w:trHeight w:val="255"/>
        </w:trPr>
        <w:tc>
          <w:tcPr>
            <w:tcW w:w="1134" w:type="dxa"/>
            <w:tcBorders>
              <w:top w:val="nil"/>
              <w:left w:val="nil"/>
              <w:bottom w:val="nil"/>
              <w:right w:val="nil"/>
            </w:tcBorders>
            <w:noWrap/>
            <w:vAlign w:val="bottom"/>
            <w:hideMark/>
          </w:tcPr>
          <w:p w14:paraId="28B8CEE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54E6412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205EFE6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16.500,00</w:t>
            </w:r>
          </w:p>
        </w:tc>
        <w:tc>
          <w:tcPr>
            <w:tcW w:w="1559" w:type="dxa"/>
            <w:tcBorders>
              <w:top w:val="nil"/>
              <w:left w:val="nil"/>
              <w:bottom w:val="nil"/>
              <w:right w:val="nil"/>
            </w:tcBorders>
            <w:noWrap/>
            <w:vAlign w:val="bottom"/>
            <w:hideMark/>
          </w:tcPr>
          <w:p w14:paraId="775192A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16.500,00</w:t>
            </w:r>
          </w:p>
        </w:tc>
        <w:tc>
          <w:tcPr>
            <w:tcW w:w="1559" w:type="dxa"/>
            <w:tcBorders>
              <w:top w:val="nil"/>
              <w:left w:val="nil"/>
              <w:bottom w:val="nil"/>
              <w:right w:val="nil"/>
            </w:tcBorders>
            <w:noWrap/>
            <w:vAlign w:val="bottom"/>
            <w:hideMark/>
          </w:tcPr>
          <w:p w14:paraId="0F74BC9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0C74645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4FE39100" w14:textId="77777777" w:rsidTr="008A61B1">
        <w:trPr>
          <w:trHeight w:val="585"/>
        </w:trPr>
        <w:tc>
          <w:tcPr>
            <w:tcW w:w="1134" w:type="dxa"/>
            <w:tcBorders>
              <w:top w:val="nil"/>
              <w:left w:val="nil"/>
              <w:bottom w:val="nil"/>
              <w:right w:val="nil"/>
            </w:tcBorders>
            <w:shd w:val="clear" w:color="000000" w:fill="FFFF99"/>
            <w:noWrap/>
            <w:vAlign w:val="bottom"/>
            <w:hideMark/>
          </w:tcPr>
          <w:p w14:paraId="21F1429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K100046</w:t>
            </w:r>
          </w:p>
        </w:tc>
        <w:tc>
          <w:tcPr>
            <w:tcW w:w="4962" w:type="dxa"/>
            <w:tcBorders>
              <w:top w:val="nil"/>
              <w:left w:val="nil"/>
              <w:bottom w:val="nil"/>
              <w:right w:val="nil"/>
            </w:tcBorders>
            <w:shd w:val="clear" w:color="000000" w:fill="FFFF99"/>
            <w:vAlign w:val="bottom"/>
            <w:hideMark/>
          </w:tcPr>
          <w:p w14:paraId="3F9457B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Kapitalni projekt: ENERGETSKA OBNOVA ZGRADA U VLASNIŠTVU GRADA </w:t>
            </w:r>
          </w:p>
        </w:tc>
        <w:tc>
          <w:tcPr>
            <w:tcW w:w="1559" w:type="dxa"/>
            <w:tcBorders>
              <w:top w:val="nil"/>
              <w:left w:val="nil"/>
              <w:bottom w:val="nil"/>
              <w:right w:val="nil"/>
            </w:tcBorders>
            <w:shd w:val="clear" w:color="000000" w:fill="FFFF99"/>
            <w:noWrap/>
            <w:vAlign w:val="bottom"/>
            <w:hideMark/>
          </w:tcPr>
          <w:p w14:paraId="38F5346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36.000,00</w:t>
            </w:r>
          </w:p>
        </w:tc>
        <w:tc>
          <w:tcPr>
            <w:tcW w:w="1559" w:type="dxa"/>
            <w:tcBorders>
              <w:top w:val="nil"/>
              <w:left w:val="nil"/>
              <w:bottom w:val="nil"/>
              <w:right w:val="nil"/>
            </w:tcBorders>
            <w:shd w:val="clear" w:color="000000" w:fill="FFFF99"/>
            <w:noWrap/>
            <w:vAlign w:val="bottom"/>
            <w:hideMark/>
          </w:tcPr>
          <w:p w14:paraId="31E782F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36.000,00</w:t>
            </w:r>
          </w:p>
        </w:tc>
        <w:tc>
          <w:tcPr>
            <w:tcW w:w="1559" w:type="dxa"/>
            <w:tcBorders>
              <w:top w:val="nil"/>
              <w:left w:val="nil"/>
              <w:bottom w:val="nil"/>
              <w:right w:val="nil"/>
            </w:tcBorders>
            <w:shd w:val="clear" w:color="000000" w:fill="FFFF99"/>
            <w:noWrap/>
            <w:vAlign w:val="bottom"/>
            <w:hideMark/>
          </w:tcPr>
          <w:p w14:paraId="1997549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shd w:val="clear" w:color="000000" w:fill="FFFF99"/>
            <w:noWrap/>
            <w:vAlign w:val="bottom"/>
            <w:hideMark/>
          </w:tcPr>
          <w:p w14:paraId="5D959E3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1A21F92B"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83E91DA"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436E44C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36.000,00</w:t>
            </w:r>
          </w:p>
        </w:tc>
        <w:tc>
          <w:tcPr>
            <w:tcW w:w="1559" w:type="dxa"/>
            <w:tcBorders>
              <w:top w:val="nil"/>
              <w:left w:val="nil"/>
              <w:bottom w:val="nil"/>
              <w:right w:val="nil"/>
            </w:tcBorders>
            <w:shd w:val="clear" w:color="000000" w:fill="CCCCFF"/>
            <w:noWrap/>
            <w:vAlign w:val="bottom"/>
            <w:hideMark/>
          </w:tcPr>
          <w:p w14:paraId="7850F49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36.000,00</w:t>
            </w:r>
          </w:p>
        </w:tc>
        <w:tc>
          <w:tcPr>
            <w:tcW w:w="1559" w:type="dxa"/>
            <w:tcBorders>
              <w:top w:val="nil"/>
              <w:left w:val="nil"/>
              <w:bottom w:val="nil"/>
              <w:right w:val="nil"/>
            </w:tcBorders>
            <w:shd w:val="clear" w:color="000000" w:fill="CCCCFF"/>
            <w:noWrap/>
            <w:vAlign w:val="bottom"/>
            <w:hideMark/>
          </w:tcPr>
          <w:p w14:paraId="54C4E39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205C908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55E0F3FC"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460A3D7"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2A7A31F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36.000,00</w:t>
            </w:r>
          </w:p>
        </w:tc>
        <w:tc>
          <w:tcPr>
            <w:tcW w:w="1559" w:type="dxa"/>
            <w:tcBorders>
              <w:top w:val="nil"/>
              <w:left w:val="nil"/>
              <w:bottom w:val="nil"/>
              <w:right w:val="nil"/>
            </w:tcBorders>
            <w:shd w:val="clear" w:color="000000" w:fill="CCCCFF"/>
            <w:noWrap/>
            <w:vAlign w:val="bottom"/>
            <w:hideMark/>
          </w:tcPr>
          <w:p w14:paraId="2CDAC54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36.000,00</w:t>
            </w:r>
          </w:p>
        </w:tc>
        <w:tc>
          <w:tcPr>
            <w:tcW w:w="1559" w:type="dxa"/>
            <w:tcBorders>
              <w:top w:val="nil"/>
              <w:left w:val="nil"/>
              <w:bottom w:val="nil"/>
              <w:right w:val="nil"/>
            </w:tcBorders>
            <w:shd w:val="clear" w:color="000000" w:fill="CCCCFF"/>
            <w:noWrap/>
            <w:vAlign w:val="bottom"/>
            <w:hideMark/>
          </w:tcPr>
          <w:p w14:paraId="5FCF807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367F8A1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5890EFED" w14:textId="77777777" w:rsidTr="008A61B1">
        <w:trPr>
          <w:trHeight w:val="255"/>
        </w:trPr>
        <w:tc>
          <w:tcPr>
            <w:tcW w:w="1134" w:type="dxa"/>
            <w:tcBorders>
              <w:top w:val="nil"/>
              <w:left w:val="nil"/>
              <w:bottom w:val="nil"/>
              <w:right w:val="nil"/>
            </w:tcBorders>
            <w:noWrap/>
            <w:vAlign w:val="bottom"/>
            <w:hideMark/>
          </w:tcPr>
          <w:p w14:paraId="31FCF8C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50E0587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49AE77D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36.000,00</w:t>
            </w:r>
          </w:p>
        </w:tc>
        <w:tc>
          <w:tcPr>
            <w:tcW w:w="1559" w:type="dxa"/>
            <w:tcBorders>
              <w:top w:val="nil"/>
              <w:left w:val="nil"/>
              <w:bottom w:val="nil"/>
              <w:right w:val="nil"/>
            </w:tcBorders>
            <w:noWrap/>
            <w:vAlign w:val="bottom"/>
            <w:hideMark/>
          </w:tcPr>
          <w:p w14:paraId="453940B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36.000,00</w:t>
            </w:r>
          </w:p>
        </w:tc>
        <w:tc>
          <w:tcPr>
            <w:tcW w:w="1559" w:type="dxa"/>
            <w:tcBorders>
              <w:top w:val="nil"/>
              <w:left w:val="nil"/>
              <w:bottom w:val="nil"/>
              <w:right w:val="nil"/>
            </w:tcBorders>
            <w:noWrap/>
            <w:vAlign w:val="bottom"/>
            <w:hideMark/>
          </w:tcPr>
          <w:p w14:paraId="40736CE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27252F3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6D37DAD5" w14:textId="77777777" w:rsidTr="008A61B1">
        <w:trPr>
          <w:trHeight w:val="555"/>
        </w:trPr>
        <w:tc>
          <w:tcPr>
            <w:tcW w:w="1134" w:type="dxa"/>
            <w:tcBorders>
              <w:top w:val="nil"/>
              <w:left w:val="nil"/>
              <w:bottom w:val="nil"/>
              <w:right w:val="nil"/>
            </w:tcBorders>
            <w:shd w:val="clear" w:color="000000" w:fill="FFFF99"/>
            <w:noWrap/>
            <w:vAlign w:val="bottom"/>
            <w:hideMark/>
          </w:tcPr>
          <w:p w14:paraId="4B51319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K100060</w:t>
            </w:r>
          </w:p>
        </w:tc>
        <w:tc>
          <w:tcPr>
            <w:tcW w:w="4962" w:type="dxa"/>
            <w:tcBorders>
              <w:top w:val="nil"/>
              <w:left w:val="nil"/>
              <w:bottom w:val="nil"/>
              <w:right w:val="nil"/>
            </w:tcBorders>
            <w:shd w:val="clear" w:color="000000" w:fill="FFFF99"/>
            <w:vAlign w:val="bottom"/>
            <w:hideMark/>
          </w:tcPr>
          <w:p w14:paraId="04E917B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Kapitalni projekt: PRIPREMA INFRASTRUKTURE ZA IZGRADNJU POS STANOVA </w:t>
            </w:r>
          </w:p>
        </w:tc>
        <w:tc>
          <w:tcPr>
            <w:tcW w:w="1559" w:type="dxa"/>
            <w:tcBorders>
              <w:top w:val="nil"/>
              <w:left w:val="nil"/>
              <w:bottom w:val="nil"/>
              <w:right w:val="nil"/>
            </w:tcBorders>
            <w:shd w:val="clear" w:color="000000" w:fill="FFFF99"/>
            <w:noWrap/>
            <w:vAlign w:val="bottom"/>
            <w:hideMark/>
          </w:tcPr>
          <w:p w14:paraId="7D3EE25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30.000,00</w:t>
            </w:r>
          </w:p>
        </w:tc>
        <w:tc>
          <w:tcPr>
            <w:tcW w:w="1559" w:type="dxa"/>
            <w:tcBorders>
              <w:top w:val="nil"/>
              <w:left w:val="nil"/>
              <w:bottom w:val="nil"/>
              <w:right w:val="nil"/>
            </w:tcBorders>
            <w:shd w:val="clear" w:color="000000" w:fill="FFFF99"/>
            <w:noWrap/>
            <w:vAlign w:val="bottom"/>
            <w:hideMark/>
          </w:tcPr>
          <w:p w14:paraId="707D821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30.000,00</w:t>
            </w:r>
          </w:p>
        </w:tc>
        <w:tc>
          <w:tcPr>
            <w:tcW w:w="1559" w:type="dxa"/>
            <w:tcBorders>
              <w:top w:val="nil"/>
              <w:left w:val="nil"/>
              <w:bottom w:val="nil"/>
              <w:right w:val="nil"/>
            </w:tcBorders>
            <w:shd w:val="clear" w:color="000000" w:fill="FFFF99"/>
            <w:noWrap/>
            <w:vAlign w:val="bottom"/>
            <w:hideMark/>
          </w:tcPr>
          <w:p w14:paraId="19F5650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shd w:val="clear" w:color="000000" w:fill="FFFF99"/>
            <w:noWrap/>
            <w:vAlign w:val="bottom"/>
            <w:hideMark/>
          </w:tcPr>
          <w:p w14:paraId="7631BD4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205858C7"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2D30F7F"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4606473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30.000,00</w:t>
            </w:r>
          </w:p>
        </w:tc>
        <w:tc>
          <w:tcPr>
            <w:tcW w:w="1559" w:type="dxa"/>
            <w:tcBorders>
              <w:top w:val="nil"/>
              <w:left w:val="nil"/>
              <w:bottom w:val="nil"/>
              <w:right w:val="nil"/>
            </w:tcBorders>
            <w:shd w:val="clear" w:color="000000" w:fill="CCCCFF"/>
            <w:noWrap/>
            <w:vAlign w:val="bottom"/>
            <w:hideMark/>
          </w:tcPr>
          <w:p w14:paraId="79E5E44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30.000,00</w:t>
            </w:r>
          </w:p>
        </w:tc>
        <w:tc>
          <w:tcPr>
            <w:tcW w:w="1559" w:type="dxa"/>
            <w:tcBorders>
              <w:top w:val="nil"/>
              <w:left w:val="nil"/>
              <w:bottom w:val="nil"/>
              <w:right w:val="nil"/>
            </w:tcBorders>
            <w:shd w:val="clear" w:color="000000" w:fill="CCCCFF"/>
            <w:noWrap/>
            <w:vAlign w:val="bottom"/>
            <w:hideMark/>
          </w:tcPr>
          <w:p w14:paraId="0373BB4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09E48F4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6715C792"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8528B8D"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11C0A87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30.000,00</w:t>
            </w:r>
          </w:p>
        </w:tc>
        <w:tc>
          <w:tcPr>
            <w:tcW w:w="1559" w:type="dxa"/>
            <w:tcBorders>
              <w:top w:val="nil"/>
              <w:left w:val="nil"/>
              <w:bottom w:val="nil"/>
              <w:right w:val="nil"/>
            </w:tcBorders>
            <w:shd w:val="clear" w:color="000000" w:fill="CCCCFF"/>
            <w:noWrap/>
            <w:vAlign w:val="bottom"/>
            <w:hideMark/>
          </w:tcPr>
          <w:p w14:paraId="270AD99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30.000,00</w:t>
            </w:r>
          </w:p>
        </w:tc>
        <w:tc>
          <w:tcPr>
            <w:tcW w:w="1559" w:type="dxa"/>
            <w:tcBorders>
              <w:top w:val="nil"/>
              <w:left w:val="nil"/>
              <w:bottom w:val="nil"/>
              <w:right w:val="nil"/>
            </w:tcBorders>
            <w:shd w:val="clear" w:color="000000" w:fill="CCCCFF"/>
            <w:noWrap/>
            <w:vAlign w:val="bottom"/>
            <w:hideMark/>
          </w:tcPr>
          <w:p w14:paraId="6649FD7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3F8EDF3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6AFFB910" w14:textId="77777777" w:rsidTr="008A61B1">
        <w:trPr>
          <w:trHeight w:val="555"/>
        </w:trPr>
        <w:tc>
          <w:tcPr>
            <w:tcW w:w="1134" w:type="dxa"/>
            <w:tcBorders>
              <w:top w:val="nil"/>
              <w:left w:val="nil"/>
              <w:bottom w:val="nil"/>
              <w:right w:val="nil"/>
            </w:tcBorders>
            <w:noWrap/>
            <w:vAlign w:val="bottom"/>
            <w:hideMark/>
          </w:tcPr>
          <w:p w14:paraId="49962BA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37</w:t>
            </w:r>
          </w:p>
        </w:tc>
        <w:tc>
          <w:tcPr>
            <w:tcW w:w="4962" w:type="dxa"/>
            <w:tcBorders>
              <w:top w:val="nil"/>
              <w:left w:val="nil"/>
              <w:bottom w:val="nil"/>
              <w:right w:val="nil"/>
            </w:tcBorders>
            <w:vAlign w:val="bottom"/>
            <w:hideMark/>
          </w:tcPr>
          <w:p w14:paraId="2115193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Naknade građanima i kućanstvima na temelju osiguranja i druge naknade</w:t>
            </w:r>
          </w:p>
        </w:tc>
        <w:tc>
          <w:tcPr>
            <w:tcW w:w="1559" w:type="dxa"/>
            <w:tcBorders>
              <w:top w:val="nil"/>
              <w:left w:val="nil"/>
              <w:bottom w:val="nil"/>
              <w:right w:val="nil"/>
            </w:tcBorders>
            <w:noWrap/>
            <w:vAlign w:val="bottom"/>
            <w:hideMark/>
          </w:tcPr>
          <w:p w14:paraId="4175C06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30.000,00</w:t>
            </w:r>
          </w:p>
        </w:tc>
        <w:tc>
          <w:tcPr>
            <w:tcW w:w="1559" w:type="dxa"/>
            <w:tcBorders>
              <w:top w:val="nil"/>
              <w:left w:val="nil"/>
              <w:bottom w:val="nil"/>
              <w:right w:val="nil"/>
            </w:tcBorders>
            <w:noWrap/>
            <w:vAlign w:val="bottom"/>
            <w:hideMark/>
          </w:tcPr>
          <w:p w14:paraId="5D64073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30.000,00</w:t>
            </w:r>
          </w:p>
        </w:tc>
        <w:tc>
          <w:tcPr>
            <w:tcW w:w="1559" w:type="dxa"/>
            <w:tcBorders>
              <w:top w:val="nil"/>
              <w:left w:val="nil"/>
              <w:bottom w:val="nil"/>
              <w:right w:val="nil"/>
            </w:tcBorders>
            <w:noWrap/>
            <w:vAlign w:val="bottom"/>
            <w:hideMark/>
          </w:tcPr>
          <w:p w14:paraId="6174A45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52D25B2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52A0BDF6" w14:textId="77777777" w:rsidTr="008A61B1">
        <w:trPr>
          <w:trHeight w:val="555"/>
        </w:trPr>
        <w:tc>
          <w:tcPr>
            <w:tcW w:w="1134" w:type="dxa"/>
            <w:tcBorders>
              <w:top w:val="nil"/>
              <w:left w:val="nil"/>
              <w:bottom w:val="nil"/>
              <w:right w:val="nil"/>
            </w:tcBorders>
            <w:shd w:val="clear" w:color="000000" w:fill="FFFF99"/>
            <w:noWrap/>
            <w:vAlign w:val="bottom"/>
            <w:hideMark/>
          </w:tcPr>
          <w:p w14:paraId="6F6B891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K100081</w:t>
            </w:r>
          </w:p>
        </w:tc>
        <w:tc>
          <w:tcPr>
            <w:tcW w:w="4962" w:type="dxa"/>
            <w:tcBorders>
              <w:top w:val="nil"/>
              <w:left w:val="nil"/>
              <w:bottom w:val="nil"/>
              <w:right w:val="nil"/>
            </w:tcBorders>
            <w:shd w:val="clear" w:color="000000" w:fill="FFFF99"/>
            <w:vAlign w:val="bottom"/>
            <w:hideMark/>
          </w:tcPr>
          <w:p w14:paraId="0B77B90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Kapitalni projekt: IZGRADNJA POLIGONA ZA AUTOŠKOLU U PLANOM </w:t>
            </w:r>
          </w:p>
        </w:tc>
        <w:tc>
          <w:tcPr>
            <w:tcW w:w="1559" w:type="dxa"/>
            <w:tcBorders>
              <w:top w:val="nil"/>
              <w:left w:val="nil"/>
              <w:bottom w:val="nil"/>
              <w:right w:val="nil"/>
            </w:tcBorders>
            <w:shd w:val="clear" w:color="000000" w:fill="FFFF99"/>
            <w:noWrap/>
            <w:vAlign w:val="bottom"/>
            <w:hideMark/>
          </w:tcPr>
          <w:p w14:paraId="0B025B3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47.375,00</w:t>
            </w:r>
          </w:p>
        </w:tc>
        <w:tc>
          <w:tcPr>
            <w:tcW w:w="1559" w:type="dxa"/>
            <w:tcBorders>
              <w:top w:val="nil"/>
              <w:left w:val="nil"/>
              <w:bottom w:val="nil"/>
              <w:right w:val="nil"/>
            </w:tcBorders>
            <w:shd w:val="clear" w:color="000000" w:fill="FFFF99"/>
            <w:noWrap/>
            <w:vAlign w:val="bottom"/>
            <w:hideMark/>
          </w:tcPr>
          <w:p w14:paraId="7472621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47.375,00</w:t>
            </w:r>
          </w:p>
        </w:tc>
        <w:tc>
          <w:tcPr>
            <w:tcW w:w="1559" w:type="dxa"/>
            <w:tcBorders>
              <w:top w:val="nil"/>
              <w:left w:val="nil"/>
              <w:bottom w:val="nil"/>
              <w:right w:val="nil"/>
            </w:tcBorders>
            <w:shd w:val="clear" w:color="000000" w:fill="FFFF99"/>
            <w:noWrap/>
            <w:vAlign w:val="bottom"/>
            <w:hideMark/>
          </w:tcPr>
          <w:p w14:paraId="6329D1A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43.550,00</w:t>
            </w:r>
          </w:p>
        </w:tc>
        <w:tc>
          <w:tcPr>
            <w:tcW w:w="993" w:type="dxa"/>
            <w:tcBorders>
              <w:top w:val="nil"/>
              <w:left w:val="nil"/>
              <w:bottom w:val="nil"/>
              <w:right w:val="nil"/>
            </w:tcBorders>
            <w:shd w:val="clear" w:color="000000" w:fill="FFFF99"/>
            <w:noWrap/>
            <w:vAlign w:val="bottom"/>
            <w:hideMark/>
          </w:tcPr>
          <w:p w14:paraId="565D415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91,93%</w:t>
            </w:r>
          </w:p>
        </w:tc>
      </w:tr>
      <w:tr w:rsidR="006967F8" w:rsidRPr="006967F8" w14:paraId="67817C7B"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BA45CE8"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6B8D289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47.375,00</w:t>
            </w:r>
          </w:p>
        </w:tc>
        <w:tc>
          <w:tcPr>
            <w:tcW w:w="1559" w:type="dxa"/>
            <w:tcBorders>
              <w:top w:val="nil"/>
              <w:left w:val="nil"/>
              <w:bottom w:val="nil"/>
              <w:right w:val="nil"/>
            </w:tcBorders>
            <w:shd w:val="clear" w:color="000000" w:fill="CCCCFF"/>
            <w:noWrap/>
            <w:vAlign w:val="bottom"/>
            <w:hideMark/>
          </w:tcPr>
          <w:p w14:paraId="215C047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47.375,00</w:t>
            </w:r>
          </w:p>
        </w:tc>
        <w:tc>
          <w:tcPr>
            <w:tcW w:w="1559" w:type="dxa"/>
            <w:tcBorders>
              <w:top w:val="nil"/>
              <w:left w:val="nil"/>
              <w:bottom w:val="nil"/>
              <w:right w:val="nil"/>
            </w:tcBorders>
            <w:shd w:val="clear" w:color="000000" w:fill="CCCCFF"/>
            <w:noWrap/>
            <w:vAlign w:val="bottom"/>
            <w:hideMark/>
          </w:tcPr>
          <w:p w14:paraId="62237B8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43.550,00</w:t>
            </w:r>
          </w:p>
        </w:tc>
        <w:tc>
          <w:tcPr>
            <w:tcW w:w="993" w:type="dxa"/>
            <w:tcBorders>
              <w:top w:val="nil"/>
              <w:left w:val="nil"/>
              <w:bottom w:val="nil"/>
              <w:right w:val="nil"/>
            </w:tcBorders>
            <w:shd w:val="clear" w:color="000000" w:fill="CCCCFF"/>
            <w:noWrap/>
            <w:vAlign w:val="bottom"/>
            <w:hideMark/>
          </w:tcPr>
          <w:p w14:paraId="0646DC6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91,93%</w:t>
            </w:r>
          </w:p>
        </w:tc>
      </w:tr>
      <w:tr w:rsidR="006967F8" w:rsidRPr="006967F8" w14:paraId="3DAB162C"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D917590"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0058115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47.375,00</w:t>
            </w:r>
          </w:p>
        </w:tc>
        <w:tc>
          <w:tcPr>
            <w:tcW w:w="1559" w:type="dxa"/>
            <w:tcBorders>
              <w:top w:val="nil"/>
              <w:left w:val="nil"/>
              <w:bottom w:val="nil"/>
              <w:right w:val="nil"/>
            </w:tcBorders>
            <w:shd w:val="clear" w:color="000000" w:fill="CCCCFF"/>
            <w:noWrap/>
            <w:vAlign w:val="bottom"/>
            <w:hideMark/>
          </w:tcPr>
          <w:p w14:paraId="4D9D41F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47.375,00</w:t>
            </w:r>
          </w:p>
        </w:tc>
        <w:tc>
          <w:tcPr>
            <w:tcW w:w="1559" w:type="dxa"/>
            <w:tcBorders>
              <w:top w:val="nil"/>
              <w:left w:val="nil"/>
              <w:bottom w:val="nil"/>
              <w:right w:val="nil"/>
            </w:tcBorders>
            <w:shd w:val="clear" w:color="000000" w:fill="CCCCFF"/>
            <w:noWrap/>
            <w:vAlign w:val="bottom"/>
            <w:hideMark/>
          </w:tcPr>
          <w:p w14:paraId="24F79B8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43.550,00</w:t>
            </w:r>
          </w:p>
        </w:tc>
        <w:tc>
          <w:tcPr>
            <w:tcW w:w="993" w:type="dxa"/>
            <w:tcBorders>
              <w:top w:val="nil"/>
              <w:left w:val="nil"/>
              <w:bottom w:val="nil"/>
              <w:right w:val="nil"/>
            </w:tcBorders>
            <w:shd w:val="clear" w:color="000000" w:fill="CCCCFF"/>
            <w:noWrap/>
            <w:vAlign w:val="bottom"/>
            <w:hideMark/>
          </w:tcPr>
          <w:p w14:paraId="4A15B41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91,93%</w:t>
            </w:r>
          </w:p>
        </w:tc>
      </w:tr>
      <w:tr w:rsidR="006967F8" w:rsidRPr="006967F8" w14:paraId="30391DF2" w14:textId="77777777" w:rsidTr="008A61B1">
        <w:trPr>
          <w:trHeight w:val="495"/>
        </w:trPr>
        <w:tc>
          <w:tcPr>
            <w:tcW w:w="1134" w:type="dxa"/>
            <w:tcBorders>
              <w:top w:val="nil"/>
              <w:left w:val="nil"/>
              <w:bottom w:val="nil"/>
              <w:right w:val="nil"/>
            </w:tcBorders>
            <w:noWrap/>
            <w:vAlign w:val="bottom"/>
            <w:hideMark/>
          </w:tcPr>
          <w:p w14:paraId="677E6FD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7894C35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7E16208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47.375,00</w:t>
            </w:r>
          </w:p>
        </w:tc>
        <w:tc>
          <w:tcPr>
            <w:tcW w:w="1559" w:type="dxa"/>
            <w:tcBorders>
              <w:top w:val="nil"/>
              <w:left w:val="nil"/>
              <w:bottom w:val="nil"/>
              <w:right w:val="nil"/>
            </w:tcBorders>
            <w:noWrap/>
            <w:vAlign w:val="bottom"/>
            <w:hideMark/>
          </w:tcPr>
          <w:p w14:paraId="31EB42C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47.375,00</w:t>
            </w:r>
          </w:p>
        </w:tc>
        <w:tc>
          <w:tcPr>
            <w:tcW w:w="1559" w:type="dxa"/>
            <w:tcBorders>
              <w:top w:val="nil"/>
              <w:left w:val="nil"/>
              <w:bottom w:val="nil"/>
              <w:right w:val="nil"/>
            </w:tcBorders>
            <w:noWrap/>
            <w:vAlign w:val="bottom"/>
            <w:hideMark/>
          </w:tcPr>
          <w:p w14:paraId="296E5EE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43.550,00</w:t>
            </w:r>
          </w:p>
        </w:tc>
        <w:tc>
          <w:tcPr>
            <w:tcW w:w="993" w:type="dxa"/>
            <w:tcBorders>
              <w:top w:val="nil"/>
              <w:left w:val="nil"/>
              <w:bottom w:val="nil"/>
              <w:right w:val="nil"/>
            </w:tcBorders>
            <w:noWrap/>
            <w:vAlign w:val="bottom"/>
            <w:hideMark/>
          </w:tcPr>
          <w:p w14:paraId="0A3BB91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91,93%</w:t>
            </w:r>
          </w:p>
        </w:tc>
      </w:tr>
      <w:tr w:rsidR="006967F8" w:rsidRPr="006967F8" w14:paraId="3D8A4FA4" w14:textId="77777777" w:rsidTr="008A61B1">
        <w:trPr>
          <w:trHeight w:val="255"/>
        </w:trPr>
        <w:tc>
          <w:tcPr>
            <w:tcW w:w="1134" w:type="dxa"/>
            <w:tcBorders>
              <w:top w:val="nil"/>
              <w:left w:val="nil"/>
              <w:bottom w:val="nil"/>
              <w:right w:val="nil"/>
            </w:tcBorders>
            <w:noWrap/>
            <w:vAlign w:val="bottom"/>
            <w:hideMark/>
          </w:tcPr>
          <w:p w14:paraId="1A3E9E4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4213</w:t>
            </w:r>
          </w:p>
        </w:tc>
        <w:tc>
          <w:tcPr>
            <w:tcW w:w="4962" w:type="dxa"/>
            <w:tcBorders>
              <w:top w:val="nil"/>
              <w:left w:val="nil"/>
              <w:bottom w:val="nil"/>
              <w:right w:val="nil"/>
            </w:tcBorders>
            <w:noWrap/>
            <w:vAlign w:val="bottom"/>
            <w:hideMark/>
          </w:tcPr>
          <w:p w14:paraId="6F4B3A65"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Ceste, željeznice i ostali prometni objekti</w:t>
            </w:r>
          </w:p>
        </w:tc>
        <w:tc>
          <w:tcPr>
            <w:tcW w:w="1559" w:type="dxa"/>
            <w:tcBorders>
              <w:top w:val="nil"/>
              <w:left w:val="nil"/>
              <w:bottom w:val="nil"/>
              <w:right w:val="nil"/>
            </w:tcBorders>
            <w:noWrap/>
            <w:vAlign w:val="bottom"/>
            <w:hideMark/>
          </w:tcPr>
          <w:p w14:paraId="340C39C4"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410DE75"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6330892"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43.550,00</w:t>
            </w:r>
          </w:p>
        </w:tc>
        <w:tc>
          <w:tcPr>
            <w:tcW w:w="993" w:type="dxa"/>
            <w:tcBorders>
              <w:top w:val="nil"/>
              <w:left w:val="nil"/>
              <w:bottom w:val="nil"/>
              <w:right w:val="nil"/>
            </w:tcBorders>
            <w:noWrap/>
            <w:vAlign w:val="bottom"/>
            <w:hideMark/>
          </w:tcPr>
          <w:p w14:paraId="0EDC894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09ABBCF" w14:textId="77777777" w:rsidTr="008A61B1">
        <w:trPr>
          <w:trHeight w:val="525"/>
        </w:trPr>
        <w:tc>
          <w:tcPr>
            <w:tcW w:w="1134" w:type="dxa"/>
            <w:tcBorders>
              <w:top w:val="nil"/>
              <w:left w:val="nil"/>
              <w:bottom w:val="nil"/>
              <w:right w:val="nil"/>
            </w:tcBorders>
            <w:shd w:val="clear" w:color="000000" w:fill="FFFF99"/>
            <w:noWrap/>
            <w:vAlign w:val="bottom"/>
            <w:hideMark/>
          </w:tcPr>
          <w:p w14:paraId="7E1E15E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K100088</w:t>
            </w:r>
          </w:p>
        </w:tc>
        <w:tc>
          <w:tcPr>
            <w:tcW w:w="4962" w:type="dxa"/>
            <w:tcBorders>
              <w:top w:val="nil"/>
              <w:left w:val="nil"/>
              <w:bottom w:val="nil"/>
              <w:right w:val="nil"/>
            </w:tcBorders>
            <w:shd w:val="clear" w:color="000000" w:fill="FFFF99"/>
            <w:vAlign w:val="bottom"/>
            <w:hideMark/>
          </w:tcPr>
          <w:p w14:paraId="633C0CA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Kapitalni projekt: REKONSTRUKCIJA ZGRADE "TIMUN" U ARBANIJI U DRUŠTVENI DOM</w:t>
            </w:r>
          </w:p>
        </w:tc>
        <w:tc>
          <w:tcPr>
            <w:tcW w:w="1559" w:type="dxa"/>
            <w:tcBorders>
              <w:top w:val="nil"/>
              <w:left w:val="nil"/>
              <w:bottom w:val="nil"/>
              <w:right w:val="nil"/>
            </w:tcBorders>
            <w:shd w:val="clear" w:color="000000" w:fill="FFFF99"/>
            <w:noWrap/>
            <w:vAlign w:val="bottom"/>
            <w:hideMark/>
          </w:tcPr>
          <w:p w14:paraId="11BE175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40.000,00</w:t>
            </w:r>
          </w:p>
        </w:tc>
        <w:tc>
          <w:tcPr>
            <w:tcW w:w="1559" w:type="dxa"/>
            <w:tcBorders>
              <w:top w:val="nil"/>
              <w:left w:val="nil"/>
              <w:bottom w:val="nil"/>
              <w:right w:val="nil"/>
            </w:tcBorders>
            <w:shd w:val="clear" w:color="000000" w:fill="FFFF99"/>
            <w:noWrap/>
            <w:vAlign w:val="bottom"/>
            <w:hideMark/>
          </w:tcPr>
          <w:p w14:paraId="4492590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40.000,00</w:t>
            </w:r>
          </w:p>
        </w:tc>
        <w:tc>
          <w:tcPr>
            <w:tcW w:w="1559" w:type="dxa"/>
            <w:tcBorders>
              <w:top w:val="nil"/>
              <w:left w:val="nil"/>
              <w:bottom w:val="nil"/>
              <w:right w:val="nil"/>
            </w:tcBorders>
            <w:shd w:val="clear" w:color="000000" w:fill="FFFF99"/>
            <w:noWrap/>
            <w:vAlign w:val="bottom"/>
            <w:hideMark/>
          </w:tcPr>
          <w:p w14:paraId="3D6EDF2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16.925,00</w:t>
            </w:r>
          </w:p>
        </w:tc>
        <w:tc>
          <w:tcPr>
            <w:tcW w:w="993" w:type="dxa"/>
            <w:tcBorders>
              <w:top w:val="nil"/>
              <w:left w:val="nil"/>
              <w:bottom w:val="nil"/>
              <w:right w:val="nil"/>
            </w:tcBorders>
            <w:shd w:val="clear" w:color="000000" w:fill="FFFF99"/>
            <w:noWrap/>
            <w:vAlign w:val="bottom"/>
            <w:hideMark/>
          </w:tcPr>
          <w:p w14:paraId="6174959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42,31%</w:t>
            </w:r>
          </w:p>
        </w:tc>
      </w:tr>
      <w:tr w:rsidR="006967F8" w:rsidRPr="006967F8" w14:paraId="1ECD0F1D"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B23CFC3"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07E6445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27D8383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2CF1467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5.875,00</w:t>
            </w:r>
          </w:p>
        </w:tc>
        <w:tc>
          <w:tcPr>
            <w:tcW w:w="993" w:type="dxa"/>
            <w:tcBorders>
              <w:top w:val="nil"/>
              <w:left w:val="nil"/>
              <w:bottom w:val="nil"/>
              <w:right w:val="nil"/>
            </w:tcBorders>
            <w:shd w:val="clear" w:color="000000" w:fill="CCCCFF"/>
            <w:noWrap/>
            <w:vAlign w:val="bottom"/>
            <w:hideMark/>
          </w:tcPr>
          <w:p w14:paraId="3F28E45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29,38%</w:t>
            </w:r>
          </w:p>
        </w:tc>
      </w:tr>
      <w:tr w:rsidR="006967F8" w:rsidRPr="006967F8" w14:paraId="2DF0A6F7"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BC98AC6"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3DDDB37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7D3A6E0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459D3E7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5.875,00</w:t>
            </w:r>
          </w:p>
        </w:tc>
        <w:tc>
          <w:tcPr>
            <w:tcW w:w="993" w:type="dxa"/>
            <w:tcBorders>
              <w:top w:val="nil"/>
              <w:left w:val="nil"/>
              <w:bottom w:val="nil"/>
              <w:right w:val="nil"/>
            </w:tcBorders>
            <w:shd w:val="clear" w:color="000000" w:fill="CCCCFF"/>
            <w:noWrap/>
            <w:vAlign w:val="bottom"/>
            <w:hideMark/>
          </w:tcPr>
          <w:p w14:paraId="3C734A2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29,38%</w:t>
            </w:r>
          </w:p>
        </w:tc>
      </w:tr>
      <w:tr w:rsidR="006967F8" w:rsidRPr="006967F8" w14:paraId="61232551" w14:textId="77777777" w:rsidTr="008A61B1">
        <w:trPr>
          <w:trHeight w:val="570"/>
        </w:trPr>
        <w:tc>
          <w:tcPr>
            <w:tcW w:w="1134" w:type="dxa"/>
            <w:tcBorders>
              <w:top w:val="nil"/>
              <w:left w:val="nil"/>
              <w:bottom w:val="nil"/>
              <w:right w:val="nil"/>
            </w:tcBorders>
            <w:noWrap/>
            <w:vAlign w:val="bottom"/>
            <w:hideMark/>
          </w:tcPr>
          <w:p w14:paraId="044221A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7812E2C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0792F2F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noWrap/>
            <w:vAlign w:val="bottom"/>
            <w:hideMark/>
          </w:tcPr>
          <w:p w14:paraId="2B7ECAC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noWrap/>
            <w:vAlign w:val="bottom"/>
            <w:hideMark/>
          </w:tcPr>
          <w:p w14:paraId="3A35720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5.875,00</w:t>
            </w:r>
          </w:p>
        </w:tc>
        <w:tc>
          <w:tcPr>
            <w:tcW w:w="993" w:type="dxa"/>
            <w:tcBorders>
              <w:top w:val="nil"/>
              <w:left w:val="nil"/>
              <w:bottom w:val="nil"/>
              <w:right w:val="nil"/>
            </w:tcBorders>
            <w:noWrap/>
            <w:vAlign w:val="bottom"/>
            <w:hideMark/>
          </w:tcPr>
          <w:p w14:paraId="2F656D6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29,38%</w:t>
            </w:r>
          </w:p>
        </w:tc>
      </w:tr>
      <w:tr w:rsidR="006967F8" w:rsidRPr="006967F8" w14:paraId="37B8F933" w14:textId="77777777" w:rsidTr="008A61B1">
        <w:trPr>
          <w:trHeight w:val="255"/>
        </w:trPr>
        <w:tc>
          <w:tcPr>
            <w:tcW w:w="1134" w:type="dxa"/>
            <w:tcBorders>
              <w:top w:val="nil"/>
              <w:left w:val="nil"/>
              <w:bottom w:val="nil"/>
              <w:right w:val="nil"/>
            </w:tcBorders>
            <w:noWrap/>
            <w:vAlign w:val="bottom"/>
            <w:hideMark/>
          </w:tcPr>
          <w:p w14:paraId="1C5B7BE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4214</w:t>
            </w:r>
          </w:p>
        </w:tc>
        <w:tc>
          <w:tcPr>
            <w:tcW w:w="4962" w:type="dxa"/>
            <w:tcBorders>
              <w:top w:val="nil"/>
              <w:left w:val="nil"/>
              <w:bottom w:val="nil"/>
              <w:right w:val="nil"/>
            </w:tcBorders>
            <w:noWrap/>
            <w:vAlign w:val="bottom"/>
            <w:hideMark/>
          </w:tcPr>
          <w:p w14:paraId="7CAD20D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građevinski objekti</w:t>
            </w:r>
          </w:p>
        </w:tc>
        <w:tc>
          <w:tcPr>
            <w:tcW w:w="1559" w:type="dxa"/>
            <w:tcBorders>
              <w:top w:val="nil"/>
              <w:left w:val="nil"/>
              <w:bottom w:val="nil"/>
              <w:right w:val="nil"/>
            </w:tcBorders>
            <w:noWrap/>
            <w:vAlign w:val="bottom"/>
            <w:hideMark/>
          </w:tcPr>
          <w:p w14:paraId="18D19C5E"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C6887E8"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132AD3F"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5.875,00</w:t>
            </w:r>
          </w:p>
        </w:tc>
        <w:tc>
          <w:tcPr>
            <w:tcW w:w="993" w:type="dxa"/>
            <w:tcBorders>
              <w:top w:val="nil"/>
              <w:left w:val="nil"/>
              <w:bottom w:val="nil"/>
              <w:right w:val="nil"/>
            </w:tcBorders>
            <w:noWrap/>
            <w:vAlign w:val="bottom"/>
            <w:hideMark/>
          </w:tcPr>
          <w:p w14:paraId="602CF4D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655A7CD"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E3CFC5B"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14AA1F4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5D7FAA8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05BF04C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11.050,00</w:t>
            </w:r>
          </w:p>
        </w:tc>
        <w:tc>
          <w:tcPr>
            <w:tcW w:w="993" w:type="dxa"/>
            <w:tcBorders>
              <w:top w:val="nil"/>
              <w:left w:val="nil"/>
              <w:bottom w:val="nil"/>
              <w:right w:val="nil"/>
            </w:tcBorders>
            <w:shd w:val="clear" w:color="000000" w:fill="CCCCFF"/>
            <w:noWrap/>
            <w:vAlign w:val="bottom"/>
            <w:hideMark/>
          </w:tcPr>
          <w:p w14:paraId="0C26C4B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55,25%</w:t>
            </w:r>
          </w:p>
        </w:tc>
      </w:tr>
      <w:tr w:rsidR="006967F8" w:rsidRPr="006967F8" w14:paraId="3A841F2E"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F133EF5"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5.2. Pomoći EU</w:t>
            </w:r>
          </w:p>
        </w:tc>
        <w:tc>
          <w:tcPr>
            <w:tcW w:w="1559" w:type="dxa"/>
            <w:tcBorders>
              <w:top w:val="nil"/>
              <w:left w:val="nil"/>
              <w:bottom w:val="nil"/>
              <w:right w:val="nil"/>
            </w:tcBorders>
            <w:shd w:val="clear" w:color="000000" w:fill="CCCCFF"/>
            <w:noWrap/>
            <w:vAlign w:val="bottom"/>
            <w:hideMark/>
          </w:tcPr>
          <w:p w14:paraId="006334E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78F0DA4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4AF2D2A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11.050,00</w:t>
            </w:r>
          </w:p>
        </w:tc>
        <w:tc>
          <w:tcPr>
            <w:tcW w:w="993" w:type="dxa"/>
            <w:tcBorders>
              <w:top w:val="nil"/>
              <w:left w:val="nil"/>
              <w:bottom w:val="nil"/>
              <w:right w:val="nil"/>
            </w:tcBorders>
            <w:shd w:val="clear" w:color="000000" w:fill="CCCCFF"/>
            <w:noWrap/>
            <w:vAlign w:val="bottom"/>
            <w:hideMark/>
          </w:tcPr>
          <w:p w14:paraId="60871D8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55,25%</w:t>
            </w:r>
          </w:p>
        </w:tc>
      </w:tr>
      <w:tr w:rsidR="006967F8" w:rsidRPr="006967F8" w14:paraId="768CA0EA" w14:textId="77777777" w:rsidTr="008A61B1">
        <w:trPr>
          <w:trHeight w:val="480"/>
        </w:trPr>
        <w:tc>
          <w:tcPr>
            <w:tcW w:w="1134" w:type="dxa"/>
            <w:tcBorders>
              <w:top w:val="nil"/>
              <w:left w:val="nil"/>
              <w:bottom w:val="nil"/>
              <w:right w:val="nil"/>
            </w:tcBorders>
            <w:noWrap/>
            <w:vAlign w:val="bottom"/>
            <w:hideMark/>
          </w:tcPr>
          <w:p w14:paraId="79ACF37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7B04E83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064D1A4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noWrap/>
            <w:vAlign w:val="bottom"/>
            <w:hideMark/>
          </w:tcPr>
          <w:p w14:paraId="56F6450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noWrap/>
            <w:vAlign w:val="bottom"/>
            <w:hideMark/>
          </w:tcPr>
          <w:p w14:paraId="40C3D81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11.050,00</w:t>
            </w:r>
          </w:p>
        </w:tc>
        <w:tc>
          <w:tcPr>
            <w:tcW w:w="993" w:type="dxa"/>
            <w:tcBorders>
              <w:top w:val="nil"/>
              <w:left w:val="nil"/>
              <w:bottom w:val="nil"/>
              <w:right w:val="nil"/>
            </w:tcBorders>
            <w:noWrap/>
            <w:vAlign w:val="bottom"/>
            <w:hideMark/>
          </w:tcPr>
          <w:p w14:paraId="3445D86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55,25%</w:t>
            </w:r>
          </w:p>
        </w:tc>
      </w:tr>
      <w:tr w:rsidR="006967F8" w:rsidRPr="006967F8" w14:paraId="6937F830" w14:textId="77777777" w:rsidTr="008A61B1">
        <w:trPr>
          <w:trHeight w:val="255"/>
        </w:trPr>
        <w:tc>
          <w:tcPr>
            <w:tcW w:w="1134" w:type="dxa"/>
            <w:tcBorders>
              <w:top w:val="nil"/>
              <w:left w:val="nil"/>
              <w:bottom w:val="nil"/>
              <w:right w:val="nil"/>
            </w:tcBorders>
            <w:noWrap/>
            <w:vAlign w:val="bottom"/>
            <w:hideMark/>
          </w:tcPr>
          <w:p w14:paraId="0C06309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4214</w:t>
            </w:r>
          </w:p>
        </w:tc>
        <w:tc>
          <w:tcPr>
            <w:tcW w:w="4962" w:type="dxa"/>
            <w:tcBorders>
              <w:top w:val="nil"/>
              <w:left w:val="nil"/>
              <w:bottom w:val="nil"/>
              <w:right w:val="nil"/>
            </w:tcBorders>
            <w:noWrap/>
            <w:vAlign w:val="bottom"/>
            <w:hideMark/>
          </w:tcPr>
          <w:p w14:paraId="6483B76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građevinski objekti</w:t>
            </w:r>
          </w:p>
        </w:tc>
        <w:tc>
          <w:tcPr>
            <w:tcW w:w="1559" w:type="dxa"/>
            <w:tcBorders>
              <w:top w:val="nil"/>
              <w:left w:val="nil"/>
              <w:bottom w:val="nil"/>
              <w:right w:val="nil"/>
            </w:tcBorders>
            <w:noWrap/>
            <w:vAlign w:val="bottom"/>
            <w:hideMark/>
          </w:tcPr>
          <w:p w14:paraId="2C1F9F05"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42449EC"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F34CB0A"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11.050,00</w:t>
            </w:r>
          </w:p>
        </w:tc>
        <w:tc>
          <w:tcPr>
            <w:tcW w:w="993" w:type="dxa"/>
            <w:tcBorders>
              <w:top w:val="nil"/>
              <w:left w:val="nil"/>
              <w:bottom w:val="nil"/>
              <w:right w:val="nil"/>
            </w:tcBorders>
            <w:noWrap/>
            <w:vAlign w:val="bottom"/>
            <w:hideMark/>
          </w:tcPr>
          <w:p w14:paraId="775DEC1C"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D483863" w14:textId="77777777" w:rsidTr="008A61B1">
        <w:trPr>
          <w:trHeight w:val="510"/>
        </w:trPr>
        <w:tc>
          <w:tcPr>
            <w:tcW w:w="1134" w:type="dxa"/>
            <w:tcBorders>
              <w:top w:val="nil"/>
              <w:left w:val="nil"/>
              <w:bottom w:val="nil"/>
              <w:right w:val="nil"/>
            </w:tcBorders>
            <w:shd w:val="clear" w:color="000000" w:fill="FFFF99"/>
            <w:noWrap/>
            <w:vAlign w:val="bottom"/>
            <w:hideMark/>
          </w:tcPr>
          <w:p w14:paraId="233939C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K100097</w:t>
            </w:r>
          </w:p>
        </w:tc>
        <w:tc>
          <w:tcPr>
            <w:tcW w:w="4962" w:type="dxa"/>
            <w:tcBorders>
              <w:top w:val="nil"/>
              <w:left w:val="nil"/>
              <w:bottom w:val="nil"/>
              <w:right w:val="nil"/>
            </w:tcBorders>
            <w:shd w:val="clear" w:color="000000" w:fill="FFFF99"/>
            <w:vAlign w:val="bottom"/>
            <w:hideMark/>
          </w:tcPr>
          <w:p w14:paraId="656985A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Kapitalni projekt: IZGRADNJA ZGRADE GRADSKOG ARHIVA</w:t>
            </w:r>
          </w:p>
        </w:tc>
        <w:tc>
          <w:tcPr>
            <w:tcW w:w="1559" w:type="dxa"/>
            <w:tcBorders>
              <w:top w:val="nil"/>
              <w:left w:val="nil"/>
              <w:bottom w:val="nil"/>
              <w:right w:val="nil"/>
            </w:tcBorders>
            <w:shd w:val="clear" w:color="000000" w:fill="FFFF99"/>
            <w:noWrap/>
            <w:vAlign w:val="bottom"/>
            <w:hideMark/>
          </w:tcPr>
          <w:p w14:paraId="1C39C1D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38.000,00</w:t>
            </w:r>
          </w:p>
        </w:tc>
        <w:tc>
          <w:tcPr>
            <w:tcW w:w="1559" w:type="dxa"/>
            <w:tcBorders>
              <w:top w:val="nil"/>
              <w:left w:val="nil"/>
              <w:bottom w:val="nil"/>
              <w:right w:val="nil"/>
            </w:tcBorders>
            <w:shd w:val="clear" w:color="000000" w:fill="FFFF99"/>
            <w:noWrap/>
            <w:vAlign w:val="bottom"/>
            <w:hideMark/>
          </w:tcPr>
          <w:p w14:paraId="6ECD60D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38.000,00</w:t>
            </w:r>
          </w:p>
        </w:tc>
        <w:tc>
          <w:tcPr>
            <w:tcW w:w="1559" w:type="dxa"/>
            <w:tcBorders>
              <w:top w:val="nil"/>
              <w:left w:val="nil"/>
              <w:bottom w:val="nil"/>
              <w:right w:val="nil"/>
            </w:tcBorders>
            <w:shd w:val="clear" w:color="000000" w:fill="FFFF99"/>
            <w:noWrap/>
            <w:vAlign w:val="bottom"/>
            <w:hideMark/>
          </w:tcPr>
          <w:p w14:paraId="58080F5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shd w:val="clear" w:color="000000" w:fill="FFFF99"/>
            <w:noWrap/>
            <w:vAlign w:val="bottom"/>
            <w:hideMark/>
          </w:tcPr>
          <w:p w14:paraId="484229B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44A64DFC"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6A80A0D"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379677A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38.000,00</w:t>
            </w:r>
          </w:p>
        </w:tc>
        <w:tc>
          <w:tcPr>
            <w:tcW w:w="1559" w:type="dxa"/>
            <w:tcBorders>
              <w:top w:val="nil"/>
              <w:left w:val="nil"/>
              <w:bottom w:val="nil"/>
              <w:right w:val="nil"/>
            </w:tcBorders>
            <w:shd w:val="clear" w:color="000000" w:fill="CCCCFF"/>
            <w:noWrap/>
            <w:vAlign w:val="bottom"/>
            <w:hideMark/>
          </w:tcPr>
          <w:p w14:paraId="22782C5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38.000,00</w:t>
            </w:r>
          </w:p>
        </w:tc>
        <w:tc>
          <w:tcPr>
            <w:tcW w:w="1559" w:type="dxa"/>
            <w:tcBorders>
              <w:top w:val="nil"/>
              <w:left w:val="nil"/>
              <w:bottom w:val="nil"/>
              <w:right w:val="nil"/>
            </w:tcBorders>
            <w:shd w:val="clear" w:color="000000" w:fill="CCCCFF"/>
            <w:noWrap/>
            <w:vAlign w:val="bottom"/>
            <w:hideMark/>
          </w:tcPr>
          <w:p w14:paraId="7749B8B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623FCCF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0C2325CD"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B0A8FDE"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1F3E10E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38.000,00</w:t>
            </w:r>
          </w:p>
        </w:tc>
        <w:tc>
          <w:tcPr>
            <w:tcW w:w="1559" w:type="dxa"/>
            <w:tcBorders>
              <w:top w:val="nil"/>
              <w:left w:val="nil"/>
              <w:bottom w:val="nil"/>
              <w:right w:val="nil"/>
            </w:tcBorders>
            <w:shd w:val="clear" w:color="000000" w:fill="CCCCFF"/>
            <w:noWrap/>
            <w:vAlign w:val="bottom"/>
            <w:hideMark/>
          </w:tcPr>
          <w:p w14:paraId="2B1ABB1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38.000,00</w:t>
            </w:r>
          </w:p>
        </w:tc>
        <w:tc>
          <w:tcPr>
            <w:tcW w:w="1559" w:type="dxa"/>
            <w:tcBorders>
              <w:top w:val="nil"/>
              <w:left w:val="nil"/>
              <w:bottom w:val="nil"/>
              <w:right w:val="nil"/>
            </w:tcBorders>
            <w:shd w:val="clear" w:color="000000" w:fill="CCCCFF"/>
            <w:noWrap/>
            <w:vAlign w:val="bottom"/>
            <w:hideMark/>
          </w:tcPr>
          <w:p w14:paraId="3B8941E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1BB1B96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70BB1BC6" w14:textId="77777777" w:rsidTr="008A61B1">
        <w:trPr>
          <w:trHeight w:val="555"/>
        </w:trPr>
        <w:tc>
          <w:tcPr>
            <w:tcW w:w="1134" w:type="dxa"/>
            <w:tcBorders>
              <w:top w:val="nil"/>
              <w:left w:val="nil"/>
              <w:bottom w:val="nil"/>
              <w:right w:val="nil"/>
            </w:tcBorders>
            <w:noWrap/>
            <w:vAlign w:val="bottom"/>
            <w:hideMark/>
          </w:tcPr>
          <w:p w14:paraId="3B6DDA7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lastRenderedPageBreak/>
              <w:t>42</w:t>
            </w:r>
          </w:p>
        </w:tc>
        <w:tc>
          <w:tcPr>
            <w:tcW w:w="4962" w:type="dxa"/>
            <w:tcBorders>
              <w:top w:val="nil"/>
              <w:left w:val="nil"/>
              <w:bottom w:val="nil"/>
              <w:right w:val="nil"/>
            </w:tcBorders>
            <w:vAlign w:val="bottom"/>
            <w:hideMark/>
          </w:tcPr>
          <w:p w14:paraId="00634C3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7C6FC84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38.000,00</w:t>
            </w:r>
          </w:p>
        </w:tc>
        <w:tc>
          <w:tcPr>
            <w:tcW w:w="1559" w:type="dxa"/>
            <w:tcBorders>
              <w:top w:val="nil"/>
              <w:left w:val="nil"/>
              <w:bottom w:val="nil"/>
              <w:right w:val="nil"/>
            </w:tcBorders>
            <w:noWrap/>
            <w:vAlign w:val="bottom"/>
            <w:hideMark/>
          </w:tcPr>
          <w:p w14:paraId="67630DA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38.000,00</w:t>
            </w:r>
          </w:p>
        </w:tc>
        <w:tc>
          <w:tcPr>
            <w:tcW w:w="1559" w:type="dxa"/>
            <w:tcBorders>
              <w:top w:val="nil"/>
              <w:left w:val="nil"/>
              <w:bottom w:val="nil"/>
              <w:right w:val="nil"/>
            </w:tcBorders>
            <w:noWrap/>
            <w:vAlign w:val="bottom"/>
            <w:hideMark/>
          </w:tcPr>
          <w:p w14:paraId="5E0FC15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1D7A1D1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0FBC6626" w14:textId="77777777" w:rsidTr="008A61B1">
        <w:trPr>
          <w:trHeight w:val="585"/>
        </w:trPr>
        <w:tc>
          <w:tcPr>
            <w:tcW w:w="1134" w:type="dxa"/>
            <w:tcBorders>
              <w:top w:val="nil"/>
              <w:left w:val="nil"/>
              <w:bottom w:val="nil"/>
              <w:right w:val="nil"/>
            </w:tcBorders>
            <w:shd w:val="clear" w:color="000000" w:fill="FFFF99"/>
            <w:noWrap/>
            <w:vAlign w:val="bottom"/>
            <w:hideMark/>
          </w:tcPr>
          <w:p w14:paraId="5525770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K100101</w:t>
            </w:r>
          </w:p>
        </w:tc>
        <w:tc>
          <w:tcPr>
            <w:tcW w:w="4962" w:type="dxa"/>
            <w:tcBorders>
              <w:top w:val="nil"/>
              <w:left w:val="nil"/>
              <w:bottom w:val="nil"/>
              <w:right w:val="nil"/>
            </w:tcBorders>
            <w:shd w:val="clear" w:color="000000" w:fill="FFFF99"/>
            <w:vAlign w:val="bottom"/>
            <w:hideMark/>
          </w:tcPr>
          <w:p w14:paraId="1953802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Kapitalni projekt: ENERGETSKA OBNOVA SPORTSKE DVORANE </w:t>
            </w:r>
          </w:p>
        </w:tc>
        <w:tc>
          <w:tcPr>
            <w:tcW w:w="1559" w:type="dxa"/>
            <w:tcBorders>
              <w:top w:val="nil"/>
              <w:left w:val="nil"/>
              <w:bottom w:val="nil"/>
              <w:right w:val="nil"/>
            </w:tcBorders>
            <w:shd w:val="clear" w:color="000000" w:fill="FFFF99"/>
            <w:noWrap/>
            <w:vAlign w:val="bottom"/>
            <w:hideMark/>
          </w:tcPr>
          <w:p w14:paraId="3367949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264.000,00</w:t>
            </w:r>
          </w:p>
        </w:tc>
        <w:tc>
          <w:tcPr>
            <w:tcW w:w="1559" w:type="dxa"/>
            <w:tcBorders>
              <w:top w:val="nil"/>
              <w:left w:val="nil"/>
              <w:bottom w:val="nil"/>
              <w:right w:val="nil"/>
            </w:tcBorders>
            <w:shd w:val="clear" w:color="000000" w:fill="FFFF99"/>
            <w:noWrap/>
            <w:vAlign w:val="bottom"/>
            <w:hideMark/>
          </w:tcPr>
          <w:p w14:paraId="27BBF81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249.000,00</w:t>
            </w:r>
          </w:p>
        </w:tc>
        <w:tc>
          <w:tcPr>
            <w:tcW w:w="1559" w:type="dxa"/>
            <w:tcBorders>
              <w:top w:val="nil"/>
              <w:left w:val="nil"/>
              <w:bottom w:val="nil"/>
              <w:right w:val="nil"/>
            </w:tcBorders>
            <w:shd w:val="clear" w:color="000000" w:fill="FFFF99"/>
            <w:noWrap/>
            <w:vAlign w:val="bottom"/>
            <w:hideMark/>
          </w:tcPr>
          <w:p w14:paraId="712A3E2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149.747,21</w:t>
            </w:r>
          </w:p>
        </w:tc>
        <w:tc>
          <w:tcPr>
            <w:tcW w:w="993" w:type="dxa"/>
            <w:tcBorders>
              <w:top w:val="nil"/>
              <w:left w:val="nil"/>
              <w:bottom w:val="nil"/>
              <w:right w:val="nil"/>
            </w:tcBorders>
            <w:shd w:val="clear" w:color="000000" w:fill="FFFF99"/>
            <w:noWrap/>
            <w:vAlign w:val="bottom"/>
            <w:hideMark/>
          </w:tcPr>
          <w:p w14:paraId="7C9F8BA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60,14%</w:t>
            </w:r>
          </w:p>
        </w:tc>
      </w:tr>
      <w:tr w:rsidR="006967F8" w:rsidRPr="006967F8" w14:paraId="04193CD1"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9A77E5F"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39A7CFB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144.000,00</w:t>
            </w:r>
          </w:p>
        </w:tc>
        <w:tc>
          <w:tcPr>
            <w:tcW w:w="1559" w:type="dxa"/>
            <w:tcBorders>
              <w:top w:val="nil"/>
              <w:left w:val="nil"/>
              <w:bottom w:val="nil"/>
              <w:right w:val="nil"/>
            </w:tcBorders>
            <w:shd w:val="clear" w:color="000000" w:fill="CCCCFF"/>
            <w:noWrap/>
            <w:vAlign w:val="bottom"/>
            <w:hideMark/>
          </w:tcPr>
          <w:p w14:paraId="75D7703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144.000,00</w:t>
            </w:r>
          </w:p>
        </w:tc>
        <w:tc>
          <w:tcPr>
            <w:tcW w:w="1559" w:type="dxa"/>
            <w:tcBorders>
              <w:top w:val="nil"/>
              <w:left w:val="nil"/>
              <w:bottom w:val="nil"/>
              <w:right w:val="nil"/>
            </w:tcBorders>
            <w:shd w:val="clear" w:color="000000" w:fill="CCCCFF"/>
            <w:noWrap/>
            <w:vAlign w:val="bottom"/>
            <w:hideMark/>
          </w:tcPr>
          <w:p w14:paraId="64F91A0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91.852,57</w:t>
            </w:r>
          </w:p>
        </w:tc>
        <w:tc>
          <w:tcPr>
            <w:tcW w:w="993" w:type="dxa"/>
            <w:tcBorders>
              <w:top w:val="nil"/>
              <w:left w:val="nil"/>
              <w:bottom w:val="nil"/>
              <w:right w:val="nil"/>
            </w:tcBorders>
            <w:shd w:val="clear" w:color="000000" w:fill="CCCCFF"/>
            <w:noWrap/>
            <w:vAlign w:val="bottom"/>
            <w:hideMark/>
          </w:tcPr>
          <w:p w14:paraId="4367E71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63,79%</w:t>
            </w:r>
          </w:p>
        </w:tc>
      </w:tr>
      <w:tr w:rsidR="006967F8" w:rsidRPr="006967F8" w14:paraId="23361775"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73EE123"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224FD2E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144.000,00</w:t>
            </w:r>
          </w:p>
        </w:tc>
        <w:tc>
          <w:tcPr>
            <w:tcW w:w="1559" w:type="dxa"/>
            <w:tcBorders>
              <w:top w:val="nil"/>
              <w:left w:val="nil"/>
              <w:bottom w:val="nil"/>
              <w:right w:val="nil"/>
            </w:tcBorders>
            <w:shd w:val="clear" w:color="000000" w:fill="CCCCFF"/>
            <w:noWrap/>
            <w:vAlign w:val="bottom"/>
            <w:hideMark/>
          </w:tcPr>
          <w:p w14:paraId="6B5BDEC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144.000,00</w:t>
            </w:r>
          </w:p>
        </w:tc>
        <w:tc>
          <w:tcPr>
            <w:tcW w:w="1559" w:type="dxa"/>
            <w:tcBorders>
              <w:top w:val="nil"/>
              <w:left w:val="nil"/>
              <w:bottom w:val="nil"/>
              <w:right w:val="nil"/>
            </w:tcBorders>
            <w:shd w:val="clear" w:color="000000" w:fill="CCCCFF"/>
            <w:noWrap/>
            <w:vAlign w:val="bottom"/>
            <w:hideMark/>
          </w:tcPr>
          <w:p w14:paraId="3E7E953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91.852,57</w:t>
            </w:r>
          </w:p>
        </w:tc>
        <w:tc>
          <w:tcPr>
            <w:tcW w:w="993" w:type="dxa"/>
            <w:tcBorders>
              <w:top w:val="nil"/>
              <w:left w:val="nil"/>
              <w:bottom w:val="nil"/>
              <w:right w:val="nil"/>
            </w:tcBorders>
            <w:shd w:val="clear" w:color="000000" w:fill="CCCCFF"/>
            <w:noWrap/>
            <w:vAlign w:val="bottom"/>
            <w:hideMark/>
          </w:tcPr>
          <w:p w14:paraId="192E606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63,79%</w:t>
            </w:r>
          </w:p>
        </w:tc>
      </w:tr>
      <w:tr w:rsidR="006967F8" w:rsidRPr="006967F8" w14:paraId="73B0485D" w14:textId="77777777" w:rsidTr="008A61B1">
        <w:trPr>
          <w:trHeight w:val="525"/>
        </w:trPr>
        <w:tc>
          <w:tcPr>
            <w:tcW w:w="1134" w:type="dxa"/>
            <w:tcBorders>
              <w:top w:val="nil"/>
              <w:left w:val="nil"/>
              <w:bottom w:val="nil"/>
              <w:right w:val="nil"/>
            </w:tcBorders>
            <w:noWrap/>
            <w:vAlign w:val="bottom"/>
            <w:hideMark/>
          </w:tcPr>
          <w:p w14:paraId="6D2E9F8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30AA9E1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1C808E7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60.000,00</w:t>
            </w:r>
          </w:p>
        </w:tc>
        <w:tc>
          <w:tcPr>
            <w:tcW w:w="1559" w:type="dxa"/>
            <w:tcBorders>
              <w:top w:val="nil"/>
              <w:left w:val="nil"/>
              <w:bottom w:val="nil"/>
              <w:right w:val="nil"/>
            </w:tcBorders>
            <w:noWrap/>
            <w:vAlign w:val="bottom"/>
            <w:hideMark/>
          </w:tcPr>
          <w:p w14:paraId="0AE6FD9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60.000,00</w:t>
            </w:r>
          </w:p>
        </w:tc>
        <w:tc>
          <w:tcPr>
            <w:tcW w:w="1559" w:type="dxa"/>
            <w:tcBorders>
              <w:top w:val="nil"/>
              <w:left w:val="nil"/>
              <w:bottom w:val="nil"/>
              <w:right w:val="nil"/>
            </w:tcBorders>
            <w:noWrap/>
            <w:vAlign w:val="bottom"/>
            <w:hideMark/>
          </w:tcPr>
          <w:p w14:paraId="5A9C76A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59.867,26</w:t>
            </w:r>
          </w:p>
        </w:tc>
        <w:tc>
          <w:tcPr>
            <w:tcW w:w="993" w:type="dxa"/>
            <w:tcBorders>
              <w:top w:val="nil"/>
              <w:left w:val="nil"/>
              <w:bottom w:val="nil"/>
              <w:right w:val="nil"/>
            </w:tcBorders>
            <w:noWrap/>
            <w:vAlign w:val="bottom"/>
            <w:hideMark/>
          </w:tcPr>
          <w:p w14:paraId="3F81DAB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99,78%</w:t>
            </w:r>
          </w:p>
        </w:tc>
      </w:tr>
      <w:tr w:rsidR="006967F8" w:rsidRPr="006967F8" w14:paraId="0127912A" w14:textId="77777777" w:rsidTr="008A61B1">
        <w:trPr>
          <w:trHeight w:val="255"/>
        </w:trPr>
        <w:tc>
          <w:tcPr>
            <w:tcW w:w="1134" w:type="dxa"/>
            <w:tcBorders>
              <w:top w:val="nil"/>
              <w:left w:val="nil"/>
              <w:bottom w:val="nil"/>
              <w:right w:val="nil"/>
            </w:tcBorders>
            <w:noWrap/>
            <w:vAlign w:val="bottom"/>
            <w:hideMark/>
          </w:tcPr>
          <w:p w14:paraId="4CD5063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4214</w:t>
            </w:r>
          </w:p>
        </w:tc>
        <w:tc>
          <w:tcPr>
            <w:tcW w:w="4962" w:type="dxa"/>
            <w:tcBorders>
              <w:top w:val="nil"/>
              <w:left w:val="nil"/>
              <w:bottom w:val="nil"/>
              <w:right w:val="nil"/>
            </w:tcBorders>
            <w:noWrap/>
            <w:vAlign w:val="bottom"/>
            <w:hideMark/>
          </w:tcPr>
          <w:p w14:paraId="235CD56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građevinski objekti</w:t>
            </w:r>
          </w:p>
        </w:tc>
        <w:tc>
          <w:tcPr>
            <w:tcW w:w="1559" w:type="dxa"/>
            <w:tcBorders>
              <w:top w:val="nil"/>
              <w:left w:val="nil"/>
              <w:bottom w:val="nil"/>
              <w:right w:val="nil"/>
            </w:tcBorders>
            <w:noWrap/>
            <w:vAlign w:val="bottom"/>
            <w:hideMark/>
          </w:tcPr>
          <w:p w14:paraId="3B72E32C"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181EF44"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0C4ED34"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59.867,26</w:t>
            </w:r>
          </w:p>
        </w:tc>
        <w:tc>
          <w:tcPr>
            <w:tcW w:w="993" w:type="dxa"/>
            <w:tcBorders>
              <w:top w:val="nil"/>
              <w:left w:val="nil"/>
              <w:bottom w:val="nil"/>
              <w:right w:val="nil"/>
            </w:tcBorders>
            <w:noWrap/>
            <w:vAlign w:val="bottom"/>
            <w:hideMark/>
          </w:tcPr>
          <w:p w14:paraId="0DCCB424"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E94B05D" w14:textId="77777777" w:rsidTr="008A61B1">
        <w:trPr>
          <w:trHeight w:val="525"/>
        </w:trPr>
        <w:tc>
          <w:tcPr>
            <w:tcW w:w="1134" w:type="dxa"/>
            <w:tcBorders>
              <w:top w:val="nil"/>
              <w:left w:val="nil"/>
              <w:bottom w:val="nil"/>
              <w:right w:val="nil"/>
            </w:tcBorders>
            <w:noWrap/>
            <w:vAlign w:val="bottom"/>
            <w:hideMark/>
          </w:tcPr>
          <w:p w14:paraId="65F8A1B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45</w:t>
            </w:r>
          </w:p>
        </w:tc>
        <w:tc>
          <w:tcPr>
            <w:tcW w:w="4962" w:type="dxa"/>
            <w:tcBorders>
              <w:top w:val="nil"/>
              <w:left w:val="nil"/>
              <w:bottom w:val="nil"/>
              <w:right w:val="nil"/>
            </w:tcBorders>
            <w:vAlign w:val="bottom"/>
            <w:hideMark/>
          </w:tcPr>
          <w:p w14:paraId="0E5FEE4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dodatna ulaganja na nefinancijskoj imovini</w:t>
            </w:r>
          </w:p>
        </w:tc>
        <w:tc>
          <w:tcPr>
            <w:tcW w:w="1559" w:type="dxa"/>
            <w:tcBorders>
              <w:top w:val="nil"/>
              <w:left w:val="nil"/>
              <w:bottom w:val="nil"/>
              <w:right w:val="nil"/>
            </w:tcBorders>
            <w:noWrap/>
            <w:vAlign w:val="bottom"/>
            <w:hideMark/>
          </w:tcPr>
          <w:p w14:paraId="1145CD9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84.000,00</w:t>
            </w:r>
          </w:p>
        </w:tc>
        <w:tc>
          <w:tcPr>
            <w:tcW w:w="1559" w:type="dxa"/>
            <w:tcBorders>
              <w:top w:val="nil"/>
              <w:left w:val="nil"/>
              <w:bottom w:val="nil"/>
              <w:right w:val="nil"/>
            </w:tcBorders>
            <w:noWrap/>
            <w:vAlign w:val="bottom"/>
            <w:hideMark/>
          </w:tcPr>
          <w:p w14:paraId="3DED475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84.000,00</w:t>
            </w:r>
          </w:p>
        </w:tc>
        <w:tc>
          <w:tcPr>
            <w:tcW w:w="1559" w:type="dxa"/>
            <w:tcBorders>
              <w:top w:val="nil"/>
              <w:left w:val="nil"/>
              <w:bottom w:val="nil"/>
              <w:right w:val="nil"/>
            </w:tcBorders>
            <w:noWrap/>
            <w:vAlign w:val="bottom"/>
            <w:hideMark/>
          </w:tcPr>
          <w:p w14:paraId="52D5B50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31.985,31</w:t>
            </w:r>
          </w:p>
        </w:tc>
        <w:tc>
          <w:tcPr>
            <w:tcW w:w="993" w:type="dxa"/>
            <w:tcBorders>
              <w:top w:val="nil"/>
              <w:left w:val="nil"/>
              <w:bottom w:val="nil"/>
              <w:right w:val="nil"/>
            </w:tcBorders>
            <w:noWrap/>
            <w:vAlign w:val="bottom"/>
            <w:hideMark/>
          </w:tcPr>
          <w:p w14:paraId="6B8DEB9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38,08%</w:t>
            </w:r>
          </w:p>
        </w:tc>
      </w:tr>
      <w:tr w:rsidR="006967F8" w:rsidRPr="006967F8" w14:paraId="01AD37B4" w14:textId="77777777" w:rsidTr="008A61B1">
        <w:trPr>
          <w:trHeight w:val="255"/>
        </w:trPr>
        <w:tc>
          <w:tcPr>
            <w:tcW w:w="1134" w:type="dxa"/>
            <w:tcBorders>
              <w:top w:val="nil"/>
              <w:left w:val="nil"/>
              <w:bottom w:val="nil"/>
              <w:right w:val="nil"/>
            </w:tcBorders>
            <w:noWrap/>
            <w:vAlign w:val="bottom"/>
            <w:hideMark/>
          </w:tcPr>
          <w:p w14:paraId="693EC0D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4511</w:t>
            </w:r>
          </w:p>
        </w:tc>
        <w:tc>
          <w:tcPr>
            <w:tcW w:w="4962" w:type="dxa"/>
            <w:tcBorders>
              <w:top w:val="nil"/>
              <w:left w:val="nil"/>
              <w:bottom w:val="nil"/>
              <w:right w:val="nil"/>
            </w:tcBorders>
            <w:noWrap/>
            <w:vAlign w:val="bottom"/>
            <w:hideMark/>
          </w:tcPr>
          <w:p w14:paraId="2777F46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Dodatna ulaganja na građevinskim objektima</w:t>
            </w:r>
          </w:p>
        </w:tc>
        <w:tc>
          <w:tcPr>
            <w:tcW w:w="1559" w:type="dxa"/>
            <w:tcBorders>
              <w:top w:val="nil"/>
              <w:left w:val="nil"/>
              <w:bottom w:val="nil"/>
              <w:right w:val="nil"/>
            </w:tcBorders>
            <w:noWrap/>
            <w:vAlign w:val="bottom"/>
            <w:hideMark/>
          </w:tcPr>
          <w:p w14:paraId="3FE72101"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0E9EF31"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989FDBF"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31.985,31</w:t>
            </w:r>
          </w:p>
        </w:tc>
        <w:tc>
          <w:tcPr>
            <w:tcW w:w="993" w:type="dxa"/>
            <w:tcBorders>
              <w:top w:val="nil"/>
              <w:left w:val="nil"/>
              <w:bottom w:val="nil"/>
              <w:right w:val="nil"/>
            </w:tcBorders>
            <w:noWrap/>
            <w:vAlign w:val="bottom"/>
            <w:hideMark/>
          </w:tcPr>
          <w:p w14:paraId="4DD86526"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DE7A86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D3EA025"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1692AEA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1442BC7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5F44265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17.360,40</w:t>
            </w:r>
          </w:p>
        </w:tc>
        <w:tc>
          <w:tcPr>
            <w:tcW w:w="993" w:type="dxa"/>
            <w:tcBorders>
              <w:top w:val="nil"/>
              <w:left w:val="nil"/>
              <w:bottom w:val="nil"/>
              <w:right w:val="nil"/>
            </w:tcBorders>
            <w:shd w:val="clear" w:color="000000" w:fill="CCCCFF"/>
            <w:noWrap/>
            <w:vAlign w:val="bottom"/>
            <w:hideMark/>
          </w:tcPr>
          <w:p w14:paraId="5480025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86,80%</w:t>
            </w:r>
          </w:p>
        </w:tc>
      </w:tr>
      <w:tr w:rsidR="006967F8" w:rsidRPr="006967F8" w14:paraId="554D6EB5" w14:textId="77777777" w:rsidTr="008A61B1">
        <w:trPr>
          <w:trHeight w:val="570"/>
        </w:trPr>
        <w:tc>
          <w:tcPr>
            <w:tcW w:w="6096" w:type="dxa"/>
            <w:gridSpan w:val="2"/>
            <w:tcBorders>
              <w:top w:val="nil"/>
              <w:left w:val="nil"/>
              <w:bottom w:val="nil"/>
              <w:right w:val="nil"/>
            </w:tcBorders>
            <w:shd w:val="clear" w:color="000000" w:fill="CCCCFF"/>
            <w:vAlign w:val="bottom"/>
            <w:hideMark/>
          </w:tcPr>
          <w:p w14:paraId="4B34C34C"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4.9. PRENESENI VIŠAK/MANJAK- PRIHODI ZA POSEBNE NAMJENE</w:t>
            </w:r>
          </w:p>
        </w:tc>
        <w:tc>
          <w:tcPr>
            <w:tcW w:w="1559" w:type="dxa"/>
            <w:tcBorders>
              <w:top w:val="nil"/>
              <w:left w:val="nil"/>
              <w:bottom w:val="nil"/>
              <w:right w:val="nil"/>
            </w:tcBorders>
            <w:shd w:val="clear" w:color="000000" w:fill="CCCCFF"/>
            <w:noWrap/>
            <w:vAlign w:val="bottom"/>
            <w:hideMark/>
          </w:tcPr>
          <w:p w14:paraId="42351DD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0AC5A14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20.000,00</w:t>
            </w:r>
          </w:p>
        </w:tc>
        <w:tc>
          <w:tcPr>
            <w:tcW w:w="1559" w:type="dxa"/>
            <w:tcBorders>
              <w:top w:val="nil"/>
              <w:left w:val="nil"/>
              <w:bottom w:val="nil"/>
              <w:right w:val="nil"/>
            </w:tcBorders>
            <w:shd w:val="clear" w:color="000000" w:fill="CCCCFF"/>
            <w:noWrap/>
            <w:vAlign w:val="bottom"/>
            <w:hideMark/>
          </w:tcPr>
          <w:p w14:paraId="5AC9368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17.360,40</w:t>
            </w:r>
          </w:p>
        </w:tc>
        <w:tc>
          <w:tcPr>
            <w:tcW w:w="993" w:type="dxa"/>
            <w:tcBorders>
              <w:top w:val="nil"/>
              <w:left w:val="nil"/>
              <w:bottom w:val="nil"/>
              <w:right w:val="nil"/>
            </w:tcBorders>
            <w:shd w:val="clear" w:color="000000" w:fill="CCCCFF"/>
            <w:noWrap/>
            <w:vAlign w:val="bottom"/>
            <w:hideMark/>
          </w:tcPr>
          <w:p w14:paraId="743CA33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86,80%</w:t>
            </w:r>
          </w:p>
        </w:tc>
      </w:tr>
      <w:tr w:rsidR="006967F8" w:rsidRPr="006967F8" w14:paraId="128A15A2" w14:textId="77777777" w:rsidTr="008A61B1">
        <w:trPr>
          <w:trHeight w:val="495"/>
        </w:trPr>
        <w:tc>
          <w:tcPr>
            <w:tcW w:w="1134" w:type="dxa"/>
            <w:tcBorders>
              <w:top w:val="nil"/>
              <w:left w:val="nil"/>
              <w:bottom w:val="nil"/>
              <w:right w:val="nil"/>
            </w:tcBorders>
            <w:noWrap/>
            <w:vAlign w:val="bottom"/>
            <w:hideMark/>
          </w:tcPr>
          <w:p w14:paraId="169D02C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45</w:t>
            </w:r>
          </w:p>
        </w:tc>
        <w:tc>
          <w:tcPr>
            <w:tcW w:w="4962" w:type="dxa"/>
            <w:tcBorders>
              <w:top w:val="nil"/>
              <w:left w:val="nil"/>
              <w:bottom w:val="nil"/>
              <w:right w:val="nil"/>
            </w:tcBorders>
            <w:vAlign w:val="bottom"/>
            <w:hideMark/>
          </w:tcPr>
          <w:p w14:paraId="20804AC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dodatna ulaganja na nefinancijskoj imovini</w:t>
            </w:r>
          </w:p>
        </w:tc>
        <w:tc>
          <w:tcPr>
            <w:tcW w:w="1559" w:type="dxa"/>
            <w:tcBorders>
              <w:top w:val="nil"/>
              <w:left w:val="nil"/>
              <w:bottom w:val="nil"/>
              <w:right w:val="nil"/>
            </w:tcBorders>
            <w:noWrap/>
            <w:vAlign w:val="bottom"/>
            <w:hideMark/>
          </w:tcPr>
          <w:p w14:paraId="74C1C73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noWrap/>
            <w:vAlign w:val="bottom"/>
            <w:hideMark/>
          </w:tcPr>
          <w:p w14:paraId="4904DD7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noWrap/>
            <w:vAlign w:val="bottom"/>
            <w:hideMark/>
          </w:tcPr>
          <w:p w14:paraId="5AB1704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17.360,40</w:t>
            </w:r>
          </w:p>
        </w:tc>
        <w:tc>
          <w:tcPr>
            <w:tcW w:w="993" w:type="dxa"/>
            <w:tcBorders>
              <w:top w:val="nil"/>
              <w:left w:val="nil"/>
              <w:bottom w:val="nil"/>
              <w:right w:val="nil"/>
            </w:tcBorders>
            <w:noWrap/>
            <w:vAlign w:val="bottom"/>
            <w:hideMark/>
          </w:tcPr>
          <w:p w14:paraId="642C4CC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86,80%</w:t>
            </w:r>
          </w:p>
        </w:tc>
      </w:tr>
      <w:tr w:rsidR="006967F8" w:rsidRPr="006967F8" w14:paraId="6F455005" w14:textId="77777777" w:rsidTr="008A61B1">
        <w:trPr>
          <w:trHeight w:val="255"/>
        </w:trPr>
        <w:tc>
          <w:tcPr>
            <w:tcW w:w="1134" w:type="dxa"/>
            <w:tcBorders>
              <w:top w:val="nil"/>
              <w:left w:val="nil"/>
              <w:bottom w:val="nil"/>
              <w:right w:val="nil"/>
            </w:tcBorders>
            <w:noWrap/>
            <w:vAlign w:val="bottom"/>
            <w:hideMark/>
          </w:tcPr>
          <w:p w14:paraId="566CA93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4511</w:t>
            </w:r>
          </w:p>
        </w:tc>
        <w:tc>
          <w:tcPr>
            <w:tcW w:w="4962" w:type="dxa"/>
            <w:tcBorders>
              <w:top w:val="nil"/>
              <w:left w:val="nil"/>
              <w:bottom w:val="nil"/>
              <w:right w:val="nil"/>
            </w:tcBorders>
            <w:noWrap/>
            <w:vAlign w:val="bottom"/>
            <w:hideMark/>
          </w:tcPr>
          <w:p w14:paraId="21A37F4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Dodatna ulaganja na građevinskim objektima</w:t>
            </w:r>
          </w:p>
        </w:tc>
        <w:tc>
          <w:tcPr>
            <w:tcW w:w="1559" w:type="dxa"/>
            <w:tcBorders>
              <w:top w:val="nil"/>
              <w:left w:val="nil"/>
              <w:bottom w:val="nil"/>
              <w:right w:val="nil"/>
            </w:tcBorders>
            <w:noWrap/>
            <w:vAlign w:val="bottom"/>
            <w:hideMark/>
          </w:tcPr>
          <w:p w14:paraId="18560B9A"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807D9C1"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0398D8B"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17.360,40</w:t>
            </w:r>
          </w:p>
        </w:tc>
        <w:tc>
          <w:tcPr>
            <w:tcW w:w="993" w:type="dxa"/>
            <w:tcBorders>
              <w:top w:val="nil"/>
              <w:left w:val="nil"/>
              <w:bottom w:val="nil"/>
              <w:right w:val="nil"/>
            </w:tcBorders>
            <w:noWrap/>
            <w:vAlign w:val="bottom"/>
            <w:hideMark/>
          </w:tcPr>
          <w:p w14:paraId="5AF7CB76"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5834196"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11BCE12"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32BD64E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100.000,00</w:t>
            </w:r>
          </w:p>
        </w:tc>
        <w:tc>
          <w:tcPr>
            <w:tcW w:w="1559" w:type="dxa"/>
            <w:tcBorders>
              <w:top w:val="nil"/>
              <w:left w:val="nil"/>
              <w:bottom w:val="nil"/>
              <w:right w:val="nil"/>
            </w:tcBorders>
            <w:shd w:val="clear" w:color="000000" w:fill="CCCCFF"/>
            <w:noWrap/>
            <w:vAlign w:val="bottom"/>
            <w:hideMark/>
          </w:tcPr>
          <w:p w14:paraId="26D5B08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85.000,00</w:t>
            </w:r>
          </w:p>
        </w:tc>
        <w:tc>
          <w:tcPr>
            <w:tcW w:w="1559" w:type="dxa"/>
            <w:tcBorders>
              <w:top w:val="nil"/>
              <w:left w:val="nil"/>
              <w:bottom w:val="nil"/>
              <w:right w:val="nil"/>
            </w:tcBorders>
            <w:shd w:val="clear" w:color="000000" w:fill="CCCCFF"/>
            <w:noWrap/>
            <w:vAlign w:val="bottom"/>
            <w:hideMark/>
          </w:tcPr>
          <w:p w14:paraId="6EE1785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40.534,24</w:t>
            </w:r>
          </w:p>
        </w:tc>
        <w:tc>
          <w:tcPr>
            <w:tcW w:w="993" w:type="dxa"/>
            <w:tcBorders>
              <w:top w:val="nil"/>
              <w:left w:val="nil"/>
              <w:bottom w:val="nil"/>
              <w:right w:val="nil"/>
            </w:tcBorders>
            <w:shd w:val="clear" w:color="000000" w:fill="CCCCFF"/>
            <w:noWrap/>
            <w:vAlign w:val="bottom"/>
            <w:hideMark/>
          </w:tcPr>
          <w:p w14:paraId="5AD1966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47,69%</w:t>
            </w:r>
          </w:p>
        </w:tc>
      </w:tr>
      <w:tr w:rsidR="006967F8" w:rsidRPr="006967F8" w14:paraId="5C460A23"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777E75F"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5.2. Pomoći EU</w:t>
            </w:r>
          </w:p>
        </w:tc>
        <w:tc>
          <w:tcPr>
            <w:tcW w:w="1559" w:type="dxa"/>
            <w:tcBorders>
              <w:top w:val="nil"/>
              <w:left w:val="nil"/>
              <w:bottom w:val="nil"/>
              <w:right w:val="nil"/>
            </w:tcBorders>
            <w:shd w:val="clear" w:color="000000" w:fill="CCCCFF"/>
            <w:noWrap/>
            <w:vAlign w:val="bottom"/>
            <w:hideMark/>
          </w:tcPr>
          <w:p w14:paraId="1DF3CCC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100.000,00</w:t>
            </w:r>
          </w:p>
        </w:tc>
        <w:tc>
          <w:tcPr>
            <w:tcW w:w="1559" w:type="dxa"/>
            <w:tcBorders>
              <w:top w:val="nil"/>
              <w:left w:val="nil"/>
              <w:bottom w:val="nil"/>
              <w:right w:val="nil"/>
            </w:tcBorders>
            <w:shd w:val="clear" w:color="000000" w:fill="CCCCFF"/>
            <w:noWrap/>
            <w:vAlign w:val="bottom"/>
            <w:hideMark/>
          </w:tcPr>
          <w:p w14:paraId="2D02C62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85.000,00</w:t>
            </w:r>
          </w:p>
        </w:tc>
        <w:tc>
          <w:tcPr>
            <w:tcW w:w="1559" w:type="dxa"/>
            <w:tcBorders>
              <w:top w:val="nil"/>
              <w:left w:val="nil"/>
              <w:bottom w:val="nil"/>
              <w:right w:val="nil"/>
            </w:tcBorders>
            <w:shd w:val="clear" w:color="000000" w:fill="CCCCFF"/>
            <w:noWrap/>
            <w:vAlign w:val="bottom"/>
            <w:hideMark/>
          </w:tcPr>
          <w:p w14:paraId="5E78AF4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40.534,24</w:t>
            </w:r>
          </w:p>
        </w:tc>
        <w:tc>
          <w:tcPr>
            <w:tcW w:w="993" w:type="dxa"/>
            <w:tcBorders>
              <w:top w:val="nil"/>
              <w:left w:val="nil"/>
              <w:bottom w:val="nil"/>
              <w:right w:val="nil"/>
            </w:tcBorders>
            <w:shd w:val="clear" w:color="000000" w:fill="CCCCFF"/>
            <w:noWrap/>
            <w:vAlign w:val="bottom"/>
            <w:hideMark/>
          </w:tcPr>
          <w:p w14:paraId="56E9A40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47,69%</w:t>
            </w:r>
          </w:p>
        </w:tc>
      </w:tr>
      <w:tr w:rsidR="006967F8" w:rsidRPr="006967F8" w14:paraId="54C296B6" w14:textId="77777777" w:rsidTr="008A61B1">
        <w:trPr>
          <w:trHeight w:val="570"/>
        </w:trPr>
        <w:tc>
          <w:tcPr>
            <w:tcW w:w="1134" w:type="dxa"/>
            <w:tcBorders>
              <w:top w:val="nil"/>
              <w:left w:val="nil"/>
              <w:bottom w:val="nil"/>
              <w:right w:val="nil"/>
            </w:tcBorders>
            <w:noWrap/>
            <w:vAlign w:val="bottom"/>
            <w:hideMark/>
          </w:tcPr>
          <w:p w14:paraId="05FFD50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45</w:t>
            </w:r>
          </w:p>
        </w:tc>
        <w:tc>
          <w:tcPr>
            <w:tcW w:w="4962" w:type="dxa"/>
            <w:tcBorders>
              <w:top w:val="nil"/>
              <w:left w:val="nil"/>
              <w:bottom w:val="nil"/>
              <w:right w:val="nil"/>
            </w:tcBorders>
            <w:vAlign w:val="bottom"/>
            <w:hideMark/>
          </w:tcPr>
          <w:p w14:paraId="429B5D9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dodatna ulaganja na nefinancijskoj imovini</w:t>
            </w:r>
          </w:p>
        </w:tc>
        <w:tc>
          <w:tcPr>
            <w:tcW w:w="1559" w:type="dxa"/>
            <w:tcBorders>
              <w:top w:val="nil"/>
              <w:left w:val="nil"/>
              <w:bottom w:val="nil"/>
              <w:right w:val="nil"/>
            </w:tcBorders>
            <w:noWrap/>
            <w:vAlign w:val="bottom"/>
            <w:hideMark/>
          </w:tcPr>
          <w:p w14:paraId="5D62DFC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100.000,00</w:t>
            </w:r>
          </w:p>
        </w:tc>
        <w:tc>
          <w:tcPr>
            <w:tcW w:w="1559" w:type="dxa"/>
            <w:tcBorders>
              <w:top w:val="nil"/>
              <w:left w:val="nil"/>
              <w:bottom w:val="nil"/>
              <w:right w:val="nil"/>
            </w:tcBorders>
            <w:noWrap/>
            <w:vAlign w:val="bottom"/>
            <w:hideMark/>
          </w:tcPr>
          <w:p w14:paraId="352F67F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85.000,00</w:t>
            </w:r>
          </w:p>
        </w:tc>
        <w:tc>
          <w:tcPr>
            <w:tcW w:w="1559" w:type="dxa"/>
            <w:tcBorders>
              <w:top w:val="nil"/>
              <w:left w:val="nil"/>
              <w:bottom w:val="nil"/>
              <w:right w:val="nil"/>
            </w:tcBorders>
            <w:noWrap/>
            <w:vAlign w:val="bottom"/>
            <w:hideMark/>
          </w:tcPr>
          <w:p w14:paraId="76B3B7E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40.534,24</w:t>
            </w:r>
          </w:p>
        </w:tc>
        <w:tc>
          <w:tcPr>
            <w:tcW w:w="993" w:type="dxa"/>
            <w:tcBorders>
              <w:top w:val="nil"/>
              <w:left w:val="nil"/>
              <w:bottom w:val="nil"/>
              <w:right w:val="nil"/>
            </w:tcBorders>
            <w:noWrap/>
            <w:vAlign w:val="bottom"/>
            <w:hideMark/>
          </w:tcPr>
          <w:p w14:paraId="67A2347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47,69%</w:t>
            </w:r>
          </w:p>
        </w:tc>
      </w:tr>
      <w:tr w:rsidR="006967F8" w:rsidRPr="006967F8" w14:paraId="7B6C10B4" w14:textId="77777777" w:rsidTr="008A61B1">
        <w:trPr>
          <w:trHeight w:val="255"/>
        </w:trPr>
        <w:tc>
          <w:tcPr>
            <w:tcW w:w="1134" w:type="dxa"/>
            <w:tcBorders>
              <w:top w:val="nil"/>
              <w:left w:val="nil"/>
              <w:bottom w:val="nil"/>
              <w:right w:val="nil"/>
            </w:tcBorders>
            <w:noWrap/>
            <w:vAlign w:val="bottom"/>
            <w:hideMark/>
          </w:tcPr>
          <w:p w14:paraId="481C9EC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4511</w:t>
            </w:r>
          </w:p>
        </w:tc>
        <w:tc>
          <w:tcPr>
            <w:tcW w:w="4962" w:type="dxa"/>
            <w:tcBorders>
              <w:top w:val="nil"/>
              <w:left w:val="nil"/>
              <w:bottom w:val="nil"/>
              <w:right w:val="nil"/>
            </w:tcBorders>
            <w:noWrap/>
            <w:vAlign w:val="bottom"/>
            <w:hideMark/>
          </w:tcPr>
          <w:p w14:paraId="0D04304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Dodatna ulaganja na građevinskim objektima</w:t>
            </w:r>
          </w:p>
        </w:tc>
        <w:tc>
          <w:tcPr>
            <w:tcW w:w="1559" w:type="dxa"/>
            <w:tcBorders>
              <w:top w:val="nil"/>
              <w:left w:val="nil"/>
              <w:bottom w:val="nil"/>
              <w:right w:val="nil"/>
            </w:tcBorders>
            <w:noWrap/>
            <w:vAlign w:val="bottom"/>
            <w:hideMark/>
          </w:tcPr>
          <w:p w14:paraId="74BC0008"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B5A2B9D"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D4817D9"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40.534,24</w:t>
            </w:r>
          </w:p>
        </w:tc>
        <w:tc>
          <w:tcPr>
            <w:tcW w:w="993" w:type="dxa"/>
            <w:tcBorders>
              <w:top w:val="nil"/>
              <w:left w:val="nil"/>
              <w:bottom w:val="nil"/>
              <w:right w:val="nil"/>
            </w:tcBorders>
            <w:noWrap/>
            <w:vAlign w:val="bottom"/>
            <w:hideMark/>
          </w:tcPr>
          <w:p w14:paraId="51C7DCBD"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E6CCD16" w14:textId="77777777" w:rsidTr="008A61B1">
        <w:trPr>
          <w:trHeight w:val="690"/>
        </w:trPr>
        <w:tc>
          <w:tcPr>
            <w:tcW w:w="1134" w:type="dxa"/>
            <w:tcBorders>
              <w:top w:val="nil"/>
              <w:left w:val="nil"/>
              <w:bottom w:val="nil"/>
              <w:right w:val="nil"/>
            </w:tcBorders>
            <w:shd w:val="clear" w:color="000000" w:fill="FF9900"/>
            <w:noWrap/>
            <w:vAlign w:val="bottom"/>
            <w:hideMark/>
          </w:tcPr>
          <w:p w14:paraId="7BC9C59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1608</w:t>
            </w:r>
          </w:p>
        </w:tc>
        <w:tc>
          <w:tcPr>
            <w:tcW w:w="4962" w:type="dxa"/>
            <w:tcBorders>
              <w:top w:val="nil"/>
              <w:left w:val="nil"/>
              <w:bottom w:val="nil"/>
              <w:right w:val="nil"/>
            </w:tcBorders>
            <w:shd w:val="clear" w:color="000000" w:fill="FF9900"/>
            <w:vAlign w:val="bottom"/>
            <w:hideMark/>
          </w:tcPr>
          <w:p w14:paraId="06AF44E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Program: INTEGRIRANI RAZVOJNI PROGRAMI TEMELJENI NA OBNOVI KULTURNE BAŠTINE </w:t>
            </w:r>
          </w:p>
        </w:tc>
        <w:tc>
          <w:tcPr>
            <w:tcW w:w="1559" w:type="dxa"/>
            <w:tcBorders>
              <w:top w:val="nil"/>
              <w:left w:val="nil"/>
              <w:bottom w:val="nil"/>
              <w:right w:val="nil"/>
            </w:tcBorders>
            <w:shd w:val="clear" w:color="000000" w:fill="FF9900"/>
            <w:noWrap/>
            <w:vAlign w:val="bottom"/>
            <w:hideMark/>
          </w:tcPr>
          <w:p w14:paraId="0CF2E0D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163.000,00</w:t>
            </w:r>
          </w:p>
        </w:tc>
        <w:tc>
          <w:tcPr>
            <w:tcW w:w="1559" w:type="dxa"/>
            <w:tcBorders>
              <w:top w:val="nil"/>
              <w:left w:val="nil"/>
              <w:bottom w:val="nil"/>
              <w:right w:val="nil"/>
            </w:tcBorders>
            <w:shd w:val="clear" w:color="000000" w:fill="FF9900"/>
            <w:noWrap/>
            <w:vAlign w:val="bottom"/>
            <w:hideMark/>
          </w:tcPr>
          <w:p w14:paraId="5CA8047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158.505,00</w:t>
            </w:r>
          </w:p>
        </w:tc>
        <w:tc>
          <w:tcPr>
            <w:tcW w:w="1559" w:type="dxa"/>
            <w:tcBorders>
              <w:top w:val="nil"/>
              <w:left w:val="nil"/>
              <w:bottom w:val="nil"/>
              <w:right w:val="nil"/>
            </w:tcBorders>
            <w:shd w:val="clear" w:color="000000" w:fill="FF9900"/>
            <w:noWrap/>
            <w:vAlign w:val="bottom"/>
            <w:hideMark/>
          </w:tcPr>
          <w:p w14:paraId="34C07F8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shd w:val="clear" w:color="000000" w:fill="FF9900"/>
            <w:noWrap/>
            <w:vAlign w:val="bottom"/>
            <w:hideMark/>
          </w:tcPr>
          <w:p w14:paraId="57E95B9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2F87C71F" w14:textId="77777777" w:rsidTr="008A61B1">
        <w:trPr>
          <w:trHeight w:val="780"/>
        </w:trPr>
        <w:tc>
          <w:tcPr>
            <w:tcW w:w="1134" w:type="dxa"/>
            <w:tcBorders>
              <w:top w:val="nil"/>
              <w:left w:val="nil"/>
              <w:bottom w:val="nil"/>
              <w:right w:val="nil"/>
            </w:tcBorders>
            <w:shd w:val="clear" w:color="000000" w:fill="FFFF99"/>
            <w:noWrap/>
            <w:vAlign w:val="bottom"/>
            <w:hideMark/>
          </w:tcPr>
          <w:p w14:paraId="1F04952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K100047</w:t>
            </w:r>
          </w:p>
        </w:tc>
        <w:tc>
          <w:tcPr>
            <w:tcW w:w="4962" w:type="dxa"/>
            <w:tcBorders>
              <w:top w:val="nil"/>
              <w:left w:val="nil"/>
              <w:bottom w:val="nil"/>
              <w:right w:val="nil"/>
            </w:tcBorders>
            <w:shd w:val="clear" w:color="000000" w:fill="FFFF99"/>
            <w:vAlign w:val="bottom"/>
            <w:hideMark/>
          </w:tcPr>
          <w:p w14:paraId="0DDB53B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Kapitalni projekt: UREĐENJE ZAPADNOG DIJELA STARE GRAD.JEZGRE OD KULE KAMERLENGO DO KULE SV. MARKA </w:t>
            </w:r>
          </w:p>
        </w:tc>
        <w:tc>
          <w:tcPr>
            <w:tcW w:w="1559" w:type="dxa"/>
            <w:tcBorders>
              <w:top w:val="nil"/>
              <w:left w:val="nil"/>
              <w:bottom w:val="nil"/>
              <w:right w:val="nil"/>
            </w:tcBorders>
            <w:shd w:val="clear" w:color="000000" w:fill="FFFF99"/>
            <w:noWrap/>
            <w:vAlign w:val="bottom"/>
            <w:hideMark/>
          </w:tcPr>
          <w:p w14:paraId="3228273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71.500,00</w:t>
            </w:r>
          </w:p>
        </w:tc>
        <w:tc>
          <w:tcPr>
            <w:tcW w:w="1559" w:type="dxa"/>
            <w:tcBorders>
              <w:top w:val="nil"/>
              <w:left w:val="nil"/>
              <w:bottom w:val="nil"/>
              <w:right w:val="nil"/>
            </w:tcBorders>
            <w:shd w:val="clear" w:color="000000" w:fill="FFFF99"/>
            <w:noWrap/>
            <w:vAlign w:val="bottom"/>
            <w:hideMark/>
          </w:tcPr>
          <w:p w14:paraId="4975539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70.505,00</w:t>
            </w:r>
          </w:p>
        </w:tc>
        <w:tc>
          <w:tcPr>
            <w:tcW w:w="1559" w:type="dxa"/>
            <w:tcBorders>
              <w:top w:val="nil"/>
              <w:left w:val="nil"/>
              <w:bottom w:val="nil"/>
              <w:right w:val="nil"/>
            </w:tcBorders>
            <w:shd w:val="clear" w:color="000000" w:fill="FFFF99"/>
            <w:noWrap/>
            <w:vAlign w:val="bottom"/>
            <w:hideMark/>
          </w:tcPr>
          <w:p w14:paraId="351526F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shd w:val="clear" w:color="000000" w:fill="FFFF99"/>
            <w:noWrap/>
            <w:vAlign w:val="bottom"/>
            <w:hideMark/>
          </w:tcPr>
          <w:p w14:paraId="0785B54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4AE58FB5"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6EECCCD"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1233947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49.500,00</w:t>
            </w:r>
          </w:p>
        </w:tc>
        <w:tc>
          <w:tcPr>
            <w:tcW w:w="1559" w:type="dxa"/>
            <w:tcBorders>
              <w:top w:val="nil"/>
              <w:left w:val="nil"/>
              <w:bottom w:val="nil"/>
              <w:right w:val="nil"/>
            </w:tcBorders>
            <w:shd w:val="clear" w:color="000000" w:fill="CCCCFF"/>
            <w:noWrap/>
            <w:vAlign w:val="bottom"/>
            <w:hideMark/>
          </w:tcPr>
          <w:p w14:paraId="5FD3515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48.505,00</w:t>
            </w:r>
          </w:p>
        </w:tc>
        <w:tc>
          <w:tcPr>
            <w:tcW w:w="1559" w:type="dxa"/>
            <w:tcBorders>
              <w:top w:val="nil"/>
              <w:left w:val="nil"/>
              <w:bottom w:val="nil"/>
              <w:right w:val="nil"/>
            </w:tcBorders>
            <w:shd w:val="clear" w:color="000000" w:fill="CCCCFF"/>
            <w:noWrap/>
            <w:vAlign w:val="bottom"/>
            <w:hideMark/>
          </w:tcPr>
          <w:p w14:paraId="48E4C56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0B760D3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3D98C69B"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3C6EA58"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611918C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49.500,00</w:t>
            </w:r>
          </w:p>
        </w:tc>
        <w:tc>
          <w:tcPr>
            <w:tcW w:w="1559" w:type="dxa"/>
            <w:tcBorders>
              <w:top w:val="nil"/>
              <w:left w:val="nil"/>
              <w:bottom w:val="nil"/>
              <w:right w:val="nil"/>
            </w:tcBorders>
            <w:shd w:val="clear" w:color="000000" w:fill="CCCCFF"/>
            <w:noWrap/>
            <w:vAlign w:val="bottom"/>
            <w:hideMark/>
          </w:tcPr>
          <w:p w14:paraId="1AD81F8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48.505,00</w:t>
            </w:r>
          </w:p>
        </w:tc>
        <w:tc>
          <w:tcPr>
            <w:tcW w:w="1559" w:type="dxa"/>
            <w:tcBorders>
              <w:top w:val="nil"/>
              <w:left w:val="nil"/>
              <w:bottom w:val="nil"/>
              <w:right w:val="nil"/>
            </w:tcBorders>
            <w:shd w:val="clear" w:color="000000" w:fill="CCCCFF"/>
            <w:noWrap/>
            <w:vAlign w:val="bottom"/>
            <w:hideMark/>
          </w:tcPr>
          <w:p w14:paraId="703D347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771361B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0B0A963D" w14:textId="77777777" w:rsidTr="008A61B1">
        <w:trPr>
          <w:trHeight w:val="255"/>
        </w:trPr>
        <w:tc>
          <w:tcPr>
            <w:tcW w:w="1134" w:type="dxa"/>
            <w:tcBorders>
              <w:top w:val="nil"/>
              <w:left w:val="nil"/>
              <w:bottom w:val="nil"/>
              <w:right w:val="nil"/>
            </w:tcBorders>
            <w:noWrap/>
            <w:vAlign w:val="bottom"/>
            <w:hideMark/>
          </w:tcPr>
          <w:p w14:paraId="2907FE6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32B783F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454D9C2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w:t>
            </w:r>
          </w:p>
        </w:tc>
        <w:tc>
          <w:tcPr>
            <w:tcW w:w="1559" w:type="dxa"/>
            <w:tcBorders>
              <w:top w:val="nil"/>
              <w:left w:val="nil"/>
              <w:bottom w:val="nil"/>
              <w:right w:val="nil"/>
            </w:tcBorders>
            <w:noWrap/>
            <w:vAlign w:val="bottom"/>
            <w:hideMark/>
          </w:tcPr>
          <w:p w14:paraId="4D6D4C3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w:t>
            </w:r>
          </w:p>
        </w:tc>
        <w:tc>
          <w:tcPr>
            <w:tcW w:w="1559" w:type="dxa"/>
            <w:tcBorders>
              <w:top w:val="nil"/>
              <w:left w:val="nil"/>
              <w:bottom w:val="nil"/>
              <w:right w:val="nil"/>
            </w:tcBorders>
            <w:noWrap/>
            <w:vAlign w:val="bottom"/>
            <w:hideMark/>
          </w:tcPr>
          <w:p w14:paraId="7511494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3334C8D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0524062F" w14:textId="77777777" w:rsidTr="008A61B1">
        <w:trPr>
          <w:trHeight w:val="525"/>
        </w:trPr>
        <w:tc>
          <w:tcPr>
            <w:tcW w:w="1134" w:type="dxa"/>
            <w:tcBorders>
              <w:top w:val="nil"/>
              <w:left w:val="nil"/>
              <w:bottom w:val="nil"/>
              <w:right w:val="nil"/>
            </w:tcBorders>
            <w:noWrap/>
            <w:vAlign w:val="bottom"/>
            <w:hideMark/>
          </w:tcPr>
          <w:p w14:paraId="30324E5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14F54C6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2182017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47.500,00</w:t>
            </w:r>
          </w:p>
        </w:tc>
        <w:tc>
          <w:tcPr>
            <w:tcW w:w="1559" w:type="dxa"/>
            <w:tcBorders>
              <w:top w:val="nil"/>
              <w:left w:val="nil"/>
              <w:bottom w:val="nil"/>
              <w:right w:val="nil"/>
            </w:tcBorders>
            <w:noWrap/>
            <w:vAlign w:val="bottom"/>
            <w:hideMark/>
          </w:tcPr>
          <w:p w14:paraId="137EDC1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46.505,00</w:t>
            </w:r>
          </w:p>
        </w:tc>
        <w:tc>
          <w:tcPr>
            <w:tcW w:w="1559" w:type="dxa"/>
            <w:tcBorders>
              <w:top w:val="nil"/>
              <w:left w:val="nil"/>
              <w:bottom w:val="nil"/>
              <w:right w:val="nil"/>
            </w:tcBorders>
            <w:noWrap/>
            <w:vAlign w:val="bottom"/>
            <w:hideMark/>
          </w:tcPr>
          <w:p w14:paraId="04CF32F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1BE396F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7F5F2317"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20DFB3C"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7D6C158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22.000,00</w:t>
            </w:r>
          </w:p>
        </w:tc>
        <w:tc>
          <w:tcPr>
            <w:tcW w:w="1559" w:type="dxa"/>
            <w:tcBorders>
              <w:top w:val="nil"/>
              <w:left w:val="nil"/>
              <w:bottom w:val="nil"/>
              <w:right w:val="nil"/>
            </w:tcBorders>
            <w:shd w:val="clear" w:color="000000" w:fill="CCCCFF"/>
            <w:noWrap/>
            <w:vAlign w:val="bottom"/>
            <w:hideMark/>
          </w:tcPr>
          <w:p w14:paraId="3683732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22.000,00</w:t>
            </w:r>
          </w:p>
        </w:tc>
        <w:tc>
          <w:tcPr>
            <w:tcW w:w="1559" w:type="dxa"/>
            <w:tcBorders>
              <w:top w:val="nil"/>
              <w:left w:val="nil"/>
              <w:bottom w:val="nil"/>
              <w:right w:val="nil"/>
            </w:tcBorders>
            <w:shd w:val="clear" w:color="000000" w:fill="CCCCFF"/>
            <w:noWrap/>
            <w:vAlign w:val="bottom"/>
            <w:hideMark/>
          </w:tcPr>
          <w:p w14:paraId="6BE56A2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5B26ED0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6FDBD1A6"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FD2207D"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5.2. Pomoći EU</w:t>
            </w:r>
          </w:p>
        </w:tc>
        <w:tc>
          <w:tcPr>
            <w:tcW w:w="1559" w:type="dxa"/>
            <w:tcBorders>
              <w:top w:val="nil"/>
              <w:left w:val="nil"/>
              <w:bottom w:val="nil"/>
              <w:right w:val="nil"/>
            </w:tcBorders>
            <w:shd w:val="clear" w:color="000000" w:fill="CCCCFF"/>
            <w:noWrap/>
            <w:vAlign w:val="bottom"/>
            <w:hideMark/>
          </w:tcPr>
          <w:p w14:paraId="3B35546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22.000,00</w:t>
            </w:r>
          </w:p>
        </w:tc>
        <w:tc>
          <w:tcPr>
            <w:tcW w:w="1559" w:type="dxa"/>
            <w:tcBorders>
              <w:top w:val="nil"/>
              <w:left w:val="nil"/>
              <w:bottom w:val="nil"/>
              <w:right w:val="nil"/>
            </w:tcBorders>
            <w:shd w:val="clear" w:color="000000" w:fill="CCCCFF"/>
            <w:noWrap/>
            <w:vAlign w:val="bottom"/>
            <w:hideMark/>
          </w:tcPr>
          <w:p w14:paraId="07F4743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22.000,00</w:t>
            </w:r>
          </w:p>
        </w:tc>
        <w:tc>
          <w:tcPr>
            <w:tcW w:w="1559" w:type="dxa"/>
            <w:tcBorders>
              <w:top w:val="nil"/>
              <w:left w:val="nil"/>
              <w:bottom w:val="nil"/>
              <w:right w:val="nil"/>
            </w:tcBorders>
            <w:shd w:val="clear" w:color="000000" w:fill="CCCCFF"/>
            <w:noWrap/>
            <w:vAlign w:val="bottom"/>
            <w:hideMark/>
          </w:tcPr>
          <w:p w14:paraId="481A8E8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3DDA041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7A376F62" w14:textId="77777777" w:rsidTr="008A61B1">
        <w:trPr>
          <w:trHeight w:val="255"/>
        </w:trPr>
        <w:tc>
          <w:tcPr>
            <w:tcW w:w="1134" w:type="dxa"/>
            <w:tcBorders>
              <w:top w:val="nil"/>
              <w:left w:val="nil"/>
              <w:bottom w:val="nil"/>
              <w:right w:val="nil"/>
            </w:tcBorders>
            <w:noWrap/>
            <w:vAlign w:val="bottom"/>
            <w:hideMark/>
          </w:tcPr>
          <w:p w14:paraId="5F06D1B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23A7BEB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754CEBB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w:t>
            </w:r>
          </w:p>
        </w:tc>
        <w:tc>
          <w:tcPr>
            <w:tcW w:w="1559" w:type="dxa"/>
            <w:tcBorders>
              <w:top w:val="nil"/>
              <w:left w:val="nil"/>
              <w:bottom w:val="nil"/>
              <w:right w:val="nil"/>
            </w:tcBorders>
            <w:noWrap/>
            <w:vAlign w:val="bottom"/>
            <w:hideMark/>
          </w:tcPr>
          <w:p w14:paraId="22FAC46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w:t>
            </w:r>
          </w:p>
        </w:tc>
        <w:tc>
          <w:tcPr>
            <w:tcW w:w="1559" w:type="dxa"/>
            <w:tcBorders>
              <w:top w:val="nil"/>
              <w:left w:val="nil"/>
              <w:bottom w:val="nil"/>
              <w:right w:val="nil"/>
            </w:tcBorders>
            <w:noWrap/>
            <w:vAlign w:val="bottom"/>
            <w:hideMark/>
          </w:tcPr>
          <w:p w14:paraId="094CD0C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62F2085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5EFD8552" w14:textId="77777777" w:rsidTr="008A61B1">
        <w:trPr>
          <w:trHeight w:val="555"/>
        </w:trPr>
        <w:tc>
          <w:tcPr>
            <w:tcW w:w="1134" w:type="dxa"/>
            <w:tcBorders>
              <w:top w:val="nil"/>
              <w:left w:val="nil"/>
              <w:bottom w:val="nil"/>
              <w:right w:val="nil"/>
            </w:tcBorders>
            <w:noWrap/>
            <w:vAlign w:val="bottom"/>
            <w:hideMark/>
          </w:tcPr>
          <w:p w14:paraId="3BB90B1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44EC7C4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3F69803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noWrap/>
            <w:vAlign w:val="bottom"/>
            <w:hideMark/>
          </w:tcPr>
          <w:p w14:paraId="4D68D3E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noWrap/>
            <w:vAlign w:val="bottom"/>
            <w:hideMark/>
          </w:tcPr>
          <w:p w14:paraId="49967D3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2D4F871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7632BCE4" w14:textId="77777777" w:rsidTr="008A61B1">
        <w:trPr>
          <w:trHeight w:val="615"/>
        </w:trPr>
        <w:tc>
          <w:tcPr>
            <w:tcW w:w="1134" w:type="dxa"/>
            <w:tcBorders>
              <w:top w:val="nil"/>
              <w:left w:val="nil"/>
              <w:bottom w:val="nil"/>
              <w:right w:val="nil"/>
            </w:tcBorders>
            <w:shd w:val="clear" w:color="000000" w:fill="FFFF99"/>
            <w:noWrap/>
            <w:vAlign w:val="bottom"/>
            <w:hideMark/>
          </w:tcPr>
          <w:p w14:paraId="3EF0751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K100067</w:t>
            </w:r>
          </w:p>
        </w:tc>
        <w:tc>
          <w:tcPr>
            <w:tcW w:w="4962" w:type="dxa"/>
            <w:tcBorders>
              <w:top w:val="nil"/>
              <w:left w:val="nil"/>
              <w:bottom w:val="nil"/>
              <w:right w:val="nil"/>
            </w:tcBorders>
            <w:shd w:val="clear" w:color="000000" w:fill="FFFF99"/>
            <w:vAlign w:val="bottom"/>
            <w:hideMark/>
          </w:tcPr>
          <w:p w14:paraId="29C8556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Kapitalni projekt: OTVORENA LJETNA POZORNICA</w:t>
            </w:r>
          </w:p>
        </w:tc>
        <w:tc>
          <w:tcPr>
            <w:tcW w:w="1559" w:type="dxa"/>
            <w:tcBorders>
              <w:top w:val="nil"/>
              <w:left w:val="nil"/>
              <w:bottom w:val="nil"/>
              <w:right w:val="nil"/>
            </w:tcBorders>
            <w:shd w:val="clear" w:color="000000" w:fill="FFFF99"/>
            <w:noWrap/>
            <w:vAlign w:val="bottom"/>
            <w:hideMark/>
          </w:tcPr>
          <w:p w14:paraId="058077A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w:t>
            </w:r>
          </w:p>
        </w:tc>
        <w:tc>
          <w:tcPr>
            <w:tcW w:w="1559" w:type="dxa"/>
            <w:tcBorders>
              <w:top w:val="nil"/>
              <w:left w:val="nil"/>
              <w:bottom w:val="nil"/>
              <w:right w:val="nil"/>
            </w:tcBorders>
            <w:shd w:val="clear" w:color="000000" w:fill="FFFF99"/>
            <w:noWrap/>
            <w:vAlign w:val="bottom"/>
            <w:hideMark/>
          </w:tcPr>
          <w:p w14:paraId="2C7A2BF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w:t>
            </w:r>
          </w:p>
        </w:tc>
        <w:tc>
          <w:tcPr>
            <w:tcW w:w="1559" w:type="dxa"/>
            <w:tcBorders>
              <w:top w:val="nil"/>
              <w:left w:val="nil"/>
              <w:bottom w:val="nil"/>
              <w:right w:val="nil"/>
            </w:tcBorders>
            <w:shd w:val="clear" w:color="000000" w:fill="FFFF99"/>
            <w:noWrap/>
            <w:vAlign w:val="bottom"/>
            <w:hideMark/>
          </w:tcPr>
          <w:p w14:paraId="65F5595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shd w:val="clear" w:color="000000" w:fill="FFFF99"/>
            <w:noWrap/>
            <w:vAlign w:val="bottom"/>
            <w:hideMark/>
          </w:tcPr>
          <w:p w14:paraId="1071BB7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01718E4E"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3857B28"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02D2589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w:t>
            </w:r>
          </w:p>
        </w:tc>
        <w:tc>
          <w:tcPr>
            <w:tcW w:w="1559" w:type="dxa"/>
            <w:tcBorders>
              <w:top w:val="nil"/>
              <w:left w:val="nil"/>
              <w:bottom w:val="nil"/>
              <w:right w:val="nil"/>
            </w:tcBorders>
            <w:shd w:val="clear" w:color="000000" w:fill="CCCCFF"/>
            <w:noWrap/>
            <w:vAlign w:val="bottom"/>
            <w:hideMark/>
          </w:tcPr>
          <w:p w14:paraId="5A9E69E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w:t>
            </w:r>
          </w:p>
        </w:tc>
        <w:tc>
          <w:tcPr>
            <w:tcW w:w="1559" w:type="dxa"/>
            <w:tcBorders>
              <w:top w:val="nil"/>
              <w:left w:val="nil"/>
              <w:bottom w:val="nil"/>
              <w:right w:val="nil"/>
            </w:tcBorders>
            <w:shd w:val="clear" w:color="000000" w:fill="CCCCFF"/>
            <w:noWrap/>
            <w:vAlign w:val="bottom"/>
            <w:hideMark/>
          </w:tcPr>
          <w:p w14:paraId="0A50DDB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5B55B0E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05B8F25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C6CF2C4"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7AAA3E6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w:t>
            </w:r>
          </w:p>
        </w:tc>
        <w:tc>
          <w:tcPr>
            <w:tcW w:w="1559" w:type="dxa"/>
            <w:tcBorders>
              <w:top w:val="nil"/>
              <w:left w:val="nil"/>
              <w:bottom w:val="nil"/>
              <w:right w:val="nil"/>
            </w:tcBorders>
            <w:shd w:val="clear" w:color="000000" w:fill="CCCCFF"/>
            <w:noWrap/>
            <w:vAlign w:val="bottom"/>
            <w:hideMark/>
          </w:tcPr>
          <w:p w14:paraId="70286B0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w:t>
            </w:r>
          </w:p>
        </w:tc>
        <w:tc>
          <w:tcPr>
            <w:tcW w:w="1559" w:type="dxa"/>
            <w:tcBorders>
              <w:top w:val="nil"/>
              <w:left w:val="nil"/>
              <w:bottom w:val="nil"/>
              <w:right w:val="nil"/>
            </w:tcBorders>
            <w:shd w:val="clear" w:color="000000" w:fill="CCCCFF"/>
            <w:noWrap/>
            <w:vAlign w:val="bottom"/>
            <w:hideMark/>
          </w:tcPr>
          <w:p w14:paraId="599DD5C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171E6FE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3471C32B" w14:textId="77777777" w:rsidTr="008A61B1">
        <w:trPr>
          <w:trHeight w:val="255"/>
        </w:trPr>
        <w:tc>
          <w:tcPr>
            <w:tcW w:w="1134" w:type="dxa"/>
            <w:tcBorders>
              <w:top w:val="nil"/>
              <w:left w:val="nil"/>
              <w:bottom w:val="nil"/>
              <w:right w:val="nil"/>
            </w:tcBorders>
            <w:noWrap/>
            <w:vAlign w:val="bottom"/>
            <w:hideMark/>
          </w:tcPr>
          <w:p w14:paraId="233627F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6FA7C3D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1211B14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w:t>
            </w:r>
          </w:p>
        </w:tc>
        <w:tc>
          <w:tcPr>
            <w:tcW w:w="1559" w:type="dxa"/>
            <w:tcBorders>
              <w:top w:val="nil"/>
              <w:left w:val="nil"/>
              <w:bottom w:val="nil"/>
              <w:right w:val="nil"/>
            </w:tcBorders>
            <w:noWrap/>
            <w:vAlign w:val="bottom"/>
            <w:hideMark/>
          </w:tcPr>
          <w:p w14:paraId="4BCBC3D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w:t>
            </w:r>
          </w:p>
        </w:tc>
        <w:tc>
          <w:tcPr>
            <w:tcW w:w="1559" w:type="dxa"/>
            <w:tcBorders>
              <w:top w:val="nil"/>
              <w:left w:val="nil"/>
              <w:bottom w:val="nil"/>
              <w:right w:val="nil"/>
            </w:tcBorders>
            <w:noWrap/>
            <w:vAlign w:val="bottom"/>
            <w:hideMark/>
          </w:tcPr>
          <w:p w14:paraId="63250C6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1F59006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5FC2DFE9" w14:textId="77777777" w:rsidTr="008A61B1">
        <w:trPr>
          <w:trHeight w:val="630"/>
        </w:trPr>
        <w:tc>
          <w:tcPr>
            <w:tcW w:w="1134" w:type="dxa"/>
            <w:tcBorders>
              <w:top w:val="nil"/>
              <w:left w:val="nil"/>
              <w:bottom w:val="nil"/>
              <w:right w:val="nil"/>
            </w:tcBorders>
            <w:shd w:val="clear" w:color="000000" w:fill="FFFF99"/>
            <w:noWrap/>
            <w:vAlign w:val="bottom"/>
            <w:hideMark/>
          </w:tcPr>
          <w:p w14:paraId="0B59083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K100113</w:t>
            </w:r>
          </w:p>
        </w:tc>
        <w:tc>
          <w:tcPr>
            <w:tcW w:w="4962" w:type="dxa"/>
            <w:tcBorders>
              <w:top w:val="nil"/>
              <w:left w:val="nil"/>
              <w:bottom w:val="nil"/>
              <w:right w:val="nil"/>
            </w:tcBorders>
            <w:shd w:val="clear" w:color="000000" w:fill="FFFF99"/>
            <w:vAlign w:val="bottom"/>
            <w:hideMark/>
          </w:tcPr>
          <w:p w14:paraId="719DC7C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Kapitalni projekt: REKONSTRUKCIJA I OPREMANJE KULE SV.MARKA </w:t>
            </w:r>
          </w:p>
        </w:tc>
        <w:tc>
          <w:tcPr>
            <w:tcW w:w="1559" w:type="dxa"/>
            <w:tcBorders>
              <w:top w:val="nil"/>
              <w:left w:val="nil"/>
              <w:bottom w:val="nil"/>
              <w:right w:val="nil"/>
            </w:tcBorders>
            <w:shd w:val="clear" w:color="000000" w:fill="FFFF99"/>
            <w:noWrap/>
            <w:vAlign w:val="bottom"/>
            <w:hideMark/>
          </w:tcPr>
          <w:p w14:paraId="4D06F3C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90.500,00</w:t>
            </w:r>
          </w:p>
        </w:tc>
        <w:tc>
          <w:tcPr>
            <w:tcW w:w="1559" w:type="dxa"/>
            <w:tcBorders>
              <w:top w:val="nil"/>
              <w:left w:val="nil"/>
              <w:bottom w:val="nil"/>
              <w:right w:val="nil"/>
            </w:tcBorders>
            <w:shd w:val="clear" w:color="000000" w:fill="FFFF99"/>
            <w:noWrap/>
            <w:vAlign w:val="bottom"/>
            <w:hideMark/>
          </w:tcPr>
          <w:p w14:paraId="1EC3710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87.000,00</w:t>
            </w:r>
          </w:p>
        </w:tc>
        <w:tc>
          <w:tcPr>
            <w:tcW w:w="1559" w:type="dxa"/>
            <w:tcBorders>
              <w:top w:val="nil"/>
              <w:left w:val="nil"/>
              <w:bottom w:val="nil"/>
              <w:right w:val="nil"/>
            </w:tcBorders>
            <w:shd w:val="clear" w:color="000000" w:fill="FFFF99"/>
            <w:noWrap/>
            <w:vAlign w:val="bottom"/>
            <w:hideMark/>
          </w:tcPr>
          <w:p w14:paraId="4AD357C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shd w:val="clear" w:color="000000" w:fill="FFFF99"/>
            <w:noWrap/>
            <w:vAlign w:val="bottom"/>
            <w:hideMark/>
          </w:tcPr>
          <w:p w14:paraId="28DA74E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240F1AF8"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214D75E"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0497164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30.100,00</w:t>
            </w:r>
          </w:p>
        </w:tc>
        <w:tc>
          <w:tcPr>
            <w:tcW w:w="1559" w:type="dxa"/>
            <w:tcBorders>
              <w:top w:val="nil"/>
              <w:left w:val="nil"/>
              <w:bottom w:val="nil"/>
              <w:right w:val="nil"/>
            </w:tcBorders>
            <w:shd w:val="clear" w:color="000000" w:fill="CCCCFF"/>
            <w:noWrap/>
            <w:vAlign w:val="bottom"/>
            <w:hideMark/>
          </w:tcPr>
          <w:p w14:paraId="333F6A0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29.100,00</w:t>
            </w:r>
          </w:p>
        </w:tc>
        <w:tc>
          <w:tcPr>
            <w:tcW w:w="1559" w:type="dxa"/>
            <w:tcBorders>
              <w:top w:val="nil"/>
              <w:left w:val="nil"/>
              <w:bottom w:val="nil"/>
              <w:right w:val="nil"/>
            </w:tcBorders>
            <w:shd w:val="clear" w:color="000000" w:fill="CCCCFF"/>
            <w:noWrap/>
            <w:vAlign w:val="bottom"/>
            <w:hideMark/>
          </w:tcPr>
          <w:p w14:paraId="22D46C0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4A40692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1E867389"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28A6419"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422F024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30.100,00</w:t>
            </w:r>
          </w:p>
        </w:tc>
        <w:tc>
          <w:tcPr>
            <w:tcW w:w="1559" w:type="dxa"/>
            <w:tcBorders>
              <w:top w:val="nil"/>
              <w:left w:val="nil"/>
              <w:bottom w:val="nil"/>
              <w:right w:val="nil"/>
            </w:tcBorders>
            <w:shd w:val="clear" w:color="000000" w:fill="CCCCFF"/>
            <w:noWrap/>
            <w:vAlign w:val="bottom"/>
            <w:hideMark/>
          </w:tcPr>
          <w:p w14:paraId="2077268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29.100,00</w:t>
            </w:r>
          </w:p>
        </w:tc>
        <w:tc>
          <w:tcPr>
            <w:tcW w:w="1559" w:type="dxa"/>
            <w:tcBorders>
              <w:top w:val="nil"/>
              <w:left w:val="nil"/>
              <w:bottom w:val="nil"/>
              <w:right w:val="nil"/>
            </w:tcBorders>
            <w:shd w:val="clear" w:color="000000" w:fill="CCCCFF"/>
            <w:noWrap/>
            <w:vAlign w:val="bottom"/>
            <w:hideMark/>
          </w:tcPr>
          <w:p w14:paraId="160EB10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4CA985F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4718ED16" w14:textId="77777777" w:rsidTr="008A61B1">
        <w:trPr>
          <w:trHeight w:val="255"/>
        </w:trPr>
        <w:tc>
          <w:tcPr>
            <w:tcW w:w="1134" w:type="dxa"/>
            <w:tcBorders>
              <w:top w:val="nil"/>
              <w:left w:val="nil"/>
              <w:bottom w:val="nil"/>
              <w:right w:val="nil"/>
            </w:tcBorders>
            <w:noWrap/>
            <w:vAlign w:val="bottom"/>
            <w:hideMark/>
          </w:tcPr>
          <w:p w14:paraId="270B17D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6F9DD74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1559F3D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5.100,00</w:t>
            </w:r>
          </w:p>
        </w:tc>
        <w:tc>
          <w:tcPr>
            <w:tcW w:w="1559" w:type="dxa"/>
            <w:tcBorders>
              <w:top w:val="nil"/>
              <w:left w:val="nil"/>
              <w:bottom w:val="nil"/>
              <w:right w:val="nil"/>
            </w:tcBorders>
            <w:noWrap/>
            <w:vAlign w:val="bottom"/>
            <w:hideMark/>
          </w:tcPr>
          <w:p w14:paraId="36ECB94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5.100,00</w:t>
            </w:r>
          </w:p>
        </w:tc>
        <w:tc>
          <w:tcPr>
            <w:tcW w:w="1559" w:type="dxa"/>
            <w:tcBorders>
              <w:top w:val="nil"/>
              <w:left w:val="nil"/>
              <w:bottom w:val="nil"/>
              <w:right w:val="nil"/>
            </w:tcBorders>
            <w:noWrap/>
            <w:vAlign w:val="bottom"/>
            <w:hideMark/>
          </w:tcPr>
          <w:p w14:paraId="328DA74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7F56FC4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6BCC1A4D" w14:textId="77777777" w:rsidTr="008A61B1">
        <w:trPr>
          <w:trHeight w:val="510"/>
        </w:trPr>
        <w:tc>
          <w:tcPr>
            <w:tcW w:w="1134" w:type="dxa"/>
            <w:tcBorders>
              <w:top w:val="nil"/>
              <w:left w:val="nil"/>
              <w:bottom w:val="nil"/>
              <w:right w:val="nil"/>
            </w:tcBorders>
            <w:noWrap/>
            <w:vAlign w:val="bottom"/>
            <w:hideMark/>
          </w:tcPr>
          <w:p w14:paraId="224C2EF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5FB1DE7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45B0724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25.000,00</w:t>
            </w:r>
          </w:p>
        </w:tc>
        <w:tc>
          <w:tcPr>
            <w:tcW w:w="1559" w:type="dxa"/>
            <w:tcBorders>
              <w:top w:val="nil"/>
              <w:left w:val="nil"/>
              <w:bottom w:val="nil"/>
              <w:right w:val="nil"/>
            </w:tcBorders>
            <w:noWrap/>
            <w:vAlign w:val="bottom"/>
            <w:hideMark/>
          </w:tcPr>
          <w:p w14:paraId="1D1D72C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24.000,00</w:t>
            </w:r>
          </w:p>
        </w:tc>
        <w:tc>
          <w:tcPr>
            <w:tcW w:w="1559" w:type="dxa"/>
            <w:tcBorders>
              <w:top w:val="nil"/>
              <w:left w:val="nil"/>
              <w:bottom w:val="nil"/>
              <w:right w:val="nil"/>
            </w:tcBorders>
            <w:noWrap/>
            <w:vAlign w:val="bottom"/>
            <w:hideMark/>
          </w:tcPr>
          <w:p w14:paraId="0DC8F35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712D240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3AA6F7E4"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019DC42"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4B23933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60.400,00</w:t>
            </w:r>
          </w:p>
        </w:tc>
        <w:tc>
          <w:tcPr>
            <w:tcW w:w="1559" w:type="dxa"/>
            <w:tcBorders>
              <w:top w:val="nil"/>
              <w:left w:val="nil"/>
              <w:bottom w:val="nil"/>
              <w:right w:val="nil"/>
            </w:tcBorders>
            <w:shd w:val="clear" w:color="000000" w:fill="CCCCFF"/>
            <w:noWrap/>
            <w:vAlign w:val="bottom"/>
            <w:hideMark/>
          </w:tcPr>
          <w:p w14:paraId="2ED26FA8"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57.900,00</w:t>
            </w:r>
          </w:p>
        </w:tc>
        <w:tc>
          <w:tcPr>
            <w:tcW w:w="1559" w:type="dxa"/>
            <w:tcBorders>
              <w:top w:val="nil"/>
              <w:left w:val="nil"/>
              <w:bottom w:val="nil"/>
              <w:right w:val="nil"/>
            </w:tcBorders>
            <w:shd w:val="clear" w:color="000000" w:fill="CCCCFF"/>
            <w:noWrap/>
            <w:vAlign w:val="bottom"/>
            <w:hideMark/>
          </w:tcPr>
          <w:p w14:paraId="5A1243F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09C7377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04FA54B5"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280B9C0"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5.2. Pomoći EU</w:t>
            </w:r>
          </w:p>
        </w:tc>
        <w:tc>
          <w:tcPr>
            <w:tcW w:w="1559" w:type="dxa"/>
            <w:tcBorders>
              <w:top w:val="nil"/>
              <w:left w:val="nil"/>
              <w:bottom w:val="nil"/>
              <w:right w:val="nil"/>
            </w:tcBorders>
            <w:shd w:val="clear" w:color="000000" w:fill="CCCCFF"/>
            <w:noWrap/>
            <w:vAlign w:val="bottom"/>
            <w:hideMark/>
          </w:tcPr>
          <w:p w14:paraId="0F62BF0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60.400,00</w:t>
            </w:r>
          </w:p>
        </w:tc>
        <w:tc>
          <w:tcPr>
            <w:tcW w:w="1559" w:type="dxa"/>
            <w:tcBorders>
              <w:top w:val="nil"/>
              <w:left w:val="nil"/>
              <w:bottom w:val="nil"/>
              <w:right w:val="nil"/>
            </w:tcBorders>
            <w:shd w:val="clear" w:color="000000" w:fill="CCCCFF"/>
            <w:noWrap/>
            <w:vAlign w:val="bottom"/>
            <w:hideMark/>
          </w:tcPr>
          <w:p w14:paraId="5A469BC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57.900,00</w:t>
            </w:r>
          </w:p>
        </w:tc>
        <w:tc>
          <w:tcPr>
            <w:tcW w:w="1559" w:type="dxa"/>
            <w:tcBorders>
              <w:top w:val="nil"/>
              <w:left w:val="nil"/>
              <w:bottom w:val="nil"/>
              <w:right w:val="nil"/>
            </w:tcBorders>
            <w:shd w:val="clear" w:color="000000" w:fill="CCCCFF"/>
            <w:noWrap/>
            <w:vAlign w:val="bottom"/>
            <w:hideMark/>
          </w:tcPr>
          <w:p w14:paraId="61D2D1E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6FCC202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5E1096F4" w14:textId="77777777" w:rsidTr="008A61B1">
        <w:trPr>
          <w:trHeight w:val="255"/>
        </w:trPr>
        <w:tc>
          <w:tcPr>
            <w:tcW w:w="1134" w:type="dxa"/>
            <w:tcBorders>
              <w:top w:val="nil"/>
              <w:left w:val="nil"/>
              <w:bottom w:val="nil"/>
              <w:right w:val="nil"/>
            </w:tcBorders>
            <w:noWrap/>
            <w:vAlign w:val="bottom"/>
            <w:hideMark/>
          </w:tcPr>
          <w:p w14:paraId="129063D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lastRenderedPageBreak/>
              <w:t>32</w:t>
            </w:r>
          </w:p>
        </w:tc>
        <w:tc>
          <w:tcPr>
            <w:tcW w:w="4962" w:type="dxa"/>
            <w:tcBorders>
              <w:top w:val="nil"/>
              <w:left w:val="nil"/>
              <w:bottom w:val="nil"/>
              <w:right w:val="nil"/>
            </w:tcBorders>
            <w:noWrap/>
            <w:vAlign w:val="bottom"/>
            <w:hideMark/>
          </w:tcPr>
          <w:p w14:paraId="48522E6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13CA16D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5.400,00</w:t>
            </w:r>
          </w:p>
        </w:tc>
        <w:tc>
          <w:tcPr>
            <w:tcW w:w="1559" w:type="dxa"/>
            <w:tcBorders>
              <w:top w:val="nil"/>
              <w:left w:val="nil"/>
              <w:bottom w:val="nil"/>
              <w:right w:val="nil"/>
            </w:tcBorders>
            <w:noWrap/>
            <w:vAlign w:val="bottom"/>
            <w:hideMark/>
          </w:tcPr>
          <w:p w14:paraId="4ADAA9D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5.400,00</w:t>
            </w:r>
          </w:p>
        </w:tc>
        <w:tc>
          <w:tcPr>
            <w:tcW w:w="1559" w:type="dxa"/>
            <w:tcBorders>
              <w:top w:val="nil"/>
              <w:left w:val="nil"/>
              <w:bottom w:val="nil"/>
              <w:right w:val="nil"/>
            </w:tcBorders>
            <w:noWrap/>
            <w:vAlign w:val="bottom"/>
            <w:hideMark/>
          </w:tcPr>
          <w:p w14:paraId="41B198D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5541F2E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3FECA7CC" w14:textId="77777777" w:rsidTr="008A61B1">
        <w:trPr>
          <w:trHeight w:val="645"/>
        </w:trPr>
        <w:tc>
          <w:tcPr>
            <w:tcW w:w="1134" w:type="dxa"/>
            <w:tcBorders>
              <w:top w:val="nil"/>
              <w:left w:val="nil"/>
              <w:bottom w:val="nil"/>
              <w:right w:val="nil"/>
            </w:tcBorders>
            <w:noWrap/>
            <w:vAlign w:val="bottom"/>
            <w:hideMark/>
          </w:tcPr>
          <w:p w14:paraId="3D7C055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59E5369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496B245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55.000,00</w:t>
            </w:r>
          </w:p>
        </w:tc>
        <w:tc>
          <w:tcPr>
            <w:tcW w:w="1559" w:type="dxa"/>
            <w:tcBorders>
              <w:top w:val="nil"/>
              <w:left w:val="nil"/>
              <w:bottom w:val="nil"/>
              <w:right w:val="nil"/>
            </w:tcBorders>
            <w:noWrap/>
            <w:vAlign w:val="bottom"/>
            <w:hideMark/>
          </w:tcPr>
          <w:p w14:paraId="2E5E7C1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52.500,00</w:t>
            </w:r>
          </w:p>
        </w:tc>
        <w:tc>
          <w:tcPr>
            <w:tcW w:w="1559" w:type="dxa"/>
            <w:tcBorders>
              <w:top w:val="nil"/>
              <w:left w:val="nil"/>
              <w:bottom w:val="nil"/>
              <w:right w:val="nil"/>
            </w:tcBorders>
            <w:noWrap/>
            <w:vAlign w:val="bottom"/>
            <w:hideMark/>
          </w:tcPr>
          <w:p w14:paraId="79CA7D2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683121D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4907A1DA" w14:textId="77777777" w:rsidTr="008A61B1">
        <w:trPr>
          <w:trHeight w:val="255"/>
        </w:trPr>
        <w:tc>
          <w:tcPr>
            <w:tcW w:w="1134" w:type="dxa"/>
            <w:tcBorders>
              <w:top w:val="nil"/>
              <w:left w:val="nil"/>
              <w:bottom w:val="nil"/>
              <w:right w:val="nil"/>
            </w:tcBorders>
            <w:shd w:val="clear" w:color="000000" w:fill="FF9900"/>
            <w:noWrap/>
            <w:vAlign w:val="bottom"/>
            <w:hideMark/>
          </w:tcPr>
          <w:p w14:paraId="74EE23C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1609</w:t>
            </w:r>
          </w:p>
        </w:tc>
        <w:tc>
          <w:tcPr>
            <w:tcW w:w="4962" w:type="dxa"/>
            <w:tcBorders>
              <w:top w:val="nil"/>
              <w:left w:val="nil"/>
              <w:bottom w:val="nil"/>
              <w:right w:val="nil"/>
            </w:tcBorders>
            <w:shd w:val="clear" w:color="000000" w:fill="FF9900"/>
            <w:noWrap/>
            <w:vAlign w:val="bottom"/>
            <w:hideMark/>
          </w:tcPr>
          <w:p w14:paraId="6EDEC3D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Program: UPRAVLJANJE IMOVINOM </w:t>
            </w:r>
          </w:p>
        </w:tc>
        <w:tc>
          <w:tcPr>
            <w:tcW w:w="1559" w:type="dxa"/>
            <w:tcBorders>
              <w:top w:val="nil"/>
              <w:left w:val="nil"/>
              <w:bottom w:val="nil"/>
              <w:right w:val="nil"/>
            </w:tcBorders>
            <w:shd w:val="clear" w:color="000000" w:fill="FF9900"/>
            <w:noWrap/>
            <w:vAlign w:val="bottom"/>
            <w:hideMark/>
          </w:tcPr>
          <w:p w14:paraId="730BB40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321.650,00</w:t>
            </w:r>
          </w:p>
        </w:tc>
        <w:tc>
          <w:tcPr>
            <w:tcW w:w="1559" w:type="dxa"/>
            <w:tcBorders>
              <w:top w:val="nil"/>
              <w:left w:val="nil"/>
              <w:bottom w:val="nil"/>
              <w:right w:val="nil"/>
            </w:tcBorders>
            <w:shd w:val="clear" w:color="000000" w:fill="FF9900"/>
            <w:noWrap/>
            <w:vAlign w:val="bottom"/>
            <w:hideMark/>
          </w:tcPr>
          <w:p w14:paraId="2306F8F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329.305,00</w:t>
            </w:r>
          </w:p>
        </w:tc>
        <w:tc>
          <w:tcPr>
            <w:tcW w:w="1559" w:type="dxa"/>
            <w:tcBorders>
              <w:top w:val="nil"/>
              <w:left w:val="nil"/>
              <w:bottom w:val="nil"/>
              <w:right w:val="nil"/>
            </w:tcBorders>
            <w:shd w:val="clear" w:color="000000" w:fill="FF9900"/>
            <w:noWrap/>
            <w:vAlign w:val="bottom"/>
            <w:hideMark/>
          </w:tcPr>
          <w:p w14:paraId="5D89F60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278.805,40</w:t>
            </w:r>
          </w:p>
        </w:tc>
        <w:tc>
          <w:tcPr>
            <w:tcW w:w="993" w:type="dxa"/>
            <w:tcBorders>
              <w:top w:val="nil"/>
              <w:left w:val="nil"/>
              <w:bottom w:val="nil"/>
              <w:right w:val="nil"/>
            </w:tcBorders>
            <w:shd w:val="clear" w:color="000000" w:fill="FF9900"/>
            <w:noWrap/>
            <w:vAlign w:val="bottom"/>
            <w:hideMark/>
          </w:tcPr>
          <w:p w14:paraId="10AFF2F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84,66%</w:t>
            </w:r>
          </w:p>
        </w:tc>
      </w:tr>
      <w:tr w:rsidR="006967F8" w:rsidRPr="006967F8" w14:paraId="467D21B5" w14:textId="77777777" w:rsidTr="008A61B1">
        <w:trPr>
          <w:trHeight w:val="255"/>
        </w:trPr>
        <w:tc>
          <w:tcPr>
            <w:tcW w:w="1134" w:type="dxa"/>
            <w:tcBorders>
              <w:top w:val="nil"/>
              <w:left w:val="nil"/>
              <w:bottom w:val="nil"/>
              <w:right w:val="nil"/>
            </w:tcBorders>
            <w:shd w:val="clear" w:color="000000" w:fill="FFFF99"/>
            <w:noWrap/>
            <w:vAlign w:val="bottom"/>
            <w:hideMark/>
          </w:tcPr>
          <w:p w14:paraId="44D8F8A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A100084</w:t>
            </w:r>
          </w:p>
        </w:tc>
        <w:tc>
          <w:tcPr>
            <w:tcW w:w="4962" w:type="dxa"/>
            <w:tcBorders>
              <w:top w:val="nil"/>
              <w:left w:val="nil"/>
              <w:bottom w:val="nil"/>
              <w:right w:val="nil"/>
            </w:tcBorders>
            <w:shd w:val="clear" w:color="000000" w:fill="FFFF99"/>
            <w:noWrap/>
            <w:vAlign w:val="bottom"/>
            <w:hideMark/>
          </w:tcPr>
          <w:p w14:paraId="52C8951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Aktivnost: ODRŽAVANJE IMOVINE</w:t>
            </w:r>
          </w:p>
        </w:tc>
        <w:tc>
          <w:tcPr>
            <w:tcW w:w="1559" w:type="dxa"/>
            <w:tcBorders>
              <w:top w:val="nil"/>
              <w:left w:val="nil"/>
              <w:bottom w:val="nil"/>
              <w:right w:val="nil"/>
            </w:tcBorders>
            <w:shd w:val="clear" w:color="000000" w:fill="FFFF99"/>
            <w:noWrap/>
            <w:vAlign w:val="bottom"/>
            <w:hideMark/>
          </w:tcPr>
          <w:p w14:paraId="740D169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28.000,00</w:t>
            </w:r>
          </w:p>
        </w:tc>
        <w:tc>
          <w:tcPr>
            <w:tcW w:w="1559" w:type="dxa"/>
            <w:tcBorders>
              <w:top w:val="nil"/>
              <w:left w:val="nil"/>
              <w:bottom w:val="nil"/>
              <w:right w:val="nil"/>
            </w:tcBorders>
            <w:shd w:val="clear" w:color="000000" w:fill="FFFF99"/>
            <w:noWrap/>
            <w:vAlign w:val="bottom"/>
            <w:hideMark/>
          </w:tcPr>
          <w:p w14:paraId="3529246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28.000,00</w:t>
            </w:r>
          </w:p>
        </w:tc>
        <w:tc>
          <w:tcPr>
            <w:tcW w:w="1559" w:type="dxa"/>
            <w:tcBorders>
              <w:top w:val="nil"/>
              <w:left w:val="nil"/>
              <w:bottom w:val="nil"/>
              <w:right w:val="nil"/>
            </w:tcBorders>
            <w:shd w:val="clear" w:color="000000" w:fill="FFFF99"/>
            <w:noWrap/>
            <w:vAlign w:val="bottom"/>
            <w:hideMark/>
          </w:tcPr>
          <w:p w14:paraId="06676E0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22.895,02</w:t>
            </w:r>
          </w:p>
        </w:tc>
        <w:tc>
          <w:tcPr>
            <w:tcW w:w="993" w:type="dxa"/>
            <w:tcBorders>
              <w:top w:val="nil"/>
              <w:left w:val="nil"/>
              <w:bottom w:val="nil"/>
              <w:right w:val="nil"/>
            </w:tcBorders>
            <w:shd w:val="clear" w:color="000000" w:fill="FFFF99"/>
            <w:noWrap/>
            <w:vAlign w:val="bottom"/>
            <w:hideMark/>
          </w:tcPr>
          <w:p w14:paraId="48F3A7E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81,77%</w:t>
            </w:r>
          </w:p>
        </w:tc>
      </w:tr>
      <w:tr w:rsidR="006967F8" w:rsidRPr="006967F8" w14:paraId="25F08B08"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982FFF5"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41A246B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28.000,00</w:t>
            </w:r>
          </w:p>
        </w:tc>
        <w:tc>
          <w:tcPr>
            <w:tcW w:w="1559" w:type="dxa"/>
            <w:tcBorders>
              <w:top w:val="nil"/>
              <w:left w:val="nil"/>
              <w:bottom w:val="nil"/>
              <w:right w:val="nil"/>
            </w:tcBorders>
            <w:shd w:val="clear" w:color="000000" w:fill="CCCCFF"/>
            <w:noWrap/>
            <w:vAlign w:val="bottom"/>
            <w:hideMark/>
          </w:tcPr>
          <w:p w14:paraId="0980168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28.000,00</w:t>
            </w:r>
          </w:p>
        </w:tc>
        <w:tc>
          <w:tcPr>
            <w:tcW w:w="1559" w:type="dxa"/>
            <w:tcBorders>
              <w:top w:val="nil"/>
              <w:left w:val="nil"/>
              <w:bottom w:val="nil"/>
              <w:right w:val="nil"/>
            </w:tcBorders>
            <w:shd w:val="clear" w:color="000000" w:fill="CCCCFF"/>
            <w:noWrap/>
            <w:vAlign w:val="bottom"/>
            <w:hideMark/>
          </w:tcPr>
          <w:p w14:paraId="11EDF5E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22.895,02</w:t>
            </w:r>
          </w:p>
        </w:tc>
        <w:tc>
          <w:tcPr>
            <w:tcW w:w="993" w:type="dxa"/>
            <w:tcBorders>
              <w:top w:val="nil"/>
              <w:left w:val="nil"/>
              <w:bottom w:val="nil"/>
              <w:right w:val="nil"/>
            </w:tcBorders>
            <w:shd w:val="clear" w:color="000000" w:fill="CCCCFF"/>
            <w:noWrap/>
            <w:vAlign w:val="bottom"/>
            <w:hideMark/>
          </w:tcPr>
          <w:p w14:paraId="70FFF1E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81,77%</w:t>
            </w:r>
          </w:p>
        </w:tc>
      </w:tr>
      <w:tr w:rsidR="006967F8" w:rsidRPr="006967F8" w14:paraId="4E9276E2"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8127079"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16719F2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28.000,00</w:t>
            </w:r>
          </w:p>
        </w:tc>
        <w:tc>
          <w:tcPr>
            <w:tcW w:w="1559" w:type="dxa"/>
            <w:tcBorders>
              <w:top w:val="nil"/>
              <w:left w:val="nil"/>
              <w:bottom w:val="nil"/>
              <w:right w:val="nil"/>
            </w:tcBorders>
            <w:shd w:val="clear" w:color="000000" w:fill="CCCCFF"/>
            <w:noWrap/>
            <w:vAlign w:val="bottom"/>
            <w:hideMark/>
          </w:tcPr>
          <w:p w14:paraId="1FF2B8A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28.000,00</w:t>
            </w:r>
          </w:p>
        </w:tc>
        <w:tc>
          <w:tcPr>
            <w:tcW w:w="1559" w:type="dxa"/>
            <w:tcBorders>
              <w:top w:val="nil"/>
              <w:left w:val="nil"/>
              <w:bottom w:val="nil"/>
              <w:right w:val="nil"/>
            </w:tcBorders>
            <w:shd w:val="clear" w:color="000000" w:fill="CCCCFF"/>
            <w:noWrap/>
            <w:vAlign w:val="bottom"/>
            <w:hideMark/>
          </w:tcPr>
          <w:p w14:paraId="3DA2248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22.895,02</w:t>
            </w:r>
          </w:p>
        </w:tc>
        <w:tc>
          <w:tcPr>
            <w:tcW w:w="993" w:type="dxa"/>
            <w:tcBorders>
              <w:top w:val="nil"/>
              <w:left w:val="nil"/>
              <w:bottom w:val="nil"/>
              <w:right w:val="nil"/>
            </w:tcBorders>
            <w:shd w:val="clear" w:color="000000" w:fill="CCCCFF"/>
            <w:noWrap/>
            <w:vAlign w:val="bottom"/>
            <w:hideMark/>
          </w:tcPr>
          <w:p w14:paraId="1060045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81,77%</w:t>
            </w:r>
          </w:p>
        </w:tc>
      </w:tr>
      <w:tr w:rsidR="006967F8" w:rsidRPr="006967F8" w14:paraId="007F1D39" w14:textId="77777777" w:rsidTr="008A61B1">
        <w:trPr>
          <w:trHeight w:val="255"/>
        </w:trPr>
        <w:tc>
          <w:tcPr>
            <w:tcW w:w="1134" w:type="dxa"/>
            <w:tcBorders>
              <w:top w:val="nil"/>
              <w:left w:val="nil"/>
              <w:bottom w:val="nil"/>
              <w:right w:val="nil"/>
            </w:tcBorders>
            <w:noWrap/>
            <w:vAlign w:val="bottom"/>
            <w:hideMark/>
          </w:tcPr>
          <w:p w14:paraId="63E7A5A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48CBB51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49EE112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28.000,00</w:t>
            </w:r>
          </w:p>
        </w:tc>
        <w:tc>
          <w:tcPr>
            <w:tcW w:w="1559" w:type="dxa"/>
            <w:tcBorders>
              <w:top w:val="nil"/>
              <w:left w:val="nil"/>
              <w:bottom w:val="nil"/>
              <w:right w:val="nil"/>
            </w:tcBorders>
            <w:noWrap/>
            <w:vAlign w:val="bottom"/>
            <w:hideMark/>
          </w:tcPr>
          <w:p w14:paraId="4D143BE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28.000,00</w:t>
            </w:r>
          </w:p>
        </w:tc>
        <w:tc>
          <w:tcPr>
            <w:tcW w:w="1559" w:type="dxa"/>
            <w:tcBorders>
              <w:top w:val="nil"/>
              <w:left w:val="nil"/>
              <w:bottom w:val="nil"/>
              <w:right w:val="nil"/>
            </w:tcBorders>
            <w:noWrap/>
            <w:vAlign w:val="bottom"/>
            <w:hideMark/>
          </w:tcPr>
          <w:p w14:paraId="1C4A5AF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22.895,02</w:t>
            </w:r>
          </w:p>
        </w:tc>
        <w:tc>
          <w:tcPr>
            <w:tcW w:w="993" w:type="dxa"/>
            <w:tcBorders>
              <w:top w:val="nil"/>
              <w:left w:val="nil"/>
              <w:bottom w:val="nil"/>
              <w:right w:val="nil"/>
            </w:tcBorders>
            <w:noWrap/>
            <w:vAlign w:val="bottom"/>
            <w:hideMark/>
          </w:tcPr>
          <w:p w14:paraId="6B8FA37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81,77%</w:t>
            </w:r>
          </w:p>
        </w:tc>
      </w:tr>
      <w:tr w:rsidR="006967F8" w:rsidRPr="006967F8" w14:paraId="7EE21DE2" w14:textId="77777777" w:rsidTr="008A61B1">
        <w:trPr>
          <w:trHeight w:val="255"/>
        </w:trPr>
        <w:tc>
          <w:tcPr>
            <w:tcW w:w="1134" w:type="dxa"/>
            <w:tcBorders>
              <w:top w:val="nil"/>
              <w:left w:val="nil"/>
              <w:bottom w:val="nil"/>
              <w:right w:val="nil"/>
            </w:tcBorders>
            <w:noWrap/>
            <w:vAlign w:val="bottom"/>
            <w:hideMark/>
          </w:tcPr>
          <w:p w14:paraId="2790B31B"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3232</w:t>
            </w:r>
          </w:p>
        </w:tc>
        <w:tc>
          <w:tcPr>
            <w:tcW w:w="4962" w:type="dxa"/>
            <w:tcBorders>
              <w:top w:val="nil"/>
              <w:left w:val="nil"/>
              <w:bottom w:val="nil"/>
              <w:right w:val="nil"/>
            </w:tcBorders>
            <w:noWrap/>
            <w:vAlign w:val="bottom"/>
            <w:hideMark/>
          </w:tcPr>
          <w:p w14:paraId="7533CA6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noWrap/>
            <w:vAlign w:val="bottom"/>
            <w:hideMark/>
          </w:tcPr>
          <w:p w14:paraId="5EE8D494"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5301D71"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41E62C33"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22.895,02</w:t>
            </w:r>
          </w:p>
        </w:tc>
        <w:tc>
          <w:tcPr>
            <w:tcW w:w="993" w:type="dxa"/>
            <w:tcBorders>
              <w:top w:val="nil"/>
              <w:left w:val="nil"/>
              <w:bottom w:val="nil"/>
              <w:right w:val="nil"/>
            </w:tcBorders>
            <w:noWrap/>
            <w:vAlign w:val="bottom"/>
            <w:hideMark/>
          </w:tcPr>
          <w:p w14:paraId="363A8A8D"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38730C8" w14:textId="77777777" w:rsidTr="008A61B1">
        <w:trPr>
          <w:trHeight w:val="255"/>
        </w:trPr>
        <w:tc>
          <w:tcPr>
            <w:tcW w:w="1134" w:type="dxa"/>
            <w:tcBorders>
              <w:top w:val="nil"/>
              <w:left w:val="nil"/>
              <w:bottom w:val="nil"/>
              <w:right w:val="nil"/>
            </w:tcBorders>
            <w:shd w:val="clear" w:color="000000" w:fill="FFFF99"/>
            <w:noWrap/>
            <w:vAlign w:val="bottom"/>
            <w:hideMark/>
          </w:tcPr>
          <w:p w14:paraId="43A15F1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A100098</w:t>
            </w:r>
          </w:p>
        </w:tc>
        <w:tc>
          <w:tcPr>
            <w:tcW w:w="4962" w:type="dxa"/>
            <w:tcBorders>
              <w:top w:val="nil"/>
              <w:left w:val="nil"/>
              <w:bottom w:val="nil"/>
              <w:right w:val="nil"/>
            </w:tcBorders>
            <w:shd w:val="clear" w:color="000000" w:fill="FFFF99"/>
            <w:noWrap/>
            <w:vAlign w:val="bottom"/>
            <w:hideMark/>
          </w:tcPr>
          <w:p w14:paraId="20C8BB5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Aktivnost: PARTICIPATIVNO BUDŽETIRANJE </w:t>
            </w:r>
          </w:p>
        </w:tc>
        <w:tc>
          <w:tcPr>
            <w:tcW w:w="1559" w:type="dxa"/>
            <w:tcBorders>
              <w:top w:val="nil"/>
              <w:left w:val="nil"/>
              <w:bottom w:val="nil"/>
              <w:right w:val="nil"/>
            </w:tcBorders>
            <w:shd w:val="clear" w:color="000000" w:fill="FFFF99"/>
            <w:noWrap/>
            <w:vAlign w:val="bottom"/>
            <w:hideMark/>
          </w:tcPr>
          <w:p w14:paraId="4FC69F0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10.250,00</w:t>
            </w:r>
          </w:p>
        </w:tc>
        <w:tc>
          <w:tcPr>
            <w:tcW w:w="1559" w:type="dxa"/>
            <w:tcBorders>
              <w:top w:val="nil"/>
              <w:left w:val="nil"/>
              <w:bottom w:val="nil"/>
              <w:right w:val="nil"/>
            </w:tcBorders>
            <w:shd w:val="clear" w:color="000000" w:fill="FFFF99"/>
            <w:noWrap/>
            <w:vAlign w:val="bottom"/>
            <w:hideMark/>
          </w:tcPr>
          <w:p w14:paraId="11CF23B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12.000,00</w:t>
            </w:r>
          </w:p>
        </w:tc>
        <w:tc>
          <w:tcPr>
            <w:tcW w:w="1559" w:type="dxa"/>
            <w:tcBorders>
              <w:top w:val="nil"/>
              <w:left w:val="nil"/>
              <w:bottom w:val="nil"/>
              <w:right w:val="nil"/>
            </w:tcBorders>
            <w:shd w:val="clear" w:color="000000" w:fill="FFFF99"/>
            <w:noWrap/>
            <w:vAlign w:val="bottom"/>
            <w:hideMark/>
          </w:tcPr>
          <w:p w14:paraId="5299CCF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12.000,00</w:t>
            </w:r>
          </w:p>
        </w:tc>
        <w:tc>
          <w:tcPr>
            <w:tcW w:w="993" w:type="dxa"/>
            <w:tcBorders>
              <w:top w:val="nil"/>
              <w:left w:val="nil"/>
              <w:bottom w:val="nil"/>
              <w:right w:val="nil"/>
            </w:tcBorders>
            <w:shd w:val="clear" w:color="000000" w:fill="FFFF99"/>
            <w:noWrap/>
            <w:vAlign w:val="bottom"/>
            <w:hideMark/>
          </w:tcPr>
          <w:p w14:paraId="7159F7E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r>
      <w:tr w:rsidR="006967F8" w:rsidRPr="006967F8" w14:paraId="6C136065"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4672B6C"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54F97BA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10.250,00</w:t>
            </w:r>
          </w:p>
        </w:tc>
        <w:tc>
          <w:tcPr>
            <w:tcW w:w="1559" w:type="dxa"/>
            <w:tcBorders>
              <w:top w:val="nil"/>
              <w:left w:val="nil"/>
              <w:bottom w:val="nil"/>
              <w:right w:val="nil"/>
            </w:tcBorders>
            <w:shd w:val="clear" w:color="000000" w:fill="CCCCFF"/>
            <w:noWrap/>
            <w:vAlign w:val="bottom"/>
            <w:hideMark/>
          </w:tcPr>
          <w:p w14:paraId="02091F4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12.000,00</w:t>
            </w:r>
          </w:p>
        </w:tc>
        <w:tc>
          <w:tcPr>
            <w:tcW w:w="1559" w:type="dxa"/>
            <w:tcBorders>
              <w:top w:val="nil"/>
              <w:left w:val="nil"/>
              <w:bottom w:val="nil"/>
              <w:right w:val="nil"/>
            </w:tcBorders>
            <w:shd w:val="clear" w:color="000000" w:fill="CCCCFF"/>
            <w:noWrap/>
            <w:vAlign w:val="bottom"/>
            <w:hideMark/>
          </w:tcPr>
          <w:p w14:paraId="330141A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12.000,00</w:t>
            </w:r>
          </w:p>
        </w:tc>
        <w:tc>
          <w:tcPr>
            <w:tcW w:w="993" w:type="dxa"/>
            <w:tcBorders>
              <w:top w:val="nil"/>
              <w:left w:val="nil"/>
              <w:bottom w:val="nil"/>
              <w:right w:val="nil"/>
            </w:tcBorders>
            <w:shd w:val="clear" w:color="000000" w:fill="CCCCFF"/>
            <w:noWrap/>
            <w:vAlign w:val="bottom"/>
            <w:hideMark/>
          </w:tcPr>
          <w:p w14:paraId="523F93B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5DCC8668"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E65FF5F"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6A02C2F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10.250,00</w:t>
            </w:r>
          </w:p>
        </w:tc>
        <w:tc>
          <w:tcPr>
            <w:tcW w:w="1559" w:type="dxa"/>
            <w:tcBorders>
              <w:top w:val="nil"/>
              <w:left w:val="nil"/>
              <w:bottom w:val="nil"/>
              <w:right w:val="nil"/>
            </w:tcBorders>
            <w:shd w:val="clear" w:color="000000" w:fill="CCCCFF"/>
            <w:noWrap/>
            <w:vAlign w:val="bottom"/>
            <w:hideMark/>
          </w:tcPr>
          <w:p w14:paraId="06FD72D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12.000,00</w:t>
            </w:r>
          </w:p>
        </w:tc>
        <w:tc>
          <w:tcPr>
            <w:tcW w:w="1559" w:type="dxa"/>
            <w:tcBorders>
              <w:top w:val="nil"/>
              <w:left w:val="nil"/>
              <w:bottom w:val="nil"/>
              <w:right w:val="nil"/>
            </w:tcBorders>
            <w:shd w:val="clear" w:color="000000" w:fill="CCCCFF"/>
            <w:noWrap/>
            <w:vAlign w:val="bottom"/>
            <w:hideMark/>
          </w:tcPr>
          <w:p w14:paraId="442A788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12.000,00</w:t>
            </w:r>
          </w:p>
        </w:tc>
        <w:tc>
          <w:tcPr>
            <w:tcW w:w="993" w:type="dxa"/>
            <w:tcBorders>
              <w:top w:val="nil"/>
              <w:left w:val="nil"/>
              <w:bottom w:val="nil"/>
              <w:right w:val="nil"/>
            </w:tcBorders>
            <w:shd w:val="clear" w:color="000000" w:fill="CCCCFF"/>
            <w:noWrap/>
            <w:vAlign w:val="bottom"/>
            <w:hideMark/>
          </w:tcPr>
          <w:p w14:paraId="2C5F445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08DDAC24" w14:textId="77777777" w:rsidTr="008A61B1">
        <w:trPr>
          <w:trHeight w:val="585"/>
        </w:trPr>
        <w:tc>
          <w:tcPr>
            <w:tcW w:w="1134" w:type="dxa"/>
            <w:tcBorders>
              <w:top w:val="nil"/>
              <w:left w:val="nil"/>
              <w:bottom w:val="nil"/>
              <w:right w:val="nil"/>
            </w:tcBorders>
            <w:noWrap/>
            <w:vAlign w:val="bottom"/>
            <w:hideMark/>
          </w:tcPr>
          <w:p w14:paraId="0A4D195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4AD255C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02329DF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10.250,00</w:t>
            </w:r>
          </w:p>
        </w:tc>
        <w:tc>
          <w:tcPr>
            <w:tcW w:w="1559" w:type="dxa"/>
            <w:tcBorders>
              <w:top w:val="nil"/>
              <w:left w:val="nil"/>
              <w:bottom w:val="nil"/>
              <w:right w:val="nil"/>
            </w:tcBorders>
            <w:noWrap/>
            <w:vAlign w:val="bottom"/>
            <w:hideMark/>
          </w:tcPr>
          <w:p w14:paraId="6AE22C2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12.000,00</w:t>
            </w:r>
          </w:p>
        </w:tc>
        <w:tc>
          <w:tcPr>
            <w:tcW w:w="1559" w:type="dxa"/>
            <w:tcBorders>
              <w:top w:val="nil"/>
              <w:left w:val="nil"/>
              <w:bottom w:val="nil"/>
              <w:right w:val="nil"/>
            </w:tcBorders>
            <w:noWrap/>
            <w:vAlign w:val="bottom"/>
            <w:hideMark/>
          </w:tcPr>
          <w:p w14:paraId="01C4827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12.000,00</w:t>
            </w:r>
          </w:p>
        </w:tc>
        <w:tc>
          <w:tcPr>
            <w:tcW w:w="993" w:type="dxa"/>
            <w:tcBorders>
              <w:top w:val="nil"/>
              <w:left w:val="nil"/>
              <w:bottom w:val="nil"/>
              <w:right w:val="nil"/>
            </w:tcBorders>
            <w:noWrap/>
            <w:vAlign w:val="bottom"/>
            <w:hideMark/>
          </w:tcPr>
          <w:p w14:paraId="6ACE569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r>
      <w:tr w:rsidR="006967F8" w:rsidRPr="006967F8" w14:paraId="42F314BE" w14:textId="77777777" w:rsidTr="008A61B1">
        <w:trPr>
          <w:trHeight w:val="255"/>
        </w:trPr>
        <w:tc>
          <w:tcPr>
            <w:tcW w:w="1134" w:type="dxa"/>
            <w:tcBorders>
              <w:top w:val="nil"/>
              <w:left w:val="nil"/>
              <w:bottom w:val="nil"/>
              <w:right w:val="nil"/>
            </w:tcBorders>
            <w:noWrap/>
            <w:vAlign w:val="bottom"/>
            <w:hideMark/>
          </w:tcPr>
          <w:p w14:paraId="3B21A93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4214</w:t>
            </w:r>
          </w:p>
        </w:tc>
        <w:tc>
          <w:tcPr>
            <w:tcW w:w="4962" w:type="dxa"/>
            <w:tcBorders>
              <w:top w:val="nil"/>
              <w:left w:val="nil"/>
              <w:bottom w:val="nil"/>
              <w:right w:val="nil"/>
            </w:tcBorders>
            <w:noWrap/>
            <w:vAlign w:val="bottom"/>
            <w:hideMark/>
          </w:tcPr>
          <w:p w14:paraId="1566399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građevinski objekti</w:t>
            </w:r>
          </w:p>
        </w:tc>
        <w:tc>
          <w:tcPr>
            <w:tcW w:w="1559" w:type="dxa"/>
            <w:tcBorders>
              <w:top w:val="nil"/>
              <w:left w:val="nil"/>
              <w:bottom w:val="nil"/>
              <w:right w:val="nil"/>
            </w:tcBorders>
            <w:noWrap/>
            <w:vAlign w:val="bottom"/>
            <w:hideMark/>
          </w:tcPr>
          <w:p w14:paraId="0DBB3031"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1348A56"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7ABEA79"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12.000,00</w:t>
            </w:r>
          </w:p>
        </w:tc>
        <w:tc>
          <w:tcPr>
            <w:tcW w:w="993" w:type="dxa"/>
            <w:tcBorders>
              <w:top w:val="nil"/>
              <w:left w:val="nil"/>
              <w:bottom w:val="nil"/>
              <w:right w:val="nil"/>
            </w:tcBorders>
            <w:noWrap/>
            <w:vAlign w:val="bottom"/>
            <w:hideMark/>
          </w:tcPr>
          <w:p w14:paraId="594EE6A4"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B2E3063" w14:textId="77777777" w:rsidTr="008A61B1">
        <w:trPr>
          <w:trHeight w:val="660"/>
        </w:trPr>
        <w:tc>
          <w:tcPr>
            <w:tcW w:w="1134" w:type="dxa"/>
            <w:tcBorders>
              <w:top w:val="nil"/>
              <w:left w:val="nil"/>
              <w:bottom w:val="nil"/>
              <w:right w:val="nil"/>
            </w:tcBorders>
            <w:shd w:val="clear" w:color="000000" w:fill="FFFF99"/>
            <w:noWrap/>
            <w:vAlign w:val="bottom"/>
            <w:hideMark/>
          </w:tcPr>
          <w:p w14:paraId="026F9DD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A100102</w:t>
            </w:r>
          </w:p>
        </w:tc>
        <w:tc>
          <w:tcPr>
            <w:tcW w:w="4962" w:type="dxa"/>
            <w:tcBorders>
              <w:top w:val="nil"/>
              <w:left w:val="nil"/>
              <w:bottom w:val="nil"/>
              <w:right w:val="nil"/>
            </w:tcBorders>
            <w:shd w:val="clear" w:color="000000" w:fill="FFFF99"/>
            <w:vAlign w:val="bottom"/>
            <w:hideMark/>
          </w:tcPr>
          <w:p w14:paraId="0F06C1E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Aktivnost: UPRAVLJANJE I ODRŽAVANJE SUSTAVA JAVNIH BICIKLI </w:t>
            </w:r>
          </w:p>
        </w:tc>
        <w:tc>
          <w:tcPr>
            <w:tcW w:w="1559" w:type="dxa"/>
            <w:tcBorders>
              <w:top w:val="nil"/>
              <w:left w:val="nil"/>
              <w:bottom w:val="nil"/>
              <w:right w:val="nil"/>
            </w:tcBorders>
            <w:shd w:val="clear" w:color="000000" w:fill="FFFF99"/>
            <w:noWrap/>
            <w:vAlign w:val="bottom"/>
            <w:hideMark/>
          </w:tcPr>
          <w:p w14:paraId="114AA13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15.300,00</w:t>
            </w:r>
          </w:p>
        </w:tc>
        <w:tc>
          <w:tcPr>
            <w:tcW w:w="1559" w:type="dxa"/>
            <w:tcBorders>
              <w:top w:val="nil"/>
              <w:left w:val="nil"/>
              <w:bottom w:val="nil"/>
              <w:right w:val="nil"/>
            </w:tcBorders>
            <w:shd w:val="clear" w:color="000000" w:fill="FFFF99"/>
            <w:noWrap/>
            <w:vAlign w:val="bottom"/>
            <w:hideMark/>
          </w:tcPr>
          <w:p w14:paraId="77180FC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15.300,00</w:t>
            </w:r>
          </w:p>
        </w:tc>
        <w:tc>
          <w:tcPr>
            <w:tcW w:w="1559" w:type="dxa"/>
            <w:tcBorders>
              <w:top w:val="nil"/>
              <w:left w:val="nil"/>
              <w:bottom w:val="nil"/>
              <w:right w:val="nil"/>
            </w:tcBorders>
            <w:shd w:val="clear" w:color="000000" w:fill="FFFF99"/>
            <w:noWrap/>
            <w:vAlign w:val="bottom"/>
            <w:hideMark/>
          </w:tcPr>
          <w:p w14:paraId="712219B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13.800,00</w:t>
            </w:r>
          </w:p>
        </w:tc>
        <w:tc>
          <w:tcPr>
            <w:tcW w:w="993" w:type="dxa"/>
            <w:tcBorders>
              <w:top w:val="nil"/>
              <w:left w:val="nil"/>
              <w:bottom w:val="nil"/>
              <w:right w:val="nil"/>
            </w:tcBorders>
            <w:shd w:val="clear" w:color="000000" w:fill="FFFF99"/>
            <w:noWrap/>
            <w:vAlign w:val="bottom"/>
            <w:hideMark/>
          </w:tcPr>
          <w:p w14:paraId="4442366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90,20%</w:t>
            </w:r>
          </w:p>
        </w:tc>
      </w:tr>
      <w:tr w:rsidR="006967F8" w:rsidRPr="006967F8" w14:paraId="2D2D8E89"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603226C"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714C8EF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15.300,00</w:t>
            </w:r>
          </w:p>
        </w:tc>
        <w:tc>
          <w:tcPr>
            <w:tcW w:w="1559" w:type="dxa"/>
            <w:tcBorders>
              <w:top w:val="nil"/>
              <w:left w:val="nil"/>
              <w:bottom w:val="nil"/>
              <w:right w:val="nil"/>
            </w:tcBorders>
            <w:shd w:val="clear" w:color="000000" w:fill="CCCCFF"/>
            <w:noWrap/>
            <w:vAlign w:val="bottom"/>
            <w:hideMark/>
          </w:tcPr>
          <w:p w14:paraId="211615D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15.300,00</w:t>
            </w:r>
          </w:p>
        </w:tc>
        <w:tc>
          <w:tcPr>
            <w:tcW w:w="1559" w:type="dxa"/>
            <w:tcBorders>
              <w:top w:val="nil"/>
              <w:left w:val="nil"/>
              <w:bottom w:val="nil"/>
              <w:right w:val="nil"/>
            </w:tcBorders>
            <w:shd w:val="clear" w:color="000000" w:fill="CCCCFF"/>
            <w:noWrap/>
            <w:vAlign w:val="bottom"/>
            <w:hideMark/>
          </w:tcPr>
          <w:p w14:paraId="6751A1A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13.800,00</w:t>
            </w:r>
          </w:p>
        </w:tc>
        <w:tc>
          <w:tcPr>
            <w:tcW w:w="993" w:type="dxa"/>
            <w:tcBorders>
              <w:top w:val="nil"/>
              <w:left w:val="nil"/>
              <w:bottom w:val="nil"/>
              <w:right w:val="nil"/>
            </w:tcBorders>
            <w:shd w:val="clear" w:color="000000" w:fill="CCCCFF"/>
            <w:noWrap/>
            <w:vAlign w:val="bottom"/>
            <w:hideMark/>
          </w:tcPr>
          <w:p w14:paraId="41B3E38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90,20%</w:t>
            </w:r>
          </w:p>
        </w:tc>
      </w:tr>
      <w:tr w:rsidR="006967F8" w:rsidRPr="006967F8" w14:paraId="370D66A7"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7C1F057"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762E19E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15.300,00</w:t>
            </w:r>
          </w:p>
        </w:tc>
        <w:tc>
          <w:tcPr>
            <w:tcW w:w="1559" w:type="dxa"/>
            <w:tcBorders>
              <w:top w:val="nil"/>
              <w:left w:val="nil"/>
              <w:bottom w:val="nil"/>
              <w:right w:val="nil"/>
            </w:tcBorders>
            <w:shd w:val="clear" w:color="000000" w:fill="CCCCFF"/>
            <w:noWrap/>
            <w:vAlign w:val="bottom"/>
            <w:hideMark/>
          </w:tcPr>
          <w:p w14:paraId="61A402F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15.300,00</w:t>
            </w:r>
          </w:p>
        </w:tc>
        <w:tc>
          <w:tcPr>
            <w:tcW w:w="1559" w:type="dxa"/>
            <w:tcBorders>
              <w:top w:val="nil"/>
              <w:left w:val="nil"/>
              <w:bottom w:val="nil"/>
              <w:right w:val="nil"/>
            </w:tcBorders>
            <w:shd w:val="clear" w:color="000000" w:fill="CCCCFF"/>
            <w:noWrap/>
            <w:vAlign w:val="bottom"/>
            <w:hideMark/>
          </w:tcPr>
          <w:p w14:paraId="6C128DF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13.800,00</w:t>
            </w:r>
          </w:p>
        </w:tc>
        <w:tc>
          <w:tcPr>
            <w:tcW w:w="993" w:type="dxa"/>
            <w:tcBorders>
              <w:top w:val="nil"/>
              <w:left w:val="nil"/>
              <w:bottom w:val="nil"/>
              <w:right w:val="nil"/>
            </w:tcBorders>
            <w:shd w:val="clear" w:color="000000" w:fill="CCCCFF"/>
            <w:noWrap/>
            <w:vAlign w:val="bottom"/>
            <w:hideMark/>
          </w:tcPr>
          <w:p w14:paraId="1EDD9E4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90,20%</w:t>
            </w:r>
          </w:p>
        </w:tc>
      </w:tr>
      <w:tr w:rsidR="006967F8" w:rsidRPr="006967F8" w14:paraId="46796DB8" w14:textId="77777777" w:rsidTr="008A61B1">
        <w:trPr>
          <w:trHeight w:val="255"/>
        </w:trPr>
        <w:tc>
          <w:tcPr>
            <w:tcW w:w="1134" w:type="dxa"/>
            <w:tcBorders>
              <w:top w:val="nil"/>
              <w:left w:val="nil"/>
              <w:bottom w:val="nil"/>
              <w:right w:val="nil"/>
            </w:tcBorders>
            <w:noWrap/>
            <w:vAlign w:val="bottom"/>
            <w:hideMark/>
          </w:tcPr>
          <w:p w14:paraId="1827E73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4DDEEF7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7C94AB8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15.300,00</w:t>
            </w:r>
          </w:p>
        </w:tc>
        <w:tc>
          <w:tcPr>
            <w:tcW w:w="1559" w:type="dxa"/>
            <w:tcBorders>
              <w:top w:val="nil"/>
              <w:left w:val="nil"/>
              <w:bottom w:val="nil"/>
              <w:right w:val="nil"/>
            </w:tcBorders>
            <w:noWrap/>
            <w:vAlign w:val="bottom"/>
            <w:hideMark/>
          </w:tcPr>
          <w:p w14:paraId="6E86107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15.300,00</w:t>
            </w:r>
          </w:p>
        </w:tc>
        <w:tc>
          <w:tcPr>
            <w:tcW w:w="1559" w:type="dxa"/>
            <w:tcBorders>
              <w:top w:val="nil"/>
              <w:left w:val="nil"/>
              <w:bottom w:val="nil"/>
              <w:right w:val="nil"/>
            </w:tcBorders>
            <w:noWrap/>
            <w:vAlign w:val="bottom"/>
            <w:hideMark/>
          </w:tcPr>
          <w:p w14:paraId="2832BA1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13.800,00</w:t>
            </w:r>
          </w:p>
        </w:tc>
        <w:tc>
          <w:tcPr>
            <w:tcW w:w="993" w:type="dxa"/>
            <w:tcBorders>
              <w:top w:val="nil"/>
              <w:left w:val="nil"/>
              <w:bottom w:val="nil"/>
              <w:right w:val="nil"/>
            </w:tcBorders>
            <w:noWrap/>
            <w:vAlign w:val="bottom"/>
            <w:hideMark/>
          </w:tcPr>
          <w:p w14:paraId="3D1AC16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90,20%</w:t>
            </w:r>
          </w:p>
        </w:tc>
      </w:tr>
      <w:tr w:rsidR="006967F8" w:rsidRPr="006967F8" w14:paraId="64FA30AA" w14:textId="77777777" w:rsidTr="008A61B1">
        <w:trPr>
          <w:trHeight w:val="255"/>
        </w:trPr>
        <w:tc>
          <w:tcPr>
            <w:tcW w:w="1134" w:type="dxa"/>
            <w:tcBorders>
              <w:top w:val="nil"/>
              <w:left w:val="nil"/>
              <w:bottom w:val="nil"/>
              <w:right w:val="nil"/>
            </w:tcBorders>
            <w:noWrap/>
            <w:vAlign w:val="bottom"/>
            <w:hideMark/>
          </w:tcPr>
          <w:p w14:paraId="3B73109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3231</w:t>
            </w:r>
          </w:p>
        </w:tc>
        <w:tc>
          <w:tcPr>
            <w:tcW w:w="4962" w:type="dxa"/>
            <w:tcBorders>
              <w:top w:val="nil"/>
              <w:left w:val="nil"/>
              <w:bottom w:val="nil"/>
              <w:right w:val="nil"/>
            </w:tcBorders>
            <w:noWrap/>
            <w:vAlign w:val="bottom"/>
            <w:hideMark/>
          </w:tcPr>
          <w:p w14:paraId="4851895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telefona, interneta, pošte i prijevoza</w:t>
            </w:r>
          </w:p>
        </w:tc>
        <w:tc>
          <w:tcPr>
            <w:tcW w:w="1559" w:type="dxa"/>
            <w:tcBorders>
              <w:top w:val="nil"/>
              <w:left w:val="nil"/>
              <w:bottom w:val="nil"/>
              <w:right w:val="nil"/>
            </w:tcBorders>
            <w:noWrap/>
            <w:vAlign w:val="bottom"/>
            <w:hideMark/>
          </w:tcPr>
          <w:p w14:paraId="7B0F9A4F"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09FCDA0"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DA02F98"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2.550,00</w:t>
            </w:r>
          </w:p>
        </w:tc>
        <w:tc>
          <w:tcPr>
            <w:tcW w:w="993" w:type="dxa"/>
            <w:tcBorders>
              <w:top w:val="nil"/>
              <w:left w:val="nil"/>
              <w:bottom w:val="nil"/>
              <w:right w:val="nil"/>
            </w:tcBorders>
            <w:noWrap/>
            <w:vAlign w:val="bottom"/>
            <w:hideMark/>
          </w:tcPr>
          <w:p w14:paraId="754EA418"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E09F12B" w14:textId="77777777" w:rsidTr="008A61B1">
        <w:trPr>
          <w:trHeight w:val="255"/>
        </w:trPr>
        <w:tc>
          <w:tcPr>
            <w:tcW w:w="1134" w:type="dxa"/>
            <w:tcBorders>
              <w:top w:val="nil"/>
              <w:left w:val="nil"/>
              <w:bottom w:val="nil"/>
              <w:right w:val="nil"/>
            </w:tcBorders>
            <w:noWrap/>
            <w:vAlign w:val="bottom"/>
            <w:hideMark/>
          </w:tcPr>
          <w:p w14:paraId="6D29E50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3232</w:t>
            </w:r>
          </w:p>
        </w:tc>
        <w:tc>
          <w:tcPr>
            <w:tcW w:w="4962" w:type="dxa"/>
            <w:tcBorders>
              <w:top w:val="nil"/>
              <w:left w:val="nil"/>
              <w:bottom w:val="nil"/>
              <w:right w:val="nil"/>
            </w:tcBorders>
            <w:noWrap/>
            <w:vAlign w:val="bottom"/>
            <w:hideMark/>
          </w:tcPr>
          <w:p w14:paraId="7B439C9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Usluge tekućeg i investicijskog  održavanja</w:t>
            </w:r>
          </w:p>
        </w:tc>
        <w:tc>
          <w:tcPr>
            <w:tcW w:w="1559" w:type="dxa"/>
            <w:tcBorders>
              <w:top w:val="nil"/>
              <w:left w:val="nil"/>
              <w:bottom w:val="nil"/>
              <w:right w:val="nil"/>
            </w:tcBorders>
            <w:noWrap/>
            <w:vAlign w:val="bottom"/>
            <w:hideMark/>
          </w:tcPr>
          <w:p w14:paraId="6BDA903C"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ADC5019"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0F9A420"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9.000,00</w:t>
            </w:r>
          </w:p>
        </w:tc>
        <w:tc>
          <w:tcPr>
            <w:tcW w:w="993" w:type="dxa"/>
            <w:tcBorders>
              <w:top w:val="nil"/>
              <w:left w:val="nil"/>
              <w:bottom w:val="nil"/>
              <w:right w:val="nil"/>
            </w:tcBorders>
            <w:noWrap/>
            <w:vAlign w:val="bottom"/>
            <w:hideMark/>
          </w:tcPr>
          <w:p w14:paraId="741A3FAE"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79791A3" w14:textId="77777777" w:rsidTr="008A61B1">
        <w:trPr>
          <w:trHeight w:val="255"/>
        </w:trPr>
        <w:tc>
          <w:tcPr>
            <w:tcW w:w="1134" w:type="dxa"/>
            <w:tcBorders>
              <w:top w:val="nil"/>
              <w:left w:val="nil"/>
              <w:bottom w:val="nil"/>
              <w:right w:val="nil"/>
            </w:tcBorders>
            <w:noWrap/>
            <w:vAlign w:val="bottom"/>
            <w:hideMark/>
          </w:tcPr>
          <w:p w14:paraId="4E75DB4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3235</w:t>
            </w:r>
          </w:p>
        </w:tc>
        <w:tc>
          <w:tcPr>
            <w:tcW w:w="4962" w:type="dxa"/>
            <w:tcBorders>
              <w:top w:val="nil"/>
              <w:left w:val="nil"/>
              <w:bottom w:val="nil"/>
              <w:right w:val="nil"/>
            </w:tcBorders>
            <w:noWrap/>
            <w:vAlign w:val="bottom"/>
            <w:hideMark/>
          </w:tcPr>
          <w:p w14:paraId="1A6B33A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Zakupnine i najamnine</w:t>
            </w:r>
          </w:p>
        </w:tc>
        <w:tc>
          <w:tcPr>
            <w:tcW w:w="1559" w:type="dxa"/>
            <w:tcBorders>
              <w:top w:val="nil"/>
              <w:left w:val="nil"/>
              <w:bottom w:val="nil"/>
              <w:right w:val="nil"/>
            </w:tcBorders>
            <w:noWrap/>
            <w:vAlign w:val="bottom"/>
            <w:hideMark/>
          </w:tcPr>
          <w:p w14:paraId="1DA8575F"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E2C8D9C"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E41790E"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2.250,00</w:t>
            </w:r>
          </w:p>
        </w:tc>
        <w:tc>
          <w:tcPr>
            <w:tcW w:w="993" w:type="dxa"/>
            <w:tcBorders>
              <w:top w:val="nil"/>
              <w:left w:val="nil"/>
              <w:bottom w:val="nil"/>
              <w:right w:val="nil"/>
            </w:tcBorders>
            <w:noWrap/>
            <w:vAlign w:val="bottom"/>
            <w:hideMark/>
          </w:tcPr>
          <w:p w14:paraId="60CDF0B1"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8B47658" w14:textId="77777777" w:rsidTr="008A61B1">
        <w:trPr>
          <w:trHeight w:val="615"/>
        </w:trPr>
        <w:tc>
          <w:tcPr>
            <w:tcW w:w="1134" w:type="dxa"/>
            <w:tcBorders>
              <w:top w:val="nil"/>
              <w:left w:val="nil"/>
              <w:bottom w:val="nil"/>
              <w:right w:val="nil"/>
            </w:tcBorders>
            <w:shd w:val="clear" w:color="000000" w:fill="FFFF99"/>
            <w:noWrap/>
            <w:vAlign w:val="bottom"/>
            <w:hideMark/>
          </w:tcPr>
          <w:p w14:paraId="6CBB042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K100091</w:t>
            </w:r>
          </w:p>
        </w:tc>
        <w:tc>
          <w:tcPr>
            <w:tcW w:w="4962" w:type="dxa"/>
            <w:tcBorders>
              <w:top w:val="nil"/>
              <w:left w:val="nil"/>
              <w:bottom w:val="nil"/>
              <w:right w:val="nil"/>
            </w:tcBorders>
            <w:shd w:val="clear" w:color="000000" w:fill="FFFF99"/>
            <w:vAlign w:val="bottom"/>
            <w:hideMark/>
          </w:tcPr>
          <w:p w14:paraId="5D9B92F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Kapitalni projekt: SUSTAV VIDEONADZORA GRADA</w:t>
            </w:r>
          </w:p>
        </w:tc>
        <w:tc>
          <w:tcPr>
            <w:tcW w:w="1559" w:type="dxa"/>
            <w:tcBorders>
              <w:top w:val="nil"/>
              <w:left w:val="nil"/>
              <w:bottom w:val="nil"/>
              <w:right w:val="nil"/>
            </w:tcBorders>
            <w:shd w:val="clear" w:color="000000" w:fill="FFFF99"/>
            <w:noWrap/>
            <w:vAlign w:val="bottom"/>
            <w:hideMark/>
          </w:tcPr>
          <w:p w14:paraId="3461706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112.100,00</w:t>
            </w:r>
          </w:p>
        </w:tc>
        <w:tc>
          <w:tcPr>
            <w:tcW w:w="1559" w:type="dxa"/>
            <w:tcBorders>
              <w:top w:val="nil"/>
              <w:left w:val="nil"/>
              <w:bottom w:val="nil"/>
              <w:right w:val="nil"/>
            </w:tcBorders>
            <w:shd w:val="clear" w:color="000000" w:fill="FFFF99"/>
            <w:noWrap/>
            <w:vAlign w:val="bottom"/>
            <w:hideMark/>
          </w:tcPr>
          <w:p w14:paraId="19232B5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112.100,00</w:t>
            </w:r>
          </w:p>
        </w:tc>
        <w:tc>
          <w:tcPr>
            <w:tcW w:w="1559" w:type="dxa"/>
            <w:tcBorders>
              <w:top w:val="nil"/>
              <w:left w:val="nil"/>
              <w:bottom w:val="nil"/>
              <w:right w:val="nil"/>
            </w:tcBorders>
            <w:shd w:val="clear" w:color="000000" w:fill="FFFF99"/>
            <w:noWrap/>
            <w:vAlign w:val="bottom"/>
            <w:hideMark/>
          </w:tcPr>
          <w:p w14:paraId="75427A5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79.173,13</w:t>
            </w:r>
          </w:p>
        </w:tc>
        <w:tc>
          <w:tcPr>
            <w:tcW w:w="993" w:type="dxa"/>
            <w:tcBorders>
              <w:top w:val="nil"/>
              <w:left w:val="nil"/>
              <w:bottom w:val="nil"/>
              <w:right w:val="nil"/>
            </w:tcBorders>
            <w:shd w:val="clear" w:color="000000" w:fill="FFFF99"/>
            <w:noWrap/>
            <w:vAlign w:val="bottom"/>
            <w:hideMark/>
          </w:tcPr>
          <w:p w14:paraId="125CAF0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70,63%</w:t>
            </w:r>
          </w:p>
        </w:tc>
      </w:tr>
      <w:tr w:rsidR="006967F8" w:rsidRPr="006967F8" w14:paraId="21898C44"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E2CC1AC"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660EA3B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112.100,00</w:t>
            </w:r>
          </w:p>
        </w:tc>
        <w:tc>
          <w:tcPr>
            <w:tcW w:w="1559" w:type="dxa"/>
            <w:tcBorders>
              <w:top w:val="nil"/>
              <w:left w:val="nil"/>
              <w:bottom w:val="nil"/>
              <w:right w:val="nil"/>
            </w:tcBorders>
            <w:shd w:val="clear" w:color="000000" w:fill="CCCCFF"/>
            <w:noWrap/>
            <w:vAlign w:val="bottom"/>
            <w:hideMark/>
          </w:tcPr>
          <w:p w14:paraId="5AAAD70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112.100,00</w:t>
            </w:r>
          </w:p>
        </w:tc>
        <w:tc>
          <w:tcPr>
            <w:tcW w:w="1559" w:type="dxa"/>
            <w:tcBorders>
              <w:top w:val="nil"/>
              <w:left w:val="nil"/>
              <w:bottom w:val="nil"/>
              <w:right w:val="nil"/>
            </w:tcBorders>
            <w:shd w:val="clear" w:color="000000" w:fill="CCCCFF"/>
            <w:noWrap/>
            <w:vAlign w:val="bottom"/>
            <w:hideMark/>
          </w:tcPr>
          <w:p w14:paraId="6709036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79.173,13</w:t>
            </w:r>
          </w:p>
        </w:tc>
        <w:tc>
          <w:tcPr>
            <w:tcW w:w="993" w:type="dxa"/>
            <w:tcBorders>
              <w:top w:val="nil"/>
              <w:left w:val="nil"/>
              <w:bottom w:val="nil"/>
              <w:right w:val="nil"/>
            </w:tcBorders>
            <w:shd w:val="clear" w:color="000000" w:fill="CCCCFF"/>
            <w:noWrap/>
            <w:vAlign w:val="bottom"/>
            <w:hideMark/>
          </w:tcPr>
          <w:p w14:paraId="5FD5A0E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70,63%</w:t>
            </w:r>
          </w:p>
        </w:tc>
      </w:tr>
      <w:tr w:rsidR="006967F8" w:rsidRPr="006967F8" w14:paraId="1616B2A7"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4D6CCD8"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2F7D408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112.100,00</w:t>
            </w:r>
          </w:p>
        </w:tc>
        <w:tc>
          <w:tcPr>
            <w:tcW w:w="1559" w:type="dxa"/>
            <w:tcBorders>
              <w:top w:val="nil"/>
              <w:left w:val="nil"/>
              <w:bottom w:val="nil"/>
              <w:right w:val="nil"/>
            </w:tcBorders>
            <w:shd w:val="clear" w:color="000000" w:fill="CCCCFF"/>
            <w:noWrap/>
            <w:vAlign w:val="bottom"/>
            <w:hideMark/>
          </w:tcPr>
          <w:p w14:paraId="73214E8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112.100,00</w:t>
            </w:r>
          </w:p>
        </w:tc>
        <w:tc>
          <w:tcPr>
            <w:tcW w:w="1559" w:type="dxa"/>
            <w:tcBorders>
              <w:top w:val="nil"/>
              <w:left w:val="nil"/>
              <w:bottom w:val="nil"/>
              <w:right w:val="nil"/>
            </w:tcBorders>
            <w:shd w:val="clear" w:color="000000" w:fill="CCCCFF"/>
            <w:noWrap/>
            <w:vAlign w:val="bottom"/>
            <w:hideMark/>
          </w:tcPr>
          <w:p w14:paraId="5FCDDEC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79.173,13</w:t>
            </w:r>
          </w:p>
        </w:tc>
        <w:tc>
          <w:tcPr>
            <w:tcW w:w="993" w:type="dxa"/>
            <w:tcBorders>
              <w:top w:val="nil"/>
              <w:left w:val="nil"/>
              <w:bottom w:val="nil"/>
              <w:right w:val="nil"/>
            </w:tcBorders>
            <w:shd w:val="clear" w:color="000000" w:fill="CCCCFF"/>
            <w:noWrap/>
            <w:vAlign w:val="bottom"/>
            <w:hideMark/>
          </w:tcPr>
          <w:p w14:paraId="77E7E3A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70,63%</w:t>
            </w:r>
          </w:p>
        </w:tc>
      </w:tr>
      <w:tr w:rsidR="006967F8" w:rsidRPr="006967F8" w14:paraId="51EFF8BF" w14:textId="77777777" w:rsidTr="008A61B1">
        <w:trPr>
          <w:trHeight w:val="255"/>
        </w:trPr>
        <w:tc>
          <w:tcPr>
            <w:tcW w:w="1134" w:type="dxa"/>
            <w:tcBorders>
              <w:top w:val="nil"/>
              <w:left w:val="nil"/>
              <w:bottom w:val="nil"/>
              <w:right w:val="nil"/>
            </w:tcBorders>
            <w:noWrap/>
            <w:vAlign w:val="bottom"/>
            <w:hideMark/>
          </w:tcPr>
          <w:p w14:paraId="7FD070B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7A819B6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5932FCB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noWrap/>
            <w:vAlign w:val="bottom"/>
            <w:hideMark/>
          </w:tcPr>
          <w:p w14:paraId="14157A3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noWrap/>
            <w:vAlign w:val="bottom"/>
            <w:hideMark/>
          </w:tcPr>
          <w:p w14:paraId="16FDFD8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4.712,50</w:t>
            </w:r>
          </w:p>
        </w:tc>
        <w:tc>
          <w:tcPr>
            <w:tcW w:w="993" w:type="dxa"/>
            <w:tcBorders>
              <w:top w:val="nil"/>
              <w:left w:val="nil"/>
              <w:bottom w:val="nil"/>
              <w:right w:val="nil"/>
            </w:tcBorders>
            <w:noWrap/>
            <w:vAlign w:val="bottom"/>
            <w:hideMark/>
          </w:tcPr>
          <w:p w14:paraId="28F4C9D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47,13%</w:t>
            </w:r>
          </w:p>
        </w:tc>
      </w:tr>
      <w:tr w:rsidR="006967F8" w:rsidRPr="006967F8" w14:paraId="484B33FC" w14:textId="77777777" w:rsidTr="008A61B1">
        <w:trPr>
          <w:trHeight w:val="255"/>
        </w:trPr>
        <w:tc>
          <w:tcPr>
            <w:tcW w:w="1134" w:type="dxa"/>
            <w:tcBorders>
              <w:top w:val="nil"/>
              <w:left w:val="nil"/>
              <w:bottom w:val="nil"/>
              <w:right w:val="nil"/>
            </w:tcBorders>
            <w:noWrap/>
            <w:vAlign w:val="bottom"/>
            <w:hideMark/>
          </w:tcPr>
          <w:p w14:paraId="7E26A7B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3237</w:t>
            </w:r>
          </w:p>
        </w:tc>
        <w:tc>
          <w:tcPr>
            <w:tcW w:w="4962" w:type="dxa"/>
            <w:tcBorders>
              <w:top w:val="nil"/>
              <w:left w:val="nil"/>
              <w:bottom w:val="nil"/>
              <w:right w:val="nil"/>
            </w:tcBorders>
            <w:noWrap/>
            <w:vAlign w:val="bottom"/>
            <w:hideMark/>
          </w:tcPr>
          <w:p w14:paraId="2BFC88F2"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Intelektualne i osobne usluge</w:t>
            </w:r>
          </w:p>
        </w:tc>
        <w:tc>
          <w:tcPr>
            <w:tcW w:w="1559" w:type="dxa"/>
            <w:tcBorders>
              <w:top w:val="nil"/>
              <w:left w:val="nil"/>
              <w:bottom w:val="nil"/>
              <w:right w:val="nil"/>
            </w:tcBorders>
            <w:noWrap/>
            <w:vAlign w:val="bottom"/>
            <w:hideMark/>
          </w:tcPr>
          <w:p w14:paraId="121E7CC4"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6A51E4E"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7886B87"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4.712,50</w:t>
            </w:r>
          </w:p>
        </w:tc>
        <w:tc>
          <w:tcPr>
            <w:tcW w:w="993" w:type="dxa"/>
            <w:tcBorders>
              <w:top w:val="nil"/>
              <w:left w:val="nil"/>
              <w:bottom w:val="nil"/>
              <w:right w:val="nil"/>
            </w:tcBorders>
            <w:noWrap/>
            <w:vAlign w:val="bottom"/>
            <w:hideMark/>
          </w:tcPr>
          <w:p w14:paraId="4792080A"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7CB4D2C" w14:textId="77777777" w:rsidTr="008A61B1">
        <w:trPr>
          <w:trHeight w:val="570"/>
        </w:trPr>
        <w:tc>
          <w:tcPr>
            <w:tcW w:w="1134" w:type="dxa"/>
            <w:tcBorders>
              <w:top w:val="nil"/>
              <w:left w:val="nil"/>
              <w:bottom w:val="nil"/>
              <w:right w:val="nil"/>
            </w:tcBorders>
            <w:noWrap/>
            <w:vAlign w:val="bottom"/>
            <w:hideMark/>
          </w:tcPr>
          <w:p w14:paraId="081627E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5505D58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5BDEA67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102.100,00</w:t>
            </w:r>
          </w:p>
        </w:tc>
        <w:tc>
          <w:tcPr>
            <w:tcW w:w="1559" w:type="dxa"/>
            <w:tcBorders>
              <w:top w:val="nil"/>
              <w:left w:val="nil"/>
              <w:bottom w:val="nil"/>
              <w:right w:val="nil"/>
            </w:tcBorders>
            <w:noWrap/>
            <w:vAlign w:val="bottom"/>
            <w:hideMark/>
          </w:tcPr>
          <w:p w14:paraId="07A5031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102.100,00</w:t>
            </w:r>
          </w:p>
        </w:tc>
        <w:tc>
          <w:tcPr>
            <w:tcW w:w="1559" w:type="dxa"/>
            <w:tcBorders>
              <w:top w:val="nil"/>
              <w:left w:val="nil"/>
              <w:bottom w:val="nil"/>
              <w:right w:val="nil"/>
            </w:tcBorders>
            <w:noWrap/>
            <w:vAlign w:val="bottom"/>
            <w:hideMark/>
          </w:tcPr>
          <w:p w14:paraId="607362D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74.460,63</w:t>
            </w:r>
          </w:p>
        </w:tc>
        <w:tc>
          <w:tcPr>
            <w:tcW w:w="993" w:type="dxa"/>
            <w:tcBorders>
              <w:top w:val="nil"/>
              <w:left w:val="nil"/>
              <w:bottom w:val="nil"/>
              <w:right w:val="nil"/>
            </w:tcBorders>
            <w:noWrap/>
            <w:vAlign w:val="bottom"/>
            <w:hideMark/>
          </w:tcPr>
          <w:p w14:paraId="45A4A14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72,93%</w:t>
            </w:r>
          </w:p>
        </w:tc>
      </w:tr>
      <w:tr w:rsidR="006967F8" w:rsidRPr="006967F8" w14:paraId="7C42FDB5" w14:textId="77777777" w:rsidTr="008A61B1">
        <w:trPr>
          <w:trHeight w:val="255"/>
        </w:trPr>
        <w:tc>
          <w:tcPr>
            <w:tcW w:w="1134" w:type="dxa"/>
            <w:tcBorders>
              <w:top w:val="nil"/>
              <w:left w:val="nil"/>
              <w:bottom w:val="nil"/>
              <w:right w:val="nil"/>
            </w:tcBorders>
            <w:noWrap/>
            <w:vAlign w:val="bottom"/>
            <w:hideMark/>
          </w:tcPr>
          <w:p w14:paraId="2D5C75E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4214</w:t>
            </w:r>
          </w:p>
        </w:tc>
        <w:tc>
          <w:tcPr>
            <w:tcW w:w="4962" w:type="dxa"/>
            <w:tcBorders>
              <w:top w:val="nil"/>
              <w:left w:val="nil"/>
              <w:bottom w:val="nil"/>
              <w:right w:val="nil"/>
            </w:tcBorders>
            <w:noWrap/>
            <w:vAlign w:val="bottom"/>
            <w:hideMark/>
          </w:tcPr>
          <w:p w14:paraId="4F245F2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građevinski objekti</w:t>
            </w:r>
          </w:p>
        </w:tc>
        <w:tc>
          <w:tcPr>
            <w:tcW w:w="1559" w:type="dxa"/>
            <w:tcBorders>
              <w:top w:val="nil"/>
              <w:left w:val="nil"/>
              <w:bottom w:val="nil"/>
              <w:right w:val="nil"/>
            </w:tcBorders>
            <w:noWrap/>
            <w:vAlign w:val="bottom"/>
            <w:hideMark/>
          </w:tcPr>
          <w:p w14:paraId="41646B5C"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47787BB"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89EEC92"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51.275,63</w:t>
            </w:r>
          </w:p>
        </w:tc>
        <w:tc>
          <w:tcPr>
            <w:tcW w:w="993" w:type="dxa"/>
            <w:tcBorders>
              <w:top w:val="nil"/>
              <w:left w:val="nil"/>
              <w:bottom w:val="nil"/>
              <w:right w:val="nil"/>
            </w:tcBorders>
            <w:noWrap/>
            <w:vAlign w:val="bottom"/>
            <w:hideMark/>
          </w:tcPr>
          <w:p w14:paraId="43E67C7F"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4CB9B2C4" w14:textId="77777777" w:rsidTr="008A61B1">
        <w:trPr>
          <w:trHeight w:val="255"/>
        </w:trPr>
        <w:tc>
          <w:tcPr>
            <w:tcW w:w="1134" w:type="dxa"/>
            <w:tcBorders>
              <w:top w:val="nil"/>
              <w:left w:val="nil"/>
              <w:bottom w:val="nil"/>
              <w:right w:val="nil"/>
            </w:tcBorders>
            <w:noWrap/>
            <w:vAlign w:val="bottom"/>
            <w:hideMark/>
          </w:tcPr>
          <w:p w14:paraId="310C065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4227</w:t>
            </w:r>
          </w:p>
        </w:tc>
        <w:tc>
          <w:tcPr>
            <w:tcW w:w="4962" w:type="dxa"/>
            <w:tcBorders>
              <w:top w:val="nil"/>
              <w:left w:val="nil"/>
              <w:bottom w:val="nil"/>
              <w:right w:val="nil"/>
            </w:tcBorders>
            <w:noWrap/>
            <w:vAlign w:val="bottom"/>
            <w:hideMark/>
          </w:tcPr>
          <w:p w14:paraId="355BD53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Uređaji, strojevi i oprema za ostale namjene</w:t>
            </w:r>
          </w:p>
        </w:tc>
        <w:tc>
          <w:tcPr>
            <w:tcW w:w="1559" w:type="dxa"/>
            <w:tcBorders>
              <w:top w:val="nil"/>
              <w:left w:val="nil"/>
              <w:bottom w:val="nil"/>
              <w:right w:val="nil"/>
            </w:tcBorders>
            <w:noWrap/>
            <w:vAlign w:val="bottom"/>
            <w:hideMark/>
          </w:tcPr>
          <w:p w14:paraId="1F0EFC11"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CE8D94A"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BE4BFCE"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23.185,00</w:t>
            </w:r>
          </w:p>
        </w:tc>
        <w:tc>
          <w:tcPr>
            <w:tcW w:w="993" w:type="dxa"/>
            <w:tcBorders>
              <w:top w:val="nil"/>
              <w:left w:val="nil"/>
              <w:bottom w:val="nil"/>
              <w:right w:val="nil"/>
            </w:tcBorders>
            <w:noWrap/>
            <w:vAlign w:val="bottom"/>
            <w:hideMark/>
          </w:tcPr>
          <w:p w14:paraId="019F061A"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1359B23" w14:textId="77777777" w:rsidTr="008A61B1">
        <w:trPr>
          <w:trHeight w:val="855"/>
        </w:trPr>
        <w:tc>
          <w:tcPr>
            <w:tcW w:w="1134" w:type="dxa"/>
            <w:tcBorders>
              <w:top w:val="nil"/>
              <w:left w:val="nil"/>
              <w:bottom w:val="nil"/>
              <w:right w:val="nil"/>
            </w:tcBorders>
            <w:shd w:val="clear" w:color="000000" w:fill="FFFF99"/>
            <w:noWrap/>
            <w:vAlign w:val="bottom"/>
            <w:hideMark/>
          </w:tcPr>
          <w:p w14:paraId="0B0BE03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K100108</w:t>
            </w:r>
          </w:p>
        </w:tc>
        <w:tc>
          <w:tcPr>
            <w:tcW w:w="4962" w:type="dxa"/>
            <w:tcBorders>
              <w:top w:val="nil"/>
              <w:left w:val="nil"/>
              <w:bottom w:val="nil"/>
              <w:right w:val="nil"/>
            </w:tcBorders>
            <w:shd w:val="clear" w:color="000000" w:fill="FFFF99"/>
            <w:vAlign w:val="bottom"/>
            <w:hideMark/>
          </w:tcPr>
          <w:p w14:paraId="61A4BF0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Kapitalni projekt: TERENSKA IZMJERA OBJEKATA ZA POTREBE EVIDENCIJE KOMUNALNE NAKNADE NA PODRUČJU NASELJA MASTRINKA</w:t>
            </w:r>
          </w:p>
        </w:tc>
        <w:tc>
          <w:tcPr>
            <w:tcW w:w="1559" w:type="dxa"/>
            <w:tcBorders>
              <w:top w:val="nil"/>
              <w:left w:val="nil"/>
              <w:bottom w:val="nil"/>
              <w:right w:val="nil"/>
            </w:tcBorders>
            <w:shd w:val="clear" w:color="000000" w:fill="FFFF99"/>
            <w:noWrap/>
            <w:vAlign w:val="bottom"/>
            <w:hideMark/>
          </w:tcPr>
          <w:p w14:paraId="084203E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shd w:val="clear" w:color="000000" w:fill="FFFF99"/>
            <w:noWrap/>
            <w:vAlign w:val="bottom"/>
            <w:hideMark/>
          </w:tcPr>
          <w:p w14:paraId="679BA46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14.660,00</w:t>
            </w:r>
          </w:p>
        </w:tc>
        <w:tc>
          <w:tcPr>
            <w:tcW w:w="1559" w:type="dxa"/>
            <w:tcBorders>
              <w:top w:val="nil"/>
              <w:left w:val="nil"/>
              <w:bottom w:val="nil"/>
              <w:right w:val="nil"/>
            </w:tcBorders>
            <w:shd w:val="clear" w:color="000000" w:fill="FFFF99"/>
            <w:noWrap/>
            <w:vAlign w:val="bottom"/>
            <w:hideMark/>
          </w:tcPr>
          <w:p w14:paraId="58FE0EA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9.937,50</w:t>
            </w:r>
          </w:p>
        </w:tc>
        <w:tc>
          <w:tcPr>
            <w:tcW w:w="993" w:type="dxa"/>
            <w:tcBorders>
              <w:top w:val="nil"/>
              <w:left w:val="nil"/>
              <w:bottom w:val="nil"/>
              <w:right w:val="nil"/>
            </w:tcBorders>
            <w:shd w:val="clear" w:color="000000" w:fill="FFFF99"/>
            <w:noWrap/>
            <w:vAlign w:val="bottom"/>
            <w:hideMark/>
          </w:tcPr>
          <w:p w14:paraId="2586033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67,79%</w:t>
            </w:r>
          </w:p>
        </w:tc>
      </w:tr>
      <w:tr w:rsidR="006967F8" w:rsidRPr="006967F8" w14:paraId="7A7ECA64"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08D5EDD"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6A7D134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8.000,00</w:t>
            </w:r>
          </w:p>
        </w:tc>
        <w:tc>
          <w:tcPr>
            <w:tcW w:w="1559" w:type="dxa"/>
            <w:tcBorders>
              <w:top w:val="nil"/>
              <w:left w:val="nil"/>
              <w:bottom w:val="nil"/>
              <w:right w:val="nil"/>
            </w:tcBorders>
            <w:shd w:val="clear" w:color="000000" w:fill="CCCCFF"/>
            <w:noWrap/>
            <w:vAlign w:val="bottom"/>
            <w:hideMark/>
          </w:tcPr>
          <w:p w14:paraId="5B58B60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8.000,00</w:t>
            </w:r>
          </w:p>
        </w:tc>
        <w:tc>
          <w:tcPr>
            <w:tcW w:w="1559" w:type="dxa"/>
            <w:tcBorders>
              <w:top w:val="nil"/>
              <w:left w:val="nil"/>
              <w:bottom w:val="nil"/>
              <w:right w:val="nil"/>
            </w:tcBorders>
            <w:shd w:val="clear" w:color="000000" w:fill="CCCCFF"/>
            <w:noWrap/>
            <w:vAlign w:val="bottom"/>
            <w:hideMark/>
          </w:tcPr>
          <w:p w14:paraId="754CD9D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3.279,37</w:t>
            </w:r>
          </w:p>
        </w:tc>
        <w:tc>
          <w:tcPr>
            <w:tcW w:w="993" w:type="dxa"/>
            <w:tcBorders>
              <w:top w:val="nil"/>
              <w:left w:val="nil"/>
              <w:bottom w:val="nil"/>
              <w:right w:val="nil"/>
            </w:tcBorders>
            <w:shd w:val="clear" w:color="000000" w:fill="CCCCFF"/>
            <w:noWrap/>
            <w:vAlign w:val="bottom"/>
            <w:hideMark/>
          </w:tcPr>
          <w:p w14:paraId="204E64D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40,99%</w:t>
            </w:r>
          </w:p>
        </w:tc>
      </w:tr>
      <w:tr w:rsidR="006967F8" w:rsidRPr="006967F8" w14:paraId="681A5B2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D275310"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18AA8D0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8.000,00</w:t>
            </w:r>
          </w:p>
        </w:tc>
        <w:tc>
          <w:tcPr>
            <w:tcW w:w="1559" w:type="dxa"/>
            <w:tcBorders>
              <w:top w:val="nil"/>
              <w:left w:val="nil"/>
              <w:bottom w:val="nil"/>
              <w:right w:val="nil"/>
            </w:tcBorders>
            <w:shd w:val="clear" w:color="000000" w:fill="CCCCFF"/>
            <w:noWrap/>
            <w:vAlign w:val="bottom"/>
            <w:hideMark/>
          </w:tcPr>
          <w:p w14:paraId="61F0A43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8.000,00</w:t>
            </w:r>
          </w:p>
        </w:tc>
        <w:tc>
          <w:tcPr>
            <w:tcW w:w="1559" w:type="dxa"/>
            <w:tcBorders>
              <w:top w:val="nil"/>
              <w:left w:val="nil"/>
              <w:bottom w:val="nil"/>
              <w:right w:val="nil"/>
            </w:tcBorders>
            <w:shd w:val="clear" w:color="000000" w:fill="CCCCFF"/>
            <w:noWrap/>
            <w:vAlign w:val="bottom"/>
            <w:hideMark/>
          </w:tcPr>
          <w:p w14:paraId="67D818E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3.279,37</w:t>
            </w:r>
          </w:p>
        </w:tc>
        <w:tc>
          <w:tcPr>
            <w:tcW w:w="993" w:type="dxa"/>
            <w:tcBorders>
              <w:top w:val="nil"/>
              <w:left w:val="nil"/>
              <w:bottom w:val="nil"/>
              <w:right w:val="nil"/>
            </w:tcBorders>
            <w:shd w:val="clear" w:color="000000" w:fill="CCCCFF"/>
            <w:noWrap/>
            <w:vAlign w:val="bottom"/>
            <w:hideMark/>
          </w:tcPr>
          <w:p w14:paraId="683F869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40,99%</w:t>
            </w:r>
          </w:p>
        </w:tc>
      </w:tr>
      <w:tr w:rsidR="006967F8" w:rsidRPr="006967F8" w14:paraId="5BC399EF" w14:textId="77777777" w:rsidTr="008A61B1">
        <w:trPr>
          <w:trHeight w:val="570"/>
        </w:trPr>
        <w:tc>
          <w:tcPr>
            <w:tcW w:w="1134" w:type="dxa"/>
            <w:tcBorders>
              <w:top w:val="nil"/>
              <w:left w:val="nil"/>
              <w:bottom w:val="nil"/>
              <w:right w:val="nil"/>
            </w:tcBorders>
            <w:noWrap/>
            <w:vAlign w:val="bottom"/>
            <w:hideMark/>
          </w:tcPr>
          <w:p w14:paraId="5628491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6288508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2286BAE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8.000,00</w:t>
            </w:r>
          </w:p>
        </w:tc>
        <w:tc>
          <w:tcPr>
            <w:tcW w:w="1559" w:type="dxa"/>
            <w:tcBorders>
              <w:top w:val="nil"/>
              <w:left w:val="nil"/>
              <w:bottom w:val="nil"/>
              <w:right w:val="nil"/>
            </w:tcBorders>
            <w:noWrap/>
            <w:vAlign w:val="bottom"/>
            <w:hideMark/>
          </w:tcPr>
          <w:p w14:paraId="25BC80D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8.000,00</w:t>
            </w:r>
          </w:p>
        </w:tc>
        <w:tc>
          <w:tcPr>
            <w:tcW w:w="1559" w:type="dxa"/>
            <w:tcBorders>
              <w:top w:val="nil"/>
              <w:left w:val="nil"/>
              <w:bottom w:val="nil"/>
              <w:right w:val="nil"/>
            </w:tcBorders>
            <w:noWrap/>
            <w:vAlign w:val="bottom"/>
            <w:hideMark/>
          </w:tcPr>
          <w:p w14:paraId="4BA8756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3.279,37</w:t>
            </w:r>
          </w:p>
        </w:tc>
        <w:tc>
          <w:tcPr>
            <w:tcW w:w="993" w:type="dxa"/>
            <w:tcBorders>
              <w:top w:val="nil"/>
              <w:left w:val="nil"/>
              <w:bottom w:val="nil"/>
              <w:right w:val="nil"/>
            </w:tcBorders>
            <w:noWrap/>
            <w:vAlign w:val="bottom"/>
            <w:hideMark/>
          </w:tcPr>
          <w:p w14:paraId="18ADB9F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40,99%</w:t>
            </w:r>
          </w:p>
        </w:tc>
      </w:tr>
      <w:tr w:rsidR="006967F8" w:rsidRPr="006967F8" w14:paraId="03CC128F" w14:textId="77777777" w:rsidTr="008A61B1">
        <w:trPr>
          <w:trHeight w:val="255"/>
        </w:trPr>
        <w:tc>
          <w:tcPr>
            <w:tcW w:w="1134" w:type="dxa"/>
            <w:tcBorders>
              <w:top w:val="nil"/>
              <w:left w:val="nil"/>
              <w:bottom w:val="nil"/>
              <w:right w:val="nil"/>
            </w:tcBorders>
            <w:noWrap/>
            <w:vAlign w:val="bottom"/>
            <w:hideMark/>
          </w:tcPr>
          <w:p w14:paraId="79F54CE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4264</w:t>
            </w:r>
          </w:p>
        </w:tc>
        <w:tc>
          <w:tcPr>
            <w:tcW w:w="4962" w:type="dxa"/>
            <w:tcBorders>
              <w:top w:val="nil"/>
              <w:left w:val="nil"/>
              <w:bottom w:val="nil"/>
              <w:right w:val="nil"/>
            </w:tcBorders>
            <w:noWrap/>
            <w:vAlign w:val="bottom"/>
            <w:hideMark/>
          </w:tcPr>
          <w:p w14:paraId="5294F78A"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Ostala nematerijalna proizvedena imovina</w:t>
            </w:r>
          </w:p>
        </w:tc>
        <w:tc>
          <w:tcPr>
            <w:tcW w:w="1559" w:type="dxa"/>
            <w:tcBorders>
              <w:top w:val="nil"/>
              <w:left w:val="nil"/>
              <w:bottom w:val="nil"/>
              <w:right w:val="nil"/>
            </w:tcBorders>
            <w:noWrap/>
            <w:vAlign w:val="bottom"/>
            <w:hideMark/>
          </w:tcPr>
          <w:p w14:paraId="37E94213"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A989DAF"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BE600B1"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3.279,37</w:t>
            </w:r>
          </w:p>
        </w:tc>
        <w:tc>
          <w:tcPr>
            <w:tcW w:w="993" w:type="dxa"/>
            <w:tcBorders>
              <w:top w:val="nil"/>
              <w:left w:val="nil"/>
              <w:bottom w:val="nil"/>
              <w:right w:val="nil"/>
            </w:tcBorders>
            <w:noWrap/>
            <w:vAlign w:val="bottom"/>
            <w:hideMark/>
          </w:tcPr>
          <w:p w14:paraId="61B55007"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251F1E5"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6F0AEA6"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1A68E0B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w:t>
            </w:r>
          </w:p>
        </w:tc>
        <w:tc>
          <w:tcPr>
            <w:tcW w:w="1559" w:type="dxa"/>
            <w:tcBorders>
              <w:top w:val="nil"/>
              <w:left w:val="nil"/>
              <w:bottom w:val="nil"/>
              <w:right w:val="nil"/>
            </w:tcBorders>
            <w:shd w:val="clear" w:color="000000" w:fill="CCCCFF"/>
            <w:noWrap/>
            <w:vAlign w:val="bottom"/>
            <w:hideMark/>
          </w:tcPr>
          <w:p w14:paraId="448167C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6.660,00</w:t>
            </w:r>
          </w:p>
        </w:tc>
        <w:tc>
          <w:tcPr>
            <w:tcW w:w="1559" w:type="dxa"/>
            <w:tcBorders>
              <w:top w:val="nil"/>
              <w:left w:val="nil"/>
              <w:bottom w:val="nil"/>
              <w:right w:val="nil"/>
            </w:tcBorders>
            <w:shd w:val="clear" w:color="000000" w:fill="CCCCFF"/>
            <w:noWrap/>
            <w:vAlign w:val="bottom"/>
            <w:hideMark/>
          </w:tcPr>
          <w:p w14:paraId="3376357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6.658,13</w:t>
            </w:r>
          </w:p>
        </w:tc>
        <w:tc>
          <w:tcPr>
            <w:tcW w:w="993" w:type="dxa"/>
            <w:tcBorders>
              <w:top w:val="nil"/>
              <w:left w:val="nil"/>
              <w:bottom w:val="nil"/>
              <w:right w:val="nil"/>
            </w:tcBorders>
            <w:shd w:val="clear" w:color="000000" w:fill="CCCCFF"/>
            <w:noWrap/>
            <w:vAlign w:val="bottom"/>
            <w:hideMark/>
          </w:tcPr>
          <w:p w14:paraId="58ED4A8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99,97%</w:t>
            </w:r>
          </w:p>
        </w:tc>
      </w:tr>
      <w:tr w:rsidR="006967F8" w:rsidRPr="006967F8" w14:paraId="4B4A29B1"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CB99C88"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5.1. Ostale pomoći</w:t>
            </w:r>
          </w:p>
        </w:tc>
        <w:tc>
          <w:tcPr>
            <w:tcW w:w="1559" w:type="dxa"/>
            <w:tcBorders>
              <w:top w:val="nil"/>
              <w:left w:val="nil"/>
              <w:bottom w:val="nil"/>
              <w:right w:val="nil"/>
            </w:tcBorders>
            <w:shd w:val="clear" w:color="000000" w:fill="CCCCFF"/>
            <w:noWrap/>
            <w:vAlign w:val="bottom"/>
            <w:hideMark/>
          </w:tcPr>
          <w:p w14:paraId="37B6EC0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2.000,00</w:t>
            </w:r>
          </w:p>
        </w:tc>
        <w:tc>
          <w:tcPr>
            <w:tcW w:w="1559" w:type="dxa"/>
            <w:tcBorders>
              <w:top w:val="nil"/>
              <w:left w:val="nil"/>
              <w:bottom w:val="nil"/>
              <w:right w:val="nil"/>
            </w:tcBorders>
            <w:shd w:val="clear" w:color="000000" w:fill="CCCCFF"/>
            <w:noWrap/>
            <w:vAlign w:val="bottom"/>
            <w:hideMark/>
          </w:tcPr>
          <w:p w14:paraId="7F8A254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6.660,00</w:t>
            </w:r>
          </w:p>
        </w:tc>
        <w:tc>
          <w:tcPr>
            <w:tcW w:w="1559" w:type="dxa"/>
            <w:tcBorders>
              <w:top w:val="nil"/>
              <w:left w:val="nil"/>
              <w:bottom w:val="nil"/>
              <w:right w:val="nil"/>
            </w:tcBorders>
            <w:shd w:val="clear" w:color="000000" w:fill="CCCCFF"/>
            <w:noWrap/>
            <w:vAlign w:val="bottom"/>
            <w:hideMark/>
          </w:tcPr>
          <w:p w14:paraId="71C5195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6.658,13</w:t>
            </w:r>
          </w:p>
        </w:tc>
        <w:tc>
          <w:tcPr>
            <w:tcW w:w="993" w:type="dxa"/>
            <w:tcBorders>
              <w:top w:val="nil"/>
              <w:left w:val="nil"/>
              <w:bottom w:val="nil"/>
              <w:right w:val="nil"/>
            </w:tcBorders>
            <w:shd w:val="clear" w:color="000000" w:fill="CCCCFF"/>
            <w:noWrap/>
            <w:vAlign w:val="bottom"/>
            <w:hideMark/>
          </w:tcPr>
          <w:p w14:paraId="316A04E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99,97%</w:t>
            </w:r>
          </w:p>
        </w:tc>
      </w:tr>
      <w:tr w:rsidR="006967F8" w:rsidRPr="006967F8" w14:paraId="36DFBADA" w14:textId="77777777" w:rsidTr="008A61B1">
        <w:trPr>
          <w:trHeight w:val="510"/>
        </w:trPr>
        <w:tc>
          <w:tcPr>
            <w:tcW w:w="1134" w:type="dxa"/>
            <w:tcBorders>
              <w:top w:val="nil"/>
              <w:left w:val="nil"/>
              <w:bottom w:val="nil"/>
              <w:right w:val="nil"/>
            </w:tcBorders>
            <w:noWrap/>
            <w:vAlign w:val="bottom"/>
            <w:hideMark/>
          </w:tcPr>
          <w:p w14:paraId="772E521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4710916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61A5F94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w:t>
            </w:r>
          </w:p>
        </w:tc>
        <w:tc>
          <w:tcPr>
            <w:tcW w:w="1559" w:type="dxa"/>
            <w:tcBorders>
              <w:top w:val="nil"/>
              <w:left w:val="nil"/>
              <w:bottom w:val="nil"/>
              <w:right w:val="nil"/>
            </w:tcBorders>
            <w:noWrap/>
            <w:vAlign w:val="bottom"/>
            <w:hideMark/>
          </w:tcPr>
          <w:p w14:paraId="3759C84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6.660,00</w:t>
            </w:r>
          </w:p>
        </w:tc>
        <w:tc>
          <w:tcPr>
            <w:tcW w:w="1559" w:type="dxa"/>
            <w:tcBorders>
              <w:top w:val="nil"/>
              <w:left w:val="nil"/>
              <w:bottom w:val="nil"/>
              <w:right w:val="nil"/>
            </w:tcBorders>
            <w:noWrap/>
            <w:vAlign w:val="bottom"/>
            <w:hideMark/>
          </w:tcPr>
          <w:p w14:paraId="0A6431D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6.658,13</w:t>
            </w:r>
          </w:p>
        </w:tc>
        <w:tc>
          <w:tcPr>
            <w:tcW w:w="993" w:type="dxa"/>
            <w:tcBorders>
              <w:top w:val="nil"/>
              <w:left w:val="nil"/>
              <w:bottom w:val="nil"/>
              <w:right w:val="nil"/>
            </w:tcBorders>
            <w:noWrap/>
            <w:vAlign w:val="bottom"/>
            <w:hideMark/>
          </w:tcPr>
          <w:p w14:paraId="40D7EE5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99,97%</w:t>
            </w:r>
          </w:p>
        </w:tc>
      </w:tr>
      <w:tr w:rsidR="006967F8" w:rsidRPr="006967F8" w14:paraId="6D76D1CA" w14:textId="77777777" w:rsidTr="008A61B1">
        <w:trPr>
          <w:trHeight w:val="255"/>
        </w:trPr>
        <w:tc>
          <w:tcPr>
            <w:tcW w:w="1134" w:type="dxa"/>
            <w:tcBorders>
              <w:top w:val="nil"/>
              <w:left w:val="nil"/>
              <w:bottom w:val="nil"/>
              <w:right w:val="nil"/>
            </w:tcBorders>
            <w:noWrap/>
            <w:vAlign w:val="bottom"/>
            <w:hideMark/>
          </w:tcPr>
          <w:p w14:paraId="401013F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4264</w:t>
            </w:r>
          </w:p>
        </w:tc>
        <w:tc>
          <w:tcPr>
            <w:tcW w:w="4962" w:type="dxa"/>
            <w:tcBorders>
              <w:top w:val="nil"/>
              <w:left w:val="nil"/>
              <w:bottom w:val="nil"/>
              <w:right w:val="nil"/>
            </w:tcBorders>
            <w:noWrap/>
            <w:vAlign w:val="bottom"/>
            <w:hideMark/>
          </w:tcPr>
          <w:p w14:paraId="43DAAB3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Ostala nematerijalna proizvedena imovina</w:t>
            </w:r>
          </w:p>
        </w:tc>
        <w:tc>
          <w:tcPr>
            <w:tcW w:w="1559" w:type="dxa"/>
            <w:tcBorders>
              <w:top w:val="nil"/>
              <w:left w:val="nil"/>
              <w:bottom w:val="nil"/>
              <w:right w:val="nil"/>
            </w:tcBorders>
            <w:noWrap/>
            <w:vAlign w:val="bottom"/>
            <w:hideMark/>
          </w:tcPr>
          <w:p w14:paraId="36E8526D"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9AEDE77"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14993DEB"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6.658,13</w:t>
            </w:r>
          </w:p>
        </w:tc>
        <w:tc>
          <w:tcPr>
            <w:tcW w:w="993" w:type="dxa"/>
            <w:tcBorders>
              <w:top w:val="nil"/>
              <w:left w:val="nil"/>
              <w:bottom w:val="nil"/>
              <w:right w:val="nil"/>
            </w:tcBorders>
            <w:noWrap/>
            <w:vAlign w:val="bottom"/>
            <w:hideMark/>
          </w:tcPr>
          <w:p w14:paraId="55E92D2C"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6AE80EC" w14:textId="77777777" w:rsidTr="008A61B1">
        <w:trPr>
          <w:trHeight w:val="840"/>
        </w:trPr>
        <w:tc>
          <w:tcPr>
            <w:tcW w:w="1134" w:type="dxa"/>
            <w:tcBorders>
              <w:top w:val="nil"/>
              <w:left w:val="nil"/>
              <w:bottom w:val="nil"/>
              <w:right w:val="nil"/>
            </w:tcBorders>
            <w:shd w:val="clear" w:color="000000" w:fill="FFFF99"/>
            <w:noWrap/>
            <w:vAlign w:val="bottom"/>
            <w:hideMark/>
          </w:tcPr>
          <w:p w14:paraId="025B264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K100109</w:t>
            </w:r>
          </w:p>
        </w:tc>
        <w:tc>
          <w:tcPr>
            <w:tcW w:w="4962" w:type="dxa"/>
            <w:tcBorders>
              <w:top w:val="nil"/>
              <w:left w:val="nil"/>
              <w:bottom w:val="nil"/>
              <w:right w:val="nil"/>
            </w:tcBorders>
            <w:shd w:val="clear" w:color="000000" w:fill="FFFF99"/>
            <w:vAlign w:val="bottom"/>
            <w:hideMark/>
          </w:tcPr>
          <w:p w14:paraId="7DD90B72"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Kapitalni projekt: TERENSKA IZMJERA OBJEKATA ZA POTREBE EVIDENCIJE </w:t>
            </w:r>
            <w:r w:rsidRPr="006967F8">
              <w:rPr>
                <w:rFonts w:ascii="Arial" w:eastAsia="Times New Roman" w:hAnsi="Arial" w:cs="Arial"/>
                <w:b/>
                <w:bCs/>
                <w:sz w:val="20"/>
                <w:szCs w:val="20"/>
                <w:lang w:eastAsia="hr-HR"/>
              </w:rPr>
              <w:lastRenderedPageBreak/>
              <w:t>KOMUNALNE NAKNADE NA PODRUČJU NASELJA DRVENIK V. I M</w:t>
            </w:r>
          </w:p>
        </w:tc>
        <w:tc>
          <w:tcPr>
            <w:tcW w:w="1559" w:type="dxa"/>
            <w:tcBorders>
              <w:top w:val="nil"/>
              <w:left w:val="nil"/>
              <w:bottom w:val="nil"/>
              <w:right w:val="nil"/>
            </w:tcBorders>
            <w:shd w:val="clear" w:color="000000" w:fill="FFFF99"/>
            <w:noWrap/>
            <w:vAlign w:val="bottom"/>
            <w:hideMark/>
          </w:tcPr>
          <w:p w14:paraId="0A990C7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lastRenderedPageBreak/>
              <w:t>11.500,00</w:t>
            </w:r>
          </w:p>
        </w:tc>
        <w:tc>
          <w:tcPr>
            <w:tcW w:w="1559" w:type="dxa"/>
            <w:tcBorders>
              <w:top w:val="nil"/>
              <w:left w:val="nil"/>
              <w:bottom w:val="nil"/>
              <w:right w:val="nil"/>
            </w:tcBorders>
            <w:shd w:val="clear" w:color="000000" w:fill="FFFF99"/>
            <w:noWrap/>
            <w:vAlign w:val="bottom"/>
            <w:hideMark/>
          </w:tcPr>
          <w:p w14:paraId="2C7F883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11.500,00</w:t>
            </w:r>
          </w:p>
        </w:tc>
        <w:tc>
          <w:tcPr>
            <w:tcW w:w="1559" w:type="dxa"/>
            <w:tcBorders>
              <w:top w:val="nil"/>
              <w:left w:val="nil"/>
              <w:bottom w:val="nil"/>
              <w:right w:val="nil"/>
            </w:tcBorders>
            <w:shd w:val="clear" w:color="000000" w:fill="FFFF99"/>
            <w:noWrap/>
            <w:vAlign w:val="bottom"/>
            <w:hideMark/>
          </w:tcPr>
          <w:p w14:paraId="339AA50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10.931,25</w:t>
            </w:r>
          </w:p>
        </w:tc>
        <w:tc>
          <w:tcPr>
            <w:tcW w:w="993" w:type="dxa"/>
            <w:tcBorders>
              <w:top w:val="nil"/>
              <w:left w:val="nil"/>
              <w:bottom w:val="nil"/>
              <w:right w:val="nil"/>
            </w:tcBorders>
            <w:shd w:val="clear" w:color="000000" w:fill="FFFF99"/>
            <w:noWrap/>
            <w:vAlign w:val="bottom"/>
            <w:hideMark/>
          </w:tcPr>
          <w:p w14:paraId="4EB952E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95,05%</w:t>
            </w:r>
          </w:p>
        </w:tc>
      </w:tr>
      <w:tr w:rsidR="006967F8" w:rsidRPr="006967F8" w14:paraId="2763D67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F94B420"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66CF1A0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11.500,00</w:t>
            </w:r>
          </w:p>
        </w:tc>
        <w:tc>
          <w:tcPr>
            <w:tcW w:w="1559" w:type="dxa"/>
            <w:tcBorders>
              <w:top w:val="nil"/>
              <w:left w:val="nil"/>
              <w:bottom w:val="nil"/>
              <w:right w:val="nil"/>
            </w:tcBorders>
            <w:shd w:val="clear" w:color="000000" w:fill="CCCCFF"/>
            <w:noWrap/>
            <w:vAlign w:val="bottom"/>
            <w:hideMark/>
          </w:tcPr>
          <w:p w14:paraId="32262F5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11.500,00</w:t>
            </w:r>
          </w:p>
        </w:tc>
        <w:tc>
          <w:tcPr>
            <w:tcW w:w="1559" w:type="dxa"/>
            <w:tcBorders>
              <w:top w:val="nil"/>
              <w:left w:val="nil"/>
              <w:bottom w:val="nil"/>
              <w:right w:val="nil"/>
            </w:tcBorders>
            <w:shd w:val="clear" w:color="000000" w:fill="CCCCFF"/>
            <w:noWrap/>
            <w:vAlign w:val="bottom"/>
            <w:hideMark/>
          </w:tcPr>
          <w:p w14:paraId="7DF2402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10.931,25</w:t>
            </w:r>
          </w:p>
        </w:tc>
        <w:tc>
          <w:tcPr>
            <w:tcW w:w="993" w:type="dxa"/>
            <w:tcBorders>
              <w:top w:val="nil"/>
              <w:left w:val="nil"/>
              <w:bottom w:val="nil"/>
              <w:right w:val="nil"/>
            </w:tcBorders>
            <w:shd w:val="clear" w:color="000000" w:fill="CCCCFF"/>
            <w:noWrap/>
            <w:vAlign w:val="bottom"/>
            <w:hideMark/>
          </w:tcPr>
          <w:p w14:paraId="51939FB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95,05%</w:t>
            </w:r>
          </w:p>
        </w:tc>
      </w:tr>
      <w:tr w:rsidR="006967F8" w:rsidRPr="006967F8" w14:paraId="0F9AB829"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C27BE5E"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5BBEF0E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11.500,00</w:t>
            </w:r>
          </w:p>
        </w:tc>
        <w:tc>
          <w:tcPr>
            <w:tcW w:w="1559" w:type="dxa"/>
            <w:tcBorders>
              <w:top w:val="nil"/>
              <w:left w:val="nil"/>
              <w:bottom w:val="nil"/>
              <w:right w:val="nil"/>
            </w:tcBorders>
            <w:shd w:val="clear" w:color="000000" w:fill="CCCCFF"/>
            <w:noWrap/>
            <w:vAlign w:val="bottom"/>
            <w:hideMark/>
          </w:tcPr>
          <w:p w14:paraId="472C456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11.500,00</w:t>
            </w:r>
          </w:p>
        </w:tc>
        <w:tc>
          <w:tcPr>
            <w:tcW w:w="1559" w:type="dxa"/>
            <w:tcBorders>
              <w:top w:val="nil"/>
              <w:left w:val="nil"/>
              <w:bottom w:val="nil"/>
              <w:right w:val="nil"/>
            </w:tcBorders>
            <w:shd w:val="clear" w:color="000000" w:fill="CCCCFF"/>
            <w:noWrap/>
            <w:vAlign w:val="bottom"/>
            <w:hideMark/>
          </w:tcPr>
          <w:p w14:paraId="086E58F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10.931,25</w:t>
            </w:r>
          </w:p>
        </w:tc>
        <w:tc>
          <w:tcPr>
            <w:tcW w:w="993" w:type="dxa"/>
            <w:tcBorders>
              <w:top w:val="nil"/>
              <w:left w:val="nil"/>
              <w:bottom w:val="nil"/>
              <w:right w:val="nil"/>
            </w:tcBorders>
            <w:shd w:val="clear" w:color="000000" w:fill="CCCCFF"/>
            <w:noWrap/>
            <w:vAlign w:val="bottom"/>
            <w:hideMark/>
          </w:tcPr>
          <w:p w14:paraId="0C5763C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95,05%</w:t>
            </w:r>
          </w:p>
        </w:tc>
      </w:tr>
      <w:tr w:rsidR="006967F8" w:rsidRPr="006967F8" w14:paraId="60DAE917" w14:textId="77777777" w:rsidTr="008A61B1">
        <w:trPr>
          <w:trHeight w:val="480"/>
        </w:trPr>
        <w:tc>
          <w:tcPr>
            <w:tcW w:w="1134" w:type="dxa"/>
            <w:tcBorders>
              <w:top w:val="nil"/>
              <w:left w:val="nil"/>
              <w:bottom w:val="nil"/>
              <w:right w:val="nil"/>
            </w:tcBorders>
            <w:noWrap/>
            <w:vAlign w:val="bottom"/>
            <w:hideMark/>
          </w:tcPr>
          <w:p w14:paraId="3D97B697"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0044937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61D97F6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11.500,00</w:t>
            </w:r>
          </w:p>
        </w:tc>
        <w:tc>
          <w:tcPr>
            <w:tcW w:w="1559" w:type="dxa"/>
            <w:tcBorders>
              <w:top w:val="nil"/>
              <w:left w:val="nil"/>
              <w:bottom w:val="nil"/>
              <w:right w:val="nil"/>
            </w:tcBorders>
            <w:noWrap/>
            <w:vAlign w:val="bottom"/>
            <w:hideMark/>
          </w:tcPr>
          <w:p w14:paraId="6FF8E64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11.500,00</w:t>
            </w:r>
          </w:p>
        </w:tc>
        <w:tc>
          <w:tcPr>
            <w:tcW w:w="1559" w:type="dxa"/>
            <w:tcBorders>
              <w:top w:val="nil"/>
              <w:left w:val="nil"/>
              <w:bottom w:val="nil"/>
              <w:right w:val="nil"/>
            </w:tcBorders>
            <w:noWrap/>
            <w:vAlign w:val="bottom"/>
            <w:hideMark/>
          </w:tcPr>
          <w:p w14:paraId="3AA7674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10.931,25</w:t>
            </w:r>
          </w:p>
        </w:tc>
        <w:tc>
          <w:tcPr>
            <w:tcW w:w="993" w:type="dxa"/>
            <w:tcBorders>
              <w:top w:val="nil"/>
              <w:left w:val="nil"/>
              <w:bottom w:val="nil"/>
              <w:right w:val="nil"/>
            </w:tcBorders>
            <w:noWrap/>
            <w:vAlign w:val="bottom"/>
            <w:hideMark/>
          </w:tcPr>
          <w:p w14:paraId="4331998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95,05%</w:t>
            </w:r>
          </w:p>
        </w:tc>
      </w:tr>
      <w:tr w:rsidR="006967F8" w:rsidRPr="006967F8" w14:paraId="4BD4D7CD" w14:textId="77777777" w:rsidTr="008A61B1">
        <w:trPr>
          <w:trHeight w:val="255"/>
        </w:trPr>
        <w:tc>
          <w:tcPr>
            <w:tcW w:w="1134" w:type="dxa"/>
            <w:tcBorders>
              <w:top w:val="nil"/>
              <w:left w:val="nil"/>
              <w:bottom w:val="nil"/>
              <w:right w:val="nil"/>
            </w:tcBorders>
            <w:noWrap/>
            <w:vAlign w:val="bottom"/>
            <w:hideMark/>
          </w:tcPr>
          <w:p w14:paraId="492D018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4264</w:t>
            </w:r>
          </w:p>
        </w:tc>
        <w:tc>
          <w:tcPr>
            <w:tcW w:w="4962" w:type="dxa"/>
            <w:tcBorders>
              <w:top w:val="nil"/>
              <w:left w:val="nil"/>
              <w:bottom w:val="nil"/>
              <w:right w:val="nil"/>
            </w:tcBorders>
            <w:noWrap/>
            <w:vAlign w:val="bottom"/>
            <w:hideMark/>
          </w:tcPr>
          <w:p w14:paraId="5EA080A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Ostala nematerijalna proizvedena imovina</w:t>
            </w:r>
          </w:p>
        </w:tc>
        <w:tc>
          <w:tcPr>
            <w:tcW w:w="1559" w:type="dxa"/>
            <w:tcBorders>
              <w:top w:val="nil"/>
              <w:left w:val="nil"/>
              <w:bottom w:val="nil"/>
              <w:right w:val="nil"/>
            </w:tcBorders>
            <w:noWrap/>
            <w:vAlign w:val="bottom"/>
            <w:hideMark/>
          </w:tcPr>
          <w:p w14:paraId="4E74034C"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3AF4DC7"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0747BCF7"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10.931,25</w:t>
            </w:r>
          </w:p>
        </w:tc>
        <w:tc>
          <w:tcPr>
            <w:tcW w:w="993" w:type="dxa"/>
            <w:tcBorders>
              <w:top w:val="nil"/>
              <w:left w:val="nil"/>
              <w:bottom w:val="nil"/>
              <w:right w:val="nil"/>
            </w:tcBorders>
            <w:noWrap/>
            <w:vAlign w:val="bottom"/>
            <w:hideMark/>
          </w:tcPr>
          <w:p w14:paraId="6628F1E5"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5242575" w14:textId="77777777" w:rsidTr="008A61B1">
        <w:trPr>
          <w:trHeight w:val="525"/>
        </w:trPr>
        <w:tc>
          <w:tcPr>
            <w:tcW w:w="1134" w:type="dxa"/>
            <w:tcBorders>
              <w:top w:val="nil"/>
              <w:left w:val="nil"/>
              <w:bottom w:val="nil"/>
              <w:right w:val="nil"/>
            </w:tcBorders>
            <w:shd w:val="clear" w:color="000000" w:fill="FFFF99"/>
            <w:noWrap/>
            <w:vAlign w:val="bottom"/>
            <w:hideMark/>
          </w:tcPr>
          <w:p w14:paraId="3F67A5B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K100110</w:t>
            </w:r>
          </w:p>
        </w:tc>
        <w:tc>
          <w:tcPr>
            <w:tcW w:w="4962" w:type="dxa"/>
            <w:tcBorders>
              <w:top w:val="nil"/>
              <w:left w:val="nil"/>
              <w:bottom w:val="nil"/>
              <w:right w:val="nil"/>
            </w:tcBorders>
            <w:shd w:val="clear" w:color="000000" w:fill="FFFF99"/>
            <w:vAlign w:val="bottom"/>
            <w:hideMark/>
          </w:tcPr>
          <w:p w14:paraId="064E54C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Kapitalni projekt: PAMETNA I ODRŽIVA RJEŠENJA U PROMETNOM SUSTAVU</w:t>
            </w:r>
          </w:p>
        </w:tc>
        <w:tc>
          <w:tcPr>
            <w:tcW w:w="1559" w:type="dxa"/>
            <w:tcBorders>
              <w:top w:val="nil"/>
              <w:left w:val="nil"/>
              <w:bottom w:val="nil"/>
              <w:right w:val="nil"/>
            </w:tcBorders>
            <w:shd w:val="clear" w:color="000000" w:fill="FFFF99"/>
            <w:noWrap/>
            <w:vAlign w:val="bottom"/>
            <w:hideMark/>
          </w:tcPr>
          <w:p w14:paraId="0617E9B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134.500,00</w:t>
            </w:r>
          </w:p>
        </w:tc>
        <w:tc>
          <w:tcPr>
            <w:tcW w:w="1559" w:type="dxa"/>
            <w:tcBorders>
              <w:top w:val="nil"/>
              <w:left w:val="nil"/>
              <w:bottom w:val="nil"/>
              <w:right w:val="nil"/>
            </w:tcBorders>
            <w:shd w:val="clear" w:color="000000" w:fill="FFFF99"/>
            <w:noWrap/>
            <w:vAlign w:val="bottom"/>
            <w:hideMark/>
          </w:tcPr>
          <w:p w14:paraId="5E6E79A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135.745,00</w:t>
            </w:r>
          </w:p>
        </w:tc>
        <w:tc>
          <w:tcPr>
            <w:tcW w:w="1559" w:type="dxa"/>
            <w:tcBorders>
              <w:top w:val="nil"/>
              <w:left w:val="nil"/>
              <w:bottom w:val="nil"/>
              <w:right w:val="nil"/>
            </w:tcBorders>
            <w:shd w:val="clear" w:color="000000" w:fill="FFFF99"/>
            <w:noWrap/>
            <w:vAlign w:val="bottom"/>
            <w:hideMark/>
          </w:tcPr>
          <w:p w14:paraId="4F3F04B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130.068,50</w:t>
            </w:r>
          </w:p>
        </w:tc>
        <w:tc>
          <w:tcPr>
            <w:tcW w:w="993" w:type="dxa"/>
            <w:tcBorders>
              <w:top w:val="nil"/>
              <w:left w:val="nil"/>
              <w:bottom w:val="nil"/>
              <w:right w:val="nil"/>
            </w:tcBorders>
            <w:shd w:val="clear" w:color="000000" w:fill="FFFF99"/>
            <w:noWrap/>
            <w:vAlign w:val="bottom"/>
            <w:hideMark/>
          </w:tcPr>
          <w:p w14:paraId="3FA5C28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95,82%</w:t>
            </w:r>
          </w:p>
        </w:tc>
      </w:tr>
      <w:tr w:rsidR="006967F8" w:rsidRPr="006967F8" w14:paraId="0CDA8300"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66BDDBBC"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1CA39A2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83.500,00</w:t>
            </w:r>
          </w:p>
        </w:tc>
        <w:tc>
          <w:tcPr>
            <w:tcW w:w="1559" w:type="dxa"/>
            <w:tcBorders>
              <w:top w:val="nil"/>
              <w:left w:val="nil"/>
              <w:bottom w:val="nil"/>
              <w:right w:val="nil"/>
            </w:tcBorders>
            <w:shd w:val="clear" w:color="000000" w:fill="CCCCFF"/>
            <w:noWrap/>
            <w:vAlign w:val="bottom"/>
            <w:hideMark/>
          </w:tcPr>
          <w:p w14:paraId="4B5DC8B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87.295,00</w:t>
            </w:r>
          </w:p>
        </w:tc>
        <w:tc>
          <w:tcPr>
            <w:tcW w:w="1559" w:type="dxa"/>
            <w:tcBorders>
              <w:top w:val="nil"/>
              <w:left w:val="nil"/>
              <w:bottom w:val="nil"/>
              <w:right w:val="nil"/>
            </w:tcBorders>
            <w:shd w:val="clear" w:color="000000" w:fill="CCCCFF"/>
            <w:noWrap/>
            <w:vAlign w:val="bottom"/>
            <w:hideMark/>
          </w:tcPr>
          <w:p w14:paraId="67EA330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87.294,60</w:t>
            </w:r>
          </w:p>
        </w:tc>
        <w:tc>
          <w:tcPr>
            <w:tcW w:w="993" w:type="dxa"/>
            <w:tcBorders>
              <w:top w:val="nil"/>
              <w:left w:val="nil"/>
              <w:bottom w:val="nil"/>
              <w:right w:val="nil"/>
            </w:tcBorders>
            <w:shd w:val="clear" w:color="000000" w:fill="CCCCFF"/>
            <w:noWrap/>
            <w:vAlign w:val="bottom"/>
            <w:hideMark/>
          </w:tcPr>
          <w:p w14:paraId="1EB47AD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24CD4471"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5E03D24"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7696530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83.500,00</w:t>
            </w:r>
          </w:p>
        </w:tc>
        <w:tc>
          <w:tcPr>
            <w:tcW w:w="1559" w:type="dxa"/>
            <w:tcBorders>
              <w:top w:val="nil"/>
              <w:left w:val="nil"/>
              <w:bottom w:val="nil"/>
              <w:right w:val="nil"/>
            </w:tcBorders>
            <w:shd w:val="clear" w:color="000000" w:fill="CCCCFF"/>
            <w:noWrap/>
            <w:vAlign w:val="bottom"/>
            <w:hideMark/>
          </w:tcPr>
          <w:p w14:paraId="7FFB781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87.295,00</w:t>
            </w:r>
          </w:p>
        </w:tc>
        <w:tc>
          <w:tcPr>
            <w:tcW w:w="1559" w:type="dxa"/>
            <w:tcBorders>
              <w:top w:val="nil"/>
              <w:left w:val="nil"/>
              <w:bottom w:val="nil"/>
              <w:right w:val="nil"/>
            </w:tcBorders>
            <w:shd w:val="clear" w:color="000000" w:fill="CCCCFF"/>
            <w:noWrap/>
            <w:vAlign w:val="bottom"/>
            <w:hideMark/>
          </w:tcPr>
          <w:p w14:paraId="6D3C3BF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87.294,60</w:t>
            </w:r>
          </w:p>
        </w:tc>
        <w:tc>
          <w:tcPr>
            <w:tcW w:w="993" w:type="dxa"/>
            <w:tcBorders>
              <w:top w:val="nil"/>
              <w:left w:val="nil"/>
              <w:bottom w:val="nil"/>
              <w:right w:val="nil"/>
            </w:tcBorders>
            <w:shd w:val="clear" w:color="000000" w:fill="CCCCFF"/>
            <w:noWrap/>
            <w:vAlign w:val="bottom"/>
            <w:hideMark/>
          </w:tcPr>
          <w:p w14:paraId="3AD5529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w:t>
            </w:r>
          </w:p>
        </w:tc>
      </w:tr>
      <w:tr w:rsidR="006967F8" w:rsidRPr="006967F8" w14:paraId="2245705D" w14:textId="77777777" w:rsidTr="008A61B1">
        <w:trPr>
          <w:trHeight w:val="555"/>
        </w:trPr>
        <w:tc>
          <w:tcPr>
            <w:tcW w:w="1134" w:type="dxa"/>
            <w:tcBorders>
              <w:top w:val="nil"/>
              <w:left w:val="nil"/>
              <w:bottom w:val="nil"/>
              <w:right w:val="nil"/>
            </w:tcBorders>
            <w:noWrap/>
            <w:vAlign w:val="bottom"/>
            <w:hideMark/>
          </w:tcPr>
          <w:p w14:paraId="71C76CA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0A9F449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1B162DB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83.500,00</w:t>
            </w:r>
          </w:p>
        </w:tc>
        <w:tc>
          <w:tcPr>
            <w:tcW w:w="1559" w:type="dxa"/>
            <w:tcBorders>
              <w:top w:val="nil"/>
              <w:left w:val="nil"/>
              <w:bottom w:val="nil"/>
              <w:right w:val="nil"/>
            </w:tcBorders>
            <w:noWrap/>
            <w:vAlign w:val="bottom"/>
            <w:hideMark/>
          </w:tcPr>
          <w:p w14:paraId="3CE3AFE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87.295,00</w:t>
            </w:r>
          </w:p>
        </w:tc>
        <w:tc>
          <w:tcPr>
            <w:tcW w:w="1559" w:type="dxa"/>
            <w:tcBorders>
              <w:top w:val="nil"/>
              <w:left w:val="nil"/>
              <w:bottom w:val="nil"/>
              <w:right w:val="nil"/>
            </w:tcBorders>
            <w:noWrap/>
            <w:vAlign w:val="bottom"/>
            <w:hideMark/>
          </w:tcPr>
          <w:p w14:paraId="05E0DBA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87.294,60</w:t>
            </w:r>
          </w:p>
        </w:tc>
        <w:tc>
          <w:tcPr>
            <w:tcW w:w="993" w:type="dxa"/>
            <w:tcBorders>
              <w:top w:val="nil"/>
              <w:left w:val="nil"/>
              <w:bottom w:val="nil"/>
              <w:right w:val="nil"/>
            </w:tcBorders>
            <w:noWrap/>
            <w:vAlign w:val="bottom"/>
            <w:hideMark/>
          </w:tcPr>
          <w:p w14:paraId="1E579D9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w:t>
            </w:r>
          </w:p>
        </w:tc>
      </w:tr>
      <w:tr w:rsidR="006967F8" w:rsidRPr="006967F8" w14:paraId="527BA2D9" w14:textId="77777777" w:rsidTr="008A61B1">
        <w:trPr>
          <w:trHeight w:val="255"/>
        </w:trPr>
        <w:tc>
          <w:tcPr>
            <w:tcW w:w="1134" w:type="dxa"/>
            <w:tcBorders>
              <w:top w:val="nil"/>
              <w:left w:val="nil"/>
              <w:bottom w:val="nil"/>
              <w:right w:val="nil"/>
            </w:tcBorders>
            <w:noWrap/>
            <w:vAlign w:val="bottom"/>
            <w:hideMark/>
          </w:tcPr>
          <w:p w14:paraId="5CF476B3"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4227</w:t>
            </w:r>
          </w:p>
        </w:tc>
        <w:tc>
          <w:tcPr>
            <w:tcW w:w="4962" w:type="dxa"/>
            <w:tcBorders>
              <w:top w:val="nil"/>
              <w:left w:val="nil"/>
              <w:bottom w:val="nil"/>
              <w:right w:val="nil"/>
            </w:tcBorders>
            <w:noWrap/>
            <w:vAlign w:val="bottom"/>
            <w:hideMark/>
          </w:tcPr>
          <w:p w14:paraId="297AA5D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Uređaji, strojevi i oprema za ostale namjene</w:t>
            </w:r>
          </w:p>
        </w:tc>
        <w:tc>
          <w:tcPr>
            <w:tcW w:w="1559" w:type="dxa"/>
            <w:tcBorders>
              <w:top w:val="nil"/>
              <w:left w:val="nil"/>
              <w:bottom w:val="nil"/>
              <w:right w:val="nil"/>
            </w:tcBorders>
            <w:noWrap/>
            <w:vAlign w:val="bottom"/>
            <w:hideMark/>
          </w:tcPr>
          <w:p w14:paraId="613909C3"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43863D1"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25A2AEE"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75.327,50</w:t>
            </w:r>
          </w:p>
        </w:tc>
        <w:tc>
          <w:tcPr>
            <w:tcW w:w="993" w:type="dxa"/>
            <w:tcBorders>
              <w:top w:val="nil"/>
              <w:left w:val="nil"/>
              <w:bottom w:val="nil"/>
              <w:right w:val="nil"/>
            </w:tcBorders>
            <w:noWrap/>
            <w:vAlign w:val="bottom"/>
            <w:hideMark/>
          </w:tcPr>
          <w:p w14:paraId="382DDCC7"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2C7BE33" w14:textId="77777777" w:rsidTr="008A61B1">
        <w:trPr>
          <w:trHeight w:val="255"/>
        </w:trPr>
        <w:tc>
          <w:tcPr>
            <w:tcW w:w="1134" w:type="dxa"/>
            <w:tcBorders>
              <w:top w:val="nil"/>
              <w:left w:val="nil"/>
              <w:bottom w:val="nil"/>
              <w:right w:val="nil"/>
            </w:tcBorders>
            <w:noWrap/>
            <w:vAlign w:val="bottom"/>
            <w:hideMark/>
          </w:tcPr>
          <w:p w14:paraId="6C232F8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4231</w:t>
            </w:r>
          </w:p>
        </w:tc>
        <w:tc>
          <w:tcPr>
            <w:tcW w:w="4962" w:type="dxa"/>
            <w:tcBorders>
              <w:top w:val="nil"/>
              <w:left w:val="nil"/>
              <w:bottom w:val="nil"/>
              <w:right w:val="nil"/>
            </w:tcBorders>
            <w:noWrap/>
            <w:vAlign w:val="bottom"/>
            <w:hideMark/>
          </w:tcPr>
          <w:p w14:paraId="1CE33FF0"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Prijevozna sredstva u cestovnom prometu</w:t>
            </w:r>
          </w:p>
        </w:tc>
        <w:tc>
          <w:tcPr>
            <w:tcW w:w="1559" w:type="dxa"/>
            <w:tcBorders>
              <w:top w:val="nil"/>
              <w:left w:val="nil"/>
              <w:bottom w:val="nil"/>
              <w:right w:val="nil"/>
            </w:tcBorders>
            <w:noWrap/>
            <w:vAlign w:val="bottom"/>
            <w:hideMark/>
          </w:tcPr>
          <w:p w14:paraId="55189142"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A897E39"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7BC2419"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11.967,10</w:t>
            </w:r>
          </w:p>
        </w:tc>
        <w:tc>
          <w:tcPr>
            <w:tcW w:w="993" w:type="dxa"/>
            <w:tcBorders>
              <w:top w:val="nil"/>
              <w:left w:val="nil"/>
              <w:bottom w:val="nil"/>
              <w:right w:val="nil"/>
            </w:tcBorders>
            <w:noWrap/>
            <w:vAlign w:val="bottom"/>
            <w:hideMark/>
          </w:tcPr>
          <w:p w14:paraId="07C1D9A8"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0EBE73DC"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3D87EE6"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1389054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51.000,00</w:t>
            </w:r>
          </w:p>
        </w:tc>
        <w:tc>
          <w:tcPr>
            <w:tcW w:w="1559" w:type="dxa"/>
            <w:tcBorders>
              <w:top w:val="nil"/>
              <w:left w:val="nil"/>
              <w:bottom w:val="nil"/>
              <w:right w:val="nil"/>
            </w:tcBorders>
            <w:shd w:val="clear" w:color="000000" w:fill="CCCCFF"/>
            <w:noWrap/>
            <w:vAlign w:val="bottom"/>
            <w:hideMark/>
          </w:tcPr>
          <w:p w14:paraId="0A9BAEA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48.450,00</w:t>
            </w:r>
          </w:p>
        </w:tc>
        <w:tc>
          <w:tcPr>
            <w:tcW w:w="1559" w:type="dxa"/>
            <w:tcBorders>
              <w:top w:val="nil"/>
              <w:left w:val="nil"/>
              <w:bottom w:val="nil"/>
              <w:right w:val="nil"/>
            </w:tcBorders>
            <w:shd w:val="clear" w:color="000000" w:fill="CCCCFF"/>
            <w:noWrap/>
            <w:vAlign w:val="bottom"/>
            <w:hideMark/>
          </w:tcPr>
          <w:p w14:paraId="118862A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42.773,90</w:t>
            </w:r>
          </w:p>
        </w:tc>
        <w:tc>
          <w:tcPr>
            <w:tcW w:w="993" w:type="dxa"/>
            <w:tcBorders>
              <w:top w:val="nil"/>
              <w:left w:val="nil"/>
              <w:bottom w:val="nil"/>
              <w:right w:val="nil"/>
            </w:tcBorders>
            <w:shd w:val="clear" w:color="000000" w:fill="CCCCFF"/>
            <w:noWrap/>
            <w:vAlign w:val="bottom"/>
            <w:hideMark/>
          </w:tcPr>
          <w:p w14:paraId="383CC78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88,28%</w:t>
            </w:r>
          </w:p>
        </w:tc>
      </w:tr>
      <w:tr w:rsidR="006967F8" w:rsidRPr="006967F8" w14:paraId="09809EC8"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B6F8A27"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5.1. Ostale pomoći</w:t>
            </w:r>
          </w:p>
        </w:tc>
        <w:tc>
          <w:tcPr>
            <w:tcW w:w="1559" w:type="dxa"/>
            <w:tcBorders>
              <w:top w:val="nil"/>
              <w:left w:val="nil"/>
              <w:bottom w:val="nil"/>
              <w:right w:val="nil"/>
            </w:tcBorders>
            <w:shd w:val="clear" w:color="000000" w:fill="CCCCFF"/>
            <w:noWrap/>
            <w:vAlign w:val="bottom"/>
            <w:hideMark/>
          </w:tcPr>
          <w:p w14:paraId="4113BBB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51.000,00</w:t>
            </w:r>
          </w:p>
        </w:tc>
        <w:tc>
          <w:tcPr>
            <w:tcW w:w="1559" w:type="dxa"/>
            <w:tcBorders>
              <w:top w:val="nil"/>
              <w:left w:val="nil"/>
              <w:bottom w:val="nil"/>
              <w:right w:val="nil"/>
            </w:tcBorders>
            <w:shd w:val="clear" w:color="000000" w:fill="CCCCFF"/>
            <w:noWrap/>
            <w:vAlign w:val="bottom"/>
            <w:hideMark/>
          </w:tcPr>
          <w:p w14:paraId="2D15CC4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48.450,00</w:t>
            </w:r>
          </w:p>
        </w:tc>
        <w:tc>
          <w:tcPr>
            <w:tcW w:w="1559" w:type="dxa"/>
            <w:tcBorders>
              <w:top w:val="nil"/>
              <w:left w:val="nil"/>
              <w:bottom w:val="nil"/>
              <w:right w:val="nil"/>
            </w:tcBorders>
            <w:shd w:val="clear" w:color="000000" w:fill="CCCCFF"/>
            <w:noWrap/>
            <w:vAlign w:val="bottom"/>
            <w:hideMark/>
          </w:tcPr>
          <w:p w14:paraId="384B77D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42.773,90</w:t>
            </w:r>
          </w:p>
        </w:tc>
        <w:tc>
          <w:tcPr>
            <w:tcW w:w="993" w:type="dxa"/>
            <w:tcBorders>
              <w:top w:val="nil"/>
              <w:left w:val="nil"/>
              <w:bottom w:val="nil"/>
              <w:right w:val="nil"/>
            </w:tcBorders>
            <w:shd w:val="clear" w:color="000000" w:fill="CCCCFF"/>
            <w:noWrap/>
            <w:vAlign w:val="bottom"/>
            <w:hideMark/>
          </w:tcPr>
          <w:p w14:paraId="42426DF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88,28%</w:t>
            </w:r>
          </w:p>
        </w:tc>
      </w:tr>
      <w:tr w:rsidR="006967F8" w:rsidRPr="006967F8" w14:paraId="4FCC92D8" w14:textId="77777777" w:rsidTr="008A61B1">
        <w:trPr>
          <w:trHeight w:val="480"/>
        </w:trPr>
        <w:tc>
          <w:tcPr>
            <w:tcW w:w="1134" w:type="dxa"/>
            <w:tcBorders>
              <w:top w:val="nil"/>
              <w:left w:val="nil"/>
              <w:bottom w:val="nil"/>
              <w:right w:val="nil"/>
            </w:tcBorders>
            <w:noWrap/>
            <w:vAlign w:val="bottom"/>
            <w:hideMark/>
          </w:tcPr>
          <w:p w14:paraId="2658052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19CB2A66"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2226547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51.000,00</w:t>
            </w:r>
          </w:p>
        </w:tc>
        <w:tc>
          <w:tcPr>
            <w:tcW w:w="1559" w:type="dxa"/>
            <w:tcBorders>
              <w:top w:val="nil"/>
              <w:left w:val="nil"/>
              <w:bottom w:val="nil"/>
              <w:right w:val="nil"/>
            </w:tcBorders>
            <w:noWrap/>
            <w:vAlign w:val="bottom"/>
            <w:hideMark/>
          </w:tcPr>
          <w:p w14:paraId="3383F33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48.450,00</w:t>
            </w:r>
          </w:p>
        </w:tc>
        <w:tc>
          <w:tcPr>
            <w:tcW w:w="1559" w:type="dxa"/>
            <w:tcBorders>
              <w:top w:val="nil"/>
              <w:left w:val="nil"/>
              <w:bottom w:val="nil"/>
              <w:right w:val="nil"/>
            </w:tcBorders>
            <w:noWrap/>
            <w:vAlign w:val="bottom"/>
            <w:hideMark/>
          </w:tcPr>
          <w:p w14:paraId="68153F9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42.773,90</w:t>
            </w:r>
          </w:p>
        </w:tc>
        <w:tc>
          <w:tcPr>
            <w:tcW w:w="993" w:type="dxa"/>
            <w:tcBorders>
              <w:top w:val="nil"/>
              <w:left w:val="nil"/>
              <w:bottom w:val="nil"/>
              <w:right w:val="nil"/>
            </w:tcBorders>
            <w:noWrap/>
            <w:vAlign w:val="bottom"/>
            <w:hideMark/>
          </w:tcPr>
          <w:p w14:paraId="12367FA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88,28%</w:t>
            </w:r>
          </w:p>
        </w:tc>
      </w:tr>
      <w:tr w:rsidR="006967F8" w:rsidRPr="006967F8" w14:paraId="632675B4" w14:textId="77777777" w:rsidTr="008A61B1">
        <w:trPr>
          <w:trHeight w:val="255"/>
        </w:trPr>
        <w:tc>
          <w:tcPr>
            <w:tcW w:w="1134" w:type="dxa"/>
            <w:tcBorders>
              <w:top w:val="nil"/>
              <w:left w:val="nil"/>
              <w:bottom w:val="nil"/>
              <w:right w:val="nil"/>
            </w:tcBorders>
            <w:noWrap/>
            <w:vAlign w:val="bottom"/>
            <w:hideMark/>
          </w:tcPr>
          <w:p w14:paraId="762A4C7F"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4231</w:t>
            </w:r>
          </w:p>
        </w:tc>
        <w:tc>
          <w:tcPr>
            <w:tcW w:w="4962" w:type="dxa"/>
            <w:tcBorders>
              <w:top w:val="nil"/>
              <w:left w:val="nil"/>
              <w:bottom w:val="nil"/>
              <w:right w:val="nil"/>
            </w:tcBorders>
            <w:noWrap/>
            <w:vAlign w:val="bottom"/>
            <w:hideMark/>
          </w:tcPr>
          <w:p w14:paraId="4FC590C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Prijevozna sredstva u cestovnom prometu</w:t>
            </w:r>
          </w:p>
        </w:tc>
        <w:tc>
          <w:tcPr>
            <w:tcW w:w="1559" w:type="dxa"/>
            <w:tcBorders>
              <w:top w:val="nil"/>
              <w:left w:val="nil"/>
              <w:bottom w:val="nil"/>
              <w:right w:val="nil"/>
            </w:tcBorders>
            <w:noWrap/>
            <w:vAlign w:val="bottom"/>
            <w:hideMark/>
          </w:tcPr>
          <w:p w14:paraId="6950312E"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447B9A76"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4E17828"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42.773,90</w:t>
            </w:r>
          </w:p>
        </w:tc>
        <w:tc>
          <w:tcPr>
            <w:tcW w:w="993" w:type="dxa"/>
            <w:tcBorders>
              <w:top w:val="nil"/>
              <w:left w:val="nil"/>
              <w:bottom w:val="nil"/>
              <w:right w:val="nil"/>
            </w:tcBorders>
            <w:noWrap/>
            <w:vAlign w:val="bottom"/>
            <w:hideMark/>
          </w:tcPr>
          <w:p w14:paraId="68CB87D2"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8688EE4" w14:textId="77777777" w:rsidTr="008A61B1">
        <w:trPr>
          <w:trHeight w:val="360"/>
        </w:trPr>
        <w:tc>
          <w:tcPr>
            <w:tcW w:w="1134" w:type="dxa"/>
            <w:tcBorders>
              <w:top w:val="nil"/>
              <w:left w:val="nil"/>
              <w:bottom w:val="nil"/>
              <w:right w:val="nil"/>
            </w:tcBorders>
            <w:shd w:val="clear" w:color="000000" w:fill="FF9900"/>
            <w:noWrap/>
            <w:vAlign w:val="bottom"/>
            <w:hideMark/>
          </w:tcPr>
          <w:p w14:paraId="557E623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1701</w:t>
            </w:r>
          </w:p>
        </w:tc>
        <w:tc>
          <w:tcPr>
            <w:tcW w:w="4962" w:type="dxa"/>
            <w:tcBorders>
              <w:top w:val="nil"/>
              <w:left w:val="nil"/>
              <w:bottom w:val="nil"/>
              <w:right w:val="nil"/>
            </w:tcBorders>
            <w:shd w:val="clear" w:color="000000" w:fill="FF9900"/>
            <w:vAlign w:val="bottom"/>
            <w:hideMark/>
          </w:tcPr>
          <w:p w14:paraId="6C8BB4E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Program: ZBRINJAVANJE KOMUNALNOG OTPADA </w:t>
            </w:r>
          </w:p>
        </w:tc>
        <w:tc>
          <w:tcPr>
            <w:tcW w:w="1559" w:type="dxa"/>
            <w:tcBorders>
              <w:top w:val="nil"/>
              <w:left w:val="nil"/>
              <w:bottom w:val="nil"/>
              <w:right w:val="nil"/>
            </w:tcBorders>
            <w:shd w:val="clear" w:color="000000" w:fill="FF9900"/>
            <w:noWrap/>
            <w:vAlign w:val="bottom"/>
            <w:hideMark/>
          </w:tcPr>
          <w:p w14:paraId="46A897C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47.000,00</w:t>
            </w:r>
          </w:p>
        </w:tc>
        <w:tc>
          <w:tcPr>
            <w:tcW w:w="1559" w:type="dxa"/>
            <w:tcBorders>
              <w:top w:val="nil"/>
              <w:left w:val="nil"/>
              <w:bottom w:val="nil"/>
              <w:right w:val="nil"/>
            </w:tcBorders>
            <w:shd w:val="clear" w:color="000000" w:fill="FF9900"/>
            <w:noWrap/>
            <w:vAlign w:val="bottom"/>
            <w:hideMark/>
          </w:tcPr>
          <w:p w14:paraId="4CD28EA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47.000,00</w:t>
            </w:r>
          </w:p>
        </w:tc>
        <w:tc>
          <w:tcPr>
            <w:tcW w:w="1559" w:type="dxa"/>
            <w:tcBorders>
              <w:top w:val="nil"/>
              <w:left w:val="nil"/>
              <w:bottom w:val="nil"/>
              <w:right w:val="nil"/>
            </w:tcBorders>
            <w:shd w:val="clear" w:color="000000" w:fill="FF9900"/>
            <w:noWrap/>
            <w:vAlign w:val="bottom"/>
            <w:hideMark/>
          </w:tcPr>
          <w:p w14:paraId="44B821D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23.903,13</w:t>
            </w:r>
          </w:p>
        </w:tc>
        <w:tc>
          <w:tcPr>
            <w:tcW w:w="993" w:type="dxa"/>
            <w:tcBorders>
              <w:top w:val="nil"/>
              <w:left w:val="nil"/>
              <w:bottom w:val="nil"/>
              <w:right w:val="nil"/>
            </w:tcBorders>
            <w:shd w:val="clear" w:color="000000" w:fill="FF9900"/>
            <w:noWrap/>
            <w:vAlign w:val="bottom"/>
            <w:hideMark/>
          </w:tcPr>
          <w:p w14:paraId="66F8232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50,86%</w:t>
            </w:r>
          </w:p>
        </w:tc>
      </w:tr>
      <w:tr w:rsidR="006967F8" w:rsidRPr="006967F8" w14:paraId="2C2F11DA" w14:textId="77777777" w:rsidTr="008A61B1">
        <w:trPr>
          <w:trHeight w:val="510"/>
        </w:trPr>
        <w:tc>
          <w:tcPr>
            <w:tcW w:w="1134" w:type="dxa"/>
            <w:tcBorders>
              <w:top w:val="nil"/>
              <w:left w:val="nil"/>
              <w:bottom w:val="nil"/>
              <w:right w:val="nil"/>
            </w:tcBorders>
            <w:shd w:val="clear" w:color="000000" w:fill="FFFF99"/>
            <w:noWrap/>
            <w:vAlign w:val="bottom"/>
            <w:hideMark/>
          </w:tcPr>
          <w:p w14:paraId="3E3E9BD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K100001</w:t>
            </w:r>
          </w:p>
        </w:tc>
        <w:tc>
          <w:tcPr>
            <w:tcW w:w="4962" w:type="dxa"/>
            <w:tcBorders>
              <w:top w:val="nil"/>
              <w:left w:val="nil"/>
              <w:bottom w:val="nil"/>
              <w:right w:val="nil"/>
            </w:tcBorders>
            <w:shd w:val="clear" w:color="000000" w:fill="FFFF99"/>
            <w:vAlign w:val="bottom"/>
            <w:hideMark/>
          </w:tcPr>
          <w:p w14:paraId="02EE61B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Kapitalni projekt: SANACIJA DEPONIJA U PLANOM</w:t>
            </w:r>
          </w:p>
        </w:tc>
        <w:tc>
          <w:tcPr>
            <w:tcW w:w="1559" w:type="dxa"/>
            <w:tcBorders>
              <w:top w:val="nil"/>
              <w:left w:val="nil"/>
              <w:bottom w:val="nil"/>
              <w:right w:val="nil"/>
            </w:tcBorders>
            <w:shd w:val="clear" w:color="000000" w:fill="FFFF99"/>
            <w:noWrap/>
            <w:vAlign w:val="bottom"/>
            <w:hideMark/>
          </w:tcPr>
          <w:p w14:paraId="0E27DA6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47.000,00</w:t>
            </w:r>
          </w:p>
        </w:tc>
        <w:tc>
          <w:tcPr>
            <w:tcW w:w="1559" w:type="dxa"/>
            <w:tcBorders>
              <w:top w:val="nil"/>
              <w:left w:val="nil"/>
              <w:bottom w:val="nil"/>
              <w:right w:val="nil"/>
            </w:tcBorders>
            <w:shd w:val="clear" w:color="000000" w:fill="FFFF99"/>
            <w:noWrap/>
            <w:vAlign w:val="bottom"/>
            <w:hideMark/>
          </w:tcPr>
          <w:p w14:paraId="29F1DC3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47.000,00</w:t>
            </w:r>
          </w:p>
        </w:tc>
        <w:tc>
          <w:tcPr>
            <w:tcW w:w="1559" w:type="dxa"/>
            <w:tcBorders>
              <w:top w:val="nil"/>
              <w:left w:val="nil"/>
              <w:bottom w:val="nil"/>
              <w:right w:val="nil"/>
            </w:tcBorders>
            <w:shd w:val="clear" w:color="000000" w:fill="FFFF99"/>
            <w:noWrap/>
            <w:vAlign w:val="bottom"/>
            <w:hideMark/>
          </w:tcPr>
          <w:p w14:paraId="3E98EE3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23.903,13</w:t>
            </w:r>
          </w:p>
        </w:tc>
        <w:tc>
          <w:tcPr>
            <w:tcW w:w="993" w:type="dxa"/>
            <w:tcBorders>
              <w:top w:val="nil"/>
              <w:left w:val="nil"/>
              <w:bottom w:val="nil"/>
              <w:right w:val="nil"/>
            </w:tcBorders>
            <w:shd w:val="clear" w:color="000000" w:fill="FFFF99"/>
            <w:noWrap/>
            <w:vAlign w:val="bottom"/>
            <w:hideMark/>
          </w:tcPr>
          <w:p w14:paraId="0BF7601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50,86%</w:t>
            </w:r>
          </w:p>
        </w:tc>
      </w:tr>
      <w:tr w:rsidR="006967F8" w:rsidRPr="006967F8" w14:paraId="69A8929D"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4CC9F74"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590DF50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18.000,00</w:t>
            </w:r>
          </w:p>
        </w:tc>
        <w:tc>
          <w:tcPr>
            <w:tcW w:w="1559" w:type="dxa"/>
            <w:tcBorders>
              <w:top w:val="nil"/>
              <w:left w:val="nil"/>
              <w:bottom w:val="nil"/>
              <w:right w:val="nil"/>
            </w:tcBorders>
            <w:shd w:val="clear" w:color="000000" w:fill="CCCCFF"/>
            <w:noWrap/>
            <w:vAlign w:val="bottom"/>
            <w:hideMark/>
          </w:tcPr>
          <w:p w14:paraId="077D660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18.000,00</w:t>
            </w:r>
          </w:p>
        </w:tc>
        <w:tc>
          <w:tcPr>
            <w:tcW w:w="1559" w:type="dxa"/>
            <w:tcBorders>
              <w:top w:val="nil"/>
              <w:left w:val="nil"/>
              <w:bottom w:val="nil"/>
              <w:right w:val="nil"/>
            </w:tcBorders>
            <w:shd w:val="clear" w:color="000000" w:fill="CCCCFF"/>
            <w:noWrap/>
            <w:vAlign w:val="bottom"/>
            <w:hideMark/>
          </w:tcPr>
          <w:p w14:paraId="70C10B7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11.921,88</w:t>
            </w:r>
          </w:p>
        </w:tc>
        <w:tc>
          <w:tcPr>
            <w:tcW w:w="993" w:type="dxa"/>
            <w:tcBorders>
              <w:top w:val="nil"/>
              <w:left w:val="nil"/>
              <w:bottom w:val="nil"/>
              <w:right w:val="nil"/>
            </w:tcBorders>
            <w:shd w:val="clear" w:color="000000" w:fill="CCCCFF"/>
            <w:noWrap/>
            <w:vAlign w:val="bottom"/>
            <w:hideMark/>
          </w:tcPr>
          <w:p w14:paraId="38E2A38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66,23%</w:t>
            </w:r>
          </w:p>
        </w:tc>
      </w:tr>
      <w:tr w:rsidR="006967F8" w:rsidRPr="006967F8" w14:paraId="5A499F8E"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30D74B2"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3642741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18.000,00</w:t>
            </w:r>
          </w:p>
        </w:tc>
        <w:tc>
          <w:tcPr>
            <w:tcW w:w="1559" w:type="dxa"/>
            <w:tcBorders>
              <w:top w:val="nil"/>
              <w:left w:val="nil"/>
              <w:bottom w:val="nil"/>
              <w:right w:val="nil"/>
            </w:tcBorders>
            <w:shd w:val="clear" w:color="000000" w:fill="CCCCFF"/>
            <w:noWrap/>
            <w:vAlign w:val="bottom"/>
            <w:hideMark/>
          </w:tcPr>
          <w:p w14:paraId="2E6D066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18.000,00</w:t>
            </w:r>
          </w:p>
        </w:tc>
        <w:tc>
          <w:tcPr>
            <w:tcW w:w="1559" w:type="dxa"/>
            <w:tcBorders>
              <w:top w:val="nil"/>
              <w:left w:val="nil"/>
              <w:bottom w:val="nil"/>
              <w:right w:val="nil"/>
            </w:tcBorders>
            <w:shd w:val="clear" w:color="000000" w:fill="CCCCFF"/>
            <w:noWrap/>
            <w:vAlign w:val="bottom"/>
            <w:hideMark/>
          </w:tcPr>
          <w:p w14:paraId="279C738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11.921,88</w:t>
            </w:r>
          </w:p>
        </w:tc>
        <w:tc>
          <w:tcPr>
            <w:tcW w:w="993" w:type="dxa"/>
            <w:tcBorders>
              <w:top w:val="nil"/>
              <w:left w:val="nil"/>
              <w:bottom w:val="nil"/>
              <w:right w:val="nil"/>
            </w:tcBorders>
            <w:shd w:val="clear" w:color="000000" w:fill="CCCCFF"/>
            <w:noWrap/>
            <w:vAlign w:val="bottom"/>
            <w:hideMark/>
          </w:tcPr>
          <w:p w14:paraId="38095D3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66,23%</w:t>
            </w:r>
          </w:p>
        </w:tc>
      </w:tr>
      <w:tr w:rsidR="006967F8" w:rsidRPr="006967F8" w14:paraId="370B149D" w14:textId="77777777" w:rsidTr="008A61B1">
        <w:trPr>
          <w:trHeight w:val="510"/>
        </w:trPr>
        <w:tc>
          <w:tcPr>
            <w:tcW w:w="1134" w:type="dxa"/>
            <w:tcBorders>
              <w:top w:val="nil"/>
              <w:left w:val="nil"/>
              <w:bottom w:val="nil"/>
              <w:right w:val="nil"/>
            </w:tcBorders>
            <w:noWrap/>
            <w:vAlign w:val="bottom"/>
            <w:hideMark/>
          </w:tcPr>
          <w:p w14:paraId="557AFA9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69ECD4F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3DB3CF1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18.000,00</w:t>
            </w:r>
          </w:p>
        </w:tc>
        <w:tc>
          <w:tcPr>
            <w:tcW w:w="1559" w:type="dxa"/>
            <w:tcBorders>
              <w:top w:val="nil"/>
              <w:left w:val="nil"/>
              <w:bottom w:val="nil"/>
              <w:right w:val="nil"/>
            </w:tcBorders>
            <w:noWrap/>
            <w:vAlign w:val="bottom"/>
            <w:hideMark/>
          </w:tcPr>
          <w:p w14:paraId="361C95C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18.000,00</w:t>
            </w:r>
          </w:p>
        </w:tc>
        <w:tc>
          <w:tcPr>
            <w:tcW w:w="1559" w:type="dxa"/>
            <w:tcBorders>
              <w:top w:val="nil"/>
              <w:left w:val="nil"/>
              <w:bottom w:val="nil"/>
              <w:right w:val="nil"/>
            </w:tcBorders>
            <w:noWrap/>
            <w:vAlign w:val="bottom"/>
            <w:hideMark/>
          </w:tcPr>
          <w:p w14:paraId="01A9ABE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11.921,88</w:t>
            </w:r>
          </w:p>
        </w:tc>
        <w:tc>
          <w:tcPr>
            <w:tcW w:w="993" w:type="dxa"/>
            <w:tcBorders>
              <w:top w:val="nil"/>
              <w:left w:val="nil"/>
              <w:bottom w:val="nil"/>
              <w:right w:val="nil"/>
            </w:tcBorders>
            <w:noWrap/>
            <w:vAlign w:val="bottom"/>
            <w:hideMark/>
          </w:tcPr>
          <w:p w14:paraId="6534D63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66,23%</w:t>
            </w:r>
          </w:p>
        </w:tc>
      </w:tr>
      <w:tr w:rsidR="006967F8" w:rsidRPr="006967F8" w14:paraId="05866AD4" w14:textId="77777777" w:rsidTr="008A61B1">
        <w:trPr>
          <w:trHeight w:val="255"/>
        </w:trPr>
        <w:tc>
          <w:tcPr>
            <w:tcW w:w="1134" w:type="dxa"/>
            <w:tcBorders>
              <w:top w:val="nil"/>
              <w:left w:val="nil"/>
              <w:bottom w:val="nil"/>
              <w:right w:val="nil"/>
            </w:tcBorders>
            <w:noWrap/>
            <w:vAlign w:val="bottom"/>
            <w:hideMark/>
          </w:tcPr>
          <w:p w14:paraId="3F228A0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4214</w:t>
            </w:r>
          </w:p>
        </w:tc>
        <w:tc>
          <w:tcPr>
            <w:tcW w:w="4962" w:type="dxa"/>
            <w:tcBorders>
              <w:top w:val="nil"/>
              <w:left w:val="nil"/>
              <w:bottom w:val="nil"/>
              <w:right w:val="nil"/>
            </w:tcBorders>
            <w:noWrap/>
            <w:vAlign w:val="bottom"/>
            <w:hideMark/>
          </w:tcPr>
          <w:p w14:paraId="2B16E559"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građevinski objekti</w:t>
            </w:r>
          </w:p>
        </w:tc>
        <w:tc>
          <w:tcPr>
            <w:tcW w:w="1559" w:type="dxa"/>
            <w:tcBorders>
              <w:top w:val="nil"/>
              <w:left w:val="nil"/>
              <w:bottom w:val="nil"/>
              <w:right w:val="nil"/>
            </w:tcBorders>
            <w:noWrap/>
            <w:vAlign w:val="bottom"/>
            <w:hideMark/>
          </w:tcPr>
          <w:p w14:paraId="28694BE5"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6A914B62"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305DB78"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11.921,88</w:t>
            </w:r>
          </w:p>
        </w:tc>
        <w:tc>
          <w:tcPr>
            <w:tcW w:w="993" w:type="dxa"/>
            <w:tcBorders>
              <w:top w:val="nil"/>
              <w:left w:val="nil"/>
              <w:bottom w:val="nil"/>
              <w:right w:val="nil"/>
            </w:tcBorders>
            <w:noWrap/>
            <w:vAlign w:val="bottom"/>
            <w:hideMark/>
          </w:tcPr>
          <w:p w14:paraId="72C187DF"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8A86F0B"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0BD0163"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 POMOĆI</w:t>
            </w:r>
          </w:p>
        </w:tc>
        <w:tc>
          <w:tcPr>
            <w:tcW w:w="1559" w:type="dxa"/>
            <w:tcBorders>
              <w:top w:val="nil"/>
              <w:left w:val="nil"/>
              <w:bottom w:val="nil"/>
              <w:right w:val="nil"/>
            </w:tcBorders>
            <w:shd w:val="clear" w:color="000000" w:fill="CCCCFF"/>
            <w:noWrap/>
            <w:vAlign w:val="bottom"/>
            <w:hideMark/>
          </w:tcPr>
          <w:p w14:paraId="3DEAF98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29.000,00</w:t>
            </w:r>
          </w:p>
        </w:tc>
        <w:tc>
          <w:tcPr>
            <w:tcW w:w="1559" w:type="dxa"/>
            <w:tcBorders>
              <w:top w:val="nil"/>
              <w:left w:val="nil"/>
              <w:bottom w:val="nil"/>
              <w:right w:val="nil"/>
            </w:tcBorders>
            <w:shd w:val="clear" w:color="000000" w:fill="CCCCFF"/>
            <w:noWrap/>
            <w:vAlign w:val="bottom"/>
            <w:hideMark/>
          </w:tcPr>
          <w:p w14:paraId="7A744DB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29.000,00</w:t>
            </w:r>
          </w:p>
        </w:tc>
        <w:tc>
          <w:tcPr>
            <w:tcW w:w="1559" w:type="dxa"/>
            <w:tcBorders>
              <w:top w:val="nil"/>
              <w:left w:val="nil"/>
              <w:bottom w:val="nil"/>
              <w:right w:val="nil"/>
            </w:tcBorders>
            <w:shd w:val="clear" w:color="000000" w:fill="CCCCFF"/>
            <w:noWrap/>
            <w:vAlign w:val="bottom"/>
            <w:hideMark/>
          </w:tcPr>
          <w:p w14:paraId="5AD762B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11.981,25</w:t>
            </w:r>
          </w:p>
        </w:tc>
        <w:tc>
          <w:tcPr>
            <w:tcW w:w="993" w:type="dxa"/>
            <w:tcBorders>
              <w:top w:val="nil"/>
              <w:left w:val="nil"/>
              <w:bottom w:val="nil"/>
              <w:right w:val="nil"/>
            </w:tcBorders>
            <w:shd w:val="clear" w:color="000000" w:fill="CCCCFF"/>
            <w:noWrap/>
            <w:vAlign w:val="bottom"/>
            <w:hideMark/>
          </w:tcPr>
          <w:p w14:paraId="13F2E78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41,31%</w:t>
            </w:r>
          </w:p>
        </w:tc>
      </w:tr>
      <w:tr w:rsidR="006967F8" w:rsidRPr="006967F8" w14:paraId="4F3D3024"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0B8ECC3"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5.1. Ostale pomoći</w:t>
            </w:r>
          </w:p>
        </w:tc>
        <w:tc>
          <w:tcPr>
            <w:tcW w:w="1559" w:type="dxa"/>
            <w:tcBorders>
              <w:top w:val="nil"/>
              <w:left w:val="nil"/>
              <w:bottom w:val="nil"/>
              <w:right w:val="nil"/>
            </w:tcBorders>
            <w:shd w:val="clear" w:color="000000" w:fill="CCCCFF"/>
            <w:noWrap/>
            <w:vAlign w:val="bottom"/>
            <w:hideMark/>
          </w:tcPr>
          <w:p w14:paraId="715FC0A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29.000,00</w:t>
            </w:r>
          </w:p>
        </w:tc>
        <w:tc>
          <w:tcPr>
            <w:tcW w:w="1559" w:type="dxa"/>
            <w:tcBorders>
              <w:top w:val="nil"/>
              <w:left w:val="nil"/>
              <w:bottom w:val="nil"/>
              <w:right w:val="nil"/>
            </w:tcBorders>
            <w:shd w:val="clear" w:color="000000" w:fill="CCCCFF"/>
            <w:noWrap/>
            <w:vAlign w:val="bottom"/>
            <w:hideMark/>
          </w:tcPr>
          <w:p w14:paraId="016F3312"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29.000,00</w:t>
            </w:r>
          </w:p>
        </w:tc>
        <w:tc>
          <w:tcPr>
            <w:tcW w:w="1559" w:type="dxa"/>
            <w:tcBorders>
              <w:top w:val="nil"/>
              <w:left w:val="nil"/>
              <w:bottom w:val="nil"/>
              <w:right w:val="nil"/>
            </w:tcBorders>
            <w:shd w:val="clear" w:color="000000" w:fill="CCCCFF"/>
            <w:noWrap/>
            <w:vAlign w:val="bottom"/>
            <w:hideMark/>
          </w:tcPr>
          <w:p w14:paraId="2206F00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11.981,25</w:t>
            </w:r>
          </w:p>
        </w:tc>
        <w:tc>
          <w:tcPr>
            <w:tcW w:w="993" w:type="dxa"/>
            <w:tcBorders>
              <w:top w:val="nil"/>
              <w:left w:val="nil"/>
              <w:bottom w:val="nil"/>
              <w:right w:val="nil"/>
            </w:tcBorders>
            <w:shd w:val="clear" w:color="000000" w:fill="CCCCFF"/>
            <w:noWrap/>
            <w:vAlign w:val="bottom"/>
            <w:hideMark/>
          </w:tcPr>
          <w:p w14:paraId="7F327EF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41,31%</w:t>
            </w:r>
          </w:p>
        </w:tc>
      </w:tr>
      <w:tr w:rsidR="006967F8" w:rsidRPr="006967F8" w14:paraId="53469271" w14:textId="77777777" w:rsidTr="008A61B1">
        <w:trPr>
          <w:trHeight w:val="525"/>
        </w:trPr>
        <w:tc>
          <w:tcPr>
            <w:tcW w:w="1134" w:type="dxa"/>
            <w:tcBorders>
              <w:top w:val="nil"/>
              <w:left w:val="nil"/>
              <w:bottom w:val="nil"/>
              <w:right w:val="nil"/>
            </w:tcBorders>
            <w:noWrap/>
            <w:vAlign w:val="bottom"/>
            <w:hideMark/>
          </w:tcPr>
          <w:p w14:paraId="796CC10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5C36DFB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40327BE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29.000,00</w:t>
            </w:r>
          </w:p>
        </w:tc>
        <w:tc>
          <w:tcPr>
            <w:tcW w:w="1559" w:type="dxa"/>
            <w:tcBorders>
              <w:top w:val="nil"/>
              <w:left w:val="nil"/>
              <w:bottom w:val="nil"/>
              <w:right w:val="nil"/>
            </w:tcBorders>
            <w:noWrap/>
            <w:vAlign w:val="bottom"/>
            <w:hideMark/>
          </w:tcPr>
          <w:p w14:paraId="6BC90F4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29.000,00</w:t>
            </w:r>
          </w:p>
        </w:tc>
        <w:tc>
          <w:tcPr>
            <w:tcW w:w="1559" w:type="dxa"/>
            <w:tcBorders>
              <w:top w:val="nil"/>
              <w:left w:val="nil"/>
              <w:bottom w:val="nil"/>
              <w:right w:val="nil"/>
            </w:tcBorders>
            <w:noWrap/>
            <w:vAlign w:val="bottom"/>
            <w:hideMark/>
          </w:tcPr>
          <w:p w14:paraId="1B5B40D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11.981,25</w:t>
            </w:r>
          </w:p>
        </w:tc>
        <w:tc>
          <w:tcPr>
            <w:tcW w:w="993" w:type="dxa"/>
            <w:tcBorders>
              <w:top w:val="nil"/>
              <w:left w:val="nil"/>
              <w:bottom w:val="nil"/>
              <w:right w:val="nil"/>
            </w:tcBorders>
            <w:noWrap/>
            <w:vAlign w:val="bottom"/>
            <w:hideMark/>
          </w:tcPr>
          <w:p w14:paraId="16D3B80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41,31%</w:t>
            </w:r>
          </w:p>
        </w:tc>
      </w:tr>
      <w:tr w:rsidR="006967F8" w:rsidRPr="006967F8" w14:paraId="7F761642" w14:textId="77777777" w:rsidTr="008A61B1">
        <w:trPr>
          <w:trHeight w:val="255"/>
        </w:trPr>
        <w:tc>
          <w:tcPr>
            <w:tcW w:w="1134" w:type="dxa"/>
            <w:tcBorders>
              <w:top w:val="nil"/>
              <w:left w:val="nil"/>
              <w:bottom w:val="nil"/>
              <w:right w:val="nil"/>
            </w:tcBorders>
            <w:noWrap/>
            <w:vAlign w:val="bottom"/>
            <w:hideMark/>
          </w:tcPr>
          <w:p w14:paraId="556CECF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4214</w:t>
            </w:r>
          </w:p>
        </w:tc>
        <w:tc>
          <w:tcPr>
            <w:tcW w:w="4962" w:type="dxa"/>
            <w:tcBorders>
              <w:top w:val="nil"/>
              <w:left w:val="nil"/>
              <w:bottom w:val="nil"/>
              <w:right w:val="nil"/>
            </w:tcBorders>
            <w:noWrap/>
            <w:vAlign w:val="bottom"/>
            <w:hideMark/>
          </w:tcPr>
          <w:p w14:paraId="4ECB997E"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građevinski objekti</w:t>
            </w:r>
          </w:p>
        </w:tc>
        <w:tc>
          <w:tcPr>
            <w:tcW w:w="1559" w:type="dxa"/>
            <w:tcBorders>
              <w:top w:val="nil"/>
              <w:left w:val="nil"/>
              <w:bottom w:val="nil"/>
              <w:right w:val="nil"/>
            </w:tcBorders>
            <w:noWrap/>
            <w:vAlign w:val="bottom"/>
            <w:hideMark/>
          </w:tcPr>
          <w:p w14:paraId="73CC67D6"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03B8809F"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582AFB3F"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11.981,25</w:t>
            </w:r>
          </w:p>
        </w:tc>
        <w:tc>
          <w:tcPr>
            <w:tcW w:w="993" w:type="dxa"/>
            <w:tcBorders>
              <w:top w:val="nil"/>
              <w:left w:val="nil"/>
              <w:bottom w:val="nil"/>
              <w:right w:val="nil"/>
            </w:tcBorders>
            <w:noWrap/>
            <w:vAlign w:val="bottom"/>
            <w:hideMark/>
          </w:tcPr>
          <w:p w14:paraId="03F59587"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5FA77A56" w14:textId="77777777" w:rsidTr="008A61B1">
        <w:trPr>
          <w:trHeight w:val="555"/>
        </w:trPr>
        <w:tc>
          <w:tcPr>
            <w:tcW w:w="6096" w:type="dxa"/>
            <w:gridSpan w:val="2"/>
            <w:tcBorders>
              <w:top w:val="nil"/>
              <w:left w:val="nil"/>
              <w:bottom w:val="nil"/>
              <w:right w:val="nil"/>
            </w:tcBorders>
            <w:shd w:val="clear" w:color="000000" w:fill="9999FF"/>
            <w:vAlign w:val="bottom"/>
            <w:hideMark/>
          </w:tcPr>
          <w:p w14:paraId="7040E75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RAZDJEL 024 UPRAVNI ODJEL ZA URBANIZAM I PROSTORNO UREĐENJE </w:t>
            </w:r>
          </w:p>
        </w:tc>
        <w:tc>
          <w:tcPr>
            <w:tcW w:w="1559" w:type="dxa"/>
            <w:tcBorders>
              <w:top w:val="nil"/>
              <w:left w:val="nil"/>
              <w:bottom w:val="nil"/>
              <w:right w:val="nil"/>
            </w:tcBorders>
            <w:shd w:val="clear" w:color="000000" w:fill="9999FF"/>
            <w:noWrap/>
            <w:vAlign w:val="bottom"/>
            <w:hideMark/>
          </w:tcPr>
          <w:p w14:paraId="04F8277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278.300,00</w:t>
            </w:r>
          </w:p>
        </w:tc>
        <w:tc>
          <w:tcPr>
            <w:tcW w:w="1559" w:type="dxa"/>
            <w:tcBorders>
              <w:top w:val="nil"/>
              <w:left w:val="nil"/>
              <w:bottom w:val="nil"/>
              <w:right w:val="nil"/>
            </w:tcBorders>
            <w:shd w:val="clear" w:color="000000" w:fill="9999FF"/>
            <w:noWrap/>
            <w:vAlign w:val="bottom"/>
            <w:hideMark/>
          </w:tcPr>
          <w:p w14:paraId="3F0EA38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272.395,00</w:t>
            </w:r>
          </w:p>
        </w:tc>
        <w:tc>
          <w:tcPr>
            <w:tcW w:w="1559" w:type="dxa"/>
            <w:tcBorders>
              <w:top w:val="nil"/>
              <w:left w:val="nil"/>
              <w:bottom w:val="nil"/>
              <w:right w:val="nil"/>
            </w:tcBorders>
            <w:shd w:val="clear" w:color="000000" w:fill="9999FF"/>
            <w:noWrap/>
            <w:vAlign w:val="bottom"/>
            <w:hideMark/>
          </w:tcPr>
          <w:p w14:paraId="2FA4145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83.433,82</w:t>
            </w:r>
          </w:p>
        </w:tc>
        <w:tc>
          <w:tcPr>
            <w:tcW w:w="993" w:type="dxa"/>
            <w:tcBorders>
              <w:top w:val="nil"/>
              <w:left w:val="nil"/>
              <w:bottom w:val="nil"/>
              <w:right w:val="nil"/>
            </w:tcBorders>
            <w:shd w:val="clear" w:color="000000" w:fill="9999FF"/>
            <w:noWrap/>
            <w:vAlign w:val="bottom"/>
            <w:hideMark/>
          </w:tcPr>
          <w:p w14:paraId="44ADEE9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30,63%</w:t>
            </w:r>
          </w:p>
        </w:tc>
      </w:tr>
      <w:tr w:rsidR="006967F8" w:rsidRPr="006967F8" w14:paraId="3F12055E" w14:textId="77777777" w:rsidTr="008A61B1">
        <w:trPr>
          <w:trHeight w:val="525"/>
        </w:trPr>
        <w:tc>
          <w:tcPr>
            <w:tcW w:w="6096" w:type="dxa"/>
            <w:gridSpan w:val="2"/>
            <w:tcBorders>
              <w:top w:val="nil"/>
              <w:left w:val="nil"/>
              <w:bottom w:val="nil"/>
              <w:right w:val="nil"/>
            </w:tcBorders>
            <w:shd w:val="clear" w:color="000000" w:fill="9999FF"/>
            <w:vAlign w:val="bottom"/>
            <w:hideMark/>
          </w:tcPr>
          <w:p w14:paraId="370D20C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GLAVA 02401 UPRAVNI ODJEL ZA URBANIZAM I PROSTORNO UREĐENJE </w:t>
            </w:r>
          </w:p>
        </w:tc>
        <w:tc>
          <w:tcPr>
            <w:tcW w:w="1559" w:type="dxa"/>
            <w:tcBorders>
              <w:top w:val="nil"/>
              <w:left w:val="nil"/>
              <w:bottom w:val="nil"/>
              <w:right w:val="nil"/>
            </w:tcBorders>
            <w:shd w:val="clear" w:color="000000" w:fill="9999FF"/>
            <w:noWrap/>
            <w:vAlign w:val="bottom"/>
            <w:hideMark/>
          </w:tcPr>
          <w:p w14:paraId="0DAECBC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278.300,00</w:t>
            </w:r>
          </w:p>
        </w:tc>
        <w:tc>
          <w:tcPr>
            <w:tcW w:w="1559" w:type="dxa"/>
            <w:tcBorders>
              <w:top w:val="nil"/>
              <w:left w:val="nil"/>
              <w:bottom w:val="nil"/>
              <w:right w:val="nil"/>
            </w:tcBorders>
            <w:shd w:val="clear" w:color="000000" w:fill="9999FF"/>
            <w:noWrap/>
            <w:vAlign w:val="bottom"/>
            <w:hideMark/>
          </w:tcPr>
          <w:p w14:paraId="05CC839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272.395,00</w:t>
            </w:r>
          </w:p>
        </w:tc>
        <w:tc>
          <w:tcPr>
            <w:tcW w:w="1559" w:type="dxa"/>
            <w:tcBorders>
              <w:top w:val="nil"/>
              <w:left w:val="nil"/>
              <w:bottom w:val="nil"/>
              <w:right w:val="nil"/>
            </w:tcBorders>
            <w:shd w:val="clear" w:color="000000" w:fill="9999FF"/>
            <w:noWrap/>
            <w:vAlign w:val="bottom"/>
            <w:hideMark/>
          </w:tcPr>
          <w:p w14:paraId="11DFDED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83.433,82</w:t>
            </w:r>
          </w:p>
        </w:tc>
        <w:tc>
          <w:tcPr>
            <w:tcW w:w="993" w:type="dxa"/>
            <w:tcBorders>
              <w:top w:val="nil"/>
              <w:left w:val="nil"/>
              <w:bottom w:val="nil"/>
              <w:right w:val="nil"/>
            </w:tcBorders>
            <w:shd w:val="clear" w:color="000000" w:fill="9999FF"/>
            <w:noWrap/>
            <w:vAlign w:val="bottom"/>
            <w:hideMark/>
          </w:tcPr>
          <w:p w14:paraId="54759CE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30,63%</w:t>
            </w:r>
          </w:p>
        </w:tc>
      </w:tr>
      <w:tr w:rsidR="006967F8" w:rsidRPr="006967F8" w14:paraId="00ADA129"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164B5C0"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7F9D4EF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164.800,00</w:t>
            </w:r>
          </w:p>
        </w:tc>
        <w:tc>
          <w:tcPr>
            <w:tcW w:w="1559" w:type="dxa"/>
            <w:tcBorders>
              <w:top w:val="nil"/>
              <w:left w:val="nil"/>
              <w:bottom w:val="nil"/>
              <w:right w:val="nil"/>
            </w:tcBorders>
            <w:shd w:val="clear" w:color="000000" w:fill="CCCCFF"/>
            <w:noWrap/>
            <w:vAlign w:val="bottom"/>
            <w:hideMark/>
          </w:tcPr>
          <w:p w14:paraId="50EBD0E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161.050,00</w:t>
            </w:r>
          </w:p>
        </w:tc>
        <w:tc>
          <w:tcPr>
            <w:tcW w:w="1559" w:type="dxa"/>
            <w:tcBorders>
              <w:top w:val="nil"/>
              <w:left w:val="nil"/>
              <w:bottom w:val="nil"/>
              <w:right w:val="nil"/>
            </w:tcBorders>
            <w:shd w:val="clear" w:color="000000" w:fill="CCCCFF"/>
            <w:noWrap/>
            <w:vAlign w:val="bottom"/>
            <w:hideMark/>
          </w:tcPr>
          <w:p w14:paraId="01BAAA3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78.933,82</w:t>
            </w:r>
          </w:p>
        </w:tc>
        <w:tc>
          <w:tcPr>
            <w:tcW w:w="993" w:type="dxa"/>
            <w:tcBorders>
              <w:top w:val="nil"/>
              <w:left w:val="nil"/>
              <w:bottom w:val="nil"/>
              <w:right w:val="nil"/>
            </w:tcBorders>
            <w:shd w:val="clear" w:color="000000" w:fill="CCCCFF"/>
            <w:noWrap/>
            <w:vAlign w:val="bottom"/>
            <w:hideMark/>
          </w:tcPr>
          <w:p w14:paraId="712056C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49,01%</w:t>
            </w:r>
          </w:p>
        </w:tc>
      </w:tr>
      <w:tr w:rsidR="006967F8" w:rsidRPr="006967F8" w14:paraId="0AA7328A"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00C40FE"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1126125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164.800,00</w:t>
            </w:r>
          </w:p>
        </w:tc>
        <w:tc>
          <w:tcPr>
            <w:tcW w:w="1559" w:type="dxa"/>
            <w:tcBorders>
              <w:top w:val="nil"/>
              <w:left w:val="nil"/>
              <w:bottom w:val="nil"/>
              <w:right w:val="nil"/>
            </w:tcBorders>
            <w:shd w:val="clear" w:color="000000" w:fill="CCCCFF"/>
            <w:noWrap/>
            <w:vAlign w:val="bottom"/>
            <w:hideMark/>
          </w:tcPr>
          <w:p w14:paraId="7C9B40B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161.050,00</w:t>
            </w:r>
          </w:p>
        </w:tc>
        <w:tc>
          <w:tcPr>
            <w:tcW w:w="1559" w:type="dxa"/>
            <w:tcBorders>
              <w:top w:val="nil"/>
              <w:left w:val="nil"/>
              <w:bottom w:val="nil"/>
              <w:right w:val="nil"/>
            </w:tcBorders>
            <w:shd w:val="clear" w:color="000000" w:fill="CCCCFF"/>
            <w:noWrap/>
            <w:vAlign w:val="bottom"/>
            <w:hideMark/>
          </w:tcPr>
          <w:p w14:paraId="6B0E237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78.933,82</w:t>
            </w:r>
          </w:p>
        </w:tc>
        <w:tc>
          <w:tcPr>
            <w:tcW w:w="993" w:type="dxa"/>
            <w:tcBorders>
              <w:top w:val="nil"/>
              <w:left w:val="nil"/>
              <w:bottom w:val="nil"/>
              <w:right w:val="nil"/>
            </w:tcBorders>
            <w:shd w:val="clear" w:color="000000" w:fill="CCCCFF"/>
            <w:noWrap/>
            <w:vAlign w:val="bottom"/>
            <w:hideMark/>
          </w:tcPr>
          <w:p w14:paraId="1872E42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49,01%</w:t>
            </w:r>
          </w:p>
        </w:tc>
      </w:tr>
      <w:tr w:rsidR="006967F8" w:rsidRPr="006967F8" w14:paraId="71CE925F"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B4A9C78"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0861744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113.500,00</w:t>
            </w:r>
          </w:p>
        </w:tc>
        <w:tc>
          <w:tcPr>
            <w:tcW w:w="1559" w:type="dxa"/>
            <w:tcBorders>
              <w:top w:val="nil"/>
              <w:left w:val="nil"/>
              <w:bottom w:val="nil"/>
              <w:right w:val="nil"/>
            </w:tcBorders>
            <w:shd w:val="clear" w:color="000000" w:fill="CCCCFF"/>
            <w:noWrap/>
            <w:vAlign w:val="bottom"/>
            <w:hideMark/>
          </w:tcPr>
          <w:p w14:paraId="1DB567C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111.345,00</w:t>
            </w:r>
          </w:p>
        </w:tc>
        <w:tc>
          <w:tcPr>
            <w:tcW w:w="1559" w:type="dxa"/>
            <w:tcBorders>
              <w:top w:val="nil"/>
              <w:left w:val="nil"/>
              <w:bottom w:val="nil"/>
              <w:right w:val="nil"/>
            </w:tcBorders>
            <w:shd w:val="clear" w:color="000000" w:fill="CCCCFF"/>
            <w:noWrap/>
            <w:vAlign w:val="bottom"/>
            <w:hideMark/>
          </w:tcPr>
          <w:p w14:paraId="535A534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4.500,00</w:t>
            </w:r>
          </w:p>
        </w:tc>
        <w:tc>
          <w:tcPr>
            <w:tcW w:w="993" w:type="dxa"/>
            <w:tcBorders>
              <w:top w:val="nil"/>
              <w:left w:val="nil"/>
              <w:bottom w:val="nil"/>
              <w:right w:val="nil"/>
            </w:tcBorders>
            <w:shd w:val="clear" w:color="000000" w:fill="CCCCFF"/>
            <w:noWrap/>
            <w:vAlign w:val="bottom"/>
            <w:hideMark/>
          </w:tcPr>
          <w:p w14:paraId="4B39571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4,04%</w:t>
            </w:r>
          </w:p>
        </w:tc>
      </w:tr>
      <w:tr w:rsidR="006967F8" w:rsidRPr="006967F8" w14:paraId="275A3C06"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CD24D3C"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4.3. Ostali prihodi za posebne namjene</w:t>
            </w:r>
          </w:p>
        </w:tc>
        <w:tc>
          <w:tcPr>
            <w:tcW w:w="1559" w:type="dxa"/>
            <w:tcBorders>
              <w:top w:val="nil"/>
              <w:left w:val="nil"/>
              <w:bottom w:val="nil"/>
              <w:right w:val="nil"/>
            </w:tcBorders>
            <w:shd w:val="clear" w:color="000000" w:fill="CCCCFF"/>
            <w:noWrap/>
            <w:vAlign w:val="bottom"/>
            <w:hideMark/>
          </w:tcPr>
          <w:p w14:paraId="4AE9C10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113.500,00</w:t>
            </w:r>
          </w:p>
        </w:tc>
        <w:tc>
          <w:tcPr>
            <w:tcW w:w="1559" w:type="dxa"/>
            <w:tcBorders>
              <w:top w:val="nil"/>
              <w:left w:val="nil"/>
              <w:bottom w:val="nil"/>
              <w:right w:val="nil"/>
            </w:tcBorders>
            <w:shd w:val="clear" w:color="000000" w:fill="CCCCFF"/>
            <w:noWrap/>
            <w:vAlign w:val="bottom"/>
            <w:hideMark/>
          </w:tcPr>
          <w:p w14:paraId="049FE9C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111.345,00</w:t>
            </w:r>
          </w:p>
        </w:tc>
        <w:tc>
          <w:tcPr>
            <w:tcW w:w="1559" w:type="dxa"/>
            <w:tcBorders>
              <w:top w:val="nil"/>
              <w:left w:val="nil"/>
              <w:bottom w:val="nil"/>
              <w:right w:val="nil"/>
            </w:tcBorders>
            <w:shd w:val="clear" w:color="000000" w:fill="CCCCFF"/>
            <w:noWrap/>
            <w:vAlign w:val="bottom"/>
            <w:hideMark/>
          </w:tcPr>
          <w:p w14:paraId="05D8AA9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4.500,00</w:t>
            </w:r>
          </w:p>
        </w:tc>
        <w:tc>
          <w:tcPr>
            <w:tcW w:w="993" w:type="dxa"/>
            <w:tcBorders>
              <w:top w:val="nil"/>
              <w:left w:val="nil"/>
              <w:bottom w:val="nil"/>
              <w:right w:val="nil"/>
            </w:tcBorders>
            <w:shd w:val="clear" w:color="000000" w:fill="CCCCFF"/>
            <w:noWrap/>
            <w:vAlign w:val="bottom"/>
            <w:hideMark/>
          </w:tcPr>
          <w:p w14:paraId="64157C9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4,04%</w:t>
            </w:r>
          </w:p>
        </w:tc>
      </w:tr>
      <w:tr w:rsidR="006967F8" w:rsidRPr="006967F8" w14:paraId="2007D1EB" w14:textId="77777777" w:rsidTr="008A61B1">
        <w:trPr>
          <w:trHeight w:val="255"/>
        </w:trPr>
        <w:tc>
          <w:tcPr>
            <w:tcW w:w="1134" w:type="dxa"/>
            <w:tcBorders>
              <w:top w:val="nil"/>
              <w:left w:val="nil"/>
              <w:bottom w:val="nil"/>
              <w:right w:val="nil"/>
            </w:tcBorders>
            <w:shd w:val="clear" w:color="000000" w:fill="FF9900"/>
            <w:noWrap/>
            <w:vAlign w:val="bottom"/>
            <w:hideMark/>
          </w:tcPr>
          <w:p w14:paraId="4BBD735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1101</w:t>
            </w:r>
          </w:p>
        </w:tc>
        <w:tc>
          <w:tcPr>
            <w:tcW w:w="4962" w:type="dxa"/>
            <w:tcBorders>
              <w:top w:val="nil"/>
              <w:left w:val="nil"/>
              <w:bottom w:val="nil"/>
              <w:right w:val="nil"/>
            </w:tcBorders>
            <w:shd w:val="clear" w:color="000000" w:fill="FF9900"/>
            <w:noWrap/>
            <w:vAlign w:val="bottom"/>
            <w:hideMark/>
          </w:tcPr>
          <w:p w14:paraId="3DFFB809"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Program: JAVNA UPRAVA I ADMINISTRACIJA</w:t>
            </w:r>
          </w:p>
        </w:tc>
        <w:tc>
          <w:tcPr>
            <w:tcW w:w="1559" w:type="dxa"/>
            <w:tcBorders>
              <w:top w:val="nil"/>
              <w:left w:val="nil"/>
              <w:bottom w:val="nil"/>
              <w:right w:val="nil"/>
            </w:tcBorders>
            <w:shd w:val="clear" w:color="000000" w:fill="FF9900"/>
            <w:noWrap/>
            <w:vAlign w:val="bottom"/>
            <w:hideMark/>
          </w:tcPr>
          <w:p w14:paraId="164417C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78.800,00</w:t>
            </w:r>
          </w:p>
        </w:tc>
        <w:tc>
          <w:tcPr>
            <w:tcW w:w="1559" w:type="dxa"/>
            <w:tcBorders>
              <w:top w:val="nil"/>
              <w:left w:val="nil"/>
              <w:bottom w:val="nil"/>
              <w:right w:val="nil"/>
            </w:tcBorders>
            <w:shd w:val="clear" w:color="000000" w:fill="FF9900"/>
            <w:noWrap/>
            <w:vAlign w:val="bottom"/>
            <w:hideMark/>
          </w:tcPr>
          <w:p w14:paraId="4D50CCF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75.050,00</w:t>
            </w:r>
          </w:p>
        </w:tc>
        <w:tc>
          <w:tcPr>
            <w:tcW w:w="1559" w:type="dxa"/>
            <w:tcBorders>
              <w:top w:val="nil"/>
              <w:left w:val="nil"/>
              <w:bottom w:val="nil"/>
              <w:right w:val="nil"/>
            </w:tcBorders>
            <w:shd w:val="clear" w:color="000000" w:fill="FF9900"/>
            <w:noWrap/>
            <w:vAlign w:val="bottom"/>
            <w:hideMark/>
          </w:tcPr>
          <w:p w14:paraId="2FD4D962"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51.051,32</w:t>
            </w:r>
          </w:p>
        </w:tc>
        <w:tc>
          <w:tcPr>
            <w:tcW w:w="993" w:type="dxa"/>
            <w:tcBorders>
              <w:top w:val="nil"/>
              <w:left w:val="nil"/>
              <w:bottom w:val="nil"/>
              <w:right w:val="nil"/>
            </w:tcBorders>
            <w:shd w:val="clear" w:color="000000" w:fill="FF9900"/>
            <w:noWrap/>
            <w:vAlign w:val="bottom"/>
            <w:hideMark/>
          </w:tcPr>
          <w:p w14:paraId="13A4456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68,02%</w:t>
            </w:r>
          </w:p>
        </w:tc>
      </w:tr>
      <w:tr w:rsidR="006967F8" w:rsidRPr="006967F8" w14:paraId="367B0138" w14:textId="77777777" w:rsidTr="008A61B1">
        <w:trPr>
          <w:trHeight w:val="255"/>
        </w:trPr>
        <w:tc>
          <w:tcPr>
            <w:tcW w:w="1134" w:type="dxa"/>
            <w:tcBorders>
              <w:top w:val="nil"/>
              <w:left w:val="nil"/>
              <w:bottom w:val="nil"/>
              <w:right w:val="nil"/>
            </w:tcBorders>
            <w:shd w:val="clear" w:color="000000" w:fill="FFFF99"/>
            <w:noWrap/>
            <w:vAlign w:val="bottom"/>
            <w:hideMark/>
          </w:tcPr>
          <w:p w14:paraId="670CF91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A100001</w:t>
            </w:r>
          </w:p>
        </w:tc>
        <w:tc>
          <w:tcPr>
            <w:tcW w:w="4962" w:type="dxa"/>
            <w:tcBorders>
              <w:top w:val="nil"/>
              <w:left w:val="nil"/>
              <w:bottom w:val="nil"/>
              <w:right w:val="nil"/>
            </w:tcBorders>
            <w:shd w:val="clear" w:color="000000" w:fill="FFFF99"/>
            <w:noWrap/>
            <w:vAlign w:val="bottom"/>
            <w:hideMark/>
          </w:tcPr>
          <w:p w14:paraId="77BDB815"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Aktivnost: FINANCIRANJE TEKUĆIH RASHODA</w:t>
            </w:r>
          </w:p>
        </w:tc>
        <w:tc>
          <w:tcPr>
            <w:tcW w:w="1559" w:type="dxa"/>
            <w:tcBorders>
              <w:top w:val="nil"/>
              <w:left w:val="nil"/>
              <w:bottom w:val="nil"/>
              <w:right w:val="nil"/>
            </w:tcBorders>
            <w:shd w:val="clear" w:color="000000" w:fill="FFFF99"/>
            <w:noWrap/>
            <w:vAlign w:val="bottom"/>
            <w:hideMark/>
          </w:tcPr>
          <w:p w14:paraId="444BE2B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78.800,00</w:t>
            </w:r>
          </w:p>
        </w:tc>
        <w:tc>
          <w:tcPr>
            <w:tcW w:w="1559" w:type="dxa"/>
            <w:tcBorders>
              <w:top w:val="nil"/>
              <w:left w:val="nil"/>
              <w:bottom w:val="nil"/>
              <w:right w:val="nil"/>
            </w:tcBorders>
            <w:shd w:val="clear" w:color="000000" w:fill="FFFF99"/>
            <w:noWrap/>
            <w:vAlign w:val="bottom"/>
            <w:hideMark/>
          </w:tcPr>
          <w:p w14:paraId="2E4514F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75.050,00</w:t>
            </w:r>
          </w:p>
        </w:tc>
        <w:tc>
          <w:tcPr>
            <w:tcW w:w="1559" w:type="dxa"/>
            <w:tcBorders>
              <w:top w:val="nil"/>
              <w:left w:val="nil"/>
              <w:bottom w:val="nil"/>
              <w:right w:val="nil"/>
            </w:tcBorders>
            <w:shd w:val="clear" w:color="000000" w:fill="FFFF99"/>
            <w:noWrap/>
            <w:vAlign w:val="bottom"/>
            <w:hideMark/>
          </w:tcPr>
          <w:p w14:paraId="2B413D9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51.051,32</w:t>
            </w:r>
          </w:p>
        </w:tc>
        <w:tc>
          <w:tcPr>
            <w:tcW w:w="993" w:type="dxa"/>
            <w:tcBorders>
              <w:top w:val="nil"/>
              <w:left w:val="nil"/>
              <w:bottom w:val="nil"/>
              <w:right w:val="nil"/>
            </w:tcBorders>
            <w:shd w:val="clear" w:color="000000" w:fill="FFFF99"/>
            <w:noWrap/>
            <w:vAlign w:val="bottom"/>
            <w:hideMark/>
          </w:tcPr>
          <w:p w14:paraId="00E3994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68,02%</w:t>
            </w:r>
          </w:p>
        </w:tc>
      </w:tr>
      <w:tr w:rsidR="006967F8" w:rsidRPr="006967F8" w14:paraId="26983DE9"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27EA9A70"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6E33788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78.800,00</w:t>
            </w:r>
          </w:p>
        </w:tc>
        <w:tc>
          <w:tcPr>
            <w:tcW w:w="1559" w:type="dxa"/>
            <w:tcBorders>
              <w:top w:val="nil"/>
              <w:left w:val="nil"/>
              <w:bottom w:val="nil"/>
              <w:right w:val="nil"/>
            </w:tcBorders>
            <w:shd w:val="clear" w:color="000000" w:fill="CCCCFF"/>
            <w:noWrap/>
            <w:vAlign w:val="bottom"/>
            <w:hideMark/>
          </w:tcPr>
          <w:p w14:paraId="47A2C115"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75.050,00</w:t>
            </w:r>
          </w:p>
        </w:tc>
        <w:tc>
          <w:tcPr>
            <w:tcW w:w="1559" w:type="dxa"/>
            <w:tcBorders>
              <w:top w:val="nil"/>
              <w:left w:val="nil"/>
              <w:bottom w:val="nil"/>
              <w:right w:val="nil"/>
            </w:tcBorders>
            <w:shd w:val="clear" w:color="000000" w:fill="CCCCFF"/>
            <w:noWrap/>
            <w:vAlign w:val="bottom"/>
            <w:hideMark/>
          </w:tcPr>
          <w:p w14:paraId="49D622C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51.051,32</w:t>
            </w:r>
          </w:p>
        </w:tc>
        <w:tc>
          <w:tcPr>
            <w:tcW w:w="993" w:type="dxa"/>
            <w:tcBorders>
              <w:top w:val="nil"/>
              <w:left w:val="nil"/>
              <w:bottom w:val="nil"/>
              <w:right w:val="nil"/>
            </w:tcBorders>
            <w:shd w:val="clear" w:color="000000" w:fill="CCCCFF"/>
            <w:noWrap/>
            <w:vAlign w:val="bottom"/>
            <w:hideMark/>
          </w:tcPr>
          <w:p w14:paraId="37006E6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68,02%</w:t>
            </w:r>
          </w:p>
        </w:tc>
      </w:tr>
      <w:tr w:rsidR="006967F8" w:rsidRPr="006967F8" w14:paraId="71EB52E8"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398BDAFA"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455C7FA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78.800,00</w:t>
            </w:r>
          </w:p>
        </w:tc>
        <w:tc>
          <w:tcPr>
            <w:tcW w:w="1559" w:type="dxa"/>
            <w:tcBorders>
              <w:top w:val="nil"/>
              <w:left w:val="nil"/>
              <w:bottom w:val="nil"/>
              <w:right w:val="nil"/>
            </w:tcBorders>
            <w:shd w:val="clear" w:color="000000" w:fill="CCCCFF"/>
            <w:noWrap/>
            <w:vAlign w:val="bottom"/>
            <w:hideMark/>
          </w:tcPr>
          <w:p w14:paraId="089A643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75.050,00</w:t>
            </w:r>
          </w:p>
        </w:tc>
        <w:tc>
          <w:tcPr>
            <w:tcW w:w="1559" w:type="dxa"/>
            <w:tcBorders>
              <w:top w:val="nil"/>
              <w:left w:val="nil"/>
              <w:bottom w:val="nil"/>
              <w:right w:val="nil"/>
            </w:tcBorders>
            <w:shd w:val="clear" w:color="000000" w:fill="CCCCFF"/>
            <w:noWrap/>
            <w:vAlign w:val="bottom"/>
            <w:hideMark/>
          </w:tcPr>
          <w:p w14:paraId="26045CF1"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51.051,32</w:t>
            </w:r>
          </w:p>
        </w:tc>
        <w:tc>
          <w:tcPr>
            <w:tcW w:w="993" w:type="dxa"/>
            <w:tcBorders>
              <w:top w:val="nil"/>
              <w:left w:val="nil"/>
              <w:bottom w:val="nil"/>
              <w:right w:val="nil"/>
            </w:tcBorders>
            <w:shd w:val="clear" w:color="000000" w:fill="CCCCFF"/>
            <w:noWrap/>
            <w:vAlign w:val="bottom"/>
            <w:hideMark/>
          </w:tcPr>
          <w:p w14:paraId="106E48C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68,02%</w:t>
            </w:r>
          </w:p>
        </w:tc>
      </w:tr>
      <w:tr w:rsidR="006967F8" w:rsidRPr="006967F8" w14:paraId="62FEA978" w14:textId="77777777" w:rsidTr="008A61B1">
        <w:trPr>
          <w:trHeight w:val="255"/>
        </w:trPr>
        <w:tc>
          <w:tcPr>
            <w:tcW w:w="1134" w:type="dxa"/>
            <w:tcBorders>
              <w:top w:val="nil"/>
              <w:left w:val="nil"/>
              <w:bottom w:val="nil"/>
              <w:right w:val="nil"/>
            </w:tcBorders>
            <w:noWrap/>
            <w:vAlign w:val="bottom"/>
            <w:hideMark/>
          </w:tcPr>
          <w:p w14:paraId="6BD8933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6E9414B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41EBC72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78.800,00</w:t>
            </w:r>
          </w:p>
        </w:tc>
        <w:tc>
          <w:tcPr>
            <w:tcW w:w="1559" w:type="dxa"/>
            <w:tcBorders>
              <w:top w:val="nil"/>
              <w:left w:val="nil"/>
              <w:bottom w:val="nil"/>
              <w:right w:val="nil"/>
            </w:tcBorders>
            <w:noWrap/>
            <w:vAlign w:val="bottom"/>
            <w:hideMark/>
          </w:tcPr>
          <w:p w14:paraId="0D44548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75.050,00</w:t>
            </w:r>
          </w:p>
        </w:tc>
        <w:tc>
          <w:tcPr>
            <w:tcW w:w="1559" w:type="dxa"/>
            <w:tcBorders>
              <w:top w:val="nil"/>
              <w:left w:val="nil"/>
              <w:bottom w:val="nil"/>
              <w:right w:val="nil"/>
            </w:tcBorders>
            <w:noWrap/>
            <w:vAlign w:val="bottom"/>
            <w:hideMark/>
          </w:tcPr>
          <w:p w14:paraId="116B705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51.051,32</w:t>
            </w:r>
          </w:p>
        </w:tc>
        <w:tc>
          <w:tcPr>
            <w:tcW w:w="993" w:type="dxa"/>
            <w:tcBorders>
              <w:top w:val="nil"/>
              <w:left w:val="nil"/>
              <w:bottom w:val="nil"/>
              <w:right w:val="nil"/>
            </w:tcBorders>
            <w:noWrap/>
            <w:vAlign w:val="bottom"/>
            <w:hideMark/>
          </w:tcPr>
          <w:p w14:paraId="61C1CDB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68,02%</w:t>
            </w:r>
          </w:p>
        </w:tc>
      </w:tr>
      <w:tr w:rsidR="006967F8" w:rsidRPr="006967F8" w14:paraId="58250DFB" w14:textId="77777777" w:rsidTr="008A61B1">
        <w:trPr>
          <w:trHeight w:val="255"/>
        </w:trPr>
        <w:tc>
          <w:tcPr>
            <w:tcW w:w="1134" w:type="dxa"/>
            <w:tcBorders>
              <w:top w:val="nil"/>
              <w:left w:val="nil"/>
              <w:bottom w:val="nil"/>
              <w:right w:val="nil"/>
            </w:tcBorders>
            <w:noWrap/>
            <w:vAlign w:val="bottom"/>
            <w:hideMark/>
          </w:tcPr>
          <w:p w14:paraId="5EB84A51"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3211</w:t>
            </w:r>
          </w:p>
        </w:tc>
        <w:tc>
          <w:tcPr>
            <w:tcW w:w="4962" w:type="dxa"/>
            <w:tcBorders>
              <w:top w:val="nil"/>
              <w:left w:val="nil"/>
              <w:bottom w:val="nil"/>
              <w:right w:val="nil"/>
            </w:tcBorders>
            <w:noWrap/>
            <w:vAlign w:val="bottom"/>
            <w:hideMark/>
          </w:tcPr>
          <w:p w14:paraId="5F07EA9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Službena putovanja</w:t>
            </w:r>
          </w:p>
        </w:tc>
        <w:tc>
          <w:tcPr>
            <w:tcW w:w="1559" w:type="dxa"/>
            <w:tcBorders>
              <w:top w:val="nil"/>
              <w:left w:val="nil"/>
              <w:bottom w:val="nil"/>
              <w:right w:val="nil"/>
            </w:tcBorders>
            <w:noWrap/>
            <w:vAlign w:val="bottom"/>
            <w:hideMark/>
          </w:tcPr>
          <w:p w14:paraId="4DBF11D9"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361C82C1"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ED1068B"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1.971,98</w:t>
            </w:r>
          </w:p>
        </w:tc>
        <w:tc>
          <w:tcPr>
            <w:tcW w:w="993" w:type="dxa"/>
            <w:tcBorders>
              <w:top w:val="nil"/>
              <w:left w:val="nil"/>
              <w:bottom w:val="nil"/>
              <w:right w:val="nil"/>
            </w:tcBorders>
            <w:noWrap/>
            <w:vAlign w:val="bottom"/>
            <w:hideMark/>
          </w:tcPr>
          <w:p w14:paraId="33F4F9EF"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64DD27F" w14:textId="77777777" w:rsidTr="008A61B1">
        <w:trPr>
          <w:trHeight w:val="255"/>
        </w:trPr>
        <w:tc>
          <w:tcPr>
            <w:tcW w:w="1134" w:type="dxa"/>
            <w:tcBorders>
              <w:top w:val="nil"/>
              <w:left w:val="nil"/>
              <w:bottom w:val="nil"/>
              <w:right w:val="nil"/>
            </w:tcBorders>
            <w:noWrap/>
            <w:vAlign w:val="bottom"/>
            <w:hideMark/>
          </w:tcPr>
          <w:p w14:paraId="20962CF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3213</w:t>
            </w:r>
          </w:p>
        </w:tc>
        <w:tc>
          <w:tcPr>
            <w:tcW w:w="4962" w:type="dxa"/>
            <w:tcBorders>
              <w:top w:val="nil"/>
              <w:left w:val="nil"/>
              <w:bottom w:val="nil"/>
              <w:right w:val="nil"/>
            </w:tcBorders>
            <w:noWrap/>
            <w:vAlign w:val="bottom"/>
            <w:hideMark/>
          </w:tcPr>
          <w:p w14:paraId="3C474D28"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Stručno usavršavanje zaposlenika</w:t>
            </w:r>
          </w:p>
        </w:tc>
        <w:tc>
          <w:tcPr>
            <w:tcW w:w="1559" w:type="dxa"/>
            <w:tcBorders>
              <w:top w:val="nil"/>
              <w:left w:val="nil"/>
              <w:bottom w:val="nil"/>
              <w:right w:val="nil"/>
            </w:tcBorders>
            <w:noWrap/>
            <w:vAlign w:val="bottom"/>
            <w:hideMark/>
          </w:tcPr>
          <w:p w14:paraId="1667BA12"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45A0368"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2C416F78"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225,00</w:t>
            </w:r>
          </w:p>
        </w:tc>
        <w:tc>
          <w:tcPr>
            <w:tcW w:w="993" w:type="dxa"/>
            <w:tcBorders>
              <w:top w:val="nil"/>
              <w:left w:val="nil"/>
              <w:bottom w:val="nil"/>
              <w:right w:val="nil"/>
            </w:tcBorders>
            <w:noWrap/>
            <w:vAlign w:val="bottom"/>
            <w:hideMark/>
          </w:tcPr>
          <w:p w14:paraId="655E1B65"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0D2A96A" w14:textId="77777777" w:rsidTr="008A61B1">
        <w:trPr>
          <w:trHeight w:val="255"/>
        </w:trPr>
        <w:tc>
          <w:tcPr>
            <w:tcW w:w="1134" w:type="dxa"/>
            <w:tcBorders>
              <w:top w:val="nil"/>
              <w:left w:val="nil"/>
              <w:bottom w:val="nil"/>
              <w:right w:val="nil"/>
            </w:tcBorders>
            <w:noWrap/>
            <w:vAlign w:val="bottom"/>
            <w:hideMark/>
          </w:tcPr>
          <w:p w14:paraId="5291460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3295</w:t>
            </w:r>
          </w:p>
        </w:tc>
        <w:tc>
          <w:tcPr>
            <w:tcW w:w="4962" w:type="dxa"/>
            <w:tcBorders>
              <w:top w:val="nil"/>
              <w:left w:val="nil"/>
              <w:bottom w:val="nil"/>
              <w:right w:val="nil"/>
            </w:tcBorders>
            <w:noWrap/>
            <w:vAlign w:val="bottom"/>
            <w:hideMark/>
          </w:tcPr>
          <w:p w14:paraId="2A393A7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Pristojbe i naknade</w:t>
            </w:r>
          </w:p>
        </w:tc>
        <w:tc>
          <w:tcPr>
            <w:tcW w:w="1559" w:type="dxa"/>
            <w:tcBorders>
              <w:top w:val="nil"/>
              <w:left w:val="nil"/>
              <w:bottom w:val="nil"/>
              <w:right w:val="nil"/>
            </w:tcBorders>
            <w:noWrap/>
            <w:vAlign w:val="bottom"/>
            <w:hideMark/>
          </w:tcPr>
          <w:p w14:paraId="7085981C"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50296E0C"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606F9035"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48.183,64</w:t>
            </w:r>
          </w:p>
        </w:tc>
        <w:tc>
          <w:tcPr>
            <w:tcW w:w="993" w:type="dxa"/>
            <w:tcBorders>
              <w:top w:val="nil"/>
              <w:left w:val="nil"/>
              <w:bottom w:val="nil"/>
              <w:right w:val="nil"/>
            </w:tcBorders>
            <w:noWrap/>
            <w:vAlign w:val="bottom"/>
            <w:hideMark/>
          </w:tcPr>
          <w:p w14:paraId="32FC36E4"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A9AC0D0" w14:textId="77777777" w:rsidTr="008A61B1">
        <w:trPr>
          <w:trHeight w:val="255"/>
        </w:trPr>
        <w:tc>
          <w:tcPr>
            <w:tcW w:w="1134" w:type="dxa"/>
            <w:tcBorders>
              <w:top w:val="nil"/>
              <w:left w:val="nil"/>
              <w:bottom w:val="nil"/>
              <w:right w:val="nil"/>
            </w:tcBorders>
            <w:noWrap/>
            <w:vAlign w:val="bottom"/>
            <w:hideMark/>
          </w:tcPr>
          <w:p w14:paraId="7CBA002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3299</w:t>
            </w:r>
          </w:p>
        </w:tc>
        <w:tc>
          <w:tcPr>
            <w:tcW w:w="4962" w:type="dxa"/>
            <w:tcBorders>
              <w:top w:val="nil"/>
              <w:left w:val="nil"/>
              <w:bottom w:val="nil"/>
              <w:right w:val="nil"/>
            </w:tcBorders>
            <w:noWrap/>
            <w:vAlign w:val="bottom"/>
            <w:hideMark/>
          </w:tcPr>
          <w:p w14:paraId="06A4BE4D"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Ostali nespomenuti rashodi poslovanja</w:t>
            </w:r>
          </w:p>
        </w:tc>
        <w:tc>
          <w:tcPr>
            <w:tcW w:w="1559" w:type="dxa"/>
            <w:tcBorders>
              <w:top w:val="nil"/>
              <w:left w:val="nil"/>
              <w:bottom w:val="nil"/>
              <w:right w:val="nil"/>
            </w:tcBorders>
            <w:noWrap/>
            <w:vAlign w:val="bottom"/>
            <w:hideMark/>
          </w:tcPr>
          <w:p w14:paraId="79253343"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32C8063"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D4610EE"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670,70</w:t>
            </w:r>
          </w:p>
        </w:tc>
        <w:tc>
          <w:tcPr>
            <w:tcW w:w="993" w:type="dxa"/>
            <w:tcBorders>
              <w:top w:val="nil"/>
              <w:left w:val="nil"/>
              <w:bottom w:val="nil"/>
              <w:right w:val="nil"/>
            </w:tcBorders>
            <w:noWrap/>
            <w:vAlign w:val="bottom"/>
            <w:hideMark/>
          </w:tcPr>
          <w:p w14:paraId="040478CB"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2C824251" w14:textId="77777777" w:rsidTr="008A61B1">
        <w:trPr>
          <w:trHeight w:val="255"/>
        </w:trPr>
        <w:tc>
          <w:tcPr>
            <w:tcW w:w="1134" w:type="dxa"/>
            <w:tcBorders>
              <w:top w:val="nil"/>
              <w:left w:val="nil"/>
              <w:bottom w:val="nil"/>
              <w:right w:val="nil"/>
            </w:tcBorders>
            <w:shd w:val="clear" w:color="000000" w:fill="FF9900"/>
            <w:noWrap/>
            <w:vAlign w:val="bottom"/>
            <w:hideMark/>
          </w:tcPr>
          <w:p w14:paraId="5DE3C6D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lastRenderedPageBreak/>
              <w:t>1606</w:t>
            </w:r>
          </w:p>
        </w:tc>
        <w:tc>
          <w:tcPr>
            <w:tcW w:w="4962" w:type="dxa"/>
            <w:tcBorders>
              <w:top w:val="nil"/>
              <w:left w:val="nil"/>
              <w:bottom w:val="nil"/>
              <w:right w:val="nil"/>
            </w:tcBorders>
            <w:shd w:val="clear" w:color="000000" w:fill="FF9900"/>
            <w:noWrap/>
            <w:vAlign w:val="bottom"/>
            <w:hideMark/>
          </w:tcPr>
          <w:p w14:paraId="064F6FA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Program: PROSTORNO PLANIRANJE</w:t>
            </w:r>
          </w:p>
        </w:tc>
        <w:tc>
          <w:tcPr>
            <w:tcW w:w="1559" w:type="dxa"/>
            <w:tcBorders>
              <w:top w:val="nil"/>
              <w:left w:val="nil"/>
              <w:bottom w:val="nil"/>
              <w:right w:val="nil"/>
            </w:tcBorders>
            <w:shd w:val="clear" w:color="000000" w:fill="FF9900"/>
            <w:noWrap/>
            <w:vAlign w:val="bottom"/>
            <w:hideMark/>
          </w:tcPr>
          <w:p w14:paraId="307A71A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144.500,00</w:t>
            </w:r>
          </w:p>
        </w:tc>
        <w:tc>
          <w:tcPr>
            <w:tcW w:w="1559" w:type="dxa"/>
            <w:tcBorders>
              <w:top w:val="nil"/>
              <w:left w:val="nil"/>
              <w:bottom w:val="nil"/>
              <w:right w:val="nil"/>
            </w:tcBorders>
            <w:shd w:val="clear" w:color="000000" w:fill="FF9900"/>
            <w:noWrap/>
            <w:vAlign w:val="bottom"/>
            <w:hideMark/>
          </w:tcPr>
          <w:p w14:paraId="6467827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142.345,00</w:t>
            </w:r>
          </w:p>
        </w:tc>
        <w:tc>
          <w:tcPr>
            <w:tcW w:w="1559" w:type="dxa"/>
            <w:tcBorders>
              <w:top w:val="nil"/>
              <w:left w:val="nil"/>
              <w:bottom w:val="nil"/>
              <w:right w:val="nil"/>
            </w:tcBorders>
            <w:shd w:val="clear" w:color="000000" w:fill="FF9900"/>
            <w:noWrap/>
            <w:vAlign w:val="bottom"/>
            <w:hideMark/>
          </w:tcPr>
          <w:p w14:paraId="7204E4C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9.145,00</w:t>
            </w:r>
          </w:p>
        </w:tc>
        <w:tc>
          <w:tcPr>
            <w:tcW w:w="993" w:type="dxa"/>
            <w:tcBorders>
              <w:top w:val="nil"/>
              <w:left w:val="nil"/>
              <w:bottom w:val="nil"/>
              <w:right w:val="nil"/>
            </w:tcBorders>
            <w:shd w:val="clear" w:color="000000" w:fill="FF9900"/>
            <w:noWrap/>
            <w:vAlign w:val="bottom"/>
            <w:hideMark/>
          </w:tcPr>
          <w:p w14:paraId="40CA509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6,42%</w:t>
            </w:r>
          </w:p>
        </w:tc>
      </w:tr>
      <w:tr w:rsidR="006967F8" w:rsidRPr="006967F8" w14:paraId="6DE498B1" w14:textId="77777777" w:rsidTr="008A61B1">
        <w:trPr>
          <w:trHeight w:val="615"/>
        </w:trPr>
        <w:tc>
          <w:tcPr>
            <w:tcW w:w="1134" w:type="dxa"/>
            <w:tcBorders>
              <w:top w:val="nil"/>
              <w:left w:val="nil"/>
              <w:bottom w:val="nil"/>
              <w:right w:val="nil"/>
            </w:tcBorders>
            <w:shd w:val="clear" w:color="000000" w:fill="FFFF99"/>
            <w:noWrap/>
            <w:vAlign w:val="bottom"/>
            <w:hideMark/>
          </w:tcPr>
          <w:p w14:paraId="1C36DD4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K100019</w:t>
            </w:r>
          </w:p>
        </w:tc>
        <w:tc>
          <w:tcPr>
            <w:tcW w:w="4962" w:type="dxa"/>
            <w:tcBorders>
              <w:top w:val="nil"/>
              <w:left w:val="nil"/>
              <w:bottom w:val="nil"/>
              <w:right w:val="nil"/>
            </w:tcBorders>
            <w:shd w:val="clear" w:color="000000" w:fill="FFFF99"/>
            <w:vAlign w:val="bottom"/>
            <w:hideMark/>
          </w:tcPr>
          <w:p w14:paraId="7FD34A3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Kapitalni projekt: IZRADA DOKUMENATA PROSTORNOG UREĐENJA</w:t>
            </w:r>
          </w:p>
        </w:tc>
        <w:tc>
          <w:tcPr>
            <w:tcW w:w="1559" w:type="dxa"/>
            <w:tcBorders>
              <w:top w:val="nil"/>
              <w:left w:val="nil"/>
              <w:bottom w:val="nil"/>
              <w:right w:val="nil"/>
            </w:tcBorders>
            <w:shd w:val="clear" w:color="000000" w:fill="FFFF99"/>
            <w:noWrap/>
            <w:vAlign w:val="bottom"/>
            <w:hideMark/>
          </w:tcPr>
          <w:p w14:paraId="67D45D3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113.500,00</w:t>
            </w:r>
          </w:p>
        </w:tc>
        <w:tc>
          <w:tcPr>
            <w:tcW w:w="1559" w:type="dxa"/>
            <w:tcBorders>
              <w:top w:val="nil"/>
              <w:left w:val="nil"/>
              <w:bottom w:val="nil"/>
              <w:right w:val="nil"/>
            </w:tcBorders>
            <w:shd w:val="clear" w:color="000000" w:fill="FFFF99"/>
            <w:noWrap/>
            <w:vAlign w:val="bottom"/>
            <w:hideMark/>
          </w:tcPr>
          <w:p w14:paraId="590879B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111.345,00</w:t>
            </w:r>
          </w:p>
        </w:tc>
        <w:tc>
          <w:tcPr>
            <w:tcW w:w="1559" w:type="dxa"/>
            <w:tcBorders>
              <w:top w:val="nil"/>
              <w:left w:val="nil"/>
              <w:bottom w:val="nil"/>
              <w:right w:val="nil"/>
            </w:tcBorders>
            <w:shd w:val="clear" w:color="000000" w:fill="FFFF99"/>
            <w:noWrap/>
            <w:vAlign w:val="bottom"/>
            <w:hideMark/>
          </w:tcPr>
          <w:p w14:paraId="35325BE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4.500,00</w:t>
            </w:r>
          </w:p>
        </w:tc>
        <w:tc>
          <w:tcPr>
            <w:tcW w:w="993" w:type="dxa"/>
            <w:tcBorders>
              <w:top w:val="nil"/>
              <w:left w:val="nil"/>
              <w:bottom w:val="nil"/>
              <w:right w:val="nil"/>
            </w:tcBorders>
            <w:shd w:val="clear" w:color="000000" w:fill="FFFF99"/>
            <w:noWrap/>
            <w:vAlign w:val="bottom"/>
            <w:hideMark/>
          </w:tcPr>
          <w:p w14:paraId="67FCF23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4,04%</w:t>
            </w:r>
          </w:p>
        </w:tc>
      </w:tr>
      <w:tr w:rsidR="006967F8" w:rsidRPr="006967F8" w14:paraId="41F8E49F"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75C2BC67"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 PRIHODI ZA POSEBNE NAMJENE</w:t>
            </w:r>
          </w:p>
        </w:tc>
        <w:tc>
          <w:tcPr>
            <w:tcW w:w="1559" w:type="dxa"/>
            <w:tcBorders>
              <w:top w:val="nil"/>
              <w:left w:val="nil"/>
              <w:bottom w:val="nil"/>
              <w:right w:val="nil"/>
            </w:tcBorders>
            <w:shd w:val="clear" w:color="000000" w:fill="CCCCFF"/>
            <w:noWrap/>
            <w:vAlign w:val="bottom"/>
            <w:hideMark/>
          </w:tcPr>
          <w:p w14:paraId="4AC2B03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113.500,00</w:t>
            </w:r>
          </w:p>
        </w:tc>
        <w:tc>
          <w:tcPr>
            <w:tcW w:w="1559" w:type="dxa"/>
            <w:tcBorders>
              <w:top w:val="nil"/>
              <w:left w:val="nil"/>
              <w:bottom w:val="nil"/>
              <w:right w:val="nil"/>
            </w:tcBorders>
            <w:shd w:val="clear" w:color="000000" w:fill="CCCCFF"/>
            <w:noWrap/>
            <w:vAlign w:val="bottom"/>
            <w:hideMark/>
          </w:tcPr>
          <w:p w14:paraId="29EFA82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111.345,00</w:t>
            </w:r>
          </w:p>
        </w:tc>
        <w:tc>
          <w:tcPr>
            <w:tcW w:w="1559" w:type="dxa"/>
            <w:tcBorders>
              <w:top w:val="nil"/>
              <w:left w:val="nil"/>
              <w:bottom w:val="nil"/>
              <w:right w:val="nil"/>
            </w:tcBorders>
            <w:shd w:val="clear" w:color="000000" w:fill="CCCCFF"/>
            <w:noWrap/>
            <w:vAlign w:val="bottom"/>
            <w:hideMark/>
          </w:tcPr>
          <w:p w14:paraId="6A13403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4.500,00</w:t>
            </w:r>
          </w:p>
        </w:tc>
        <w:tc>
          <w:tcPr>
            <w:tcW w:w="993" w:type="dxa"/>
            <w:tcBorders>
              <w:top w:val="nil"/>
              <w:left w:val="nil"/>
              <w:bottom w:val="nil"/>
              <w:right w:val="nil"/>
            </w:tcBorders>
            <w:shd w:val="clear" w:color="000000" w:fill="CCCCFF"/>
            <w:noWrap/>
            <w:vAlign w:val="bottom"/>
            <w:hideMark/>
          </w:tcPr>
          <w:p w14:paraId="7F92E8C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4,04%</w:t>
            </w:r>
          </w:p>
        </w:tc>
      </w:tr>
      <w:tr w:rsidR="006967F8" w:rsidRPr="006967F8" w14:paraId="4B611F98"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046788CC"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4.3. Ostali prihodi za posebne namjene</w:t>
            </w:r>
          </w:p>
        </w:tc>
        <w:tc>
          <w:tcPr>
            <w:tcW w:w="1559" w:type="dxa"/>
            <w:tcBorders>
              <w:top w:val="nil"/>
              <w:left w:val="nil"/>
              <w:bottom w:val="nil"/>
              <w:right w:val="nil"/>
            </w:tcBorders>
            <w:shd w:val="clear" w:color="000000" w:fill="CCCCFF"/>
            <w:noWrap/>
            <w:vAlign w:val="bottom"/>
            <w:hideMark/>
          </w:tcPr>
          <w:p w14:paraId="12F7B63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113.500,00</w:t>
            </w:r>
          </w:p>
        </w:tc>
        <w:tc>
          <w:tcPr>
            <w:tcW w:w="1559" w:type="dxa"/>
            <w:tcBorders>
              <w:top w:val="nil"/>
              <w:left w:val="nil"/>
              <w:bottom w:val="nil"/>
              <w:right w:val="nil"/>
            </w:tcBorders>
            <w:shd w:val="clear" w:color="000000" w:fill="CCCCFF"/>
            <w:noWrap/>
            <w:vAlign w:val="bottom"/>
            <w:hideMark/>
          </w:tcPr>
          <w:p w14:paraId="4415B64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111.345,00</w:t>
            </w:r>
          </w:p>
        </w:tc>
        <w:tc>
          <w:tcPr>
            <w:tcW w:w="1559" w:type="dxa"/>
            <w:tcBorders>
              <w:top w:val="nil"/>
              <w:left w:val="nil"/>
              <w:bottom w:val="nil"/>
              <w:right w:val="nil"/>
            </w:tcBorders>
            <w:shd w:val="clear" w:color="000000" w:fill="CCCCFF"/>
            <w:noWrap/>
            <w:vAlign w:val="bottom"/>
            <w:hideMark/>
          </w:tcPr>
          <w:p w14:paraId="0FFF271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4.500,00</w:t>
            </w:r>
          </w:p>
        </w:tc>
        <w:tc>
          <w:tcPr>
            <w:tcW w:w="993" w:type="dxa"/>
            <w:tcBorders>
              <w:top w:val="nil"/>
              <w:left w:val="nil"/>
              <w:bottom w:val="nil"/>
              <w:right w:val="nil"/>
            </w:tcBorders>
            <w:shd w:val="clear" w:color="000000" w:fill="CCCCFF"/>
            <w:noWrap/>
            <w:vAlign w:val="bottom"/>
            <w:hideMark/>
          </w:tcPr>
          <w:p w14:paraId="4A8AD6D9"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4,04%</w:t>
            </w:r>
          </w:p>
        </w:tc>
      </w:tr>
      <w:tr w:rsidR="006967F8" w:rsidRPr="006967F8" w14:paraId="5223F384" w14:textId="77777777" w:rsidTr="008A61B1">
        <w:trPr>
          <w:trHeight w:val="540"/>
        </w:trPr>
        <w:tc>
          <w:tcPr>
            <w:tcW w:w="1134" w:type="dxa"/>
            <w:tcBorders>
              <w:top w:val="nil"/>
              <w:left w:val="nil"/>
              <w:bottom w:val="nil"/>
              <w:right w:val="nil"/>
            </w:tcBorders>
            <w:noWrap/>
            <w:vAlign w:val="bottom"/>
            <w:hideMark/>
          </w:tcPr>
          <w:p w14:paraId="6805DF1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444D2DA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5FDD62D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113.500,00</w:t>
            </w:r>
          </w:p>
        </w:tc>
        <w:tc>
          <w:tcPr>
            <w:tcW w:w="1559" w:type="dxa"/>
            <w:tcBorders>
              <w:top w:val="nil"/>
              <w:left w:val="nil"/>
              <w:bottom w:val="nil"/>
              <w:right w:val="nil"/>
            </w:tcBorders>
            <w:noWrap/>
            <w:vAlign w:val="bottom"/>
            <w:hideMark/>
          </w:tcPr>
          <w:p w14:paraId="4B26BA8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111.345,00</w:t>
            </w:r>
          </w:p>
        </w:tc>
        <w:tc>
          <w:tcPr>
            <w:tcW w:w="1559" w:type="dxa"/>
            <w:tcBorders>
              <w:top w:val="nil"/>
              <w:left w:val="nil"/>
              <w:bottom w:val="nil"/>
              <w:right w:val="nil"/>
            </w:tcBorders>
            <w:noWrap/>
            <w:vAlign w:val="bottom"/>
            <w:hideMark/>
          </w:tcPr>
          <w:p w14:paraId="27CE019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4.500,00</w:t>
            </w:r>
          </w:p>
        </w:tc>
        <w:tc>
          <w:tcPr>
            <w:tcW w:w="993" w:type="dxa"/>
            <w:tcBorders>
              <w:top w:val="nil"/>
              <w:left w:val="nil"/>
              <w:bottom w:val="nil"/>
              <w:right w:val="nil"/>
            </w:tcBorders>
            <w:noWrap/>
            <w:vAlign w:val="bottom"/>
            <w:hideMark/>
          </w:tcPr>
          <w:p w14:paraId="251FDB1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4,04%</w:t>
            </w:r>
          </w:p>
        </w:tc>
      </w:tr>
      <w:tr w:rsidR="006967F8" w:rsidRPr="006967F8" w14:paraId="78460045" w14:textId="77777777" w:rsidTr="008A61B1">
        <w:trPr>
          <w:trHeight w:val="255"/>
        </w:trPr>
        <w:tc>
          <w:tcPr>
            <w:tcW w:w="1134" w:type="dxa"/>
            <w:tcBorders>
              <w:top w:val="nil"/>
              <w:left w:val="nil"/>
              <w:bottom w:val="nil"/>
              <w:right w:val="nil"/>
            </w:tcBorders>
            <w:noWrap/>
            <w:vAlign w:val="bottom"/>
            <w:hideMark/>
          </w:tcPr>
          <w:p w14:paraId="4841EEB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4264</w:t>
            </w:r>
          </w:p>
        </w:tc>
        <w:tc>
          <w:tcPr>
            <w:tcW w:w="4962" w:type="dxa"/>
            <w:tcBorders>
              <w:top w:val="nil"/>
              <w:left w:val="nil"/>
              <w:bottom w:val="nil"/>
              <w:right w:val="nil"/>
            </w:tcBorders>
            <w:noWrap/>
            <w:vAlign w:val="bottom"/>
            <w:hideMark/>
          </w:tcPr>
          <w:p w14:paraId="246F9B34"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Ostala nematerijalna proizvedena imovina</w:t>
            </w:r>
          </w:p>
        </w:tc>
        <w:tc>
          <w:tcPr>
            <w:tcW w:w="1559" w:type="dxa"/>
            <w:tcBorders>
              <w:top w:val="nil"/>
              <w:left w:val="nil"/>
              <w:bottom w:val="nil"/>
              <w:right w:val="nil"/>
            </w:tcBorders>
            <w:noWrap/>
            <w:vAlign w:val="bottom"/>
            <w:hideMark/>
          </w:tcPr>
          <w:p w14:paraId="68A1E09F"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5331F96"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354F7F94"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4.500,00</w:t>
            </w:r>
          </w:p>
        </w:tc>
        <w:tc>
          <w:tcPr>
            <w:tcW w:w="993" w:type="dxa"/>
            <w:tcBorders>
              <w:top w:val="nil"/>
              <w:left w:val="nil"/>
              <w:bottom w:val="nil"/>
              <w:right w:val="nil"/>
            </w:tcBorders>
            <w:noWrap/>
            <w:vAlign w:val="bottom"/>
            <w:hideMark/>
          </w:tcPr>
          <w:p w14:paraId="45DE328C"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34C00B25" w14:textId="77777777" w:rsidTr="008A61B1">
        <w:trPr>
          <w:trHeight w:val="540"/>
        </w:trPr>
        <w:tc>
          <w:tcPr>
            <w:tcW w:w="1134" w:type="dxa"/>
            <w:tcBorders>
              <w:top w:val="nil"/>
              <w:left w:val="nil"/>
              <w:bottom w:val="nil"/>
              <w:right w:val="nil"/>
            </w:tcBorders>
            <w:shd w:val="clear" w:color="000000" w:fill="FFFF99"/>
            <w:noWrap/>
            <w:vAlign w:val="bottom"/>
            <w:hideMark/>
          </w:tcPr>
          <w:p w14:paraId="308547F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T100017</w:t>
            </w:r>
          </w:p>
        </w:tc>
        <w:tc>
          <w:tcPr>
            <w:tcW w:w="4962" w:type="dxa"/>
            <w:tcBorders>
              <w:top w:val="nil"/>
              <w:left w:val="nil"/>
              <w:bottom w:val="nil"/>
              <w:right w:val="nil"/>
            </w:tcBorders>
            <w:shd w:val="clear" w:color="000000" w:fill="FFFF99"/>
            <w:vAlign w:val="bottom"/>
            <w:hideMark/>
          </w:tcPr>
          <w:p w14:paraId="04275E3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Tekući projekt: GEODETSKI POSLOVI PARCEL. ELABORATI I DRUGO</w:t>
            </w:r>
          </w:p>
        </w:tc>
        <w:tc>
          <w:tcPr>
            <w:tcW w:w="1559" w:type="dxa"/>
            <w:tcBorders>
              <w:top w:val="nil"/>
              <w:left w:val="nil"/>
              <w:bottom w:val="nil"/>
              <w:right w:val="nil"/>
            </w:tcBorders>
            <w:shd w:val="clear" w:color="000000" w:fill="FFFF99"/>
            <w:noWrap/>
            <w:vAlign w:val="bottom"/>
            <w:hideMark/>
          </w:tcPr>
          <w:p w14:paraId="7555813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31.000,00</w:t>
            </w:r>
          </w:p>
        </w:tc>
        <w:tc>
          <w:tcPr>
            <w:tcW w:w="1559" w:type="dxa"/>
            <w:tcBorders>
              <w:top w:val="nil"/>
              <w:left w:val="nil"/>
              <w:bottom w:val="nil"/>
              <w:right w:val="nil"/>
            </w:tcBorders>
            <w:shd w:val="clear" w:color="000000" w:fill="FFFF99"/>
            <w:noWrap/>
            <w:vAlign w:val="bottom"/>
            <w:hideMark/>
          </w:tcPr>
          <w:p w14:paraId="6C4B587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31.000,00</w:t>
            </w:r>
          </w:p>
        </w:tc>
        <w:tc>
          <w:tcPr>
            <w:tcW w:w="1559" w:type="dxa"/>
            <w:tcBorders>
              <w:top w:val="nil"/>
              <w:left w:val="nil"/>
              <w:bottom w:val="nil"/>
              <w:right w:val="nil"/>
            </w:tcBorders>
            <w:shd w:val="clear" w:color="000000" w:fill="FFFF99"/>
            <w:noWrap/>
            <w:vAlign w:val="bottom"/>
            <w:hideMark/>
          </w:tcPr>
          <w:p w14:paraId="218E0209"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4.645,00</w:t>
            </w:r>
          </w:p>
        </w:tc>
        <w:tc>
          <w:tcPr>
            <w:tcW w:w="993" w:type="dxa"/>
            <w:tcBorders>
              <w:top w:val="nil"/>
              <w:left w:val="nil"/>
              <w:bottom w:val="nil"/>
              <w:right w:val="nil"/>
            </w:tcBorders>
            <w:shd w:val="clear" w:color="000000" w:fill="FFFF99"/>
            <w:noWrap/>
            <w:vAlign w:val="bottom"/>
            <w:hideMark/>
          </w:tcPr>
          <w:p w14:paraId="5FF0D24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14,98%</w:t>
            </w:r>
          </w:p>
        </w:tc>
      </w:tr>
      <w:tr w:rsidR="006967F8" w:rsidRPr="006967F8" w14:paraId="23F3723C"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6784F00"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107B948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31.000,00</w:t>
            </w:r>
          </w:p>
        </w:tc>
        <w:tc>
          <w:tcPr>
            <w:tcW w:w="1559" w:type="dxa"/>
            <w:tcBorders>
              <w:top w:val="nil"/>
              <w:left w:val="nil"/>
              <w:bottom w:val="nil"/>
              <w:right w:val="nil"/>
            </w:tcBorders>
            <w:shd w:val="clear" w:color="000000" w:fill="CCCCFF"/>
            <w:noWrap/>
            <w:vAlign w:val="bottom"/>
            <w:hideMark/>
          </w:tcPr>
          <w:p w14:paraId="6FFEF87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31.000,00</w:t>
            </w:r>
          </w:p>
        </w:tc>
        <w:tc>
          <w:tcPr>
            <w:tcW w:w="1559" w:type="dxa"/>
            <w:tcBorders>
              <w:top w:val="nil"/>
              <w:left w:val="nil"/>
              <w:bottom w:val="nil"/>
              <w:right w:val="nil"/>
            </w:tcBorders>
            <w:shd w:val="clear" w:color="000000" w:fill="CCCCFF"/>
            <w:noWrap/>
            <w:vAlign w:val="bottom"/>
            <w:hideMark/>
          </w:tcPr>
          <w:p w14:paraId="238E776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4.645,00</w:t>
            </w:r>
          </w:p>
        </w:tc>
        <w:tc>
          <w:tcPr>
            <w:tcW w:w="993" w:type="dxa"/>
            <w:tcBorders>
              <w:top w:val="nil"/>
              <w:left w:val="nil"/>
              <w:bottom w:val="nil"/>
              <w:right w:val="nil"/>
            </w:tcBorders>
            <w:shd w:val="clear" w:color="000000" w:fill="CCCCFF"/>
            <w:noWrap/>
            <w:vAlign w:val="bottom"/>
            <w:hideMark/>
          </w:tcPr>
          <w:p w14:paraId="2B8838B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14,98%</w:t>
            </w:r>
          </w:p>
        </w:tc>
      </w:tr>
      <w:tr w:rsidR="006967F8" w:rsidRPr="006967F8" w14:paraId="7C50F3A6"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D722769"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2F5EC92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31.000,00</w:t>
            </w:r>
          </w:p>
        </w:tc>
        <w:tc>
          <w:tcPr>
            <w:tcW w:w="1559" w:type="dxa"/>
            <w:tcBorders>
              <w:top w:val="nil"/>
              <w:left w:val="nil"/>
              <w:bottom w:val="nil"/>
              <w:right w:val="nil"/>
            </w:tcBorders>
            <w:shd w:val="clear" w:color="000000" w:fill="CCCCFF"/>
            <w:noWrap/>
            <w:vAlign w:val="bottom"/>
            <w:hideMark/>
          </w:tcPr>
          <w:p w14:paraId="6257A71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31.000,00</w:t>
            </w:r>
          </w:p>
        </w:tc>
        <w:tc>
          <w:tcPr>
            <w:tcW w:w="1559" w:type="dxa"/>
            <w:tcBorders>
              <w:top w:val="nil"/>
              <w:left w:val="nil"/>
              <w:bottom w:val="nil"/>
              <w:right w:val="nil"/>
            </w:tcBorders>
            <w:shd w:val="clear" w:color="000000" w:fill="CCCCFF"/>
            <w:noWrap/>
            <w:vAlign w:val="bottom"/>
            <w:hideMark/>
          </w:tcPr>
          <w:p w14:paraId="57B334D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4.645,00</w:t>
            </w:r>
          </w:p>
        </w:tc>
        <w:tc>
          <w:tcPr>
            <w:tcW w:w="993" w:type="dxa"/>
            <w:tcBorders>
              <w:top w:val="nil"/>
              <w:left w:val="nil"/>
              <w:bottom w:val="nil"/>
              <w:right w:val="nil"/>
            </w:tcBorders>
            <w:shd w:val="clear" w:color="000000" w:fill="CCCCFF"/>
            <w:noWrap/>
            <w:vAlign w:val="bottom"/>
            <w:hideMark/>
          </w:tcPr>
          <w:p w14:paraId="10FE06A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14,98%</w:t>
            </w:r>
          </w:p>
        </w:tc>
      </w:tr>
      <w:tr w:rsidR="006967F8" w:rsidRPr="006967F8" w14:paraId="5E64CE56" w14:textId="77777777" w:rsidTr="008A61B1">
        <w:trPr>
          <w:trHeight w:val="255"/>
        </w:trPr>
        <w:tc>
          <w:tcPr>
            <w:tcW w:w="1134" w:type="dxa"/>
            <w:tcBorders>
              <w:top w:val="nil"/>
              <w:left w:val="nil"/>
              <w:bottom w:val="nil"/>
              <w:right w:val="nil"/>
            </w:tcBorders>
            <w:noWrap/>
            <w:vAlign w:val="bottom"/>
            <w:hideMark/>
          </w:tcPr>
          <w:p w14:paraId="48A02B1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43A271C4"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49F34691"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11.000,00</w:t>
            </w:r>
          </w:p>
        </w:tc>
        <w:tc>
          <w:tcPr>
            <w:tcW w:w="1559" w:type="dxa"/>
            <w:tcBorders>
              <w:top w:val="nil"/>
              <w:left w:val="nil"/>
              <w:bottom w:val="nil"/>
              <w:right w:val="nil"/>
            </w:tcBorders>
            <w:noWrap/>
            <w:vAlign w:val="bottom"/>
            <w:hideMark/>
          </w:tcPr>
          <w:p w14:paraId="14E704C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11.000,00</w:t>
            </w:r>
          </w:p>
        </w:tc>
        <w:tc>
          <w:tcPr>
            <w:tcW w:w="1559" w:type="dxa"/>
            <w:tcBorders>
              <w:top w:val="nil"/>
              <w:left w:val="nil"/>
              <w:bottom w:val="nil"/>
              <w:right w:val="nil"/>
            </w:tcBorders>
            <w:noWrap/>
            <w:vAlign w:val="bottom"/>
            <w:hideMark/>
          </w:tcPr>
          <w:p w14:paraId="7DAE8FB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4.645,00</w:t>
            </w:r>
          </w:p>
        </w:tc>
        <w:tc>
          <w:tcPr>
            <w:tcW w:w="993" w:type="dxa"/>
            <w:tcBorders>
              <w:top w:val="nil"/>
              <w:left w:val="nil"/>
              <w:bottom w:val="nil"/>
              <w:right w:val="nil"/>
            </w:tcBorders>
            <w:noWrap/>
            <w:vAlign w:val="bottom"/>
            <w:hideMark/>
          </w:tcPr>
          <w:p w14:paraId="2CCD633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42,23%</w:t>
            </w:r>
          </w:p>
        </w:tc>
      </w:tr>
      <w:tr w:rsidR="006967F8" w:rsidRPr="006967F8" w14:paraId="5C500381" w14:textId="77777777" w:rsidTr="008A61B1">
        <w:trPr>
          <w:trHeight w:val="255"/>
        </w:trPr>
        <w:tc>
          <w:tcPr>
            <w:tcW w:w="1134" w:type="dxa"/>
            <w:tcBorders>
              <w:top w:val="nil"/>
              <w:left w:val="nil"/>
              <w:bottom w:val="nil"/>
              <w:right w:val="nil"/>
            </w:tcBorders>
            <w:noWrap/>
            <w:vAlign w:val="bottom"/>
            <w:hideMark/>
          </w:tcPr>
          <w:p w14:paraId="5C4C956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3237</w:t>
            </w:r>
          </w:p>
        </w:tc>
        <w:tc>
          <w:tcPr>
            <w:tcW w:w="4962" w:type="dxa"/>
            <w:tcBorders>
              <w:top w:val="nil"/>
              <w:left w:val="nil"/>
              <w:bottom w:val="nil"/>
              <w:right w:val="nil"/>
            </w:tcBorders>
            <w:noWrap/>
            <w:vAlign w:val="bottom"/>
            <w:hideMark/>
          </w:tcPr>
          <w:p w14:paraId="010C7A4C"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Intelektualne i osobne usluge</w:t>
            </w:r>
          </w:p>
        </w:tc>
        <w:tc>
          <w:tcPr>
            <w:tcW w:w="1559" w:type="dxa"/>
            <w:tcBorders>
              <w:top w:val="nil"/>
              <w:left w:val="nil"/>
              <w:bottom w:val="nil"/>
              <w:right w:val="nil"/>
            </w:tcBorders>
            <w:noWrap/>
            <w:vAlign w:val="bottom"/>
            <w:hideMark/>
          </w:tcPr>
          <w:p w14:paraId="56BC5BF9"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1321394D"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C9FF5BE"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4.645,00</w:t>
            </w:r>
          </w:p>
        </w:tc>
        <w:tc>
          <w:tcPr>
            <w:tcW w:w="993" w:type="dxa"/>
            <w:tcBorders>
              <w:top w:val="nil"/>
              <w:left w:val="nil"/>
              <w:bottom w:val="nil"/>
              <w:right w:val="nil"/>
            </w:tcBorders>
            <w:noWrap/>
            <w:vAlign w:val="bottom"/>
            <w:hideMark/>
          </w:tcPr>
          <w:p w14:paraId="1FA371C3"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1C437D98" w14:textId="77777777" w:rsidTr="008A61B1">
        <w:trPr>
          <w:trHeight w:val="495"/>
        </w:trPr>
        <w:tc>
          <w:tcPr>
            <w:tcW w:w="1134" w:type="dxa"/>
            <w:tcBorders>
              <w:top w:val="nil"/>
              <w:left w:val="nil"/>
              <w:bottom w:val="nil"/>
              <w:right w:val="nil"/>
            </w:tcBorders>
            <w:noWrap/>
            <w:vAlign w:val="bottom"/>
            <w:hideMark/>
          </w:tcPr>
          <w:p w14:paraId="04A3588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09875B9B"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28D1FDC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noWrap/>
            <w:vAlign w:val="bottom"/>
            <w:hideMark/>
          </w:tcPr>
          <w:p w14:paraId="1B00DB0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20.000,00</w:t>
            </w:r>
          </w:p>
        </w:tc>
        <w:tc>
          <w:tcPr>
            <w:tcW w:w="1559" w:type="dxa"/>
            <w:tcBorders>
              <w:top w:val="nil"/>
              <w:left w:val="nil"/>
              <w:bottom w:val="nil"/>
              <w:right w:val="nil"/>
            </w:tcBorders>
            <w:noWrap/>
            <w:vAlign w:val="bottom"/>
            <w:hideMark/>
          </w:tcPr>
          <w:p w14:paraId="0ADECC4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204F462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6CCD1886" w14:textId="77777777" w:rsidTr="008A61B1">
        <w:trPr>
          <w:trHeight w:val="255"/>
        </w:trPr>
        <w:tc>
          <w:tcPr>
            <w:tcW w:w="1134" w:type="dxa"/>
            <w:tcBorders>
              <w:top w:val="nil"/>
              <w:left w:val="nil"/>
              <w:bottom w:val="nil"/>
              <w:right w:val="nil"/>
            </w:tcBorders>
            <w:shd w:val="clear" w:color="000000" w:fill="FF9900"/>
            <w:noWrap/>
            <w:vAlign w:val="bottom"/>
            <w:hideMark/>
          </w:tcPr>
          <w:p w14:paraId="6435FCD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1607</w:t>
            </w:r>
          </w:p>
        </w:tc>
        <w:tc>
          <w:tcPr>
            <w:tcW w:w="4962" w:type="dxa"/>
            <w:tcBorders>
              <w:top w:val="nil"/>
              <w:left w:val="nil"/>
              <w:bottom w:val="nil"/>
              <w:right w:val="nil"/>
            </w:tcBorders>
            <w:shd w:val="clear" w:color="000000" w:fill="FF9900"/>
            <w:noWrap/>
            <w:vAlign w:val="bottom"/>
            <w:hideMark/>
          </w:tcPr>
          <w:p w14:paraId="0632C9E3"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Program: ZAŠTITA OKOLIŠA I EKOLOGIJA</w:t>
            </w:r>
          </w:p>
        </w:tc>
        <w:tc>
          <w:tcPr>
            <w:tcW w:w="1559" w:type="dxa"/>
            <w:tcBorders>
              <w:top w:val="nil"/>
              <w:left w:val="nil"/>
              <w:bottom w:val="nil"/>
              <w:right w:val="nil"/>
            </w:tcBorders>
            <w:shd w:val="clear" w:color="000000" w:fill="FF9900"/>
            <w:noWrap/>
            <w:vAlign w:val="bottom"/>
            <w:hideMark/>
          </w:tcPr>
          <w:p w14:paraId="6577B8E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55.000,00</w:t>
            </w:r>
          </w:p>
        </w:tc>
        <w:tc>
          <w:tcPr>
            <w:tcW w:w="1559" w:type="dxa"/>
            <w:tcBorders>
              <w:top w:val="nil"/>
              <w:left w:val="nil"/>
              <w:bottom w:val="nil"/>
              <w:right w:val="nil"/>
            </w:tcBorders>
            <w:shd w:val="clear" w:color="000000" w:fill="FF9900"/>
            <w:noWrap/>
            <w:vAlign w:val="bottom"/>
            <w:hideMark/>
          </w:tcPr>
          <w:p w14:paraId="3CFD0235"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55.000,00</w:t>
            </w:r>
          </w:p>
        </w:tc>
        <w:tc>
          <w:tcPr>
            <w:tcW w:w="1559" w:type="dxa"/>
            <w:tcBorders>
              <w:top w:val="nil"/>
              <w:left w:val="nil"/>
              <w:bottom w:val="nil"/>
              <w:right w:val="nil"/>
            </w:tcBorders>
            <w:shd w:val="clear" w:color="000000" w:fill="FF9900"/>
            <w:noWrap/>
            <w:vAlign w:val="bottom"/>
            <w:hideMark/>
          </w:tcPr>
          <w:p w14:paraId="514A7D0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23.237,50</w:t>
            </w:r>
          </w:p>
        </w:tc>
        <w:tc>
          <w:tcPr>
            <w:tcW w:w="993" w:type="dxa"/>
            <w:tcBorders>
              <w:top w:val="nil"/>
              <w:left w:val="nil"/>
              <w:bottom w:val="nil"/>
              <w:right w:val="nil"/>
            </w:tcBorders>
            <w:shd w:val="clear" w:color="000000" w:fill="FF9900"/>
            <w:noWrap/>
            <w:vAlign w:val="bottom"/>
            <w:hideMark/>
          </w:tcPr>
          <w:p w14:paraId="31AA495C"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42,25%</w:t>
            </w:r>
          </w:p>
        </w:tc>
      </w:tr>
      <w:tr w:rsidR="006967F8" w:rsidRPr="006967F8" w14:paraId="5FD55983" w14:textId="77777777" w:rsidTr="008A61B1">
        <w:trPr>
          <w:trHeight w:val="255"/>
        </w:trPr>
        <w:tc>
          <w:tcPr>
            <w:tcW w:w="1134" w:type="dxa"/>
            <w:tcBorders>
              <w:top w:val="nil"/>
              <w:left w:val="nil"/>
              <w:bottom w:val="nil"/>
              <w:right w:val="nil"/>
            </w:tcBorders>
            <w:shd w:val="clear" w:color="000000" w:fill="FFFF99"/>
            <w:noWrap/>
            <w:vAlign w:val="bottom"/>
            <w:hideMark/>
          </w:tcPr>
          <w:p w14:paraId="1332BF2C"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A100025</w:t>
            </w:r>
          </w:p>
        </w:tc>
        <w:tc>
          <w:tcPr>
            <w:tcW w:w="4962" w:type="dxa"/>
            <w:tcBorders>
              <w:top w:val="nil"/>
              <w:left w:val="nil"/>
              <w:bottom w:val="nil"/>
              <w:right w:val="nil"/>
            </w:tcBorders>
            <w:shd w:val="clear" w:color="000000" w:fill="FFFF99"/>
            <w:noWrap/>
            <w:vAlign w:val="bottom"/>
            <w:hideMark/>
          </w:tcPr>
          <w:p w14:paraId="1CDCC371"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Aktivnost: EKOLOŠKE AKTIVNOSTI</w:t>
            </w:r>
          </w:p>
        </w:tc>
        <w:tc>
          <w:tcPr>
            <w:tcW w:w="1559" w:type="dxa"/>
            <w:tcBorders>
              <w:top w:val="nil"/>
              <w:left w:val="nil"/>
              <w:bottom w:val="nil"/>
              <w:right w:val="nil"/>
            </w:tcBorders>
            <w:shd w:val="clear" w:color="000000" w:fill="FFFF99"/>
            <w:noWrap/>
            <w:vAlign w:val="bottom"/>
            <w:hideMark/>
          </w:tcPr>
          <w:p w14:paraId="5C429254"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45.000,00</w:t>
            </w:r>
          </w:p>
        </w:tc>
        <w:tc>
          <w:tcPr>
            <w:tcW w:w="1559" w:type="dxa"/>
            <w:tcBorders>
              <w:top w:val="nil"/>
              <w:left w:val="nil"/>
              <w:bottom w:val="nil"/>
              <w:right w:val="nil"/>
            </w:tcBorders>
            <w:shd w:val="clear" w:color="000000" w:fill="FFFF99"/>
            <w:noWrap/>
            <w:vAlign w:val="bottom"/>
            <w:hideMark/>
          </w:tcPr>
          <w:p w14:paraId="00F476E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45.000,00</w:t>
            </w:r>
          </w:p>
        </w:tc>
        <w:tc>
          <w:tcPr>
            <w:tcW w:w="1559" w:type="dxa"/>
            <w:tcBorders>
              <w:top w:val="nil"/>
              <w:left w:val="nil"/>
              <w:bottom w:val="nil"/>
              <w:right w:val="nil"/>
            </w:tcBorders>
            <w:shd w:val="clear" w:color="000000" w:fill="FFFF99"/>
            <w:noWrap/>
            <w:vAlign w:val="bottom"/>
            <w:hideMark/>
          </w:tcPr>
          <w:p w14:paraId="3D828CA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23.237,50</w:t>
            </w:r>
          </w:p>
        </w:tc>
        <w:tc>
          <w:tcPr>
            <w:tcW w:w="993" w:type="dxa"/>
            <w:tcBorders>
              <w:top w:val="nil"/>
              <w:left w:val="nil"/>
              <w:bottom w:val="nil"/>
              <w:right w:val="nil"/>
            </w:tcBorders>
            <w:shd w:val="clear" w:color="000000" w:fill="FFFF99"/>
            <w:noWrap/>
            <w:vAlign w:val="bottom"/>
            <w:hideMark/>
          </w:tcPr>
          <w:p w14:paraId="545BC65A"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51,64%</w:t>
            </w:r>
          </w:p>
        </w:tc>
      </w:tr>
      <w:tr w:rsidR="006967F8" w:rsidRPr="006967F8" w14:paraId="353534E0"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6D7E93C"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741B52D3"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45.000,00</w:t>
            </w:r>
          </w:p>
        </w:tc>
        <w:tc>
          <w:tcPr>
            <w:tcW w:w="1559" w:type="dxa"/>
            <w:tcBorders>
              <w:top w:val="nil"/>
              <w:left w:val="nil"/>
              <w:bottom w:val="nil"/>
              <w:right w:val="nil"/>
            </w:tcBorders>
            <w:shd w:val="clear" w:color="000000" w:fill="CCCCFF"/>
            <w:noWrap/>
            <w:vAlign w:val="bottom"/>
            <w:hideMark/>
          </w:tcPr>
          <w:p w14:paraId="5745530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45.000,00</w:t>
            </w:r>
          </w:p>
        </w:tc>
        <w:tc>
          <w:tcPr>
            <w:tcW w:w="1559" w:type="dxa"/>
            <w:tcBorders>
              <w:top w:val="nil"/>
              <w:left w:val="nil"/>
              <w:bottom w:val="nil"/>
              <w:right w:val="nil"/>
            </w:tcBorders>
            <w:shd w:val="clear" w:color="000000" w:fill="CCCCFF"/>
            <w:noWrap/>
            <w:vAlign w:val="bottom"/>
            <w:hideMark/>
          </w:tcPr>
          <w:p w14:paraId="198FF0DE"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23.237,50</w:t>
            </w:r>
          </w:p>
        </w:tc>
        <w:tc>
          <w:tcPr>
            <w:tcW w:w="993" w:type="dxa"/>
            <w:tcBorders>
              <w:top w:val="nil"/>
              <w:left w:val="nil"/>
              <w:bottom w:val="nil"/>
              <w:right w:val="nil"/>
            </w:tcBorders>
            <w:shd w:val="clear" w:color="000000" w:fill="CCCCFF"/>
            <w:noWrap/>
            <w:vAlign w:val="bottom"/>
            <w:hideMark/>
          </w:tcPr>
          <w:p w14:paraId="421831A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51,64%</w:t>
            </w:r>
          </w:p>
        </w:tc>
      </w:tr>
      <w:tr w:rsidR="006967F8" w:rsidRPr="006967F8" w14:paraId="27142144"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553A361D"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353ACDFA"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45.000,00</w:t>
            </w:r>
          </w:p>
        </w:tc>
        <w:tc>
          <w:tcPr>
            <w:tcW w:w="1559" w:type="dxa"/>
            <w:tcBorders>
              <w:top w:val="nil"/>
              <w:left w:val="nil"/>
              <w:bottom w:val="nil"/>
              <w:right w:val="nil"/>
            </w:tcBorders>
            <w:shd w:val="clear" w:color="000000" w:fill="CCCCFF"/>
            <w:noWrap/>
            <w:vAlign w:val="bottom"/>
            <w:hideMark/>
          </w:tcPr>
          <w:p w14:paraId="2BFCC8B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45.000,00</w:t>
            </w:r>
          </w:p>
        </w:tc>
        <w:tc>
          <w:tcPr>
            <w:tcW w:w="1559" w:type="dxa"/>
            <w:tcBorders>
              <w:top w:val="nil"/>
              <w:left w:val="nil"/>
              <w:bottom w:val="nil"/>
              <w:right w:val="nil"/>
            </w:tcBorders>
            <w:shd w:val="clear" w:color="000000" w:fill="CCCCFF"/>
            <w:noWrap/>
            <w:vAlign w:val="bottom"/>
            <w:hideMark/>
          </w:tcPr>
          <w:p w14:paraId="1BABCBC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23.237,50</w:t>
            </w:r>
          </w:p>
        </w:tc>
        <w:tc>
          <w:tcPr>
            <w:tcW w:w="993" w:type="dxa"/>
            <w:tcBorders>
              <w:top w:val="nil"/>
              <w:left w:val="nil"/>
              <w:bottom w:val="nil"/>
              <w:right w:val="nil"/>
            </w:tcBorders>
            <w:shd w:val="clear" w:color="000000" w:fill="CCCCFF"/>
            <w:noWrap/>
            <w:vAlign w:val="bottom"/>
            <w:hideMark/>
          </w:tcPr>
          <w:p w14:paraId="28B446FD"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51,64%</w:t>
            </w:r>
          </w:p>
        </w:tc>
      </w:tr>
      <w:tr w:rsidR="006967F8" w:rsidRPr="006967F8" w14:paraId="6879E712" w14:textId="77777777" w:rsidTr="008A61B1">
        <w:trPr>
          <w:trHeight w:val="255"/>
        </w:trPr>
        <w:tc>
          <w:tcPr>
            <w:tcW w:w="1134" w:type="dxa"/>
            <w:tcBorders>
              <w:top w:val="nil"/>
              <w:left w:val="nil"/>
              <w:bottom w:val="nil"/>
              <w:right w:val="nil"/>
            </w:tcBorders>
            <w:noWrap/>
            <w:vAlign w:val="bottom"/>
            <w:hideMark/>
          </w:tcPr>
          <w:p w14:paraId="4A4D00E0"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32</w:t>
            </w:r>
          </w:p>
        </w:tc>
        <w:tc>
          <w:tcPr>
            <w:tcW w:w="4962" w:type="dxa"/>
            <w:tcBorders>
              <w:top w:val="nil"/>
              <w:left w:val="nil"/>
              <w:bottom w:val="nil"/>
              <w:right w:val="nil"/>
            </w:tcBorders>
            <w:noWrap/>
            <w:vAlign w:val="bottom"/>
            <w:hideMark/>
          </w:tcPr>
          <w:p w14:paraId="07275CA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Materijalni rashodi</w:t>
            </w:r>
          </w:p>
        </w:tc>
        <w:tc>
          <w:tcPr>
            <w:tcW w:w="1559" w:type="dxa"/>
            <w:tcBorders>
              <w:top w:val="nil"/>
              <w:left w:val="nil"/>
              <w:bottom w:val="nil"/>
              <w:right w:val="nil"/>
            </w:tcBorders>
            <w:noWrap/>
            <w:vAlign w:val="bottom"/>
            <w:hideMark/>
          </w:tcPr>
          <w:p w14:paraId="0C1B47B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40.000,00</w:t>
            </w:r>
          </w:p>
        </w:tc>
        <w:tc>
          <w:tcPr>
            <w:tcW w:w="1559" w:type="dxa"/>
            <w:tcBorders>
              <w:top w:val="nil"/>
              <w:left w:val="nil"/>
              <w:bottom w:val="nil"/>
              <w:right w:val="nil"/>
            </w:tcBorders>
            <w:noWrap/>
            <w:vAlign w:val="bottom"/>
            <w:hideMark/>
          </w:tcPr>
          <w:p w14:paraId="0D9C1746"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40.000,00</w:t>
            </w:r>
          </w:p>
        </w:tc>
        <w:tc>
          <w:tcPr>
            <w:tcW w:w="1559" w:type="dxa"/>
            <w:tcBorders>
              <w:top w:val="nil"/>
              <w:left w:val="nil"/>
              <w:bottom w:val="nil"/>
              <w:right w:val="nil"/>
            </w:tcBorders>
            <w:noWrap/>
            <w:vAlign w:val="bottom"/>
            <w:hideMark/>
          </w:tcPr>
          <w:p w14:paraId="3835845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23.237,50</w:t>
            </w:r>
          </w:p>
        </w:tc>
        <w:tc>
          <w:tcPr>
            <w:tcW w:w="993" w:type="dxa"/>
            <w:tcBorders>
              <w:top w:val="nil"/>
              <w:left w:val="nil"/>
              <w:bottom w:val="nil"/>
              <w:right w:val="nil"/>
            </w:tcBorders>
            <w:noWrap/>
            <w:vAlign w:val="bottom"/>
            <w:hideMark/>
          </w:tcPr>
          <w:p w14:paraId="7822C20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58,09%</w:t>
            </w:r>
          </w:p>
        </w:tc>
      </w:tr>
      <w:tr w:rsidR="006967F8" w:rsidRPr="006967F8" w14:paraId="5E95B917" w14:textId="77777777" w:rsidTr="008A61B1">
        <w:trPr>
          <w:trHeight w:val="255"/>
        </w:trPr>
        <w:tc>
          <w:tcPr>
            <w:tcW w:w="1134" w:type="dxa"/>
            <w:tcBorders>
              <w:top w:val="nil"/>
              <w:left w:val="nil"/>
              <w:bottom w:val="nil"/>
              <w:right w:val="nil"/>
            </w:tcBorders>
            <w:noWrap/>
            <w:vAlign w:val="bottom"/>
            <w:hideMark/>
          </w:tcPr>
          <w:p w14:paraId="27A292A7"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3239</w:t>
            </w:r>
          </w:p>
        </w:tc>
        <w:tc>
          <w:tcPr>
            <w:tcW w:w="4962" w:type="dxa"/>
            <w:tcBorders>
              <w:top w:val="nil"/>
              <w:left w:val="nil"/>
              <w:bottom w:val="nil"/>
              <w:right w:val="nil"/>
            </w:tcBorders>
            <w:noWrap/>
            <w:vAlign w:val="bottom"/>
            <w:hideMark/>
          </w:tcPr>
          <w:p w14:paraId="22E0E6D6" w14:textId="77777777" w:rsidR="006967F8" w:rsidRPr="006967F8" w:rsidRDefault="006967F8" w:rsidP="006967F8">
            <w:pPr>
              <w:spacing w:after="0" w:line="240" w:lineRule="auto"/>
              <w:rPr>
                <w:rFonts w:ascii="Arial" w:eastAsia="Times New Roman" w:hAnsi="Arial" w:cs="Arial"/>
                <w:sz w:val="20"/>
                <w:szCs w:val="20"/>
                <w:lang w:eastAsia="hr-HR"/>
              </w:rPr>
            </w:pPr>
            <w:r w:rsidRPr="006967F8">
              <w:rPr>
                <w:rFonts w:ascii="Arial" w:eastAsia="Times New Roman" w:hAnsi="Arial" w:cs="Arial"/>
                <w:sz w:val="20"/>
                <w:szCs w:val="20"/>
                <w:lang w:eastAsia="hr-HR"/>
              </w:rPr>
              <w:t>Ostale usluge</w:t>
            </w:r>
          </w:p>
        </w:tc>
        <w:tc>
          <w:tcPr>
            <w:tcW w:w="1559" w:type="dxa"/>
            <w:tcBorders>
              <w:top w:val="nil"/>
              <w:left w:val="nil"/>
              <w:bottom w:val="nil"/>
              <w:right w:val="nil"/>
            </w:tcBorders>
            <w:noWrap/>
            <w:vAlign w:val="bottom"/>
            <w:hideMark/>
          </w:tcPr>
          <w:p w14:paraId="2904753D" w14:textId="77777777" w:rsidR="006967F8" w:rsidRPr="006967F8" w:rsidRDefault="006967F8" w:rsidP="006967F8">
            <w:pPr>
              <w:spacing w:after="0" w:line="240" w:lineRule="auto"/>
              <w:rPr>
                <w:rFonts w:ascii="Arial" w:eastAsia="Times New Roman" w:hAnsi="Arial" w:cs="Arial"/>
                <w:sz w:val="20"/>
                <w:szCs w:val="20"/>
                <w:lang w:eastAsia="hr-HR"/>
              </w:rPr>
            </w:pPr>
          </w:p>
        </w:tc>
        <w:tc>
          <w:tcPr>
            <w:tcW w:w="1559" w:type="dxa"/>
            <w:tcBorders>
              <w:top w:val="nil"/>
              <w:left w:val="nil"/>
              <w:bottom w:val="nil"/>
              <w:right w:val="nil"/>
            </w:tcBorders>
            <w:noWrap/>
            <w:vAlign w:val="bottom"/>
            <w:hideMark/>
          </w:tcPr>
          <w:p w14:paraId="2B12624E" w14:textId="77777777" w:rsidR="006967F8" w:rsidRPr="006967F8" w:rsidRDefault="006967F8" w:rsidP="006967F8">
            <w:pPr>
              <w:spacing w:after="0" w:line="240" w:lineRule="auto"/>
              <w:jc w:val="right"/>
              <w:rPr>
                <w:rFonts w:ascii="Times New Roman" w:eastAsia="Times New Roman" w:hAnsi="Times New Roman" w:cs="Times New Roman"/>
                <w:sz w:val="20"/>
                <w:szCs w:val="20"/>
                <w:lang w:eastAsia="hr-HR"/>
              </w:rPr>
            </w:pPr>
          </w:p>
        </w:tc>
        <w:tc>
          <w:tcPr>
            <w:tcW w:w="1559" w:type="dxa"/>
            <w:tcBorders>
              <w:top w:val="nil"/>
              <w:left w:val="nil"/>
              <w:bottom w:val="nil"/>
              <w:right w:val="nil"/>
            </w:tcBorders>
            <w:noWrap/>
            <w:vAlign w:val="bottom"/>
            <w:hideMark/>
          </w:tcPr>
          <w:p w14:paraId="7B520633" w14:textId="77777777" w:rsidR="006967F8" w:rsidRPr="006967F8" w:rsidRDefault="006967F8" w:rsidP="006967F8">
            <w:pPr>
              <w:spacing w:after="0" w:line="240" w:lineRule="auto"/>
              <w:jc w:val="right"/>
              <w:rPr>
                <w:rFonts w:ascii="Arial" w:eastAsia="Times New Roman" w:hAnsi="Arial" w:cs="Arial"/>
                <w:sz w:val="20"/>
                <w:szCs w:val="20"/>
                <w:lang w:eastAsia="hr-HR"/>
              </w:rPr>
            </w:pPr>
            <w:r w:rsidRPr="006967F8">
              <w:rPr>
                <w:rFonts w:ascii="Arial" w:eastAsia="Times New Roman" w:hAnsi="Arial" w:cs="Arial"/>
                <w:sz w:val="20"/>
                <w:szCs w:val="20"/>
                <w:lang w:eastAsia="hr-HR"/>
              </w:rPr>
              <w:t>23.237,50</w:t>
            </w:r>
          </w:p>
        </w:tc>
        <w:tc>
          <w:tcPr>
            <w:tcW w:w="993" w:type="dxa"/>
            <w:tcBorders>
              <w:top w:val="nil"/>
              <w:left w:val="nil"/>
              <w:bottom w:val="nil"/>
              <w:right w:val="nil"/>
            </w:tcBorders>
            <w:noWrap/>
            <w:vAlign w:val="bottom"/>
            <w:hideMark/>
          </w:tcPr>
          <w:p w14:paraId="14C4D7C1" w14:textId="77777777" w:rsidR="006967F8" w:rsidRPr="006967F8" w:rsidRDefault="006967F8" w:rsidP="006967F8">
            <w:pPr>
              <w:spacing w:after="0" w:line="240" w:lineRule="auto"/>
              <w:jc w:val="right"/>
              <w:rPr>
                <w:rFonts w:ascii="Arial" w:eastAsia="Times New Roman" w:hAnsi="Arial" w:cs="Arial"/>
                <w:sz w:val="20"/>
                <w:szCs w:val="20"/>
                <w:lang w:eastAsia="hr-HR"/>
              </w:rPr>
            </w:pPr>
          </w:p>
        </w:tc>
      </w:tr>
      <w:tr w:rsidR="006967F8" w:rsidRPr="006967F8" w14:paraId="6E139254" w14:textId="77777777" w:rsidTr="008A61B1">
        <w:trPr>
          <w:trHeight w:val="495"/>
        </w:trPr>
        <w:tc>
          <w:tcPr>
            <w:tcW w:w="1134" w:type="dxa"/>
            <w:tcBorders>
              <w:top w:val="nil"/>
              <w:left w:val="nil"/>
              <w:bottom w:val="nil"/>
              <w:right w:val="nil"/>
            </w:tcBorders>
            <w:noWrap/>
            <w:vAlign w:val="bottom"/>
            <w:hideMark/>
          </w:tcPr>
          <w:p w14:paraId="30EA871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36</w:t>
            </w:r>
          </w:p>
        </w:tc>
        <w:tc>
          <w:tcPr>
            <w:tcW w:w="4962" w:type="dxa"/>
            <w:tcBorders>
              <w:top w:val="nil"/>
              <w:left w:val="nil"/>
              <w:bottom w:val="nil"/>
              <w:right w:val="nil"/>
            </w:tcBorders>
            <w:vAlign w:val="bottom"/>
            <w:hideMark/>
          </w:tcPr>
          <w:p w14:paraId="304E429F"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Pomoći dane u inozemstvo i unutar općeg proračuna</w:t>
            </w:r>
          </w:p>
        </w:tc>
        <w:tc>
          <w:tcPr>
            <w:tcW w:w="1559" w:type="dxa"/>
            <w:tcBorders>
              <w:top w:val="nil"/>
              <w:left w:val="nil"/>
              <w:bottom w:val="nil"/>
              <w:right w:val="nil"/>
            </w:tcBorders>
            <w:noWrap/>
            <w:vAlign w:val="bottom"/>
            <w:hideMark/>
          </w:tcPr>
          <w:p w14:paraId="455E947E"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5.000,00</w:t>
            </w:r>
          </w:p>
        </w:tc>
        <w:tc>
          <w:tcPr>
            <w:tcW w:w="1559" w:type="dxa"/>
            <w:tcBorders>
              <w:top w:val="nil"/>
              <w:left w:val="nil"/>
              <w:bottom w:val="nil"/>
              <w:right w:val="nil"/>
            </w:tcBorders>
            <w:noWrap/>
            <w:vAlign w:val="bottom"/>
            <w:hideMark/>
          </w:tcPr>
          <w:p w14:paraId="5873919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5.000,00</w:t>
            </w:r>
          </w:p>
        </w:tc>
        <w:tc>
          <w:tcPr>
            <w:tcW w:w="1559" w:type="dxa"/>
            <w:tcBorders>
              <w:top w:val="nil"/>
              <w:left w:val="nil"/>
              <w:bottom w:val="nil"/>
              <w:right w:val="nil"/>
            </w:tcBorders>
            <w:noWrap/>
            <w:vAlign w:val="bottom"/>
            <w:hideMark/>
          </w:tcPr>
          <w:p w14:paraId="64A55CAB"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36E0EDE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32141726" w14:textId="77777777" w:rsidTr="008A61B1">
        <w:trPr>
          <w:trHeight w:val="570"/>
        </w:trPr>
        <w:tc>
          <w:tcPr>
            <w:tcW w:w="1134" w:type="dxa"/>
            <w:tcBorders>
              <w:top w:val="nil"/>
              <w:left w:val="nil"/>
              <w:bottom w:val="nil"/>
              <w:right w:val="nil"/>
            </w:tcBorders>
            <w:shd w:val="clear" w:color="000000" w:fill="FFFF99"/>
            <w:noWrap/>
            <w:vAlign w:val="bottom"/>
            <w:hideMark/>
          </w:tcPr>
          <w:p w14:paraId="7FE1916E"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K100059</w:t>
            </w:r>
          </w:p>
        </w:tc>
        <w:tc>
          <w:tcPr>
            <w:tcW w:w="4962" w:type="dxa"/>
            <w:tcBorders>
              <w:top w:val="nil"/>
              <w:left w:val="nil"/>
              <w:bottom w:val="nil"/>
              <w:right w:val="nil"/>
            </w:tcBorders>
            <w:shd w:val="clear" w:color="000000" w:fill="FFFF99"/>
            <w:vAlign w:val="bottom"/>
            <w:hideMark/>
          </w:tcPr>
          <w:p w14:paraId="0B951EFA"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 xml:space="preserve">Kapitalni projekt: IZRADA DOKUMENTACIJE ZA ZAŠTITU OKOLIŠA </w:t>
            </w:r>
          </w:p>
        </w:tc>
        <w:tc>
          <w:tcPr>
            <w:tcW w:w="1559" w:type="dxa"/>
            <w:tcBorders>
              <w:top w:val="nil"/>
              <w:left w:val="nil"/>
              <w:bottom w:val="nil"/>
              <w:right w:val="nil"/>
            </w:tcBorders>
            <w:shd w:val="clear" w:color="000000" w:fill="FFFF99"/>
            <w:noWrap/>
            <w:vAlign w:val="bottom"/>
            <w:hideMark/>
          </w:tcPr>
          <w:p w14:paraId="72D2139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shd w:val="clear" w:color="000000" w:fill="FFFF99"/>
            <w:noWrap/>
            <w:vAlign w:val="bottom"/>
            <w:hideMark/>
          </w:tcPr>
          <w:p w14:paraId="00467F9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shd w:val="clear" w:color="000000" w:fill="FFFF99"/>
            <w:noWrap/>
            <w:vAlign w:val="bottom"/>
            <w:hideMark/>
          </w:tcPr>
          <w:p w14:paraId="2B99A7E3"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shd w:val="clear" w:color="000000" w:fill="FFFF99"/>
            <w:noWrap/>
            <w:vAlign w:val="bottom"/>
            <w:hideMark/>
          </w:tcPr>
          <w:p w14:paraId="40CA75C0"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r w:rsidR="006967F8" w:rsidRPr="006967F8" w14:paraId="1A391FBF"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47C8E2D2"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 OPĆI PRIHODI I PRIMICI</w:t>
            </w:r>
          </w:p>
        </w:tc>
        <w:tc>
          <w:tcPr>
            <w:tcW w:w="1559" w:type="dxa"/>
            <w:tcBorders>
              <w:top w:val="nil"/>
              <w:left w:val="nil"/>
              <w:bottom w:val="nil"/>
              <w:right w:val="nil"/>
            </w:tcBorders>
            <w:shd w:val="clear" w:color="000000" w:fill="CCCCFF"/>
            <w:noWrap/>
            <w:vAlign w:val="bottom"/>
            <w:hideMark/>
          </w:tcPr>
          <w:p w14:paraId="00B28037"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10.000,00</w:t>
            </w:r>
          </w:p>
        </w:tc>
        <w:tc>
          <w:tcPr>
            <w:tcW w:w="1559" w:type="dxa"/>
            <w:tcBorders>
              <w:top w:val="nil"/>
              <w:left w:val="nil"/>
              <w:bottom w:val="nil"/>
              <w:right w:val="nil"/>
            </w:tcBorders>
            <w:shd w:val="clear" w:color="000000" w:fill="CCCCFF"/>
            <w:noWrap/>
            <w:vAlign w:val="bottom"/>
            <w:hideMark/>
          </w:tcPr>
          <w:p w14:paraId="5AED5D00"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10.000,00</w:t>
            </w:r>
          </w:p>
        </w:tc>
        <w:tc>
          <w:tcPr>
            <w:tcW w:w="1559" w:type="dxa"/>
            <w:tcBorders>
              <w:top w:val="nil"/>
              <w:left w:val="nil"/>
              <w:bottom w:val="nil"/>
              <w:right w:val="nil"/>
            </w:tcBorders>
            <w:shd w:val="clear" w:color="000000" w:fill="CCCCFF"/>
            <w:noWrap/>
            <w:vAlign w:val="bottom"/>
            <w:hideMark/>
          </w:tcPr>
          <w:p w14:paraId="5F15AA7B"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5D3A220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34E44A77" w14:textId="77777777" w:rsidTr="008A61B1">
        <w:trPr>
          <w:trHeight w:val="255"/>
        </w:trPr>
        <w:tc>
          <w:tcPr>
            <w:tcW w:w="6096" w:type="dxa"/>
            <w:gridSpan w:val="2"/>
            <w:tcBorders>
              <w:top w:val="nil"/>
              <w:left w:val="nil"/>
              <w:bottom w:val="nil"/>
              <w:right w:val="nil"/>
            </w:tcBorders>
            <w:shd w:val="clear" w:color="000000" w:fill="CCCCFF"/>
            <w:noWrap/>
            <w:vAlign w:val="bottom"/>
            <w:hideMark/>
          </w:tcPr>
          <w:p w14:paraId="1C839FC1" w14:textId="77777777" w:rsidR="006967F8" w:rsidRPr="006967F8" w:rsidRDefault="006967F8" w:rsidP="006967F8">
            <w:pPr>
              <w:spacing w:after="0" w:line="240" w:lineRule="auto"/>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Izvor 1.1. Opći prihodi i primici</w:t>
            </w:r>
          </w:p>
        </w:tc>
        <w:tc>
          <w:tcPr>
            <w:tcW w:w="1559" w:type="dxa"/>
            <w:tcBorders>
              <w:top w:val="nil"/>
              <w:left w:val="nil"/>
              <w:bottom w:val="nil"/>
              <w:right w:val="nil"/>
            </w:tcBorders>
            <w:shd w:val="clear" w:color="000000" w:fill="CCCCFF"/>
            <w:noWrap/>
            <w:vAlign w:val="bottom"/>
            <w:hideMark/>
          </w:tcPr>
          <w:p w14:paraId="00947FE4"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10.000,00</w:t>
            </w:r>
          </w:p>
        </w:tc>
        <w:tc>
          <w:tcPr>
            <w:tcW w:w="1559" w:type="dxa"/>
            <w:tcBorders>
              <w:top w:val="nil"/>
              <w:left w:val="nil"/>
              <w:bottom w:val="nil"/>
              <w:right w:val="nil"/>
            </w:tcBorders>
            <w:shd w:val="clear" w:color="000000" w:fill="CCCCFF"/>
            <w:noWrap/>
            <w:vAlign w:val="bottom"/>
            <w:hideMark/>
          </w:tcPr>
          <w:p w14:paraId="5BFAF9F6"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10.000,00</w:t>
            </w:r>
          </w:p>
        </w:tc>
        <w:tc>
          <w:tcPr>
            <w:tcW w:w="1559" w:type="dxa"/>
            <w:tcBorders>
              <w:top w:val="nil"/>
              <w:left w:val="nil"/>
              <w:bottom w:val="nil"/>
              <w:right w:val="nil"/>
            </w:tcBorders>
            <w:shd w:val="clear" w:color="000000" w:fill="CCCCFF"/>
            <w:noWrap/>
            <w:vAlign w:val="bottom"/>
            <w:hideMark/>
          </w:tcPr>
          <w:p w14:paraId="46542BAF"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c>
          <w:tcPr>
            <w:tcW w:w="993" w:type="dxa"/>
            <w:tcBorders>
              <w:top w:val="nil"/>
              <w:left w:val="nil"/>
              <w:bottom w:val="nil"/>
              <w:right w:val="nil"/>
            </w:tcBorders>
            <w:shd w:val="clear" w:color="000000" w:fill="CCCCFF"/>
            <w:noWrap/>
            <w:vAlign w:val="bottom"/>
            <w:hideMark/>
          </w:tcPr>
          <w:p w14:paraId="261CAB4C" w14:textId="77777777" w:rsidR="006967F8" w:rsidRPr="006967F8" w:rsidRDefault="006967F8" w:rsidP="006967F8">
            <w:pPr>
              <w:spacing w:after="0" w:line="240" w:lineRule="auto"/>
              <w:jc w:val="right"/>
              <w:rPr>
                <w:rFonts w:ascii="Arial" w:eastAsia="Times New Roman" w:hAnsi="Arial" w:cs="Arial"/>
                <w:b/>
                <w:bCs/>
                <w:color w:val="333333"/>
                <w:sz w:val="20"/>
                <w:szCs w:val="20"/>
                <w:lang w:eastAsia="hr-HR"/>
              </w:rPr>
            </w:pPr>
            <w:r w:rsidRPr="006967F8">
              <w:rPr>
                <w:rFonts w:ascii="Arial" w:eastAsia="Times New Roman" w:hAnsi="Arial" w:cs="Arial"/>
                <w:b/>
                <w:bCs/>
                <w:color w:val="333333"/>
                <w:sz w:val="20"/>
                <w:szCs w:val="20"/>
                <w:lang w:eastAsia="hr-HR"/>
              </w:rPr>
              <w:t>0,00%</w:t>
            </w:r>
          </w:p>
        </w:tc>
      </w:tr>
      <w:tr w:rsidR="006967F8" w:rsidRPr="006967F8" w14:paraId="6F01224B" w14:textId="77777777" w:rsidTr="008A61B1">
        <w:trPr>
          <w:trHeight w:val="525"/>
        </w:trPr>
        <w:tc>
          <w:tcPr>
            <w:tcW w:w="1134" w:type="dxa"/>
            <w:tcBorders>
              <w:top w:val="nil"/>
              <w:left w:val="nil"/>
              <w:bottom w:val="nil"/>
              <w:right w:val="nil"/>
            </w:tcBorders>
            <w:noWrap/>
            <w:vAlign w:val="bottom"/>
            <w:hideMark/>
          </w:tcPr>
          <w:p w14:paraId="3509987D"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42</w:t>
            </w:r>
          </w:p>
        </w:tc>
        <w:tc>
          <w:tcPr>
            <w:tcW w:w="4962" w:type="dxa"/>
            <w:tcBorders>
              <w:top w:val="nil"/>
              <w:left w:val="nil"/>
              <w:bottom w:val="nil"/>
              <w:right w:val="nil"/>
            </w:tcBorders>
            <w:vAlign w:val="bottom"/>
            <w:hideMark/>
          </w:tcPr>
          <w:p w14:paraId="4C2BC468" w14:textId="77777777" w:rsidR="006967F8" w:rsidRPr="006967F8" w:rsidRDefault="006967F8" w:rsidP="006967F8">
            <w:pPr>
              <w:spacing w:after="0" w:line="240" w:lineRule="auto"/>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Rashodi za nabavu proizvedene dugotrajne imovine</w:t>
            </w:r>
          </w:p>
        </w:tc>
        <w:tc>
          <w:tcPr>
            <w:tcW w:w="1559" w:type="dxa"/>
            <w:tcBorders>
              <w:top w:val="nil"/>
              <w:left w:val="nil"/>
              <w:bottom w:val="nil"/>
              <w:right w:val="nil"/>
            </w:tcBorders>
            <w:noWrap/>
            <w:vAlign w:val="bottom"/>
            <w:hideMark/>
          </w:tcPr>
          <w:p w14:paraId="461AB12F"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noWrap/>
            <w:vAlign w:val="bottom"/>
            <w:hideMark/>
          </w:tcPr>
          <w:p w14:paraId="090C2507"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10.000,00</w:t>
            </w:r>
          </w:p>
        </w:tc>
        <w:tc>
          <w:tcPr>
            <w:tcW w:w="1559" w:type="dxa"/>
            <w:tcBorders>
              <w:top w:val="nil"/>
              <w:left w:val="nil"/>
              <w:bottom w:val="nil"/>
              <w:right w:val="nil"/>
            </w:tcBorders>
            <w:noWrap/>
            <w:vAlign w:val="bottom"/>
            <w:hideMark/>
          </w:tcPr>
          <w:p w14:paraId="31F545ED"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c>
          <w:tcPr>
            <w:tcW w:w="993" w:type="dxa"/>
            <w:tcBorders>
              <w:top w:val="nil"/>
              <w:left w:val="nil"/>
              <w:bottom w:val="nil"/>
              <w:right w:val="nil"/>
            </w:tcBorders>
            <w:noWrap/>
            <w:vAlign w:val="bottom"/>
            <w:hideMark/>
          </w:tcPr>
          <w:p w14:paraId="29885A68" w14:textId="77777777" w:rsidR="006967F8" w:rsidRPr="006967F8" w:rsidRDefault="006967F8" w:rsidP="006967F8">
            <w:pPr>
              <w:spacing w:after="0" w:line="240" w:lineRule="auto"/>
              <w:jc w:val="right"/>
              <w:rPr>
                <w:rFonts w:ascii="Arial" w:eastAsia="Times New Roman" w:hAnsi="Arial" w:cs="Arial"/>
                <w:b/>
                <w:bCs/>
                <w:sz w:val="20"/>
                <w:szCs w:val="20"/>
                <w:lang w:eastAsia="hr-HR"/>
              </w:rPr>
            </w:pPr>
            <w:r w:rsidRPr="006967F8">
              <w:rPr>
                <w:rFonts w:ascii="Arial" w:eastAsia="Times New Roman" w:hAnsi="Arial" w:cs="Arial"/>
                <w:b/>
                <w:bCs/>
                <w:sz w:val="20"/>
                <w:szCs w:val="20"/>
                <w:lang w:eastAsia="hr-HR"/>
              </w:rPr>
              <w:t>0,00%</w:t>
            </w:r>
          </w:p>
        </w:tc>
      </w:tr>
    </w:tbl>
    <w:p w14:paraId="6620FDE1" w14:textId="77777777" w:rsidR="006161CD" w:rsidRDefault="006161CD" w:rsidP="00B055EC"/>
    <w:p w14:paraId="18109DB1" w14:textId="77777777" w:rsidR="00656292" w:rsidRPr="00656292" w:rsidRDefault="00656292" w:rsidP="00656292">
      <w:pPr>
        <w:jc w:val="center"/>
        <w:rPr>
          <w:b/>
          <w:sz w:val="24"/>
          <w:szCs w:val="24"/>
        </w:rPr>
      </w:pPr>
      <w:r w:rsidRPr="00656292">
        <w:rPr>
          <w:b/>
          <w:sz w:val="24"/>
          <w:szCs w:val="24"/>
        </w:rPr>
        <w:t>Članak 4.</w:t>
      </w:r>
    </w:p>
    <w:p w14:paraId="64E274D5" w14:textId="2DF6A8C7" w:rsidR="00160A0C" w:rsidRPr="00656292" w:rsidRDefault="00656292" w:rsidP="00656292">
      <w:pPr>
        <w:jc w:val="both"/>
        <w:rPr>
          <w:sz w:val="24"/>
          <w:szCs w:val="24"/>
        </w:rPr>
      </w:pPr>
      <w:r w:rsidRPr="00656292">
        <w:rPr>
          <w:sz w:val="24"/>
          <w:szCs w:val="24"/>
        </w:rPr>
        <w:t xml:space="preserve">Izvještaj o zaduživanju na domaćem i stranom tržištu novca i kapitala, Izvještaj o danim jamstvima i plaćanjima po protestiranim jamstvima, Izvještaj o korištenju proračunske zalihe te obrazloženje Izvještaja o izvršenju proračuna, sastavni su dio godišnjeg Izvještaja o izvršenju </w:t>
      </w:r>
      <w:r w:rsidR="00AA4863">
        <w:rPr>
          <w:sz w:val="24"/>
          <w:szCs w:val="24"/>
        </w:rPr>
        <w:t>P</w:t>
      </w:r>
      <w:r w:rsidRPr="00656292">
        <w:rPr>
          <w:sz w:val="24"/>
          <w:szCs w:val="24"/>
        </w:rPr>
        <w:t>roračuna Grada Trogira za 202</w:t>
      </w:r>
      <w:r w:rsidR="00CF7925">
        <w:rPr>
          <w:sz w:val="24"/>
          <w:szCs w:val="24"/>
        </w:rPr>
        <w:t>5</w:t>
      </w:r>
      <w:r w:rsidRPr="00656292">
        <w:rPr>
          <w:sz w:val="24"/>
          <w:szCs w:val="24"/>
        </w:rPr>
        <w:t>.godinu.</w:t>
      </w:r>
    </w:p>
    <w:p w14:paraId="1B104D36" w14:textId="77777777" w:rsidR="00206AAE" w:rsidRPr="00656292" w:rsidRDefault="004F51D6" w:rsidP="004F51D6">
      <w:pPr>
        <w:jc w:val="center"/>
        <w:rPr>
          <w:rFonts w:cstheme="minorHAnsi"/>
          <w:b/>
          <w:sz w:val="24"/>
          <w:szCs w:val="24"/>
        </w:rPr>
      </w:pPr>
      <w:r w:rsidRPr="00656292">
        <w:rPr>
          <w:rFonts w:cstheme="minorHAnsi"/>
          <w:b/>
          <w:sz w:val="24"/>
          <w:szCs w:val="24"/>
        </w:rPr>
        <w:t>Članak 5.</w:t>
      </w:r>
    </w:p>
    <w:p w14:paraId="5B6ED6E6" w14:textId="2841AB16" w:rsidR="00B95C10" w:rsidRDefault="007242BD" w:rsidP="00E115A1">
      <w:pPr>
        <w:jc w:val="both"/>
        <w:rPr>
          <w:rFonts w:cstheme="minorHAnsi"/>
          <w:sz w:val="24"/>
          <w:szCs w:val="24"/>
        </w:rPr>
      </w:pPr>
      <w:r>
        <w:rPr>
          <w:rFonts w:cstheme="minorHAnsi"/>
          <w:sz w:val="24"/>
          <w:szCs w:val="24"/>
        </w:rPr>
        <w:t>G</w:t>
      </w:r>
      <w:r w:rsidR="00BB608A" w:rsidRPr="00656292">
        <w:rPr>
          <w:rFonts w:cstheme="minorHAnsi"/>
          <w:sz w:val="24"/>
          <w:szCs w:val="24"/>
        </w:rPr>
        <w:t>odišnji izvještaj o izvršenju</w:t>
      </w:r>
      <w:r w:rsidR="00187BDF" w:rsidRPr="00656292">
        <w:rPr>
          <w:rFonts w:cstheme="minorHAnsi"/>
          <w:sz w:val="24"/>
          <w:szCs w:val="24"/>
        </w:rPr>
        <w:t xml:space="preserve"> proračuna Grada Trogira za 202</w:t>
      </w:r>
      <w:r w:rsidR="00CF7925">
        <w:rPr>
          <w:rFonts w:cstheme="minorHAnsi"/>
          <w:sz w:val="24"/>
          <w:szCs w:val="24"/>
        </w:rPr>
        <w:t>5</w:t>
      </w:r>
      <w:r w:rsidR="00BB608A" w:rsidRPr="00656292">
        <w:rPr>
          <w:rFonts w:cstheme="minorHAnsi"/>
          <w:sz w:val="24"/>
          <w:szCs w:val="24"/>
        </w:rPr>
        <w:t xml:space="preserve">.godinu objavit će se na internetskim stranicama Grada Trogira. Opći i posebni dio </w:t>
      </w:r>
      <w:r w:rsidR="00187BDF" w:rsidRPr="00656292">
        <w:rPr>
          <w:rFonts w:cstheme="minorHAnsi"/>
          <w:sz w:val="24"/>
          <w:szCs w:val="24"/>
        </w:rPr>
        <w:t>g</w:t>
      </w:r>
      <w:r w:rsidR="00BB608A" w:rsidRPr="00656292">
        <w:rPr>
          <w:rFonts w:cstheme="minorHAnsi"/>
          <w:sz w:val="24"/>
          <w:szCs w:val="24"/>
        </w:rPr>
        <w:t>odišnjeg izvještaja o izvršenju</w:t>
      </w:r>
      <w:r w:rsidR="00187BDF" w:rsidRPr="00656292">
        <w:rPr>
          <w:rFonts w:cstheme="minorHAnsi"/>
          <w:sz w:val="24"/>
          <w:szCs w:val="24"/>
        </w:rPr>
        <w:t xml:space="preserve"> Proračuna Grada Trogira za 202</w:t>
      </w:r>
      <w:r w:rsidR="00CF7925">
        <w:rPr>
          <w:rFonts w:cstheme="minorHAnsi"/>
          <w:sz w:val="24"/>
          <w:szCs w:val="24"/>
        </w:rPr>
        <w:t>5</w:t>
      </w:r>
      <w:r w:rsidR="00BB608A" w:rsidRPr="00656292">
        <w:rPr>
          <w:rFonts w:cstheme="minorHAnsi"/>
          <w:sz w:val="24"/>
          <w:szCs w:val="24"/>
        </w:rPr>
        <w:t xml:space="preserve">.godinu objavit će se u </w:t>
      </w:r>
      <w:r w:rsidR="004F51D6" w:rsidRPr="00656292">
        <w:rPr>
          <w:rFonts w:cstheme="minorHAnsi"/>
          <w:sz w:val="24"/>
          <w:szCs w:val="24"/>
        </w:rPr>
        <w:t>Sl</w:t>
      </w:r>
      <w:r w:rsidR="00E115A1" w:rsidRPr="00656292">
        <w:rPr>
          <w:rFonts w:cstheme="minorHAnsi"/>
          <w:sz w:val="24"/>
          <w:szCs w:val="24"/>
        </w:rPr>
        <w:t>užbenom glasniku Grada Trogira.</w:t>
      </w:r>
    </w:p>
    <w:p w14:paraId="60B559FC" w14:textId="77777777" w:rsidR="00160A0C" w:rsidRDefault="00160A0C" w:rsidP="00B95C10">
      <w:pPr>
        <w:spacing w:after="0"/>
        <w:rPr>
          <w:rFonts w:ascii="Times New Roman" w:hAnsi="Times New Roman" w:cs="Times New Roman"/>
        </w:rPr>
      </w:pPr>
    </w:p>
    <w:p w14:paraId="242472F7" w14:textId="53BEFB23" w:rsidR="00E115A1" w:rsidRDefault="00E115A1" w:rsidP="00B95C10">
      <w:pPr>
        <w:spacing w:after="0"/>
        <w:rPr>
          <w:rFonts w:ascii="Times New Roman" w:hAnsi="Times New Roman" w:cs="Times New Roman"/>
        </w:rPr>
      </w:pPr>
      <w:r>
        <w:rPr>
          <w:rFonts w:ascii="Times New Roman" w:hAnsi="Times New Roman" w:cs="Times New Roman"/>
        </w:rPr>
        <w:t>KLASA:</w:t>
      </w:r>
      <w:r w:rsidR="00160A0C">
        <w:rPr>
          <w:rFonts w:ascii="Times New Roman" w:hAnsi="Times New Roman" w:cs="Times New Roman"/>
        </w:rPr>
        <w:t>400-01/26-01/1</w:t>
      </w:r>
    </w:p>
    <w:p w14:paraId="478B37D0" w14:textId="790FC8EB" w:rsidR="00160A0C" w:rsidRDefault="00E115A1" w:rsidP="00B95C10">
      <w:pPr>
        <w:spacing w:after="0"/>
        <w:rPr>
          <w:rFonts w:ascii="Times New Roman" w:hAnsi="Times New Roman" w:cs="Times New Roman"/>
        </w:rPr>
      </w:pPr>
      <w:r>
        <w:rPr>
          <w:rFonts w:ascii="Times New Roman" w:hAnsi="Times New Roman" w:cs="Times New Roman"/>
        </w:rPr>
        <w:t>URBROJ:</w:t>
      </w:r>
      <w:r w:rsidR="00160A0C">
        <w:rPr>
          <w:rFonts w:ascii="Times New Roman" w:hAnsi="Times New Roman" w:cs="Times New Roman"/>
        </w:rPr>
        <w:t>2181-13-51/01-26-3</w:t>
      </w:r>
      <w:r w:rsidR="004F51D6" w:rsidRPr="00A63D93">
        <w:rPr>
          <w:rFonts w:ascii="Times New Roman" w:hAnsi="Times New Roman" w:cs="Times New Roman"/>
        </w:rPr>
        <w:t xml:space="preserve">        </w:t>
      </w:r>
      <w:r w:rsidR="00544668" w:rsidRPr="00A63D93">
        <w:rPr>
          <w:rFonts w:ascii="Times New Roman" w:hAnsi="Times New Roman" w:cs="Times New Roman"/>
        </w:rPr>
        <w:tab/>
      </w:r>
      <w:r>
        <w:rPr>
          <w:rFonts w:ascii="Times New Roman" w:hAnsi="Times New Roman" w:cs="Times New Roman"/>
        </w:rPr>
        <w:t xml:space="preserve">                                                                     </w:t>
      </w:r>
    </w:p>
    <w:p w14:paraId="14AABE30" w14:textId="77777777" w:rsidR="00160A0C" w:rsidRDefault="00160A0C" w:rsidP="00160A0C">
      <w:pPr>
        <w:spacing w:after="0"/>
        <w:jc w:val="both"/>
        <w:rPr>
          <w:rFonts w:ascii="Times New Roman" w:hAnsi="Times New Roman" w:cs="Times New Roman"/>
        </w:rPr>
      </w:pPr>
      <w:r>
        <w:rPr>
          <w:rFonts w:ascii="Times New Roman" w:hAnsi="Times New Roman" w:cs="Times New Roman"/>
        </w:rPr>
        <w:t xml:space="preserve">Trogir, 29.svibnja 2026.godine      </w:t>
      </w:r>
    </w:p>
    <w:p w14:paraId="73585C0B" w14:textId="01CF0F04" w:rsidR="00DE411D" w:rsidRPr="00160A0C" w:rsidRDefault="00160A0C" w:rsidP="00160A0C">
      <w:pPr>
        <w:spacing w:after="0"/>
        <w:jc w:val="both"/>
        <w:rPr>
          <w:rFonts w:ascii="Times New Roman" w:hAnsi="Times New Roman" w:cs="Times New Roman"/>
        </w:rPr>
      </w:pPr>
      <w:r>
        <w:rPr>
          <w:rFonts w:ascii="Times New Roman" w:hAnsi="Times New Roman" w:cs="Times New Roman"/>
        </w:rPr>
        <w:t xml:space="preserve">                                                                                             </w:t>
      </w:r>
      <w:r w:rsidR="00F62A82">
        <w:rPr>
          <w:rFonts w:ascii="Times New Roman" w:hAnsi="Times New Roman" w:cs="Times New Roman"/>
        </w:rPr>
        <w:t xml:space="preserve">   </w:t>
      </w:r>
      <w:r>
        <w:rPr>
          <w:rFonts w:ascii="Times New Roman" w:hAnsi="Times New Roman" w:cs="Times New Roman"/>
        </w:rPr>
        <w:t xml:space="preserve"> </w:t>
      </w:r>
      <w:r w:rsidR="00F62A82">
        <w:rPr>
          <w:rFonts w:ascii="Times New Roman" w:hAnsi="Times New Roman" w:cs="Times New Roman"/>
        </w:rPr>
        <w:t xml:space="preserve">   </w:t>
      </w:r>
      <w:r w:rsidR="00544668" w:rsidRPr="00A63D93">
        <w:rPr>
          <w:rFonts w:ascii="Times New Roman" w:hAnsi="Times New Roman" w:cs="Times New Roman"/>
        </w:rPr>
        <w:t>Predsjednik gradskog vijeća:</w:t>
      </w:r>
      <w:r w:rsidR="00A404AC">
        <w:rPr>
          <w:rFonts w:ascii="Times New Roman" w:hAnsi="Times New Roman" w:cs="Times New Roman"/>
        </w:rPr>
        <w:t xml:space="preserve">    </w:t>
      </w:r>
      <w:r w:rsidR="00C37D77">
        <w:rPr>
          <w:rFonts w:ascii="Times New Roman" w:hAnsi="Times New Roman" w:cs="Times New Roman"/>
        </w:rPr>
        <w:t xml:space="preserve">    </w:t>
      </w:r>
      <w:r w:rsidR="00C37D77">
        <w:rPr>
          <w:rFonts w:ascii="Times New Roman" w:hAnsi="Times New Roman" w:cs="Times New Roman"/>
        </w:rPr>
        <w:tab/>
        <w:t xml:space="preserve">          </w:t>
      </w:r>
      <w:r w:rsidR="00E115A1">
        <w:rPr>
          <w:rFonts w:ascii="Times New Roman" w:hAnsi="Times New Roman" w:cs="Times New Roman"/>
        </w:rPr>
        <w:t xml:space="preserve">                                                                                              </w:t>
      </w:r>
      <w:r>
        <w:rPr>
          <w:rFonts w:ascii="Times New Roman" w:hAnsi="Times New Roman" w:cs="Times New Roman"/>
        </w:rPr>
        <w:t xml:space="preserve">       </w:t>
      </w:r>
    </w:p>
    <w:p w14:paraId="5B165E90" w14:textId="6126F3D3" w:rsidR="005F47FD" w:rsidRDefault="00160A0C" w:rsidP="00B95C10">
      <w:pPr>
        <w:spacing w:after="0"/>
      </w:pPr>
      <w:r>
        <w:t xml:space="preserve">                                                                                                                      </w:t>
      </w:r>
      <w:r w:rsidR="00F62A82">
        <w:t xml:space="preserve">       </w:t>
      </w:r>
      <w:r>
        <w:t xml:space="preserve"> Toni Zulim </w:t>
      </w:r>
    </w:p>
    <w:p w14:paraId="377CB8BE" w14:textId="67A4C6C7" w:rsidR="00A56F02" w:rsidRPr="00DE411D" w:rsidRDefault="00620A42" w:rsidP="00DE411D">
      <w:pPr>
        <w:spacing w:after="0"/>
        <w:jc w:val="center"/>
      </w:pPr>
      <w:r w:rsidRPr="00754E44">
        <w:rPr>
          <w:rFonts w:cstheme="minorHAnsi"/>
          <w:b/>
          <w:sz w:val="28"/>
          <w:szCs w:val="28"/>
        </w:rPr>
        <w:lastRenderedPageBreak/>
        <w:t>OBRAZLOŽENJE</w:t>
      </w:r>
      <w:r w:rsidR="00E0268A" w:rsidRPr="00754E44">
        <w:rPr>
          <w:rFonts w:cstheme="minorHAnsi"/>
          <w:b/>
          <w:sz w:val="28"/>
          <w:szCs w:val="28"/>
        </w:rPr>
        <w:t xml:space="preserve"> OSTVARENJA PRIHODA I PRIMITAKA, RASHODA I IZDATAKA PRORAČUNA GRADA TROGIRA U </w:t>
      </w:r>
      <w:r w:rsidR="00037174" w:rsidRPr="00754E44">
        <w:rPr>
          <w:rFonts w:cstheme="minorHAnsi"/>
          <w:b/>
          <w:sz w:val="28"/>
          <w:szCs w:val="28"/>
        </w:rPr>
        <w:t>202</w:t>
      </w:r>
      <w:r w:rsidR="00850E0F">
        <w:rPr>
          <w:rFonts w:cstheme="minorHAnsi"/>
          <w:b/>
          <w:sz w:val="28"/>
          <w:szCs w:val="28"/>
        </w:rPr>
        <w:t>5</w:t>
      </w:r>
      <w:r w:rsidR="00037174" w:rsidRPr="00754E44">
        <w:rPr>
          <w:rFonts w:cstheme="minorHAnsi"/>
          <w:b/>
          <w:sz w:val="28"/>
          <w:szCs w:val="28"/>
        </w:rPr>
        <w:t>.GODIN</w:t>
      </w:r>
      <w:r w:rsidR="007242BD" w:rsidRPr="00754E44">
        <w:rPr>
          <w:rFonts w:cstheme="minorHAnsi"/>
          <w:b/>
          <w:sz w:val="28"/>
          <w:szCs w:val="28"/>
        </w:rPr>
        <w:t>I</w:t>
      </w:r>
    </w:p>
    <w:p w14:paraId="46C8155C" w14:textId="77777777" w:rsidR="00DE5481" w:rsidRDefault="00DE5481" w:rsidP="00DE411D">
      <w:pPr>
        <w:spacing w:after="0" w:line="240" w:lineRule="auto"/>
        <w:jc w:val="center"/>
        <w:rPr>
          <w:rFonts w:ascii="Times New Roman" w:hAnsi="Times New Roman" w:cs="Times New Roman"/>
          <w:b/>
          <w:sz w:val="24"/>
          <w:szCs w:val="24"/>
        </w:rPr>
      </w:pPr>
    </w:p>
    <w:p w14:paraId="04E83714" w14:textId="77777777" w:rsidR="00E0268A" w:rsidRDefault="00E0268A" w:rsidP="00620A42">
      <w:pPr>
        <w:spacing w:after="0" w:line="240" w:lineRule="auto"/>
        <w:jc w:val="center"/>
        <w:rPr>
          <w:rFonts w:ascii="Times New Roman" w:hAnsi="Times New Roman" w:cs="Times New Roman"/>
          <w:b/>
          <w:sz w:val="24"/>
          <w:szCs w:val="24"/>
        </w:rPr>
      </w:pPr>
    </w:p>
    <w:p w14:paraId="5B95A6C6" w14:textId="77777777" w:rsidR="005061BB" w:rsidRDefault="00A56F02" w:rsidP="00037174">
      <w:pPr>
        <w:spacing w:after="0" w:line="240" w:lineRule="auto"/>
        <w:rPr>
          <w:rFonts w:cstheme="minorHAnsi"/>
          <w:b/>
          <w:sz w:val="24"/>
          <w:szCs w:val="24"/>
        </w:rPr>
      </w:pPr>
      <w:r w:rsidRPr="003E76D4">
        <w:rPr>
          <w:rFonts w:cstheme="minorHAnsi"/>
          <w:b/>
          <w:sz w:val="24"/>
          <w:szCs w:val="24"/>
        </w:rPr>
        <w:t>1.1. UVOD</w:t>
      </w:r>
    </w:p>
    <w:p w14:paraId="172BCFBA" w14:textId="77777777" w:rsidR="00037174" w:rsidRDefault="00037174" w:rsidP="00037174">
      <w:pPr>
        <w:spacing w:after="0" w:line="240" w:lineRule="auto"/>
        <w:rPr>
          <w:rFonts w:cstheme="minorHAnsi"/>
          <w:b/>
          <w:sz w:val="24"/>
          <w:szCs w:val="24"/>
        </w:rPr>
      </w:pPr>
    </w:p>
    <w:p w14:paraId="78B6ED73" w14:textId="59A6E482" w:rsidR="00BD1E7E" w:rsidRDefault="00620A42" w:rsidP="00620A42">
      <w:pPr>
        <w:spacing w:after="0" w:line="240" w:lineRule="auto"/>
        <w:jc w:val="both"/>
        <w:rPr>
          <w:rFonts w:cstheme="minorHAnsi"/>
          <w:sz w:val="24"/>
          <w:szCs w:val="24"/>
        </w:rPr>
      </w:pPr>
      <w:r w:rsidRPr="0078496E">
        <w:rPr>
          <w:rFonts w:cstheme="minorHAnsi"/>
          <w:sz w:val="24"/>
          <w:szCs w:val="24"/>
        </w:rPr>
        <w:t>Zakonom o proračunu („Narodne novi</w:t>
      </w:r>
      <w:r w:rsidR="00DE1571">
        <w:rPr>
          <w:rFonts w:cstheme="minorHAnsi"/>
          <w:sz w:val="24"/>
          <w:szCs w:val="24"/>
        </w:rPr>
        <w:t>ne“ broj 144/21</w:t>
      </w:r>
      <w:r w:rsidRPr="0078496E">
        <w:rPr>
          <w:rFonts w:cstheme="minorHAnsi"/>
          <w:sz w:val="24"/>
          <w:szCs w:val="24"/>
        </w:rPr>
        <w:t>) i Pravilnikom o polugodišnjem i godišnjem izvještaju o izv</w:t>
      </w:r>
      <w:r w:rsidR="000E5A9B">
        <w:rPr>
          <w:rFonts w:cstheme="minorHAnsi"/>
          <w:sz w:val="24"/>
          <w:szCs w:val="24"/>
        </w:rPr>
        <w:t>ršenju pr</w:t>
      </w:r>
      <w:r w:rsidR="007D2799">
        <w:rPr>
          <w:rFonts w:cstheme="minorHAnsi"/>
          <w:sz w:val="24"/>
          <w:szCs w:val="24"/>
        </w:rPr>
        <w:t>oračuna (NN br.</w:t>
      </w:r>
      <w:r w:rsidR="00037174">
        <w:rPr>
          <w:rFonts w:cstheme="minorHAnsi"/>
          <w:sz w:val="24"/>
          <w:szCs w:val="24"/>
        </w:rPr>
        <w:t xml:space="preserve">85/23) </w:t>
      </w:r>
      <w:r w:rsidRPr="0078496E">
        <w:rPr>
          <w:rFonts w:cstheme="minorHAnsi"/>
          <w:sz w:val="24"/>
          <w:szCs w:val="24"/>
        </w:rPr>
        <w:t xml:space="preserve"> propisana je obveza Upravnog odijela za financije, proračun i naplatu potraživanja da izradi godišnji izvještaj o </w:t>
      </w:r>
      <w:r w:rsidR="000E5A9B">
        <w:rPr>
          <w:rFonts w:cstheme="minorHAnsi"/>
          <w:sz w:val="24"/>
          <w:szCs w:val="24"/>
        </w:rPr>
        <w:t>izvršenju proračuna, te obveza G</w:t>
      </w:r>
      <w:r w:rsidR="00BD1E7E">
        <w:rPr>
          <w:rFonts w:cstheme="minorHAnsi"/>
          <w:sz w:val="24"/>
          <w:szCs w:val="24"/>
        </w:rPr>
        <w:t>radonačelnika da I</w:t>
      </w:r>
      <w:r w:rsidRPr="0078496E">
        <w:rPr>
          <w:rFonts w:cstheme="minorHAnsi"/>
          <w:sz w:val="24"/>
          <w:szCs w:val="24"/>
        </w:rPr>
        <w:t>zvještaj podnese predstavničkom tijelu jedinice lokalne i područne (regi</w:t>
      </w:r>
      <w:r w:rsidR="00346495">
        <w:rPr>
          <w:rFonts w:cstheme="minorHAnsi"/>
          <w:sz w:val="24"/>
          <w:szCs w:val="24"/>
        </w:rPr>
        <w:t>onalne) samouprave</w:t>
      </w:r>
      <w:r w:rsidR="007242BD">
        <w:rPr>
          <w:rFonts w:cstheme="minorHAnsi"/>
          <w:sz w:val="24"/>
          <w:szCs w:val="24"/>
        </w:rPr>
        <w:t xml:space="preserve"> na donošenje</w:t>
      </w:r>
      <w:r w:rsidR="00346495">
        <w:rPr>
          <w:rFonts w:cstheme="minorHAnsi"/>
          <w:sz w:val="24"/>
          <w:szCs w:val="24"/>
        </w:rPr>
        <w:t xml:space="preserve">, do </w:t>
      </w:r>
      <w:r w:rsidR="007242BD">
        <w:rPr>
          <w:rFonts w:cstheme="minorHAnsi"/>
          <w:sz w:val="24"/>
          <w:szCs w:val="24"/>
        </w:rPr>
        <w:t>31.svibnja tekuće godine za prethodnu godinu.</w:t>
      </w:r>
    </w:p>
    <w:p w14:paraId="1CC05B80" w14:textId="0BC95B4C" w:rsidR="00BD1E7E" w:rsidRDefault="00BD1E7E" w:rsidP="00620A42">
      <w:pPr>
        <w:spacing w:after="0" w:line="240" w:lineRule="auto"/>
        <w:jc w:val="both"/>
        <w:rPr>
          <w:rFonts w:cstheme="minorHAnsi"/>
          <w:sz w:val="24"/>
          <w:szCs w:val="24"/>
        </w:rPr>
      </w:pPr>
      <w:r>
        <w:rPr>
          <w:rFonts w:cstheme="minorHAnsi"/>
          <w:sz w:val="24"/>
          <w:szCs w:val="24"/>
        </w:rPr>
        <w:t>Također, Zakonom o proračunu propisan je izgled i sadržaj godišnjeg izvještaja o izvršenju proračuna, a još detaljnije Pravilnikom o polugodišnjem i godišnjem izvještaju o izvršenju proračuna i financijskog plana te je propisano da polugodišnji i godišnji izvještaj o izvršenju proračuna sadrži opći i posebni dio, obrazloženje i posebne izvještaje.</w:t>
      </w:r>
    </w:p>
    <w:p w14:paraId="1A8307C2" w14:textId="77777777" w:rsidR="00BD1E7E" w:rsidRDefault="00BD1E7E" w:rsidP="00A56F02">
      <w:pPr>
        <w:spacing w:after="0" w:line="240" w:lineRule="auto"/>
        <w:jc w:val="both"/>
        <w:rPr>
          <w:rFonts w:cstheme="minorHAnsi"/>
          <w:sz w:val="24"/>
          <w:szCs w:val="24"/>
        </w:rPr>
      </w:pPr>
    </w:p>
    <w:p w14:paraId="2FCD512E" w14:textId="2375D572" w:rsidR="00A56F02" w:rsidRPr="0078496E" w:rsidRDefault="00F3306D" w:rsidP="00A56F02">
      <w:pPr>
        <w:spacing w:after="0" w:line="240" w:lineRule="auto"/>
        <w:jc w:val="both"/>
        <w:rPr>
          <w:rFonts w:cstheme="minorHAnsi"/>
          <w:sz w:val="24"/>
          <w:szCs w:val="24"/>
        </w:rPr>
      </w:pPr>
      <w:r>
        <w:rPr>
          <w:rFonts w:cstheme="minorHAnsi"/>
          <w:sz w:val="24"/>
          <w:szCs w:val="24"/>
        </w:rPr>
        <w:t>Č</w:t>
      </w:r>
      <w:r w:rsidR="00A56F02" w:rsidRPr="0078496E">
        <w:rPr>
          <w:rFonts w:cstheme="minorHAnsi"/>
          <w:sz w:val="24"/>
          <w:szCs w:val="24"/>
        </w:rPr>
        <w:t>lankom 4. Pravilnika o polugodišnjem i godišnjem izvještaju o izvršen</w:t>
      </w:r>
      <w:r w:rsidR="00156988">
        <w:rPr>
          <w:rFonts w:cstheme="minorHAnsi"/>
          <w:sz w:val="24"/>
          <w:szCs w:val="24"/>
        </w:rPr>
        <w:t>ju proračuna</w:t>
      </w:r>
      <w:r w:rsidR="00BD1E7E">
        <w:rPr>
          <w:rFonts w:cstheme="minorHAnsi"/>
          <w:sz w:val="24"/>
          <w:szCs w:val="24"/>
        </w:rPr>
        <w:t xml:space="preserve"> </w:t>
      </w:r>
      <w:r w:rsidR="00156988">
        <w:rPr>
          <w:rFonts w:cstheme="minorHAnsi"/>
          <w:sz w:val="24"/>
          <w:szCs w:val="24"/>
        </w:rPr>
        <w:t xml:space="preserve"> propisano je da </w:t>
      </w:r>
      <w:r w:rsidR="00A56F02" w:rsidRPr="0078496E">
        <w:rPr>
          <w:rFonts w:cstheme="minorHAnsi"/>
          <w:sz w:val="24"/>
          <w:szCs w:val="24"/>
        </w:rPr>
        <w:t xml:space="preserve">godišnji izvještaj </w:t>
      </w:r>
      <w:r w:rsidR="007D2799">
        <w:rPr>
          <w:rFonts w:cstheme="minorHAnsi"/>
          <w:sz w:val="24"/>
          <w:szCs w:val="24"/>
        </w:rPr>
        <w:t>o izvršenju proračuna</w:t>
      </w:r>
      <w:r w:rsidR="00A56F02" w:rsidRPr="0078496E">
        <w:rPr>
          <w:rFonts w:cstheme="minorHAnsi"/>
          <w:sz w:val="24"/>
          <w:szCs w:val="24"/>
        </w:rPr>
        <w:t xml:space="preserve"> sadrži:</w:t>
      </w:r>
    </w:p>
    <w:p w14:paraId="72B011EC" w14:textId="77777777" w:rsidR="00A56F02" w:rsidRPr="0078496E" w:rsidRDefault="00A56F02" w:rsidP="00A56F02">
      <w:pPr>
        <w:spacing w:after="0"/>
        <w:jc w:val="both"/>
        <w:rPr>
          <w:rFonts w:cstheme="minorHAnsi"/>
          <w:sz w:val="24"/>
          <w:szCs w:val="24"/>
        </w:rPr>
      </w:pPr>
    </w:p>
    <w:p w14:paraId="67AC7E1F" w14:textId="48A39998" w:rsidR="006B1E4D" w:rsidRDefault="007D2799" w:rsidP="00A56F02">
      <w:pPr>
        <w:pStyle w:val="Odlomakpopisa"/>
        <w:numPr>
          <w:ilvl w:val="0"/>
          <w:numId w:val="1"/>
        </w:numPr>
        <w:spacing w:after="0" w:line="240" w:lineRule="auto"/>
        <w:jc w:val="both"/>
        <w:rPr>
          <w:rFonts w:asciiTheme="minorHAnsi" w:hAnsiTheme="minorHAnsi" w:cstheme="minorHAnsi"/>
          <w:sz w:val="24"/>
          <w:szCs w:val="24"/>
        </w:rPr>
      </w:pPr>
      <w:r w:rsidRPr="00307B31">
        <w:rPr>
          <w:rFonts w:asciiTheme="minorHAnsi" w:hAnsiTheme="minorHAnsi" w:cstheme="minorHAnsi"/>
          <w:b/>
          <w:sz w:val="24"/>
          <w:szCs w:val="24"/>
        </w:rPr>
        <w:t>opći dio proračuna</w:t>
      </w:r>
      <w:r>
        <w:rPr>
          <w:rFonts w:asciiTheme="minorHAnsi" w:hAnsiTheme="minorHAnsi" w:cstheme="minorHAnsi"/>
          <w:sz w:val="24"/>
          <w:szCs w:val="24"/>
        </w:rPr>
        <w:t xml:space="preserve"> koji čine</w:t>
      </w:r>
      <w:r w:rsidR="00037174">
        <w:rPr>
          <w:rFonts w:asciiTheme="minorHAnsi" w:hAnsiTheme="minorHAnsi" w:cstheme="minorHAnsi"/>
          <w:sz w:val="24"/>
          <w:szCs w:val="24"/>
        </w:rPr>
        <w:t xml:space="preserve"> sažetak</w:t>
      </w:r>
      <w:r w:rsidR="00A56F02" w:rsidRPr="0078496E">
        <w:rPr>
          <w:rFonts w:asciiTheme="minorHAnsi" w:hAnsiTheme="minorHAnsi" w:cstheme="minorHAnsi"/>
          <w:sz w:val="24"/>
          <w:szCs w:val="24"/>
        </w:rPr>
        <w:t xml:space="preserve"> Račun</w:t>
      </w:r>
      <w:r w:rsidR="00037174">
        <w:rPr>
          <w:rFonts w:asciiTheme="minorHAnsi" w:hAnsiTheme="minorHAnsi" w:cstheme="minorHAnsi"/>
          <w:sz w:val="24"/>
          <w:szCs w:val="24"/>
        </w:rPr>
        <w:t>a</w:t>
      </w:r>
      <w:r w:rsidR="00A56F02" w:rsidRPr="0078496E">
        <w:rPr>
          <w:rFonts w:asciiTheme="minorHAnsi" w:hAnsiTheme="minorHAnsi" w:cstheme="minorHAnsi"/>
          <w:sz w:val="24"/>
          <w:szCs w:val="24"/>
        </w:rPr>
        <w:t xml:space="preserve"> prihoda i rashoda i </w:t>
      </w:r>
      <w:r w:rsidR="00F71935">
        <w:rPr>
          <w:rFonts w:asciiTheme="minorHAnsi" w:hAnsiTheme="minorHAnsi" w:cstheme="minorHAnsi"/>
          <w:sz w:val="24"/>
          <w:szCs w:val="24"/>
        </w:rPr>
        <w:t>Račun</w:t>
      </w:r>
      <w:r w:rsidR="00037174">
        <w:rPr>
          <w:rFonts w:asciiTheme="minorHAnsi" w:hAnsiTheme="minorHAnsi" w:cstheme="minorHAnsi"/>
          <w:sz w:val="24"/>
          <w:szCs w:val="24"/>
        </w:rPr>
        <w:t>a</w:t>
      </w:r>
      <w:r w:rsidR="00F71935">
        <w:rPr>
          <w:rFonts w:asciiTheme="minorHAnsi" w:hAnsiTheme="minorHAnsi" w:cstheme="minorHAnsi"/>
          <w:sz w:val="24"/>
          <w:szCs w:val="24"/>
        </w:rPr>
        <w:t xml:space="preserve"> financiranja</w:t>
      </w:r>
      <w:r w:rsidR="00C852FA">
        <w:rPr>
          <w:rFonts w:asciiTheme="minorHAnsi" w:hAnsiTheme="minorHAnsi" w:cstheme="minorHAnsi"/>
          <w:sz w:val="24"/>
          <w:szCs w:val="24"/>
        </w:rPr>
        <w:t>, Račun prihoda i rashoda i Račun financiranja</w:t>
      </w:r>
      <w:r w:rsidR="00037174">
        <w:rPr>
          <w:rFonts w:asciiTheme="minorHAnsi" w:hAnsiTheme="minorHAnsi" w:cstheme="minorHAnsi"/>
          <w:sz w:val="24"/>
          <w:szCs w:val="24"/>
        </w:rPr>
        <w:t>;</w:t>
      </w:r>
    </w:p>
    <w:p w14:paraId="5F6F60F9" w14:textId="77777777" w:rsidR="006B1E4D" w:rsidRDefault="006B1E4D" w:rsidP="006B1E4D">
      <w:pPr>
        <w:pStyle w:val="Odlomakpopisa"/>
        <w:spacing w:after="0" w:line="240" w:lineRule="auto"/>
        <w:jc w:val="both"/>
        <w:rPr>
          <w:rFonts w:asciiTheme="minorHAnsi" w:hAnsiTheme="minorHAnsi" w:cstheme="minorHAnsi"/>
          <w:sz w:val="24"/>
          <w:szCs w:val="24"/>
        </w:rPr>
      </w:pPr>
      <w:r w:rsidRPr="006B1E4D">
        <w:rPr>
          <w:rFonts w:asciiTheme="minorHAnsi" w:hAnsiTheme="minorHAnsi" w:cstheme="minorHAnsi"/>
          <w:sz w:val="24"/>
          <w:szCs w:val="24"/>
        </w:rPr>
        <w:t>Sažetak Računa prihoda i rashoda i računa financiranja</w:t>
      </w:r>
      <w:r>
        <w:rPr>
          <w:rFonts w:asciiTheme="minorHAnsi" w:hAnsiTheme="minorHAnsi" w:cstheme="minorHAnsi"/>
          <w:b/>
          <w:sz w:val="24"/>
          <w:szCs w:val="24"/>
        </w:rPr>
        <w:t xml:space="preserve"> </w:t>
      </w:r>
      <w:r>
        <w:rPr>
          <w:rFonts w:asciiTheme="minorHAnsi" w:hAnsiTheme="minorHAnsi" w:cstheme="minorHAnsi"/>
          <w:sz w:val="24"/>
          <w:szCs w:val="24"/>
        </w:rPr>
        <w:t>sadrži prikaz ukupno ostvarenih prihoda i primitaka te izvršenih rashoda i izdataka. Može sadržavati podatke o prenesenom višku/manjku iz prethodne godine i višku/manjku za prijenos u sljedeću godinu.</w:t>
      </w:r>
    </w:p>
    <w:p w14:paraId="7CC6C83A" w14:textId="17FC9D03" w:rsidR="00C852FA" w:rsidRDefault="00037174" w:rsidP="006B1E4D">
      <w:pPr>
        <w:pStyle w:val="Odlomakpopisa"/>
        <w:spacing w:after="0" w:line="240" w:lineRule="auto"/>
        <w:jc w:val="both"/>
        <w:rPr>
          <w:rFonts w:asciiTheme="minorHAnsi" w:hAnsiTheme="minorHAnsi" w:cstheme="minorHAnsi"/>
          <w:sz w:val="24"/>
          <w:szCs w:val="24"/>
        </w:rPr>
      </w:pPr>
      <w:r w:rsidRPr="00963392">
        <w:rPr>
          <w:rFonts w:asciiTheme="minorHAnsi" w:hAnsiTheme="minorHAnsi" w:cstheme="minorHAnsi"/>
          <w:sz w:val="24"/>
          <w:szCs w:val="24"/>
          <w:u w:val="single"/>
        </w:rPr>
        <w:t>Račun prihoda i rashoda</w:t>
      </w:r>
      <w:r w:rsidR="00C852FA">
        <w:rPr>
          <w:rFonts w:asciiTheme="minorHAnsi" w:hAnsiTheme="minorHAnsi" w:cstheme="minorHAnsi"/>
          <w:sz w:val="24"/>
          <w:szCs w:val="24"/>
        </w:rPr>
        <w:t xml:space="preserve"> se sastoji od izvještaja o prihodima i rashodima</w:t>
      </w:r>
      <w:r w:rsidR="00307B31">
        <w:rPr>
          <w:rFonts w:asciiTheme="minorHAnsi" w:hAnsiTheme="minorHAnsi" w:cstheme="minorHAnsi"/>
          <w:sz w:val="24"/>
          <w:szCs w:val="24"/>
        </w:rPr>
        <w:t xml:space="preserve"> </w:t>
      </w:r>
      <w:r>
        <w:rPr>
          <w:rFonts w:asciiTheme="minorHAnsi" w:hAnsiTheme="minorHAnsi" w:cstheme="minorHAnsi"/>
          <w:sz w:val="24"/>
          <w:szCs w:val="24"/>
        </w:rPr>
        <w:t>prema ekonomskoj klasifikaciji</w:t>
      </w:r>
      <w:r w:rsidR="00C852FA">
        <w:rPr>
          <w:rFonts w:asciiTheme="minorHAnsi" w:hAnsiTheme="minorHAnsi" w:cstheme="minorHAnsi"/>
          <w:sz w:val="24"/>
          <w:szCs w:val="24"/>
        </w:rPr>
        <w:t xml:space="preserve"> i </w:t>
      </w:r>
      <w:r>
        <w:rPr>
          <w:rFonts w:asciiTheme="minorHAnsi" w:hAnsiTheme="minorHAnsi" w:cstheme="minorHAnsi"/>
          <w:sz w:val="24"/>
          <w:szCs w:val="24"/>
        </w:rPr>
        <w:t>izvorima financiranja</w:t>
      </w:r>
      <w:r w:rsidR="00C852FA">
        <w:rPr>
          <w:rFonts w:asciiTheme="minorHAnsi" w:hAnsiTheme="minorHAnsi" w:cstheme="minorHAnsi"/>
          <w:sz w:val="24"/>
          <w:szCs w:val="24"/>
        </w:rPr>
        <w:t xml:space="preserve"> te izvještaja o rashodima</w:t>
      </w:r>
      <w:r>
        <w:rPr>
          <w:rFonts w:asciiTheme="minorHAnsi" w:hAnsiTheme="minorHAnsi" w:cstheme="minorHAnsi"/>
          <w:sz w:val="24"/>
          <w:szCs w:val="24"/>
        </w:rPr>
        <w:t xml:space="preserve"> prema funkcijskoj klasifikaciji)</w:t>
      </w:r>
    </w:p>
    <w:p w14:paraId="4EE81802" w14:textId="51203496" w:rsidR="00A56F02" w:rsidRPr="0078496E" w:rsidRDefault="00037174" w:rsidP="006B1E4D">
      <w:pPr>
        <w:pStyle w:val="Odlomakpopisa"/>
        <w:spacing w:after="0" w:line="240" w:lineRule="auto"/>
        <w:jc w:val="both"/>
        <w:rPr>
          <w:rFonts w:asciiTheme="minorHAnsi" w:hAnsiTheme="minorHAnsi" w:cstheme="minorHAnsi"/>
          <w:sz w:val="24"/>
          <w:szCs w:val="24"/>
        </w:rPr>
      </w:pPr>
      <w:r w:rsidRPr="00963392">
        <w:rPr>
          <w:rFonts w:asciiTheme="minorHAnsi" w:hAnsiTheme="minorHAnsi" w:cstheme="minorHAnsi"/>
          <w:sz w:val="24"/>
          <w:szCs w:val="24"/>
          <w:u w:val="single"/>
        </w:rPr>
        <w:t>Račun financiranja</w:t>
      </w:r>
      <w:r>
        <w:rPr>
          <w:rFonts w:asciiTheme="minorHAnsi" w:hAnsiTheme="minorHAnsi" w:cstheme="minorHAnsi"/>
          <w:sz w:val="24"/>
          <w:szCs w:val="24"/>
        </w:rPr>
        <w:t xml:space="preserve"> </w:t>
      </w:r>
      <w:r w:rsidR="00307B31">
        <w:rPr>
          <w:rFonts w:asciiTheme="minorHAnsi" w:hAnsiTheme="minorHAnsi" w:cstheme="minorHAnsi"/>
          <w:sz w:val="24"/>
          <w:szCs w:val="24"/>
        </w:rPr>
        <w:t>sadrži prikaz primitaka</w:t>
      </w:r>
      <w:r w:rsidR="00C852FA">
        <w:rPr>
          <w:rFonts w:asciiTheme="minorHAnsi" w:hAnsiTheme="minorHAnsi" w:cstheme="minorHAnsi"/>
          <w:sz w:val="24"/>
          <w:szCs w:val="24"/>
        </w:rPr>
        <w:t xml:space="preserve"> i izdataka i iskazuje se u izvještajima </w:t>
      </w:r>
      <w:r>
        <w:rPr>
          <w:rFonts w:asciiTheme="minorHAnsi" w:hAnsiTheme="minorHAnsi" w:cstheme="minorHAnsi"/>
          <w:sz w:val="24"/>
          <w:szCs w:val="24"/>
        </w:rPr>
        <w:t xml:space="preserve">prema ekonomskoj </w:t>
      </w:r>
      <w:r w:rsidR="006B1E4D">
        <w:rPr>
          <w:rFonts w:asciiTheme="minorHAnsi" w:hAnsiTheme="minorHAnsi" w:cstheme="minorHAnsi"/>
          <w:sz w:val="24"/>
          <w:szCs w:val="24"/>
        </w:rPr>
        <w:t>klasifikaciji</w:t>
      </w:r>
      <w:r>
        <w:rPr>
          <w:rFonts w:asciiTheme="minorHAnsi" w:hAnsiTheme="minorHAnsi" w:cstheme="minorHAnsi"/>
          <w:sz w:val="24"/>
          <w:szCs w:val="24"/>
        </w:rPr>
        <w:t xml:space="preserve"> i </w:t>
      </w:r>
      <w:r w:rsidR="006B1E4D">
        <w:rPr>
          <w:rFonts w:asciiTheme="minorHAnsi" w:hAnsiTheme="minorHAnsi" w:cstheme="minorHAnsi"/>
          <w:sz w:val="24"/>
          <w:szCs w:val="24"/>
        </w:rPr>
        <w:t xml:space="preserve">prema </w:t>
      </w:r>
      <w:r>
        <w:rPr>
          <w:rFonts w:asciiTheme="minorHAnsi" w:hAnsiTheme="minorHAnsi" w:cstheme="minorHAnsi"/>
          <w:sz w:val="24"/>
          <w:szCs w:val="24"/>
        </w:rPr>
        <w:t>izvorima financiranja)</w:t>
      </w:r>
    </w:p>
    <w:p w14:paraId="4CECCB64" w14:textId="40BEBB50" w:rsidR="00401E9B" w:rsidRDefault="00A56F02" w:rsidP="00A56F02">
      <w:pPr>
        <w:pStyle w:val="Odlomakpopisa"/>
        <w:numPr>
          <w:ilvl w:val="0"/>
          <w:numId w:val="1"/>
        </w:numPr>
        <w:spacing w:after="0" w:line="240" w:lineRule="auto"/>
        <w:jc w:val="both"/>
        <w:rPr>
          <w:rFonts w:asciiTheme="minorHAnsi" w:hAnsiTheme="minorHAnsi" w:cstheme="minorHAnsi"/>
          <w:sz w:val="24"/>
          <w:szCs w:val="24"/>
        </w:rPr>
      </w:pPr>
      <w:r w:rsidRPr="00307B31">
        <w:rPr>
          <w:rFonts w:asciiTheme="minorHAnsi" w:hAnsiTheme="minorHAnsi" w:cstheme="minorHAnsi"/>
          <w:b/>
          <w:sz w:val="24"/>
          <w:szCs w:val="24"/>
        </w:rPr>
        <w:t>posebni dio proračuna</w:t>
      </w:r>
      <w:r w:rsidRPr="0078496E">
        <w:rPr>
          <w:rFonts w:asciiTheme="minorHAnsi" w:hAnsiTheme="minorHAnsi" w:cstheme="minorHAnsi"/>
          <w:sz w:val="24"/>
          <w:szCs w:val="24"/>
        </w:rPr>
        <w:t xml:space="preserve"> </w:t>
      </w:r>
      <w:r w:rsidR="006B1E4D">
        <w:rPr>
          <w:rFonts w:asciiTheme="minorHAnsi" w:hAnsiTheme="minorHAnsi" w:cstheme="minorHAnsi"/>
          <w:sz w:val="24"/>
          <w:szCs w:val="24"/>
        </w:rPr>
        <w:t>se iskazuje</w:t>
      </w:r>
      <w:r w:rsidR="00C852FA">
        <w:rPr>
          <w:rFonts w:asciiTheme="minorHAnsi" w:hAnsiTheme="minorHAnsi" w:cstheme="minorHAnsi"/>
          <w:sz w:val="24"/>
          <w:szCs w:val="24"/>
        </w:rPr>
        <w:t xml:space="preserve"> u izvještaju </w:t>
      </w:r>
      <w:r w:rsidRPr="0078496E">
        <w:rPr>
          <w:rFonts w:asciiTheme="minorHAnsi" w:hAnsiTheme="minorHAnsi" w:cstheme="minorHAnsi"/>
          <w:sz w:val="24"/>
          <w:szCs w:val="24"/>
        </w:rPr>
        <w:t>po organizacijsko</w:t>
      </w:r>
      <w:r w:rsidR="00C852FA">
        <w:rPr>
          <w:rFonts w:asciiTheme="minorHAnsi" w:hAnsiTheme="minorHAnsi" w:cstheme="minorHAnsi"/>
          <w:sz w:val="24"/>
          <w:szCs w:val="24"/>
        </w:rPr>
        <w:t>j klasifikaciji</w:t>
      </w:r>
      <w:r w:rsidRPr="0078496E">
        <w:rPr>
          <w:rFonts w:asciiTheme="minorHAnsi" w:hAnsiTheme="minorHAnsi" w:cstheme="minorHAnsi"/>
          <w:sz w:val="24"/>
          <w:szCs w:val="24"/>
        </w:rPr>
        <w:t xml:space="preserve"> </w:t>
      </w:r>
      <w:r w:rsidR="00C852FA">
        <w:rPr>
          <w:rFonts w:asciiTheme="minorHAnsi" w:hAnsiTheme="minorHAnsi" w:cstheme="minorHAnsi"/>
          <w:sz w:val="24"/>
          <w:szCs w:val="24"/>
        </w:rPr>
        <w:t>te u izvještaju po</w:t>
      </w:r>
      <w:r w:rsidRPr="0078496E">
        <w:rPr>
          <w:rFonts w:asciiTheme="minorHAnsi" w:hAnsiTheme="minorHAnsi" w:cstheme="minorHAnsi"/>
          <w:sz w:val="24"/>
          <w:szCs w:val="24"/>
        </w:rPr>
        <w:t xml:space="preserve"> programskoj klasifikaciji</w:t>
      </w:r>
      <w:r w:rsidR="00C852FA">
        <w:rPr>
          <w:rFonts w:asciiTheme="minorHAnsi" w:hAnsiTheme="minorHAnsi" w:cstheme="minorHAnsi"/>
          <w:sz w:val="24"/>
          <w:szCs w:val="24"/>
        </w:rPr>
        <w:t xml:space="preserve"> koji sadrži prikaz rashoda i izdataka konsolidiranog proračuna iskazanih po organizacijskoj klasifikaciji,</w:t>
      </w:r>
      <w:r w:rsidR="00401E9B">
        <w:rPr>
          <w:rFonts w:asciiTheme="minorHAnsi" w:hAnsiTheme="minorHAnsi" w:cstheme="minorHAnsi"/>
          <w:sz w:val="24"/>
          <w:szCs w:val="24"/>
        </w:rPr>
        <w:t xml:space="preserve"> izvorima financiranja i ekonomskoj klasifikaciji, raspoređenih u programe koji se sastoje od aktivnosti i projekata,</w:t>
      </w:r>
    </w:p>
    <w:p w14:paraId="15F6A47E" w14:textId="77777777" w:rsidR="00401E9B" w:rsidRDefault="006B1E4D" w:rsidP="00A56F02">
      <w:pPr>
        <w:pStyle w:val="Odlomakpopisa"/>
        <w:numPr>
          <w:ilvl w:val="0"/>
          <w:numId w:val="1"/>
        </w:numPr>
        <w:spacing w:after="0" w:line="240" w:lineRule="auto"/>
        <w:jc w:val="both"/>
        <w:rPr>
          <w:rFonts w:asciiTheme="minorHAnsi" w:hAnsiTheme="minorHAnsi" w:cstheme="minorHAnsi"/>
          <w:bCs/>
          <w:sz w:val="24"/>
          <w:szCs w:val="24"/>
        </w:rPr>
      </w:pPr>
      <w:r>
        <w:rPr>
          <w:rFonts w:asciiTheme="minorHAnsi" w:hAnsiTheme="minorHAnsi" w:cstheme="minorHAnsi"/>
          <w:b/>
          <w:sz w:val="24"/>
          <w:szCs w:val="24"/>
        </w:rPr>
        <w:t>obrazloženje</w:t>
      </w:r>
      <w:r w:rsidR="00A56F02" w:rsidRPr="00307B31">
        <w:rPr>
          <w:rFonts w:asciiTheme="minorHAnsi" w:hAnsiTheme="minorHAnsi" w:cstheme="minorHAnsi"/>
          <w:b/>
          <w:sz w:val="24"/>
          <w:szCs w:val="24"/>
        </w:rPr>
        <w:t xml:space="preserve"> </w:t>
      </w:r>
      <w:r w:rsidR="00401E9B" w:rsidRPr="00401E9B">
        <w:rPr>
          <w:rFonts w:asciiTheme="minorHAnsi" w:hAnsiTheme="minorHAnsi" w:cstheme="minorHAnsi"/>
          <w:bCs/>
          <w:sz w:val="24"/>
          <w:szCs w:val="24"/>
        </w:rPr>
        <w:t>se sastoji od obrazloženja općeg dijela i obrazloženja posebnog dijela</w:t>
      </w:r>
      <w:r w:rsidR="00401E9B">
        <w:rPr>
          <w:rFonts w:asciiTheme="minorHAnsi" w:hAnsiTheme="minorHAnsi" w:cstheme="minorHAnsi"/>
          <w:b/>
          <w:sz w:val="24"/>
          <w:szCs w:val="24"/>
        </w:rPr>
        <w:t xml:space="preserve">, </w:t>
      </w:r>
      <w:r w:rsidR="00401E9B" w:rsidRPr="00963392">
        <w:rPr>
          <w:rFonts w:asciiTheme="minorHAnsi" w:hAnsiTheme="minorHAnsi" w:cstheme="minorHAnsi"/>
          <w:bCs/>
          <w:sz w:val="24"/>
          <w:szCs w:val="24"/>
          <w:u w:val="single"/>
        </w:rPr>
        <w:t>Obrazloženje općeg dijela</w:t>
      </w:r>
      <w:r w:rsidR="00401E9B">
        <w:rPr>
          <w:rFonts w:asciiTheme="minorHAnsi" w:hAnsiTheme="minorHAnsi" w:cstheme="minorHAnsi"/>
          <w:bCs/>
          <w:sz w:val="24"/>
          <w:szCs w:val="24"/>
        </w:rPr>
        <w:t xml:space="preserve"> sadrži obrazloženje ostvarenja prihoda i rashoda i primitaka i izdataka konsolidiranog proračuna u izvještajnom razdoblju te prikaz ostvarenog manjka/viška proračuna u izvještajnom razdoblju. </w:t>
      </w:r>
    </w:p>
    <w:p w14:paraId="18A8708A" w14:textId="55622B50" w:rsidR="00A56F02" w:rsidRPr="00401E9B" w:rsidRDefault="00401E9B" w:rsidP="00401E9B">
      <w:pPr>
        <w:pStyle w:val="Odlomakpopisa"/>
        <w:spacing w:after="0" w:line="240" w:lineRule="auto"/>
        <w:jc w:val="both"/>
        <w:rPr>
          <w:rFonts w:asciiTheme="minorHAnsi" w:hAnsiTheme="minorHAnsi" w:cstheme="minorHAnsi"/>
          <w:bCs/>
          <w:sz w:val="24"/>
          <w:szCs w:val="24"/>
        </w:rPr>
      </w:pPr>
      <w:r w:rsidRPr="00963392">
        <w:rPr>
          <w:rFonts w:asciiTheme="minorHAnsi" w:hAnsiTheme="minorHAnsi" w:cstheme="minorHAnsi"/>
          <w:bCs/>
          <w:sz w:val="24"/>
          <w:szCs w:val="24"/>
          <w:u w:val="single"/>
        </w:rPr>
        <w:t>Obrazloženje posebnog dijela</w:t>
      </w:r>
      <w:r>
        <w:rPr>
          <w:rFonts w:asciiTheme="minorHAnsi" w:hAnsiTheme="minorHAnsi" w:cstheme="minorHAnsi"/>
          <w:bCs/>
          <w:sz w:val="24"/>
          <w:szCs w:val="24"/>
        </w:rPr>
        <w:t xml:space="preserve"> se temelji na obrazloženju proračuna i financijskih planova proračunskih korisnika</w:t>
      </w:r>
      <w:r w:rsidR="00DA66D2">
        <w:rPr>
          <w:rFonts w:asciiTheme="minorHAnsi" w:hAnsiTheme="minorHAnsi" w:cstheme="minorHAnsi"/>
          <w:bCs/>
          <w:sz w:val="24"/>
          <w:szCs w:val="24"/>
        </w:rPr>
        <w:t>, a sadrži obrazloženje izvršenja programa koje se daje kroz obrazloženje izvršenja aktivnosti i projekata zajedno s ciljevima koji su ostvareni provedbom programa i pokazateljima uspješnosti realizacije tih ciljeva.</w:t>
      </w:r>
    </w:p>
    <w:p w14:paraId="10F22432" w14:textId="70C2DDAB" w:rsidR="00ED0171" w:rsidRDefault="00800767" w:rsidP="00800767">
      <w:pPr>
        <w:pStyle w:val="Odlomakpopisa"/>
        <w:numPr>
          <w:ilvl w:val="0"/>
          <w:numId w:val="1"/>
        </w:numPr>
        <w:spacing w:after="0" w:line="240" w:lineRule="auto"/>
        <w:jc w:val="both"/>
        <w:rPr>
          <w:rFonts w:asciiTheme="minorHAnsi" w:hAnsiTheme="minorHAnsi" w:cstheme="minorHAnsi"/>
          <w:sz w:val="24"/>
          <w:szCs w:val="24"/>
        </w:rPr>
      </w:pPr>
      <w:r w:rsidRPr="00307B31">
        <w:rPr>
          <w:rFonts w:asciiTheme="minorHAnsi" w:hAnsiTheme="minorHAnsi" w:cstheme="minorHAnsi"/>
          <w:b/>
          <w:sz w:val="24"/>
          <w:szCs w:val="24"/>
        </w:rPr>
        <w:t>posebne izvještaje</w:t>
      </w:r>
      <w:r>
        <w:rPr>
          <w:rFonts w:asciiTheme="minorHAnsi" w:hAnsiTheme="minorHAnsi" w:cstheme="minorHAnsi"/>
          <w:sz w:val="24"/>
          <w:szCs w:val="24"/>
        </w:rPr>
        <w:t xml:space="preserve"> (</w:t>
      </w:r>
      <w:r w:rsidRPr="00A56F02">
        <w:rPr>
          <w:rFonts w:asciiTheme="minorHAnsi" w:hAnsiTheme="minorHAnsi" w:cstheme="minorHAnsi"/>
          <w:sz w:val="24"/>
          <w:szCs w:val="24"/>
        </w:rPr>
        <w:t>izvještaj o korištenju proračunske zalihe,</w:t>
      </w:r>
      <w:r>
        <w:rPr>
          <w:rFonts w:asciiTheme="minorHAnsi" w:hAnsiTheme="minorHAnsi" w:cstheme="minorHAnsi"/>
          <w:sz w:val="24"/>
          <w:szCs w:val="24"/>
        </w:rPr>
        <w:t xml:space="preserve"> </w:t>
      </w:r>
      <w:r w:rsidRPr="00800767">
        <w:rPr>
          <w:rFonts w:asciiTheme="minorHAnsi" w:hAnsiTheme="minorHAnsi" w:cstheme="minorHAnsi"/>
          <w:sz w:val="24"/>
          <w:szCs w:val="24"/>
        </w:rPr>
        <w:t>izvještaj o zaduživanju na domaćem i stranom tržištu novca i kapitala,</w:t>
      </w:r>
      <w:r>
        <w:rPr>
          <w:rFonts w:asciiTheme="minorHAnsi" w:hAnsiTheme="minorHAnsi" w:cstheme="minorHAnsi"/>
          <w:sz w:val="24"/>
          <w:szCs w:val="24"/>
        </w:rPr>
        <w:t xml:space="preserve"> </w:t>
      </w:r>
      <w:r w:rsidRPr="00800767">
        <w:rPr>
          <w:rFonts w:asciiTheme="minorHAnsi" w:hAnsiTheme="minorHAnsi" w:cstheme="minorHAnsi"/>
          <w:sz w:val="24"/>
          <w:szCs w:val="24"/>
        </w:rPr>
        <w:t xml:space="preserve">izvještaj o danim jamstvima i </w:t>
      </w:r>
      <w:r>
        <w:rPr>
          <w:rFonts w:asciiTheme="minorHAnsi" w:hAnsiTheme="minorHAnsi" w:cstheme="minorHAnsi"/>
          <w:sz w:val="24"/>
          <w:szCs w:val="24"/>
        </w:rPr>
        <w:t>plaćanjima po protestiranim</w:t>
      </w:r>
      <w:r w:rsidRPr="00800767">
        <w:rPr>
          <w:rFonts w:asciiTheme="minorHAnsi" w:hAnsiTheme="minorHAnsi" w:cstheme="minorHAnsi"/>
          <w:sz w:val="24"/>
          <w:szCs w:val="24"/>
        </w:rPr>
        <w:t xml:space="preserve"> </w:t>
      </w:r>
      <w:r>
        <w:rPr>
          <w:rFonts w:asciiTheme="minorHAnsi" w:hAnsiTheme="minorHAnsi" w:cstheme="minorHAnsi"/>
          <w:sz w:val="24"/>
          <w:szCs w:val="24"/>
        </w:rPr>
        <w:t xml:space="preserve"> jamstvima</w:t>
      </w:r>
      <w:r w:rsidR="00F62DF9">
        <w:rPr>
          <w:rFonts w:asciiTheme="minorHAnsi" w:hAnsiTheme="minorHAnsi" w:cstheme="minorHAnsi"/>
          <w:sz w:val="24"/>
          <w:szCs w:val="24"/>
        </w:rPr>
        <w:t xml:space="preserve">, izvještaj o korištenju sredstava fondova Europske unije, </w:t>
      </w:r>
      <w:r w:rsidR="00F62DF9">
        <w:rPr>
          <w:rFonts w:asciiTheme="minorHAnsi" w:hAnsiTheme="minorHAnsi" w:cstheme="minorHAnsi"/>
          <w:sz w:val="24"/>
          <w:szCs w:val="24"/>
        </w:rPr>
        <w:lastRenderedPageBreak/>
        <w:t>izvještaj o danim zajmovima i potraživanjima po danim zajmovima i izvještaj o stanju potraživanja i dospjelih obveza te o stanju potencijalnih obveza po osnovi sudskih sporova</w:t>
      </w:r>
      <w:r>
        <w:rPr>
          <w:rFonts w:asciiTheme="minorHAnsi" w:hAnsiTheme="minorHAnsi" w:cstheme="minorHAnsi"/>
          <w:sz w:val="24"/>
          <w:szCs w:val="24"/>
        </w:rPr>
        <w:t>).</w:t>
      </w:r>
    </w:p>
    <w:p w14:paraId="34633F46" w14:textId="77777777" w:rsidR="00BD1E7E" w:rsidRDefault="00BD1E7E" w:rsidP="00BD1E7E">
      <w:pPr>
        <w:spacing w:after="0" w:line="240" w:lineRule="auto"/>
        <w:jc w:val="both"/>
        <w:rPr>
          <w:rFonts w:cstheme="minorHAnsi"/>
          <w:sz w:val="24"/>
          <w:szCs w:val="24"/>
        </w:rPr>
      </w:pPr>
    </w:p>
    <w:p w14:paraId="4E2B25EF" w14:textId="23EB652E" w:rsidR="00307B31" w:rsidRDefault="00F71935" w:rsidP="00C012CC">
      <w:pPr>
        <w:pStyle w:val="Default"/>
        <w:jc w:val="both"/>
        <w:rPr>
          <w:rFonts w:asciiTheme="minorHAnsi" w:hAnsiTheme="minorHAnsi" w:cstheme="minorHAnsi"/>
        </w:rPr>
      </w:pPr>
      <w:r>
        <w:rPr>
          <w:rFonts w:asciiTheme="minorHAnsi" w:hAnsiTheme="minorHAnsi" w:cstheme="minorHAnsi"/>
        </w:rPr>
        <w:t>Izvještaj</w:t>
      </w:r>
      <w:r w:rsidR="00C012CC" w:rsidRPr="0078496E">
        <w:rPr>
          <w:rFonts w:asciiTheme="minorHAnsi" w:hAnsiTheme="minorHAnsi" w:cstheme="minorHAnsi"/>
        </w:rPr>
        <w:t xml:space="preserve"> o izvr</w:t>
      </w:r>
      <w:r w:rsidR="003E76D4">
        <w:rPr>
          <w:rFonts w:asciiTheme="minorHAnsi" w:hAnsiTheme="minorHAnsi" w:cstheme="minorHAnsi"/>
        </w:rPr>
        <w:t>šenju proračuna temelji se i</w:t>
      </w:r>
      <w:r>
        <w:rPr>
          <w:rFonts w:asciiTheme="minorHAnsi" w:hAnsiTheme="minorHAnsi" w:cstheme="minorHAnsi"/>
        </w:rPr>
        <w:t xml:space="preserve"> na</w:t>
      </w:r>
      <w:r w:rsidR="003E76D4">
        <w:rPr>
          <w:rFonts w:asciiTheme="minorHAnsi" w:hAnsiTheme="minorHAnsi" w:cstheme="minorHAnsi"/>
        </w:rPr>
        <w:t xml:space="preserve"> </w:t>
      </w:r>
      <w:r w:rsidR="00C012CC" w:rsidRPr="0078496E">
        <w:rPr>
          <w:rFonts w:asciiTheme="minorHAnsi" w:hAnsiTheme="minorHAnsi" w:cstheme="minorHAnsi"/>
        </w:rPr>
        <w:t>Uputama za izradu proračuna jedinica lokalne i područne (regionalne)</w:t>
      </w:r>
      <w:r w:rsidR="00146EBE">
        <w:rPr>
          <w:rFonts w:asciiTheme="minorHAnsi" w:hAnsiTheme="minorHAnsi" w:cstheme="minorHAnsi"/>
        </w:rPr>
        <w:t xml:space="preserve"> samouprave za razdoblje od 202</w:t>
      </w:r>
      <w:r w:rsidR="00850E0F">
        <w:rPr>
          <w:rFonts w:asciiTheme="minorHAnsi" w:hAnsiTheme="minorHAnsi" w:cstheme="minorHAnsi"/>
        </w:rPr>
        <w:t>5</w:t>
      </w:r>
      <w:r w:rsidR="00146EBE">
        <w:rPr>
          <w:rFonts w:asciiTheme="minorHAnsi" w:hAnsiTheme="minorHAnsi" w:cstheme="minorHAnsi"/>
        </w:rPr>
        <w:t>. do 202</w:t>
      </w:r>
      <w:r w:rsidR="00850E0F">
        <w:rPr>
          <w:rFonts w:asciiTheme="minorHAnsi" w:hAnsiTheme="minorHAnsi" w:cstheme="minorHAnsi"/>
        </w:rPr>
        <w:t>7</w:t>
      </w:r>
      <w:r w:rsidR="00C012CC" w:rsidRPr="0078496E">
        <w:rPr>
          <w:rFonts w:asciiTheme="minorHAnsi" w:hAnsiTheme="minorHAnsi" w:cstheme="minorHAnsi"/>
        </w:rPr>
        <w:t xml:space="preserve">. godine, kojima je određeno da jedinice lokalne i područne (regionalne) samouprave koje odlukama o izvršavanju proračuna propišu izuzeće od obveze uplate vlastitih i namjenskih prihoda i primitaka korisnika u proračun, moraju osigurati izvještajno praćenje ostvarivanja vlastitih i namjenskih prihoda i primitaka, kao i njihova trošenja. Ovi podaci moraju biti uključeni u </w:t>
      </w:r>
      <w:r w:rsidR="00A73C61">
        <w:rPr>
          <w:rFonts w:asciiTheme="minorHAnsi" w:hAnsiTheme="minorHAnsi" w:cstheme="minorHAnsi"/>
        </w:rPr>
        <w:t xml:space="preserve">godišnji i </w:t>
      </w:r>
      <w:r w:rsidR="00084B9C">
        <w:rPr>
          <w:rFonts w:asciiTheme="minorHAnsi" w:hAnsiTheme="minorHAnsi" w:cstheme="minorHAnsi"/>
        </w:rPr>
        <w:t>polu</w:t>
      </w:r>
      <w:r w:rsidR="00A73C61">
        <w:rPr>
          <w:rFonts w:asciiTheme="minorHAnsi" w:hAnsiTheme="minorHAnsi" w:cstheme="minorHAnsi"/>
        </w:rPr>
        <w:t>godišnji</w:t>
      </w:r>
      <w:r w:rsidR="00C012CC" w:rsidRPr="0078496E">
        <w:rPr>
          <w:rFonts w:asciiTheme="minorHAnsi" w:hAnsiTheme="minorHAnsi" w:cstheme="minorHAnsi"/>
        </w:rPr>
        <w:t xml:space="preserve"> izvještaj o izvršenju proračuna jedinice lokalne i područne (regionalne) samouprave.</w:t>
      </w:r>
      <w:r w:rsidR="000C33B0" w:rsidRPr="0078496E">
        <w:rPr>
          <w:rFonts w:asciiTheme="minorHAnsi" w:hAnsiTheme="minorHAnsi" w:cstheme="minorHAnsi"/>
        </w:rPr>
        <w:t xml:space="preserve"> </w:t>
      </w:r>
    </w:p>
    <w:p w14:paraId="097DA33A" w14:textId="2BA61D31" w:rsidR="0078496E" w:rsidRDefault="000C33B0" w:rsidP="00C012CC">
      <w:pPr>
        <w:pStyle w:val="Default"/>
        <w:jc w:val="both"/>
        <w:rPr>
          <w:rFonts w:asciiTheme="minorHAnsi" w:hAnsiTheme="minorHAnsi" w:cstheme="minorHAnsi"/>
        </w:rPr>
      </w:pPr>
      <w:r w:rsidRPr="0078496E">
        <w:rPr>
          <w:rFonts w:asciiTheme="minorHAnsi" w:hAnsiTheme="minorHAnsi" w:cstheme="minorHAnsi"/>
        </w:rPr>
        <w:t>Stoga se ukupno iskazani prihodi i pr</w:t>
      </w:r>
      <w:r w:rsidR="00EF0018">
        <w:rPr>
          <w:rFonts w:asciiTheme="minorHAnsi" w:hAnsiTheme="minorHAnsi" w:cstheme="minorHAnsi"/>
        </w:rPr>
        <w:t xml:space="preserve">imici te rashodi i izdaci u </w:t>
      </w:r>
      <w:r w:rsidRPr="0078496E">
        <w:rPr>
          <w:rFonts w:asciiTheme="minorHAnsi" w:hAnsiTheme="minorHAnsi" w:cstheme="minorHAnsi"/>
        </w:rPr>
        <w:t>godišnjem izvještaju o izvršenju Proračuna Grada Trogira z</w:t>
      </w:r>
      <w:r w:rsidR="00146EBE">
        <w:rPr>
          <w:rFonts w:asciiTheme="minorHAnsi" w:hAnsiTheme="minorHAnsi" w:cstheme="minorHAnsi"/>
        </w:rPr>
        <w:t xml:space="preserve">a </w:t>
      </w:r>
      <w:r w:rsidR="00A1589D">
        <w:rPr>
          <w:rFonts w:asciiTheme="minorHAnsi" w:hAnsiTheme="minorHAnsi" w:cstheme="minorHAnsi"/>
        </w:rPr>
        <w:t xml:space="preserve">izvještajno </w:t>
      </w:r>
      <w:r w:rsidR="00146EBE">
        <w:rPr>
          <w:rFonts w:asciiTheme="minorHAnsi" w:hAnsiTheme="minorHAnsi" w:cstheme="minorHAnsi"/>
        </w:rPr>
        <w:t>razdoblje 202</w:t>
      </w:r>
      <w:r w:rsidR="00850E0F">
        <w:rPr>
          <w:rFonts w:asciiTheme="minorHAnsi" w:hAnsiTheme="minorHAnsi" w:cstheme="minorHAnsi"/>
        </w:rPr>
        <w:t>5</w:t>
      </w:r>
      <w:r w:rsidRPr="0078496E">
        <w:rPr>
          <w:rFonts w:asciiTheme="minorHAnsi" w:hAnsiTheme="minorHAnsi" w:cstheme="minorHAnsi"/>
        </w:rPr>
        <w:t>. odnose na Grad Trogir i 5 proračunskih korisnika (Dječji vrtić Trogir, Gradska knjižnica Trogir, Muzej Grada Trogira</w:t>
      </w:r>
      <w:r w:rsidR="00F31C6F">
        <w:rPr>
          <w:rFonts w:asciiTheme="minorHAnsi" w:hAnsiTheme="minorHAnsi" w:cstheme="minorHAnsi"/>
        </w:rPr>
        <w:t xml:space="preserve">, </w:t>
      </w:r>
      <w:r w:rsidR="00207602">
        <w:rPr>
          <w:rFonts w:asciiTheme="minorHAnsi" w:hAnsiTheme="minorHAnsi" w:cstheme="minorHAnsi"/>
        </w:rPr>
        <w:t xml:space="preserve">J.U. </w:t>
      </w:r>
      <w:r w:rsidR="00830EEA" w:rsidRPr="0078496E">
        <w:rPr>
          <w:rFonts w:asciiTheme="minorHAnsi" w:hAnsiTheme="minorHAnsi" w:cstheme="minorHAnsi"/>
        </w:rPr>
        <w:t>S</w:t>
      </w:r>
      <w:r w:rsidRPr="0078496E">
        <w:rPr>
          <w:rFonts w:asciiTheme="minorHAnsi" w:hAnsiTheme="minorHAnsi" w:cstheme="minorHAnsi"/>
        </w:rPr>
        <w:t>portski objekti Trogir i Javna vatrogasna postrojba</w:t>
      </w:r>
      <w:r w:rsidR="00207602">
        <w:rPr>
          <w:rFonts w:asciiTheme="minorHAnsi" w:hAnsiTheme="minorHAnsi" w:cstheme="minorHAnsi"/>
        </w:rPr>
        <w:t xml:space="preserve"> Grada Trogira</w:t>
      </w:r>
      <w:r w:rsidRPr="0078496E">
        <w:rPr>
          <w:rFonts w:asciiTheme="minorHAnsi" w:hAnsiTheme="minorHAnsi" w:cstheme="minorHAnsi"/>
        </w:rPr>
        <w:t>).</w:t>
      </w:r>
    </w:p>
    <w:p w14:paraId="726A4821" w14:textId="0057C21F" w:rsidR="00307B31" w:rsidRDefault="00307B31" w:rsidP="00C012CC">
      <w:pPr>
        <w:pStyle w:val="Default"/>
        <w:jc w:val="both"/>
        <w:rPr>
          <w:rFonts w:asciiTheme="minorHAnsi" w:hAnsiTheme="minorHAnsi" w:cstheme="minorHAnsi"/>
        </w:rPr>
      </w:pPr>
      <w:r>
        <w:rPr>
          <w:rFonts w:asciiTheme="minorHAnsi" w:hAnsiTheme="minorHAnsi" w:cstheme="minorHAnsi"/>
        </w:rPr>
        <w:t>Novi Zakon o proračunu donio je značajnu promjenu za proračunske korisnike jer ih je izjednačio s JLP</w:t>
      </w:r>
      <w:r w:rsidR="009B739A">
        <w:rPr>
          <w:rFonts w:asciiTheme="minorHAnsi" w:hAnsiTheme="minorHAnsi" w:cstheme="minorHAnsi"/>
        </w:rPr>
        <w:t>(R)</w:t>
      </w:r>
      <w:r>
        <w:rPr>
          <w:rFonts w:asciiTheme="minorHAnsi" w:hAnsiTheme="minorHAnsi" w:cstheme="minorHAnsi"/>
        </w:rPr>
        <w:t xml:space="preserve">S pa godišnji i </w:t>
      </w:r>
      <w:r w:rsidR="00DE411D">
        <w:rPr>
          <w:rFonts w:asciiTheme="minorHAnsi" w:hAnsiTheme="minorHAnsi" w:cstheme="minorHAnsi"/>
        </w:rPr>
        <w:t>polu</w:t>
      </w:r>
      <w:r>
        <w:rPr>
          <w:rFonts w:asciiTheme="minorHAnsi" w:hAnsiTheme="minorHAnsi" w:cstheme="minorHAnsi"/>
        </w:rPr>
        <w:t xml:space="preserve">godišnji izvještaj o izvršenju financijskog plana proračunskog korisnika treba sadržavati iste sastavne dijelove kao i polugodišnji i godišnji izvještaj o izvršenju proračuna </w:t>
      </w:r>
      <w:r w:rsidR="004D4B48">
        <w:rPr>
          <w:rFonts w:asciiTheme="minorHAnsi" w:hAnsiTheme="minorHAnsi" w:cstheme="minorHAnsi"/>
        </w:rPr>
        <w:t>JLP(R)S</w:t>
      </w:r>
      <w:r>
        <w:rPr>
          <w:rFonts w:asciiTheme="minorHAnsi" w:hAnsiTheme="minorHAnsi" w:cstheme="minorHAnsi"/>
        </w:rPr>
        <w:t>.</w:t>
      </w:r>
    </w:p>
    <w:p w14:paraId="1E67A3D4" w14:textId="4DD4598E" w:rsidR="00307B31" w:rsidRDefault="00307B31" w:rsidP="00C012CC">
      <w:pPr>
        <w:pStyle w:val="Default"/>
        <w:jc w:val="both"/>
        <w:rPr>
          <w:rFonts w:asciiTheme="minorHAnsi" w:hAnsiTheme="minorHAnsi" w:cstheme="minorHAnsi"/>
        </w:rPr>
      </w:pPr>
      <w:r>
        <w:rPr>
          <w:rFonts w:asciiTheme="minorHAnsi" w:hAnsiTheme="minorHAnsi" w:cstheme="minorHAnsi"/>
        </w:rPr>
        <w:t xml:space="preserve">Ostale promjene su manjeg značaja i odnose se na određene promjene u izgledu i sadržaju općeg i posebnog dijela, a što se tiče posebnih izvještaja, precizirano je koji posebni izvještaji se sastavljaju kod godišnjeg izvještaja, a koji kod </w:t>
      </w:r>
      <w:r w:rsidR="00A1589D">
        <w:rPr>
          <w:rFonts w:asciiTheme="minorHAnsi" w:hAnsiTheme="minorHAnsi" w:cstheme="minorHAnsi"/>
        </w:rPr>
        <w:t>polu</w:t>
      </w:r>
      <w:r>
        <w:rPr>
          <w:rFonts w:asciiTheme="minorHAnsi" w:hAnsiTheme="minorHAnsi" w:cstheme="minorHAnsi"/>
        </w:rPr>
        <w:t>godišnjeg izvještaja.</w:t>
      </w:r>
    </w:p>
    <w:p w14:paraId="0904B14B" w14:textId="77777777" w:rsidR="000346F9" w:rsidRDefault="000346F9" w:rsidP="00C012CC">
      <w:pPr>
        <w:pStyle w:val="Default"/>
        <w:jc w:val="both"/>
        <w:rPr>
          <w:rFonts w:asciiTheme="minorHAnsi" w:hAnsiTheme="minorHAnsi" w:cstheme="minorHAnsi"/>
        </w:rPr>
      </w:pPr>
    </w:p>
    <w:p w14:paraId="14124358" w14:textId="78192AFA" w:rsidR="00F71935" w:rsidRDefault="00F71935" w:rsidP="00C012CC">
      <w:pPr>
        <w:pStyle w:val="Default"/>
        <w:jc w:val="both"/>
        <w:rPr>
          <w:rFonts w:asciiTheme="minorHAnsi" w:hAnsiTheme="minorHAnsi" w:cstheme="minorHAnsi"/>
        </w:rPr>
      </w:pPr>
      <w:r>
        <w:rPr>
          <w:rFonts w:asciiTheme="minorHAnsi" w:hAnsiTheme="minorHAnsi" w:cstheme="minorHAnsi"/>
        </w:rPr>
        <w:t xml:space="preserve">Financiranje javnih </w:t>
      </w:r>
      <w:r w:rsidR="00146EBE">
        <w:rPr>
          <w:rFonts w:asciiTheme="minorHAnsi" w:hAnsiTheme="minorHAnsi" w:cstheme="minorHAnsi"/>
        </w:rPr>
        <w:t>rashoda u 202</w:t>
      </w:r>
      <w:r w:rsidR="00850E0F">
        <w:rPr>
          <w:rFonts w:asciiTheme="minorHAnsi" w:hAnsiTheme="minorHAnsi" w:cstheme="minorHAnsi"/>
        </w:rPr>
        <w:t>5</w:t>
      </w:r>
      <w:r w:rsidR="00A73C61">
        <w:rPr>
          <w:rFonts w:asciiTheme="minorHAnsi" w:hAnsiTheme="minorHAnsi" w:cstheme="minorHAnsi"/>
        </w:rPr>
        <w:t>.godin</w:t>
      </w:r>
      <w:r w:rsidR="00963392">
        <w:rPr>
          <w:rFonts w:asciiTheme="minorHAnsi" w:hAnsiTheme="minorHAnsi" w:cstheme="minorHAnsi"/>
        </w:rPr>
        <w:t>i</w:t>
      </w:r>
      <w:r w:rsidR="00CB345F">
        <w:rPr>
          <w:rFonts w:asciiTheme="minorHAnsi" w:hAnsiTheme="minorHAnsi" w:cstheme="minorHAnsi"/>
        </w:rPr>
        <w:t xml:space="preserve"> izvršeno je na osnovi sljedećih financijsko-planskih</w:t>
      </w:r>
      <w:r>
        <w:rPr>
          <w:rFonts w:asciiTheme="minorHAnsi" w:hAnsiTheme="minorHAnsi" w:cstheme="minorHAnsi"/>
        </w:rPr>
        <w:t xml:space="preserve"> dokumen</w:t>
      </w:r>
      <w:r w:rsidR="00CB345F">
        <w:rPr>
          <w:rFonts w:asciiTheme="minorHAnsi" w:hAnsiTheme="minorHAnsi" w:cstheme="minorHAnsi"/>
        </w:rPr>
        <w:t>a</w:t>
      </w:r>
      <w:r>
        <w:rPr>
          <w:rFonts w:asciiTheme="minorHAnsi" w:hAnsiTheme="minorHAnsi" w:cstheme="minorHAnsi"/>
        </w:rPr>
        <w:t xml:space="preserve">ta: </w:t>
      </w:r>
    </w:p>
    <w:p w14:paraId="1BAE4A2F" w14:textId="1168040B" w:rsidR="000C7CCA" w:rsidRDefault="00F71935">
      <w:pPr>
        <w:pStyle w:val="Default"/>
        <w:numPr>
          <w:ilvl w:val="0"/>
          <w:numId w:val="3"/>
        </w:numPr>
        <w:jc w:val="both"/>
        <w:rPr>
          <w:rFonts w:asciiTheme="minorHAnsi" w:hAnsiTheme="minorHAnsi" w:cstheme="minorHAnsi"/>
        </w:rPr>
      </w:pPr>
      <w:r>
        <w:rPr>
          <w:rFonts w:asciiTheme="minorHAnsi" w:hAnsiTheme="minorHAnsi" w:cstheme="minorHAnsi"/>
        </w:rPr>
        <w:t>Proračun</w:t>
      </w:r>
      <w:r w:rsidR="005E3520">
        <w:rPr>
          <w:rFonts w:asciiTheme="minorHAnsi" w:hAnsiTheme="minorHAnsi" w:cstheme="minorHAnsi"/>
        </w:rPr>
        <w:t>a</w:t>
      </w:r>
      <w:r w:rsidR="00A73C61">
        <w:rPr>
          <w:rFonts w:asciiTheme="minorHAnsi" w:hAnsiTheme="minorHAnsi" w:cstheme="minorHAnsi"/>
        </w:rPr>
        <w:t xml:space="preserve"> Grada Trogira za 202</w:t>
      </w:r>
      <w:r w:rsidR="00850E0F">
        <w:rPr>
          <w:rFonts w:asciiTheme="minorHAnsi" w:hAnsiTheme="minorHAnsi" w:cstheme="minorHAnsi"/>
        </w:rPr>
        <w:t>5</w:t>
      </w:r>
      <w:r>
        <w:rPr>
          <w:rFonts w:asciiTheme="minorHAnsi" w:hAnsiTheme="minorHAnsi" w:cstheme="minorHAnsi"/>
        </w:rPr>
        <w:t xml:space="preserve">.godinu i projekcije </w:t>
      </w:r>
      <w:r w:rsidR="00A73C61">
        <w:rPr>
          <w:rFonts w:asciiTheme="minorHAnsi" w:hAnsiTheme="minorHAnsi" w:cstheme="minorHAnsi"/>
        </w:rPr>
        <w:t>za 202</w:t>
      </w:r>
      <w:r w:rsidR="00850E0F">
        <w:rPr>
          <w:rFonts w:asciiTheme="minorHAnsi" w:hAnsiTheme="minorHAnsi" w:cstheme="minorHAnsi"/>
        </w:rPr>
        <w:t>6</w:t>
      </w:r>
      <w:r w:rsidR="00A73C61">
        <w:rPr>
          <w:rFonts w:asciiTheme="minorHAnsi" w:hAnsiTheme="minorHAnsi" w:cstheme="minorHAnsi"/>
        </w:rPr>
        <w:t>. i 202</w:t>
      </w:r>
      <w:r w:rsidR="00850E0F">
        <w:rPr>
          <w:rFonts w:asciiTheme="minorHAnsi" w:hAnsiTheme="minorHAnsi" w:cstheme="minorHAnsi"/>
        </w:rPr>
        <w:t>7</w:t>
      </w:r>
      <w:r w:rsidR="005E3520">
        <w:rPr>
          <w:rFonts w:asciiTheme="minorHAnsi" w:hAnsiTheme="minorHAnsi" w:cstheme="minorHAnsi"/>
        </w:rPr>
        <w:t>. godinu i Odluke</w:t>
      </w:r>
      <w:r>
        <w:rPr>
          <w:rFonts w:asciiTheme="minorHAnsi" w:hAnsiTheme="minorHAnsi" w:cstheme="minorHAnsi"/>
        </w:rPr>
        <w:t xml:space="preserve"> o izvršavanju</w:t>
      </w:r>
      <w:r w:rsidR="00A73C61">
        <w:rPr>
          <w:rFonts w:asciiTheme="minorHAnsi" w:hAnsiTheme="minorHAnsi" w:cstheme="minorHAnsi"/>
        </w:rPr>
        <w:t xml:space="preserve"> proračuna Grada Trogira za 202</w:t>
      </w:r>
      <w:r w:rsidR="00850E0F">
        <w:rPr>
          <w:rFonts w:asciiTheme="minorHAnsi" w:hAnsiTheme="minorHAnsi" w:cstheme="minorHAnsi"/>
        </w:rPr>
        <w:t>5</w:t>
      </w:r>
      <w:r>
        <w:rPr>
          <w:rFonts w:asciiTheme="minorHAnsi" w:hAnsiTheme="minorHAnsi" w:cstheme="minorHAnsi"/>
        </w:rPr>
        <w:t xml:space="preserve">. godinu koje </w:t>
      </w:r>
      <w:r w:rsidR="00CB345F">
        <w:rPr>
          <w:rFonts w:asciiTheme="minorHAnsi" w:hAnsiTheme="minorHAnsi" w:cstheme="minorHAnsi"/>
        </w:rPr>
        <w:t xml:space="preserve">je donijelo Gradsko vijeće na </w:t>
      </w:r>
      <w:r w:rsidR="005F440C">
        <w:rPr>
          <w:rFonts w:asciiTheme="minorHAnsi" w:hAnsiTheme="minorHAnsi" w:cstheme="minorHAnsi"/>
        </w:rPr>
        <w:t>27</w:t>
      </w:r>
      <w:r w:rsidR="00A73C61">
        <w:rPr>
          <w:rFonts w:asciiTheme="minorHAnsi" w:hAnsiTheme="minorHAnsi" w:cstheme="minorHAnsi"/>
        </w:rPr>
        <w:t xml:space="preserve">. sjednici održanoj dana </w:t>
      </w:r>
      <w:r w:rsidR="005F440C">
        <w:rPr>
          <w:rFonts w:asciiTheme="minorHAnsi" w:hAnsiTheme="minorHAnsi" w:cstheme="minorHAnsi"/>
        </w:rPr>
        <w:t>05</w:t>
      </w:r>
      <w:r w:rsidR="00A73C61">
        <w:rPr>
          <w:rFonts w:asciiTheme="minorHAnsi" w:hAnsiTheme="minorHAnsi" w:cstheme="minorHAnsi"/>
        </w:rPr>
        <w:t xml:space="preserve">. </w:t>
      </w:r>
      <w:r w:rsidR="005F440C">
        <w:rPr>
          <w:rFonts w:asciiTheme="minorHAnsi" w:hAnsiTheme="minorHAnsi" w:cstheme="minorHAnsi"/>
        </w:rPr>
        <w:t>prosinca</w:t>
      </w:r>
      <w:r w:rsidR="00A73C61">
        <w:rPr>
          <w:rFonts w:asciiTheme="minorHAnsi" w:hAnsiTheme="minorHAnsi" w:cstheme="minorHAnsi"/>
        </w:rPr>
        <w:t xml:space="preserve"> 202</w:t>
      </w:r>
      <w:r w:rsidR="005F440C">
        <w:rPr>
          <w:rFonts w:asciiTheme="minorHAnsi" w:hAnsiTheme="minorHAnsi" w:cstheme="minorHAnsi"/>
        </w:rPr>
        <w:t>4</w:t>
      </w:r>
      <w:r>
        <w:rPr>
          <w:rFonts w:asciiTheme="minorHAnsi" w:hAnsiTheme="minorHAnsi" w:cstheme="minorHAnsi"/>
        </w:rPr>
        <w:t>. godine, a objavljeni su u Službenom</w:t>
      </w:r>
      <w:r w:rsidR="00CB345F">
        <w:rPr>
          <w:rFonts w:asciiTheme="minorHAnsi" w:hAnsiTheme="minorHAnsi" w:cstheme="minorHAnsi"/>
        </w:rPr>
        <w:t xml:space="preserve"> glasniku Grada Trogira br.</w:t>
      </w:r>
      <w:r w:rsidR="00FD00F0">
        <w:rPr>
          <w:rFonts w:asciiTheme="minorHAnsi" w:hAnsiTheme="minorHAnsi" w:cstheme="minorHAnsi"/>
        </w:rPr>
        <w:t>3</w:t>
      </w:r>
      <w:r w:rsidR="003A3BCA">
        <w:rPr>
          <w:rFonts w:asciiTheme="minorHAnsi" w:hAnsiTheme="minorHAnsi" w:cstheme="minorHAnsi"/>
        </w:rPr>
        <w:t>3/24.</w:t>
      </w:r>
    </w:p>
    <w:p w14:paraId="3CF9A908" w14:textId="77777777" w:rsidR="0072248B" w:rsidRPr="00994327" w:rsidRDefault="0072248B" w:rsidP="0072248B">
      <w:pPr>
        <w:pStyle w:val="Default"/>
        <w:numPr>
          <w:ilvl w:val="0"/>
          <w:numId w:val="3"/>
        </w:numPr>
        <w:jc w:val="both"/>
        <w:rPr>
          <w:rFonts w:asciiTheme="minorHAnsi" w:hAnsiTheme="minorHAnsi" w:cstheme="minorHAnsi"/>
        </w:rPr>
      </w:pPr>
      <w:r w:rsidRPr="00F66FAC">
        <w:rPr>
          <w:rFonts w:asciiTheme="minorHAnsi" w:hAnsiTheme="minorHAnsi" w:cstheme="minorHAnsi"/>
          <w:iCs/>
        </w:rPr>
        <w:t>Odluka o I. preraspodjeli Proračuna Grada Trogira za 2025.godinu koj</w:t>
      </w:r>
      <w:r>
        <w:rPr>
          <w:rFonts w:asciiTheme="minorHAnsi" w:hAnsiTheme="minorHAnsi" w:cstheme="minorHAnsi"/>
          <w:iCs/>
        </w:rPr>
        <w:t xml:space="preserve">a je donesena dana 17.veljače 2025.godine </w:t>
      </w:r>
    </w:p>
    <w:p w14:paraId="608B64B8" w14:textId="77777777" w:rsidR="0072248B" w:rsidRPr="00994327" w:rsidRDefault="0072248B" w:rsidP="0072248B">
      <w:pPr>
        <w:pStyle w:val="Default"/>
        <w:numPr>
          <w:ilvl w:val="0"/>
          <w:numId w:val="3"/>
        </w:numPr>
        <w:jc w:val="both"/>
        <w:rPr>
          <w:rFonts w:asciiTheme="minorHAnsi" w:hAnsiTheme="minorHAnsi" w:cstheme="minorHAnsi"/>
        </w:rPr>
      </w:pPr>
      <w:r w:rsidRPr="00F66FAC">
        <w:rPr>
          <w:rFonts w:asciiTheme="minorHAnsi" w:hAnsiTheme="minorHAnsi" w:cstheme="minorHAnsi"/>
          <w:iCs/>
        </w:rPr>
        <w:t>Odluka o I</w:t>
      </w:r>
      <w:r>
        <w:rPr>
          <w:rFonts w:asciiTheme="minorHAnsi" w:hAnsiTheme="minorHAnsi" w:cstheme="minorHAnsi"/>
          <w:iCs/>
        </w:rPr>
        <w:t>I</w:t>
      </w:r>
      <w:r w:rsidRPr="00F66FAC">
        <w:rPr>
          <w:rFonts w:asciiTheme="minorHAnsi" w:hAnsiTheme="minorHAnsi" w:cstheme="minorHAnsi"/>
          <w:iCs/>
        </w:rPr>
        <w:t>. preraspodjeli Proračuna Grada Trogira za 2025.godinu koj</w:t>
      </w:r>
      <w:r>
        <w:rPr>
          <w:rFonts w:asciiTheme="minorHAnsi" w:hAnsiTheme="minorHAnsi" w:cstheme="minorHAnsi"/>
          <w:iCs/>
        </w:rPr>
        <w:t xml:space="preserve">a je donesena dana 14.travnja 2025.godine </w:t>
      </w:r>
    </w:p>
    <w:p w14:paraId="2AF6CB0D" w14:textId="41AE61A5" w:rsidR="00A1589D" w:rsidRPr="0072248B" w:rsidRDefault="00A1589D" w:rsidP="0072248B">
      <w:pPr>
        <w:pStyle w:val="Default"/>
        <w:numPr>
          <w:ilvl w:val="0"/>
          <w:numId w:val="3"/>
        </w:numPr>
        <w:jc w:val="both"/>
        <w:rPr>
          <w:rFonts w:asciiTheme="minorHAnsi" w:hAnsiTheme="minorHAnsi" w:cstheme="minorHAnsi"/>
        </w:rPr>
      </w:pPr>
      <w:r w:rsidRPr="0072248B">
        <w:rPr>
          <w:rFonts w:asciiTheme="minorHAnsi" w:hAnsiTheme="minorHAnsi" w:cstheme="minorHAnsi"/>
          <w:iCs/>
        </w:rPr>
        <w:t>I. izmjene i dopune proračuna Grada Trogira za 202</w:t>
      </w:r>
      <w:r w:rsidR="005F440C" w:rsidRPr="0072248B">
        <w:rPr>
          <w:rFonts w:asciiTheme="minorHAnsi" w:hAnsiTheme="minorHAnsi" w:cstheme="minorHAnsi"/>
          <w:iCs/>
        </w:rPr>
        <w:t>5</w:t>
      </w:r>
      <w:r w:rsidRPr="0072248B">
        <w:rPr>
          <w:rFonts w:asciiTheme="minorHAnsi" w:hAnsiTheme="minorHAnsi" w:cstheme="minorHAnsi"/>
          <w:iCs/>
        </w:rPr>
        <w:t xml:space="preserve">.godinu koje je donijelo Gradsko vijeće na </w:t>
      </w:r>
      <w:r w:rsidR="00532768" w:rsidRPr="0072248B">
        <w:rPr>
          <w:rFonts w:asciiTheme="minorHAnsi" w:hAnsiTheme="minorHAnsi" w:cstheme="minorHAnsi"/>
          <w:iCs/>
        </w:rPr>
        <w:t>2</w:t>
      </w:r>
      <w:r w:rsidRPr="0072248B">
        <w:rPr>
          <w:rFonts w:asciiTheme="minorHAnsi" w:hAnsiTheme="minorHAnsi" w:cstheme="minorHAnsi"/>
          <w:iCs/>
        </w:rPr>
        <w:t xml:space="preserve">.sjednici održanoj dana </w:t>
      </w:r>
      <w:r w:rsidR="005F440C" w:rsidRPr="0072248B">
        <w:rPr>
          <w:rFonts w:asciiTheme="minorHAnsi" w:hAnsiTheme="minorHAnsi" w:cstheme="minorHAnsi"/>
          <w:iCs/>
        </w:rPr>
        <w:t>22.srpnja 2025</w:t>
      </w:r>
      <w:r w:rsidRPr="0072248B">
        <w:rPr>
          <w:rFonts w:asciiTheme="minorHAnsi" w:hAnsiTheme="minorHAnsi" w:cstheme="minorHAnsi"/>
          <w:iCs/>
        </w:rPr>
        <w:t xml:space="preserve">.godine, a koje su objavljene u Službenom glasniku Grada Trogira br. </w:t>
      </w:r>
      <w:r w:rsidR="00532768" w:rsidRPr="0072248B">
        <w:rPr>
          <w:rFonts w:asciiTheme="minorHAnsi" w:hAnsiTheme="minorHAnsi" w:cstheme="minorHAnsi"/>
          <w:iCs/>
        </w:rPr>
        <w:t>1</w:t>
      </w:r>
      <w:r w:rsidR="003A3BCA" w:rsidRPr="0072248B">
        <w:rPr>
          <w:rFonts w:asciiTheme="minorHAnsi" w:hAnsiTheme="minorHAnsi" w:cstheme="minorHAnsi"/>
          <w:iCs/>
        </w:rPr>
        <w:t>6/25</w:t>
      </w:r>
      <w:r w:rsidRPr="0072248B">
        <w:rPr>
          <w:rFonts w:asciiTheme="minorHAnsi" w:hAnsiTheme="minorHAnsi" w:cstheme="minorHAnsi"/>
          <w:iCs/>
        </w:rPr>
        <w:t>.</w:t>
      </w:r>
    </w:p>
    <w:p w14:paraId="61BBF2AB" w14:textId="56C4B3B7" w:rsidR="00A1589D" w:rsidRDefault="00A1589D">
      <w:pPr>
        <w:pStyle w:val="Default"/>
        <w:numPr>
          <w:ilvl w:val="0"/>
          <w:numId w:val="3"/>
        </w:numPr>
        <w:jc w:val="both"/>
        <w:rPr>
          <w:rFonts w:asciiTheme="minorHAnsi" w:hAnsiTheme="minorHAnsi" w:cstheme="minorHAnsi"/>
          <w:iCs/>
        </w:rPr>
      </w:pPr>
      <w:r>
        <w:rPr>
          <w:rFonts w:asciiTheme="minorHAnsi" w:hAnsiTheme="minorHAnsi" w:cstheme="minorHAnsi"/>
          <w:iCs/>
        </w:rPr>
        <w:t>II. Izmjene i dopune proračuna Grada Trogira za 202</w:t>
      </w:r>
      <w:r w:rsidR="005F440C">
        <w:rPr>
          <w:rFonts w:asciiTheme="minorHAnsi" w:hAnsiTheme="minorHAnsi" w:cstheme="minorHAnsi"/>
          <w:iCs/>
        </w:rPr>
        <w:t>5</w:t>
      </w:r>
      <w:r>
        <w:rPr>
          <w:rFonts w:asciiTheme="minorHAnsi" w:hAnsiTheme="minorHAnsi" w:cstheme="minorHAnsi"/>
          <w:iCs/>
        </w:rPr>
        <w:t xml:space="preserve">.godinu koje je donijelo Gradsko vijeće na </w:t>
      </w:r>
      <w:r w:rsidR="005F440C">
        <w:rPr>
          <w:rFonts w:asciiTheme="minorHAnsi" w:hAnsiTheme="minorHAnsi" w:cstheme="minorHAnsi"/>
          <w:iCs/>
        </w:rPr>
        <w:t>3</w:t>
      </w:r>
      <w:r>
        <w:rPr>
          <w:rFonts w:asciiTheme="minorHAnsi" w:hAnsiTheme="minorHAnsi" w:cstheme="minorHAnsi"/>
          <w:iCs/>
        </w:rPr>
        <w:t xml:space="preserve">.sjednici održanoj dana </w:t>
      </w:r>
      <w:r w:rsidR="005F440C">
        <w:rPr>
          <w:rFonts w:asciiTheme="minorHAnsi" w:hAnsiTheme="minorHAnsi" w:cstheme="minorHAnsi"/>
          <w:iCs/>
        </w:rPr>
        <w:t>18. kolovoza 2025</w:t>
      </w:r>
      <w:r>
        <w:rPr>
          <w:rFonts w:asciiTheme="minorHAnsi" w:hAnsiTheme="minorHAnsi" w:cstheme="minorHAnsi"/>
          <w:iCs/>
        </w:rPr>
        <w:t>.godine, a koje su objavljene u službenom glasniku Grada Trogira br.</w:t>
      </w:r>
      <w:r w:rsidR="003A3BCA">
        <w:rPr>
          <w:rFonts w:asciiTheme="minorHAnsi" w:hAnsiTheme="minorHAnsi" w:cstheme="minorHAnsi"/>
          <w:iCs/>
        </w:rPr>
        <w:t>19/25</w:t>
      </w:r>
      <w:r>
        <w:rPr>
          <w:rFonts w:asciiTheme="minorHAnsi" w:hAnsiTheme="minorHAnsi" w:cstheme="minorHAnsi"/>
          <w:iCs/>
        </w:rPr>
        <w:t>.</w:t>
      </w:r>
    </w:p>
    <w:p w14:paraId="07DF20CD" w14:textId="1335A074" w:rsidR="00B10056" w:rsidRPr="00994327" w:rsidRDefault="00B10056" w:rsidP="00B10056">
      <w:pPr>
        <w:pStyle w:val="Default"/>
        <w:numPr>
          <w:ilvl w:val="0"/>
          <w:numId w:val="3"/>
        </w:numPr>
        <w:jc w:val="both"/>
        <w:rPr>
          <w:rFonts w:asciiTheme="minorHAnsi" w:hAnsiTheme="minorHAnsi" w:cstheme="minorHAnsi"/>
        </w:rPr>
      </w:pPr>
      <w:r w:rsidRPr="00F66FAC">
        <w:rPr>
          <w:rFonts w:asciiTheme="minorHAnsi" w:hAnsiTheme="minorHAnsi" w:cstheme="minorHAnsi"/>
          <w:iCs/>
        </w:rPr>
        <w:t>Odluka o I</w:t>
      </w:r>
      <w:r>
        <w:rPr>
          <w:rFonts w:asciiTheme="minorHAnsi" w:hAnsiTheme="minorHAnsi" w:cstheme="minorHAnsi"/>
          <w:iCs/>
        </w:rPr>
        <w:t>II</w:t>
      </w:r>
      <w:r w:rsidRPr="00F66FAC">
        <w:rPr>
          <w:rFonts w:asciiTheme="minorHAnsi" w:hAnsiTheme="minorHAnsi" w:cstheme="minorHAnsi"/>
          <w:iCs/>
        </w:rPr>
        <w:t>. preraspodjeli Proračuna Grada Trogira za 2025.godinu koj</w:t>
      </w:r>
      <w:r>
        <w:rPr>
          <w:rFonts w:asciiTheme="minorHAnsi" w:hAnsiTheme="minorHAnsi" w:cstheme="minorHAnsi"/>
          <w:iCs/>
        </w:rPr>
        <w:t xml:space="preserve">a je donesena dana 30.rujna  2025.godine </w:t>
      </w:r>
    </w:p>
    <w:p w14:paraId="07D52A7B" w14:textId="6C6167DA" w:rsidR="00A1589D" w:rsidRDefault="00A1589D" w:rsidP="00B10056">
      <w:pPr>
        <w:pStyle w:val="Default"/>
        <w:numPr>
          <w:ilvl w:val="0"/>
          <w:numId w:val="3"/>
        </w:numPr>
        <w:jc w:val="both"/>
        <w:rPr>
          <w:rFonts w:asciiTheme="minorHAnsi" w:hAnsiTheme="minorHAnsi" w:cstheme="minorHAnsi"/>
          <w:iCs/>
        </w:rPr>
      </w:pPr>
      <w:r w:rsidRPr="00B10056">
        <w:rPr>
          <w:rFonts w:asciiTheme="minorHAnsi" w:hAnsiTheme="minorHAnsi" w:cstheme="minorHAnsi"/>
          <w:iCs/>
        </w:rPr>
        <w:t>III. Izmjene i dopune proračuna Grada Trogira za 202</w:t>
      </w:r>
      <w:r w:rsidR="005F440C" w:rsidRPr="00B10056">
        <w:rPr>
          <w:rFonts w:asciiTheme="minorHAnsi" w:hAnsiTheme="minorHAnsi" w:cstheme="minorHAnsi"/>
          <w:iCs/>
        </w:rPr>
        <w:t>5</w:t>
      </w:r>
      <w:r w:rsidRPr="00B10056">
        <w:rPr>
          <w:rFonts w:asciiTheme="minorHAnsi" w:hAnsiTheme="minorHAnsi" w:cstheme="minorHAnsi"/>
          <w:iCs/>
        </w:rPr>
        <w:t xml:space="preserve">.godinu koje je donijelo Gradsko vijeće na </w:t>
      </w:r>
      <w:r w:rsidR="005F440C" w:rsidRPr="00B10056">
        <w:rPr>
          <w:rFonts w:asciiTheme="minorHAnsi" w:hAnsiTheme="minorHAnsi" w:cstheme="minorHAnsi"/>
          <w:iCs/>
        </w:rPr>
        <w:t>6</w:t>
      </w:r>
      <w:r w:rsidRPr="00B10056">
        <w:rPr>
          <w:rFonts w:asciiTheme="minorHAnsi" w:hAnsiTheme="minorHAnsi" w:cstheme="minorHAnsi"/>
          <w:iCs/>
        </w:rPr>
        <w:t xml:space="preserve">.sjednici održanoj dana </w:t>
      </w:r>
      <w:r w:rsidR="005F440C" w:rsidRPr="00B10056">
        <w:rPr>
          <w:rFonts w:asciiTheme="minorHAnsi" w:hAnsiTheme="minorHAnsi" w:cstheme="minorHAnsi"/>
          <w:iCs/>
        </w:rPr>
        <w:t>15.prosinca 2025</w:t>
      </w:r>
      <w:r w:rsidRPr="00B10056">
        <w:rPr>
          <w:rFonts w:asciiTheme="minorHAnsi" w:hAnsiTheme="minorHAnsi" w:cstheme="minorHAnsi"/>
          <w:iCs/>
        </w:rPr>
        <w:t xml:space="preserve">.godine, a koje su objavljene u službenom glasniku Grada Trogira br. </w:t>
      </w:r>
      <w:r w:rsidR="00C37D71" w:rsidRPr="00B10056">
        <w:rPr>
          <w:rFonts w:asciiTheme="minorHAnsi" w:hAnsiTheme="minorHAnsi" w:cstheme="minorHAnsi"/>
          <w:iCs/>
        </w:rPr>
        <w:t>3</w:t>
      </w:r>
      <w:r w:rsidR="003A3BCA" w:rsidRPr="00B10056">
        <w:rPr>
          <w:rFonts w:asciiTheme="minorHAnsi" w:hAnsiTheme="minorHAnsi" w:cstheme="minorHAnsi"/>
          <w:iCs/>
        </w:rPr>
        <w:t>2/25</w:t>
      </w:r>
      <w:r w:rsidRPr="00B10056">
        <w:rPr>
          <w:rFonts w:asciiTheme="minorHAnsi" w:hAnsiTheme="minorHAnsi" w:cstheme="minorHAnsi"/>
          <w:iCs/>
        </w:rPr>
        <w:t>.</w:t>
      </w:r>
    </w:p>
    <w:p w14:paraId="6A2A34C5" w14:textId="1689D89F" w:rsidR="00B10056" w:rsidRPr="00994327" w:rsidRDefault="00B10056" w:rsidP="00B10056">
      <w:pPr>
        <w:pStyle w:val="Default"/>
        <w:numPr>
          <w:ilvl w:val="0"/>
          <w:numId w:val="3"/>
        </w:numPr>
        <w:jc w:val="both"/>
        <w:rPr>
          <w:rFonts w:asciiTheme="minorHAnsi" w:hAnsiTheme="minorHAnsi" w:cstheme="minorHAnsi"/>
        </w:rPr>
      </w:pPr>
      <w:r w:rsidRPr="00F66FAC">
        <w:rPr>
          <w:rFonts w:asciiTheme="minorHAnsi" w:hAnsiTheme="minorHAnsi" w:cstheme="minorHAnsi"/>
          <w:iCs/>
        </w:rPr>
        <w:t>Odluka o I</w:t>
      </w:r>
      <w:r>
        <w:rPr>
          <w:rFonts w:asciiTheme="minorHAnsi" w:hAnsiTheme="minorHAnsi" w:cstheme="minorHAnsi"/>
          <w:iCs/>
        </w:rPr>
        <w:t>V</w:t>
      </w:r>
      <w:r w:rsidRPr="00F66FAC">
        <w:rPr>
          <w:rFonts w:asciiTheme="minorHAnsi" w:hAnsiTheme="minorHAnsi" w:cstheme="minorHAnsi"/>
          <w:iCs/>
        </w:rPr>
        <w:t>. preraspodjeli Proračuna Grada Trogira za 2025.godinu koj</w:t>
      </w:r>
      <w:r>
        <w:rPr>
          <w:rFonts w:asciiTheme="minorHAnsi" w:hAnsiTheme="minorHAnsi" w:cstheme="minorHAnsi"/>
          <w:iCs/>
        </w:rPr>
        <w:t xml:space="preserve">a je donesena dana 30.prosinca  2025.godine </w:t>
      </w:r>
    </w:p>
    <w:p w14:paraId="17974924" w14:textId="77777777" w:rsidR="00B10056" w:rsidRPr="00B10056" w:rsidRDefault="00B10056" w:rsidP="00FF2C32">
      <w:pPr>
        <w:pStyle w:val="Default"/>
        <w:ind w:left="360"/>
        <w:jc w:val="both"/>
        <w:rPr>
          <w:rFonts w:asciiTheme="minorHAnsi" w:hAnsiTheme="minorHAnsi" w:cstheme="minorHAnsi"/>
          <w:iCs/>
        </w:rPr>
      </w:pPr>
    </w:p>
    <w:p w14:paraId="781FD1BE" w14:textId="180C5275" w:rsidR="00A73C61" w:rsidRDefault="002D458A" w:rsidP="00804039">
      <w:pPr>
        <w:pStyle w:val="Default"/>
        <w:jc w:val="both"/>
        <w:rPr>
          <w:rFonts w:asciiTheme="minorHAnsi" w:eastAsia="Times New Roman" w:hAnsiTheme="minorHAnsi" w:cstheme="minorHAnsi"/>
          <w:bCs/>
          <w:lang w:eastAsia="hr-HR"/>
        </w:rPr>
      </w:pPr>
      <w:r>
        <w:rPr>
          <w:rFonts w:asciiTheme="minorHAnsi" w:hAnsiTheme="minorHAnsi" w:cstheme="minorHAnsi"/>
        </w:rPr>
        <w:t xml:space="preserve">U </w:t>
      </w:r>
      <w:r w:rsidR="00804039" w:rsidRPr="0078496E">
        <w:rPr>
          <w:rFonts w:asciiTheme="minorHAnsi" w:hAnsiTheme="minorHAnsi" w:cstheme="minorHAnsi"/>
        </w:rPr>
        <w:t>općem i posebnom dijelu</w:t>
      </w:r>
      <w:r>
        <w:rPr>
          <w:rFonts w:asciiTheme="minorHAnsi" w:hAnsiTheme="minorHAnsi" w:cstheme="minorHAnsi"/>
        </w:rPr>
        <w:t xml:space="preserve"> godišnjeg izvještaja o izvršenju</w:t>
      </w:r>
      <w:r w:rsidR="00804039" w:rsidRPr="0078496E">
        <w:rPr>
          <w:rFonts w:asciiTheme="minorHAnsi" w:hAnsiTheme="minorHAnsi" w:cstheme="minorHAnsi"/>
        </w:rPr>
        <w:t xml:space="preserve"> proračuna </w:t>
      </w:r>
      <w:r>
        <w:rPr>
          <w:rFonts w:asciiTheme="minorHAnsi" w:hAnsiTheme="minorHAnsi" w:cstheme="minorHAnsi"/>
        </w:rPr>
        <w:t>prezentiran</w:t>
      </w:r>
      <w:r w:rsidR="00804039" w:rsidRPr="0078496E">
        <w:rPr>
          <w:rFonts w:asciiTheme="minorHAnsi" w:hAnsiTheme="minorHAnsi" w:cstheme="minorHAnsi"/>
        </w:rPr>
        <w:t>i su podaci o planiranim prihodima i primicima, te rashodima i izdacima kroz Izvorni plan</w:t>
      </w:r>
      <w:r w:rsidR="00A73C61">
        <w:rPr>
          <w:rFonts w:asciiTheme="minorHAnsi" w:hAnsiTheme="minorHAnsi" w:cstheme="minorHAnsi"/>
        </w:rPr>
        <w:t xml:space="preserve"> (</w:t>
      </w:r>
      <w:r w:rsidR="005F7EA4">
        <w:rPr>
          <w:rFonts w:asciiTheme="minorHAnsi" w:hAnsiTheme="minorHAnsi" w:cstheme="minorHAnsi"/>
        </w:rPr>
        <w:t>III. Izmjene i dopune proračuna Grada Trogira za 202</w:t>
      </w:r>
      <w:r w:rsidR="00CF7925">
        <w:rPr>
          <w:rFonts w:asciiTheme="minorHAnsi" w:hAnsiTheme="minorHAnsi" w:cstheme="minorHAnsi"/>
        </w:rPr>
        <w:t>5</w:t>
      </w:r>
      <w:r w:rsidR="005F7EA4">
        <w:rPr>
          <w:rFonts w:asciiTheme="minorHAnsi" w:hAnsiTheme="minorHAnsi" w:cstheme="minorHAnsi"/>
        </w:rPr>
        <w:t>.-rebalans), tekući plan (posljednje izmjene i dopune proračuna s uključenim naknadno izvršenim preraspodjelama</w:t>
      </w:r>
      <w:r w:rsidR="00D66163">
        <w:rPr>
          <w:rFonts w:asciiTheme="minorHAnsi" w:hAnsiTheme="minorHAnsi" w:cstheme="minorHAnsi"/>
        </w:rPr>
        <w:t xml:space="preserve"> (I.</w:t>
      </w:r>
      <w:r w:rsidR="00CF7925">
        <w:rPr>
          <w:rFonts w:asciiTheme="minorHAnsi" w:hAnsiTheme="minorHAnsi" w:cstheme="minorHAnsi"/>
        </w:rPr>
        <w:t xml:space="preserve">, </w:t>
      </w:r>
      <w:r w:rsidR="00D66163">
        <w:rPr>
          <w:rFonts w:asciiTheme="minorHAnsi" w:hAnsiTheme="minorHAnsi" w:cstheme="minorHAnsi"/>
        </w:rPr>
        <w:t>II.</w:t>
      </w:r>
      <w:r w:rsidR="00CF7925">
        <w:rPr>
          <w:rFonts w:asciiTheme="minorHAnsi" w:hAnsiTheme="minorHAnsi" w:cstheme="minorHAnsi"/>
        </w:rPr>
        <w:t>, III. i IV.</w:t>
      </w:r>
      <w:r w:rsidR="00D66163">
        <w:rPr>
          <w:rFonts w:asciiTheme="minorHAnsi" w:hAnsiTheme="minorHAnsi" w:cstheme="minorHAnsi"/>
        </w:rPr>
        <w:t xml:space="preserve"> Preraspodjela proračuna)</w:t>
      </w:r>
      <w:r w:rsidR="005F7EA4">
        <w:rPr>
          <w:rFonts w:asciiTheme="minorHAnsi" w:hAnsiTheme="minorHAnsi" w:cstheme="minorHAnsi"/>
        </w:rPr>
        <w:t xml:space="preserve"> u izvještajnom razdoblju</w:t>
      </w:r>
      <w:r w:rsidR="00A73C61">
        <w:rPr>
          <w:rFonts w:asciiTheme="minorHAnsi" w:hAnsiTheme="minorHAnsi" w:cstheme="minorHAnsi"/>
        </w:rPr>
        <w:t xml:space="preserve"> </w:t>
      </w:r>
      <w:r w:rsidR="00804039" w:rsidRPr="0078496E">
        <w:rPr>
          <w:rFonts w:asciiTheme="minorHAnsi" w:hAnsiTheme="minorHAnsi" w:cstheme="minorHAnsi"/>
        </w:rPr>
        <w:t>te podaci o njihovom izvršenju</w:t>
      </w:r>
      <w:r w:rsidR="00A73C61">
        <w:rPr>
          <w:rFonts w:asciiTheme="minorHAnsi" w:hAnsiTheme="minorHAnsi" w:cstheme="minorHAnsi"/>
        </w:rPr>
        <w:t xml:space="preserve"> u</w:t>
      </w:r>
      <w:r w:rsidR="005F7EA4">
        <w:rPr>
          <w:rFonts w:asciiTheme="minorHAnsi" w:hAnsiTheme="minorHAnsi" w:cstheme="minorHAnsi"/>
        </w:rPr>
        <w:t xml:space="preserve"> izvještajnom</w:t>
      </w:r>
      <w:r w:rsidR="00A73C61">
        <w:rPr>
          <w:rFonts w:asciiTheme="minorHAnsi" w:hAnsiTheme="minorHAnsi" w:cstheme="minorHAnsi"/>
        </w:rPr>
        <w:t xml:space="preserve"> razdoblju 202</w:t>
      </w:r>
      <w:r w:rsidR="00240A87">
        <w:rPr>
          <w:rFonts w:asciiTheme="minorHAnsi" w:hAnsiTheme="minorHAnsi" w:cstheme="minorHAnsi"/>
        </w:rPr>
        <w:t>5</w:t>
      </w:r>
      <w:r w:rsidR="00A73C61">
        <w:rPr>
          <w:rFonts w:asciiTheme="minorHAnsi" w:hAnsiTheme="minorHAnsi" w:cstheme="minorHAnsi"/>
        </w:rPr>
        <w:t>.</w:t>
      </w:r>
      <w:r w:rsidR="00804039" w:rsidRPr="0078496E">
        <w:rPr>
          <w:rFonts w:asciiTheme="minorHAnsi" w:hAnsiTheme="minorHAnsi" w:cstheme="minorHAnsi"/>
        </w:rPr>
        <w:t xml:space="preserve"> </w:t>
      </w:r>
      <w:r w:rsidR="00A73C61">
        <w:rPr>
          <w:rFonts w:asciiTheme="minorHAnsi" w:hAnsiTheme="minorHAnsi" w:cstheme="minorHAnsi"/>
        </w:rPr>
        <w:t>godine</w:t>
      </w:r>
      <w:r w:rsidR="00804039" w:rsidRPr="0078496E">
        <w:rPr>
          <w:rFonts w:asciiTheme="minorHAnsi" w:hAnsiTheme="minorHAnsi" w:cstheme="minorHAnsi"/>
        </w:rPr>
        <w:t>.</w:t>
      </w:r>
      <w:r w:rsidR="00804039" w:rsidRPr="0078496E">
        <w:rPr>
          <w:rFonts w:asciiTheme="minorHAnsi" w:eastAsia="Times New Roman" w:hAnsiTheme="minorHAnsi" w:cstheme="minorHAnsi"/>
          <w:bCs/>
          <w:lang w:eastAsia="hr-HR"/>
        </w:rPr>
        <w:t xml:space="preserve"> Izvorni plan </w:t>
      </w:r>
      <w:r w:rsidR="005F7EA4">
        <w:rPr>
          <w:rFonts w:asciiTheme="minorHAnsi" w:eastAsia="Times New Roman" w:hAnsiTheme="minorHAnsi" w:cstheme="minorHAnsi"/>
          <w:bCs/>
          <w:lang w:eastAsia="hr-HR"/>
        </w:rPr>
        <w:t>su III. Izmjene i dopune</w:t>
      </w:r>
      <w:r w:rsidR="00A73C61">
        <w:rPr>
          <w:rFonts w:asciiTheme="minorHAnsi" w:eastAsia="Times New Roman" w:hAnsiTheme="minorHAnsi" w:cstheme="minorHAnsi"/>
          <w:bCs/>
          <w:lang w:eastAsia="hr-HR"/>
        </w:rPr>
        <w:t xml:space="preserve"> Proračun</w:t>
      </w:r>
      <w:r w:rsidR="005F7EA4">
        <w:rPr>
          <w:rFonts w:asciiTheme="minorHAnsi" w:eastAsia="Times New Roman" w:hAnsiTheme="minorHAnsi" w:cstheme="minorHAnsi"/>
          <w:bCs/>
          <w:lang w:eastAsia="hr-HR"/>
        </w:rPr>
        <w:t>a</w:t>
      </w:r>
      <w:r w:rsidR="00A73C61">
        <w:rPr>
          <w:rFonts w:asciiTheme="minorHAnsi" w:eastAsia="Times New Roman" w:hAnsiTheme="minorHAnsi" w:cstheme="minorHAnsi"/>
          <w:bCs/>
          <w:lang w:eastAsia="hr-HR"/>
        </w:rPr>
        <w:t xml:space="preserve"> Grada Trogira za 202</w:t>
      </w:r>
      <w:r w:rsidR="00240A87">
        <w:rPr>
          <w:rFonts w:asciiTheme="minorHAnsi" w:eastAsia="Times New Roman" w:hAnsiTheme="minorHAnsi" w:cstheme="minorHAnsi"/>
          <w:bCs/>
          <w:lang w:eastAsia="hr-HR"/>
        </w:rPr>
        <w:t>5</w:t>
      </w:r>
      <w:r w:rsidR="00804039" w:rsidRPr="0078496E">
        <w:rPr>
          <w:rFonts w:asciiTheme="minorHAnsi" w:eastAsia="Times New Roman" w:hAnsiTheme="minorHAnsi" w:cstheme="minorHAnsi"/>
          <w:bCs/>
          <w:lang w:eastAsia="hr-HR"/>
        </w:rPr>
        <w:t xml:space="preserve">. godinu, </w:t>
      </w:r>
      <w:r w:rsidR="005F7EA4">
        <w:rPr>
          <w:rFonts w:asciiTheme="minorHAnsi" w:eastAsia="Times New Roman" w:hAnsiTheme="minorHAnsi" w:cstheme="minorHAnsi"/>
          <w:bCs/>
          <w:lang w:eastAsia="hr-HR"/>
        </w:rPr>
        <w:t xml:space="preserve">dok je tekući plan (III. Izmjene i dopune proračuna s </w:t>
      </w:r>
      <w:r w:rsidR="00B875BC">
        <w:rPr>
          <w:rFonts w:asciiTheme="minorHAnsi" w:eastAsia="Times New Roman" w:hAnsiTheme="minorHAnsi" w:cstheme="minorHAnsi"/>
          <w:bCs/>
          <w:lang w:eastAsia="hr-HR"/>
        </w:rPr>
        <w:t xml:space="preserve">naknadno izvršenim </w:t>
      </w:r>
      <w:r w:rsidR="005F7EA4">
        <w:rPr>
          <w:rFonts w:asciiTheme="minorHAnsi" w:eastAsia="Times New Roman" w:hAnsiTheme="minorHAnsi" w:cstheme="minorHAnsi"/>
          <w:bCs/>
          <w:lang w:eastAsia="hr-HR"/>
        </w:rPr>
        <w:t>Preraspodje</w:t>
      </w:r>
      <w:r w:rsidR="00B875BC">
        <w:rPr>
          <w:rFonts w:asciiTheme="minorHAnsi" w:eastAsia="Times New Roman" w:hAnsiTheme="minorHAnsi" w:cstheme="minorHAnsi"/>
          <w:bCs/>
          <w:lang w:eastAsia="hr-HR"/>
        </w:rPr>
        <w:t>lama</w:t>
      </w:r>
      <w:r w:rsidR="005F7EA4">
        <w:rPr>
          <w:rFonts w:asciiTheme="minorHAnsi" w:eastAsia="Times New Roman" w:hAnsiTheme="minorHAnsi" w:cstheme="minorHAnsi"/>
          <w:bCs/>
          <w:lang w:eastAsia="hr-HR"/>
        </w:rPr>
        <w:t xml:space="preserve"> u 202</w:t>
      </w:r>
      <w:r w:rsidR="00240A87">
        <w:rPr>
          <w:rFonts w:asciiTheme="minorHAnsi" w:eastAsia="Times New Roman" w:hAnsiTheme="minorHAnsi" w:cstheme="minorHAnsi"/>
          <w:bCs/>
          <w:lang w:eastAsia="hr-HR"/>
        </w:rPr>
        <w:t>5</w:t>
      </w:r>
      <w:r w:rsidR="005F7EA4">
        <w:rPr>
          <w:rFonts w:asciiTheme="minorHAnsi" w:eastAsia="Times New Roman" w:hAnsiTheme="minorHAnsi" w:cstheme="minorHAnsi"/>
          <w:bCs/>
          <w:lang w:eastAsia="hr-HR"/>
        </w:rPr>
        <w:t>.godini).</w:t>
      </w:r>
    </w:p>
    <w:p w14:paraId="6FDFCC7C" w14:textId="69B6DC54" w:rsidR="005F7EA4" w:rsidRDefault="005F7EA4" w:rsidP="00804039">
      <w:pPr>
        <w:pStyle w:val="Default"/>
        <w:jc w:val="both"/>
        <w:rPr>
          <w:rFonts w:asciiTheme="minorHAnsi" w:eastAsia="Times New Roman" w:hAnsiTheme="minorHAnsi" w:cstheme="minorHAnsi"/>
          <w:bCs/>
          <w:lang w:eastAsia="hr-HR"/>
        </w:rPr>
      </w:pPr>
      <w:r>
        <w:rPr>
          <w:rFonts w:asciiTheme="minorHAnsi" w:eastAsia="Times New Roman" w:hAnsiTheme="minorHAnsi" w:cstheme="minorHAnsi"/>
          <w:bCs/>
          <w:lang w:eastAsia="hr-HR"/>
        </w:rPr>
        <w:t xml:space="preserve">Iako to Zakonom nije utvrđeno, Pravilnikom je propisano da se u svim izvještajima/tablicama Općeg dijela, pored podataka o izvornom planu odnosno rebalansu i tekućem planu te ostvarenju/izvršenju za izvještajno razdoblje, daju i podaci o ostvarenju/izvršenju za izvještajno razdoblje prethodne godine. Također se daje indeks ostvarenja/izvršenja za izvještajno razdoblje </w:t>
      </w:r>
      <w:r w:rsidR="0084140B">
        <w:rPr>
          <w:rFonts w:asciiTheme="minorHAnsi" w:eastAsia="Times New Roman" w:hAnsiTheme="minorHAnsi" w:cstheme="minorHAnsi"/>
          <w:bCs/>
          <w:lang w:eastAsia="hr-HR"/>
        </w:rPr>
        <w:t>u odnosu na ostvarenje/izvršenje za izvještajno razdoblje prethodne godine i indeks ostvarenja /izvršenja za izvještajno razdoblje u odnosu na tekući plan za proračunsku godinu.</w:t>
      </w:r>
    </w:p>
    <w:p w14:paraId="52F4BFEB" w14:textId="77777777" w:rsidR="0084140B" w:rsidRDefault="00804039" w:rsidP="00804039">
      <w:pPr>
        <w:pStyle w:val="Default"/>
        <w:jc w:val="both"/>
        <w:rPr>
          <w:rFonts w:asciiTheme="minorHAnsi" w:hAnsiTheme="minorHAnsi" w:cstheme="minorHAnsi"/>
        </w:rPr>
      </w:pPr>
      <w:r>
        <w:rPr>
          <w:rFonts w:asciiTheme="minorHAnsi" w:hAnsiTheme="minorHAnsi" w:cstheme="minorHAnsi"/>
        </w:rPr>
        <w:t xml:space="preserve">Pravilnikom je propisano da se za posebni dio proračuna ne iskazuje izvršenje za izvještajno razdoblje prethodne godine. </w:t>
      </w:r>
    </w:p>
    <w:p w14:paraId="5D959A21" w14:textId="2F5B0C54" w:rsidR="00A73C61" w:rsidRDefault="00804039" w:rsidP="00804039">
      <w:pPr>
        <w:pStyle w:val="Default"/>
        <w:jc w:val="both"/>
        <w:rPr>
          <w:rFonts w:asciiTheme="minorHAnsi" w:hAnsiTheme="minorHAnsi" w:cstheme="minorHAnsi"/>
        </w:rPr>
      </w:pPr>
      <w:r w:rsidRPr="0078496E">
        <w:rPr>
          <w:rFonts w:asciiTheme="minorHAnsi" w:hAnsiTheme="minorHAnsi" w:cstheme="minorHAnsi"/>
        </w:rPr>
        <w:t xml:space="preserve">Plan se iskazuje na razini </w:t>
      </w:r>
      <w:r w:rsidR="00A73C61">
        <w:rPr>
          <w:rFonts w:asciiTheme="minorHAnsi" w:hAnsiTheme="minorHAnsi" w:cstheme="minorHAnsi"/>
        </w:rPr>
        <w:t>skupine (2</w:t>
      </w:r>
      <w:r w:rsidRPr="0078496E">
        <w:rPr>
          <w:rFonts w:asciiTheme="minorHAnsi" w:hAnsiTheme="minorHAnsi" w:cstheme="minorHAnsi"/>
        </w:rPr>
        <w:t>.razina ekonomske klasifikacije), a izvršenje na razini odjeljka ( 4.razina ekonomske klasifikacije).</w:t>
      </w:r>
    </w:p>
    <w:p w14:paraId="6E498701" w14:textId="77777777" w:rsidR="002D458A" w:rsidRDefault="002D458A" w:rsidP="00804039">
      <w:pPr>
        <w:pStyle w:val="Default"/>
        <w:jc w:val="both"/>
        <w:rPr>
          <w:rFonts w:asciiTheme="minorHAnsi" w:hAnsiTheme="minorHAnsi" w:cstheme="minorHAnsi"/>
        </w:rPr>
      </w:pPr>
    </w:p>
    <w:p w14:paraId="15CD3311" w14:textId="7ACB8325" w:rsidR="000B3DE0" w:rsidRPr="00754E44" w:rsidRDefault="000B3DE0" w:rsidP="003872B4">
      <w:pPr>
        <w:pStyle w:val="Default"/>
        <w:rPr>
          <w:rFonts w:asciiTheme="minorHAnsi" w:hAnsiTheme="minorHAnsi" w:cstheme="minorHAnsi"/>
          <w:b/>
        </w:rPr>
      </w:pPr>
      <w:r w:rsidRPr="00754E44">
        <w:rPr>
          <w:rFonts w:asciiTheme="minorHAnsi" w:hAnsiTheme="minorHAnsi" w:cstheme="minorHAnsi"/>
          <w:b/>
        </w:rPr>
        <w:t xml:space="preserve">1.2. </w:t>
      </w:r>
      <w:r w:rsidR="004416D6" w:rsidRPr="00754E44">
        <w:rPr>
          <w:rFonts w:asciiTheme="minorHAnsi" w:hAnsiTheme="minorHAnsi" w:cstheme="minorHAnsi"/>
          <w:b/>
        </w:rPr>
        <w:t>OPĆI DIO GODIŠNJEG IZVJEŠTAJA O IZVRŠENJU PRORAČUNA GRADA TROGIRA ZA 202</w:t>
      </w:r>
      <w:r w:rsidR="00850E0F">
        <w:rPr>
          <w:rFonts w:asciiTheme="minorHAnsi" w:hAnsiTheme="minorHAnsi" w:cstheme="minorHAnsi"/>
          <w:b/>
        </w:rPr>
        <w:t>5</w:t>
      </w:r>
      <w:r w:rsidR="004416D6" w:rsidRPr="00754E44">
        <w:rPr>
          <w:rFonts w:asciiTheme="minorHAnsi" w:hAnsiTheme="minorHAnsi" w:cstheme="minorHAnsi"/>
          <w:b/>
        </w:rPr>
        <w:t>.GODINU</w:t>
      </w:r>
    </w:p>
    <w:p w14:paraId="7C2CD6D5" w14:textId="77777777" w:rsidR="000B3DE0" w:rsidRPr="00754E44" w:rsidRDefault="000B3DE0" w:rsidP="000B3DE0">
      <w:pPr>
        <w:pStyle w:val="Default"/>
        <w:rPr>
          <w:rFonts w:asciiTheme="minorHAnsi" w:hAnsiTheme="minorHAnsi" w:cstheme="minorHAnsi"/>
        </w:rPr>
      </w:pPr>
    </w:p>
    <w:p w14:paraId="5EDC1FC5" w14:textId="4455C374" w:rsidR="00FC08A2" w:rsidRDefault="00FC08A2" w:rsidP="000B3DE0">
      <w:pPr>
        <w:spacing w:after="0" w:line="240" w:lineRule="auto"/>
        <w:jc w:val="both"/>
        <w:rPr>
          <w:rFonts w:cstheme="minorHAnsi"/>
          <w:sz w:val="24"/>
          <w:szCs w:val="24"/>
        </w:rPr>
      </w:pPr>
      <w:r>
        <w:rPr>
          <w:rFonts w:cstheme="minorHAnsi"/>
          <w:sz w:val="24"/>
          <w:szCs w:val="24"/>
        </w:rPr>
        <w:t>Sukladno članku 5.Pravilnika, Opći dio</w:t>
      </w:r>
      <w:r w:rsidR="00C578D8">
        <w:rPr>
          <w:rFonts w:cstheme="minorHAnsi"/>
          <w:sz w:val="24"/>
          <w:szCs w:val="24"/>
        </w:rPr>
        <w:t xml:space="preserve"> godišnjeg izvještaja o izvršenju proračuna</w:t>
      </w:r>
      <w:r>
        <w:rPr>
          <w:rFonts w:cstheme="minorHAnsi"/>
          <w:sz w:val="24"/>
          <w:szCs w:val="24"/>
        </w:rPr>
        <w:t xml:space="preserve"> sadrži:</w:t>
      </w:r>
    </w:p>
    <w:p w14:paraId="4AC03A02" w14:textId="746ECCD0" w:rsidR="00FC08A2" w:rsidRDefault="00FC08A2" w:rsidP="000B3DE0">
      <w:pPr>
        <w:spacing w:after="0" w:line="240" w:lineRule="auto"/>
        <w:jc w:val="both"/>
        <w:rPr>
          <w:rFonts w:cstheme="minorHAnsi"/>
          <w:sz w:val="24"/>
          <w:szCs w:val="24"/>
        </w:rPr>
      </w:pPr>
      <w:r>
        <w:rPr>
          <w:rFonts w:cstheme="minorHAnsi"/>
          <w:sz w:val="24"/>
          <w:szCs w:val="24"/>
        </w:rPr>
        <w:t>-sažetak Računa prihoda i rashoda i Računa financiranja,</w:t>
      </w:r>
    </w:p>
    <w:p w14:paraId="7171BBB5" w14:textId="713DCD89" w:rsidR="00FC08A2" w:rsidRDefault="00FC08A2" w:rsidP="000B3DE0">
      <w:pPr>
        <w:spacing w:after="0" w:line="240" w:lineRule="auto"/>
        <w:jc w:val="both"/>
        <w:rPr>
          <w:rFonts w:cstheme="minorHAnsi"/>
          <w:sz w:val="24"/>
          <w:szCs w:val="24"/>
        </w:rPr>
      </w:pPr>
      <w:r>
        <w:rPr>
          <w:rFonts w:cstheme="minorHAnsi"/>
          <w:sz w:val="24"/>
          <w:szCs w:val="24"/>
        </w:rPr>
        <w:t>-račun prihoda i rashoda i</w:t>
      </w:r>
    </w:p>
    <w:p w14:paraId="6DF59A71" w14:textId="772CEC30" w:rsidR="00FC08A2" w:rsidRDefault="00FC08A2" w:rsidP="000B3DE0">
      <w:pPr>
        <w:spacing w:after="0" w:line="240" w:lineRule="auto"/>
        <w:jc w:val="both"/>
        <w:rPr>
          <w:rFonts w:cstheme="minorHAnsi"/>
          <w:sz w:val="24"/>
          <w:szCs w:val="24"/>
        </w:rPr>
      </w:pPr>
      <w:r>
        <w:rPr>
          <w:rFonts w:cstheme="minorHAnsi"/>
          <w:sz w:val="24"/>
          <w:szCs w:val="24"/>
        </w:rPr>
        <w:t>-račun financiranja.</w:t>
      </w:r>
    </w:p>
    <w:p w14:paraId="4277E4C0" w14:textId="77777777" w:rsidR="00927745" w:rsidRDefault="00927745" w:rsidP="00927745">
      <w:pPr>
        <w:spacing w:after="0" w:line="240" w:lineRule="auto"/>
        <w:jc w:val="both"/>
        <w:rPr>
          <w:rFonts w:cstheme="minorHAnsi"/>
          <w:sz w:val="24"/>
          <w:szCs w:val="24"/>
        </w:rPr>
      </w:pPr>
    </w:p>
    <w:p w14:paraId="3CC3B87A" w14:textId="6F664BD4" w:rsidR="001C018D" w:rsidRDefault="001C018D" w:rsidP="00927745">
      <w:pPr>
        <w:spacing w:after="0" w:line="240" w:lineRule="auto"/>
        <w:jc w:val="both"/>
        <w:rPr>
          <w:rFonts w:cstheme="minorHAnsi"/>
          <w:sz w:val="24"/>
          <w:szCs w:val="24"/>
        </w:rPr>
      </w:pPr>
      <w:r>
        <w:rPr>
          <w:rFonts w:cstheme="minorHAnsi"/>
          <w:sz w:val="24"/>
          <w:szCs w:val="24"/>
        </w:rPr>
        <w:t>Opći dio godišnjeg izvještaja o izvršenju proračuna sadrži izvorni plan ako od donošenja proračuna nije bilo izmjena i dopuna proračuna niti izvršenih preraspodjela odnosno izvorni plan i tekući plan ako je od donošenja proračuna bilo naknadno izvršenih preraspodjela.</w:t>
      </w:r>
    </w:p>
    <w:p w14:paraId="361FCF5F" w14:textId="551351BF" w:rsidR="001C018D" w:rsidRDefault="001C018D" w:rsidP="000B3DE0">
      <w:pPr>
        <w:spacing w:after="0" w:line="240" w:lineRule="auto"/>
        <w:jc w:val="both"/>
        <w:rPr>
          <w:rFonts w:cstheme="minorHAnsi"/>
          <w:sz w:val="24"/>
          <w:szCs w:val="24"/>
        </w:rPr>
      </w:pPr>
    </w:p>
    <w:p w14:paraId="2283A92C" w14:textId="7C7F58B3" w:rsidR="001C018D" w:rsidRDefault="001C018D" w:rsidP="000B3DE0">
      <w:pPr>
        <w:spacing w:after="0" w:line="240" w:lineRule="auto"/>
        <w:jc w:val="both"/>
        <w:rPr>
          <w:rFonts w:cstheme="minorHAnsi"/>
          <w:sz w:val="24"/>
          <w:szCs w:val="24"/>
        </w:rPr>
      </w:pPr>
      <w:r>
        <w:rPr>
          <w:rFonts w:cstheme="minorHAnsi"/>
          <w:sz w:val="24"/>
          <w:szCs w:val="24"/>
        </w:rPr>
        <w:t>Opći dio godišnjeg izvještaja o izvršenju proračuna sadrži rebalans ako je od donošenja proračuna bilo izmjena i dopuna proračuna, odnosno rebalans i tekući plan ako je od izmjena i dopuna proračuna bilo naknadno izvršenih preraspodjela.</w:t>
      </w:r>
    </w:p>
    <w:p w14:paraId="73725AA2" w14:textId="77777777" w:rsidR="00927745" w:rsidRDefault="00927745" w:rsidP="000B3DE0">
      <w:pPr>
        <w:spacing w:after="0" w:line="240" w:lineRule="auto"/>
        <w:jc w:val="both"/>
        <w:rPr>
          <w:rFonts w:cstheme="minorHAnsi"/>
          <w:sz w:val="24"/>
          <w:szCs w:val="24"/>
        </w:rPr>
      </w:pPr>
    </w:p>
    <w:p w14:paraId="68A82987" w14:textId="0C8F6069" w:rsidR="00833345" w:rsidRDefault="000B3DE0" w:rsidP="000B3DE0">
      <w:pPr>
        <w:spacing w:after="0" w:line="240" w:lineRule="auto"/>
        <w:jc w:val="both"/>
        <w:rPr>
          <w:rFonts w:cstheme="minorHAnsi"/>
          <w:sz w:val="24"/>
          <w:szCs w:val="24"/>
        </w:rPr>
      </w:pPr>
      <w:r>
        <w:rPr>
          <w:rFonts w:cstheme="minorHAnsi"/>
          <w:sz w:val="24"/>
          <w:szCs w:val="24"/>
        </w:rPr>
        <w:t>Proračun Grada Trogira je konsolidirani proračun što znači da su u proračunu planirani proračunski prihodi i rashodi te vlastiti i namjenski prihodi svih proračunskih korisnika Grada i rashodi koji se iz njih financiraju</w:t>
      </w:r>
      <w:r w:rsidR="00833345">
        <w:rPr>
          <w:rFonts w:cstheme="minorHAnsi"/>
          <w:sz w:val="24"/>
          <w:szCs w:val="24"/>
        </w:rPr>
        <w:t xml:space="preserve">. </w:t>
      </w:r>
    </w:p>
    <w:p w14:paraId="346D41B8" w14:textId="77777777" w:rsidR="00927745" w:rsidRDefault="00927745" w:rsidP="000B3DE0">
      <w:pPr>
        <w:spacing w:after="0" w:line="240" w:lineRule="auto"/>
        <w:jc w:val="both"/>
        <w:rPr>
          <w:rFonts w:cstheme="minorHAnsi"/>
          <w:sz w:val="24"/>
          <w:szCs w:val="24"/>
        </w:rPr>
      </w:pPr>
    </w:p>
    <w:p w14:paraId="46B25DA4" w14:textId="77777777" w:rsidR="00927745" w:rsidRDefault="00927745" w:rsidP="000B3DE0">
      <w:pPr>
        <w:spacing w:after="0" w:line="240" w:lineRule="auto"/>
        <w:jc w:val="both"/>
        <w:rPr>
          <w:rFonts w:cstheme="minorHAnsi"/>
          <w:sz w:val="24"/>
          <w:szCs w:val="24"/>
        </w:rPr>
      </w:pPr>
    </w:p>
    <w:p w14:paraId="17D42CDA" w14:textId="77777777" w:rsidR="00927745" w:rsidRDefault="00927745" w:rsidP="000B3DE0">
      <w:pPr>
        <w:spacing w:after="0" w:line="240" w:lineRule="auto"/>
        <w:jc w:val="both"/>
        <w:rPr>
          <w:rFonts w:cstheme="minorHAnsi"/>
          <w:sz w:val="24"/>
          <w:szCs w:val="24"/>
        </w:rPr>
      </w:pPr>
    </w:p>
    <w:p w14:paraId="63D0B3DB" w14:textId="77777777" w:rsidR="00927745" w:rsidRDefault="00927745" w:rsidP="000B3DE0">
      <w:pPr>
        <w:spacing w:after="0" w:line="240" w:lineRule="auto"/>
        <w:jc w:val="both"/>
        <w:rPr>
          <w:rFonts w:cstheme="minorHAnsi"/>
          <w:sz w:val="24"/>
          <w:szCs w:val="24"/>
        </w:rPr>
      </w:pPr>
    </w:p>
    <w:p w14:paraId="425AE1C1" w14:textId="77777777" w:rsidR="00927745" w:rsidRDefault="00927745" w:rsidP="000B3DE0">
      <w:pPr>
        <w:spacing w:after="0" w:line="240" w:lineRule="auto"/>
        <w:jc w:val="both"/>
        <w:rPr>
          <w:rFonts w:cstheme="minorHAnsi"/>
          <w:sz w:val="24"/>
          <w:szCs w:val="24"/>
        </w:rPr>
      </w:pPr>
    </w:p>
    <w:p w14:paraId="128BD429" w14:textId="77777777" w:rsidR="00DD5562" w:rsidRDefault="00DD5562" w:rsidP="000B3DE0">
      <w:pPr>
        <w:spacing w:after="0" w:line="240" w:lineRule="auto"/>
        <w:jc w:val="both"/>
        <w:rPr>
          <w:rFonts w:cstheme="minorHAnsi"/>
          <w:sz w:val="24"/>
          <w:szCs w:val="24"/>
        </w:rPr>
      </w:pPr>
    </w:p>
    <w:p w14:paraId="0C44D302" w14:textId="77777777" w:rsidR="00927745" w:rsidRDefault="00927745" w:rsidP="000B3DE0">
      <w:pPr>
        <w:spacing w:after="0" w:line="240" w:lineRule="auto"/>
        <w:jc w:val="both"/>
        <w:rPr>
          <w:rFonts w:cstheme="minorHAnsi"/>
          <w:sz w:val="24"/>
          <w:szCs w:val="24"/>
        </w:rPr>
      </w:pPr>
    </w:p>
    <w:p w14:paraId="164E0067" w14:textId="18EDBB24" w:rsidR="00833345" w:rsidRPr="00754E44" w:rsidRDefault="00833345" w:rsidP="000B3DE0">
      <w:pPr>
        <w:spacing w:after="0" w:line="240" w:lineRule="auto"/>
        <w:jc w:val="both"/>
        <w:rPr>
          <w:rFonts w:cstheme="minorHAnsi"/>
          <w:sz w:val="24"/>
          <w:szCs w:val="24"/>
        </w:rPr>
      </w:pPr>
      <w:r w:rsidRPr="00833345">
        <w:rPr>
          <w:rFonts w:cstheme="minorHAnsi"/>
          <w:b/>
          <w:sz w:val="24"/>
          <w:szCs w:val="24"/>
        </w:rPr>
        <w:lastRenderedPageBreak/>
        <w:t>Tablica 1.</w:t>
      </w:r>
      <w:r>
        <w:rPr>
          <w:rFonts w:cstheme="minorHAnsi"/>
          <w:sz w:val="24"/>
          <w:szCs w:val="24"/>
        </w:rPr>
        <w:t xml:space="preserve"> </w:t>
      </w:r>
      <w:r w:rsidRPr="00754E44">
        <w:rPr>
          <w:rFonts w:cstheme="minorHAnsi"/>
          <w:sz w:val="24"/>
          <w:szCs w:val="24"/>
        </w:rPr>
        <w:t>Ostvarenje</w:t>
      </w:r>
      <w:r w:rsidR="003872B4">
        <w:rPr>
          <w:rFonts w:cstheme="minorHAnsi"/>
          <w:sz w:val="24"/>
          <w:szCs w:val="24"/>
        </w:rPr>
        <w:t xml:space="preserve"> </w:t>
      </w:r>
      <w:r w:rsidRPr="00754E44">
        <w:rPr>
          <w:rFonts w:cstheme="minorHAnsi"/>
          <w:sz w:val="24"/>
          <w:szCs w:val="24"/>
        </w:rPr>
        <w:t xml:space="preserve">Proračuna Grada Trogira </w:t>
      </w:r>
      <w:r w:rsidR="003872B4">
        <w:rPr>
          <w:rFonts w:cstheme="minorHAnsi"/>
          <w:sz w:val="24"/>
          <w:szCs w:val="24"/>
        </w:rPr>
        <w:t>u</w:t>
      </w:r>
      <w:r w:rsidR="0084140B" w:rsidRPr="00754E44">
        <w:rPr>
          <w:rFonts w:cstheme="minorHAnsi"/>
          <w:sz w:val="24"/>
          <w:szCs w:val="24"/>
        </w:rPr>
        <w:t xml:space="preserve"> </w:t>
      </w:r>
      <w:r w:rsidRPr="00754E44">
        <w:rPr>
          <w:rFonts w:cstheme="minorHAnsi"/>
          <w:sz w:val="24"/>
          <w:szCs w:val="24"/>
        </w:rPr>
        <w:t>202</w:t>
      </w:r>
      <w:r w:rsidR="00850E0F">
        <w:rPr>
          <w:rFonts w:cstheme="minorHAnsi"/>
          <w:sz w:val="24"/>
          <w:szCs w:val="24"/>
        </w:rPr>
        <w:t>5</w:t>
      </w:r>
      <w:r w:rsidRPr="00754E44">
        <w:rPr>
          <w:rFonts w:cstheme="minorHAnsi"/>
          <w:sz w:val="24"/>
          <w:szCs w:val="24"/>
        </w:rPr>
        <w:t>.godin</w:t>
      </w:r>
      <w:r w:rsidR="003872B4">
        <w:rPr>
          <w:rFonts w:cstheme="minorHAnsi"/>
          <w:sz w:val="24"/>
          <w:szCs w:val="24"/>
        </w:rPr>
        <w:t>i</w:t>
      </w:r>
      <w:r w:rsidRPr="00754E44">
        <w:rPr>
          <w:rFonts w:cstheme="minorHAnsi"/>
          <w:sz w:val="24"/>
          <w:szCs w:val="24"/>
        </w:rPr>
        <w:t xml:space="preserve"> prema osnovnoj klasifikaciji </w:t>
      </w:r>
    </w:p>
    <w:p w14:paraId="67C8DCFB" w14:textId="77777777" w:rsidR="00DD5562" w:rsidRDefault="00DD5562" w:rsidP="000B3DE0">
      <w:pPr>
        <w:spacing w:after="0" w:line="240" w:lineRule="auto"/>
        <w:jc w:val="both"/>
        <w:rPr>
          <w:rFonts w:cstheme="minorHAnsi"/>
          <w:sz w:val="24"/>
          <w:szCs w:val="24"/>
        </w:rPr>
      </w:pPr>
    </w:p>
    <w:tbl>
      <w:tblPr>
        <w:tblW w:w="11717" w:type="dxa"/>
        <w:tblInd w:w="-1276" w:type="dxa"/>
        <w:tblLayout w:type="fixed"/>
        <w:tblLook w:val="04A0" w:firstRow="1" w:lastRow="0" w:firstColumn="1" w:lastColumn="0" w:noHBand="0" w:noVBand="1"/>
      </w:tblPr>
      <w:tblGrid>
        <w:gridCol w:w="423"/>
        <w:gridCol w:w="3248"/>
        <w:gridCol w:w="1446"/>
        <w:gridCol w:w="1660"/>
        <w:gridCol w:w="1411"/>
        <w:gridCol w:w="1412"/>
        <w:gridCol w:w="1032"/>
        <w:gridCol w:w="1085"/>
      </w:tblGrid>
      <w:tr w:rsidR="00FF2C32" w:rsidRPr="00DF1BA1" w14:paraId="15773E63" w14:textId="77777777" w:rsidTr="00FF2C32">
        <w:trPr>
          <w:trHeight w:val="664"/>
        </w:trPr>
        <w:tc>
          <w:tcPr>
            <w:tcW w:w="423" w:type="dxa"/>
            <w:tcBorders>
              <w:top w:val="single" w:sz="4" w:space="0" w:color="auto"/>
              <w:left w:val="nil"/>
              <w:bottom w:val="single" w:sz="4" w:space="0" w:color="auto"/>
              <w:right w:val="nil"/>
            </w:tcBorders>
            <w:noWrap/>
            <w:vAlign w:val="bottom"/>
            <w:hideMark/>
          </w:tcPr>
          <w:p w14:paraId="5E19847A" w14:textId="77777777" w:rsidR="00FF2C32" w:rsidRPr="00DF1BA1" w:rsidRDefault="00FF2C32" w:rsidP="009D32D6">
            <w:pPr>
              <w:spacing w:after="0" w:line="240" w:lineRule="auto"/>
              <w:rPr>
                <w:rFonts w:ascii="Calibri" w:eastAsia="Times New Roman" w:hAnsi="Calibri" w:cs="Calibri"/>
                <w:color w:val="000000"/>
                <w:sz w:val="20"/>
                <w:szCs w:val="20"/>
                <w:lang w:eastAsia="hr-HR"/>
              </w:rPr>
            </w:pPr>
            <w:r w:rsidRPr="00DF1BA1">
              <w:rPr>
                <w:rFonts w:ascii="Calibri" w:eastAsia="Times New Roman" w:hAnsi="Calibri" w:cs="Calibri"/>
                <w:color w:val="000000"/>
                <w:sz w:val="20"/>
                <w:szCs w:val="20"/>
                <w:lang w:eastAsia="hr-HR"/>
              </w:rPr>
              <w:t> </w:t>
            </w:r>
          </w:p>
        </w:tc>
        <w:tc>
          <w:tcPr>
            <w:tcW w:w="3248" w:type="dxa"/>
            <w:tcBorders>
              <w:top w:val="single" w:sz="4" w:space="0" w:color="auto"/>
              <w:left w:val="nil"/>
              <w:bottom w:val="single" w:sz="4" w:space="0" w:color="auto"/>
              <w:right w:val="nil"/>
            </w:tcBorders>
            <w:noWrap/>
            <w:vAlign w:val="bottom"/>
            <w:hideMark/>
          </w:tcPr>
          <w:p w14:paraId="13FC1590" w14:textId="77777777" w:rsidR="00FF2C32" w:rsidRPr="00DF1BA1" w:rsidRDefault="00FF2C32" w:rsidP="009D32D6">
            <w:pPr>
              <w:spacing w:after="0" w:line="240" w:lineRule="auto"/>
              <w:jc w:val="center"/>
              <w:rPr>
                <w:rFonts w:ascii="Calibri" w:eastAsia="Times New Roman" w:hAnsi="Calibri" w:cs="Calibri"/>
                <w:b/>
                <w:bCs/>
                <w:color w:val="000000"/>
                <w:sz w:val="20"/>
                <w:szCs w:val="20"/>
                <w:lang w:eastAsia="hr-HR"/>
              </w:rPr>
            </w:pPr>
            <w:r w:rsidRPr="00DF1BA1">
              <w:rPr>
                <w:rFonts w:ascii="Calibri" w:eastAsia="Times New Roman" w:hAnsi="Calibri" w:cs="Calibri"/>
                <w:b/>
                <w:bCs/>
                <w:color w:val="000000"/>
                <w:sz w:val="20"/>
                <w:szCs w:val="20"/>
                <w:lang w:eastAsia="hr-HR"/>
              </w:rPr>
              <w:t xml:space="preserve">OPIS </w:t>
            </w:r>
          </w:p>
        </w:tc>
        <w:tc>
          <w:tcPr>
            <w:tcW w:w="1446" w:type="dxa"/>
            <w:tcBorders>
              <w:top w:val="single" w:sz="4" w:space="0" w:color="auto"/>
              <w:left w:val="nil"/>
              <w:bottom w:val="single" w:sz="4" w:space="0" w:color="auto"/>
              <w:right w:val="nil"/>
            </w:tcBorders>
            <w:vAlign w:val="center"/>
          </w:tcPr>
          <w:p w14:paraId="48D3F59A" w14:textId="539B9D1C" w:rsidR="00FF2C32" w:rsidRPr="00FF2C32" w:rsidRDefault="00FF2C32" w:rsidP="009D32D6">
            <w:pPr>
              <w:spacing w:after="0" w:line="240" w:lineRule="auto"/>
              <w:jc w:val="center"/>
              <w:rPr>
                <w:rFonts w:ascii="Arial" w:eastAsia="Times New Roman" w:hAnsi="Arial" w:cs="Arial"/>
                <w:b/>
                <w:bCs/>
                <w:sz w:val="18"/>
                <w:szCs w:val="18"/>
                <w:lang w:eastAsia="hr-HR"/>
              </w:rPr>
            </w:pPr>
            <w:r w:rsidRPr="00FF2C32">
              <w:rPr>
                <w:rFonts w:ascii="Arial" w:eastAsia="Times New Roman" w:hAnsi="Arial" w:cs="Arial"/>
                <w:b/>
                <w:bCs/>
                <w:sz w:val="18"/>
                <w:szCs w:val="18"/>
                <w:lang w:eastAsia="hr-HR"/>
              </w:rPr>
              <w:t>IZVRŠENJE     202</w:t>
            </w:r>
            <w:r w:rsidR="00F9618D">
              <w:rPr>
                <w:rFonts w:ascii="Arial" w:eastAsia="Times New Roman" w:hAnsi="Arial" w:cs="Arial"/>
                <w:b/>
                <w:bCs/>
                <w:sz w:val="18"/>
                <w:szCs w:val="18"/>
                <w:lang w:eastAsia="hr-HR"/>
              </w:rPr>
              <w:t>4</w:t>
            </w:r>
            <w:r w:rsidRPr="00FF2C32">
              <w:rPr>
                <w:rFonts w:ascii="Arial" w:eastAsia="Times New Roman" w:hAnsi="Arial" w:cs="Arial"/>
                <w:b/>
                <w:bCs/>
                <w:sz w:val="18"/>
                <w:szCs w:val="18"/>
                <w:lang w:eastAsia="hr-HR"/>
              </w:rPr>
              <w:t xml:space="preserve">. </w:t>
            </w:r>
          </w:p>
        </w:tc>
        <w:tc>
          <w:tcPr>
            <w:tcW w:w="1660" w:type="dxa"/>
            <w:tcBorders>
              <w:top w:val="single" w:sz="4" w:space="0" w:color="auto"/>
              <w:left w:val="nil"/>
              <w:bottom w:val="single" w:sz="4" w:space="0" w:color="auto"/>
              <w:right w:val="nil"/>
            </w:tcBorders>
            <w:vAlign w:val="center"/>
            <w:hideMark/>
          </w:tcPr>
          <w:p w14:paraId="0681E8F2" w14:textId="3529EA44" w:rsidR="00FF2C32" w:rsidRPr="00FF2C32" w:rsidRDefault="00FF2C32" w:rsidP="009D32D6">
            <w:pPr>
              <w:spacing w:after="0" w:line="240" w:lineRule="auto"/>
              <w:jc w:val="center"/>
              <w:rPr>
                <w:rFonts w:ascii="Arial" w:eastAsia="Times New Roman" w:hAnsi="Arial" w:cs="Arial"/>
                <w:b/>
                <w:bCs/>
                <w:sz w:val="18"/>
                <w:szCs w:val="18"/>
                <w:lang w:eastAsia="hr-HR"/>
              </w:rPr>
            </w:pPr>
            <w:r w:rsidRPr="00FF2C32">
              <w:rPr>
                <w:rFonts w:ascii="Arial" w:eastAsia="Times New Roman" w:hAnsi="Arial" w:cs="Arial"/>
                <w:b/>
                <w:bCs/>
                <w:sz w:val="18"/>
                <w:szCs w:val="18"/>
                <w:lang w:eastAsia="hr-HR"/>
              </w:rPr>
              <w:t>IZVORNI PLAN/</w:t>
            </w:r>
            <w:r>
              <w:rPr>
                <w:rFonts w:ascii="Arial" w:eastAsia="Times New Roman" w:hAnsi="Arial" w:cs="Arial"/>
                <w:b/>
                <w:bCs/>
                <w:sz w:val="18"/>
                <w:szCs w:val="18"/>
                <w:lang w:eastAsia="hr-HR"/>
              </w:rPr>
              <w:t xml:space="preserve"> </w:t>
            </w:r>
            <w:r w:rsidRPr="00FF2C32">
              <w:rPr>
                <w:rFonts w:ascii="Arial" w:eastAsia="Times New Roman" w:hAnsi="Arial" w:cs="Arial"/>
                <w:b/>
                <w:bCs/>
                <w:sz w:val="18"/>
                <w:szCs w:val="18"/>
                <w:lang w:eastAsia="hr-HR"/>
              </w:rPr>
              <w:t>REBALANS 2025.</w:t>
            </w:r>
          </w:p>
        </w:tc>
        <w:tc>
          <w:tcPr>
            <w:tcW w:w="1411" w:type="dxa"/>
            <w:tcBorders>
              <w:top w:val="single" w:sz="4" w:space="0" w:color="auto"/>
              <w:left w:val="nil"/>
              <w:bottom w:val="single" w:sz="4" w:space="0" w:color="auto"/>
              <w:right w:val="nil"/>
            </w:tcBorders>
            <w:vAlign w:val="center"/>
          </w:tcPr>
          <w:p w14:paraId="40D230C7" w14:textId="77777777" w:rsidR="00FF2C32" w:rsidRPr="00FF2C32" w:rsidRDefault="00FF2C32" w:rsidP="009D32D6">
            <w:pPr>
              <w:spacing w:after="0" w:line="240" w:lineRule="auto"/>
              <w:jc w:val="center"/>
              <w:rPr>
                <w:rFonts w:ascii="Arial" w:eastAsia="Times New Roman" w:hAnsi="Arial" w:cs="Arial"/>
                <w:b/>
                <w:bCs/>
                <w:sz w:val="18"/>
                <w:szCs w:val="18"/>
                <w:lang w:eastAsia="hr-HR"/>
              </w:rPr>
            </w:pPr>
            <w:r w:rsidRPr="00FF2C32">
              <w:rPr>
                <w:rFonts w:ascii="Arial" w:eastAsia="Times New Roman" w:hAnsi="Arial" w:cs="Arial"/>
                <w:b/>
                <w:bCs/>
                <w:sz w:val="18"/>
                <w:szCs w:val="18"/>
                <w:lang w:eastAsia="hr-HR"/>
              </w:rPr>
              <w:t>TEKUĆI PLAN 2025.</w:t>
            </w:r>
          </w:p>
        </w:tc>
        <w:tc>
          <w:tcPr>
            <w:tcW w:w="1412" w:type="dxa"/>
            <w:tcBorders>
              <w:top w:val="single" w:sz="4" w:space="0" w:color="auto"/>
              <w:left w:val="nil"/>
              <w:bottom w:val="single" w:sz="4" w:space="0" w:color="auto"/>
              <w:right w:val="nil"/>
            </w:tcBorders>
            <w:vAlign w:val="center"/>
            <w:hideMark/>
          </w:tcPr>
          <w:p w14:paraId="5AA62A38" w14:textId="266AF385" w:rsidR="00FF2C32" w:rsidRPr="00FF2C32" w:rsidRDefault="00FF2C32" w:rsidP="009D32D6">
            <w:pPr>
              <w:spacing w:after="0" w:line="240" w:lineRule="auto"/>
              <w:jc w:val="center"/>
              <w:rPr>
                <w:rFonts w:ascii="Arial" w:eastAsia="Times New Roman" w:hAnsi="Arial" w:cs="Arial"/>
                <w:b/>
                <w:bCs/>
                <w:sz w:val="18"/>
                <w:szCs w:val="18"/>
                <w:lang w:eastAsia="hr-HR"/>
              </w:rPr>
            </w:pPr>
            <w:r w:rsidRPr="00FF2C32">
              <w:rPr>
                <w:rFonts w:ascii="Arial" w:eastAsia="Times New Roman" w:hAnsi="Arial" w:cs="Arial"/>
                <w:b/>
                <w:bCs/>
                <w:sz w:val="18"/>
                <w:szCs w:val="18"/>
                <w:lang w:eastAsia="hr-HR"/>
              </w:rPr>
              <w:t>IZVRŠENJE 2025.</w:t>
            </w:r>
          </w:p>
        </w:tc>
        <w:tc>
          <w:tcPr>
            <w:tcW w:w="1032" w:type="dxa"/>
            <w:tcBorders>
              <w:top w:val="single" w:sz="4" w:space="0" w:color="auto"/>
              <w:left w:val="nil"/>
              <w:bottom w:val="single" w:sz="4" w:space="0" w:color="auto"/>
              <w:right w:val="nil"/>
            </w:tcBorders>
            <w:vAlign w:val="center"/>
          </w:tcPr>
          <w:p w14:paraId="33AE7DB6" w14:textId="77777777" w:rsidR="00FF2C32" w:rsidRPr="00FF2C32" w:rsidRDefault="00FF2C32" w:rsidP="009D32D6">
            <w:pPr>
              <w:spacing w:after="0" w:line="240" w:lineRule="auto"/>
              <w:jc w:val="center"/>
              <w:rPr>
                <w:rFonts w:ascii="Arial" w:eastAsia="Times New Roman" w:hAnsi="Arial" w:cs="Arial"/>
                <w:b/>
                <w:bCs/>
                <w:sz w:val="18"/>
                <w:szCs w:val="18"/>
                <w:lang w:eastAsia="hr-HR"/>
              </w:rPr>
            </w:pPr>
            <w:r w:rsidRPr="00FF2C32">
              <w:rPr>
                <w:rFonts w:ascii="Arial" w:eastAsia="Times New Roman" w:hAnsi="Arial" w:cs="Arial"/>
                <w:b/>
                <w:bCs/>
                <w:sz w:val="18"/>
                <w:szCs w:val="18"/>
                <w:lang w:eastAsia="hr-HR"/>
              </w:rPr>
              <w:t>INDEKS (4/1)</w:t>
            </w:r>
          </w:p>
        </w:tc>
        <w:tc>
          <w:tcPr>
            <w:tcW w:w="1085" w:type="dxa"/>
            <w:tcBorders>
              <w:top w:val="single" w:sz="4" w:space="0" w:color="auto"/>
              <w:left w:val="nil"/>
              <w:bottom w:val="single" w:sz="4" w:space="0" w:color="auto"/>
              <w:right w:val="nil"/>
            </w:tcBorders>
            <w:vAlign w:val="center"/>
            <w:hideMark/>
          </w:tcPr>
          <w:p w14:paraId="48198103" w14:textId="06EB9C1B" w:rsidR="00FF2C32" w:rsidRPr="00FF2C32" w:rsidRDefault="00FF2C32" w:rsidP="00FF2C32">
            <w:pPr>
              <w:spacing w:after="0" w:line="240" w:lineRule="auto"/>
              <w:jc w:val="center"/>
              <w:rPr>
                <w:rFonts w:ascii="Arial" w:eastAsia="Times New Roman" w:hAnsi="Arial" w:cs="Arial"/>
                <w:b/>
                <w:bCs/>
                <w:sz w:val="18"/>
                <w:szCs w:val="18"/>
                <w:lang w:eastAsia="hr-HR"/>
              </w:rPr>
            </w:pPr>
            <w:r w:rsidRPr="00FF2C32">
              <w:rPr>
                <w:rFonts w:ascii="Arial" w:eastAsia="Times New Roman" w:hAnsi="Arial" w:cs="Arial"/>
                <w:b/>
                <w:bCs/>
                <w:sz w:val="18"/>
                <w:szCs w:val="18"/>
                <w:lang w:eastAsia="hr-HR"/>
              </w:rPr>
              <w:t>INDE</w:t>
            </w:r>
            <w:r>
              <w:rPr>
                <w:rFonts w:ascii="Arial" w:eastAsia="Times New Roman" w:hAnsi="Arial" w:cs="Arial"/>
                <w:b/>
                <w:bCs/>
                <w:sz w:val="18"/>
                <w:szCs w:val="18"/>
                <w:lang w:eastAsia="hr-HR"/>
              </w:rPr>
              <w:t xml:space="preserve">KS    </w:t>
            </w:r>
            <w:r w:rsidRPr="00FF2C32">
              <w:rPr>
                <w:rFonts w:ascii="Arial" w:eastAsia="Times New Roman" w:hAnsi="Arial" w:cs="Arial"/>
                <w:b/>
                <w:bCs/>
                <w:sz w:val="18"/>
                <w:szCs w:val="18"/>
                <w:lang w:eastAsia="hr-HR"/>
              </w:rPr>
              <w:t>(4/3)</w:t>
            </w:r>
          </w:p>
        </w:tc>
      </w:tr>
      <w:tr w:rsidR="00FF2C32" w:rsidRPr="00DF1BA1" w14:paraId="65522BAC" w14:textId="77777777" w:rsidTr="00FF2C32">
        <w:trPr>
          <w:trHeight w:val="253"/>
        </w:trPr>
        <w:tc>
          <w:tcPr>
            <w:tcW w:w="423" w:type="dxa"/>
            <w:tcBorders>
              <w:top w:val="nil"/>
              <w:left w:val="nil"/>
              <w:bottom w:val="single" w:sz="4" w:space="0" w:color="auto"/>
              <w:right w:val="nil"/>
            </w:tcBorders>
            <w:noWrap/>
            <w:vAlign w:val="bottom"/>
            <w:hideMark/>
          </w:tcPr>
          <w:p w14:paraId="1AA11DD4" w14:textId="77777777" w:rsidR="00FF2C32" w:rsidRPr="00DF1BA1" w:rsidRDefault="00FF2C32" w:rsidP="009D32D6">
            <w:pPr>
              <w:spacing w:after="0" w:line="240" w:lineRule="auto"/>
              <w:jc w:val="center"/>
              <w:rPr>
                <w:rFonts w:ascii="Calibri" w:eastAsia="Times New Roman" w:hAnsi="Calibri" w:cs="Calibri"/>
                <w:color w:val="000000"/>
                <w:sz w:val="20"/>
                <w:szCs w:val="20"/>
                <w:lang w:eastAsia="hr-HR"/>
              </w:rPr>
            </w:pPr>
          </w:p>
        </w:tc>
        <w:tc>
          <w:tcPr>
            <w:tcW w:w="3248" w:type="dxa"/>
            <w:tcBorders>
              <w:top w:val="nil"/>
              <w:left w:val="nil"/>
              <w:bottom w:val="single" w:sz="4" w:space="0" w:color="auto"/>
              <w:right w:val="nil"/>
            </w:tcBorders>
            <w:noWrap/>
            <w:vAlign w:val="bottom"/>
            <w:hideMark/>
          </w:tcPr>
          <w:p w14:paraId="32021AE5" w14:textId="77777777" w:rsidR="00FF2C32" w:rsidRPr="00DF1BA1" w:rsidRDefault="00FF2C32" w:rsidP="009D32D6">
            <w:pPr>
              <w:spacing w:after="0" w:line="240" w:lineRule="auto"/>
              <w:jc w:val="center"/>
              <w:rPr>
                <w:rFonts w:ascii="Calibri" w:eastAsia="Times New Roman" w:hAnsi="Calibri" w:cs="Calibri"/>
                <w:color w:val="000000"/>
                <w:sz w:val="20"/>
                <w:szCs w:val="20"/>
                <w:lang w:eastAsia="hr-HR"/>
              </w:rPr>
            </w:pPr>
          </w:p>
        </w:tc>
        <w:tc>
          <w:tcPr>
            <w:tcW w:w="1446" w:type="dxa"/>
            <w:tcBorders>
              <w:top w:val="nil"/>
              <w:left w:val="nil"/>
              <w:bottom w:val="single" w:sz="4" w:space="0" w:color="auto"/>
              <w:right w:val="nil"/>
            </w:tcBorders>
          </w:tcPr>
          <w:p w14:paraId="15CE849B" w14:textId="77777777" w:rsidR="00FF2C32" w:rsidRPr="00DF1BA1" w:rsidRDefault="00FF2C32" w:rsidP="009D32D6">
            <w:pPr>
              <w:spacing w:after="0" w:line="240" w:lineRule="auto"/>
              <w:jc w:val="center"/>
              <w:rPr>
                <w:rFonts w:ascii="Calibri" w:eastAsia="Times New Roman" w:hAnsi="Calibri" w:cs="Calibri"/>
                <w:color w:val="000000"/>
                <w:sz w:val="20"/>
                <w:szCs w:val="20"/>
                <w:lang w:eastAsia="hr-HR"/>
              </w:rPr>
            </w:pPr>
            <w:r w:rsidRPr="00DF1BA1">
              <w:rPr>
                <w:rFonts w:ascii="Calibri" w:eastAsia="Times New Roman" w:hAnsi="Calibri" w:cs="Calibri"/>
                <w:color w:val="000000"/>
                <w:sz w:val="20"/>
                <w:szCs w:val="20"/>
                <w:lang w:eastAsia="hr-HR"/>
              </w:rPr>
              <w:t>1.</w:t>
            </w:r>
          </w:p>
        </w:tc>
        <w:tc>
          <w:tcPr>
            <w:tcW w:w="1660" w:type="dxa"/>
            <w:tcBorders>
              <w:top w:val="nil"/>
              <w:left w:val="nil"/>
              <w:bottom w:val="single" w:sz="4" w:space="0" w:color="auto"/>
              <w:right w:val="nil"/>
            </w:tcBorders>
            <w:noWrap/>
            <w:vAlign w:val="bottom"/>
            <w:hideMark/>
          </w:tcPr>
          <w:p w14:paraId="2EC1F7BD" w14:textId="77777777" w:rsidR="00FF2C32" w:rsidRPr="00DF1BA1" w:rsidRDefault="00FF2C32" w:rsidP="009D32D6">
            <w:pPr>
              <w:spacing w:after="0" w:line="240" w:lineRule="auto"/>
              <w:jc w:val="center"/>
              <w:rPr>
                <w:rFonts w:ascii="Calibri" w:eastAsia="Times New Roman" w:hAnsi="Calibri" w:cs="Calibri"/>
                <w:color w:val="000000"/>
                <w:sz w:val="20"/>
                <w:szCs w:val="20"/>
                <w:lang w:eastAsia="hr-HR"/>
              </w:rPr>
            </w:pPr>
            <w:r w:rsidRPr="00DF1BA1">
              <w:rPr>
                <w:rFonts w:ascii="Calibri" w:eastAsia="Times New Roman" w:hAnsi="Calibri" w:cs="Calibri"/>
                <w:color w:val="000000"/>
                <w:sz w:val="20"/>
                <w:szCs w:val="20"/>
                <w:lang w:eastAsia="hr-HR"/>
              </w:rPr>
              <w:t>2.</w:t>
            </w:r>
          </w:p>
        </w:tc>
        <w:tc>
          <w:tcPr>
            <w:tcW w:w="1411" w:type="dxa"/>
            <w:tcBorders>
              <w:top w:val="nil"/>
              <w:left w:val="nil"/>
              <w:bottom w:val="single" w:sz="4" w:space="0" w:color="auto"/>
              <w:right w:val="nil"/>
            </w:tcBorders>
          </w:tcPr>
          <w:p w14:paraId="6249E7CC" w14:textId="77777777" w:rsidR="00FF2C32" w:rsidRPr="00DF1BA1" w:rsidRDefault="00FF2C32" w:rsidP="009D32D6">
            <w:pPr>
              <w:spacing w:after="0" w:line="240" w:lineRule="auto"/>
              <w:jc w:val="center"/>
              <w:rPr>
                <w:rFonts w:ascii="Calibri" w:eastAsia="Times New Roman" w:hAnsi="Calibri" w:cs="Calibri"/>
                <w:color w:val="000000"/>
                <w:sz w:val="20"/>
                <w:szCs w:val="20"/>
                <w:lang w:eastAsia="hr-HR"/>
              </w:rPr>
            </w:pPr>
            <w:r w:rsidRPr="00DF1BA1">
              <w:rPr>
                <w:rFonts w:ascii="Calibri" w:eastAsia="Times New Roman" w:hAnsi="Calibri" w:cs="Calibri"/>
                <w:color w:val="000000"/>
                <w:sz w:val="20"/>
                <w:szCs w:val="20"/>
                <w:lang w:eastAsia="hr-HR"/>
              </w:rPr>
              <w:t>3.</w:t>
            </w:r>
          </w:p>
        </w:tc>
        <w:tc>
          <w:tcPr>
            <w:tcW w:w="1412" w:type="dxa"/>
            <w:tcBorders>
              <w:top w:val="nil"/>
              <w:left w:val="nil"/>
              <w:bottom w:val="single" w:sz="4" w:space="0" w:color="auto"/>
              <w:right w:val="nil"/>
            </w:tcBorders>
            <w:noWrap/>
            <w:vAlign w:val="bottom"/>
            <w:hideMark/>
          </w:tcPr>
          <w:p w14:paraId="484E6AA8" w14:textId="77777777" w:rsidR="00FF2C32" w:rsidRPr="00DF1BA1" w:rsidRDefault="00FF2C32" w:rsidP="009D32D6">
            <w:pPr>
              <w:spacing w:after="0" w:line="240" w:lineRule="auto"/>
              <w:jc w:val="center"/>
              <w:rPr>
                <w:rFonts w:ascii="Calibri" w:eastAsia="Times New Roman" w:hAnsi="Calibri" w:cs="Calibri"/>
                <w:color w:val="000000"/>
                <w:sz w:val="20"/>
                <w:szCs w:val="20"/>
                <w:lang w:eastAsia="hr-HR"/>
              </w:rPr>
            </w:pPr>
            <w:r w:rsidRPr="00DF1BA1">
              <w:rPr>
                <w:rFonts w:ascii="Calibri" w:eastAsia="Times New Roman" w:hAnsi="Calibri" w:cs="Calibri"/>
                <w:color w:val="000000"/>
                <w:sz w:val="20"/>
                <w:szCs w:val="20"/>
                <w:lang w:eastAsia="hr-HR"/>
              </w:rPr>
              <w:t>4.</w:t>
            </w:r>
          </w:p>
        </w:tc>
        <w:tc>
          <w:tcPr>
            <w:tcW w:w="1032" w:type="dxa"/>
            <w:tcBorders>
              <w:top w:val="nil"/>
              <w:left w:val="nil"/>
              <w:bottom w:val="single" w:sz="4" w:space="0" w:color="auto"/>
              <w:right w:val="nil"/>
            </w:tcBorders>
          </w:tcPr>
          <w:p w14:paraId="035E77F1" w14:textId="77777777" w:rsidR="00FF2C32" w:rsidRPr="00DF1BA1" w:rsidRDefault="00FF2C32" w:rsidP="009D32D6">
            <w:pPr>
              <w:spacing w:after="0" w:line="240" w:lineRule="auto"/>
              <w:jc w:val="center"/>
              <w:rPr>
                <w:rFonts w:ascii="Calibri" w:eastAsia="Times New Roman" w:hAnsi="Calibri" w:cs="Calibri"/>
                <w:color w:val="000000"/>
                <w:sz w:val="20"/>
                <w:szCs w:val="20"/>
                <w:lang w:eastAsia="hr-HR"/>
              </w:rPr>
            </w:pPr>
            <w:r w:rsidRPr="00DF1BA1">
              <w:rPr>
                <w:rFonts w:ascii="Calibri" w:eastAsia="Times New Roman" w:hAnsi="Calibri" w:cs="Calibri"/>
                <w:color w:val="000000"/>
                <w:sz w:val="20"/>
                <w:szCs w:val="20"/>
                <w:lang w:eastAsia="hr-HR"/>
              </w:rPr>
              <w:t>5.</w:t>
            </w:r>
          </w:p>
        </w:tc>
        <w:tc>
          <w:tcPr>
            <w:tcW w:w="1085" w:type="dxa"/>
            <w:tcBorders>
              <w:top w:val="nil"/>
              <w:left w:val="nil"/>
              <w:bottom w:val="single" w:sz="4" w:space="0" w:color="auto"/>
              <w:right w:val="nil"/>
            </w:tcBorders>
            <w:noWrap/>
            <w:vAlign w:val="bottom"/>
            <w:hideMark/>
          </w:tcPr>
          <w:p w14:paraId="5A2C01E9" w14:textId="77777777" w:rsidR="00FF2C32" w:rsidRPr="00DF1BA1" w:rsidRDefault="00FF2C32" w:rsidP="009D32D6">
            <w:pPr>
              <w:spacing w:after="0" w:line="240" w:lineRule="auto"/>
              <w:jc w:val="center"/>
              <w:rPr>
                <w:rFonts w:ascii="Calibri" w:eastAsia="Times New Roman" w:hAnsi="Calibri" w:cs="Calibri"/>
                <w:color w:val="000000"/>
                <w:sz w:val="20"/>
                <w:szCs w:val="20"/>
                <w:lang w:eastAsia="hr-HR"/>
              </w:rPr>
            </w:pPr>
            <w:r w:rsidRPr="00DF1BA1">
              <w:rPr>
                <w:rFonts w:ascii="Calibri" w:eastAsia="Times New Roman" w:hAnsi="Calibri" w:cs="Calibri"/>
                <w:color w:val="000000"/>
                <w:sz w:val="20"/>
                <w:szCs w:val="20"/>
                <w:lang w:eastAsia="hr-HR"/>
              </w:rPr>
              <w:t>6.</w:t>
            </w:r>
          </w:p>
        </w:tc>
      </w:tr>
      <w:tr w:rsidR="00FF2C32" w:rsidRPr="00DF1BA1" w14:paraId="1761855E" w14:textId="77777777" w:rsidTr="00FF2C32">
        <w:trPr>
          <w:trHeight w:val="253"/>
        </w:trPr>
        <w:tc>
          <w:tcPr>
            <w:tcW w:w="423" w:type="dxa"/>
            <w:tcBorders>
              <w:top w:val="nil"/>
              <w:left w:val="nil"/>
              <w:bottom w:val="single" w:sz="4" w:space="0" w:color="auto"/>
              <w:right w:val="nil"/>
            </w:tcBorders>
            <w:shd w:val="clear" w:color="auto" w:fill="FFC000"/>
            <w:noWrap/>
            <w:vAlign w:val="bottom"/>
            <w:hideMark/>
          </w:tcPr>
          <w:p w14:paraId="1C625222" w14:textId="77777777" w:rsidR="00FF2C32" w:rsidRPr="00FF2C32" w:rsidRDefault="00FF2C32" w:rsidP="009D32D6">
            <w:pPr>
              <w:spacing w:after="0" w:line="240" w:lineRule="auto"/>
              <w:jc w:val="center"/>
              <w:rPr>
                <w:rFonts w:ascii="Calibri" w:eastAsia="Times New Roman" w:hAnsi="Calibri" w:cs="Calibri"/>
                <w:sz w:val="18"/>
                <w:szCs w:val="18"/>
                <w:lang w:eastAsia="hr-HR"/>
              </w:rPr>
            </w:pPr>
            <w:r w:rsidRPr="00FF2C32">
              <w:rPr>
                <w:rFonts w:ascii="Calibri" w:eastAsia="Times New Roman" w:hAnsi="Calibri" w:cs="Calibri"/>
                <w:sz w:val="18"/>
                <w:szCs w:val="18"/>
                <w:lang w:eastAsia="hr-HR"/>
              </w:rPr>
              <w:t>A.</w:t>
            </w:r>
          </w:p>
        </w:tc>
        <w:tc>
          <w:tcPr>
            <w:tcW w:w="3248" w:type="dxa"/>
            <w:tcBorders>
              <w:top w:val="nil"/>
              <w:left w:val="nil"/>
              <w:bottom w:val="single" w:sz="4" w:space="0" w:color="auto"/>
              <w:right w:val="nil"/>
            </w:tcBorders>
            <w:shd w:val="clear" w:color="auto" w:fill="FFC000"/>
            <w:noWrap/>
            <w:vAlign w:val="bottom"/>
            <w:hideMark/>
          </w:tcPr>
          <w:p w14:paraId="02F5A45E" w14:textId="77777777" w:rsidR="00FF2C32" w:rsidRPr="00FF2C32" w:rsidRDefault="00FF2C32" w:rsidP="009D32D6">
            <w:pPr>
              <w:spacing w:after="0" w:line="240" w:lineRule="auto"/>
              <w:rPr>
                <w:rFonts w:ascii="Arial" w:eastAsia="Times New Roman" w:hAnsi="Arial" w:cs="Arial"/>
                <w:b/>
                <w:bCs/>
                <w:sz w:val="18"/>
                <w:szCs w:val="18"/>
                <w:lang w:eastAsia="hr-HR"/>
              </w:rPr>
            </w:pPr>
            <w:r w:rsidRPr="00FF2C32">
              <w:rPr>
                <w:rFonts w:ascii="Arial" w:eastAsia="Times New Roman" w:hAnsi="Arial" w:cs="Arial"/>
                <w:b/>
                <w:bCs/>
                <w:sz w:val="18"/>
                <w:szCs w:val="18"/>
                <w:lang w:eastAsia="hr-HR"/>
              </w:rPr>
              <w:t xml:space="preserve">RAČUN PRIHODA I RASHODA </w:t>
            </w:r>
          </w:p>
        </w:tc>
        <w:tc>
          <w:tcPr>
            <w:tcW w:w="1446" w:type="dxa"/>
            <w:tcBorders>
              <w:top w:val="nil"/>
              <w:left w:val="nil"/>
              <w:bottom w:val="single" w:sz="4" w:space="0" w:color="auto"/>
              <w:right w:val="nil"/>
            </w:tcBorders>
            <w:shd w:val="clear" w:color="auto" w:fill="FFC000"/>
          </w:tcPr>
          <w:p w14:paraId="24AF5E9A" w14:textId="77777777" w:rsidR="00FF2C32" w:rsidRPr="00DF1BA1" w:rsidRDefault="00FF2C32" w:rsidP="009D32D6">
            <w:pPr>
              <w:spacing w:after="0" w:line="240" w:lineRule="auto"/>
              <w:jc w:val="center"/>
              <w:rPr>
                <w:rFonts w:ascii="Calibri" w:eastAsia="Times New Roman" w:hAnsi="Calibri" w:cs="Calibri"/>
                <w:b/>
                <w:bCs/>
                <w:sz w:val="20"/>
                <w:szCs w:val="20"/>
                <w:lang w:eastAsia="hr-HR"/>
              </w:rPr>
            </w:pPr>
          </w:p>
        </w:tc>
        <w:tc>
          <w:tcPr>
            <w:tcW w:w="1660" w:type="dxa"/>
            <w:tcBorders>
              <w:top w:val="nil"/>
              <w:left w:val="nil"/>
              <w:bottom w:val="single" w:sz="4" w:space="0" w:color="auto"/>
              <w:right w:val="nil"/>
            </w:tcBorders>
            <w:shd w:val="clear" w:color="auto" w:fill="FFC000"/>
            <w:noWrap/>
            <w:vAlign w:val="bottom"/>
          </w:tcPr>
          <w:p w14:paraId="76CCF31D" w14:textId="77777777" w:rsidR="00FF2C32" w:rsidRPr="00DF1BA1" w:rsidRDefault="00FF2C32" w:rsidP="009D32D6">
            <w:pPr>
              <w:spacing w:after="0" w:line="240" w:lineRule="auto"/>
              <w:jc w:val="center"/>
              <w:rPr>
                <w:rFonts w:ascii="Calibri" w:eastAsia="Times New Roman" w:hAnsi="Calibri" w:cs="Calibri"/>
                <w:b/>
                <w:bCs/>
                <w:sz w:val="20"/>
                <w:szCs w:val="20"/>
                <w:lang w:eastAsia="hr-HR"/>
              </w:rPr>
            </w:pPr>
          </w:p>
        </w:tc>
        <w:tc>
          <w:tcPr>
            <w:tcW w:w="1411" w:type="dxa"/>
            <w:tcBorders>
              <w:top w:val="nil"/>
              <w:left w:val="nil"/>
              <w:bottom w:val="single" w:sz="4" w:space="0" w:color="auto"/>
              <w:right w:val="nil"/>
            </w:tcBorders>
            <w:shd w:val="clear" w:color="auto" w:fill="FFC000"/>
          </w:tcPr>
          <w:p w14:paraId="2F97A715" w14:textId="77777777" w:rsidR="00FF2C32" w:rsidRPr="00DF1BA1" w:rsidRDefault="00FF2C32" w:rsidP="009D32D6">
            <w:pPr>
              <w:spacing w:after="0" w:line="240" w:lineRule="auto"/>
              <w:jc w:val="center"/>
              <w:rPr>
                <w:rFonts w:ascii="Calibri" w:eastAsia="Times New Roman" w:hAnsi="Calibri" w:cs="Calibri"/>
                <w:b/>
                <w:bCs/>
                <w:sz w:val="20"/>
                <w:szCs w:val="20"/>
                <w:lang w:eastAsia="hr-HR"/>
              </w:rPr>
            </w:pPr>
          </w:p>
        </w:tc>
        <w:tc>
          <w:tcPr>
            <w:tcW w:w="1412" w:type="dxa"/>
            <w:tcBorders>
              <w:top w:val="nil"/>
              <w:left w:val="nil"/>
              <w:bottom w:val="single" w:sz="4" w:space="0" w:color="auto"/>
              <w:right w:val="nil"/>
            </w:tcBorders>
            <w:shd w:val="clear" w:color="auto" w:fill="FFC000"/>
            <w:noWrap/>
            <w:vAlign w:val="bottom"/>
          </w:tcPr>
          <w:p w14:paraId="67F19ABB" w14:textId="77777777" w:rsidR="00FF2C32" w:rsidRPr="00DF1BA1" w:rsidRDefault="00FF2C32" w:rsidP="009D32D6">
            <w:pPr>
              <w:spacing w:after="0" w:line="240" w:lineRule="auto"/>
              <w:jc w:val="center"/>
              <w:rPr>
                <w:rFonts w:ascii="Calibri" w:eastAsia="Times New Roman" w:hAnsi="Calibri" w:cs="Calibri"/>
                <w:b/>
                <w:bCs/>
                <w:sz w:val="20"/>
                <w:szCs w:val="20"/>
                <w:lang w:eastAsia="hr-HR"/>
              </w:rPr>
            </w:pPr>
          </w:p>
        </w:tc>
        <w:tc>
          <w:tcPr>
            <w:tcW w:w="1032" w:type="dxa"/>
            <w:tcBorders>
              <w:top w:val="nil"/>
              <w:left w:val="nil"/>
              <w:bottom w:val="single" w:sz="4" w:space="0" w:color="auto"/>
              <w:right w:val="nil"/>
            </w:tcBorders>
            <w:shd w:val="clear" w:color="auto" w:fill="FFC000"/>
          </w:tcPr>
          <w:p w14:paraId="3AC9EA6D" w14:textId="77777777" w:rsidR="00FF2C32" w:rsidRPr="00DF1BA1" w:rsidRDefault="00FF2C32" w:rsidP="009D32D6">
            <w:pPr>
              <w:spacing w:after="0" w:line="240" w:lineRule="auto"/>
              <w:jc w:val="center"/>
              <w:rPr>
                <w:rFonts w:ascii="Calibri" w:eastAsia="Times New Roman" w:hAnsi="Calibri" w:cs="Calibri"/>
                <w:b/>
                <w:bCs/>
                <w:sz w:val="20"/>
                <w:szCs w:val="20"/>
                <w:lang w:eastAsia="hr-HR"/>
              </w:rPr>
            </w:pPr>
          </w:p>
        </w:tc>
        <w:tc>
          <w:tcPr>
            <w:tcW w:w="1085" w:type="dxa"/>
            <w:tcBorders>
              <w:top w:val="nil"/>
              <w:left w:val="nil"/>
              <w:bottom w:val="single" w:sz="4" w:space="0" w:color="auto"/>
              <w:right w:val="nil"/>
            </w:tcBorders>
            <w:shd w:val="clear" w:color="auto" w:fill="FFC000"/>
            <w:noWrap/>
            <w:vAlign w:val="bottom"/>
          </w:tcPr>
          <w:p w14:paraId="6F33200D" w14:textId="77777777" w:rsidR="00FF2C32" w:rsidRPr="00DF1BA1" w:rsidRDefault="00FF2C32" w:rsidP="009D32D6">
            <w:pPr>
              <w:spacing w:after="0" w:line="240" w:lineRule="auto"/>
              <w:jc w:val="center"/>
              <w:rPr>
                <w:rFonts w:ascii="Calibri" w:eastAsia="Times New Roman" w:hAnsi="Calibri" w:cs="Calibri"/>
                <w:b/>
                <w:bCs/>
                <w:sz w:val="20"/>
                <w:szCs w:val="20"/>
                <w:lang w:eastAsia="hr-HR"/>
              </w:rPr>
            </w:pPr>
          </w:p>
        </w:tc>
      </w:tr>
      <w:tr w:rsidR="00FF2C32" w:rsidRPr="00DF1BA1" w14:paraId="18234A4E" w14:textId="77777777" w:rsidTr="00FF2C32">
        <w:trPr>
          <w:trHeight w:val="253"/>
        </w:trPr>
        <w:tc>
          <w:tcPr>
            <w:tcW w:w="423" w:type="dxa"/>
            <w:tcBorders>
              <w:top w:val="nil"/>
              <w:left w:val="nil"/>
              <w:bottom w:val="single" w:sz="4" w:space="0" w:color="auto"/>
              <w:right w:val="nil"/>
            </w:tcBorders>
            <w:noWrap/>
            <w:vAlign w:val="bottom"/>
            <w:hideMark/>
          </w:tcPr>
          <w:p w14:paraId="13461755" w14:textId="77777777" w:rsidR="00FF2C32" w:rsidRPr="00FF2C32" w:rsidRDefault="00FF2C32" w:rsidP="009D32D6">
            <w:pPr>
              <w:spacing w:after="0" w:line="240" w:lineRule="auto"/>
              <w:jc w:val="center"/>
              <w:rPr>
                <w:rFonts w:ascii="Arial" w:eastAsia="Times New Roman" w:hAnsi="Arial" w:cs="Arial"/>
                <w:b/>
                <w:bCs/>
                <w:sz w:val="18"/>
                <w:szCs w:val="18"/>
                <w:lang w:eastAsia="hr-HR"/>
              </w:rPr>
            </w:pPr>
            <w:r w:rsidRPr="00FF2C32">
              <w:rPr>
                <w:rFonts w:ascii="Arial" w:eastAsia="Times New Roman" w:hAnsi="Arial" w:cs="Arial"/>
                <w:b/>
                <w:bCs/>
                <w:sz w:val="18"/>
                <w:szCs w:val="18"/>
                <w:lang w:eastAsia="hr-HR"/>
              </w:rPr>
              <w:t> </w:t>
            </w:r>
          </w:p>
        </w:tc>
        <w:tc>
          <w:tcPr>
            <w:tcW w:w="3248" w:type="dxa"/>
            <w:tcBorders>
              <w:top w:val="nil"/>
              <w:left w:val="nil"/>
              <w:bottom w:val="single" w:sz="4" w:space="0" w:color="auto"/>
              <w:right w:val="nil"/>
            </w:tcBorders>
            <w:noWrap/>
            <w:vAlign w:val="bottom"/>
            <w:hideMark/>
          </w:tcPr>
          <w:p w14:paraId="02F9C37E" w14:textId="77777777" w:rsidR="00FF2C32" w:rsidRPr="00FF2C32" w:rsidRDefault="00FF2C32" w:rsidP="009D32D6">
            <w:pPr>
              <w:spacing w:after="0" w:line="240" w:lineRule="auto"/>
              <w:rPr>
                <w:rFonts w:ascii="Arial" w:eastAsia="Times New Roman" w:hAnsi="Arial" w:cs="Arial"/>
                <w:b/>
                <w:bCs/>
                <w:sz w:val="18"/>
                <w:szCs w:val="18"/>
                <w:lang w:eastAsia="hr-HR"/>
              </w:rPr>
            </w:pPr>
            <w:r w:rsidRPr="00FF2C32">
              <w:rPr>
                <w:rFonts w:ascii="Arial" w:eastAsia="Times New Roman" w:hAnsi="Arial" w:cs="Arial"/>
                <w:b/>
                <w:bCs/>
                <w:sz w:val="18"/>
                <w:szCs w:val="18"/>
                <w:lang w:eastAsia="hr-HR"/>
              </w:rPr>
              <w:t xml:space="preserve">UKUPNI PRIHODI </w:t>
            </w:r>
          </w:p>
        </w:tc>
        <w:tc>
          <w:tcPr>
            <w:tcW w:w="1446" w:type="dxa"/>
            <w:tcBorders>
              <w:top w:val="nil"/>
              <w:left w:val="nil"/>
              <w:bottom w:val="single" w:sz="4" w:space="0" w:color="auto"/>
              <w:right w:val="nil"/>
            </w:tcBorders>
            <w:vAlign w:val="center"/>
          </w:tcPr>
          <w:p w14:paraId="42CD614F" w14:textId="1E6448F9" w:rsidR="00FF2C32" w:rsidRPr="00DF1BA1" w:rsidRDefault="00813841" w:rsidP="009D32D6">
            <w:pPr>
              <w:spacing w:after="0" w:line="240" w:lineRule="auto"/>
              <w:jc w:val="center"/>
              <w:rPr>
                <w:rFonts w:eastAsia="Times New Roman" w:cstheme="minorHAnsi"/>
                <w:b/>
                <w:bCs/>
                <w:color w:val="000000"/>
                <w:sz w:val="20"/>
                <w:szCs w:val="20"/>
                <w:lang w:eastAsia="hr-HR"/>
              </w:rPr>
            </w:pPr>
            <w:r>
              <w:rPr>
                <w:rFonts w:eastAsia="Times New Roman" w:cstheme="minorHAnsi"/>
                <w:b/>
                <w:bCs/>
                <w:color w:val="000000"/>
                <w:sz w:val="20"/>
                <w:szCs w:val="20"/>
                <w:lang w:eastAsia="hr-HR"/>
              </w:rPr>
              <w:t>17.537.721,38</w:t>
            </w:r>
          </w:p>
        </w:tc>
        <w:tc>
          <w:tcPr>
            <w:tcW w:w="1660" w:type="dxa"/>
            <w:tcBorders>
              <w:top w:val="nil"/>
              <w:left w:val="nil"/>
              <w:bottom w:val="single" w:sz="4" w:space="0" w:color="auto"/>
              <w:right w:val="nil"/>
            </w:tcBorders>
            <w:noWrap/>
            <w:vAlign w:val="center"/>
          </w:tcPr>
          <w:p w14:paraId="5C1AF7CE" w14:textId="15F9835C" w:rsidR="00FF2C32" w:rsidRPr="00DF1BA1" w:rsidRDefault="00D46E25" w:rsidP="009D32D6">
            <w:pPr>
              <w:spacing w:after="0" w:line="240" w:lineRule="auto"/>
              <w:jc w:val="center"/>
              <w:rPr>
                <w:rFonts w:eastAsia="Times New Roman" w:cstheme="minorHAnsi"/>
                <w:b/>
                <w:bCs/>
                <w:color w:val="000000"/>
                <w:sz w:val="20"/>
                <w:szCs w:val="20"/>
                <w:lang w:eastAsia="hr-HR"/>
              </w:rPr>
            </w:pPr>
            <w:r>
              <w:rPr>
                <w:rFonts w:eastAsia="Times New Roman" w:cstheme="minorHAnsi"/>
                <w:b/>
                <w:bCs/>
                <w:color w:val="000000"/>
                <w:sz w:val="20"/>
                <w:szCs w:val="20"/>
                <w:lang w:eastAsia="hr-HR"/>
              </w:rPr>
              <w:t>20.828.572,16</w:t>
            </w:r>
          </w:p>
        </w:tc>
        <w:tc>
          <w:tcPr>
            <w:tcW w:w="1411" w:type="dxa"/>
            <w:tcBorders>
              <w:top w:val="nil"/>
              <w:left w:val="nil"/>
              <w:bottom w:val="single" w:sz="4" w:space="0" w:color="auto"/>
              <w:right w:val="nil"/>
            </w:tcBorders>
          </w:tcPr>
          <w:p w14:paraId="11A17E18" w14:textId="6390FAC8" w:rsidR="00FF2C32" w:rsidRPr="00DF1BA1" w:rsidRDefault="00D46E25" w:rsidP="009D32D6">
            <w:pPr>
              <w:spacing w:after="0" w:line="240" w:lineRule="auto"/>
              <w:jc w:val="center"/>
              <w:rPr>
                <w:rFonts w:eastAsia="Times New Roman" w:cstheme="minorHAnsi"/>
                <w:b/>
                <w:bCs/>
                <w:color w:val="000000"/>
                <w:sz w:val="20"/>
                <w:szCs w:val="20"/>
                <w:lang w:eastAsia="hr-HR"/>
              </w:rPr>
            </w:pPr>
            <w:r>
              <w:rPr>
                <w:rFonts w:eastAsia="Times New Roman" w:cstheme="minorHAnsi"/>
                <w:b/>
                <w:bCs/>
                <w:color w:val="000000"/>
                <w:sz w:val="20"/>
                <w:szCs w:val="20"/>
                <w:lang w:eastAsia="hr-HR"/>
              </w:rPr>
              <w:t>20.828.572,16</w:t>
            </w:r>
          </w:p>
        </w:tc>
        <w:tc>
          <w:tcPr>
            <w:tcW w:w="1412" w:type="dxa"/>
            <w:tcBorders>
              <w:top w:val="nil"/>
              <w:left w:val="nil"/>
              <w:bottom w:val="single" w:sz="4" w:space="0" w:color="auto"/>
              <w:right w:val="nil"/>
            </w:tcBorders>
            <w:noWrap/>
            <w:vAlign w:val="center"/>
          </w:tcPr>
          <w:p w14:paraId="7B6F138A" w14:textId="10C2831C" w:rsidR="00FF2C32" w:rsidRPr="00DF1BA1" w:rsidRDefault="00813841" w:rsidP="009D32D6">
            <w:pPr>
              <w:spacing w:after="0" w:line="240" w:lineRule="auto"/>
              <w:jc w:val="center"/>
              <w:rPr>
                <w:rFonts w:eastAsia="Times New Roman" w:cstheme="minorHAnsi"/>
                <w:b/>
                <w:bCs/>
                <w:color w:val="000000"/>
                <w:sz w:val="20"/>
                <w:szCs w:val="20"/>
                <w:lang w:eastAsia="hr-HR"/>
              </w:rPr>
            </w:pPr>
            <w:r>
              <w:rPr>
                <w:rFonts w:eastAsia="Times New Roman" w:cstheme="minorHAnsi"/>
                <w:b/>
                <w:bCs/>
                <w:color w:val="000000"/>
                <w:sz w:val="20"/>
                <w:szCs w:val="20"/>
                <w:lang w:eastAsia="hr-HR"/>
              </w:rPr>
              <w:t>19.637.321,82</w:t>
            </w:r>
          </w:p>
        </w:tc>
        <w:tc>
          <w:tcPr>
            <w:tcW w:w="1032" w:type="dxa"/>
            <w:tcBorders>
              <w:top w:val="nil"/>
              <w:left w:val="nil"/>
              <w:bottom w:val="single" w:sz="4" w:space="0" w:color="auto"/>
              <w:right w:val="nil"/>
            </w:tcBorders>
            <w:vAlign w:val="center"/>
          </w:tcPr>
          <w:p w14:paraId="6F4D9781" w14:textId="3F5B2694" w:rsidR="00FF2C32" w:rsidRPr="00DF1BA1" w:rsidRDefault="00813841" w:rsidP="009D32D6">
            <w:pPr>
              <w:spacing w:after="0" w:line="240" w:lineRule="auto"/>
              <w:jc w:val="center"/>
              <w:rPr>
                <w:rFonts w:eastAsia="Times New Roman" w:cstheme="minorHAnsi"/>
                <w:b/>
                <w:bCs/>
                <w:color w:val="000000"/>
                <w:sz w:val="20"/>
                <w:szCs w:val="20"/>
                <w:lang w:eastAsia="hr-HR"/>
              </w:rPr>
            </w:pPr>
            <w:r>
              <w:rPr>
                <w:rFonts w:eastAsia="Times New Roman" w:cstheme="minorHAnsi"/>
                <w:b/>
                <w:bCs/>
                <w:color w:val="000000"/>
                <w:sz w:val="20"/>
                <w:szCs w:val="20"/>
                <w:lang w:eastAsia="hr-HR"/>
              </w:rPr>
              <w:t>111,97%</w:t>
            </w:r>
          </w:p>
        </w:tc>
        <w:tc>
          <w:tcPr>
            <w:tcW w:w="1085" w:type="dxa"/>
            <w:tcBorders>
              <w:top w:val="nil"/>
              <w:left w:val="nil"/>
              <w:bottom w:val="single" w:sz="4" w:space="0" w:color="auto"/>
              <w:right w:val="nil"/>
            </w:tcBorders>
            <w:noWrap/>
            <w:vAlign w:val="center"/>
          </w:tcPr>
          <w:p w14:paraId="0EBA322B" w14:textId="3FE4B801" w:rsidR="00FF2C32" w:rsidRPr="00DF1BA1" w:rsidRDefault="00813841" w:rsidP="009D32D6">
            <w:pPr>
              <w:spacing w:after="0" w:line="240" w:lineRule="auto"/>
              <w:jc w:val="center"/>
              <w:rPr>
                <w:rFonts w:eastAsia="Times New Roman" w:cstheme="minorHAnsi"/>
                <w:b/>
                <w:bCs/>
                <w:color w:val="000000"/>
                <w:sz w:val="20"/>
                <w:szCs w:val="20"/>
                <w:lang w:eastAsia="hr-HR"/>
              </w:rPr>
            </w:pPr>
            <w:r>
              <w:rPr>
                <w:rFonts w:eastAsia="Times New Roman" w:cstheme="minorHAnsi"/>
                <w:b/>
                <w:bCs/>
                <w:color w:val="000000"/>
                <w:sz w:val="20"/>
                <w:szCs w:val="20"/>
                <w:lang w:eastAsia="hr-HR"/>
              </w:rPr>
              <w:t>94,28%</w:t>
            </w:r>
          </w:p>
        </w:tc>
      </w:tr>
      <w:tr w:rsidR="00FF2C32" w:rsidRPr="00DF1BA1" w14:paraId="47D664C5" w14:textId="77777777" w:rsidTr="00FF2C32">
        <w:trPr>
          <w:trHeight w:val="253"/>
        </w:trPr>
        <w:tc>
          <w:tcPr>
            <w:tcW w:w="423" w:type="dxa"/>
            <w:tcBorders>
              <w:top w:val="nil"/>
              <w:left w:val="nil"/>
              <w:bottom w:val="nil"/>
              <w:right w:val="nil"/>
            </w:tcBorders>
            <w:noWrap/>
            <w:vAlign w:val="bottom"/>
            <w:hideMark/>
          </w:tcPr>
          <w:p w14:paraId="1CE64C08" w14:textId="77777777" w:rsidR="00FF2C32" w:rsidRPr="00FF2C32" w:rsidRDefault="00FF2C32" w:rsidP="009D32D6">
            <w:pPr>
              <w:spacing w:after="0" w:line="240" w:lineRule="auto"/>
              <w:rPr>
                <w:rFonts w:ascii="Calibri" w:eastAsia="Times New Roman" w:hAnsi="Calibri" w:cs="Calibri"/>
                <w:color w:val="000000"/>
                <w:sz w:val="18"/>
                <w:szCs w:val="18"/>
                <w:lang w:eastAsia="hr-HR"/>
              </w:rPr>
            </w:pPr>
            <w:r w:rsidRPr="00FF2C32">
              <w:rPr>
                <w:rFonts w:ascii="Calibri" w:eastAsia="Times New Roman" w:hAnsi="Calibri" w:cs="Calibri"/>
                <w:color w:val="000000"/>
                <w:sz w:val="18"/>
                <w:szCs w:val="18"/>
                <w:lang w:eastAsia="hr-HR"/>
              </w:rPr>
              <w:t>6 </w:t>
            </w:r>
          </w:p>
        </w:tc>
        <w:tc>
          <w:tcPr>
            <w:tcW w:w="3248" w:type="dxa"/>
            <w:tcBorders>
              <w:top w:val="nil"/>
              <w:left w:val="nil"/>
              <w:bottom w:val="nil"/>
              <w:right w:val="nil"/>
            </w:tcBorders>
            <w:noWrap/>
            <w:vAlign w:val="bottom"/>
            <w:hideMark/>
          </w:tcPr>
          <w:p w14:paraId="49FFA380" w14:textId="77777777" w:rsidR="00FF2C32" w:rsidRPr="00FF2C32" w:rsidRDefault="00FF2C32" w:rsidP="009D32D6">
            <w:pPr>
              <w:spacing w:after="0" w:line="240" w:lineRule="auto"/>
              <w:rPr>
                <w:rFonts w:ascii="Arial" w:eastAsia="Times New Roman" w:hAnsi="Arial" w:cs="Arial"/>
                <w:sz w:val="18"/>
                <w:szCs w:val="18"/>
                <w:lang w:eastAsia="hr-HR"/>
              </w:rPr>
            </w:pPr>
            <w:r w:rsidRPr="00FF2C32">
              <w:rPr>
                <w:rFonts w:ascii="Arial" w:eastAsia="Times New Roman" w:hAnsi="Arial" w:cs="Arial"/>
                <w:sz w:val="18"/>
                <w:szCs w:val="18"/>
                <w:lang w:eastAsia="hr-HR"/>
              </w:rPr>
              <w:t>Prihodi poslovanja</w:t>
            </w:r>
          </w:p>
        </w:tc>
        <w:tc>
          <w:tcPr>
            <w:tcW w:w="1446" w:type="dxa"/>
            <w:tcBorders>
              <w:top w:val="nil"/>
              <w:left w:val="nil"/>
              <w:bottom w:val="nil"/>
              <w:right w:val="nil"/>
            </w:tcBorders>
            <w:vAlign w:val="center"/>
          </w:tcPr>
          <w:p w14:paraId="6F30421C" w14:textId="32B9FE71" w:rsidR="00FF2C32" w:rsidRPr="00DF1BA1" w:rsidRDefault="00813841" w:rsidP="009D32D6">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17.536.411,55</w:t>
            </w:r>
          </w:p>
        </w:tc>
        <w:tc>
          <w:tcPr>
            <w:tcW w:w="1660" w:type="dxa"/>
            <w:tcBorders>
              <w:top w:val="nil"/>
              <w:left w:val="nil"/>
              <w:bottom w:val="nil"/>
              <w:right w:val="nil"/>
            </w:tcBorders>
            <w:noWrap/>
            <w:vAlign w:val="center"/>
          </w:tcPr>
          <w:p w14:paraId="2965197E" w14:textId="068A7DF7" w:rsidR="00FF2C32" w:rsidRPr="00DF1BA1" w:rsidRDefault="00813841" w:rsidP="009D32D6">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20.790.572,16</w:t>
            </w:r>
          </w:p>
        </w:tc>
        <w:tc>
          <w:tcPr>
            <w:tcW w:w="1411" w:type="dxa"/>
            <w:tcBorders>
              <w:top w:val="nil"/>
              <w:left w:val="nil"/>
              <w:bottom w:val="nil"/>
              <w:right w:val="nil"/>
            </w:tcBorders>
          </w:tcPr>
          <w:p w14:paraId="268FD137" w14:textId="6F82872B" w:rsidR="00FF2C32" w:rsidRPr="00DF1BA1" w:rsidRDefault="00813841" w:rsidP="009D32D6">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20.790.572,16</w:t>
            </w:r>
          </w:p>
        </w:tc>
        <w:tc>
          <w:tcPr>
            <w:tcW w:w="1412" w:type="dxa"/>
            <w:tcBorders>
              <w:top w:val="nil"/>
              <w:left w:val="nil"/>
              <w:bottom w:val="nil"/>
              <w:right w:val="nil"/>
            </w:tcBorders>
            <w:noWrap/>
            <w:vAlign w:val="center"/>
          </w:tcPr>
          <w:p w14:paraId="7659E7AB" w14:textId="11FD9C90" w:rsidR="00FF2C32" w:rsidRPr="00DF1BA1" w:rsidRDefault="00813841" w:rsidP="009D32D6">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19.626.207,06</w:t>
            </w:r>
          </w:p>
        </w:tc>
        <w:tc>
          <w:tcPr>
            <w:tcW w:w="1032" w:type="dxa"/>
            <w:tcBorders>
              <w:top w:val="nil"/>
              <w:left w:val="nil"/>
              <w:bottom w:val="nil"/>
              <w:right w:val="nil"/>
            </w:tcBorders>
            <w:vAlign w:val="center"/>
          </w:tcPr>
          <w:p w14:paraId="72199044" w14:textId="7DFBD471" w:rsidR="00FF2C32" w:rsidRPr="00DF1BA1" w:rsidRDefault="00813841" w:rsidP="009D32D6">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111,92%</w:t>
            </w:r>
          </w:p>
        </w:tc>
        <w:tc>
          <w:tcPr>
            <w:tcW w:w="1085" w:type="dxa"/>
            <w:tcBorders>
              <w:top w:val="nil"/>
              <w:left w:val="nil"/>
              <w:bottom w:val="nil"/>
              <w:right w:val="nil"/>
            </w:tcBorders>
            <w:noWrap/>
            <w:vAlign w:val="center"/>
          </w:tcPr>
          <w:p w14:paraId="59C0785D" w14:textId="70551EA4" w:rsidR="00FF2C32" w:rsidRPr="00DF1BA1" w:rsidRDefault="00813841" w:rsidP="009D32D6">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94,40%</w:t>
            </w:r>
          </w:p>
        </w:tc>
      </w:tr>
      <w:tr w:rsidR="00FF2C32" w:rsidRPr="00DF1BA1" w14:paraId="77B28BC4" w14:textId="77777777" w:rsidTr="00FF2C32">
        <w:trPr>
          <w:trHeight w:val="253"/>
        </w:trPr>
        <w:tc>
          <w:tcPr>
            <w:tcW w:w="423" w:type="dxa"/>
            <w:tcBorders>
              <w:top w:val="nil"/>
              <w:left w:val="nil"/>
              <w:bottom w:val="single" w:sz="4" w:space="0" w:color="auto"/>
              <w:right w:val="nil"/>
            </w:tcBorders>
            <w:noWrap/>
            <w:vAlign w:val="bottom"/>
            <w:hideMark/>
          </w:tcPr>
          <w:p w14:paraId="06E4C35E" w14:textId="77777777" w:rsidR="00FF2C32" w:rsidRPr="00FF2C32" w:rsidRDefault="00FF2C32" w:rsidP="009D32D6">
            <w:pPr>
              <w:spacing w:after="0" w:line="240" w:lineRule="auto"/>
              <w:rPr>
                <w:rFonts w:ascii="Arial" w:eastAsia="Times New Roman" w:hAnsi="Arial" w:cs="Arial"/>
                <w:bCs/>
                <w:sz w:val="18"/>
                <w:szCs w:val="18"/>
                <w:lang w:eastAsia="hr-HR"/>
              </w:rPr>
            </w:pPr>
            <w:r w:rsidRPr="00FF2C32">
              <w:rPr>
                <w:rFonts w:ascii="Arial" w:eastAsia="Times New Roman" w:hAnsi="Arial" w:cs="Arial"/>
                <w:bCs/>
                <w:sz w:val="18"/>
                <w:szCs w:val="18"/>
                <w:lang w:eastAsia="hr-HR"/>
              </w:rPr>
              <w:t>7 </w:t>
            </w:r>
          </w:p>
        </w:tc>
        <w:tc>
          <w:tcPr>
            <w:tcW w:w="3248" w:type="dxa"/>
            <w:tcBorders>
              <w:top w:val="nil"/>
              <w:left w:val="nil"/>
              <w:bottom w:val="single" w:sz="4" w:space="0" w:color="auto"/>
              <w:right w:val="nil"/>
            </w:tcBorders>
            <w:noWrap/>
            <w:vAlign w:val="bottom"/>
            <w:hideMark/>
          </w:tcPr>
          <w:p w14:paraId="1127B2E9" w14:textId="77777777" w:rsidR="00FF2C32" w:rsidRPr="00FF2C32" w:rsidRDefault="00FF2C32" w:rsidP="009D32D6">
            <w:pPr>
              <w:spacing w:after="0" w:line="240" w:lineRule="auto"/>
              <w:rPr>
                <w:rFonts w:ascii="Arial" w:eastAsia="Times New Roman" w:hAnsi="Arial" w:cs="Arial"/>
                <w:sz w:val="18"/>
                <w:szCs w:val="18"/>
                <w:lang w:eastAsia="hr-HR"/>
              </w:rPr>
            </w:pPr>
            <w:r w:rsidRPr="00FF2C32">
              <w:rPr>
                <w:rFonts w:ascii="Arial" w:eastAsia="Times New Roman" w:hAnsi="Arial" w:cs="Arial"/>
                <w:sz w:val="18"/>
                <w:szCs w:val="18"/>
                <w:lang w:eastAsia="hr-HR"/>
              </w:rPr>
              <w:t>Prihodi od prodaje nefinancijske imovine</w:t>
            </w:r>
          </w:p>
        </w:tc>
        <w:tc>
          <w:tcPr>
            <w:tcW w:w="1446" w:type="dxa"/>
            <w:tcBorders>
              <w:top w:val="nil"/>
              <w:left w:val="nil"/>
              <w:bottom w:val="single" w:sz="4" w:space="0" w:color="auto"/>
              <w:right w:val="nil"/>
            </w:tcBorders>
            <w:vAlign w:val="center"/>
          </w:tcPr>
          <w:p w14:paraId="3B074C3E" w14:textId="64FF2913" w:rsidR="00FF2C32" w:rsidRPr="00DF1BA1" w:rsidRDefault="00813841" w:rsidP="009D32D6">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1.309,83</w:t>
            </w:r>
          </w:p>
        </w:tc>
        <w:tc>
          <w:tcPr>
            <w:tcW w:w="1660" w:type="dxa"/>
            <w:tcBorders>
              <w:top w:val="nil"/>
              <w:left w:val="nil"/>
              <w:bottom w:val="single" w:sz="4" w:space="0" w:color="auto"/>
              <w:right w:val="nil"/>
            </w:tcBorders>
            <w:noWrap/>
            <w:vAlign w:val="center"/>
          </w:tcPr>
          <w:p w14:paraId="2204B7D3" w14:textId="119C1309" w:rsidR="00FF2C32" w:rsidRPr="00DF1BA1" w:rsidRDefault="00813841" w:rsidP="009D32D6">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38.000,00</w:t>
            </w:r>
          </w:p>
        </w:tc>
        <w:tc>
          <w:tcPr>
            <w:tcW w:w="1411" w:type="dxa"/>
            <w:tcBorders>
              <w:top w:val="nil"/>
              <w:left w:val="nil"/>
              <w:bottom w:val="single" w:sz="4" w:space="0" w:color="auto"/>
              <w:right w:val="nil"/>
            </w:tcBorders>
            <w:vAlign w:val="center"/>
          </w:tcPr>
          <w:p w14:paraId="2A0CD034" w14:textId="6627187F" w:rsidR="00FF2C32" w:rsidRPr="00DF1BA1" w:rsidRDefault="00813841" w:rsidP="009D32D6">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38.000,00</w:t>
            </w:r>
          </w:p>
        </w:tc>
        <w:tc>
          <w:tcPr>
            <w:tcW w:w="1412" w:type="dxa"/>
            <w:tcBorders>
              <w:top w:val="nil"/>
              <w:left w:val="nil"/>
              <w:bottom w:val="single" w:sz="4" w:space="0" w:color="auto"/>
              <w:right w:val="nil"/>
            </w:tcBorders>
            <w:noWrap/>
            <w:vAlign w:val="center"/>
          </w:tcPr>
          <w:p w14:paraId="489C175C" w14:textId="4E25C695" w:rsidR="00FF2C32" w:rsidRPr="00DF1BA1" w:rsidRDefault="00813841" w:rsidP="009D32D6">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11.114,76</w:t>
            </w:r>
          </w:p>
        </w:tc>
        <w:tc>
          <w:tcPr>
            <w:tcW w:w="1032" w:type="dxa"/>
            <w:tcBorders>
              <w:top w:val="nil"/>
              <w:left w:val="nil"/>
              <w:bottom w:val="single" w:sz="4" w:space="0" w:color="auto"/>
              <w:right w:val="nil"/>
            </w:tcBorders>
            <w:vAlign w:val="center"/>
          </w:tcPr>
          <w:p w14:paraId="2738EE4E" w14:textId="264F006C" w:rsidR="00FF2C32" w:rsidRPr="00DF1BA1" w:rsidRDefault="00813841" w:rsidP="009D32D6">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848,57%</w:t>
            </w:r>
          </w:p>
        </w:tc>
        <w:tc>
          <w:tcPr>
            <w:tcW w:w="1085" w:type="dxa"/>
            <w:tcBorders>
              <w:top w:val="nil"/>
              <w:left w:val="nil"/>
              <w:bottom w:val="single" w:sz="4" w:space="0" w:color="auto"/>
              <w:right w:val="nil"/>
            </w:tcBorders>
            <w:noWrap/>
            <w:vAlign w:val="center"/>
          </w:tcPr>
          <w:p w14:paraId="4E1ADD8F" w14:textId="346BDFB4" w:rsidR="00FF2C32" w:rsidRPr="00DF1BA1" w:rsidRDefault="00813841" w:rsidP="009D32D6">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29,25%</w:t>
            </w:r>
          </w:p>
        </w:tc>
      </w:tr>
      <w:tr w:rsidR="00FF2C32" w:rsidRPr="00DF1BA1" w14:paraId="5903E01F" w14:textId="77777777" w:rsidTr="00FF2C32">
        <w:trPr>
          <w:trHeight w:val="253"/>
        </w:trPr>
        <w:tc>
          <w:tcPr>
            <w:tcW w:w="423" w:type="dxa"/>
            <w:tcBorders>
              <w:top w:val="nil"/>
              <w:left w:val="nil"/>
              <w:bottom w:val="single" w:sz="4" w:space="0" w:color="auto"/>
              <w:right w:val="nil"/>
            </w:tcBorders>
            <w:noWrap/>
            <w:vAlign w:val="bottom"/>
          </w:tcPr>
          <w:p w14:paraId="17A8CFB9" w14:textId="77777777" w:rsidR="00FF2C32" w:rsidRPr="00FF2C32" w:rsidRDefault="00FF2C32" w:rsidP="009D32D6">
            <w:pPr>
              <w:spacing w:after="0" w:line="240" w:lineRule="auto"/>
              <w:rPr>
                <w:rFonts w:ascii="Arial" w:eastAsia="Times New Roman" w:hAnsi="Arial" w:cs="Arial"/>
                <w:bCs/>
                <w:sz w:val="18"/>
                <w:szCs w:val="18"/>
                <w:lang w:eastAsia="hr-HR"/>
              </w:rPr>
            </w:pPr>
          </w:p>
        </w:tc>
        <w:tc>
          <w:tcPr>
            <w:tcW w:w="3248" w:type="dxa"/>
            <w:tcBorders>
              <w:top w:val="nil"/>
              <w:left w:val="nil"/>
              <w:bottom w:val="single" w:sz="4" w:space="0" w:color="auto"/>
              <w:right w:val="nil"/>
            </w:tcBorders>
            <w:noWrap/>
            <w:vAlign w:val="bottom"/>
          </w:tcPr>
          <w:p w14:paraId="4235A6E0" w14:textId="77777777" w:rsidR="00FF2C32" w:rsidRPr="00FF2C32" w:rsidRDefault="00FF2C32" w:rsidP="009D32D6">
            <w:pPr>
              <w:spacing w:after="0" w:line="240" w:lineRule="auto"/>
              <w:rPr>
                <w:rFonts w:ascii="Arial" w:eastAsia="Times New Roman" w:hAnsi="Arial" w:cs="Arial"/>
                <w:b/>
                <w:sz w:val="18"/>
                <w:szCs w:val="18"/>
                <w:lang w:eastAsia="hr-HR"/>
              </w:rPr>
            </w:pPr>
            <w:r w:rsidRPr="00FF2C32">
              <w:rPr>
                <w:rFonts w:ascii="Arial" w:eastAsia="Times New Roman" w:hAnsi="Arial" w:cs="Arial"/>
                <w:b/>
                <w:sz w:val="18"/>
                <w:szCs w:val="18"/>
                <w:lang w:eastAsia="hr-HR"/>
              </w:rPr>
              <w:t xml:space="preserve">UKUPNI RASHODI </w:t>
            </w:r>
          </w:p>
        </w:tc>
        <w:tc>
          <w:tcPr>
            <w:tcW w:w="1446" w:type="dxa"/>
            <w:tcBorders>
              <w:top w:val="nil"/>
              <w:left w:val="nil"/>
              <w:bottom w:val="single" w:sz="4" w:space="0" w:color="auto"/>
              <w:right w:val="nil"/>
            </w:tcBorders>
            <w:vAlign w:val="center"/>
          </w:tcPr>
          <w:p w14:paraId="1F4FC1D5" w14:textId="6CEEEF0E" w:rsidR="00FF2C32" w:rsidRPr="00DF1BA1" w:rsidRDefault="00813841" w:rsidP="009D32D6">
            <w:pPr>
              <w:spacing w:after="0" w:line="240" w:lineRule="auto"/>
              <w:jc w:val="center"/>
              <w:rPr>
                <w:rFonts w:eastAsia="Times New Roman" w:cstheme="minorHAnsi"/>
                <w:b/>
                <w:sz w:val="20"/>
                <w:szCs w:val="20"/>
                <w:lang w:eastAsia="hr-HR"/>
              </w:rPr>
            </w:pPr>
            <w:r>
              <w:rPr>
                <w:rFonts w:eastAsia="Times New Roman" w:cstheme="minorHAnsi"/>
                <w:b/>
                <w:sz w:val="20"/>
                <w:szCs w:val="20"/>
                <w:lang w:eastAsia="hr-HR"/>
              </w:rPr>
              <w:t>16.752.997,56</w:t>
            </w:r>
          </w:p>
        </w:tc>
        <w:tc>
          <w:tcPr>
            <w:tcW w:w="1660" w:type="dxa"/>
            <w:tcBorders>
              <w:top w:val="nil"/>
              <w:left w:val="nil"/>
              <w:bottom w:val="single" w:sz="4" w:space="0" w:color="auto"/>
              <w:right w:val="nil"/>
            </w:tcBorders>
            <w:noWrap/>
            <w:vAlign w:val="center"/>
          </w:tcPr>
          <w:p w14:paraId="51CBD5C7" w14:textId="29EE32A6" w:rsidR="00FF2C32" w:rsidRPr="00DF1BA1" w:rsidRDefault="00813841" w:rsidP="009D32D6">
            <w:pPr>
              <w:spacing w:after="0" w:line="240" w:lineRule="auto"/>
              <w:jc w:val="center"/>
              <w:rPr>
                <w:rFonts w:eastAsia="Times New Roman" w:cstheme="minorHAnsi"/>
                <w:b/>
                <w:sz w:val="20"/>
                <w:szCs w:val="20"/>
                <w:lang w:eastAsia="hr-HR"/>
              </w:rPr>
            </w:pPr>
            <w:r>
              <w:rPr>
                <w:rFonts w:eastAsia="Times New Roman" w:cstheme="minorHAnsi"/>
                <w:b/>
                <w:sz w:val="20"/>
                <w:szCs w:val="20"/>
                <w:lang w:eastAsia="hr-HR"/>
              </w:rPr>
              <w:t>25.062.815,09</w:t>
            </w:r>
          </w:p>
        </w:tc>
        <w:tc>
          <w:tcPr>
            <w:tcW w:w="1411" w:type="dxa"/>
            <w:tcBorders>
              <w:top w:val="nil"/>
              <w:left w:val="nil"/>
              <w:bottom w:val="single" w:sz="4" w:space="0" w:color="auto"/>
              <w:right w:val="nil"/>
            </w:tcBorders>
          </w:tcPr>
          <w:p w14:paraId="13D5257D" w14:textId="6BDEA2ED" w:rsidR="00FF2C32" w:rsidRPr="00DF1BA1" w:rsidRDefault="00813841" w:rsidP="009D32D6">
            <w:pPr>
              <w:spacing w:after="0" w:line="240" w:lineRule="auto"/>
              <w:jc w:val="center"/>
              <w:rPr>
                <w:rFonts w:eastAsia="Times New Roman" w:cstheme="minorHAnsi"/>
                <w:b/>
                <w:sz w:val="20"/>
                <w:szCs w:val="20"/>
                <w:lang w:eastAsia="hr-HR"/>
              </w:rPr>
            </w:pPr>
            <w:r>
              <w:rPr>
                <w:rFonts w:eastAsia="Times New Roman" w:cstheme="minorHAnsi"/>
                <w:b/>
                <w:sz w:val="20"/>
                <w:szCs w:val="20"/>
                <w:lang w:eastAsia="hr-HR"/>
              </w:rPr>
              <w:t>25.062.815,09</w:t>
            </w:r>
          </w:p>
        </w:tc>
        <w:tc>
          <w:tcPr>
            <w:tcW w:w="1412" w:type="dxa"/>
            <w:tcBorders>
              <w:top w:val="nil"/>
              <w:left w:val="nil"/>
              <w:bottom w:val="single" w:sz="4" w:space="0" w:color="auto"/>
              <w:right w:val="nil"/>
            </w:tcBorders>
            <w:noWrap/>
            <w:vAlign w:val="center"/>
          </w:tcPr>
          <w:p w14:paraId="730BD8FD" w14:textId="7142D784" w:rsidR="00FF2C32" w:rsidRPr="00DF1BA1" w:rsidRDefault="00813841" w:rsidP="009D32D6">
            <w:pPr>
              <w:spacing w:after="0" w:line="240" w:lineRule="auto"/>
              <w:jc w:val="center"/>
              <w:rPr>
                <w:rFonts w:eastAsia="Times New Roman" w:cstheme="minorHAnsi"/>
                <w:b/>
                <w:sz w:val="20"/>
                <w:szCs w:val="20"/>
                <w:lang w:eastAsia="hr-HR"/>
              </w:rPr>
            </w:pPr>
            <w:r>
              <w:rPr>
                <w:rFonts w:eastAsia="Times New Roman" w:cstheme="minorHAnsi"/>
                <w:b/>
                <w:sz w:val="20"/>
                <w:szCs w:val="20"/>
                <w:lang w:eastAsia="hr-HR"/>
              </w:rPr>
              <w:t>19.579.706,19</w:t>
            </w:r>
          </w:p>
        </w:tc>
        <w:tc>
          <w:tcPr>
            <w:tcW w:w="1032" w:type="dxa"/>
            <w:tcBorders>
              <w:top w:val="nil"/>
              <w:left w:val="nil"/>
              <w:bottom w:val="single" w:sz="4" w:space="0" w:color="auto"/>
              <w:right w:val="nil"/>
            </w:tcBorders>
            <w:vAlign w:val="center"/>
          </w:tcPr>
          <w:p w14:paraId="28906509" w14:textId="45BE01F2" w:rsidR="00FF2C32" w:rsidRPr="00DF1BA1" w:rsidRDefault="00813841" w:rsidP="009D32D6">
            <w:pPr>
              <w:spacing w:after="0" w:line="240" w:lineRule="auto"/>
              <w:jc w:val="center"/>
              <w:rPr>
                <w:rFonts w:eastAsia="Times New Roman" w:cstheme="minorHAnsi"/>
                <w:b/>
                <w:sz w:val="20"/>
                <w:szCs w:val="20"/>
                <w:lang w:eastAsia="hr-HR"/>
              </w:rPr>
            </w:pPr>
            <w:r>
              <w:rPr>
                <w:rFonts w:eastAsia="Times New Roman" w:cstheme="minorHAnsi"/>
                <w:b/>
                <w:sz w:val="20"/>
                <w:szCs w:val="20"/>
                <w:lang w:eastAsia="hr-HR"/>
              </w:rPr>
              <w:t>116,87%</w:t>
            </w:r>
          </w:p>
        </w:tc>
        <w:tc>
          <w:tcPr>
            <w:tcW w:w="1085" w:type="dxa"/>
            <w:tcBorders>
              <w:top w:val="nil"/>
              <w:left w:val="nil"/>
              <w:bottom w:val="single" w:sz="4" w:space="0" w:color="auto"/>
              <w:right w:val="nil"/>
            </w:tcBorders>
            <w:noWrap/>
            <w:vAlign w:val="center"/>
          </w:tcPr>
          <w:p w14:paraId="4680DF50" w14:textId="1D7EB7AC" w:rsidR="00FF2C32" w:rsidRPr="00DF1BA1" w:rsidRDefault="00813841" w:rsidP="009D32D6">
            <w:pPr>
              <w:spacing w:after="0" w:line="240" w:lineRule="auto"/>
              <w:jc w:val="center"/>
              <w:rPr>
                <w:rFonts w:eastAsia="Times New Roman" w:cstheme="minorHAnsi"/>
                <w:b/>
                <w:sz w:val="20"/>
                <w:szCs w:val="20"/>
                <w:lang w:eastAsia="hr-HR"/>
              </w:rPr>
            </w:pPr>
            <w:r>
              <w:rPr>
                <w:rFonts w:eastAsia="Times New Roman" w:cstheme="minorHAnsi"/>
                <w:b/>
                <w:sz w:val="20"/>
                <w:szCs w:val="20"/>
                <w:lang w:eastAsia="hr-HR"/>
              </w:rPr>
              <w:t>78,12%</w:t>
            </w:r>
          </w:p>
        </w:tc>
      </w:tr>
      <w:tr w:rsidR="00FF2C32" w:rsidRPr="00DF1BA1" w14:paraId="47D12DED" w14:textId="77777777" w:rsidTr="00FF2C32">
        <w:trPr>
          <w:trHeight w:val="253"/>
        </w:trPr>
        <w:tc>
          <w:tcPr>
            <w:tcW w:w="423" w:type="dxa"/>
            <w:tcBorders>
              <w:top w:val="nil"/>
              <w:left w:val="nil"/>
              <w:bottom w:val="single" w:sz="4" w:space="0" w:color="auto"/>
              <w:right w:val="nil"/>
            </w:tcBorders>
            <w:noWrap/>
            <w:vAlign w:val="bottom"/>
          </w:tcPr>
          <w:p w14:paraId="04B9D9DC" w14:textId="77777777" w:rsidR="00FF2C32" w:rsidRPr="00FF2C32" w:rsidRDefault="00FF2C32" w:rsidP="009D32D6">
            <w:pPr>
              <w:spacing w:after="0" w:line="240" w:lineRule="auto"/>
              <w:rPr>
                <w:rFonts w:ascii="Arial" w:eastAsia="Times New Roman" w:hAnsi="Arial" w:cs="Arial"/>
                <w:bCs/>
                <w:sz w:val="18"/>
                <w:szCs w:val="18"/>
                <w:lang w:eastAsia="hr-HR"/>
              </w:rPr>
            </w:pPr>
            <w:r w:rsidRPr="00FF2C32">
              <w:rPr>
                <w:rFonts w:ascii="Arial" w:eastAsia="Times New Roman" w:hAnsi="Arial" w:cs="Arial"/>
                <w:bCs/>
                <w:sz w:val="18"/>
                <w:szCs w:val="18"/>
                <w:lang w:eastAsia="hr-HR"/>
              </w:rPr>
              <w:t>3</w:t>
            </w:r>
          </w:p>
        </w:tc>
        <w:tc>
          <w:tcPr>
            <w:tcW w:w="3248" w:type="dxa"/>
            <w:tcBorders>
              <w:top w:val="nil"/>
              <w:left w:val="nil"/>
              <w:bottom w:val="single" w:sz="4" w:space="0" w:color="auto"/>
              <w:right w:val="nil"/>
            </w:tcBorders>
            <w:noWrap/>
            <w:vAlign w:val="bottom"/>
          </w:tcPr>
          <w:p w14:paraId="68E7832B" w14:textId="77777777" w:rsidR="00FF2C32" w:rsidRPr="00FF2C32" w:rsidRDefault="00FF2C32" w:rsidP="009D32D6">
            <w:pPr>
              <w:spacing w:after="0" w:line="240" w:lineRule="auto"/>
              <w:rPr>
                <w:rFonts w:ascii="Arial" w:eastAsia="Times New Roman" w:hAnsi="Arial" w:cs="Arial"/>
                <w:sz w:val="18"/>
                <w:szCs w:val="18"/>
                <w:lang w:eastAsia="hr-HR"/>
              </w:rPr>
            </w:pPr>
            <w:r w:rsidRPr="00FF2C32">
              <w:rPr>
                <w:rFonts w:ascii="Arial" w:eastAsia="Times New Roman" w:hAnsi="Arial" w:cs="Arial"/>
                <w:sz w:val="18"/>
                <w:szCs w:val="18"/>
                <w:lang w:eastAsia="hr-HR"/>
              </w:rPr>
              <w:t>Rashodi poslovanja</w:t>
            </w:r>
          </w:p>
        </w:tc>
        <w:tc>
          <w:tcPr>
            <w:tcW w:w="1446" w:type="dxa"/>
            <w:tcBorders>
              <w:top w:val="nil"/>
              <w:left w:val="nil"/>
              <w:bottom w:val="single" w:sz="4" w:space="0" w:color="auto"/>
              <w:right w:val="nil"/>
            </w:tcBorders>
            <w:vAlign w:val="center"/>
          </w:tcPr>
          <w:p w14:paraId="149FF5F2" w14:textId="02EF4619" w:rsidR="00FF2C32" w:rsidRPr="00DF1BA1" w:rsidRDefault="00813841" w:rsidP="009D32D6">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12.583.788,14</w:t>
            </w:r>
          </w:p>
        </w:tc>
        <w:tc>
          <w:tcPr>
            <w:tcW w:w="1660" w:type="dxa"/>
            <w:tcBorders>
              <w:top w:val="nil"/>
              <w:left w:val="nil"/>
              <w:bottom w:val="single" w:sz="4" w:space="0" w:color="auto"/>
              <w:right w:val="nil"/>
            </w:tcBorders>
            <w:noWrap/>
            <w:vAlign w:val="center"/>
          </w:tcPr>
          <w:p w14:paraId="57AAF8EA" w14:textId="75A97724" w:rsidR="00FF2C32" w:rsidRPr="00DF1BA1" w:rsidRDefault="00813841" w:rsidP="009D32D6">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16.268.848,50</w:t>
            </w:r>
          </w:p>
        </w:tc>
        <w:tc>
          <w:tcPr>
            <w:tcW w:w="1411" w:type="dxa"/>
            <w:tcBorders>
              <w:top w:val="nil"/>
              <w:left w:val="nil"/>
              <w:bottom w:val="single" w:sz="4" w:space="0" w:color="auto"/>
              <w:right w:val="nil"/>
            </w:tcBorders>
          </w:tcPr>
          <w:p w14:paraId="551C0518" w14:textId="0D52278B" w:rsidR="00FF2C32" w:rsidRPr="00DF1BA1" w:rsidRDefault="00813841" w:rsidP="009D32D6">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16.371.637,50</w:t>
            </w:r>
          </w:p>
        </w:tc>
        <w:tc>
          <w:tcPr>
            <w:tcW w:w="1412" w:type="dxa"/>
            <w:tcBorders>
              <w:top w:val="nil"/>
              <w:left w:val="nil"/>
              <w:bottom w:val="single" w:sz="4" w:space="0" w:color="auto"/>
              <w:right w:val="nil"/>
            </w:tcBorders>
            <w:noWrap/>
            <w:vAlign w:val="center"/>
          </w:tcPr>
          <w:p w14:paraId="2EFC4CA0" w14:textId="6D1DF799" w:rsidR="00FF2C32" w:rsidRPr="00DF1BA1" w:rsidRDefault="00813841" w:rsidP="009D32D6">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14.511.998,34</w:t>
            </w:r>
          </w:p>
        </w:tc>
        <w:tc>
          <w:tcPr>
            <w:tcW w:w="1032" w:type="dxa"/>
            <w:tcBorders>
              <w:top w:val="nil"/>
              <w:left w:val="nil"/>
              <w:bottom w:val="single" w:sz="4" w:space="0" w:color="auto"/>
              <w:right w:val="nil"/>
            </w:tcBorders>
            <w:vAlign w:val="center"/>
          </w:tcPr>
          <w:p w14:paraId="201466FA" w14:textId="66062161" w:rsidR="00FF2C32" w:rsidRPr="00DF1BA1" w:rsidRDefault="00813841" w:rsidP="009D32D6">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115,32%</w:t>
            </w:r>
          </w:p>
        </w:tc>
        <w:tc>
          <w:tcPr>
            <w:tcW w:w="1085" w:type="dxa"/>
            <w:tcBorders>
              <w:top w:val="nil"/>
              <w:left w:val="nil"/>
              <w:bottom w:val="single" w:sz="4" w:space="0" w:color="auto"/>
              <w:right w:val="nil"/>
            </w:tcBorders>
            <w:noWrap/>
            <w:vAlign w:val="center"/>
          </w:tcPr>
          <w:p w14:paraId="49BF37EC" w14:textId="06A35BCC" w:rsidR="00FF2C32" w:rsidRPr="00DF1BA1" w:rsidRDefault="00813841" w:rsidP="009D32D6">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88,64%</w:t>
            </w:r>
          </w:p>
        </w:tc>
      </w:tr>
      <w:tr w:rsidR="00FF2C32" w:rsidRPr="00DF1BA1" w14:paraId="2241A059" w14:textId="77777777" w:rsidTr="00FF2C32">
        <w:trPr>
          <w:trHeight w:val="253"/>
        </w:trPr>
        <w:tc>
          <w:tcPr>
            <w:tcW w:w="423" w:type="dxa"/>
            <w:tcBorders>
              <w:top w:val="nil"/>
              <w:left w:val="nil"/>
              <w:bottom w:val="single" w:sz="4" w:space="0" w:color="auto"/>
              <w:right w:val="nil"/>
            </w:tcBorders>
            <w:noWrap/>
            <w:vAlign w:val="bottom"/>
          </w:tcPr>
          <w:p w14:paraId="3EDBCB18" w14:textId="77777777" w:rsidR="00FF2C32" w:rsidRPr="00FF2C32" w:rsidRDefault="00FF2C32" w:rsidP="009D32D6">
            <w:pPr>
              <w:spacing w:after="0" w:line="240" w:lineRule="auto"/>
              <w:rPr>
                <w:rFonts w:ascii="Arial" w:eastAsia="Times New Roman" w:hAnsi="Arial" w:cs="Arial"/>
                <w:bCs/>
                <w:sz w:val="18"/>
                <w:szCs w:val="18"/>
                <w:lang w:eastAsia="hr-HR"/>
              </w:rPr>
            </w:pPr>
            <w:r w:rsidRPr="00FF2C32">
              <w:rPr>
                <w:rFonts w:ascii="Arial" w:eastAsia="Times New Roman" w:hAnsi="Arial" w:cs="Arial"/>
                <w:bCs/>
                <w:sz w:val="18"/>
                <w:szCs w:val="18"/>
                <w:lang w:eastAsia="hr-HR"/>
              </w:rPr>
              <w:t>4</w:t>
            </w:r>
          </w:p>
        </w:tc>
        <w:tc>
          <w:tcPr>
            <w:tcW w:w="3248" w:type="dxa"/>
            <w:tcBorders>
              <w:top w:val="nil"/>
              <w:left w:val="nil"/>
              <w:bottom w:val="single" w:sz="4" w:space="0" w:color="auto"/>
              <w:right w:val="nil"/>
            </w:tcBorders>
            <w:noWrap/>
            <w:vAlign w:val="bottom"/>
          </w:tcPr>
          <w:p w14:paraId="110B2413" w14:textId="77777777" w:rsidR="00FF2C32" w:rsidRPr="00FF2C32" w:rsidRDefault="00FF2C32" w:rsidP="009D32D6">
            <w:pPr>
              <w:spacing w:after="0" w:line="240" w:lineRule="auto"/>
              <w:rPr>
                <w:rFonts w:ascii="Arial" w:eastAsia="Times New Roman" w:hAnsi="Arial" w:cs="Arial"/>
                <w:sz w:val="18"/>
                <w:szCs w:val="18"/>
                <w:lang w:eastAsia="hr-HR"/>
              </w:rPr>
            </w:pPr>
            <w:r w:rsidRPr="00FF2C32">
              <w:rPr>
                <w:rFonts w:ascii="Arial" w:eastAsia="Times New Roman" w:hAnsi="Arial" w:cs="Arial"/>
                <w:sz w:val="18"/>
                <w:szCs w:val="18"/>
                <w:lang w:eastAsia="hr-HR"/>
              </w:rPr>
              <w:t xml:space="preserve">Rashodi za nabavu nefinancijske imovine </w:t>
            </w:r>
          </w:p>
        </w:tc>
        <w:tc>
          <w:tcPr>
            <w:tcW w:w="1446" w:type="dxa"/>
            <w:tcBorders>
              <w:top w:val="nil"/>
              <w:left w:val="nil"/>
              <w:bottom w:val="single" w:sz="4" w:space="0" w:color="auto"/>
              <w:right w:val="nil"/>
            </w:tcBorders>
            <w:vAlign w:val="center"/>
          </w:tcPr>
          <w:p w14:paraId="7373A3E6" w14:textId="07034A56" w:rsidR="00FF2C32" w:rsidRPr="00DF1BA1" w:rsidRDefault="00813841" w:rsidP="009D32D6">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4.169.209,42</w:t>
            </w:r>
          </w:p>
        </w:tc>
        <w:tc>
          <w:tcPr>
            <w:tcW w:w="1660" w:type="dxa"/>
            <w:tcBorders>
              <w:top w:val="nil"/>
              <w:left w:val="nil"/>
              <w:bottom w:val="single" w:sz="4" w:space="0" w:color="auto"/>
              <w:right w:val="nil"/>
            </w:tcBorders>
            <w:noWrap/>
            <w:vAlign w:val="center"/>
          </w:tcPr>
          <w:p w14:paraId="366394D5" w14:textId="592D9AEF" w:rsidR="00FF2C32" w:rsidRPr="00DF1BA1" w:rsidRDefault="00813841" w:rsidP="009D32D6">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8.793.966,59</w:t>
            </w:r>
          </w:p>
        </w:tc>
        <w:tc>
          <w:tcPr>
            <w:tcW w:w="1411" w:type="dxa"/>
            <w:tcBorders>
              <w:top w:val="nil"/>
              <w:left w:val="nil"/>
              <w:bottom w:val="single" w:sz="4" w:space="0" w:color="auto"/>
              <w:right w:val="nil"/>
            </w:tcBorders>
            <w:vAlign w:val="center"/>
          </w:tcPr>
          <w:p w14:paraId="255186F9" w14:textId="7A1B4226" w:rsidR="00FF2C32" w:rsidRPr="00DF1BA1" w:rsidRDefault="00813841" w:rsidP="009D32D6">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8.691.177,59</w:t>
            </w:r>
          </w:p>
        </w:tc>
        <w:tc>
          <w:tcPr>
            <w:tcW w:w="1412" w:type="dxa"/>
            <w:tcBorders>
              <w:top w:val="nil"/>
              <w:left w:val="nil"/>
              <w:bottom w:val="single" w:sz="4" w:space="0" w:color="auto"/>
              <w:right w:val="nil"/>
            </w:tcBorders>
            <w:noWrap/>
            <w:vAlign w:val="center"/>
          </w:tcPr>
          <w:p w14:paraId="43B3BEE5" w14:textId="19608DEE" w:rsidR="00FF2C32" w:rsidRPr="00DF1BA1" w:rsidRDefault="00813841" w:rsidP="009D32D6">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5.067.707,85</w:t>
            </w:r>
          </w:p>
        </w:tc>
        <w:tc>
          <w:tcPr>
            <w:tcW w:w="1032" w:type="dxa"/>
            <w:tcBorders>
              <w:top w:val="nil"/>
              <w:left w:val="nil"/>
              <w:bottom w:val="single" w:sz="4" w:space="0" w:color="auto"/>
              <w:right w:val="nil"/>
            </w:tcBorders>
            <w:vAlign w:val="center"/>
          </w:tcPr>
          <w:p w14:paraId="61AF391F" w14:textId="3FD8856E" w:rsidR="00FF2C32" w:rsidRPr="00DF1BA1" w:rsidRDefault="00813841" w:rsidP="009D32D6">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121,55%</w:t>
            </w:r>
          </w:p>
        </w:tc>
        <w:tc>
          <w:tcPr>
            <w:tcW w:w="1085" w:type="dxa"/>
            <w:tcBorders>
              <w:top w:val="nil"/>
              <w:left w:val="nil"/>
              <w:bottom w:val="single" w:sz="4" w:space="0" w:color="auto"/>
              <w:right w:val="nil"/>
            </w:tcBorders>
            <w:noWrap/>
            <w:vAlign w:val="center"/>
          </w:tcPr>
          <w:p w14:paraId="1A2F439D" w14:textId="0AF6F005" w:rsidR="00FF2C32" w:rsidRPr="00DF1BA1" w:rsidRDefault="00813841" w:rsidP="009D32D6">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58,31%</w:t>
            </w:r>
          </w:p>
        </w:tc>
      </w:tr>
      <w:tr w:rsidR="00FF2C32" w:rsidRPr="00DF1BA1" w14:paraId="206F0F84" w14:textId="77777777" w:rsidTr="00FF2C32">
        <w:trPr>
          <w:trHeight w:val="253"/>
        </w:trPr>
        <w:tc>
          <w:tcPr>
            <w:tcW w:w="423" w:type="dxa"/>
            <w:tcBorders>
              <w:top w:val="nil"/>
              <w:left w:val="nil"/>
              <w:bottom w:val="single" w:sz="4" w:space="0" w:color="auto"/>
              <w:right w:val="nil"/>
            </w:tcBorders>
            <w:noWrap/>
            <w:vAlign w:val="bottom"/>
            <w:hideMark/>
          </w:tcPr>
          <w:p w14:paraId="4AB146A8" w14:textId="77777777" w:rsidR="00FF2C32" w:rsidRPr="00FF2C32" w:rsidRDefault="00FF2C32" w:rsidP="009D32D6">
            <w:pPr>
              <w:spacing w:after="0" w:line="240" w:lineRule="auto"/>
              <w:jc w:val="center"/>
              <w:rPr>
                <w:rFonts w:ascii="Arial" w:eastAsia="Times New Roman" w:hAnsi="Arial" w:cs="Arial"/>
                <w:b/>
                <w:bCs/>
                <w:sz w:val="18"/>
                <w:szCs w:val="18"/>
                <w:lang w:eastAsia="hr-HR"/>
              </w:rPr>
            </w:pPr>
            <w:r w:rsidRPr="00FF2C32">
              <w:rPr>
                <w:rFonts w:ascii="Arial" w:eastAsia="Times New Roman" w:hAnsi="Arial" w:cs="Arial"/>
                <w:b/>
                <w:bCs/>
                <w:sz w:val="18"/>
                <w:szCs w:val="18"/>
                <w:lang w:eastAsia="hr-HR"/>
              </w:rPr>
              <w:t> </w:t>
            </w:r>
          </w:p>
        </w:tc>
        <w:tc>
          <w:tcPr>
            <w:tcW w:w="3248" w:type="dxa"/>
            <w:tcBorders>
              <w:top w:val="nil"/>
              <w:left w:val="nil"/>
              <w:bottom w:val="single" w:sz="4" w:space="0" w:color="auto"/>
              <w:right w:val="nil"/>
            </w:tcBorders>
            <w:noWrap/>
            <w:vAlign w:val="bottom"/>
            <w:hideMark/>
          </w:tcPr>
          <w:p w14:paraId="0DF06A15" w14:textId="77777777" w:rsidR="00FF2C32" w:rsidRPr="00FF2C32" w:rsidRDefault="00FF2C32" w:rsidP="009D32D6">
            <w:pPr>
              <w:spacing w:after="0" w:line="240" w:lineRule="auto"/>
              <w:rPr>
                <w:rFonts w:ascii="Arial" w:eastAsia="Times New Roman" w:hAnsi="Arial" w:cs="Arial"/>
                <w:bCs/>
                <w:sz w:val="18"/>
                <w:szCs w:val="18"/>
                <w:lang w:eastAsia="hr-HR"/>
              </w:rPr>
            </w:pPr>
            <w:r w:rsidRPr="00FF2C32">
              <w:rPr>
                <w:rFonts w:ascii="Arial" w:eastAsia="Times New Roman" w:hAnsi="Arial" w:cs="Arial"/>
                <w:bCs/>
                <w:sz w:val="18"/>
                <w:szCs w:val="18"/>
                <w:lang w:eastAsia="hr-HR"/>
              </w:rPr>
              <w:t xml:space="preserve">RAZLIKA-MANJAK/VIŠAK </w:t>
            </w:r>
          </w:p>
        </w:tc>
        <w:tc>
          <w:tcPr>
            <w:tcW w:w="1446" w:type="dxa"/>
            <w:tcBorders>
              <w:top w:val="nil"/>
              <w:left w:val="nil"/>
              <w:bottom w:val="single" w:sz="4" w:space="0" w:color="auto"/>
              <w:right w:val="nil"/>
            </w:tcBorders>
            <w:vAlign w:val="center"/>
          </w:tcPr>
          <w:p w14:paraId="5B22734E" w14:textId="4F9CD459" w:rsidR="00FF2C32" w:rsidRPr="00DF1BA1" w:rsidRDefault="00813841" w:rsidP="009D32D6">
            <w:pPr>
              <w:spacing w:after="0" w:line="240" w:lineRule="auto"/>
              <w:jc w:val="center"/>
              <w:rPr>
                <w:rFonts w:eastAsia="Times New Roman" w:cstheme="minorHAnsi"/>
                <w:bCs/>
                <w:sz w:val="20"/>
                <w:szCs w:val="20"/>
                <w:lang w:eastAsia="hr-HR"/>
              </w:rPr>
            </w:pPr>
            <w:r>
              <w:rPr>
                <w:rFonts w:eastAsia="Times New Roman" w:cstheme="minorHAnsi"/>
                <w:bCs/>
                <w:sz w:val="20"/>
                <w:szCs w:val="20"/>
                <w:lang w:eastAsia="hr-HR"/>
              </w:rPr>
              <w:t>784.723,82</w:t>
            </w:r>
          </w:p>
        </w:tc>
        <w:tc>
          <w:tcPr>
            <w:tcW w:w="1660" w:type="dxa"/>
            <w:tcBorders>
              <w:top w:val="nil"/>
              <w:left w:val="nil"/>
              <w:bottom w:val="single" w:sz="4" w:space="0" w:color="auto"/>
              <w:right w:val="nil"/>
            </w:tcBorders>
            <w:noWrap/>
            <w:vAlign w:val="center"/>
          </w:tcPr>
          <w:p w14:paraId="53AE62B5" w14:textId="33993BF7" w:rsidR="00FF2C32" w:rsidRPr="00DF1BA1" w:rsidRDefault="00813841" w:rsidP="009D32D6">
            <w:pPr>
              <w:spacing w:after="0" w:line="240" w:lineRule="auto"/>
              <w:jc w:val="center"/>
              <w:rPr>
                <w:rFonts w:eastAsia="Times New Roman" w:cstheme="minorHAnsi"/>
                <w:bCs/>
                <w:sz w:val="20"/>
                <w:szCs w:val="20"/>
                <w:lang w:eastAsia="hr-HR"/>
              </w:rPr>
            </w:pPr>
            <w:r>
              <w:rPr>
                <w:rFonts w:eastAsia="Times New Roman" w:cstheme="minorHAnsi"/>
                <w:bCs/>
                <w:sz w:val="20"/>
                <w:szCs w:val="20"/>
                <w:lang w:eastAsia="hr-HR"/>
              </w:rPr>
              <w:t>-4.234.242,93</w:t>
            </w:r>
          </w:p>
        </w:tc>
        <w:tc>
          <w:tcPr>
            <w:tcW w:w="1411" w:type="dxa"/>
            <w:tcBorders>
              <w:top w:val="nil"/>
              <w:left w:val="nil"/>
              <w:bottom w:val="single" w:sz="4" w:space="0" w:color="auto"/>
              <w:right w:val="nil"/>
            </w:tcBorders>
          </w:tcPr>
          <w:p w14:paraId="640D9EC1" w14:textId="769CF94A" w:rsidR="00FF2C32" w:rsidRPr="00DF1BA1" w:rsidRDefault="00813841" w:rsidP="009D32D6">
            <w:pPr>
              <w:spacing w:after="0" w:line="240" w:lineRule="auto"/>
              <w:jc w:val="center"/>
              <w:rPr>
                <w:rFonts w:eastAsia="Times New Roman" w:cstheme="minorHAnsi"/>
                <w:bCs/>
                <w:sz w:val="20"/>
                <w:szCs w:val="20"/>
                <w:lang w:eastAsia="hr-HR"/>
              </w:rPr>
            </w:pPr>
            <w:r>
              <w:rPr>
                <w:rFonts w:eastAsia="Times New Roman" w:cstheme="minorHAnsi"/>
                <w:bCs/>
                <w:sz w:val="20"/>
                <w:szCs w:val="20"/>
                <w:lang w:eastAsia="hr-HR"/>
              </w:rPr>
              <w:t>-4.234.242,93</w:t>
            </w:r>
          </w:p>
        </w:tc>
        <w:tc>
          <w:tcPr>
            <w:tcW w:w="1412" w:type="dxa"/>
            <w:tcBorders>
              <w:top w:val="nil"/>
              <w:left w:val="nil"/>
              <w:bottom w:val="single" w:sz="4" w:space="0" w:color="auto"/>
              <w:right w:val="nil"/>
            </w:tcBorders>
            <w:noWrap/>
            <w:vAlign w:val="center"/>
          </w:tcPr>
          <w:p w14:paraId="79904C9E" w14:textId="25FCB780" w:rsidR="00FF2C32" w:rsidRPr="00DF1BA1" w:rsidRDefault="00813841" w:rsidP="009D32D6">
            <w:pPr>
              <w:spacing w:after="0" w:line="240" w:lineRule="auto"/>
              <w:jc w:val="center"/>
              <w:rPr>
                <w:rFonts w:eastAsia="Times New Roman" w:cstheme="minorHAnsi"/>
                <w:bCs/>
                <w:sz w:val="20"/>
                <w:szCs w:val="20"/>
                <w:lang w:eastAsia="hr-HR"/>
              </w:rPr>
            </w:pPr>
            <w:r>
              <w:rPr>
                <w:rFonts w:eastAsia="Times New Roman" w:cstheme="minorHAnsi"/>
                <w:bCs/>
                <w:sz w:val="20"/>
                <w:szCs w:val="20"/>
                <w:lang w:eastAsia="hr-HR"/>
              </w:rPr>
              <w:t>57.615,63</w:t>
            </w:r>
          </w:p>
        </w:tc>
        <w:tc>
          <w:tcPr>
            <w:tcW w:w="1032" w:type="dxa"/>
            <w:tcBorders>
              <w:top w:val="nil"/>
              <w:left w:val="nil"/>
              <w:bottom w:val="single" w:sz="4" w:space="0" w:color="auto"/>
              <w:right w:val="nil"/>
            </w:tcBorders>
            <w:vAlign w:val="center"/>
          </w:tcPr>
          <w:p w14:paraId="2FD848ED" w14:textId="2FE09898" w:rsidR="00FF2C32" w:rsidRPr="00DF1BA1" w:rsidRDefault="00813841" w:rsidP="009D32D6">
            <w:pPr>
              <w:spacing w:after="0" w:line="240" w:lineRule="auto"/>
              <w:jc w:val="center"/>
              <w:rPr>
                <w:rFonts w:eastAsia="Times New Roman" w:cstheme="minorHAnsi"/>
                <w:bCs/>
                <w:sz w:val="20"/>
                <w:szCs w:val="20"/>
                <w:lang w:eastAsia="hr-HR"/>
              </w:rPr>
            </w:pPr>
            <w:r>
              <w:rPr>
                <w:rFonts w:eastAsia="Times New Roman" w:cstheme="minorHAnsi"/>
                <w:bCs/>
                <w:sz w:val="20"/>
                <w:szCs w:val="20"/>
                <w:lang w:eastAsia="hr-HR"/>
              </w:rPr>
              <w:t>7,34%</w:t>
            </w:r>
          </w:p>
        </w:tc>
        <w:tc>
          <w:tcPr>
            <w:tcW w:w="1085" w:type="dxa"/>
            <w:tcBorders>
              <w:top w:val="nil"/>
              <w:left w:val="nil"/>
              <w:bottom w:val="single" w:sz="4" w:space="0" w:color="auto"/>
              <w:right w:val="nil"/>
            </w:tcBorders>
            <w:noWrap/>
            <w:vAlign w:val="center"/>
          </w:tcPr>
          <w:p w14:paraId="17728BEF" w14:textId="6DA6E043" w:rsidR="00FF2C32" w:rsidRPr="00DF1BA1" w:rsidRDefault="00813841" w:rsidP="009D32D6">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-1,36%</w:t>
            </w:r>
          </w:p>
        </w:tc>
      </w:tr>
      <w:tr w:rsidR="00FF2C32" w:rsidRPr="00DF1BA1" w14:paraId="4EB11DAC" w14:textId="77777777" w:rsidTr="00FF2C32">
        <w:trPr>
          <w:trHeight w:val="253"/>
        </w:trPr>
        <w:tc>
          <w:tcPr>
            <w:tcW w:w="423" w:type="dxa"/>
            <w:tcBorders>
              <w:top w:val="nil"/>
              <w:left w:val="nil"/>
              <w:bottom w:val="single" w:sz="4" w:space="0" w:color="auto"/>
              <w:right w:val="nil"/>
            </w:tcBorders>
            <w:shd w:val="clear" w:color="auto" w:fill="FFC000"/>
            <w:noWrap/>
            <w:vAlign w:val="bottom"/>
            <w:hideMark/>
          </w:tcPr>
          <w:p w14:paraId="5FB2FD90" w14:textId="77777777" w:rsidR="00FF2C32" w:rsidRPr="00FF2C32" w:rsidRDefault="00FF2C32" w:rsidP="009D32D6">
            <w:pPr>
              <w:spacing w:after="0" w:line="240" w:lineRule="auto"/>
              <w:jc w:val="center"/>
              <w:rPr>
                <w:rFonts w:ascii="Arial" w:eastAsia="Times New Roman" w:hAnsi="Arial" w:cs="Arial"/>
                <w:b/>
                <w:bCs/>
                <w:sz w:val="18"/>
                <w:szCs w:val="18"/>
                <w:lang w:eastAsia="hr-HR"/>
              </w:rPr>
            </w:pPr>
            <w:r w:rsidRPr="00FF2C32">
              <w:rPr>
                <w:rFonts w:ascii="Arial" w:eastAsia="Times New Roman" w:hAnsi="Arial" w:cs="Arial"/>
                <w:b/>
                <w:bCs/>
                <w:sz w:val="18"/>
                <w:szCs w:val="18"/>
                <w:lang w:eastAsia="hr-HR"/>
              </w:rPr>
              <w:t>B.</w:t>
            </w:r>
          </w:p>
        </w:tc>
        <w:tc>
          <w:tcPr>
            <w:tcW w:w="3248" w:type="dxa"/>
            <w:tcBorders>
              <w:top w:val="nil"/>
              <w:left w:val="nil"/>
              <w:bottom w:val="single" w:sz="4" w:space="0" w:color="auto"/>
              <w:right w:val="nil"/>
            </w:tcBorders>
            <w:shd w:val="clear" w:color="auto" w:fill="FFC000"/>
            <w:noWrap/>
            <w:vAlign w:val="bottom"/>
            <w:hideMark/>
          </w:tcPr>
          <w:p w14:paraId="70B66982" w14:textId="77777777" w:rsidR="00FF2C32" w:rsidRPr="00FF2C32" w:rsidRDefault="00FF2C32" w:rsidP="009D32D6">
            <w:pPr>
              <w:spacing w:after="0" w:line="240" w:lineRule="auto"/>
              <w:rPr>
                <w:rFonts w:ascii="Arial" w:eastAsia="Times New Roman" w:hAnsi="Arial" w:cs="Arial"/>
                <w:b/>
                <w:bCs/>
                <w:sz w:val="18"/>
                <w:szCs w:val="18"/>
                <w:lang w:eastAsia="hr-HR"/>
              </w:rPr>
            </w:pPr>
            <w:r w:rsidRPr="00FF2C32">
              <w:rPr>
                <w:rFonts w:ascii="Arial" w:eastAsia="Times New Roman" w:hAnsi="Arial" w:cs="Arial"/>
                <w:b/>
                <w:bCs/>
                <w:sz w:val="18"/>
                <w:szCs w:val="18"/>
                <w:lang w:eastAsia="hr-HR"/>
              </w:rPr>
              <w:t>RAČUN ZADUŽIVANJA/FINANCIRANJA</w:t>
            </w:r>
          </w:p>
        </w:tc>
        <w:tc>
          <w:tcPr>
            <w:tcW w:w="1446" w:type="dxa"/>
            <w:tcBorders>
              <w:top w:val="nil"/>
              <w:left w:val="nil"/>
              <w:bottom w:val="single" w:sz="4" w:space="0" w:color="auto"/>
              <w:right w:val="nil"/>
            </w:tcBorders>
            <w:shd w:val="clear" w:color="auto" w:fill="FFC000"/>
          </w:tcPr>
          <w:p w14:paraId="20FA8528" w14:textId="77777777" w:rsidR="00FF2C32" w:rsidRPr="00DF1BA1" w:rsidRDefault="00FF2C32" w:rsidP="009D32D6">
            <w:pPr>
              <w:spacing w:after="0" w:line="240" w:lineRule="auto"/>
              <w:jc w:val="center"/>
              <w:rPr>
                <w:rFonts w:ascii="Arial" w:eastAsia="Times New Roman" w:hAnsi="Arial" w:cs="Arial"/>
                <w:b/>
                <w:bCs/>
                <w:sz w:val="20"/>
                <w:szCs w:val="20"/>
                <w:lang w:eastAsia="hr-HR"/>
              </w:rPr>
            </w:pPr>
          </w:p>
        </w:tc>
        <w:tc>
          <w:tcPr>
            <w:tcW w:w="1660" w:type="dxa"/>
            <w:tcBorders>
              <w:top w:val="nil"/>
              <w:left w:val="nil"/>
              <w:bottom w:val="single" w:sz="4" w:space="0" w:color="auto"/>
              <w:right w:val="nil"/>
            </w:tcBorders>
            <w:shd w:val="clear" w:color="auto" w:fill="FFC000"/>
            <w:noWrap/>
            <w:vAlign w:val="bottom"/>
          </w:tcPr>
          <w:p w14:paraId="45D31CC8" w14:textId="77777777" w:rsidR="00FF2C32" w:rsidRPr="00DF1BA1" w:rsidRDefault="00FF2C32" w:rsidP="009D32D6">
            <w:pPr>
              <w:spacing w:after="0" w:line="240" w:lineRule="auto"/>
              <w:jc w:val="center"/>
              <w:rPr>
                <w:rFonts w:ascii="Arial" w:eastAsia="Times New Roman" w:hAnsi="Arial" w:cs="Arial"/>
                <w:b/>
                <w:bCs/>
                <w:sz w:val="20"/>
                <w:szCs w:val="20"/>
                <w:lang w:eastAsia="hr-HR"/>
              </w:rPr>
            </w:pPr>
          </w:p>
        </w:tc>
        <w:tc>
          <w:tcPr>
            <w:tcW w:w="1411" w:type="dxa"/>
            <w:tcBorders>
              <w:top w:val="nil"/>
              <w:left w:val="nil"/>
              <w:bottom w:val="single" w:sz="4" w:space="0" w:color="auto"/>
              <w:right w:val="nil"/>
            </w:tcBorders>
            <w:shd w:val="clear" w:color="auto" w:fill="FFC000"/>
          </w:tcPr>
          <w:p w14:paraId="4F0408E9" w14:textId="77777777" w:rsidR="00FF2C32" w:rsidRPr="00DF1BA1" w:rsidRDefault="00FF2C32" w:rsidP="009D32D6">
            <w:pPr>
              <w:spacing w:after="0" w:line="240" w:lineRule="auto"/>
              <w:jc w:val="center"/>
              <w:rPr>
                <w:rFonts w:ascii="Arial" w:eastAsia="Times New Roman" w:hAnsi="Arial" w:cs="Arial"/>
                <w:b/>
                <w:bCs/>
                <w:sz w:val="20"/>
                <w:szCs w:val="20"/>
                <w:lang w:eastAsia="hr-HR"/>
              </w:rPr>
            </w:pPr>
          </w:p>
        </w:tc>
        <w:tc>
          <w:tcPr>
            <w:tcW w:w="1412" w:type="dxa"/>
            <w:tcBorders>
              <w:top w:val="nil"/>
              <w:left w:val="nil"/>
              <w:bottom w:val="single" w:sz="4" w:space="0" w:color="auto"/>
              <w:right w:val="nil"/>
            </w:tcBorders>
            <w:shd w:val="clear" w:color="auto" w:fill="FFC000"/>
            <w:noWrap/>
            <w:vAlign w:val="bottom"/>
          </w:tcPr>
          <w:p w14:paraId="68D6ADD5" w14:textId="77777777" w:rsidR="00FF2C32" w:rsidRPr="00DF1BA1" w:rsidRDefault="00FF2C32" w:rsidP="009D32D6">
            <w:pPr>
              <w:spacing w:after="0" w:line="240" w:lineRule="auto"/>
              <w:jc w:val="center"/>
              <w:rPr>
                <w:rFonts w:ascii="Arial" w:eastAsia="Times New Roman" w:hAnsi="Arial" w:cs="Arial"/>
                <w:b/>
                <w:bCs/>
                <w:sz w:val="20"/>
                <w:szCs w:val="20"/>
                <w:lang w:eastAsia="hr-HR"/>
              </w:rPr>
            </w:pPr>
          </w:p>
        </w:tc>
        <w:tc>
          <w:tcPr>
            <w:tcW w:w="1032" w:type="dxa"/>
            <w:tcBorders>
              <w:top w:val="nil"/>
              <w:left w:val="nil"/>
              <w:bottom w:val="single" w:sz="4" w:space="0" w:color="auto"/>
              <w:right w:val="nil"/>
            </w:tcBorders>
            <w:shd w:val="clear" w:color="auto" w:fill="FFC000"/>
          </w:tcPr>
          <w:p w14:paraId="0ED7A065" w14:textId="77777777" w:rsidR="00FF2C32" w:rsidRPr="00DF1BA1" w:rsidRDefault="00FF2C32" w:rsidP="009D32D6">
            <w:pPr>
              <w:spacing w:after="0" w:line="240" w:lineRule="auto"/>
              <w:jc w:val="center"/>
              <w:rPr>
                <w:rFonts w:ascii="Arial" w:eastAsia="Times New Roman" w:hAnsi="Arial" w:cs="Arial"/>
                <w:b/>
                <w:bCs/>
                <w:sz w:val="20"/>
                <w:szCs w:val="20"/>
                <w:lang w:eastAsia="hr-HR"/>
              </w:rPr>
            </w:pPr>
          </w:p>
        </w:tc>
        <w:tc>
          <w:tcPr>
            <w:tcW w:w="1085" w:type="dxa"/>
            <w:tcBorders>
              <w:top w:val="nil"/>
              <w:left w:val="nil"/>
              <w:bottom w:val="single" w:sz="4" w:space="0" w:color="auto"/>
              <w:right w:val="nil"/>
            </w:tcBorders>
            <w:shd w:val="clear" w:color="auto" w:fill="FFC000"/>
            <w:noWrap/>
            <w:vAlign w:val="bottom"/>
          </w:tcPr>
          <w:p w14:paraId="0130F845" w14:textId="77777777" w:rsidR="00FF2C32" w:rsidRPr="00DF1BA1" w:rsidRDefault="00FF2C32" w:rsidP="009D32D6">
            <w:pPr>
              <w:spacing w:after="0" w:line="240" w:lineRule="auto"/>
              <w:jc w:val="center"/>
              <w:rPr>
                <w:rFonts w:ascii="Arial" w:eastAsia="Times New Roman" w:hAnsi="Arial" w:cs="Arial"/>
                <w:b/>
                <w:bCs/>
                <w:sz w:val="20"/>
                <w:szCs w:val="20"/>
                <w:lang w:eastAsia="hr-HR"/>
              </w:rPr>
            </w:pPr>
          </w:p>
        </w:tc>
      </w:tr>
      <w:tr w:rsidR="00FF2C32" w:rsidRPr="00DF1BA1" w14:paraId="5E48393C" w14:textId="77777777" w:rsidTr="00FF2C32">
        <w:trPr>
          <w:trHeight w:val="253"/>
        </w:trPr>
        <w:tc>
          <w:tcPr>
            <w:tcW w:w="423" w:type="dxa"/>
            <w:tcBorders>
              <w:top w:val="nil"/>
              <w:left w:val="nil"/>
              <w:bottom w:val="single" w:sz="4" w:space="0" w:color="auto"/>
              <w:right w:val="nil"/>
            </w:tcBorders>
            <w:noWrap/>
            <w:vAlign w:val="bottom"/>
            <w:hideMark/>
          </w:tcPr>
          <w:p w14:paraId="7BCC2892" w14:textId="77777777" w:rsidR="00FF2C32" w:rsidRPr="00FF2C32" w:rsidRDefault="00FF2C32" w:rsidP="009D32D6">
            <w:pPr>
              <w:spacing w:after="0" w:line="240" w:lineRule="auto"/>
              <w:jc w:val="center"/>
              <w:rPr>
                <w:rFonts w:ascii="Arial" w:eastAsia="Times New Roman" w:hAnsi="Arial" w:cs="Arial"/>
                <w:b/>
                <w:bCs/>
                <w:sz w:val="18"/>
                <w:szCs w:val="18"/>
                <w:lang w:eastAsia="hr-HR"/>
              </w:rPr>
            </w:pPr>
            <w:r w:rsidRPr="00FF2C32">
              <w:rPr>
                <w:rFonts w:ascii="Arial" w:eastAsia="Times New Roman" w:hAnsi="Arial" w:cs="Arial"/>
                <w:b/>
                <w:bCs/>
                <w:sz w:val="18"/>
                <w:szCs w:val="18"/>
                <w:lang w:eastAsia="hr-HR"/>
              </w:rPr>
              <w:t>8</w:t>
            </w:r>
          </w:p>
        </w:tc>
        <w:tc>
          <w:tcPr>
            <w:tcW w:w="3248" w:type="dxa"/>
            <w:tcBorders>
              <w:top w:val="nil"/>
              <w:left w:val="nil"/>
              <w:bottom w:val="single" w:sz="4" w:space="0" w:color="auto"/>
              <w:right w:val="nil"/>
            </w:tcBorders>
            <w:noWrap/>
            <w:vAlign w:val="bottom"/>
            <w:hideMark/>
          </w:tcPr>
          <w:p w14:paraId="623D7394" w14:textId="77777777" w:rsidR="00FF2C32" w:rsidRPr="00FF2C32" w:rsidRDefault="00FF2C32" w:rsidP="009D32D6">
            <w:pPr>
              <w:spacing w:after="0" w:line="240" w:lineRule="auto"/>
              <w:rPr>
                <w:rFonts w:ascii="Arial" w:eastAsia="Times New Roman" w:hAnsi="Arial" w:cs="Arial"/>
                <w:bCs/>
                <w:sz w:val="18"/>
                <w:szCs w:val="18"/>
                <w:lang w:eastAsia="hr-HR"/>
              </w:rPr>
            </w:pPr>
            <w:r w:rsidRPr="00FF2C32">
              <w:rPr>
                <w:rFonts w:ascii="Arial" w:eastAsia="Times New Roman" w:hAnsi="Arial" w:cs="Arial"/>
                <w:bCs/>
                <w:sz w:val="18"/>
                <w:szCs w:val="18"/>
                <w:lang w:eastAsia="hr-HR"/>
              </w:rPr>
              <w:t>Primici od financijske imovine i zaduživanja</w:t>
            </w:r>
          </w:p>
        </w:tc>
        <w:tc>
          <w:tcPr>
            <w:tcW w:w="1446" w:type="dxa"/>
            <w:tcBorders>
              <w:top w:val="nil"/>
              <w:left w:val="nil"/>
              <w:bottom w:val="single" w:sz="4" w:space="0" w:color="auto"/>
              <w:right w:val="nil"/>
            </w:tcBorders>
            <w:vAlign w:val="center"/>
          </w:tcPr>
          <w:p w14:paraId="6A87EF6C" w14:textId="4D9A7249" w:rsidR="00FF2C32" w:rsidRPr="00813841" w:rsidRDefault="00813841" w:rsidP="009D32D6">
            <w:pPr>
              <w:spacing w:after="0" w:line="240" w:lineRule="auto"/>
              <w:jc w:val="center"/>
              <w:rPr>
                <w:rFonts w:eastAsia="Times New Roman" w:cstheme="minorHAnsi"/>
                <w:b/>
                <w:bCs/>
                <w:sz w:val="20"/>
                <w:szCs w:val="20"/>
                <w:lang w:eastAsia="hr-HR"/>
              </w:rPr>
            </w:pPr>
            <w:r w:rsidRPr="00813841">
              <w:rPr>
                <w:rFonts w:eastAsia="Times New Roman" w:cstheme="minorHAnsi"/>
                <w:b/>
                <w:bCs/>
                <w:sz w:val="20"/>
                <w:szCs w:val="20"/>
                <w:lang w:eastAsia="hr-HR"/>
              </w:rPr>
              <w:t>0,00</w:t>
            </w:r>
          </w:p>
        </w:tc>
        <w:tc>
          <w:tcPr>
            <w:tcW w:w="1660" w:type="dxa"/>
            <w:tcBorders>
              <w:top w:val="nil"/>
              <w:left w:val="nil"/>
              <w:bottom w:val="single" w:sz="4" w:space="0" w:color="auto"/>
              <w:right w:val="nil"/>
            </w:tcBorders>
            <w:noWrap/>
            <w:vAlign w:val="center"/>
          </w:tcPr>
          <w:p w14:paraId="7BF8E955" w14:textId="1B300A40" w:rsidR="00FF2C32" w:rsidRPr="00813841" w:rsidRDefault="00813841" w:rsidP="009D32D6">
            <w:pPr>
              <w:spacing w:after="0" w:line="240" w:lineRule="auto"/>
              <w:jc w:val="center"/>
              <w:rPr>
                <w:rFonts w:eastAsia="Times New Roman" w:cstheme="minorHAnsi"/>
                <w:b/>
                <w:bCs/>
                <w:sz w:val="20"/>
                <w:szCs w:val="20"/>
                <w:lang w:eastAsia="hr-HR"/>
              </w:rPr>
            </w:pPr>
            <w:r w:rsidRPr="00813841">
              <w:rPr>
                <w:rFonts w:eastAsia="Times New Roman" w:cstheme="minorHAnsi"/>
                <w:b/>
                <w:bCs/>
                <w:sz w:val="20"/>
                <w:szCs w:val="20"/>
                <w:lang w:eastAsia="hr-HR"/>
              </w:rPr>
              <w:t>150.000,00</w:t>
            </w:r>
          </w:p>
        </w:tc>
        <w:tc>
          <w:tcPr>
            <w:tcW w:w="1411" w:type="dxa"/>
            <w:tcBorders>
              <w:top w:val="nil"/>
              <w:left w:val="nil"/>
              <w:bottom w:val="single" w:sz="4" w:space="0" w:color="auto"/>
              <w:right w:val="nil"/>
            </w:tcBorders>
            <w:vAlign w:val="center"/>
          </w:tcPr>
          <w:p w14:paraId="171C5FB0" w14:textId="0707E1C7" w:rsidR="00FF2C32" w:rsidRPr="00813841" w:rsidRDefault="00813841" w:rsidP="009D32D6">
            <w:pPr>
              <w:spacing w:after="0" w:line="240" w:lineRule="auto"/>
              <w:jc w:val="center"/>
              <w:rPr>
                <w:rFonts w:eastAsia="Times New Roman" w:cstheme="minorHAnsi"/>
                <w:b/>
                <w:bCs/>
                <w:sz w:val="20"/>
                <w:szCs w:val="20"/>
                <w:lang w:eastAsia="hr-HR"/>
              </w:rPr>
            </w:pPr>
            <w:r w:rsidRPr="00813841">
              <w:rPr>
                <w:rFonts w:eastAsia="Times New Roman" w:cstheme="minorHAnsi"/>
                <w:b/>
                <w:bCs/>
                <w:sz w:val="20"/>
                <w:szCs w:val="20"/>
                <w:lang w:eastAsia="hr-HR"/>
              </w:rPr>
              <w:t>150.000,00</w:t>
            </w:r>
          </w:p>
        </w:tc>
        <w:tc>
          <w:tcPr>
            <w:tcW w:w="1412" w:type="dxa"/>
            <w:tcBorders>
              <w:top w:val="nil"/>
              <w:left w:val="nil"/>
              <w:bottom w:val="single" w:sz="4" w:space="0" w:color="auto"/>
              <w:right w:val="nil"/>
            </w:tcBorders>
            <w:noWrap/>
            <w:vAlign w:val="center"/>
          </w:tcPr>
          <w:p w14:paraId="368F9584" w14:textId="521204EE" w:rsidR="00FF2C32" w:rsidRPr="00813841" w:rsidRDefault="00813841" w:rsidP="009D32D6">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150.000,00</w:t>
            </w:r>
          </w:p>
        </w:tc>
        <w:tc>
          <w:tcPr>
            <w:tcW w:w="1032" w:type="dxa"/>
            <w:tcBorders>
              <w:top w:val="nil"/>
              <w:left w:val="nil"/>
              <w:bottom w:val="single" w:sz="4" w:space="0" w:color="auto"/>
              <w:right w:val="nil"/>
            </w:tcBorders>
            <w:vAlign w:val="center"/>
          </w:tcPr>
          <w:p w14:paraId="3D67B3BB" w14:textId="28B70A43" w:rsidR="00FF2C32" w:rsidRPr="00813841" w:rsidRDefault="00813841" w:rsidP="009D32D6">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w:t>
            </w:r>
          </w:p>
        </w:tc>
        <w:tc>
          <w:tcPr>
            <w:tcW w:w="1085" w:type="dxa"/>
            <w:tcBorders>
              <w:top w:val="nil"/>
              <w:left w:val="nil"/>
              <w:bottom w:val="single" w:sz="4" w:space="0" w:color="auto"/>
              <w:right w:val="nil"/>
            </w:tcBorders>
            <w:noWrap/>
            <w:vAlign w:val="center"/>
          </w:tcPr>
          <w:p w14:paraId="4E66F169" w14:textId="29159A40" w:rsidR="00FF2C32" w:rsidRPr="00813841" w:rsidRDefault="00813841" w:rsidP="009D32D6">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100,00%</w:t>
            </w:r>
          </w:p>
        </w:tc>
      </w:tr>
      <w:tr w:rsidR="00FF2C32" w:rsidRPr="00DF1BA1" w14:paraId="7475712A" w14:textId="77777777" w:rsidTr="00FF2C32">
        <w:trPr>
          <w:trHeight w:val="253"/>
        </w:trPr>
        <w:tc>
          <w:tcPr>
            <w:tcW w:w="423" w:type="dxa"/>
            <w:tcBorders>
              <w:top w:val="nil"/>
              <w:left w:val="nil"/>
              <w:bottom w:val="nil"/>
              <w:right w:val="nil"/>
            </w:tcBorders>
            <w:noWrap/>
            <w:vAlign w:val="bottom"/>
            <w:hideMark/>
          </w:tcPr>
          <w:p w14:paraId="13C8A8D0" w14:textId="77777777" w:rsidR="00FF2C32" w:rsidRPr="00FF2C32" w:rsidRDefault="00FF2C32" w:rsidP="009D32D6">
            <w:pPr>
              <w:spacing w:after="0" w:line="240" w:lineRule="auto"/>
              <w:jc w:val="center"/>
              <w:rPr>
                <w:rFonts w:ascii="Arial" w:eastAsia="Times New Roman" w:hAnsi="Arial" w:cs="Arial"/>
                <w:b/>
                <w:bCs/>
                <w:sz w:val="18"/>
                <w:szCs w:val="18"/>
                <w:lang w:eastAsia="hr-HR"/>
              </w:rPr>
            </w:pPr>
            <w:r w:rsidRPr="00FF2C32">
              <w:rPr>
                <w:rFonts w:ascii="Arial" w:eastAsia="Times New Roman" w:hAnsi="Arial" w:cs="Arial"/>
                <w:b/>
                <w:bCs/>
                <w:sz w:val="18"/>
                <w:szCs w:val="18"/>
                <w:lang w:eastAsia="hr-HR"/>
              </w:rPr>
              <w:t>5</w:t>
            </w:r>
          </w:p>
        </w:tc>
        <w:tc>
          <w:tcPr>
            <w:tcW w:w="3248" w:type="dxa"/>
            <w:tcBorders>
              <w:top w:val="nil"/>
              <w:left w:val="nil"/>
              <w:bottom w:val="nil"/>
              <w:right w:val="nil"/>
            </w:tcBorders>
            <w:noWrap/>
            <w:vAlign w:val="bottom"/>
          </w:tcPr>
          <w:p w14:paraId="1400EA43" w14:textId="77777777" w:rsidR="00FF2C32" w:rsidRPr="00FF2C32" w:rsidRDefault="00FF2C32" w:rsidP="009D32D6">
            <w:pPr>
              <w:spacing w:after="0" w:line="240" w:lineRule="auto"/>
              <w:rPr>
                <w:rFonts w:ascii="Arial" w:eastAsia="Times New Roman" w:hAnsi="Arial" w:cs="Arial"/>
                <w:sz w:val="18"/>
                <w:szCs w:val="18"/>
                <w:lang w:eastAsia="hr-HR"/>
              </w:rPr>
            </w:pPr>
            <w:r w:rsidRPr="00FF2C32">
              <w:rPr>
                <w:rFonts w:ascii="Arial" w:eastAsia="Times New Roman" w:hAnsi="Arial" w:cs="Arial"/>
                <w:sz w:val="18"/>
                <w:szCs w:val="18"/>
                <w:lang w:eastAsia="hr-HR"/>
              </w:rPr>
              <w:t xml:space="preserve">Izdaci za financijsku imovinu i otplate zajmova </w:t>
            </w:r>
          </w:p>
        </w:tc>
        <w:tc>
          <w:tcPr>
            <w:tcW w:w="1446" w:type="dxa"/>
            <w:tcBorders>
              <w:top w:val="nil"/>
              <w:left w:val="nil"/>
              <w:bottom w:val="nil"/>
              <w:right w:val="nil"/>
            </w:tcBorders>
            <w:vAlign w:val="center"/>
          </w:tcPr>
          <w:p w14:paraId="0227D6BF" w14:textId="09F38A6F" w:rsidR="00FF2C32" w:rsidRPr="00813841" w:rsidRDefault="00813841" w:rsidP="009D32D6">
            <w:pPr>
              <w:spacing w:after="0" w:line="240" w:lineRule="auto"/>
              <w:jc w:val="center"/>
              <w:rPr>
                <w:rFonts w:eastAsia="Times New Roman" w:cstheme="minorHAnsi"/>
                <w:sz w:val="20"/>
                <w:szCs w:val="20"/>
                <w:lang w:eastAsia="hr-HR"/>
              </w:rPr>
            </w:pPr>
            <w:r w:rsidRPr="00813841">
              <w:rPr>
                <w:rFonts w:eastAsia="Times New Roman" w:cstheme="minorHAnsi"/>
                <w:sz w:val="20"/>
                <w:szCs w:val="20"/>
                <w:lang w:eastAsia="hr-HR"/>
              </w:rPr>
              <w:t xml:space="preserve"> 632.317,64</w:t>
            </w:r>
          </w:p>
        </w:tc>
        <w:tc>
          <w:tcPr>
            <w:tcW w:w="1660" w:type="dxa"/>
            <w:tcBorders>
              <w:top w:val="nil"/>
              <w:left w:val="nil"/>
              <w:bottom w:val="nil"/>
              <w:right w:val="nil"/>
            </w:tcBorders>
            <w:noWrap/>
            <w:vAlign w:val="center"/>
          </w:tcPr>
          <w:p w14:paraId="4D661F06" w14:textId="1BFD8E7D" w:rsidR="00FF2C32" w:rsidRPr="00813841" w:rsidRDefault="00813841" w:rsidP="009D32D6">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398.700,00</w:t>
            </w:r>
          </w:p>
        </w:tc>
        <w:tc>
          <w:tcPr>
            <w:tcW w:w="1411" w:type="dxa"/>
            <w:tcBorders>
              <w:top w:val="nil"/>
              <w:left w:val="nil"/>
              <w:bottom w:val="nil"/>
              <w:right w:val="nil"/>
            </w:tcBorders>
            <w:vAlign w:val="center"/>
          </w:tcPr>
          <w:p w14:paraId="61C10784" w14:textId="30FB745B" w:rsidR="00FF2C32" w:rsidRPr="00813841" w:rsidRDefault="00813841" w:rsidP="009D32D6">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398.700,00</w:t>
            </w:r>
          </w:p>
        </w:tc>
        <w:tc>
          <w:tcPr>
            <w:tcW w:w="1412" w:type="dxa"/>
            <w:tcBorders>
              <w:top w:val="nil"/>
              <w:left w:val="nil"/>
              <w:bottom w:val="nil"/>
              <w:right w:val="nil"/>
            </w:tcBorders>
            <w:noWrap/>
            <w:vAlign w:val="center"/>
          </w:tcPr>
          <w:p w14:paraId="454A37BB" w14:textId="63462D5F" w:rsidR="00FF2C32" w:rsidRPr="00813841" w:rsidRDefault="00813841" w:rsidP="009D32D6">
            <w:pPr>
              <w:spacing w:after="0" w:line="240" w:lineRule="auto"/>
              <w:jc w:val="center"/>
              <w:rPr>
                <w:rFonts w:eastAsia="Times New Roman" w:cstheme="minorHAnsi"/>
                <w:sz w:val="20"/>
                <w:szCs w:val="20"/>
                <w:lang w:eastAsia="hr-HR"/>
              </w:rPr>
            </w:pPr>
            <w:r w:rsidRPr="00813841">
              <w:rPr>
                <w:rFonts w:eastAsia="Times New Roman" w:cstheme="minorHAnsi"/>
                <w:sz w:val="20"/>
                <w:szCs w:val="20"/>
                <w:lang w:eastAsia="hr-HR"/>
              </w:rPr>
              <w:t>352.837,33</w:t>
            </w:r>
          </w:p>
        </w:tc>
        <w:tc>
          <w:tcPr>
            <w:tcW w:w="1032" w:type="dxa"/>
            <w:tcBorders>
              <w:top w:val="nil"/>
              <w:left w:val="nil"/>
              <w:bottom w:val="nil"/>
              <w:right w:val="nil"/>
            </w:tcBorders>
            <w:vAlign w:val="center"/>
          </w:tcPr>
          <w:p w14:paraId="4B48E689" w14:textId="62CB5EB7" w:rsidR="00FF2C32" w:rsidRPr="00813841" w:rsidRDefault="00813841" w:rsidP="009D32D6">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55,80%</w:t>
            </w:r>
          </w:p>
        </w:tc>
        <w:tc>
          <w:tcPr>
            <w:tcW w:w="1085" w:type="dxa"/>
            <w:tcBorders>
              <w:top w:val="nil"/>
              <w:left w:val="nil"/>
              <w:bottom w:val="nil"/>
              <w:right w:val="nil"/>
            </w:tcBorders>
            <w:noWrap/>
            <w:vAlign w:val="center"/>
          </w:tcPr>
          <w:p w14:paraId="46C0FB4C" w14:textId="558885C6" w:rsidR="00FF2C32" w:rsidRPr="00813841" w:rsidRDefault="00813841" w:rsidP="009D32D6">
            <w:pPr>
              <w:spacing w:after="0" w:line="240" w:lineRule="auto"/>
              <w:jc w:val="center"/>
              <w:rPr>
                <w:rFonts w:eastAsia="Times New Roman" w:cstheme="minorHAnsi"/>
                <w:sz w:val="20"/>
                <w:szCs w:val="20"/>
                <w:lang w:eastAsia="hr-HR"/>
              </w:rPr>
            </w:pPr>
            <w:r>
              <w:rPr>
                <w:rFonts w:eastAsia="Times New Roman" w:cstheme="minorHAnsi"/>
                <w:sz w:val="20"/>
                <w:szCs w:val="20"/>
                <w:lang w:eastAsia="hr-HR"/>
              </w:rPr>
              <w:t>88,50%</w:t>
            </w:r>
          </w:p>
        </w:tc>
      </w:tr>
      <w:tr w:rsidR="00FF2C32" w:rsidRPr="00DF1BA1" w14:paraId="02D16713" w14:textId="77777777" w:rsidTr="00FF2C32">
        <w:trPr>
          <w:trHeight w:val="253"/>
        </w:trPr>
        <w:tc>
          <w:tcPr>
            <w:tcW w:w="423" w:type="dxa"/>
            <w:tcBorders>
              <w:top w:val="nil"/>
              <w:left w:val="nil"/>
              <w:bottom w:val="single" w:sz="4" w:space="0" w:color="auto"/>
              <w:right w:val="nil"/>
            </w:tcBorders>
            <w:noWrap/>
            <w:vAlign w:val="bottom"/>
            <w:hideMark/>
          </w:tcPr>
          <w:p w14:paraId="5883614D" w14:textId="77777777" w:rsidR="00FF2C32" w:rsidRPr="00FF2C32" w:rsidRDefault="00FF2C32" w:rsidP="009D32D6">
            <w:pPr>
              <w:spacing w:after="0" w:line="240" w:lineRule="auto"/>
              <w:jc w:val="center"/>
              <w:rPr>
                <w:rFonts w:ascii="Arial" w:eastAsia="Times New Roman" w:hAnsi="Arial" w:cs="Arial"/>
                <w:b/>
                <w:bCs/>
                <w:sz w:val="18"/>
                <w:szCs w:val="18"/>
                <w:lang w:eastAsia="hr-HR"/>
              </w:rPr>
            </w:pPr>
            <w:r w:rsidRPr="00FF2C32">
              <w:rPr>
                <w:rFonts w:ascii="Arial" w:eastAsia="Times New Roman" w:hAnsi="Arial" w:cs="Arial"/>
                <w:b/>
                <w:bCs/>
                <w:sz w:val="18"/>
                <w:szCs w:val="18"/>
                <w:lang w:eastAsia="hr-HR"/>
              </w:rPr>
              <w:t> </w:t>
            </w:r>
          </w:p>
        </w:tc>
        <w:tc>
          <w:tcPr>
            <w:tcW w:w="3248" w:type="dxa"/>
            <w:tcBorders>
              <w:top w:val="nil"/>
              <w:left w:val="nil"/>
              <w:bottom w:val="single" w:sz="4" w:space="0" w:color="auto"/>
              <w:right w:val="nil"/>
            </w:tcBorders>
            <w:noWrap/>
            <w:vAlign w:val="bottom"/>
            <w:hideMark/>
          </w:tcPr>
          <w:p w14:paraId="4338A95B" w14:textId="77777777" w:rsidR="00FF2C32" w:rsidRPr="00FF2C32" w:rsidRDefault="00FF2C32" w:rsidP="009D32D6">
            <w:pPr>
              <w:spacing w:after="0" w:line="240" w:lineRule="auto"/>
              <w:rPr>
                <w:rFonts w:ascii="Arial" w:eastAsia="Times New Roman" w:hAnsi="Arial" w:cs="Arial"/>
                <w:bCs/>
                <w:sz w:val="18"/>
                <w:szCs w:val="18"/>
                <w:lang w:eastAsia="hr-HR"/>
              </w:rPr>
            </w:pPr>
            <w:r w:rsidRPr="00FF2C32">
              <w:rPr>
                <w:rFonts w:ascii="Arial" w:eastAsia="Times New Roman" w:hAnsi="Arial" w:cs="Arial"/>
                <w:bCs/>
                <w:sz w:val="18"/>
                <w:szCs w:val="18"/>
                <w:lang w:eastAsia="hr-HR"/>
              </w:rPr>
              <w:t>RAZLIKA (A-B)</w:t>
            </w:r>
          </w:p>
        </w:tc>
        <w:tc>
          <w:tcPr>
            <w:tcW w:w="1446" w:type="dxa"/>
            <w:tcBorders>
              <w:top w:val="nil"/>
              <w:left w:val="nil"/>
              <w:bottom w:val="single" w:sz="4" w:space="0" w:color="auto"/>
              <w:right w:val="nil"/>
            </w:tcBorders>
            <w:vAlign w:val="center"/>
          </w:tcPr>
          <w:p w14:paraId="6FC5CE7D" w14:textId="26D30F02" w:rsidR="00FF2C32" w:rsidRPr="00813841" w:rsidRDefault="00813841" w:rsidP="009D32D6">
            <w:pPr>
              <w:spacing w:after="0" w:line="240" w:lineRule="auto"/>
              <w:jc w:val="center"/>
              <w:rPr>
                <w:rFonts w:eastAsia="Times New Roman" w:cstheme="minorHAnsi"/>
                <w:bCs/>
                <w:sz w:val="20"/>
                <w:szCs w:val="20"/>
                <w:lang w:eastAsia="hr-HR"/>
              </w:rPr>
            </w:pPr>
            <w:r w:rsidRPr="00813841">
              <w:rPr>
                <w:rFonts w:eastAsia="Times New Roman" w:cstheme="minorHAnsi"/>
                <w:bCs/>
                <w:sz w:val="20"/>
                <w:szCs w:val="20"/>
                <w:lang w:eastAsia="hr-HR"/>
              </w:rPr>
              <w:t>-632.317,64</w:t>
            </w:r>
          </w:p>
        </w:tc>
        <w:tc>
          <w:tcPr>
            <w:tcW w:w="1660" w:type="dxa"/>
            <w:tcBorders>
              <w:top w:val="nil"/>
              <w:left w:val="nil"/>
              <w:bottom w:val="single" w:sz="4" w:space="0" w:color="auto"/>
              <w:right w:val="nil"/>
            </w:tcBorders>
            <w:noWrap/>
            <w:vAlign w:val="center"/>
          </w:tcPr>
          <w:p w14:paraId="128F87BA" w14:textId="517EEC51" w:rsidR="00FF2C32" w:rsidRPr="00813841" w:rsidRDefault="00813841" w:rsidP="009D32D6">
            <w:pPr>
              <w:spacing w:after="0" w:line="240" w:lineRule="auto"/>
              <w:jc w:val="center"/>
              <w:rPr>
                <w:rFonts w:eastAsia="Times New Roman" w:cstheme="minorHAnsi"/>
                <w:bCs/>
                <w:sz w:val="20"/>
                <w:szCs w:val="20"/>
                <w:lang w:eastAsia="hr-HR"/>
              </w:rPr>
            </w:pPr>
            <w:r>
              <w:rPr>
                <w:rFonts w:eastAsia="Times New Roman" w:cstheme="minorHAnsi"/>
                <w:bCs/>
                <w:sz w:val="20"/>
                <w:szCs w:val="20"/>
                <w:lang w:eastAsia="hr-HR"/>
              </w:rPr>
              <w:t>-248.700,00</w:t>
            </w:r>
          </w:p>
        </w:tc>
        <w:tc>
          <w:tcPr>
            <w:tcW w:w="1411" w:type="dxa"/>
            <w:tcBorders>
              <w:top w:val="nil"/>
              <w:left w:val="nil"/>
              <w:bottom w:val="single" w:sz="4" w:space="0" w:color="auto"/>
              <w:right w:val="nil"/>
            </w:tcBorders>
          </w:tcPr>
          <w:p w14:paraId="275696DB" w14:textId="09E75897" w:rsidR="00FF2C32" w:rsidRPr="00813841" w:rsidRDefault="00813841" w:rsidP="009D32D6">
            <w:pPr>
              <w:spacing w:after="0" w:line="240" w:lineRule="auto"/>
              <w:rPr>
                <w:rFonts w:eastAsia="Times New Roman" w:cstheme="minorHAnsi"/>
                <w:bCs/>
                <w:sz w:val="20"/>
                <w:szCs w:val="20"/>
                <w:lang w:eastAsia="hr-HR"/>
              </w:rPr>
            </w:pPr>
            <w:r>
              <w:rPr>
                <w:rFonts w:eastAsia="Times New Roman" w:cstheme="minorHAnsi"/>
                <w:bCs/>
                <w:sz w:val="20"/>
                <w:szCs w:val="20"/>
                <w:lang w:eastAsia="hr-HR"/>
              </w:rPr>
              <w:t xml:space="preserve">  -248.700,00</w:t>
            </w:r>
          </w:p>
        </w:tc>
        <w:tc>
          <w:tcPr>
            <w:tcW w:w="1412" w:type="dxa"/>
            <w:tcBorders>
              <w:top w:val="nil"/>
              <w:left w:val="nil"/>
              <w:bottom w:val="single" w:sz="4" w:space="0" w:color="auto"/>
              <w:right w:val="nil"/>
            </w:tcBorders>
            <w:noWrap/>
            <w:vAlign w:val="center"/>
          </w:tcPr>
          <w:p w14:paraId="3FE61072" w14:textId="32F62A07" w:rsidR="00FF2C32" w:rsidRPr="00813841" w:rsidRDefault="00813841" w:rsidP="009D32D6">
            <w:pPr>
              <w:spacing w:after="0" w:line="240" w:lineRule="auto"/>
              <w:rPr>
                <w:rFonts w:eastAsia="Times New Roman" w:cstheme="minorHAnsi"/>
                <w:bCs/>
                <w:sz w:val="20"/>
                <w:szCs w:val="20"/>
                <w:lang w:eastAsia="hr-HR"/>
              </w:rPr>
            </w:pPr>
            <w:r>
              <w:rPr>
                <w:rFonts w:eastAsia="Times New Roman" w:cstheme="minorHAnsi"/>
                <w:bCs/>
                <w:sz w:val="20"/>
                <w:szCs w:val="20"/>
                <w:lang w:eastAsia="hr-HR"/>
              </w:rPr>
              <w:t xml:space="preserve">  -202.837,33</w:t>
            </w:r>
          </w:p>
        </w:tc>
        <w:tc>
          <w:tcPr>
            <w:tcW w:w="1032" w:type="dxa"/>
            <w:tcBorders>
              <w:top w:val="nil"/>
              <w:left w:val="nil"/>
              <w:bottom w:val="single" w:sz="4" w:space="0" w:color="auto"/>
              <w:right w:val="nil"/>
            </w:tcBorders>
            <w:vAlign w:val="center"/>
          </w:tcPr>
          <w:p w14:paraId="7811CACA" w14:textId="2FDDC534" w:rsidR="00FF2C32" w:rsidRPr="00813841" w:rsidRDefault="00813841" w:rsidP="009D32D6">
            <w:pPr>
              <w:spacing w:after="0" w:line="240" w:lineRule="auto"/>
              <w:jc w:val="center"/>
              <w:rPr>
                <w:rFonts w:eastAsia="Times New Roman" w:cstheme="minorHAnsi"/>
                <w:bCs/>
                <w:sz w:val="20"/>
                <w:szCs w:val="20"/>
                <w:lang w:eastAsia="hr-HR"/>
              </w:rPr>
            </w:pPr>
            <w:r>
              <w:rPr>
                <w:rFonts w:eastAsia="Times New Roman" w:cstheme="minorHAnsi"/>
                <w:bCs/>
                <w:sz w:val="20"/>
                <w:szCs w:val="20"/>
                <w:lang w:eastAsia="hr-HR"/>
              </w:rPr>
              <w:t>32,08%</w:t>
            </w:r>
          </w:p>
        </w:tc>
        <w:tc>
          <w:tcPr>
            <w:tcW w:w="1085" w:type="dxa"/>
            <w:tcBorders>
              <w:top w:val="nil"/>
              <w:left w:val="nil"/>
              <w:bottom w:val="single" w:sz="4" w:space="0" w:color="auto"/>
              <w:right w:val="nil"/>
            </w:tcBorders>
            <w:noWrap/>
            <w:vAlign w:val="center"/>
          </w:tcPr>
          <w:p w14:paraId="5D9D9E5E" w14:textId="3D9F1EFA" w:rsidR="00FF2C32" w:rsidRPr="00813841" w:rsidRDefault="00813841" w:rsidP="009D32D6">
            <w:pPr>
              <w:spacing w:after="0" w:line="240" w:lineRule="auto"/>
              <w:jc w:val="center"/>
              <w:rPr>
                <w:rFonts w:eastAsia="Times New Roman" w:cstheme="minorHAnsi"/>
                <w:bCs/>
                <w:sz w:val="20"/>
                <w:szCs w:val="20"/>
                <w:lang w:eastAsia="hr-HR"/>
              </w:rPr>
            </w:pPr>
            <w:r>
              <w:rPr>
                <w:rFonts w:eastAsia="Times New Roman" w:cstheme="minorHAnsi"/>
                <w:bCs/>
                <w:sz w:val="20"/>
                <w:szCs w:val="20"/>
                <w:lang w:eastAsia="hr-HR"/>
              </w:rPr>
              <w:t>81,56%</w:t>
            </w:r>
          </w:p>
        </w:tc>
      </w:tr>
      <w:tr w:rsidR="00FF2C32" w:rsidRPr="00DF1BA1" w14:paraId="67A7152C" w14:textId="77777777" w:rsidTr="00FF2C32">
        <w:trPr>
          <w:trHeight w:val="253"/>
        </w:trPr>
        <w:tc>
          <w:tcPr>
            <w:tcW w:w="423" w:type="dxa"/>
            <w:tcBorders>
              <w:top w:val="nil"/>
              <w:left w:val="nil"/>
              <w:bottom w:val="single" w:sz="4" w:space="0" w:color="auto"/>
              <w:right w:val="nil"/>
            </w:tcBorders>
            <w:shd w:val="clear" w:color="auto" w:fill="FFC000"/>
            <w:noWrap/>
            <w:vAlign w:val="bottom"/>
            <w:hideMark/>
          </w:tcPr>
          <w:p w14:paraId="366BFF19" w14:textId="77777777" w:rsidR="00FF2C32" w:rsidRPr="00FF2C32" w:rsidRDefault="00FF2C32" w:rsidP="009D32D6">
            <w:pPr>
              <w:spacing w:after="0" w:line="240" w:lineRule="auto"/>
              <w:jc w:val="center"/>
              <w:rPr>
                <w:rFonts w:ascii="Calibri" w:eastAsia="Times New Roman" w:hAnsi="Calibri" w:cs="Calibri"/>
                <w:b/>
                <w:bCs/>
                <w:color w:val="000000"/>
                <w:sz w:val="18"/>
                <w:szCs w:val="18"/>
                <w:lang w:eastAsia="hr-HR"/>
              </w:rPr>
            </w:pPr>
            <w:r w:rsidRPr="00FF2C32">
              <w:rPr>
                <w:rFonts w:ascii="Calibri" w:eastAsia="Times New Roman" w:hAnsi="Calibri" w:cs="Calibri"/>
                <w:b/>
                <w:bCs/>
                <w:color w:val="000000"/>
                <w:sz w:val="18"/>
                <w:szCs w:val="18"/>
                <w:lang w:eastAsia="hr-HR"/>
              </w:rPr>
              <w:t>C.</w:t>
            </w:r>
          </w:p>
        </w:tc>
        <w:tc>
          <w:tcPr>
            <w:tcW w:w="3248" w:type="dxa"/>
            <w:tcBorders>
              <w:top w:val="nil"/>
              <w:left w:val="nil"/>
              <w:bottom w:val="single" w:sz="4" w:space="0" w:color="auto"/>
              <w:right w:val="nil"/>
            </w:tcBorders>
            <w:shd w:val="clear" w:color="auto" w:fill="FFC000"/>
            <w:noWrap/>
            <w:vAlign w:val="bottom"/>
            <w:hideMark/>
          </w:tcPr>
          <w:p w14:paraId="68262897" w14:textId="77777777" w:rsidR="00FF2C32" w:rsidRPr="00FF2C32" w:rsidRDefault="00FF2C32" w:rsidP="009D32D6">
            <w:pPr>
              <w:spacing w:after="0" w:line="240" w:lineRule="auto"/>
              <w:rPr>
                <w:rFonts w:ascii="Arial" w:eastAsia="Times New Roman" w:hAnsi="Arial" w:cs="Arial"/>
                <w:b/>
                <w:bCs/>
                <w:sz w:val="18"/>
                <w:szCs w:val="18"/>
                <w:lang w:eastAsia="hr-HR"/>
              </w:rPr>
            </w:pPr>
            <w:r w:rsidRPr="00FF2C32">
              <w:rPr>
                <w:rFonts w:ascii="Arial" w:eastAsia="Times New Roman" w:hAnsi="Arial" w:cs="Arial"/>
                <w:b/>
                <w:bCs/>
                <w:sz w:val="18"/>
                <w:szCs w:val="18"/>
                <w:lang w:eastAsia="hr-HR"/>
              </w:rPr>
              <w:t xml:space="preserve">VIŠAK/MANJAK +NETO ZADUŽIVANJE </w:t>
            </w:r>
          </w:p>
        </w:tc>
        <w:tc>
          <w:tcPr>
            <w:tcW w:w="1446" w:type="dxa"/>
            <w:tcBorders>
              <w:top w:val="nil"/>
              <w:left w:val="nil"/>
              <w:bottom w:val="single" w:sz="4" w:space="0" w:color="auto"/>
              <w:right w:val="nil"/>
            </w:tcBorders>
            <w:shd w:val="clear" w:color="auto" w:fill="FFC000"/>
            <w:vAlign w:val="center"/>
          </w:tcPr>
          <w:p w14:paraId="1AF016C7" w14:textId="4A599823" w:rsidR="00FF2C32" w:rsidRPr="00DF1BA1" w:rsidRDefault="00F9618D" w:rsidP="009D32D6">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152.406,18</w:t>
            </w:r>
          </w:p>
        </w:tc>
        <w:tc>
          <w:tcPr>
            <w:tcW w:w="1660" w:type="dxa"/>
            <w:tcBorders>
              <w:top w:val="nil"/>
              <w:left w:val="nil"/>
              <w:bottom w:val="single" w:sz="4" w:space="0" w:color="auto"/>
              <w:right w:val="nil"/>
            </w:tcBorders>
            <w:shd w:val="clear" w:color="auto" w:fill="FFC000"/>
            <w:noWrap/>
            <w:vAlign w:val="center"/>
          </w:tcPr>
          <w:p w14:paraId="07A695AE" w14:textId="1316FC86" w:rsidR="00FF2C32" w:rsidRPr="00DF1BA1" w:rsidRDefault="007C3329" w:rsidP="009D32D6">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-4.482.942,93</w:t>
            </w:r>
          </w:p>
        </w:tc>
        <w:tc>
          <w:tcPr>
            <w:tcW w:w="1411" w:type="dxa"/>
            <w:tcBorders>
              <w:top w:val="nil"/>
              <w:left w:val="nil"/>
              <w:bottom w:val="single" w:sz="4" w:space="0" w:color="auto"/>
              <w:right w:val="nil"/>
            </w:tcBorders>
            <w:shd w:val="clear" w:color="auto" w:fill="FFC000"/>
            <w:vAlign w:val="center"/>
          </w:tcPr>
          <w:p w14:paraId="1CC8EF55" w14:textId="02C16EEB" w:rsidR="00FF2C32" w:rsidRPr="00DF1BA1" w:rsidRDefault="007C3329" w:rsidP="009D32D6">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-4.482.942,93</w:t>
            </w:r>
          </w:p>
        </w:tc>
        <w:tc>
          <w:tcPr>
            <w:tcW w:w="1412" w:type="dxa"/>
            <w:tcBorders>
              <w:top w:val="nil"/>
              <w:left w:val="nil"/>
              <w:bottom w:val="single" w:sz="4" w:space="0" w:color="auto"/>
              <w:right w:val="nil"/>
            </w:tcBorders>
            <w:shd w:val="clear" w:color="auto" w:fill="FFC000"/>
            <w:noWrap/>
            <w:vAlign w:val="center"/>
          </w:tcPr>
          <w:p w14:paraId="63924F6B" w14:textId="3E3677F8" w:rsidR="00FF2C32" w:rsidRPr="00DF1BA1" w:rsidRDefault="007C3329" w:rsidP="009D32D6">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-145.221,70</w:t>
            </w:r>
          </w:p>
        </w:tc>
        <w:tc>
          <w:tcPr>
            <w:tcW w:w="1032" w:type="dxa"/>
            <w:tcBorders>
              <w:top w:val="nil"/>
              <w:left w:val="nil"/>
              <w:bottom w:val="single" w:sz="4" w:space="0" w:color="auto"/>
              <w:right w:val="nil"/>
            </w:tcBorders>
            <w:shd w:val="clear" w:color="auto" w:fill="FFC000"/>
            <w:vAlign w:val="center"/>
          </w:tcPr>
          <w:p w14:paraId="7EFD96E8" w14:textId="79A86CC5" w:rsidR="00FF2C32" w:rsidRPr="00DF1BA1" w:rsidRDefault="00FF2C32" w:rsidP="009D32D6">
            <w:pPr>
              <w:spacing w:after="0" w:line="240" w:lineRule="auto"/>
              <w:jc w:val="center"/>
              <w:rPr>
                <w:rFonts w:ascii="Calibri" w:eastAsia="Times New Roman" w:hAnsi="Calibri" w:cs="Calibri"/>
                <w:b/>
                <w:bCs/>
                <w:color w:val="000000"/>
                <w:sz w:val="20"/>
                <w:szCs w:val="20"/>
                <w:lang w:eastAsia="hr-HR"/>
              </w:rPr>
            </w:pPr>
          </w:p>
        </w:tc>
        <w:tc>
          <w:tcPr>
            <w:tcW w:w="1085" w:type="dxa"/>
            <w:tcBorders>
              <w:top w:val="nil"/>
              <w:left w:val="nil"/>
              <w:bottom w:val="single" w:sz="4" w:space="0" w:color="auto"/>
              <w:right w:val="nil"/>
            </w:tcBorders>
            <w:shd w:val="clear" w:color="auto" w:fill="FFC000"/>
            <w:noWrap/>
            <w:vAlign w:val="center"/>
          </w:tcPr>
          <w:p w14:paraId="619336B8" w14:textId="1B53D1E8" w:rsidR="00FF2C32" w:rsidRPr="00DF1BA1" w:rsidRDefault="00FF2C32" w:rsidP="009D32D6">
            <w:pPr>
              <w:spacing w:after="0" w:line="240" w:lineRule="auto"/>
              <w:jc w:val="center"/>
              <w:rPr>
                <w:rFonts w:ascii="Calibri" w:eastAsia="Times New Roman" w:hAnsi="Calibri" w:cs="Calibri"/>
                <w:b/>
                <w:bCs/>
                <w:color w:val="000000"/>
                <w:sz w:val="20"/>
                <w:szCs w:val="20"/>
                <w:lang w:eastAsia="hr-HR"/>
              </w:rPr>
            </w:pPr>
          </w:p>
        </w:tc>
      </w:tr>
      <w:tr w:rsidR="00FF2C32" w:rsidRPr="00DF1BA1" w14:paraId="04FF46B0" w14:textId="77777777" w:rsidTr="00FF2C32">
        <w:trPr>
          <w:trHeight w:val="253"/>
        </w:trPr>
        <w:tc>
          <w:tcPr>
            <w:tcW w:w="423" w:type="dxa"/>
            <w:tcBorders>
              <w:top w:val="nil"/>
              <w:left w:val="nil"/>
              <w:bottom w:val="single" w:sz="4" w:space="0" w:color="auto"/>
              <w:right w:val="nil"/>
            </w:tcBorders>
            <w:shd w:val="clear" w:color="auto" w:fill="FFC000"/>
            <w:noWrap/>
            <w:vAlign w:val="bottom"/>
          </w:tcPr>
          <w:p w14:paraId="0FE41B25" w14:textId="77777777" w:rsidR="00FF2C32" w:rsidRPr="00FF2C32" w:rsidRDefault="00FF2C32" w:rsidP="009D32D6">
            <w:pPr>
              <w:spacing w:after="0" w:line="240" w:lineRule="auto"/>
              <w:jc w:val="center"/>
              <w:rPr>
                <w:rFonts w:ascii="Calibri" w:eastAsia="Times New Roman" w:hAnsi="Calibri" w:cs="Calibri"/>
                <w:b/>
                <w:bCs/>
                <w:color w:val="000000"/>
                <w:sz w:val="18"/>
                <w:szCs w:val="18"/>
                <w:lang w:eastAsia="hr-HR"/>
              </w:rPr>
            </w:pPr>
            <w:r w:rsidRPr="00FF2C32">
              <w:rPr>
                <w:rFonts w:ascii="Calibri" w:eastAsia="Times New Roman" w:hAnsi="Calibri" w:cs="Calibri"/>
                <w:b/>
                <w:bCs/>
                <w:color w:val="000000"/>
                <w:sz w:val="18"/>
                <w:szCs w:val="18"/>
                <w:lang w:eastAsia="hr-HR"/>
              </w:rPr>
              <w:t>D.</w:t>
            </w:r>
          </w:p>
        </w:tc>
        <w:tc>
          <w:tcPr>
            <w:tcW w:w="3248" w:type="dxa"/>
            <w:tcBorders>
              <w:top w:val="nil"/>
              <w:left w:val="nil"/>
              <w:bottom w:val="single" w:sz="4" w:space="0" w:color="auto"/>
              <w:right w:val="nil"/>
            </w:tcBorders>
            <w:shd w:val="clear" w:color="auto" w:fill="FFC000"/>
            <w:noWrap/>
            <w:vAlign w:val="bottom"/>
          </w:tcPr>
          <w:p w14:paraId="3CF20BF8" w14:textId="77777777" w:rsidR="00FF2C32" w:rsidRPr="00FF2C32" w:rsidRDefault="00FF2C32" w:rsidP="009D32D6">
            <w:pPr>
              <w:spacing w:after="0" w:line="240" w:lineRule="auto"/>
              <w:rPr>
                <w:rFonts w:ascii="Arial" w:eastAsia="Times New Roman" w:hAnsi="Arial" w:cs="Arial"/>
                <w:b/>
                <w:bCs/>
                <w:sz w:val="18"/>
                <w:szCs w:val="18"/>
                <w:lang w:eastAsia="hr-HR"/>
              </w:rPr>
            </w:pPr>
            <w:r w:rsidRPr="00FF2C32">
              <w:rPr>
                <w:rFonts w:ascii="Arial" w:eastAsia="Times New Roman" w:hAnsi="Arial" w:cs="Arial"/>
                <w:b/>
                <w:bCs/>
                <w:sz w:val="18"/>
                <w:szCs w:val="18"/>
                <w:lang w:eastAsia="hr-HR"/>
              </w:rPr>
              <w:t>PRENESENA SREDSTVA IZ PRETHODNIH GODINA</w:t>
            </w:r>
          </w:p>
        </w:tc>
        <w:tc>
          <w:tcPr>
            <w:tcW w:w="1446" w:type="dxa"/>
            <w:tcBorders>
              <w:top w:val="nil"/>
              <w:left w:val="nil"/>
              <w:bottom w:val="single" w:sz="4" w:space="0" w:color="auto"/>
              <w:right w:val="nil"/>
            </w:tcBorders>
            <w:shd w:val="clear" w:color="auto" w:fill="FFC000"/>
            <w:vAlign w:val="center"/>
          </w:tcPr>
          <w:p w14:paraId="2CC20568" w14:textId="61736AA8" w:rsidR="00FF2C32" w:rsidRPr="00DF1BA1" w:rsidRDefault="007C3329" w:rsidP="009D32D6">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4.180.379,77</w:t>
            </w:r>
          </w:p>
        </w:tc>
        <w:tc>
          <w:tcPr>
            <w:tcW w:w="1660" w:type="dxa"/>
            <w:tcBorders>
              <w:top w:val="nil"/>
              <w:left w:val="nil"/>
              <w:bottom w:val="single" w:sz="4" w:space="0" w:color="auto"/>
              <w:right w:val="nil"/>
            </w:tcBorders>
            <w:shd w:val="clear" w:color="auto" w:fill="FFC000"/>
            <w:noWrap/>
            <w:vAlign w:val="center"/>
          </w:tcPr>
          <w:p w14:paraId="2A56383B" w14:textId="341A9EE3" w:rsidR="00FF2C32" w:rsidRPr="00DF1BA1" w:rsidRDefault="007C3329" w:rsidP="009D32D6">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4.482.942,93</w:t>
            </w:r>
          </w:p>
        </w:tc>
        <w:tc>
          <w:tcPr>
            <w:tcW w:w="1411" w:type="dxa"/>
            <w:tcBorders>
              <w:top w:val="nil"/>
              <w:left w:val="nil"/>
              <w:bottom w:val="single" w:sz="4" w:space="0" w:color="auto"/>
              <w:right w:val="nil"/>
            </w:tcBorders>
            <w:shd w:val="clear" w:color="auto" w:fill="FFC000"/>
            <w:vAlign w:val="center"/>
          </w:tcPr>
          <w:p w14:paraId="48B7F3EB" w14:textId="233F75E5" w:rsidR="00FF2C32" w:rsidRPr="00DF1BA1" w:rsidRDefault="007C3329" w:rsidP="009D32D6">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4.482.942,93</w:t>
            </w:r>
          </w:p>
        </w:tc>
        <w:tc>
          <w:tcPr>
            <w:tcW w:w="1412" w:type="dxa"/>
            <w:tcBorders>
              <w:top w:val="nil"/>
              <w:left w:val="nil"/>
              <w:bottom w:val="single" w:sz="4" w:space="0" w:color="auto"/>
              <w:right w:val="nil"/>
            </w:tcBorders>
            <w:shd w:val="clear" w:color="auto" w:fill="FFC000"/>
            <w:noWrap/>
            <w:vAlign w:val="center"/>
          </w:tcPr>
          <w:p w14:paraId="541558F5" w14:textId="3173ACF5" w:rsidR="00FF2C32" w:rsidRPr="00DF1BA1" w:rsidRDefault="007C3329" w:rsidP="009D32D6">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4.332.795,60</w:t>
            </w:r>
          </w:p>
        </w:tc>
        <w:tc>
          <w:tcPr>
            <w:tcW w:w="1032" w:type="dxa"/>
            <w:tcBorders>
              <w:top w:val="nil"/>
              <w:left w:val="nil"/>
              <w:bottom w:val="single" w:sz="4" w:space="0" w:color="auto"/>
              <w:right w:val="nil"/>
            </w:tcBorders>
            <w:shd w:val="clear" w:color="auto" w:fill="FFC000"/>
            <w:vAlign w:val="center"/>
          </w:tcPr>
          <w:p w14:paraId="52029FFF" w14:textId="2C25FBCD" w:rsidR="00FF2C32" w:rsidRPr="00DF1BA1" w:rsidRDefault="00FF2C32" w:rsidP="009D32D6">
            <w:pPr>
              <w:spacing w:after="0" w:line="240" w:lineRule="auto"/>
              <w:jc w:val="center"/>
              <w:rPr>
                <w:rFonts w:ascii="Calibri" w:eastAsia="Times New Roman" w:hAnsi="Calibri" w:cs="Calibri"/>
                <w:b/>
                <w:bCs/>
                <w:color w:val="000000"/>
                <w:sz w:val="20"/>
                <w:szCs w:val="20"/>
                <w:lang w:eastAsia="hr-HR"/>
              </w:rPr>
            </w:pPr>
          </w:p>
        </w:tc>
        <w:tc>
          <w:tcPr>
            <w:tcW w:w="1085" w:type="dxa"/>
            <w:tcBorders>
              <w:top w:val="nil"/>
              <w:left w:val="nil"/>
              <w:bottom w:val="single" w:sz="4" w:space="0" w:color="auto"/>
              <w:right w:val="nil"/>
            </w:tcBorders>
            <w:shd w:val="clear" w:color="auto" w:fill="FFC000"/>
            <w:noWrap/>
            <w:vAlign w:val="center"/>
          </w:tcPr>
          <w:p w14:paraId="49C0D02E" w14:textId="10190D75" w:rsidR="00FF2C32" w:rsidRPr="00DF1BA1" w:rsidRDefault="00FF2C32" w:rsidP="009D32D6">
            <w:pPr>
              <w:spacing w:after="0" w:line="240" w:lineRule="auto"/>
              <w:jc w:val="center"/>
              <w:rPr>
                <w:rFonts w:ascii="Calibri" w:eastAsia="Times New Roman" w:hAnsi="Calibri" w:cs="Calibri"/>
                <w:b/>
                <w:bCs/>
                <w:color w:val="000000"/>
                <w:sz w:val="20"/>
                <w:szCs w:val="20"/>
                <w:lang w:eastAsia="hr-HR"/>
              </w:rPr>
            </w:pPr>
          </w:p>
        </w:tc>
      </w:tr>
      <w:tr w:rsidR="00FF2C32" w:rsidRPr="00DF1BA1" w14:paraId="2F13899B" w14:textId="77777777" w:rsidTr="00FF2C32">
        <w:trPr>
          <w:trHeight w:val="253"/>
        </w:trPr>
        <w:tc>
          <w:tcPr>
            <w:tcW w:w="423" w:type="dxa"/>
            <w:tcBorders>
              <w:top w:val="nil"/>
              <w:left w:val="nil"/>
              <w:bottom w:val="nil"/>
              <w:right w:val="nil"/>
            </w:tcBorders>
            <w:noWrap/>
            <w:vAlign w:val="bottom"/>
            <w:hideMark/>
          </w:tcPr>
          <w:p w14:paraId="50477679" w14:textId="77777777" w:rsidR="00FF2C32" w:rsidRPr="00FF2C32" w:rsidRDefault="00FF2C32" w:rsidP="009D32D6">
            <w:pPr>
              <w:spacing w:after="0" w:line="240" w:lineRule="auto"/>
              <w:rPr>
                <w:rFonts w:ascii="Calibri" w:eastAsia="Times New Roman" w:hAnsi="Calibri" w:cs="Calibri"/>
                <w:color w:val="000000"/>
                <w:sz w:val="18"/>
                <w:szCs w:val="18"/>
                <w:lang w:eastAsia="hr-HR"/>
              </w:rPr>
            </w:pPr>
            <w:r w:rsidRPr="00FF2C32">
              <w:rPr>
                <w:rFonts w:ascii="Calibri" w:eastAsia="Times New Roman" w:hAnsi="Calibri" w:cs="Calibri"/>
                <w:color w:val="000000"/>
                <w:sz w:val="18"/>
                <w:szCs w:val="18"/>
                <w:lang w:eastAsia="hr-HR"/>
              </w:rPr>
              <w:t> </w:t>
            </w:r>
          </w:p>
        </w:tc>
        <w:tc>
          <w:tcPr>
            <w:tcW w:w="3248" w:type="dxa"/>
            <w:tcBorders>
              <w:top w:val="nil"/>
              <w:left w:val="nil"/>
              <w:bottom w:val="nil"/>
              <w:right w:val="nil"/>
            </w:tcBorders>
            <w:noWrap/>
            <w:vAlign w:val="bottom"/>
            <w:hideMark/>
          </w:tcPr>
          <w:p w14:paraId="6098E40F" w14:textId="77777777" w:rsidR="00FF2C32" w:rsidRPr="00FF2C32" w:rsidRDefault="00FF2C32" w:rsidP="009D32D6">
            <w:pPr>
              <w:spacing w:after="0" w:line="240" w:lineRule="auto"/>
              <w:rPr>
                <w:rFonts w:ascii="Arial" w:eastAsia="Times New Roman" w:hAnsi="Arial" w:cs="Arial"/>
                <w:sz w:val="18"/>
                <w:szCs w:val="18"/>
                <w:lang w:eastAsia="hr-HR"/>
              </w:rPr>
            </w:pPr>
            <w:r w:rsidRPr="00FF2C32">
              <w:rPr>
                <w:rFonts w:ascii="Arial" w:eastAsia="Times New Roman" w:hAnsi="Arial" w:cs="Arial"/>
                <w:sz w:val="18"/>
                <w:szCs w:val="18"/>
                <w:lang w:eastAsia="hr-HR"/>
              </w:rPr>
              <w:t>Višak sredstava -proračun</w:t>
            </w:r>
          </w:p>
        </w:tc>
        <w:tc>
          <w:tcPr>
            <w:tcW w:w="1446" w:type="dxa"/>
            <w:tcBorders>
              <w:top w:val="nil"/>
              <w:left w:val="nil"/>
              <w:bottom w:val="nil"/>
              <w:right w:val="nil"/>
            </w:tcBorders>
          </w:tcPr>
          <w:p w14:paraId="64720710" w14:textId="18CC5744" w:rsidR="00FF2C32" w:rsidRPr="00DF1BA1" w:rsidRDefault="007C3329" w:rsidP="009D32D6">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4.180.379,77</w:t>
            </w:r>
          </w:p>
        </w:tc>
        <w:tc>
          <w:tcPr>
            <w:tcW w:w="1660" w:type="dxa"/>
            <w:tcBorders>
              <w:top w:val="nil"/>
              <w:left w:val="nil"/>
              <w:bottom w:val="nil"/>
              <w:right w:val="nil"/>
            </w:tcBorders>
            <w:noWrap/>
            <w:vAlign w:val="bottom"/>
          </w:tcPr>
          <w:p w14:paraId="0585D512" w14:textId="572FAF8A" w:rsidR="00FF2C32" w:rsidRPr="00DF1BA1" w:rsidRDefault="007C3329" w:rsidP="009D32D6">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4.482.942,93</w:t>
            </w:r>
          </w:p>
        </w:tc>
        <w:tc>
          <w:tcPr>
            <w:tcW w:w="1411" w:type="dxa"/>
            <w:tcBorders>
              <w:top w:val="nil"/>
              <w:left w:val="nil"/>
              <w:bottom w:val="nil"/>
              <w:right w:val="nil"/>
            </w:tcBorders>
          </w:tcPr>
          <w:p w14:paraId="7A4BC85C" w14:textId="1527803A" w:rsidR="00FF2C32" w:rsidRPr="00DF1BA1" w:rsidRDefault="007C3329" w:rsidP="009D32D6">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4.482.942,93</w:t>
            </w:r>
          </w:p>
        </w:tc>
        <w:tc>
          <w:tcPr>
            <w:tcW w:w="1412" w:type="dxa"/>
            <w:tcBorders>
              <w:top w:val="nil"/>
              <w:left w:val="nil"/>
              <w:bottom w:val="nil"/>
              <w:right w:val="nil"/>
            </w:tcBorders>
            <w:noWrap/>
            <w:vAlign w:val="bottom"/>
          </w:tcPr>
          <w:p w14:paraId="485273CC" w14:textId="57123300" w:rsidR="00FF2C32" w:rsidRPr="00DF1BA1" w:rsidRDefault="007C3329" w:rsidP="009D32D6">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4.332.795,60</w:t>
            </w:r>
          </w:p>
        </w:tc>
        <w:tc>
          <w:tcPr>
            <w:tcW w:w="1032" w:type="dxa"/>
            <w:tcBorders>
              <w:top w:val="nil"/>
              <w:left w:val="nil"/>
              <w:bottom w:val="nil"/>
              <w:right w:val="nil"/>
            </w:tcBorders>
          </w:tcPr>
          <w:p w14:paraId="1E31350C" w14:textId="165BDDDD" w:rsidR="00FF2C32" w:rsidRPr="00DF1BA1" w:rsidRDefault="00FF2C32" w:rsidP="009D32D6">
            <w:pPr>
              <w:spacing w:after="0" w:line="240" w:lineRule="auto"/>
              <w:jc w:val="center"/>
              <w:rPr>
                <w:rFonts w:ascii="Calibri" w:eastAsia="Times New Roman" w:hAnsi="Calibri" w:cs="Calibri"/>
                <w:color w:val="000000"/>
                <w:sz w:val="20"/>
                <w:szCs w:val="20"/>
                <w:lang w:eastAsia="hr-HR"/>
              </w:rPr>
            </w:pPr>
          </w:p>
        </w:tc>
        <w:tc>
          <w:tcPr>
            <w:tcW w:w="1085" w:type="dxa"/>
            <w:tcBorders>
              <w:top w:val="nil"/>
              <w:left w:val="nil"/>
              <w:bottom w:val="nil"/>
              <w:right w:val="nil"/>
            </w:tcBorders>
            <w:noWrap/>
            <w:vAlign w:val="bottom"/>
          </w:tcPr>
          <w:p w14:paraId="60CCE254" w14:textId="70EEDB31" w:rsidR="00FF2C32" w:rsidRPr="00DF1BA1" w:rsidRDefault="00FF2C32" w:rsidP="009D32D6">
            <w:pPr>
              <w:spacing w:after="0" w:line="240" w:lineRule="auto"/>
              <w:jc w:val="center"/>
              <w:rPr>
                <w:rFonts w:ascii="Calibri" w:eastAsia="Times New Roman" w:hAnsi="Calibri" w:cs="Calibri"/>
                <w:color w:val="000000"/>
                <w:sz w:val="20"/>
                <w:szCs w:val="20"/>
                <w:lang w:eastAsia="hr-HR"/>
              </w:rPr>
            </w:pPr>
          </w:p>
        </w:tc>
      </w:tr>
      <w:tr w:rsidR="00FF2C32" w:rsidRPr="00DF1BA1" w14:paraId="682E742B" w14:textId="77777777" w:rsidTr="00FF2C32">
        <w:trPr>
          <w:trHeight w:val="253"/>
        </w:trPr>
        <w:tc>
          <w:tcPr>
            <w:tcW w:w="423" w:type="dxa"/>
            <w:tcBorders>
              <w:top w:val="nil"/>
              <w:left w:val="nil"/>
              <w:bottom w:val="single" w:sz="4" w:space="0" w:color="auto"/>
              <w:right w:val="nil"/>
            </w:tcBorders>
            <w:noWrap/>
            <w:vAlign w:val="bottom"/>
            <w:hideMark/>
          </w:tcPr>
          <w:p w14:paraId="1B92D807" w14:textId="77777777" w:rsidR="00FF2C32" w:rsidRPr="00FF2C32" w:rsidRDefault="00FF2C32" w:rsidP="009D32D6">
            <w:pPr>
              <w:spacing w:after="0" w:line="240" w:lineRule="auto"/>
              <w:rPr>
                <w:rFonts w:ascii="Arial" w:eastAsia="Times New Roman" w:hAnsi="Arial" w:cs="Arial"/>
                <w:b/>
                <w:bCs/>
                <w:sz w:val="18"/>
                <w:szCs w:val="18"/>
                <w:lang w:eastAsia="hr-HR"/>
              </w:rPr>
            </w:pPr>
            <w:r w:rsidRPr="00FF2C32">
              <w:rPr>
                <w:rFonts w:ascii="Arial" w:eastAsia="Times New Roman" w:hAnsi="Arial" w:cs="Arial"/>
                <w:b/>
                <w:bCs/>
                <w:sz w:val="18"/>
                <w:szCs w:val="18"/>
                <w:lang w:eastAsia="hr-HR"/>
              </w:rPr>
              <w:t> </w:t>
            </w:r>
          </w:p>
        </w:tc>
        <w:tc>
          <w:tcPr>
            <w:tcW w:w="3248" w:type="dxa"/>
            <w:tcBorders>
              <w:top w:val="nil"/>
              <w:left w:val="nil"/>
              <w:bottom w:val="single" w:sz="4" w:space="0" w:color="auto"/>
              <w:right w:val="nil"/>
            </w:tcBorders>
            <w:noWrap/>
            <w:vAlign w:val="bottom"/>
            <w:hideMark/>
          </w:tcPr>
          <w:p w14:paraId="6B763A6A" w14:textId="77777777" w:rsidR="00FF2C32" w:rsidRPr="00FF2C32" w:rsidRDefault="00FF2C32" w:rsidP="009D32D6">
            <w:pPr>
              <w:spacing w:after="0" w:line="240" w:lineRule="auto"/>
              <w:rPr>
                <w:rFonts w:ascii="Arial" w:eastAsia="Times New Roman" w:hAnsi="Arial" w:cs="Arial"/>
                <w:sz w:val="18"/>
                <w:szCs w:val="18"/>
                <w:lang w:eastAsia="hr-HR"/>
              </w:rPr>
            </w:pPr>
            <w:r w:rsidRPr="00FF2C32">
              <w:rPr>
                <w:rFonts w:ascii="Arial" w:eastAsia="Times New Roman" w:hAnsi="Arial" w:cs="Arial"/>
                <w:sz w:val="18"/>
                <w:szCs w:val="18"/>
                <w:lang w:eastAsia="hr-HR"/>
              </w:rPr>
              <w:t xml:space="preserve">Višak sredstava - proračunski korisnici </w:t>
            </w:r>
          </w:p>
        </w:tc>
        <w:tc>
          <w:tcPr>
            <w:tcW w:w="1446" w:type="dxa"/>
            <w:tcBorders>
              <w:top w:val="nil"/>
              <w:left w:val="nil"/>
              <w:bottom w:val="single" w:sz="4" w:space="0" w:color="auto"/>
              <w:right w:val="nil"/>
            </w:tcBorders>
            <w:vAlign w:val="center"/>
          </w:tcPr>
          <w:p w14:paraId="31ABE55A" w14:textId="19E8DAE5" w:rsidR="00FF2C32" w:rsidRPr="00DF1BA1" w:rsidRDefault="007C3329" w:rsidP="009D32D6">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0,00</w:t>
            </w:r>
          </w:p>
        </w:tc>
        <w:tc>
          <w:tcPr>
            <w:tcW w:w="1660" w:type="dxa"/>
            <w:tcBorders>
              <w:top w:val="nil"/>
              <w:left w:val="nil"/>
              <w:bottom w:val="single" w:sz="4" w:space="0" w:color="auto"/>
              <w:right w:val="nil"/>
            </w:tcBorders>
            <w:noWrap/>
            <w:vAlign w:val="center"/>
          </w:tcPr>
          <w:p w14:paraId="2A8A7674" w14:textId="463FEB7A" w:rsidR="00FF2C32" w:rsidRPr="00DF1BA1" w:rsidRDefault="007C3329" w:rsidP="009D32D6">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0,00</w:t>
            </w:r>
          </w:p>
        </w:tc>
        <w:tc>
          <w:tcPr>
            <w:tcW w:w="1411" w:type="dxa"/>
            <w:tcBorders>
              <w:top w:val="nil"/>
              <w:left w:val="nil"/>
              <w:bottom w:val="single" w:sz="4" w:space="0" w:color="auto"/>
              <w:right w:val="nil"/>
            </w:tcBorders>
            <w:vAlign w:val="center"/>
          </w:tcPr>
          <w:p w14:paraId="1CEF01EE" w14:textId="5C27E35B" w:rsidR="00FF2C32" w:rsidRPr="00DF1BA1" w:rsidRDefault="007C3329" w:rsidP="009D32D6">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0,00</w:t>
            </w:r>
          </w:p>
        </w:tc>
        <w:tc>
          <w:tcPr>
            <w:tcW w:w="1412" w:type="dxa"/>
            <w:tcBorders>
              <w:top w:val="nil"/>
              <w:left w:val="nil"/>
              <w:bottom w:val="single" w:sz="4" w:space="0" w:color="auto"/>
              <w:right w:val="nil"/>
            </w:tcBorders>
            <w:noWrap/>
            <w:vAlign w:val="center"/>
          </w:tcPr>
          <w:p w14:paraId="1829CD5F" w14:textId="38F48D97" w:rsidR="00FF2C32" w:rsidRPr="00DF1BA1" w:rsidRDefault="007C3329" w:rsidP="009D32D6">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0,00</w:t>
            </w:r>
          </w:p>
        </w:tc>
        <w:tc>
          <w:tcPr>
            <w:tcW w:w="1032" w:type="dxa"/>
            <w:tcBorders>
              <w:top w:val="nil"/>
              <w:left w:val="nil"/>
              <w:bottom w:val="single" w:sz="4" w:space="0" w:color="auto"/>
              <w:right w:val="nil"/>
            </w:tcBorders>
            <w:vAlign w:val="center"/>
          </w:tcPr>
          <w:p w14:paraId="16B87B0C" w14:textId="57A881B6" w:rsidR="00FF2C32" w:rsidRPr="00DF1BA1" w:rsidRDefault="00FF2C32" w:rsidP="009D32D6">
            <w:pPr>
              <w:spacing w:after="0" w:line="240" w:lineRule="auto"/>
              <w:jc w:val="center"/>
              <w:rPr>
                <w:rFonts w:ascii="Calibri" w:eastAsia="Times New Roman" w:hAnsi="Calibri" w:cs="Calibri"/>
                <w:color w:val="000000"/>
                <w:sz w:val="20"/>
                <w:szCs w:val="20"/>
                <w:lang w:eastAsia="hr-HR"/>
              </w:rPr>
            </w:pPr>
          </w:p>
        </w:tc>
        <w:tc>
          <w:tcPr>
            <w:tcW w:w="1085" w:type="dxa"/>
            <w:tcBorders>
              <w:top w:val="nil"/>
              <w:left w:val="nil"/>
              <w:bottom w:val="single" w:sz="4" w:space="0" w:color="auto"/>
              <w:right w:val="nil"/>
            </w:tcBorders>
            <w:noWrap/>
            <w:vAlign w:val="center"/>
          </w:tcPr>
          <w:p w14:paraId="3E55446A" w14:textId="2E92FAB3" w:rsidR="00FF2C32" w:rsidRPr="00DF1BA1" w:rsidRDefault="00FF2C32" w:rsidP="009D32D6">
            <w:pPr>
              <w:spacing w:after="0" w:line="240" w:lineRule="auto"/>
              <w:jc w:val="center"/>
              <w:rPr>
                <w:rFonts w:ascii="Calibri" w:eastAsia="Times New Roman" w:hAnsi="Calibri" w:cs="Calibri"/>
                <w:color w:val="000000"/>
                <w:sz w:val="20"/>
                <w:szCs w:val="20"/>
                <w:lang w:eastAsia="hr-HR"/>
              </w:rPr>
            </w:pPr>
          </w:p>
        </w:tc>
      </w:tr>
      <w:tr w:rsidR="00FF2C32" w:rsidRPr="00DF1BA1" w14:paraId="74430748" w14:textId="77777777" w:rsidTr="00FF2C32">
        <w:trPr>
          <w:trHeight w:val="253"/>
        </w:trPr>
        <w:tc>
          <w:tcPr>
            <w:tcW w:w="423" w:type="dxa"/>
            <w:tcBorders>
              <w:top w:val="nil"/>
              <w:left w:val="nil"/>
              <w:bottom w:val="single" w:sz="4" w:space="0" w:color="auto"/>
              <w:right w:val="nil"/>
            </w:tcBorders>
            <w:noWrap/>
            <w:vAlign w:val="bottom"/>
            <w:hideMark/>
          </w:tcPr>
          <w:p w14:paraId="592B7168" w14:textId="73E17407" w:rsidR="00FF2C32" w:rsidRPr="00FF2C32" w:rsidRDefault="00FF2C32" w:rsidP="009D32D6">
            <w:pPr>
              <w:spacing w:after="0" w:line="240" w:lineRule="auto"/>
              <w:rPr>
                <w:rFonts w:ascii="Arial" w:eastAsia="Times New Roman" w:hAnsi="Arial" w:cs="Arial"/>
                <w:b/>
                <w:bCs/>
                <w:sz w:val="18"/>
                <w:szCs w:val="18"/>
                <w:lang w:eastAsia="hr-HR"/>
              </w:rPr>
            </w:pPr>
            <w:r w:rsidRPr="00FF2C32">
              <w:rPr>
                <w:rFonts w:ascii="Arial" w:eastAsia="Times New Roman" w:hAnsi="Arial" w:cs="Arial"/>
                <w:b/>
                <w:bCs/>
                <w:sz w:val="18"/>
                <w:szCs w:val="18"/>
                <w:lang w:eastAsia="hr-HR"/>
              </w:rPr>
              <w:t>E.</w:t>
            </w:r>
          </w:p>
        </w:tc>
        <w:tc>
          <w:tcPr>
            <w:tcW w:w="3248" w:type="dxa"/>
            <w:tcBorders>
              <w:top w:val="nil"/>
              <w:left w:val="nil"/>
              <w:bottom w:val="single" w:sz="4" w:space="0" w:color="auto"/>
              <w:right w:val="nil"/>
            </w:tcBorders>
            <w:noWrap/>
            <w:vAlign w:val="bottom"/>
            <w:hideMark/>
          </w:tcPr>
          <w:p w14:paraId="72AA902C" w14:textId="77777777" w:rsidR="00FF2C32" w:rsidRPr="00FF2C32" w:rsidRDefault="00FF2C32" w:rsidP="009D32D6">
            <w:pPr>
              <w:spacing w:after="0" w:line="240" w:lineRule="auto"/>
              <w:rPr>
                <w:rFonts w:ascii="Arial" w:eastAsia="Times New Roman" w:hAnsi="Arial" w:cs="Arial"/>
                <w:b/>
                <w:bCs/>
                <w:sz w:val="18"/>
                <w:szCs w:val="18"/>
                <w:lang w:eastAsia="hr-HR"/>
              </w:rPr>
            </w:pPr>
            <w:r w:rsidRPr="00FF2C32">
              <w:rPr>
                <w:rFonts w:ascii="Arial" w:eastAsia="Times New Roman" w:hAnsi="Arial" w:cs="Arial"/>
                <w:b/>
                <w:bCs/>
                <w:sz w:val="18"/>
                <w:szCs w:val="18"/>
                <w:lang w:eastAsia="hr-HR"/>
              </w:rPr>
              <w:t>RAZLIKA (A+B+C)</w:t>
            </w:r>
          </w:p>
        </w:tc>
        <w:tc>
          <w:tcPr>
            <w:tcW w:w="1446" w:type="dxa"/>
            <w:tcBorders>
              <w:top w:val="nil"/>
              <w:left w:val="nil"/>
              <w:bottom w:val="single" w:sz="4" w:space="0" w:color="auto"/>
              <w:right w:val="nil"/>
            </w:tcBorders>
          </w:tcPr>
          <w:p w14:paraId="1469EFAF" w14:textId="5E483816" w:rsidR="00FF2C32" w:rsidRPr="00DF1BA1" w:rsidRDefault="007C3329"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4.332.785,95</w:t>
            </w:r>
          </w:p>
        </w:tc>
        <w:tc>
          <w:tcPr>
            <w:tcW w:w="1660" w:type="dxa"/>
            <w:tcBorders>
              <w:top w:val="nil"/>
              <w:left w:val="nil"/>
              <w:bottom w:val="single" w:sz="4" w:space="0" w:color="auto"/>
              <w:right w:val="nil"/>
            </w:tcBorders>
            <w:noWrap/>
            <w:vAlign w:val="bottom"/>
          </w:tcPr>
          <w:p w14:paraId="3F1CBE41" w14:textId="537BFDC8" w:rsidR="00FF2C32" w:rsidRPr="00DF1BA1" w:rsidRDefault="007C3329"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411" w:type="dxa"/>
            <w:tcBorders>
              <w:top w:val="nil"/>
              <w:left w:val="nil"/>
              <w:bottom w:val="single" w:sz="4" w:space="0" w:color="auto"/>
              <w:right w:val="nil"/>
            </w:tcBorders>
          </w:tcPr>
          <w:p w14:paraId="4CBB877F" w14:textId="2009EEFB" w:rsidR="00FF2C32" w:rsidRPr="00DF1BA1" w:rsidRDefault="007C3329"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412" w:type="dxa"/>
            <w:tcBorders>
              <w:top w:val="nil"/>
              <w:left w:val="nil"/>
              <w:bottom w:val="single" w:sz="4" w:space="0" w:color="auto"/>
              <w:right w:val="nil"/>
            </w:tcBorders>
            <w:noWrap/>
            <w:vAlign w:val="bottom"/>
          </w:tcPr>
          <w:p w14:paraId="514A02B4" w14:textId="0CDE9AB6" w:rsidR="00FF2C32" w:rsidRPr="00DF1BA1" w:rsidRDefault="007C3329" w:rsidP="009D32D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4.187.573,90</w:t>
            </w:r>
          </w:p>
        </w:tc>
        <w:tc>
          <w:tcPr>
            <w:tcW w:w="1032" w:type="dxa"/>
            <w:tcBorders>
              <w:top w:val="nil"/>
              <w:left w:val="nil"/>
              <w:bottom w:val="single" w:sz="4" w:space="0" w:color="auto"/>
              <w:right w:val="nil"/>
            </w:tcBorders>
          </w:tcPr>
          <w:p w14:paraId="1F569EFD" w14:textId="07DFA8BD" w:rsidR="00FF2C32" w:rsidRPr="00DF1BA1" w:rsidRDefault="00FF2C32" w:rsidP="009D32D6">
            <w:pPr>
              <w:spacing w:after="0" w:line="240" w:lineRule="auto"/>
              <w:jc w:val="center"/>
              <w:rPr>
                <w:rFonts w:ascii="Arial" w:eastAsia="Times New Roman" w:hAnsi="Arial" w:cs="Arial"/>
                <w:b/>
                <w:bCs/>
                <w:sz w:val="20"/>
                <w:szCs w:val="20"/>
                <w:lang w:eastAsia="hr-HR"/>
              </w:rPr>
            </w:pPr>
          </w:p>
        </w:tc>
        <w:tc>
          <w:tcPr>
            <w:tcW w:w="1085" w:type="dxa"/>
            <w:tcBorders>
              <w:top w:val="nil"/>
              <w:left w:val="nil"/>
              <w:bottom w:val="single" w:sz="4" w:space="0" w:color="auto"/>
              <w:right w:val="nil"/>
            </w:tcBorders>
            <w:noWrap/>
            <w:vAlign w:val="bottom"/>
          </w:tcPr>
          <w:p w14:paraId="591E2374" w14:textId="12920BE9" w:rsidR="00FF2C32" w:rsidRPr="00DF1BA1" w:rsidRDefault="00FF2C32" w:rsidP="009D32D6">
            <w:pPr>
              <w:spacing w:after="0" w:line="240" w:lineRule="auto"/>
              <w:jc w:val="center"/>
              <w:rPr>
                <w:rFonts w:ascii="Arial" w:eastAsia="Times New Roman" w:hAnsi="Arial" w:cs="Arial"/>
                <w:b/>
                <w:bCs/>
                <w:sz w:val="20"/>
                <w:szCs w:val="20"/>
                <w:lang w:eastAsia="hr-HR"/>
              </w:rPr>
            </w:pPr>
          </w:p>
        </w:tc>
      </w:tr>
    </w:tbl>
    <w:p w14:paraId="45F195FD" w14:textId="77777777" w:rsidR="00833345" w:rsidRDefault="00833345" w:rsidP="000B3DE0">
      <w:pPr>
        <w:spacing w:after="0" w:line="240" w:lineRule="auto"/>
        <w:jc w:val="both"/>
        <w:rPr>
          <w:rFonts w:cstheme="minorHAnsi"/>
          <w:sz w:val="24"/>
          <w:szCs w:val="24"/>
        </w:rPr>
      </w:pPr>
    </w:p>
    <w:p w14:paraId="6013F4C8" w14:textId="77777777" w:rsidR="00833345" w:rsidRDefault="00833345" w:rsidP="000B3DE0">
      <w:pPr>
        <w:spacing w:after="0" w:line="240" w:lineRule="auto"/>
        <w:jc w:val="both"/>
        <w:rPr>
          <w:rFonts w:cstheme="minorHAnsi"/>
          <w:sz w:val="24"/>
          <w:szCs w:val="24"/>
        </w:rPr>
      </w:pPr>
    </w:p>
    <w:p w14:paraId="0F716C3B" w14:textId="40274D4B" w:rsidR="00C046DB" w:rsidRDefault="000B3DE0" w:rsidP="000B3DE0">
      <w:pPr>
        <w:spacing w:after="0" w:line="240" w:lineRule="auto"/>
        <w:jc w:val="both"/>
        <w:rPr>
          <w:rFonts w:cstheme="minorHAnsi"/>
          <w:sz w:val="24"/>
          <w:szCs w:val="24"/>
        </w:rPr>
      </w:pPr>
      <w:r>
        <w:rPr>
          <w:rFonts w:cstheme="minorHAnsi"/>
          <w:sz w:val="24"/>
          <w:szCs w:val="24"/>
        </w:rPr>
        <w:t xml:space="preserve">U </w:t>
      </w:r>
      <w:r w:rsidR="00335B56">
        <w:rPr>
          <w:rFonts w:cstheme="minorHAnsi"/>
          <w:sz w:val="24"/>
          <w:szCs w:val="24"/>
        </w:rPr>
        <w:t xml:space="preserve">izvještajnom </w:t>
      </w:r>
      <w:r>
        <w:rPr>
          <w:rFonts w:cstheme="minorHAnsi"/>
          <w:sz w:val="24"/>
          <w:szCs w:val="24"/>
        </w:rPr>
        <w:t>razdoblju 202</w:t>
      </w:r>
      <w:r w:rsidR="00434C91">
        <w:rPr>
          <w:rFonts w:cstheme="minorHAnsi"/>
          <w:sz w:val="24"/>
          <w:szCs w:val="24"/>
        </w:rPr>
        <w:t>5</w:t>
      </w:r>
      <w:r>
        <w:rPr>
          <w:rFonts w:cstheme="minorHAnsi"/>
          <w:sz w:val="24"/>
          <w:szCs w:val="24"/>
        </w:rPr>
        <w:t xml:space="preserve">. godine ukupni konsolidirani prihodi i primici proračuna Grada Trogira ostvareni su u iznosu od </w:t>
      </w:r>
      <w:r w:rsidR="00E87196">
        <w:rPr>
          <w:rFonts w:cstheme="minorHAnsi"/>
          <w:sz w:val="24"/>
          <w:szCs w:val="24"/>
        </w:rPr>
        <w:t>19.787.321,82</w:t>
      </w:r>
      <w:r w:rsidR="001D24A6">
        <w:rPr>
          <w:rFonts w:cstheme="minorHAnsi"/>
          <w:sz w:val="24"/>
          <w:szCs w:val="24"/>
        </w:rPr>
        <w:t xml:space="preserve"> eura</w:t>
      </w:r>
      <w:r>
        <w:rPr>
          <w:rFonts w:cstheme="minorHAnsi"/>
          <w:sz w:val="24"/>
          <w:szCs w:val="24"/>
        </w:rPr>
        <w:t xml:space="preserve">, što je za </w:t>
      </w:r>
      <w:r w:rsidR="00E87196">
        <w:rPr>
          <w:rFonts w:cstheme="minorHAnsi"/>
          <w:sz w:val="24"/>
          <w:szCs w:val="24"/>
        </w:rPr>
        <w:t>12,8</w:t>
      </w:r>
      <w:r>
        <w:rPr>
          <w:rFonts w:cstheme="minorHAnsi"/>
          <w:sz w:val="24"/>
          <w:szCs w:val="24"/>
        </w:rPr>
        <w:t xml:space="preserve">% </w:t>
      </w:r>
      <w:r w:rsidR="00E87196">
        <w:rPr>
          <w:rFonts w:cstheme="minorHAnsi"/>
          <w:sz w:val="24"/>
          <w:szCs w:val="24"/>
        </w:rPr>
        <w:t>više</w:t>
      </w:r>
      <w:r>
        <w:rPr>
          <w:rFonts w:cstheme="minorHAnsi"/>
          <w:sz w:val="24"/>
          <w:szCs w:val="24"/>
        </w:rPr>
        <w:t xml:space="preserve"> od ostvarenja u istom izvještajnom razdoblju prethodne godine, dok su ukupni konsolidirani rashodi i izdaci proračuna Grada Trogira ostvareni u iznosu od </w:t>
      </w:r>
      <w:r w:rsidR="00E87196">
        <w:rPr>
          <w:rFonts w:cstheme="minorHAnsi"/>
          <w:sz w:val="24"/>
          <w:szCs w:val="24"/>
        </w:rPr>
        <w:t>19.932.543,52</w:t>
      </w:r>
      <w:r w:rsidR="001D24A6">
        <w:rPr>
          <w:rFonts w:cstheme="minorHAnsi"/>
          <w:sz w:val="24"/>
          <w:szCs w:val="24"/>
        </w:rPr>
        <w:t xml:space="preserve"> eura</w:t>
      </w:r>
      <w:r>
        <w:rPr>
          <w:rFonts w:cstheme="minorHAnsi"/>
          <w:sz w:val="24"/>
          <w:szCs w:val="24"/>
        </w:rPr>
        <w:t>, što je za</w:t>
      </w:r>
      <w:r w:rsidR="00335B56">
        <w:rPr>
          <w:rFonts w:cstheme="minorHAnsi"/>
          <w:sz w:val="24"/>
          <w:szCs w:val="24"/>
        </w:rPr>
        <w:t xml:space="preserve"> </w:t>
      </w:r>
      <w:r w:rsidR="00E87196">
        <w:rPr>
          <w:rFonts w:cstheme="minorHAnsi"/>
          <w:sz w:val="24"/>
          <w:szCs w:val="24"/>
        </w:rPr>
        <w:t>14,7</w:t>
      </w:r>
      <w:r>
        <w:rPr>
          <w:rFonts w:cstheme="minorHAnsi"/>
          <w:sz w:val="24"/>
          <w:szCs w:val="24"/>
        </w:rPr>
        <w:t>% više</w:t>
      </w:r>
      <w:r w:rsidR="001D24A6">
        <w:rPr>
          <w:rFonts w:cstheme="minorHAnsi"/>
          <w:sz w:val="24"/>
          <w:szCs w:val="24"/>
        </w:rPr>
        <w:t xml:space="preserve"> u odnosu na </w:t>
      </w:r>
      <w:r w:rsidR="00D20802">
        <w:rPr>
          <w:rFonts w:cstheme="minorHAnsi"/>
          <w:sz w:val="24"/>
          <w:szCs w:val="24"/>
        </w:rPr>
        <w:t>ostvarenje</w:t>
      </w:r>
      <w:r w:rsidR="001D24A6">
        <w:rPr>
          <w:rFonts w:cstheme="minorHAnsi"/>
          <w:sz w:val="24"/>
          <w:szCs w:val="24"/>
        </w:rPr>
        <w:t xml:space="preserve"> 202</w:t>
      </w:r>
      <w:r w:rsidR="00E87196">
        <w:rPr>
          <w:rFonts w:cstheme="minorHAnsi"/>
          <w:sz w:val="24"/>
          <w:szCs w:val="24"/>
        </w:rPr>
        <w:t>4</w:t>
      </w:r>
      <w:r>
        <w:rPr>
          <w:rFonts w:cstheme="minorHAnsi"/>
          <w:sz w:val="24"/>
          <w:szCs w:val="24"/>
        </w:rPr>
        <w:t>. godine.</w:t>
      </w:r>
      <w:r w:rsidR="00C046DB">
        <w:rPr>
          <w:rFonts w:cstheme="minorHAnsi"/>
          <w:sz w:val="24"/>
          <w:szCs w:val="24"/>
        </w:rPr>
        <w:t xml:space="preserve"> Realizirani rashodi i izdaci su </w:t>
      </w:r>
      <w:r w:rsidR="00E87196">
        <w:rPr>
          <w:rFonts w:cstheme="minorHAnsi"/>
          <w:sz w:val="24"/>
          <w:szCs w:val="24"/>
        </w:rPr>
        <w:t>veći</w:t>
      </w:r>
      <w:r w:rsidR="00C046DB">
        <w:rPr>
          <w:rFonts w:cstheme="minorHAnsi"/>
          <w:sz w:val="24"/>
          <w:szCs w:val="24"/>
        </w:rPr>
        <w:t xml:space="preserve"> od realiziranih prihoda i primitaka za </w:t>
      </w:r>
      <w:r w:rsidR="00E87196">
        <w:rPr>
          <w:rFonts w:cstheme="minorHAnsi"/>
          <w:sz w:val="24"/>
          <w:szCs w:val="24"/>
        </w:rPr>
        <w:t>145.221,70</w:t>
      </w:r>
      <w:r w:rsidR="00C046DB">
        <w:rPr>
          <w:rFonts w:cstheme="minorHAnsi"/>
          <w:sz w:val="24"/>
          <w:szCs w:val="24"/>
        </w:rPr>
        <w:t xml:space="preserve"> eura</w:t>
      </w:r>
      <w:r w:rsidR="00AF05BD">
        <w:rPr>
          <w:rFonts w:cstheme="minorHAnsi"/>
          <w:sz w:val="24"/>
          <w:szCs w:val="24"/>
        </w:rPr>
        <w:t xml:space="preserve"> (konsolidirani </w:t>
      </w:r>
      <w:r w:rsidR="00E87196">
        <w:rPr>
          <w:rFonts w:cstheme="minorHAnsi"/>
          <w:sz w:val="24"/>
          <w:szCs w:val="24"/>
        </w:rPr>
        <w:t>manjak</w:t>
      </w:r>
      <w:r w:rsidR="00AF05BD">
        <w:rPr>
          <w:rFonts w:cstheme="minorHAnsi"/>
          <w:sz w:val="24"/>
          <w:szCs w:val="24"/>
        </w:rPr>
        <w:t xml:space="preserve">) </w:t>
      </w:r>
      <w:r>
        <w:rPr>
          <w:rFonts w:cstheme="minorHAnsi"/>
          <w:sz w:val="24"/>
          <w:szCs w:val="24"/>
        </w:rPr>
        <w:t xml:space="preserve">što s prenesenim viškom iz prethodnih godina u iznosu od </w:t>
      </w:r>
      <w:r w:rsidR="00E87196">
        <w:rPr>
          <w:rFonts w:cstheme="minorHAnsi"/>
          <w:sz w:val="24"/>
          <w:szCs w:val="24"/>
        </w:rPr>
        <w:t>4.332.795,60</w:t>
      </w:r>
      <w:r w:rsidR="001D24A6">
        <w:rPr>
          <w:rFonts w:cstheme="minorHAnsi"/>
          <w:sz w:val="24"/>
          <w:szCs w:val="24"/>
        </w:rPr>
        <w:t xml:space="preserve"> eura</w:t>
      </w:r>
      <w:r>
        <w:rPr>
          <w:rFonts w:cstheme="minorHAnsi"/>
          <w:sz w:val="24"/>
          <w:szCs w:val="24"/>
        </w:rPr>
        <w:t xml:space="preserve"> daje višak raspoloživ u sljedećem razdoblju u iznosu od </w:t>
      </w:r>
      <w:r w:rsidR="00E87196">
        <w:rPr>
          <w:rFonts w:cstheme="minorHAnsi"/>
          <w:sz w:val="24"/>
          <w:szCs w:val="24"/>
        </w:rPr>
        <w:t>4.187.573,90</w:t>
      </w:r>
      <w:r w:rsidR="001D24A6">
        <w:rPr>
          <w:rFonts w:cstheme="minorHAnsi"/>
          <w:sz w:val="24"/>
          <w:szCs w:val="24"/>
        </w:rPr>
        <w:t xml:space="preserve"> eura</w:t>
      </w:r>
      <w:r>
        <w:rPr>
          <w:rFonts w:cstheme="minorHAnsi"/>
          <w:sz w:val="24"/>
          <w:szCs w:val="24"/>
        </w:rPr>
        <w:t>.</w:t>
      </w:r>
    </w:p>
    <w:p w14:paraId="035129E0" w14:textId="77777777" w:rsidR="00AF05BD" w:rsidRDefault="00AF05BD" w:rsidP="000B3DE0">
      <w:pPr>
        <w:spacing w:after="0" w:line="240" w:lineRule="auto"/>
        <w:jc w:val="both"/>
        <w:rPr>
          <w:rFonts w:cstheme="minorHAnsi"/>
          <w:sz w:val="24"/>
          <w:szCs w:val="24"/>
        </w:rPr>
      </w:pPr>
    </w:p>
    <w:p w14:paraId="14123849" w14:textId="352E4A4A" w:rsidR="00BD29C9" w:rsidRDefault="000B3DE0" w:rsidP="000B3DE0">
      <w:pPr>
        <w:spacing w:after="0" w:line="240" w:lineRule="auto"/>
        <w:jc w:val="both"/>
        <w:rPr>
          <w:rFonts w:cstheme="minorHAnsi"/>
          <w:sz w:val="24"/>
          <w:szCs w:val="24"/>
        </w:rPr>
      </w:pPr>
      <w:r>
        <w:rPr>
          <w:rFonts w:cstheme="minorHAnsi"/>
          <w:sz w:val="24"/>
          <w:szCs w:val="24"/>
        </w:rPr>
        <w:t>Prema financijskim izvještajima koje su Grad i proraču</w:t>
      </w:r>
      <w:r w:rsidR="001D24A6">
        <w:rPr>
          <w:rFonts w:cstheme="minorHAnsi"/>
          <w:sz w:val="24"/>
          <w:szCs w:val="24"/>
        </w:rPr>
        <w:t xml:space="preserve">nski korisnici sastavili za </w:t>
      </w:r>
      <w:r w:rsidR="00335B56">
        <w:rPr>
          <w:rFonts w:cstheme="minorHAnsi"/>
          <w:sz w:val="24"/>
          <w:szCs w:val="24"/>
        </w:rPr>
        <w:t xml:space="preserve">izvještajno  razdoblje </w:t>
      </w:r>
      <w:r w:rsidR="001D24A6">
        <w:rPr>
          <w:rFonts w:cstheme="minorHAnsi"/>
          <w:sz w:val="24"/>
          <w:szCs w:val="24"/>
        </w:rPr>
        <w:t>202</w:t>
      </w:r>
      <w:r w:rsidR="00E87196">
        <w:rPr>
          <w:rFonts w:cstheme="minorHAnsi"/>
          <w:sz w:val="24"/>
          <w:szCs w:val="24"/>
        </w:rPr>
        <w:t>5</w:t>
      </w:r>
      <w:r w:rsidR="001D24A6">
        <w:rPr>
          <w:rFonts w:cstheme="minorHAnsi"/>
          <w:sz w:val="24"/>
          <w:szCs w:val="24"/>
        </w:rPr>
        <w:t>. godine</w:t>
      </w:r>
      <w:r>
        <w:rPr>
          <w:rFonts w:cstheme="minorHAnsi"/>
          <w:sz w:val="24"/>
          <w:szCs w:val="24"/>
        </w:rPr>
        <w:t xml:space="preserve">, Grad je za izvještajno razdoblje ostvario višak prihoda u iznosu od </w:t>
      </w:r>
      <w:r w:rsidR="005546B4">
        <w:rPr>
          <w:rFonts w:cstheme="minorHAnsi"/>
          <w:sz w:val="24"/>
          <w:szCs w:val="24"/>
        </w:rPr>
        <w:t>114.190,87</w:t>
      </w:r>
      <w:r w:rsidR="001D24A6">
        <w:rPr>
          <w:rFonts w:cstheme="minorHAnsi"/>
          <w:sz w:val="24"/>
          <w:szCs w:val="24"/>
        </w:rPr>
        <w:t xml:space="preserve"> eura</w:t>
      </w:r>
      <w:r>
        <w:rPr>
          <w:rFonts w:cstheme="minorHAnsi"/>
          <w:sz w:val="24"/>
          <w:szCs w:val="24"/>
        </w:rPr>
        <w:t xml:space="preserve">, </w:t>
      </w:r>
      <w:r w:rsidR="00705246">
        <w:rPr>
          <w:rFonts w:cstheme="minorHAnsi"/>
          <w:sz w:val="24"/>
          <w:szCs w:val="24"/>
        </w:rPr>
        <w:t>dok su</w:t>
      </w:r>
      <w:r>
        <w:rPr>
          <w:rFonts w:cstheme="minorHAnsi"/>
          <w:sz w:val="24"/>
          <w:szCs w:val="24"/>
        </w:rPr>
        <w:t xml:space="preserve"> proračunski korisnici </w:t>
      </w:r>
      <w:r w:rsidR="00705246">
        <w:rPr>
          <w:rFonts w:cstheme="minorHAnsi"/>
          <w:sz w:val="24"/>
          <w:szCs w:val="24"/>
        </w:rPr>
        <w:t xml:space="preserve">ukupno </w:t>
      </w:r>
      <w:r>
        <w:rPr>
          <w:rFonts w:cstheme="minorHAnsi"/>
          <w:sz w:val="24"/>
          <w:szCs w:val="24"/>
        </w:rPr>
        <w:t xml:space="preserve">ostvarili </w:t>
      </w:r>
      <w:r w:rsidR="00335B56">
        <w:rPr>
          <w:rFonts w:cstheme="minorHAnsi"/>
          <w:sz w:val="24"/>
          <w:szCs w:val="24"/>
        </w:rPr>
        <w:t>manjak</w:t>
      </w:r>
      <w:r>
        <w:rPr>
          <w:rFonts w:cstheme="minorHAnsi"/>
          <w:sz w:val="24"/>
          <w:szCs w:val="24"/>
        </w:rPr>
        <w:t xml:space="preserve"> prihoda u iznosu od</w:t>
      </w:r>
      <w:r w:rsidR="001D24A6">
        <w:rPr>
          <w:rFonts w:cstheme="minorHAnsi"/>
          <w:sz w:val="24"/>
          <w:szCs w:val="24"/>
        </w:rPr>
        <w:t xml:space="preserve"> </w:t>
      </w:r>
      <w:r w:rsidR="005546B4">
        <w:rPr>
          <w:rFonts w:cstheme="minorHAnsi"/>
          <w:sz w:val="24"/>
          <w:szCs w:val="24"/>
        </w:rPr>
        <w:t>48.135,38</w:t>
      </w:r>
      <w:r w:rsidR="001D24A6">
        <w:rPr>
          <w:rFonts w:cstheme="minorHAnsi"/>
          <w:sz w:val="24"/>
          <w:szCs w:val="24"/>
        </w:rPr>
        <w:t xml:space="preserve"> eura</w:t>
      </w:r>
      <w:r w:rsidR="005546B4">
        <w:rPr>
          <w:rFonts w:cstheme="minorHAnsi"/>
          <w:sz w:val="24"/>
          <w:szCs w:val="24"/>
        </w:rPr>
        <w:t>, dok je proračunski korisnik JU Sportski objekti Trogir ostvario višak prihoda u iznosu od 17.104,55 eura</w:t>
      </w:r>
      <w:r w:rsidR="00705246">
        <w:rPr>
          <w:rFonts w:cstheme="minorHAnsi"/>
          <w:sz w:val="24"/>
          <w:szCs w:val="24"/>
        </w:rPr>
        <w:t xml:space="preserve">. </w:t>
      </w:r>
      <w:r>
        <w:rPr>
          <w:rFonts w:cstheme="minorHAnsi"/>
          <w:sz w:val="24"/>
          <w:szCs w:val="24"/>
        </w:rPr>
        <w:t>(vi</w:t>
      </w:r>
      <w:r w:rsidR="001226B8">
        <w:rPr>
          <w:rFonts w:cstheme="minorHAnsi"/>
          <w:sz w:val="24"/>
          <w:szCs w:val="24"/>
        </w:rPr>
        <w:t xml:space="preserve">dljivo u sljedećoj </w:t>
      </w:r>
      <w:r w:rsidR="00BD29C9">
        <w:rPr>
          <w:rFonts w:cstheme="minorHAnsi"/>
          <w:sz w:val="24"/>
          <w:szCs w:val="24"/>
        </w:rPr>
        <w:t>tablici br. 2</w:t>
      </w:r>
      <w:r>
        <w:rPr>
          <w:rFonts w:cstheme="minorHAnsi"/>
          <w:sz w:val="24"/>
          <w:szCs w:val="24"/>
        </w:rPr>
        <w:t>)</w:t>
      </w:r>
    </w:p>
    <w:p w14:paraId="7618C712" w14:textId="77777777" w:rsidR="00705246" w:rsidRDefault="00705246" w:rsidP="000B3DE0">
      <w:pPr>
        <w:spacing w:after="0" w:line="240" w:lineRule="auto"/>
        <w:jc w:val="both"/>
        <w:rPr>
          <w:rFonts w:cstheme="minorHAnsi"/>
          <w:sz w:val="24"/>
          <w:szCs w:val="24"/>
        </w:rPr>
      </w:pPr>
    </w:p>
    <w:p w14:paraId="41B0D375" w14:textId="1C8E2D23" w:rsidR="00705246" w:rsidRDefault="002D5C91" w:rsidP="002D5C91">
      <w:pPr>
        <w:spacing w:after="0" w:line="240" w:lineRule="auto"/>
        <w:jc w:val="both"/>
        <w:rPr>
          <w:rFonts w:cstheme="minorHAnsi"/>
          <w:sz w:val="24"/>
          <w:szCs w:val="24"/>
        </w:rPr>
      </w:pPr>
      <w:r>
        <w:rPr>
          <w:rFonts w:cstheme="minorHAnsi"/>
          <w:sz w:val="24"/>
          <w:szCs w:val="24"/>
        </w:rPr>
        <w:t xml:space="preserve">Pojedini proračunski korisnici su ostvarili tzv. metodološki manjak koji nastaje zbog načina evidentiranja kontinuiranih mjesečnih rashoda na prijelazu iz jednog u drugo izvještajno razdoblje. </w:t>
      </w:r>
      <w:r w:rsidR="00705246">
        <w:rPr>
          <w:rFonts w:cstheme="minorHAnsi"/>
          <w:sz w:val="24"/>
          <w:szCs w:val="24"/>
        </w:rPr>
        <w:t xml:space="preserve">Navedena promjena proizlazi iz odredbi novog Pravilnika o proračunskom računovodstvu i Računskom planu (NN 158/23) prema kojima se od 1.siječnja 2025.godine u knjigovodstvenim evidencijama više ne koristi podskupina računa: kontinuirani rashodi </w:t>
      </w:r>
      <w:r w:rsidR="00705246">
        <w:rPr>
          <w:rFonts w:cstheme="minorHAnsi"/>
          <w:sz w:val="24"/>
          <w:szCs w:val="24"/>
        </w:rPr>
        <w:lastRenderedPageBreak/>
        <w:t xml:space="preserve">budućih razdoblja </w:t>
      </w:r>
      <w:r w:rsidR="00FC74EE">
        <w:rPr>
          <w:rFonts w:cstheme="minorHAnsi"/>
          <w:sz w:val="24"/>
          <w:szCs w:val="24"/>
        </w:rPr>
        <w:t>te</w:t>
      </w:r>
      <w:r w:rsidR="00705246">
        <w:rPr>
          <w:rFonts w:cstheme="minorHAnsi"/>
          <w:sz w:val="24"/>
          <w:szCs w:val="24"/>
        </w:rPr>
        <w:t xml:space="preserve"> su</w:t>
      </w:r>
      <w:r w:rsidR="00FC74EE">
        <w:rPr>
          <w:rFonts w:cstheme="minorHAnsi"/>
          <w:sz w:val="24"/>
          <w:szCs w:val="24"/>
        </w:rPr>
        <w:t xml:space="preserve"> pojedini</w:t>
      </w:r>
      <w:r w:rsidR="00705246">
        <w:rPr>
          <w:rFonts w:cstheme="minorHAnsi"/>
          <w:sz w:val="24"/>
          <w:szCs w:val="24"/>
        </w:rPr>
        <w:t xml:space="preserve"> kontinuirani rashodi koji se odnose na prosinac 2024.</w:t>
      </w:r>
      <w:r w:rsidR="002329C1">
        <w:rPr>
          <w:rFonts w:cstheme="minorHAnsi"/>
          <w:sz w:val="24"/>
          <w:szCs w:val="24"/>
        </w:rPr>
        <w:t>,</w:t>
      </w:r>
      <w:r w:rsidR="00705246">
        <w:rPr>
          <w:rFonts w:cstheme="minorHAnsi"/>
          <w:sz w:val="24"/>
          <w:szCs w:val="24"/>
        </w:rPr>
        <w:t xml:space="preserve"> </w:t>
      </w:r>
      <w:r w:rsidR="00FC74EE">
        <w:rPr>
          <w:rFonts w:cstheme="minorHAnsi"/>
          <w:sz w:val="24"/>
          <w:szCs w:val="24"/>
        </w:rPr>
        <w:t>evidentirani</w:t>
      </w:r>
      <w:r w:rsidR="00705246" w:rsidRPr="00FC74EE">
        <w:rPr>
          <w:rFonts w:cstheme="minorHAnsi"/>
          <w:sz w:val="24"/>
          <w:szCs w:val="24"/>
        </w:rPr>
        <w:t xml:space="preserve"> u 202</w:t>
      </w:r>
      <w:r w:rsidRPr="00FC74EE">
        <w:rPr>
          <w:rFonts w:cstheme="minorHAnsi"/>
          <w:sz w:val="24"/>
          <w:szCs w:val="24"/>
        </w:rPr>
        <w:t>5</w:t>
      </w:r>
      <w:r w:rsidR="00705246" w:rsidRPr="00FC74EE">
        <w:rPr>
          <w:rFonts w:cstheme="minorHAnsi"/>
          <w:sz w:val="24"/>
          <w:szCs w:val="24"/>
        </w:rPr>
        <w:t>.</w:t>
      </w:r>
      <w:r w:rsidRPr="00FC74EE">
        <w:rPr>
          <w:rFonts w:cstheme="minorHAnsi"/>
          <w:sz w:val="24"/>
          <w:szCs w:val="24"/>
        </w:rPr>
        <w:t xml:space="preserve"> </w:t>
      </w:r>
      <w:r w:rsidR="00705246" w:rsidRPr="00FC74EE">
        <w:rPr>
          <w:rFonts w:cstheme="minorHAnsi"/>
          <w:sz w:val="24"/>
          <w:szCs w:val="24"/>
        </w:rPr>
        <w:t xml:space="preserve">godini. </w:t>
      </w:r>
    </w:p>
    <w:p w14:paraId="6826147A" w14:textId="77777777" w:rsidR="00D20802" w:rsidRDefault="00D20802" w:rsidP="000B3DE0">
      <w:pPr>
        <w:spacing w:after="0" w:line="240" w:lineRule="auto"/>
        <w:jc w:val="both"/>
        <w:rPr>
          <w:rFonts w:cstheme="minorHAnsi"/>
          <w:sz w:val="24"/>
          <w:szCs w:val="24"/>
        </w:rPr>
      </w:pPr>
    </w:p>
    <w:p w14:paraId="1A0612A0" w14:textId="19DE6317" w:rsidR="000B3DE0" w:rsidRPr="00AF05BD" w:rsidRDefault="00BD29C9" w:rsidP="000B3DE0">
      <w:pPr>
        <w:spacing w:after="0" w:line="240" w:lineRule="auto"/>
        <w:jc w:val="both"/>
        <w:rPr>
          <w:rFonts w:cstheme="minorHAnsi"/>
          <w:sz w:val="24"/>
          <w:szCs w:val="24"/>
        </w:rPr>
      </w:pPr>
      <w:r>
        <w:rPr>
          <w:rFonts w:cstheme="minorHAnsi"/>
          <w:b/>
          <w:sz w:val="24"/>
          <w:szCs w:val="24"/>
        </w:rPr>
        <w:t>Tablica 2</w:t>
      </w:r>
      <w:r w:rsidR="000B3DE0" w:rsidRPr="00EA460C">
        <w:rPr>
          <w:rFonts w:cstheme="minorHAnsi"/>
          <w:b/>
          <w:sz w:val="24"/>
          <w:szCs w:val="24"/>
        </w:rPr>
        <w:t>.</w:t>
      </w:r>
      <w:r w:rsidR="000B3DE0">
        <w:rPr>
          <w:rFonts w:cstheme="minorHAnsi"/>
          <w:sz w:val="24"/>
          <w:szCs w:val="24"/>
        </w:rPr>
        <w:t xml:space="preserve"> </w:t>
      </w:r>
      <w:r w:rsidR="000B3DE0" w:rsidRPr="00AF05BD">
        <w:rPr>
          <w:rFonts w:cstheme="minorHAnsi"/>
          <w:sz w:val="24"/>
          <w:szCs w:val="24"/>
        </w:rPr>
        <w:t>Ostvarenje rezultata poslovanja Grada Tro</w:t>
      </w:r>
      <w:r w:rsidR="001D24A6" w:rsidRPr="00AF05BD">
        <w:rPr>
          <w:rFonts w:cstheme="minorHAnsi"/>
          <w:sz w:val="24"/>
          <w:szCs w:val="24"/>
        </w:rPr>
        <w:t xml:space="preserve">gira i proračunskih korisnika za </w:t>
      </w:r>
      <w:r w:rsidR="00EC7632" w:rsidRPr="00AF05BD">
        <w:rPr>
          <w:rFonts w:cstheme="minorHAnsi"/>
          <w:sz w:val="24"/>
          <w:szCs w:val="24"/>
        </w:rPr>
        <w:t>izvještajno razdoblje</w:t>
      </w:r>
      <w:r w:rsidR="001D24A6" w:rsidRPr="00AF05BD">
        <w:rPr>
          <w:rFonts w:cstheme="minorHAnsi"/>
          <w:sz w:val="24"/>
          <w:szCs w:val="24"/>
        </w:rPr>
        <w:t xml:space="preserve"> 202</w:t>
      </w:r>
      <w:r w:rsidR="00240A87">
        <w:rPr>
          <w:rFonts w:cstheme="minorHAnsi"/>
          <w:sz w:val="24"/>
          <w:szCs w:val="24"/>
        </w:rPr>
        <w:t>5</w:t>
      </w:r>
      <w:r w:rsidR="001D24A6" w:rsidRPr="00AF05BD">
        <w:rPr>
          <w:rFonts w:cstheme="minorHAnsi"/>
          <w:sz w:val="24"/>
          <w:szCs w:val="24"/>
        </w:rPr>
        <w:t>. godine</w:t>
      </w:r>
    </w:p>
    <w:p w14:paraId="76055040" w14:textId="77777777" w:rsidR="000B3DE0" w:rsidRDefault="000B3DE0" w:rsidP="000B3DE0">
      <w:pPr>
        <w:spacing w:after="0" w:line="240" w:lineRule="auto"/>
        <w:rPr>
          <w:rFonts w:ascii="Times New Roman" w:hAnsi="Times New Roman" w:cs="Times New Roman"/>
        </w:rPr>
      </w:pPr>
    </w:p>
    <w:tbl>
      <w:tblPr>
        <w:tblW w:w="11614" w:type="dxa"/>
        <w:jc w:val="center"/>
        <w:tblLayout w:type="fixed"/>
        <w:tblLook w:val="04A0" w:firstRow="1" w:lastRow="0" w:firstColumn="1" w:lastColumn="0" w:noHBand="0" w:noVBand="1"/>
      </w:tblPr>
      <w:tblGrid>
        <w:gridCol w:w="2251"/>
        <w:gridCol w:w="1408"/>
        <w:gridCol w:w="1407"/>
        <w:gridCol w:w="1266"/>
        <w:gridCol w:w="1266"/>
        <w:gridCol w:w="1265"/>
        <w:gridCol w:w="1408"/>
        <w:gridCol w:w="1343"/>
      </w:tblGrid>
      <w:tr w:rsidR="000B3DE0" w:rsidRPr="00AC5405" w14:paraId="21F14F3B" w14:textId="77777777" w:rsidTr="00470B11">
        <w:trPr>
          <w:trHeight w:val="22"/>
          <w:jc w:val="center"/>
        </w:trPr>
        <w:tc>
          <w:tcPr>
            <w:tcW w:w="2251" w:type="dxa"/>
            <w:tcBorders>
              <w:top w:val="single" w:sz="8" w:space="0" w:color="auto"/>
              <w:left w:val="single" w:sz="8" w:space="0" w:color="auto"/>
              <w:bottom w:val="single" w:sz="8" w:space="0" w:color="auto"/>
              <w:right w:val="single" w:sz="8" w:space="0" w:color="auto"/>
            </w:tcBorders>
            <w:noWrap/>
            <w:vAlign w:val="center"/>
            <w:hideMark/>
          </w:tcPr>
          <w:p w14:paraId="44E49612" w14:textId="77777777" w:rsidR="000B3DE0" w:rsidRPr="00AC5405" w:rsidRDefault="000B3DE0" w:rsidP="000B3DE0">
            <w:pPr>
              <w:rPr>
                <w:rFonts w:ascii="Arial" w:hAnsi="Arial" w:cs="Arial"/>
                <w:color w:val="000000"/>
                <w:sz w:val="18"/>
                <w:szCs w:val="18"/>
                <w:lang w:eastAsia="hr-HR"/>
              </w:rPr>
            </w:pPr>
            <w:r w:rsidRPr="00AC5405">
              <w:rPr>
                <w:rFonts w:ascii="Arial" w:hAnsi="Arial" w:cs="Arial"/>
                <w:color w:val="000000"/>
                <w:sz w:val="18"/>
                <w:szCs w:val="18"/>
                <w:lang w:eastAsia="hr-HR"/>
              </w:rPr>
              <w:t> </w:t>
            </w:r>
          </w:p>
        </w:tc>
        <w:tc>
          <w:tcPr>
            <w:tcW w:w="1408" w:type="dxa"/>
            <w:tcBorders>
              <w:top w:val="single" w:sz="8" w:space="0" w:color="auto"/>
              <w:left w:val="nil"/>
              <w:bottom w:val="single" w:sz="8" w:space="0" w:color="auto"/>
              <w:right w:val="single" w:sz="8" w:space="0" w:color="auto"/>
            </w:tcBorders>
            <w:vAlign w:val="center"/>
            <w:hideMark/>
          </w:tcPr>
          <w:p w14:paraId="105DFCE5" w14:textId="77777777" w:rsidR="000B3DE0" w:rsidRPr="00AC5405" w:rsidRDefault="000B3DE0" w:rsidP="000B3DE0">
            <w:pPr>
              <w:jc w:val="center"/>
              <w:rPr>
                <w:rFonts w:ascii="Arial" w:hAnsi="Arial" w:cs="Arial"/>
                <w:b/>
                <w:bCs/>
                <w:color w:val="000000"/>
                <w:sz w:val="18"/>
                <w:szCs w:val="18"/>
                <w:lang w:eastAsia="hr-HR"/>
              </w:rPr>
            </w:pPr>
            <w:r>
              <w:rPr>
                <w:rFonts w:ascii="Arial" w:hAnsi="Arial" w:cs="Arial"/>
                <w:b/>
                <w:bCs/>
                <w:color w:val="000000"/>
                <w:sz w:val="18"/>
                <w:szCs w:val="18"/>
                <w:lang w:eastAsia="hr-HR"/>
              </w:rPr>
              <w:t>GRAD TROGIR</w:t>
            </w:r>
          </w:p>
        </w:tc>
        <w:tc>
          <w:tcPr>
            <w:tcW w:w="1407" w:type="dxa"/>
            <w:tcBorders>
              <w:top w:val="single" w:sz="8" w:space="0" w:color="auto"/>
              <w:left w:val="nil"/>
              <w:bottom w:val="single" w:sz="8" w:space="0" w:color="auto"/>
              <w:right w:val="single" w:sz="8" w:space="0" w:color="auto"/>
            </w:tcBorders>
            <w:vAlign w:val="center"/>
            <w:hideMark/>
          </w:tcPr>
          <w:p w14:paraId="00BB9431" w14:textId="77777777" w:rsidR="000B3DE0" w:rsidRPr="00AC5405" w:rsidRDefault="000B3DE0" w:rsidP="00007E0E">
            <w:pPr>
              <w:jc w:val="center"/>
              <w:rPr>
                <w:rFonts w:ascii="Arial" w:hAnsi="Arial" w:cs="Arial"/>
                <w:b/>
                <w:bCs/>
                <w:color w:val="000000"/>
                <w:sz w:val="18"/>
                <w:szCs w:val="18"/>
                <w:lang w:eastAsia="hr-HR"/>
              </w:rPr>
            </w:pPr>
            <w:r>
              <w:rPr>
                <w:rFonts w:ascii="Arial" w:hAnsi="Arial" w:cs="Arial"/>
                <w:b/>
                <w:bCs/>
                <w:color w:val="000000"/>
                <w:sz w:val="18"/>
                <w:szCs w:val="18"/>
                <w:lang w:eastAsia="hr-HR"/>
              </w:rPr>
              <w:t>DJ</w:t>
            </w:r>
            <w:r w:rsidR="001D24A6">
              <w:rPr>
                <w:rFonts w:ascii="Arial" w:hAnsi="Arial" w:cs="Arial"/>
                <w:b/>
                <w:bCs/>
                <w:color w:val="000000"/>
                <w:sz w:val="18"/>
                <w:szCs w:val="18"/>
                <w:lang w:eastAsia="hr-HR"/>
              </w:rPr>
              <w:t>EC</w:t>
            </w:r>
            <w:r>
              <w:rPr>
                <w:rFonts w:ascii="Arial" w:hAnsi="Arial" w:cs="Arial"/>
                <w:b/>
                <w:bCs/>
                <w:color w:val="000000"/>
                <w:sz w:val="18"/>
                <w:szCs w:val="18"/>
                <w:lang w:eastAsia="hr-HR"/>
              </w:rPr>
              <w:t>JI VRTIĆ TROGIR</w:t>
            </w:r>
          </w:p>
        </w:tc>
        <w:tc>
          <w:tcPr>
            <w:tcW w:w="1266" w:type="dxa"/>
            <w:tcBorders>
              <w:top w:val="single" w:sz="8" w:space="0" w:color="auto"/>
              <w:left w:val="nil"/>
              <w:bottom w:val="single" w:sz="8" w:space="0" w:color="auto"/>
              <w:right w:val="single" w:sz="8" w:space="0" w:color="auto"/>
            </w:tcBorders>
            <w:vAlign w:val="center"/>
            <w:hideMark/>
          </w:tcPr>
          <w:p w14:paraId="3730DBB7" w14:textId="77777777" w:rsidR="000B3DE0" w:rsidRPr="00AC5405" w:rsidRDefault="000B3DE0" w:rsidP="000B3DE0">
            <w:pPr>
              <w:jc w:val="center"/>
              <w:rPr>
                <w:rFonts w:ascii="Arial" w:hAnsi="Arial" w:cs="Arial"/>
                <w:b/>
                <w:bCs/>
                <w:color w:val="000000"/>
                <w:sz w:val="18"/>
                <w:szCs w:val="18"/>
                <w:lang w:eastAsia="hr-HR"/>
              </w:rPr>
            </w:pPr>
            <w:r>
              <w:rPr>
                <w:rFonts w:ascii="Arial" w:hAnsi="Arial" w:cs="Arial"/>
                <w:b/>
                <w:bCs/>
                <w:color w:val="000000"/>
                <w:sz w:val="18"/>
                <w:szCs w:val="18"/>
                <w:lang w:eastAsia="hr-HR"/>
              </w:rPr>
              <w:t>GRADSKA KNJIŽNICA TROGIR</w:t>
            </w:r>
          </w:p>
        </w:tc>
        <w:tc>
          <w:tcPr>
            <w:tcW w:w="1266" w:type="dxa"/>
            <w:tcBorders>
              <w:top w:val="single" w:sz="8" w:space="0" w:color="auto"/>
              <w:left w:val="nil"/>
              <w:bottom w:val="single" w:sz="8" w:space="0" w:color="auto"/>
              <w:right w:val="single" w:sz="8" w:space="0" w:color="auto"/>
            </w:tcBorders>
            <w:vAlign w:val="center"/>
            <w:hideMark/>
          </w:tcPr>
          <w:p w14:paraId="6869D2FF" w14:textId="77777777" w:rsidR="000B3DE0" w:rsidRPr="00AC5405" w:rsidRDefault="000B3DE0" w:rsidP="000B3DE0">
            <w:pPr>
              <w:jc w:val="center"/>
              <w:rPr>
                <w:rFonts w:ascii="Arial" w:hAnsi="Arial" w:cs="Arial"/>
                <w:b/>
                <w:bCs/>
                <w:color w:val="000000"/>
                <w:sz w:val="18"/>
                <w:szCs w:val="18"/>
                <w:lang w:eastAsia="hr-HR"/>
              </w:rPr>
            </w:pPr>
            <w:r>
              <w:rPr>
                <w:rFonts w:ascii="Arial" w:hAnsi="Arial" w:cs="Arial"/>
                <w:b/>
                <w:bCs/>
                <w:color w:val="000000"/>
                <w:sz w:val="18"/>
                <w:szCs w:val="18"/>
                <w:lang w:eastAsia="hr-HR"/>
              </w:rPr>
              <w:t>MUZEJ GRADA TROGIRA</w:t>
            </w:r>
          </w:p>
        </w:tc>
        <w:tc>
          <w:tcPr>
            <w:tcW w:w="1265" w:type="dxa"/>
            <w:tcBorders>
              <w:top w:val="single" w:sz="8" w:space="0" w:color="auto"/>
              <w:left w:val="nil"/>
              <w:bottom w:val="single" w:sz="8" w:space="0" w:color="auto"/>
              <w:right w:val="single" w:sz="8" w:space="0" w:color="auto"/>
            </w:tcBorders>
            <w:vAlign w:val="center"/>
            <w:hideMark/>
          </w:tcPr>
          <w:p w14:paraId="3ED06BEF" w14:textId="77777777" w:rsidR="000B3DE0" w:rsidRPr="00AC5405" w:rsidRDefault="000B3DE0" w:rsidP="000B3DE0">
            <w:pPr>
              <w:jc w:val="center"/>
              <w:rPr>
                <w:rFonts w:ascii="Arial" w:hAnsi="Arial" w:cs="Arial"/>
                <w:b/>
                <w:bCs/>
                <w:color w:val="000000"/>
                <w:sz w:val="18"/>
                <w:szCs w:val="18"/>
                <w:lang w:eastAsia="hr-HR"/>
              </w:rPr>
            </w:pPr>
            <w:r>
              <w:rPr>
                <w:rFonts w:ascii="Arial" w:hAnsi="Arial" w:cs="Arial"/>
                <w:b/>
                <w:bCs/>
                <w:color w:val="000000"/>
                <w:sz w:val="18"/>
                <w:szCs w:val="18"/>
                <w:lang w:eastAsia="hr-HR"/>
              </w:rPr>
              <w:t>JVP GRADA TROGIRA</w:t>
            </w:r>
          </w:p>
        </w:tc>
        <w:tc>
          <w:tcPr>
            <w:tcW w:w="1408" w:type="dxa"/>
            <w:tcBorders>
              <w:top w:val="single" w:sz="8" w:space="0" w:color="auto"/>
              <w:left w:val="nil"/>
              <w:bottom w:val="single" w:sz="8" w:space="0" w:color="auto"/>
              <w:right w:val="nil"/>
            </w:tcBorders>
          </w:tcPr>
          <w:p w14:paraId="5CC98DDC" w14:textId="77777777" w:rsidR="000B3DE0" w:rsidRPr="00AC5405" w:rsidRDefault="000B3DE0" w:rsidP="000B3DE0">
            <w:pPr>
              <w:jc w:val="center"/>
              <w:rPr>
                <w:rFonts w:ascii="Arial" w:hAnsi="Arial" w:cs="Arial"/>
                <w:b/>
                <w:bCs/>
                <w:color w:val="000000"/>
                <w:sz w:val="18"/>
                <w:szCs w:val="18"/>
                <w:lang w:eastAsia="hr-HR"/>
              </w:rPr>
            </w:pPr>
            <w:r>
              <w:rPr>
                <w:rFonts w:ascii="Arial" w:hAnsi="Arial" w:cs="Arial"/>
                <w:b/>
                <w:bCs/>
                <w:color w:val="000000"/>
                <w:sz w:val="18"/>
                <w:szCs w:val="18"/>
                <w:lang w:eastAsia="hr-HR"/>
              </w:rPr>
              <w:t>JU ŠPORTSKI OBJEKTI TROGIR</w:t>
            </w:r>
          </w:p>
        </w:tc>
        <w:tc>
          <w:tcPr>
            <w:tcW w:w="1343" w:type="dxa"/>
            <w:tcBorders>
              <w:top w:val="single" w:sz="8" w:space="0" w:color="auto"/>
              <w:left w:val="nil"/>
              <w:bottom w:val="single" w:sz="8" w:space="0" w:color="auto"/>
              <w:right w:val="single" w:sz="8" w:space="0" w:color="auto"/>
            </w:tcBorders>
            <w:shd w:val="clear" w:color="000000" w:fill="D9E2F3"/>
            <w:noWrap/>
            <w:vAlign w:val="center"/>
            <w:hideMark/>
          </w:tcPr>
          <w:p w14:paraId="3B540930" w14:textId="77777777" w:rsidR="000B3DE0" w:rsidRPr="00AC5405" w:rsidRDefault="000B3DE0" w:rsidP="000B3DE0">
            <w:pPr>
              <w:jc w:val="center"/>
              <w:rPr>
                <w:rFonts w:ascii="Arial" w:hAnsi="Arial" w:cs="Arial"/>
                <w:b/>
                <w:bCs/>
                <w:color w:val="000000"/>
                <w:sz w:val="18"/>
                <w:szCs w:val="18"/>
                <w:lang w:eastAsia="hr-HR"/>
              </w:rPr>
            </w:pPr>
            <w:r w:rsidRPr="00AC5405">
              <w:rPr>
                <w:rFonts w:ascii="Arial" w:hAnsi="Arial" w:cs="Arial"/>
                <w:b/>
                <w:bCs/>
                <w:color w:val="000000"/>
                <w:sz w:val="18"/>
                <w:szCs w:val="18"/>
                <w:lang w:eastAsia="hr-HR"/>
              </w:rPr>
              <w:t>UKUPNO</w:t>
            </w:r>
          </w:p>
        </w:tc>
      </w:tr>
      <w:tr w:rsidR="000B3DE0" w:rsidRPr="00AC5405" w14:paraId="09E480B2" w14:textId="77777777" w:rsidTr="00470B11">
        <w:trPr>
          <w:trHeight w:val="22"/>
          <w:jc w:val="center"/>
        </w:trPr>
        <w:tc>
          <w:tcPr>
            <w:tcW w:w="2251" w:type="dxa"/>
            <w:tcBorders>
              <w:top w:val="nil"/>
              <w:left w:val="single" w:sz="8" w:space="0" w:color="auto"/>
              <w:bottom w:val="single" w:sz="8" w:space="0" w:color="auto"/>
              <w:right w:val="single" w:sz="8" w:space="0" w:color="auto"/>
            </w:tcBorders>
            <w:vAlign w:val="center"/>
            <w:hideMark/>
          </w:tcPr>
          <w:p w14:paraId="41794747" w14:textId="77777777" w:rsidR="000B3DE0" w:rsidRPr="00AC5405" w:rsidRDefault="000B3DE0" w:rsidP="000B3DE0">
            <w:pPr>
              <w:rPr>
                <w:rFonts w:ascii="Arial" w:hAnsi="Arial" w:cs="Arial"/>
                <w:color w:val="000000"/>
                <w:sz w:val="18"/>
                <w:szCs w:val="18"/>
                <w:lang w:eastAsia="hr-HR"/>
              </w:rPr>
            </w:pPr>
            <w:r w:rsidRPr="00AC5405">
              <w:rPr>
                <w:rFonts w:ascii="Arial" w:hAnsi="Arial" w:cs="Arial"/>
                <w:color w:val="000000"/>
                <w:sz w:val="18"/>
                <w:szCs w:val="18"/>
                <w:lang w:eastAsia="hr-HR"/>
              </w:rPr>
              <w:t>VIŠAK/MANJAK PRIHODA I PRIMITAKA</w:t>
            </w:r>
          </w:p>
        </w:tc>
        <w:tc>
          <w:tcPr>
            <w:tcW w:w="1408" w:type="dxa"/>
            <w:tcBorders>
              <w:top w:val="nil"/>
              <w:left w:val="nil"/>
              <w:bottom w:val="single" w:sz="8" w:space="0" w:color="auto"/>
              <w:right w:val="single" w:sz="8" w:space="0" w:color="auto"/>
            </w:tcBorders>
            <w:vAlign w:val="center"/>
          </w:tcPr>
          <w:p w14:paraId="64B03526" w14:textId="6794E97C" w:rsidR="000B3DE0" w:rsidRPr="00AC5405" w:rsidRDefault="00383174" w:rsidP="000B3DE0">
            <w:pPr>
              <w:jc w:val="right"/>
              <w:rPr>
                <w:rFonts w:ascii="Arial" w:hAnsi="Arial" w:cs="Arial"/>
                <w:color w:val="000000"/>
                <w:sz w:val="18"/>
                <w:szCs w:val="18"/>
                <w:lang w:eastAsia="hr-HR"/>
              </w:rPr>
            </w:pPr>
            <w:r>
              <w:rPr>
                <w:rFonts w:ascii="Arial" w:hAnsi="Arial" w:cs="Arial"/>
                <w:color w:val="000000"/>
                <w:sz w:val="18"/>
                <w:szCs w:val="18"/>
                <w:lang w:eastAsia="hr-HR"/>
              </w:rPr>
              <w:t>-114.190,87</w:t>
            </w:r>
          </w:p>
        </w:tc>
        <w:tc>
          <w:tcPr>
            <w:tcW w:w="1407" w:type="dxa"/>
            <w:tcBorders>
              <w:top w:val="nil"/>
              <w:left w:val="nil"/>
              <w:bottom w:val="single" w:sz="8" w:space="0" w:color="auto"/>
              <w:right w:val="single" w:sz="8" w:space="0" w:color="auto"/>
            </w:tcBorders>
            <w:vAlign w:val="center"/>
          </w:tcPr>
          <w:p w14:paraId="56F3E226" w14:textId="44430A1A" w:rsidR="000B3DE0" w:rsidRPr="00AC5405" w:rsidRDefault="00383174" w:rsidP="000B3DE0">
            <w:pPr>
              <w:jc w:val="right"/>
              <w:rPr>
                <w:rFonts w:ascii="Arial" w:hAnsi="Arial" w:cs="Arial"/>
                <w:color w:val="000000"/>
                <w:sz w:val="18"/>
                <w:szCs w:val="18"/>
                <w:lang w:eastAsia="hr-HR"/>
              </w:rPr>
            </w:pPr>
            <w:r>
              <w:rPr>
                <w:rFonts w:ascii="Arial" w:hAnsi="Arial" w:cs="Arial"/>
                <w:color w:val="000000"/>
                <w:sz w:val="18"/>
                <w:szCs w:val="18"/>
                <w:lang w:eastAsia="hr-HR"/>
              </w:rPr>
              <w:t>-25.388,98</w:t>
            </w:r>
          </w:p>
        </w:tc>
        <w:tc>
          <w:tcPr>
            <w:tcW w:w="1266" w:type="dxa"/>
            <w:tcBorders>
              <w:top w:val="nil"/>
              <w:left w:val="nil"/>
              <w:bottom w:val="single" w:sz="8" w:space="0" w:color="auto"/>
              <w:right w:val="single" w:sz="8" w:space="0" w:color="auto"/>
            </w:tcBorders>
            <w:vAlign w:val="center"/>
          </w:tcPr>
          <w:p w14:paraId="6537A27F" w14:textId="206DCF85" w:rsidR="000B3DE0" w:rsidRPr="00AC5405" w:rsidRDefault="00383174" w:rsidP="000B3DE0">
            <w:pPr>
              <w:jc w:val="right"/>
              <w:rPr>
                <w:rFonts w:ascii="Arial" w:hAnsi="Arial" w:cs="Arial"/>
                <w:color w:val="000000"/>
                <w:sz w:val="18"/>
                <w:szCs w:val="18"/>
                <w:lang w:eastAsia="hr-HR"/>
              </w:rPr>
            </w:pPr>
            <w:r>
              <w:rPr>
                <w:rFonts w:ascii="Arial" w:hAnsi="Arial" w:cs="Arial"/>
                <w:color w:val="000000"/>
                <w:sz w:val="18"/>
                <w:szCs w:val="18"/>
                <w:lang w:eastAsia="hr-HR"/>
              </w:rPr>
              <w:t>-15.342,64</w:t>
            </w:r>
          </w:p>
        </w:tc>
        <w:tc>
          <w:tcPr>
            <w:tcW w:w="1266" w:type="dxa"/>
            <w:tcBorders>
              <w:top w:val="nil"/>
              <w:left w:val="nil"/>
              <w:bottom w:val="single" w:sz="8" w:space="0" w:color="auto"/>
              <w:right w:val="single" w:sz="8" w:space="0" w:color="auto"/>
            </w:tcBorders>
            <w:vAlign w:val="center"/>
          </w:tcPr>
          <w:p w14:paraId="2261C20C" w14:textId="5F794392" w:rsidR="000B3DE0" w:rsidRPr="00AC5405" w:rsidRDefault="0010115B" w:rsidP="000B3DE0">
            <w:pPr>
              <w:jc w:val="right"/>
              <w:rPr>
                <w:rFonts w:ascii="Arial" w:hAnsi="Arial" w:cs="Arial"/>
                <w:color w:val="000000"/>
                <w:sz w:val="18"/>
                <w:szCs w:val="18"/>
                <w:lang w:eastAsia="hr-HR"/>
              </w:rPr>
            </w:pPr>
            <w:r>
              <w:rPr>
                <w:rFonts w:ascii="Arial" w:hAnsi="Arial" w:cs="Arial"/>
                <w:color w:val="000000"/>
                <w:sz w:val="18"/>
                <w:szCs w:val="18"/>
                <w:lang w:eastAsia="hr-HR"/>
              </w:rPr>
              <w:t>-2.939,17</w:t>
            </w:r>
          </w:p>
        </w:tc>
        <w:tc>
          <w:tcPr>
            <w:tcW w:w="1265" w:type="dxa"/>
            <w:tcBorders>
              <w:top w:val="nil"/>
              <w:left w:val="nil"/>
              <w:bottom w:val="single" w:sz="8" w:space="0" w:color="auto"/>
              <w:right w:val="single" w:sz="8" w:space="0" w:color="auto"/>
            </w:tcBorders>
            <w:vAlign w:val="center"/>
          </w:tcPr>
          <w:p w14:paraId="1B5E0D05" w14:textId="50493574" w:rsidR="000B3DE0" w:rsidRPr="00AC5405" w:rsidRDefault="00673645" w:rsidP="000B3DE0">
            <w:pPr>
              <w:jc w:val="right"/>
              <w:rPr>
                <w:rFonts w:ascii="Arial" w:hAnsi="Arial" w:cs="Arial"/>
                <w:color w:val="000000"/>
                <w:sz w:val="18"/>
                <w:szCs w:val="18"/>
                <w:lang w:eastAsia="hr-HR"/>
              </w:rPr>
            </w:pPr>
            <w:r>
              <w:rPr>
                <w:rFonts w:ascii="Arial" w:hAnsi="Arial" w:cs="Arial"/>
                <w:color w:val="000000"/>
                <w:sz w:val="18"/>
                <w:szCs w:val="18"/>
                <w:lang w:eastAsia="hr-HR"/>
              </w:rPr>
              <w:t>-4.464,59</w:t>
            </w:r>
          </w:p>
        </w:tc>
        <w:tc>
          <w:tcPr>
            <w:tcW w:w="1408" w:type="dxa"/>
            <w:tcBorders>
              <w:top w:val="nil"/>
              <w:left w:val="nil"/>
              <w:bottom w:val="single" w:sz="8" w:space="0" w:color="auto"/>
              <w:right w:val="nil"/>
            </w:tcBorders>
            <w:vAlign w:val="center"/>
          </w:tcPr>
          <w:p w14:paraId="02263750" w14:textId="3D29E2D7" w:rsidR="009E17C7" w:rsidRPr="00AC5405" w:rsidRDefault="0010115B" w:rsidP="0010115B">
            <w:pPr>
              <w:jc w:val="center"/>
              <w:rPr>
                <w:rFonts w:ascii="Arial" w:hAnsi="Arial" w:cs="Arial"/>
                <w:color w:val="000000"/>
                <w:sz w:val="18"/>
                <w:szCs w:val="18"/>
                <w:lang w:eastAsia="hr-HR"/>
              </w:rPr>
            </w:pPr>
            <w:r>
              <w:rPr>
                <w:rFonts w:ascii="Arial" w:hAnsi="Arial" w:cs="Arial"/>
                <w:color w:val="000000"/>
                <w:sz w:val="18"/>
                <w:szCs w:val="18"/>
                <w:lang w:eastAsia="hr-HR"/>
              </w:rPr>
              <w:t>17.104,55</w:t>
            </w:r>
          </w:p>
        </w:tc>
        <w:tc>
          <w:tcPr>
            <w:tcW w:w="1343" w:type="dxa"/>
            <w:tcBorders>
              <w:top w:val="nil"/>
              <w:left w:val="nil"/>
              <w:bottom w:val="single" w:sz="8" w:space="0" w:color="auto"/>
              <w:right w:val="single" w:sz="8" w:space="0" w:color="auto"/>
            </w:tcBorders>
            <w:shd w:val="clear" w:color="000000" w:fill="D9E2F3"/>
            <w:noWrap/>
            <w:vAlign w:val="center"/>
          </w:tcPr>
          <w:p w14:paraId="0F2497E9" w14:textId="2B098F24" w:rsidR="000B3DE0" w:rsidRPr="00AC5405" w:rsidRDefault="005546B4" w:rsidP="000B3DE0">
            <w:pPr>
              <w:jc w:val="right"/>
              <w:rPr>
                <w:rFonts w:ascii="Arial" w:hAnsi="Arial" w:cs="Arial"/>
                <w:color w:val="000000"/>
                <w:sz w:val="18"/>
                <w:szCs w:val="18"/>
                <w:lang w:eastAsia="hr-HR"/>
              </w:rPr>
            </w:pPr>
            <w:r>
              <w:rPr>
                <w:rFonts w:ascii="Arial" w:hAnsi="Arial" w:cs="Arial"/>
                <w:color w:val="000000"/>
                <w:sz w:val="18"/>
                <w:szCs w:val="18"/>
                <w:lang w:eastAsia="hr-HR"/>
              </w:rPr>
              <w:t>-145.221,70</w:t>
            </w:r>
          </w:p>
        </w:tc>
      </w:tr>
      <w:tr w:rsidR="000B3DE0" w:rsidRPr="00AC5405" w14:paraId="7A4C20C2" w14:textId="77777777" w:rsidTr="00470B11">
        <w:trPr>
          <w:trHeight w:val="22"/>
          <w:jc w:val="center"/>
        </w:trPr>
        <w:tc>
          <w:tcPr>
            <w:tcW w:w="2251" w:type="dxa"/>
            <w:tcBorders>
              <w:top w:val="nil"/>
              <w:left w:val="single" w:sz="8" w:space="0" w:color="auto"/>
              <w:bottom w:val="single" w:sz="8" w:space="0" w:color="auto"/>
              <w:right w:val="single" w:sz="8" w:space="0" w:color="auto"/>
            </w:tcBorders>
            <w:vAlign w:val="center"/>
            <w:hideMark/>
          </w:tcPr>
          <w:p w14:paraId="1E29D5E1" w14:textId="77777777" w:rsidR="000B3DE0" w:rsidRPr="00AC5405" w:rsidRDefault="000B3DE0" w:rsidP="000B3DE0">
            <w:pPr>
              <w:rPr>
                <w:rFonts w:ascii="Arial" w:hAnsi="Arial" w:cs="Arial"/>
                <w:color w:val="000000"/>
                <w:sz w:val="18"/>
                <w:szCs w:val="18"/>
                <w:lang w:eastAsia="hr-HR"/>
              </w:rPr>
            </w:pPr>
            <w:r w:rsidRPr="00AC5405">
              <w:rPr>
                <w:rFonts w:ascii="Arial" w:hAnsi="Arial" w:cs="Arial"/>
                <w:color w:val="000000"/>
                <w:sz w:val="18"/>
                <w:szCs w:val="18"/>
                <w:lang w:eastAsia="hr-HR"/>
              </w:rPr>
              <w:t>VIŠAK/MANJAK PRIHODA I PRIMITAKA - PRENESENI</w:t>
            </w:r>
          </w:p>
        </w:tc>
        <w:tc>
          <w:tcPr>
            <w:tcW w:w="1408" w:type="dxa"/>
            <w:tcBorders>
              <w:top w:val="nil"/>
              <w:left w:val="nil"/>
              <w:bottom w:val="single" w:sz="8" w:space="0" w:color="auto"/>
              <w:right w:val="single" w:sz="8" w:space="0" w:color="auto"/>
            </w:tcBorders>
            <w:vAlign w:val="center"/>
          </w:tcPr>
          <w:p w14:paraId="45FEC878" w14:textId="6FBAC73F" w:rsidR="000B3DE0" w:rsidRPr="00AC5405" w:rsidRDefault="00383174" w:rsidP="000B3DE0">
            <w:pPr>
              <w:jc w:val="right"/>
              <w:rPr>
                <w:rFonts w:ascii="Arial" w:hAnsi="Arial" w:cs="Arial"/>
                <w:color w:val="000000"/>
                <w:sz w:val="18"/>
                <w:szCs w:val="18"/>
                <w:lang w:eastAsia="hr-HR"/>
              </w:rPr>
            </w:pPr>
            <w:r>
              <w:rPr>
                <w:rFonts w:ascii="Arial" w:hAnsi="Arial" w:cs="Arial"/>
                <w:color w:val="000000"/>
                <w:sz w:val="18"/>
                <w:szCs w:val="18"/>
                <w:lang w:eastAsia="hr-HR"/>
              </w:rPr>
              <w:t>4.474.897,93</w:t>
            </w:r>
          </w:p>
        </w:tc>
        <w:tc>
          <w:tcPr>
            <w:tcW w:w="1407" w:type="dxa"/>
            <w:tcBorders>
              <w:top w:val="nil"/>
              <w:left w:val="nil"/>
              <w:bottom w:val="single" w:sz="8" w:space="0" w:color="auto"/>
              <w:right w:val="single" w:sz="8" w:space="0" w:color="auto"/>
            </w:tcBorders>
            <w:vAlign w:val="center"/>
          </w:tcPr>
          <w:p w14:paraId="5A5D721E" w14:textId="594A0103" w:rsidR="000B3DE0" w:rsidRPr="00AC5405" w:rsidRDefault="00383174" w:rsidP="000B3DE0">
            <w:pPr>
              <w:jc w:val="right"/>
              <w:rPr>
                <w:rFonts w:ascii="Arial" w:hAnsi="Arial" w:cs="Arial"/>
                <w:color w:val="000000"/>
                <w:sz w:val="18"/>
                <w:szCs w:val="18"/>
                <w:lang w:eastAsia="hr-HR"/>
              </w:rPr>
            </w:pPr>
            <w:r>
              <w:rPr>
                <w:rFonts w:ascii="Arial" w:hAnsi="Arial" w:cs="Arial"/>
                <w:color w:val="000000"/>
                <w:sz w:val="18"/>
                <w:szCs w:val="18"/>
                <w:lang w:eastAsia="hr-HR"/>
              </w:rPr>
              <w:t>-13.779,02</w:t>
            </w:r>
          </w:p>
        </w:tc>
        <w:tc>
          <w:tcPr>
            <w:tcW w:w="1266" w:type="dxa"/>
            <w:tcBorders>
              <w:top w:val="nil"/>
              <w:left w:val="nil"/>
              <w:bottom w:val="single" w:sz="8" w:space="0" w:color="auto"/>
              <w:right w:val="single" w:sz="8" w:space="0" w:color="auto"/>
            </w:tcBorders>
            <w:vAlign w:val="center"/>
          </w:tcPr>
          <w:p w14:paraId="4DEFD086" w14:textId="5DEE3D17" w:rsidR="000B3DE0" w:rsidRPr="00AC5405" w:rsidRDefault="00383174" w:rsidP="000B3DE0">
            <w:pPr>
              <w:jc w:val="right"/>
              <w:rPr>
                <w:rFonts w:ascii="Arial" w:hAnsi="Arial" w:cs="Arial"/>
                <w:color w:val="000000"/>
                <w:sz w:val="18"/>
                <w:szCs w:val="18"/>
                <w:lang w:eastAsia="hr-HR"/>
              </w:rPr>
            </w:pPr>
            <w:r>
              <w:rPr>
                <w:rFonts w:ascii="Arial" w:hAnsi="Arial" w:cs="Arial"/>
                <w:color w:val="000000"/>
                <w:sz w:val="18"/>
                <w:szCs w:val="18"/>
                <w:lang w:eastAsia="hr-HR"/>
              </w:rPr>
              <w:t>-1.953,64</w:t>
            </w:r>
          </w:p>
        </w:tc>
        <w:tc>
          <w:tcPr>
            <w:tcW w:w="1266" w:type="dxa"/>
            <w:tcBorders>
              <w:top w:val="nil"/>
              <w:left w:val="nil"/>
              <w:bottom w:val="single" w:sz="8" w:space="0" w:color="auto"/>
              <w:right w:val="single" w:sz="8" w:space="0" w:color="auto"/>
            </w:tcBorders>
            <w:vAlign w:val="center"/>
          </w:tcPr>
          <w:p w14:paraId="041F868A" w14:textId="3EDBCAD6" w:rsidR="000B3DE0" w:rsidRPr="00AC5405" w:rsidRDefault="0010115B" w:rsidP="000B3DE0">
            <w:pPr>
              <w:jc w:val="right"/>
              <w:rPr>
                <w:rFonts w:ascii="Arial" w:hAnsi="Arial" w:cs="Arial"/>
                <w:color w:val="000000"/>
                <w:sz w:val="18"/>
                <w:szCs w:val="18"/>
                <w:lang w:eastAsia="hr-HR"/>
              </w:rPr>
            </w:pPr>
            <w:r>
              <w:rPr>
                <w:rFonts w:ascii="Arial" w:hAnsi="Arial" w:cs="Arial"/>
                <w:color w:val="000000"/>
                <w:sz w:val="18"/>
                <w:szCs w:val="18"/>
                <w:lang w:eastAsia="hr-HR"/>
              </w:rPr>
              <w:t>-2.034,15</w:t>
            </w:r>
          </w:p>
        </w:tc>
        <w:tc>
          <w:tcPr>
            <w:tcW w:w="1265" w:type="dxa"/>
            <w:tcBorders>
              <w:top w:val="nil"/>
              <w:left w:val="nil"/>
              <w:bottom w:val="single" w:sz="8" w:space="0" w:color="auto"/>
              <w:right w:val="single" w:sz="8" w:space="0" w:color="auto"/>
            </w:tcBorders>
            <w:vAlign w:val="center"/>
          </w:tcPr>
          <w:p w14:paraId="48791826" w14:textId="3156F273" w:rsidR="000B3DE0" w:rsidRPr="00AC5405" w:rsidRDefault="00673645" w:rsidP="000B3DE0">
            <w:pPr>
              <w:jc w:val="right"/>
              <w:rPr>
                <w:rFonts w:ascii="Arial" w:hAnsi="Arial" w:cs="Arial"/>
                <w:color w:val="000000"/>
                <w:sz w:val="18"/>
                <w:szCs w:val="18"/>
                <w:lang w:eastAsia="hr-HR"/>
              </w:rPr>
            </w:pPr>
            <w:r>
              <w:rPr>
                <w:rFonts w:ascii="Arial" w:hAnsi="Arial" w:cs="Arial"/>
                <w:color w:val="000000"/>
                <w:sz w:val="18"/>
                <w:szCs w:val="18"/>
                <w:lang w:eastAsia="hr-HR"/>
              </w:rPr>
              <w:t>-97.145,20</w:t>
            </w:r>
          </w:p>
        </w:tc>
        <w:tc>
          <w:tcPr>
            <w:tcW w:w="1408" w:type="dxa"/>
            <w:tcBorders>
              <w:top w:val="nil"/>
              <w:left w:val="nil"/>
              <w:bottom w:val="single" w:sz="8" w:space="0" w:color="auto"/>
              <w:right w:val="nil"/>
            </w:tcBorders>
            <w:vAlign w:val="center"/>
          </w:tcPr>
          <w:p w14:paraId="68A05699" w14:textId="6A04E331" w:rsidR="000B3DE0" w:rsidRPr="00AC5405" w:rsidRDefault="0010115B" w:rsidP="000453C5">
            <w:pPr>
              <w:jc w:val="center"/>
              <w:rPr>
                <w:rFonts w:ascii="Arial" w:hAnsi="Arial" w:cs="Arial"/>
                <w:color w:val="000000"/>
                <w:sz w:val="18"/>
                <w:szCs w:val="18"/>
                <w:lang w:eastAsia="hr-HR"/>
              </w:rPr>
            </w:pPr>
            <w:r>
              <w:rPr>
                <w:rFonts w:ascii="Arial" w:hAnsi="Arial" w:cs="Arial"/>
                <w:color w:val="000000"/>
                <w:sz w:val="18"/>
                <w:szCs w:val="18"/>
                <w:lang w:eastAsia="hr-HR"/>
              </w:rPr>
              <w:t>-27.190,32</w:t>
            </w:r>
          </w:p>
        </w:tc>
        <w:tc>
          <w:tcPr>
            <w:tcW w:w="1343" w:type="dxa"/>
            <w:tcBorders>
              <w:top w:val="nil"/>
              <w:left w:val="nil"/>
              <w:bottom w:val="single" w:sz="8" w:space="0" w:color="auto"/>
              <w:right w:val="single" w:sz="8" w:space="0" w:color="auto"/>
            </w:tcBorders>
            <w:shd w:val="clear" w:color="000000" w:fill="D9E2F3"/>
            <w:noWrap/>
            <w:vAlign w:val="center"/>
          </w:tcPr>
          <w:p w14:paraId="6A2721E4" w14:textId="5AE3BC09" w:rsidR="000B3DE0" w:rsidRPr="00AC5405" w:rsidRDefault="005546B4" w:rsidP="000B3DE0">
            <w:pPr>
              <w:jc w:val="right"/>
              <w:rPr>
                <w:rFonts w:ascii="Arial" w:hAnsi="Arial" w:cs="Arial"/>
                <w:color w:val="000000"/>
                <w:sz w:val="18"/>
                <w:szCs w:val="18"/>
                <w:lang w:eastAsia="hr-HR"/>
              </w:rPr>
            </w:pPr>
            <w:r>
              <w:rPr>
                <w:rFonts w:ascii="Arial" w:hAnsi="Arial" w:cs="Arial"/>
                <w:color w:val="000000"/>
                <w:sz w:val="18"/>
                <w:szCs w:val="18"/>
                <w:lang w:eastAsia="hr-HR"/>
              </w:rPr>
              <w:t>4.332.795,60</w:t>
            </w:r>
          </w:p>
        </w:tc>
      </w:tr>
      <w:tr w:rsidR="000B3DE0" w:rsidRPr="00AC5405" w14:paraId="5831D364" w14:textId="77777777" w:rsidTr="00470B11">
        <w:trPr>
          <w:trHeight w:val="22"/>
          <w:jc w:val="center"/>
        </w:trPr>
        <w:tc>
          <w:tcPr>
            <w:tcW w:w="2251" w:type="dxa"/>
            <w:tcBorders>
              <w:top w:val="nil"/>
              <w:left w:val="single" w:sz="8" w:space="0" w:color="auto"/>
              <w:bottom w:val="single" w:sz="8" w:space="0" w:color="auto"/>
              <w:right w:val="single" w:sz="8" w:space="0" w:color="auto"/>
            </w:tcBorders>
            <w:vAlign w:val="center"/>
            <w:hideMark/>
          </w:tcPr>
          <w:p w14:paraId="5591B91F" w14:textId="77777777" w:rsidR="000B3DE0" w:rsidRPr="00AC5405" w:rsidRDefault="000B3DE0" w:rsidP="000B3DE0">
            <w:pPr>
              <w:rPr>
                <w:rFonts w:ascii="Arial" w:hAnsi="Arial" w:cs="Arial"/>
                <w:color w:val="000000"/>
                <w:sz w:val="18"/>
                <w:szCs w:val="18"/>
                <w:lang w:eastAsia="hr-HR"/>
              </w:rPr>
            </w:pPr>
            <w:r w:rsidRPr="00AC5405">
              <w:rPr>
                <w:rFonts w:ascii="Arial" w:hAnsi="Arial" w:cs="Arial"/>
                <w:color w:val="000000"/>
                <w:sz w:val="18"/>
                <w:szCs w:val="18"/>
                <w:lang w:eastAsia="hr-HR"/>
              </w:rPr>
              <w:t>VIŠAK/MANJAK PRIHODA I PRIMITAKA RASPOLOŽIV U SLJEDEĆEM RAZDOBLJU</w:t>
            </w:r>
          </w:p>
        </w:tc>
        <w:tc>
          <w:tcPr>
            <w:tcW w:w="1408" w:type="dxa"/>
            <w:tcBorders>
              <w:top w:val="nil"/>
              <w:left w:val="nil"/>
              <w:bottom w:val="single" w:sz="8" w:space="0" w:color="auto"/>
              <w:right w:val="single" w:sz="8" w:space="0" w:color="auto"/>
            </w:tcBorders>
            <w:vAlign w:val="center"/>
          </w:tcPr>
          <w:p w14:paraId="5277C3D6" w14:textId="7B2B3800" w:rsidR="000B3DE0" w:rsidRPr="00AC5405" w:rsidRDefault="00383174" w:rsidP="000B3DE0">
            <w:pPr>
              <w:jc w:val="right"/>
              <w:rPr>
                <w:rFonts w:ascii="Arial" w:hAnsi="Arial" w:cs="Arial"/>
                <w:color w:val="000000"/>
                <w:sz w:val="18"/>
                <w:szCs w:val="18"/>
                <w:lang w:eastAsia="hr-HR"/>
              </w:rPr>
            </w:pPr>
            <w:r>
              <w:rPr>
                <w:rFonts w:ascii="Arial" w:hAnsi="Arial" w:cs="Arial"/>
                <w:color w:val="000000"/>
                <w:sz w:val="18"/>
                <w:szCs w:val="18"/>
                <w:lang w:eastAsia="hr-HR"/>
              </w:rPr>
              <w:t>4.360.707,06</w:t>
            </w:r>
          </w:p>
        </w:tc>
        <w:tc>
          <w:tcPr>
            <w:tcW w:w="1407" w:type="dxa"/>
            <w:tcBorders>
              <w:top w:val="nil"/>
              <w:left w:val="nil"/>
              <w:bottom w:val="single" w:sz="8" w:space="0" w:color="auto"/>
              <w:right w:val="single" w:sz="8" w:space="0" w:color="auto"/>
            </w:tcBorders>
            <w:vAlign w:val="center"/>
          </w:tcPr>
          <w:p w14:paraId="57A0BFF5" w14:textId="0885269E" w:rsidR="000B3DE0" w:rsidRPr="00AC5405" w:rsidRDefault="00383174" w:rsidP="000B3DE0">
            <w:pPr>
              <w:jc w:val="right"/>
              <w:rPr>
                <w:rFonts w:ascii="Arial" w:hAnsi="Arial" w:cs="Arial"/>
                <w:color w:val="000000"/>
                <w:sz w:val="18"/>
                <w:szCs w:val="18"/>
                <w:lang w:eastAsia="hr-HR"/>
              </w:rPr>
            </w:pPr>
            <w:r>
              <w:rPr>
                <w:rFonts w:ascii="Arial" w:hAnsi="Arial" w:cs="Arial"/>
                <w:color w:val="000000"/>
                <w:sz w:val="18"/>
                <w:szCs w:val="18"/>
                <w:lang w:eastAsia="hr-HR"/>
              </w:rPr>
              <w:t>-39.168,00</w:t>
            </w:r>
          </w:p>
        </w:tc>
        <w:tc>
          <w:tcPr>
            <w:tcW w:w="1266" w:type="dxa"/>
            <w:tcBorders>
              <w:top w:val="nil"/>
              <w:left w:val="nil"/>
              <w:bottom w:val="single" w:sz="8" w:space="0" w:color="auto"/>
              <w:right w:val="single" w:sz="8" w:space="0" w:color="auto"/>
            </w:tcBorders>
            <w:vAlign w:val="center"/>
          </w:tcPr>
          <w:p w14:paraId="4CF10454" w14:textId="2DC7E4DC" w:rsidR="000B3DE0" w:rsidRPr="00AC5405" w:rsidRDefault="00383174" w:rsidP="000B3DE0">
            <w:pPr>
              <w:jc w:val="right"/>
              <w:rPr>
                <w:rFonts w:ascii="Arial" w:hAnsi="Arial" w:cs="Arial"/>
                <w:color w:val="000000"/>
                <w:sz w:val="18"/>
                <w:szCs w:val="18"/>
                <w:lang w:eastAsia="hr-HR"/>
              </w:rPr>
            </w:pPr>
            <w:r>
              <w:rPr>
                <w:rFonts w:ascii="Arial" w:hAnsi="Arial" w:cs="Arial"/>
                <w:color w:val="000000"/>
                <w:sz w:val="18"/>
                <w:szCs w:val="18"/>
                <w:lang w:eastAsia="hr-HR"/>
              </w:rPr>
              <w:t>-17.296,28</w:t>
            </w:r>
          </w:p>
        </w:tc>
        <w:tc>
          <w:tcPr>
            <w:tcW w:w="1266" w:type="dxa"/>
            <w:tcBorders>
              <w:top w:val="nil"/>
              <w:left w:val="nil"/>
              <w:bottom w:val="single" w:sz="8" w:space="0" w:color="auto"/>
              <w:right w:val="single" w:sz="8" w:space="0" w:color="auto"/>
            </w:tcBorders>
            <w:vAlign w:val="center"/>
          </w:tcPr>
          <w:p w14:paraId="553FDAB0" w14:textId="7F4B5230" w:rsidR="000B3DE0" w:rsidRPr="00AC5405" w:rsidRDefault="0010115B" w:rsidP="000B3DE0">
            <w:pPr>
              <w:jc w:val="right"/>
              <w:rPr>
                <w:rFonts w:ascii="Arial" w:hAnsi="Arial" w:cs="Arial"/>
                <w:color w:val="000000"/>
                <w:sz w:val="18"/>
                <w:szCs w:val="18"/>
                <w:lang w:eastAsia="hr-HR"/>
              </w:rPr>
            </w:pPr>
            <w:r>
              <w:rPr>
                <w:rFonts w:ascii="Arial" w:hAnsi="Arial" w:cs="Arial"/>
                <w:color w:val="000000"/>
                <w:sz w:val="18"/>
                <w:szCs w:val="18"/>
                <w:lang w:eastAsia="hr-HR"/>
              </w:rPr>
              <w:t>-4.973,32</w:t>
            </w:r>
          </w:p>
        </w:tc>
        <w:tc>
          <w:tcPr>
            <w:tcW w:w="1265" w:type="dxa"/>
            <w:tcBorders>
              <w:top w:val="nil"/>
              <w:left w:val="nil"/>
              <w:bottom w:val="single" w:sz="8" w:space="0" w:color="auto"/>
              <w:right w:val="single" w:sz="8" w:space="0" w:color="auto"/>
            </w:tcBorders>
            <w:vAlign w:val="center"/>
          </w:tcPr>
          <w:p w14:paraId="0DB5796B" w14:textId="3D4F6AE3" w:rsidR="000B3DE0" w:rsidRPr="00AC5405" w:rsidRDefault="00673645" w:rsidP="000B3DE0">
            <w:pPr>
              <w:jc w:val="right"/>
              <w:rPr>
                <w:rFonts w:ascii="Arial" w:hAnsi="Arial" w:cs="Arial"/>
                <w:color w:val="000000"/>
                <w:sz w:val="18"/>
                <w:szCs w:val="18"/>
                <w:lang w:eastAsia="hr-HR"/>
              </w:rPr>
            </w:pPr>
            <w:r>
              <w:rPr>
                <w:rFonts w:ascii="Arial" w:hAnsi="Arial" w:cs="Arial"/>
                <w:color w:val="000000"/>
                <w:sz w:val="18"/>
                <w:szCs w:val="18"/>
                <w:lang w:eastAsia="hr-HR"/>
              </w:rPr>
              <w:t>-101.609,79</w:t>
            </w:r>
          </w:p>
        </w:tc>
        <w:tc>
          <w:tcPr>
            <w:tcW w:w="1408" w:type="dxa"/>
            <w:tcBorders>
              <w:top w:val="nil"/>
              <w:left w:val="nil"/>
              <w:bottom w:val="single" w:sz="8" w:space="0" w:color="auto"/>
              <w:right w:val="nil"/>
            </w:tcBorders>
            <w:vAlign w:val="center"/>
          </w:tcPr>
          <w:p w14:paraId="05FFAB6E" w14:textId="03586122" w:rsidR="000B3DE0" w:rsidRPr="00AC5405" w:rsidRDefault="0010115B" w:rsidP="000453C5">
            <w:pPr>
              <w:jc w:val="center"/>
              <w:rPr>
                <w:rFonts w:ascii="Arial" w:hAnsi="Arial" w:cs="Arial"/>
                <w:color w:val="000000"/>
                <w:sz w:val="18"/>
                <w:szCs w:val="18"/>
                <w:lang w:eastAsia="hr-HR"/>
              </w:rPr>
            </w:pPr>
            <w:r>
              <w:rPr>
                <w:rFonts w:ascii="Arial" w:hAnsi="Arial" w:cs="Arial"/>
                <w:color w:val="000000"/>
                <w:sz w:val="18"/>
                <w:szCs w:val="18"/>
                <w:lang w:eastAsia="hr-HR"/>
              </w:rPr>
              <w:t>-10.085,77</w:t>
            </w:r>
          </w:p>
        </w:tc>
        <w:tc>
          <w:tcPr>
            <w:tcW w:w="1343" w:type="dxa"/>
            <w:tcBorders>
              <w:top w:val="nil"/>
              <w:left w:val="nil"/>
              <w:bottom w:val="single" w:sz="8" w:space="0" w:color="auto"/>
              <w:right w:val="single" w:sz="8" w:space="0" w:color="auto"/>
            </w:tcBorders>
            <w:shd w:val="clear" w:color="auto" w:fill="DEEAF6" w:themeFill="accent1" w:themeFillTint="33"/>
            <w:vAlign w:val="center"/>
          </w:tcPr>
          <w:p w14:paraId="3C605F39" w14:textId="015888AF" w:rsidR="000B3DE0" w:rsidRPr="00AC5405" w:rsidRDefault="005546B4" w:rsidP="000B3DE0">
            <w:pPr>
              <w:jc w:val="right"/>
              <w:rPr>
                <w:rFonts w:ascii="Arial" w:hAnsi="Arial" w:cs="Arial"/>
                <w:color w:val="000000"/>
                <w:sz w:val="18"/>
                <w:szCs w:val="18"/>
                <w:lang w:eastAsia="hr-HR"/>
              </w:rPr>
            </w:pPr>
            <w:r>
              <w:rPr>
                <w:rFonts w:ascii="Arial" w:hAnsi="Arial" w:cs="Arial"/>
                <w:color w:val="000000"/>
                <w:sz w:val="18"/>
                <w:szCs w:val="18"/>
                <w:lang w:eastAsia="hr-HR"/>
              </w:rPr>
              <w:t>4.187.573,90</w:t>
            </w:r>
          </w:p>
        </w:tc>
      </w:tr>
    </w:tbl>
    <w:p w14:paraId="0A877A53" w14:textId="77777777" w:rsidR="001D24A6" w:rsidRDefault="001D24A6" w:rsidP="000B3DE0">
      <w:pPr>
        <w:spacing w:line="240" w:lineRule="auto"/>
        <w:jc w:val="both"/>
        <w:rPr>
          <w:rFonts w:cstheme="minorHAnsi"/>
          <w:sz w:val="24"/>
          <w:szCs w:val="24"/>
        </w:rPr>
      </w:pPr>
    </w:p>
    <w:p w14:paraId="71734D12" w14:textId="6F60AE70" w:rsidR="00E90F7B" w:rsidRDefault="001F5A12" w:rsidP="000B3DE0">
      <w:pPr>
        <w:spacing w:line="240" w:lineRule="auto"/>
        <w:jc w:val="both"/>
        <w:rPr>
          <w:rFonts w:cstheme="minorHAnsi"/>
          <w:sz w:val="24"/>
          <w:szCs w:val="24"/>
        </w:rPr>
      </w:pPr>
      <w:r>
        <w:rPr>
          <w:rFonts w:cstheme="minorHAnsi"/>
          <w:sz w:val="24"/>
          <w:szCs w:val="24"/>
        </w:rPr>
        <w:t xml:space="preserve">Grad Trogir je </w:t>
      </w:r>
      <w:r w:rsidR="00705246">
        <w:rPr>
          <w:rFonts w:cstheme="minorHAnsi"/>
          <w:sz w:val="24"/>
          <w:szCs w:val="24"/>
        </w:rPr>
        <w:t>u 202</w:t>
      </w:r>
      <w:r w:rsidR="00240A87">
        <w:rPr>
          <w:rFonts w:cstheme="minorHAnsi"/>
          <w:sz w:val="24"/>
          <w:szCs w:val="24"/>
        </w:rPr>
        <w:t>5</w:t>
      </w:r>
      <w:r w:rsidR="00705246">
        <w:rPr>
          <w:rFonts w:cstheme="minorHAnsi"/>
          <w:sz w:val="24"/>
          <w:szCs w:val="24"/>
        </w:rPr>
        <w:t>.godini</w:t>
      </w:r>
      <w:r>
        <w:rPr>
          <w:rFonts w:cstheme="minorHAnsi"/>
          <w:sz w:val="24"/>
          <w:szCs w:val="24"/>
        </w:rPr>
        <w:t xml:space="preserve"> ostvario </w:t>
      </w:r>
      <w:r w:rsidR="00655222">
        <w:rPr>
          <w:rFonts w:cstheme="minorHAnsi"/>
          <w:sz w:val="24"/>
          <w:szCs w:val="24"/>
        </w:rPr>
        <w:t xml:space="preserve">ukupni </w:t>
      </w:r>
      <w:r>
        <w:rPr>
          <w:rFonts w:cstheme="minorHAnsi"/>
          <w:sz w:val="24"/>
          <w:szCs w:val="24"/>
        </w:rPr>
        <w:t>manjak u iznosu od 114.190,87 eura:</w:t>
      </w:r>
    </w:p>
    <w:tbl>
      <w:tblPr>
        <w:tblW w:w="10884" w:type="dxa"/>
        <w:tblInd w:w="-1149"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989"/>
        <w:gridCol w:w="3959"/>
        <w:gridCol w:w="2827"/>
        <w:gridCol w:w="3109"/>
      </w:tblGrid>
      <w:tr w:rsidR="00655222" w14:paraId="356CB112" w14:textId="77777777" w:rsidTr="00E90F7B">
        <w:trPr>
          <w:cantSplit/>
          <w:trHeight w:val="653"/>
        </w:trPr>
        <w:tc>
          <w:tcPr>
            <w:tcW w:w="989" w:type="dxa"/>
            <w:shd w:val="clear" w:color="auto" w:fill="E7F0F9"/>
            <w:tcMar>
              <w:top w:w="0" w:type="dxa"/>
              <w:bottom w:w="0" w:type="dxa"/>
            </w:tcMar>
            <w:vAlign w:val="center"/>
          </w:tcPr>
          <w:p w14:paraId="20D19A35" w14:textId="77777777" w:rsidR="00655222" w:rsidRDefault="00655222" w:rsidP="006A3ED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959" w:type="dxa"/>
            <w:shd w:val="clear" w:color="auto" w:fill="E7F0F9"/>
            <w:tcMar>
              <w:top w:w="0" w:type="dxa"/>
              <w:bottom w:w="0" w:type="dxa"/>
            </w:tcMar>
            <w:vAlign w:val="center"/>
          </w:tcPr>
          <w:p w14:paraId="2415ACD6" w14:textId="77777777" w:rsidR="00655222" w:rsidRDefault="00655222" w:rsidP="006A3EDA">
            <w:pPr>
              <w:keepNext/>
              <w:keepLines/>
              <w:spacing w:after="0" w:line="240" w:lineRule="auto"/>
              <w:jc w:val="center"/>
            </w:pPr>
            <w:r>
              <w:rPr>
                <w:b/>
                <w:sz w:val="18"/>
              </w:rPr>
              <w:t>Opis stavke</w:t>
            </w:r>
          </w:p>
        </w:tc>
        <w:tc>
          <w:tcPr>
            <w:tcW w:w="2827" w:type="dxa"/>
            <w:shd w:val="clear" w:color="auto" w:fill="E7F0F9"/>
            <w:tcMar>
              <w:top w:w="0" w:type="dxa"/>
              <w:bottom w:w="0" w:type="dxa"/>
            </w:tcMar>
            <w:vAlign w:val="center"/>
          </w:tcPr>
          <w:p w14:paraId="6E944F74" w14:textId="77777777" w:rsidR="00655222" w:rsidRDefault="00655222" w:rsidP="006A3EDA">
            <w:pPr>
              <w:keepNext/>
              <w:keepLines/>
              <w:spacing w:after="0" w:line="240" w:lineRule="auto"/>
              <w:jc w:val="center"/>
            </w:pPr>
            <w:r>
              <w:rPr>
                <w:b/>
                <w:sz w:val="18"/>
              </w:rPr>
              <w:t>Ostvareno u izvještajnom razdoblju prethodne godine</w:t>
            </w:r>
          </w:p>
        </w:tc>
        <w:tc>
          <w:tcPr>
            <w:tcW w:w="3109" w:type="dxa"/>
            <w:shd w:val="clear" w:color="auto" w:fill="E7F0F9"/>
            <w:tcMar>
              <w:top w:w="0" w:type="dxa"/>
              <w:bottom w:w="0" w:type="dxa"/>
            </w:tcMar>
            <w:vAlign w:val="center"/>
          </w:tcPr>
          <w:p w14:paraId="4AB8FA71" w14:textId="77777777" w:rsidR="00655222" w:rsidRDefault="00655222" w:rsidP="006A3EDA">
            <w:pPr>
              <w:keepNext/>
              <w:keepLines/>
              <w:spacing w:after="0" w:line="240" w:lineRule="auto"/>
              <w:jc w:val="center"/>
            </w:pPr>
            <w:r>
              <w:rPr>
                <w:b/>
                <w:sz w:val="18"/>
              </w:rPr>
              <w:t>Ostvareno u izvještajnom razdoblju tekuće godine</w:t>
            </w:r>
          </w:p>
        </w:tc>
      </w:tr>
      <w:tr w:rsidR="00655222" w14:paraId="75DC2663" w14:textId="77777777" w:rsidTr="00E90F7B">
        <w:trPr>
          <w:cantSplit/>
          <w:trHeight w:val="553"/>
        </w:trPr>
        <w:tc>
          <w:tcPr>
            <w:tcW w:w="989" w:type="dxa"/>
            <w:tcMar>
              <w:top w:w="0" w:type="dxa"/>
              <w:bottom w:w="0" w:type="dxa"/>
            </w:tcMar>
            <w:vAlign w:val="center"/>
          </w:tcPr>
          <w:p w14:paraId="25D1C839" w14:textId="77777777" w:rsidR="00655222" w:rsidRDefault="00655222" w:rsidP="006A3EDA">
            <w:pPr>
              <w:keepNext/>
              <w:keepLines/>
              <w:spacing w:after="0" w:line="240" w:lineRule="auto"/>
            </w:pPr>
            <w:r>
              <w:rPr>
                <w:sz w:val="18"/>
              </w:rPr>
              <w:t>6</w:t>
            </w:r>
          </w:p>
        </w:tc>
        <w:tc>
          <w:tcPr>
            <w:tcW w:w="3959" w:type="dxa"/>
            <w:tcMar>
              <w:top w:w="0" w:type="dxa"/>
              <w:bottom w:w="0" w:type="dxa"/>
            </w:tcMar>
            <w:vAlign w:val="center"/>
          </w:tcPr>
          <w:p w14:paraId="7BFAED86" w14:textId="77777777" w:rsidR="00655222" w:rsidRDefault="00655222" w:rsidP="006A3EDA">
            <w:pPr>
              <w:keepNext/>
              <w:keepLines/>
              <w:spacing w:after="0" w:line="240" w:lineRule="auto"/>
            </w:pPr>
            <w:r>
              <w:rPr>
                <w:sz w:val="18"/>
              </w:rPr>
              <w:t xml:space="preserve">PRIHODI POSLOVANJA </w:t>
            </w:r>
          </w:p>
        </w:tc>
        <w:tc>
          <w:tcPr>
            <w:tcW w:w="2827" w:type="dxa"/>
            <w:tcMar>
              <w:top w:w="0" w:type="dxa"/>
              <w:bottom w:w="0" w:type="dxa"/>
            </w:tcMar>
            <w:vAlign w:val="center"/>
          </w:tcPr>
          <w:p w14:paraId="64771E12" w14:textId="77777777" w:rsidR="00655222" w:rsidRDefault="00655222" w:rsidP="006A3EDA">
            <w:pPr>
              <w:keepNext/>
              <w:keepLines/>
              <w:spacing w:after="0" w:line="240" w:lineRule="auto"/>
              <w:jc w:val="right"/>
            </w:pPr>
            <w:r>
              <w:rPr>
                <w:sz w:val="18"/>
              </w:rPr>
              <w:t>17.036.765,35</w:t>
            </w:r>
          </w:p>
        </w:tc>
        <w:tc>
          <w:tcPr>
            <w:tcW w:w="3109" w:type="dxa"/>
            <w:tcMar>
              <w:top w:w="0" w:type="dxa"/>
              <w:bottom w:w="0" w:type="dxa"/>
            </w:tcMar>
            <w:vAlign w:val="center"/>
          </w:tcPr>
          <w:p w14:paraId="48C98410" w14:textId="77777777" w:rsidR="00655222" w:rsidRDefault="00655222" w:rsidP="006A3EDA">
            <w:pPr>
              <w:keepNext/>
              <w:keepLines/>
              <w:spacing w:after="0" w:line="240" w:lineRule="auto"/>
              <w:jc w:val="right"/>
            </w:pPr>
            <w:r>
              <w:rPr>
                <w:sz w:val="18"/>
              </w:rPr>
              <w:t>19.137.869,80</w:t>
            </w:r>
          </w:p>
        </w:tc>
      </w:tr>
      <w:tr w:rsidR="00655222" w14:paraId="27407860" w14:textId="77777777" w:rsidTr="00E90F7B">
        <w:trPr>
          <w:cantSplit/>
          <w:trHeight w:val="553"/>
        </w:trPr>
        <w:tc>
          <w:tcPr>
            <w:tcW w:w="989" w:type="dxa"/>
            <w:tcMar>
              <w:top w:w="0" w:type="dxa"/>
              <w:bottom w:w="0" w:type="dxa"/>
            </w:tcMar>
            <w:vAlign w:val="center"/>
          </w:tcPr>
          <w:p w14:paraId="19B9963C" w14:textId="77777777" w:rsidR="00655222" w:rsidRDefault="00655222" w:rsidP="006A3EDA">
            <w:pPr>
              <w:keepNext/>
              <w:keepLines/>
              <w:spacing w:after="0" w:line="240" w:lineRule="auto"/>
            </w:pPr>
            <w:r>
              <w:rPr>
                <w:sz w:val="18"/>
              </w:rPr>
              <w:t>3</w:t>
            </w:r>
          </w:p>
        </w:tc>
        <w:tc>
          <w:tcPr>
            <w:tcW w:w="3959" w:type="dxa"/>
            <w:tcMar>
              <w:top w:w="0" w:type="dxa"/>
              <w:bottom w:w="0" w:type="dxa"/>
            </w:tcMar>
            <w:vAlign w:val="center"/>
          </w:tcPr>
          <w:p w14:paraId="7FC52F6B" w14:textId="77777777" w:rsidR="00655222" w:rsidRDefault="00655222" w:rsidP="006A3EDA">
            <w:pPr>
              <w:keepNext/>
              <w:keepLines/>
              <w:spacing w:after="0" w:line="240" w:lineRule="auto"/>
            </w:pPr>
            <w:r>
              <w:rPr>
                <w:sz w:val="18"/>
              </w:rPr>
              <w:t xml:space="preserve">RASHODI POSLOVANJA </w:t>
            </w:r>
          </w:p>
        </w:tc>
        <w:tc>
          <w:tcPr>
            <w:tcW w:w="2827" w:type="dxa"/>
            <w:tcMar>
              <w:top w:w="0" w:type="dxa"/>
              <w:bottom w:w="0" w:type="dxa"/>
            </w:tcMar>
            <w:vAlign w:val="center"/>
          </w:tcPr>
          <w:p w14:paraId="4AB921D8" w14:textId="77777777" w:rsidR="00655222" w:rsidRDefault="00655222" w:rsidP="006A3EDA">
            <w:pPr>
              <w:keepNext/>
              <w:keepLines/>
              <w:spacing w:after="0" w:line="240" w:lineRule="auto"/>
              <w:jc w:val="right"/>
            </w:pPr>
            <w:r>
              <w:rPr>
                <w:sz w:val="18"/>
              </w:rPr>
              <w:t>12.390.589,57</w:t>
            </w:r>
          </w:p>
        </w:tc>
        <w:tc>
          <w:tcPr>
            <w:tcW w:w="3109" w:type="dxa"/>
            <w:tcMar>
              <w:top w:w="0" w:type="dxa"/>
              <w:bottom w:w="0" w:type="dxa"/>
            </w:tcMar>
            <w:vAlign w:val="center"/>
          </w:tcPr>
          <w:p w14:paraId="3B542C9E" w14:textId="77777777" w:rsidR="00655222" w:rsidRDefault="00655222" w:rsidP="006A3EDA">
            <w:pPr>
              <w:keepNext/>
              <w:keepLines/>
              <w:spacing w:after="0" w:line="240" w:lineRule="auto"/>
              <w:jc w:val="right"/>
            </w:pPr>
            <w:r>
              <w:rPr>
                <w:sz w:val="18"/>
              </w:rPr>
              <w:t>14.059.440,90</w:t>
            </w:r>
          </w:p>
        </w:tc>
      </w:tr>
      <w:tr w:rsidR="00655222" w14:paraId="43033AEA" w14:textId="77777777" w:rsidTr="00E90F7B">
        <w:trPr>
          <w:cantSplit/>
          <w:trHeight w:val="553"/>
        </w:trPr>
        <w:tc>
          <w:tcPr>
            <w:tcW w:w="989" w:type="dxa"/>
            <w:tcMar>
              <w:top w:w="0" w:type="dxa"/>
              <w:bottom w:w="0" w:type="dxa"/>
            </w:tcMar>
            <w:vAlign w:val="center"/>
          </w:tcPr>
          <w:p w14:paraId="6F56BF95" w14:textId="77777777" w:rsidR="00655222" w:rsidRDefault="00655222" w:rsidP="006A3EDA">
            <w:pPr>
              <w:keepNext/>
              <w:keepLines/>
              <w:spacing w:after="0" w:line="240" w:lineRule="auto"/>
            </w:pPr>
          </w:p>
        </w:tc>
        <w:tc>
          <w:tcPr>
            <w:tcW w:w="3959" w:type="dxa"/>
            <w:tcMar>
              <w:top w:w="0" w:type="dxa"/>
              <w:bottom w:w="0" w:type="dxa"/>
            </w:tcMar>
            <w:vAlign w:val="center"/>
          </w:tcPr>
          <w:p w14:paraId="6E00A69F" w14:textId="77777777" w:rsidR="00655222" w:rsidRDefault="00655222" w:rsidP="006A3EDA">
            <w:pPr>
              <w:keepNext/>
              <w:keepLines/>
              <w:spacing w:after="0" w:line="240" w:lineRule="auto"/>
            </w:pPr>
            <w:r>
              <w:rPr>
                <w:b/>
                <w:sz w:val="18"/>
              </w:rPr>
              <w:t xml:space="preserve">VIŠAK PRIHODA POSLOVANJA </w:t>
            </w:r>
          </w:p>
        </w:tc>
        <w:tc>
          <w:tcPr>
            <w:tcW w:w="2827" w:type="dxa"/>
            <w:tcMar>
              <w:top w:w="0" w:type="dxa"/>
              <w:bottom w:w="0" w:type="dxa"/>
            </w:tcMar>
            <w:vAlign w:val="center"/>
          </w:tcPr>
          <w:p w14:paraId="2A050664" w14:textId="77777777" w:rsidR="00655222" w:rsidRDefault="00655222" w:rsidP="006A3EDA">
            <w:pPr>
              <w:keepNext/>
              <w:keepLines/>
              <w:spacing w:after="0" w:line="240" w:lineRule="auto"/>
              <w:jc w:val="right"/>
            </w:pPr>
            <w:r>
              <w:rPr>
                <w:b/>
                <w:sz w:val="18"/>
              </w:rPr>
              <w:t>4.646.175,78</w:t>
            </w:r>
          </w:p>
        </w:tc>
        <w:tc>
          <w:tcPr>
            <w:tcW w:w="3109" w:type="dxa"/>
            <w:tcMar>
              <w:top w:w="0" w:type="dxa"/>
              <w:bottom w:w="0" w:type="dxa"/>
            </w:tcMar>
            <w:vAlign w:val="center"/>
          </w:tcPr>
          <w:p w14:paraId="1DD30212" w14:textId="77777777" w:rsidR="00655222" w:rsidRDefault="00655222" w:rsidP="006A3EDA">
            <w:pPr>
              <w:keepNext/>
              <w:keepLines/>
              <w:spacing w:after="0" w:line="240" w:lineRule="auto"/>
              <w:jc w:val="right"/>
            </w:pPr>
            <w:r>
              <w:rPr>
                <w:b/>
                <w:sz w:val="18"/>
              </w:rPr>
              <w:t>5.078.428,90</w:t>
            </w:r>
          </w:p>
        </w:tc>
      </w:tr>
      <w:tr w:rsidR="00655222" w14:paraId="00E35C20" w14:textId="77777777" w:rsidTr="00E90F7B">
        <w:trPr>
          <w:cantSplit/>
          <w:trHeight w:val="553"/>
        </w:trPr>
        <w:tc>
          <w:tcPr>
            <w:tcW w:w="989" w:type="dxa"/>
            <w:tcMar>
              <w:top w:w="0" w:type="dxa"/>
              <w:bottom w:w="0" w:type="dxa"/>
            </w:tcMar>
            <w:vAlign w:val="center"/>
          </w:tcPr>
          <w:p w14:paraId="6DF7FCB2" w14:textId="77777777" w:rsidR="00655222" w:rsidRDefault="00655222" w:rsidP="006A3EDA">
            <w:pPr>
              <w:keepNext/>
              <w:keepLines/>
              <w:spacing w:after="0" w:line="240" w:lineRule="auto"/>
            </w:pPr>
            <w:r>
              <w:rPr>
                <w:sz w:val="18"/>
              </w:rPr>
              <w:t>7</w:t>
            </w:r>
          </w:p>
        </w:tc>
        <w:tc>
          <w:tcPr>
            <w:tcW w:w="3959" w:type="dxa"/>
            <w:tcMar>
              <w:top w:w="0" w:type="dxa"/>
              <w:bottom w:w="0" w:type="dxa"/>
            </w:tcMar>
            <w:vAlign w:val="center"/>
          </w:tcPr>
          <w:p w14:paraId="5DA622C3" w14:textId="77777777" w:rsidR="00655222" w:rsidRDefault="00655222" w:rsidP="006A3EDA">
            <w:pPr>
              <w:keepNext/>
              <w:keepLines/>
              <w:spacing w:after="0" w:line="240" w:lineRule="auto"/>
            </w:pPr>
            <w:r>
              <w:rPr>
                <w:sz w:val="18"/>
              </w:rPr>
              <w:t xml:space="preserve">Prihodi od prodaje nefinancijske imovine </w:t>
            </w:r>
          </w:p>
        </w:tc>
        <w:tc>
          <w:tcPr>
            <w:tcW w:w="2827" w:type="dxa"/>
            <w:tcMar>
              <w:top w:w="0" w:type="dxa"/>
              <w:bottom w:w="0" w:type="dxa"/>
            </w:tcMar>
            <w:vAlign w:val="center"/>
          </w:tcPr>
          <w:p w14:paraId="49907479" w14:textId="77777777" w:rsidR="00655222" w:rsidRDefault="00655222" w:rsidP="006A3EDA">
            <w:pPr>
              <w:keepNext/>
              <w:keepLines/>
              <w:spacing w:after="0" w:line="240" w:lineRule="auto"/>
              <w:jc w:val="right"/>
            </w:pPr>
            <w:r>
              <w:rPr>
                <w:sz w:val="18"/>
              </w:rPr>
              <w:t>1.309,83</w:t>
            </w:r>
          </w:p>
        </w:tc>
        <w:tc>
          <w:tcPr>
            <w:tcW w:w="3109" w:type="dxa"/>
            <w:tcMar>
              <w:top w:w="0" w:type="dxa"/>
              <w:bottom w:w="0" w:type="dxa"/>
            </w:tcMar>
            <w:vAlign w:val="center"/>
          </w:tcPr>
          <w:p w14:paraId="45D1136F" w14:textId="77777777" w:rsidR="00655222" w:rsidRDefault="00655222" w:rsidP="006A3EDA">
            <w:pPr>
              <w:keepNext/>
              <w:keepLines/>
              <w:spacing w:after="0" w:line="240" w:lineRule="auto"/>
              <w:jc w:val="right"/>
            </w:pPr>
            <w:r>
              <w:rPr>
                <w:sz w:val="18"/>
              </w:rPr>
              <w:t>11.114,76</w:t>
            </w:r>
          </w:p>
        </w:tc>
      </w:tr>
      <w:tr w:rsidR="00655222" w14:paraId="46E817F7" w14:textId="77777777" w:rsidTr="00E90F7B">
        <w:trPr>
          <w:cantSplit/>
          <w:trHeight w:val="553"/>
        </w:trPr>
        <w:tc>
          <w:tcPr>
            <w:tcW w:w="989" w:type="dxa"/>
            <w:tcMar>
              <w:top w:w="0" w:type="dxa"/>
              <w:bottom w:w="0" w:type="dxa"/>
            </w:tcMar>
            <w:vAlign w:val="center"/>
          </w:tcPr>
          <w:p w14:paraId="2D51E016" w14:textId="77777777" w:rsidR="00655222" w:rsidRDefault="00655222" w:rsidP="006A3EDA">
            <w:pPr>
              <w:keepNext/>
              <w:keepLines/>
              <w:spacing w:after="0" w:line="240" w:lineRule="auto"/>
            </w:pPr>
            <w:r>
              <w:rPr>
                <w:sz w:val="18"/>
              </w:rPr>
              <w:t>4</w:t>
            </w:r>
          </w:p>
        </w:tc>
        <w:tc>
          <w:tcPr>
            <w:tcW w:w="3959" w:type="dxa"/>
            <w:tcMar>
              <w:top w:w="0" w:type="dxa"/>
              <w:bottom w:w="0" w:type="dxa"/>
            </w:tcMar>
            <w:vAlign w:val="center"/>
          </w:tcPr>
          <w:p w14:paraId="390E8921" w14:textId="77777777" w:rsidR="00655222" w:rsidRDefault="00655222" w:rsidP="006A3EDA">
            <w:pPr>
              <w:keepNext/>
              <w:keepLines/>
              <w:spacing w:after="0" w:line="240" w:lineRule="auto"/>
            </w:pPr>
            <w:r>
              <w:rPr>
                <w:sz w:val="18"/>
              </w:rPr>
              <w:t xml:space="preserve">Rashodi za nabavu nefinancijske imovine </w:t>
            </w:r>
          </w:p>
        </w:tc>
        <w:tc>
          <w:tcPr>
            <w:tcW w:w="2827" w:type="dxa"/>
            <w:tcMar>
              <w:top w:w="0" w:type="dxa"/>
              <w:bottom w:w="0" w:type="dxa"/>
            </w:tcMar>
            <w:vAlign w:val="center"/>
          </w:tcPr>
          <w:p w14:paraId="7DAF93DC" w14:textId="77777777" w:rsidR="00655222" w:rsidRDefault="00655222" w:rsidP="006A3EDA">
            <w:pPr>
              <w:keepNext/>
              <w:keepLines/>
              <w:spacing w:after="0" w:line="240" w:lineRule="auto"/>
              <w:jc w:val="right"/>
            </w:pPr>
            <w:r>
              <w:rPr>
                <w:sz w:val="18"/>
              </w:rPr>
              <w:t>3.719.706,53</w:t>
            </w:r>
          </w:p>
        </w:tc>
        <w:tc>
          <w:tcPr>
            <w:tcW w:w="3109" w:type="dxa"/>
            <w:tcMar>
              <w:top w:w="0" w:type="dxa"/>
              <w:bottom w:w="0" w:type="dxa"/>
            </w:tcMar>
            <w:vAlign w:val="center"/>
          </w:tcPr>
          <w:p w14:paraId="53C85169" w14:textId="77777777" w:rsidR="00655222" w:rsidRDefault="00655222" w:rsidP="006A3EDA">
            <w:pPr>
              <w:keepNext/>
              <w:keepLines/>
              <w:spacing w:after="0" w:line="240" w:lineRule="auto"/>
              <w:jc w:val="right"/>
            </w:pPr>
            <w:r>
              <w:rPr>
                <w:sz w:val="18"/>
              </w:rPr>
              <w:t>4.877.010,40</w:t>
            </w:r>
          </w:p>
        </w:tc>
      </w:tr>
      <w:tr w:rsidR="00655222" w14:paraId="1778F61C" w14:textId="77777777" w:rsidTr="00E90F7B">
        <w:trPr>
          <w:cantSplit/>
          <w:trHeight w:val="553"/>
        </w:trPr>
        <w:tc>
          <w:tcPr>
            <w:tcW w:w="989" w:type="dxa"/>
            <w:tcMar>
              <w:top w:w="0" w:type="dxa"/>
              <w:bottom w:w="0" w:type="dxa"/>
            </w:tcMar>
            <w:vAlign w:val="center"/>
          </w:tcPr>
          <w:p w14:paraId="50EC2B02" w14:textId="77777777" w:rsidR="00655222" w:rsidRDefault="00655222" w:rsidP="006A3EDA">
            <w:pPr>
              <w:keepNext/>
              <w:keepLines/>
              <w:spacing w:after="0" w:line="240" w:lineRule="auto"/>
            </w:pPr>
          </w:p>
        </w:tc>
        <w:tc>
          <w:tcPr>
            <w:tcW w:w="3959" w:type="dxa"/>
            <w:tcMar>
              <w:top w:w="0" w:type="dxa"/>
              <w:bottom w:w="0" w:type="dxa"/>
            </w:tcMar>
            <w:vAlign w:val="center"/>
          </w:tcPr>
          <w:p w14:paraId="0F3AC21F" w14:textId="77777777" w:rsidR="00655222" w:rsidRDefault="00655222" w:rsidP="006A3EDA">
            <w:pPr>
              <w:keepNext/>
              <w:keepLines/>
              <w:spacing w:after="0" w:line="240" w:lineRule="auto"/>
            </w:pPr>
            <w:r>
              <w:rPr>
                <w:b/>
                <w:sz w:val="18"/>
              </w:rPr>
              <w:t xml:space="preserve">MANJAK PRIHODA OD NEFINANCIJSKE IMOVINE </w:t>
            </w:r>
          </w:p>
        </w:tc>
        <w:tc>
          <w:tcPr>
            <w:tcW w:w="2827" w:type="dxa"/>
            <w:tcMar>
              <w:top w:w="0" w:type="dxa"/>
              <w:bottom w:w="0" w:type="dxa"/>
            </w:tcMar>
            <w:vAlign w:val="center"/>
          </w:tcPr>
          <w:p w14:paraId="5C35E34C" w14:textId="77777777" w:rsidR="00655222" w:rsidRDefault="00655222" w:rsidP="006A3EDA">
            <w:pPr>
              <w:keepNext/>
              <w:keepLines/>
              <w:spacing w:after="0" w:line="240" w:lineRule="auto"/>
              <w:jc w:val="right"/>
            </w:pPr>
            <w:r>
              <w:rPr>
                <w:b/>
                <w:sz w:val="18"/>
              </w:rPr>
              <w:t>3.718.396,70</w:t>
            </w:r>
          </w:p>
        </w:tc>
        <w:tc>
          <w:tcPr>
            <w:tcW w:w="3109" w:type="dxa"/>
            <w:tcMar>
              <w:top w:w="0" w:type="dxa"/>
              <w:bottom w:w="0" w:type="dxa"/>
            </w:tcMar>
            <w:vAlign w:val="center"/>
          </w:tcPr>
          <w:p w14:paraId="1A5DB1C1" w14:textId="77777777" w:rsidR="00655222" w:rsidRDefault="00655222" w:rsidP="006A3EDA">
            <w:pPr>
              <w:keepNext/>
              <w:keepLines/>
              <w:spacing w:after="0" w:line="240" w:lineRule="auto"/>
              <w:jc w:val="right"/>
            </w:pPr>
            <w:r>
              <w:rPr>
                <w:b/>
                <w:sz w:val="18"/>
              </w:rPr>
              <w:t>4.865.895,64</w:t>
            </w:r>
          </w:p>
        </w:tc>
      </w:tr>
      <w:tr w:rsidR="00655222" w14:paraId="766B1210" w14:textId="77777777" w:rsidTr="00E90F7B">
        <w:trPr>
          <w:cantSplit/>
          <w:trHeight w:val="553"/>
        </w:trPr>
        <w:tc>
          <w:tcPr>
            <w:tcW w:w="989" w:type="dxa"/>
            <w:tcMar>
              <w:top w:w="0" w:type="dxa"/>
              <w:bottom w:w="0" w:type="dxa"/>
            </w:tcMar>
            <w:vAlign w:val="center"/>
          </w:tcPr>
          <w:p w14:paraId="16863E1B" w14:textId="77777777" w:rsidR="00655222" w:rsidRDefault="00655222" w:rsidP="006A3EDA">
            <w:pPr>
              <w:keepNext/>
              <w:keepLines/>
              <w:spacing w:after="0" w:line="240" w:lineRule="auto"/>
            </w:pPr>
            <w:r>
              <w:rPr>
                <w:sz w:val="18"/>
              </w:rPr>
              <w:t>8</w:t>
            </w:r>
          </w:p>
        </w:tc>
        <w:tc>
          <w:tcPr>
            <w:tcW w:w="3959" w:type="dxa"/>
            <w:tcMar>
              <w:top w:w="0" w:type="dxa"/>
              <w:bottom w:w="0" w:type="dxa"/>
            </w:tcMar>
            <w:vAlign w:val="center"/>
          </w:tcPr>
          <w:p w14:paraId="3709528C" w14:textId="77777777" w:rsidR="00655222" w:rsidRDefault="00655222" w:rsidP="006A3EDA">
            <w:pPr>
              <w:keepNext/>
              <w:keepLines/>
              <w:spacing w:after="0" w:line="240" w:lineRule="auto"/>
            </w:pPr>
            <w:r>
              <w:rPr>
                <w:sz w:val="18"/>
              </w:rPr>
              <w:t xml:space="preserve">Primici od financijske imovine i zaduživanja </w:t>
            </w:r>
          </w:p>
        </w:tc>
        <w:tc>
          <w:tcPr>
            <w:tcW w:w="2827" w:type="dxa"/>
            <w:tcMar>
              <w:top w:w="0" w:type="dxa"/>
              <w:bottom w:w="0" w:type="dxa"/>
            </w:tcMar>
            <w:vAlign w:val="center"/>
          </w:tcPr>
          <w:p w14:paraId="7BB09C4C" w14:textId="77777777" w:rsidR="00655222" w:rsidRDefault="00655222" w:rsidP="006A3EDA">
            <w:pPr>
              <w:keepNext/>
              <w:keepLines/>
              <w:spacing w:after="0" w:line="240" w:lineRule="auto"/>
              <w:jc w:val="right"/>
            </w:pPr>
            <w:r>
              <w:rPr>
                <w:sz w:val="18"/>
              </w:rPr>
              <w:t>0,00</w:t>
            </w:r>
          </w:p>
        </w:tc>
        <w:tc>
          <w:tcPr>
            <w:tcW w:w="3109" w:type="dxa"/>
            <w:tcMar>
              <w:top w:w="0" w:type="dxa"/>
              <w:bottom w:w="0" w:type="dxa"/>
            </w:tcMar>
            <w:vAlign w:val="center"/>
          </w:tcPr>
          <w:p w14:paraId="41690ED6" w14:textId="77777777" w:rsidR="00655222" w:rsidRDefault="00655222" w:rsidP="006A3EDA">
            <w:pPr>
              <w:keepNext/>
              <w:keepLines/>
              <w:spacing w:after="0" w:line="240" w:lineRule="auto"/>
              <w:jc w:val="right"/>
            </w:pPr>
            <w:r>
              <w:rPr>
                <w:sz w:val="18"/>
              </w:rPr>
              <w:t>0,00</w:t>
            </w:r>
          </w:p>
        </w:tc>
      </w:tr>
      <w:tr w:rsidR="00655222" w14:paraId="3A55F7C5" w14:textId="77777777" w:rsidTr="00E90F7B">
        <w:trPr>
          <w:cantSplit/>
          <w:trHeight w:val="553"/>
        </w:trPr>
        <w:tc>
          <w:tcPr>
            <w:tcW w:w="989" w:type="dxa"/>
            <w:tcMar>
              <w:top w:w="0" w:type="dxa"/>
              <w:bottom w:w="0" w:type="dxa"/>
            </w:tcMar>
            <w:vAlign w:val="center"/>
          </w:tcPr>
          <w:p w14:paraId="04A0E65A" w14:textId="77777777" w:rsidR="00655222" w:rsidRDefault="00655222" w:rsidP="006A3EDA">
            <w:pPr>
              <w:keepNext/>
              <w:keepLines/>
              <w:spacing w:after="0" w:line="240" w:lineRule="auto"/>
            </w:pPr>
            <w:r>
              <w:rPr>
                <w:sz w:val="18"/>
              </w:rPr>
              <w:t>5</w:t>
            </w:r>
          </w:p>
        </w:tc>
        <w:tc>
          <w:tcPr>
            <w:tcW w:w="3959" w:type="dxa"/>
            <w:tcMar>
              <w:top w:w="0" w:type="dxa"/>
              <w:bottom w:w="0" w:type="dxa"/>
            </w:tcMar>
            <w:vAlign w:val="center"/>
          </w:tcPr>
          <w:p w14:paraId="2BB1CBF6" w14:textId="77777777" w:rsidR="00655222" w:rsidRDefault="00655222" w:rsidP="006A3EDA">
            <w:pPr>
              <w:keepNext/>
              <w:keepLines/>
              <w:spacing w:after="0" w:line="240" w:lineRule="auto"/>
            </w:pPr>
            <w:r>
              <w:rPr>
                <w:sz w:val="18"/>
              </w:rPr>
              <w:t xml:space="preserve">Izdaci za financijsku imovinu i otplate zajmova </w:t>
            </w:r>
          </w:p>
        </w:tc>
        <w:tc>
          <w:tcPr>
            <w:tcW w:w="2827" w:type="dxa"/>
            <w:tcMar>
              <w:top w:w="0" w:type="dxa"/>
              <w:bottom w:w="0" w:type="dxa"/>
            </w:tcMar>
            <w:vAlign w:val="center"/>
          </w:tcPr>
          <w:p w14:paraId="5EEA57DC" w14:textId="77777777" w:rsidR="00655222" w:rsidRDefault="00655222" w:rsidP="006A3EDA">
            <w:pPr>
              <w:keepNext/>
              <w:keepLines/>
              <w:spacing w:after="0" w:line="240" w:lineRule="auto"/>
              <w:jc w:val="right"/>
            </w:pPr>
            <w:r>
              <w:rPr>
                <w:sz w:val="18"/>
              </w:rPr>
              <w:t>606.204,44</w:t>
            </w:r>
          </w:p>
        </w:tc>
        <w:tc>
          <w:tcPr>
            <w:tcW w:w="3109" w:type="dxa"/>
            <w:tcMar>
              <w:top w:w="0" w:type="dxa"/>
              <w:bottom w:w="0" w:type="dxa"/>
            </w:tcMar>
            <w:vAlign w:val="center"/>
          </w:tcPr>
          <w:p w14:paraId="5F39754D" w14:textId="77777777" w:rsidR="00655222" w:rsidRDefault="00655222" w:rsidP="006A3EDA">
            <w:pPr>
              <w:keepNext/>
              <w:keepLines/>
              <w:spacing w:after="0" w:line="240" w:lineRule="auto"/>
              <w:jc w:val="right"/>
            </w:pPr>
            <w:r>
              <w:rPr>
                <w:sz w:val="18"/>
              </w:rPr>
              <w:t>326.724,13</w:t>
            </w:r>
          </w:p>
        </w:tc>
      </w:tr>
      <w:tr w:rsidR="00655222" w14:paraId="5559A8E5" w14:textId="77777777" w:rsidTr="00E90F7B">
        <w:trPr>
          <w:cantSplit/>
          <w:trHeight w:val="553"/>
        </w:trPr>
        <w:tc>
          <w:tcPr>
            <w:tcW w:w="989" w:type="dxa"/>
            <w:tcMar>
              <w:top w:w="0" w:type="dxa"/>
              <w:bottom w:w="0" w:type="dxa"/>
            </w:tcMar>
            <w:vAlign w:val="center"/>
          </w:tcPr>
          <w:p w14:paraId="0F0F1085" w14:textId="77777777" w:rsidR="00655222" w:rsidRDefault="00655222" w:rsidP="006A3EDA">
            <w:pPr>
              <w:keepNext/>
              <w:keepLines/>
              <w:spacing w:after="0" w:line="240" w:lineRule="auto"/>
            </w:pPr>
          </w:p>
        </w:tc>
        <w:tc>
          <w:tcPr>
            <w:tcW w:w="3959" w:type="dxa"/>
            <w:tcMar>
              <w:top w:w="0" w:type="dxa"/>
              <w:bottom w:w="0" w:type="dxa"/>
            </w:tcMar>
            <w:vAlign w:val="center"/>
          </w:tcPr>
          <w:p w14:paraId="4FF96A86" w14:textId="77777777" w:rsidR="00655222" w:rsidRDefault="00655222" w:rsidP="006A3EDA">
            <w:pPr>
              <w:keepNext/>
              <w:keepLines/>
              <w:spacing w:after="0" w:line="240" w:lineRule="auto"/>
            </w:pPr>
            <w:r>
              <w:rPr>
                <w:b/>
                <w:sz w:val="18"/>
              </w:rPr>
              <w:t xml:space="preserve">MANJAK PRIMITAKA OD FINANCIJSKE IMOVINE I ZADUŽIVANJA </w:t>
            </w:r>
          </w:p>
        </w:tc>
        <w:tc>
          <w:tcPr>
            <w:tcW w:w="2827" w:type="dxa"/>
            <w:tcMar>
              <w:top w:w="0" w:type="dxa"/>
              <w:bottom w:w="0" w:type="dxa"/>
            </w:tcMar>
            <w:vAlign w:val="center"/>
          </w:tcPr>
          <w:p w14:paraId="2E7876F7" w14:textId="77777777" w:rsidR="00655222" w:rsidRDefault="00655222" w:rsidP="006A3EDA">
            <w:pPr>
              <w:keepNext/>
              <w:keepLines/>
              <w:spacing w:after="0" w:line="240" w:lineRule="auto"/>
              <w:jc w:val="right"/>
            </w:pPr>
            <w:r>
              <w:rPr>
                <w:b/>
                <w:sz w:val="18"/>
              </w:rPr>
              <w:t>606.204,44</w:t>
            </w:r>
          </w:p>
        </w:tc>
        <w:tc>
          <w:tcPr>
            <w:tcW w:w="3109" w:type="dxa"/>
            <w:tcMar>
              <w:top w:w="0" w:type="dxa"/>
              <w:bottom w:w="0" w:type="dxa"/>
            </w:tcMar>
            <w:vAlign w:val="center"/>
          </w:tcPr>
          <w:p w14:paraId="5E78A4DD" w14:textId="77777777" w:rsidR="00655222" w:rsidRDefault="00655222" w:rsidP="006A3EDA">
            <w:pPr>
              <w:keepNext/>
              <w:keepLines/>
              <w:spacing w:after="0" w:line="240" w:lineRule="auto"/>
              <w:jc w:val="right"/>
            </w:pPr>
            <w:r>
              <w:rPr>
                <w:b/>
                <w:sz w:val="18"/>
              </w:rPr>
              <w:t>326.724,13</w:t>
            </w:r>
          </w:p>
        </w:tc>
      </w:tr>
      <w:tr w:rsidR="00655222" w14:paraId="0994F499" w14:textId="77777777" w:rsidTr="00E90F7B">
        <w:trPr>
          <w:cantSplit/>
          <w:trHeight w:val="553"/>
        </w:trPr>
        <w:tc>
          <w:tcPr>
            <w:tcW w:w="989" w:type="dxa"/>
            <w:tcMar>
              <w:top w:w="0" w:type="dxa"/>
              <w:bottom w:w="0" w:type="dxa"/>
            </w:tcMar>
            <w:vAlign w:val="center"/>
          </w:tcPr>
          <w:p w14:paraId="6BB147A2" w14:textId="77777777" w:rsidR="00655222" w:rsidRDefault="00655222" w:rsidP="006A3EDA">
            <w:pPr>
              <w:keepNext/>
              <w:keepLines/>
              <w:spacing w:after="0" w:line="240" w:lineRule="auto"/>
            </w:pPr>
          </w:p>
        </w:tc>
        <w:tc>
          <w:tcPr>
            <w:tcW w:w="3959" w:type="dxa"/>
            <w:tcMar>
              <w:top w:w="0" w:type="dxa"/>
              <w:bottom w:w="0" w:type="dxa"/>
            </w:tcMar>
            <w:vAlign w:val="center"/>
          </w:tcPr>
          <w:p w14:paraId="0B160804" w14:textId="77777777" w:rsidR="00655222" w:rsidRDefault="00655222" w:rsidP="006A3EDA">
            <w:pPr>
              <w:keepNext/>
              <w:keepLines/>
              <w:spacing w:after="0" w:line="240" w:lineRule="auto"/>
            </w:pPr>
            <w:r>
              <w:rPr>
                <w:b/>
                <w:sz w:val="18"/>
              </w:rPr>
              <w:t xml:space="preserve">MANJAK PRIHODA I PRIMITAKA </w:t>
            </w:r>
          </w:p>
        </w:tc>
        <w:tc>
          <w:tcPr>
            <w:tcW w:w="2827" w:type="dxa"/>
            <w:tcMar>
              <w:top w:w="0" w:type="dxa"/>
              <w:bottom w:w="0" w:type="dxa"/>
            </w:tcMar>
            <w:vAlign w:val="center"/>
          </w:tcPr>
          <w:p w14:paraId="673E4629" w14:textId="77777777" w:rsidR="00655222" w:rsidRDefault="00655222" w:rsidP="006A3EDA">
            <w:pPr>
              <w:keepNext/>
              <w:keepLines/>
              <w:spacing w:after="0" w:line="240" w:lineRule="auto"/>
              <w:jc w:val="right"/>
            </w:pPr>
            <w:r>
              <w:rPr>
                <w:b/>
                <w:sz w:val="18"/>
              </w:rPr>
              <w:t>0,00</w:t>
            </w:r>
          </w:p>
        </w:tc>
        <w:tc>
          <w:tcPr>
            <w:tcW w:w="3109" w:type="dxa"/>
            <w:tcMar>
              <w:top w:w="0" w:type="dxa"/>
              <w:bottom w:w="0" w:type="dxa"/>
            </w:tcMar>
            <w:vAlign w:val="center"/>
          </w:tcPr>
          <w:p w14:paraId="5B168263" w14:textId="77777777" w:rsidR="00655222" w:rsidRDefault="00655222" w:rsidP="006A3EDA">
            <w:pPr>
              <w:keepNext/>
              <w:keepLines/>
              <w:spacing w:after="0" w:line="240" w:lineRule="auto"/>
              <w:jc w:val="right"/>
            </w:pPr>
            <w:r>
              <w:rPr>
                <w:b/>
                <w:sz w:val="18"/>
              </w:rPr>
              <w:t>114.190,87</w:t>
            </w:r>
          </w:p>
        </w:tc>
      </w:tr>
    </w:tbl>
    <w:p w14:paraId="38C20587" w14:textId="77777777" w:rsidR="001F5A12" w:rsidRDefault="001F5A12" w:rsidP="000B3DE0">
      <w:pPr>
        <w:spacing w:line="240" w:lineRule="auto"/>
        <w:jc w:val="both"/>
        <w:rPr>
          <w:rFonts w:cstheme="minorHAnsi"/>
          <w:sz w:val="24"/>
          <w:szCs w:val="24"/>
        </w:rPr>
      </w:pPr>
    </w:p>
    <w:p w14:paraId="68F837D9" w14:textId="77777777" w:rsidR="001F5A12" w:rsidRDefault="001F5A12" w:rsidP="000B3DE0">
      <w:pPr>
        <w:spacing w:line="240" w:lineRule="auto"/>
        <w:jc w:val="both"/>
        <w:rPr>
          <w:rFonts w:cstheme="minorHAnsi"/>
          <w:sz w:val="24"/>
          <w:szCs w:val="24"/>
        </w:rPr>
      </w:pPr>
    </w:p>
    <w:p w14:paraId="6B6FE668" w14:textId="76005B91" w:rsidR="00521D2E" w:rsidRDefault="00521D2E" w:rsidP="000B3DE0">
      <w:pPr>
        <w:spacing w:line="240" w:lineRule="auto"/>
        <w:jc w:val="both"/>
        <w:rPr>
          <w:rFonts w:cstheme="minorHAnsi"/>
          <w:sz w:val="24"/>
          <w:szCs w:val="24"/>
        </w:rPr>
      </w:pPr>
      <w:r>
        <w:rPr>
          <w:rFonts w:cstheme="minorHAnsi"/>
          <w:sz w:val="24"/>
          <w:szCs w:val="24"/>
        </w:rPr>
        <w:lastRenderedPageBreak/>
        <w:t>Osim tekućeg financijskog rezultata za 202</w:t>
      </w:r>
      <w:r w:rsidR="00B11907">
        <w:rPr>
          <w:rFonts w:cstheme="minorHAnsi"/>
          <w:sz w:val="24"/>
          <w:szCs w:val="24"/>
        </w:rPr>
        <w:t>5</w:t>
      </w:r>
      <w:r>
        <w:rPr>
          <w:rFonts w:cstheme="minorHAnsi"/>
          <w:sz w:val="24"/>
          <w:szCs w:val="24"/>
        </w:rPr>
        <w:t>.godinu, preneseni višak konsolidiranog proračuna iz 202</w:t>
      </w:r>
      <w:r w:rsidR="00B11907">
        <w:rPr>
          <w:rFonts w:cstheme="minorHAnsi"/>
          <w:sz w:val="24"/>
          <w:szCs w:val="24"/>
        </w:rPr>
        <w:t>4</w:t>
      </w:r>
      <w:r>
        <w:rPr>
          <w:rFonts w:cstheme="minorHAnsi"/>
          <w:sz w:val="24"/>
          <w:szCs w:val="24"/>
        </w:rPr>
        <w:t xml:space="preserve">.godine iznosi </w:t>
      </w:r>
      <w:r w:rsidR="00115FF1">
        <w:rPr>
          <w:rFonts w:cstheme="minorHAnsi"/>
          <w:sz w:val="24"/>
          <w:szCs w:val="24"/>
        </w:rPr>
        <w:t>4.332.795,60</w:t>
      </w:r>
      <w:r>
        <w:rPr>
          <w:rFonts w:cstheme="minorHAnsi"/>
          <w:sz w:val="24"/>
          <w:szCs w:val="24"/>
        </w:rPr>
        <w:t xml:space="preserve"> eura</w:t>
      </w:r>
      <w:r w:rsidR="00115FF1">
        <w:rPr>
          <w:rFonts w:cstheme="minorHAnsi"/>
          <w:sz w:val="24"/>
          <w:szCs w:val="24"/>
        </w:rPr>
        <w:t xml:space="preserve">- pri čemu preneseni višak Grada iznosi 4.474.897,93 eura, a preneseni manjak proračunskih korisnika iznosi </w:t>
      </w:r>
      <w:r>
        <w:rPr>
          <w:rFonts w:cstheme="minorHAnsi"/>
          <w:sz w:val="24"/>
          <w:szCs w:val="24"/>
        </w:rPr>
        <w:t xml:space="preserve"> </w:t>
      </w:r>
      <w:r w:rsidR="00115FF1">
        <w:rPr>
          <w:rFonts w:cstheme="minorHAnsi"/>
          <w:sz w:val="24"/>
          <w:szCs w:val="24"/>
        </w:rPr>
        <w:t>142.102,33 eura.</w:t>
      </w:r>
    </w:p>
    <w:p w14:paraId="33562EC7" w14:textId="2108EDE7" w:rsidR="00705246" w:rsidRDefault="00521D2E" w:rsidP="000B3DE0">
      <w:pPr>
        <w:spacing w:line="240" w:lineRule="auto"/>
        <w:jc w:val="both"/>
        <w:rPr>
          <w:rFonts w:cstheme="minorHAnsi"/>
          <w:sz w:val="24"/>
          <w:szCs w:val="24"/>
        </w:rPr>
      </w:pPr>
      <w:r>
        <w:rPr>
          <w:rFonts w:cstheme="minorHAnsi"/>
          <w:sz w:val="24"/>
          <w:szCs w:val="24"/>
        </w:rPr>
        <w:t xml:space="preserve">Treba napomenuti da je u Proračunu za 2025.godinu planirana potrošnja </w:t>
      </w:r>
      <w:r w:rsidR="00655222">
        <w:rPr>
          <w:rFonts w:cstheme="minorHAnsi"/>
          <w:sz w:val="24"/>
          <w:szCs w:val="24"/>
        </w:rPr>
        <w:t>prenesenog</w:t>
      </w:r>
      <w:r>
        <w:rPr>
          <w:rFonts w:cstheme="minorHAnsi"/>
          <w:sz w:val="24"/>
          <w:szCs w:val="24"/>
        </w:rPr>
        <w:t xml:space="preserve"> viška prihoda Grada </w:t>
      </w:r>
      <w:r w:rsidR="00655222">
        <w:rPr>
          <w:rFonts w:cstheme="minorHAnsi"/>
          <w:sz w:val="24"/>
          <w:szCs w:val="24"/>
        </w:rPr>
        <w:t>koji se</w:t>
      </w:r>
      <w:r>
        <w:rPr>
          <w:rFonts w:cstheme="minorHAnsi"/>
          <w:sz w:val="24"/>
          <w:szCs w:val="24"/>
        </w:rPr>
        <w:t xml:space="preserve"> korist</w:t>
      </w:r>
      <w:r w:rsidR="00655222">
        <w:rPr>
          <w:rFonts w:cstheme="minorHAnsi"/>
          <w:sz w:val="24"/>
          <w:szCs w:val="24"/>
        </w:rPr>
        <w:t>i</w:t>
      </w:r>
      <w:r>
        <w:rPr>
          <w:rFonts w:cstheme="minorHAnsi"/>
          <w:sz w:val="24"/>
          <w:szCs w:val="24"/>
        </w:rPr>
        <w:t xml:space="preserve"> za financiranje rashoda različitih namjena</w:t>
      </w:r>
      <w:r w:rsidR="00655222">
        <w:rPr>
          <w:rFonts w:cstheme="minorHAnsi"/>
          <w:sz w:val="24"/>
          <w:szCs w:val="24"/>
        </w:rPr>
        <w:t>, prvenstveno nabave nefinancijske imovine</w:t>
      </w:r>
      <w:r>
        <w:rPr>
          <w:rFonts w:cstheme="minorHAnsi"/>
          <w:sz w:val="24"/>
          <w:szCs w:val="24"/>
        </w:rPr>
        <w:t xml:space="preserve"> </w:t>
      </w:r>
      <w:r w:rsidR="00655222">
        <w:rPr>
          <w:rFonts w:cstheme="minorHAnsi"/>
          <w:sz w:val="24"/>
          <w:szCs w:val="24"/>
        </w:rPr>
        <w:t>kod realizacije</w:t>
      </w:r>
      <w:r>
        <w:rPr>
          <w:rFonts w:cstheme="minorHAnsi"/>
          <w:sz w:val="24"/>
          <w:szCs w:val="24"/>
        </w:rPr>
        <w:t xml:space="preserve"> kapitalnih investicija</w:t>
      </w:r>
      <w:r w:rsidR="00655222">
        <w:rPr>
          <w:rFonts w:cstheme="minorHAnsi"/>
          <w:sz w:val="24"/>
          <w:szCs w:val="24"/>
        </w:rPr>
        <w:t xml:space="preserve"> te ovim načinom korištenja ostvarenog viška iz prethodnog razdoblja</w:t>
      </w:r>
      <w:r>
        <w:rPr>
          <w:rFonts w:cstheme="minorHAnsi"/>
          <w:sz w:val="24"/>
          <w:szCs w:val="24"/>
        </w:rPr>
        <w:t xml:space="preserve"> povećavaju fiskalne mogućnosti proračuna</w:t>
      </w:r>
      <w:r w:rsidR="00655222">
        <w:rPr>
          <w:rFonts w:cstheme="minorHAnsi"/>
          <w:sz w:val="24"/>
          <w:szCs w:val="24"/>
        </w:rPr>
        <w:t xml:space="preserve"> kod ostvarenja investicija</w:t>
      </w:r>
      <w:r>
        <w:rPr>
          <w:rFonts w:cstheme="minorHAnsi"/>
          <w:sz w:val="24"/>
          <w:szCs w:val="24"/>
        </w:rPr>
        <w:t xml:space="preserve"> i utječe na veće rashode u 2025.godini</w:t>
      </w:r>
      <w:r w:rsidR="00655222">
        <w:rPr>
          <w:rFonts w:cstheme="minorHAnsi"/>
          <w:sz w:val="24"/>
          <w:szCs w:val="24"/>
        </w:rPr>
        <w:t>, dok se istovremeno ostvaruje manjak tekuće godine ponajviše zbog rasta cijena radova i usluga te rasta iznosa financiranja proračunskih korisnika kao rezultat zakonskih odredbi, a da istovremeno ne raste iznos sufinanciranja iz drugih proračuna.</w:t>
      </w:r>
    </w:p>
    <w:p w14:paraId="15718357" w14:textId="687FBB37" w:rsidR="00E436AC" w:rsidRDefault="005038B7" w:rsidP="000B3DE0">
      <w:pPr>
        <w:spacing w:line="240" w:lineRule="auto"/>
        <w:jc w:val="both"/>
        <w:rPr>
          <w:rFonts w:cstheme="minorHAnsi"/>
          <w:sz w:val="24"/>
          <w:szCs w:val="24"/>
        </w:rPr>
      </w:pPr>
      <w:r>
        <w:rPr>
          <w:rFonts w:cstheme="minorHAnsi"/>
          <w:sz w:val="24"/>
          <w:szCs w:val="24"/>
        </w:rPr>
        <w:t xml:space="preserve">U nastavku slijedi detaljno obrazloženje općeg dijela godišnjeg izvještaja o izvršenju proračuna za 2025.godinu, po pojedinim stavkama prihoda i rashoda, </w:t>
      </w:r>
      <w:r w:rsidR="005C40C6">
        <w:rPr>
          <w:rFonts w:cstheme="minorHAnsi"/>
          <w:sz w:val="24"/>
          <w:szCs w:val="24"/>
        </w:rPr>
        <w:t>primitaka i izdataka proračuna.</w:t>
      </w:r>
    </w:p>
    <w:p w14:paraId="3B38EF99" w14:textId="3C66065D" w:rsidR="005C40C6" w:rsidRDefault="005C40C6" w:rsidP="000B3DE0">
      <w:pPr>
        <w:spacing w:line="240" w:lineRule="auto"/>
        <w:jc w:val="both"/>
        <w:rPr>
          <w:rFonts w:cstheme="minorHAnsi"/>
          <w:sz w:val="24"/>
          <w:szCs w:val="24"/>
        </w:rPr>
      </w:pPr>
      <w:r>
        <w:rPr>
          <w:rFonts w:cstheme="minorHAnsi"/>
          <w:sz w:val="24"/>
          <w:szCs w:val="24"/>
        </w:rPr>
        <w:t>U obrazloženju se daju podaci o tekućem planu tj. iznosima planiranim III. izmjenama i dopunama proračuna Grada Trogira za 2025.godinu, s uključenim naknadno izvršenim preraspodjelama sukladno Odluci o izvršavanju proračuna Grada Trogira za 2025.godinu. Također, daje se i usporedba s 2024.godinom.</w:t>
      </w:r>
    </w:p>
    <w:p w14:paraId="55D9D1F0" w14:textId="77777777" w:rsidR="00A63D0D" w:rsidRDefault="00A63D0D" w:rsidP="004F63D6">
      <w:pPr>
        <w:spacing w:line="240" w:lineRule="auto"/>
        <w:rPr>
          <w:rFonts w:cstheme="minorHAnsi"/>
          <w:b/>
          <w:sz w:val="24"/>
          <w:szCs w:val="24"/>
        </w:rPr>
      </w:pPr>
    </w:p>
    <w:p w14:paraId="15B95DBD" w14:textId="624D9855" w:rsidR="00B37009" w:rsidRPr="008C1561" w:rsidRDefault="00B37009" w:rsidP="004F63D6">
      <w:pPr>
        <w:spacing w:line="240" w:lineRule="auto"/>
        <w:rPr>
          <w:rFonts w:cstheme="minorHAnsi"/>
          <w:b/>
          <w:sz w:val="24"/>
          <w:szCs w:val="24"/>
        </w:rPr>
      </w:pPr>
      <w:r w:rsidRPr="008C1561">
        <w:rPr>
          <w:rFonts w:cstheme="minorHAnsi"/>
          <w:b/>
          <w:sz w:val="24"/>
          <w:szCs w:val="24"/>
        </w:rPr>
        <w:t>1</w:t>
      </w:r>
      <w:r w:rsidR="004F63D6">
        <w:rPr>
          <w:rFonts w:cstheme="minorHAnsi"/>
          <w:b/>
          <w:sz w:val="24"/>
          <w:szCs w:val="24"/>
        </w:rPr>
        <w:t>.</w:t>
      </w:r>
      <w:r w:rsidRPr="008C1561">
        <w:rPr>
          <w:rFonts w:cstheme="minorHAnsi"/>
          <w:b/>
          <w:sz w:val="24"/>
          <w:szCs w:val="24"/>
        </w:rPr>
        <w:t xml:space="preserve"> PRIHODI I PRIMICI</w:t>
      </w:r>
    </w:p>
    <w:p w14:paraId="034DD3EF" w14:textId="764B08BC" w:rsidR="00B37009" w:rsidRDefault="00B37009" w:rsidP="00B37009">
      <w:pPr>
        <w:spacing w:line="240" w:lineRule="auto"/>
        <w:jc w:val="both"/>
        <w:rPr>
          <w:rFonts w:cstheme="minorHAnsi"/>
          <w:sz w:val="24"/>
          <w:szCs w:val="24"/>
        </w:rPr>
      </w:pPr>
      <w:r>
        <w:rPr>
          <w:rFonts w:cstheme="minorHAnsi"/>
          <w:sz w:val="24"/>
          <w:szCs w:val="24"/>
        </w:rPr>
        <w:t>Ukupni</w:t>
      </w:r>
      <w:r w:rsidRPr="007B58F0">
        <w:rPr>
          <w:rFonts w:cstheme="minorHAnsi"/>
          <w:sz w:val="24"/>
          <w:szCs w:val="24"/>
        </w:rPr>
        <w:t xml:space="preserve"> prihodi i primici konsolidi</w:t>
      </w:r>
      <w:r w:rsidR="00B1185D">
        <w:rPr>
          <w:rFonts w:cstheme="minorHAnsi"/>
          <w:sz w:val="24"/>
          <w:szCs w:val="24"/>
        </w:rPr>
        <w:t>ranog Proračuna Grada Trogira za</w:t>
      </w:r>
      <w:r w:rsidRPr="007B58F0">
        <w:rPr>
          <w:rFonts w:cstheme="minorHAnsi"/>
          <w:sz w:val="24"/>
          <w:szCs w:val="24"/>
        </w:rPr>
        <w:t xml:space="preserve"> 20</w:t>
      </w:r>
      <w:r>
        <w:rPr>
          <w:rFonts w:cstheme="minorHAnsi"/>
          <w:sz w:val="24"/>
          <w:szCs w:val="24"/>
        </w:rPr>
        <w:t>2</w:t>
      </w:r>
      <w:r w:rsidR="00D23F77">
        <w:rPr>
          <w:rFonts w:cstheme="minorHAnsi"/>
          <w:sz w:val="24"/>
          <w:szCs w:val="24"/>
        </w:rPr>
        <w:t>5</w:t>
      </w:r>
      <w:r w:rsidRPr="007B58F0">
        <w:rPr>
          <w:rFonts w:cstheme="minorHAnsi"/>
          <w:sz w:val="24"/>
          <w:szCs w:val="24"/>
        </w:rPr>
        <w:t>. godinu</w:t>
      </w:r>
      <w:r>
        <w:rPr>
          <w:rFonts w:cstheme="minorHAnsi"/>
          <w:sz w:val="24"/>
          <w:szCs w:val="24"/>
        </w:rPr>
        <w:t xml:space="preserve"> su planirani u iznosu od</w:t>
      </w:r>
      <w:r w:rsidR="0087064B">
        <w:rPr>
          <w:rFonts w:cstheme="minorHAnsi"/>
          <w:sz w:val="24"/>
          <w:szCs w:val="24"/>
        </w:rPr>
        <w:t xml:space="preserve"> </w:t>
      </w:r>
      <w:r>
        <w:rPr>
          <w:rFonts w:cstheme="minorHAnsi"/>
          <w:sz w:val="24"/>
          <w:szCs w:val="24"/>
        </w:rPr>
        <w:t xml:space="preserve"> </w:t>
      </w:r>
      <w:r w:rsidR="004D2916">
        <w:rPr>
          <w:rFonts w:cstheme="minorHAnsi"/>
          <w:sz w:val="24"/>
          <w:szCs w:val="24"/>
        </w:rPr>
        <w:t xml:space="preserve">20.978.572,16 </w:t>
      </w:r>
      <w:r>
        <w:rPr>
          <w:rFonts w:cstheme="minorHAnsi"/>
          <w:sz w:val="24"/>
          <w:szCs w:val="24"/>
        </w:rPr>
        <w:t xml:space="preserve">eura, a u </w:t>
      </w:r>
      <w:r w:rsidR="00B92424">
        <w:rPr>
          <w:rFonts w:cstheme="minorHAnsi"/>
          <w:sz w:val="24"/>
          <w:szCs w:val="24"/>
        </w:rPr>
        <w:t xml:space="preserve">izvještajnom razdoblju </w:t>
      </w:r>
      <w:r>
        <w:rPr>
          <w:rFonts w:cstheme="minorHAnsi"/>
          <w:sz w:val="24"/>
          <w:szCs w:val="24"/>
        </w:rPr>
        <w:t>202</w:t>
      </w:r>
      <w:r w:rsidR="00D23F77">
        <w:rPr>
          <w:rFonts w:cstheme="minorHAnsi"/>
          <w:sz w:val="24"/>
          <w:szCs w:val="24"/>
        </w:rPr>
        <w:t>5</w:t>
      </w:r>
      <w:r w:rsidRPr="007B58F0">
        <w:rPr>
          <w:rFonts w:cstheme="minorHAnsi"/>
          <w:sz w:val="24"/>
          <w:szCs w:val="24"/>
        </w:rPr>
        <w:t xml:space="preserve">. godine ostvareni su u iznosu od  </w:t>
      </w:r>
      <w:r w:rsidR="004D2916">
        <w:rPr>
          <w:rFonts w:cstheme="minorHAnsi"/>
          <w:sz w:val="24"/>
          <w:szCs w:val="24"/>
        </w:rPr>
        <w:t>19.</w:t>
      </w:r>
      <w:r w:rsidR="007533B5">
        <w:rPr>
          <w:rFonts w:cstheme="minorHAnsi"/>
          <w:sz w:val="24"/>
          <w:szCs w:val="24"/>
        </w:rPr>
        <w:t>787.321,82</w:t>
      </w:r>
      <w:r w:rsidR="004D2916">
        <w:rPr>
          <w:rFonts w:cstheme="minorHAnsi"/>
          <w:sz w:val="24"/>
          <w:szCs w:val="24"/>
        </w:rPr>
        <w:t xml:space="preserve"> </w:t>
      </w:r>
      <w:r>
        <w:rPr>
          <w:rFonts w:cstheme="minorHAnsi"/>
          <w:sz w:val="24"/>
          <w:szCs w:val="24"/>
        </w:rPr>
        <w:t>eura ili</w:t>
      </w:r>
      <w:r w:rsidRPr="007B58F0">
        <w:rPr>
          <w:rFonts w:cstheme="minorHAnsi"/>
          <w:sz w:val="24"/>
          <w:szCs w:val="24"/>
        </w:rPr>
        <w:t xml:space="preserve"> </w:t>
      </w:r>
      <w:r w:rsidR="007533B5">
        <w:rPr>
          <w:rFonts w:cstheme="minorHAnsi"/>
          <w:sz w:val="24"/>
          <w:szCs w:val="24"/>
        </w:rPr>
        <w:t>94,32</w:t>
      </w:r>
      <w:r>
        <w:rPr>
          <w:rFonts w:cstheme="minorHAnsi"/>
          <w:sz w:val="24"/>
          <w:szCs w:val="24"/>
        </w:rPr>
        <w:t>% godišnjeg plana.</w:t>
      </w:r>
      <w:r w:rsidRPr="003A4A23">
        <w:rPr>
          <w:rFonts w:cstheme="minorHAnsi"/>
          <w:sz w:val="24"/>
          <w:szCs w:val="24"/>
        </w:rPr>
        <w:t xml:space="preserve"> </w:t>
      </w:r>
      <w:r>
        <w:rPr>
          <w:rFonts w:cstheme="minorHAnsi"/>
          <w:sz w:val="24"/>
          <w:szCs w:val="24"/>
        </w:rPr>
        <w:t xml:space="preserve">U odnosu na isto razdoblje prethodne godine </w:t>
      </w:r>
      <w:r w:rsidR="00D55E51">
        <w:rPr>
          <w:rFonts w:cstheme="minorHAnsi"/>
          <w:sz w:val="24"/>
          <w:szCs w:val="24"/>
        </w:rPr>
        <w:t>veći su</w:t>
      </w:r>
      <w:r>
        <w:rPr>
          <w:rFonts w:cstheme="minorHAnsi"/>
          <w:sz w:val="24"/>
          <w:szCs w:val="24"/>
        </w:rPr>
        <w:t xml:space="preserve"> za </w:t>
      </w:r>
      <w:r w:rsidR="007533B5">
        <w:rPr>
          <w:rFonts w:cstheme="minorHAnsi"/>
          <w:sz w:val="24"/>
          <w:szCs w:val="24"/>
        </w:rPr>
        <w:t>2.249.600,44</w:t>
      </w:r>
      <w:r w:rsidR="00B23E4E">
        <w:rPr>
          <w:rFonts w:cstheme="minorHAnsi"/>
          <w:sz w:val="24"/>
          <w:szCs w:val="24"/>
        </w:rPr>
        <w:t xml:space="preserve"> </w:t>
      </w:r>
      <w:r w:rsidR="00911BC6">
        <w:rPr>
          <w:rFonts w:cstheme="minorHAnsi"/>
          <w:sz w:val="24"/>
          <w:szCs w:val="24"/>
        </w:rPr>
        <w:t>eura</w:t>
      </w:r>
      <w:r>
        <w:rPr>
          <w:rFonts w:cstheme="minorHAnsi"/>
          <w:sz w:val="24"/>
          <w:szCs w:val="24"/>
        </w:rPr>
        <w:t xml:space="preserve"> ili </w:t>
      </w:r>
      <w:r w:rsidR="007533B5">
        <w:rPr>
          <w:rFonts w:cstheme="minorHAnsi"/>
          <w:sz w:val="24"/>
          <w:szCs w:val="24"/>
        </w:rPr>
        <w:t>12,83</w:t>
      </w:r>
      <w:r>
        <w:rPr>
          <w:rFonts w:cstheme="minorHAnsi"/>
          <w:sz w:val="24"/>
          <w:szCs w:val="24"/>
        </w:rPr>
        <w:t>%, na što je prvenstveno utjecalo</w:t>
      </w:r>
      <w:r w:rsidR="007C7C5A">
        <w:rPr>
          <w:rFonts w:cstheme="minorHAnsi"/>
          <w:sz w:val="24"/>
          <w:szCs w:val="24"/>
        </w:rPr>
        <w:t xml:space="preserve"> </w:t>
      </w:r>
      <w:r w:rsidR="00D55E51">
        <w:rPr>
          <w:rFonts w:cstheme="minorHAnsi"/>
          <w:sz w:val="24"/>
          <w:szCs w:val="24"/>
        </w:rPr>
        <w:t>veće</w:t>
      </w:r>
      <w:r>
        <w:rPr>
          <w:rFonts w:cstheme="minorHAnsi"/>
          <w:sz w:val="24"/>
          <w:szCs w:val="24"/>
        </w:rPr>
        <w:t xml:space="preserve"> ostvarenje prihoda</w:t>
      </w:r>
      <w:r w:rsidR="007D0806">
        <w:rPr>
          <w:rFonts w:cstheme="minorHAnsi"/>
          <w:sz w:val="24"/>
          <w:szCs w:val="24"/>
        </w:rPr>
        <w:t xml:space="preserve"> od prodaje </w:t>
      </w:r>
      <w:proofErr w:type="spellStart"/>
      <w:r w:rsidR="007D0806">
        <w:rPr>
          <w:rFonts w:cstheme="minorHAnsi"/>
          <w:sz w:val="24"/>
          <w:szCs w:val="24"/>
        </w:rPr>
        <w:t>neproizvedene</w:t>
      </w:r>
      <w:proofErr w:type="spellEnd"/>
      <w:r w:rsidR="00D55E51">
        <w:rPr>
          <w:rFonts w:cstheme="minorHAnsi"/>
          <w:sz w:val="24"/>
          <w:szCs w:val="24"/>
        </w:rPr>
        <w:t xml:space="preserve"> dugotrajne</w:t>
      </w:r>
      <w:r w:rsidR="007D0806">
        <w:rPr>
          <w:rFonts w:cstheme="minorHAnsi"/>
          <w:sz w:val="24"/>
          <w:szCs w:val="24"/>
        </w:rPr>
        <w:t xml:space="preserve"> imovine</w:t>
      </w:r>
      <w:r w:rsidR="004B4A45">
        <w:rPr>
          <w:rFonts w:cstheme="minorHAnsi"/>
          <w:sz w:val="24"/>
          <w:szCs w:val="24"/>
        </w:rPr>
        <w:t xml:space="preserve"> koji bilježe najznačajnije </w:t>
      </w:r>
      <w:r w:rsidR="00D55E51">
        <w:rPr>
          <w:rFonts w:cstheme="minorHAnsi"/>
          <w:sz w:val="24"/>
          <w:szCs w:val="24"/>
        </w:rPr>
        <w:t>povećanje</w:t>
      </w:r>
      <w:r w:rsidR="004B4A45">
        <w:rPr>
          <w:rFonts w:cstheme="minorHAnsi"/>
          <w:sz w:val="24"/>
          <w:szCs w:val="24"/>
        </w:rPr>
        <w:t xml:space="preserve"> u odnosu na ostvarenje/izvršenje 202</w:t>
      </w:r>
      <w:r w:rsidR="00D55E51">
        <w:rPr>
          <w:rFonts w:cstheme="minorHAnsi"/>
          <w:sz w:val="24"/>
          <w:szCs w:val="24"/>
        </w:rPr>
        <w:t>4</w:t>
      </w:r>
      <w:r w:rsidR="004B4A45">
        <w:rPr>
          <w:rFonts w:cstheme="minorHAnsi"/>
          <w:sz w:val="24"/>
          <w:szCs w:val="24"/>
        </w:rPr>
        <w:t>.godine.</w:t>
      </w:r>
    </w:p>
    <w:p w14:paraId="5BC83B1C" w14:textId="77777777" w:rsidR="00B37009" w:rsidRPr="007B58F0" w:rsidRDefault="00B37009" w:rsidP="00B37009">
      <w:pPr>
        <w:spacing w:after="0" w:line="240" w:lineRule="auto"/>
        <w:jc w:val="both"/>
        <w:rPr>
          <w:rFonts w:cstheme="minorHAnsi"/>
          <w:sz w:val="24"/>
          <w:szCs w:val="24"/>
        </w:rPr>
      </w:pPr>
      <w:r w:rsidRPr="007B58F0">
        <w:rPr>
          <w:rFonts w:cstheme="minorHAnsi"/>
          <w:sz w:val="24"/>
          <w:szCs w:val="24"/>
        </w:rPr>
        <w:t>Na vlastite i namjenske prihode proračunskih korisnika Grada Trogira odnosi se</w:t>
      </w:r>
      <w:r>
        <w:rPr>
          <w:rFonts w:cstheme="minorHAnsi"/>
          <w:sz w:val="24"/>
          <w:szCs w:val="24"/>
        </w:rPr>
        <w:t xml:space="preserve"> </w:t>
      </w:r>
      <w:r w:rsidR="00911BC6">
        <w:rPr>
          <w:rFonts w:cstheme="minorHAnsi"/>
          <w:sz w:val="24"/>
          <w:szCs w:val="24"/>
        </w:rPr>
        <w:t>225.644,09 eura</w:t>
      </w:r>
      <w:r w:rsidRPr="007B58F0">
        <w:rPr>
          <w:rFonts w:cstheme="minorHAnsi"/>
          <w:sz w:val="24"/>
          <w:szCs w:val="24"/>
        </w:rPr>
        <w:t xml:space="preserve">  ili </w:t>
      </w:r>
      <w:r>
        <w:rPr>
          <w:rFonts w:cstheme="minorHAnsi"/>
          <w:sz w:val="24"/>
          <w:szCs w:val="24"/>
        </w:rPr>
        <w:t>1,49</w:t>
      </w:r>
      <w:r w:rsidRPr="007B58F0">
        <w:rPr>
          <w:rFonts w:cstheme="minorHAnsi"/>
          <w:sz w:val="24"/>
          <w:szCs w:val="24"/>
        </w:rPr>
        <w:t xml:space="preserve">%, odnosno </w:t>
      </w:r>
      <w:r w:rsidR="00E90ED0">
        <w:rPr>
          <w:rFonts w:cstheme="minorHAnsi"/>
          <w:sz w:val="24"/>
          <w:szCs w:val="24"/>
        </w:rPr>
        <w:t>170.836,77 eura</w:t>
      </w:r>
      <w:r w:rsidRPr="007B58F0">
        <w:rPr>
          <w:rFonts w:cstheme="minorHAnsi"/>
          <w:sz w:val="24"/>
          <w:szCs w:val="24"/>
        </w:rPr>
        <w:t xml:space="preserve"> na Dječji vrtić Trogir, </w:t>
      </w:r>
      <w:r w:rsidR="00E90ED0">
        <w:rPr>
          <w:rFonts w:cstheme="minorHAnsi"/>
          <w:sz w:val="24"/>
          <w:szCs w:val="24"/>
        </w:rPr>
        <w:t>11.911,20 eura</w:t>
      </w:r>
      <w:r w:rsidRPr="007B58F0">
        <w:rPr>
          <w:rFonts w:cstheme="minorHAnsi"/>
          <w:sz w:val="24"/>
          <w:szCs w:val="24"/>
        </w:rPr>
        <w:t xml:space="preserve"> na Muzej Grada Trogira</w:t>
      </w:r>
      <w:r>
        <w:rPr>
          <w:rFonts w:cstheme="minorHAnsi"/>
          <w:sz w:val="24"/>
          <w:szCs w:val="24"/>
        </w:rPr>
        <w:t xml:space="preserve">, </w:t>
      </w:r>
      <w:r w:rsidR="00E90ED0">
        <w:rPr>
          <w:rFonts w:cstheme="minorHAnsi"/>
          <w:sz w:val="24"/>
          <w:szCs w:val="24"/>
        </w:rPr>
        <w:t>11.927,11 eura</w:t>
      </w:r>
      <w:r w:rsidRPr="007B58F0">
        <w:rPr>
          <w:rFonts w:cstheme="minorHAnsi"/>
          <w:sz w:val="24"/>
          <w:szCs w:val="24"/>
        </w:rPr>
        <w:t xml:space="preserve"> na Gradsku knjižnicu Trogir</w:t>
      </w:r>
      <w:r>
        <w:rPr>
          <w:rFonts w:cstheme="minorHAnsi"/>
          <w:sz w:val="24"/>
          <w:szCs w:val="24"/>
        </w:rPr>
        <w:t xml:space="preserve"> te </w:t>
      </w:r>
      <w:r w:rsidR="00E90ED0">
        <w:rPr>
          <w:rFonts w:cstheme="minorHAnsi"/>
          <w:sz w:val="24"/>
          <w:szCs w:val="24"/>
        </w:rPr>
        <w:t>22.802,84 eura</w:t>
      </w:r>
      <w:r w:rsidRPr="007B58F0">
        <w:rPr>
          <w:rFonts w:cstheme="minorHAnsi"/>
          <w:sz w:val="24"/>
          <w:szCs w:val="24"/>
        </w:rPr>
        <w:t xml:space="preserve"> na prihode Javne ustanove Športski objekti Trogir</w:t>
      </w:r>
      <w:r>
        <w:rPr>
          <w:rFonts w:cstheme="minorHAnsi"/>
          <w:sz w:val="24"/>
          <w:szCs w:val="24"/>
        </w:rPr>
        <w:t>. Javna</w:t>
      </w:r>
      <w:r w:rsidRPr="007B58F0">
        <w:rPr>
          <w:rFonts w:cstheme="minorHAnsi"/>
          <w:sz w:val="24"/>
          <w:szCs w:val="24"/>
        </w:rPr>
        <w:t xml:space="preserve"> vatroga</w:t>
      </w:r>
      <w:r>
        <w:rPr>
          <w:rFonts w:cstheme="minorHAnsi"/>
          <w:sz w:val="24"/>
          <w:szCs w:val="24"/>
        </w:rPr>
        <w:t>sna postrojba</w:t>
      </w:r>
      <w:r w:rsidRPr="007B58F0">
        <w:rPr>
          <w:rFonts w:cstheme="minorHAnsi"/>
          <w:sz w:val="24"/>
          <w:szCs w:val="24"/>
        </w:rPr>
        <w:t xml:space="preserve"> Grada Trogira</w:t>
      </w:r>
      <w:r>
        <w:rPr>
          <w:rFonts w:cstheme="minorHAnsi"/>
          <w:sz w:val="24"/>
          <w:szCs w:val="24"/>
        </w:rPr>
        <w:t xml:space="preserve"> ostvarila je </w:t>
      </w:r>
      <w:r w:rsidR="00E90ED0">
        <w:rPr>
          <w:rFonts w:cstheme="minorHAnsi"/>
          <w:sz w:val="24"/>
          <w:szCs w:val="24"/>
        </w:rPr>
        <w:t>117.329,97 eura</w:t>
      </w:r>
      <w:r>
        <w:rPr>
          <w:rFonts w:cstheme="minorHAnsi"/>
          <w:sz w:val="24"/>
          <w:szCs w:val="24"/>
        </w:rPr>
        <w:t xml:space="preserve">  decentraliziranih sredstava te </w:t>
      </w:r>
      <w:r w:rsidR="00E90ED0">
        <w:rPr>
          <w:rFonts w:cstheme="minorHAnsi"/>
          <w:sz w:val="24"/>
          <w:szCs w:val="24"/>
        </w:rPr>
        <w:t>8.166,17 eura</w:t>
      </w:r>
      <w:r>
        <w:rPr>
          <w:rFonts w:cstheme="minorHAnsi"/>
          <w:sz w:val="24"/>
          <w:szCs w:val="24"/>
        </w:rPr>
        <w:t xml:space="preserve"> vlastitih prihoda.</w:t>
      </w:r>
    </w:p>
    <w:p w14:paraId="2D11AFA5" w14:textId="1A8C2476" w:rsidR="00A63D0D" w:rsidRDefault="00B37009" w:rsidP="00A63D0D">
      <w:pPr>
        <w:autoSpaceDE w:val="0"/>
        <w:autoSpaceDN w:val="0"/>
        <w:adjustRightInd w:val="0"/>
        <w:spacing w:after="0" w:line="240" w:lineRule="auto"/>
        <w:jc w:val="both"/>
        <w:rPr>
          <w:rFonts w:eastAsia="Times New Roman" w:cstheme="minorHAnsi"/>
          <w:color w:val="000000"/>
          <w:sz w:val="24"/>
          <w:szCs w:val="24"/>
          <w:lang w:eastAsia="hr-HR"/>
        </w:rPr>
      </w:pPr>
      <w:r>
        <w:rPr>
          <w:rFonts w:eastAsia="Times New Roman" w:cstheme="minorHAnsi"/>
          <w:color w:val="000000"/>
          <w:sz w:val="24"/>
          <w:szCs w:val="24"/>
          <w:lang w:eastAsia="hr-HR"/>
        </w:rPr>
        <w:t>U tablici bro</w:t>
      </w:r>
      <w:r w:rsidR="00E1496C">
        <w:rPr>
          <w:rFonts w:eastAsia="Times New Roman" w:cstheme="minorHAnsi"/>
          <w:color w:val="000000"/>
          <w:sz w:val="24"/>
          <w:szCs w:val="24"/>
          <w:lang w:eastAsia="hr-HR"/>
        </w:rPr>
        <w:t>j 3</w:t>
      </w:r>
      <w:r w:rsidRPr="007B58F0">
        <w:rPr>
          <w:rFonts w:eastAsia="Times New Roman" w:cstheme="minorHAnsi"/>
          <w:color w:val="000000"/>
          <w:sz w:val="24"/>
          <w:szCs w:val="24"/>
          <w:lang w:eastAsia="hr-HR"/>
        </w:rPr>
        <w:t>. daje se p</w:t>
      </w:r>
      <w:r w:rsidR="00B23E4E">
        <w:rPr>
          <w:rFonts w:eastAsia="Times New Roman" w:cstheme="minorHAnsi"/>
          <w:color w:val="000000"/>
          <w:sz w:val="24"/>
          <w:szCs w:val="24"/>
          <w:lang w:eastAsia="hr-HR"/>
        </w:rPr>
        <w:t>rikaz</w:t>
      </w:r>
      <w:r w:rsidRPr="007B58F0">
        <w:rPr>
          <w:rFonts w:eastAsia="Times New Roman" w:cstheme="minorHAnsi"/>
          <w:color w:val="000000"/>
          <w:sz w:val="24"/>
          <w:szCs w:val="24"/>
          <w:lang w:eastAsia="hr-HR"/>
        </w:rPr>
        <w:t xml:space="preserve"> ostvarenih prihoda i primitaka Proračuna Grada Trogi</w:t>
      </w:r>
      <w:r w:rsidR="00E90ED0">
        <w:rPr>
          <w:rFonts w:eastAsia="Times New Roman" w:cstheme="minorHAnsi"/>
          <w:color w:val="000000"/>
          <w:sz w:val="24"/>
          <w:szCs w:val="24"/>
          <w:lang w:eastAsia="hr-HR"/>
        </w:rPr>
        <w:t xml:space="preserve">ra u </w:t>
      </w:r>
      <w:r w:rsidR="007D0806">
        <w:rPr>
          <w:rFonts w:eastAsia="Times New Roman" w:cstheme="minorHAnsi"/>
          <w:color w:val="000000"/>
          <w:sz w:val="24"/>
          <w:szCs w:val="24"/>
          <w:lang w:eastAsia="hr-HR"/>
        </w:rPr>
        <w:t>izvještajnom razdoblju</w:t>
      </w:r>
      <w:r w:rsidR="00E90ED0">
        <w:rPr>
          <w:rFonts w:eastAsia="Times New Roman" w:cstheme="minorHAnsi"/>
          <w:color w:val="000000"/>
          <w:sz w:val="24"/>
          <w:szCs w:val="24"/>
          <w:lang w:eastAsia="hr-HR"/>
        </w:rPr>
        <w:t xml:space="preserve"> 202</w:t>
      </w:r>
      <w:r w:rsidR="00D55E51">
        <w:rPr>
          <w:rFonts w:eastAsia="Times New Roman" w:cstheme="minorHAnsi"/>
          <w:color w:val="000000"/>
          <w:sz w:val="24"/>
          <w:szCs w:val="24"/>
          <w:lang w:eastAsia="hr-HR"/>
        </w:rPr>
        <w:t>5</w:t>
      </w:r>
      <w:r w:rsidR="00E90ED0">
        <w:rPr>
          <w:rFonts w:eastAsia="Times New Roman" w:cstheme="minorHAnsi"/>
          <w:color w:val="000000"/>
          <w:sz w:val="24"/>
          <w:szCs w:val="24"/>
          <w:lang w:eastAsia="hr-HR"/>
        </w:rPr>
        <w:t>. godine</w:t>
      </w:r>
      <w:r w:rsidRPr="007B58F0">
        <w:rPr>
          <w:rFonts w:eastAsia="Times New Roman" w:cstheme="minorHAnsi"/>
          <w:color w:val="000000"/>
          <w:sz w:val="24"/>
          <w:szCs w:val="24"/>
          <w:lang w:eastAsia="hr-HR"/>
        </w:rPr>
        <w:t xml:space="preserve"> </w:t>
      </w:r>
      <w:r>
        <w:rPr>
          <w:rFonts w:eastAsia="Times New Roman" w:cstheme="minorHAnsi"/>
          <w:color w:val="000000"/>
          <w:sz w:val="24"/>
          <w:szCs w:val="24"/>
          <w:lang w:eastAsia="hr-HR"/>
        </w:rPr>
        <w:t>u usporedbi s planom i s usporednim pokazateljima ostvarenja prihoda i primitaka u 20</w:t>
      </w:r>
      <w:r w:rsidR="00E90ED0">
        <w:rPr>
          <w:rFonts w:eastAsia="Times New Roman" w:cstheme="minorHAnsi"/>
          <w:color w:val="000000"/>
          <w:sz w:val="24"/>
          <w:szCs w:val="24"/>
          <w:lang w:eastAsia="hr-HR"/>
        </w:rPr>
        <w:t>2</w:t>
      </w:r>
      <w:r w:rsidR="00A127D9">
        <w:rPr>
          <w:rFonts w:eastAsia="Times New Roman" w:cstheme="minorHAnsi"/>
          <w:color w:val="000000"/>
          <w:sz w:val="24"/>
          <w:szCs w:val="24"/>
          <w:lang w:eastAsia="hr-HR"/>
        </w:rPr>
        <w:t>4</w:t>
      </w:r>
      <w:r>
        <w:rPr>
          <w:rFonts w:eastAsia="Times New Roman" w:cstheme="minorHAnsi"/>
          <w:color w:val="000000"/>
          <w:sz w:val="24"/>
          <w:szCs w:val="24"/>
          <w:lang w:eastAsia="hr-HR"/>
        </w:rPr>
        <w:t>. godin</w:t>
      </w:r>
      <w:r w:rsidR="007D0806">
        <w:rPr>
          <w:rFonts w:eastAsia="Times New Roman" w:cstheme="minorHAnsi"/>
          <w:color w:val="000000"/>
          <w:sz w:val="24"/>
          <w:szCs w:val="24"/>
          <w:lang w:eastAsia="hr-HR"/>
        </w:rPr>
        <w:t>i</w:t>
      </w:r>
      <w:r>
        <w:rPr>
          <w:rFonts w:eastAsia="Times New Roman" w:cstheme="minorHAnsi"/>
          <w:color w:val="000000"/>
          <w:sz w:val="24"/>
          <w:szCs w:val="24"/>
          <w:lang w:eastAsia="hr-HR"/>
        </w:rPr>
        <w:t>.</w:t>
      </w:r>
    </w:p>
    <w:p w14:paraId="2331D54C" w14:textId="77777777" w:rsidR="00A63D0D" w:rsidRDefault="00A63D0D" w:rsidP="00A63D0D">
      <w:pPr>
        <w:autoSpaceDE w:val="0"/>
        <w:autoSpaceDN w:val="0"/>
        <w:adjustRightInd w:val="0"/>
        <w:spacing w:after="0" w:line="240" w:lineRule="auto"/>
        <w:jc w:val="both"/>
        <w:rPr>
          <w:rFonts w:eastAsia="Times New Roman" w:cstheme="minorHAnsi"/>
          <w:color w:val="000000"/>
          <w:sz w:val="24"/>
          <w:szCs w:val="24"/>
          <w:lang w:eastAsia="hr-HR"/>
        </w:rPr>
      </w:pPr>
    </w:p>
    <w:p w14:paraId="154E22DB" w14:textId="049EC843" w:rsidR="00582AFB" w:rsidRDefault="005A2BB6" w:rsidP="00B37009">
      <w:pPr>
        <w:spacing w:line="240" w:lineRule="auto"/>
        <w:jc w:val="both"/>
        <w:rPr>
          <w:rFonts w:cstheme="minorHAnsi"/>
          <w:sz w:val="24"/>
          <w:szCs w:val="24"/>
        </w:rPr>
      </w:pPr>
      <w:r w:rsidRPr="004F63D6">
        <w:rPr>
          <w:rFonts w:eastAsia="Times New Roman" w:cstheme="minorHAnsi"/>
          <w:b/>
          <w:bCs/>
          <w:color w:val="000000"/>
          <w:sz w:val="24"/>
          <w:szCs w:val="24"/>
          <w:lang w:eastAsia="hr-HR"/>
        </w:rPr>
        <w:t>Tablica 3</w:t>
      </w:r>
      <w:r w:rsidR="00B37009" w:rsidRPr="004F63D6">
        <w:rPr>
          <w:rFonts w:eastAsia="Times New Roman" w:cstheme="minorHAnsi"/>
          <w:b/>
          <w:bCs/>
          <w:color w:val="000000"/>
          <w:sz w:val="24"/>
          <w:szCs w:val="24"/>
          <w:lang w:eastAsia="hr-HR"/>
        </w:rPr>
        <w:t xml:space="preserve">. </w:t>
      </w:r>
      <w:r w:rsidR="00B37009" w:rsidRPr="004F63D6">
        <w:rPr>
          <w:rFonts w:cstheme="minorHAnsi"/>
          <w:sz w:val="24"/>
          <w:szCs w:val="24"/>
        </w:rPr>
        <w:t>Ostvareni prihodi i primici konsolidiranog Prora</w:t>
      </w:r>
      <w:r w:rsidR="00E90ED0" w:rsidRPr="004F63D6">
        <w:rPr>
          <w:rFonts w:cstheme="minorHAnsi"/>
          <w:sz w:val="24"/>
          <w:szCs w:val="24"/>
        </w:rPr>
        <w:t xml:space="preserve">čuna Grada Trogira za </w:t>
      </w:r>
      <w:r w:rsidR="00AB4534" w:rsidRPr="004F63D6">
        <w:rPr>
          <w:rFonts w:cstheme="minorHAnsi"/>
          <w:sz w:val="24"/>
          <w:szCs w:val="24"/>
        </w:rPr>
        <w:t>202</w:t>
      </w:r>
      <w:r w:rsidR="00EF6BE6">
        <w:rPr>
          <w:rFonts w:cstheme="minorHAnsi"/>
          <w:sz w:val="24"/>
          <w:szCs w:val="24"/>
        </w:rPr>
        <w:t>5</w:t>
      </w:r>
      <w:r w:rsidR="00B37009" w:rsidRPr="004F63D6">
        <w:rPr>
          <w:rFonts w:cstheme="minorHAnsi"/>
          <w:sz w:val="24"/>
          <w:szCs w:val="24"/>
        </w:rPr>
        <w:t>.g. u odnosu na godišnji plan</w:t>
      </w:r>
      <w:r w:rsidR="00B23E4E">
        <w:rPr>
          <w:rFonts w:cstheme="minorHAnsi"/>
          <w:sz w:val="24"/>
          <w:szCs w:val="24"/>
        </w:rPr>
        <w:t xml:space="preserve"> za 202</w:t>
      </w:r>
      <w:r w:rsidR="00EF6BE6">
        <w:rPr>
          <w:rFonts w:cstheme="minorHAnsi"/>
          <w:sz w:val="24"/>
          <w:szCs w:val="24"/>
        </w:rPr>
        <w:t>5</w:t>
      </w:r>
      <w:r w:rsidR="00B23E4E">
        <w:rPr>
          <w:rFonts w:cstheme="minorHAnsi"/>
          <w:sz w:val="24"/>
          <w:szCs w:val="24"/>
        </w:rPr>
        <w:t>.</w:t>
      </w:r>
      <w:r w:rsidR="00B37009" w:rsidRPr="004F63D6">
        <w:rPr>
          <w:rFonts w:cstheme="minorHAnsi"/>
          <w:sz w:val="24"/>
          <w:szCs w:val="24"/>
        </w:rPr>
        <w:t xml:space="preserve"> i izvršenje</w:t>
      </w:r>
      <w:r w:rsidR="00AB4534" w:rsidRPr="004F63D6">
        <w:rPr>
          <w:rFonts w:cstheme="minorHAnsi"/>
          <w:sz w:val="24"/>
          <w:szCs w:val="24"/>
        </w:rPr>
        <w:t xml:space="preserve"> </w:t>
      </w:r>
      <w:r w:rsidR="00E90ED0" w:rsidRPr="004F63D6">
        <w:rPr>
          <w:rFonts w:cstheme="minorHAnsi"/>
          <w:sz w:val="24"/>
          <w:szCs w:val="24"/>
        </w:rPr>
        <w:t>202</w:t>
      </w:r>
      <w:r w:rsidR="00EF6BE6">
        <w:rPr>
          <w:rFonts w:cstheme="minorHAnsi"/>
          <w:sz w:val="24"/>
          <w:szCs w:val="24"/>
        </w:rPr>
        <w:t>4</w:t>
      </w:r>
      <w:r w:rsidR="00B37009" w:rsidRPr="004F63D6">
        <w:rPr>
          <w:rFonts w:cstheme="minorHAnsi"/>
          <w:sz w:val="24"/>
          <w:szCs w:val="24"/>
        </w:rPr>
        <w:t xml:space="preserve">. godine </w:t>
      </w:r>
    </w:p>
    <w:p w14:paraId="5FE05B8A" w14:textId="77777777" w:rsidR="00A63D0D" w:rsidRDefault="00A63D0D" w:rsidP="00B37009">
      <w:pPr>
        <w:spacing w:line="240" w:lineRule="auto"/>
        <w:jc w:val="both"/>
        <w:rPr>
          <w:rFonts w:cstheme="minorHAnsi"/>
          <w:sz w:val="24"/>
          <w:szCs w:val="24"/>
        </w:rPr>
      </w:pPr>
    </w:p>
    <w:p w14:paraId="416A0CFD" w14:textId="77777777" w:rsidR="00A63D0D" w:rsidRDefault="00A63D0D" w:rsidP="00B37009">
      <w:pPr>
        <w:spacing w:line="240" w:lineRule="auto"/>
        <w:jc w:val="both"/>
        <w:rPr>
          <w:rFonts w:cstheme="minorHAnsi"/>
          <w:sz w:val="24"/>
          <w:szCs w:val="24"/>
        </w:rPr>
      </w:pPr>
    </w:p>
    <w:p w14:paraId="2130147A" w14:textId="77777777" w:rsidR="00A63D0D" w:rsidRDefault="00A63D0D" w:rsidP="00B37009">
      <w:pPr>
        <w:spacing w:line="240" w:lineRule="auto"/>
        <w:jc w:val="both"/>
        <w:rPr>
          <w:rFonts w:cstheme="minorHAnsi"/>
          <w:sz w:val="24"/>
          <w:szCs w:val="24"/>
        </w:rPr>
      </w:pPr>
    </w:p>
    <w:p w14:paraId="087743AE" w14:textId="77777777" w:rsidR="00A63D0D" w:rsidRDefault="00A63D0D" w:rsidP="00B37009">
      <w:pPr>
        <w:spacing w:line="240" w:lineRule="auto"/>
        <w:jc w:val="both"/>
        <w:rPr>
          <w:rFonts w:cstheme="minorHAnsi"/>
          <w:sz w:val="24"/>
          <w:szCs w:val="24"/>
        </w:rPr>
      </w:pPr>
    </w:p>
    <w:tbl>
      <w:tblPr>
        <w:tblW w:w="10510" w:type="dxa"/>
        <w:tblInd w:w="-474" w:type="dxa"/>
        <w:tblLook w:val="04A0" w:firstRow="1" w:lastRow="0" w:firstColumn="1" w:lastColumn="0" w:noHBand="0" w:noVBand="1"/>
      </w:tblPr>
      <w:tblGrid>
        <w:gridCol w:w="777"/>
        <w:gridCol w:w="2566"/>
        <w:gridCol w:w="1460"/>
        <w:gridCol w:w="1399"/>
        <w:gridCol w:w="1314"/>
        <w:gridCol w:w="1293"/>
        <w:gridCol w:w="855"/>
        <w:gridCol w:w="850"/>
      </w:tblGrid>
      <w:tr w:rsidR="00EF6BE6" w:rsidRPr="00EF6BE6" w14:paraId="3A80C103" w14:textId="77777777" w:rsidTr="0087064B">
        <w:trPr>
          <w:trHeight w:val="710"/>
        </w:trPr>
        <w:tc>
          <w:tcPr>
            <w:tcW w:w="777" w:type="dxa"/>
            <w:tcBorders>
              <w:top w:val="single" w:sz="4" w:space="0" w:color="auto"/>
              <w:left w:val="nil"/>
              <w:bottom w:val="single" w:sz="4" w:space="0" w:color="auto"/>
              <w:right w:val="nil"/>
            </w:tcBorders>
            <w:shd w:val="clear" w:color="000000" w:fill="D0CECE"/>
            <w:vAlign w:val="bottom"/>
            <w:hideMark/>
          </w:tcPr>
          <w:p w14:paraId="4E7870F7" w14:textId="77777777" w:rsidR="00EF6BE6" w:rsidRPr="00EF6BE6" w:rsidRDefault="00EF6BE6" w:rsidP="00EF6BE6">
            <w:pPr>
              <w:spacing w:after="0" w:line="240" w:lineRule="auto"/>
              <w:jc w:val="center"/>
              <w:rPr>
                <w:rFonts w:ascii="Calibri" w:eastAsia="Times New Roman" w:hAnsi="Calibri" w:cs="Calibri"/>
                <w:b/>
                <w:bCs/>
                <w:color w:val="000000"/>
                <w:sz w:val="16"/>
                <w:szCs w:val="16"/>
                <w:lang w:eastAsia="hr-HR"/>
              </w:rPr>
            </w:pPr>
            <w:r w:rsidRPr="00EF6BE6">
              <w:rPr>
                <w:rFonts w:ascii="Calibri" w:eastAsia="Times New Roman" w:hAnsi="Calibri" w:cs="Calibri"/>
                <w:b/>
                <w:bCs/>
                <w:color w:val="000000"/>
                <w:sz w:val="16"/>
                <w:szCs w:val="16"/>
                <w:lang w:eastAsia="hr-HR"/>
              </w:rPr>
              <w:lastRenderedPageBreak/>
              <w:t>Skupina konta</w:t>
            </w:r>
          </w:p>
        </w:tc>
        <w:tc>
          <w:tcPr>
            <w:tcW w:w="2566" w:type="dxa"/>
            <w:tcBorders>
              <w:top w:val="single" w:sz="4" w:space="0" w:color="auto"/>
              <w:left w:val="nil"/>
              <w:bottom w:val="single" w:sz="4" w:space="0" w:color="auto"/>
              <w:right w:val="nil"/>
            </w:tcBorders>
            <w:shd w:val="clear" w:color="000000" w:fill="D0CECE"/>
            <w:noWrap/>
            <w:vAlign w:val="bottom"/>
            <w:hideMark/>
          </w:tcPr>
          <w:p w14:paraId="7D9280C1" w14:textId="77777777" w:rsidR="00EF6BE6" w:rsidRPr="00EF6BE6" w:rsidRDefault="00EF6BE6" w:rsidP="00EF6BE6">
            <w:pPr>
              <w:spacing w:after="0" w:line="240" w:lineRule="auto"/>
              <w:jc w:val="center"/>
              <w:rPr>
                <w:rFonts w:ascii="Calibri" w:eastAsia="Times New Roman" w:hAnsi="Calibri" w:cs="Calibri"/>
                <w:b/>
                <w:bCs/>
                <w:color w:val="000000"/>
                <w:sz w:val="16"/>
                <w:szCs w:val="16"/>
                <w:lang w:eastAsia="hr-HR"/>
              </w:rPr>
            </w:pPr>
            <w:r w:rsidRPr="00EF6BE6">
              <w:rPr>
                <w:rFonts w:ascii="Calibri" w:eastAsia="Times New Roman" w:hAnsi="Calibri" w:cs="Calibri"/>
                <w:b/>
                <w:bCs/>
                <w:color w:val="000000"/>
                <w:sz w:val="16"/>
                <w:szCs w:val="16"/>
                <w:lang w:eastAsia="hr-HR"/>
              </w:rPr>
              <w:t xml:space="preserve">PRIHODI </w:t>
            </w:r>
          </w:p>
        </w:tc>
        <w:tc>
          <w:tcPr>
            <w:tcW w:w="1460" w:type="dxa"/>
            <w:tcBorders>
              <w:top w:val="single" w:sz="4" w:space="0" w:color="auto"/>
              <w:left w:val="nil"/>
              <w:bottom w:val="single" w:sz="4" w:space="0" w:color="auto"/>
              <w:right w:val="nil"/>
            </w:tcBorders>
            <w:shd w:val="clear" w:color="000000" w:fill="D0CECE"/>
            <w:vAlign w:val="bottom"/>
            <w:hideMark/>
          </w:tcPr>
          <w:p w14:paraId="786261D3" w14:textId="77777777" w:rsidR="00EF6BE6" w:rsidRPr="00EF6BE6" w:rsidRDefault="00EF6BE6" w:rsidP="00EF6BE6">
            <w:pPr>
              <w:spacing w:after="0" w:line="240" w:lineRule="auto"/>
              <w:jc w:val="center"/>
              <w:rPr>
                <w:rFonts w:ascii="Calibri" w:eastAsia="Times New Roman" w:hAnsi="Calibri" w:cs="Calibri"/>
                <w:b/>
                <w:bCs/>
                <w:color w:val="000000"/>
                <w:sz w:val="16"/>
                <w:szCs w:val="16"/>
                <w:lang w:eastAsia="hr-HR"/>
              </w:rPr>
            </w:pPr>
            <w:r w:rsidRPr="00EF6BE6">
              <w:rPr>
                <w:rFonts w:ascii="Calibri" w:eastAsia="Times New Roman" w:hAnsi="Calibri" w:cs="Calibri"/>
                <w:b/>
                <w:bCs/>
                <w:color w:val="000000"/>
                <w:sz w:val="16"/>
                <w:szCs w:val="16"/>
                <w:lang w:eastAsia="hr-HR"/>
              </w:rPr>
              <w:t>IZVRŠENJE                               I.-XII.2024.G.</w:t>
            </w:r>
          </w:p>
        </w:tc>
        <w:tc>
          <w:tcPr>
            <w:tcW w:w="1399" w:type="dxa"/>
            <w:tcBorders>
              <w:top w:val="single" w:sz="4" w:space="0" w:color="auto"/>
              <w:left w:val="nil"/>
              <w:bottom w:val="single" w:sz="4" w:space="0" w:color="auto"/>
              <w:right w:val="nil"/>
            </w:tcBorders>
            <w:shd w:val="clear" w:color="000000" w:fill="D0CECE"/>
            <w:vAlign w:val="bottom"/>
            <w:hideMark/>
          </w:tcPr>
          <w:p w14:paraId="714FC347" w14:textId="77777777" w:rsidR="00EF6BE6" w:rsidRPr="00EF6BE6" w:rsidRDefault="00EF6BE6" w:rsidP="00EF6BE6">
            <w:pPr>
              <w:spacing w:after="0" w:line="240" w:lineRule="auto"/>
              <w:jc w:val="center"/>
              <w:rPr>
                <w:rFonts w:ascii="Calibri" w:eastAsia="Times New Roman" w:hAnsi="Calibri" w:cs="Calibri"/>
                <w:b/>
                <w:bCs/>
                <w:color w:val="000000"/>
                <w:sz w:val="16"/>
                <w:szCs w:val="16"/>
                <w:lang w:eastAsia="hr-HR"/>
              </w:rPr>
            </w:pPr>
            <w:r w:rsidRPr="00EF6BE6">
              <w:rPr>
                <w:rFonts w:ascii="Calibri" w:eastAsia="Times New Roman" w:hAnsi="Calibri" w:cs="Calibri"/>
                <w:b/>
                <w:bCs/>
                <w:color w:val="000000"/>
                <w:sz w:val="16"/>
                <w:szCs w:val="16"/>
                <w:lang w:eastAsia="hr-HR"/>
              </w:rPr>
              <w:t>IZVORNI  PLAN/REBALANS 2025.G.</w:t>
            </w:r>
          </w:p>
        </w:tc>
        <w:tc>
          <w:tcPr>
            <w:tcW w:w="1314" w:type="dxa"/>
            <w:tcBorders>
              <w:top w:val="single" w:sz="4" w:space="0" w:color="auto"/>
              <w:left w:val="nil"/>
              <w:bottom w:val="single" w:sz="4" w:space="0" w:color="auto"/>
              <w:right w:val="nil"/>
            </w:tcBorders>
            <w:shd w:val="clear" w:color="000000" w:fill="D0CECE"/>
            <w:vAlign w:val="bottom"/>
            <w:hideMark/>
          </w:tcPr>
          <w:p w14:paraId="1C035CBA" w14:textId="77777777" w:rsidR="00EF6BE6" w:rsidRPr="00EF6BE6" w:rsidRDefault="00EF6BE6" w:rsidP="00EF6BE6">
            <w:pPr>
              <w:spacing w:after="0" w:line="240" w:lineRule="auto"/>
              <w:jc w:val="center"/>
              <w:rPr>
                <w:rFonts w:ascii="Calibri" w:eastAsia="Times New Roman" w:hAnsi="Calibri" w:cs="Calibri"/>
                <w:b/>
                <w:bCs/>
                <w:color w:val="000000"/>
                <w:sz w:val="16"/>
                <w:szCs w:val="16"/>
                <w:lang w:eastAsia="hr-HR"/>
              </w:rPr>
            </w:pPr>
            <w:r w:rsidRPr="00EF6BE6">
              <w:rPr>
                <w:rFonts w:ascii="Calibri" w:eastAsia="Times New Roman" w:hAnsi="Calibri" w:cs="Calibri"/>
                <w:b/>
                <w:bCs/>
                <w:color w:val="000000"/>
                <w:sz w:val="16"/>
                <w:szCs w:val="16"/>
                <w:lang w:eastAsia="hr-HR"/>
              </w:rPr>
              <w:t xml:space="preserve">TEKUĆI PLAN 2025.G. </w:t>
            </w:r>
          </w:p>
        </w:tc>
        <w:tc>
          <w:tcPr>
            <w:tcW w:w="1293" w:type="dxa"/>
            <w:tcBorders>
              <w:top w:val="single" w:sz="4" w:space="0" w:color="auto"/>
              <w:left w:val="nil"/>
              <w:bottom w:val="single" w:sz="4" w:space="0" w:color="auto"/>
              <w:right w:val="nil"/>
            </w:tcBorders>
            <w:shd w:val="clear" w:color="000000" w:fill="D0CECE"/>
            <w:vAlign w:val="bottom"/>
            <w:hideMark/>
          </w:tcPr>
          <w:p w14:paraId="48090EA2" w14:textId="77777777" w:rsidR="00EF6BE6" w:rsidRPr="00EF6BE6" w:rsidRDefault="00EF6BE6" w:rsidP="00EF6BE6">
            <w:pPr>
              <w:spacing w:after="0" w:line="240" w:lineRule="auto"/>
              <w:jc w:val="center"/>
              <w:rPr>
                <w:rFonts w:ascii="Calibri" w:eastAsia="Times New Roman" w:hAnsi="Calibri" w:cs="Calibri"/>
                <w:b/>
                <w:bCs/>
                <w:color w:val="000000"/>
                <w:sz w:val="16"/>
                <w:szCs w:val="16"/>
                <w:lang w:eastAsia="hr-HR"/>
              </w:rPr>
            </w:pPr>
            <w:r w:rsidRPr="00EF6BE6">
              <w:rPr>
                <w:rFonts w:ascii="Calibri" w:eastAsia="Times New Roman" w:hAnsi="Calibri" w:cs="Calibri"/>
                <w:b/>
                <w:bCs/>
                <w:color w:val="000000"/>
                <w:sz w:val="16"/>
                <w:szCs w:val="16"/>
                <w:lang w:eastAsia="hr-HR"/>
              </w:rPr>
              <w:t>IZVRŠENJE                       I.-XII.2025.G.</w:t>
            </w:r>
          </w:p>
        </w:tc>
        <w:tc>
          <w:tcPr>
            <w:tcW w:w="855" w:type="dxa"/>
            <w:tcBorders>
              <w:top w:val="single" w:sz="4" w:space="0" w:color="auto"/>
              <w:left w:val="nil"/>
              <w:bottom w:val="single" w:sz="4" w:space="0" w:color="auto"/>
              <w:right w:val="nil"/>
            </w:tcBorders>
            <w:shd w:val="clear" w:color="000000" w:fill="D0CECE"/>
            <w:vAlign w:val="bottom"/>
            <w:hideMark/>
          </w:tcPr>
          <w:p w14:paraId="1E832622" w14:textId="77777777" w:rsidR="00EF6BE6" w:rsidRPr="00EF6BE6" w:rsidRDefault="00EF6BE6" w:rsidP="00EF6BE6">
            <w:pPr>
              <w:spacing w:after="0" w:line="240" w:lineRule="auto"/>
              <w:jc w:val="center"/>
              <w:rPr>
                <w:rFonts w:ascii="Calibri" w:eastAsia="Times New Roman" w:hAnsi="Calibri" w:cs="Calibri"/>
                <w:b/>
                <w:bCs/>
                <w:color w:val="000000"/>
                <w:sz w:val="16"/>
                <w:szCs w:val="16"/>
                <w:lang w:eastAsia="hr-HR"/>
              </w:rPr>
            </w:pPr>
            <w:r w:rsidRPr="00EF6BE6">
              <w:rPr>
                <w:rFonts w:ascii="Calibri" w:eastAsia="Times New Roman" w:hAnsi="Calibri" w:cs="Calibri"/>
                <w:b/>
                <w:bCs/>
                <w:color w:val="000000"/>
                <w:sz w:val="16"/>
                <w:szCs w:val="16"/>
                <w:lang w:eastAsia="hr-HR"/>
              </w:rPr>
              <w:t>INDEKS (4/1)</w:t>
            </w:r>
          </w:p>
        </w:tc>
        <w:tc>
          <w:tcPr>
            <w:tcW w:w="846" w:type="dxa"/>
            <w:tcBorders>
              <w:top w:val="single" w:sz="4" w:space="0" w:color="auto"/>
              <w:left w:val="nil"/>
              <w:bottom w:val="single" w:sz="4" w:space="0" w:color="auto"/>
              <w:right w:val="nil"/>
            </w:tcBorders>
            <w:shd w:val="clear" w:color="000000" w:fill="D0CECE"/>
            <w:vAlign w:val="bottom"/>
            <w:hideMark/>
          </w:tcPr>
          <w:p w14:paraId="285AB28E" w14:textId="77777777" w:rsidR="00EF6BE6" w:rsidRPr="00EF6BE6" w:rsidRDefault="00EF6BE6" w:rsidP="00EF6BE6">
            <w:pPr>
              <w:spacing w:after="0" w:line="240" w:lineRule="auto"/>
              <w:jc w:val="center"/>
              <w:rPr>
                <w:rFonts w:ascii="Calibri" w:eastAsia="Times New Roman" w:hAnsi="Calibri" w:cs="Calibri"/>
                <w:b/>
                <w:bCs/>
                <w:color w:val="000000"/>
                <w:sz w:val="16"/>
                <w:szCs w:val="16"/>
                <w:lang w:eastAsia="hr-HR"/>
              </w:rPr>
            </w:pPr>
            <w:r w:rsidRPr="00EF6BE6">
              <w:rPr>
                <w:rFonts w:ascii="Calibri" w:eastAsia="Times New Roman" w:hAnsi="Calibri" w:cs="Calibri"/>
                <w:b/>
                <w:bCs/>
                <w:color w:val="000000"/>
                <w:sz w:val="16"/>
                <w:szCs w:val="16"/>
                <w:lang w:eastAsia="hr-HR"/>
              </w:rPr>
              <w:t>INDEKS (4/3)</w:t>
            </w:r>
          </w:p>
        </w:tc>
      </w:tr>
      <w:tr w:rsidR="00EF6BE6" w:rsidRPr="00EF6BE6" w14:paraId="4D572B54" w14:textId="77777777" w:rsidTr="0087064B">
        <w:trPr>
          <w:trHeight w:val="236"/>
        </w:trPr>
        <w:tc>
          <w:tcPr>
            <w:tcW w:w="777" w:type="dxa"/>
            <w:tcBorders>
              <w:top w:val="nil"/>
              <w:left w:val="nil"/>
              <w:bottom w:val="nil"/>
              <w:right w:val="nil"/>
            </w:tcBorders>
            <w:noWrap/>
            <w:vAlign w:val="bottom"/>
            <w:hideMark/>
          </w:tcPr>
          <w:p w14:paraId="7879583E" w14:textId="77777777" w:rsidR="00EF6BE6" w:rsidRPr="00EF6BE6" w:rsidRDefault="00EF6BE6" w:rsidP="00EF6BE6">
            <w:pPr>
              <w:spacing w:after="0" w:line="240" w:lineRule="auto"/>
              <w:jc w:val="center"/>
              <w:rPr>
                <w:rFonts w:ascii="Calibri" w:eastAsia="Times New Roman" w:hAnsi="Calibri" w:cs="Calibri"/>
                <w:b/>
                <w:bCs/>
                <w:color w:val="000000"/>
                <w:sz w:val="16"/>
                <w:szCs w:val="16"/>
                <w:lang w:eastAsia="hr-HR"/>
              </w:rPr>
            </w:pPr>
          </w:p>
        </w:tc>
        <w:tc>
          <w:tcPr>
            <w:tcW w:w="2566" w:type="dxa"/>
            <w:tcBorders>
              <w:top w:val="nil"/>
              <w:left w:val="nil"/>
              <w:bottom w:val="nil"/>
              <w:right w:val="nil"/>
            </w:tcBorders>
            <w:noWrap/>
            <w:vAlign w:val="bottom"/>
            <w:hideMark/>
          </w:tcPr>
          <w:p w14:paraId="623B3FA7" w14:textId="77777777" w:rsidR="00EF6BE6" w:rsidRPr="00EF6BE6" w:rsidRDefault="00EF6BE6" w:rsidP="00EF6BE6">
            <w:pPr>
              <w:spacing w:after="0" w:line="240" w:lineRule="auto"/>
              <w:rPr>
                <w:rFonts w:ascii="Times New Roman" w:eastAsia="Times New Roman" w:hAnsi="Times New Roman" w:cs="Times New Roman"/>
                <w:sz w:val="20"/>
                <w:szCs w:val="20"/>
                <w:lang w:eastAsia="hr-HR"/>
              </w:rPr>
            </w:pPr>
          </w:p>
        </w:tc>
        <w:tc>
          <w:tcPr>
            <w:tcW w:w="1460" w:type="dxa"/>
            <w:tcBorders>
              <w:top w:val="nil"/>
              <w:left w:val="nil"/>
              <w:bottom w:val="nil"/>
              <w:right w:val="nil"/>
            </w:tcBorders>
            <w:noWrap/>
            <w:vAlign w:val="bottom"/>
            <w:hideMark/>
          </w:tcPr>
          <w:p w14:paraId="1605D0B2" w14:textId="77777777" w:rsidR="00EF6BE6" w:rsidRPr="00EF6BE6" w:rsidRDefault="00EF6BE6" w:rsidP="00EF6BE6">
            <w:pPr>
              <w:spacing w:after="0" w:line="240" w:lineRule="auto"/>
              <w:jc w:val="center"/>
              <w:rPr>
                <w:rFonts w:ascii="Calibri" w:eastAsia="Times New Roman" w:hAnsi="Calibri" w:cs="Calibri"/>
                <w:color w:val="000000"/>
                <w:sz w:val="16"/>
                <w:szCs w:val="16"/>
                <w:lang w:eastAsia="hr-HR"/>
              </w:rPr>
            </w:pPr>
            <w:r w:rsidRPr="00EF6BE6">
              <w:rPr>
                <w:rFonts w:ascii="Calibri" w:eastAsia="Times New Roman" w:hAnsi="Calibri" w:cs="Calibri"/>
                <w:color w:val="000000"/>
                <w:sz w:val="16"/>
                <w:szCs w:val="16"/>
                <w:lang w:eastAsia="hr-HR"/>
              </w:rPr>
              <w:t>(1)</w:t>
            </w:r>
          </w:p>
        </w:tc>
        <w:tc>
          <w:tcPr>
            <w:tcW w:w="1399" w:type="dxa"/>
            <w:tcBorders>
              <w:top w:val="nil"/>
              <w:left w:val="nil"/>
              <w:bottom w:val="nil"/>
              <w:right w:val="nil"/>
            </w:tcBorders>
            <w:noWrap/>
            <w:vAlign w:val="bottom"/>
            <w:hideMark/>
          </w:tcPr>
          <w:p w14:paraId="78240D22" w14:textId="77777777" w:rsidR="00EF6BE6" w:rsidRPr="00EF6BE6" w:rsidRDefault="00EF6BE6" w:rsidP="00EF6BE6">
            <w:pPr>
              <w:spacing w:after="0" w:line="240" w:lineRule="auto"/>
              <w:jc w:val="center"/>
              <w:rPr>
                <w:rFonts w:ascii="Calibri" w:eastAsia="Times New Roman" w:hAnsi="Calibri" w:cs="Calibri"/>
                <w:color w:val="000000"/>
                <w:sz w:val="16"/>
                <w:szCs w:val="16"/>
                <w:lang w:eastAsia="hr-HR"/>
              </w:rPr>
            </w:pPr>
            <w:r w:rsidRPr="00EF6BE6">
              <w:rPr>
                <w:rFonts w:ascii="Calibri" w:eastAsia="Times New Roman" w:hAnsi="Calibri" w:cs="Calibri"/>
                <w:color w:val="000000"/>
                <w:sz w:val="16"/>
                <w:szCs w:val="16"/>
                <w:lang w:eastAsia="hr-HR"/>
              </w:rPr>
              <w:t>(2)</w:t>
            </w:r>
          </w:p>
        </w:tc>
        <w:tc>
          <w:tcPr>
            <w:tcW w:w="1314" w:type="dxa"/>
            <w:tcBorders>
              <w:top w:val="nil"/>
              <w:left w:val="nil"/>
              <w:bottom w:val="nil"/>
              <w:right w:val="nil"/>
            </w:tcBorders>
            <w:noWrap/>
            <w:vAlign w:val="bottom"/>
            <w:hideMark/>
          </w:tcPr>
          <w:p w14:paraId="1A18D4B4" w14:textId="77777777" w:rsidR="00EF6BE6" w:rsidRPr="00EF6BE6" w:rsidRDefault="00EF6BE6" w:rsidP="00EF6BE6">
            <w:pPr>
              <w:spacing w:after="0" w:line="240" w:lineRule="auto"/>
              <w:jc w:val="center"/>
              <w:rPr>
                <w:rFonts w:ascii="Calibri" w:eastAsia="Times New Roman" w:hAnsi="Calibri" w:cs="Calibri"/>
                <w:color w:val="000000"/>
                <w:sz w:val="16"/>
                <w:szCs w:val="16"/>
                <w:lang w:eastAsia="hr-HR"/>
              </w:rPr>
            </w:pPr>
            <w:r w:rsidRPr="00EF6BE6">
              <w:rPr>
                <w:rFonts w:ascii="Calibri" w:eastAsia="Times New Roman" w:hAnsi="Calibri" w:cs="Calibri"/>
                <w:color w:val="000000"/>
                <w:sz w:val="16"/>
                <w:szCs w:val="16"/>
                <w:lang w:eastAsia="hr-HR"/>
              </w:rPr>
              <w:t>(3)</w:t>
            </w:r>
          </w:p>
        </w:tc>
        <w:tc>
          <w:tcPr>
            <w:tcW w:w="1293" w:type="dxa"/>
            <w:tcBorders>
              <w:top w:val="nil"/>
              <w:left w:val="nil"/>
              <w:bottom w:val="nil"/>
              <w:right w:val="nil"/>
            </w:tcBorders>
            <w:noWrap/>
            <w:vAlign w:val="bottom"/>
            <w:hideMark/>
          </w:tcPr>
          <w:p w14:paraId="45A4C0E7" w14:textId="77777777" w:rsidR="00EF6BE6" w:rsidRPr="00EF6BE6" w:rsidRDefault="00EF6BE6" w:rsidP="00EF6BE6">
            <w:pPr>
              <w:spacing w:after="0" w:line="240" w:lineRule="auto"/>
              <w:jc w:val="center"/>
              <w:rPr>
                <w:rFonts w:ascii="Calibri" w:eastAsia="Times New Roman" w:hAnsi="Calibri" w:cs="Calibri"/>
                <w:color w:val="000000"/>
                <w:sz w:val="16"/>
                <w:szCs w:val="16"/>
                <w:lang w:eastAsia="hr-HR"/>
              </w:rPr>
            </w:pPr>
            <w:r w:rsidRPr="00EF6BE6">
              <w:rPr>
                <w:rFonts w:ascii="Calibri" w:eastAsia="Times New Roman" w:hAnsi="Calibri" w:cs="Calibri"/>
                <w:color w:val="000000"/>
                <w:sz w:val="16"/>
                <w:szCs w:val="16"/>
                <w:lang w:eastAsia="hr-HR"/>
              </w:rPr>
              <w:t>(4)</w:t>
            </w:r>
          </w:p>
        </w:tc>
        <w:tc>
          <w:tcPr>
            <w:tcW w:w="855" w:type="dxa"/>
            <w:tcBorders>
              <w:top w:val="nil"/>
              <w:left w:val="nil"/>
              <w:bottom w:val="nil"/>
              <w:right w:val="nil"/>
            </w:tcBorders>
            <w:noWrap/>
            <w:vAlign w:val="bottom"/>
            <w:hideMark/>
          </w:tcPr>
          <w:p w14:paraId="5C892AA5" w14:textId="77777777" w:rsidR="00EF6BE6" w:rsidRPr="00EF6BE6" w:rsidRDefault="00EF6BE6" w:rsidP="00EF6BE6">
            <w:pPr>
              <w:spacing w:after="0" w:line="240" w:lineRule="auto"/>
              <w:jc w:val="center"/>
              <w:rPr>
                <w:rFonts w:ascii="Calibri" w:eastAsia="Times New Roman" w:hAnsi="Calibri" w:cs="Calibri"/>
                <w:color w:val="000000"/>
                <w:sz w:val="16"/>
                <w:szCs w:val="16"/>
                <w:lang w:eastAsia="hr-HR"/>
              </w:rPr>
            </w:pPr>
            <w:r w:rsidRPr="00EF6BE6">
              <w:rPr>
                <w:rFonts w:ascii="Calibri" w:eastAsia="Times New Roman" w:hAnsi="Calibri" w:cs="Calibri"/>
                <w:color w:val="000000"/>
                <w:sz w:val="16"/>
                <w:szCs w:val="16"/>
                <w:lang w:eastAsia="hr-HR"/>
              </w:rPr>
              <w:t>(5)</w:t>
            </w:r>
          </w:p>
        </w:tc>
        <w:tc>
          <w:tcPr>
            <w:tcW w:w="846" w:type="dxa"/>
            <w:tcBorders>
              <w:top w:val="nil"/>
              <w:left w:val="nil"/>
              <w:bottom w:val="nil"/>
              <w:right w:val="nil"/>
            </w:tcBorders>
            <w:noWrap/>
            <w:vAlign w:val="bottom"/>
            <w:hideMark/>
          </w:tcPr>
          <w:p w14:paraId="1535D5C9" w14:textId="77777777" w:rsidR="00EF6BE6" w:rsidRPr="00EF6BE6" w:rsidRDefault="00EF6BE6" w:rsidP="00EF6BE6">
            <w:pPr>
              <w:spacing w:after="0" w:line="240" w:lineRule="auto"/>
              <w:jc w:val="center"/>
              <w:rPr>
                <w:rFonts w:ascii="Calibri" w:eastAsia="Times New Roman" w:hAnsi="Calibri" w:cs="Calibri"/>
                <w:color w:val="000000"/>
                <w:sz w:val="16"/>
                <w:szCs w:val="16"/>
                <w:lang w:eastAsia="hr-HR"/>
              </w:rPr>
            </w:pPr>
            <w:r w:rsidRPr="00EF6BE6">
              <w:rPr>
                <w:rFonts w:ascii="Calibri" w:eastAsia="Times New Roman" w:hAnsi="Calibri" w:cs="Calibri"/>
                <w:color w:val="000000"/>
                <w:sz w:val="16"/>
                <w:szCs w:val="16"/>
                <w:lang w:eastAsia="hr-HR"/>
              </w:rPr>
              <w:t>(6)</w:t>
            </w:r>
          </w:p>
        </w:tc>
      </w:tr>
      <w:tr w:rsidR="00EF6BE6" w:rsidRPr="00EF6BE6" w14:paraId="7A335462" w14:textId="77777777" w:rsidTr="0087064B">
        <w:trPr>
          <w:trHeight w:val="236"/>
        </w:trPr>
        <w:tc>
          <w:tcPr>
            <w:tcW w:w="777" w:type="dxa"/>
            <w:tcBorders>
              <w:top w:val="single" w:sz="4" w:space="0" w:color="auto"/>
              <w:left w:val="nil"/>
              <w:bottom w:val="single" w:sz="4" w:space="0" w:color="auto"/>
              <w:right w:val="nil"/>
            </w:tcBorders>
            <w:shd w:val="clear" w:color="000000" w:fill="D0CECE"/>
            <w:noWrap/>
            <w:vAlign w:val="bottom"/>
            <w:hideMark/>
          </w:tcPr>
          <w:p w14:paraId="24260EE8" w14:textId="77777777" w:rsidR="00EF6BE6" w:rsidRPr="00EF6BE6" w:rsidRDefault="00EF6BE6" w:rsidP="00EF6BE6">
            <w:pPr>
              <w:spacing w:after="0" w:line="240" w:lineRule="auto"/>
              <w:jc w:val="center"/>
              <w:rPr>
                <w:rFonts w:ascii="Calibri" w:eastAsia="Times New Roman" w:hAnsi="Calibri" w:cs="Calibri"/>
                <w:color w:val="000000"/>
                <w:sz w:val="16"/>
                <w:szCs w:val="16"/>
                <w:lang w:eastAsia="hr-HR"/>
              </w:rPr>
            </w:pPr>
            <w:r w:rsidRPr="00EF6BE6">
              <w:rPr>
                <w:rFonts w:ascii="Calibri" w:eastAsia="Times New Roman" w:hAnsi="Calibri" w:cs="Calibri"/>
                <w:color w:val="000000"/>
                <w:sz w:val="16"/>
                <w:szCs w:val="16"/>
                <w:lang w:eastAsia="hr-HR"/>
              </w:rPr>
              <w:t>6</w:t>
            </w:r>
          </w:p>
        </w:tc>
        <w:tc>
          <w:tcPr>
            <w:tcW w:w="2566" w:type="dxa"/>
            <w:tcBorders>
              <w:top w:val="single" w:sz="4" w:space="0" w:color="auto"/>
              <w:left w:val="nil"/>
              <w:bottom w:val="single" w:sz="4" w:space="0" w:color="auto"/>
              <w:right w:val="nil"/>
            </w:tcBorders>
            <w:shd w:val="clear" w:color="000000" w:fill="D0CECE"/>
            <w:noWrap/>
            <w:vAlign w:val="bottom"/>
            <w:hideMark/>
          </w:tcPr>
          <w:p w14:paraId="6316A881" w14:textId="77777777" w:rsidR="00EF6BE6" w:rsidRPr="00EF6BE6" w:rsidRDefault="00EF6BE6" w:rsidP="00EF6BE6">
            <w:pPr>
              <w:spacing w:after="0" w:line="240" w:lineRule="auto"/>
              <w:jc w:val="center"/>
              <w:rPr>
                <w:rFonts w:ascii="Calibri" w:eastAsia="Times New Roman" w:hAnsi="Calibri" w:cs="Calibri"/>
                <w:b/>
                <w:bCs/>
                <w:color w:val="000000"/>
                <w:sz w:val="16"/>
                <w:szCs w:val="16"/>
                <w:lang w:eastAsia="hr-HR"/>
              </w:rPr>
            </w:pPr>
            <w:r w:rsidRPr="00EF6BE6">
              <w:rPr>
                <w:rFonts w:ascii="Calibri" w:eastAsia="Times New Roman" w:hAnsi="Calibri" w:cs="Calibri"/>
                <w:b/>
                <w:bCs/>
                <w:color w:val="000000"/>
                <w:sz w:val="16"/>
                <w:szCs w:val="16"/>
                <w:lang w:eastAsia="hr-HR"/>
              </w:rPr>
              <w:t>PRIHODI POSLOVANJA</w:t>
            </w:r>
          </w:p>
        </w:tc>
        <w:tc>
          <w:tcPr>
            <w:tcW w:w="1460" w:type="dxa"/>
            <w:tcBorders>
              <w:top w:val="single" w:sz="4" w:space="0" w:color="auto"/>
              <w:left w:val="nil"/>
              <w:bottom w:val="single" w:sz="4" w:space="0" w:color="auto"/>
              <w:right w:val="nil"/>
            </w:tcBorders>
            <w:shd w:val="clear" w:color="000000" w:fill="D0CECE"/>
            <w:noWrap/>
            <w:vAlign w:val="bottom"/>
            <w:hideMark/>
          </w:tcPr>
          <w:p w14:paraId="774B4EFA" w14:textId="77777777" w:rsidR="00EF6BE6" w:rsidRPr="00EF6BE6" w:rsidRDefault="00EF6BE6" w:rsidP="00EF6BE6">
            <w:pPr>
              <w:spacing w:after="0" w:line="240" w:lineRule="auto"/>
              <w:jc w:val="center"/>
              <w:rPr>
                <w:rFonts w:ascii="Calibri" w:eastAsia="Times New Roman" w:hAnsi="Calibri" w:cs="Calibri"/>
                <w:b/>
                <w:bCs/>
                <w:color w:val="000000"/>
                <w:sz w:val="18"/>
                <w:szCs w:val="18"/>
                <w:lang w:eastAsia="hr-HR"/>
              </w:rPr>
            </w:pPr>
            <w:r w:rsidRPr="00EF6BE6">
              <w:rPr>
                <w:rFonts w:ascii="Calibri" w:eastAsia="Times New Roman" w:hAnsi="Calibri" w:cs="Calibri"/>
                <w:b/>
                <w:bCs/>
                <w:color w:val="000000"/>
                <w:sz w:val="18"/>
                <w:szCs w:val="18"/>
                <w:lang w:eastAsia="hr-HR"/>
              </w:rPr>
              <w:t>17.536.411,55</w:t>
            </w:r>
          </w:p>
        </w:tc>
        <w:tc>
          <w:tcPr>
            <w:tcW w:w="1399" w:type="dxa"/>
            <w:tcBorders>
              <w:top w:val="single" w:sz="4" w:space="0" w:color="auto"/>
              <w:left w:val="nil"/>
              <w:bottom w:val="single" w:sz="4" w:space="0" w:color="auto"/>
              <w:right w:val="nil"/>
            </w:tcBorders>
            <w:shd w:val="clear" w:color="000000" w:fill="D0CECE"/>
            <w:noWrap/>
            <w:vAlign w:val="bottom"/>
            <w:hideMark/>
          </w:tcPr>
          <w:p w14:paraId="1F21BF2A" w14:textId="77777777" w:rsidR="00EF6BE6" w:rsidRPr="00EF6BE6" w:rsidRDefault="00EF6BE6" w:rsidP="00EF6BE6">
            <w:pPr>
              <w:spacing w:after="0" w:line="240" w:lineRule="auto"/>
              <w:jc w:val="center"/>
              <w:rPr>
                <w:rFonts w:ascii="Calibri" w:eastAsia="Times New Roman" w:hAnsi="Calibri" w:cs="Calibri"/>
                <w:b/>
                <w:bCs/>
                <w:color w:val="000000"/>
                <w:sz w:val="18"/>
                <w:szCs w:val="18"/>
                <w:lang w:eastAsia="hr-HR"/>
              </w:rPr>
            </w:pPr>
            <w:r w:rsidRPr="00EF6BE6">
              <w:rPr>
                <w:rFonts w:ascii="Calibri" w:eastAsia="Times New Roman" w:hAnsi="Calibri" w:cs="Calibri"/>
                <w:b/>
                <w:bCs/>
                <w:color w:val="000000"/>
                <w:sz w:val="18"/>
                <w:szCs w:val="18"/>
                <w:lang w:eastAsia="hr-HR"/>
              </w:rPr>
              <w:t>20.790.572,16</w:t>
            </w:r>
          </w:p>
        </w:tc>
        <w:tc>
          <w:tcPr>
            <w:tcW w:w="1314" w:type="dxa"/>
            <w:tcBorders>
              <w:top w:val="single" w:sz="4" w:space="0" w:color="auto"/>
              <w:left w:val="nil"/>
              <w:bottom w:val="single" w:sz="4" w:space="0" w:color="auto"/>
              <w:right w:val="nil"/>
            </w:tcBorders>
            <w:shd w:val="clear" w:color="000000" w:fill="D0CECE"/>
            <w:noWrap/>
            <w:vAlign w:val="bottom"/>
            <w:hideMark/>
          </w:tcPr>
          <w:p w14:paraId="6CAF68ED" w14:textId="77777777" w:rsidR="00EF6BE6" w:rsidRPr="00EF6BE6" w:rsidRDefault="00EF6BE6" w:rsidP="00EF6BE6">
            <w:pPr>
              <w:spacing w:after="0" w:line="240" w:lineRule="auto"/>
              <w:jc w:val="center"/>
              <w:rPr>
                <w:rFonts w:ascii="Calibri" w:eastAsia="Times New Roman" w:hAnsi="Calibri" w:cs="Calibri"/>
                <w:b/>
                <w:bCs/>
                <w:color w:val="000000"/>
                <w:sz w:val="18"/>
                <w:szCs w:val="18"/>
                <w:lang w:eastAsia="hr-HR"/>
              </w:rPr>
            </w:pPr>
            <w:r w:rsidRPr="00EF6BE6">
              <w:rPr>
                <w:rFonts w:ascii="Calibri" w:eastAsia="Times New Roman" w:hAnsi="Calibri" w:cs="Calibri"/>
                <w:b/>
                <w:bCs/>
                <w:color w:val="000000"/>
                <w:sz w:val="18"/>
                <w:szCs w:val="18"/>
                <w:lang w:eastAsia="hr-HR"/>
              </w:rPr>
              <w:t>20.790.572,16</w:t>
            </w:r>
          </w:p>
        </w:tc>
        <w:tc>
          <w:tcPr>
            <w:tcW w:w="1293" w:type="dxa"/>
            <w:tcBorders>
              <w:top w:val="single" w:sz="4" w:space="0" w:color="auto"/>
              <w:left w:val="nil"/>
              <w:bottom w:val="single" w:sz="4" w:space="0" w:color="auto"/>
              <w:right w:val="nil"/>
            </w:tcBorders>
            <w:shd w:val="clear" w:color="000000" w:fill="D0CECE"/>
            <w:noWrap/>
            <w:vAlign w:val="bottom"/>
            <w:hideMark/>
          </w:tcPr>
          <w:p w14:paraId="20592E8E" w14:textId="77777777" w:rsidR="00EF6BE6" w:rsidRPr="00EF6BE6" w:rsidRDefault="00EF6BE6" w:rsidP="00EF6BE6">
            <w:pPr>
              <w:spacing w:after="0" w:line="240" w:lineRule="auto"/>
              <w:jc w:val="center"/>
              <w:rPr>
                <w:rFonts w:ascii="Calibri" w:eastAsia="Times New Roman" w:hAnsi="Calibri" w:cs="Calibri"/>
                <w:b/>
                <w:bCs/>
                <w:color w:val="000000"/>
                <w:sz w:val="18"/>
                <w:szCs w:val="18"/>
                <w:lang w:eastAsia="hr-HR"/>
              </w:rPr>
            </w:pPr>
            <w:r w:rsidRPr="00EF6BE6">
              <w:rPr>
                <w:rFonts w:ascii="Calibri" w:eastAsia="Times New Roman" w:hAnsi="Calibri" w:cs="Calibri"/>
                <w:b/>
                <w:bCs/>
                <w:color w:val="000000"/>
                <w:sz w:val="18"/>
                <w:szCs w:val="18"/>
                <w:lang w:eastAsia="hr-HR"/>
              </w:rPr>
              <w:t>19.626.207,06</w:t>
            </w:r>
          </w:p>
        </w:tc>
        <w:tc>
          <w:tcPr>
            <w:tcW w:w="855" w:type="dxa"/>
            <w:tcBorders>
              <w:top w:val="single" w:sz="4" w:space="0" w:color="auto"/>
              <w:left w:val="nil"/>
              <w:bottom w:val="single" w:sz="4" w:space="0" w:color="auto"/>
              <w:right w:val="nil"/>
            </w:tcBorders>
            <w:shd w:val="clear" w:color="000000" w:fill="D0CECE"/>
            <w:noWrap/>
            <w:vAlign w:val="bottom"/>
            <w:hideMark/>
          </w:tcPr>
          <w:p w14:paraId="185BCB24" w14:textId="77777777" w:rsidR="00EF6BE6" w:rsidRPr="00EF6BE6" w:rsidRDefault="00EF6BE6" w:rsidP="00EF6BE6">
            <w:pPr>
              <w:spacing w:after="0" w:line="240" w:lineRule="auto"/>
              <w:jc w:val="center"/>
              <w:rPr>
                <w:rFonts w:ascii="Calibri" w:eastAsia="Times New Roman" w:hAnsi="Calibri" w:cs="Calibri"/>
                <w:b/>
                <w:bCs/>
                <w:color w:val="000000"/>
                <w:sz w:val="18"/>
                <w:szCs w:val="18"/>
                <w:lang w:eastAsia="hr-HR"/>
              </w:rPr>
            </w:pPr>
            <w:r w:rsidRPr="00EF6BE6">
              <w:rPr>
                <w:rFonts w:ascii="Calibri" w:eastAsia="Times New Roman" w:hAnsi="Calibri" w:cs="Calibri"/>
                <w:b/>
                <w:bCs/>
                <w:color w:val="000000"/>
                <w:sz w:val="18"/>
                <w:szCs w:val="18"/>
                <w:lang w:eastAsia="hr-HR"/>
              </w:rPr>
              <w:t>111,92%</w:t>
            </w:r>
          </w:p>
        </w:tc>
        <w:tc>
          <w:tcPr>
            <w:tcW w:w="846" w:type="dxa"/>
            <w:tcBorders>
              <w:top w:val="single" w:sz="4" w:space="0" w:color="auto"/>
              <w:left w:val="nil"/>
              <w:bottom w:val="single" w:sz="4" w:space="0" w:color="auto"/>
              <w:right w:val="nil"/>
            </w:tcBorders>
            <w:shd w:val="clear" w:color="000000" w:fill="D0CECE"/>
            <w:noWrap/>
            <w:vAlign w:val="bottom"/>
            <w:hideMark/>
          </w:tcPr>
          <w:p w14:paraId="148CD77B" w14:textId="77777777" w:rsidR="00EF6BE6" w:rsidRPr="00EF6BE6" w:rsidRDefault="00EF6BE6" w:rsidP="00EF6BE6">
            <w:pPr>
              <w:spacing w:after="0" w:line="240" w:lineRule="auto"/>
              <w:jc w:val="center"/>
              <w:rPr>
                <w:rFonts w:ascii="Calibri" w:eastAsia="Times New Roman" w:hAnsi="Calibri" w:cs="Calibri"/>
                <w:b/>
                <w:bCs/>
                <w:color w:val="000000"/>
                <w:sz w:val="18"/>
                <w:szCs w:val="18"/>
                <w:lang w:eastAsia="hr-HR"/>
              </w:rPr>
            </w:pPr>
            <w:r w:rsidRPr="00EF6BE6">
              <w:rPr>
                <w:rFonts w:ascii="Calibri" w:eastAsia="Times New Roman" w:hAnsi="Calibri" w:cs="Calibri"/>
                <w:b/>
                <w:bCs/>
                <w:color w:val="000000"/>
                <w:sz w:val="18"/>
                <w:szCs w:val="18"/>
                <w:lang w:eastAsia="hr-HR"/>
              </w:rPr>
              <w:t>94,40%</w:t>
            </w:r>
          </w:p>
        </w:tc>
      </w:tr>
      <w:tr w:rsidR="00EF6BE6" w:rsidRPr="00EF6BE6" w14:paraId="52202512" w14:textId="77777777" w:rsidTr="0087064B">
        <w:trPr>
          <w:trHeight w:val="236"/>
        </w:trPr>
        <w:tc>
          <w:tcPr>
            <w:tcW w:w="777" w:type="dxa"/>
            <w:tcBorders>
              <w:top w:val="nil"/>
              <w:left w:val="nil"/>
              <w:bottom w:val="single" w:sz="4" w:space="0" w:color="auto"/>
              <w:right w:val="nil"/>
            </w:tcBorders>
            <w:noWrap/>
            <w:vAlign w:val="bottom"/>
            <w:hideMark/>
          </w:tcPr>
          <w:p w14:paraId="1E39377A" w14:textId="77777777" w:rsidR="00EF6BE6" w:rsidRPr="00EF6BE6" w:rsidRDefault="00EF6BE6" w:rsidP="00EF6BE6">
            <w:pPr>
              <w:spacing w:after="0" w:line="240" w:lineRule="auto"/>
              <w:jc w:val="center"/>
              <w:rPr>
                <w:rFonts w:ascii="Calibri" w:eastAsia="Times New Roman" w:hAnsi="Calibri" w:cs="Calibri"/>
                <w:color w:val="000000"/>
                <w:sz w:val="16"/>
                <w:szCs w:val="16"/>
                <w:lang w:eastAsia="hr-HR"/>
              </w:rPr>
            </w:pPr>
            <w:r w:rsidRPr="00EF6BE6">
              <w:rPr>
                <w:rFonts w:ascii="Calibri" w:eastAsia="Times New Roman" w:hAnsi="Calibri" w:cs="Calibri"/>
                <w:color w:val="000000"/>
                <w:sz w:val="16"/>
                <w:szCs w:val="16"/>
                <w:lang w:eastAsia="hr-HR"/>
              </w:rPr>
              <w:t>61</w:t>
            </w:r>
          </w:p>
        </w:tc>
        <w:tc>
          <w:tcPr>
            <w:tcW w:w="2566" w:type="dxa"/>
            <w:tcBorders>
              <w:top w:val="nil"/>
              <w:left w:val="nil"/>
              <w:bottom w:val="nil"/>
              <w:right w:val="nil"/>
            </w:tcBorders>
            <w:noWrap/>
            <w:vAlign w:val="bottom"/>
            <w:hideMark/>
          </w:tcPr>
          <w:p w14:paraId="1412112C" w14:textId="77777777" w:rsidR="00EF6BE6" w:rsidRPr="00EF6BE6" w:rsidRDefault="00EF6BE6" w:rsidP="00EF6BE6">
            <w:pPr>
              <w:spacing w:after="0" w:line="240" w:lineRule="auto"/>
              <w:rPr>
                <w:rFonts w:ascii="Calibri" w:eastAsia="Times New Roman" w:hAnsi="Calibri" w:cs="Calibri"/>
                <w:color w:val="000000"/>
                <w:sz w:val="16"/>
                <w:szCs w:val="16"/>
                <w:lang w:eastAsia="hr-HR"/>
              </w:rPr>
            </w:pPr>
            <w:r w:rsidRPr="00EF6BE6">
              <w:rPr>
                <w:rFonts w:ascii="Calibri" w:eastAsia="Times New Roman" w:hAnsi="Calibri" w:cs="Calibri"/>
                <w:color w:val="000000"/>
                <w:sz w:val="16"/>
                <w:szCs w:val="16"/>
                <w:lang w:eastAsia="hr-HR"/>
              </w:rPr>
              <w:t>Prihodi od poreza</w:t>
            </w:r>
          </w:p>
        </w:tc>
        <w:tc>
          <w:tcPr>
            <w:tcW w:w="1460" w:type="dxa"/>
            <w:tcBorders>
              <w:top w:val="nil"/>
              <w:left w:val="nil"/>
              <w:bottom w:val="nil"/>
              <w:right w:val="nil"/>
            </w:tcBorders>
            <w:noWrap/>
            <w:vAlign w:val="bottom"/>
            <w:hideMark/>
          </w:tcPr>
          <w:p w14:paraId="14299443"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8.382.104,99</w:t>
            </w:r>
          </w:p>
        </w:tc>
        <w:tc>
          <w:tcPr>
            <w:tcW w:w="1399" w:type="dxa"/>
            <w:tcBorders>
              <w:top w:val="nil"/>
              <w:left w:val="nil"/>
              <w:bottom w:val="nil"/>
              <w:right w:val="nil"/>
            </w:tcBorders>
            <w:noWrap/>
            <w:vAlign w:val="bottom"/>
            <w:hideMark/>
          </w:tcPr>
          <w:p w14:paraId="1A298890"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8.785.954,60</w:t>
            </w:r>
          </w:p>
        </w:tc>
        <w:tc>
          <w:tcPr>
            <w:tcW w:w="1314" w:type="dxa"/>
            <w:tcBorders>
              <w:top w:val="nil"/>
              <w:left w:val="nil"/>
              <w:bottom w:val="nil"/>
              <w:right w:val="nil"/>
            </w:tcBorders>
            <w:noWrap/>
            <w:vAlign w:val="bottom"/>
            <w:hideMark/>
          </w:tcPr>
          <w:p w14:paraId="4668B4F5"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8.785.954,60</w:t>
            </w:r>
          </w:p>
        </w:tc>
        <w:tc>
          <w:tcPr>
            <w:tcW w:w="1293" w:type="dxa"/>
            <w:tcBorders>
              <w:top w:val="nil"/>
              <w:left w:val="nil"/>
              <w:bottom w:val="nil"/>
              <w:right w:val="nil"/>
            </w:tcBorders>
            <w:noWrap/>
            <w:vAlign w:val="bottom"/>
            <w:hideMark/>
          </w:tcPr>
          <w:p w14:paraId="39F30122"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9.176.819,72</w:t>
            </w:r>
          </w:p>
        </w:tc>
        <w:tc>
          <w:tcPr>
            <w:tcW w:w="855" w:type="dxa"/>
            <w:tcBorders>
              <w:top w:val="nil"/>
              <w:left w:val="nil"/>
              <w:bottom w:val="nil"/>
              <w:right w:val="nil"/>
            </w:tcBorders>
            <w:noWrap/>
            <w:vAlign w:val="bottom"/>
            <w:hideMark/>
          </w:tcPr>
          <w:p w14:paraId="3A7F3EEF"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109,48%</w:t>
            </w:r>
          </w:p>
        </w:tc>
        <w:tc>
          <w:tcPr>
            <w:tcW w:w="846" w:type="dxa"/>
            <w:tcBorders>
              <w:top w:val="nil"/>
              <w:left w:val="nil"/>
              <w:bottom w:val="single" w:sz="4" w:space="0" w:color="auto"/>
              <w:right w:val="nil"/>
            </w:tcBorders>
            <w:noWrap/>
            <w:vAlign w:val="bottom"/>
            <w:hideMark/>
          </w:tcPr>
          <w:p w14:paraId="3E9E1889"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104,45%</w:t>
            </w:r>
          </w:p>
        </w:tc>
      </w:tr>
      <w:tr w:rsidR="00EF6BE6" w:rsidRPr="00EF6BE6" w14:paraId="50138A75" w14:textId="77777777" w:rsidTr="0087064B">
        <w:trPr>
          <w:trHeight w:val="710"/>
        </w:trPr>
        <w:tc>
          <w:tcPr>
            <w:tcW w:w="777" w:type="dxa"/>
            <w:tcBorders>
              <w:top w:val="nil"/>
              <w:left w:val="nil"/>
              <w:bottom w:val="single" w:sz="4" w:space="0" w:color="auto"/>
              <w:right w:val="nil"/>
            </w:tcBorders>
            <w:noWrap/>
            <w:vAlign w:val="bottom"/>
            <w:hideMark/>
          </w:tcPr>
          <w:p w14:paraId="363B138F" w14:textId="77777777" w:rsidR="00EF6BE6" w:rsidRPr="00EF6BE6" w:rsidRDefault="00EF6BE6" w:rsidP="00EF6BE6">
            <w:pPr>
              <w:spacing w:after="0" w:line="240" w:lineRule="auto"/>
              <w:jc w:val="center"/>
              <w:rPr>
                <w:rFonts w:ascii="Calibri" w:eastAsia="Times New Roman" w:hAnsi="Calibri" w:cs="Calibri"/>
                <w:color w:val="000000"/>
                <w:sz w:val="16"/>
                <w:szCs w:val="16"/>
                <w:lang w:eastAsia="hr-HR"/>
              </w:rPr>
            </w:pPr>
            <w:r w:rsidRPr="00EF6BE6">
              <w:rPr>
                <w:rFonts w:ascii="Calibri" w:eastAsia="Times New Roman" w:hAnsi="Calibri" w:cs="Calibri"/>
                <w:color w:val="000000"/>
                <w:sz w:val="16"/>
                <w:szCs w:val="16"/>
                <w:lang w:eastAsia="hr-HR"/>
              </w:rPr>
              <w:t>63</w:t>
            </w:r>
          </w:p>
        </w:tc>
        <w:tc>
          <w:tcPr>
            <w:tcW w:w="2566" w:type="dxa"/>
            <w:tcBorders>
              <w:top w:val="single" w:sz="4" w:space="0" w:color="auto"/>
              <w:left w:val="nil"/>
              <w:bottom w:val="single" w:sz="4" w:space="0" w:color="auto"/>
              <w:right w:val="nil"/>
            </w:tcBorders>
            <w:hideMark/>
          </w:tcPr>
          <w:p w14:paraId="136A1DA2" w14:textId="77777777" w:rsidR="00EF6BE6" w:rsidRPr="00EF6BE6" w:rsidRDefault="00EF6BE6" w:rsidP="00EF6BE6">
            <w:pPr>
              <w:spacing w:after="0" w:line="240" w:lineRule="auto"/>
              <w:rPr>
                <w:rFonts w:ascii="Calibri" w:eastAsia="Times New Roman" w:hAnsi="Calibri" w:cs="Calibri"/>
                <w:color w:val="000000"/>
                <w:sz w:val="16"/>
                <w:szCs w:val="16"/>
                <w:lang w:eastAsia="hr-HR"/>
              </w:rPr>
            </w:pPr>
            <w:r w:rsidRPr="00EF6BE6">
              <w:rPr>
                <w:rFonts w:ascii="Calibri" w:eastAsia="Times New Roman" w:hAnsi="Calibri" w:cs="Calibri"/>
                <w:color w:val="000000"/>
                <w:sz w:val="16"/>
                <w:szCs w:val="16"/>
                <w:lang w:eastAsia="hr-HR"/>
              </w:rPr>
              <w:t xml:space="preserve">Pomoći iz inozemstva (darovnice) i od subjekata unutar općeg proračuna </w:t>
            </w:r>
          </w:p>
        </w:tc>
        <w:tc>
          <w:tcPr>
            <w:tcW w:w="1460" w:type="dxa"/>
            <w:tcBorders>
              <w:top w:val="single" w:sz="4" w:space="0" w:color="auto"/>
              <w:left w:val="nil"/>
              <w:bottom w:val="single" w:sz="4" w:space="0" w:color="auto"/>
              <w:right w:val="nil"/>
            </w:tcBorders>
            <w:noWrap/>
            <w:vAlign w:val="bottom"/>
            <w:hideMark/>
          </w:tcPr>
          <w:p w14:paraId="68FF8AAB"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1.629.238,09</w:t>
            </w:r>
          </w:p>
        </w:tc>
        <w:tc>
          <w:tcPr>
            <w:tcW w:w="1399" w:type="dxa"/>
            <w:tcBorders>
              <w:top w:val="single" w:sz="4" w:space="0" w:color="auto"/>
              <w:left w:val="nil"/>
              <w:bottom w:val="single" w:sz="4" w:space="0" w:color="auto"/>
              <w:right w:val="nil"/>
            </w:tcBorders>
            <w:noWrap/>
            <w:vAlign w:val="bottom"/>
            <w:hideMark/>
          </w:tcPr>
          <w:p w14:paraId="2E77B284"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3.146.185,00</w:t>
            </w:r>
          </w:p>
        </w:tc>
        <w:tc>
          <w:tcPr>
            <w:tcW w:w="1314" w:type="dxa"/>
            <w:tcBorders>
              <w:top w:val="single" w:sz="4" w:space="0" w:color="auto"/>
              <w:left w:val="nil"/>
              <w:bottom w:val="single" w:sz="4" w:space="0" w:color="auto"/>
              <w:right w:val="nil"/>
            </w:tcBorders>
            <w:noWrap/>
            <w:vAlign w:val="bottom"/>
            <w:hideMark/>
          </w:tcPr>
          <w:p w14:paraId="4108371D"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3.146.185,00</w:t>
            </w:r>
          </w:p>
        </w:tc>
        <w:tc>
          <w:tcPr>
            <w:tcW w:w="1293" w:type="dxa"/>
            <w:tcBorders>
              <w:top w:val="single" w:sz="4" w:space="0" w:color="auto"/>
              <w:left w:val="nil"/>
              <w:bottom w:val="single" w:sz="4" w:space="0" w:color="auto"/>
              <w:right w:val="nil"/>
            </w:tcBorders>
            <w:noWrap/>
            <w:vAlign w:val="bottom"/>
            <w:hideMark/>
          </w:tcPr>
          <w:p w14:paraId="7337201C"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1.830.966,35</w:t>
            </w:r>
          </w:p>
        </w:tc>
        <w:tc>
          <w:tcPr>
            <w:tcW w:w="855" w:type="dxa"/>
            <w:tcBorders>
              <w:top w:val="single" w:sz="4" w:space="0" w:color="auto"/>
              <w:left w:val="nil"/>
              <w:bottom w:val="single" w:sz="4" w:space="0" w:color="auto"/>
              <w:right w:val="nil"/>
            </w:tcBorders>
            <w:noWrap/>
            <w:vAlign w:val="bottom"/>
            <w:hideMark/>
          </w:tcPr>
          <w:p w14:paraId="24D7C471"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112,38%</w:t>
            </w:r>
          </w:p>
        </w:tc>
        <w:tc>
          <w:tcPr>
            <w:tcW w:w="846" w:type="dxa"/>
            <w:tcBorders>
              <w:top w:val="nil"/>
              <w:left w:val="nil"/>
              <w:bottom w:val="single" w:sz="4" w:space="0" w:color="auto"/>
              <w:right w:val="nil"/>
            </w:tcBorders>
            <w:noWrap/>
            <w:vAlign w:val="bottom"/>
            <w:hideMark/>
          </w:tcPr>
          <w:p w14:paraId="0497D6AE"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58,20%</w:t>
            </w:r>
          </w:p>
        </w:tc>
      </w:tr>
      <w:tr w:rsidR="00EF6BE6" w:rsidRPr="00EF6BE6" w14:paraId="6BA7F300" w14:textId="77777777" w:rsidTr="0087064B">
        <w:trPr>
          <w:trHeight w:val="236"/>
        </w:trPr>
        <w:tc>
          <w:tcPr>
            <w:tcW w:w="777" w:type="dxa"/>
            <w:tcBorders>
              <w:top w:val="nil"/>
              <w:left w:val="nil"/>
              <w:bottom w:val="single" w:sz="4" w:space="0" w:color="auto"/>
              <w:right w:val="nil"/>
            </w:tcBorders>
            <w:noWrap/>
            <w:vAlign w:val="bottom"/>
            <w:hideMark/>
          </w:tcPr>
          <w:p w14:paraId="18B37BA7" w14:textId="77777777" w:rsidR="00EF6BE6" w:rsidRPr="00EF6BE6" w:rsidRDefault="00EF6BE6" w:rsidP="00EF6BE6">
            <w:pPr>
              <w:spacing w:after="0" w:line="240" w:lineRule="auto"/>
              <w:jc w:val="center"/>
              <w:rPr>
                <w:rFonts w:ascii="Calibri" w:eastAsia="Times New Roman" w:hAnsi="Calibri" w:cs="Calibri"/>
                <w:color w:val="000000"/>
                <w:sz w:val="16"/>
                <w:szCs w:val="16"/>
                <w:lang w:eastAsia="hr-HR"/>
              </w:rPr>
            </w:pPr>
            <w:r w:rsidRPr="00EF6BE6">
              <w:rPr>
                <w:rFonts w:ascii="Calibri" w:eastAsia="Times New Roman" w:hAnsi="Calibri" w:cs="Calibri"/>
                <w:color w:val="000000"/>
                <w:sz w:val="16"/>
                <w:szCs w:val="16"/>
                <w:lang w:eastAsia="hr-HR"/>
              </w:rPr>
              <w:t>64</w:t>
            </w:r>
          </w:p>
        </w:tc>
        <w:tc>
          <w:tcPr>
            <w:tcW w:w="2566" w:type="dxa"/>
            <w:tcBorders>
              <w:top w:val="nil"/>
              <w:left w:val="nil"/>
              <w:bottom w:val="single" w:sz="4" w:space="0" w:color="auto"/>
              <w:right w:val="nil"/>
            </w:tcBorders>
            <w:noWrap/>
            <w:vAlign w:val="bottom"/>
            <w:hideMark/>
          </w:tcPr>
          <w:p w14:paraId="389B84A5" w14:textId="77777777" w:rsidR="00EF6BE6" w:rsidRPr="00EF6BE6" w:rsidRDefault="00EF6BE6" w:rsidP="00EF6BE6">
            <w:pPr>
              <w:spacing w:after="0" w:line="240" w:lineRule="auto"/>
              <w:rPr>
                <w:rFonts w:ascii="Calibri" w:eastAsia="Times New Roman" w:hAnsi="Calibri" w:cs="Calibri"/>
                <w:color w:val="000000"/>
                <w:sz w:val="16"/>
                <w:szCs w:val="16"/>
                <w:lang w:eastAsia="hr-HR"/>
              </w:rPr>
            </w:pPr>
            <w:r w:rsidRPr="00EF6BE6">
              <w:rPr>
                <w:rFonts w:ascii="Calibri" w:eastAsia="Times New Roman" w:hAnsi="Calibri" w:cs="Calibri"/>
                <w:color w:val="000000"/>
                <w:sz w:val="16"/>
                <w:szCs w:val="16"/>
                <w:lang w:eastAsia="hr-HR"/>
              </w:rPr>
              <w:t>Prihodi od imovine</w:t>
            </w:r>
          </w:p>
        </w:tc>
        <w:tc>
          <w:tcPr>
            <w:tcW w:w="1460" w:type="dxa"/>
            <w:tcBorders>
              <w:top w:val="nil"/>
              <w:left w:val="nil"/>
              <w:bottom w:val="single" w:sz="4" w:space="0" w:color="auto"/>
              <w:right w:val="nil"/>
            </w:tcBorders>
            <w:noWrap/>
            <w:vAlign w:val="bottom"/>
            <w:hideMark/>
          </w:tcPr>
          <w:p w14:paraId="413C72A7"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3.671.211,51</w:t>
            </w:r>
          </w:p>
        </w:tc>
        <w:tc>
          <w:tcPr>
            <w:tcW w:w="1399" w:type="dxa"/>
            <w:tcBorders>
              <w:top w:val="nil"/>
              <w:left w:val="nil"/>
              <w:bottom w:val="single" w:sz="4" w:space="0" w:color="auto"/>
              <w:right w:val="nil"/>
            </w:tcBorders>
            <w:noWrap/>
            <w:vAlign w:val="bottom"/>
            <w:hideMark/>
          </w:tcPr>
          <w:p w14:paraId="470739CC"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4.184.107,00</w:t>
            </w:r>
          </w:p>
        </w:tc>
        <w:tc>
          <w:tcPr>
            <w:tcW w:w="1314" w:type="dxa"/>
            <w:tcBorders>
              <w:top w:val="nil"/>
              <w:left w:val="nil"/>
              <w:bottom w:val="single" w:sz="4" w:space="0" w:color="auto"/>
              <w:right w:val="nil"/>
            </w:tcBorders>
            <w:noWrap/>
            <w:vAlign w:val="bottom"/>
            <w:hideMark/>
          </w:tcPr>
          <w:p w14:paraId="7B412BBC"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4.184.107,00</w:t>
            </w:r>
          </w:p>
        </w:tc>
        <w:tc>
          <w:tcPr>
            <w:tcW w:w="1293" w:type="dxa"/>
            <w:tcBorders>
              <w:top w:val="nil"/>
              <w:left w:val="nil"/>
              <w:bottom w:val="single" w:sz="4" w:space="0" w:color="auto"/>
              <w:right w:val="nil"/>
            </w:tcBorders>
            <w:noWrap/>
            <w:vAlign w:val="bottom"/>
            <w:hideMark/>
          </w:tcPr>
          <w:p w14:paraId="0E37C954"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4.169.128,75</w:t>
            </w:r>
          </w:p>
        </w:tc>
        <w:tc>
          <w:tcPr>
            <w:tcW w:w="855" w:type="dxa"/>
            <w:tcBorders>
              <w:top w:val="nil"/>
              <w:left w:val="nil"/>
              <w:bottom w:val="single" w:sz="4" w:space="0" w:color="auto"/>
              <w:right w:val="nil"/>
            </w:tcBorders>
            <w:noWrap/>
            <w:vAlign w:val="bottom"/>
            <w:hideMark/>
          </w:tcPr>
          <w:p w14:paraId="0D336313"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113,56%</w:t>
            </w:r>
          </w:p>
        </w:tc>
        <w:tc>
          <w:tcPr>
            <w:tcW w:w="846" w:type="dxa"/>
            <w:tcBorders>
              <w:top w:val="nil"/>
              <w:left w:val="nil"/>
              <w:bottom w:val="single" w:sz="4" w:space="0" w:color="auto"/>
              <w:right w:val="nil"/>
            </w:tcBorders>
            <w:noWrap/>
            <w:vAlign w:val="bottom"/>
            <w:hideMark/>
          </w:tcPr>
          <w:p w14:paraId="076C954A"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99,64%</w:t>
            </w:r>
          </w:p>
        </w:tc>
      </w:tr>
      <w:tr w:rsidR="00EF6BE6" w:rsidRPr="00EF6BE6" w14:paraId="5A625917" w14:textId="77777777" w:rsidTr="0087064B">
        <w:trPr>
          <w:trHeight w:val="710"/>
        </w:trPr>
        <w:tc>
          <w:tcPr>
            <w:tcW w:w="777" w:type="dxa"/>
            <w:tcBorders>
              <w:top w:val="nil"/>
              <w:left w:val="nil"/>
              <w:bottom w:val="single" w:sz="4" w:space="0" w:color="auto"/>
              <w:right w:val="nil"/>
            </w:tcBorders>
            <w:noWrap/>
            <w:vAlign w:val="bottom"/>
            <w:hideMark/>
          </w:tcPr>
          <w:p w14:paraId="25222CE8" w14:textId="77777777" w:rsidR="00EF6BE6" w:rsidRPr="00EF6BE6" w:rsidRDefault="00EF6BE6" w:rsidP="00EF6BE6">
            <w:pPr>
              <w:spacing w:after="0" w:line="240" w:lineRule="auto"/>
              <w:jc w:val="center"/>
              <w:rPr>
                <w:rFonts w:ascii="Calibri" w:eastAsia="Times New Roman" w:hAnsi="Calibri" w:cs="Calibri"/>
                <w:color w:val="000000"/>
                <w:sz w:val="16"/>
                <w:szCs w:val="16"/>
                <w:lang w:eastAsia="hr-HR"/>
              </w:rPr>
            </w:pPr>
            <w:r w:rsidRPr="00EF6BE6">
              <w:rPr>
                <w:rFonts w:ascii="Calibri" w:eastAsia="Times New Roman" w:hAnsi="Calibri" w:cs="Calibri"/>
                <w:color w:val="000000"/>
                <w:sz w:val="16"/>
                <w:szCs w:val="16"/>
                <w:lang w:eastAsia="hr-HR"/>
              </w:rPr>
              <w:t>65</w:t>
            </w:r>
          </w:p>
        </w:tc>
        <w:tc>
          <w:tcPr>
            <w:tcW w:w="2566" w:type="dxa"/>
            <w:tcBorders>
              <w:top w:val="nil"/>
              <w:left w:val="nil"/>
              <w:bottom w:val="single" w:sz="4" w:space="0" w:color="auto"/>
              <w:right w:val="nil"/>
            </w:tcBorders>
            <w:hideMark/>
          </w:tcPr>
          <w:p w14:paraId="2B2174F5" w14:textId="77777777" w:rsidR="00EF6BE6" w:rsidRPr="00EF6BE6" w:rsidRDefault="00EF6BE6" w:rsidP="00EF6BE6">
            <w:pPr>
              <w:spacing w:after="0" w:line="240" w:lineRule="auto"/>
              <w:rPr>
                <w:rFonts w:ascii="Calibri" w:eastAsia="Times New Roman" w:hAnsi="Calibri" w:cs="Calibri"/>
                <w:color w:val="000000"/>
                <w:sz w:val="16"/>
                <w:szCs w:val="16"/>
                <w:lang w:eastAsia="hr-HR"/>
              </w:rPr>
            </w:pPr>
            <w:r w:rsidRPr="00EF6BE6">
              <w:rPr>
                <w:rFonts w:ascii="Calibri" w:eastAsia="Times New Roman" w:hAnsi="Calibri" w:cs="Calibri"/>
                <w:color w:val="000000"/>
                <w:sz w:val="16"/>
                <w:szCs w:val="16"/>
                <w:lang w:eastAsia="hr-HR"/>
              </w:rPr>
              <w:t xml:space="preserve">Prihodi od upravnih i  </w:t>
            </w:r>
            <w:proofErr w:type="spellStart"/>
            <w:r w:rsidRPr="00EF6BE6">
              <w:rPr>
                <w:rFonts w:ascii="Calibri" w:eastAsia="Times New Roman" w:hAnsi="Calibri" w:cs="Calibri"/>
                <w:color w:val="000000"/>
                <w:sz w:val="16"/>
                <w:szCs w:val="16"/>
                <w:lang w:eastAsia="hr-HR"/>
              </w:rPr>
              <w:t>administ.pristojbi</w:t>
            </w:r>
            <w:proofErr w:type="spellEnd"/>
            <w:r w:rsidRPr="00EF6BE6">
              <w:rPr>
                <w:rFonts w:ascii="Calibri" w:eastAsia="Times New Roman" w:hAnsi="Calibri" w:cs="Calibri"/>
                <w:color w:val="000000"/>
                <w:sz w:val="16"/>
                <w:szCs w:val="16"/>
                <w:lang w:eastAsia="hr-HR"/>
              </w:rPr>
              <w:t>, pristojbi po posebnim propisima i naknada</w:t>
            </w:r>
          </w:p>
        </w:tc>
        <w:tc>
          <w:tcPr>
            <w:tcW w:w="1460" w:type="dxa"/>
            <w:tcBorders>
              <w:top w:val="nil"/>
              <w:left w:val="nil"/>
              <w:bottom w:val="single" w:sz="4" w:space="0" w:color="auto"/>
              <w:right w:val="nil"/>
            </w:tcBorders>
            <w:noWrap/>
            <w:vAlign w:val="bottom"/>
            <w:hideMark/>
          </w:tcPr>
          <w:p w14:paraId="3D90A914"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3.650.392,50</w:t>
            </w:r>
          </w:p>
        </w:tc>
        <w:tc>
          <w:tcPr>
            <w:tcW w:w="1399" w:type="dxa"/>
            <w:tcBorders>
              <w:top w:val="nil"/>
              <w:left w:val="nil"/>
              <w:bottom w:val="single" w:sz="4" w:space="0" w:color="auto"/>
              <w:right w:val="nil"/>
            </w:tcBorders>
            <w:noWrap/>
            <w:vAlign w:val="bottom"/>
            <w:hideMark/>
          </w:tcPr>
          <w:p w14:paraId="71B34871"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4.313.548,71</w:t>
            </w:r>
          </w:p>
        </w:tc>
        <w:tc>
          <w:tcPr>
            <w:tcW w:w="1314" w:type="dxa"/>
            <w:tcBorders>
              <w:top w:val="nil"/>
              <w:left w:val="nil"/>
              <w:bottom w:val="single" w:sz="4" w:space="0" w:color="auto"/>
              <w:right w:val="nil"/>
            </w:tcBorders>
            <w:noWrap/>
            <w:vAlign w:val="bottom"/>
            <w:hideMark/>
          </w:tcPr>
          <w:p w14:paraId="05EF11A3"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4.313.548,71</w:t>
            </w:r>
          </w:p>
        </w:tc>
        <w:tc>
          <w:tcPr>
            <w:tcW w:w="1293" w:type="dxa"/>
            <w:tcBorders>
              <w:top w:val="nil"/>
              <w:left w:val="nil"/>
              <w:bottom w:val="single" w:sz="4" w:space="0" w:color="auto"/>
              <w:right w:val="nil"/>
            </w:tcBorders>
            <w:noWrap/>
            <w:vAlign w:val="bottom"/>
            <w:hideMark/>
          </w:tcPr>
          <w:p w14:paraId="3F8453FC"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4.160.400,46</w:t>
            </w:r>
          </w:p>
        </w:tc>
        <w:tc>
          <w:tcPr>
            <w:tcW w:w="855" w:type="dxa"/>
            <w:tcBorders>
              <w:top w:val="nil"/>
              <w:left w:val="nil"/>
              <w:bottom w:val="single" w:sz="4" w:space="0" w:color="auto"/>
              <w:right w:val="nil"/>
            </w:tcBorders>
            <w:noWrap/>
            <w:vAlign w:val="bottom"/>
            <w:hideMark/>
          </w:tcPr>
          <w:p w14:paraId="5296C61C"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113,97%</w:t>
            </w:r>
          </w:p>
        </w:tc>
        <w:tc>
          <w:tcPr>
            <w:tcW w:w="846" w:type="dxa"/>
            <w:tcBorders>
              <w:top w:val="nil"/>
              <w:left w:val="nil"/>
              <w:bottom w:val="single" w:sz="4" w:space="0" w:color="auto"/>
              <w:right w:val="nil"/>
            </w:tcBorders>
            <w:noWrap/>
            <w:vAlign w:val="bottom"/>
            <w:hideMark/>
          </w:tcPr>
          <w:p w14:paraId="7D3AF8A9"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96,45%</w:t>
            </w:r>
          </w:p>
        </w:tc>
      </w:tr>
      <w:tr w:rsidR="00EF6BE6" w:rsidRPr="00EF6BE6" w14:paraId="66DD40BC" w14:textId="77777777" w:rsidTr="0087064B">
        <w:trPr>
          <w:trHeight w:val="710"/>
        </w:trPr>
        <w:tc>
          <w:tcPr>
            <w:tcW w:w="777" w:type="dxa"/>
            <w:tcBorders>
              <w:top w:val="nil"/>
              <w:left w:val="nil"/>
              <w:bottom w:val="single" w:sz="4" w:space="0" w:color="auto"/>
              <w:right w:val="nil"/>
            </w:tcBorders>
            <w:noWrap/>
            <w:vAlign w:val="bottom"/>
            <w:hideMark/>
          </w:tcPr>
          <w:p w14:paraId="0A009E33" w14:textId="77777777" w:rsidR="00EF6BE6" w:rsidRPr="00EF6BE6" w:rsidRDefault="00EF6BE6" w:rsidP="00EF6BE6">
            <w:pPr>
              <w:spacing w:after="0" w:line="240" w:lineRule="auto"/>
              <w:jc w:val="center"/>
              <w:rPr>
                <w:rFonts w:ascii="Calibri" w:eastAsia="Times New Roman" w:hAnsi="Calibri" w:cs="Calibri"/>
                <w:color w:val="000000"/>
                <w:sz w:val="16"/>
                <w:szCs w:val="16"/>
                <w:lang w:eastAsia="hr-HR"/>
              </w:rPr>
            </w:pPr>
            <w:r w:rsidRPr="00EF6BE6">
              <w:rPr>
                <w:rFonts w:ascii="Calibri" w:eastAsia="Times New Roman" w:hAnsi="Calibri" w:cs="Calibri"/>
                <w:color w:val="000000"/>
                <w:sz w:val="16"/>
                <w:szCs w:val="16"/>
                <w:lang w:eastAsia="hr-HR"/>
              </w:rPr>
              <w:t>66</w:t>
            </w:r>
          </w:p>
        </w:tc>
        <w:tc>
          <w:tcPr>
            <w:tcW w:w="2566" w:type="dxa"/>
            <w:tcBorders>
              <w:top w:val="nil"/>
              <w:left w:val="nil"/>
              <w:bottom w:val="single" w:sz="4" w:space="0" w:color="auto"/>
              <w:right w:val="nil"/>
            </w:tcBorders>
            <w:vAlign w:val="bottom"/>
            <w:hideMark/>
          </w:tcPr>
          <w:p w14:paraId="54C1D202" w14:textId="77777777" w:rsidR="00EF6BE6" w:rsidRPr="00EF6BE6" w:rsidRDefault="00EF6BE6" w:rsidP="00EF6BE6">
            <w:pPr>
              <w:spacing w:after="0" w:line="240" w:lineRule="auto"/>
              <w:rPr>
                <w:rFonts w:ascii="Calibri" w:eastAsia="Times New Roman" w:hAnsi="Calibri" w:cs="Calibri"/>
                <w:color w:val="000000"/>
                <w:sz w:val="16"/>
                <w:szCs w:val="16"/>
                <w:lang w:eastAsia="hr-HR"/>
              </w:rPr>
            </w:pPr>
            <w:r w:rsidRPr="00EF6BE6">
              <w:rPr>
                <w:rFonts w:ascii="Calibri" w:eastAsia="Times New Roman" w:hAnsi="Calibri" w:cs="Calibri"/>
                <w:color w:val="000000"/>
                <w:sz w:val="16"/>
                <w:szCs w:val="16"/>
                <w:lang w:eastAsia="hr-HR"/>
              </w:rPr>
              <w:t xml:space="preserve">Prihodi od prodaje proizvoda i robe te pruženih usluga i prihodi od donacija </w:t>
            </w:r>
          </w:p>
        </w:tc>
        <w:tc>
          <w:tcPr>
            <w:tcW w:w="1460" w:type="dxa"/>
            <w:tcBorders>
              <w:top w:val="nil"/>
              <w:left w:val="nil"/>
              <w:bottom w:val="single" w:sz="4" w:space="0" w:color="auto"/>
              <w:right w:val="nil"/>
            </w:tcBorders>
            <w:noWrap/>
            <w:vAlign w:val="bottom"/>
            <w:hideMark/>
          </w:tcPr>
          <w:p w14:paraId="2AA27B82"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 xml:space="preserve">123.706,38   </w:t>
            </w:r>
          </w:p>
        </w:tc>
        <w:tc>
          <w:tcPr>
            <w:tcW w:w="1399" w:type="dxa"/>
            <w:tcBorders>
              <w:top w:val="nil"/>
              <w:left w:val="nil"/>
              <w:bottom w:val="single" w:sz="4" w:space="0" w:color="auto"/>
              <w:right w:val="nil"/>
            </w:tcBorders>
            <w:noWrap/>
            <w:vAlign w:val="bottom"/>
            <w:hideMark/>
          </w:tcPr>
          <w:p w14:paraId="3668E978"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149.829,00</w:t>
            </w:r>
          </w:p>
        </w:tc>
        <w:tc>
          <w:tcPr>
            <w:tcW w:w="1314" w:type="dxa"/>
            <w:tcBorders>
              <w:top w:val="nil"/>
              <w:left w:val="nil"/>
              <w:bottom w:val="single" w:sz="4" w:space="0" w:color="auto"/>
              <w:right w:val="nil"/>
            </w:tcBorders>
            <w:noWrap/>
            <w:vAlign w:val="bottom"/>
            <w:hideMark/>
          </w:tcPr>
          <w:p w14:paraId="71D15FC1"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149.829,00</w:t>
            </w:r>
          </w:p>
        </w:tc>
        <w:tc>
          <w:tcPr>
            <w:tcW w:w="1293" w:type="dxa"/>
            <w:tcBorders>
              <w:top w:val="nil"/>
              <w:left w:val="nil"/>
              <w:bottom w:val="single" w:sz="4" w:space="0" w:color="auto"/>
              <w:right w:val="nil"/>
            </w:tcBorders>
            <w:noWrap/>
            <w:vAlign w:val="bottom"/>
            <w:hideMark/>
          </w:tcPr>
          <w:p w14:paraId="0853740A"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121.716,76</w:t>
            </w:r>
          </w:p>
        </w:tc>
        <w:tc>
          <w:tcPr>
            <w:tcW w:w="855" w:type="dxa"/>
            <w:tcBorders>
              <w:top w:val="nil"/>
              <w:left w:val="nil"/>
              <w:bottom w:val="single" w:sz="4" w:space="0" w:color="auto"/>
              <w:right w:val="nil"/>
            </w:tcBorders>
            <w:noWrap/>
            <w:vAlign w:val="bottom"/>
            <w:hideMark/>
          </w:tcPr>
          <w:p w14:paraId="0497601B"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98,39%</w:t>
            </w:r>
          </w:p>
        </w:tc>
        <w:tc>
          <w:tcPr>
            <w:tcW w:w="846" w:type="dxa"/>
            <w:tcBorders>
              <w:top w:val="nil"/>
              <w:left w:val="nil"/>
              <w:bottom w:val="single" w:sz="4" w:space="0" w:color="auto"/>
              <w:right w:val="nil"/>
            </w:tcBorders>
            <w:noWrap/>
            <w:vAlign w:val="bottom"/>
            <w:hideMark/>
          </w:tcPr>
          <w:p w14:paraId="3E4E8F53"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81,24%</w:t>
            </w:r>
          </w:p>
        </w:tc>
      </w:tr>
      <w:tr w:rsidR="00EF6BE6" w:rsidRPr="00EF6BE6" w14:paraId="3607707A" w14:textId="77777777" w:rsidTr="0087064B">
        <w:trPr>
          <w:trHeight w:val="710"/>
        </w:trPr>
        <w:tc>
          <w:tcPr>
            <w:tcW w:w="777" w:type="dxa"/>
            <w:tcBorders>
              <w:top w:val="nil"/>
              <w:left w:val="nil"/>
              <w:bottom w:val="nil"/>
              <w:right w:val="nil"/>
            </w:tcBorders>
            <w:noWrap/>
            <w:vAlign w:val="bottom"/>
            <w:hideMark/>
          </w:tcPr>
          <w:p w14:paraId="5109677A" w14:textId="77777777" w:rsidR="00EF6BE6" w:rsidRPr="00EF6BE6" w:rsidRDefault="00EF6BE6" w:rsidP="00EF6BE6">
            <w:pPr>
              <w:spacing w:after="0" w:line="240" w:lineRule="auto"/>
              <w:jc w:val="center"/>
              <w:rPr>
                <w:rFonts w:ascii="Calibri" w:eastAsia="Times New Roman" w:hAnsi="Calibri" w:cs="Calibri"/>
                <w:color w:val="000000"/>
                <w:sz w:val="16"/>
                <w:szCs w:val="16"/>
                <w:lang w:eastAsia="hr-HR"/>
              </w:rPr>
            </w:pPr>
            <w:r w:rsidRPr="00EF6BE6">
              <w:rPr>
                <w:rFonts w:ascii="Calibri" w:eastAsia="Times New Roman" w:hAnsi="Calibri" w:cs="Calibri"/>
                <w:color w:val="000000"/>
                <w:sz w:val="16"/>
                <w:szCs w:val="16"/>
                <w:lang w:eastAsia="hr-HR"/>
              </w:rPr>
              <w:t>67</w:t>
            </w:r>
          </w:p>
        </w:tc>
        <w:tc>
          <w:tcPr>
            <w:tcW w:w="2566" w:type="dxa"/>
            <w:tcBorders>
              <w:top w:val="nil"/>
              <w:left w:val="nil"/>
              <w:bottom w:val="single" w:sz="4" w:space="0" w:color="auto"/>
              <w:right w:val="nil"/>
            </w:tcBorders>
            <w:vAlign w:val="bottom"/>
            <w:hideMark/>
          </w:tcPr>
          <w:p w14:paraId="70D3A4D6" w14:textId="77777777" w:rsidR="00EF6BE6" w:rsidRPr="00EF6BE6" w:rsidRDefault="00EF6BE6" w:rsidP="00EF6BE6">
            <w:pPr>
              <w:spacing w:after="0" w:line="240" w:lineRule="auto"/>
              <w:rPr>
                <w:rFonts w:ascii="Calibri" w:eastAsia="Times New Roman" w:hAnsi="Calibri" w:cs="Calibri"/>
                <w:color w:val="000000"/>
                <w:sz w:val="16"/>
                <w:szCs w:val="16"/>
                <w:lang w:eastAsia="hr-HR"/>
              </w:rPr>
            </w:pPr>
            <w:r w:rsidRPr="00EF6BE6">
              <w:rPr>
                <w:rFonts w:ascii="Calibri" w:eastAsia="Times New Roman" w:hAnsi="Calibri" w:cs="Calibri"/>
                <w:color w:val="000000"/>
                <w:sz w:val="16"/>
                <w:szCs w:val="16"/>
                <w:lang w:eastAsia="hr-HR"/>
              </w:rPr>
              <w:t xml:space="preserve">Prihodi iz nadležnog proračuna i od HZZO-a temeljem ugovornih obveza </w:t>
            </w:r>
          </w:p>
        </w:tc>
        <w:tc>
          <w:tcPr>
            <w:tcW w:w="1460" w:type="dxa"/>
            <w:tcBorders>
              <w:top w:val="nil"/>
              <w:left w:val="nil"/>
              <w:bottom w:val="single" w:sz="4" w:space="0" w:color="auto"/>
              <w:right w:val="nil"/>
            </w:tcBorders>
            <w:noWrap/>
            <w:vAlign w:val="bottom"/>
            <w:hideMark/>
          </w:tcPr>
          <w:p w14:paraId="026786B4"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 xml:space="preserve">0,00   </w:t>
            </w:r>
          </w:p>
        </w:tc>
        <w:tc>
          <w:tcPr>
            <w:tcW w:w="1399" w:type="dxa"/>
            <w:tcBorders>
              <w:top w:val="nil"/>
              <w:left w:val="nil"/>
              <w:bottom w:val="single" w:sz="4" w:space="0" w:color="auto"/>
              <w:right w:val="nil"/>
            </w:tcBorders>
            <w:noWrap/>
            <w:vAlign w:val="bottom"/>
            <w:hideMark/>
          </w:tcPr>
          <w:p w14:paraId="58A75CAA"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2.926,00</w:t>
            </w:r>
          </w:p>
        </w:tc>
        <w:tc>
          <w:tcPr>
            <w:tcW w:w="1314" w:type="dxa"/>
            <w:tcBorders>
              <w:top w:val="nil"/>
              <w:left w:val="nil"/>
              <w:bottom w:val="single" w:sz="4" w:space="0" w:color="auto"/>
              <w:right w:val="nil"/>
            </w:tcBorders>
            <w:noWrap/>
            <w:vAlign w:val="bottom"/>
            <w:hideMark/>
          </w:tcPr>
          <w:p w14:paraId="279AC538"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2.926,00</w:t>
            </w:r>
          </w:p>
        </w:tc>
        <w:tc>
          <w:tcPr>
            <w:tcW w:w="1293" w:type="dxa"/>
            <w:tcBorders>
              <w:top w:val="nil"/>
              <w:left w:val="nil"/>
              <w:bottom w:val="single" w:sz="4" w:space="0" w:color="auto"/>
              <w:right w:val="nil"/>
            </w:tcBorders>
            <w:noWrap/>
            <w:vAlign w:val="bottom"/>
            <w:hideMark/>
          </w:tcPr>
          <w:p w14:paraId="778CCF8E"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0,00</w:t>
            </w:r>
          </w:p>
        </w:tc>
        <w:tc>
          <w:tcPr>
            <w:tcW w:w="855" w:type="dxa"/>
            <w:tcBorders>
              <w:top w:val="nil"/>
              <w:left w:val="nil"/>
              <w:bottom w:val="single" w:sz="4" w:space="0" w:color="auto"/>
              <w:right w:val="nil"/>
            </w:tcBorders>
            <w:noWrap/>
            <w:vAlign w:val="bottom"/>
            <w:hideMark/>
          </w:tcPr>
          <w:p w14:paraId="70036F19" w14:textId="2FE3FD05"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w:t>
            </w:r>
          </w:p>
        </w:tc>
        <w:tc>
          <w:tcPr>
            <w:tcW w:w="846" w:type="dxa"/>
            <w:tcBorders>
              <w:top w:val="nil"/>
              <w:left w:val="nil"/>
              <w:bottom w:val="single" w:sz="4" w:space="0" w:color="auto"/>
              <w:right w:val="nil"/>
            </w:tcBorders>
            <w:noWrap/>
            <w:vAlign w:val="bottom"/>
            <w:hideMark/>
          </w:tcPr>
          <w:p w14:paraId="4EC9FD4E" w14:textId="1F839C24"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w:t>
            </w:r>
          </w:p>
        </w:tc>
      </w:tr>
      <w:tr w:rsidR="00EF6BE6" w:rsidRPr="00EF6BE6" w14:paraId="32FFD1CE" w14:textId="77777777" w:rsidTr="0087064B">
        <w:trPr>
          <w:trHeight w:val="473"/>
        </w:trPr>
        <w:tc>
          <w:tcPr>
            <w:tcW w:w="777" w:type="dxa"/>
            <w:tcBorders>
              <w:top w:val="nil"/>
              <w:left w:val="nil"/>
              <w:bottom w:val="nil"/>
              <w:right w:val="nil"/>
            </w:tcBorders>
            <w:noWrap/>
            <w:vAlign w:val="bottom"/>
            <w:hideMark/>
          </w:tcPr>
          <w:p w14:paraId="5672DBAD" w14:textId="77777777" w:rsidR="00EF6BE6" w:rsidRPr="00EF6BE6" w:rsidRDefault="00EF6BE6" w:rsidP="00EF6BE6">
            <w:pPr>
              <w:spacing w:after="0" w:line="240" w:lineRule="auto"/>
              <w:jc w:val="center"/>
              <w:rPr>
                <w:rFonts w:ascii="Calibri" w:eastAsia="Times New Roman" w:hAnsi="Calibri" w:cs="Calibri"/>
                <w:color w:val="000000"/>
                <w:sz w:val="16"/>
                <w:szCs w:val="16"/>
                <w:lang w:eastAsia="hr-HR"/>
              </w:rPr>
            </w:pPr>
            <w:r w:rsidRPr="00EF6BE6">
              <w:rPr>
                <w:rFonts w:ascii="Calibri" w:eastAsia="Times New Roman" w:hAnsi="Calibri" w:cs="Calibri"/>
                <w:color w:val="000000"/>
                <w:sz w:val="16"/>
                <w:szCs w:val="16"/>
                <w:lang w:eastAsia="hr-HR"/>
              </w:rPr>
              <w:t>68</w:t>
            </w:r>
          </w:p>
        </w:tc>
        <w:tc>
          <w:tcPr>
            <w:tcW w:w="2566" w:type="dxa"/>
            <w:tcBorders>
              <w:top w:val="nil"/>
              <w:left w:val="nil"/>
              <w:bottom w:val="single" w:sz="4" w:space="0" w:color="auto"/>
              <w:right w:val="nil"/>
            </w:tcBorders>
            <w:vAlign w:val="bottom"/>
            <w:hideMark/>
          </w:tcPr>
          <w:p w14:paraId="0F625025" w14:textId="77777777" w:rsidR="00EF6BE6" w:rsidRPr="00EF6BE6" w:rsidRDefault="00EF6BE6" w:rsidP="00EF6BE6">
            <w:pPr>
              <w:spacing w:after="0" w:line="240" w:lineRule="auto"/>
              <w:rPr>
                <w:rFonts w:ascii="Calibri" w:eastAsia="Times New Roman" w:hAnsi="Calibri" w:cs="Calibri"/>
                <w:color w:val="000000"/>
                <w:sz w:val="16"/>
                <w:szCs w:val="16"/>
                <w:lang w:eastAsia="hr-HR"/>
              </w:rPr>
            </w:pPr>
            <w:r w:rsidRPr="00EF6BE6">
              <w:rPr>
                <w:rFonts w:ascii="Calibri" w:eastAsia="Times New Roman" w:hAnsi="Calibri" w:cs="Calibri"/>
                <w:color w:val="000000"/>
                <w:sz w:val="16"/>
                <w:szCs w:val="16"/>
                <w:lang w:eastAsia="hr-HR"/>
              </w:rPr>
              <w:t xml:space="preserve">Kazne, upravne mjere i ostali prihodi </w:t>
            </w:r>
          </w:p>
        </w:tc>
        <w:tc>
          <w:tcPr>
            <w:tcW w:w="1460" w:type="dxa"/>
            <w:tcBorders>
              <w:top w:val="nil"/>
              <w:left w:val="nil"/>
              <w:bottom w:val="single" w:sz="4" w:space="0" w:color="auto"/>
              <w:right w:val="nil"/>
            </w:tcBorders>
            <w:noWrap/>
            <w:vAlign w:val="bottom"/>
            <w:hideMark/>
          </w:tcPr>
          <w:p w14:paraId="49A95C2E"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79.758,08</w:t>
            </w:r>
          </w:p>
        </w:tc>
        <w:tc>
          <w:tcPr>
            <w:tcW w:w="1399" w:type="dxa"/>
            <w:tcBorders>
              <w:top w:val="nil"/>
              <w:left w:val="nil"/>
              <w:bottom w:val="single" w:sz="4" w:space="0" w:color="auto"/>
              <w:right w:val="nil"/>
            </w:tcBorders>
            <w:noWrap/>
            <w:vAlign w:val="bottom"/>
            <w:hideMark/>
          </w:tcPr>
          <w:p w14:paraId="01422828"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208.021,85</w:t>
            </w:r>
          </w:p>
        </w:tc>
        <w:tc>
          <w:tcPr>
            <w:tcW w:w="1314" w:type="dxa"/>
            <w:tcBorders>
              <w:top w:val="nil"/>
              <w:left w:val="nil"/>
              <w:bottom w:val="single" w:sz="4" w:space="0" w:color="auto"/>
              <w:right w:val="nil"/>
            </w:tcBorders>
            <w:noWrap/>
            <w:vAlign w:val="bottom"/>
            <w:hideMark/>
          </w:tcPr>
          <w:p w14:paraId="620B3908"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208.021,85</w:t>
            </w:r>
          </w:p>
        </w:tc>
        <w:tc>
          <w:tcPr>
            <w:tcW w:w="1293" w:type="dxa"/>
            <w:tcBorders>
              <w:top w:val="nil"/>
              <w:left w:val="nil"/>
              <w:bottom w:val="single" w:sz="4" w:space="0" w:color="auto"/>
              <w:right w:val="nil"/>
            </w:tcBorders>
            <w:noWrap/>
            <w:vAlign w:val="bottom"/>
            <w:hideMark/>
          </w:tcPr>
          <w:p w14:paraId="6397D214"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167.175,02</w:t>
            </w:r>
          </w:p>
        </w:tc>
        <w:tc>
          <w:tcPr>
            <w:tcW w:w="855" w:type="dxa"/>
            <w:tcBorders>
              <w:top w:val="nil"/>
              <w:left w:val="nil"/>
              <w:bottom w:val="single" w:sz="4" w:space="0" w:color="auto"/>
              <w:right w:val="nil"/>
            </w:tcBorders>
            <w:noWrap/>
            <w:vAlign w:val="bottom"/>
            <w:hideMark/>
          </w:tcPr>
          <w:p w14:paraId="52633D54"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209,60%</w:t>
            </w:r>
          </w:p>
        </w:tc>
        <w:tc>
          <w:tcPr>
            <w:tcW w:w="846" w:type="dxa"/>
            <w:tcBorders>
              <w:top w:val="nil"/>
              <w:left w:val="nil"/>
              <w:bottom w:val="single" w:sz="4" w:space="0" w:color="auto"/>
              <w:right w:val="nil"/>
            </w:tcBorders>
            <w:noWrap/>
            <w:vAlign w:val="bottom"/>
            <w:hideMark/>
          </w:tcPr>
          <w:p w14:paraId="4434A737"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80,36%</w:t>
            </w:r>
          </w:p>
        </w:tc>
      </w:tr>
      <w:tr w:rsidR="00EF6BE6" w:rsidRPr="00EF6BE6" w14:paraId="32EAE44C" w14:textId="77777777" w:rsidTr="0087064B">
        <w:trPr>
          <w:trHeight w:val="473"/>
        </w:trPr>
        <w:tc>
          <w:tcPr>
            <w:tcW w:w="777" w:type="dxa"/>
            <w:tcBorders>
              <w:top w:val="single" w:sz="4" w:space="0" w:color="auto"/>
              <w:left w:val="nil"/>
              <w:bottom w:val="single" w:sz="4" w:space="0" w:color="auto"/>
              <w:right w:val="nil"/>
            </w:tcBorders>
            <w:shd w:val="clear" w:color="000000" w:fill="D0CECE"/>
            <w:noWrap/>
            <w:vAlign w:val="bottom"/>
            <w:hideMark/>
          </w:tcPr>
          <w:p w14:paraId="1B20AA19" w14:textId="77777777" w:rsidR="00EF6BE6" w:rsidRPr="00EF6BE6" w:rsidRDefault="00EF6BE6" w:rsidP="00EF6BE6">
            <w:pPr>
              <w:spacing w:after="0" w:line="240" w:lineRule="auto"/>
              <w:jc w:val="center"/>
              <w:rPr>
                <w:rFonts w:ascii="Calibri" w:eastAsia="Times New Roman" w:hAnsi="Calibri" w:cs="Calibri"/>
                <w:color w:val="000000"/>
                <w:sz w:val="16"/>
                <w:szCs w:val="16"/>
                <w:lang w:eastAsia="hr-HR"/>
              </w:rPr>
            </w:pPr>
            <w:r w:rsidRPr="00EF6BE6">
              <w:rPr>
                <w:rFonts w:ascii="Calibri" w:eastAsia="Times New Roman" w:hAnsi="Calibri" w:cs="Calibri"/>
                <w:color w:val="000000"/>
                <w:sz w:val="16"/>
                <w:szCs w:val="16"/>
                <w:lang w:eastAsia="hr-HR"/>
              </w:rPr>
              <w:t>7</w:t>
            </w:r>
          </w:p>
        </w:tc>
        <w:tc>
          <w:tcPr>
            <w:tcW w:w="2566" w:type="dxa"/>
            <w:tcBorders>
              <w:top w:val="nil"/>
              <w:left w:val="nil"/>
              <w:bottom w:val="single" w:sz="4" w:space="0" w:color="auto"/>
              <w:right w:val="nil"/>
            </w:tcBorders>
            <w:shd w:val="clear" w:color="000000" w:fill="D0CECE"/>
            <w:vAlign w:val="bottom"/>
            <w:hideMark/>
          </w:tcPr>
          <w:p w14:paraId="4F2A47E3" w14:textId="77777777" w:rsidR="00EF6BE6" w:rsidRPr="00EF6BE6" w:rsidRDefault="00EF6BE6" w:rsidP="00EF6BE6">
            <w:pPr>
              <w:spacing w:after="0" w:line="240" w:lineRule="auto"/>
              <w:rPr>
                <w:rFonts w:ascii="Calibri" w:eastAsia="Times New Roman" w:hAnsi="Calibri" w:cs="Calibri"/>
                <w:b/>
                <w:bCs/>
                <w:color w:val="000000"/>
                <w:sz w:val="16"/>
                <w:szCs w:val="16"/>
                <w:lang w:eastAsia="hr-HR"/>
              </w:rPr>
            </w:pPr>
            <w:r w:rsidRPr="00EF6BE6">
              <w:rPr>
                <w:rFonts w:ascii="Calibri" w:eastAsia="Times New Roman" w:hAnsi="Calibri" w:cs="Calibri"/>
                <w:b/>
                <w:bCs/>
                <w:color w:val="000000"/>
                <w:sz w:val="16"/>
                <w:szCs w:val="16"/>
                <w:lang w:eastAsia="hr-HR"/>
              </w:rPr>
              <w:t>PRIHODI OD PRODAJE NEFINANCIJSKE IMOVINE</w:t>
            </w:r>
          </w:p>
        </w:tc>
        <w:tc>
          <w:tcPr>
            <w:tcW w:w="1460" w:type="dxa"/>
            <w:tcBorders>
              <w:top w:val="nil"/>
              <w:left w:val="nil"/>
              <w:bottom w:val="single" w:sz="4" w:space="0" w:color="auto"/>
              <w:right w:val="nil"/>
            </w:tcBorders>
            <w:shd w:val="clear" w:color="000000" w:fill="D0CECE"/>
            <w:noWrap/>
            <w:vAlign w:val="bottom"/>
            <w:hideMark/>
          </w:tcPr>
          <w:p w14:paraId="2414C242" w14:textId="77777777" w:rsidR="00EF6BE6" w:rsidRPr="00EF6BE6" w:rsidRDefault="00EF6BE6" w:rsidP="00EF6BE6">
            <w:pPr>
              <w:spacing w:after="0" w:line="240" w:lineRule="auto"/>
              <w:jc w:val="center"/>
              <w:rPr>
                <w:rFonts w:ascii="Calibri" w:eastAsia="Times New Roman" w:hAnsi="Calibri" w:cs="Calibri"/>
                <w:b/>
                <w:bCs/>
                <w:color w:val="000000"/>
                <w:sz w:val="18"/>
                <w:szCs w:val="18"/>
                <w:lang w:eastAsia="hr-HR"/>
              </w:rPr>
            </w:pPr>
            <w:r w:rsidRPr="00EF6BE6">
              <w:rPr>
                <w:rFonts w:ascii="Calibri" w:eastAsia="Times New Roman" w:hAnsi="Calibri" w:cs="Calibri"/>
                <w:b/>
                <w:bCs/>
                <w:color w:val="000000"/>
                <w:sz w:val="18"/>
                <w:szCs w:val="18"/>
                <w:lang w:eastAsia="hr-HR"/>
              </w:rPr>
              <w:t>1.309,83</w:t>
            </w:r>
          </w:p>
        </w:tc>
        <w:tc>
          <w:tcPr>
            <w:tcW w:w="1399" w:type="dxa"/>
            <w:tcBorders>
              <w:top w:val="nil"/>
              <w:left w:val="nil"/>
              <w:bottom w:val="single" w:sz="4" w:space="0" w:color="auto"/>
              <w:right w:val="nil"/>
            </w:tcBorders>
            <w:shd w:val="clear" w:color="000000" w:fill="D0CECE"/>
            <w:noWrap/>
            <w:vAlign w:val="bottom"/>
            <w:hideMark/>
          </w:tcPr>
          <w:p w14:paraId="4B6D1BF1" w14:textId="77777777" w:rsidR="00EF6BE6" w:rsidRPr="00EF6BE6" w:rsidRDefault="00EF6BE6" w:rsidP="00EF6BE6">
            <w:pPr>
              <w:spacing w:after="0" w:line="240" w:lineRule="auto"/>
              <w:jc w:val="center"/>
              <w:rPr>
                <w:rFonts w:ascii="Calibri" w:eastAsia="Times New Roman" w:hAnsi="Calibri" w:cs="Calibri"/>
                <w:b/>
                <w:bCs/>
                <w:color w:val="000000"/>
                <w:sz w:val="18"/>
                <w:szCs w:val="18"/>
                <w:lang w:eastAsia="hr-HR"/>
              </w:rPr>
            </w:pPr>
            <w:r w:rsidRPr="00EF6BE6">
              <w:rPr>
                <w:rFonts w:ascii="Calibri" w:eastAsia="Times New Roman" w:hAnsi="Calibri" w:cs="Calibri"/>
                <w:b/>
                <w:bCs/>
                <w:color w:val="000000"/>
                <w:sz w:val="18"/>
                <w:szCs w:val="18"/>
                <w:lang w:eastAsia="hr-HR"/>
              </w:rPr>
              <w:t>38.000,00</w:t>
            </w:r>
          </w:p>
        </w:tc>
        <w:tc>
          <w:tcPr>
            <w:tcW w:w="1314" w:type="dxa"/>
            <w:tcBorders>
              <w:top w:val="nil"/>
              <w:left w:val="nil"/>
              <w:bottom w:val="single" w:sz="4" w:space="0" w:color="auto"/>
              <w:right w:val="nil"/>
            </w:tcBorders>
            <w:shd w:val="clear" w:color="000000" w:fill="D0CECE"/>
            <w:noWrap/>
            <w:vAlign w:val="bottom"/>
            <w:hideMark/>
          </w:tcPr>
          <w:p w14:paraId="33D5CEB5" w14:textId="77777777" w:rsidR="00EF6BE6" w:rsidRPr="00EF6BE6" w:rsidRDefault="00EF6BE6" w:rsidP="00EF6BE6">
            <w:pPr>
              <w:spacing w:after="0" w:line="240" w:lineRule="auto"/>
              <w:jc w:val="center"/>
              <w:rPr>
                <w:rFonts w:ascii="Calibri" w:eastAsia="Times New Roman" w:hAnsi="Calibri" w:cs="Calibri"/>
                <w:b/>
                <w:bCs/>
                <w:color w:val="000000"/>
                <w:sz w:val="18"/>
                <w:szCs w:val="18"/>
                <w:lang w:eastAsia="hr-HR"/>
              </w:rPr>
            </w:pPr>
            <w:r w:rsidRPr="00EF6BE6">
              <w:rPr>
                <w:rFonts w:ascii="Calibri" w:eastAsia="Times New Roman" w:hAnsi="Calibri" w:cs="Calibri"/>
                <w:b/>
                <w:bCs/>
                <w:color w:val="000000"/>
                <w:sz w:val="18"/>
                <w:szCs w:val="18"/>
                <w:lang w:eastAsia="hr-HR"/>
              </w:rPr>
              <w:t>38.000,00</w:t>
            </w:r>
          </w:p>
        </w:tc>
        <w:tc>
          <w:tcPr>
            <w:tcW w:w="1293" w:type="dxa"/>
            <w:tcBorders>
              <w:top w:val="nil"/>
              <w:left w:val="nil"/>
              <w:bottom w:val="single" w:sz="4" w:space="0" w:color="auto"/>
              <w:right w:val="nil"/>
            </w:tcBorders>
            <w:shd w:val="clear" w:color="000000" w:fill="D0CECE"/>
            <w:noWrap/>
            <w:vAlign w:val="bottom"/>
            <w:hideMark/>
          </w:tcPr>
          <w:p w14:paraId="2C67CDA5" w14:textId="77777777" w:rsidR="00EF6BE6" w:rsidRPr="00EF6BE6" w:rsidRDefault="00EF6BE6" w:rsidP="00EF6BE6">
            <w:pPr>
              <w:spacing w:after="0" w:line="240" w:lineRule="auto"/>
              <w:jc w:val="center"/>
              <w:rPr>
                <w:rFonts w:ascii="Calibri" w:eastAsia="Times New Roman" w:hAnsi="Calibri" w:cs="Calibri"/>
                <w:b/>
                <w:bCs/>
                <w:color w:val="000000"/>
                <w:sz w:val="18"/>
                <w:szCs w:val="18"/>
                <w:lang w:eastAsia="hr-HR"/>
              </w:rPr>
            </w:pPr>
            <w:r w:rsidRPr="00EF6BE6">
              <w:rPr>
                <w:rFonts w:ascii="Calibri" w:eastAsia="Times New Roman" w:hAnsi="Calibri" w:cs="Calibri"/>
                <w:b/>
                <w:bCs/>
                <w:color w:val="000000"/>
                <w:sz w:val="18"/>
                <w:szCs w:val="18"/>
                <w:lang w:eastAsia="hr-HR"/>
              </w:rPr>
              <w:t>11.114,76</w:t>
            </w:r>
          </w:p>
        </w:tc>
        <w:tc>
          <w:tcPr>
            <w:tcW w:w="855" w:type="dxa"/>
            <w:tcBorders>
              <w:top w:val="nil"/>
              <w:left w:val="nil"/>
              <w:bottom w:val="single" w:sz="4" w:space="0" w:color="auto"/>
              <w:right w:val="nil"/>
            </w:tcBorders>
            <w:shd w:val="clear" w:color="000000" w:fill="D0CECE"/>
            <w:noWrap/>
            <w:vAlign w:val="bottom"/>
            <w:hideMark/>
          </w:tcPr>
          <w:p w14:paraId="25490F41" w14:textId="77777777" w:rsidR="00EF6BE6" w:rsidRPr="00EF6BE6" w:rsidRDefault="00EF6BE6" w:rsidP="00EF6BE6">
            <w:pPr>
              <w:spacing w:after="0" w:line="240" w:lineRule="auto"/>
              <w:jc w:val="center"/>
              <w:rPr>
                <w:rFonts w:ascii="Calibri" w:eastAsia="Times New Roman" w:hAnsi="Calibri" w:cs="Calibri"/>
                <w:b/>
                <w:bCs/>
                <w:color w:val="000000"/>
                <w:sz w:val="18"/>
                <w:szCs w:val="18"/>
                <w:lang w:eastAsia="hr-HR"/>
              </w:rPr>
            </w:pPr>
            <w:r w:rsidRPr="00EF6BE6">
              <w:rPr>
                <w:rFonts w:ascii="Calibri" w:eastAsia="Times New Roman" w:hAnsi="Calibri" w:cs="Calibri"/>
                <w:b/>
                <w:bCs/>
                <w:color w:val="000000"/>
                <w:sz w:val="18"/>
                <w:szCs w:val="18"/>
                <w:lang w:eastAsia="hr-HR"/>
              </w:rPr>
              <w:t>848,57%</w:t>
            </w:r>
          </w:p>
        </w:tc>
        <w:tc>
          <w:tcPr>
            <w:tcW w:w="846" w:type="dxa"/>
            <w:tcBorders>
              <w:top w:val="nil"/>
              <w:left w:val="nil"/>
              <w:bottom w:val="single" w:sz="4" w:space="0" w:color="auto"/>
              <w:right w:val="nil"/>
            </w:tcBorders>
            <w:shd w:val="clear" w:color="000000" w:fill="D0CECE"/>
            <w:noWrap/>
            <w:vAlign w:val="bottom"/>
            <w:hideMark/>
          </w:tcPr>
          <w:p w14:paraId="7EDB020F" w14:textId="77777777" w:rsidR="00EF6BE6" w:rsidRPr="00EF6BE6" w:rsidRDefault="00EF6BE6" w:rsidP="00EF6BE6">
            <w:pPr>
              <w:spacing w:after="0" w:line="240" w:lineRule="auto"/>
              <w:jc w:val="center"/>
              <w:rPr>
                <w:rFonts w:ascii="Calibri" w:eastAsia="Times New Roman" w:hAnsi="Calibri" w:cs="Calibri"/>
                <w:b/>
                <w:bCs/>
                <w:color w:val="000000"/>
                <w:sz w:val="18"/>
                <w:szCs w:val="18"/>
                <w:lang w:eastAsia="hr-HR"/>
              </w:rPr>
            </w:pPr>
            <w:r w:rsidRPr="00EF6BE6">
              <w:rPr>
                <w:rFonts w:ascii="Calibri" w:eastAsia="Times New Roman" w:hAnsi="Calibri" w:cs="Calibri"/>
                <w:b/>
                <w:bCs/>
                <w:color w:val="000000"/>
                <w:sz w:val="18"/>
                <w:szCs w:val="18"/>
                <w:lang w:eastAsia="hr-HR"/>
              </w:rPr>
              <w:t>29,25%</w:t>
            </w:r>
          </w:p>
        </w:tc>
      </w:tr>
      <w:tr w:rsidR="00EF6BE6" w:rsidRPr="00EF6BE6" w14:paraId="70B30BA1" w14:textId="77777777" w:rsidTr="0087064B">
        <w:trPr>
          <w:trHeight w:val="710"/>
        </w:trPr>
        <w:tc>
          <w:tcPr>
            <w:tcW w:w="777" w:type="dxa"/>
            <w:tcBorders>
              <w:top w:val="nil"/>
              <w:left w:val="nil"/>
              <w:bottom w:val="nil"/>
              <w:right w:val="nil"/>
            </w:tcBorders>
            <w:noWrap/>
            <w:vAlign w:val="bottom"/>
            <w:hideMark/>
          </w:tcPr>
          <w:p w14:paraId="78451258" w14:textId="77777777" w:rsidR="00EF6BE6" w:rsidRPr="00EF6BE6" w:rsidRDefault="00EF6BE6" w:rsidP="00EF6BE6">
            <w:pPr>
              <w:spacing w:after="0" w:line="240" w:lineRule="auto"/>
              <w:jc w:val="center"/>
              <w:rPr>
                <w:rFonts w:ascii="Calibri" w:eastAsia="Times New Roman" w:hAnsi="Calibri" w:cs="Calibri"/>
                <w:color w:val="000000"/>
                <w:sz w:val="16"/>
                <w:szCs w:val="16"/>
                <w:lang w:eastAsia="hr-HR"/>
              </w:rPr>
            </w:pPr>
            <w:r w:rsidRPr="00EF6BE6">
              <w:rPr>
                <w:rFonts w:ascii="Calibri" w:eastAsia="Times New Roman" w:hAnsi="Calibri" w:cs="Calibri"/>
                <w:color w:val="000000"/>
                <w:sz w:val="16"/>
                <w:szCs w:val="16"/>
                <w:lang w:eastAsia="hr-HR"/>
              </w:rPr>
              <w:t>71</w:t>
            </w:r>
          </w:p>
        </w:tc>
        <w:tc>
          <w:tcPr>
            <w:tcW w:w="2566" w:type="dxa"/>
            <w:tcBorders>
              <w:top w:val="nil"/>
              <w:left w:val="nil"/>
              <w:bottom w:val="nil"/>
              <w:right w:val="nil"/>
            </w:tcBorders>
            <w:vAlign w:val="bottom"/>
            <w:hideMark/>
          </w:tcPr>
          <w:p w14:paraId="0CDDB8E7" w14:textId="77777777" w:rsidR="00EF6BE6" w:rsidRPr="00EF6BE6" w:rsidRDefault="00EF6BE6" w:rsidP="00EF6BE6">
            <w:pPr>
              <w:spacing w:after="0" w:line="240" w:lineRule="auto"/>
              <w:rPr>
                <w:rFonts w:ascii="Calibri" w:eastAsia="Times New Roman" w:hAnsi="Calibri" w:cs="Calibri"/>
                <w:b/>
                <w:bCs/>
                <w:color w:val="000000"/>
                <w:sz w:val="16"/>
                <w:szCs w:val="16"/>
                <w:lang w:eastAsia="hr-HR"/>
              </w:rPr>
            </w:pPr>
            <w:r w:rsidRPr="00EF6BE6">
              <w:rPr>
                <w:rFonts w:ascii="Calibri" w:eastAsia="Times New Roman" w:hAnsi="Calibri" w:cs="Calibri"/>
                <w:b/>
                <w:bCs/>
                <w:color w:val="000000"/>
                <w:sz w:val="16"/>
                <w:szCs w:val="16"/>
                <w:lang w:eastAsia="hr-HR"/>
              </w:rPr>
              <w:t xml:space="preserve">Prihodi od prodaje </w:t>
            </w:r>
            <w:proofErr w:type="spellStart"/>
            <w:r w:rsidRPr="00EF6BE6">
              <w:rPr>
                <w:rFonts w:ascii="Calibri" w:eastAsia="Times New Roman" w:hAnsi="Calibri" w:cs="Calibri"/>
                <w:b/>
                <w:bCs/>
                <w:color w:val="000000"/>
                <w:sz w:val="16"/>
                <w:szCs w:val="16"/>
                <w:lang w:eastAsia="hr-HR"/>
              </w:rPr>
              <w:t>neproizvedene</w:t>
            </w:r>
            <w:proofErr w:type="spellEnd"/>
            <w:r w:rsidRPr="00EF6BE6">
              <w:rPr>
                <w:rFonts w:ascii="Calibri" w:eastAsia="Times New Roman" w:hAnsi="Calibri" w:cs="Calibri"/>
                <w:b/>
                <w:bCs/>
                <w:color w:val="000000"/>
                <w:sz w:val="16"/>
                <w:szCs w:val="16"/>
                <w:lang w:eastAsia="hr-HR"/>
              </w:rPr>
              <w:t xml:space="preserve"> dugotrajne imovine </w:t>
            </w:r>
          </w:p>
        </w:tc>
        <w:tc>
          <w:tcPr>
            <w:tcW w:w="1460" w:type="dxa"/>
            <w:tcBorders>
              <w:top w:val="nil"/>
              <w:left w:val="nil"/>
              <w:bottom w:val="nil"/>
              <w:right w:val="nil"/>
            </w:tcBorders>
            <w:noWrap/>
            <w:vAlign w:val="bottom"/>
            <w:hideMark/>
          </w:tcPr>
          <w:p w14:paraId="310B1E01"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0,00</w:t>
            </w:r>
          </w:p>
        </w:tc>
        <w:tc>
          <w:tcPr>
            <w:tcW w:w="1399" w:type="dxa"/>
            <w:tcBorders>
              <w:top w:val="nil"/>
              <w:left w:val="nil"/>
              <w:bottom w:val="nil"/>
              <w:right w:val="nil"/>
            </w:tcBorders>
            <w:noWrap/>
            <w:vAlign w:val="bottom"/>
            <w:hideMark/>
          </w:tcPr>
          <w:p w14:paraId="128AED06"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15.000,00</w:t>
            </w:r>
          </w:p>
        </w:tc>
        <w:tc>
          <w:tcPr>
            <w:tcW w:w="1314" w:type="dxa"/>
            <w:tcBorders>
              <w:top w:val="nil"/>
              <w:left w:val="nil"/>
              <w:bottom w:val="nil"/>
              <w:right w:val="nil"/>
            </w:tcBorders>
            <w:noWrap/>
            <w:vAlign w:val="bottom"/>
            <w:hideMark/>
          </w:tcPr>
          <w:p w14:paraId="76B3BECA"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15.000,00</w:t>
            </w:r>
          </w:p>
        </w:tc>
        <w:tc>
          <w:tcPr>
            <w:tcW w:w="1293" w:type="dxa"/>
            <w:tcBorders>
              <w:top w:val="nil"/>
              <w:left w:val="nil"/>
              <w:bottom w:val="nil"/>
              <w:right w:val="nil"/>
            </w:tcBorders>
            <w:noWrap/>
            <w:vAlign w:val="bottom"/>
            <w:hideMark/>
          </w:tcPr>
          <w:p w14:paraId="68AB53C0"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7.840,00</w:t>
            </w:r>
          </w:p>
        </w:tc>
        <w:tc>
          <w:tcPr>
            <w:tcW w:w="855" w:type="dxa"/>
            <w:tcBorders>
              <w:top w:val="nil"/>
              <w:left w:val="nil"/>
              <w:bottom w:val="nil"/>
              <w:right w:val="nil"/>
            </w:tcBorders>
            <w:noWrap/>
            <w:vAlign w:val="bottom"/>
            <w:hideMark/>
          </w:tcPr>
          <w:p w14:paraId="0FB8DD12" w14:textId="1D295B87" w:rsidR="00EF6BE6" w:rsidRPr="00EF6BE6" w:rsidRDefault="00EF6BE6" w:rsidP="00EF6BE6">
            <w:pPr>
              <w:spacing w:after="0" w:line="240" w:lineRule="auto"/>
              <w:jc w:val="center"/>
              <w:rPr>
                <w:rFonts w:ascii="Calibri" w:eastAsia="Times New Roman" w:hAnsi="Calibri" w:cs="Calibri"/>
                <w:b/>
                <w:bCs/>
                <w:color w:val="000000"/>
                <w:sz w:val="18"/>
                <w:szCs w:val="18"/>
                <w:lang w:eastAsia="hr-HR"/>
              </w:rPr>
            </w:pPr>
            <w:r>
              <w:rPr>
                <w:rFonts w:ascii="Calibri" w:eastAsia="Times New Roman" w:hAnsi="Calibri" w:cs="Calibri"/>
                <w:b/>
                <w:bCs/>
                <w:color w:val="000000"/>
                <w:sz w:val="18"/>
                <w:szCs w:val="18"/>
                <w:lang w:eastAsia="hr-HR"/>
              </w:rPr>
              <w:t>-</w:t>
            </w:r>
          </w:p>
        </w:tc>
        <w:tc>
          <w:tcPr>
            <w:tcW w:w="846" w:type="dxa"/>
            <w:tcBorders>
              <w:top w:val="nil"/>
              <w:left w:val="nil"/>
              <w:bottom w:val="nil"/>
              <w:right w:val="nil"/>
            </w:tcBorders>
            <w:noWrap/>
            <w:vAlign w:val="bottom"/>
            <w:hideMark/>
          </w:tcPr>
          <w:p w14:paraId="4205B9BB" w14:textId="77777777" w:rsidR="00EF6BE6" w:rsidRPr="00EF6BE6" w:rsidRDefault="00EF6BE6" w:rsidP="00EF6BE6">
            <w:pPr>
              <w:spacing w:after="0" w:line="240" w:lineRule="auto"/>
              <w:jc w:val="center"/>
              <w:rPr>
                <w:rFonts w:ascii="Calibri" w:eastAsia="Times New Roman" w:hAnsi="Calibri" w:cs="Calibri"/>
                <w:b/>
                <w:bCs/>
                <w:color w:val="000000"/>
                <w:sz w:val="18"/>
                <w:szCs w:val="18"/>
                <w:lang w:eastAsia="hr-HR"/>
              </w:rPr>
            </w:pPr>
            <w:r w:rsidRPr="00EF6BE6">
              <w:rPr>
                <w:rFonts w:ascii="Calibri" w:eastAsia="Times New Roman" w:hAnsi="Calibri" w:cs="Calibri"/>
                <w:b/>
                <w:bCs/>
                <w:color w:val="000000"/>
                <w:sz w:val="18"/>
                <w:szCs w:val="18"/>
                <w:lang w:eastAsia="hr-HR"/>
              </w:rPr>
              <w:t>52,27%</w:t>
            </w:r>
          </w:p>
        </w:tc>
      </w:tr>
      <w:tr w:rsidR="00EF6BE6" w:rsidRPr="00EF6BE6" w14:paraId="0227975C" w14:textId="77777777" w:rsidTr="0087064B">
        <w:trPr>
          <w:trHeight w:val="473"/>
        </w:trPr>
        <w:tc>
          <w:tcPr>
            <w:tcW w:w="777" w:type="dxa"/>
            <w:tcBorders>
              <w:top w:val="nil"/>
              <w:left w:val="nil"/>
              <w:bottom w:val="nil"/>
              <w:right w:val="nil"/>
            </w:tcBorders>
            <w:noWrap/>
            <w:vAlign w:val="bottom"/>
            <w:hideMark/>
          </w:tcPr>
          <w:p w14:paraId="1FD21162" w14:textId="77777777" w:rsidR="00EF6BE6" w:rsidRPr="00EF6BE6" w:rsidRDefault="00EF6BE6" w:rsidP="00EF6BE6">
            <w:pPr>
              <w:spacing w:after="0" w:line="240" w:lineRule="auto"/>
              <w:jc w:val="center"/>
              <w:rPr>
                <w:rFonts w:ascii="Calibri" w:eastAsia="Times New Roman" w:hAnsi="Calibri" w:cs="Calibri"/>
                <w:color w:val="000000"/>
                <w:sz w:val="16"/>
                <w:szCs w:val="16"/>
                <w:lang w:eastAsia="hr-HR"/>
              </w:rPr>
            </w:pPr>
            <w:r w:rsidRPr="00EF6BE6">
              <w:rPr>
                <w:rFonts w:ascii="Calibri" w:eastAsia="Times New Roman" w:hAnsi="Calibri" w:cs="Calibri"/>
                <w:color w:val="000000"/>
                <w:sz w:val="16"/>
                <w:szCs w:val="16"/>
                <w:lang w:eastAsia="hr-HR"/>
              </w:rPr>
              <w:t>72</w:t>
            </w:r>
          </w:p>
        </w:tc>
        <w:tc>
          <w:tcPr>
            <w:tcW w:w="2566" w:type="dxa"/>
            <w:tcBorders>
              <w:top w:val="nil"/>
              <w:left w:val="nil"/>
              <w:bottom w:val="nil"/>
              <w:right w:val="nil"/>
            </w:tcBorders>
            <w:vAlign w:val="bottom"/>
            <w:hideMark/>
          </w:tcPr>
          <w:p w14:paraId="58F193AC" w14:textId="77777777" w:rsidR="00EF6BE6" w:rsidRPr="00EF6BE6" w:rsidRDefault="00EF6BE6" w:rsidP="00EF6BE6">
            <w:pPr>
              <w:spacing w:after="0" w:line="240" w:lineRule="auto"/>
              <w:rPr>
                <w:rFonts w:ascii="Calibri" w:eastAsia="Times New Roman" w:hAnsi="Calibri" w:cs="Calibri"/>
                <w:color w:val="000000"/>
                <w:sz w:val="16"/>
                <w:szCs w:val="16"/>
                <w:lang w:eastAsia="hr-HR"/>
              </w:rPr>
            </w:pPr>
            <w:r w:rsidRPr="00EF6BE6">
              <w:rPr>
                <w:rFonts w:ascii="Calibri" w:eastAsia="Times New Roman" w:hAnsi="Calibri" w:cs="Calibri"/>
                <w:color w:val="000000"/>
                <w:sz w:val="16"/>
                <w:szCs w:val="16"/>
                <w:lang w:eastAsia="hr-HR"/>
              </w:rPr>
              <w:t>Prihodi od prodaje proizvedene dugotrajne imovine</w:t>
            </w:r>
          </w:p>
        </w:tc>
        <w:tc>
          <w:tcPr>
            <w:tcW w:w="1460" w:type="dxa"/>
            <w:tcBorders>
              <w:top w:val="nil"/>
              <w:left w:val="nil"/>
              <w:bottom w:val="nil"/>
              <w:right w:val="nil"/>
            </w:tcBorders>
            <w:noWrap/>
            <w:vAlign w:val="bottom"/>
            <w:hideMark/>
          </w:tcPr>
          <w:p w14:paraId="46BB1ABB"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1.309,83</w:t>
            </w:r>
          </w:p>
        </w:tc>
        <w:tc>
          <w:tcPr>
            <w:tcW w:w="1399" w:type="dxa"/>
            <w:tcBorders>
              <w:top w:val="nil"/>
              <w:left w:val="nil"/>
              <w:bottom w:val="nil"/>
              <w:right w:val="nil"/>
            </w:tcBorders>
            <w:noWrap/>
            <w:vAlign w:val="bottom"/>
            <w:hideMark/>
          </w:tcPr>
          <w:p w14:paraId="12FD4B55"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23.000,00</w:t>
            </w:r>
          </w:p>
        </w:tc>
        <w:tc>
          <w:tcPr>
            <w:tcW w:w="1314" w:type="dxa"/>
            <w:tcBorders>
              <w:top w:val="nil"/>
              <w:left w:val="nil"/>
              <w:bottom w:val="nil"/>
              <w:right w:val="nil"/>
            </w:tcBorders>
            <w:noWrap/>
            <w:vAlign w:val="bottom"/>
            <w:hideMark/>
          </w:tcPr>
          <w:p w14:paraId="1A3FB5BA"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23.000,00</w:t>
            </w:r>
          </w:p>
        </w:tc>
        <w:tc>
          <w:tcPr>
            <w:tcW w:w="1293" w:type="dxa"/>
            <w:tcBorders>
              <w:top w:val="nil"/>
              <w:left w:val="nil"/>
              <w:bottom w:val="nil"/>
              <w:right w:val="nil"/>
            </w:tcBorders>
            <w:noWrap/>
            <w:vAlign w:val="bottom"/>
            <w:hideMark/>
          </w:tcPr>
          <w:p w14:paraId="192B5CBE"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3.274,76</w:t>
            </w:r>
          </w:p>
        </w:tc>
        <w:tc>
          <w:tcPr>
            <w:tcW w:w="855" w:type="dxa"/>
            <w:tcBorders>
              <w:top w:val="nil"/>
              <w:left w:val="nil"/>
              <w:bottom w:val="nil"/>
              <w:right w:val="nil"/>
            </w:tcBorders>
            <w:noWrap/>
            <w:vAlign w:val="bottom"/>
            <w:hideMark/>
          </w:tcPr>
          <w:p w14:paraId="2F919308"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250,01%</w:t>
            </w:r>
          </w:p>
        </w:tc>
        <w:tc>
          <w:tcPr>
            <w:tcW w:w="846" w:type="dxa"/>
            <w:tcBorders>
              <w:top w:val="nil"/>
              <w:left w:val="nil"/>
              <w:bottom w:val="nil"/>
              <w:right w:val="nil"/>
            </w:tcBorders>
            <w:noWrap/>
            <w:vAlign w:val="bottom"/>
            <w:hideMark/>
          </w:tcPr>
          <w:p w14:paraId="7EC2619C" w14:textId="77777777" w:rsidR="00EF6BE6" w:rsidRPr="00EF6BE6" w:rsidRDefault="00EF6BE6" w:rsidP="00EF6BE6">
            <w:pPr>
              <w:spacing w:after="0" w:line="240" w:lineRule="auto"/>
              <w:jc w:val="center"/>
              <w:rPr>
                <w:rFonts w:ascii="Calibri" w:eastAsia="Times New Roman" w:hAnsi="Calibri" w:cs="Calibri"/>
                <w:color w:val="000000"/>
                <w:sz w:val="18"/>
                <w:szCs w:val="18"/>
                <w:lang w:eastAsia="hr-HR"/>
              </w:rPr>
            </w:pPr>
            <w:r w:rsidRPr="00EF6BE6">
              <w:rPr>
                <w:rFonts w:ascii="Calibri" w:eastAsia="Times New Roman" w:hAnsi="Calibri" w:cs="Calibri"/>
                <w:color w:val="000000"/>
                <w:sz w:val="18"/>
                <w:szCs w:val="18"/>
                <w:lang w:eastAsia="hr-HR"/>
              </w:rPr>
              <w:t>14,24%</w:t>
            </w:r>
          </w:p>
        </w:tc>
      </w:tr>
      <w:tr w:rsidR="0087064B" w:rsidRPr="00EF6BE6" w14:paraId="458B339C" w14:textId="77777777" w:rsidTr="0087064B">
        <w:trPr>
          <w:trHeight w:val="236"/>
        </w:trPr>
        <w:tc>
          <w:tcPr>
            <w:tcW w:w="777" w:type="dxa"/>
            <w:tcBorders>
              <w:top w:val="single" w:sz="4" w:space="0" w:color="auto"/>
              <w:left w:val="nil"/>
              <w:bottom w:val="single" w:sz="4" w:space="0" w:color="auto"/>
              <w:right w:val="nil"/>
            </w:tcBorders>
            <w:shd w:val="clear" w:color="000000" w:fill="D0CECE"/>
            <w:noWrap/>
            <w:vAlign w:val="bottom"/>
          </w:tcPr>
          <w:p w14:paraId="23E56544" w14:textId="0847C6D6" w:rsidR="0087064B" w:rsidRPr="0087064B" w:rsidRDefault="0087064B" w:rsidP="00EF6BE6">
            <w:pPr>
              <w:spacing w:after="0" w:line="240" w:lineRule="auto"/>
              <w:jc w:val="center"/>
              <w:rPr>
                <w:rFonts w:ascii="Calibri" w:eastAsia="Times New Roman" w:hAnsi="Calibri" w:cs="Calibri"/>
                <w:b/>
                <w:bCs/>
                <w:color w:val="000000"/>
                <w:sz w:val="16"/>
                <w:szCs w:val="16"/>
                <w:lang w:eastAsia="hr-HR"/>
              </w:rPr>
            </w:pPr>
            <w:r w:rsidRPr="0087064B">
              <w:rPr>
                <w:rFonts w:ascii="Calibri" w:eastAsia="Times New Roman" w:hAnsi="Calibri" w:cs="Calibri"/>
                <w:b/>
                <w:bCs/>
                <w:color w:val="000000"/>
                <w:sz w:val="16"/>
                <w:szCs w:val="16"/>
                <w:lang w:eastAsia="hr-HR"/>
              </w:rPr>
              <w:t>8</w:t>
            </w:r>
          </w:p>
        </w:tc>
        <w:tc>
          <w:tcPr>
            <w:tcW w:w="2566" w:type="dxa"/>
            <w:tcBorders>
              <w:top w:val="single" w:sz="4" w:space="0" w:color="auto"/>
              <w:left w:val="nil"/>
              <w:bottom w:val="single" w:sz="4" w:space="0" w:color="auto"/>
              <w:right w:val="nil"/>
            </w:tcBorders>
            <w:shd w:val="clear" w:color="000000" w:fill="D0CECE"/>
            <w:vAlign w:val="bottom"/>
          </w:tcPr>
          <w:p w14:paraId="326A9987" w14:textId="0F1C7EDC" w:rsidR="0087064B" w:rsidRPr="0087064B" w:rsidRDefault="0087064B" w:rsidP="00EF6BE6">
            <w:pPr>
              <w:spacing w:after="0" w:line="240" w:lineRule="auto"/>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PRIMICI OD FINANCIJSKE IMOVINE I ZADUŽIVANJA</w:t>
            </w:r>
          </w:p>
        </w:tc>
        <w:tc>
          <w:tcPr>
            <w:tcW w:w="1460" w:type="dxa"/>
            <w:tcBorders>
              <w:top w:val="single" w:sz="4" w:space="0" w:color="auto"/>
              <w:left w:val="nil"/>
              <w:bottom w:val="single" w:sz="4" w:space="0" w:color="auto"/>
              <w:right w:val="nil"/>
            </w:tcBorders>
            <w:shd w:val="clear" w:color="000000" w:fill="D0CECE"/>
            <w:noWrap/>
            <w:vAlign w:val="bottom"/>
          </w:tcPr>
          <w:p w14:paraId="3E908FE2" w14:textId="0752709B" w:rsidR="0087064B" w:rsidRPr="0087064B" w:rsidRDefault="0087064B" w:rsidP="00EF6BE6">
            <w:pPr>
              <w:spacing w:after="0" w:line="240" w:lineRule="auto"/>
              <w:jc w:val="center"/>
              <w:rPr>
                <w:rFonts w:ascii="Calibri" w:eastAsia="Times New Roman" w:hAnsi="Calibri" w:cs="Calibri"/>
                <w:b/>
                <w:bCs/>
                <w:color w:val="000000"/>
                <w:sz w:val="18"/>
                <w:szCs w:val="18"/>
                <w:lang w:eastAsia="hr-HR"/>
              </w:rPr>
            </w:pPr>
            <w:r>
              <w:rPr>
                <w:rFonts w:ascii="Calibri" w:eastAsia="Times New Roman" w:hAnsi="Calibri" w:cs="Calibri"/>
                <w:b/>
                <w:bCs/>
                <w:color w:val="000000"/>
                <w:sz w:val="18"/>
                <w:szCs w:val="18"/>
                <w:lang w:eastAsia="hr-HR"/>
              </w:rPr>
              <w:t>0,00</w:t>
            </w:r>
          </w:p>
        </w:tc>
        <w:tc>
          <w:tcPr>
            <w:tcW w:w="1399" w:type="dxa"/>
            <w:tcBorders>
              <w:top w:val="single" w:sz="4" w:space="0" w:color="auto"/>
              <w:left w:val="nil"/>
              <w:bottom w:val="single" w:sz="4" w:space="0" w:color="auto"/>
              <w:right w:val="nil"/>
            </w:tcBorders>
            <w:shd w:val="clear" w:color="000000" w:fill="D0CECE"/>
            <w:noWrap/>
            <w:vAlign w:val="bottom"/>
          </w:tcPr>
          <w:p w14:paraId="4AECA1A6" w14:textId="6483623C" w:rsidR="0087064B" w:rsidRPr="0087064B" w:rsidRDefault="0087064B" w:rsidP="00EF6BE6">
            <w:pPr>
              <w:spacing w:after="0" w:line="240" w:lineRule="auto"/>
              <w:jc w:val="center"/>
              <w:rPr>
                <w:rFonts w:ascii="Calibri" w:eastAsia="Times New Roman" w:hAnsi="Calibri" w:cs="Calibri"/>
                <w:b/>
                <w:bCs/>
                <w:color w:val="000000"/>
                <w:sz w:val="18"/>
                <w:szCs w:val="18"/>
                <w:lang w:eastAsia="hr-HR"/>
              </w:rPr>
            </w:pPr>
            <w:r>
              <w:rPr>
                <w:rFonts w:ascii="Calibri" w:eastAsia="Times New Roman" w:hAnsi="Calibri" w:cs="Calibri"/>
                <w:b/>
                <w:bCs/>
                <w:color w:val="000000"/>
                <w:sz w:val="18"/>
                <w:szCs w:val="18"/>
                <w:lang w:eastAsia="hr-HR"/>
              </w:rPr>
              <w:t>150.000,00</w:t>
            </w:r>
          </w:p>
        </w:tc>
        <w:tc>
          <w:tcPr>
            <w:tcW w:w="1314" w:type="dxa"/>
            <w:tcBorders>
              <w:top w:val="single" w:sz="4" w:space="0" w:color="auto"/>
              <w:left w:val="nil"/>
              <w:bottom w:val="single" w:sz="4" w:space="0" w:color="auto"/>
              <w:right w:val="nil"/>
            </w:tcBorders>
            <w:shd w:val="clear" w:color="000000" w:fill="D0CECE"/>
            <w:noWrap/>
            <w:vAlign w:val="bottom"/>
          </w:tcPr>
          <w:p w14:paraId="73024142" w14:textId="77492EF8" w:rsidR="0087064B" w:rsidRPr="0087064B" w:rsidRDefault="0087064B" w:rsidP="00EF6BE6">
            <w:pPr>
              <w:spacing w:after="0" w:line="240" w:lineRule="auto"/>
              <w:jc w:val="center"/>
              <w:rPr>
                <w:rFonts w:ascii="Calibri" w:eastAsia="Times New Roman" w:hAnsi="Calibri" w:cs="Calibri"/>
                <w:b/>
                <w:bCs/>
                <w:color w:val="000000"/>
                <w:sz w:val="18"/>
                <w:szCs w:val="18"/>
                <w:lang w:eastAsia="hr-HR"/>
              </w:rPr>
            </w:pPr>
            <w:r>
              <w:rPr>
                <w:rFonts w:ascii="Calibri" w:eastAsia="Times New Roman" w:hAnsi="Calibri" w:cs="Calibri"/>
                <w:b/>
                <w:bCs/>
                <w:color w:val="000000"/>
                <w:sz w:val="18"/>
                <w:szCs w:val="18"/>
                <w:lang w:eastAsia="hr-HR"/>
              </w:rPr>
              <w:t>150.000,00</w:t>
            </w:r>
          </w:p>
        </w:tc>
        <w:tc>
          <w:tcPr>
            <w:tcW w:w="1293" w:type="dxa"/>
            <w:tcBorders>
              <w:top w:val="single" w:sz="4" w:space="0" w:color="auto"/>
              <w:left w:val="nil"/>
              <w:bottom w:val="single" w:sz="4" w:space="0" w:color="auto"/>
              <w:right w:val="nil"/>
            </w:tcBorders>
            <w:shd w:val="clear" w:color="000000" w:fill="D0CECE"/>
            <w:noWrap/>
            <w:vAlign w:val="bottom"/>
          </w:tcPr>
          <w:p w14:paraId="388E66A8" w14:textId="1E9C6E28" w:rsidR="0087064B" w:rsidRPr="0087064B" w:rsidRDefault="0087064B" w:rsidP="00EF6BE6">
            <w:pPr>
              <w:spacing w:after="0" w:line="240" w:lineRule="auto"/>
              <w:jc w:val="center"/>
              <w:rPr>
                <w:rFonts w:ascii="Calibri" w:eastAsia="Times New Roman" w:hAnsi="Calibri" w:cs="Calibri"/>
                <w:b/>
                <w:bCs/>
                <w:color w:val="000000"/>
                <w:sz w:val="18"/>
                <w:szCs w:val="18"/>
                <w:lang w:eastAsia="hr-HR"/>
              </w:rPr>
            </w:pPr>
            <w:r>
              <w:rPr>
                <w:rFonts w:ascii="Calibri" w:eastAsia="Times New Roman" w:hAnsi="Calibri" w:cs="Calibri"/>
                <w:b/>
                <w:bCs/>
                <w:color w:val="000000"/>
                <w:sz w:val="18"/>
                <w:szCs w:val="18"/>
                <w:lang w:eastAsia="hr-HR"/>
              </w:rPr>
              <w:t>150.000,00</w:t>
            </w:r>
          </w:p>
        </w:tc>
        <w:tc>
          <w:tcPr>
            <w:tcW w:w="855" w:type="dxa"/>
            <w:tcBorders>
              <w:top w:val="single" w:sz="4" w:space="0" w:color="auto"/>
              <w:left w:val="nil"/>
              <w:bottom w:val="single" w:sz="4" w:space="0" w:color="auto"/>
              <w:right w:val="nil"/>
            </w:tcBorders>
            <w:shd w:val="clear" w:color="000000" w:fill="D0CECE"/>
            <w:noWrap/>
            <w:vAlign w:val="bottom"/>
          </w:tcPr>
          <w:p w14:paraId="4A05013D" w14:textId="3F8DB61E" w:rsidR="0087064B" w:rsidRPr="0087064B" w:rsidRDefault="0087064B" w:rsidP="00EF6BE6">
            <w:pPr>
              <w:spacing w:after="0" w:line="240" w:lineRule="auto"/>
              <w:jc w:val="center"/>
              <w:rPr>
                <w:rFonts w:ascii="Calibri" w:eastAsia="Times New Roman" w:hAnsi="Calibri" w:cs="Calibri"/>
                <w:b/>
                <w:bCs/>
                <w:color w:val="000000"/>
                <w:sz w:val="18"/>
                <w:szCs w:val="18"/>
                <w:lang w:eastAsia="hr-HR"/>
              </w:rPr>
            </w:pPr>
            <w:r>
              <w:rPr>
                <w:rFonts w:ascii="Calibri" w:eastAsia="Times New Roman" w:hAnsi="Calibri" w:cs="Calibri"/>
                <w:b/>
                <w:bCs/>
                <w:color w:val="000000"/>
                <w:sz w:val="18"/>
                <w:szCs w:val="18"/>
                <w:lang w:eastAsia="hr-HR"/>
              </w:rPr>
              <w:t>-</w:t>
            </w:r>
          </w:p>
        </w:tc>
        <w:tc>
          <w:tcPr>
            <w:tcW w:w="846" w:type="dxa"/>
            <w:tcBorders>
              <w:top w:val="single" w:sz="4" w:space="0" w:color="auto"/>
              <w:left w:val="nil"/>
              <w:bottom w:val="single" w:sz="4" w:space="0" w:color="auto"/>
              <w:right w:val="nil"/>
            </w:tcBorders>
            <w:shd w:val="clear" w:color="000000" w:fill="D0CECE"/>
            <w:noWrap/>
            <w:vAlign w:val="bottom"/>
          </w:tcPr>
          <w:p w14:paraId="3D0D6291" w14:textId="76C57C24" w:rsidR="0087064B" w:rsidRPr="0087064B" w:rsidRDefault="0087064B" w:rsidP="00EF6BE6">
            <w:pPr>
              <w:spacing w:after="0" w:line="240" w:lineRule="auto"/>
              <w:jc w:val="center"/>
              <w:rPr>
                <w:rFonts w:ascii="Calibri" w:eastAsia="Times New Roman" w:hAnsi="Calibri" w:cs="Calibri"/>
                <w:b/>
                <w:bCs/>
                <w:color w:val="000000"/>
                <w:sz w:val="18"/>
                <w:szCs w:val="18"/>
                <w:lang w:eastAsia="hr-HR"/>
              </w:rPr>
            </w:pPr>
            <w:r>
              <w:rPr>
                <w:rFonts w:ascii="Calibri" w:eastAsia="Times New Roman" w:hAnsi="Calibri" w:cs="Calibri"/>
                <w:b/>
                <w:bCs/>
                <w:color w:val="000000"/>
                <w:sz w:val="18"/>
                <w:szCs w:val="18"/>
                <w:lang w:eastAsia="hr-HR"/>
              </w:rPr>
              <w:t>100,00%</w:t>
            </w:r>
          </w:p>
        </w:tc>
      </w:tr>
      <w:tr w:rsidR="0087064B" w:rsidRPr="00EF6BE6" w14:paraId="08363AA4" w14:textId="77777777" w:rsidTr="0087064B">
        <w:trPr>
          <w:trHeight w:val="236"/>
        </w:trPr>
        <w:tc>
          <w:tcPr>
            <w:tcW w:w="777" w:type="dxa"/>
            <w:tcBorders>
              <w:top w:val="single" w:sz="4" w:space="0" w:color="auto"/>
              <w:left w:val="nil"/>
              <w:bottom w:val="single" w:sz="4" w:space="0" w:color="auto"/>
              <w:right w:val="nil"/>
            </w:tcBorders>
            <w:noWrap/>
            <w:vAlign w:val="bottom"/>
          </w:tcPr>
          <w:p w14:paraId="36ECDE82" w14:textId="28D39ABD" w:rsidR="0087064B" w:rsidRDefault="0087064B" w:rsidP="00EF6BE6">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84</w:t>
            </w:r>
          </w:p>
        </w:tc>
        <w:tc>
          <w:tcPr>
            <w:tcW w:w="2566" w:type="dxa"/>
            <w:tcBorders>
              <w:top w:val="single" w:sz="4" w:space="0" w:color="auto"/>
              <w:left w:val="nil"/>
              <w:bottom w:val="single" w:sz="4" w:space="0" w:color="auto"/>
              <w:right w:val="nil"/>
            </w:tcBorders>
            <w:vAlign w:val="bottom"/>
          </w:tcPr>
          <w:p w14:paraId="3821015C" w14:textId="4747D912" w:rsidR="0087064B" w:rsidRPr="0087064B" w:rsidRDefault="0087064B" w:rsidP="00EF6BE6">
            <w:pPr>
              <w:spacing w:after="0" w:line="240" w:lineRule="auto"/>
              <w:rPr>
                <w:rFonts w:ascii="Calibri" w:eastAsia="Times New Roman" w:hAnsi="Calibri" w:cs="Calibri"/>
                <w:color w:val="000000"/>
                <w:sz w:val="16"/>
                <w:szCs w:val="16"/>
                <w:lang w:eastAsia="hr-HR"/>
              </w:rPr>
            </w:pPr>
            <w:r w:rsidRPr="0087064B">
              <w:rPr>
                <w:rFonts w:ascii="Calibri" w:eastAsia="Times New Roman" w:hAnsi="Calibri" w:cs="Calibri"/>
                <w:color w:val="000000"/>
                <w:sz w:val="16"/>
                <w:szCs w:val="16"/>
                <w:lang w:eastAsia="hr-HR"/>
              </w:rPr>
              <w:t xml:space="preserve">Primici od zaduživanja </w:t>
            </w:r>
          </w:p>
        </w:tc>
        <w:tc>
          <w:tcPr>
            <w:tcW w:w="1460" w:type="dxa"/>
            <w:tcBorders>
              <w:top w:val="single" w:sz="4" w:space="0" w:color="auto"/>
              <w:left w:val="nil"/>
              <w:bottom w:val="single" w:sz="4" w:space="0" w:color="auto"/>
              <w:right w:val="nil"/>
            </w:tcBorders>
            <w:noWrap/>
            <w:vAlign w:val="bottom"/>
          </w:tcPr>
          <w:p w14:paraId="653E01FB" w14:textId="5AE5DE4A" w:rsidR="0087064B" w:rsidRPr="0087064B" w:rsidRDefault="0087064B" w:rsidP="00EF6BE6">
            <w:pPr>
              <w:spacing w:after="0" w:line="240" w:lineRule="auto"/>
              <w:jc w:val="center"/>
              <w:rPr>
                <w:rFonts w:ascii="Calibri" w:eastAsia="Times New Roman" w:hAnsi="Calibri" w:cs="Calibri"/>
                <w:color w:val="000000"/>
                <w:sz w:val="18"/>
                <w:szCs w:val="18"/>
                <w:lang w:eastAsia="hr-HR"/>
              </w:rPr>
            </w:pPr>
            <w:r w:rsidRPr="0087064B">
              <w:rPr>
                <w:rFonts w:ascii="Calibri" w:eastAsia="Times New Roman" w:hAnsi="Calibri" w:cs="Calibri"/>
                <w:color w:val="000000"/>
                <w:sz w:val="18"/>
                <w:szCs w:val="18"/>
                <w:lang w:eastAsia="hr-HR"/>
              </w:rPr>
              <w:t>0,00</w:t>
            </w:r>
          </w:p>
        </w:tc>
        <w:tc>
          <w:tcPr>
            <w:tcW w:w="1399" w:type="dxa"/>
            <w:tcBorders>
              <w:top w:val="single" w:sz="4" w:space="0" w:color="auto"/>
              <w:left w:val="nil"/>
              <w:bottom w:val="single" w:sz="4" w:space="0" w:color="auto"/>
              <w:right w:val="nil"/>
            </w:tcBorders>
            <w:noWrap/>
            <w:vAlign w:val="bottom"/>
          </w:tcPr>
          <w:p w14:paraId="16DEF90A" w14:textId="09422CB0" w:rsidR="0087064B" w:rsidRPr="0087064B" w:rsidRDefault="0087064B" w:rsidP="00EF6BE6">
            <w:pPr>
              <w:spacing w:after="0" w:line="240" w:lineRule="auto"/>
              <w:jc w:val="center"/>
              <w:rPr>
                <w:rFonts w:ascii="Calibri" w:eastAsia="Times New Roman" w:hAnsi="Calibri" w:cs="Calibri"/>
                <w:color w:val="000000"/>
                <w:sz w:val="18"/>
                <w:szCs w:val="18"/>
                <w:lang w:eastAsia="hr-HR"/>
              </w:rPr>
            </w:pPr>
            <w:r w:rsidRPr="0087064B">
              <w:rPr>
                <w:rFonts w:ascii="Calibri" w:eastAsia="Times New Roman" w:hAnsi="Calibri" w:cs="Calibri"/>
                <w:color w:val="000000"/>
                <w:sz w:val="18"/>
                <w:szCs w:val="18"/>
                <w:lang w:eastAsia="hr-HR"/>
              </w:rPr>
              <w:t>150.000,00</w:t>
            </w:r>
          </w:p>
        </w:tc>
        <w:tc>
          <w:tcPr>
            <w:tcW w:w="1314" w:type="dxa"/>
            <w:tcBorders>
              <w:top w:val="single" w:sz="4" w:space="0" w:color="auto"/>
              <w:left w:val="nil"/>
              <w:bottom w:val="single" w:sz="4" w:space="0" w:color="auto"/>
              <w:right w:val="nil"/>
            </w:tcBorders>
            <w:noWrap/>
            <w:vAlign w:val="bottom"/>
          </w:tcPr>
          <w:p w14:paraId="0304BBF8" w14:textId="113DDC84" w:rsidR="0087064B" w:rsidRPr="0087064B" w:rsidRDefault="0087064B" w:rsidP="00EF6BE6">
            <w:pPr>
              <w:spacing w:after="0" w:line="240" w:lineRule="auto"/>
              <w:jc w:val="center"/>
              <w:rPr>
                <w:rFonts w:ascii="Calibri" w:eastAsia="Times New Roman" w:hAnsi="Calibri" w:cs="Calibri"/>
                <w:color w:val="000000"/>
                <w:sz w:val="18"/>
                <w:szCs w:val="18"/>
                <w:lang w:eastAsia="hr-HR"/>
              </w:rPr>
            </w:pPr>
            <w:r w:rsidRPr="0087064B">
              <w:rPr>
                <w:rFonts w:ascii="Calibri" w:eastAsia="Times New Roman" w:hAnsi="Calibri" w:cs="Calibri"/>
                <w:color w:val="000000"/>
                <w:sz w:val="18"/>
                <w:szCs w:val="18"/>
                <w:lang w:eastAsia="hr-HR"/>
              </w:rPr>
              <w:t>150.000,00</w:t>
            </w:r>
          </w:p>
        </w:tc>
        <w:tc>
          <w:tcPr>
            <w:tcW w:w="1293" w:type="dxa"/>
            <w:tcBorders>
              <w:top w:val="single" w:sz="4" w:space="0" w:color="auto"/>
              <w:left w:val="nil"/>
              <w:bottom w:val="single" w:sz="4" w:space="0" w:color="auto"/>
              <w:right w:val="nil"/>
            </w:tcBorders>
            <w:noWrap/>
            <w:vAlign w:val="bottom"/>
          </w:tcPr>
          <w:p w14:paraId="67ABC992" w14:textId="09F7F606" w:rsidR="0087064B" w:rsidRPr="0087064B" w:rsidRDefault="0087064B" w:rsidP="00EF6BE6">
            <w:pPr>
              <w:spacing w:after="0" w:line="240" w:lineRule="auto"/>
              <w:jc w:val="center"/>
              <w:rPr>
                <w:rFonts w:ascii="Calibri" w:eastAsia="Times New Roman" w:hAnsi="Calibri" w:cs="Calibri"/>
                <w:color w:val="000000"/>
                <w:sz w:val="18"/>
                <w:szCs w:val="18"/>
                <w:lang w:eastAsia="hr-HR"/>
              </w:rPr>
            </w:pPr>
            <w:r w:rsidRPr="0087064B">
              <w:rPr>
                <w:rFonts w:ascii="Calibri" w:eastAsia="Times New Roman" w:hAnsi="Calibri" w:cs="Calibri"/>
                <w:color w:val="000000"/>
                <w:sz w:val="18"/>
                <w:szCs w:val="18"/>
                <w:lang w:eastAsia="hr-HR"/>
              </w:rPr>
              <w:t>150.00,00</w:t>
            </w:r>
          </w:p>
        </w:tc>
        <w:tc>
          <w:tcPr>
            <w:tcW w:w="855" w:type="dxa"/>
            <w:tcBorders>
              <w:top w:val="single" w:sz="4" w:space="0" w:color="auto"/>
              <w:left w:val="nil"/>
              <w:bottom w:val="single" w:sz="4" w:space="0" w:color="auto"/>
              <w:right w:val="nil"/>
            </w:tcBorders>
            <w:noWrap/>
            <w:vAlign w:val="bottom"/>
          </w:tcPr>
          <w:p w14:paraId="4460D3E3" w14:textId="370E2E76" w:rsidR="0087064B" w:rsidRPr="0087064B" w:rsidRDefault="0087064B" w:rsidP="00EF6BE6">
            <w:pPr>
              <w:spacing w:after="0" w:line="240" w:lineRule="auto"/>
              <w:jc w:val="center"/>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w:t>
            </w:r>
          </w:p>
        </w:tc>
        <w:tc>
          <w:tcPr>
            <w:tcW w:w="846" w:type="dxa"/>
            <w:tcBorders>
              <w:top w:val="single" w:sz="4" w:space="0" w:color="auto"/>
              <w:left w:val="nil"/>
              <w:bottom w:val="single" w:sz="4" w:space="0" w:color="auto"/>
              <w:right w:val="nil"/>
            </w:tcBorders>
            <w:noWrap/>
            <w:vAlign w:val="bottom"/>
          </w:tcPr>
          <w:p w14:paraId="51AD80E2" w14:textId="39EC3DDE" w:rsidR="0087064B" w:rsidRPr="0087064B" w:rsidRDefault="0087064B" w:rsidP="00EF6BE6">
            <w:pPr>
              <w:spacing w:after="0" w:line="240" w:lineRule="auto"/>
              <w:jc w:val="center"/>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100,00%</w:t>
            </w:r>
          </w:p>
        </w:tc>
      </w:tr>
      <w:tr w:rsidR="00EF6BE6" w:rsidRPr="00EF6BE6" w14:paraId="3C035D1C" w14:textId="77777777" w:rsidTr="0087064B">
        <w:trPr>
          <w:trHeight w:val="236"/>
        </w:trPr>
        <w:tc>
          <w:tcPr>
            <w:tcW w:w="777" w:type="dxa"/>
            <w:tcBorders>
              <w:top w:val="single" w:sz="4" w:space="0" w:color="auto"/>
              <w:left w:val="nil"/>
              <w:bottom w:val="single" w:sz="4" w:space="0" w:color="auto"/>
              <w:right w:val="nil"/>
            </w:tcBorders>
            <w:shd w:val="clear" w:color="000000" w:fill="D0CECE"/>
            <w:noWrap/>
            <w:vAlign w:val="bottom"/>
            <w:hideMark/>
          </w:tcPr>
          <w:p w14:paraId="43E6574C" w14:textId="77777777" w:rsidR="00EF6BE6" w:rsidRPr="00EF6BE6" w:rsidRDefault="00EF6BE6" w:rsidP="00EF6BE6">
            <w:pPr>
              <w:spacing w:after="0" w:line="240" w:lineRule="auto"/>
              <w:jc w:val="center"/>
              <w:rPr>
                <w:rFonts w:ascii="Calibri" w:eastAsia="Times New Roman" w:hAnsi="Calibri" w:cs="Calibri"/>
                <w:color w:val="000000"/>
                <w:sz w:val="16"/>
                <w:szCs w:val="16"/>
                <w:lang w:eastAsia="hr-HR"/>
              </w:rPr>
            </w:pPr>
            <w:r w:rsidRPr="00EF6BE6">
              <w:rPr>
                <w:rFonts w:ascii="Calibri" w:eastAsia="Times New Roman" w:hAnsi="Calibri" w:cs="Calibri"/>
                <w:color w:val="000000"/>
                <w:sz w:val="16"/>
                <w:szCs w:val="16"/>
                <w:lang w:eastAsia="hr-HR"/>
              </w:rPr>
              <w:t>9</w:t>
            </w:r>
          </w:p>
        </w:tc>
        <w:tc>
          <w:tcPr>
            <w:tcW w:w="2566" w:type="dxa"/>
            <w:tcBorders>
              <w:top w:val="single" w:sz="4" w:space="0" w:color="auto"/>
              <w:left w:val="nil"/>
              <w:bottom w:val="single" w:sz="4" w:space="0" w:color="auto"/>
              <w:right w:val="nil"/>
            </w:tcBorders>
            <w:shd w:val="clear" w:color="000000" w:fill="D0CECE"/>
            <w:vAlign w:val="bottom"/>
            <w:hideMark/>
          </w:tcPr>
          <w:p w14:paraId="76AFE543" w14:textId="77777777" w:rsidR="00EF6BE6" w:rsidRPr="00EF6BE6" w:rsidRDefault="00EF6BE6" w:rsidP="00EF6BE6">
            <w:pPr>
              <w:spacing w:after="0" w:line="240" w:lineRule="auto"/>
              <w:rPr>
                <w:rFonts w:ascii="Calibri" w:eastAsia="Times New Roman" w:hAnsi="Calibri" w:cs="Calibri"/>
                <w:b/>
                <w:bCs/>
                <w:color w:val="000000"/>
                <w:sz w:val="16"/>
                <w:szCs w:val="16"/>
                <w:lang w:eastAsia="hr-HR"/>
              </w:rPr>
            </w:pPr>
            <w:r w:rsidRPr="00EF6BE6">
              <w:rPr>
                <w:rFonts w:ascii="Calibri" w:eastAsia="Times New Roman" w:hAnsi="Calibri" w:cs="Calibri"/>
                <w:b/>
                <w:bCs/>
                <w:color w:val="000000"/>
                <w:sz w:val="16"/>
                <w:szCs w:val="16"/>
                <w:lang w:eastAsia="hr-HR"/>
              </w:rPr>
              <w:t>VLASTITI IZVORI</w:t>
            </w:r>
          </w:p>
        </w:tc>
        <w:tc>
          <w:tcPr>
            <w:tcW w:w="1460" w:type="dxa"/>
            <w:tcBorders>
              <w:top w:val="single" w:sz="4" w:space="0" w:color="auto"/>
              <w:left w:val="nil"/>
              <w:bottom w:val="single" w:sz="4" w:space="0" w:color="auto"/>
              <w:right w:val="nil"/>
            </w:tcBorders>
            <w:shd w:val="clear" w:color="000000" w:fill="D0CECE"/>
            <w:noWrap/>
            <w:vAlign w:val="bottom"/>
            <w:hideMark/>
          </w:tcPr>
          <w:p w14:paraId="54FB2656" w14:textId="77777777" w:rsidR="00EF6BE6" w:rsidRPr="00EF6BE6" w:rsidRDefault="00EF6BE6" w:rsidP="00EF6BE6">
            <w:pPr>
              <w:spacing w:after="0" w:line="240" w:lineRule="auto"/>
              <w:jc w:val="center"/>
              <w:rPr>
                <w:rFonts w:ascii="Calibri" w:eastAsia="Times New Roman" w:hAnsi="Calibri" w:cs="Calibri"/>
                <w:b/>
                <w:bCs/>
                <w:color w:val="000000"/>
                <w:sz w:val="18"/>
                <w:szCs w:val="18"/>
                <w:lang w:eastAsia="hr-HR"/>
              </w:rPr>
            </w:pPr>
            <w:r w:rsidRPr="00EF6BE6">
              <w:rPr>
                <w:rFonts w:ascii="Calibri" w:eastAsia="Times New Roman" w:hAnsi="Calibri" w:cs="Calibri"/>
                <w:b/>
                <w:bCs/>
                <w:color w:val="000000"/>
                <w:sz w:val="18"/>
                <w:szCs w:val="18"/>
                <w:lang w:eastAsia="hr-HR"/>
              </w:rPr>
              <w:t>0,00</w:t>
            </w:r>
          </w:p>
        </w:tc>
        <w:tc>
          <w:tcPr>
            <w:tcW w:w="1399" w:type="dxa"/>
            <w:tcBorders>
              <w:top w:val="single" w:sz="4" w:space="0" w:color="auto"/>
              <w:left w:val="nil"/>
              <w:bottom w:val="single" w:sz="4" w:space="0" w:color="auto"/>
              <w:right w:val="nil"/>
            </w:tcBorders>
            <w:shd w:val="clear" w:color="000000" w:fill="D0CECE"/>
            <w:noWrap/>
            <w:vAlign w:val="bottom"/>
            <w:hideMark/>
          </w:tcPr>
          <w:p w14:paraId="41FA99C4" w14:textId="77777777" w:rsidR="00EF6BE6" w:rsidRPr="00EF6BE6" w:rsidRDefault="00EF6BE6" w:rsidP="00EF6BE6">
            <w:pPr>
              <w:spacing w:after="0" w:line="240" w:lineRule="auto"/>
              <w:jc w:val="center"/>
              <w:rPr>
                <w:rFonts w:ascii="Calibri" w:eastAsia="Times New Roman" w:hAnsi="Calibri" w:cs="Calibri"/>
                <w:b/>
                <w:bCs/>
                <w:color w:val="000000"/>
                <w:sz w:val="18"/>
                <w:szCs w:val="18"/>
                <w:lang w:eastAsia="hr-HR"/>
              </w:rPr>
            </w:pPr>
            <w:r w:rsidRPr="00EF6BE6">
              <w:rPr>
                <w:rFonts w:ascii="Calibri" w:eastAsia="Times New Roman" w:hAnsi="Calibri" w:cs="Calibri"/>
                <w:b/>
                <w:bCs/>
                <w:color w:val="000000"/>
                <w:sz w:val="18"/>
                <w:szCs w:val="18"/>
                <w:lang w:eastAsia="hr-HR"/>
              </w:rPr>
              <w:t>4.482.942,93</w:t>
            </w:r>
          </w:p>
        </w:tc>
        <w:tc>
          <w:tcPr>
            <w:tcW w:w="1314" w:type="dxa"/>
            <w:tcBorders>
              <w:top w:val="single" w:sz="4" w:space="0" w:color="auto"/>
              <w:left w:val="nil"/>
              <w:bottom w:val="single" w:sz="4" w:space="0" w:color="auto"/>
              <w:right w:val="nil"/>
            </w:tcBorders>
            <w:shd w:val="clear" w:color="000000" w:fill="D0CECE"/>
            <w:noWrap/>
            <w:vAlign w:val="bottom"/>
            <w:hideMark/>
          </w:tcPr>
          <w:p w14:paraId="45E9DCF4" w14:textId="77777777" w:rsidR="00EF6BE6" w:rsidRPr="00EF6BE6" w:rsidRDefault="00EF6BE6" w:rsidP="00EF6BE6">
            <w:pPr>
              <w:spacing w:after="0" w:line="240" w:lineRule="auto"/>
              <w:jc w:val="center"/>
              <w:rPr>
                <w:rFonts w:ascii="Calibri" w:eastAsia="Times New Roman" w:hAnsi="Calibri" w:cs="Calibri"/>
                <w:b/>
                <w:bCs/>
                <w:color w:val="000000"/>
                <w:sz w:val="18"/>
                <w:szCs w:val="18"/>
                <w:lang w:eastAsia="hr-HR"/>
              </w:rPr>
            </w:pPr>
            <w:r w:rsidRPr="00EF6BE6">
              <w:rPr>
                <w:rFonts w:ascii="Calibri" w:eastAsia="Times New Roman" w:hAnsi="Calibri" w:cs="Calibri"/>
                <w:b/>
                <w:bCs/>
                <w:color w:val="000000"/>
                <w:sz w:val="18"/>
                <w:szCs w:val="18"/>
                <w:lang w:eastAsia="hr-HR"/>
              </w:rPr>
              <w:t>4.482.942,93</w:t>
            </w:r>
          </w:p>
        </w:tc>
        <w:tc>
          <w:tcPr>
            <w:tcW w:w="1293" w:type="dxa"/>
            <w:tcBorders>
              <w:top w:val="single" w:sz="4" w:space="0" w:color="auto"/>
              <w:left w:val="nil"/>
              <w:bottom w:val="single" w:sz="4" w:space="0" w:color="auto"/>
              <w:right w:val="nil"/>
            </w:tcBorders>
            <w:shd w:val="clear" w:color="000000" w:fill="D0CECE"/>
            <w:noWrap/>
            <w:vAlign w:val="bottom"/>
            <w:hideMark/>
          </w:tcPr>
          <w:p w14:paraId="37CE53EF" w14:textId="77777777" w:rsidR="00EF6BE6" w:rsidRPr="00EF6BE6" w:rsidRDefault="00EF6BE6" w:rsidP="00EF6BE6">
            <w:pPr>
              <w:spacing w:after="0" w:line="240" w:lineRule="auto"/>
              <w:jc w:val="center"/>
              <w:rPr>
                <w:rFonts w:ascii="Calibri" w:eastAsia="Times New Roman" w:hAnsi="Calibri" w:cs="Calibri"/>
                <w:b/>
                <w:bCs/>
                <w:color w:val="000000"/>
                <w:sz w:val="18"/>
                <w:szCs w:val="18"/>
                <w:lang w:eastAsia="hr-HR"/>
              </w:rPr>
            </w:pPr>
            <w:r w:rsidRPr="00EF6BE6">
              <w:rPr>
                <w:rFonts w:ascii="Calibri" w:eastAsia="Times New Roman" w:hAnsi="Calibri" w:cs="Calibri"/>
                <w:b/>
                <w:bCs/>
                <w:color w:val="000000"/>
                <w:sz w:val="18"/>
                <w:szCs w:val="18"/>
                <w:lang w:eastAsia="hr-HR"/>
              </w:rPr>
              <w:t>0,00</w:t>
            </w:r>
          </w:p>
        </w:tc>
        <w:tc>
          <w:tcPr>
            <w:tcW w:w="855" w:type="dxa"/>
            <w:tcBorders>
              <w:top w:val="single" w:sz="4" w:space="0" w:color="auto"/>
              <w:left w:val="nil"/>
              <w:bottom w:val="single" w:sz="4" w:space="0" w:color="auto"/>
              <w:right w:val="nil"/>
            </w:tcBorders>
            <w:shd w:val="clear" w:color="000000" w:fill="D0CECE"/>
            <w:noWrap/>
            <w:vAlign w:val="bottom"/>
          </w:tcPr>
          <w:p w14:paraId="0176C2C2" w14:textId="7E0F0BAD" w:rsidR="00EF6BE6" w:rsidRPr="00EF6BE6" w:rsidRDefault="00EF6BE6" w:rsidP="00EF6BE6">
            <w:pPr>
              <w:spacing w:after="0" w:line="240" w:lineRule="auto"/>
              <w:jc w:val="center"/>
              <w:rPr>
                <w:rFonts w:ascii="Calibri" w:eastAsia="Times New Roman" w:hAnsi="Calibri" w:cs="Calibri"/>
                <w:b/>
                <w:bCs/>
                <w:color w:val="000000"/>
                <w:sz w:val="18"/>
                <w:szCs w:val="18"/>
                <w:lang w:eastAsia="hr-HR"/>
              </w:rPr>
            </w:pPr>
            <w:r>
              <w:rPr>
                <w:rFonts w:ascii="Calibri" w:eastAsia="Times New Roman" w:hAnsi="Calibri" w:cs="Calibri"/>
                <w:b/>
                <w:bCs/>
                <w:color w:val="000000"/>
                <w:sz w:val="18"/>
                <w:szCs w:val="18"/>
                <w:lang w:eastAsia="hr-HR"/>
              </w:rPr>
              <w:t>-</w:t>
            </w:r>
          </w:p>
        </w:tc>
        <w:tc>
          <w:tcPr>
            <w:tcW w:w="846" w:type="dxa"/>
            <w:tcBorders>
              <w:top w:val="single" w:sz="4" w:space="0" w:color="auto"/>
              <w:left w:val="nil"/>
              <w:bottom w:val="single" w:sz="4" w:space="0" w:color="auto"/>
              <w:right w:val="nil"/>
            </w:tcBorders>
            <w:shd w:val="clear" w:color="000000" w:fill="D0CECE"/>
            <w:noWrap/>
            <w:vAlign w:val="bottom"/>
          </w:tcPr>
          <w:p w14:paraId="441A322A" w14:textId="223FDDD1" w:rsidR="00EF6BE6" w:rsidRPr="00EF6BE6" w:rsidRDefault="00EF6BE6" w:rsidP="00EF6BE6">
            <w:pPr>
              <w:spacing w:after="0" w:line="240" w:lineRule="auto"/>
              <w:jc w:val="center"/>
              <w:rPr>
                <w:rFonts w:ascii="Calibri" w:eastAsia="Times New Roman" w:hAnsi="Calibri" w:cs="Calibri"/>
                <w:b/>
                <w:bCs/>
                <w:color w:val="000000"/>
                <w:sz w:val="18"/>
                <w:szCs w:val="18"/>
                <w:lang w:eastAsia="hr-HR"/>
              </w:rPr>
            </w:pPr>
            <w:r>
              <w:rPr>
                <w:rFonts w:ascii="Calibri" w:eastAsia="Times New Roman" w:hAnsi="Calibri" w:cs="Calibri"/>
                <w:b/>
                <w:bCs/>
                <w:color w:val="000000"/>
                <w:sz w:val="18"/>
                <w:szCs w:val="18"/>
                <w:lang w:eastAsia="hr-HR"/>
              </w:rPr>
              <w:t>-</w:t>
            </w:r>
          </w:p>
        </w:tc>
      </w:tr>
      <w:tr w:rsidR="00EF6BE6" w:rsidRPr="00EF6BE6" w14:paraId="7D997FD9" w14:textId="77777777" w:rsidTr="0087064B">
        <w:trPr>
          <w:trHeight w:val="236"/>
        </w:trPr>
        <w:tc>
          <w:tcPr>
            <w:tcW w:w="777" w:type="dxa"/>
            <w:tcBorders>
              <w:top w:val="nil"/>
              <w:left w:val="nil"/>
              <w:bottom w:val="single" w:sz="4" w:space="0" w:color="auto"/>
              <w:right w:val="nil"/>
            </w:tcBorders>
            <w:noWrap/>
            <w:vAlign w:val="bottom"/>
            <w:hideMark/>
          </w:tcPr>
          <w:p w14:paraId="6817D708" w14:textId="77777777" w:rsidR="00EF6BE6" w:rsidRPr="00EF6BE6" w:rsidRDefault="00EF6BE6" w:rsidP="00EF6BE6">
            <w:pPr>
              <w:spacing w:after="0" w:line="240" w:lineRule="auto"/>
              <w:jc w:val="center"/>
              <w:rPr>
                <w:rFonts w:ascii="Calibri" w:eastAsia="Times New Roman" w:hAnsi="Calibri" w:cs="Calibri"/>
                <w:color w:val="000000"/>
                <w:sz w:val="16"/>
                <w:szCs w:val="16"/>
                <w:lang w:eastAsia="hr-HR"/>
              </w:rPr>
            </w:pPr>
            <w:r w:rsidRPr="00EF6BE6">
              <w:rPr>
                <w:rFonts w:ascii="Calibri" w:eastAsia="Times New Roman" w:hAnsi="Calibri" w:cs="Calibri"/>
                <w:color w:val="000000"/>
                <w:sz w:val="16"/>
                <w:szCs w:val="16"/>
                <w:lang w:eastAsia="hr-HR"/>
              </w:rPr>
              <w:t>92</w:t>
            </w:r>
          </w:p>
        </w:tc>
        <w:tc>
          <w:tcPr>
            <w:tcW w:w="2566" w:type="dxa"/>
            <w:tcBorders>
              <w:top w:val="nil"/>
              <w:left w:val="nil"/>
              <w:bottom w:val="single" w:sz="4" w:space="0" w:color="auto"/>
              <w:right w:val="nil"/>
            </w:tcBorders>
            <w:vAlign w:val="bottom"/>
            <w:hideMark/>
          </w:tcPr>
          <w:p w14:paraId="75A14244" w14:textId="77777777" w:rsidR="00EF6BE6" w:rsidRPr="00EF6BE6" w:rsidRDefault="00EF6BE6" w:rsidP="00EF6BE6">
            <w:pPr>
              <w:spacing w:after="0" w:line="240" w:lineRule="auto"/>
              <w:rPr>
                <w:rFonts w:ascii="Calibri" w:eastAsia="Times New Roman" w:hAnsi="Calibri" w:cs="Calibri"/>
                <w:color w:val="000000"/>
                <w:sz w:val="16"/>
                <w:szCs w:val="16"/>
                <w:lang w:eastAsia="hr-HR"/>
              </w:rPr>
            </w:pPr>
            <w:r w:rsidRPr="00EF6BE6">
              <w:rPr>
                <w:rFonts w:ascii="Calibri" w:eastAsia="Times New Roman" w:hAnsi="Calibri" w:cs="Calibri"/>
                <w:color w:val="000000"/>
                <w:sz w:val="16"/>
                <w:szCs w:val="16"/>
                <w:lang w:eastAsia="hr-HR"/>
              </w:rPr>
              <w:t>Rezultat poslovanja -Grad</w:t>
            </w:r>
          </w:p>
        </w:tc>
        <w:tc>
          <w:tcPr>
            <w:tcW w:w="1460" w:type="dxa"/>
            <w:tcBorders>
              <w:top w:val="nil"/>
              <w:left w:val="nil"/>
              <w:bottom w:val="single" w:sz="4" w:space="0" w:color="auto"/>
              <w:right w:val="nil"/>
            </w:tcBorders>
            <w:noWrap/>
            <w:vAlign w:val="bottom"/>
            <w:hideMark/>
          </w:tcPr>
          <w:p w14:paraId="46782E47" w14:textId="77777777" w:rsidR="00EF6BE6" w:rsidRPr="00EF6BE6" w:rsidRDefault="00EF6BE6" w:rsidP="00EF6BE6">
            <w:pPr>
              <w:spacing w:after="0" w:line="240" w:lineRule="auto"/>
              <w:jc w:val="center"/>
              <w:rPr>
                <w:rFonts w:ascii="Calibri" w:eastAsia="Times New Roman" w:hAnsi="Calibri" w:cs="Calibri"/>
                <w:b/>
                <w:bCs/>
                <w:color w:val="000000"/>
                <w:sz w:val="18"/>
                <w:szCs w:val="18"/>
                <w:lang w:eastAsia="hr-HR"/>
              </w:rPr>
            </w:pPr>
            <w:r w:rsidRPr="00EF6BE6">
              <w:rPr>
                <w:rFonts w:ascii="Calibri" w:eastAsia="Times New Roman" w:hAnsi="Calibri" w:cs="Calibri"/>
                <w:b/>
                <w:bCs/>
                <w:color w:val="000000"/>
                <w:sz w:val="18"/>
                <w:szCs w:val="18"/>
                <w:lang w:eastAsia="hr-HR"/>
              </w:rPr>
              <w:t>0,00</w:t>
            </w:r>
          </w:p>
        </w:tc>
        <w:tc>
          <w:tcPr>
            <w:tcW w:w="1399" w:type="dxa"/>
            <w:tcBorders>
              <w:top w:val="nil"/>
              <w:left w:val="nil"/>
              <w:bottom w:val="single" w:sz="4" w:space="0" w:color="auto"/>
              <w:right w:val="nil"/>
            </w:tcBorders>
            <w:noWrap/>
            <w:vAlign w:val="bottom"/>
            <w:hideMark/>
          </w:tcPr>
          <w:p w14:paraId="0B943223" w14:textId="77777777" w:rsidR="00EF6BE6" w:rsidRPr="00EF6BE6" w:rsidRDefault="00EF6BE6" w:rsidP="00EF6BE6">
            <w:pPr>
              <w:spacing w:after="0" w:line="240" w:lineRule="auto"/>
              <w:jc w:val="center"/>
              <w:rPr>
                <w:rFonts w:ascii="Calibri" w:eastAsia="Times New Roman" w:hAnsi="Calibri" w:cs="Calibri"/>
                <w:b/>
                <w:bCs/>
                <w:color w:val="000000"/>
                <w:sz w:val="18"/>
                <w:szCs w:val="18"/>
                <w:lang w:eastAsia="hr-HR"/>
              </w:rPr>
            </w:pPr>
            <w:r w:rsidRPr="00EF6BE6">
              <w:rPr>
                <w:rFonts w:ascii="Calibri" w:eastAsia="Times New Roman" w:hAnsi="Calibri" w:cs="Calibri"/>
                <w:b/>
                <w:bCs/>
                <w:color w:val="000000"/>
                <w:sz w:val="18"/>
                <w:szCs w:val="18"/>
                <w:lang w:eastAsia="hr-HR"/>
              </w:rPr>
              <w:t>4.482.942,93</w:t>
            </w:r>
          </w:p>
        </w:tc>
        <w:tc>
          <w:tcPr>
            <w:tcW w:w="1314" w:type="dxa"/>
            <w:tcBorders>
              <w:top w:val="nil"/>
              <w:left w:val="nil"/>
              <w:bottom w:val="single" w:sz="4" w:space="0" w:color="auto"/>
              <w:right w:val="nil"/>
            </w:tcBorders>
            <w:noWrap/>
            <w:vAlign w:val="bottom"/>
            <w:hideMark/>
          </w:tcPr>
          <w:p w14:paraId="4F54221C" w14:textId="77777777" w:rsidR="00EF6BE6" w:rsidRPr="00EF6BE6" w:rsidRDefault="00EF6BE6" w:rsidP="00EF6BE6">
            <w:pPr>
              <w:spacing w:after="0" w:line="240" w:lineRule="auto"/>
              <w:jc w:val="center"/>
              <w:rPr>
                <w:rFonts w:ascii="Calibri" w:eastAsia="Times New Roman" w:hAnsi="Calibri" w:cs="Calibri"/>
                <w:b/>
                <w:bCs/>
                <w:color w:val="000000"/>
                <w:sz w:val="18"/>
                <w:szCs w:val="18"/>
                <w:lang w:eastAsia="hr-HR"/>
              </w:rPr>
            </w:pPr>
            <w:r w:rsidRPr="00EF6BE6">
              <w:rPr>
                <w:rFonts w:ascii="Calibri" w:eastAsia="Times New Roman" w:hAnsi="Calibri" w:cs="Calibri"/>
                <w:b/>
                <w:bCs/>
                <w:color w:val="000000"/>
                <w:sz w:val="18"/>
                <w:szCs w:val="18"/>
                <w:lang w:eastAsia="hr-HR"/>
              </w:rPr>
              <w:t>4.482.942,93</w:t>
            </w:r>
          </w:p>
        </w:tc>
        <w:tc>
          <w:tcPr>
            <w:tcW w:w="1293" w:type="dxa"/>
            <w:tcBorders>
              <w:top w:val="nil"/>
              <w:left w:val="nil"/>
              <w:bottom w:val="single" w:sz="4" w:space="0" w:color="auto"/>
              <w:right w:val="nil"/>
            </w:tcBorders>
            <w:noWrap/>
            <w:vAlign w:val="bottom"/>
            <w:hideMark/>
          </w:tcPr>
          <w:p w14:paraId="69AD6B41" w14:textId="77777777" w:rsidR="00EF6BE6" w:rsidRPr="00EF6BE6" w:rsidRDefault="00EF6BE6" w:rsidP="00EF6BE6">
            <w:pPr>
              <w:spacing w:after="0" w:line="240" w:lineRule="auto"/>
              <w:jc w:val="center"/>
              <w:rPr>
                <w:rFonts w:ascii="Calibri" w:eastAsia="Times New Roman" w:hAnsi="Calibri" w:cs="Calibri"/>
                <w:b/>
                <w:bCs/>
                <w:color w:val="000000"/>
                <w:sz w:val="18"/>
                <w:szCs w:val="18"/>
                <w:lang w:eastAsia="hr-HR"/>
              </w:rPr>
            </w:pPr>
            <w:r w:rsidRPr="00EF6BE6">
              <w:rPr>
                <w:rFonts w:ascii="Calibri" w:eastAsia="Times New Roman" w:hAnsi="Calibri" w:cs="Calibri"/>
                <w:b/>
                <w:bCs/>
                <w:color w:val="000000"/>
                <w:sz w:val="18"/>
                <w:szCs w:val="18"/>
                <w:lang w:eastAsia="hr-HR"/>
              </w:rPr>
              <w:t>0,00</w:t>
            </w:r>
          </w:p>
        </w:tc>
        <w:tc>
          <w:tcPr>
            <w:tcW w:w="855" w:type="dxa"/>
            <w:tcBorders>
              <w:top w:val="nil"/>
              <w:left w:val="nil"/>
              <w:bottom w:val="single" w:sz="4" w:space="0" w:color="auto"/>
              <w:right w:val="nil"/>
            </w:tcBorders>
            <w:noWrap/>
            <w:vAlign w:val="bottom"/>
          </w:tcPr>
          <w:p w14:paraId="3CF889B6" w14:textId="072D590C" w:rsidR="00EF6BE6" w:rsidRPr="00EF6BE6" w:rsidRDefault="00EF6BE6" w:rsidP="00EF6BE6">
            <w:pPr>
              <w:spacing w:after="0" w:line="240" w:lineRule="auto"/>
              <w:jc w:val="center"/>
              <w:rPr>
                <w:rFonts w:ascii="Calibri" w:eastAsia="Times New Roman" w:hAnsi="Calibri" w:cs="Calibri"/>
                <w:b/>
                <w:bCs/>
                <w:color w:val="000000"/>
                <w:sz w:val="18"/>
                <w:szCs w:val="18"/>
                <w:lang w:eastAsia="hr-HR"/>
              </w:rPr>
            </w:pPr>
            <w:r>
              <w:rPr>
                <w:rFonts w:ascii="Calibri" w:eastAsia="Times New Roman" w:hAnsi="Calibri" w:cs="Calibri"/>
                <w:b/>
                <w:bCs/>
                <w:color w:val="000000"/>
                <w:sz w:val="18"/>
                <w:szCs w:val="18"/>
                <w:lang w:eastAsia="hr-HR"/>
              </w:rPr>
              <w:t>-</w:t>
            </w:r>
          </w:p>
        </w:tc>
        <w:tc>
          <w:tcPr>
            <w:tcW w:w="846" w:type="dxa"/>
            <w:tcBorders>
              <w:top w:val="nil"/>
              <w:left w:val="nil"/>
              <w:bottom w:val="single" w:sz="4" w:space="0" w:color="auto"/>
              <w:right w:val="nil"/>
            </w:tcBorders>
            <w:noWrap/>
            <w:vAlign w:val="bottom"/>
          </w:tcPr>
          <w:p w14:paraId="25C7D094" w14:textId="71BDC4B9" w:rsidR="00EF6BE6" w:rsidRPr="00EF6BE6" w:rsidRDefault="00EF6BE6" w:rsidP="00EF6BE6">
            <w:pPr>
              <w:spacing w:after="0" w:line="240" w:lineRule="auto"/>
              <w:jc w:val="center"/>
              <w:rPr>
                <w:rFonts w:ascii="Calibri" w:eastAsia="Times New Roman" w:hAnsi="Calibri" w:cs="Calibri"/>
                <w:b/>
                <w:bCs/>
                <w:color w:val="000000"/>
                <w:sz w:val="18"/>
                <w:szCs w:val="18"/>
                <w:lang w:eastAsia="hr-HR"/>
              </w:rPr>
            </w:pPr>
            <w:r>
              <w:rPr>
                <w:rFonts w:ascii="Calibri" w:eastAsia="Times New Roman" w:hAnsi="Calibri" w:cs="Calibri"/>
                <w:b/>
                <w:bCs/>
                <w:color w:val="000000"/>
                <w:sz w:val="18"/>
                <w:szCs w:val="18"/>
                <w:lang w:eastAsia="hr-HR"/>
              </w:rPr>
              <w:t>-</w:t>
            </w:r>
          </w:p>
        </w:tc>
      </w:tr>
      <w:tr w:rsidR="00EF6BE6" w:rsidRPr="00EF6BE6" w14:paraId="5CDB0539" w14:textId="77777777" w:rsidTr="0087064B">
        <w:trPr>
          <w:trHeight w:val="236"/>
        </w:trPr>
        <w:tc>
          <w:tcPr>
            <w:tcW w:w="777" w:type="dxa"/>
            <w:tcBorders>
              <w:top w:val="nil"/>
              <w:left w:val="nil"/>
              <w:bottom w:val="single" w:sz="4" w:space="0" w:color="auto"/>
              <w:right w:val="nil"/>
            </w:tcBorders>
            <w:noWrap/>
            <w:vAlign w:val="bottom"/>
            <w:hideMark/>
          </w:tcPr>
          <w:p w14:paraId="04CAAFFB" w14:textId="77777777" w:rsidR="00EF6BE6" w:rsidRPr="00EF6BE6" w:rsidRDefault="00EF6BE6" w:rsidP="00EF6BE6">
            <w:pPr>
              <w:spacing w:after="0" w:line="240" w:lineRule="auto"/>
              <w:jc w:val="center"/>
              <w:rPr>
                <w:rFonts w:ascii="Calibri" w:eastAsia="Times New Roman" w:hAnsi="Calibri" w:cs="Calibri"/>
                <w:color w:val="000000"/>
                <w:sz w:val="16"/>
                <w:szCs w:val="16"/>
                <w:lang w:eastAsia="hr-HR"/>
              </w:rPr>
            </w:pPr>
            <w:r w:rsidRPr="00EF6BE6">
              <w:rPr>
                <w:rFonts w:ascii="Calibri" w:eastAsia="Times New Roman" w:hAnsi="Calibri" w:cs="Calibri"/>
                <w:color w:val="000000"/>
                <w:sz w:val="16"/>
                <w:szCs w:val="16"/>
                <w:lang w:eastAsia="hr-HR"/>
              </w:rPr>
              <w:t>92</w:t>
            </w:r>
          </w:p>
        </w:tc>
        <w:tc>
          <w:tcPr>
            <w:tcW w:w="2566" w:type="dxa"/>
            <w:tcBorders>
              <w:top w:val="nil"/>
              <w:left w:val="nil"/>
              <w:bottom w:val="single" w:sz="4" w:space="0" w:color="auto"/>
              <w:right w:val="nil"/>
            </w:tcBorders>
            <w:vAlign w:val="bottom"/>
            <w:hideMark/>
          </w:tcPr>
          <w:p w14:paraId="6ECDE54E" w14:textId="77777777" w:rsidR="00EF6BE6" w:rsidRPr="00EF6BE6" w:rsidRDefault="00EF6BE6" w:rsidP="00EF6BE6">
            <w:pPr>
              <w:spacing w:after="0" w:line="240" w:lineRule="auto"/>
              <w:rPr>
                <w:rFonts w:ascii="Calibri" w:eastAsia="Times New Roman" w:hAnsi="Calibri" w:cs="Calibri"/>
                <w:color w:val="000000"/>
                <w:sz w:val="16"/>
                <w:szCs w:val="16"/>
                <w:lang w:eastAsia="hr-HR"/>
              </w:rPr>
            </w:pPr>
            <w:r w:rsidRPr="00EF6BE6">
              <w:rPr>
                <w:rFonts w:ascii="Calibri" w:eastAsia="Times New Roman" w:hAnsi="Calibri" w:cs="Calibri"/>
                <w:color w:val="000000"/>
                <w:sz w:val="16"/>
                <w:szCs w:val="16"/>
                <w:lang w:eastAsia="hr-HR"/>
              </w:rPr>
              <w:t>Rezultat poslovanja -PK</w:t>
            </w:r>
          </w:p>
        </w:tc>
        <w:tc>
          <w:tcPr>
            <w:tcW w:w="1460" w:type="dxa"/>
            <w:tcBorders>
              <w:top w:val="nil"/>
              <w:left w:val="nil"/>
              <w:bottom w:val="single" w:sz="4" w:space="0" w:color="auto"/>
              <w:right w:val="nil"/>
            </w:tcBorders>
            <w:noWrap/>
            <w:vAlign w:val="bottom"/>
            <w:hideMark/>
          </w:tcPr>
          <w:p w14:paraId="6BE2D938" w14:textId="77777777" w:rsidR="00EF6BE6" w:rsidRPr="00EF6BE6" w:rsidRDefault="00EF6BE6" w:rsidP="00EF6BE6">
            <w:pPr>
              <w:spacing w:after="0" w:line="240" w:lineRule="auto"/>
              <w:jc w:val="center"/>
              <w:rPr>
                <w:rFonts w:ascii="Calibri" w:eastAsia="Times New Roman" w:hAnsi="Calibri" w:cs="Calibri"/>
                <w:b/>
                <w:bCs/>
                <w:color w:val="000000"/>
                <w:sz w:val="18"/>
                <w:szCs w:val="18"/>
                <w:lang w:eastAsia="hr-HR"/>
              </w:rPr>
            </w:pPr>
            <w:r w:rsidRPr="00EF6BE6">
              <w:rPr>
                <w:rFonts w:ascii="Calibri" w:eastAsia="Times New Roman" w:hAnsi="Calibri" w:cs="Calibri"/>
                <w:b/>
                <w:bCs/>
                <w:color w:val="000000"/>
                <w:sz w:val="18"/>
                <w:szCs w:val="18"/>
                <w:lang w:eastAsia="hr-HR"/>
              </w:rPr>
              <w:t>0,00</w:t>
            </w:r>
          </w:p>
        </w:tc>
        <w:tc>
          <w:tcPr>
            <w:tcW w:w="1399" w:type="dxa"/>
            <w:tcBorders>
              <w:top w:val="nil"/>
              <w:left w:val="nil"/>
              <w:bottom w:val="single" w:sz="4" w:space="0" w:color="auto"/>
              <w:right w:val="nil"/>
            </w:tcBorders>
            <w:noWrap/>
            <w:vAlign w:val="bottom"/>
            <w:hideMark/>
          </w:tcPr>
          <w:p w14:paraId="78B42B28" w14:textId="77777777" w:rsidR="00EF6BE6" w:rsidRPr="00EF6BE6" w:rsidRDefault="00EF6BE6" w:rsidP="00EF6BE6">
            <w:pPr>
              <w:spacing w:after="0" w:line="240" w:lineRule="auto"/>
              <w:jc w:val="center"/>
              <w:rPr>
                <w:rFonts w:ascii="Calibri" w:eastAsia="Times New Roman" w:hAnsi="Calibri" w:cs="Calibri"/>
                <w:b/>
                <w:bCs/>
                <w:color w:val="000000"/>
                <w:sz w:val="18"/>
                <w:szCs w:val="18"/>
                <w:lang w:eastAsia="hr-HR"/>
              </w:rPr>
            </w:pPr>
            <w:r w:rsidRPr="00EF6BE6">
              <w:rPr>
                <w:rFonts w:ascii="Calibri" w:eastAsia="Times New Roman" w:hAnsi="Calibri" w:cs="Calibri"/>
                <w:b/>
                <w:bCs/>
                <w:color w:val="000000"/>
                <w:sz w:val="18"/>
                <w:szCs w:val="18"/>
                <w:lang w:eastAsia="hr-HR"/>
              </w:rPr>
              <w:t>0,00</w:t>
            </w:r>
          </w:p>
        </w:tc>
        <w:tc>
          <w:tcPr>
            <w:tcW w:w="1314" w:type="dxa"/>
            <w:tcBorders>
              <w:top w:val="nil"/>
              <w:left w:val="nil"/>
              <w:bottom w:val="single" w:sz="4" w:space="0" w:color="auto"/>
              <w:right w:val="nil"/>
            </w:tcBorders>
            <w:noWrap/>
            <w:vAlign w:val="bottom"/>
            <w:hideMark/>
          </w:tcPr>
          <w:p w14:paraId="32E89A70" w14:textId="77777777" w:rsidR="00EF6BE6" w:rsidRPr="00EF6BE6" w:rsidRDefault="00EF6BE6" w:rsidP="00EF6BE6">
            <w:pPr>
              <w:spacing w:after="0" w:line="240" w:lineRule="auto"/>
              <w:jc w:val="center"/>
              <w:rPr>
                <w:rFonts w:ascii="Calibri" w:eastAsia="Times New Roman" w:hAnsi="Calibri" w:cs="Calibri"/>
                <w:b/>
                <w:bCs/>
                <w:color w:val="000000"/>
                <w:sz w:val="18"/>
                <w:szCs w:val="18"/>
                <w:lang w:eastAsia="hr-HR"/>
              </w:rPr>
            </w:pPr>
            <w:r w:rsidRPr="00EF6BE6">
              <w:rPr>
                <w:rFonts w:ascii="Calibri" w:eastAsia="Times New Roman" w:hAnsi="Calibri" w:cs="Calibri"/>
                <w:b/>
                <w:bCs/>
                <w:color w:val="000000"/>
                <w:sz w:val="18"/>
                <w:szCs w:val="18"/>
                <w:lang w:eastAsia="hr-HR"/>
              </w:rPr>
              <w:t>0,00</w:t>
            </w:r>
          </w:p>
        </w:tc>
        <w:tc>
          <w:tcPr>
            <w:tcW w:w="1293" w:type="dxa"/>
            <w:tcBorders>
              <w:top w:val="nil"/>
              <w:left w:val="nil"/>
              <w:bottom w:val="single" w:sz="4" w:space="0" w:color="auto"/>
              <w:right w:val="nil"/>
            </w:tcBorders>
            <w:noWrap/>
            <w:vAlign w:val="bottom"/>
            <w:hideMark/>
          </w:tcPr>
          <w:p w14:paraId="20798CBC" w14:textId="77777777" w:rsidR="00EF6BE6" w:rsidRPr="00EF6BE6" w:rsidRDefault="00EF6BE6" w:rsidP="00EF6BE6">
            <w:pPr>
              <w:spacing w:after="0" w:line="240" w:lineRule="auto"/>
              <w:jc w:val="center"/>
              <w:rPr>
                <w:rFonts w:ascii="Calibri" w:eastAsia="Times New Roman" w:hAnsi="Calibri" w:cs="Calibri"/>
                <w:b/>
                <w:bCs/>
                <w:color w:val="000000"/>
                <w:sz w:val="18"/>
                <w:szCs w:val="18"/>
                <w:lang w:eastAsia="hr-HR"/>
              </w:rPr>
            </w:pPr>
            <w:r w:rsidRPr="00EF6BE6">
              <w:rPr>
                <w:rFonts w:ascii="Calibri" w:eastAsia="Times New Roman" w:hAnsi="Calibri" w:cs="Calibri"/>
                <w:b/>
                <w:bCs/>
                <w:color w:val="000000"/>
                <w:sz w:val="18"/>
                <w:szCs w:val="18"/>
                <w:lang w:eastAsia="hr-HR"/>
              </w:rPr>
              <w:t>0,00</w:t>
            </w:r>
          </w:p>
        </w:tc>
        <w:tc>
          <w:tcPr>
            <w:tcW w:w="855" w:type="dxa"/>
            <w:tcBorders>
              <w:top w:val="nil"/>
              <w:left w:val="nil"/>
              <w:bottom w:val="single" w:sz="4" w:space="0" w:color="auto"/>
              <w:right w:val="nil"/>
            </w:tcBorders>
            <w:noWrap/>
            <w:vAlign w:val="bottom"/>
          </w:tcPr>
          <w:p w14:paraId="7218DE29" w14:textId="1830E339" w:rsidR="00EF6BE6" w:rsidRPr="00EF6BE6" w:rsidRDefault="00EF6BE6" w:rsidP="00EF6BE6">
            <w:pPr>
              <w:spacing w:after="0" w:line="240" w:lineRule="auto"/>
              <w:jc w:val="center"/>
              <w:rPr>
                <w:rFonts w:ascii="Calibri" w:eastAsia="Times New Roman" w:hAnsi="Calibri" w:cs="Calibri"/>
                <w:b/>
                <w:bCs/>
                <w:color w:val="000000"/>
                <w:sz w:val="18"/>
                <w:szCs w:val="18"/>
                <w:lang w:eastAsia="hr-HR"/>
              </w:rPr>
            </w:pPr>
            <w:r>
              <w:rPr>
                <w:rFonts w:ascii="Calibri" w:eastAsia="Times New Roman" w:hAnsi="Calibri" w:cs="Calibri"/>
                <w:b/>
                <w:bCs/>
                <w:color w:val="000000"/>
                <w:sz w:val="18"/>
                <w:szCs w:val="18"/>
                <w:lang w:eastAsia="hr-HR"/>
              </w:rPr>
              <w:t>-</w:t>
            </w:r>
          </w:p>
        </w:tc>
        <w:tc>
          <w:tcPr>
            <w:tcW w:w="846" w:type="dxa"/>
            <w:tcBorders>
              <w:top w:val="nil"/>
              <w:left w:val="nil"/>
              <w:bottom w:val="single" w:sz="4" w:space="0" w:color="auto"/>
              <w:right w:val="nil"/>
            </w:tcBorders>
            <w:noWrap/>
            <w:vAlign w:val="bottom"/>
          </w:tcPr>
          <w:p w14:paraId="3F0FD13E" w14:textId="2689B87B" w:rsidR="00EF6BE6" w:rsidRPr="00EF6BE6" w:rsidRDefault="00EF6BE6" w:rsidP="00EF6BE6">
            <w:pPr>
              <w:spacing w:after="0" w:line="240" w:lineRule="auto"/>
              <w:jc w:val="center"/>
              <w:rPr>
                <w:rFonts w:ascii="Calibri" w:eastAsia="Times New Roman" w:hAnsi="Calibri" w:cs="Calibri"/>
                <w:b/>
                <w:bCs/>
                <w:color w:val="000000"/>
                <w:sz w:val="18"/>
                <w:szCs w:val="18"/>
                <w:lang w:eastAsia="hr-HR"/>
              </w:rPr>
            </w:pPr>
            <w:r>
              <w:rPr>
                <w:rFonts w:ascii="Calibri" w:eastAsia="Times New Roman" w:hAnsi="Calibri" w:cs="Calibri"/>
                <w:b/>
                <w:bCs/>
                <w:color w:val="000000"/>
                <w:sz w:val="18"/>
                <w:szCs w:val="18"/>
                <w:lang w:eastAsia="hr-HR"/>
              </w:rPr>
              <w:t>-</w:t>
            </w:r>
          </w:p>
        </w:tc>
      </w:tr>
      <w:tr w:rsidR="00EF6BE6" w:rsidRPr="00EF6BE6" w14:paraId="7771C849" w14:textId="77777777" w:rsidTr="0087064B">
        <w:trPr>
          <w:trHeight w:val="236"/>
        </w:trPr>
        <w:tc>
          <w:tcPr>
            <w:tcW w:w="777" w:type="dxa"/>
            <w:tcBorders>
              <w:top w:val="nil"/>
              <w:left w:val="nil"/>
              <w:bottom w:val="single" w:sz="4" w:space="0" w:color="auto"/>
              <w:right w:val="nil"/>
            </w:tcBorders>
            <w:shd w:val="clear" w:color="000000" w:fill="D0CECE"/>
            <w:noWrap/>
            <w:vAlign w:val="bottom"/>
            <w:hideMark/>
          </w:tcPr>
          <w:p w14:paraId="59644368" w14:textId="77777777" w:rsidR="00EF6BE6" w:rsidRPr="00EF6BE6" w:rsidRDefault="00EF6BE6" w:rsidP="00EF6BE6">
            <w:pPr>
              <w:spacing w:after="0" w:line="240" w:lineRule="auto"/>
              <w:rPr>
                <w:rFonts w:ascii="Calibri" w:eastAsia="Times New Roman" w:hAnsi="Calibri" w:cs="Calibri"/>
                <w:color w:val="000000"/>
                <w:sz w:val="16"/>
                <w:szCs w:val="16"/>
                <w:lang w:eastAsia="hr-HR"/>
              </w:rPr>
            </w:pPr>
            <w:r w:rsidRPr="00EF6BE6">
              <w:rPr>
                <w:rFonts w:ascii="Calibri" w:eastAsia="Times New Roman" w:hAnsi="Calibri" w:cs="Calibri"/>
                <w:color w:val="000000"/>
                <w:sz w:val="16"/>
                <w:szCs w:val="16"/>
                <w:lang w:eastAsia="hr-HR"/>
              </w:rPr>
              <w:t> </w:t>
            </w:r>
          </w:p>
        </w:tc>
        <w:tc>
          <w:tcPr>
            <w:tcW w:w="2566" w:type="dxa"/>
            <w:tcBorders>
              <w:top w:val="nil"/>
              <w:left w:val="nil"/>
              <w:bottom w:val="single" w:sz="4" w:space="0" w:color="auto"/>
              <w:right w:val="nil"/>
            </w:tcBorders>
            <w:shd w:val="clear" w:color="000000" w:fill="D0CECE"/>
            <w:noWrap/>
            <w:vAlign w:val="bottom"/>
            <w:hideMark/>
          </w:tcPr>
          <w:p w14:paraId="767AD59A" w14:textId="77777777" w:rsidR="00EF6BE6" w:rsidRPr="00EF6BE6" w:rsidRDefault="00EF6BE6" w:rsidP="00EF6BE6">
            <w:pPr>
              <w:spacing w:after="0" w:line="240" w:lineRule="auto"/>
              <w:rPr>
                <w:rFonts w:ascii="Calibri" w:eastAsia="Times New Roman" w:hAnsi="Calibri" w:cs="Calibri"/>
                <w:b/>
                <w:bCs/>
                <w:color w:val="000000"/>
                <w:sz w:val="16"/>
                <w:szCs w:val="16"/>
                <w:lang w:eastAsia="hr-HR"/>
              </w:rPr>
            </w:pPr>
            <w:r w:rsidRPr="00EF6BE6">
              <w:rPr>
                <w:rFonts w:ascii="Calibri" w:eastAsia="Times New Roman" w:hAnsi="Calibri" w:cs="Calibri"/>
                <w:b/>
                <w:bCs/>
                <w:color w:val="000000"/>
                <w:sz w:val="16"/>
                <w:szCs w:val="16"/>
                <w:lang w:eastAsia="hr-HR"/>
              </w:rPr>
              <w:t>SVEUKUPNO</w:t>
            </w:r>
          </w:p>
        </w:tc>
        <w:tc>
          <w:tcPr>
            <w:tcW w:w="1460" w:type="dxa"/>
            <w:tcBorders>
              <w:top w:val="nil"/>
              <w:left w:val="nil"/>
              <w:bottom w:val="single" w:sz="4" w:space="0" w:color="auto"/>
              <w:right w:val="nil"/>
            </w:tcBorders>
            <w:shd w:val="clear" w:color="000000" w:fill="D0CECE"/>
            <w:noWrap/>
            <w:vAlign w:val="bottom"/>
            <w:hideMark/>
          </w:tcPr>
          <w:p w14:paraId="61617991" w14:textId="77777777" w:rsidR="00EF6BE6" w:rsidRPr="00EF6BE6" w:rsidRDefault="00EF6BE6" w:rsidP="00EF6BE6">
            <w:pPr>
              <w:spacing w:after="0" w:line="240" w:lineRule="auto"/>
              <w:jc w:val="center"/>
              <w:rPr>
                <w:rFonts w:ascii="Calibri" w:eastAsia="Times New Roman" w:hAnsi="Calibri" w:cs="Calibri"/>
                <w:b/>
                <w:bCs/>
                <w:color w:val="000000"/>
                <w:sz w:val="18"/>
                <w:szCs w:val="18"/>
                <w:lang w:eastAsia="hr-HR"/>
              </w:rPr>
            </w:pPr>
            <w:r w:rsidRPr="00EF6BE6">
              <w:rPr>
                <w:rFonts w:ascii="Calibri" w:eastAsia="Times New Roman" w:hAnsi="Calibri" w:cs="Calibri"/>
                <w:b/>
                <w:bCs/>
                <w:color w:val="000000"/>
                <w:sz w:val="18"/>
                <w:szCs w:val="18"/>
                <w:lang w:eastAsia="hr-HR"/>
              </w:rPr>
              <w:t>17.537.721,38</w:t>
            </w:r>
          </w:p>
        </w:tc>
        <w:tc>
          <w:tcPr>
            <w:tcW w:w="1399" w:type="dxa"/>
            <w:tcBorders>
              <w:top w:val="nil"/>
              <w:left w:val="nil"/>
              <w:bottom w:val="single" w:sz="4" w:space="0" w:color="auto"/>
              <w:right w:val="nil"/>
            </w:tcBorders>
            <w:shd w:val="clear" w:color="000000" w:fill="D0CECE"/>
            <w:noWrap/>
            <w:vAlign w:val="bottom"/>
            <w:hideMark/>
          </w:tcPr>
          <w:p w14:paraId="73819CFE" w14:textId="0BA49729" w:rsidR="00EF6BE6" w:rsidRPr="00EF6BE6" w:rsidRDefault="00DC27E0" w:rsidP="00EF6BE6">
            <w:pPr>
              <w:spacing w:after="0" w:line="240" w:lineRule="auto"/>
              <w:jc w:val="center"/>
              <w:rPr>
                <w:rFonts w:ascii="Calibri" w:eastAsia="Times New Roman" w:hAnsi="Calibri" w:cs="Calibri"/>
                <w:b/>
                <w:bCs/>
                <w:color w:val="000000"/>
                <w:sz w:val="18"/>
                <w:szCs w:val="18"/>
                <w:lang w:eastAsia="hr-HR"/>
              </w:rPr>
            </w:pPr>
            <w:r>
              <w:rPr>
                <w:rFonts w:ascii="Calibri" w:eastAsia="Times New Roman" w:hAnsi="Calibri" w:cs="Calibri"/>
                <w:b/>
                <w:bCs/>
                <w:color w:val="000000"/>
                <w:sz w:val="18"/>
                <w:szCs w:val="18"/>
                <w:lang w:eastAsia="hr-HR"/>
              </w:rPr>
              <w:t>20.978.572,16</w:t>
            </w:r>
          </w:p>
        </w:tc>
        <w:tc>
          <w:tcPr>
            <w:tcW w:w="1314" w:type="dxa"/>
            <w:tcBorders>
              <w:top w:val="nil"/>
              <w:left w:val="nil"/>
              <w:bottom w:val="single" w:sz="4" w:space="0" w:color="auto"/>
              <w:right w:val="nil"/>
            </w:tcBorders>
            <w:shd w:val="clear" w:color="000000" w:fill="D0CECE"/>
            <w:noWrap/>
            <w:vAlign w:val="bottom"/>
            <w:hideMark/>
          </w:tcPr>
          <w:p w14:paraId="4E70BD00" w14:textId="205B4B37" w:rsidR="00EF6BE6" w:rsidRPr="00EF6BE6" w:rsidRDefault="00DC27E0" w:rsidP="00EF6BE6">
            <w:pPr>
              <w:spacing w:after="0" w:line="240" w:lineRule="auto"/>
              <w:jc w:val="center"/>
              <w:rPr>
                <w:rFonts w:ascii="Calibri" w:eastAsia="Times New Roman" w:hAnsi="Calibri" w:cs="Calibri"/>
                <w:b/>
                <w:bCs/>
                <w:color w:val="000000"/>
                <w:sz w:val="18"/>
                <w:szCs w:val="18"/>
                <w:lang w:eastAsia="hr-HR"/>
              </w:rPr>
            </w:pPr>
            <w:r>
              <w:rPr>
                <w:rFonts w:ascii="Calibri" w:eastAsia="Times New Roman" w:hAnsi="Calibri" w:cs="Calibri"/>
                <w:b/>
                <w:bCs/>
                <w:color w:val="000000"/>
                <w:sz w:val="18"/>
                <w:szCs w:val="18"/>
                <w:lang w:eastAsia="hr-HR"/>
              </w:rPr>
              <w:t>20.978.572,16</w:t>
            </w:r>
          </w:p>
        </w:tc>
        <w:tc>
          <w:tcPr>
            <w:tcW w:w="1293" w:type="dxa"/>
            <w:tcBorders>
              <w:top w:val="nil"/>
              <w:left w:val="nil"/>
              <w:bottom w:val="single" w:sz="4" w:space="0" w:color="auto"/>
              <w:right w:val="nil"/>
            </w:tcBorders>
            <w:shd w:val="clear" w:color="000000" w:fill="D0CECE"/>
            <w:noWrap/>
            <w:vAlign w:val="bottom"/>
            <w:hideMark/>
          </w:tcPr>
          <w:p w14:paraId="560F853C" w14:textId="3E686F5C" w:rsidR="00EF6BE6" w:rsidRPr="00EF6BE6" w:rsidRDefault="007533B5" w:rsidP="00EF6BE6">
            <w:pPr>
              <w:spacing w:after="0" w:line="240" w:lineRule="auto"/>
              <w:jc w:val="center"/>
              <w:rPr>
                <w:rFonts w:ascii="Calibri" w:eastAsia="Times New Roman" w:hAnsi="Calibri" w:cs="Calibri"/>
                <w:b/>
                <w:bCs/>
                <w:color w:val="000000"/>
                <w:sz w:val="18"/>
                <w:szCs w:val="18"/>
                <w:lang w:eastAsia="hr-HR"/>
              </w:rPr>
            </w:pPr>
            <w:r>
              <w:rPr>
                <w:rFonts w:ascii="Calibri" w:eastAsia="Times New Roman" w:hAnsi="Calibri" w:cs="Calibri"/>
                <w:b/>
                <w:bCs/>
                <w:color w:val="000000"/>
                <w:sz w:val="18"/>
                <w:szCs w:val="18"/>
                <w:lang w:eastAsia="hr-HR"/>
              </w:rPr>
              <w:t>19.787.321,82</w:t>
            </w:r>
          </w:p>
        </w:tc>
        <w:tc>
          <w:tcPr>
            <w:tcW w:w="855" w:type="dxa"/>
            <w:tcBorders>
              <w:top w:val="nil"/>
              <w:left w:val="nil"/>
              <w:bottom w:val="single" w:sz="4" w:space="0" w:color="auto"/>
              <w:right w:val="nil"/>
            </w:tcBorders>
            <w:shd w:val="clear" w:color="000000" w:fill="D0CECE"/>
            <w:noWrap/>
            <w:vAlign w:val="bottom"/>
            <w:hideMark/>
          </w:tcPr>
          <w:p w14:paraId="2C773FA4" w14:textId="1E7F912E" w:rsidR="00EF6BE6" w:rsidRPr="00EF6BE6" w:rsidRDefault="007533B5" w:rsidP="00EF6BE6">
            <w:pPr>
              <w:spacing w:after="0" w:line="240" w:lineRule="auto"/>
              <w:jc w:val="center"/>
              <w:rPr>
                <w:rFonts w:ascii="Calibri" w:eastAsia="Times New Roman" w:hAnsi="Calibri" w:cs="Calibri"/>
                <w:b/>
                <w:bCs/>
                <w:color w:val="000000"/>
                <w:sz w:val="18"/>
                <w:szCs w:val="18"/>
                <w:lang w:eastAsia="hr-HR"/>
              </w:rPr>
            </w:pPr>
            <w:r>
              <w:rPr>
                <w:rFonts w:ascii="Calibri" w:eastAsia="Times New Roman" w:hAnsi="Calibri" w:cs="Calibri"/>
                <w:b/>
                <w:bCs/>
                <w:color w:val="000000"/>
                <w:sz w:val="18"/>
                <w:szCs w:val="18"/>
                <w:lang w:eastAsia="hr-HR"/>
              </w:rPr>
              <w:t>112,83</w:t>
            </w:r>
            <w:r w:rsidR="00EF6BE6" w:rsidRPr="00EF6BE6">
              <w:rPr>
                <w:rFonts w:ascii="Calibri" w:eastAsia="Times New Roman" w:hAnsi="Calibri" w:cs="Calibri"/>
                <w:b/>
                <w:bCs/>
                <w:color w:val="000000"/>
                <w:sz w:val="18"/>
                <w:szCs w:val="18"/>
                <w:lang w:eastAsia="hr-HR"/>
              </w:rPr>
              <w:t>%</w:t>
            </w:r>
          </w:p>
        </w:tc>
        <w:tc>
          <w:tcPr>
            <w:tcW w:w="846" w:type="dxa"/>
            <w:tcBorders>
              <w:top w:val="nil"/>
              <w:left w:val="nil"/>
              <w:bottom w:val="single" w:sz="4" w:space="0" w:color="auto"/>
              <w:right w:val="nil"/>
            </w:tcBorders>
            <w:shd w:val="clear" w:color="000000" w:fill="D0CECE"/>
            <w:noWrap/>
            <w:vAlign w:val="bottom"/>
            <w:hideMark/>
          </w:tcPr>
          <w:p w14:paraId="75D13F2E" w14:textId="2E0221B7" w:rsidR="00EF6BE6" w:rsidRPr="00EF6BE6" w:rsidRDefault="007533B5" w:rsidP="00EF6BE6">
            <w:pPr>
              <w:spacing w:after="0" w:line="240" w:lineRule="auto"/>
              <w:jc w:val="center"/>
              <w:rPr>
                <w:rFonts w:ascii="Calibri" w:eastAsia="Times New Roman" w:hAnsi="Calibri" w:cs="Calibri"/>
                <w:b/>
                <w:bCs/>
                <w:color w:val="000000"/>
                <w:sz w:val="18"/>
                <w:szCs w:val="18"/>
                <w:lang w:eastAsia="hr-HR"/>
              </w:rPr>
            </w:pPr>
            <w:r>
              <w:rPr>
                <w:rFonts w:ascii="Calibri" w:eastAsia="Times New Roman" w:hAnsi="Calibri" w:cs="Calibri"/>
                <w:b/>
                <w:bCs/>
                <w:color w:val="000000"/>
                <w:sz w:val="18"/>
                <w:szCs w:val="18"/>
                <w:lang w:eastAsia="hr-HR"/>
              </w:rPr>
              <w:t>94,32</w:t>
            </w:r>
            <w:r w:rsidR="00EF6BE6" w:rsidRPr="00EF6BE6">
              <w:rPr>
                <w:rFonts w:ascii="Calibri" w:eastAsia="Times New Roman" w:hAnsi="Calibri" w:cs="Calibri"/>
                <w:b/>
                <w:bCs/>
                <w:color w:val="000000"/>
                <w:sz w:val="18"/>
                <w:szCs w:val="18"/>
                <w:lang w:eastAsia="hr-HR"/>
              </w:rPr>
              <w:t>%</w:t>
            </w:r>
          </w:p>
        </w:tc>
      </w:tr>
    </w:tbl>
    <w:p w14:paraId="1DF2AC78" w14:textId="77777777" w:rsidR="00BA3DDB" w:rsidRDefault="00BA3DDB" w:rsidP="00E1496C">
      <w:pPr>
        <w:spacing w:after="0" w:line="240" w:lineRule="auto"/>
        <w:jc w:val="both"/>
        <w:rPr>
          <w:rFonts w:cstheme="minorHAnsi"/>
          <w:sz w:val="24"/>
          <w:szCs w:val="24"/>
        </w:rPr>
      </w:pPr>
    </w:p>
    <w:p w14:paraId="063DC5FD" w14:textId="77777777" w:rsidR="00BA3DDB" w:rsidRDefault="00BA3DDB" w:rsidP="00E1496C">
      <w:pPr>
        <w:spacing w:after="0" w:line="240" w:lineRule="auto"/>
        <w:jc w:val="both"/>
        <w:rPr>
          <w:rFonts w:cstheme="minorHAnsi"/>
          <w:sz w:val="24"/>
          <w:szCs w:val="24"/>
        </w:rPr>
      </w:pPr>
    </w:p>
    <w:p w14:paraId="4EF4D050" w14:textId="21D4669A" w:rsidR="001226B8" w:rsidRDefault="00B37009" w:rsidP="00E1496C">
      <w:pPr>
        <w:spacing w:after="0" w:line="240" w:lineRule="auto"/>
        <w:jc w:val="both"/>
        <w:rPr>
          <w:rFonts w:cstheme="minorHAnsi"/>
          <w:sz w:val="24"/>
          <w:szCs w:val="24"/>
        </w:rPr>
      </w:pPr>
      <w:r>
        <w:rPr>
          <w:rFonts w:cstheme="minorHAnsi"/>
          <w:sz w:val="24"/>
          <w:szCs w:val="24"/>
        </w:rPr>
        <w:t xml:space="preserve"> U strukturi ostvarenih prihoda i primitaka najveći udjel </w:t>
      </w:r>
      <w:r w:rsidR="00582AFB">
        <w:rPr>
          <w:rFonts w:cstheme="minorHAnsi"/>
          <w:sz w:val="24"/>
          <w:szCs w:val="24"/>
        </w:rPr>
        <w:t>imaju prihodi poslovanja s</w:t>
      </w:r>
      <w:r w:rsidR="003E551F">
        <w:rPr>
          <w:rFonts w:cstheme="minorHAnsi"/>
          <w:sz w:val="24"/>
          <w:szCs w:val="24"/>
        </w:rPr>
        <w:t>a skoro</w:t>
      </w:r>
      <w:r w:rsidR="00582AFB">
        <w:rPr>
          <w:rFonts w:cstheme="minorHAnsi"/>
          <w:sz w:val="24"/>
          <w:szCs w:val="24"/>
        </w:rPr>
        <w:t xml:space="preserve"> </w:t>
      </w:r>
      <w:r w:rsidR="003E551F">
        <w:rPr>
          <w:rFonts w:cstheme="minorHAnsi"/>
          <w:sz w:val="24"/>
          <w:szCs w:val="24"/>
        </w:rPr>
        <w:t>100,00</w:t>
      </w:r>
      <w:r w:rsidR="00582AFB">
        <w:rPr>
          <w:rFonts w:cstheme="minorHAnsi"/>
          <w:sz w:val="24"/>
          <w:szCs w:val="24"/>
        </w:rPr>
        <w:t>%.</w:t>
      </w:r>
      <w:r w:rsidR="00E1496C">
        <w:rPr>
          <w:rFonts w:cstheme="minorHAnsi"/>
          <w:sz w:val="24"/>
          <w:szCs w:val="24"/>
        </w:rPr>
        <w:t xml:space="preserve"> </w:t>
      </w:r>
      <w:r w:rsidR="001226B8">
        <w:rPr>
          <w:rFonts w:cstheme="minorHAnsi"/>
          <w:sz w:val="24"/>
          <w:szCs w:val="24"/>
        </w:rPr>
        <w:t xml:space="preserve">U odnosu na prethodnu godinu najviše su povećani prihodi od </w:t>
      </w:r>
      <w:r w:rsidR="007533B5">
        <w:rPr>
          <w:rFonts w:cstheme="minorHAnsi"/>
          <w:sz w:val="24"/>
          <w:szCs w:val="24"/>
        </w:rPr>
        <w:t>kazni, upravne mjere i ostali prihodi</w:t>
      </w:r>
      <w:r w:rsidR="001226B8">
        <w:rPr>
          <w:rFonts w:cstheme="minorHAnsi"/>
          <w:sz w:val="24"/>
          <w:szCs w:val="24"/>
        </w:rPr>
        <w:t xml:space="preserve">. Prihodi od prodaje nefinancijske imovine u </w:t>
      </w:r>
      <w:r w:rsidR="007D0806">
        <w:rPr>
          <w:rFonts w:cstheme="minorHAnsi"/>
          <w:sz w:val="24"/>
          <w:szCs w:val="24"/>
        </w:rPr>
        <w:t>izvještajnom razdoblju</w:t>
      </w:r>
      <w:r w:rsidR="001226B8">
        <w:rPr>
          <w:rFonts w:cstheme="minorHAnsi"/>
          <w:sz w:val="24"/>
          <w:szCs w:val="24"/>
        </w:rPr>
        <w:t xml:space="preserve"> 202</w:t>
      </w:r>
      <w:r w:rsidR="00A127D9">
        <w:rPr>
          <w:rFonts w:cstheme="minorHAnsi"/>
          <w:sz w:val="24"/>
          <w:szCs w:val="24"/>
        </w:rPr>
        <w:t>5</w:t>
      </w:r>
      <w:r w:rsidR="001226B8">
        <w:rPr>
          <w:rFonts w:cstheme="minorHAnsi"/>
          <w:sz w:val="24"/>
          <w:szCs w:val="24"/>
        </w:rPr>
        <w:t xml:space="preserve">.godine su realizirani u iznosu od </w:t>
      </w:r>
      <w:r w:rsidR="007533B5">
        <w:rPr>
          <w:rFonts w:cstheme="minorHAnsi"/>
          <w:sz w:val="24"/>
          <w:szCs w:val="24"/>
        </w:rPr>
        <w:t>11.114,76</w:t>
      </w:r>
      <w:r w:rsidR="003E551F">
        <w:rPr>
          <w:rFonts w:cstheme="minorHAnsi"/>
          <w:sz w:val="24"/>
          <w:szCs w:val="24"/>
        </w:rPr>
        <w:t xml:space="preserve"> </w:t>
      </w:r>
      <w:r w:rsidR="001226B8">
        <w:rPr>
          <w:rFonts w:cstheme="minorHAnsi"/>
          <w:sz w:val="24"/>
          <w:szCs w:val="24"/>
        </w:rPr>
        <w:t xml:space="preserve">eura ili značajnih </w:t>
      </w:r>
      <w:r w:rsidR="007533B5">
        <w:rPr>
          <w:rFonts w:cstheme="minorHAnsi"/>
          <w:sz w:val="24"/>
          <w:szCs w:val="24"/>
        </w:rPr>
        <w:t>748,57% više</w:t>
      </w:r>
      <w:r w:rsidR="001226B8">
        <w:rPr>
          <w:rFonts w:cstheme="minorHAnsi"/>
          <w:sz w:val="24"/>
          <w:szCs w:val="24"/>
        </w:rPr>
        <w:t xml:space="preserve"> u odnosu na i</w:t>
      </w:r>
      <w:r w:rsidR="00E1496C">
        <w:rPr>
          <w:rFonts w:cstheme="minorHAnsi"/>
          <w:sz w:val="24"/>
          <w:szCs w:val="24"/>
        </w:rPr>
        <w:t xml:space="preserve">sto razdoblje prethodne godine. </w:t>
      </w:r>
      <w:r w:rsidR="001226B8">
        <w:rPr>
          <w:rFonts w:cstheme="minorHAnsi"/>
          <w:sz w:val="24"/>
          <w:szCs w:val="24"/>
        </w:rPr>
        <w:t>U 202</w:t>
      </w:r>
      <w:r w:rsidR="00A127D9">
        <w:rPr>
          <w:rFonts w:cstheme="minorHAnsi"/>
          <w:sz w:val="24"/>
          <w:szCs w:val="24"/>
        </w:rPr>
        <w:t>5</w:t>
      </w:r>
      <w:r w:rsidR="001226B8">
        <w:rPr>
          <w:rFonts w:cstheme="minorHAnsi"/>
          <w:sz w:val="24"/>
          <w:szCs w:val="24"/>
        </w:rPr>
        <w:t xml:space="preserve">.godini </w:t>
      </w:r>
      <w:r w:rsidR="00A127D9">
        <w:rPr>
          <w:rFonts w:cstheme="minorHAnsi"/>
          <w:sz w:val="24"/>
          <w:szCs w:val="24"/>
        </w:rPr>
        <w:t xml:space="preserve">ostvareni su </w:t>
      </w:r>
      <w:r w:rsidR="001226B8">
        <w:rPr>
          <w:rFonts w:cstheme="minorHAnsi"/>
          <w:sz w:val="24"/>
          <w:szCs w:val="24"/>
        </w:rPr>
        <w:t>primi</w:t>
      </w:r>
      <w:r w:rsidR="00A127D9">
        <w:rPr>
          <w:rFonts w:cstheme="minorHAnsi"/>
          <w:sz w:val="24"/>
          <w:szCs w:val="24"/>
        </w:rPr>
        <w:t>ci</w:t>
      </w:r>
      <w:r w:rsidR="001226B8">
        <w:rPr>
          <w:rFonts w:cstheme="minorHAnsi"/>
          <w:sz w:val="24"/>
          <w:szCs w:val="24"/>
        </w:rPr>
        <w:t xml:space="preserve"> od financijske imovine i zaduživanja</w:t>
      </w:r>
      <w:r w:rsidR="00A127D9">
        <w:rPr>
          <w:rFonts w:cstheme="minorHAnsi"/>
          <w:sz w:val="24"/>
          <w:szCs w:val="24"/>
        </w:rPr>
        <w:t xml:space="preserve"> i to kod proračunskog korisnika JU Sportski objekti Trogir u iznosu od 150.000,00 eura</w:t>
      </w:r>
      <w:r w:rsidR="00A01E7B">
        <w:rPr>
          <w:rFonts w:cstheme="minorHAnsi"/>
          <w:sz w:val="24"/>
          <w:szCs w:val="24"/>
        </w:rPr>
        <w:t xml:space="preserve"> koji odgovara kreditu  koji je navedeni korisnik digao kod Erste banke za zamjenu travnjaka na nogometnom igralištu </w:t>
      </w:r>
      <w:proofErr w:type="spellStart"/>
      <w:r w:rsidR="00A01E7B">
        <w:rPr>
          <w:rFonts w:cstheme="minorHAnsi"/>
          <w:sz w:val="24"/>
          <w:szCs w:val="24"/>
        </w:rPr>
        <w:t>Batarija</w:t>
      </w:r>
      <w:proofErr w:type="spellEnd"/>
      <w:r w:rsidR="00A01E7B">
        <w:rPr>
          <w:rFonts w:cstheme="minorHAnsi"/>
          <w:sz w:val="24"/>
          <w:szCs w:val="24"/>
        </w:rPr>
        <w:t>.</w:t>
      </w:r>
    </w:p>
    <w:p w14:paraId="0B5D23D2" w14:textId="77777777" w:rsidR="00A127D9" w:rsidRDefault="00A127D9" w:rsidP="00B37009">
      <w:pPr>
        <w:spacing w:line="240" w:lineRule="auto"/>
        <w:jc w:val="both"/>
        <w:rPr>
          <w:rFonts w:cstheme="minorHAnsi"/>
          <w:b/>
          <w:sz w:val="24"/>
          <w:szCs w:val="24"/>
        </w:rPr>
      </w:pPr>
    </w:p>
    <w:p w14:paraId="10F3E43F" w14:textId="488E04DB" w:rsidR="00B37009" w:rsidRPr="0021585F" w:rsidRDefault="00B37009" w:rsidP="00B37009">
      <w:pPr>
        <w:spacing w:line="240" w:lineRule="auto"/>
        <w:jc w:val="both"/>
        <w:rPr>
          <w:rFonts w:cstheme="minorHAnsi"/>
          <w:b/>
          <w:sz w:val="24"/>
          <w:szCs w:val="24"/>
        </w:rPr>
      </w:pPr>
      <w:r w:rsidRPr="0021585F">
        <w:rPr>
          <w:rFonts w:cstheme="minorHAnsi"/>
          <w:b/>
          <w:sz w:val="24"/>
          <w:szCs w:val="24"/>
        </w:rPr>
        <w:t>1.1. PRIHODI POSLOVANJA</w:t>
      </w:r>
    </w:p>
    <w:p w14:paraId="7787F5D0" w14:textId="74A0CEB4" w:rsidR="00B37009" w:rsidRDefault="00B37009" w:rsidP="00B37009">
      <w:pPr>
        <w:spacing w:after="0" w:line="240" w:lineRule="auto"/>
        <w:jc w:val="both"/>
        <w:rPr>
          <w:rFonts w:eastAsia="Times New Roman" w:cstheme="minorHAnsi"/>
          <w:sz w:val="24"/>
          <w:szCs w:val="24"/>
          <w:lang w:eastAsia="hr-HR"/>
        </w:rPr>
      </w:pPr>
      <w:r w:rsidRPr="0021585F">
        <w:rPr>
          <w:rFonts w:cstheme="minorHAnsi"/>
          <w:sz w:val="24"/>
          <w:szCs w:val="24"/>
        </w:rPr>
        <w:t xml:space="preserve">Prihodi poslovanja planirani su u iznosu od </w:t>
      </w:r>
      <w:r w:rsidR="00E15030">
        <w:rPr>
          <w:rFonts w:cstheme="minorHAnsi"/>
          <w:b/>
          <w:sz w:val="24"/>
          <w:szCs w:val="24"/>
        </w:rPr>
        <w:t>20.790.572,16</w:t>
      </w:r>
      <w:r w:rsidR="00582AFB">
        <w:rPr>
          <w:rFonts w:cstheme="minorHAnsi"/>
          <w:b/>
          <w:sz w:val="24"/>
          <w:szCs w:val="24"/>
        </w:rPr>
        <w:t xml:space="preserve"> eura</w:t>
      </w:r>
      <w:r w:rsidRPr="0021585F">
        <w:rPr>
          <w:rFonts w:cstheme="minorHAnsi"/>
          <w:sz w:val="24"/>
          <w:szCs w:val="24"/>
        </w:rPr>
        <w:t xml:space="preserve">, a </w:t>
      </w:r>
      <w:r w:rsidR="00582AFB">
        <w:rPr>
          <w:rFonts w:cstheme="minorHAnsi"/>
          <w:sz w:val="24"/>
          <w:szCs w:val="24"/>
        </w:rPr>
        <w:t xml:space="preserve">u </w:t>
      </w:r>
      <w:r w:rsidR="00E040DE">
        <w:rPr>
          <w:rFonts w:cstheme="minorHAnsi"/>
          <w:sz w:val="24"/>
          <w:szCs w:val="24"/>
        </w:rPr>
        <w:t xml:space="preserve">izvještajnom razdoblju </w:t>
      </w:r>
      <w:r w:rsidR="00582AFB">
        <w:rPr>
          <w:rFonts w:cstheme="minorHAnsi"/>
          <w:sz w:val="24"/>
          <w:szCs w:val="24"/>
        </w:rPr>
        <w:t>202</w:t>
      </w:r>
      <w:r w:rsidR="00E15030">
        <w:rPr>
          <w:rFonts w:cstheme="minorHAnsi"/>
          <w:sz w:val="24"/>
          <w:szCs w:val="24"/>
        </w:rPr>
        <w:t>5</w:t>
      </w:r>
      <w:r w:rsidRPr="0021585F">
        <w:rPr>
          <w:rFonts w:cstheme="minorHAnsi"/>
          <w:sz w:val="24"/>
          <w:szCs w:val="24"/>
        </w:rPr>
        <w:t xml:space="preserve">. godine ostvareni su u iznosu od </w:t>
      </w:r>
      <w:r w:rsidR="00E15030">
        <w:rPr>
          <w:rFonts w:cstheme="minorHAnsi"/>
          <w:b/>
          <w:sz w:val="24"/>
          <w:szCs w:val="24"/>
        </w:rPr>
        <w:t>19.626.207,06</w:t>
      </w:r>
      <w:r w:rsidR="00582AFB">
        <w:rPr>
          <w:rFonts w:cstheme="minorHAnsi"/>
          <w:b/>
          <w:sz w:val="24"/>
          <w:szCs w:val="24"/>
        </w:rPr>
        <w:t xml:space="preserve"> eura</w:t>
      </w:r>
      <w:r w:rsidRPr="0021585F">
        <w:rPr>
          <w:rFonts w:cstheme="minorHAnsi"/>
          <w:sz w:val="24"/>
          <w:szCs w:val="24"/>
        </w:rPr>
        <w:t xml:space="preserve"> što je </w:t>
      </w:r>
      <w:r w:rsidR="00E15030">
        <w:rPr>
          <w:rFonts w:cstheme="minorHAnsi"/>
          <w:sz w:val="24"/>
          <w:szCs w:val="24"/>
        </w:rPr>
        <w:t>94,40</w:t>
      </w:r>
      <w:r>
        <w:rPr>
          <w:rFonts w:cstheme="minorHAnsi"/>
          <w:sz w:val="24"/>
          <w:szCs w:val="24"/>
        </w:rPr>
        <w:t xml:space="preserve">% </w:t>
      </w:r>
      <w:r w:rsidRPr="0021585F">
        <w:rPr>
          <w:rFonts w:cstheme="minorHAnsi"/>
          <w:sz w:val="24"/>
          <w:szCs w:val="24"/>
        </w:rPr>
        <w:t xml:space="preserve">godišnjeg plana te za </w:t>
      </w:r>
      <w:r w:rsidR="00E15030">
        <w:rPr>
          <w:rFonts w:cstheme="minorHAnsi"/>
          <w:sz w:val="24"/>
          <w:szCs w:val="24"/>
        </w:rPr>
        <w:t>11,92</w:t>
      </w:r>
      <w:r>
        <w:rPr>
          <w:rFonts w:cstheme="minorHAnsi"/>
          <w:sz w:val="24"/>
          <w:szCs w:val="24"/>
        </w:rPr>
        <w:t>% više</w:t>
      </w:r>
      <w:r w:rsidRPr="0021585F">
        <w:rPr>
          <w:rFonts w:cstheme="minorHAnsi"/>
          <w:sz w:val="24"/>
          <w:szCs w:val="24"/>
        </w:rPr>
        <w:t xml:space="preserve"> u odnosu na ost</w:t>
      </w:r>
      <w:r w:rsidR="00582AFB">
        <w:rPr>
          <w:rFonts w:cstheme="minorHAnsi"/>
          <w:sz w:val="24"/>
          <w:szCs w:val="24"/>
        </w:rPr>
        <w:t>varenje 202</w:t>
      </w:r>
      <w:r w:rsidR="00E15030">
        <w:rPr>
          <w:rFonts w:cstheme="minorHAnsi"/>
          <w:sz w:val="24"/>
          <w:szCs w:val="24"/>
        </w:rPr>
        <w:t>4</w:t>
      </w:r>
      <w:r w:rsidRPr="0021585F">
        <w:rPr>
          <w:rFonts w:cstheme="minorHAnsi"/>
          <w:sz w:val="24"/>
          <w:szCs w:val="24"/>
        </w:rPr>
        <w:t>. godine</w:t>
      </w:r>
      <w:r w:rsidR="00C56FE3">
        <w:rPr>
          <w:rFonts w:cstheme="minorHAnsi"/>
          <w:sz w:val="24"/>
          <w:szCs w:val="24"/>
        </w:rPr>
        <w:t xml:space="preserve">, a bolje ostvarenje se najvećim dijelom odnosi na prihode od poreza i prihode od imovine, koji su ujedno vrijednosno najznačajniji prihodi unutar skupine prihoda poslovanja. </w:t>
      </w:r>
    </w:p>
    <w:p w14:paraId="60DCE31C" w14:textId="175E04D5" w:rsidR="00C56FE3" w:rsidRDefault="00B37009" w:rsidP="00B37009">
      <w:pPr>
        <w:jc w:val="both"/>
        <w:rPr>
          <w:rFonts w:ascii="Calibri" w:hAnsi="Calibri" w:cs="Calibri"/>
          <w:sz w:val="24"/>
          <w:szCs w:val="24"/>
        </w:rPr>
      </w:pPr>
      <w:r w:rsidRPr="00685B63">
        <w:rPr>
          <w:rFonts w:ascii="Calibri" w:hAnsi="Calibri" w:cs="Calibri"/>
          <w:sz w:val="24"/>
          <w:szCs w:val="24"/>
        </w:rPr>
        <w:lastRenderedPageBreak/>
        <w:t xml:space="preserve">Grad Trogir je ostvario </w:t>
      </w:r>
      <w:r w:rsidR="00E15030">
        <w:rPr>
          <w:rFonts w:ascii="Calibri" w:hAnsi="Calibri" w:cs="Calibri"/>
          <w:sz w:val="24"/>
          <w:szCs w:val="24"/>
        </w:rPr>
        <w:t>19.137.869,80</w:t>
      </w:r>
      <w:r w:rsidR="00582AFB">
        <w:rPr>
          <w:rFonts w:ascii="Calibri" w:hAnsi="Calibri" w:cs="Calibri"/>
          <w:sz w:val="24"/>
          <w:szCs w:val="24"/>
        </w:rPr>
        <w:t xml:space="preserve"> eura</w:t>
      </w:r>
      <w:r w:rsidRPr="00685B63">
        <w:rPr>
          <w:rFonts w:ascii="Calibri" w:hAnsi="Calibri" w:cs="Calibri"/>
          <w:sz w:val="24"/>
          <w:szCs w:val="24"/>
        </w:rPr>
        <w:t xml:space="preserve"> ili </w:t>
      </w:r>
      <w:r w:rsidR="00E15030">
        <w:rPr>
          <w:rFonts w:ascii="Calibri" w:hAnsi="Calibri" w:cs="Calibri"/>
          <w:sz w:val="24"/>
          <w:szCs w:val="24"/>
        </w:rPr>
        <w:t>12,3</w:t>
      </w:r>
      <w:r w:rsidRPr="00685B63">
        <w:rPr>
          <w:rFonts w:ascii="Calibri" w:hAnsi="Calibri" w:cs="Calibri"/>
          <w:sz w:val="24"/>
          <w:szCs w:val="24"/>
        </w:rPr>
        <w:t xml:space="preserve">% više u odnosu na </w:t>
      </w:r>
      <w:r>
        <w:rPr>
          <w:rFonts w:ascii="Calibri" w:hAnsi="Calibri" w:cs="Calibri"/>
          <w:sz w:val="24"/>
          <w:szCs w:val="24"/>
        </w:rPr>
        <w:t>isto razdoblje prethodne</w:t>
      </w:r>
      <w:r w:rsidR="00582AFB">
        <w:rPr>
          <w:rFonts w:ascii="Calibri" w:hAnsi="Calibri" w:cs="Calibri"/>
          <w:sz w:val="24"/>
          <w:szCs w:val="24"/>
        </w:rPr>
        <w:t xml:space="preserve"> 202</w:t>
      </w:r>
      <w:r w:rsidR="00E15030">
        <w:rPr>
          <w:rFonts w:ascii="Calibri" w:hAnsi="Calibri" w:cs="Calibri"/>
          <w:sz w:val="24"/>
          <w:szCs w:val="24"/>
        </w:rPr>
        <w:t>4</w:t>
      </w:r>
      <w:r w:rsidRPr="00685B63">
        <w:rPr>
          <w:rFonts w:ascii="Calibri" w:hAnsi="Calibri" w:cs="Calibri"/>
          <w:sz w:val="24"/>
          <w:szCs w:val="24"/>
        </w:rPr>
        <w:t>.</w:t>
      </w:r>
      <w:r>
        <w:rPr>
          <w:rFonts w:ascii="Calibri" w:hAnsi="Calibri" w:cs="Calibri"/>
          <w:sz w:val="24"/>
          <w:szCs w:val="24"/>
        </w:rPr>
        <w:t xml:space="preserve"> godine</w:t>
      </w:r>
      <w:r w:rsidRPr="00685B63">
        <w:rPr>
          <w:rFonts w:ascii="Calibri" w:hAnsi="Calibri" w:cs="Calibri"/>
          <w:sz w:val="24"/>
          <w:szCs w:val="24"/>
        </w:rPr>
        <w:t xml:space="preserve">, dok su proračunski korisnici ostvarili prihoda poslovanja u iznosu od </w:t>
      </w:r>
      <w:r w:rsidR="00E15030">
        <w:rPr>
          <w:rFonts w:ascii="Calibri" w:hAnsi="Calibri" w:cs="Calibri"/>
          <w:sz w:val="24"/>
          <w:szCs w:val="24"/>
        </w:rPr>
        <w:t>488.337,26</w:t>
      </w:r>
      <w:r w:rsidR="00582AFB">
        <w:rPr>
          <w:rFonts w:ascii="Calibri" w:hAnsi="Calibri" w:cs="Calibri"/>
          <w:sz w:val="24"/>
          <w:szCs w:val="24"/>
        </w:rPr>
        <w:t xml:space="preserve"> eura što je </w:t>
      </w:r>
      <w:r w:rsidR="00E15030">
        <w:rPr>
          <w:rFonts w:ascii="Calibri" w:hAnsi="Calibri" w:cs="Calibri"/>
          <w:sz w:val="24"/>
          <w:szCs w:val="24"/>
        </w:rPr>
        <w:t>2,26</w:t>
      </w:r>
      <w:r w:rsidR="00582AFB">
        <w:rPr>
          <w:rFonts w:ascii="Calibri" w:hAnsi="Calibri" w:cs="Calibri"/>
          <w:sz w:val="24"/>
          <w:szCs w:val="24"/>
        </w:rPr>
        <w:t xml:space="preserve">% </w:t>
      </w:r>
      <w:r w:rsidR="00667EA0">
        <w:rPr>
          <w:rFonts w:ascii="Calibri" w:hAnsi="Calibri" w:cs="Calibri"/>
          <w:sz w:val="24"/>
          <w:szCs w:val="24"/>
        </w:rPr>
        <w:t>manje</w:t>
      </w:r>
      <w:r w:rsidR="00582AFB">
        <w:rPr>
          <w:rFonts w:ascii="Calibri" w:hAnsi="Calibri" w:cs="Calibri"/>
          <w:sz w:val="24"/>
          <w:szCs w:val="24"/>
        </w:rPr>
        <w:t xml:space="preserve"> u odnosu na ostvarenje 202</w:t>
      </w:r>
      <w:r w:rsidR="00E15030">
        <w:rPr>
          <w:rFonts w:ascii="Calibri" w:hAnsi="Calibri" w:cs="Calibri"/>
          <w:sz w:val="24"/>
          <w:szCs w:val="24"/>
        </w:rPr>
        <w:t>4</w:t>
      </w:r>
      <w:r w:rsidRPr="00685B63">
        <w:rPr>
          <w:rFonts w:ascii="Calibri" w:hAnsi="Calibri" w:cs="Calibri"/>
          <w:sz w:val="24"/>
          <w:szCs w:val="24"/>
        </w:rPr>
        <w:t>. godine kad je iznosilo</w:t>
      </w:r>
      <w:r w:rsidR="00582AFB">
        <w:rPr>
          <w:rFonts w:ascii="Calibri" w:hAnsi="Calibri" w:cs="Calibri"/>
          <w:sz w:val="24"/>
          <w:szCs w:val="24"/>
        </w:rPr>
        <w:t xml:space="preserve"> </w:t>
      </w:r>
      <w:r w:rsidR="00E15030">
        <w:rPr>
          <w:rFonts w:ascii="Calibri" w:hAnsi="Calibri" w:cs="Calibri"/>
          <w:sz w:val="24"/>
          <w:szCs w:val="24"/>
        </w:rPr>
        <w:t>499.646,20</w:t>
      </w:r>
      <w:r w:rsidR="00582AFB">
        <w:rPr>
          <w:rFonts w:ascii="Calibri" w:hAnsi="Calibri" w:cs="Calibri"/>
          <w:sz w:val="24"/>
          <w:szCs w:val="24"/>
        </w:rPr>
        <w:t xml:space="preserve"> eura</w:t>
      </w:r>
      <w:r w:rsidRPr="00685B63">
        <w:rPr>
          <w:rFonts w:ascii="Calibri" w:hAnsi="Calibri" w:cs="Calibri"/>
          <w:sz w:val="24"/>
          <w:szCs w:val="24"/>
        </w:rPr>
        <w:t>.</w:t>
      </w:r>
    </w:p>
    <w:p w14:paraId="006661D8" w14:textId="576E2F4C" w:rsidR="00667EA0" w:rsidRPr="00C56FE3" w:rsidRDefault="00B37009" w:rsidP="00B37009">
      <w:pPr>
        <w:jc w:val="both"/>
        <w:rPr>
          <w:rFonts w:ascii="Calibri" w:hAnsi="Calibri" w:cs="Calibri"/>
          <w:sz w:val="24"/>
          <w:szCs w:val="24"/>
        </w:rPr>
      </w:pPr>
      <w:r w:rsidRPr="0021585F">
        <w:rPr>
          <w:rFonts w:cstheme="minorHAnsi"/>
          <w:sz w:val="24"/>
          <w:szCs w:val="24"/>
        </w:rPr>
        <w:t>U</w:t>
      </w:r>
      <w:r w:rsidR="00E1496C">
        <w:rPr>
          <w:rFonts w:cstheme="minorHAnsi"/>
          <w:sz w:val="24"/>
          <w:szCs w:val="24"/>
        </w:rPr>
        <w:t xml:space="preserve"> </w:t>
      </w:r>
      <w:r w:rsidR="00E040DE">
        <w:rPr>
          <w:rFonts w:cstheme="minorHAnsi"/>
          <w:sz w:val="24"/>
          <w:szCs w:val="24"/>
        </w:rPr>
        <w:t xml:space="preserve">izvještajnom </w:t>
      </w:r>
      <w:r w:rsidR="00E1496C">
        <w:rPr>
          <w:rFonts w:cstheme="minorHAnsi"/>
          <w:sz w:val="24"/>
          <w:szCs w:val="24"/>
        </w:rPr>
        <w:t>razdoblju 202</w:t>
      </w:r>
      <w:r w:rsidR="00E15030">
        <w:rPr>
          <w:rFonts w:cstheme="minorHAnsi"/>
          <w:sz w:val="24"/>
          <w:szCs w:val="24"/>
        </w:rPr>
        <w:t>5</w:t>
      </w:r>
      <w:r w:rsidR="00E1496C">
        <w:rPr>
          <w:rFonts w:cstheme="minorHAnsi"/>
          <w:sz w:val="24"/>
          <w:szCs w:val="24"/>
        </w:rPr>
        <w:t xml:space="preserve">.godine pojedine vrste prihoda poslovanja </w:t>
      </w:r>
      <w:r w:rsidRPr="0021585F">
        <w:rPr>
          <w:rFonts w:cstheme="minorHAnsi"/>
          <w:sz w:val="24"/>
          <w:szCs w:val="24"/>
        </w:rPr>
        <w:t>ostvarene su kako slijedi:</w:t>
      </w:r>
      <w:r>
        <w:rPr>
          <w:rFonts w:cstheme="minorHAnsi"/>
          <w:sz w:val="24"/>
          <w:szCs w:val="24"/>
        </w:rPr>
        <w:t xml:space="preserve"> </w:t>
      </w:r>
    </w:p>
    <w:p w14:paraId="236A9A33" w14:textId="682811E5" w:rsidR="000C7581" w:rsidRDefault="00B37009">
      <w:pPr>
        <w:pStyle w:val="Odlomakpopisa"/>
        <w:numPr>
          <w:ilvl w:val="2"/>
          <w:numId w:val="19"/>
        </w:numPr>
        <w:spacing w:after="0" w:line="240" w:lineRule="auto"/>
        <w:jc w:val="both"/>
        <w:rPr>
          <w:rFonts w:cstheme="minorHAnsi"/>
          <w:b/>
          <w:sz w:val="24"/>
          <w:szCs w:val="24"/>
        </w:rPr>
      </w:pPr>
      <w:r w:rsidRPr="00DF4C68">
        <w:rPr>
          <w:rFonts w:cstheme="minorHAnsi"/>
          <w:b/>
          <w:sz w:val="24"/>
          <w:szCs w:val="24"/>
        </w:rPr>
        <w:t xml:space="preserve">Prihodi od poreza </w:t>
      </w:r>
    </w:p>
    <w:p w14:paraId="5CC665C3" w14:textId="0324CD03" w:rsidR="005A79F3" w:rsidRDefault="00B37009" w:rsidP="005A79F3">
      <w:pPr>
        <w:spacing w:after="0" w:line="240" w:lineRule="auto"/>
        <w:jc w:val="both"/>
        <w:rPr>
          <w:rFonts w:ascii="Calibri" w:hAnsi="Calibri" w:cs="Calibri"/>
        </w:rPr>
      </w:pPr>
      <w:r w:rsidRPr="007B58F0">
        <w:rPr>
          <w:rFonts w:cstheme="minorHAnsi"/>
          <w:sz w:val="24"/>
          <w:szCs w:val="24"/>
        </w:rPr>
        <w:t>Prihodi od poreza po ostvarenju predstavljaju</w:t>
      </w:r>
      <w:r>
        <w:rPr>
          <w:rFonts w:cstheme="minorHAnsi"/>
          <w:sz w:val="24"/>
          <w:szCs w:val="24"/>
        </w:rPr>
        <w:t xml:space="preserve"> najznačajniju kategoriju prihoda.</w:t>
      </w:r>
      <w:r w:rsidRPr="007B58F0">
        <w:rPr>
          <w:rFonts w:cstheme="minorHAnsi"/>
          <w:sz w:val="24"/>
          <w:szCs w:val="24"/>
        </w:rPr>
        <w:t xml:space="preserve"> Planirani su u iznosu od </w:t>
      </w:r>
      <w:r w:rsidR="00E15030">
        <w:rPr>
          <w:rFonts w:cstheme="minorHAnsi"/>
          <w:sz w:val="24"/>
          <w:szCs w:val="24"/>
        </w:rPr>
        <w:t>8.785.964,60</w:t>
      </w:r>
      <w:r w:rsidR="00AA28FB">
        <w:rPr>
          <w:rFonts w:cstheme="minorHAnsi"/>
          <w:sz w:val="24"/>
          <w:szCs w:val="24"/>
        </w:rPr>
        <w:t xml:space="preserve"> eura, </w:t>
      </w:r>
      <w:r w:rsidRPr="007B58F0">
        <w:rPr>
          <w:rFonts w:cstheme="minorHAnsi"/>
          <w:sz w:val="24"/>
          <w:szCs w:val="24"/>
        </w:rPr>
        <w:t xml:space="preserve">a  ostvareni u iznosu od </w:t>
      </w:r>
      <w:r w:rsidR="00E15030">
        <w:rPr>
          <w:rFonts w:cstheme="minorHAnsi"/>
          <w:sz w:val="24"/>
          <w:szCs w:val="24"/>
        </w:rPr>
        <w:t>9.176.819,72</w:t>
      </w:r>
      <w:r w:rsidR="00AA28FB">
        <w:rPr>
          <w:rFonts w:cstheme="minorHAnsi"/>
          <w:sz w:val="24"/>
          <w:szCs w:val="24"/>
        </w:rPr>
        <w:t xml:space="preserve"> eura</w:t>
      </w:r>
      <w:r w:rsidRPr="007B58F0">
        <w:rPr>
          <w:rFonts w:cstheme="minorHAnsi"/>
          <w:sz w:val="24"/>
          <w:szCs w:val="24"/>
        </w:rPr>
        <w:t xml:space="preserve">, odnosno </w:t>
      </w:r>
      <w:r w:rsidR="00E15030">
        <w:rPr>
          <w:rFonts w:cstheme="minorHAnsi"/>
          <w:sz w:val="24"/>
          <w:szCs w:val="24"/>
        </w:rPr>
        <w:t>104,45</w:t>
      </w:r>
      <w:r w:rsidRPr="007B58F0">
        <w:rPr>
          <w:rFonts w:cstheme="minorHAnsi"/>
          <w:sz w:val="24"/>
          <w:szCs w:val="24"/>
        </w:rPr>
        <w:t>% godišn</w:t>
      </w:r>
      <w:r>
        <w:rPr>
          <w:rFonts w:cstheme="minorHAnsi"/>
          <w:sz w:val="24"/>
          <w:szCs w:val="24"/>
        </w:rPr>
        <w:t xml:space="preserve">jeg plana te za </w:t>
      </w:r>
      <w:r w:rsidR="00E15030">
        <w:rPr>
          <w:rFonts w:cstheme="minorHAnsi"/>
          <w:sz w:val="24"/>
          <w:szCs w:val="24"/>
        </w:rPr>
        <w:t>9,48</w:t>
      </w:r>
      <w:r>
        <w:rPr>
          <w:rFonts w:cstheme="minorHAnsi"/>
          <w:sz w:val="24"/>
          <w:szCs w:val="24"/>
        </w:rPr>
        <w:t>% više</w:t>
      </w:r>
      <w:r w:rsidRPr="007B58F0">
        <w:rPr>
          <w:rFonts w:cstheme="minorHAnsi"/>
          <w:sz w:val="24"/>
          <w:szCs w:val="24"/>
        </w:rPr>
        <w:t xml:space="preserve"> u</w:t>
      </w:r>
      <w:r>
        <w:rPr>
          <w:rFonts w:cstheme="minorHAnsi"/>
          <w:sz w:val="24"/>
          <w:szCs w:val="24"/>
        </w:rPr>
        <w:t xml:space="preserve"> odnosu </w:t>
      </w:r>
      <w:r w:rsidR="00DF4C68">
        <w:rPr>
          <w:rFonts w:cstheme="minorHAnsi"/>
          <w:sz w:val="24"/>
          <w:szCs w:val="24"/>
        </w:rPr>
        <w:t>na ostvarenje prethodne godine.</w:t>
      </w:r>
      <w:r w:rsidR="00A15AB0">
        <w:rPr>
          <w:rFonts w:cstheme="minorHAnsi"/>
          <w:sz w:val="24"/>
          <w:szCs w:val="24"/>
        </w:rPr>
        <w:t xml:space="preserve"> Na veće ostvarenje u 202</w:t>
      </w:r>
      <w:r w:rsidR="00D20B1C">
        <w:rPr>
          <w:rFonts w:cstheme="minorHAnsi"/>
          <w:sz w:val="24"/>
          <w:szCs w:val="24"/>
        </w:rPr>
        <w:t>5</w:t>
      </w:r>
      <w:r w:rsidR="00A15AB0">
        <w:rPr>
          <w:rFonts w:cstheme="minorHAnsi"/>
          <w:sz w:val="24"/>
          <w:szCs w:val="24"/>
        </w:rPr>
        <w:t>.godini u najvećoj mjeri utječe ostvarenje prihoda od poreza na dohodak.</w:t>
      </w:r>
    </w:p>
    <w:p w14:paraId="6C87F93C" w14:textId="37373A5A" w:rsidR="00DF4C68" w:rsidRDefault="00DF4C68" w:rsidP="005A79F3">
      <w:pPr>
        <w:spacing w:after="0" w:line="240" w:lineRule="auto"/>
        <w:jc w:val="both"/>
        <w:rPr>
          <w:rFonts w:ascii="Calibri" w:hAnsi="Calibri" w:cs="Calibri"/>
          <w:sz w:val="24"/>
          <w:szCs w:val="24"/>
        </w:rPr>
      </w:pPr>
      <w:r w:rsidRPr="00996498">
        <w:rPr>
          <w:rFonts w:ascii="Calibri" w:hAnsi="Calibri" w:cs="Calibri"/>
          <w:sz w:val="24"/>
          <w:szCs w:val="24"/>
        </w:rPr>
        <w:t>Porez na dohodak je zajednički porez koji se dijeli između općina, gradova i županija i vrijednosno je najznačajniji unutar poreznih prihoda.</w:t>
      </w:r>
    </w:p>
    <w:p w14:paraId="7B15B4F7" w14:textId="77777777" w:rsidR="00D20B1C" w:rsidRDefault="00D20B1C" w:rsidP="005A79F3">
      <w:pPr>
        <w:spacing w:after="0" w:line="240" w:lineRule="auto"/>
        <w:jc w:val="both"/>
        <w:rPr>
          <w:rFonts w:ascii="Calibri" w:hAnsi="Calibri" w:cs="Calibri"/>
          <w:sz w:val="24"/>
          <w:szCs w:val="24"/>
        </w:rPr>
      </w:pPr>
    </w:p>
    <w:p w14:paraId="382F3440" w14:textId="6CEE64FB" w:rsidR="00292738" w:rsidRPr="00976FD7" w:rsidRDefault="00A15AB0" w:rsidP="00292738">
      <w:pPr>
        <w:spacing w:after="0" w:line="240" w:lineRule="auto"/>
        <w:jc w:val="both"/>
        <w:rPr>
          <w:sz w:val="24"/>
          <w:szCs w:val="24"/>
        </w:rPr>
      </w:pPr>
      <w:r w:rsidRPr="00976FD7">
        <w:rPr>
          <w:rFonts w:cstheme="minorHAnsi"/>
          <w:sz w:val="24"/>
          <w:szCs w:val="24"/>
        </w:rPr>
        <w:t>P</w:t>
      </w:r>
      <w:r w:rsidR="00DA5CCC" w:rsidRPr="00976FD7">
        <w:rPr>
          <w:rFonts w:cstheme="minorHAnsi"/>
          <w:sz w:val="24"/>
          <w:szCs w:val="24"/>
        </w:rPr>
        <w:t xml:space="preserve">rihod od </w:t>
      </w:r>
      <w:r w:rsidR="00DA5CCC" w:rsidRPr="00976FD7">
        <w:rPr>
          <w:rFonts w:cstheme="minorHAnsi"/>
          <w:sz w:val="24"/>
          <w:szCs w:val="24"/>
          <w:u w:val="single"/>
        </w:rPr>
        <w:t>poreza na dohodak</w:t>
      </w:r>
      <w:r w:rsidR="00DA5CCC" w:rsidRPr="00976FD7">
        <w:rPr>
          <w:rFonts w:cstheme="minorHAnsi"/>
          <w:sz w:val="24"/>
          <w:szCs w:val="24"/>
        </w:rPr>
        <w:t xml:space="preserve"> </w:t>
      </w:r>
      <w:r w:rsidR="00F61206" w:rsidRPr="00976FD7">
        <w:rPr>
          <w:rFonts w:cstheme="minorHAnsi"/>
          <w:sz w:val="24"/>
          <w:szCs w:val="24"/>
        </w:rPr>
        <w:t>u 202</w:t>
      </w:r>
      <w:r w:rsidR="00D20B1C" w:rsidRPr="00976FD7">
        <w:rPr>
          <w:rFonts w:cstheme="minorHAnsi"/>
          <w:sz w:val="24"/>
          <w:szCs w:val="24"/>
        </w:rPr>
        <w:t>5</w:t>
      </w:r>
      <w:r w:rsidR="00F61206" w:rsidRPr="00976FD7">
        <w:rPr>
          <w:rFonts w:cstheme="minorHAnsi"/>
          <w:sz w:val="24"/>
          <w:szCs w:val="24"/>
        </w:rPr>
        <w:t xml:space="preserve">.godini je planiran u iznosu od </w:t>
      </w:r>
      <w:r w:rsidR="00BF0ECB" w:rsidRPr="00976FD7">
        <w:rPr>
          <w:rFonts w:cstheme="minorHAnsi"/>
          <w:sz w:val="24"/>
          <w:szCs w:val="24"/>
        </w:rPr>
        <w:t>7.430.000,00</w:t>
      </w:r>
      <w:r w:rsidR="00F61206" w:rsidRPr="00976FD7">
        <w:rPr>
          <w:rFonts w:cstheme="minorHAnsi"/>
          <w:sz w:val="24"/>
          <w:szCs w:val="24"/>
        </w:rPr>
        <w:t xml:space="preserve"> eura, a</w:t>
      </w:r>
      <w:r w:rsidR="00DA5CCC" w:rsidRPr="00976FD7">
        <w:rPr>
          <w:rFonts w:cstheme="minorHAnsi"/>
          <w:sz w:val="24"/>
          <w:szCs w:val="24"/>
        </w:rPr>
        <w:t xml:space="preserve"> ostvaren u iznosu od </w:t>
      </w:r>
      <w:r w:rsidR="00D20B1C" w:rsidRPr="00976FD7">
        <w:rPr>
          <w:rFonts w:cstheme="minorHAnsi"/>
          <w:sz w:val="24"/>
          <w:szCs w:val="24"/>
        </w:rPr>
        <w:t>7.876.746,48</w:t>
      </w:r>
      <w:r w:rsidR="00DA5CCC" w:rsidRPr="00976FD7">
        <w:rPr>
          <w:rFonts w:cstheme="minorHAnsi"/>
          <w:sz w:val="24"/>
          <w:szCs w:val="24"/>
        </w:rPr>
        <w:t xml:space="preserve"> eura. U odnosu na ostvarenje prihoda od poreza na dohodak u izvještajnom razdoblju 202</w:t>
      </w:r>
      <w:r w:rsidR="00D20B1C" w:rsidRPr="00976FD7">
        <w:rPr>
          <w:rFonts w:cstheme="minorHAnsi"/>
          <w:sz w:val="24"/>
          <w:szCs w:val="24"/>
        </w:rPr>
        <w:t>4</w:t>
      </w:r>
      <w:r w:rsidR="00DA5CCC" w:rsidRPr="00976FD7">
        <w:rPr>
          <w:rFonts w:cstheme="minorHAnsi"/>
          <w:sz w:val="24"/>
          <w:szCs w:val="24"/>
        </w:rPr>
        <w:t xml:space="preserve">. godine, veći su za </w:t>
      </w:r>
      <w:r w:rsidR="00292738" w:rsidRPr="00976FD7">
        <w:rPr>
          <w:rFonts w:cstheme="minorHAnsi"/>
          <w:sz w:val="24"/>
          <w:szCs w:val="24"/>
        </w:rPr>
        <w:t xml:space="preserve">značajnih </w:t>
      </w:r>
      <w:r w:rsidR="00D20B1C" w:rsidRPr="00976FD7">
        <w:rPr>
          <w:rFonts w:cstheme="minorHAnsi"/>
          <w:sz w:val="24"/>
          <w:szCs w:val="24"/>
        </w:rPr>
        <w:t>15,38</w:t>
      </w:r>
      <w:r w:rsidR="00DA5CCC" w:rsidRPr="00976FD7">
        <w:rPr>
          <w:rFonts w:cstheme="minorHAnsi"/>
          <w:sz w:val="24"/>
          <w:szCs w:val="24"/>
        </w:rPr>
        <w:t>%</w:t>
      </w:r>
      <w:r w:rsidR="00F61206" w:rsidRPr="00976FD7">
        <w:rPr>
          <w:rFonts w:cstheme="minorHAnsi"/>
          <w:sz w:val="24"/>
          <w:szCs w:val="24"/>
        </w:rPr>
        <w:t>, na što utječe rast zaposlenosti i rast plaća koje su brojni poslodavci povećali u skladu s povećanjem troškova života.</w:t>
      </w:r>
      <w:r w:rsidR="00292738" w:rsidRPr="00976FD7">
        <w:rPr>
          <w:rFonts w:cstheme="minorHAnsi"/>
          <w:sz w:val="24"/>
          <w:szCs w:val="24"/>
        </w:rPr>
        <w:t xml:space="preserve"> Unutar ove vrste prihoda, najveći je porez na dohodak od nesamostalnog rada koji bilježi ostvarenje 6.269.412,96 eura ili za 8,39% više u odnosu  na prethodno razdoblje, od kojeg iznosa je bitno spomenuti dio od 105.020,66 eura </w:t>
      </w:r>
      <w:r w:rsidR="00292738" w:rsidRPr="00976FD7">
        <w:rPr>
          <w:rFonts w:ascii="Calibri" w:hAnsi="Calibri" w:cs="Calibri"/>
          <w:sz w:val="24"/>
          <w:szCs w:val="24"/>
        </w:rPr>
        <w:t>koji se odnosi na ustupljeni dio za vatrogasne postrojbe u iznosu od 1% ostvarenih prihoda iz dodatnog udjela poreza na dohodak za decentralizirane funkcije, a sukladno Odluci o minimalnim financijskim standardima za obavljanje djelatnosti javnih vatrogasnih postrojbi u 2025.godini, a sve u vezi financiranja Javno vatrogasne postrojbe Grada Trogira.</w:t>
      </w:r>
      <w:r w:rsidR="00292738" w:rsidRPr="00976FD7">
        <w:rPr>
          <w:rFonts w:ascii="Calibri" w:hAnsi="Calibri" w:cs="Calibri"/>
        </w:rPr>
        <w:t xml:space="preserve"> </w:t>
      </w:r>
    </w:p>
    <w:p w14:paraId="3E0A59A4" w14:textId="5DAC5A07" w:rsidR="00D77233" w:rsidRPr="00976FD7" w:rsidRDefault="00EA6711" w:rsidP="00D77233">
      <w:pPr>
        <w:spacing w:after="0" w:line="240" w:lineRule="auto"/>
        <w:jc w:val="both"/>
        <w:rPr>
          <w:sz w:val="24"/>
          <w:szCs w:val="24"/>
        </w:rPr>
      </w:pPr>
      <w:r w:rsidRPr="00976FD7">
        <w:rPr>
          <w:sz w:val="24"/>
          <w:szCs w:val="24"/>
        </w:rPr>
        <w:t>Sredstva za financiranje decentraliziranih funkcija vatrogastva se osim kroz učešće u porezu na dohodak, ostvaruju i kroz pomoći izravnanja iz državnog proračuna kojima se podmiruje razlika između ostvarenog poreza na dohodak za financiranje decentraliziranih funkcija i minimalnog financijskog standarda za decentralizirane funkcije koji utvrđuje Vlada RH za svaku godinu.</w:t>
      </w:r>
      <w:r w:rsidR="00D77233" w:rsidRPr="00976FD7">
        <w:rPr>
          <w:sz w:val="24"/>
          <w:szCs w:val="24"/>
        </w:rPr>
        <w:t xml:space="preserve"> </w:t>
      </w:r>
      <w:r w:rsidRPr="00976FD7">
        <w:rPr>
          <w:sz w:val="24"/>
          <w:szCs w:val="24"/>
        </w:rPr>
        <w:t>Za 202</w:t>
      </w:r>
      <w:r w:rsidR="00D20B1C" w:rsidRPr="00976FD7">
        <w:rPr>
          <w:sz w:val="24"/>
          <w:szCs w:val="24"/>
        </w:rPr>
        <w:t>5</w:t>
      </w:r>
      <w:r w:rsidRPr="00976FD7">
        <w:rPr>
          <w:sz w:val="24"/>
          <w:szCs w:val="24"/>
        </w:rPr>
        <w:t xml:space="preserve">. godinu je utvrđen minimalni financijski standard za financiranje decentraliziranih funkcija vatrogastva u iznosu </w:t>
      </w:r>
      <w:r w:rsidR="00BF0ECB" w:rsidRPr="00976FD7">
        <w:rPr>
          <w:sz w:val="24"/>
          <w:szCs w:val="24"/>
        </w:rPr>
        <w:t>326.114,00</w:t>
      </w:r>
      <w:r w:rsidRPr="00976FD7">
        <w:rPr>
          <w:sz w:val="24"/>
          <w:szCs w:val="24"/>
        </w:rPr>
        <w:t xml:space="preserve"> eura.</w:t>
      </w:r>
    </w:p>
    <w:p w14:paraId="45BD3CD2" w14:textId="3C0C153D" w:rsidR="00D77233" w:rsidRDefault="00A2208A" w:rsidP="00D77233">
      <w:pPr>
        <w:spacing w:after="0"/>
        <w:jc w:val="both"/>
        <w:rPr>
          <w:rFonts w:ascii="Calibri" w:hAnsi="Calibri" w:cs="Calibri"/>
          <w:sz w:val="24"/>
          <w:szCs w:val="24"/>
        </w:rPr>
      </w:pPr>
      <w:r w:rsidRPr="00A2208A">
        <w:rPr>
          <w:rFonts w:ascii="Calibri" w:hAnsi="Calibri" w:cs="Calibri"/>
          <w:sz w:val="24"/>
          <w:szCs w:val="24"/>
        </w:rPr>
        <w:t xml:space="preserve">Porez na dohodak od imovine i imovinskih prava iznose u izvještajnom razdoblju </w:t>
      </w:r>
      <w:r w:rsidR="00937193">
        <w:rPr>
          <w:rFonts w:ascii="Calibri" w:hAnsi="Calibri" w:cs="Calibri"/>
          <w:sz w:val="24"/>
          <w:szCs w:val="24"/>
        </w:rPr>
        <w:t>884.265,17</w:t>
      </w:r>
      <w:r w:rsidRPr="00A2208A">
        <w:rPr>
          <w:rFonts w:ascii="Calibri" w:hAnsi="Calibri" w:cs="Calibri"/>
          <w:sz w:val="24"/>
          <w:szCs w:val="24"/>
        </w:rPr>
        <w:t xml:space="preserve"> eura što je za </w:t>
      </w:r>
      <w:r w:rsidR="00937193">
        <w:rPr>
          <w:rFonts w:ascii="Calibri" w:hAnsi="Calibri" w:cs="Calibri"/>
          <w:sz w:val="24"/>
          <w:szCs w:val="24"/>
        </w:rPr>
        <w:t>13,28</w:t>
      </w:r>
      <w:r w:rsidRPr="00A2208A">
        <w:rPr>
          <w:rFonts w:ascii="Calibri" w:hAnsi="Calibri" w:cs="Calibri"/>
          <w:sz w:val="24"/>
          <w:szCs w:val="24"/>
        </w:rPr>
        <w:t xml:space="preserve">% više u odnosu na prethodno razdoblje, a odnosi se na veće ostvarenje prihoda od poreza od iznajmljivanja stanova, soba i postelja te na veće ostvarenje poreza od najma i zakupa po rješenju Porezne uprave. </w:t>
      </w:r>
    </w:p>
    <w:p w14:paraId="42EECF68" w14:textId="6E407CC3" w:rsidR="00A2208A" w:rsidRDefault="00A2208A" w:rsidP="00D77233">
      <w:pPr>
        <w:spacing w:after="0"/>
        <w:jc w:val="both"/>
        <w:rPr>
          <w:rFonts w:ascii="Calibri" w:hAnsi="Calibri" w:cs="Calibri"/>
          <w:sz w:val="24"/>
          <w:szCs w:val="24"/>
        </w:rPr>
      </w:pPr>
      <w:r w:rsidRPr="00A2208A">
        <w:rPr>
          <w:rFonts w:ascii="Calibri" w:hAnsi="Calibri" w:cs="Calibri"/>
          <w:sz w:val="24"/>
          <w:szCs w:val="24"/>
        </w:rPr>
        <w:t>Porez</w:t>
      </w:r>
      <w:r w:rsidR="00937193">
        <w:rPr>
          <w:rFonts w:ascii="Calibri" w:hAnsi="Calibri" w:cs="Calibri"/>
          <w:sz w:val="24"/>
          <w:szCs w:val="24"/>
        </w:rPr>
        <w:t xml:space="preserve"> </w:t>
      </w:r>
      <w:r w:rsidRPr="00A2208A">
        <w:rPr>
          <w:rFonts w:ascii="Calibri" w:hAnsi="Calibri" w:cs="Calibri"/>
          <w:sz w:val="24"/>
          <w:szCs w:val="24"/>
        </w:rPr>
        <w:t xml:space="preserve">na dohodak od kapitala ostvaren je u iznosu od </w:t>
      </w:r>
      <w:r w:rsidR="00937193">
        <w:rPr>
          <w:rFonts w:ascii="Calibri" w:hAnsi="Calibri" w:cs="Calibri"/>
          <w:sz w:val="24"/>
          <w:szCs w:val="24"/>
        </w:rPr>
        <w:t>66.425,87</w:t>
      </w:r>
      <w:r w:rsidRPr="00A2208A">
        <w:rPr>
          <w:rFonts w:ascii="Calibri" w:hAnsi="Calibri" w:cs="Calibri"/>
          <w:sz w:val="24"/>
          <w:szCs w:val="24"/>
        </w:rPr>
        <w:t xml:space="preserve"> eura, što je za značajnih </w:t>
      </w:r>
      <w:r w:rsidR="00937193">
        <w:rPr>
          <w:rFonts w:ascii="Calibri" w:hAnsi="Calibri" w:cs="Calibri"/>
          <w:sz w:val="24"/>
          <w:szCs w:val="24"/>
        </w:rPr>
        <w:t>26,76</w:t>
      </w:r>
      <w:r w:rsidRPr="00A2208A">
        <w:rPr>
          <w:rFonts w:ascii="Calibri" w:hAnsi="Calibri" w:cs="Calibri"/>
          <w:sz w:val="24"/>
          <w:szCs w:val="24"/>
        </w:rPr>
        <w:t>% više od ostvarenje prethodne 202</w:t>
      </w:r>
      <w:r w:rsidR="00937193">
        <w:rPr>
          <w:rFonts w:ascii="Calibri" w:hAnsi="Calibri" w:cs="Calibri"/>
          <w:sz w:val="24"/>
          <w:szCs w:val="24"/>
        </w:rPr>
        <w:t>4</w:t>
      </w:r>
      <w:r w:rsidRPr="00A2208A">
        <w:rPr>
          <w:rFonts w:ascii="Calibri" w:hAnsi="Calibri" w:cs="Calibri"/>
          <w:sz w:val="24"/>
          <w:szCs w:val="24"/>
        </w:rPr>
        <w:t xml:space="preserve">.godine, a odnosi se na veće ostvarenje od poreza  na dohodak od kamata na štednju </w:t>
      </w:r>
      <w:r w:rsidR="00976FD7">
        <w:rPr>
          <w:rFonts w:ascii="Calibri" w:hAnsi="Calibri" w:cs="Calibri"/>
          <w:sz w:val="24"/>
          <w:szCs w:val="24"/>
        </w:rPr>
        <w:t xml:space="preserve">i </w:t>
      </w:r>
      <w:r w:rsidRPr="00A2208A">
        <w:rPr>
          <w:rFonts w:ascii="Calibri" w:hAnsi="Calibri" w:cs="Calibri"/>
          <w:sz w:val="24"/>
          <w:szCs w:val="24"/>
        </w:rPr>
        <w:t>u cijelosti se odnosi na Grad Trogir.</w:t>
      </w:r>
    </w:p>
    <w:p w14:paraId="23E37EC8" w14:textId="0C54312F" w:rsidR="00937193" w:rsidRPr="00937193" w:rsidRDefault="00937193" w:rsidP="00937193">
      <w:pPr>
        <w:spacing w:after="0"/>
        <w:jc w:val="both"/>
        <w:rPr>
          <w:rFonts w:ascii="Calibri" w:hAnsi="Calibri" w:cs="Calibri"/>
          <w:sz w:val="24"/>
          <w:szCs w:val="24"/>
        </w:rPr>
      </w:pPr>
      <w:r>
        <w:rPr>
          <w:rFonts w:ascii="Calibri" w:hAnsi="Calibri" w:cs="Calibri"/>
          <w:sz w:val="24"/>
          <w:szCs w:val="24"/>
        </w:rPr>
        <w:t>Porez na dohodak po godišnjoj prijavi ostvaren je u iznosu od 959.230,26 eura ili za značajnih 118,4</w:t>
      </w:r>
      <w:r w:rsidR="00976FD7">
        <w:rPr>
          <w:rFonts w:ascii="Calibri" w:hAnsi="Calibri" w:cs="Calibri"/>
          <w:sz w:val="24"/>
          <w:szCs w:val="24"/>
        </w:rPr>
        <w:t>2</w:t>
      </w:r>
      <w:r>
        <w:rPr>
          <w:rFonts w:ascii="Calibri" w:hAnsi="Calibri" w:cs="Calibri"/>
          <w:sz w:val="24"/>
          <w:szCs w:val="24"/>
        </w:rPr>
        <w:t xml:space="preserve">% više od ostvarenja prethodne godine. </w:t>
      </w:r>
      <w:r w:rsidRPr="00937193">
        <w:rPr>
          <w:rFonts w:ascii="Calibri" w:hAnsi="Calibri" w:cs="Calibri"/>
          <w:sz w:val="24"/>
          <w:szCs w:val="24"/>
        </w:rPr>
        <w:t xml:space="preserve">Sukladno Uputi Ministarstva financija </w:t>
      </w:r>
      <w:r w:rsidRPr="00937193">
        <w:rPr>
          <w:sz w:val="24"/>
          <w:szCs w:val="24"/>
        </w:rPr>
        <w:t>o evidentiranju prihoda od poreza na dohodak kod JLP®S temeljem Izvještaja koje ispostavlja Fina za uplatni račun 1619 vrši se evidencija i to je razlog ostvarenja izvršenja povrata na šifri 6117 u iznosu od 973.695,34 eura koji bilježi značajno odstupanje od ostvarenja prethodne godine zbog donošenja mjera države za poticanje zapošljavanja.</w:t>
      </w:r>
    </w:p>
    <w:p w14:paraId="31BB2DE5" w14:textId="77777777" w:rsidR="00AB0F4A" w:rsidRDefault="00AB0F4A" w:rsidP="00DA5CCC">
      <w:pPr>
        <w:jc w:val="both"/>
        <w:rPr>
          <w:rFonts w:ascii="Calibri" w:hAnsi="Calibri" w:cs="Calibri"/>
          <w:sz w:val="24"/>
          <w:szCs w:val="24"/>
        </w:rPr>
      </w:pPr>
    </w:p>
    <w:p w14:paraId="292A649E" w14:textId="644E7A6A" w:rsidR="00937193" w:rsidRPr="00937193" w:rsidRDefault="00DA5CCC" w:rsidP="00DA5CCC">
      <w:pPr>
        <w:jc w:val="both"/>
        <w:rPr>
          <w:rFonts w:ascii="Calibri" w:hAnsi="Calibri" w:cs="Calibri"/>
          <w:sz w:val="24"/>
          <w:szCs w:val="24"/>
        </w:rPr>
      </w:pPr>
      <w:r w:rsidRPr="00642024">
        <w:rPr>
          <w:rFonts w:ascii="Calibri" w:hAnsi="Calibri" w:cs="Calibri"/>
          <w:sz w:val="24"/>
          <w:szCs w:val="24"/>
          <w:u w:val="single"/>
        </w:rPr>
        <w:lastRenderedPageBreak/>
        <w:t>Porez na imovinu</w:t>
      </w:r>
      <w:r w:rsidRPr="00DA5CCC">
        <w:rPr>
          <w:rFonts w:ascii="Calibri" w:hAnsi="Calibri" w:cs="Calibri"/>
          <w:sz w:val="24"/>
          <w:szCs w:val="24"/>
        </w:rPr>
        <w:t xml:space="preserve"> ostvaren je u iznosu od </w:t>
      </w:r>
      <w:r w:rsidR="00937193">
        <w:rPr>
          <w:rFonts w:ascii="Calibri" w:hAnsi="Calibri" w:cs="Calibri"/>
          <w:sz w:val="24"/>
          <w:szCs w:val="24"/>
        </w:rPr>
        <w:t>894.196,51</w:t>
      </w:r>
      <w:r w:rsidRPr="00DA5CCC">
        <w:rPr>
          <w:rFonts w:ascii="Calibri" w:hAnsi="Calibri" w:cs="Calibri"/>
          <w:sz w:val="24"/>
          <w:szCs w:val="24"/>
        </w:rPr>
        <w:t xml:space="preserve"> eura ili za </w:t>
      </w:r>
      <w:r w:rsidR="00937193">
        <w:rPr>
          <w:rFonts w:ascii="Calibri" w:hAnsi="Calibri" w:cs="Calibri"/>
          <w:sz w:val="24"/>
          <w:szCs w:val="24"/>
        </w:rPr>
        <w:t>24,2%</w:t>
      </w:r>
      <w:r w:rsidR="00642024">
        <w:rPr>
          <w:rFonts w:ascii="Calibri" w:hAnsi="Calibri" w:cs="Calibri"/>
          <w:sz w:val="24"/>
          <w:szCs w:val="24"/>
        </w:rPr>
        <w:t xml:space="preserve"> </w:t>
      </w:r>
      <w:r w:rsidR="00937193">
        <w:rPr>
          <w:rFonts w:ascii="Calibri" w:hAnsi="Calibri" w:cs="Calibri"/>
          <w:sz w:val="24"/>
          <w:szCs w:val="24"/>
        </w:rPr>
        <w:t xml:space="preserve">manje </w:t>
      </w:r>
      <w:r w:rsidRPr="00DA5CCC">
        <w:rPr>
          <w:rFonts w:ascii="Calibri" w:hAnsi="Calibri" w:cs="Calibri"/>
          <w:sz w:val="24"/>
          <w:szCs w:val="24"/>
        </w:rPr>
        <w:t xml:space="preserve">u odnosu na prethodnu godinu i odnosi se u cijelosti na Grad Trogir i to u najvećem dijelu na ostvarenje poreza na promet nekretninama u iznosu od </w:t>
      </w:r>
      <w:r w:rsidR="00937193">
        <w:rPr>
          <w:rFonts w:ascii="Calibri" w:hAnsi="Calibri" w:cs="Calibri"/>
          <w:sz w:val="24"/>
          <w:szCs w:val="24"/>
        </w:rPr>
        <w:t>603.539,46</w:t>
      </w:r>
      <w:r w:rsidRPr="00DA5CCC">
        <w:rPr>
          <w:rFonts w:ascii="Calibri" w:hAnsi="Calibri" w:cs="Calibri"/>
          <w:sz w:val="24"/>
          <w:szCs w:val="24"/>
        </w:rPr>
        <w:t xml:space="preserve"> eura ili 2</w:t>
      </w:r>
      <w:r w:rsidR="00937193">
        <w:rPr>
          <w:rFonts w:ascii="Calibri" w:hAnsi="Calibri" w:cs="Calibri"/>
          <w:sz w:val="24"/>
          <w:szCs w:val="24"/>
        </w:rPr>
        <w:t>8,2</w:t>
      </w:r>
      <w:r w:rsidRPr="00DA5CCC">
        <w:rPr>
          <w:rFonts w:ascii="Calibri" w:hAnsi="Calibri" w:cs="Calibri"/>
          <w:sz w:val="24"/>
          <w:szCs w:val="24"/>
        </w:rPr>
        <w:t xml:space="preserve">% manje u odnosu na ostvarenje prethodne godine. U taj porez ubrajamo porez na kuće za odmor u iznosu od </w:t>
      </w:r>
      <w:r w:rsidR="00937193">
        <w:rPr>
          <w:rFonts w:ascii="Calibri" w:hAnsi="Calibri" w:cs="Calibri"/>
          <w:sz w:val="24"/>
          <w:szCs w:val="24"/>
        </w:rPr>
        <w:t>24.448,11</w:t>
      </w:r>
      <w:r w:rsidRPr="00DA5CCC">
        <w:rPr>
          <w:rFonts w:ascii="Calibri" w:hAnsi="Calibri" w:cs="Calibri"/>
          <w:sz w:val="24"/>
          <w:szCs w:val="24"/>
        </w:rPr>
        <w:t xml:space="preserve"> eura</w:t>
      </w:r>
      <w:r w:rsidR="00937193" w:rsidRPr="00937193">
        <w:t xml:space="preserve"> </w:t>
      </w:r>
      <w:r w:rsidR="00937193" w:rsidRPr="00937193">
        <w:rPr>
          <w:sz w:val="24"/>
          <w:szCs w:val="24"/>
        </w:rPr>
        <w:t>koji je lani iznosio 174.583,38 eura i to iz razloga što je nadležna porezna uprava za novi porez na nekretnine poslala rješenja za dio obveznika tek krajem 2025.godine, zatim porez na korištenje javno prometnih površina u iznosu od 194.119,43 eura za čije utvrđivanje i naplatu je nadležno tijelo Porezna uprava –Ispostava Trogir. </w:t>
      </w:r>
    </w:p>
    <w:p w14:paraId="2376D44C" w14:textId="347E0F2C" w:rsidR="00DA5CCC" w:rsidRPr="00DA5CCC" w:rsidRDefault="00DA5CCC" w:rsidP="00DA5CCC">
      <w:pPr>
        <w:jc w:val="both"/>
        <w:rPr>
          <w:rFonts w:ascii="Calibri" w:hAnsi="Calibri" w:cs="Calibri"/>
          <w:sz w:val="24"/>
          <w:szCs w:val="24"/>
        </w:rPr>
      </w:pPr>
      <w:r w:rsidRPr="00DA5CCC">
        <w:rPr>
          <w:rFonts w:ascii="Calibri" w:hAnsi="Calibri" w:cs="Calibri"/>
          <w:sz w:val="24"/>
          <w:szCs w:val="24"/>
        </w:rPr>
        <w:t xml:space="preserve">Porezi na robu i usluge ostvareni su u iznosu od </w:t>
      </w:r>
      <w:r w:rsidR="008C366D">
        <w:rPr>
          <w:rFonts w:ascii="Calibri" w:hAnsi="Calibri" w:cs="Calibri"/>
          <w:sz w:val="24"/>
          <w:szCs w:val="24"/>
        </w:rPr>
        <w:t>405.876,73</w:t>
      </w:r>
      <w:r w:rsidRPr="00DA5CCC">
        <w:rPr>
          <w:rFonts w:ascii="Calibri" w:hAnsi="Calibri" w:cs="Calibri"/>
          <w:sz w:val="24"/>
          <w:szCs w:val="24"/>
        </w:rPr>
        <w:t xml:space="preserve"> eura ili značajnih </w:t>
      </w:r>
      <w:r w:rsidR="008C366D">
        <w:rPr>
          <w:rFonts w:ascii="Calibri" w:hAnsi="Calibri" w:cs="Calibri"/>
          <w:sz w:val="24"/>
          <w:szCs w:val="24"/>
        </w:rPr>
        <w:t>8,1</w:t>
      </w:r>
      <w:r w:rsidRPr="00DA5CCC">
        <w:rPr>
          <w:rFonts w:ascii="Calibri" w:hAnsi="Calibri" w:cs="Calibri"/>
          <w:sz w:val="24"/>
          <w:szCs w:val="24"/>
        </w:rPr>
        <w:t xml:space="preserve">% više od prethodne godine, a čine ga porez na potrošnju alkoholnih i bezalkoholnih pića u iznosu od </w:t>
      </w:r>
      <w:r w:rsidR="008C366D">
        <w:rPr>
          <w:rFonts w:ascii="Calibri" w:hAnsi="Calibri" w:cs="Calibri"/>
          <w:sz w:val="24"/>
          <w:szCs w:val="24"/>
        </w:rPr>
        <w:t>405.867,73</w:t>
      </w:r>
      <w:r w:rsidRPr="00DA5CCC">
        <w:rPr>
          <w:rFonts w:ascii="Calibri" w:hAnsi="Calibri" w:cs="Calibri"/>
          <w:sz w:val="24"/>
          <w:szCs w:val="24"/>
        </w:rPr>
        <w:t xml:space="preserve"> eura  i porez na tvrtku odnosno naziv tvrtke koji je ukinut u iznosu od </w:t>
      </w:r>
      <w:r w:rsidR="008C366D">
        <w:rPr>
          <w:rFonts w:ascii="Calibri" w:hAnsi="Calibri" w:cs="Calibri"/>
          <w:sz w:val="24"/>
          <w:szCs w:val="24"/>
        </w:rPr>
        <w:t>9,00</w:t>
      </w:r>
      <w:r w:rsidRPr="00DA5CCC">
        <w:rPr>
          <w:rFonts w:ascii="Calibri" w:hAnsi="Calibri" w:cs="Calibri"/>
          <w:sz w:val="24"/>
          <w:szCs w:val="24"/>
        </w:rPr>
        <w:t xml:space="preserve"> eura.</w:t>
      </w:r>
    </w:p>
    <w:p w14:paraId="1D79A18B" w14:textId="732FA1D0" w:rsidR="006E3BE6" w:rsidRPr="00D77233" w:rsidRDefault="00B37009" w:rsidP="00D77233">
      <w:pPr>
        <w:jc w:val="both"/>
        <w:rPr>
          <w:rFonts w:ascii="Calibri" w:hAnsi="Calibri" w:cs="Calibri"/>
        </w:rPr>
      </w:pPr>
      <w:r w:rsidRPr="007B58F0">
        <w:rPr>
          <w:rFonts w:cstheme="minorHAnsi"/>
          <w:sz w:val="24"/>
          <w:szCs w:val="24"/>
          <w:u w:val="single"/>
        </w:rPr>
        <w:t>Proračunski korisnici ne ostvaruju porezne prihode.</w:t>
      </w:r>
    </w:p>
    <w:p w14:paraId="5E3725B7" w14:textId="2B7F2688" w:rsidR="00B37009" w:rsidRDefault="00B37009">
      <w:pPr>
        <w:pStyle w:val="Odlomakpopisa"/>
        <w:numPr>
          <w:ilvl w:val="2"/>
          <w:numId w:val="19"/>
        </w:numPr>
        <w:spacing w:after="0" w:line="240" w:lineRule="auto"/>
        <w:jc w:val="both"/>
        <w:rPr>
          <w:rFonts w:cstheme="minorHAnsi"/>
          <w:b/>
          <w:sz w:val="24"/>
          <w:szCs w:val="24"/>
        </w:rPr>
      </w:pPr>
      <w:r w:rsidRPr="00996498">
        <w:rPr>
          <w:rFonts w:cstheme="minorHAnsi"/>
          <w:b/>
          <w:sz w:val="24"/>
          <w:szCs w:val="24"/>
        </w:rPr>
        <w:t>Pomoći iz inozemstva  i od subjekata unutar općeg proračuna</w:t>
      </w:r>
    </w:p>
    <w:p w14:paraId="02D551C5" w14:textId="470BB246" w:rsidR="00996498" w:rsidRDefault="00996498" w:rsidP="00996498">
      <w:pPr>
        <w:spacing w:after="0"/>
        <w:jc w:val="both"/>
        <w:rPr>
          <w:rFonts w:ascii="Calibri" w:hAnsi="Calibri" w:cs="Calibri"/>
          <w:sz w:val="24"/>
          <w:szCs w:val="24"/>
        </w:rPr>
      </w:pPr>
      <w:r w:rsidRPr="006E3BE6">
        <w:rPr>
          <w:rFonts w:ascii="Calibri" w:hAnsi="Calibri" w:cs="Calibri"/>
          <w:sz w:val="24"/>
          <w:szCs w:val="24"/>
          <w:u w:val="single"/>
        </w:rPr>
        <w:t>Pomoći iz inozemstva i od subjekata unutar općeg proračuna</w:t>
      </w:r>
      <w:r w:rsidR="00C13BC5">
        <w:rPr>
          <w:rFonts w:ascii="Calibri" w:hAnsi="Calibri" w:cs="Calibri"/>
          <w:sz w:val="24"/>
          <w:szCs w:val="24"/>
          <w:u w:val="single"/>
        </w:rPr>
        <w:t xml:space="preserve"> </w:t>
      </w:r>
      <w:r w:rsidR="00C13BC5" w:rsidRPr="00C13BC5">
        <w:rPr>
          <w:rFonts w:ascii="Calibri" w:hAnsi="Calibri" w:cs="Calibri"/>
          <w:sz w:val="24"/>
          <w:szCs w:val="24"/>
        </w:rPr>
        <w:t xml:space="preserve">su planirane u iznosu od </w:t>
      </w:r>
      <w:r w:rsidR="00166831">
        <w:rPr>
          <w:rFonts w:ascii="Calibri" w:hAnsi="Calibri" w:cs="Calibri"/>
          <w:sz w:val="24"/>
          <w:szCs w:val="24"/>
        </w:rPr>
        <w:t>3.146.185,00</w:t>
      </w:r>
      <w:r w:rsidR="00C13BC5">
        <w:rPr>
          <w:rFonts w:ascii="Calibri" w:hAnsi="Calibri" w:cs="Calibri"/>
          <w:sz w:val="24"/>
          <w:szCs w:val="24"/>
        </w:rPr>
        <w:t xml:space="preserve"> eura, a ostvarene su u iznosu od</w:t>
      </w:r>
      <w:r w:rsidRPr="006E3BE6">
        <w:rPr>
          <w:rFonts w:ascii="Calibri" w:hAnsi="Calibri" w:cs="Calibri"/>
          <w:sz w:val="24"/>
          <w:szCs w:val="24"/>
        </w:rPr>
        <w:t xml:space="preserve"> </w:t>
      </w:r>
      <w:r w:rsidR="00166831">
        <w:rPr>
          <w:rFonts w:ascii="Calibri" w:hAnsi="Calibri" w:cs="Calibri"/>
          <w:sz w:val="24"/>
          <w:szCs w:val="24"/>
        </w:rPr>
        <w:t>1.830.966,35</w:t>
      </w:r>
      <w:r w:rsidRPr="006E3BE6">
        <w:rPr>
          <w:rFonts w:ascii="Calibri" w:hAnsi="Calibri" w:cs="Calibri"/>
          <w:sz w:val="24"/>
          <w:szCs w:val="24"/>
        </w:rPr>
        <w:t xml:space="preserve"> eura</w:t>
      </w:r>
      <w:r w:rsidR="00C13BC5">
        <w:rPr>
          <w:rFonts w:ascii="Calibri" w:hAnsi="Calibri" w:cs="Calibri"/>
          <w:sz w:val="24"/>
          <w:szCs w:val="24"/>
        </w:rPr>
        <w:t xml:space="preserve"> </w:t>
      </w:r>
      <w:r w:rsidR="00166831">
        <w:rPr>
          <w:rFonts w:ascii="Calibri" w:hAnsi="Calibri" w:cs="Calibri"/>
          <w:sz w:val="24"/>
          <w:szCs w:val="24"/>
        </w:rPr>
        <w:t>58,20</w:t>
      </w:r>
      <w:r w:rsidR="00C13BC5">
        <w:rPr>
          <w:rFonts w:ascii="Calibri" w:hAnsi="Calibri" w:cs="Calibri"/>
          <w:sz w:val="24"/>
          <w:szCs w:val="24"/>
        </w:rPr>
        <w:t>% plana,</w:t>
      </w:r>
      <w:r w:rsidRPr="006E3BE6">
        <w:rPr>
          <w:rFonts w:ascii="Calibri" w:hAnsi="Calibri" w:cs="Calibri"/>
          <w:sz w:val="24"/>
          <w:szCs w:val="24"/>
        </w:rPr>
        <w:t xml:space="preserve"> što je </w:t>
      </w:r>
      <w:r w:rsidR="00166831">
        <w:rPr>
          <w:rFonts w:ascii="Calibri" w:hAnsi="Calibri" w:cs="Calibri"/>
          <w:sz w:val="24"/>
          <w:szCs w:val="24"/>
        </w:rPr>
        <w:t>povećanje</w:t>
      </w:r>
      <w:r>
        <w:rPr>
          <w:rFonts w:ascii="Calibri" w:hAnsi="Calibri" w:cs="Calibri"/>
          <w:sz w:val="24"/>
          <w:szCs w:val="24"/>
        </w:rPr>
        <w:t xml:space="preserve"> od </w:t>
      </w:r>
      <w:r w:rsidR="00166831">
        <w:rPr>
          <w:rFonts w:ascii="Calibri" w:hAnsi="Calibri" w:cs="Calibri"/>
          <w:sz w:val="24"/>
          <w:szCs w:val="24"/>
        </w:rPr>
        <w:t>12,38</w:t>
      </w:r>
      <w:r>
        <w:rPr>
          <w:rFonts w:ascii="Calibri" w:hAnsi="Calibri" w:cs="Calibri"/>
          <w:sz w:val="24"/>
          <w:szCs w:val="24"/>
        </w:rPr>
        <w:t>% u odnosu na ostvarenje prethodne</w:t>
      </w:r>
      <w:r w:rsidR="00686429">
        <w:rPr>
          <w:rFonts w:ascii="Calibri" w:hAnsi="Calibri" w:cs="Calibri"/>
          <w:sz w:val="24"/>
          <w:szCs w:val="24"/>
        </w:rPr>
        <w:t xml:space="preserve"> </w:t>
      </w:r>
      <w:r>
        <w:rPr>
          <w:rFonts w:ascii="Calibri" w:hAnsi="Calibri" w:cs="Calibri"/>
          <w:sz w:val="24"/>
          <w:szCs w:val="24"/>
        </w:rPr>
        <w:t>godin</w:t>
      </w:r>
      <w:r w:rsidR="00C13BC5">
        <w:rPr>
          <w:rFonts w:ascii="Calibri" w:hAnsi="Calibri" w:cs="Calibri"/>
          <w:sz w:val="24"/>
          <w:szCs w:val="24"/>
        </w:rPr>
        <w:t>e</w:t>
      </w:r>
      <w:r w:rsidR="00951A4D">
        <w:rPr>
          <w:rFonts w:ascii="Calibri" w:hAnsi="Calibri" w:cs="Calibri"/>
          <w:sz w:val="24"/>
          <w:szCs w:val="24"/>
        </w:rPr>
        <w:t>.</w:t>
      </w:r>
    </w:p>
    <w:p w14:paraId="3EEC74DB" w14:textId="77777777" w:rsidR="00166831" w:rsidRPr="00166831" w:rsidRDefault="00166831" w:rsidP="00166831">
      <w:pPr>
        <w:jc w:val="both"/>
        <w:rPr>
          <w:sz w:val="24"/>
          <w:szCs w:val="24"/>
        </w:rPr>
      </w:pPr>
      <w:r>
        <w:t> </w:t>
      </w:r>
      <w:r w:rsidRPr="00166831">
        <w:rPr>
          <w:sz w:val="24"/>
          <w:szCs w:val="24"/>
        </w:rPr>
        <w:t>Od ovoga iznosa pomoći unutar općeg proračuna za Grad Trogir ostvarene su u iznosu od 1.736.522,02 eura, dok su proračunski korisnici ostvarili pomoći u iznosu od 94.444,33 eura. </w:t>
      </w:r>
    </w:p>
    <w:p w14:paraId="188BC8D6" w14:textId="74428560" w:rsidR="00166831" w:rsidRPr="00166831" w:rsidRDefault="00996498" w:rsidP="00166831">
      <w:pPr>
        <w:spacing w:after="0"/>
        <w:jc w:val="both"/>
        <w:rPr>
          <w:rFonts w:cs="Calibri"/>
          <w:color w:val="1A1919"/>
          <w:spacing w:val="3"/>
          <w:sz w:val="24"/>
          <w:szCs w:val="24"/>
          <w:shd w:val="clear" w:color="auto" w:fill="FFFFFF"/>
        </w:rPr>
      </w:pPr>
      <w:r w:rsidRPr="005965AD">
        <w:rPr>
          <w:rFonts w:ascii="Calibri" w:hAnsi="Calibri" w:cs="Calibri"/>
          <w:sz w:val="24"/>
          <w:szCs w:val="24"/>
          <w:u w:val="single"/>
        </w:rPr>
        <w:t>Pomoći od međunarodnih organizacija te institucija i tijela EU</w:t>
      </w:r>
      <w:r w:rsidRPr="006E3BE6">
        <w:rPr>
          <w:rFonts w:ascii="Calibri" w:hAnsi="Calibri" w:cs="Calibri"/>
          <w:sz w:val="24"/>
          <w:szCs w:val="24"/>
        </w:rPr>
        <w:t xml:space="preserve"> ostvarene su u iznosu od </w:t>
      </w:r>
      <w:r w:rsidR="00166831">
        <w:rPr>
          <w:rFonts w:ascii="Calibri" w:hAnsi="Calibri" w:cs="Calibri"/>
          <w:sz w:val="24"/>
          <w:szCs w:val="24"/>
        </w:rPr>
        <w:t>26.548,00</w:t>
      </w:r>
      <w:r w:rsidRPr="006E3BE6">
        <w:rPr>
          <w:rFonts w:ascii="Calibri" w:hAnsi="Calibri" w:cs="Calibri"/>
          <w:sz w:val="24"/>
          <w:szCs w:val="24"/>
        </w:rPr>
        <w:t xml:space="preserve"> eura</w:t>
      </w:r>
      <w:r w:rsidR="00166831">
        <w:rPr>
          <w:rFonts w:cs="Calibri"/>
          <w:color w:val="1A1919"/>
          <w:spacing w:val="3"/>
          <w:sz w:val="24"/>
          <w:szCs w:val="24"/>
          <w:shd w:val="clear" w:color="auto" w:fill="FFFFFF"/>
        </w:rPr>
        <w:t xml:space="preserve"> </w:t>
      </w:r>
      <w:r w:rsidR="00166831">
        <w:t xml:space="preserve">ili </w:t>
      </w:r>
      <w:r w:rsidR="00166831" w:rsidRPr="00166831">
        <w:rPr>
          <w:sz w:val="24"/>
          <w:szCs w:val="24"/>
        </w:rPr>
        <w:t xml:space="preserve">31,9% manje od ostvarenja prethodne godine, a odnose se na tekuće pomoći EU INTERREG za projekt pristupačnog turizma </w:t>
      </w:r>
      <w:proofErr w:type="spellStart"/>
      <w:r w:rsidR="00166831" w:rsidRPr="00166831">
        <w:rPr>
          <w:sz w:val="24"/>
          <w:szCs w:val="24"/>
        </w:rPr>
        <w:t>CREaIT</w:t>
      </w:r>
      <w:proofErr w:type="spellEnd"/>
      <w:r w:rsidR="00166831" w:rsidRPr="00166831">
        <w:rPr>
          <w:sz w:val="24"/>
          <w:szCs w:val="24"/>
        </w:rPr>
        <w:t xml:space="preserve"> u iznosu od 25.270,56 eura za financiranje tekućih rashoda projekta i kapitalne pomoći u iznosu od 1.277,44 eura za nabavu opreme  tj</w:t>
      </w:r>
      <w:r w:rsidR="00166831">
        <w:rPr>
          <w:sz w:val="24"/>
          <w:szCs w:val="24"/>
        </w:rPr>
        <w:t>.</w:t>
      </w:r>
      <w:r w:rsidR="00166831" w:rsidRPr="00166831">
        <w:rPr>
          <w:sz w:val="24"/>
          <w:szCs w:val="24"/>
        </w:rPr>
        <w:t xml:space="preserve"> rampe za pristup osobama s invaliditetom.</w:t>
      </w:r>
    </w:p>
    <w:p w14:paraId="5EABB1E1" w14:textId="5476ECDE" w:rsidR="00951A4D" w:rsidRDefault="00951A4D" w:rsidP="00951A4D">
      <w:pPr>
        <w:spacing w:after="0"/>
        <w:jc w:val="both"/>
        <w:rPr>
          <w:rFonts w:ascii="Calibri" w:hAnsi="Calibri" w:cs="Calibri"/>
          <w:sz w:val="24"/>
          <w:szCs w:val="24"/>
        </w:rPr>
      </w:pPr>
      <w:r w:rsidRPr="006E3BE6">
        <w:rPr>
          <w:rFonts w:ascii="Calibri" w:hAnsi="Calibri" w:cs="Calibri"/>
          <w:sz w:val="24"/>
          <w:szCs w:val="24"/>
          <w:u w:val="single"/>
        </w:rPr>
        <w:t>Pomoći proračunu</w:t>
      </w:r>
      <w:r w:rsidRPr="006E3BE6">
        <w:rPr>
          <w:rFonts w:ascii="Calibri" w:hAnsi="Calibri" w:cs="Calibri"/>
          <w:b/>
          <w:sz w:val="24"/>
          <w:szCs w:val="24"/>
          <w:u w:val="single"/>
        </w:rPr>
        <w:t xml:space="preserve"> </w:t>
      </w:r>
      <w:r w:rsidR="00166831" w:rsidRPr="00166831">
        <w:rPr>
          <w:rFonts w:ascii="Calibri" w:hAnsi="Calibri" w:cs="Calibri"/>
          <w:bCs/>
          <w:sz w:val="24"/>
          <w:szCs w:val="24"/>
          <w:u w:val="single"/>
        </w:rPr>
        <w:t>i</w:t>
      </w:r>
      <w:r w:rsidR="00166831">
        <w:rPr>
          <w:rFonts w:ascii="Calibri" w:hAnsi="Calibri" w:cs="Calibri"/>
          <w:b/>
          <w:sz w:val="24"/>
          <w:szCs w:val="24"/>
          <w:u w:val="single"/>
        </w:rPr>
        <w:t xml:space="preserve"> </w:t>
      </w:r>
      <w:r w:rsidRPr="006E3BE6">
        <w:rPr>
          <w:rFonts w:ascii="Calibri" w:hAnsi="Calibri" w:cs="Calibri"/>
          <w:sz w:val="24"/>
          <w:szCs w:val="24"/>
          <w:u w:val="single"/>
        </w:rPr>
        <w:t>izvanproračunskim korisnicima</w:t>
      </w:r>
      <w:r w:rsidR="00166831">
        <w:rPr>
          <w:rFonts w:ascii="Calibri" w:hAnsi="Calibri" w:cs="Calibri"/>
          <w:sz w:val="24"/>
          <w:szCs w:val="24"/>
          <w:u w:val="single"/>
        </w:rPr>
        <w:t xml:space="preserve"> iz drugih proračuna</w:t>
      </w:r>
      <w:r w:rsidRPr="006E3BE6">
        <w:rPr>
          <w:rFonts w:ascii="Calibri" w:hAnsi="Calibri" w:cs="Calibri"/>
          <w:b/>
          <w:sz w:val="24"/>
          <w:szCs w:val="24"/>
        </w:rPr>
        <w:t xml:space="preserve"> </w:t>
      </w:r>
      <w:r w:rsidRPr="006E3BE6">
        <w:rPr>
          <w:rFonts w:ascii="Calibri" w:hAnsi="Calibri" w:cs="Calibri"/>
          <w:sz w:val="24"/>
          <w:szCs w:val="24"/>
        </w:rPr>
        <w:t xml:space="preserve">ostvarene su u ukupnom iznosu od </w:t>
      </w:r>
      <w:r w:rsidR="00166831">
        <w:rPr>
          <w:rFonts w:ascii="Calibri" w:hAnsi="Calibri" w:cs="Calibri"/>
          <w:sz w:val="24"/>
          <w:szCs w:val="24"/>
        </w:rPr>
        <w:t>978.724,00</w:t>
      </w:r>
      <w:r w:rsidRPr="006E3BE6">
        <w:rPr>
          <w:rFonts w:ascii="Calibri" w:hAnsi="Calibri" w:cs="Calibri"/>
          <w:sz w:val="24"/>
          <w:szCs w:val="24"/>
        </w:rPr>
        <w:t xml:space="preserve"> eura, što je za </w:t>
      </w:r>
      <w:r w:rsidR="00166831">
        <w:rPr>
          <w:rFonts w:ascii="Calibri" w:hAnsi="Calibri" w:cs="Calibri"/>
          <w:sz w:val="24"/>
          <w:szCs w:val="24"/>
        </w:rPr>
        <w:t>17</w:t>
      </w:r>
      <w:r w:rsidRPr="006E3BE6">
        <w:rPr>
          <w:rFonts w:ascii="Calibri" w:hAnsi="Calibri" w:cs="Calibri"/>
          <w:sz w:val="24"/>
          <w:szCs w:val="24"/>
        </w:rPr>
        <w:t xml:space="preserve">% </w:t>
      </w:r>
      <w:r>
        <w:rPr>
          <w:rFonts w:ascii="Calibri" w:hAnsi="Calibri" w:cs="Calibri"/>
          <w:sz w:val="24"/>
          <w:szCs w:val="24"/>
        </w:rPr>
        <w:t>manje</w:t>
      </w:r>
      <w:r w:rsidRPr="006E3BE6">
        <w:rPr>
          <w:rFonts w:ascii="Calibri" w:hAnsi="Calibri" w:cs="Calibri"/>
          <w:sz w:val="24"/>
          <w:szCs w:val="24"/>
        </w:rPr>
        <w:t xml:space="preserve"> u odnosu na ostvarenje prethodne godine, a odnose se na ostvarenje tekućih pomoći u iznosu od </w:t>
      </w:r>
      <w:r w:rsidR="00166831">
        <w:rPr>
          <w:rFonts w:ascii="Calibri" w:hAnsi="Calibri" w:cs="Calibri"/>
          <w:sz w:val="24"/>
          <w:szCs w:val="24"/>
        </w:rPr>
        <w:t>560.724,00</w:t>
      </w:r>
      <w:r w:rsidRPr="006E3BE6">
        <w:rPr>
          <w:rFonts w:ascii="Calibri" w:hAnsi="Calibri" w:cs="Calibri"/>
          <w:sz w:val="24"/>
          <w:szCs w:val="24"/>
        </w:rPr>
        <w:t xml:space="preserve"> eura te </w:t>
      </w:r>
      <w:r w:rsidR="00166831">
        <w:rPr>
          <w:rFonts w:ascii="Calibri" w:hAnsi="Calibri" w:cs="Calibri"/>
          <w:sz w:val="24"/>
          <w:szCs w:val="24"/>
        </w:rPr>
        <w:t>418.000,00</w:t>
      </w:r>
      <w:r w:rsidRPr="006E3BE6">
        <w:rPr>
          <w:rFonts w:ascii="Calibri" w:hAnsi="Calibri" w:cs="Calibri"/>
          <w:sz w:val="24"/>
          <w:szCs w:val="24"/>
        </w:rPr>
        <w:t xml:space="preserve"> eura na ostvarenje kapitalnih pomoći.</w:t>
      </w:r>
    </w:p>
    <w:p w14:paraId="1997C21F" w14:textId="36E16D7E" w:rsidR="00166831" w:rsidRPr="00166831" w:rsidRDefault="00951A4D" w:rsidP="00166831">
      <w:pPr>
        <w:jc w:val="both"/>
        <w:rPr>
          <w:rFonts w:ascii="Calibri" w:hAnsi="Calibri" w:cs="Calibri"/>
          <w:noProof/>
          <w:sz w:val="24"/>
          <w:szCs w:val="24"/>
        </w:rPr>
      </w:pPr>
      <w:r w:rsidRPr="00951A4D">
        <w:rPr>
          <w:rFonts w:ascii="Calibri" w:hAnsi="Calibri" w:cs="Calibri"/>
          <w:sz w:val="24"/>
          <w:szCs w:val="24"/>
          <w:u w:val="single"/>
        </w:rPr>
        <w:t xml:space="preserve">Tekuće pomoći proračunu </w:t>
      </w:r>
      <w:r w:rsidR="00166831">
        <w:rPr>
          <w:rFonts w:ascii="Calibri" w:hAnsi="Calibri" w:cs="Calibri"/>
          <w:sz w:val="24"/>
          <w:szCs w:val="24"/>
          <w:u w:val="single"/>
        </w:rPr>
        <w:t xml:space="preserve">i izvanproračunskim korisnicima </w:t>
      </w:r>
      <w:r w:rsidRPr="00951A4D">
        <w:rPr>
          <w:rFonts w:ascii="Calibri" w:hAnsi="Calibri" w:cs="Calibri"/>
          <w:sz w:val="24"/>
          <w:szCs w:val="24"/>
          <w:u w:val="single"/>
        </w:rPr>
        <w:t xml:space="preserve">iz drugih proračuna </w:t>
      </w:r>
      <w:r w:rsidRPr="00951A4D">
        <w:rPr>
          <w:rFonts w:ascii="Calibri" w:hAnsi="Calibri" w:cs="Calibri"/>
          <w:sz w:val="24"/>
          <w:szCs w:val="24"/>
        </w:rPr>
        <w:t xml:space="preserve">bilježe ostvarenje od </w:t>
      </w:r>
      <w:r w:rsidR="00166831">
        <w:rPr>
          <w:rFonts w:ascii="Calibri" w:hAnsi="Calibri" w:cs="Calibri"/>
          <w:sz w:val="24"/>
          <w:szCs w:val="24"/>
        </w:rPr>
        <w:t>560.724,00</w:t>
      </w:r>
      <w:r w:rsidRPr="00951A4D">
        <w:rPr>
          <w:rFonts w:ascii="Calibri" w:hAnsi="Calibri" w:cs="Calibri"/>
          <w:sz w:val="24"/>
          <w:szCs w:val="24"/>
        </w:rPr>
        <w:t xml:space="preserve"> eura ili za </w:t>
      </w:r>
      <w:r w:rsidR="00166831">
        <w:rPr>
          <w:rFonts w:ascii="Calibri" w:hAnsi="Calibri" w:cs="Calibri"/>
          <w:sz w:val="24"/>
          <w:szCs w:val="24"/>
        </w:rPr>
        <w:t>25,3</w:t>
      </w:r>
      <w:r w:rsidRPr="00951A4D">
        <w:rPr>
          <w:rFonts w:ascii="Calibri" w:hAnsi="Calibri" w:cs="Calibri"/>
          <w:sz w:val="24"/>
          <w:szCs w:val="24"/>
        </w:rPr>
        <w:t xml:space="preserve">% manje u odnosu na prethodnu godinu i u cijelosti pripadaju Gradu Trogiru. Iznos od </w:t>
      </w:r>
      <w:r w:rsidR="00166831">
        <w:rPr>
          <w:rFonts w:ascii="Calibri" w:hAnsi="Calibri" w:cs="Calibri"/>
          <w:sz w:val="24"/>
          <w:szCs w:val="24"/>
        </w:rPr>
        <w:t>420.924,00</w:t>
      </w:r>
      <w:r w:rsidRPr="00951A4D">
        <w:rPr>
          <w:rFonts w:ascii="Calibri" w:hAnsi="Calibri" w:cs="Calibri"/>
          <w:sz w:val="24"/>
          <w:szCs w:val="24"/>
        </w:rPr>
        <w:t xml:space="preserve"> eura odnosi se na </w:t>
      </w:r>
      <w:r w:rsidRPr="00166831">
        <w:rPr>
          <w:rFonts w:ascii="Calibri" w:hAnsi="Calibri" w:cs="Calibri"/>
          <w:sz w:val="24"/>
          <w:szCs w:val="24"/>
        </w:rPr>
        <w:t>isplate iz državnog proračuna</w:t>
      </w:r>
      <w:r w:rsidR="00166831" w:rsidRPr="00166831">
        <w:rPr>
          <w:rFonts w:ascii="Calibri" w:hAnsi="Calibri" w:cs="Calibri"/>
          <w:sz w:val="24"/>
          <w:szCs w:val="24"/>
        </w:rPr>
        <w:t xml:space="preserve"> </w:t>
      </w:r>
      <w:r w:rsidR="00166831" w:rsidRPr="00166831">
        <w:rPr>
          <w:sz w:val="24"/>
          <w:szCs w:val="24"/>
        </w:rPr>
        <w:t>za fiskalnu održivost dječjih vrtića temeljem Odluke Vlade o dodjeli sredstava za fiskalnu održivost dječjih vrtića za pedagošku godinu 2024./2025. („NN“ br.132/24) kojom su utvrđeni iznosi sredstava za jedinice lokalne samouprave sukladno Uredbi o kriterijima i mjerilima za utvrđivanje iznosa sredstava za fiskalnu održivost dječjih vrtića, zatim tekuće pomoći od SDŽ-a u ukupnom iznosu od 139.800 eura koji se najvećim dijelom odnosi za sufinanciranje javnog prijevoza koji za Grad obavlja trgovačko društvo Promet d.o.o.</w:t>
      </w:r>
      <w:r w:rsidR="00B416BE">
        <w:rPr>
          <w:sz w:val="24"/>
          <w:szCs w:val="24"/>
        </w:rPr>
        <w:t xml:space="preserve"> </w:t>
      </w:r>
      <w:r w:rsidR="00166831" w:rsidRPr="00166831">
        <w:rPr>
          <w:sz w:val="24"/>
          <w:szCs w:val="24"/>
        </w:rPr>
        <w:t xml:space="preserve">(132.000,00 eura) te iznos od 5.000,00 eura za financiranje programa novog kulturno edukacijskog centra </w:t>
      </w:r>
      <w:proofErr w:type="spellStart"/>
      <w:r w:rsidR="00166831" w:rsidRPr="00166831">
        <w:rPr>
          <w:sz w:val="24"/>
          <w:szCs w:val="24"/>
        </w:rPr>
        <w:t>Kantun</w:t>
      </w:r>
      <w:proofErr w:type="spellEnd"/>
      <w:r w:rsidR="00166831" w:rsidRPr="00166831">
        <w:rPr>
          <w:sz w:val="24"/>
          <w:szCs w:val="24"/>
        </w:rPr>
        <w:t xml:space="preserve"> kulture i 2.800,00 eura za sufinanciranje škole plivanja. </w:t>
      </w:r>
    </w:p>
    <w:p w14:paraId="24F05A8A" w14:textId="1FAB03FC" w:rsidR="00592D5D" w:rsidRPr="00592D5D" w:rsidRDefault="00416B2D" w:rsidP="00592D5D">
      <w:pPr>
        <w:jc w:val="both"/>
        <w:rPr>
          <w:rFonts w:ascii="Calibri" w:hAnsi="Calibri" w:cs="Calibri"/>
          <w:sz w:val="24"/>
          <w:szCs w:val="24"/>
        </w:rPr>
      </w:pPr>
      <w:r w:rsidRPr="00592D5D">
        <w:rPr>
          <w:rFonts w:ascii="Calibri" w:hAnsi="Calibri" w:cs="Calibri"/>
          <w:sz w:val="24"/>
          <w:szCs w:val="24"/>
        </w:rPr>
        <w:t>Kapitalne pomoći proračunu</w:t>
      </w:r>
      <w:r w:rsidR="00592D5D" w:rsidRPr="00592D5D">
        <w:rPr>
          <w:rFonts w:ascii="Calibri" w:hAnsi="Calibri" w:cs="Calibri"/>
          <w:sz w:val="24"/>
          <w:szCs w:val="24"/>
        </w:rPr>
        <w:t xml:space="preserve"> i izvanproračunskim korisnicima</w:t>
      </w:r>
      <w:r w:rsidRPr="00592D5D">
        <w:rPr>
          <w:rFonts w:ascii="Calibri" w:hAnsi="Calibri" w:cs="Calibri"/>
          <w:sz w:val="24"/>
          <w:szCs w:val="24"/>
        </w:rPr>
        <w:t xml:space="preserve"> iz drugih proračuna ostvarene su u iznosu od </w:t>
      </w:r>
      <w:r w:rsidR="00592D5D" w:rsidRPr="00592D5D">
        <w:rPr>
          <w:rFonts w:ascii="Calibri" w:hAnsi="Calibri" w:cs="Calibri"/>
          <w:sz w:val="24"/>
          <w:szCs w:val="24"/>
        </w:rPr>
        <w:t>418.000,00</w:t>
      </w:r>
      <w:r w:rsidRPr="00592D5D">
        <w:rPr>
          <w:rFonts w:ascii="Calibri" w:hAnsi="Calibri" w:cs="Calibri"/>
          <w:sz w:val="24"/>
          <w:szCs w:val="24"/>
        </w:rPr>
        <w:t xml:space="preserve"> eura, što je za </w:t>
      </w:r>
      <w:r w:rsidR="00592D5D" w:rsidRPr="00592D5D">
        <w:rPr>
          <w:rFonts w:ascii="Calibri" w:hAnsi="Calibri" w:cs="Calibri"/>
          <w:sz w:val="24"/>
          <w:szCs w:val="24"/>
        </w:rPr>
        <w:t>2,53</w:t>
      </w:r>
      <w:r w:rsidRPr="00592D5D">
        <w:rPr>
          <w:rFonts w:ascii="Calibri" w:hAnsi="Calibri" w:cs="Calibri"/>
          <w:sz w:val="24"/>
          <w:szCs w:val="24"/>
        </w:rPr>
        <w:t xml:space="preserve">% manje od ostvarenja prethodne godine i u </w:t>
      </w:r>
      <w:r w:rsidR="00592D5D" w:rsidRPr="00592D5D">
        <w:rPr>
          <w:rFonts w:ascii="Calibri" w:hAnsi="Calibri" w:cs="Calibri"/>
          <w:sz w:val="24"/>
          <w:szCs w:val="24"/>
        </w:rPr>
        <w:t>cijelosti</w:t>
      </w:r>
      <w:r w:rsidRPr="00592D5D">
        <w:rPr>
          <w:rFonts w:ascii="Calibri" w:hAnsi="Calibri" w:cs="Calibri"/>
          <w:sz w:val="24"/>
          <w:szCs w:val="24"/>
        </w:rPr>
        <w:t xml:space="preserve"> pripadaju Gradu Trogiru</w:t>
      </w:r>
      <w:r w:rsidR="00592D5D" w:rsidRPr="00592D5D">
        <w:rPr>
          <w:rFonts w:ascii="Calibri" w:hAnsi="Calibri" w:cs="Calibri"/>
          <w:sz w:val="24"/>
          <w:szCs w:val="24"/>
        </w:rPr>
        <w:t xml:space="preserve">, a odnose se na: </w:t>
      </w:r>
      <w:r w:rsidR="00592D5D" w:rsidRPr="00592D5D">
        <w:rPr>
          <w:sz w:val="24"/>
          <w:szCs w:val="24"/>
        </w:rPr>
        <w:t xml:space="preserve">sufinanciranje od strane MRRFEU za projekt </w:t>
      </w:r>
      <w:r w:rsidR="00592D5D" w:rsidRPr="00592D5D">
        <w:rPr>
          <w:sz w:val="24"/>
          <w:szCs w:val="24"/>
        </w:rPr>
        <w:lastRenderedPageBreak/>
        <w:t xml:space="preserve">opremanja dječjeg igrališta i uređenja pristupačnosti plaže </w:t>
      </w:r>
      <w:proofErr w:type="spellStart"/>
      <w:r w:rsidR="00592D5D" w:rsidRPr="00592D5D">
        <w:rPr>
          <w:sz w:val="24"/>
          <w:szCs w:val="24"/>
        </w:rPr>
        <w:t>Saldun</w:t>
      </w:r>
      <w:proofErr w:type="spellEnd"/>
      <w:r w:rsidR="00592D5D" w:rsidRPr="00592D5D">
        <w:rPr>
          <w:sz w:val="24"/>
          <w:szCs w:val="24"/>
        </w:rPr>
        <w:t xml:space="preserve"> u iznosu od 36.000,00 eura i programa razvoja otoka za uređenje trga Rudine na Drveniku Malom u iznosu od 90.000,00 eura. Ministarstvo kulture je sufinanciralo projekte sanaciju </w:t>
      </w:r>
      <w:proofErr w:type="spellStart"/>
      <w:r w:rsidR="00592D5D" w:rsidRPr="00592D5D">
        <w:rPr>
          <w:sz w:val="24"/>
          <w:szCs w:val="24"/>
        </w:rPr>
        <w:t>palaće</w:t>
      </w:r>
      <w:proofErr w:type="spellEnd"/>
      <w:r w:rsidR="00592D5D" w:rsidRPr="00592D5D">
        <w:rPr>
          <w:sz w:val="24"/>
          <w:szCs w:val="24"/>
        </w:rPr>
        <w:t xml:space="preserve"> Lucić u iznosu od 10.000,00 eura, gradske vijećnice odnosno obnovu balkona na zgradi Knežev dvor u iznosu 30.000,00 </w:t>
      </w:r>
      <w:proofErr w:type="spellStart"/>
      <w:r w:rsidR="00592D5D" w:rsidRPr="00592D5D">
        <w:rPr>
          <w:sz w:val="24"/>
          <w:szCs w:val="24"/>
        </w:rPr>
        <w:t>euta</w:t>
      </w:r>
      <w:proofErr w:type="spellEnd"/>
      <w:r w:rsidR="00592D5D" w:rsidRPr="00592D5D">
        <w:rPr>
          <w:sz w:val="24"/>
          <w:szCs w:val="24"/>
        </w:rPr>
        <w:t xml:space="preserve"> te projekt sanacije kuće </w:t>
      </w:r>
      <w:proofErr w:type="spellStart"/>
      <w:r w:rsidR="00592D5D" w:rsidRPr="00592D5D">
        <w:rPr>
          <w:sz w:val="24"/>
          <w:szCs w:val="24"/>
        </w:rPr>
        <w:t>Puović</w:t>
      </w:r>
      <w:proofErr w:type="spellEnd"/>
      <w:r w:rsidR="00592D5D" w:rsidRPr="00592D5D">
        <w:rPr>
          <w:sz w:val="24"/>
          <w:szCs w:val="24"/>
        </w:rPr>
        <w:t xml:space="preserve"> u iznosu od 82.000,00 eura. Splitsko dalmatinska županija je iz svog proračuna sufinancirala uređenje obalnog pojasa </w:t>
      </w:r>
      <w:proofErr w:type="spellStart"/>
      <w:r w:rsidR="00592D5D" w:rsidRPr="00592D5D">
        <w:rPr>
          <w:sz w:val="24"/>
          <w:szCs w:val="24"/>
        </w:rPr>
        <w:t>Saldun</w:t>
      </w:r>
      <w:proofErr w:type="spellEnd"/>
      <w:r w:rsidR="00592D5D" w:rsidRPr="00592D5D">
        <w:rPr>
          <w:sz w:val="24"/>
          <w:szCs w:val="24"/>
        </w:rPr>
        <w:t xml:space="preserve"> u iznosu od 20.000,00 eura i uređenje šetnice </w:t>
      </w:r>
      <w:proofErr w:type="spellStart"/>
      <w:r w:rsidR="00592D5D" w:rsidRPr="00592D5D">
        <w:rPr>
          <w:sz w:val="24"/>
          <w:szCs w:val="24"/>
        </w:rPr>
        <w:t>Brigi</w:t>
      </w:r>
      <w:proofErr w:type="spellEnd"/>
      <w:r w:rsidR="00592D5D" w:rsidRPr="00592D5D">
        <w:rPr>
          <w:sz w:val="24"/>
          <w:szCs w:val="24"/>
        </w:rPr>
        <w:t xml:space="preserve"> lokvice od parkirališta do malog mosta u iznosu od 150.000,00 eura.</w:t>
      </w:r>
    </w:p>
    <w:p w14:paraId="141C822A" w14:textId="19DA0B37" w:rsidR="00592D5D" w:rsidRPr="00592D5D" w:rsidRDefault="00592D5D" w:rsidP="00592D5D">
      <w:pPr>
        <w:jc w:val="both"/>
        <w:rPr>
          <w:sz w:val="24"/>
          <w:szCs w:val="24"/>
        </w:rPr>
      </w:pPr>
      <w:r w:rsidRPr="00592D5D">
        <w:rPr>
          <w:sz w:val="24"/>
          <w:szCs w:val="24"/>
          <w:u w:val="single"/>
        </w:rPr>
        <w:t>Pomoći od izvanproračunskih korisnika</w:t>
      </w:r>
      <w:r w:rsidRPr="00592D5D">
        <w:rPr>
          <w:sz w:val="24"/>
          <w:szCs w:val="24"/>
        </w:rPr>
        <w:t xml:space="preserve">  iznose 252.041,89 eura i bilježe značajnih 527,3% više ostvarenje u odnosu na prošlu godinu, a odnose se na tekuće pomoći od izvanproračunskih korisnika i to od Fonda za zaštitu okoliša i energetsku učinkovitost za financiranje otklanjanja otpada odbačenog u okoliš</w:t>
      </w:r>
      <w:r w:rsidR="0038370B">
        <w:rPr>
          <w:sz w:val="24"/>
          <w:szCs w:val="24"/>
        </w:rPr>
        <w:t xml:space="preserve"> u iznosu od 13.750,00 eura</w:t>
      </w:r>
      <w:r w:rsidRPr="00592D5D">
        <w:rPr>
          <w:sz w:val="24"/>
          <w:szCs w:val="24"/>
        </w:rPr>
        <w:t xml:space="preserve"> i kapitalne pomoći u iznosu od 238.291,89 eura, koje bilježe značajno povećanje u odnosu na prethodnu godinu, a odnose se na sufinanciranje projekta pametnih i održivih rješenja (Trogir Digital) od strane Fonda u iznosu od 23.587,50 eura te projekt provedbe mjere prilagodbe klimatskim promjenama u iznosu sufinanciranja od 214.704,39 eura u ovom izvještajnom razdoblju za rashode koji su većinom ostvareni u prošlogodišnjem razdoblju.</w:t>
      </w:r>
    </w:p>
    <w:p w14:paraId="50BC72B3" w14:textId="26A6E6A5" w:rsidR="00E26FD9" w:rsidRPr="00547D17" w:rsidRDefault="00E26FD9" w:rsidP="00547D17">
      <w:pPr>
        <w:jc w:val="both"/>
        <w:rPr>
          <w:sz w:val="24"/>
          <w:szCs w:val="24"/>
        </w:rPr>
      </w:pPr>
      <w:r w:rsidRPr="00547D17">
        <w:rPr>
          <w:rFonts w:cs="Calibri"/>
          <w:sz w:val="24"/>
          <w:szCs w:val="24"/>
          <w:u w:val="single"/>
        </w:rPr>
        <w:t>Pomoći izravnanja za decentralizirane funkcije</w:t>
      </w:r>
      <w:r w:rsidR="00547D17" w:rsidRPr="00547D17">
        <w:rPr>
          <w:rFonts w:cs="Calibri"/>
          <w:sz w:val="24"/>
          <w:szCs w:val="24"/>
          <w:u w:val="single"/>
        </w:rPr>
        <w:t xml:space="preserve"> i fiskalnog izravnanja</w:t>
      </w:r>
      <w:r w:rsidRPr="00547D17">
        <w:rPr>
          <w:rFonts w:cs="Calibri"/>
          <w:sz w:val="24"/>
          <w:szCs w:val="24"/>
        </w:rPr>
        <w:t xml:space="preserve">  ostvarene su u iznosu od </w:t>
      </w:r>
      <w:r w:rsidR="00547D17" w:rsidRPr="00547D17">
        <w:rPr>
          <w:rFonts w:cs="Calibri"/>
          <w:sz w:val="24"/>
          <w:szCs w:val="24"/>
        </w:rPr>
        <w:t>447.802,51</w:t>
      </w:r>
      <w:r w:rsidRPr="00547D17">
        <w:rPr>
          <w:rFonts w:cs="Calibri"/>
          <w:sz w:val="24"/>
          <w:szCs w:val="24"/>
        </w:rPr>
        <w:t xml:space="preserve"> eura ili </w:t>
      </w:r>
      <w:r w:rsidR="00547D17" w:rsidRPr="00547D17">
        <w:rPr>
          <w:rFonts w:cs="Calibri"/>
          <w:sz w:val="24"/>
          <w:szCs w:val="24"/>
        </w:rPr>
        <w:t>107,3</w:t>
      </w:r>
      <w:r w:rsidRPr="00547D17">
        <w:rPr>
          <w:rFonts w:cs="Calibri"/>
          <w:sz w:val="24"/>
          <w:szCs w:val="24"/>
        </w:rPr>
        <w:t xml:space="preserve">% manje, </w:t>
      </w:r>
      <w:r w:rsidR="00547D17" w:rsidRPr="00547D17">
        <w:rPr>
          <w:sz w:val="24"/>
          <w:szCs w:val="24"/>
        </w:rPr>
        <w:t>od kojeg iznosa se 221.093,34 eura radi  o prihodu Grada Trogira za financiranje JVP Grada Trogira temeljem Odluke Vlade o minimalnim financijskim standardima za obavljanje djelatnosti javnih vatrogasnih postrojbi u 2025.godini, Uredbi Vlade o načinu financiranja decentraliziranih funkcija te izračuna pomoći izravnanja za 2025.g i pomoći fiskalnog izravnanja u iznosu od 226.709,17 eura koji je prethodne godine bio iskazan u odjeljku 6311, ostvarenje se odnosi na kompenzacijske mjere temeljem Odluke Vlade o udjelu sredstava fiskalnog izravnanja za 2025.godinu ( NN155/24) koja su sredstava osigurana u državnom proračunu 2025.za Grad Trogir.</w:t>
      </w:r>
    </w:p>
    <w:p w14:paraId="2510A0F7" w14:textId="392176AB" w:rsidR="004B2157" w:rsidRDefault="00E26FD9" w:rsidP="00547D17">
      <w:pPr>
        <w:spacing w:after="0"/>
        <w:jc w:val="both"/>
        <w:rPr>
          <w:rFonts w:ascii="Calibri" w:hAnsi="Calibri" w:cs="Calibri"/>
          <w:sz w:val="24"/>
          <w:szCs w:val="24"/>
        </w:rPr>
      </w:pPr>
      <w:r w:rsidRPr="004B2157">
        <w:rPr>
          <w:rFonts w:ascii="Calibri" w:hAnsi="Calibri" w:cs="Calibri"/>
          <w:sz w:val="24"/>
          <w:szCs w:val="24"/>
          <w:u w:val="single"/>
        </w:rPr>
        <w:t>Pomoći proračunskim korisnicima iz proračuna koji im nije nadležan</w:t>
      </w:r>
      <w:r w:rsidR="00C13BC5">
        <w:rPr>
          <w:rFonts w:ascii="Calibri" w:hAnsi="Calibri" w:cs="Calibri"/>
          <w:sz w:val="24"/>
          <w:szCs w:val="24"/>
        </w:rPr>
        <w:t xml:space="preserve"> su pomoći koje proračunski korisnici Grada Trogira ostvare od proračuna drugih razina vlasti, prvenstveno državnog i županijskog proračuna. U 202</w:t>
      </w:r>
      <w:r w:rsidR="00547D17">
        <w:rPr>
          <w:rFonts w:ascii="Calibri" w:hAnsi="Calibri" w:cs="Calibri"/>
          <w:sz w:val="24"/>
          <w:szCs w:val="24"/>
        </w:rPr>
        <w:t>5</w:t>
      </w:r>
      <w:r w:rsidR="00C13BC5">
        <w:rPr>
          <w:rFonts w:ascii="Calibri" w:hAnsi="Calibri" w:cs="Calibri"/>
          <w:sz w:val="24"/>
          <w:szCs w:val="24"/>
        </w:rPr>
        <w:t>. godini</w:t>
      </w:r>
      <w:r w:rsidRPr="00E26FD9">
        <w:rPr>
          <w:rFonts w:ascii="Calibri" w:hAnsi="Calibri" w:cs="Calibri"/>
          <w:sz w:val="24"/>
          <w:szCs w:val="24"/>
        </w:rPr>
        <w:t xml:space="preserve"> ostvarene su </w:t>
      </w:r>
      <w:r w:rsidR="004B2157">
        <w:rPr>
          <w:rFonts w:ascii="Calibri" w:hAnsi="Calibri" w:cs="Calibri"/>
          <w:sz w:val="24"/>
          <w:szCs w:val="24"/>
        </w:rPr>
        <w:t xml:space="preserve">pomoći </w:t>
      </w:r>
      <w:r w:rsidRPr="00E26FD9">
        <w:rPr>
          <w:rFonts w:ascii="Calibri" w:hAnsi="Calibri" w:cs="Calibri"/>
          <w:sz w:val="24"/>
          <w:szCs w:val="24"/>
        </w:rPr>
        <w:t xml:space="preserve">u iznosu od </w:t>
      </w:r>
      <w:r w:rsidR="00547D17">
        <w:rPr>
          <w:rFonts w:ascii="Calibri" w:hAnsi="Calibri" w:cs="Calibri"/>
          <w:sz w:val="24"/>
          <w:szCs w:val="24"/>
        </w:rPr>
        <w:t>94.444,33</w:t>
      </w:r>
      <w:r w:rsidRPr="00E26FD9">
        <w:rPr>
          <w:rFonts w:ascii="Calibri" w:hAnsi="Calibri" w:cs="Calibri"/>
          <w:sz w:val="24"/>
          <w:szCs w:val="24"/>
        </w:rPr>
        <w:t xml:space="preserve"> eura </w:t>
      </w:r>
      <w:r w:rsidR="00547D17">
        <w:rPr>
          <w:rFonts w:ascii="Calibri" w:hAnsi="Calibri" w:cs="Calibri"/>
          <w:sz w:val="24"/>
          <w:szCs w:val="24"/>
        </w:rPr>
        <w:t>što je za 15,8%</w:t>
      </w:r>
      <w:r w:rsidRPr="00E26FD9">
        <w:rPr>
          <w:rFonts w:ascii="Calibri" w:hAnsi="Calibri" w:cs="Calibri"/>
          <w:sz w:val="24"/>
          <w:szCs w:val="24"/>
        </w:rPr>
        <w:t xml:space="preserve"> više </w:t>
      </w:r>
      <w:r w:rsidR="00547D17">
        <w:rPr>
          <w:rFonts w:ascii="Calibri" w:hAnsi="Calibri" w:cs="Calibri"/>
          <w:sz w:val="24"/>
          <w:szCs w:val="24"/>
        </w:rPr>
        <w:t>od ostvarenja</w:t>
      </w:r>
      <w:r w:rsidRPr="00E26FD9">
        <w:rPr>
          <w:rFonts w:ascii="Calibri" w:hAnsi="Calibri" w:cs="Calibri"/>
          <w:sz w:val="24"/>
          <w:szCs w:val="24"/>
        </w:rPr>
        <w:t xml:space="preserve"> </w:t>
      </w:r>
      <w:r w:rsidR="00547D17">
        <w:rPr>
          <w:rFonts w:ascii="Calibri" w:hAnsi="Calibri" w:cs="Calibri"/>
          <w:sz w:val="24"/>
          <w:szCs w:val="24"/>
        </w:rPr>
        <w:t>prethodne</w:t>
      </w:r>
      <w:r w:rsidRPr="00E26FD9">
        <w:rPr>
          <w:rFonts w:ascii="Calibri" w:hAnsi="Calibri" w:cs="Calibri"/>
          <w:sz w:val="24"/>
          <w:szCs w:val="24"/>
        </w:rPr>
        <w:t xml:space="preserve"> godin</w:t>
      </w:r>
      <w:r w:rsidR="00547D17">
        <w:rPr>
          <w:rFonts w:ascii="Calibri" w:hAnsi="Calibri" w:cs="Calibri"/>
          <w:sz w:val="24"/>
          <w:szCs w:val="24"/>
        </w:rPr>
        <w:t>e</w:t>
      </w:r>
      <w:r w:rsidRPr="00E26FD9">
        <w:rPr>
          <w:rFonts w:ascii="Calibri" w:hAnsi="Calibri" w:cs="Calibri"/>
          <w:sz w:val="24"/>
          <w:szCs w:val="24"/>
        </w:rPr>
        <w:t xml:space="preserve"> i pripadaju proračunskim korisnicima (Dječjem vrtiću Trogir</w:t>
      </w:r>
      <w:r w:rsidR="00547D17">
        <w:rPr>
          <w:rFonts w:ascii="Calibri" w:hAnsi="Calibri" w:cs="Calibri"/>
          <w:sz w:val="24"/>
          <w:szCs w:val="24"/>
        </w:rPr>
        <w:t xml:space="preserve">, </w:t>
      </w:r>
      <w:r w:rsidRPr="00E26FD9">
        <w:rPr>
          <w:rFonts w:ascii="Calibri" w:hAnsi="Calibri" w:cs="Calibri"/>
          <w:sz w:val="24"/>
          <w:szCs w:val="24"/>
        </w:rPr>
        <w:t>Muzeju Grada Trogira</w:t>
      </w:r>
      <w:r w:rsidR="00547D17">
        <w:rPr>
          <w:rFonts w:ascii="Calibri" w:hAnsi="Calibri" w:cs="Calibri"/>
          <w:sz w:val="24"/>
          <w:szCs w:val="24"/>
        </w:rPr>
        <w:t xml:space="preserve"> i Gradskoj knjižnici Trogir</w:t>
      </w:r>
      <w:r w:rsidRPr="00E26FD9">
        <w:rPr>
          <w:rFonts w:ascii="Calibri" w:hAnsi="Calibri" w:cs="Calibri"/>
          <w:sz w:val="24"/>
          <w:szCs w:val="24"/>
        </w:rPr>
        <w:t xml:space="preserve">). </w:t>
      </w:r>
      <w:bookmarkStart w:id="0" w:name="_Hlk191539714"/>
    </w:p>
    <w:p w14:paraId="6454FBA0" w14:textId="3ADACDA6" w:rsidR="0069209E" w:rsidRDefault="00547D17" w:rsidP="0069209E">
      <w:pPr>
        <w:spacing w:after="0"/>
        <w:jc w:val="both"/>
        <w:rPr>
          <w:sz w:val="24"/>
          <w:szCs w:val="24"/>
        </w:rPr>
      </w:pPr>
      <w:r w:rsidRPr="00547D17">
        <w:rPr>
          <w:sz w:val="24"/>
          <w:szCs w:val="24"/>
        </w:rPr>
        <w:t xml:space="preserve">Dječji vrtić Trogir bilježi ostvarenje tekućih pomoći u iznosu od 22.644,33 eura ili za 17,7% više od ostvarenja prethodne godine zbog prijenosa većeg iznosa sredstava Općine Kaštela za veći </w:t>
      </w:r>
      <w:r w:rsidRPr="0069209E">
        <w:rPr>
          <w:rFonts w:cstheme="minorHAnsi"/>
          <w:sz w:val="24"/>
          <w:szCs w:val="24"/>
        </w:rPr>
        <w:t>broj djece koji pohađaju vrtiće Grada Trogira.</w:t>
      </w:r>
      <w:r w:rsidR="0069209E" w:rsidRPr="0069209E">
        <w:rPr>
          <w:rFonts w:cstheme="minorHAnsi"/>
          <w:sz w:val="24"/>
          <w:szCs w:val="24"/>
        </w:rPr>
        <w:t xml:space="preserve"> Temeljem potpisivanja Ugovora o načinu i uvjetima sufinanciranja programa predškolskog odgoja kojeg za potrebe Grada Kaštela realizira Dječji vrtić „Trogir“, uplaćena su sredstva od Grada Kaštela u iznosu od 9.527,33 </w:t>
      </w:r>
      <w:r w:rsidR="0069209E">
        <w:rPr>
          <w:rFonts w:cstheme="minorHAnsi"/>
          <w:sz w:val="24"/>
          <w:szCs w:val="24"/>
        </w:rPr>
        <w:t xml:space="preserve">eura </w:t>
      </w:r>
      <w:r w:rsidR="0069209E" w:rsidRPr="0069209E">
        <w:rPr>
          <w:rFonts w:cstheme="minorHAnsi"/>
          <w:sz w:val="24"/>
          <w:szCs w:val="24"/>
        </w:rPr>
        <w:t>(za djecu koja pohađaju vrtić Grada Trogira), koji se evidentira kao prihod tekuće pomoći proračunskim korisnicima iz proračuna koji im nije nadležan.</w:t>
      </w:r>
      <w:r w:rsidR="0069209E" w:rsidRPr="0069209E">
        <w:rPr>
          <w:sz w:val="24"/>
          <w:szCs w:val="24"/>
        </w:rPr>
        <w:t xml:space="preserve"> </w:t>
      </w:r>
      <w:r w:rsidR="0069209E" w:rsidRPr="00547D17">
        <w:rPr>
          <w:sz w:val="24"/>
          <w:szCs w:val="24"/>
        </w:rPr>
        <w:t xml:space="preserve">Trenutno je dvoje djece iz Općine Kaštela koja pohađaju vrtiće Grada Trogira. </w:t>
      </w:r>
    </w:p>
    <w:p w14:paraId="2850D311" w14:textId="0485C72C" w:rsidR="00547D17" w:rsidRPr="00547D17" w:rsidRDefault="00547D17" w:rsidP="00547D17">
      <w:pPr>
        <w:spacing w:after="0"/>
        <w:jc w:val="both"/>
        <w:rPr>
          <w:sz w:val="24"/>
          <w:szCs w:val="24"/>
        </w:rPr>
      </w:pPr>
      <w:r w:rsidRPr="00547D17">
        <w:rPr>
          <w:sz w:val="24"/>
          <w:szCs w:val="24"/>
        </w:rPr>
        <w:t>Riječ je</w:t>
      </w:r>
      <w:r w:rsidR="0069209E">
        <w:rPr>
          <w:sz w:val="24"/>
          <w:szCs w:val="24"/>
        </w:rPr>
        <w:t xml:space="preserve"> i</w:t>
      </w:r>
      <w:r w:rsidRPr="00547D17">
        <w:rPr>
          <w:sz w:val="24"/>
          <w:szCs w:val="24"/>
        </w:rPr>
        <w:t xml:space="preserve"> o tekućim pomoćima od Ministarstva znanosti i obrazovanja za sufinanciranje programa </w:t>
      </w:r>
      <w:proofErr w:type="spellStart"/>
      <w:r w:rsidRPr="00547D17">
        <w:rPr>
          <w:sz w:val="24"/>
          <w:szCs w:val="24"/>
        </w:rPr>
        <w:t>predškole</w:t>
      </w:r>
      <w:proofErr w:type="spellEnd"/>
      <w:r w:rsidR="0069209E">
        <w:rPr>
          <w:sz w:val="24"/>
          <w:szCs w:val="24"/>
        </w:rPr>
        <w:t xml:space="preserve"> u iznosu od </w:t>
      </w:r>
      <w:r w:rsidR="00D63A02">
        <w:rPr>
          <w:sz w:val="24"/>
          <w:szCs w:val="24"/>
        </w:rPr>
        <w:t>3.600,00 eura</w:t>
      </w:r>
      <w:r w:rsidRPr="00547D17">
        <w:rPr>
          <w:sz w:val="24"/>
          <w:szCs w:val="24"/>
        </w:rPr>
        <w:t xml:space="preserve"> i program za djecu s teškoćama u razvoju koja su integrirana u odgojno- obrazovne skupine te Program za djecu s poteškoćama u razvoju u posebnoj skupini</w:t>
      </w:r>
      <w:r w:rsidR="00D63A02">
        <w:rPr>
          <w:sz w:val="24"/>
          <w:szCs w:val="24"/>
        </w:rPr>
        <w:t xml:space="preserve"> u iznosu od 9.517,00 eura.</w:t>
      </w:r>
    </w:p>
    <w:p w14:paraId="1DE6B2F0" w14:textId="77777777" w:rsidR="00D63A02" w:rsidRDefault="00547D17" w:rsidP="00D63A02">
      <w:pPr>
        <w:spacing w:after="0"/>
        <w:jc w:val="both"/>
        <w:rPr>
          <w:sz w:val="24"/>
          <w:szCs w:val="24"/>
        </w:rPr>
      </w:pPr>
      <w:r w:rsidRPr="00547D17">
        <w:rPr>
          <w:sz w:val="24"/>
          <w:szCs w:val="24"/>
        </w:rPr>
        <w:lastRenderedPageBreak/>
        <w:t>Muzej Grada Trogira bilježi ostvarenje tekućih pomoći u iznosu od 59.000,00 eura što je za 5,4 % manje od ostvarenja prethodne godine, do 30.rujna 2025.godine uplate su direktno sjedale na račun Muzeja, prelaskom u sustav Riznice, svi računi proračunskih korisnika su ugašeni pa su navedena sredstva sjedala na jedinstven račun Grada Trogira.</w:t>
      </w:r>
      <w:r w:rsidR="00D63A02">
        <w:rPr>
          <w:sz w:val="24"/>
          <w:szCs w:val="24"/>
        </w:rPr>
        <w:t xml:space="preserve">  P</w:t>
      </w:r>
      <w:r w:rsidRPr="00547D17">
        <w:rPr>
          <w:sz w:val="24"/>
          <w:szCs w:val="24"/>
        </w:rPr>
        <w:t xml:space="preserve">rihodi se odnose na uplate Ministarstva kulture i medija za realizaciju izložbi te konzervaciju i restauraciju hrvatske zastave, sanaciju i restauraciju palače </w:t>
      </w:r>
      <w:proofErr w:type="spellStart"/>
      <w:r w:rsidRPr="00547D17">
        <w:rPr>
          <w:sz w:val="24"/>
          <w:szCs w:val="24"/>
        </w:rPr>
        <w:t>Garagnin</w:t>
      </w:r>
      <w:proofErr w:type="spellEnd"/>
      <w:r w:rsidRPr="00547D17">
        <w:rPr>
          <w:sz w:val="24"/>
          <w:szCs w:val="24"/>
        </w:rPr>
        <w:t xml:space="preserve">- </w:t>
      </w:r>
      <w:proofErr w:type="spellStart"/>
      <w:r w:rsidRPr="00547D17">
        <w:rPr>
          <w:sz w:val="24"/>
          <w:szCs w:val="24"/>
        </w:rPr>
        <w:t>Fanfogna</w:t>
      </w:r>
      <w:proofErr w:type="spellEnd"/>
      <w:r w:rsidRPr="00547D17">
        <w:rPr>
          <w:sz w:val="24"/>
          <w:szCs w:val="24"/>
        </w:rPr>
        <w:t>.</w:t>
      </w:r>
    </w:p>
    <w:p w14:paraId="567ED313" w14:textId="7004CC7E" w:rsidR="00547D17" w:rsidRPr="00D63A02" w:rsidRDefault="00547D17" w:rsidP="00D63A02">
      <w:pPr>
        <w:rPr>
          <w:rFonts w:ascii="Times New Roman" w:hAnsi="Times New Roman"/>
        </w:rPr>
      </w:pPr>
      <w:r w:rsidRPr="00D63A02">
        <w:rPr>
          <w:sz w:val="24"/>
          <w:szCs w:val="24"/>
        </w:rPr>
        <w:t>Gradska knjižnica Trogir bilježi ostvarenje kapitalnih pomoći u iznosu od 12.800,00 eura i to od Ministarstva kulture za nabavu knjižne građe.</w:t>
      </w:r>
    </w:p>
    <w:bookmarkEnd w:id="0"/>
    <w:p w14:paraId="6E24D430" w14:textId="77777777" w:rsidR="0018261C" w:rsidRDefault="00E26FD9" w:rsidP="0018261C">
      <w:pPr>
        <w:spacing w:after="0"/>
        <w:jc w:val="both"/>
        <w:rPr>
          <w:sz w:val="24"/>
          <w:szCs w:val="24"/>
        </w:rPr>
      </w:pPr>
      <w:r w:rsidRPr="00C80CFE">
        <w:rPr>
          <w:rFonts w:ascii="Calibri" w:hAnsi="Calibri" w:cs="Calibri"/>
          <w:sz w:val="24"/>
          <w:szCs w:val="24"/>
          <w:u w:val="single"/>
        </w:rPr>
        <w:t>Pomoći temeljem prijenosa EU sredstava</w:t>
      </w:r>
      <w:r w:rsidRPr="00C80CFE">
        <w:rPr>
          <w:rFonts w:ascii="Calibri" w:hAnsi="Calibri" w:cs="Calibri"/>
          <w:sz w:val="24"/>
          <w:szCs w:val="24"/>
        </w:rPr>
        <w:t xml:space="preserve">  ostvarene su u iznosu od </w:t>
      </w:r>
      <w:r w:rsidR="00C80CFE" w:rsidRPr="00C80CFE">
        <w:rPr>
          <w:rFonts w:ascii="Calibri" w:hAnsi="Calibri" w:cs="Calibri"/>
          <w:sz w:val="24"/>
          <w:szCs w:val="24"/>
        </w:rPr>
        <w:t>31.405,62</w:t>
      </w:r>
      <w:r w:rsidRPr="00C80CFE">
        <w:rPr>
          <w:rFonts w:ascii="Calibri" w:hAnsi="Calibri" w:cs="Calibri"/>
          <w:sz w:val="24"/>
          <w:szCs w:val="24"/>
        </w:rPr>
        <w:t xml:space="preserve"> eura i bilježe smanjenje od značajnih </w:t>
      </w:r>
      <w:r w:rsidR="00C80CFE" w:rsidRPr="00C80CFE">
        <w:rPr>
          <w:rFonts w:ascii="Calibri" w:hAnsi="Calibri" w:cs="Calibri"/>
          <w:sz w:val="24"/>
          <w:szCs w:val="24"/>
        </w:rPr>
        <w:t>56,8</w:t>
      </w:r>
      <w:r w:rsidRPr="00C80CFE">
        <w:rPr>
          <w:rFonts w:ascii="Calibri" w:hAnsi="Calibri" w:cs="Calibri"/>
          <w:sz w:val="24"/>
          <w:szCs w:val="24"/>
        </w:rPr>
        <w:t>% u odnosu na prethodnu godinu, a odnose se</w:t>
      </w:r>
      <w:r w:rsidR="00C80CFE" w:rsidRPr="00C80CFE">
        <w:rPr>
          <w:sz w:val="24"/>
          <w:szCs w:val="24"/>
        </w:rPr>
        <w:t xml:space="preserve"> u cijelosti na ostvarenje kapitalnih pomoći koji pripadaju Gradu Trogiru.</w:t>
      </w:r>
      <w:r w:rsidR="0018261C">
        <w:rPr>
          <w:sz w:val="24"/>
          <w:szCs w:val="24"/>
        </w:rPr>
        <w:t xml:space="preserve"> </w:t>
      </w:r>
      <w:r w:rsidR="00C80CFE" w:rsidRPr="00C80CFE">
        <w:rPr>
          <w:sz w:val="24"/>
          <w:szCs w:val="24"/>
        </w:rPr>
        <w:t>Na ovoj podskupini prihoda evidentirane su kapitalne pomoći za gradske projekte:</w:t>
      </w:r>
    </w:p>
    <w:p w14:paraId="5E5B65B0" w14:textId="4B8FFE8A" w:rsidR="00C80CFE" w:rsidRPr="00C80CFE" w:rsidRDefault="00C80CFE" w:rsidP="0018261C">
      <w:pPr>
        <w:spacing w:after="0"/>
        <w:jc w:val="both"/>
        <w:rPr>
          <w:sz w:val="24"/>
          <w:szCs w:val="24"/>
        </w:rPr>
      </w:pPr>
      <w:r w:rsidRPr="00C80CFE">
        <w:rPr>
          <w:sz w:val="24"/>
          <w:szCs w:val="24"/>
        </w:rPr>
        <w:t xml:space="preserve">kapitalne pomoći iz državnog proračuna za sufinanciranje Ministarstva prostornog uređenja, graditeljstva i državne imovine, provedbeno tijelo FZZOEU u iznosu bespovratnih sredstava od 85% prihvatljivih troškova po ZNS u br.1 za projekt „Energetska obnova sportske dvorane Vinko </w:t>
      </w:r>
      <w:proofErr w:type="spellStart"/>
      <w:r w:rsidRPr="00C80CFE">
        <w:rPr>
          <w:sz w:val="24"/>
          <w:szCs w:val="24"/>
        </w:rPr>
        <w:t>Kandija</w:t>
      </w:r>
      <w:proofErr w:type="spellEnd"/>
      <w:r w:rsidRPr="00C80CFE">
        <w:rPr>
          <w:sz w:val="24"/>
          <w:szCs w:val="24"/>
        </w:rPr>
        <w:t xml:space="preserve"> u Trogiru, broj ugovora NP00.C61R1-I1.04.0377.</w:t>
      </w:r>
    </w:p>
    <w:p w14:paraId="72FA1AF6" w14:textId="77777777" w:rsidR="00D63A02" w:rsidRDefault="00D63A02" w:rsidP="00890E06">
      <w:pPr>
        <w:spacing w:after="0" w:line="240" w:lineRule="auto"/>
        <w:jc w:val="both"/>
        <w:rPr>
          <w:rFonts w:ascii="Calibri" w:hAnsi="Calibri" w:cs="Calibri"/>
          <w:sz w:val="24"/>
          <w:szCs w:val="24"/>
        </w:rPr>
      </w:pPr>
    </w:p>
    <w:p w14:paraId="54981D57" w14:textId="1FD27BD3" w:rsidR="00890E06" w:rsidRDefault="00890E06" w:rsidP="00890E06">
      <w:pPr>
        <w:spacing w:after="0" w:line="240" w:lineRule="auto"/>
        <w:jc w:val="both"/>
        <w:rPr>
          <w:rFonts w:cstheme="minorHAnsi"/>
          <w:b/>
          <w:sz w:val="24"/>
          <w:szCs w:val="24"/>
        </w:rPr>
      </w:pPr>
      <w:r w:rsidRPr="007B58F0">
        <w:rPr>
          <w:rFonts w:cstheme="minorHAnsi"/>
          <w:b/>
          <w:sz w:val="24"/>
          <w:szCs w:val="24"/>
        </w:rPr>
        <w:t xml:space="preserve">1.1.3. Prihodi od imovine </w:t>
      </w:r>
    </w:p>
    <w:p w14:paraId="0B0739F6" w14:textId="77777777" w:rsidR="000C7581" w:rsidRPr="007B58F0" w:rsidRDefault="000C7581" w:rsidP="00890E06">
      <w:pPr>
        <w:spacing w:after="0" w:line="240" w:lineRule="auto"/>
        <w:jc w:val="both"/>
        <w:rPr>
          <w:rFonts w:cstheme="minorHAnsi"/>
          <w:b/>
          <w:sz w:val="24"/>
          <w:szCs w:val="24"/>
        </w:rPr>
      </w:pPr>
    </w:p>
    <w:p w14:paraId="794DF4B4" w14:textId="191491D8" w:rsidR="00F80611" w:rsidRDefault="00890E06" w:rsidP="00F80611">
      <w:pPr>
        <w:spacing w:after="0" w:line="240" w:lineRule="auto"/>
        <w:jc w:val="both"/>
        <w:rPr>
          <w:rFonts w:ascii="Calibri" w:hAnsi="Calibri" w:cs="Calibri"/>
          <w:sz w:val="24"/>
          <w:szCs w:val="24"/>
        </w:rPr>
      </w:pPr>
      <w:r w:rsidRPr="00CC0BDB">
        <w:rPr>
          <w:rFonts w:cstheme="minorHAnsi"/>
          <w:sz w:val="24"/>
          <w:szCs w:val="24"/>
          <w:u w:val="single"/>
        </w:rPr>
        <w:t>Prihodi od imovine</w:t>
      </w:r>
      <w:r w:rsidRPr="007B58F0">
        <w:rPr>
          <w:rFonts w:cstheme="minorHAnsi"/>
          <w:sz w:val="24"/>
          <w:szCs w:val="24"/>
        </w:rPr>
        <w:t xml:space="preserve"> su planirani u iznosu od </w:t>
      </w:r>
      <w:r w:rsidR="00A96936">
        <w:rPr>
          <w:rFonts w:cstheme="minorHAnsi"/>
          <w:sz w:val="24"/>
          <w:szCs w:val="24"/>
        </w:rPr>
        <w:t>4.184.107,00</w:t>
      </w:r>
      <w:r>
        <w:rPr>
          <w:rFonts w:cstheme="minorHAnsi"/>
          <w:sz w:val="24"/>
          <w:szCs w:val="24"/>
        </w:rPr>
        <w:t xml:space="preserve"> eura</w:t>
      </w:r>
      <w:r w:rsidRPr="007B58F0">
        <w:rPr>
          <w:rFonts w:cstheme="minorHAnsi"/>
          <w:sz w:val="24"/>
          <w:szCs w:val="24"/>
        </w:rPr>
        <w:t xml:space="preserve">, od čega je ostvareno </w:t>
      </w:r>
      <w:r w:rsidR="00A96936">
        <w:rPr>
          <w:rFonts w:cstheme="minorHAnsi"/>
          <w:sz w:val="24"/>
          <w:szCs w:val="24"/>
        </w:rPr>
        <w:t>4.169.128,75</w:t>
      </w:r>
      <w:r>
        <w:rPr>
          <w:rFonts w:cstheme="minorHAnsi"/>
          <w:sz w:val="24"/>
          <w:szCs w:val="24"/>
        </w:rPr>
        <w:t xml:space="preserve"> eura</w:t>
      </w:r>
      <w:r w:rsidRPr="007B58F0">
        <w:rPr>
          <w:rFonts w:cstheme="minorHAnsi"/>
          <w:sz w:val="24"/>
          <w:szCs w:val="24"/>
        </w:rPr>
        <w:t xml:space="preserve"> ili </w:t>
      </w:r>
      <w:r w:rsidR="00A96936">
        <w:rPr>
          <w:rFonts w:cstheme="minorHAnsi"/>
          <w:sz w:val="24"/>
          <w:szCs w:val="24"/>
        </w:rPr>
        <w:t>99,64</w:t>
      </w:r>
      <w:r w:rsidRPr="007B58F0">
        <w:rPr>
          <w:rFonts w:cstheme="minorHAnsi"/>
          <w:sz w:val="24"/>
          <w:szCs w:val="24"/>
        </w:rPr>
        <w:t>% godišnjeg plana, što je z</w:t>
      </w:r>
      <w:r w:rsidR="00CC0BDB">
        <w:rPr>
          <w:rFonts w:cstheme="minorHAnsi"/>
          <w:sz w:val="24"/>
          <w:szCs w:val="24"/>
        </w:rPr>
        <w:t>a</w:t>
      </w:r>
      <w:r>
        <w:rPr>
          <w:rFonts w:cstheme="minorHAnsi"/>
          <w:sz w:val="24"/>
          <w:szCs w:val="24"/>
        </w:rPr>
        <w:t xml:space="preserve"> </w:t>
      </w:r>
      <w:r w:rsidR="00A96936">
        <w:rPr>
          <w:rFonts w:cstheme="minorHAnsi"/>
          <w:sz w:val="24"/>
          <w:szCs w:val="24"/>
        </w:rPr>
        <w:t>13,56</w:t>
      </w:r>
      <w:r w:rsidRPr="007B58F0">
        <w:rPr>
          <w:rFonts w:cstheme="minorHAnsi"/>
          <w:sz w:val="24"/>
          <w:szCs w:val="24"/>
        </w:rPr>
        <w:t xml:space="preserve">% </w:t>
      </w:r>
      <w:r>
        <w:rPr>
          <w:rFonts w:cstheme="minorHAnsi"/>
          <w:sz w:val="24"/>
          <w:szCs w:val="24"/>
        </w:rPr>
        <w:t>više</w:t>
      </w:r>
      <w:r w:rsidRPr="007B58F0">
        <w:rPr>
          <w:rFonts w:cstheme="minorHAnsi"/>
          <w:sz w:val="24"/>
          <w:szCs w:val="24"/>
        </w:rPr>
        <w:t xml:space="preserve"> u odnosu na </w:t>
      </w:r>
      <w:r w:rsidR="00C633F7">
        <w:rPr>
          <w:rFonts w:cstheme="minorHAnsi"/>
          <w:sz w:val="24"/>
          <w:szCs w:val="24"/>
        </w:rPr>
        <w:t>prethodnu godinu</w:t>
      </w:r>
      <w:r w:rsidRPr="00890E06">
        <w:rPr>
          <w:rFonts w:cstheme="minorHAnsi"/>
          <w:sz w:val="24"/>
          <w:szCs w:val="24"/>
        </w:rPr>
        <w:t xml:space="preserve">. </w:t>
      </w:r>
      <w:r w:rsidR="006E3BE6" w:rsidRPr="00890E06">
        <w:rPr>
          <w:rFonts w:ascii="Calibri" w:hAnsi="Calibri" w:cs="Calibri"/>
          <w:sz w:val="24"/>
          <w:szCs w:val="24"/>
        </w:rPr>
        <w:t xml:space="preserve">Od navedenog iznosa najveći dio se odnosi na Grad Trogir i to iznos od </w:t>
      </w:r>
      <w:r w:rsidR="00A96936">
        <w:rPr>
          <w:rFonts w:ascii="Calibri" w:hAnsi="Calibri" w:cs="Calibri"/>
          <w:sz w:val="24"/>
          <w:szCs w:val="24"/>
        </w:rPr>
        <w:t>4.169.117,77</w:t>
      </w:r>
      <w:r w:rsidR="006E3BE6" w:rsidRPr="00890E06">
        <w:rPr>
          <w:rFonts w:ascii="Calibri" w:hAnsi="Calibri" w:cs="Calibri"/>
          <w:sz w:val="24"/>
          <w:szCs w:val="24"/>
        </w:rPr>
        <w:t xml:space="preserve"> eura, dok se iznos od </w:t>
      </w:r>
      <w:r w:rsidR="004C5403">
        <w:rPr>
          <w:rFonts w:ascii="Calibri" w:hAnsi="Calibri" w:cs="Calibri"/>
          <w:sz w:val="24"/>
          <w:szCs w:val="24"/>
        </w:rPr>
        <w:t>10,98</w:t>
      </w:r>
      <w:r w:rsidR="006E3BE6" w:rsidRPr="00890E06">
        <w:rPr>
          <w:rFonts w:ascii="Calibri" w:hAnsi="Calibri" w:cs="Calibri"/>
          <w:sz w:val="24"/>
          <w:szCs w:val="24"/>
        </w:rPr>
        <w:t xml:space="preserve"> eura odnosi na proračunske korisnike.</w:t>
      </w:r>
    </w:p>
    <w:p w14:paraId="26D07D2E" w14:textId="77777777" w:rsidR="00F80611" w:rsidRDefault="00F80611" w:rsidP="00F80611">
      <w:pPr>
        <w:spacing w:after="0" w:line="240" w:lineRule="auto"/>
        <w:jc w:val="both"/>
        <w:rPr>
          <w:rFonts w:ascii="Calibri" w:hAnsi="Calibri" w:cs="Calibri"/>
          <w:sz w:val="24"/>
          <w:szCs w:val="24"/>
        </w:rPr>
      </w:pPr>
    </w:p>
    <w:p w14:paraId="296FB64B" w14:textId="7FC1C2FD" w:rsidR="00A96936" w:rsidRPr="006A6F8F" w:rsidRDefault="00A96936" w:rsidP="006A6F8F">
      <w:pPr>
        <w:jc w:val="both"/>
        <w:rPr>
          <w:rFonts w:ascii="Calibri" w:hAnsi="Calibri" w:cs="Calibri"/>
          <w:sz w:val="24"/>
          <w:szCs w:val="24"/>
        </w:rPr>
      </w:pPr>
      <w:r w:rsidRPr="006A6F8F">
        <w:rPr>
          <w:sz w:val="24"/>
          <w:szCs w:val="24"/>
          <w:u w:val="single"/>
        </w:rPr>
        <w:t>Prihodi od financijske imovine</w:t>
      </w:r>
      <w:r w:rsidRPr="006A6F8F">
        <w:rPr>
          <w:sz w:val="24"/>
          <w:szCs w:val="24"/>
        </w:rPr>
        <w:t xml:space="preserve">  iznose 1.038.743,90 eura ili 1,6% više u odnosu na prethodnu godinu i odnose se na prihode od </w:t>
      </w:r>
      <w:r w:rsidR="003B2E58" w:rsidRPr="006A6F8F">
        <w:rPr>
          <w:sz w:val="24"/>
          <w:szCs w:val="24"/>
        </w:rPr>
        <w:t xml:space="preserve">kamata na oročena sredstva u iznosu ostvarenja od 54.450,39 eura te prihoda od </w:t>
      </w:r>
      <w:r w:rsidRPr="006A6F8F">
        <w:rPr>
          <w:sz w:val="24"/>
          <w:szCs w:val="24"/>
        </w:rPr>
        <w:t>zateznih kamata</w:t>
      </w:r>
      <w:r w:rsidR="003B2E58" w:rsidRPr="006A6F8F">
        <w:rPr>
          <w:sz w:val="24"/>
          <w:szCs w:val="24"/>
        </w:rPr>
        <w:t xml:space="preserve"> u iznosu od 98.107,04 eura ili 14,96% više od ostvarenja prethodne godine </w:t>
      </w:r>
      <w:r w:rsidR="003B2E58" w:rsidRPr="006A6F8F">
        <w:rPr>
          <w:rFonts w:ascii="Calibri" w:hAnsi="Calibri" w:cs="Calibri"/>
          <w:sz w:val="24"/>
          <w:szCs w:val="24"/>
        </w:rPr>
        <w:t>nastalo izvršenjem prisilne naplate u korist Grada</w:t>
      </w:r>
      <w:r w:rsidR="006A6F8F" w:rsidRPr="006A6F8F">
        <w:rPr>
          <w:rFonts w:ascii="Calibri" w:hAnsi="Calibri" w:cs="Calibri"/>
          <w:sz w:val="24"/>
          <w:szCs w:val="24"/>
        </w:rPr>
        <w:t xml:space="preserve"> dok je razlog ukupnog povećanja rezultat ostvarenja većih prihoda od dobiti </w:t>
      </w:r>
      <w:proofErr w:type="spellStart"/>
      <w:r w:rsidR="006A6F8F" w:rsidRPr="006A6F8F">
        <w:rPr>
          <w:rFonts w:ascii="Calibri" w:hAnsi="Calibri" w:cs="Calibri"/>
          <w:sz w:val="24"/>
          <w:szCs w:val="24"/>
        </w:rPr>
        <w:t>t.d</w:t>
      </w:r>
      <w:proofErr w:type="spellEnd"/>
      <w:r w:rsidR="006A6F8F" w:rsidRPr="006A6F8F">
        <w:rPr>
          <w:rFonts w:ascii="Calibri" w:hAnsi="Calibri" w:cs="Calibri"/>
          <w:sz w:val="24"/>
          <w:szCs w:val="24"/>
        </w:rPr>
        <w:t>. Zračne luke Split temeljem Odluke o raspodjeli dobiti iz 2024.godine (Klasa: 02-23-000011) u iznosu od 886.186,47 eura,</w:t>
      </w:r>
      <w:r w:rsidRPr="006A6F8F">
        <w:rPr>
          <w:sz w:val="24"/>
          <w:szCs w:val="24"/>
        </w:rPr>
        <w:t xml:space="preserve"> dok su proračunski korisnici ostvarili 1</w:t>
      </w:r>
      <w:r w:rsidR="00C002CF">
        <w:rPr>
          <w:sz w:val="24"/>
          <w:szCs w:val="24"/>
        </w:rPr>
        <w:t>0,98</w:t>
      </w:r>
      <w:r w:rsidRPr="006A6F8F">
        <w:rPr>
          <w:sz w:val="24"/>
          <w:szCs w:val="24"/>
        </w:rPr>
        <w:t xml:space="preserve"> eura ovih prihoda i odnose se na kamate na oročena sredstva (Dječji vrtić Trogir 9,60 eura, JVP Grada Trogira 1,31 eura i Gradska knjižnica Trogir 0,07 eura).</w:t>
      </w:r>
    </w:p>
    <w:p w14:paraId="3DB11E88" w14:textId="1FDC8219" w:rsidR="00A96936" w:rsidRPr="006A6F8F" w:rsidRDefault="00A96936" w:rsidP="001207C2">
      <w:pPr>
        <w:jc w:val="both"/>
        <w:rPr>
          <w:sz w:val="24"/>
          <w:szCs w:val="24"/>
        </w:rPr>
      </w:pPr>
      <w:r w:rsidRPr="006A6F8F">
        <w:rPr>
          <w:sz w:val="24"/>
          <w:szCs w:val="24"/>
          <w:u w:val="single"/>
        </w:rPr>
        <w:t>Prihodi od nefinancijske imovine</w:t>
      </w:r>
      <w:r w:rsidRPr="006A6F8F">
        <w:rPr>
          <w:sz w:val="24"/>
          <w:szCs w:val="24"/>
        </w:rPr>
        <w:t xml:space="preserve"> ostvareni su u iznosu od 3.130.384,85 eura što je za  18,</w:t>
      </w:r>
      <w:r w:rsidR="001207C2">
        <w:rPr>
          <w:sz w:val="24"/>
          <w:szCs w:val="24"/>
        </w:rPr>
        <w:t>17</w:t>
      </w:r>
      <w:r w:rsidRPr="006A6F8F">
        <w:rPr>
          <w:sz w:val="24"/>
          <w:szCs w:val="24"/>
        </w:rPr>
        <w:t>% više od ostvarenja prethodne godine i u cijelosti pripadaju Gradu Trogiru. </w:t>
      </w:r>
    </w:p>
    <w:p w14:paraId="61EBDFEF" w14:textId="7625DBD3" w:rsidR="00CC0BDB" w:rsidRDefault="00F80611" w:rsidP="00CC0BDB">
      <w:pPr>
        <w:jc w:val="both"/>
        <w:rPr>
          <w:rFonts w:ascii="Calibri" w:hAnsi="Calibri" w:cs="Calibri"/>
          <w:sz w:val="24"/>
          <w:szCs w:val="24"/>
        </w:rPr>
      </w:pPr>
      <w:r>
        <w:rPr>
          <w:rFonts w:ascii="Calibri" w:hAnsi="Calibri" w:cs="Calibri"/>
          <w:sz w:val="24"/>
          <w:szCs w:val="24"/>
        </w:rPr>
        <w:t xml:space="preserve">Vrijednosno najznačajniji su </w:t>
      </w:r>
      <w:r w:rsidR="00CC0BDB" w:rsidRPr="00CC0BDB">
        <w:rPr>
          <w:rFonts w:ascii="Calibri" w:hAnsi="Calibri" w:cs="Calibri"/>
          <w:sz w:val="24"/>
          <w:szCs w:val="24"/>
        </w:rPr>
        <w:t xml:space="preserve">prihodi od zakupa i iznajmljivanja imovine u iznosu od </w:t>
      </w:r>
      <w:r w:rsidR="006A6F8F">
        <w:rPr>
          <w:rFonts w:ascii="Calibri" w:hAnsi="Calibri" w:cs="Calibri"/>
          <w:sz w:val="24"/>
          <w:szCs w:val="24"/>
        </w:rPr>
        <w:t>2.380.069,97</w:t>
      </w:r>
      <w:r w:rsidR="00CC0BDB" w:rsidRPr="00CC0BDB">
        <w:rPr>
          <w:rFonts w:ascii="Calibri" w:hAnsi="Calibri" w:cs="Calibri"/>
          <w:sz w:val="24"/>
          <w:szCs w:val="24"/>
        </w:rPr>
        <w:t xml:space="preserve"> eura ili za </w:t>
      </w:r>
      <w:r w:rsidR="006A6F8F">
        <w:rPr>
          <w:rFonts w:ascii="Calibri" w:hAnsi="Calibri" w:cs="Calibri"/>
          <w:sz w:val="24"/>
          <w:szCs w:val="24"/>
        </w:rPr>
        <w:t>6,9</w:t>
      </w:r>
      <w:r w:rsidR="00CC0BDB" w:rsidRPr="00CC0BDB">
        <w:rPr>
          <w:rFonts w:ascii="Calibri" w:hAnsi="Calibri" w:cs="Calibri"/>
          <w:sz w:val="24"/>
          <w:szCs w:val="24"/>
        </w:rPr>
        <w:t xml:space="preserve">% više od ostvarenja prethodne godine, od kojeg iznosa se najznačajnije ostvarenje odnosi na prihod od zakupa javno prometnih površina u iznosu od </w:t>
      </w:r>
      <w:r w:rsidR="006A6F8F">
        <w:rPr>
          <w:rFonts w:ascii="Calibri" w:hAnsi="Calibri" w:cs="Calibri"/>
          <w:sz w:val="24"/>
          <w:szCs w:val="24"/>
        </w:rPr>
        <w:t>1.411.544,90</w:t>
      </w:r>
      <w:r w:rsidR="00CC0BDB" w:rsidRPr="00CC0BDB">
        <w:rPr>
          <w:rFonts w:ascii="Calibri" w:hAnsi="Calibri" w:cs="Calibri"/>
          <w:sz w:val="24"/>
          <w:szCs w:val="24"/>
        </w:rPr>
        <w:t xml:space="preserve"> eura</w:t>
      </w:r>
      <w:r w:rsidR="006A6F8F">
        <w:rPr>
          <w:rFonts w:ascii="Calibri" w:hAnsi="Calibri" w:cs="Calibri"/>
          <w:sz w:val="24"/>
          <w:szCs w:val="24"/>
        </w:rPr>
        <w:t xml:space="preserve">, </w:t>
      </w:r>
      <w:r w:rsidR="00CC0BDB" w:rsidRPr="00CC0BDB">
        <w:rPr>
          <w:rFonts w:ascii="Calibri" w:hAnsi="Calibri" w:cs="Calibri"/>
          <w:sz w:val="24"/>
          <w:szCs w:val="24"/>
        </w:rPr>
        <w:t xml:space="preserve">zatim naknade za koncesije u iznosu od </w:t>
      </w:r>
      <w:r w:rsidR="006A6F8F">
        <w:rPr>
          <w:rFonts w:ascii="Calibri" w:hAnsi="Calibri" w:cs="Calibri"/>
          <w:sz w:val="24"/>
          <w:szCs w:val="24"/>
        </w:rPr>
        <w:t>251.080,84</w:t>
      </w:r>
      <w:r w:rsidR="00CC0BDB" w:rsidRPr="00CC0BDB">
        <w:rPr>
          <w:rFonts w:ascii="Calibri" w:hAnsi="Calibri" w:cs="Calibri"/>
          <w:sz w:val="24"/>
          <w:szCs w:val="24"/>
        </w:rPr>
        <w:t xml:space="preserve"> eura ( naknada za koncesiju na pomorskom dobru </w:t>
      </w:r>
      <w:r w:rsidR="006A6F8F">
        <w:rPr>
          <w:rFonts w:ascii="Calibri" w:hAnsi="Calibri" w:cs="Calibri"/>
          <w:sz w:val="24"/>
          <w:szCs w:val="24"/>
        </w:rPr>
        <w:t>153.421,40</w:t>
      </w:r>
      <w:r w:rsidR="00CC0BDB" w:rsidRPr="00CC0BDB">
        <w:rPr>
          <w:rFonts w:ascii="Calibri" w:hAnsi="Calibri" w:cs="Calibri"/>
          <w:sz w:val="24"/>
          <w:szCs w:val="24"/>
        </w:rPr>
        <w:t xml:space="preserve"> eura i koncesijska odobrenja koja je izdao Grad </w:t>
      </w:r>
      <w:r w:rsidR="006A6F8F">
        <w:rPr>
          <w:rFonts w:ascii="Calibri" w:hAnsi="Calibri" w:cs="Calibri"/>
          <w:sz w:val="24"/>
          <w:szCs w:val="24"/>
        </w:rPr>
        <w:t>97.309,44</w:t>
      </w:r>
      <w:r w:rsidR="00CC0BDB" w:rsidRPr="00CC0BDB">
        <w:rPr>
          <w:rFonts w:ascii="Calibri" w:hAnsi="Calibri" w:cs="Calibri"/>
          <w:sz w:val="24"/>
          <w:szCs w:val="24"/>
        </w:rPr>
        <w:t xml:space="preserve"> eura koji prihod se u 2024.godini uređuje novom vrstom prihoda &gt;Dozvole na pomorskom dobru&gt; i dijeli se na 70% u proračun Grada te 30% u proračun Županije na čijem području se donosi rješenje o dozvoli), zakup poslovnih prostora u iznosu od </w:t>
      </w:r>
      <w:r w:rsidR="006A6F8F">
        <w:rPr>
          <w:rFonts w:ascii="Calibri" w:hAnsi="Calibri" w:cs="Calibri"/>
          <w:sz w:val="24"/>
          <w:szCs w:val="24"/>
        </w:rPr>
        <w:t>245.053,54</w:t>
      </w:r>
      <w:r w:rsidR="00CC0BDB" w:rsidRPr="00CC0BDB">
        <w:rPr>
          <w:rFonts w:ascii="Calibri" w:hAnsi="Calibri" w:cs="Calibri"/>
          <w:sz w:val="24"/>
          <w:szCs w:val="24"/>
        </w:rPr>
        <w:t xml:space="preserve"> eura, </w:t>
      </w:r>
      <w:r w:rsidR="00CC0BDB" w:rsidRPr="00CC0BDB">
        <w:rPr>
          <w:rFonts w:ascii="Calibri" w:hAnsi="Calibri" w:cs="Calibri"/>
          <w:sz w:val="24"/>
          <w:szCs w:val="24"/>
        </w:rPr>
        <w:lastRenderedPageBreak/>
        <w:t xml:space="preserve">prihodi od deponija u iznosu od </w:t>
      </w:r>
      <w:r w:rsidR="006A6F8F">
        <w:rPr>
          <w:rFonts w:ascii="Calibri" w:hAnsi="Calibri" w:cs="Calibri"/>
          <w:sz w:val="24"/>
          <w:szCs w:val="24"/>
        </w:rPr>
        <w:t>72.813,05</w:t>
      </w:r>
      <w:r w:rsidR="00CC0BDB" w:rsidRPr="00CC0BDB">
        <w:rPr>
          <w:rFonts w:ascii="Calibri" w:hAnsi="Calibri" w:cs="Calibri"/>
          <w:sz w:val="24"/>
          <w:szCs w:val="24"/>
        </w:rPr>
        <w:t xml:space="preserve"> eura</w:t>
      </w:r>
      <w:r w:rsidR="006A6F8F">
        <w:rPr>
          <w:rFonts w:ascii="Calibri" w:hAnsi="Calibri" w:cs="Calibri"/>
          <w:sz w:val="24"/>
          <w:szCs w:val="24"/>
        </w:rPr>
        <w:t xml:space="preserve"> </w:t>
      </w:r>
      <w:r w:rsidR="00CC0BDB" w:rsidRPr="00CC0BDB">
        <w:rPr>
          <w:rFonts w:ascii="Calibri" w:hAnsi="Calibri" w:cs="Calibri"/>
          <w:sz w:val="24"/>
          <w:szCs w:val="24"/>
        </w:rPr>
        <w:t xml:space="preserve">te prihodi od prodaje ulaznica u Kuli </w:t>
      </w:r>
      <w:proofErr w:type="spellStart"/>
      <w:r w:rsidR="00CC0BDB" w:rsidRPr="00CC0BDB">
        <w:rPr>
          <w:rFonts w:ascii="Calibri" w:hAnsi="Calibri" w:cs="Calibri"/>
          <w:sz w:val="24"/>
          <w:szCs w:val="24"/>
        </w:rPr>
        <w:t>Kamerlengo</w:t>
      </w:r>
      <w:proofErr w:type="spellEnd"/>
      <w:r w:rsidR="00CC0BDB" w:rsidRPr="00CC0BDB">
        <w:rPr>
          <w:rFonts w:ascii="Calibri" w:hAnsi="Calibri" w:cs="Calibri"/>
          <w:sz w:val="24"/>
          <w:szCs w:val="24"/>
        </w:rPr>
        <w:t xml:space="preserve"> u iznosu od </w:t>
      </w:r>
      <w:r w:rsidR="006A6F8F">
        <w:rPr>
          <w:rFonts w:ascii="Calibri" w:hAnsi="Calibri" w:cs="Calibri"/>
          <w:sz w:val="24"/>
          <w:szCs w:val="24"/>
        </w:rPr>
        <w:t>638.771,91</w:t>
      </w:r>
      <w:r w:rsidR="00CC0BDB" w:rsidRPr="00CC0BDB">
        <w:rPr>
          <w:rFonts w:ascii="Calibri" w:hAnsi="Calibri" w:cs="Calibri"/>
          <w:sz w:val="24"/>
          <w:szCs w:val="24"/>
        </w:rPr>
        <w:t xml:space="preserve"> eura.</w:t>
      </w:r>
    </w:p>
    <w:p w14:paraId="0AB2BFB4" w14:textId="4EB9EF15" w:rsidR="006A6F8F" w:rsidRPr="00E32025" w:rsidRDefault="006A6F8F" w:rsidP="00E32025">
      <w:pPr>
        <w:jc w:val="both"/>
        <w:rPr>
          <w:sz w:val="24"/>
          <w:szCs w:val="24"/>
        </w:rPr>
      </w:pPr>
      <w:r w:rsidRPr="00E32025">
        <w:rPr>
          <w:sz w:val="24"/>
          <w:szCs w:val="24"/>
        </w:rPr>
        <w:t>Prihod od naknada za korištenje nefinancijske imovine ostvaren je u iznosu od 482.468,17 eura ili za značajnih 217,</w:t>
      </w:r>
      <w:r w:rsidR="00446B8E">
        <w:rPr>
          <w:sz w:val="24"/>
          <w:szCs w:val="24"/>
        </w:rPr>
        <w:t>06</w:t>
      </w:r>
      <w:r w:rsidRPr="00E32025">
        <w:rPr>
          <w:sz w:val="24"/>
          <w:szCs w:val="24"/>
        </w:rPr>
        <w:t>% više u odnosu na ostvarenje 2024.g, a odnosi se na prihode od eksploatacije mineralnih sirovina (</w:t>
      </w:r>
      <w:r w:rsidR="00E32025" w:rsidRPr="00E32025">
        <w:rPr>
          <w:sz w:val="24"/>
          <w:szCs w:val="24"/>
        </w:rPr>
        <w:t>448.590,75</w:t>
      </w:r>
      <w:r w:rsidRPr="00E32025">
        <w:rPr>
          <w:sz w:val="24"/>
          <w:szCs w:val="24"/>
        </w:rPr>
        <w:t xml:space="preserve"> eura)  koje bilježe značajno veće ostvarenje i na prihode od spomeničke rente (</w:t>
      </w:r>
      <w:r w:rsidR="00E32025" w:rsidRPr="00E32025">
        <w:rPr>
          <w:sz w:val="24"/>
          <w:szCs w:val="24"/>
        </w:rPr>
        <w:t>33.877,42 eura).</w:t>
      </w:r>
    </w:p>
    <w:p w14:paraId="61595AD4" w14:textId="3BFE6B4E" w:rsidR="00E32025" w:rsidRPr="00E32025" w:rsidRDefault="00E32025" w:rsidP="00CC0BDB">
      <w:pPr>
        <w:jc w:val="both"/>
        <w:rPr>
          <w:sz w:val="24"/>
          <w:szCs w:val="24"/>
        </w:rPr>
      </w:pPr>
      <w:r w:rsidRPr="00E32025">
        <w:rPr>
          <w:sz w:val="24"/>
          <w:szCs w:val="24"/>
        </w:rPr>
        <w:t>Ostali prihodi od nefinancijske imovine su ostvareni u iznosu od 16.765,87 eura ili 43,6% manje u odnosu na prethodnu godinu, a odnose se na prihode od naknada za ozakonjenje nezakonito izgrađenih zgrada u prostoru.</w:t>
      </w:r>
    </w:p>
    <w:p w14:paraId="62959DD1" w14:textId="77777777" w:rsidR="00B37009" w:rsidRDefault="00B37009" w:rsidP="00B37009">
      <w:pPr>
        <w:spacing w:after="0" w:line="240" w:lineRule="auto"/>
        <w:jc w:val="both"/>
        <w:rPr>
          <w:rFonts w:cstheme="minorHAnsi"/>
          <w:b/>
          <w:sz w:val="24"/>
          <w:szCs w:val="24"/>
        </w:rPr>
      </w:pPr>
      <w:r w:rsidRPr="00342037">
        <w:rPr>
          <w:rFonts w:cstheme="minorHAnsi"/>
          <w:b/>
          <w:sz w:val="24"/>
          <w:szCs w:val="24"/>
        </w:rPr>
        <w:t xml:space="preserve">1.1.4. Prihodi od upravnih i administrativnih pristojbi, pristojbi po posebnim propisima i naknada </w:t>
      </w:r>
    </w:p>
    <w:p w14:paraId="20D45463" w14:textId="0EBC4CB7" w:rsidR="00E91509" w:rsidRDefault="00E91509" w:rsidP="00E91509">
      <w:pPr>
        <w:spacing w:after="0" w:line="240" w:lineRule="auto"/>
        <w:jc w:val="both"/>
        <w:rPr>
          <w:rFonts w:cstheme="minorHAnsi"/>
          <w:sz w:val="24"/>
          <w:szCs w:val="24"/>
        </w:rPr>
      </w:pPr>
      <w:r w:rsidRPr="00342037">
        <w:rPr>
          <w:rFonts w:cstheme="minorHAnsi"/>
          <w:sz w:val="24"/>
          <w:szCs w:val="24"/>
        </w:rPr>
        <w:t xml:space="preserve">Navedena vrsta prihoda ostvarena je u iznosu od </w:t>
      </w:r>
      <w:r w:rsidR="00446B8E">
        <w:rPr>
          <w:rFonts w:cstheme="minorHAnsi"/>
          <w:sz w:val="24"/>
          <w:szCs w:val="24"/>
        </w:rPr>
        <w:t>4.160.400,46</w:t>
      </w:r>
      <w:r>
        <w:rPr>
          <w:rFonts w:cstheme="minorHAnsi"/>
          <w:sz w:val="24"/>
          <w:szCs w:val="24"/>
        </w:rPr>
        <w:t xml:space="preserve"> eura</w:t>
      </w:r>
      <w:r w:rsidRPr="00342037">
        <w:rPr>
          <w:rFonts w:cstheme="minorHAnsi"/>
          <w:sz w:val="24"/>
          <w:szCs w:val="24"/>
        </w:rPr>
        <w:t xml:space="preserve"> ili </w:t>
      </w:r>
      <w:r w:rsidR="00446B8E">
        <w:rPr>
          <w:rFonts w:cstheme="minorHAnsi"/>
          <w:sz w:val="24"/>
          <w:szCs w:val="24"/>
        </w:rPr>
        <w:t>96,45</w:t>
      </w:r>
      <w:r w:rsidRPr="00342037">
        <w:rPr>
          <w:rFonts w:cstheme="minorHAnsi"/>
          <w:sz w:val="24"/>
          <w:szCs w:val="24"/>
        </w:rPr>
        <w:t>% godišnjeg plana,</w:t>
      </w:r>
      <w:r>
        <w:rPr>
          <w:rFonts w:cstheme="minorHAnsi"/>
          <w:sz w:val="24"/>
          <w:szCs w:val="24"/>
        </w:rPr>
        <w:t xml:space="preserve"> ili za </w:t>
      </w:r>
      <w:r w:rsidR="00446B8E">
        <w:rPr>
          <w:rFonts w:cstheme="minorHAnsi"/>
          <w:sz w:val="24"/>
          <w:szCs w:val="24"/>
        </w:rPr>
        <w:t>13,97</w:t>
      </w:r>
      <w:r>
        <w:rPr>
          <w:rFonts w:cstheme="minorHAnsi"/>
          <w:sz w:val="24"/>
          <w:szCs w:val="24"/>
        </w:rPr>
        <w:t>% više od ostvarenja prethodne godine.</w:t>
      </w:r>
    </w:p>
    <w:p w14:paraId="3A5B3116" w14:textId="16117A66" w:rsidR="00C601C0" w:rsidRDefault="00C601C0" w:rsidP="00C601C0">
      <w:pPr>
        <w:jc w:val="both"/>
        <w:rPr>
          <w:rFonts w:ascii="Calibri" w:hAnsi="Calibri" w:cs="Calibri"/>
          <w:sz w:val="24"/>
          <w:szCs w:val="24"/>
        </w:rPr>
      </w:pPr>
      <w:r w:rsidRPr="00C601C0">
        <w:rPr>
          <w:rFonts w:ascii="Calibri" w:hAnsi="Calibri" w:cs="Calibri"/>
          <w:sz w:val="24"/>
          <w:szCs w:val="24"/>
        </w:rPr>
        <w:t xml:space="preserve">Grad Trogir je ostvario ovih prihoda u iznosu od </w:t>
      </w:r>
      <w:r w:rsidR="00446B8E">
        <w:rPr>
          <w:rFonts w:ascii="Calibri" w:hAnsi="Calibri" w:cs="Calibri"/>
          <w:sz w:val="24"/>
          <w:szCs w:val="24"/>
        </w:rPr>
        <w:t>3.882.689,21</w:t>
      </w:r>
      <w:r w:rsidRPr="00C601C0">
        <w:rPr>
          <w:rFonts w:ascii="Calibri" w:hAnsi="Calibri" w:cs="Calibri"/>
          <w:sz w:val="24"/>
          <w:szCs w:val="24"/>
        </w:rPr>
        <w:t xml:space="preserve"> eura, dok su proračunski korisnici ostvarili ukupno </w:t>
      </w:r>
      <w:r w:rsidR="00446B8E">
        <w:rPr>
          <w:rFonts w:ascii="Calibri" w:hAnsi="Calibri" w:cs="Calibri"/>
          <w:sz w:val="24"/>
          <w:szCs w:val="24"/>
        </w:rPr>
        <w:t>277.711,25</w:t>
      </w:r>
      <w:r w:rsidRPr="00C601C0">
        <w:rPr>
          <w:rFonts w:ascii="Calibri" w:hAnsi="Calibri" w:cs="Calibri"/>
          <w:sz w:val="24"/>
          <w:szCs w:val="24"/>
        </w:rPr>
        <w:t xml:space="preserve"> eura što je </w:t>
      </w:r>
      <w:r w:rsidR="00446B8E">
        <w:rPr>
          <w:rFonts w:ascii="Calibri" w:hAnsi="Calibri" w:cs="Calibri"/>
          <w:sz w:val="24"/>
          <w:szCs w:val="24"/>
        </w:rPr>
        <w:t>približno jednako ostvarenju prethodne</w:t>
      </w:r>
      <w:r w:rsidRPr="00C601C0">
        <w:rPr>
          <w:rFonts w:ascii="Calibri" w:hAnsi="Calibri" w:cs="Calibri"/>
          <w:sz w:val="24"/>
          <w:szCs w:val="24"/>
        </w:rPr>
        <w:t xml:space="preserve"> godine kad su ostvarili </w:t>
      </w:r>
      <w:r w:rsidR="00446B8E">
        <w:rPr>
          <w:rFonts w:ascii="Calibri" w:hAnsi="Calibri" w:cs="Calibri"/>
          <w:sz w:val="24"/>
          <w:szCs w:val="24"/>
        </w:rPr>
        <w:t>271.492,21</w:t>
      </w:r>
      <w:r w:rsidRPr="00C601C0">
        <w:rPr>
          <w:rFonts w:ascii="Calibri" w:hAnsi="Calibri" w:cs="Calibri"/>
          <w:sz w:val="24"/>
          <w:szCs w:val="24"/>
        </w:rPr>
        <w:t xml:space="preserve"> eura.</w:t>
      </w:r>
    </w:p>
    <w:p w14:paraId="08362D82" w14:textId="36B8584F" w:rsidR="00E30775" w:rsidRPr="00C601C0" w:rsidRDefault="00E30775" w:rsidP="00C601C0">
      <w:pPr>
        <w:jc w:val="both"/>
        <w:rPr>
          <w:rFonts w:ascii="Calibri" w:hAnsi="Calibri" w:cs="Calibri"/>
          <w:sz w:val="24"/>
          <w:szCs w:val="24"/>
        </w:rPr>
      </w:pPr>
      <w:r>
        <w:rPr>
          <w:rFonts w:ascii="Calibri" w:hAnsi="Calibri" w:cs="Calibri"/>
          <w:sz w:val="24"/>
          <w:szCs w:val="24"/>
        </w:rPr>
        <w:t>Odnose se na sljedeće vrste prihoda:</w:t>
      </w:r>
    </w:p>
    <w:p w14:paraId="29ACBE24" w14:textId="00E3CD2D" w:rsidR="00C601C0" w:rsidRPr="00C601C0" w:rsidRDefault="00C601C0" w:rsidP="00C601C0">
      <w:pPr>
        <w:jc w:val="both"/>
        <w:rPr>
          <w:rFonts w:ascii="Calibri" w:hAnsi="Calibri" w:cs="Calibri"/>
          <w:sz w:val="24"/>
          <w:szCs w:val="24"/>
        </w:rPr>
      </w:pPr>
      <w:r w:rsidRPr="004E3FF4">
        <w:rPr>
          <w:rFonts w:ascii="Calibri" w:hAnsi="Calibri" w:cs="Calibri"/>
          <w:sz w:val="24"/>
          <w:szCs w:val="24"/>
          <w:u w:val="single"/>
        </w:rPr>
        <w:t>Upravne i administrativne pristojbe</w:t>
      </w:r>
      <w:r w:rsidRPr="004E3FF4">
        <w:rPr>
          <w:rFonts w:ascii="Calibri" w:hAnsi="Calibri" w:cs="Calibri"/>
          <w:sz w:val="24"/>
          <w:szCs w:val="24"/>
        </w:rPr>
        <w:t xml:space="preserve"> ostvarene su u iznosu od </w:t>
      </w:r>
      <w:r w:rsidR="00EB3FAD" w:rsidRPr="004E3FF4">
        <w:rPr>
          <w:rFonts w:ascii="Calibri" w:hAnsi="Calibri" w:cs="Calibri"/>
          <w:sz w:val="24"/>
          <w:szCs w:val="24"/>
        </w:rPr>
        <w:t>307.659,19</w:t>
      </w:r>
      <w:r w:rsidRPr="004E3FF4">
        <w:rPr>
          <w:rFonts w:ascii="Calibri" w:hAnsi="Calibri" w:cs="Calibri"/>
          <w:sz w:val="24"/>
          <w:szCs w:val="24"/>
        </w:rPr>
        <w:t xml:space="preserve"> eura što je za </w:t>
      </w:r>
      <w:r w:rsidR="00EB3FAD" w:rsidRPr="004E3FF4">
        <w:rPr>
          <w:rFonts w:ascii="Calibri" w:hAnsi="Calibri" w:cs="Calibri"/>
          <w:sz w:val="24"/>
          <w:szCs w:val="24"/>
        </w:rPr>
        <w:t>7,62</w:t>
      </w:r>
      <w:r w:rsidRPr="004E3FF4">
        <w:rPr>
          <w:rFonts w:ascii="Calibri" w:hAnsi="Calibri" w:cs="Calibri"/>
          <w:sz w:val="24"/>
          <w:szCs w:val="24"/>
        </w:rPr>
        <w:t xml:space="preserve">% više u odnosu na ostvarenje prethodne godine i u cijelosti pripadaju Gradu Trogiru, a razlog ovog povećanja je veće ostvarenje prihoda od turističke pristojbe koja je ostvarena u iznosu od </w:t>
      </w:r>
      <w:r w:rsidR="00EB3FAD" w:rsidRPr="004E3FF4">
        <w:rPr>
          <w:rFonts w:ascii="Calibri" w:hAnsi="Calibri" w:cs="Calibri"/>
          <w:sz w:val="24"/>
          <w:szCs w:val="24"/>
        </w:rPr>
        <w:t>180.134,34</w:t>
      </w:r>
      <w:r w:rsidRPr="004E3FF4">
        <w:rPr>
          <w:rFonts w:ascii="Calibri" w:hAnsi="Calibri" w:cs="Calibri"/>
          <w:sz w:val="24"/>
          <w:szCs w:val="24"/>
        </w:rPr>
        <w:t xml:space="preserve"> eura i na prihode od korištenja gradskog parkinga od strane </w:t>
      </w:r>
      <w:proofErr w:type="spellStart"/>
      <w:r w:rsidRPr="004E3FF4">
        <w:rPr>
          <w:rFonts w:ascii="Calibri" w:hAnsi="Calibri" w:cs="Calibri"/>
          <w:sz w:val="24"/>
          <w:szCs w:val="24"/>
        </w:rPr>
        <w:t>t.d</w:t>
      </w:r>
      <w:proofErr w:type="spellEnd"/>
      <w:r w:rsidRPr="004E3FF4">
        <w:rPr>
          <w:rFonts w:ascii="Calibri" w:hAnsi="Calibri" w:cs="Calibri"/>
          <w:sz w:val="24"/>
          <w:szCs w:val="24"/>
        </w:rPr>
        <w:t xml:space="preserve">. Trogir holding za parking T1 u iznosu od </w:t>
      </w:r>
      <w:r w:rsidR="00EB3FAD" w:rsidRPr="004E3FF4">
        <w:rPr>
          <w:rFonts w:ascii="Calibri" w:hAnsi="Calibri" w:cs="Calibri"/>
          <w:sz w:val="24"/>
          <w:szCs w:val="24"/>
        </w:rPr>
        <w:t>30,000</w:t>
      </w:r>
      <w:r w:rsidRPr="004E3FF4">
        <w:rPr>
          <w:rFonts w:ascii="Calibri" w:hAnsi="Calibri" w:cs="Calibri"/>
          <w:sz w:val="24"/>
          <w:szCs w:val="24"/>
        </w:rPr>
        <w:t xml:space="preserve"> eura</w:t>
      </w:r>
      <w:r w:rsidR="00A3442A" w:rsidRPr="004E3FF4">
        <w:rPr>
          <w:rFonts w:ascii="Calibri" w:hAnsi="Calibri" w:cs="Calibri"/>
          <w:sz w:val="24"/>
          <w:szCs w:val="24"/>
        </w:rPr>
        <w:t xml:space="preserve"> te naknada za nedostajuće parkirališno-garažno mjesto u iznosu od 20.000,00 eura.</w:t>
      </w:r>
    </w:p>
    <w:p w14:paraId="269EDDEB" w14:textId="54B85752" w:rsidR="00A3442A" w:rsidRPr="00A3442A" w:rsidRDefault="00C601C0" w:rsidP="00A3442A">
      <w:pPr>
        <w:jc w:val="both"/>
        <w:rPr>
          <w:sz w:val="24"/>
          <w:szCs w:val="24"/>
        </w:rPr>
      </w:pPr>
      <w:r w:rsidRPr="00A3442A">
        <w:rPr>
          <w:rFonts w:ascii="Calibri" w:hAnsi="Calibri" w:cs="Calibri"/>
          <w:sz w:val="24"/>
          <w:szCs w:val="24"/>
          <w:u w:val="single"/>
        </w:rPr>
        <w:t>Prihodi po posebnim propisima</w:t>
      </w:r>
      <w:r w:rsidRPr="00A3442A">
        <w:rPr>
          <w:rFonts w:ascii="Calibri" w:hAnsi="Calibri" w:cs="Calibri"/>
          <w:sz w:val="24"/>
          <w:szCs w:val="24"/>
        </w:rPr>
        <w:t xml:space="preserve"> ostvareni su u iznosu od </w:t>
      </w:r>
      <w:r w:rsidR="00A3442A" w:rsidRPr="00A3442A">
        <w:rPr>
          <w:rFonts w:ascii="Calibri" w:hAnsi="Calibri" w:cs="Calibri"/>
          <w:sz w:val="24"/>
          <w:szCs w:val="24"/>
        </w:rPr>
        <w:t>650.802,04</w:t>
      </w:r>
      <w:r w:rsidRPr="00A3442A">
        <w:rPr>
          <w:rFonts w:ascii="Calibri" w:hAnsi="Calibri" w:cs="Calibri"/>
          <w:sz w:val="24"/>
          <w:szCs w:val="24"/>
        </w:rPr>
        <w:t xml:space="preserve"> eura ili </w:t>
      </w:r>
      <w:r w:rsidR="00A3442A" w:rsidRPr="00A3442A">
        <w:rPr>
          <w:rFonts w:ascii="Calibri" w:hAnsi="Calibri" w:cs="Calibri"/>
          <w:sz w:val="24"/>
          <w:szCs w:val="24"/>
        </w:rPr>
        <w:t>13,59</w:t>
      </w:r>
      <w:r w:rsidRPr="00A3442A">
        <w:rPr>
          <w:rFonts w:ascii="Calibri" w:hAnsi="Calibri" w:cs="Calibri"/>
          <w:sz w:val="24"/>
          <w:szCs w:val="24"/>
        </w:rPr>
        <w:t xml:space="preserve">% više u odnosu na prethodnu godinu, od kojeg iznosa na Grad Trogir ide </w:t>
      </w:r>
      <w:r w:rsidR="00A3442A" w:rsidRPr="00A3442A">
        <w:rPr>
          <w:rFonts w:ascii="Calibri" w:hAnsi="Calibri" w:cs="Calibri"/>
          <w:sz w:val="24"/>
          <w:szCs w:val="24"/>
        </w:rPr>
        <w:t>373.090,79</w:t>
      </w:r>
      <w:r w:rsidRPr="00A3442A">
        <w:rPr>
          <w:rFonts w:ascii="Calibri" w:hAnsi="Calibri" w:cs="Calibri"/>
          <w:sz w:val="24"/>
          <w:szCs w:val="24"/>
        </w:rPr>
        <w:t xml:space="preserve"> eura</w:t>
      </w:r>
      <w:r w:rsidR="00A3442A" w:rsidRPr="00A3442A">
        <w:rPr>
          <w:rFonts w:ascii="Calibri" w:hAnsi="Calibri" w:cs="Calibri"/>
          <w:sz w:val="24"/>
          <w:szCs w:val="24"/>
        </w:rPr>
        <w:t xml:space="preserve"> i odnosi se na</w:t>
      </w:r>
      <w:r w:rsidRPr="00A3442A">
        <w:rPr>
          <w:rFonts w:ascii="Calibri" w:hAnsi="Calibri" w:cs="Calibri"/>
          <w:sz w:val="24"/>
          <w:szCs w:val="24"/>
        </w:rPr>
        <w:t xml:space="preserve"> </w:t>
      </w:r>
      <w:r w:rsidR="00A3442A" w:rsidRPr="00A3442A">
        <w:rPr>
          <w:sz w:val="24"/>
          <w:szCs w:val="24"/>
        </w:rPr>
        <w:t>ostvarenje uplate od strane FZZOEU po sudskoj presudi za povrat ranije uplaćenih sredstava za naknadu na utjecaj na okoliš, refundaciju troškova od strane SDŽ-a za I. i II. Krug lokalnih izbora, naplatu penala od izvođača radova na pješačkom mostu te povrat sredstava za financiranje neprofitnih organizacija u 2024.godini,</w:t>
      </w:r>
      <w:r w:rsidR="00A3442A">
        <w:rPr>
          <w:rFonts w:ascii="Calibri" w:hAnsi="Calibri" w:cs="Calibri"/>
          <w:sz w:val="24"/>
          <w:szCs w:val="24"/>
        </w:rPr>
        <w:t xml:space="preserve"> </w:t>
      </w:r>
      <w:r w:rsidRPr="007B33D4">
        <w:rPr>
          <w:rFonts w:ascii="Calibri" w:hAnsi="Calibri" w:cs="Calibri"/>
          <w:sz w:val="24"/>
          <w:szCs w:val="24"/>
        </w:rPr>
        <w:t xml:space="preserve">zatim prihode od korištenja parkinga od strane </w:t>
      </w:r>
      <w:proofErr w:type="spellStart"/>
      <w:r w:rsidRPr="007B33D4">
        <w:rPr>
          <w:rFonts w:ascii="Calibri" w:hAnsi="Calibri" w:cs="Calibri"/>
          <w:sz w:val="24"/>
          <w:szCs w:val="24"/>
        </w:rPr>
        <w:t>t.d</w:t>
      </w:r>
      <w:proofErr w:type="spellEnd"/>
      <w:r w:rsidRPr="007B33D4">
        <w:rPr>
          <w:rFonts w:ascii="Calibri" w:hAnsi="Calibri" w:cs="Calibri"/>
          <w:sz w:val="24"/>
          <w:szCs w:val="24"/>
        </w:rPr>
        <w:t xml:space="preserve">. Trogir holding na adresi Hrvatskih mučenika i Hrvatskog proljeća 1971 u ukupnom iznosu od </w:t>
      </w:r>
      <w:r w:rsidR="00A3442A" w:rsidRPr="007B33D4">
        <w:rPr>
          <w:rFonts w:ascii="Calibri" w:hAnsi="Calibri" w:cs="Calibri"/>
          <w:sz w:val="24"/>
          <w:szCs w:val="24"/>
        </w:rPr>
        <w:t>87.999,16</w:t>
      </w:r>
      <w:r w:rsidRPr="007B33D4">
        <w:rPr>
          <w:rFonts w:ascii="Calibri" w:hAnsi="Calibri" w:cs="Calibri"/>
          <w:sz w:val="24"/>
          <w:szCs w:val="24"/>
        </w:rPr>
        <w:t xml:space="preserve"> eura), a preostali iznos o</w:t>
      </w:r>
      <w:r w:rsidRPr="00C601C0">
        <w:rPr>
          <w:rFonts w:ascii="Calibri" w:hAnsi="Calibri" w:cs="Calibri"/>
          <w:sz w:val="24"/>
          <w:szCs w:val="24"/>
        </w:rPr>
        <w:t xml:space="preserve">d </w:t>
      </w:r>
      <w:r w:rsidR="00A3442A">
        <w:rPr>
          <w:rFonts w:ascii="Calibri" w:hAnsi="Calibri" w:cs="Calibri"/>
          <w:sz w:val="24"/>
          <w:szCs w:val="24"/>
        </w:rPr>
        <w:t>277.711,25</w:t>
      </w:r>
      <w:r w:rsidRPr="00C601C0">
        <w:rPr>
          <w:rFonts w:ascii="Calibri" w:hAnsi="Calibri" w:cs="Calibri"/>
          <w:sz w:val="24"/>
          <w:szCs w:val="24"/>
        </w:rPr>
        <w:t xml:space="preserve"> eura otpada na proračunske </w:t>
      </w:r>
      <w:r w:rsidR="00A3442A">
        <w:rPr>
          <w:rFonts w:ascii="Calibri" w:hAnsi="Calibri" w:cs="Calibri"/>
          <w:sz w:val="24"/>
          <w:szCs w:val="24"/>
        </w:rPr>
        <w:t>korisnike</w:t>
      </w:r>
      <w:r w:rsidR="00A3442A">
        <w:t xml:space="preserve"> </w:t>
      </w:r>
      <w:r w:rsidR="00A3442A" w:rsidRPr="00A3442A">
        <w:rPr>
          <w:sz w:val="24"/>
          <w:szCs w:val="24"/>
        </w:rPr>
        <w:t>i to iznos od 264.779,16 eura ostvario je Dječji vrtić Trogir od uplate roditelja za sufinanciranje cijene boravka djece u vrtićima i bilježi veće ostvarenje u odnosu na uplate prošle godine za 5,5%. Preostali iznos od 12.932,09 eura se odnosi na sljedeće proračunske korisnike i to: 5.689,20 eura se odnosi na Gradsku knjižnicu Trogir i to su prihodi od članarina, zatim iznos od 7.242,89 eura koji pripada JVP Grada Trogira i odnosi se na uplate osiguravajućih kuća kroz zakonski propisane postotke premija osiguranja i prihod od Hrvatske vatrogasne zajednice za financiranje usluga tekućeg i investicijskog održavanja.</w:t>
      </w:r>
    </w:p>
    <w:p w14:paraId="255A3C9D" w14:textId="1C601C01" w:rsidR="00535322" w:rsidRPr="00535322" w:rsidRDefault="00C601C0" w:rsidP="00535322">
      <w:pPr>
        <w:jc w:val="both"/>
        <w:rPr>
          <w:rFonts w:ascii="Calibri" w:hAnsi="Calibri" w:cs="Calibri"/>
          <w:sz w:val="24"/>
          <w:szCs w:val="24"/>
        </w:rPr>
      </w:pPr>
      <w:r w:rsidRPr="00535322">
        <w:rPr>
          <w:rFonts w:ascii="Calibri" w:hAnsi="Calibri" w:cs="Calibri"/>
          <w:sz w:val="24"/>
          <w:szCs w:val="24"/>
        </w:rPr>
        <w:t xml:space="preserve">U apsolutnom iznosu u ovoj skupini vrijednosno su najveći prihodi od komunalne naknade i komunalnog doprinosa koji iznose </w:t>
      </w:r>
      <w:r w:rsidR="00535322" w:rsidRPr="00535322">
        <w:rPr>
          <w:rFonts w:ascii="Calibri" w:hAnsi="Calibri" w:cs="Calibri"/>
          <w:sz w:val="24"/>
          <w:szCs w:val="24"/>
        </w:rPr>
        <w:t>3.201.939,23</w:t>
      </w:r>
      <w:r w:rsidRPr="00535322">
        <w:rPr>
          <w:rFonts w:ascii="Calibri" w:hAnsi="Calibri" w:cs="Calibri"/>
          <w:sz w:val="24"/>
          <w:szCs w:val="24"/>
        </w:rPr>
        <w:t xml:space="preserve"> eura i odnose se na Grad Trogir, što je smanjenje od </w:t>
      </w:r>
      <w:r w:rsidR="00535322" w:rsidRPr="00535322">
        <w:rPr>
          <w:rFonts w:ascii="Calibri" w:hAnsi="Calibri" w:cs="Calibri"/>
          <w:sz w:val="24"/>
          <w:szCs w:val="24"/>
        </w:rPr>
        <w:t>14,7</w:t>
      </w:r>
      <w:r w:rsidRPr="00535322">
        <w:rPr>
          <w:rFonts w:ascii="Calibri" w:hAnsi="Calibri" w:cs="Calibri"/>
          <w:sz w:val="24"/>
          <w:szCs w:val="24"/>
        </w:rPr>
        <w:t xml:space="preserve">% u odnosu na ostvarenje prethodne godine. </w:t>
      </w:r>
      <w:r w:rsidR="00535322" w:rsidRPr="00535322">
        <w:rPr>
          <w:sz w:val="24"/>
          <w:szCs w:val="24"/>
        </w:rPr>
        <w:t xml:space="preserve">Od ovoga iznosa na prihod od </w:t>
      </w:r>
      <w:r w:rsidR="00535322" w:rsidRPr="00535322">
        <w:rPr>
          <w:sz w:val="24"/>
          <w:szCs w:val="24"/>
        </w:rPr>
        <w:lastRenderedPageBreak/>
        <w:t xml:space="preserve">komunalne naknade odnosi se 1.756.902,15 eura, što je za 4,7% više od ostvarenja prethodne godine zbog stjecanja novih obveznika putem izrade snimka stanja u naselju </w:t>
      </w:r>
      <w:proofErr w:type="spellStart"/>
      <w:r w:rsidR="00535322" w:rsidRPr="00535322">
        <w:rPr>
          <w:sz w:val="24"/>
          <w:szCs w:val="24"/>
        </w:rPr>
        <w:t>Mastrinka</w:t>
      </w:r>
      <w:proofErr w:type="spellEnd"/>
      <w:r w:rsidR="00535322" w:rsidRPr="00535322">
        <w:rPr>
          <w:sz w:val="24"/>
          <w:szCs w:val="24"/>
        </w:rPr>
        <w:t>, dok je  prihod od komunalnog doprinosa ostvaren u iznosu od 1.445.037,08 eura ili za 29,7% više od ostvarenja prethodne godine što je rezultat novih zahtjeva obveznika.</w:t>
      </w:r>
    </w:p>
    <w:p w14:paraId="125B08FB" w14:textId="5ED41011" w:rsidR="00E91509" w:rsidRDefault="00E91509" w:rsidP="00E91509">
      <w:pPr>
        <w:spacing w:after="0" w:line="240" w:lineRule="auto"/>
        <w:jc w:val="both"/>
        <w:rPr>
          <w:rFonts w:cstheme="minorHAnsi"/>
          <w:b/>
          <w:sz w:val="24"/>
          <w:szCs w:val="24"/>
        </w:rPr>
      </w:pPr>
      <w:r w:rsidRPr="006D1211">
        <w:rPr>
          <w:rFonts w:cstheme="minorHAnsi"/>
          <w:b/>
          <w:sz w:val="24"/>
          <w:szCs w:val="24"/>
        </w:rPr>
        <w:t>1.1.5. Prihodi od prodaje proizvoda i robe te pruženih usluga</w:t>
      </w:r>
      <w:r w:rsidR="00535322">
        <w:rPr>
          <w:rFonts w:cstheme="minorHAnsi"/>
          <w:b/>
          <w:sz w:val="24"/>
          <w:szCs w:val="24"/>
        </w:rPr>
        <w:t xml:space="preserve">, </w:t>
      </w:r>
      <w:r w:rsidRPr="006D1211">
        <w:rPr>
          <w:rFonts w:cstheme="minorHAnsi"/>
          <w:b/>
          <w:sz w:val="24"/>
          <w:szCs w:val="24"/>
        </w:rPr>
        <w:t>prihodi od donacija</w:t>
      </w:r>
      <w:r w:rsidR="00535322">
        <w:rPr>
          <w:rFonts w:cstheme="minorHAnsi"/>
          <w:b/>
          <w:sz w:val="24"/>
          <w:szCs w:val="24"/>
        </w:rPr>
        <w:t xml:space="preserve"> te povrati po protestiranim jamstvima</w:t>
      </w:r>
    </w:p>
    <w:p w14:paraId="438389A4" w14:textId="67FE4B5D" w:rsidR="00F23AB1" w:rsidRDefault="009F28B9" w:rsidP="00C601C0">
      <w:pPr>
        <w:jc w:val="both"/>
        <w:rPr>
          <w:rFonts w:ascii="Calibri" w:hAnsi="Calibri" w:cs="Calibri"/>
          <w:sz w:val="24"/>
          <w:szCs w:val="24"/>
        </w:rPr>
      </w:pPr>
      <w:r w:rsidRPr="009F28B9">
        <w:rPr>
          <w:rFonts w:ascii="Calibri" w:hAnsi="Calibri" w:cs="Calibri"/>
          <w:sz w:val="24"/>
          <w:szCs w:val="24"/>
        </w:rPr>
        <w:t>Prihodi od prodaje proizvoda i robe te pruženih usluga i prihodi od donacija te povrati po protestiranim jamstvima</w:t>
      </w:r>
      <w:r w:rsidR="00F23AB1">
        <w:rPr>
          <w:rFonts w:ascii="Calibri" w:hAnsi="Calibri" w:cs="Calibri"/>
          <w:sz w:val="24"/>
          <w:szCs w:val="24"/>
        </w:rPr>
        <w:t xml:space="preserve"> planirani su u iznosu od </w:t>
      </w:r>
      <w:r w:rsidR="00535322">
        <w:rPr>
          <w:rFonts w:ascii="Calibri" w:hAnsi="Calibri" w:cs="Calibri"/>
          <w:sz w:val="24"/>
          <w:szCs w:val="24"/>
        </w:rPr>
        <w:t>149.829,00</w:t>
      </w:r>
      <w:r w:rsidR="00F23AB1">
        <w:rPr>
          <w:rFonts w:ascii="Calibri" w:hAnsi="Calibri" w:cs="Calibri"/>
          <w:sz w:val="24"/>
          <w:szCs w:val="24"/>
        </w:rPr>
        <w:t xml:space="preserve"> eura, a</w:t>
      </w:r>
      <w:r w:rsidRPr="009F28B9">
        <w:rPr>
          <w:rFonts w:ascii="Calibri" w:hAnsi="Calibri" w:cs="Calibri"/>
          <w:sz w:val="24"/>
          <w:szCs w:val="24"/>
        </w:rPr>
        <w:t xml:space="preserve"> ostvareni su u iznosu od </w:t>
      </w:r>
      <w:r w:rsidR="00535322">
        <w:rPr>
          <w:rFonts w:ascii="Calibri" w:hAnsi="Calibri" w:cs="Calibri"/>
          <w:sz w:val="24"/>
          <w:szCs w:val="24"/>
        </w:rPr>
        <w:t>121.716,76</w:t>
      </w:r>
      <w:r w:rsidRPr="009F28B9">
        <w:rPr>
          <w:rFonts w:ascii="Calibri" w:hAnsi="Calibri" w:cs="Calibri"/>
          <w:sz w:val="24"/>
          <w:szCs w:val="24"/>
        </w:rPr>
        <w:t xml:space="preserve"> eura ili za </w:t>
      </w:r>
      <w:r w:rsidR="00535322">
        <w:rPr>
          <w:rFonts w:ascii="Calibri" w:hAnsi="Calibri" w:cs="Calibri"/>
          <w:sz w:val="24"/>
          <w:szCs w:val="24"/>
        </w:rPr>
        <w:t>1,61</w:t>
      </w:r>
      <w:r w:rsidRPr="009F28B9">
        <w:rPr>
          <w:rFonts w:ascii="Calibri" w:hAnsi="Calibri" w:cs="Calibri"/>
          <w:sz w:val="24"/>
          <w:szCs w:val="24"/>
        </w:rPr>
        <w:t xml:space="preserve">% </w:t>
      </w:r>
      <w:r w:rsidR="00535322">
        <w:rPr>
          <w:rFonts w:ascii="Calibri" w:hAnsi="Calibri" w:cs="Calibri"/>
          <w:sz w:val="24"/>
          <w:szCs w:val="24"/>
        </w:rPr>
        <w:t>manje</w:t>
      </w:r>
      <w:r w:rsidRPr="009F28B9">
        <w:rPr>
          <w:rFonts w:ascii="Calibri" w:hAnsi="Calibri" w:cs="Calibri"/>
          <w:sz w:val="24"/>
          <w:szCs w:val="24"/>
        </w:rPr>
        <w:t xml:space="preserve"> u odnosu na prethodnu godinu. </w:t>
      </w:r>
    </w:p>
    <w:p w14:paraId="75174B99" w14:textId="6A4E14A8" w:rsidR="00AB2530" w:rsidRPr="00AB2530" w:rsidRDefault="00AB2530" w:rsidP="00AB2530">
      <w:pPr>
        <w:jc w:val="both"/>
        <w:rPr>
          <w:rFonts w:ascii="Calibri" w:hAnsi="Calibri" w:cs="Calibri"/>
          <w:sz w:val="24"/>
          <w:szCs w:val="24"/>
        </w:rPr>
      </w:pPr>
      <w:r w:rsidRPr="00F23AB1">
        <w:rPr>
          <w:rFonts w:ascii="Calibri" w:hAnsi="Calibri" w:cs="Calibri"/>
          <w:sz w:val="24"/>
          <w:szCs w:val="24"/>
          <w:u w:val="single"/>
        </w:rPr>
        <w:t>Prihode od prodaje proizvoda i robe te pruženih usluga</w:t>
      </w:r>
      <w:r>
        <w:rPr>
          <w:rFonts w:ascii="Calibri" w:hAnsi="Calibri" w:cs="Calibri"/>
          <w:sz w:val="24"/>
          <w:szCs w:val="24"/>
        </w:rPr>
        <w:t xml:space="preserve"> su prihodi koje proračunski korisnici ostvaruju od svoje vlastite djelatnosti te su</w:t>
      </w:r>
      <w:r w:rsidRPr="00C601C0">
        <w:rPr>
          <w:rFonts w:ascii="Calibri" w:hAnsi="Calibri" w:cs="Calibri"/>
          <w:sz w:val="24"/>
          <w:szCs w:val="24"/>
        </w:rPr>
        <w:t xml:space="preserve"> ostvareni </w:t>
      </w:r>
      <w:r>
        <w:rPr>
          <w:rFonts w:ascii="Calibri" w:hAnsi="Calibri" w:cs="Calibri"/>
          <w:sz w:val="24"/>
          <w:szCs w:val="24"/>
        </w:rPr>
        <w:t>u</w:t>
      </w:r>
      <w:r w:rsidRPr="00C601C0">
        <w:rPr>
          <w:rFonts w:ascii="Calibri" w:hAnsi="Calibri" w:cs="Calibri"/>
          <w:sz w:val="24"/>
          <w:szCs w:val="24"/>
        </w:rPr>
        <w:t xml:space="preserve"> ukupnom iznosu od </w:t>
      </w:r>
      <w:r w:rsidR="008A4855">
        <w:rPr>
          <w:rFonts w:ascii="Calibri" w:hAnsi="Calibri" w:cs="Calibri"/>
          <w:sz w:val="24"/>
          <w:szCs w:val="24"/>
        </w:rPr>
        <w:t>111.061,69</w:t>
      </w:r>
      <w:r w:rsidRPr="00C601C0">
        <w:rPr>
          <w:rFonts w:ascii="Calibri" w:hAnsi="Calibri" w:cs="Calibri"/>
          <w:sz w:val="24"/>
          <w:szCs w:val="24"/>
        </w:rPr>
        <w:t xml:space="preserve"> eura</w:t>
      </w:r>
      <w:r w:rsidR="008A4855">
        <w:rPr>
          <w:rFonts w:ascii="Calibri" w:hAnsi="Calibri" w:cs="Calibri"/>
          <w:sz w:val="24"/>
          <w:szCs w:val="24"/>
        </w:rPr>
        <w:t>.</w:t>
      </w:r>
    </w:p>
    <w:p w14:paraId="359636F7" w14:textId="67BFF20D" w:rsidR="00AB2530" w:rsidRPr="00AB2530" w:rsidRDefault="00AB2530" w:rsidP="00AB2530">
      <w:pPr>
        <w:jc w:val="both"/>
        <w:rPr>
          <w:sz w:val="24"/>
          <w:szCs w:val="24"/>
        </w:rPr>
      </w:pPr>
      <w:r w:rsidRPr="00AB2530">
        <w:rPr>
          <w:sz w:val="24"/>
          <w:szCs w:val="24"/>
        </w:rPr>
        <w:t xml:space="preserve">Prihode su ostvarili proračunski korisnici i to: Muzej Grada Trogira ostvario je iznos od </w:t>
      </w:r>
      <w:r w:rsidR="008A4855">
        <w:rPr>
          <w:sz w:val="24"/>
          <w:szCs w:val="24"/>
        </w:rPr>
        <w:t>16.167,36</w:t>
      </w:r>
      <w:r w:rsidRPr="00AB2530">
        <w:rPr>
          <w:sz w:val="24"/>
          <w:szCs w:val="24"/>
        </w:rPr>
        <w:t xml:space="preserve"> eura ili značajnih 45,</w:t>
      </w:r>
      <w:r w:rsidR="008A4855">
        <w:rPr>
          <w:sz w:val="24"/>
          <w:szCs w:val="24"/>
        </w:rPr>
        <w:t>6</w:t>
      </w:r>
      <w:r w:rsidRPr="00AB2530">
        <w:rPr>
          <w:sz w:val="24"/>
          <w:szCs w:val="24"/>
        </w:rPr>
        <w:t>% manje nego prethodne godine  i to prihoda od prodaje trgovačke robe( katalozi, razglednice…)te komisijska prodaja knjiga u iznosu od 1.634,89 eura, prihodi od pruženih usluga (za prodaju ulaznica, najam jednog poslovnog prostora do 20.09.2025., radionica) iznos od 14.532,47 eura koji bilježi smanjenje 48,2% u odnosu na prethodnu godinu zbog veće posjećenosti izložbe Salvadora Dalija u 2024.godini</w:t>
      </w:r>
      <w:r w:rsidR="008A4855">
        <w:rPr>
          <w:sz w:val="24"/>
          <w:szCs w:val="24"/>
        </w:rPr>
        <w:t xml:space="preserve">. </w:t>
      </w:r>
    </w:p>
    <w:p w14:paraId="5EC770DA" w14:textId="4F2BF6E1" w:rsidR="00AB2530" w:rsidRPr="00AB2530" w:rsidRDefault="00AB2530" w:rsidP="00AB2530">
      <w:pPr>
        <w:jc w:val="both"/>
        <w:rPr>
          <w:sz w:val="24"/>
          <w:szCs w:val="24"/>
        </w:rPr>
      </w:pPr>
      <w:r w:rsidRPr="00AB2530">
        <w:rPr>
          <w:sz w:val="24"/>
          <w:szCs w:val="24"/>
        </w:rPr>
        <w:t>JU Športski objekti Trogir ostvarila je 58.790,59 eura prihoda od pruženih usluga ili 8,1% više u odnosu na ostvarenje prethodne godine, Gradska knjižnica je ostvarila prihoda od pruženih usluga u iznosu od 307,36 eura ili za značajnih 449,3%</w:t>
      </w:r>
      <w:r w:rsidR="008A4855">
        <w:rPr>
          <w:sz w:val="24"/>
          <w:szCs w:val="24"/>
        </w:rPr>
        <w:t xml:space="preserve"> više od ostvarenja prethodne godine</w:t>
      </w:r>
      <w:r w:rsidRPr="00AB2530">
        <w:rPr>
          <w:sz w:val="24"/>
          <w:szCs w:val="24"/>
        </w:rPr>
        <w:t xml:space="preserve"> te Javna vatrogasna postrojba Grada Trogira koja je ostvarila 35.796,38 eura prihoda od pruženih usluga, što je za značajnih </w:t>
      </w:r>
      <w:r w:rsidR="008A4855">
        <w:rPr>
          <w:sz w:val="24"/>
          <w:szCs w:val="24"/>
        </w:rPr>
        <w:t>32,4</w:t>
      </w:r>
      <w:r w:rsidRPr="00AB2530">
        <w:rPr>
          <w:sz w:val="24"/>
          <w:szCs w:val="24"/>
        </w:rPr>
        <w:t>% više od ostvarenja prethodne godine, a odnose se na usluge sustava vatrodojave i ostalih vatrogasnih usluga, povećanje je zbog povećanja korisnika usluga.</w:t>
      </w:r>
    </w:p>
    <w:p w14:paraId="0FB1AA7C" w14:textId="0526FA8E" w:rsidR="00153498" w:rsidRPr="00153498" w:rsidRDefault="00C601C0" w:rsidP="002813F3">
      <w:pPr>
        <w:jc w:val="both"/>
      </w:pPr>
      <w:r w:rsidRPr="00F23AB1">
        <w:rPr>
          <w:rFonts w:ascii="Calibri" w:hAnsi="Calibri" w:cs="Calibri"/>
          <w:sz w:val="24"/>
          <w:szCs w:val="24"/>
          <w:u w:val="single"/>
        </w:rPr>
        <w:t>Donacije od pravnih i fizičkih osoba izvan općeg proračuna</w:t>
      </w:r>
      <w:r w:rsidR="00344227" w:rsidRPr="00344227">
        <w:rPr>
          <w:rFonts w:ascii="Calibri" w:hAnsi="Calibri" w:cs="Calibri"/>
          <w:sz w:val="24"/>
          <w:szCs w:val="24"/>
        </w:rPr>
        <w:t>,</w:t>
      </w:r>
      <w:r w:rsidRPr="00344227">
        <w:rPr>
          <w:rFonts w:ascii="Calibri" w:hAnsi="Calibri" w:cs="Calibri"/>
          <w:sz w:val="24"/>
          <w:szCs w:val="24"/>
        </w:rPr>
        <w:t xml:space="preserve"> proračunski korisnici su ostvarili ukupno </w:t>
      </w:r>
      <w:r w:rsidR="008A4855">
        <w:rPr>
          <w:rFonts w:ascii="Calibri" w:hAnsi="Calibri" w:cs="Calibri"/>
          <w:sz w:val="24"/>
          <w:szCs w:val="24"/>
        </w:rPr>
        <w:t>438,00</w:t>
      </w:r>
      <w:r w:rsidRPr="00344227">
        <w:rPr>
          <w:rFonts w:ascii="Calibri" w:hAnsi="Calibri" w:cs="Calibri"/>
          <w:sz w:val="24"/>
          <w:szCs w:val="24"/>
        </w:rPr>
        <w:t xml:space="preserve"> eura što je za značajnih </w:t>
      </w:r>
      <w:r w:rsidR="008A4855">
        <w:rPr>
          <w:rFonts w:ascii="Calibri" w:hAnsi="Calibri" w:cs="Calibri"/>
          <w:sz w:val="24"/>
          <w:szCs w:val="24"/>
        </w:rPr>
        <w:t>76,56</w:t>
      </w:r>
      <w:r w:rsidRPr="00344227">
        <w:rPr>
          <w:rFonts w:ascii="Calibri" w:hAnsi="Calibri" w:cs="Calibri"/>
          <w:sz w:val="24"/>
          <w:szCs w:val="24"/>
        </w:rPr>
        <w:t xml:space="preserve">% </w:t>
      </w:r>
      <w:r w:rsidR="008A4855">
        <w:rPr>
          <w:rFonts w:ascii="Calibri" w:hAnsi="Calibri" w:cs="Calibri"/>
          <w:sz w:val="24"/>
          <w:szCs w:val="24"/>
        </w:rPr>
        <w:t>manje</w:t>
      </w:r>
      <w:r w:rsidRPr="00344227">
        <w:rPr>
          <w:rFonts w:ascii="Calibri" w:hAnsi="Calibri" w:cs="Calibri"/>
          <w:sz w:val="24"/>
          <w:szCs w:val="24"/>
        </w:rPr>
        <w:t xml:space="preserve"> u odnosu na </w:t>
      </w:r>
      <w:r w:rsidR="008A4855">
        <w:rPr>
          <w:rFonts w:ascii="Calibri" w:hAnsi="Calibri" w:cs="Calibri"/>
          <w:sz w:val="24"/>
          <w:szCs w:val="24"/>
        </w:rPr>
        <w:t xml:space="preserve">isto </w:t>
      </w:r>
      <w:r w:rsidRPr="00344227">
        <w:rPr>
          <w:rFonts w:ascii="Calibri" w:hAnsi="Calibri" w:cs="Calibri"/>
          <w:sz w:val="24"/>
          <w:szCs w:val="24"/>
        </w:rPr>
        <w:t>razdoblje 202</w:t>
      </w:r>
      <w:r w:rsidR="008A4855">
        <w:rPr>
          <w:rFonts w:ascii="Calibri" w:hAnsi="Calibri" w:cs="Calibri"/>
          <w:sz w:val="24"/>
          <w:szCs w:val="24"/>
        </w:rPr>
        <w:t>4</w:t>
      </w:r>
      <w:r w:rsidRPr="00344227">
        <w:rPr>
          <w:rFonts w:ascii="Calibri" w:hAnsi="Calibri" w:cs="Calibri"/>
          <w:sz w:val="24"/>
          <w:szCs w:val="24"/>
        </w:rPr>
        <w:t xml:space="preserve">. godine i to ostvarenje bilježi </w:t>
      </w:r>
      <w:r w:rsidR="008A4855">
        <w:t xml:space="preserve">Muzej Grada Trogira, a odnosi se na kapitalne donacije fizičkih osoba za knjige koje su darovane muzeju. </w:t>
      </w:r>
      <w:r w:rsidR="008A4855" w:rsidRPr="008A4855">
        <w:rPr>
          <w:sz w:val="24"/>
          <w:szCs w:val="24"/>
        </w:rPr>
        <w:t xml:space="preserve">Prethodne godine Grad Trogir je bilježio ostvarenje ove skupine prihoda u iznosu od 6.569,78 eura, odnosio se na donaciju po Sporazumu o sufinanciranju  sa Lučkom upravom SDŽ-a za izradu projektne dokumentacije u projektu uređenja šetnice i biciklističke staze </w:t>
      </w:r>
      <w:proofErr w:type="spellStart"/>
      <w:r w:rsidR="008A4855" w:rsidRPr="008A4855">
        <w:rPr>
          <w:sz w:val="24"/>
          <w:szCs w:val="24"/>
        </w:rPr>
        <w:t>Brigi</w:t>
      </w:r>
      <w:proofErr w:type="spellEnd"/>
      <w:r w:rsidR="008A4855" w:rsidRPr="008A4855">
        <w:rPr>
          <w:sz w:val="24"/>
          <w:szCs w:val="24"/>
        </w:rPr>
        <w:t xml:space="preserve">- Lokvice., dok ove godine bilježi ostvarenje od 6.983,29 eura i to od Lučke uprave za uređenje šetnice </w:t>
      </w:r>
      <w:proofErr w:type="spellStart"/>
      <w:r w:rsidR="008A4855" w:rsidRPr="008A4855">
        <w:rPr>
          <w:sz w:val="24"/>
          <w:szCs w:val="24"/>
        </w:rPr>
        <w:t>Brigi</w:t>
      </w:r>
      <w:proofErr w:type="spellEnd"/>
      <w:r w:rsidR="008A4855" w:rsidRPr="008A4855">
        <w:rPr>
          <w:sz w:val="24"/>
          <w:szCs w:val="24"/>
        </w:rPr>
        <w:t xml:space="preserve"> Lokvice sukladno Sporazumu.</w:t>
      </w:r>
    </w:p>
    <w:p w14:paraId="184A4B92" w14:textId="6B9D3308" w:rsidR="00B37009" w:rsidRDefault="00B37009" w:rsidP="002813F3">
      <w:pPr>
        <w:jc w:val="both"/>
        <w:rPr>
          <w:rFonts w:cstheme="minorHAnsi"/>
          <w:b/>
          <w:sz w:val="24"/>
          <w:szCs w:val="24"/>
        </w:rPr>
      </w:pPr>
      <w:r w:rsidRPr="006D1211">
        <w:rPr>
          <w:rFonts w:cstheme="minorHAnsi"/>
          <w:b/>
          <w:sz w:val="24"/>
          <w:szCs w:val="24"/>
        </w:rPr>
        <w:t xml:space="preserve">1.1.6. Kazne, upravne mjere i ostali prihodi </w:t>
      </w:r>
    </w:p>
    <w:p w14:paraId="2D617C7E" w14:textId="1B478ABF" w:rsidR="00153498" w:rsidRPr="00153498" w:rsidRDefault="009F28B9" w:rsidP="00153498">
      <w:pPr>
        <w:jc w:val="both"/>
        <w:rPr>
          <w:sz w:val="24"/>
          <w:szCs w:val="24"/>
        </w:rPr>
      </w:pPr>
      <w:r w:rsidRPr="00153498">
        <w:rPr>
          <w:rFonts w:ascii="Calibri" w:hAnsi="Calibri" w:cs="Calibri"/>
          <w:sz w:val="24"/>
          <w:szCs w:val="24"/>
          <w:u w:val="single"/>
        </w:rPr>
        <w:t>Kazne, upravne mjere i ostali prihodi</w:t>
      </w:r>
      <w:r w:rsidR="00F23AB1" w:rsidRPr="00153498">
        <w:rPr>
          <w:rFonts w:ascii="Calibri" w:hAnsi="Calibri" w:cs="Calibri"/>
          <w:sz w:val="24"/>
          <w:szCs w:val="24"/>
          <w:u w:val="single"/>
        </w:rPr>
        <w:t xml:space="preserve"> </w:t>
      </w:r>
      <w:r w:rsidR="00F23AB1" w:rsidRPr="00153498">
        <w:rPr>
          <w:rFonts w:ascii="Calibri" w:hAnsi="Calibri" w:cs="Calibri"/>
          <w:sz w:val="24"/>
          <w:szCs w:val="24"/>
        </w:rPr>
        <w:t xml:space="preserve">planirani su u iznosu od </w:t>
      </w:r>
      <w:r w:rsidR="00153498" w:rsidRPr="00153498">
        <w:rPr>
          <w:rFonts w:ascii="Calibri" w:hAnsi="Calibri" w:cs="Calibri"/>
          <w:sz w:val="24"/>
          <w:szCs w:val="24"/>
        </w:rPr>
        <w:t>208.021,85</w:t>
      </w:r>
      <w:r w:rsidR="00F23AB1" w:rsidRPr="00153498">
        <w:rPr>
          <w:rFonts w:ascii="Calibri" w:hAnsi="Calibri" w:cs="Calibri"/>
          <w:sz w:val="24"/>
          <w:szCs w:val="24"/>
        </w:rPr>
        <w:t xml:space="preserve"> eura, a </w:t>
      </w:r>
      <w:r w:rsidRPr="00153498">
        <w:rPr>
          <w:rFonts w:ascii="Calibri" w:hAnsi="Calibri" w:cs="Calibri"/>
          <w:sz w:val="24"/>
          <w:szCs w:val="24"/>
        </w:rPr>
        <w:t xml:space="preserve">ostvareni su u iznosu od </w:t>
      </w:r>
      <w:r w:rsidR="00153498" w:rsidRPr="00153498">
        <w:rPr>
          <w:rFonts w:ascii="Calibri" w:hAnsi="Calibri" w:cs="Calibri"/>
          <w:sz w:val="24"/>
          <w:szCs w:val="24"/>
        </w:rPr>
        <w:t>167.175,02</w:t>
      </w:r>
      <w:r w:rsidRPr="00153498">
        <w:rPr>
          <w:rFonts w:ascii="Calibri" w:hAnsi="Calibri" w:cs="Calibri"/>
          <w:sz w:val="24"/>
          <w:szCs w:val="24"/>
        </w:rPr>
        <w:t xml:space="preserve"> eura i bilježe povećanje od </w:t>
      </w:r>
      <w:r w:rsidR="00153498" w:rsidRPr="00153498">
        <w:rPr>
          <w:rFonts w:ascii="Calibri" w:hAnsi="Calibri" w:cs="Calibri"/>
          <w:sz w:val="24"/>
          <w:szCs w:val="24"/>
        </w:rPr>
        <w:t>109,60</w:t>
      </w:r>
      <w:r w:rsidRPr="00153498">
        <w:rPr>
          <w:rFonts w:ascii="Calibri" w:hAnsi="Calibri" w:cs="Calibri"/>
          <w:sz w:val="24"/>
          <w:szCs w:val="24"/>
        </w:rPr>
        <w:t xml:space="preserve">%. Ovi  prihodi  se odnose najvećim dijelom na Grad Trogir u iznosu od </w:t>
      </w:r>
      <w:r w:rsidR="00153498" w:rsidRPr="00153498">
        <w:rPr>
          <w:rFonts w:ascii="Calibri" w:hAnsi="Calibri" w:cs="Calibri"/>
          <w:sz w:val="24"/>
          <w:szCs w:val="24"/>
        </w:rPr>
        <w:t>162.504,01</w:t>
      </w:r>
      <w:r w:rsidRPr="00153498">
        <w:rPr>
          <w:rFonts w:ascii="Calibri" w:hAnsi="Calibri" w:cs="Calibri"/>
          <w:sz w:val="24"/>
          <w:szCs w:val="24"/>
        </w:rPr>
        <w:t xml:space="preserve"> eura (povećanje od </w:t>
      </w:r>
      <w:r w:rsidR="00153498" w:rsidRPr="00153498">
        <w:rPr>
          <w:rFonts w:ascii="Calibri" w:hAnsi="Calibri" w:cs="Calibri"/>
          <w:sz w:val="24"/>
          <w:szCs w:val="24"/>
        </w:rPr>
        <w:t>značajnih 115,9</w:t>
      </w:r>
      <w:r w:rsidRPr="00153498">
        <w:rPr>
          <w:rFonts w:ascii="Calibri" w:hAnsi="Calibri" w:cs="Calibri"/>
          <w:sz w:val="24"/>
          <w:szCs w:val="24"/>
        </w:rPr>
        <w:t>% u odnosu na</w:t>
      </w:r>
      <w:r w:rsidR="00344227" w:rsidRPr="00153498">
        <w:rPr>
          <w:rFonts w:ascii="Calibri" w:hAnsi="Calibri" w:cs="Calibri"/>
          <w:sz w:val="24"/>
          <w:szCs w:val="24"/>
        </w:rPr>
        <w:t xml:space="preserve"> ostvarenje</w:t>
      </w:r>
      <w:r w:rsidRPr="00153498">
        <w:rPr>
          <w:rFonts w:ascii="Calibri" w:hAnsi="Calibri" w:cs="Calibri"/>
          <w:sz w:val="24"/>
          <w:szCs w:val="24"/>
        </w:rPr>
        <w:t xml:space="preserve"> prethodne godine) i to na kazne za prekršaje u prometu u nadležnosti MUP-a ostvareno je </w:t>
      </w:r>
      <w:r w:rsidR="00153498" w:rsidRPr="00153498">
        <w:rPr>
          <w:rFonts w:ascii="Calibri" w:hAnsi="Calibri" w:cs="Calibri"/>
          <w:sz w:val="24"/>
          <w:szCs w:val="24"/>
        </w:rPr>
        <w:t>79.909,00</w:t>
      </w:r>
      <w:r w:rsidRPr="00153498">
        <w:rPr>
          <w:rFonts w:ascii="Calibri" w:hAnsi="Calibri" w:cs="Calibri"/>
          <w:sz w:val="24"/>
          <w:szCs w:val="24"/>
        </w:rPr>
        <w:t xml:space="preserve"> eura</w:t>
      </w:r>
      <w:r w:rsidR="00153498" w:rsidRPr="00153498">
        <w:rPr>
          <w:rFonts w:ascii="Calibri" w:hAnsi="Calibri" w:cs="Calibri"/>
          <w:sz w:val="24"/>
          <w:szCs w:val="24"/>
        </w:rPr>
        <w:t xml:space="preserve"> ili 149,5% više</w:t>
      </w:r>
      <w:r w:rsidR="007F2FEA">
        <w:rPr>
          <w:rFonts w:ascii="Calibri" w:hAnsi="Calibri" w:cs="Calibri"/>
          <w:sz w:val="24"/>
          <w:szCs w:val="24"/>
        </w:rPr>
        <w:t xml:space="preserve"> </w:t>
      </w:r>
      <w:r w:rsidRPr="00153498">
        <w:rPr>
          <w:rFonts w:ascii="Calibri" w:hAnsi="Calibri" w:cs="Calibri"/>
          <w:sz w:val="24"/>
          <w:szCs w:val="24"/>
        </w:rPr>
        <w:t xml:space="preserve">te na kazne po rješenju komunalnih redara ostvareno je prihoda </w:t>
      </w:r>
      <w:r w:rsidR="00153498" w:rsidRPr="00153498">
        <w:rPr>
          <w:rFonts w:ascii="Calibri" w:hAnsi="Calibri" w:cs="Calibri"/>
          <w:sz w:val="24"/>
          <w:szCs w:val="24"/>
        </w:rPr>
        <w:t>53.126,80</w:t>
      </w:r>
      <w:r w:rsidRPr="00153498">
        <w:rPr>
          <w:rFonts w:ascii="Calibri" w:hAnsi="Calibri" w:cs="Calibri"/>
          <w:sz w:val="24"/>
          <w:szCs w:val="24"/>
        </w:rPr>
        <w:t xml:space="preserve"> eura</w:t>
      </w:r>
      <w:r w:rsidR="00153498" w:rsidRPr="00153498">
        <w:rPr>
          <w:rFonts w:ascii="Calibri" w:hAnsi="Calibri" w:cs="Calibri"/>
          <w:sz w:val="24"/>
          <w:szCs w:val="24"/>
        </w:rPr>
        <w:t xml:space="preserve"> </w:t>
      </w:r>
      <w:r w:rsidR="00153498" w:rsidRPr="00153498">
        <w:rPr>
          <w:sz w:val="24"/>
          <w:szCs w:val="24"/>
        </w:rPr>
        <w:t xml:space="preserve">i ugovorne kazne za prekoračenje rokova dostave </w:t>
      </w:r>
      <w:r w:rsidR="00153498" w:rsidRPr="00153498">
        <w:rPr>
          <w:sz w:val="24"/>
          <w:szCs w:val="24"/>
        </w:rPr>
        <w:lastRenderedPageBreak/>
        <w:t>opreme  kod izgradnje novog kulturno edukacijskog centra iznos od 28.804,60 eura. Preostali dio prihoda od kazni pripada Gradskoj knjižnici Trogir u iznosu od 4.671,01 eura. </w:t>
      </w:r>
    </w:p>
    <w:p w14:paraId="2AA42CAF" w14:textId="36EE2F60" w:rsidR="00153498" w:rsidRDefault="007F2FEA" w:rsidP="00F23AB1">
      <w:pPr>
        <w:jc w:val="both"/>
        <w:rPr>
          <w:sz w:val="24"/>
          <w:szCs w:val="24"/>
        </w:rPr>
      </w:pPr>
      <w:r w:rsidRPr="007F2FEA">
        <w:rPr>
          <w:sz w:val="24"/>
          <w:szCs w:val="24"/>
        </w:rPr>
        <w:t>Ostali prihodi  bilježe ostvarenje u iznosu od 663,61 eura, a odnose se na uplatu troškova nastalih Gradu za održavanje zgrada kulturnog dobra za koje je Grad imenovan skrbnikom, a koje nastale troškove je u ranijim godinama sufinanciralo Ministarstvo kulture, dok dio sufinanciraju suvlasnici temeljem sporazuma u iznosu ostvarenja od 663,61 eura.</w:t>
      </w:r>
    </w:p>
    <w:p w14:paraId="12810C8C" w14:textId="17673DD1" w:rsidR="00B37009" w:rsidRPr="00F23AB1" w:rsidRDefault="00B37009" w:rsidP="00F23AB1">
      <w:pPr>
        <w:jc w:val="both"/>
        <w:rPr>
          <w:rFonts w:ascii="Calibri" w:hAnsi="Calibri" w:cs="Calibri"/>
          <w:sz w:val="24"/>
          <w:szCs w:val="24"/>
        </w:rPr>
      </w:pPr>
      <w:r w:rsidRPr="00D81CC8">
        <w:rPr>
          <w:rFonts w:cstheme="minorHAnsi"/>
          <w:b/>
          <w:sz w:val="24"/>
          <w:szCs w:val="24"/>
        </w:rPr>
        <w:t xml:space="preserve">1.2. PRIHODI OD PRODAJE NEFINANCIJSKE IMOVINE </w:t>
      </w:r>
    </w:p>
    <w:p w14:paraId="79063CAA" w14:textId="50149D9E" w:rsidR="007F2FEA" w:rsidRPr="007F2FEA" w:rsidRDefault="00344227" w:rsidP="007F2FEA">
      <w:pPr>
        <w:jc w:val="both"/>
        <w:rPr>
          <w:rFonts w:ascii="Calibri" w:hAnsi="Calibri" w:cs="Calibri"/>
          <w:sz w:val="24"/>
          <w:szCs w:val="24"/>
        </w:rPr>
      </w:pPr>
      <w:r w:rsidRPr="00344227">
        <w:rPr>
          <w:rFonts w:ascii="Calibri" w:hAnsi="Calibri" w:cs="Calibri"/>
          <w:sz w:val="24"/>
          <w:szCs w:val="24"/>
        </w:rPr>
        <w:t>Prihodi od prodaje nefinancijske imovine</w:t>
      </w:r>
      <w:r w:rsidR="00BD630E">
        <w:rPr>
          <w:rFonts w:ascii="Calibri" w:hAnsi="Calibri" w:cs="Calibri"/>
          <w:sz w:val="24"/>
          <w:szCs w:val="24"/>
        </w:rPr>
        <w:t xml:space="preserve"> planirani su u iznosu od </w:t>
      </w:r>
      <w:r w:rsidR="007F2FEA">
        <w:rPr>
          <w:rFonts w:ascii="Calibri" w:hAnsi="Calibri" w:cs="Calibri"/>
          <w:sz w:val="24"/>
          <w:szCs w:val="24"/>
        </w:rPr>
        <w:t>38.000,00</w:t>
      </w:r>
      <w:r w:rsidR="00BD630E">
        <w:rPr>
          <w:rFonts w:ascii="Calibri" w:hAnsi="Calibri" w:cs="Calibri"/>
          <w:sz w:val="24"/>
          <w:szCs w:val="24"/>
        </w:rPr>
        <w:t xml:space="preserve"> eura, a ostvareni su u iznosu od </w:t>
      </w:r>
      <w:r w:rsidR="007F2FEA">
        <w:rPr>
          <w:rFonts w:ascii="Calibri" w:hAnsi="Calibri" w:cs="Calibri"/>
          <w:sz w:val="24"/>
          <w:szCs w:val="24"/>
        </w:rPr>
        <w:t>11.114,76</w:t>
      </w:r>
      <w:r w:rsidRPr="00344227">
        <w:rPr>
          <w:rFonts w:ascii="Calibri" w:hAnsi="Calibri" w:cs="Calibri"/>
          <w:sz w:val="24"/>
          <w:szCs w:val="24"/>
        </w:rPr>
        <w:t xml:space="preserve"> eura ili značajnih </w:t>
      </w:r>
      <w:r w:rsidR="007F2FEA">
        <w:rPr>
          <w:rFonts w:ascii="Calibri" w:hAnsi="Calibri" w:cs="Calibri"/>
          <w:sz w:val="24"/>
          <w:szCs w:val="24"/>
        </w:rPr>
        <w:t>748,57% više</w:t>
      </w:r>
      <w:r w:rsidRPr="00344227">
        <w:rPr>
          <w:rFonts w:ascii="Calibri" w:hAnsi="Calibri" w:cs="Calibri"/>
          <w:sz w:val="24"/>
          <w:szCs w:val="24"/>
        </w:rPr>
        <w:t xml:space="preserve"> od ostvarenja prethodne godine. </w:t>
      </w:r>
      <w:r w:rsidRPr="007F2FEA">
        <w:rPr>
          <w:rFonts w:ascii="Calibri" w:hAnsi="Calibri" w:cs="Calibri"/>
          <w:sz w:val="24"/>
          <w:szCs w:val="24"/>
        </w:rPr>
        <w:t xml:space="preserve">Isti se odnose na Grad Trogir i to na prihode od prodaje društvenih stanova koji se otkupljuju od strane građana sukladno Zakonu o prodaji stanova na kojima postoji stanarsko pravo i od čije uplate 55% pripada državnom proračunu dok od ostalih 45% Gradu Trogiru pripada 59%, </w:t>
      </w:r>
      <w:r w:rsidR="007F2FEA" w:rsidRPr="007F2FEA">
        <w:rPr>
          <w:sz w:val="24"/>
          <w:szCs w:val="24"/>
        </w:rPr>
        <w:t xml:space="preserve">a povećanje u odnosu na prethodnu godinu je zbog rasporeda prihoda od prodaje </w:t>
      </w:r>
      <w:r w:rsidR="007F2FEA">
        <w:rPr>
          <w:sz w:val="24"/>
          <w:szCs w:val="24"/>
        </w:rPr>
        <w:t xml:space="preserve">zemljišta </w:t>
      </w:r>
      <w:r w:rsidR="007F2FEA" w:rsidRPr="007F2FEA">
        <w:rPr>
          <w:sz w:val="24"/>
          <w:szCs w:val="24"/>
        </w:rPr>
        <w:t>bez izvršnog akta</w:t>
      </w:r>
      <w:r w:rsidR="007F2FEA">
        <w:rPr>
          <w:sz w:val="24"/>
          <w:szCs w:val="24"/>
        </w:rPr>
        <w:t xml:space="preserve"> u iznosu od 7.840,00 eura koji ne bilježi ostvarenje prethodne godine.</w:t>
      </w:r>
    </w:p>
    <w:p w14:paraId="482A8B8E" w14:textId="77777777" w:rsidR="00344227" w:rsidRDefault="00344227" w:rsidP="00B37009">
      <w:pPr>
        <w:pStyle w:val="Bezproreda"/>
        <w:jc w:val="both"/>
        <w:rPr>
          <w:sz w:val="24"/>
          <w:szCs w:val="24"/>
        </w:rPr>
      </w:pPr>
    </w:p>
    <w:p w14:paraId="76401A8D" w14:textId="5271DB51" w:rsidR="00B37009" w:rsidRDefault="007F2FEA" w:rsidP="007F2FEA">
      <w:pPr>
        <w:pStyle w:val="Bezproreda"/>
        <w:jc w:val="both"/>
        <w:rPr>
          <w:b/>
          <w:sz w:val="24"/>
          <w:szCs w:val="24"/>
        </w:rPr>
      </w:pPr>
      <w:r>
        <w:rPr>
          <w:b/>
          <w:sz w:val="24"/>
          <w:szCs w:val="24"/>
        </w:rPr>
        <w:t xml:space="preserve">1.3. </w:t>
      </w:r>
      <w:r w:rsidR="00B37009" w:rsidRPr="007F2FEA">
        <w:rPr>
          <w:b/>
          <w:sz w:val="24"/>
          <w:szCs w:val="24"/>
        </w:rPr>
        <w:t>PRIMICI OD FINANCIJSKE IMOVINE I ZADUŽIVANJA</w:t>
      </w:r>
    </w:p>
    <w:p w14:paraId="48CF89D6" w14:textId="77777777" w:rsidR="007F2FEA" w:rsidRPr="007F2FEA" w:rsidRDefault="007F2FEA" w:rsidP="007F2FEA">
      <w:pPr>
        <w:pStyle w:val="Bezproreda"/>
        <w:ind w:left="720"/>
        <w:jc w:val="both"/>
        <w:rPr>
          <w:b/>
          <w:sz w:val="24"/>
          <w:szCs w:val="24"/>
        </w:rPr>
      </w:pPr>
    </w:p>
    <w:p w14:paraId="20D325E0" w14:textId="25F96781" w:rsidR="007F2FEA" w:rsidRPr="007F2FEA" w:rsidRDefault="002813F3" w:rsidP="007F2FEA">
      <w:pPr>
        <w:pStyle w:val="Bezproreda"/>
        <w:jc w:val="both"/>
        <w:rPr>
          <w:rFonts w:cs="Calibri"/>
          <w:sz w:val="24"/>
          <w:szCs w:val="24"/>
        </w:rPr>
      </w:pPr>
      <w:r w:rsidRPr="007F2FEA">
        <w:rPr>
          <w:rFonts w:cs="Calibri"/>
          <w:sz w:val="24"/>
          <w:szCs w:val="24"/>
          <w:u w:val="single"/>
        </w:rPr>
        <w:t>Primici od financijske imovine i zaduživanja</w:t>
      </w:r>
      <w:r w:rsidRPr="007F2FEA">
        <w:rPr>
          <w:rFonts w:cs="Calibri"/>
          <w:sz w:val="24"/>
          <w:szCs w:val="24"/>
        </w:rPr>
        <w:t xml:space="preserve"> bilježe ostvarenje u izvještajnom razdoblju tekuće godine</w:t>
      </w:r>
      <w:r w:rsidR="007F2FEA" w:rsidRPr="007F2FEA">
        <w:rPr>
          <w:rFonts w:cs="Calibri"/>
          <w:sz w:val="24"/>
          <w:szCs w:val="24"/>
        </w:rPr>
        <w:t xml:space="preserve"> u iznosu od 150.000,00 eura </w:t>
      </w:r>
      <w:r w:rsidR="007F2FEA" w:rsidRPr="007F2FEA">
        <w:rPr>
          <w:sz w:val="24"/>
          <w:szCs w:val="24"/>
        </w:rPr>
        <w:t xml:space="preserve">koji odgovara kreditu koji je JU Sportski objekti Trogir digla kod Erste banke za zamjenu travnjaka na nogometnom igralištu </w:t>
      </w:r>
      <w:proofErr w:type="spellStart"/>
      <w:r w:rsidR="007F2FEA" w:rsidRPr="007F2FEA">
        <w:rPr>
          <w:sz w:val="24"/>
          <w:szCs w:val="24"/>
        </w:rPr>
        <w:t>Batarija</w:t>
      </w:r>
      <w:proofErr w:type="spellEnd"/>
      <w:r w:rsidR="007F2FEA" w:rsidRPr="007F2FEA">
        <w:rPr>
          <w:sz w:val="24"/>
          <w:szCs w:val="24"/>
        </w:rPr>
        <w:t xml:space="preserve"> .</w:t>
      </w:r>
    </w:p>
    <w:p w14:paraId="03634BA1" w14:textId="77777777" w:rsidR="00AB35AB" w:rsidRDefault="00AB35AB" w:rsidP="00AB35AB">
      <w:pPr>
        <w:pStyle w:val="Bezproreda"/>
        <w:jc w:val="both"/>
        <w:rPr>
          <w:rFonts w:cs="Calibri"/>
          <w:sz w:val="24"/>
          <w:szCs w:val="24"/>
        </w:rPr>
      </w:pPr>
    </w:p>
    <w:p w14:paraId="6AB8CF5C" w14:textId="455B7729" w:rsidR="00AB35AB" w:rsidRDefault="00AB35AB" w:rsidP="00AB35AB">
      <w:pPr>
        <w:pStyle w:val="Bezproreda"/>
        <w:jc w:val="both"/>
        <w:rPr>
          <w:sz w:val="24"/>
          <w:szCs w:val="24"/>
        </w:rPr>
      </w:pPr>
      <w:r>
        <w:rPr>
          <w:sz w:val="24"/>
          <w:szCs w:val="24"/>
        </w:rPr>
        <w:t>U sljedećem grafikonu daje se prikaz ostvarenih prihoda i primitaka proračuna Grada Trogira u 202</w:t>
      </w:r>
      <w:r w:rsidR="007F2FEA">
        <w:rPr>
          <w:sz w:val="24"/>
          <w:szCs w:val="24"/>
        </w:rPr>
        <w:t>5</w:t>
      </w:r>
      <w:r>
        <w:rPr>
          <w:sz w:val="24"/>
          <w:szCs w:val="24"/>
        </w:rPr>
        <w:t>. godini.</w:t>
      </w:r>
    </w:p>
    <w:p w14:paraId="4EF7E6E5" w14:textId="77777777" w:rsidR="00AB35AB" w:rsidRDefault="00AB35AB" w:rsidP="00AB35AB">
      <w:pPr>
        <w:pStyle w:val="Bezproreda"/>
        <w:jc w:val="both"/>
        <w:rPr>
          <w:sz w:val="24"/>
          <w:szCs w:val="24"/>
        </w:rPr>
      </w:pPr>
    </w:p>
    <w:p w14:paraId="1BA81236" w14:textId="0A48D220" w:rsidR="00AB35AB" w:rsidRPr="00AC7CA3" w:rsidRDefault="00AB35AB" w:rsidP="00AB35AB">
      <w:pPr>
        <w:pStyle w:val="Bezproreda"/>
        <w:jc w:val="both"/>
      </w:pPr>
      <w:r w:rsidRPr="008B5E32">
        <w:rPr>
          <w:b/>
          <w:sz w:val="24"/>
          <w:szCs w:val="24"/>
        </w:rPr>
        <w:t xml:space="preserve">Grafikon </w:t>
      </w:r>
      <w:r>
        <w:rPr>
          <w:b/>
          <w:sz w:val="24"/>
          <w:szCs w:val="24"/>
        </w:rPr>
        <w:t>1</w:t>
      </w:r>
      <w:r>
        <w:rPr>
          <w:sz w:val="24"/>
          <w:szCs w:val="24"/>
        </w:rPr>
        <w:t xml:space="preserve">. </w:t>
      </w:r>
      <w:r w:rsidRPr="00E37078">
        <w:t>Ostvarenje prihoda i primitaka Proračuna Grada Trogira u 202</w:t>
      </w:r>
      <w:r w:rsidR="007F2FEA">
        <w:t>5</w:t>
      </w:r>
      <w:r w:rsidRPr="00E37078">
        <w:t xml:space="preserve">.godini </w:t>
      </w:r>
    </w:p>
    <w:p w14:paraId="313378CD" w14:textId="77777777" w:rsidR="00AB35AB" w:rsidRDefault="00AB35AB" w:rsidP="00C47CCC">
      <w:pPr>
        <w:pStyle w:val="Bezproreda"/>
        <w:jc w:val="both"/>
        <w:rPr>
          <w:rFonts w:cs="Calibri"/>
          <w:sz w:val="24"/>
          <w:szCs w:val="24"/>
        </w:rPr>
      </w:pPr>
    </w:p>
    <w:p w14:paraId="1AFBCC57" w14:textId="77777777" w:rsidR="00AB35AB" w:rsidRDefault="00AB35AB" w:rsidP="00C47CCC">
      <w:pPr>
        <w:pStyle w:val="Bezproreda"/>
        <w:jc w:val="both"/>
        <w:rPr>
          <w:rFonts w:cs="Calibri"/>
          <w:sz w:val="24"/>
          <w:szCs w:val="24"/>
        </w:rPr>
      </w:pPr>
    </w:p>
    <w:p w14:paraId="1E89ABD1" w14:textId="5DF8236E" w:rsidR="0086784D" w:rsidRDefault="008E75EC" w:rsidP="00784FCE">
      <w:pPr>
        <w:pStyle w:val="Bezproreda"/>
        <w:jc w:val="both"/>
        <w:rPr>
          <w:rFonts w:cs="Calibri"/>
          <w:sz w:val="24"/>
          <w:szCs w:val="24"/>
        </w:rPr>
      </w:pPr>
      <w:r>
        <w:rPr>
          <w:noProof/>
        </w:rPr>
        <w:drawing>
          <wp:inline distT="0" distB="0" distL="0" distR="0" wp14:anchorId="137414AC" wp14:editId="24C2F632">
            <wp:extent cx="5772150" cy="2905125"/>
            <wp:effectExtent l="0" t="0" r="0" b="9525"/>
            <wp:docPr id="2147447502" name="Grafikon 1">
              <a:extLst xmlns:a="http://schemas.openxmlformats.org/drawingml/2006/main">
                <a:ext uri="{FF2B5EF4-FFF2-40B4-BE49-F238E27FC236}">
                  <a16:creationId xmlns:a16="http://schemas.microsoft.com/office/drawing/2014/main" id="{ED1251CB-4EC0-BAD7-1643-4359EBE8A2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B175F73" w14:textId="77777777" w:rsidR="00A63D0D" w:rsidRDefault="00A63D0D" w:rsidP="00784FCE">
      <w:pPr>
        <w:spacing w:line="240" w:lineRule="auto"/>
        <w:jc w:val="center"/>
        <w:rPr>
          <w:rFonts w:cstheme="minorHAnsi"/>
          <w:b/>
          <w:sz w:val="24"/>
          <w:szCs w:val="24"/>
        </w:rPr>
      </w:pPr>
    </w:p>
    <w:p w14:paraId="4D38E9AE" w14:textId="626C2D6B" w:rsidR="00784FCE" w:rsidRDefault="00784FCE" w:rsidP="00784FCE">
      <w:pPr>
        <w:spacing w:line="240" w:lineRule="auto"/>
        <w:jc w:val="center"/>
        <w:rPr>
          <w:rFonts w:cstheme="minorHAnsi"/>
          <w:b/>
          <w:sz w:val="24"/>
          <w:szCs w:val="24"/>
        </w:rPr>
      </w:pPr>
      <w:r w:rsidRPr="0021585F">
        <w:rPr>
          <w:rFonts w:cstheme="minorHAnsi"/>
          <w:b/>
          <w:sz w:val="24"/>
          <w:szCs w:val="24"/>
        </w:rPr>
        <w:lastRenderedPageBreak/>
        <w:t>2) RASHODI I IZDACI</w:t>
      </w:r>
    </w:p>
    <w:p w14:paraId="1B698D2F" w14:textId="3240487F" w:rsidR="00784FCE" w:rsidRDefault="00784FCE" w:rsidP="00784FCE">
      <w:pPr>
        <w:spacing w:line="240" w:lineRule="auto"/>
        <w:jc w:val="both"/>
        <w:rPr>
          <w:rFonts w:cstheme="minorHAnsi"/>
          <w:sz w:val="24"/>
          <w:szCs w:val="24"/>
        </w:rPr>
      </w:pPr>
      <w:r w:rsidRPr="0021585F">
        <w:rPr>
          <w:rFonts w:cstheme="minorHAnsi"/>
          <w:sz w:val="24"/>
          <w:szCs w:val="24"/>
        </w:rPr>
        <w:t>Rashodi poslovanja klasificiraju se na rashode za zaposlene, materijalne rashode, financijske rashode, subvencije, po</w:t>
      </w:r>
      <w:r>
        <w:rPr>
          <w:rFonts w:cstheme="minorHAnsi"/>
          <w:sz w:val="24"/>
          <w:szCs w:val="24"/>
        </w:rPr>
        <w:t xml:space="preserve">moći, naknade i ostale rashode. </w:t>
      </w:r>
      <w:r w:rsidRPr="0021585F">
        <w:rPr>
          <w:rFonts w:cstheme="minorHAnsi"/>
          <w:sz w:val="24"/>
          <w:szCs w:val="24"/>
        </w:rPr>
        <w:t>Rashodi za nabavu nefinancijske imovine klasificiraju se po vrstama n</w:t>
      </w:r>
      <w:r>
        <w:rPr>
          <w:rFonts w:cstheme="minorHAnsi"/>
          <w:sz w:val="24"/>
          <w:szCs w:val="24"/>
        </w:rPr>
        <w:t>abavljene nefinancijske imovine</w:t>
      </w:r>
      <w:r w:rsidR="0026204F">
        <w:rPr>
          <w:rFonts w:cstheme="minorHAnsi"/>
          <w:sz w:val="24"/>
          <w:szCs w:val="24"/>
        </w:rPr>
        <w:t xml:space="preserve"> </w:t>
      </w:r>
      <w:r w:rsidRPr="0021585F">
        <w:rPr>
          <w:rFonts w:cstheme="minorHAnsi"/>
          <w:sz w:val="24"/>
          <w:szCs w:val="24"/>
        </w:rPr>
        <w:t>(</w:t>
      </w:r>
      <w:proofErr w:type="spellStart"/>
      <w:r w:rsidRPr="0021585F">
        <w:rPr>
          <w:rFonts w:cstheme="minorHAnsi"/>
          <w:sz w:val="24"/>
          <w:szCs w:val="24"/>
        </w:rPr>
        <w:t>neproizvedena</w:t>
      </w:r>
      <w:proofErr w:type="spellEnd"/>
      <w:r w:rsidRPr="0021585F">
        <w:rPr>
          <w:rFonts w:cstheme="minorHAnsi"/>
          <w:sz w:val="24"/>
          <w:szCs w:val="24"/>
        </w:rPr>
        <w:t xml:space="preserve"> dugotrajna imovina i proizvedena dugotrajna imovina). Osim navedenog klasifikacija obuhvaća i rashode za dodatna ulag</w:t>
      </w:r>
      <w:r>
        <w:rPr>
          <w:rFonts w:cstheme="minorHAnsi"/>
          <w:sz w:val="24"/>
          <w:szCs w:val="24"/>
        </w:rPr>
        <w:t>anja na nefinancijskoj imovini.</w:t>
      </w:r>
    </w:p>
    <w:p w14:paraId="3B59F6CD" w14:textId="77777777" w:rsidR="00784FCE" w:rsidRPr="0021585F" w:rsidRDefault="00784FCE" w:rsidP="00784FCE">
      <w:pPr>
        <w:spacing w:line="240" w:lineRule="auto"/>
        <w:jc w:val="both"/>
        <w:rPr>
          <w:rFonts w:cstheme="minorHAnsi"/>
          <w:sz w:val="24"/>
          <w:szCs w:val="24"/>
        </w:rPr>
      </w:pPr>
      <w:r w:rsidRPr="0021585F">
        <w:rPr>
          <w:rFonts w:cstheme="minorHAnsi"/>
          <w:sz w:val="24"/>
          <w:szCs w:val="24"/>
        </w:rPr>
        <w:t>Izdaci za financijsku imovinu i otplate zajmova obuhvaćaju izdatke za dane zajmove i depozite te izdatke za otplatu glavnice primljenih kredita i zajmova.</w:t>
      </w:r>
    </w:p>
    <w:p w14:paraId="055DEF31" w14:textId="1C7E95BD" w:rsidR="00784FCE" w:rsidRPr="0021585F" w:rsidRDefault="00784FCE" w:rsidP="00784FCE">
      <w:pPr>
        <w:autoSpaceDE w:val="0"/>
        <w:autoSpaceDN w:val="0"/>
        <w:adjustRightInd w:val="0"/>
        <w:spacing w:after="0"/>
        <w:jc w:val="both"/>
        <w:rPr>
          <w:rFonts w:cstheme="minorHAnsi"/>
          <w:sz w:val="24"/>
          <w:szCs w:val="24"/>
        </w:rPr>
      </w:pPr>
      <w:r w:rsidRPr="0021585F">
        <w:rPr>
          <w:rFonts w:cstheme="minorHAnsi"/>
          <w:sz w:val="24"/>
          <w:szCs w:val="24"/>
        </w:rPr>
        <w:t>Ukupn</w:t>
      </w:r>
      <w:r w:rsidR="0026204F">
        <w:rPr>
          <w:rFonts w:cstheme="minorHAnsi"/>
          <w:sz w:val="24"/>
          <w:szCs w:val="24"/>
        </w:rPr>
        <w:t>i</w:t>
      </w:r>
      <w:r w:rsidRPr="0021585F">
        <w:rPr>
          <w:rFonts w:cstheme="minorHAnsi"/>
          <w:sz w:val="24"/>
          <w:szCs w:val="24"/>
        </w:rPr>
        <w:t xml:space="preserve"> </w:t>
      </w:r>
      <w:r>
        <w:rPr>
          <w:rFonts w:cstheme="minorHAnsi"/>
          <w:sz w:val="24"/>
          <w:szCs w:val="24"/>
        </w:rPr>
        <w:t xml:space="preserve">rashodi i izdaci </w:t>
      </w:r>
      <w:r w:rsidR="0026204F">
        <w:rPr>
          <w:rFonts w:cstheme="minorHAnsi"/>
          <w:sz w:val="24"/>
          <w:szCs w:val="24"/>
        </w:rPr>
        <w:t xml:space="preserve">konsolidiranog proračuna su planirani u iznosu od </w:t>
      </w:r>
      <w:r w:rsidR="00F202EC">
        <w:rPr>
          <w:rFonts w:cstheme="minorHAnsi"/>
          <w:b/>
          <w:bCs/>
          <w:sz w:val="24"/>
          <w:szCs w:val="24"/>
        </w:rPr>
        <w:t>25.461.515,09</w:t>
      </w:r>
      <w:r w:rsidR="0026204F" w:rsidRPr="0026204F">
        <w:rPr>
          <w:rFonts w:cstheme="minorHAnsi"/>
          <w:b/>
          <w:bCs/>
          <w:sz w:val="24"/>
          <w:szCs w:val="24"/>
        </w:rPr>
        <w:t xml:space="preserve"> eura</w:t>
      </w:r>
      <w:r w:rsidR="0026204F">
        <w:rPr>
          <w:rFonts w:cstheme="minorHAnsi"/>
          <w:sz w:val="24"/>
          <w:szCs w:val="24"/>
        </w:rPr>
        <w:t xml:space="preserve"> </w:t>
      </w:r>
      <w:r w:rsidRPr="0021585F">
        <w:rPr>
          <w:rFonts w:cstheme="minorHAnsi"/>
          <w:sz w:val="24"/>
          <w:szCs w:val="24"/>
        </w:rPr>
        <w:t xml:space="preserve">od čega je u izvještajnom razdoblju ostvareno </w:t>
      </w:r>
      <w:r w:rsidR="00791E20">
        <w:rPr>
          <w:rFonts w:cstheme="minorHAnsi"/>
          <w:b/>
          <w:sz w:val="24"/>
          <w:szCs w:val="24"/>
        </w:rPr>
        <w:t>19.932.543,52</w:t>
      </w:r>
      <w:r w:rsidR="008030CF">
        <w:rPr>
          <w:rFonts w:cstheme="minorHAnsi"/>
          <w:b/>
          <w:sz w:val="24"/>
          <w:szCs w:val="24"/>
        </w:rPr>
        <w:t xml:space="preserve"> eura</w:t>
      </w:r>
      <w:r w:rsidRPr="0021585F">
        <w:rPr>
          <w:rFonts w:cstheme="minorHAnsi"/>
          <w:b/>
          <w:sz w:val="24"/>
          <w:szCs w:val="24"/>
        </w:rPr>
        <w:t xml:space="preserve"> </w:t>
      </w:r>
      <w:r w:rsidRPr="0021585F">
        <w:rPr>
          <w:rFonts w:cstheme="minorHAnsi"/>
          <w:sz w:val="24"/>
          <w:szCs w:val="24"/>
        </w:rPr>
        <w:t xml:space="preserve">što je </w:t>
      </w:r>
      <w:r w:rsidR="00791E20">
        <w:rPr>
          <w:rFonts w:cstheme="minorHAnsi"/>
          <w:b/>
          <w:sz w:val="24"/>
          <w:szCs w:val="24"/>
        </w:rPr>
        <w:t>78,28</w:t>
      </w:r>
      <w:r w:rsidRPr="0021585F">
        <w:rPr>
          <w:rFonts w:cstheme="minorHAnsi"/>
          <w:b/>
          <w:sz w:val="24"/>
          <w:szCs w:val="24"/>
        </w:rPr>
        <w:t>%</w:t>
      </w:r>
      <w:r>
        <w:rPr>
          <w:rFonts w:cstheme="minorHAnsi"/>
          <w:sz w:val="24"/>
          <w:szCs w:val="24"/>
        </w:rPr>
        <w:t xml:space="preserve"> </w:t>
      </w:r>
      <w:r w:rsidRPr="0021585F">
        <w:rPr>
          <w:rFonts w:cstheme="minorHAnsi"/>
          <w:sz w:val="24"/>
          <w:szCs w:val="24"/>
        </w:rPr>
        <w:t xml:space="preserve">plana i za </w:t>
      </w:r>
      <w:r w:rsidR="00791E20">
        <w:rPr>
          <w:rFonts w:cstheme="minorHAnsi"/>
          <w:b/>
          <w:sz w:val="24"/>
          <w:szCs w:val="24"/>
        </w:rPr>
        <w:t>14,7</w:t>
      </w:r>
      <w:r w:rsidRPr="0021585F">
        <w:rPr>
          <w:rFonts w:cstheme="minorHAnsi"/>
          <w:b/>
          <w:sz w:val="24"/>
          <w:szCs w:val="24"/>
        </w:rPr>
        <w:t xml:space="preserve">% </w:t>
      </w:r>
      <w:r>
        <w:rPr>
          <w:rFonts w:cstheme="minorHAnsi"/>
          <w:sz w:val="24"/>
          <w:szCs w:val="24"/>
        </w:rPr>
        <w:t>više</w:t>
      </w:r>
      <w:r w:rsidRPr="0021585F">
        <w:rPr>
          <w:rFonts w:cstheme="minorHAnsi"/>
          <w:sz w:val="24"/>
          <w:szCs w:val="24"/>
        </w:rPr>
        <w:t xml:space="preserve"> u</w:t>
      </w:r>
      <w:r>
        <w:rPr>
          <w:rFonts w:cstheme="minorHAnsi"/>
          <w:sz w:val="24"/>
          <w:szCs w:val="24"/>
        </w:rPr>
        <w:t xml:space="preserve"> odnosu na ostvarenje </w:t>
      </w:r>
      <w:r w:rsidR="008030CF">
        <w:rPr>
          <w:rFonts w:cstheme="minorHAnsi"/>
          <w:sz w:val="24"/>
          <w:szCs w:val="24"/>
        </w:rPr>
        <w:t>202</w:t>
      </w:r>
      <w:r w:rsidR="00791E20">
        <w:rPr>
          <w:rFonts w:cstheme="minorHAnsi"/>
          <w:sz w:val="24"/>
          <w:szCs w:val="24"/>
        </w:rPr>
        <w:t>4</w:t>
      </w:r>
      <w:r w:rsidRPr="0021585F">
        <w:rPr>
          <w:rFonts w:cstheme="minorHAnsi"/>
          <w:sz w:val="24"/>
          <w:szCs w:val="24"/>
        </w:rPr>
        <w:t xml:space="preserve">. godine. </w:t>
      </w:r>
    </w:p>
    <w:p w14:paraId="7FADE0AC" w14:textId="52562F42" w:rsidR="00784FCE" w:rsidRDefault="00784FCE" w:rsidP="00784FCE">
      <w:pPr>
        <w:autoSpaceDE w:val="0"/>
        <w:autoSpaceDN w:val="0"/>
        <w:adjustRightInd w:val="0"/>
        <w:spacing w:after="0"/>
        <w:jc w:val="both"/>
        <w:rPr>
          <w:rFonts w:cstheme="minorHAnsi"/>
          <w:sz w:val="24"/>
          <w:szCs w:val="24"/>
        </w:rPr>
      </w:pPr>
      <w:r w:rsidRPr="0021585F">
        <w:rPr>
          <w:rFonts w:cstheme="minorHAnsi"/>
          <w:sz w:val="24"/>
          <w:szCs w:val="24"/>
        </w:rPr>
        <w:t>Rashodi i izdaci po vrsti u ukupnom iznosu sadrže rashode i izdatke svih upravnih odjela i rashode njihovih proračunskih korisnika – Dječjeg vrtića Trogir, Muzeja Grada Trogira, Gradske knjižnice Trogir, Javne ustanove Športski objekti Trogir i Javne vatrogasne postrojbe Grada Trogira. Namjenu primljenih sredstava iz proračuna proračunski korisnici određuju sami prilikom i</w:t>
      </w:r>
      <w:r>
        <w:rPr>
          <w:rFonts w:cstheme="minorHAnsi"/>
          <w:sz w:val="24"/>
          <w:szCs w:val="24"/>
        </w:rPr>
        <w:t>zrade Proračuna Grada Trogira (</w:t>
      </w:r>
      <w:r w:rsidRPr="0021585F">
        <w:rPr>
          <w:rFonts w:cstheme="minorHAnsi"/>
          <w:sz w:val="24"/>
          <w:szCs w:val="24"/>
        </w:rPr>
        <w:t>u njihovim financijskim planovima utrošak pripadajućih sredstava iz proračuna Grada određuju namjenu- plaće, ostali materijalni rashodi i sl.). Ostale rashode svoga poslovanja proračunski korisnici pokrivaju iz</w:t>
      </w:r>
      <w:r>
        <w:rPr>
          <w:rFonts w:cstheme="minorHAnsi"/>
          <w:sz w:val="24"/>
          <w:szCs w:val="24"/>
        </w:rPr>
        <w:t xml:space="preserve">  vlastitih i ostalih prihoda.  </w:t>
      </w:r>
    </w:p>
    <w:p w14:paraId="3EADEC87" w14:textId="77777777" w:rsidR="00224EFE" w:rsidRPr="00940C7C" w:rsidRDefault="00224EFE" w:rsidP="00784FCE">
      <w:pPr>
        <w:autoSpaceDE w:val="0"/>
        <w:autoSpaceDN w:val="0"/>
        <w:adjustRightInd w:val="0"/>
        <w:spacing w:after="0"/>
        <w:jc w:val="both"/>
        <w:rPr>
          <w:rFonts w:cstheme="minorHAnsi"/>
          <w:sz w:val="24"/>
          <w:szCs w:val="24"/>
        </w:rPr>
      </w:pPr>
    </w:p>
    <w:p w14:paraId="21518B99" w14:textId="63B54B8C" w:rsidR="00CE1A1E" w:rsidRDefault="00784FCE" w:rsidP="00784FCE">
      <w:pPr>
        <w:spacing w:line="240" w:lineRule="auto"/>
        <w:jc w:val="both"/>
        <w:rPr>
          <w:rFonts w:cstheme="minorHAnsi"/>
          <w:sz w:val="24"/>
          <w:szCs w:val="24"/>
        </w:rPr>
      </w:pPr>
      <w:r w:rsidRPr="004E0ADC">
        <w:rPr>
          <w:rFonts w:cstheme="minorHAnsi"/>
          <w:b/>
          <w:sz w:val="24"/>
          <w:szCs w:val="24"/>
        </w:rPr>
        <w:t>Ta</w:t>
      </w:r>
      <w:r w:rsidR="008030CF" w:rsidRPr="004E0ADC">
        <w:rPr>
          <w:rFonts w:cstheme="minorHAnsi"/>
          <w:b/>
          <w:sz w:val="24"/>
          <w:szCs w:val="24"/>
        </w:rPr>
        <w:t>blica</w:t>
      </w:r>
      <w:r w:rsidR="00C47CCC" w:rsidRPr="004E0ADC">
        <w:rPr>
          <w:rFonts w:cstheme="minorHAnsi"/>
          <w:b/>
          <w:sz w:val="24"/>
          <w:szCs w:val="24"/>
        </w:rPr>
        <w:t xml:space="preserve"> 4</w:t>
      </w:r>
      <w:r w:rsidRPr="004E0ADC">
        <w:rPr>
          <w:rFonts w:cstheme="minorHAnsi"/>
          <w:sz w:val="24"/>
          <w:szCs w:val="24"/>
        </w:rPr>
        <w:t>. Ostvarenje rashoda i izdataka konsolidiranog Prorač</w:t>
      </w:r>
      <w:r w:rsidR="008030CF" w:rsidRPr="004E0ADC">
        <w:rPr>
          <w:rFonts w:cstheme="minorHAnsi"/>
          <w:sz w:val="24"/>
          <w:szCs w:val="24"/>
        </w:rPr>
        <w:t>una Grada Trogira za 202</w:t>
      </w:r>
      <w:r w:rsidR="00F202EC">
        <w:rPr>
          <w:rFonts w:cstheme="minorHAnsi"/>
          <w:sz w:val="24"/>
          <w:szCs w:val="24"/>
        </w:rPr>
        <w:t>5</w:t>
      </w:r>
      <w:r w:rsidRPr="004E0ADC">
        <w:rPr>
          <w:rFonts w:cstheme="minorHAnsi"/>
          <w:sz w:val="24"/>
          <w:szCs w:val="24"/>
        </w:rPr>
        <w:t xml:space="preserve">.godinu po vrstama u odnosu na godišnji plan </w:t>
      </w:r>
      <w:r w:rsidR="008030CF" w:rsidRPr="004E0ADC">
        <w:rPr>
          <w:rFonts w:cstheme="minorHAnsi"/>
          <w:sz w:val="24"/>
          <w:szCs w:val="24"/>
        </w:rPr>
        <w:t>i na izvršenje 202</w:t>
      </w:r>
      <w:r w:rsidR="00F202EC">
        <w:rPr>
          <w:rFonts w:cstheme="minorHAnsi"/>
          <w:sz w:val="24"/>
          <w:szCs w:val="24"/>
        </w:rPr>
        <w:t>4</w:t>
      </w:r>
      <w:r w:rsidRPr="004E0ADC">
        <w:rPr>
          <w:rFonts w:cstheme="minorHAnsi"/>
          <w:sz w:val="24"/>
          <w:szCs w:val="24"/>
        </w:rPr>
        <w:t xml:space="preserve">.godine </w:t>
      </w:r>
    </w:p>
    <w:tbl>
      <w:tblPr>
        <w:tblW w:w="10205" w:type="dxa"/>
        <w:tblInd w:w="-557" w:type="dxa"/>
        <w:tblLook w:val="04A0" w:firstRow="1" w:lastRow="0" w:firstColumn="1" w:lastColumn="0" w:noHBand="0" w:noVBand="1"/>
      </w:tblPr>
      <w:tblGrid>
        <w:gridCol w:w="745"/>
        <w:gridCol w:w="2320"/>
        <w:gridCol w:w="1380"/>
        <w:gridCol w:w="1360"/>
        <w:gridCol w:w="1360"/>
        <w:gridCol w:w="1160"/>
        <w:gridCol w:w="900"/>
        <w:gridCol w:w="980"/>
      </w:tblGrid>
      <w:tr w:rsidR="00CE1A1E" w:rsidRPr="00CE1A1E" w14:paraId="30C6A4C8" w14:textId="77777777" w:rsidTr="00CE1A1E">
        <w:trPr>
          <w:trHeight w:val="750"/>
        </w:trPr>
        <w:tc>
          <w:tcPr>
            <w:tcW w:w="745" w:type="dxa"/>
            <w:tcBorders>
              <w:top w:val="single" w:sz="4" w:space="0" w:color="auto"/>
              <w:left w:val="nil"/>
              <w:bottom w:val="single" w:sz="4" w:space="0" w:color="auto"/>
              <w:right w:val="nil"/>
            </w:tcBorders>
            <w:shd w:val="clear" w:color="000000" w:fill="D0CECE"/>
            <w:vAlign w:val="bottom"/>
            <w:hideMark/>
          </w:tcPr>
          <w:p w14:paraId="412183A8" w14:textId="77777777" w:rsidR="00CE1A1E" w:rsidRPr="00CE1A1E" w:rsidRDefault="00CE1A1E" w:rsidP="00CE1A1E">
            <w:pPr>
              <w:spacing w:after="0" w:line="240" w:lineRule="auto"/>
              <w:jc w:val="center"/>
              <w:rPr>
                <w:rFonts w:ascii="Calibri" w:eastAsia="Times New Roman" w:hAnsi="Calibri" w:cs="Calibri"/>
                <w:b/>
                <w:bCs/>
                <w:color w:val="000000"/>
                <w:sz w:val="16"/>
                <w:szCs w:val="16"/>
                <w:lang w:eastAsia="hr-HR"/>
              </w:rPr>
            </w:pPr>
            <w:r w:rsidRPr="00CE1A1E">
              <w:rPr>
                <w:rFonts w:ascii="Calibri" w:eastAsia="Times New Roman" w:hAnsi="Calibri" w:cs="Calibri"/>
                <w:b/>
                <w:bCs/>
                <w:color w:val="000000"/>
                <w:sz w:val="16"/>
                <w:szCs w:val="16"/>
                <w:lang w:eastAsia="hr-HR"/>
              </w:rPr>
              <w:t>Skupina konta</w:t>
            </w:r>
          </w:p>
        </w:tc>
        <w:tc>
          <w:tcPr>
            <w:tcW w:w="2320" w:type="dxa"/>
            <w:tcBorders>
              <w:top w:val="single" w:sz="4" w:space="0" w:color="auto"/>
              <w:left w:val="nil"/>
              <w:bottom w:val="single" w:sz="4" w:space="0" w:color="auto"/>
              <w:right w:val="nil"/>
            </w:tcBorders>
            <w:shd w:val="clear" w:color="000000" w:fill="D0CECE"/>
            <w:noWrap/>
            <w:vAlign w:val="bottom"/>
            <w:hideMark/>
          </w:tcPr>
          <w:p w14:paraId="3DC4A97C" w14:textId="77777777" w:rsidR="00CE1A1E" w:rsidRPr="00CE1A1E" w:rsidRDefault="00CE1A1E" w:rsidP="00CE1A1E">
            <w:pPr>
              <w:spacing w:after="0" w:line="240" w:lineRule="auto"/>
              <w:jc w:val="center"/>
              <w:rPr>
                <w:rFonts w:ascii="Calibri" w:eastAsia="Times New Roman" w:hAnsi="Calibri" w:cs="Calibri"/>
                <w:b/>
                <w:bCs/>
                <w:color w:val="000000"/>
                <w:sz w:val="16"/>
                <w:szCs w:val="16"/>
                <w:lang w:eastAsia="hr-HR"/>
              </w:rPr>
            </w:pPr>
            <w:r w:rsidRPr="00CE1A1E">
              <w:rPr>
                <w:rFonts w:ascii="Calibri" w:eastAsia="Times New Roman" w:hAnsi="Calibri" w:cs="Calibri"/>
                <w:b/>
                <w:bCs/>
                <w:color w:val="000000"/>
                <w:sz w:val="16"/>
                <w:szCs w:val="16"/>
                <w:lang w:eastAsia="hr-HR"/>
              </w:rPr>
              <w:t xml:space="preserve">RASHODI </w:t>
            </w:r>
          </w:p>
        </w:tc>
        <w:tc>
          <w:tcPr>
            <w:tcW w:w="1380" w:type="dxa"/>
            <w:tcBorders>
              <w:top w:val="single" w:sz="4" w:space="0" w:color="auto"/>
              <w:left w:val="nil"/>
              <w:bottom w:val="single" w:sz="4" w:space="0" w:color="auto"/>
              <w:right w:val="nil"/>
            </w:tcBorders>
            <w:shd w:val="clear" w:color="000000" w:fill="D0CECE"/>
            <w:vAlign w:val="bottom"/>
            <w:hideMark/>
          </w:tcPr>
          <w:p w14:paraId="3CA6D1A3" w14:textId="77777777" w:rsidR="00CE1A1E" w:rsidRPr="00CE1A1E" w:rsidRDefault="00CE1A1E" w:rsidP="00CE1A1E">
            <w:pPr>
              <w:spacing w:after="0" w:line="240" w:lineRule="auto"/>
              <w:jc w:val="center"/>
              <w:rPr>
                <w:rFonts w:ascii="Calibri" w:eastAsia="Times New Roman" w:hAnsi="Calibri" w:cs="Calibri"/>
                <w:b/>
                <w:bCs/>
                <w:color w:val="000000"/>
                <w:sz w:val="16"/>
                <w:szCs w:val="16"/>
                <w:lang w:eastAsia="hr-HR"/>
              </w:rPr>
            </w:pPr>
            <w:r w:rsidRPr="00CE1A1E">
              <w:rPr>
                <w:rFonts w:ascii="Calibri" w:eastAsia="Times New Roman" w:hAnsi="Calibri" w:cs="Calibri"/>
                <w:b/>
                <w:bCs/>
                <w:color w:val="000000"/>
                <w:sz w:val="16"/>
                <w:szCs w:val="16"/>
                <w:lang w:eastAsia="hr-HR"/>
              </w:rPr>
              <w:t>IZVRŠENJE                         I.-XII.2024.G.</w:t>
            </w:r>
          </w:p>
        </w:tc>
        <w:tc>
          <w:tcPr>
            <w:tcW w:w="1360" w:type="dxa"/>
            <w:tcBorders>
              <w:top w:val="single" w:sz="4" w:space="0" w:color="auto"/>
              <w:left w:val="nil"/>
              <w:bottom w:val="single" w:sz="4" w:space="0" w:color="auto"/>
              <w:right w:val="nil"/>
            </w:tcBorders>
            <w:shd w:val="clear" w:color="000000" w:fill="D0CECE"/>
            <w:vAlign w:val="bottom"/>
            <w:hideMark/>
          </w:tcPr>
          <w:p w14:paraId="66C54104" w14:textId="77777777" w:rsidR="00CE1A1E" w:rsidRPr="00CE1A1E" w:rsidRDefault="00CE1A1E" w:rsidP="00CE1A1E">
            <w:pPr>
              <w:spacing w:after="0" w:line="240" w:lineRule="auto"/>
              <w:jc w:val="center"/>
              <w:rPr>
                <w:rFonts w:ascii="Calibri" w:eastAsia="Times New Roman" w:hAnsi="Calibri" w:cs="Calibri"/>
                <w:b/>
                <w:bCs/>
                <w:color w:val="000000"/>
                <w:sz w:val="16"/>
                <w:szCs w:val="16"/>
                <w:lang w:eastAsia="hr-HR"/>
              </w:rPr>
            </w:pPr>
            <w:r w:rsidRPr="00CE1A1E">
              <w:rPr>
                <w:rFonts w:ascii="Calibri" w:eastAsia="Times New Roman" w:hAnsi="Calibri" w:cs="Calibri"/>
                <w:b/>
                <w:bCs/>
                <w:color w:val="000000"/>
                <w:sz w:val="16"/>
                <w:szCs w:val="16"/>
                <w:lang w:eastAsia="hr-HR"/>
              </w:rPr>
              <w:t>IZVORNI PLAN/REBALANS  2025.G.</w:t>
            </w:r>
          </w:p>
        </w:tc>
        <w:tc>
          <w:tcPr>
            <w:tcW w:w="1360" w:type="dxa"/>
            <w:tcBorders>
              <w:top w:val="single" w:sz="4" w:space="0" w:color="auto"/>
              <w:left w:val="nil"/>
              <w:bottom w:val="single" w:sz="4" w:space="0" w:color="auto"/>
              <w:right w:val="nil"/>
            </w:tcBorders>
            <w:shd w:val="clear" w:color="000000" w:fill="D0CECE"/>
            <w:vAlign w:val="bottom"/>
            <w:hideMark/>
          </w:tcPr>
          <w:p w14:paraId="385C1863" w14:textId="77777777" w:rsidR="00CE1A1E" w:rsidRPr="00CE1A1E" w:rsidRDefault="00CE1A1E" w:rsidP="00CE1A1E">
            <w:pPr>
              <w:spacing w:after="0" w:line="240" w:lineRule="auto"/>
              <w:jc w:val="center"/>
              <w:rPr>
                <w:rFonts w:ascii="Calibri" w:eastAsia="Times New Roman" w:hAnsi="Calibri" w:cs="Calibri"/>
                <w:b/>
                <w:bCs/>
                <w:color w:val="000000"/>
                <w:sz w:val="16"/>
                <w:szCs w:val="16"/>
                <w:lang w:eastAsia="hr-HR"/>
              </w:rPr>
            </w:pPr>
            <w:r w:rsidRPr="00CE1A1E">
              <w:rPr>
                <w:rFonts w:ascii="Calibri" w:eastAsia="Times New Roman" w:hAnsi="Calibri" w:cs="Calibri"/>
                <w:b/>
                <w:bCs/>
                <w:color w:val="000000"/>
                <w:sz w:val="16"/>
                <w:szCs w:val="16"/>
                <w:lang w:eastAsia="hr-HR"/>
              </w:rPr>
              <w:t xml:space="preserve">TEKUĆI PLAN 2025.G. </w:t>
            </w:r>
          </w:p>
        </w:tc>
        <w:tc>
          <w:tcPr>
            <w:tcW w:w="1160" w:type="dxa"/>
            <w:tcBorders>
              <w:top w:val="single" w:sz="4" w:space="0" w:color="auto"/>
              <w:left w:val="nil"/>
              <w:bottom w:val="single" w:sz="4" w:space="0" w:color="auto"/>
              <w:right w:val="nil"/>
            </w:tcBorders>
            <w:shd w:val="clear" w:color="000000" w:fill="D0CECE"/>
            <w:vAlign w:val="bottom"/>
            <w:hideMark/>
          </w:tcPr>
          <w:p w14:paraId="402050F3" w14:textId="77777777" w:rsidR="00CE1A1E" w:rsidRPr="00CE1A1E" w:rsidRDefault="00CE1A1E" w:rsidP="00CE1A1E">
            <w:pPr>
              <w:spacing w:after="0" w:line="240" w:lineRule="auto"/>
              <w:jc w:val="center"/>
              <w:rPr>
                <w:rFonts w:ascii="Calibri" w:eastAsia="Times New Roman" w:hAnsi="Calibri" w:cs="Calibri"/>
                <w:b/>
                <w:bCs/>
                <w:color w:val="000000"/>
                <w:sz w:val="16"/>
                <w:szCs w:val="16"/>
                <w:lang w:eastAsia="hr-HR"/>
              </w:rPr>
            </w:pPr>
            <w:r w:rsidRPr="00CE1A1E">
              <w:rPr>
                <w:rFonts w:ascii="Calibri" w:eastAsia="Times New Roman" w:hAnsi="Calibri" w:cs="Calibri"/>
                <w:b/>
                <w:bCs/>
                <w:color w:val="000000"/>
                <w:sz w:val="16"/>
                <w:szCs w:val="16"/>
                <w:lang w:eastAsia="hr-HR"/>
              </w:rPr>
              <w:t>IZVRŠENJE                   I.-XII.205.</w:t>
            </w:r>
          </w:p>
        </w:tc>
        <w:tc>
          <w:tcPr>
            <w:tcW w:w="900" w:type="dxa"/>
            <w:tcBorders>
              <w:top w:val="single" w:sz="4" w:space="0" w:color="auto"/>
              <w:left w:val="nil"/>
              <w:bottom w:val="single" w:sz="4" w:space="0" w:color="auto"/>
              <w:right w:val="nil"/>
            </w:tcBorders>
            <w:shd w:val="clear" w:color="000000" w:fill="D0CECE"/>
            <w:vAlign w:val="center"/>
            <w:hideMark/>
          </w:tcPr>
          <w:p w14:paraId="32CE62F4" w14:textId="77777777" w:rsidR="00CE1A1E" w:rsidRPr="00CE1A1E" w:rsidRDefault="00CE1A1E" w:rsidP="00CE1A1E">
            <w:pPr>
              <w:spacing w:after="0" w:line="240" w:lineRule="auto"/>
              <w:jc w:val="center"/>
              <w:rPr>
                <w:rFonts w:ascii="Calibri" w:eastAsia="Times New Roman" w:hAnsi="Calibri" w:cs="Calibri"/>
                <w:b/>
                <w:bCs/>
                <w:color w:val="000000"/>
                <w:sz w:val="16"/>
                <w:szCs w:val="16"/>
                <w:lang w:eastAsia="hr-HR"/>
              </w:rPr>
            </w:pPr>
            <w:r w:rsidRPr="00CE1A1E">
              <w:rPr>
                <w:rFonts w:ascii="Calibri" w:eastAsia="Times New Roman" w:hAnsi="Calibri" w:cs="Calibri"/>
                <w:b/>
                <w:bCs/>
                <w:color w:val="000000"/>
                <w:sz w:val="16"/>
                <w:szCs w:val="16"/>
                <w:lang w:eastAsia="hr-HR"/>
              </w:rPr>
              <w:t>INDEKS    (4/1)</w:t>
            </w:r>
          </w:p>
        </w:tc>
        <w:tc>
          <w:tcPr>
            <w:tcW w:w="980" w:type="dxa"/>
            <w:tcBorders>
              <w:top w:val="single" w:sz="4" w:space="0" w:color="auto"/>
              <w:left w:val="nil"/>
              <w:bottom w:val="single" w:sz="4" w:space="0" w:color="auto"/>
              <w:right w:val="nil"/>
            </w:tcBorders>
            <w:shd w:val="clear" w:color="000000" w:fill="D0CECE"/>
            <w:vAlign w:val="center"/>
            <w:hideMark/>
          </w:tcPr>
          <w:p w14:paraId="32B6FAF7" w14:textId="77777777" w:rsidR="00CE1A1E" w:rsidRPr="00CE1A1E" w:rsidRDefault="00CE1A1E" w:rsidP="00CE1A1E">
            <w:pPr>
              <w:spacing w:after="0" w:line="240" w:lineRule="auto"/>
              <w:jc w:val="center"/>
              <w:rPr>
                <w:rFonts w:ascii="Calibri" w:eastAsia="Times New Roman" w:hAnsi="Calibri" w:cs="Calibri"/>
                <w:b/>
                <w:bCs/>
                <w:color w:val="000000"/>
                <w:sz w:val="16"/>
                <w:szCs w:val="16"/>
                <w:lang w:eastAsia="hr-HR"/>
              </w:rPr>
            </w:pPr>
            <w:r w:rsidRPr="00CE1A1E">
              <w:rPr>
                <w:rFonts w:ascii="Calibri" w:eastAsia="Times New Roman" w:hAnsi="Calibri" w:cs="Calibri"/>
                <w:b/>
                <w:bCs/>
                <w:color w:val="000000"/>
                <w:sz w:val="16"/>
                <w:szCs w:val="16"/>
                <w:lang w:eastAsia="hr-HR"/>
              </w:rPr>
              <w:t>INDEKS    (4/3)</w:t>
            </w:r>
          </w:p>
        </w:tc>
      </w:tr>
      <w:tr w:rsidR="00CE1A1E" w:rsidRPr="00CE1A1E" w14:paraId="0683BA82" w14:textId="77777777" w:rsidTr="00CE1A1E">
        <w:trPr>
          <w:trHeight w:val="300"/>
        </w:trPr>
        <w:tc>
          <w:tcPr>
            <w:tcW w:w="745" w:type="dxa"/>
            <w:tcBorders>
              <w:top w:val="nil"/>
              <w:left w:val="nil"/>
              <w:bottom w:val="nil"/>
              <w:right w:val="nil"/>
            </w:tcBorders>
            <w:noWrap/>
            <w:vAlign w:val="bottom"/>
            <w:hideMark/>
          </w:tcPr>
          <w:p w14:paraId="4FAC5855" w14:textId="77777777" w:rsidR="00CE1A1E" w:rsidRPr="00CE1A1E" w:rsidRDefault="00CE1A1E" w:rsidP="00CE1A1E">
            <w:pPr>
              <w:spacing w:after="0" w:line="240" w:lineRule="auto"/>
              <w:jc w:val="center"/>
              <w:rPr>
                <w:rFonts w:ascii="Calibri" w:eastAsia="Times New Roman" w:hAnsi="Calibri" w:cs="Calibri"/>
                <w:b/>
                <w:bCs/>
                <w:color w:val="000000"/>
                <w:sz w:val="16"/>
                <w:szCs w:val="16"/>
                <w:lang w:eastAsia="hr-HR"/>
              </w:rPr>
            </w:pPr>
          </w:p>
        </w:tc>
        <w:tc>
          <w:tcPr>
            <w:tcW w:w="2320" w:type="dxa"/>
            <w:tcBorders>
              <w:top w:val="nil"/>
              <w:left w:val="nil"/>
              <w:bottom w:val="nil"/>
              <w:right w:val="nil"/>
            </w:tcBorders>
            <w:noWrap/>
            <w:vAlign w:val="bottom"/>
            <w:hideMark/>
          </w:tcPr>
          <w:p w14:paraId="21C5A041"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(1)</w:t>
            </w:r>
          </w:p>
        </w:tc>
        <w:tc>
          <w:tcPr>
            <w:tcW w:w="1380" w:type="dxa"/>
            <w:tcBorders>
              <w:top w:val="nil"/>
              <w:left w:val="nil"/>
              <w:bottom w:val="nil"/>
              <w:right w:val="nil"/>
            </w:tcBorders>
            <w:noWrap/>
            <w:vAlign w:val="bottom"/>
            <w:hideMark/>
          </w:tcPr>
          <w:p w14:paraId="35A19C41"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1</w:t>
            </w:r>
          </w:p>
        </w:tc>
        <w:tc>
          <w:tcPr>
            <w:tcW w:w="1360" w:type="dxa"/>
            <w:tcBorders>
              <w:top w:val="nil"/>
              <w:left w:val="nil"/>
              <w:bottom w:val="nil"/>
              <w:right w:val="nil"/>
            </w:tcBorders>
            <w:noWrap/>
            <w:vAlign w:val="bottom"/>
            <w:hideMark/>
          </w:tcPr>
          <w:p w14:paraId="13F43DC3"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2</w:t>
            </w:r>
          </w:p>
        </w:tc>
        <w:tc>
          <w:tcPr>
            <w:tcW w:w="1360" w:type="dxa"/>
            <w:tcBorders>
              <w:top w:val="nil"/>
              <w:left w:val="nil"/>
              <w:bottom w:val="nil"/>
              <w:right w:val="nil"/>
            </w:tcBorders>
            <w:noWrap/>
            <w:vAlign w:val="bottom"/>
            <w:hideMark/>
          </w:tcPr>
          <w:p w14:paraId="1BF214A5"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3</w:t>
            </w:r>
          </w:p>
        </w:tc>
        <w:tc>
          <w:tcPr>
            <w:tcW w:w="1160" w:type="dxa"/>
            <w:tcBorders>
              <w:top w:val="nil"/>
              <w:left w:val="nil"/>
              <w:bottom w:val="nil"/>
              <w:right w:val="nil"/>
            </w:tcBorders>
            <w:noWrap/>
            <w:vAlign w:val="bottom"/>
            <w:hideMark/>
          </w:tcPr>
          <w:p w14:paraId="310EB743"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4</w:t>
            </w:r>
          </w:p>
        </w:tc>
        <w:tc>
          <w:tcPr>
            <w:tcW w:w="900" w:type="dxa"/>
            <w:tcBorders>
              <w:top w:val="nil"/>
              <w:left w:val="nil"/>
              <w:bottom w:val="nil"/>
              <w:right w:val="nil"/>
            </w:tcBorders>
            <w:noWrap/>
            <w:vAlign w:val="bottom"/>
            <w:hideMark/>
          </w:tcPr>
          <w:p w14:paraId="1C995D75"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5</w:t>
            </w:r>
          </w:p>
        </w:tc>
        <w:tc>
          <w:tcPr>
            <w:tcW w:w="980" w:type="dxa"/>
            <w:tcBorders>
              <w:top w:val="nil"/>
              <w:left w:val="nil"/>
              <w:bottom w:val="nil"/>
              <w:right w:val="nil"/>
            </w:tcBorders>
            <w:noWrap/>
            <w:vAlign w:val="bottom"/>
            <w:hideMark/>
          </w:tcPr>
          <w:p w14:paraId="42A31C5C"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6</w:t>
            </w:r>
          </w:p>
        </w:tc>
      </w:tr>
      <w:tr w:rsidR="00CE1A1E" w:rsidRPr="00CE1A1E" w14:paraId="17D710B4" w14:textId="77777777" w:rsidTr="00CE1A1E">
        <w:trPr>
          <w:trHeight w:val="300"/>
        </w:trPr>
        <w:tc>
          <w:tcPr>
            <w:tcW w:w="745" w:type="dxa"/>
            <w:tcBorders>
              <w:top w:val="single" w:sz="4" w:space="0" w:color="auto"/>
              <w:left w:val="nil"/>
              <w:bottom w:val="single" w:sz="4" w:space="0" w:color="auto"/>
              <w:right w:val="nil"/>
            </w:tcBorders>
            <w:shd w:val="clear" w:color="000000" w:fill="D0CECE"/>
            <w:noWrap/>
            <w:vAlign w:val="bottom"/>
            <w:hideMark/>
          </w:tcPr>
          <w:p w14:paraId="0696D2D7"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3</w:t>
            </w:r>
          </w:p>
        </w:tc>
        <w:tc>
          <w:tcPr>
            <w:tcW w:w="2320" w:type="dxa"/>
            <w:tcBorders>
              <w:top w:val="single" w:sz="4" w:space="0" w:color="auto"/>
              <w:left w:val="nil"/>
              <w:bottom w:val="single" w:sz="4" w:space="0" w:color="auto"/>
              <w:right w:val="nil"/>
            </w:tcBorders>
            <w:shd w:val="clear" w:color="000000" w:fill="D0CECE"/>
            <w:noWrap/>
            <w:vAlign w:val="bottom"/>
            <w:hideMark/>
          </w:tcPr>
          <w:p w14:paraId="63232BC4" w14:textId="77777777" w:rsidR="00CE1A1E" w:rsidRPr="00CE1A1E" w:rsidRDefault="00CE1A1E" w:rsidP="00CE1A1E">
            <w:pPr>
              <w:spacing w:after="0" w:line="240" w:lineRule="auto"/>
              <w:jc w:val="center"/>
              <w:rPr>
                <w:rFonts w:ascii="Calibri" w:eastAsia="Times New Roman" w:hAnsi="Calibri" w:cs="Calibri"/>
                <w:b/>
                <w:bCs/>
                <w:color w:val="000000"/>
                <w:sz w:val="16"/>
                <w:szCs w:val="16"/>
                <w:lang w:eastAsia="hr-HR"/>
              </w:rPr>
            </w:pPr>
            <w:r w:rsidRPr="00CE1A1E">
              <w:rPr>
                <w:rFonts w:ascii="Calibri" w:eastAsia="Times New Roman" w:hAnsi="Calibri" w:cs="Calibri"/>
                <w:b/>
                <w:bCs/>
                <w:color w:val="000000"/>
                <w:sz w:val="16"/>
                <w:szCs w:val="16"/>
                <w:lang w:eastAsia="hr-HR"/>
              </w:rPr>
              <w:t>RASHODI POSLOVANJA</w:t>
            </w:r>
          </w:p>
        </w:tc>
        <w:tc>
          <w:tcPr>
            <w:tcW w:w="1380" w:type="dxa"/>
            <w:tcBorders>
              <w:top w:val="single" w:sz="4" w:space="0" w:color="auto"/>
              <w:left w:val="nil"/>
              <w:bottom w:val="single" w:sz="4" w:space="0" w:color="auto"/>
              <w:right w:val="nil"/>
            </w:tcBorders>
            <w:shd w:val="clear" w:color="000000" w:fill="D0CECE"/>
            <w:noWrap/>
            <w:vAlign w:val="bottom"/>
            <w:hideMark/>
          </w:tcPr>
          <w:p w14:paraId="5752D7BE" w14:textId="77777777" w:rsidR="00CE1A1E" w:rsidRPr="00CE1A1E" w:rsidRDefault="00CE1A1E" w:rsidP="00CE1A1E">
            <w:pPr>
              <w:spacing w:after="0" w:line="240" w:lineRule="auto"/>
              <w:jc w:val="center"/>
              <w:rPr>
                <w:rFonts w:ascii="Calibri" w:eastAsia="Times New Roman" w:hAnsi="Calibri" w:cs="Calibri"/>
                <w:b/>
                <w:bCs/>
                <w:color w:val="000000"/>
                <w:sz w:val="16"/>
                <w:szCs w:val="16"/>
                <w:lang w:eastAsia="hr-HR"/>
              </w:rPr>
            </w:pPr>
            <w:r w:rsidRPr="00CE1A1E">
              <w:rPr>
                <w:rFonts w:ascii="Calibri" w:eastAsia="Times New Roman" w:hAnsi="Calibri" w:cs="Calibri"/>
                <w:b/>
                <w:bCs/>
                <w:color w:val="000000"/>
                <w:sz w:val="16"/>
                <w:szCs w:val="16"/>
                <w:lang w:eastAsia="hr-HR"/>
              </w:rPr>
              <w:t>12.583.788,14</w:t>
            </w:r>
          </w:p>
        </w:tc>
        <w:tc>
          <w:tcPr>
            <w:tcW w:w="1360" w:type="dxa"/>
            <w:tcBorders>
              <w:top w:val="single" w:sz="4" w:space="0" w:color="auto"/>
              <w:left w:val="nil"/>
              <w:bottom w:val="single" w:sz="4" w:space="0" w:color="auto"/>
              <w:right w:val="nil"/>
            </w:tcBorders>
            <w:shd w:val="clear" w:color="000000" w:fill="D0CECE"/>
            <w:noWrap/>
            <w:vAlign w:val="bottom"/>
            <w:hideMark/>
          </w:tcPr>
          <w:p w14:paraId="202B7030" w14:textId="77777777" w:rsidR="00CE1A1E" w:rsidRPr="00CE1A1E" w:rsidRDefault="00CE1A1E" w:rsidP="00CE1A1E">
            <w:pPr>
              <w:spacing w:after="0" w:line="240" w:lineRule="auto"/>
              <w:jc w:val="center"/>
              <w:rPr>
                <w:rFonts w:ascii="Calibri" w:eastAsia="Times New Roman" w:hAnsi="Calibri" w:cs="Calibri"/>
                <w:b/>
                <w:bCs/>
                <w:color w:val="000000"/>
                <w:sz w:val="16"/>
                <w:szCs w:val="16"/>
                <w:lang w:eastAsia="hr-HR"/>
              </w:rPr>
            </w:pPr>
            <w:r w:rsidRPr="00CE1A1E">
              <w:rPr>
                <w:rFonts w:ascii="Calibri" w:eastAsia="Times New Roman" w:hAnsi="Calibri" w:cs="Calibri"/>
                <w:b/>
                <w:bCs/>
                <w:color w:val="000000"/>
                <w:sz w:val="16"/>
                <w:szCs w:val="16"/>
                <w:lang w:eastAsia="hr-HR"/>
              </w:rPr>
              <w:t>16.268.848,50</w:t>
            </w:r>
          </w:p>
        </w:tc>
        <w:tc>
          <w:tcPr>
            <w:tcW w:w="1360" w:type="dxa"/>
            <w:tcBorders>
              <w:top w:val="single" w:sz="4" w:space="0" w:color="auto"/>
              <w:left w:val="nil"/>
              <w:bottom w:val="single" w:sz="4" w:space="0" w:color="auto"/>
              <w:right w:val="nil"/>
            </w:tcBorders>
            <w:shd w:val="clear" w:color="000000" w:fill="D0CECE"/>
            <w:noWrap/>
            <w:vAlign w:val="bottom"/>
            <w:hideMark/>
          </w:tcPr>
          <w:p w14:paraId="3D7BA4F3" w14:textId="77777777" w:rsidR="00CE1A1E" w:rsidRPr="00CE1A1E" w:rsidRDefault="00CE1A1E" w:rsidP="00CE1A1E">
            <w:pPr>
              <w:spacing w:after="0" w:line="240" w:lineRule="auto"/>
              <w:jc w:val="center"/>
              <w:rPr>
                <w:rFonts w:ascii="Calibri" w:eastAsia="Times New Roman" w:hAnsi="Calibri" w:cs="Calibri"/>
                <w:b/>
                <w:bCs/>
                <w:color w:val="000000"/>
                <w:sz w:val="16"/>
                <w:szCs w:val="16"/>
                <w:lang w:eastAsia="hr-HR"/>
              </w:rPr>
            </w:pPr>
            <w:r w:rsidRPr="00CE1A1E">
              <w:rPr>
                <w:rFonts w:ascii="Calibri" w:eastAsia="Times New Roman" w:hAnsi="Calibri" w:cs="Calibri"/>
                <w:b/>
                <w:bCs/>
                <w:color w:val="000000"/>
                <w:sz w:val="16"/>
                <w:szCs w:val="16"/>
                <w:lang w:eastAsia="hr-HR"/>
              </w:rPr>
              <w:t>16.371.637,50</w:t>
            </w:r>
          </w:p>
        </w:tc>
        <w:tc>
          <w:tcPr>
            <w:tcW w:w="1160" w:type="dxa"/>
            <w:tcBorders>
              <w:top w:val="single" w:sz="4" w:space="0" w:color="auto"/>
              <w:left w:val="nil"/>
              <w:bottom w:val="single" w:sz="4" w:space="0" w:color="auto"/>
              <w:right w:val="nil"/>
            </w:tcBorders>
            <w:shd w:val="clear" w:color="000000" w:fill="D0CECE"/>
            <w:noWrap/>
            <w:vAlign w:val="bottom"/>
            <w:hideMark/>
          </w:tcPr>
          <w:p w14:paraId="4B73CB01" w14:textId="77777777" w:rsidR="00CE1A1E" w:rsidRPr="00CE1A1E" w:rsidRDefault="00CE1A1E" w:rsidP="00CE1A1E">
            <w:pPr>
              <w:spacing w:after="0" w:line="240" w:lineRule="auto"/>
              <w:jc w:val="right"/>
              <w:rPr>
                <w:rFonts w:ascii="Calibri" w:eastAsia="Times New Roman" w:hAnsi="Calibri" w:cs="Calibri"/>
                <w:b/>
                <w:bCs/>
                <w:color w:val="000000"/>
                <w:sz w:val="16"/>
                <w:szCs w:val="16"/>
                <w:lang w:eastAsia="hr-HR"/>
              </w:rPr>
            </w:pPr>
            <w:r w:rsidRPr="00CE1A1E">
              <w:rPr>
                <w:rFonts w:ascii="Calibri" w:eastAsia="Times New Roman" w:hAnsi="Calibri" w:cs="Calibri"/>
                <w:b/>
                <w:bCs/>
                <w:color w:val="000000"/>
                <w:sz w:val="16"/>
                <w:szCs w:val="16"/>
                <w:lang w:eastAsia="hr-HR"/>
              </w:rPr>
              <w:t>14.511.998,34</w:t>
            </w:r>
          </w:p>
        </w:tc>
        <w:tc>
          <w:tcPr>
            <w:tcW w:w="900" w:type="dxa"/>
            <w:tcBorders>
              <w:top w:val="single" w:sz="4" w:space="0" w:color="auto"/>
              <w:left w:val="nil"/>
              <w:bottom w:val="single" w:sz="4" w:space="0" w:color="auto"/>
              <w:right w:val="nil"/>
            </w:tcBorders>
            <w:shd w:val="clear" w:color="000000" w:fill="D0CECE"/>
            <w:noWrap/>
            <w:vAlign w:val="bottom"/>
            <w:hideMark/>
          </w:tcPr>
          <w:p w14:paraId="343FBF34" w14:textId="77777777" w:rsidR="00CE1A1E" w:rsidRPr="00CE1A1E" w:rsidRDefault="00CE1A1E" w:rsidP="00CE1A1E">
            <w:pPr>
              <w:spacing w:after="0" w:line="240" w:lineRule="auto"/>
              <w:jc w:val="center"/>
              <w:rPr>
                <w:rFonts w:ascii="Calibri" w:eastAsia="Times New Roman" w:hAnsi="Calibri" w:cs="Calibri"/>
                <w:b/>
                <w:bCs/>
                <w:color w:val="000000"/>
                <w:sz w:val="16"/>
                <w:szCs w:val="16"/>
                <w:lang w:eastAsia="hr-HR"/>
              </w:rPr>
            </w:pPr>
            <w:r w:rsidRPr="00CE1A1E">
              <w:rPr>
                <w:rFonts w:ascii="Calibri" w:eastAsia="Times New Roman" w:hAnsi="Calibri" w:cs="Calibri"/>
                <w:b/>
                <w:bCs/>
                <w:color w:val="000000"/>
                <w:sz w:val="16"/>
                <w:szCs w:val="16"/>
                <w:lang w:eastAsia="hr-HR"/>
              </w:rPr>
              <w:t>115,32%</w:t>
            </w:r>
          </w:p>
        </w:tc>
        <w:tc>
          <w:tcPr>
            <w:tcW w:w="980" w:type="dxa"/>
            <w:tcBorders>
              <w:top w:val="single" w:sz="4" w:space="0" w:color="auto"/>
              <w:left w:val="nil"/>
              <w:bottom w:val="single" w:sz="4" w:space="0" w:color="auto"/>
              <w:right w:val="nil"/>
            </w:tcBorders>
            <w:shd w:val="clear" w:color="000000" w:fill="D0CECE"/>
            <w:noWrap/>
            <w:vAlign w:val="bottom"/>
            <w:hideMark/>
          </w:tcPr>
          <w:p w14:paraId="0C96FF91" w14:textId="77777777" w:rsidR="00CE1A1E" w:rsidRPr="00CE1A1E" w:rsidRDefault="00CE1A1E" w:rsidP="00CE1A1E">
            <w:pPr>
              <w:spacing w:after="0" w:line="240" w:lineRule="auto"/>
              <w:jc w:val="center"/>
              <w:rPr>
                <w:rFonts w:ascii="Calibri" w:eastAsia="Times New Roman" w:hAnsi="Calibri" w:cs="Calibri"/>
                <w:b/>
                <w:bCs/>
                <w:color w:val="000000"/>
                <w:sz w:val="16"/>
                <w:szCs w:val="16"/>
                <w:lang w:eastAsia="hr-HR"/>
              </w:rPr>
            </w:pPr>
            <w:r w:rsidRPr="00CE1A1E">
              <w:rPr>
                <w:rFonts w:ascii="Calibri" w:eastAsia="Times New Roman" w:hAnsi="Calibri" w:cs="Calibri"/>
                <w:b/>
                <w:bCs/>
                <w:color w:val="000000"/>
                <w:sz w:val="16"/>
                <w:szCs w:val="16"/>
                <w:lang w:eastAsia="hr-HR"/>
              </w:rPr>
              <w:t>88,64%</w:t>
            </w:r>
          </w:p>
        </w:tc>
      </w:tr>
      <w:tr w:rsidR="00CE1A1E" w:rsidRPr="00CE1A1E" w14:paraId="761711DD" w14:textId="77777777" w:rsidTr="00CE1A1E">
        <w:trPr>
          <w:trHeight w:val="300"/>
        </w:trPr>
        <w:tc>
          <w:tcPr>
            <w:tcW w:w="745" w:type="dxa"/>
            <w:tcBorders>
              <w:top w:val="nil"/>
              <w:left w:val="nil"/>
              <w:bottom w:val="single" w:sz="4" w:space="0" w:color="auto"/>
              <w:right w:val="nil"/>
            </w:tcBorders>
            <w:noWrap/>
            <w:vAlign w:val="bottom"/>
            <w:hideMark/>
          </w:tcPr>
          <w:p w14:paraId="30A8979E"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31</w:t>
            </w:r>
          </w:p>
        </w:tc>
        <w:tc>
          <w:tcPr>
            <w:tcW w:w="2320" w:type="dxa"/>
            <w:tcBorders>
              <w:top w:val="nil"/>
              <w:left w:val="nil"/>
              <w:bottom w:val="nil"/>
              <w:right w:val="nil"/>
            </w:tcBorders>
            <w:noWrap/>
            <w:vAlign w:val="bottom"/>
            <w:hideMark/>
          </w:tcPr>
          <w:p w14:paraId="4ECD5426" w14:textId="77777777" w:rsidR="00CE1A1E" w:rsidRPr="00CE1A1E" w:rsidRDefault="00CE1A1E" w:rsidP="00CE1A1E">
            <w:pPr>
              <w:spacing w:after="0" w:line="240" w:lineRule="auto"/>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 xml:space="preserve">Rashodi za zaposlene </w:t>
            </w:r>
          </w:p>
        </w:tc>
        <w:tc>
          <w:tcPr>
            <w:tcW w:w="1380" w:type="dxa"/>
            <w:tcBorders>
              <w:top w:val="nil"/>
              <w:left w:val="nil"/>
              <w:bottom w:val="nil"/>
              <w:right w:val="nil"/>
            </w:tcBorders>
            <w:noWrap/>
            <w:vAlign w:val="bottom"/>
            <w:hideMark/>
          </w:tcPr>
          <w:p w14:paraId="36222825"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4.678.060,58</w:t>
            </w:r>
          </w:p>
        </w:tc>
        <w:tc>
          <w:tcPr>
            <w:tcW w:w="1360" w:type="dxa"/>
            <w:tcBorders>
              <w:top w:val="nil"/>
              <w:left w:val="nil"/>
              <w:bottom w:val="nil"/>
              <w:right w:val="nil"/>
            </w:tcBorders>
            <w:noWrap/>
            <w:vAlign w:val="bottom"/>
            <w:hideMark/>
          </w:tcPr>
          <w:p w14:paraId="576AF453"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6.352.017,00</w:t>
            </w:r>
          </w:p>
        </w:tc>
        <w:tc>
          <w:tcPr>
            <w:tcW w:w="1360" w:type="dxa"/>
            <w:tcBorders>
              <w:top w:val="nil"/>
              <w:left w:val="nil"/>
              <w:bottom w:val="nil"/>
              <w:right w:val="nil"/>
            </w:tcBorders>
            <w:noWrap/>
            <w:vAlign w:val="bottom"/>
            <w:hideMark/>
          </w:tcPr>
          <w:p w14:paraId="3D2BE8AC"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6.250.237,00</w:t>
            </w:r>
          </w:p>
        </w:tc>
        <w:tc>
          <w:tcPr>
            <w:tcW w:w="1160" w:type="dxa"/>
            <w:tcBorders>
              <w:top w:val="nil"/>
              <w:left w:val="nil"/>
              <w:bottom w:val="nil"/>
              <w:right w:val="nil"/>
            </w:tcBorders>
            <w:noWrap/>
            <w:vAlign w:val="bottom"/>
            <w:hideMark/>
          </w:tcPr>
          <w:p w14:paraId="5889E420" w14:textId="77777777" w:rsidR="00CE1A1E" w:rsidRPr="00CE1A1E" w:rsidRDefault="00CE1A1E" w:rsidP="00CE1A1E">
            <w:pPr>
              <w:spacing w:after="0" w:line="240" w:lineRule="auto"/>
              <w:jc w:val="right"/>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5.944.242,49</w:t>
            </w:r>
          </w:p>
        </w:tc>
        <w:tc>
          <w:tcPr>
            <w:tcW w:w="900" w:type="dxa"/>
            <w:tcBorders>
              <w:top w:val="nil"/>
              <w:left w:val="nil"/>
              <w:bottom w:val="single" w:sz="4" w:space="0" w:color="auto"/>
              <w:right w:val="nil"/>
            </w:tcBorders>
            <w:noWrap/>
            <w:vAlign w:val="bottom"/>
            <w:hideMark/>
          </w:tcPr>
          <w:p w14:paraId="3D019111"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127,07%</w:t>
            </w:r>
          </w:p>
        </w:tc>
        <w:tc>
          <w:tcPr>
            <w:tcW w:w="980" w:type="dxa"/>
            <w:tcBorders>
              <w:top w:val="nil"/>
              <w:left w:val="nil"/>
              <w:bottom w:val="single" w:sz="4" w:space="0" w:color="auto"/>
              <w:right w:val="nil"/>
            </w:tcBorders>
            <w:noWrap/>
            <w:vAlign w:val="bottom"/>
            <w:hideMark/>
          </w:tcPr>
          <w:p w14:paraId="0027132B"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95,10%</w:t>
            </w:r>
          </w:p>
        </w:tc>
      </w:tr>
      <w:tr w:rsidR="00CE1A1E" w:rsidRPr="00CE1A1E" w14:paraId="0A63B3CE" w14:textId="77777777" w:rsidTr="00CE1A1E">
        <w:trPr>
          <w:trHeight w:val="315"/>
        </w:trPr>
        <w:tc>
          <w:tcPr>
            <w:tcW w:w="745" w:type="dxa"/>
            <w:tcBorders>
              <w:top w:val="nil"/>
              <w:left w:val="nil"/>
              <w:bottom w:val="single" w:sz="4" w:space="0" w:color="auto"/>
              <w:right w:val="nil"/>
            </w:tcBorders>
            <w:noWrap/>
            <w:vAlign w:val="bottom"/>
            <w:hideMark/>
          </w:tcPr>
          <w:p w14:paraId="6E1542CB"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32</w:t>
            </w:r>
          </w:p>
        </w:tc>
        <w:tc>
          <w:tcPr>
            <w:tcW w:w="2320" w:type="dxa"/>
            <w:tcBorders>
              <w:top w:val="single" w:sz="4" w:space="0" w:color="auto"/>
              <w:left w:val="nil"/>
              <w:bottom w:val="single" w:sz="4" w:space="0" w:color="auto"/>
              <w:right w:val="nil"/>
            </w:tcBorders>
            <w:vAlign w:val="center"/>
            <w:hideMark/>
          </w:tcPr>
          <w:p w14:paraId="40B0698C" w14:textId="77777777" w:rsidR="00CE1A1E" w:rsidRPr="00CE1A1E" w:rsidRDefault="00CE1A1E" w:rsidP="00CE1A1E">
            <w:pPr>
              <w:spacing w:after="0" w:line="240" w:lineRule="auto"/>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Materijalni rashodi</w:t>
            </w:r>
          </w:p>
        </w:tc>
        <w:tc>
          <w:tcPr>
            <w:tcW w:w="1380" w:type="dxa"/>
            <w:tcBorders>
              <w:top w:val="single" w:sz="4" w:space="0" w:color="auto"/>
              <w:left w:val="nil"/>
              <w:bottom w:val="single" w:sz="4" w:space="0" w:color="auto"/>
              <w:right w:val="nil"/>
            </w:tcBorders>
            <w:noWrap/>
            <w:vAlign w:val="bottom"/>
            <w:hideMark/>
          </w:tcPr>
          <w:p w14:paraId="4ACDE6D1"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4.774.690,59</w:t>
            </w:r>
          </w:p>
        </w:tc>
        <w:tc>
          <w:tcPr>
            <w:tcW w:w="1360" w:type="dxa"/>
            <w:tcBorders>
              <w:top w:val="single" w:sz="4" w:space="0" w:color="auto"/>
              <w:left w:val="nil"/>
              <w:bottom w:val="single" w:sz="4" w:space="0" w:color="auto"/>
              <w:right w:val="nil"/>
            </w:tcBorders>
            <w:noWrap/>
            <w:vAlign w:val="bottom"/>
            <w:hideMark/>
          </w:tcPr>
          <w:p w14:paraId="581CBA4A"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6.515.027,81</w:t>
            </w:r>
          </w:p>
        </w:tc>
        <w:tc>
          <w:tcPr>
            <w:tcW w:w="1360" w:type="dxa"/>
            <w:tcBorders>
              <w:top w:val="single" w:sz="4" w:space="0" w:color="auto"/>
              <w:left w:val="nil"/>
              <w:bottom w:val="single" w:sz="4" w:space="0" w:color="auto"/>
              <w:right w:val="nil"/>
            </w:tcBorders>
            <w:noWrap/>
            <w:vAlign w:val="bottom"/>
            <w:hideMark/>
          </w:tcPr>
          <w:p w14:paraId="612384F8"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6.539.396,81</w:t>
            </w:r>
          </w:p>
        </w:tc>
        <w:tc>
          <w:tcPr>
            <w:tcW w:w="1160" w:type="dxa"/>
            <w:tcBorders>
              <w:top w:val="single" w:sz="4" w:space="0" w:color="auto"/>
              <w:left w:val="nil"/>
              <w:bottom w:val="single" w:sz="4" w:space="0" w:color="auto"/>
              <w:right w:val="nil"/>
            </w:tcBorders>
            <w:noWrap/>
            <w:vAlign w:val="bottom"/>
            <w:hideMark/>
          </w:tcPr>
          <w:p w14:paraId="2AB10100" w14:textId="77777777" w:rsidR="00CE1A1E" w:rsidRPr="00CE1A1E" w:rsidRDefault="00CE1A1E" w:rsidP="00CE1A1E">
            <w:pPr>
              <w:spacing w:after="0" w:line="240" w:lineRule="auto"/>
              <w:jc w:val="right"/>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5.483.177,58</w:t>
            </w:r>
          </w:p>
        </w:tc>
        <w:tc>
          <w:tcPr>
            <w:tcW w:w="900" w:type="dxa"/>
            <w:tcBorders>
              <w:top w:val="nil"/>
              <w:left w:val="nil"/>
              <w:bottom w:val="single" w:sz="4" w:space="0" w:color="auto"/>
              <w:right w:val="nil"/>
            </w:tcBorders>
            <w:noWrap/>
            <w:vAlign w:val="bottom"/>
            <w:hideMark/>
          </w:tcPr>
          <w:p w14:paraId="63802DD9"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114,84%</w:t>
            </w:r>
          </w:p>
        </w:tc>
        <w:tc>
          <w:tcPr>
            <w:tcW w:w="980" w:type="dxa"/>
            <w:tcBorders>
              <w:top w:val="nil"/>
              <w:left w:val="nil"/>
              <w:bottom w:val="single" w:sz="4" w:space="0" w:color="auto"/>
              <w:right w:val="nil"/>
            </w:tcBorders>
            <w:noWrap/>
            <w:vAlign w:val="bottom"/>
            <w:hideMark/>
          </w:tcPr>
          <w:p w14:paraId="476BB74C"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83,85%</w:t>
            </w:r>
          </w:p>
        </w:tc>
      </w:tr>
      <w:tr w:rsidR="00CE1A1E" w:rsidRPr="00CE1A1E" w14:paraId="2549276E" w14:textId="77777777" w:rsidTr="00CE1A1E">
        <w:trPr>
          <w:trHeight w:val="300"/>
        </w:trPr>
        <w:tc>
          <w:tcPr>
            <w:tcW w:w="745" w:type="dxa"/>
            <w:tcBorders>
              <w:top w:val="nil"/>
              <w:left w:val="nil"/>
              <w:bottom w:val="single" w:sz="4" w:space="0" w:color="auto"/>
              <w:right w:val="nil"/>
            </w:tcBorders>
            <w:noWrap/>
            <w:vAlign w:val="bottom"/>
            <w:hideMark/>
          </w:tcPr>
          <w:p w14:paraId="2DF5AD78"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34</w:t>
            </w:r>
          </w:p>
        </w:tc>
        <w:tc>
          <w:tcPr>
            <w:tcW w:w="2320" w:type="dxa"/>
            <w:tcBorders>
              <w:top w:val="nil"/>
              <w:left w:val="nil"/>
              <w:bottom w:val="single" w:sz="4" w:space="0" w:color="auto"/>
              <w:right w:val="nil"/>
            </w:tcBorders>
            <w:noWrap/>
            <w:vAlign w:val="bottom"/>
            <w:hideMark/>
          </w:tcPr>
          <w:p w14:paraId="450CA0F2" w14:textId="77777777" w:rsidR="00CE1A1E" w:rsidRPr="00CE1A1E" w:rsidRDefault="00CE1A1E" w:rsidP="00CE1A1E">
            <w:pPr>
              <w:spacing w:after="0" w:line="240" w:lineRule="auto"/>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Financijski rashodi</w:t>
            </w:r>
          </w:p>
        </w:tc>
        <w:tc>
          <w:tcPr>
            <w:tcW w:w="1380" w:type="dxa"/>
            <w:tcBorders>
              <w:top w:val="nil"/>
              <w:left w:val="nil"/>
              <w:bottom w:val="single" w:sz="4" w:space="0" w:color="auto"/>
              <w:right w:val="nil"/>
            </w:tcBorders>
            <w:noWrap/>
            <w:vAlign w:val="bottom"/>
            <w:hideMark/>
          </w:tcPr>
          <w:p w14:paraId="10874147"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35.818,55</w:t>
            </w:r>
          </w:p>
        </w:tc>
        <w:tc>
          <w:tcPr>
            <w:tcW w:w="1360" w:type="dxa"/>
            <w:tcBorders>
              <w:top w:val="nil"/>
              <w:left w:val="nil"/>
              <w:bottom w:val="single" w:sz="4" w:space="0" w:color="auto"/>
              <w:right w:val="nil"/>
            </w:tcBorders>
            <w:noWrap/>
            <w:vAlign w:val="bottom"/>
            <w:hideMark/>
          </w:tcPr>
          <w:p w14:paraId="2FE000B5"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53.681,00</w:t>
            </w:r>
          </w:p>
        </w:tc>
        <w:tc>
          <w:tcPr>
            <w:tcW w:w="1360" w:type="dxa"/>
            <w:tcBorders>
              <w:top w:val="nil"/>
              <w:left w:val="nil"/>
              <w:bottom w:val="single" w:sz="4" w:space="0" w:color="auto"/>
              <w:right w:val="nil"/>
            </w:tcBorders>
            <w:noWrap/>
            <w:vAlign w:val="bottom"/>
            <w:hideMark/>
          </w:tcPr>
          <w:p w14:paraId="3F87F745"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53.681,00</w:t>
            </w:r>
          </w:p>
        </w:tc>
        <w:tc>
          <w:tcPr>
            <w:tcW w:w="1160" w:type="dxa"/>
            <w:tcBorders>
              <w:top w:val="nil"/>
              <w:left w:val="nil"/>
              <w:bottom w:val="single" w:sz="4" w:space="0" w:color="auto"/>
              <w:right w:val="nil"/>
            </w:tcBorders>
            <w:noWrap/>
            <w:vAlign w:val="bottom"/>
            <w:hideMark/>
          </w:tcPr>
          <w:p w14:paraId="5E25F1E6" w14:textId="77777777" w:rsidR="00CE1A1E" w:rsidRPr="00CE1A1E" w:rsidRDefault="00CE1A1E" w:rsidP="00CE1A1E">
            <w:pPr>
              <w:spacing w:after="0" w:line="240" w:lineRule="auto"/>
              <w:jc w:val="right"/>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34.071,34</w:t>
            </w:r>
          </w:p>
        </w:tc>
        <w:tc>
          <w:tcPr>
            <w:tcW w:w="900" w:type="dxa"/>
            <w:tcBorders>
              <w:top w:val="nil"/>
              <w:left w:val="nil"/>
              <w:bottom w:val="single" w:sz="4" w:space="0" w:color="auto"/>
              <w:right w:val="nil"/>
            </w:tcBorders>
            <w:noWrap/>
            <w:vAlign w:val="bottom"/>
            <w:hideMark/>
          </w:tcPr>
          <w:p w14:paraId="70BDEA9B"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95,12%</w:t>
            </w:r>
          </w:p>
        </w:tc>
        <w:tc>
          <w:tcPr>
            <w:tcW w:w="980" w:type="dxa"/>
            <w:tcBorders>
              <w:top w:val="nil"/>
              <w:left w:val="nil"/>
              <w:bottom w:val="single" w:sz="4" w:space="0" w:color="auto"/>
              <w:right w:val="nil"/>
            </w:tcBorders>
            <w:noWrap/>
            <w:vAlign w:val="bottom"/>
            <w:hideMark/>
          </w:tcPr>
          <w:p w14:paraId="40DE2549"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63,47%</w:t>
            </w:r>
          </w:p>
        </w:tc>
      </w:tr>
      <w:tr w:rsidR="00CE1A1E" w:rsidRPr="00CE1A1E" w14:paraId="7C52B66A" w14:textId="77777777" w:rsidTr="00CE1A1E">
        <w:trPr>
          <w:trHeight w:val="315"/>
        </w:trPr>
        <w:tc>
          <w:tcPr>
            <w:tcW w:w="745" w:type="dxa"/>
            <w:tcBorders>
              <w:top w:val="nil"/>
              <w:left w:val="nil"/>
              <w:bottom w:val="single" w:sz="4" w:space="0" w:color="auto"/>
              <w:right w:val="nil"/>
            </w:tcBorders>
            <w:noWrap/>
            <w:vAlign w:val="bottom"/>
            <w:hideMark/>
          </w:tcPr>
          <w:p w14:paraId="027A6C80"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35</w:t>
            </w:r>
          </w:p>
        </w:tc>
        <w:tc>
          <w:tcPr>
            <w:tcW w:w="2320" w:type="dxa"/>
            <w:tcBorders>
              <w:top w:val="nil"/>
              <w:left w:val="nil"/>
              <w:bottom w:val="single" w:sz="4" w:space="0" w:color="auto"/>
              <w:right w:val="nil"/>
            </w:tcBorders>
            <w:vAlign w:val="center"/>
            <w:hideMark/>
          </w:tcPr>
          <w:p w14:paraId="2DA10D31" w14:textId="77777777" w:rsidR="00CE1A1E" w:rsidRPr="00CE1A1E" w:rsidRDefault="00CE1A1E" w:rsidP="00CE1A1E">
            <w:pPr>
              <w:spacing w:after="0" w:line="240" w:lineRule="auto"/>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Subvencije</w:t>
            </w:r>
          </w:p>
        </w:tc>
        <w:tc>
          <w:tcPr>
            <w:tcW w:w="1380" w:type="dxa"/>
            <w:tcBorders>
              <w:top w:val="nil"/>
              <w:left w:val="nil"/>
              <w:bottom w:val="single" w:sz="4" w:space="0" w:color="auto"/>
              <w:right w:val="nil"/>
            </w:tcBorders>
            <w:noWrap/>
            <w:vAlign w:val="bottom"/>
            <w:hideMark/>
          </w:tcPr>
          <w:p w14:paraId="1683EE77"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245.323,51</w:t>
            </w:r>
          </w:p>
        </w:tc>
        <w:tc>
          <w:tcPr>
            <w:tcW w:w="1360" w:type="dxa"/>
            <w:tcBorders>
              <w:top w:val="nil"/>
              <w:left w:val="nil"/>
              <w:bottom w:val="single" w:sz="4" w:space="0" w:color="auto"/>
              <w:right w:val="nil"/>
            </w:tcBorders>
            <w:noWrap/>
            <w:vAlign w:val="bottom"/>
            <w:hideMark/>
          </w:tcPr>
          <w:p w14:paraId="5E6017A8"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430.000,00</w:t>
            </w:r>
          </w:p>
        </w:tc>
        <w:tc>
          <w:tcPr>
            <w:tcW w:w="1360" w:type="dxa"/>
            <w:tcBorders>
              <w:top w:val="nil"/>
              <w:left w:val="nil"/>
              <w:bottom w:val="single" w:sz="4" w:space="0" w:color="auto"/>
              <w:right w:val="nil"/>
            </w:tcBorders>
            <w:noWrap/>
            <w:vAlign w:val="bottom"/>
            <w:hideMark/>
          </w:tcPr>
          <w:p w14:paraId="27786C5D"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547.876,00</w:t>
            </w:r>
          </w:p>
        </w:tc>
        <w:tc>
          <w:tcPr>
            <w:tcW w:w="1160" w:type="dxa"/>
            <w:tcBorders>
              <w:top w:val="nil"/>
              <w:left w:val="nil"/>
              <w:bottom w:val="single" w:sz="4" w:space="0" w:color="auto"/>
              <w:right w:val="nil"/>
            </w:tcBorders>
            <w:noWrap/>
            <w:vAlign w:val="bottom"/>
            <w:hideMark/>
          </w:tcPr>
          <w:p w14:paraId="51E1E794" w14:textId="77777777" w:rsidR="00CE1A1E" w:rsidRPr="00CE1A1E" w:rsidRDefault="00CE1A1E" w:rsidP="00CE1A1E">
            <w:pPr>
              <w:spacing w:after="0" w:line="240" w:lineRule="auto"/>
              <w:jc w:val="right"/>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547.875,72</w:t>
            </w:r>
          </w:p>
        </w:tc>
        <w:tc>
          <w:tcPr>
            <w:tcW w:w="900" w:type="dxa"/>
            <w:tcBorders>
              <w:top w:val="nil"/>
              <w:left w:val="nil"/>
              <w:bottom w:val="single" w:sz="4" w:space="0" w:color="auto"/>
              <w:right w:val="nil"/>
            </w:tcBorders>
            <w:noWrap/>
            <w:vAlign w:val="bottom"/>
            <w:hideMark/>
          </w:tcPr>
          <w:p w14:paraId="627DF0A8"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223,33%</w:t>
            </w:r>
          </w:p>
        </w:tc>
        <w:tc>
          <w:tcPr>
            <w:tcW w:w="980" w:type="dxa"/>
            <w:tcBorders>
              <w:top w:val="nil"/>
              <w:left w:val="nil"/>
              <w:bottom w:val="single" w:sz="4" w:space="0" w:color="auto"/>
              <w:right w:val="nil"/>
            </w:tcBorders>
            <w:noWrap/>
            <w:vAlign w:val="bottom"/>
            <w:hideMark/>
          </w:tcPr>
          <w:p w14:paraId="14863959"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100,00%</w:t>
            </w:r>
          </w:p>
        </w:tc>
      </w:tr>
      <w:tr w:rsidR="00CE1A1E" w:rsidRPr="00CE1A1E" w14:paraId="558C23B8" w14:textId="77777777" w:rsidTr="00CE1A1E">
        <w:trPr>
          <w:trHeight w:val="495"/>
        </w:trPr>
        <w:tc>
          <w:tcPr>
            <w:tcW w:w="745" w:type="dxa"/>
            <w:tcBorders>
              <w:top w:val="nil"/>
              <w:left w:val="nil"/>
              <w:bottom w:val="single" w:sz="4" w:space="0" w:color="auto"/>
              <w:right w:val="nil"/>
            </w:tcBorders>
            <w:noWrap/>
            <w:vAlign w:val="bottom"/>
            <w:hideMark/>
          </w:tcPr>
          <w:p w14:paraId="0C2CEB5C"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36</w:t>
            </w:r>
          </w:p>
        </w:tc>
        <w:tc>
          <w:tcPr>
            <w:tcW w:w="2320" w:type="dxa"/>
            <w:tcBorders>
              <w:top w:val="nil"/>
              <w:left w:val="nil"/>
              <w:bottom w:val="single" w:sz="4" w:space="0" w:color="auto"/>
              <w:right w:val="nil"/>
            </w:tcBorders>
            <w:vAlign w:val="bottom"/>
            <w:hideMark/>
          </w:tcPr>
          <w:p w14:paraId="324DDCCC" w14:textId="77777777" w:rsidR="00CE1A1E" w:rsidRPr="00CE1A1E" w:rsidRDefault="00CE1A1E" w:rsidP="00CE1A1E">
            <w:pPr>
              <w:spacing w:after="0" w:line="240" w:lineRule="auto"/>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 xml:space="preserve">Pomoći dane u inozemstvo i unutar općeg proračuna </w:t>
            </w:r>
          </w:p>
        </w:tc>
        <w:tc>
          <w:tcPr>
            <w:tcW w:w="1380" w:type="dxa"/>
            <w:tcBorders>
              <w:top w:val="nil"/>
              <w:left w:val="nil"/>
              <w:bottom w:val="single" w:sz="4" w:space="0" w:color="auto"/>
              <w:right w:val="nil"/>
            </w:tcBorders>
            <w:noWrap/>
            <w:vAlign w:val="bottom"/>
            <w:hideMark/>
          </w:tcPr>
          <w:p w14:paraId="701C56AC"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 xml:space="preserve">232.651,23   </w:t>
            </w:r>
          </w:p>
        </w:tc>
        <w:tc>
          <w:tcPr>
            <w:tcW w:w="1360" w:type="dxa"/>
            <w:tcBorders>
              <w:top w:val="nil"/>
              <w:left w:val="nil"/>
              <w:bottom w:val="single" w:sz="4" w:space="0" w:color="auto"/>
              <w:right w:val="nil"/>
            </w:tcBorders>
            <w:noWrap/>
            <w:vAlign w:val="bottom"/>
            <w:hideMark/>
          </w:tcPr>
          <w:p w14:paraId="0A35F927"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417.000,00</w:t>
            </w:r>
          </w:p>
        </w:tc>
        <w:tc>
          <w:tcPr>
            <w:tcW w:w="1360" w:type="dxa"/>
            <w:tcBorders>
              <w:top w:val="nil"/>
              <w:left w:val="nil"/>
              <w:bottom w:val="single" w:sz="4" w:space="0" w:color="auto"/>
              <w:right w:val="nil"/>
            </w:tcBorders>
            <w:noWrap/>
            <w:vAlign w:val="bottom"/>
            <w:hideMark/>
          </w:tcPr>
          <w:p w14:paraId="53A3F999"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409.500,00</w:t>
            </w:r>
          </w:p>
        </w:tc>
        <w:tc>
          <w:tcPr>
            <w:tcW w:w="1160" w:type="dxa"/>
            <w:tcBorders>
              <w:top w:val="nil"/>
              <w:left w:val="nil"/>
              <w:bottom w:val="single" w:sz="4" w:space="0" w:color="auto"/>
              <w:right w:val="nil"/>
            </w:tcBorders>
            <w:noWrap/>
            <w:vAlign w:val="bottom"/>
            <w:hideMark/>
          </w:tcPr>
          <w:p w14:paraId="54AB57C5" w14:textId="77777777" w:rsidR="00CE1A1E" w:rsidRPr="00CE1A1E" w:rsidRDefault="00CE1A1E" w:rsidP="00CE1A1E">
            <w:pPr>
              <w:spacing w:after="0" w:line="240" w:lineRule="auto"/>
              <w:jc w:val="right"/>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241.432,73</w:t>
            </w:r>
          </w:p>
        </w:tc>
        <w:tc>
          <w:tcPr>
            <w:tcW w:w="900" w:type="dxa"/>
            <w:tcBorders>
              <w:top w:val="nil"/>
              <w:left w:val="nil"/>
              <w:bottom w:val="single" w:sz="4" w:space="0" w:color="auto"/>
              <w:right w:val="nil"/>
            </w:tcBorders>
            <w:noWrap/>
            <w:vAlign w:val="bottom"/>
            <w:hideMark/>
          </w:tcPr>
          <w:p w14:paraId="4C52FDB4"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103,77%</w:t>
            </w:r>
          </w:p>
        </w:tc>
        <w:tc>
          <w:tcPr>
            <w:tcW w:w="980" w:type="dxa"/>
            <w:tcBorders>
              <w:top w:val="nil"/>
              <w:left w:val="nil"/>
              <w:bottom w:val="single" w:sz="4" w:space="0" w:color="auto"/>
              <w:right w:val="nil"/>
            </w:tcBorders>
            <w:noWrap/>
            <w:vAlign w:val="bottom"/>
            <w:hideMark/>
          </w:tcPr>
          <w:p w14:paraId="26DBB3C4"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58,96%</w:t>
            </w:r>
          </w:p>
        </w:tc>
      </w:tr>
      <w:tr w:rsidR="00CE1A1E" w:rsidRPr="00CE1A1E" w14:paraId="726624BE" w14:textId="77777777" w:rsidTr="00CE1A1E">
        <w:trPr>
          <w:trHeight w:val="675"/>
        </w:trPr>
        <w:tc>
          <w:tcPr>
            <w:tcW w:w="745" w:type="dxa"/>
            <w:tcBorders>
              <w:top w:val="nil"/>
              <w:left w:val="nil"/>
              <w:bottom w:val="single" w:sz="4" w:space="0" w:color="auto"/>
              <w:right w:val="nil"/>
            </w:tcBorders>
            <w:noWrap/>
            <w:vAlign w:val="bottom"/>
            <w:hideMark/>
          </w:tcPr>
          <w:p w14:paraId="7C43288D"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37</w:t>
            </w:r>
          </w:p>
        </w:tc>
        <w:tc>
          <w:tcPr>
            <w:tcW w:w="2320" w:type="dxa"/>
            <w:tcBorders>
              <w:top w:val="nil"/>
              <w:left w:val="nil"/>
              <w:bottom w:val="single" w:sz="4" w:space="0" w:color="auto"/>
              <w:right w:val="nil"/>
            </w:tcBorders>
            <w:vAlign w:val="bottom"/>
            <w:hideMark/>
          </w:tcPr>
          <w:p w14:paraId="377799D7" w14:textId="77777777" w:rsidR="00CE1A1E" w:rsidRPr="00CE1A1E" w:rsidRDefault="00CE1A1E" w:rsidP="00CE1A1E">
            <w:pPr>
              <w:spacing w:after="0" w:line="240" w:lineRule="auto"/>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Naknade građanima i kućanstvima na temelju osiguranja i druge naknade</w:t>
            </w:r>
          </w:p>
        </w:tc>
        <w:tc>
          <w:tcPr>
            <w:tcW w:w="1380" w:type="dxa"/>
            <w:tcBorders>
              <w:top w:val="nil"/>
              <w:left w:val="nil"/>
              <w:bottom w:val="single" w:sz="4" w:space="0" w:color="auto"/>
              <w:right w:val="nil"/>
            </w:tcBorders>
            <w:noWrap/>
            <w:vAlign w:val="bottom"/>
            <w:hideMark/>
          </w:tcPr>
          <w:p w14:paraId="0255A740"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611.731,88</w:t>
            </w:r>
          </w:p>
        </w:tc>
        <w:tc>
          <w:tcPr>
            <w:tcW w:w="1360" w:type="dxa"/>
            <w:tcBorders>
              <w:top w:val="nil"/>
              <w:left w:val="nil"/>
              <w:bottom w:val="single" w:sz="4" w:space="0" w:color="auto"/>
              <w:right w:val="nil"/>
            </w:tcBorders>
            <w:noWrap/>
            <w:vAlign w:val="bottom"/>
            <w:hideMark/>
          </w:tcPr>
          <w:p w14:paraId="2AFDE312"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877.000,00</w:t>
            </w:r>
          </w:p>
        </w:tc>
        <w:tc>
          <w:tcPr>
            <w:tcW w:w="1360" w:type="dxa"/>
            <w:tcBorders>
              <w:top w:val="nil"/>
              <w:left w:val="nil"/>
              <w:bottom w:val="single" w:sz="4" w:space="0" w:color="auto"/>
              <w:right w:val="nil"/>
            </w:tcBorders>
            <w:noWrap/>
            <w:vAlign w:val="bottom"/>
            <w:hideMark/>
          </w:tcPr>
          <w:p w14:paraId="68FCF272"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947.324,00</w:t>
            </w:r>
          </w:p>
        </w:tc>
        <w:tc>
          <w:tcPr>
            <w:tcW w:w="1160" w:type="dxa"/>
            <w:tcBorders>
              <w:top w:val="nil"/>
              <w:left w:val="nil"/>
              <w:bottom w:val="single" w:sz="4" w:space="0" w:color="auto"/>
              <w:right w:val="nil"/>
            </w:tcBorders>
            <w:noWrap/>
            <w:vAlign w:val="bottom"/>
            <w:hideMark/>
          </w:tcPr>
          <w:p w14:paraId="4AEDE624" w14:textId="77777777" w:rsidR="00CE1A1E" w:rsidRPr="00CE1A1E" w:rsidRDefault="00CE1A1E" w:rsidP="00CE1A1E">
            <w:pPr>
              <w:spacing w:after="0" w:line="240" w:lineRule="auto"/>
              <w:jc w:val="right"/>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786.951,35</w:t>
            </w:r>
          </w:p>
        </w:tc>
        <w:tc>
          <w:tcPr>
            <w:tcW w:w="900" w:type="dxa"/>
            <w:tcBorders>
              <w:top w:val="nil"/>
              <w:left w:val="nil"/>
              <w:bottom w:val="single" w:sz="4" w:space="0" w:color="auto"/>
              <w:right w:val="nil"/>
            </w:tcBorders>
            <w:noWrap/>
            <w:vAlign w:val="bottom"/>
            <w:hideMark/>
          </w:tcPr>
          <w:p w14:paraId="23A2CE0B"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128,64%</w:t>
            </w:r>
          </w:p>
        </w:tc>
        <w:tc>
          <w:tcPr>
            <w:tcW w:w="980" w:type="dxa"/>
            <w:tcBorders>
              <w:top w:val="nil"/>
              <w:left w:val="nil"/>
              <w:bottom w:val="single" w:sz="4" w:space="0" w:color="auto"/>
              <w:right w:val="nil"/>
            </w:tcBorders>
            <w:noWrap/>
            <w:vAlign w:val="bottom"/>
            <w:hideMark/>
          </w:tcPr>
          <w:p w14:paraId="37C7431B"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83,07%</w:t>
            </w:r>
          </w:p>
        </w:tc>
      </w:tr>
      <w:tr w:rsidR="00CE1A1E" w:rsidRPr="00CE1A1E" w14:paraId="67DA6312" w14:textId="77777777" w:rsidTr="00CE1A1E">
        <w:trPr>
          <w:trHeight w:val="270"/>
        </w:trPr>
        <w:tc>
          <w:tcPr>
            <w:tcW w:w="745" w:type="dxa"/>
            <w:tcBorders>
              <w:top w:val="nil"/>
              <w:left w:val="nil"/>
              <w:bottom w:val="nil"/>
              <w:right w:val="nil"/>
            </w:tcBorders>
            <w:noWrap/>
            <w:vAlign w:val="bottom"/>
            <w:hideMark/>
          </w:tcPr>
          <w:p w14:paraId="539C873B"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38</w:t>
            </w:r>
          </w:p>
        </w:tc>
        <w:tc>
          <w:tcPr>
            <w:tcW w:w="2320" w:type="dxa"/>
            <w:tcBorders>
              <w:top w:val="nil"/>
              <w:left w:val="nil"/>
              <w:bottom w:val="single" w:sz="4" w:space="0" w:color="auto"/>
              <w:right w:val="nil"/>
            </w:tcBorders>
            <w:vAlign w:val="bottom"/>
            <w:hideMark/>
          </w:tcPr>
          <w:p w14:paraId="36FCC62A" w14:textId="3D8D287E" w:rsidR="00CE1A1E" w:rsidRPr="00CE1A1E" w:rsidRDefault="0081414A" w:rsidP="00CE1A1E">
            <w:pPr>
              <w:spacing w:after="0" w:line="240" w:lineRule="auto"/>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Rashodi za donacije, kazne, naknade šteta i kapitalne pomoći</w:t>
            </w:r>
          </w:p>
        </w:tc>
        <w:tc>
          <w:tcPr>
            <w:tcW w:w="1380" w:type="dxa"/>
            <w:tcBorders>
              <w:top w:val="nil"/>
              <w:left w:val="nil"/>
              <w:bottom w:val="single" w:sz="4" w:space="0" w:color="auto"/>
              <w:right w:val="nil"/>
            </w:tcBorders>
            <w:noWrap/>
            <w:vAlign w:val="bottom"/>
            <w:hideMark/>
          </w:tcPr>
          <w:p w14:paraId="1A4B0A08"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2.005.511,80</w:t>
            </w:r>
          </w:p>
        </w:tc>
        <w:tc>
          <w:tcPr>
            <w:tcW w:w="1360" w:type="dxa"/>
            <w:tcBorders>
              <w:top w:val="nil"/>
              <w:left w:val="nil"/>
              <w:bottom w:val="single" w:sz="4" w:space="0" w:color="auto"/>
              <w:right w:val="nil"/>
            </w:tcBorders>
            <w:noWrap/>
            <w:vAlign w:val="bottom"/>
            <w:hideMark/>
          </w:tcPr>
          <w:p w14:paraId="4BCCA767"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1.624.122,69</w:t>
            </w:r>
          </w:p>
        </w:tc>
        <w:tc>
          <w:tcPr>
            <w:tcW w:w="1360" w:type="dxa"/>
            <w:tcBorders>
              <w:top w:val="nil"/>
              <w:left w:val="nil"/>
              <w:bottom w:val="single" w:sz="4" w:space="0" w:color="auto"/>
              <w:right w:val="nil"/>
            </w:tcBorders>
            <w:noWrap/>
            <w:vAlign w:val="bottom"/>
            <w:hideMark/>
          </w:tcPr>
          <w:p w14:paraId="053EF3BD"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1.623.622,69</w:t>
            </w:r>
          </w:p>
        </w:tc>
        <w:tc>
          <w:tcPr>
            <w:tcW w:w="1160" w:type="dxa"/>
            <w:tcBorders>
              <w:top w:val="nil"/>
              <w:left w:val="nil"/>
              <w:bottom w:val="single" w:sz="4" w:space="0" w:color="auto"/>
              <w:right w:val="nil"/>
            </w:tcBorders>
            <w:noWrap/>
            <w:vAlign w:val="bottom"/>
            <w:hideMark/>
          </w:tcPr>
          <w:p w14:paraId="5B193A8D" w14:textId="77777777" w:rsidR="00CE1A1E" w:rsidRPr="00CE1A1E" w:rsidRDefault="00CE1A1E" w:rsidP="00CE1A1E">
            <w:pPr>
              <w:spacing w:after="0" w:line="240" w:lineRule="auto"/>
              <w:jc w:val="right"/>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1.474.247,13</w:t>
            </w:r>
          </w:p>
        </w:tc>
        <w:tc>
          <w:tcPr>
            <w:tcW w:w="900" w:type="dxa"/>
            <w:tcBorders>
              <w:top w:val="nil"/>
              <w:left w:val="nil"/>
              <w:bottom w:val="single" w:sz="4" w:space="0" w:color="auto"/>
              <w:right w:val="nil"/>
            </w:tcBorders>
            <w:noWrap/>
            <w:vAlign w:val="bottom"/>
            <w:hideMark/>
          </w:tcPr>
          <w:p w14:paraId="71E82975"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73,51%</w:t>
            </w:r>
          </w:p>
        </w:tc>
        <w:tc>
          <w:tcPr>
            <w:tcW w:w="980" w:type="dxa"/>
            <w:tcBorders>
              <w:top w:val="nil"/>
              <w:left w:val="nil"/>
              <w:bottom w:val="single" w:sz="4" w:space="0" w:color="auto"/>
              <w:right w:val="nil"/>
            </w:tcBorders>
            <w:noWrap/>
            <w:vAlign w:val="bottom"/>
            <w:hideMark/>
          </w:tcPr>
          <w:p w14:paraId="728B5F78"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90,80%</w:t>
            </w:r>
          </w:p>
        </w:tc>
      </w:tr>
      <w:tr w:rsidR="00CE1A1E" w:rsidRPr="00CE1A1E" w14:paraId="5B8ABC2E" w14:textId="77777777" w:rsidTr="00CE1A1E">
        <w:trPr>
          <w:trHeight w:val="540"/>
        </w:trPr>
        <w:tc>
          <w:tcPr>
            <w:tcW w:w="745" w:type="dxa"/>
            <w:tcBorders>
              <w:top w:val="single" w:sz="4" w:space="0" w:color="auto"/>
              <w:left w:val="nil"/>
              <w:bottom w:val="single" w:sz="4" w:space="0" w:color="auto"/>
              <w:right w:val="nil"/>
            </w:tcBorders>
            <w:shd w:val="clear" w:color="000000" w:fill="D0CECE"/>
            <w:noWrap/>
            <w:vAlign w:val="bottom"/>
            <w:hideMark/>
          </w:tcPr>
          <w:p w14:paraId="401799B5"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4</w:t>
            </w:r>
          </w:p>
        </w:tc>
        <w:tc>
          <w:tcPr>
            <w:tcW w:w="2320" w:type="dxa"/>
            <w:tcBorders>
              <w:top w:val="nil"/>
              <w:left w:val="nil"/>
              <w:bottom w:val="single" w:sz="4" w:space="0" w:color="auto"/>
              <w:right w:val="nil"/>
            </w:tcBorders>
            <w:shd w:val="clear" w:color="000000" w:fill="D0CECE"/>
            <w:vAlign w:val="bottom"/>
            <w:hideMark/>
          </w:tcPr>
          <w:p w14:paraId="64708B5E" w14:textId="77777777" w:rsidR="00CE1A1E" w:rsidRPr="00CE1A1E" w:rsidRDefault="00CE1A1E" w:rsidP="00CE1A1E">
            <w:pPr>
              <w:spacing w:after="0" w:line="240" w:lineRule="auto"/>
              <w:rPr>
                <w:rFonts w:ascii="Calibri" w:eastAsia="Times New Roman" w:hAnsi="Calibri" w:cs="Calibri"/>
                <w:b/>
                <w:bCs/>
                <w:color w:val="000000"/>
                <w:sz w:val="16"/>
                <w:szCs w:val="16"/>
                <w:lang w:eastAsia="hr-HR"/>
              </w:rPr>
            </w:pPr>
            <w:r w:rsidRPr="00CE1A1E">
              <w:rPr>
                <w:rFonts w:ascii="Calibri" w:eastAsia="Times New Roman" w:hAnsi="Calibri" w:cs="Calibri"/>
                <w:b/>
                <w:bCs/>
                <w:color w:val="000000"/>
                <w:sz w:val="16"/>
                <w:szCs w:val="16"/>
                <w:lang w:eastAsia="hr-HR"/>
              </w:rPr>
              <w:t xml:space="preserve">RASHODI ZA NABAVU NEFINANCIJSKE IMOVINE </w:t>
            </w:r>
          </w:p>
        </w:tc>
        <w:tc>
          <w:tcPr>
            <w:tcW w:w="1380" w:type="dxa"/>
            <w:tcBorders>
              <w:top w:val="nil"/>
              <w:left w:val="nil"/>
              <w:bottom w:val="single" w:sz="4" w:space="0" w:color="auto"/>
              <w:right w:val="nil"/>
            </w:tcBorders>
            <w:shd w:val="clear" w:color="000000" w:fill="D0CECE"/>
            <w:noWrap/>
            <w:vAlign w:val="bottom"/>
            <w:hideMark/>
          </w:tcPr>
          <w:p w14:paraId="4C9F9473" w14:textId="77777777" w:rsidR="00CE1A1E" w:rsidRPr="00CE1A1E" w:rsidRDefault="00CE1A1E" w:rsidP="00CE1A1E">
            <w:pPr>
              <w:spacing w:after="0" w:line="240" w:lineRule="auto"/>
              <w:jc w:val="center"/>
              <w:rPr>
                <w:rFonts w:ascii="Calibri" w:eastAsia="Times New Roman" w:hAnsi="Calibri" w:cs="Calibri"/>
                <w:b/>
                <w:bCs/>
                <w:color w:val="000000"/>
                <w:sz w:val="16"/>
                <w:szCs w:val="16"/>
                <w:lang w:eastAsia="hr-HR"/>
              </w:rPr>
            </w:pPr>
            <w:r w:rsidRPr="00CE1A1E">
              <w:rPr>
                <w:rFonts w:ascii="Calibri" w:eastAsia="Times New Roman" w:hAnsi="Calibri" w:cs="Calibri"/>
                <w:b/>
                <w:bCs/>
                <w:color w:val="000000"/>
                <w:sz w:val="16"/>
                <w:szCs w:val="16"/>
                <w:lang w:eastAsia="hr-HR"/>
              </w:rPr>
              <w:t>4.169.209,42</w:t>
            </w:r>
          </w:p>
        </w:tc>
        <w:tc>
          <w:tcPr>
            <w:tcW w:w="1360" w:type="dxa"/>
            <w:tcBorders>
              <w:top w:val="nil"/>
              <w:left w:val="nil"/>
              <w:bottom w:val="single" w:sz="4" w:space="0" w:color="auto"/>
              <w:right w:val="nil"/>
            </w:tcBorders>
            <w:shd w:val="clear" w:color="000000" w:fill="D0CECE"/>
            <w:noWrap/>
            <w:vAlign w:val="bottom"/>
            <w:hideMark/>
          </w:tcPr>
          <w:p w14:paraId="210EF0EC" w14:textId="77777777" w:rsidR="00CE1A1E" w:rsidRPr="00CE1A1E" w:rsidRDefault="00CE1A1E" w:rsidP="00CE1A1E">
            <w:pPr>
              <w:spacing w:after="0" w:line="240" w:lineRule="auto"/>
              <w:jc w:val="center"/>
              <w:rPr>
                <w:rFonts w:ascii="Calibri" w:eastAsia="Times New Roman" w:hAnsi="Calibri" w:cs="Calibri"/>
                <w:b/>
                <w:bCs/>
                <w:color w:val="000000"/>
                <w:sz w:val="16"/>
                <w:szCs w:val="16"/>
                <w:lang w:eastAsia="hr-HR"/>
              </w:rPr>
            </w:pPr>
            <w:r w:rsidRPr="00CE1A1E">
              <w:rPr>
                <w:rFonts w:ascii="Calibri" w:eastAsia="Times New Roman" w:hAnsi="Calibri" w:cs="Calibri"/>
                <w:b/>
                <w:bCs/>
                <w:color w:val="000000"/>
                <w:sz w:val="16"/>
                <w:szCs w:val="16"/>
                <w:lang w:eastAsia="hr-HR"/>
              </w:rPr>
              <w:t>8.793.966,59</w:t>
            </w:r>
          </w:p>
        </w:tc>
        <w:tc>
          <w:tcPr>
            <w:tcW w:w="1360" w:type="dxa"/>
            <w:tcBorders>
              <w:top w:val="nil"/>
              <w:left w:val="nil"/>
              <w:bottom w:val="single" w:sz="4" w:space="0" w:color="auto"/>
              <w:right w:val="nil"/>
            </w:tcBorders>
            <w:shd w:val="clear" w:color="000000" w:fill="D0CECE"/>
            <w:noWrap/>
            <w:vAlign w:val="bottom"/>
            <w:hideMark/>
          </w:tcPr>
          <w:p w14:paraId="553D4BD9" w14:textId="77777777" w:rsidR="00CE1A1E" w:rsidRPr="00CE1A1E" w:rsidRDefault="00CE1A1E" w:rsidP="00CE1A1E">
            <w:pPr>
              <w:spacing w:after="0" w:line="240" w:lineRule="auto"/>
              <w:jc w:val="center"/>
              <w:rPr>
                <w:rFonts w:ascii="Calibri" w:eastAsia="Times New Roman" w:hAnsi="Calibri" w:cs="Calibri"/>
                <w:b/>
                <w:bCs/>
                <w:color w:val="000000"/>
                <w:sz w:val="16"/>
                <w:szCs w:val="16"/>
                <w:lang w:eastAsia="hr-HR"/>
              </w:rPr>
            </w:pPr>
            <w:r w:rsidRPr="00CE1A1E">
              <w:rPr>
                <w:rFonts w:ascii="Calibri" w:eastAsia="Times New Roman" w:hAnsi="Calibri" w:cs="Calibri"/>
                <w:b/>
                <w:bCs/>
                <w:color w:val="000000"/>
                <w:sz w:val="16"/>
                <w:szCs w:val="16"/>
                <w:lang w:eastAsia="hr-HR"/>
              </w:rPr>
              <w:t>8.691.177,59</w:t>
            </w:r>
          </w:p>
        </w:tc>
        <w:tc>
          <w:tcPr>
            <w:tcW w:w="1160" w:type="dxa"/>
            <w:tcBorders>
              <w:top w:val="nil"/>
              <w:left w:val="nil"/>
              <w:bottom w:val="single" w:sz="4" w:space="0" w:color="auto"/>
              <w:right w:val="nil"/>
            </w:tcBorders>
            <w:shd w:val="clear" w:color="000000" w:fill="D0CECE"/>
            <w:noWrap/>
            <w:vAlign w:val="bottom"/>
            <w:hideMark/>
          </w:tcPr>
          <w:p w14:paraId="2B93B3ED" w14:textId="77777777" w:rsidR="00CE1A1E" w:rsidRPr="00CE1A1E" w:rsidRDefault="00CE1A1E" w:rsidP="00CE1A1E">
            <w:pPr>
              <w:spacing w:after="0" w:line="240" w:lineRule="auto"/>
              <w:jc w:val="right"/>
              <w:rPr>
                <w:rFonts w:ascii="Calibri" w:eastAsia="Times New Roman" w:hAnsi="Calibri" w:cs="Calibri"/>
                <w:b/>
                <w:bCs/>
                <w:color w:val="000000"/>
                <w:sz w:val="16"/>
                <w:szCs w:val="16"/>
                <w:lang w:eastAsia="hr-HR"/>
              </w:rPr>
            </w:pPr>
            <w:r w:rsidRPr="00CE1A1E">
              <w:rPr>
                <w:rFonts w:ascii="Calibri" w:eastAsia="Times New Roman" w:hAnsi="Calibri" w:cs="Calibri"/>
                <w:b/>
                <w:bCs/>
                <w:color w:val="000000"/>
                <w:sz w:val="16"/>
                <w:szCs w:val="16"/>
                <w:lang w:eastAsia="hr-HR"/>
              </w:rPr>
              <w:t>5.067.707,85</w:t>
            </w:r>
          </w:p>
        </w:tc>
        <w:tc>
          <w:tcPr>
            <w:tcW w:w="900" w:type="dxa"/>
            <w:tcBorders>
              <w:top w:val="nil"/>
              <w:left w:val="nil"/>
              <w:bottom w:val="single" w:sz="4" w:space="0" w:color="auto"/>
              <w:right w:val="nil"/>
            </w:tcBorders>
            <w:shd w:val="clear" w:color="000000" w:fill="D0CECE"/>
            <w:noWrap/>
            <w:vAlign w:val="bottom"/>
            <w:hideMark/>
          </w:tcPr>
          <w:p w14:paraId="5C6A5ABF" w14:textId="77777777" w:rsidR="00CE1A1E" w:rsidRPr="00CE1A1E" w:rsidRDefault="00CE1A1E" w:rsidP="00CE1A1E">
            <w:pPr>
              <w:spacing w:after="0" w:line="240" w:lineRule="auto"/>
              <w:jc w:val="center"/>
              <w:rPr>
                <w:rFonts w:ascii="Calibri" w:eastAsia="Times New Roman" w:hAnsi="Calibri" w:cs="Calibri"/>
                <w:b/>
                <w:bCs/>
                <w:color w:val="000000"/>
                <w:sz w:val="16"/>
                <w:szCs w:val="16"/>
                <w:lang w:eastAsia="hr-HR"/>
              </w:rPr>
            </w:pPr>
            <w:r w:rsidRPr="00CE1A1E">
              <w:rPr>
                <w:rFonts w:ascii="Calibri" w:eastAsia="Times New Roman" w:hAnsi="Calibri" w:cs="Calibri"/>
                <w:b/>
                <w:bCs/>
                <w:color w:val="000000"/>
                <w:sz w:val="16"/>
                <w:szCs w:val="16"/>
                <w:lang w:eastAsia="hr-HR"/>
              </w:rPr>
              <w:t>121,55%</w:t>
            </w:r>
          </w:p>
        </w:tc>
        <w:tc>
          <w:tcPr>
            <w:tcW w:w="980" w:type="dxa"/>
            <w:tcBorders>
              <w:top w:val="nil"/>
              <w:left w:val="nil"/>
              <w:bottom w:val="single" w:sz="4" w:space="0" w:color="auto"/>
              <w:right w:val="nil"/>
            </w:tcBorders>
            <w:shd w:val="clear" w:color="000000" w:fill="D0CECE"/>
            <w:noWrap/>
            <w:vAlign w:val="bottom"/>
            <w:hideMark/>
          </w:tcPr>
          <w:p w14:paraId="77282E72" w14:textId="77777777" w:rsidR="00CE1A1E" w:rsidRPr="00CE1A1E" w:rsidRDefault="00CE1A1E" w:rsidP="00CE1A1E">
            <w:pPr>
              <w:spacing w:after="0" w:line="240" w:lineRule="auto"/>
              <w:jc w:val="center"/>
              <w:rPr>
                <w:rFonts w:ascii="Calibri" w:eastAsia="Times New Roman" w:hAnsi="Calibri" w:cs="Calibri"/>
                <w:b/>
                <w:bCs/>
                <w:color w:val="000000"/>
                <w:sz w:val="16"/>
                <w:szCs w:val="16"/>
                <w:lang w:eastAsia="hr-HR"/>
              </w:rPr>
            </w:pPr>
            <w:r w:rsidRPr="00CE1A1E">
              <w:rPr>
                <w:rFonts w:ascii="Calibri" w:eastAsia="Times New Roman" w:hAnsi="Calibri" w:cs="Calibri"/>
                <w:b/>
                <w:bCs/>
                <w:color w:val="000000"/>
                <w:sz w:val="16"/>
                <w:szCs w:val="16"/>
                <w:lang w:eastAsia="hr-HR"/>
              </w:rPr>
              <w:t>58,31%</w:t>
            </w:r>
          </w:p>
        </w:tc>
      </w:tr>
      <w:tr w:rsidR="00CE1A1E" w:rsidRPr="00CE1A1E" w14:paraId="7A90CFFF" w14:textId="77777777" w:rsidTr="00CE1A1E">
        <w:trPr>
          <w:trHeight w:val="705"/>
        </w:trPr>
        <w:tc>
          <w:tcPr>
            <w:tcW w:w="745" w:type="dxa"/>
            <w:tcBorders>
              <w:top w:val="nil"/>
              <w:left w:val="nil"/>
              <w:bottom w:val="single" w:sz="4" w:space="0" w:color="auto"/>
              <w:right w:val="nil"/>
            </w:tcBorders>
            <w:noWrap/>
            <w:vAlign w:val="bottom"/>
            <w:hideMark/>
          </w:tcPr>
          <w:p w14:paraId="746218C9"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41</w:t>
            </w:r>
          </w:p>
        </w:tc>
        <w:tc>
          <w:tcPr>
            <w:tcW w:w="2320" w:type="dxa"/>
            <w:tcBorders>
              <w:top w:val="nil"/>
              <w:left w:val="nil"/>
              <w:bottom w:val="single" w:sz="4" w:space="0" w:color="auto"/>
              <w:right w:val="nil"/>
            </w:tcBorders>
            <w:vAlign w:val="bottom"/>
            <w:hideMark/>
          </w:tcPr>
          <w:p w14:paraId="725DBC52" w14:textId="77777777" w:rsidR="00CE1A1E" w:rsidRPr="00CE1A1E" w:rsidRDefault="00CE1A1E" w:rsidP="00CE1A1E">
            <w:pPr>
              <w:spacing w:after="0" w:line="240" w:lineRule="auto"/>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 xml:space="preserve">Rashodi za nabavu </w:t>
            </w:r>
            <w:proofErr w:type="spellStart"/>
            <w:r w:rsidRPr="00CE1A1E">
              <w:rPr>
                <w:rFonts w:ascii="Calibri" w:eastAsia="Times New Roman" w:hAnsi="Calibri" w:cs="Calibri"/>
                <w:color w:val="000000"/>
                <w:sz w:val="16"/>
                <w:szCs w:val="16"/>
                <w:lang w:eastAsia="hr-HR"/>
              </w:rPr>
              <w:t>neproizvedene</w:t>
            </w:r>
            <w:proofErr w:type="spellEnd"/>
            <w:r w:rsidRPr="00CE1A1E">
              <w:rPr>
                <w:rFonts w:ascii="Calibri" w:eastAsia="Times New Roman" w:hAnsi="Calibri" w:cs="Calibri"/>
                <w:color w:val="000000"/>
                <w:sz w:val="16"/>
                <w:szCs w:val="16"/>
                <w:lang w:eastAsia="hr-HR"/>
              </w:rPr>
              <w:t xml:space="preserve"> dugotrajne imovine </w:t>
            </w:r>
          </w:p>
        </w:tc>
        <w:tc>
          <w:tcPr>
            <w:tcW w:w="1380" w:type="dxa"/>
            <w:tcBorders>
              <w:top w:val="nil"/>
              <w:left w:val="nil"/>
              <w:bottom w:val="single" w:sz="4" w:space="0" w:color="auto"/>
              <w:right w:val="nil"/>
            </w:tcBorders>
            <w:noWrap/>
            <w:vAlign w:val="bottom"/>
            <w:hideMark/>
          </w:tcPr>
          <w:p w14:paraId="110E85CF"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164.181,13</w:t>
            </w:r>
          </w:p>
        </w:tc>
        <w:tc>
          <w:tcPr>
            <w:tcW w:w="1360" w:type="dxa"/>
            <w:tcBorders>
              <w:top w:val="nil"/>
              <w:left w:val="nil"/>
              <w:bottom w:val="single" w:sz="4" w:space="0" w:color="auto"/>
              <w:right w:val="nil"/>
            </w:tcBorders>
            <w:noWrap/>
            <w:vAlign w:val="bottom"/>
            <w:hideMark/>
          </w:tcPr>
          <w:p w14:paraId="75301EF4"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450.800,00</w:t>
            </w:r>
          </w:p>
        </w:tc>
        <w:tc>
          <w:tcPr>
            <w:tcW w:w="1360" w:type="dxa"/>
            <w:tcBorders>
              <w:top w:val="nil"/>
              <w:left w:val="nil"/>
              <w:bottom w:val="single" w:sz="4" w:space="0" w:color="auto"/>
              <w:right w:val="nil"/>
            </w:tcBorders>
            <w:noWrap/>
            <w:vAlign w:val="bottom"/>
            <w:hideMark/>
          </w:tcPr>
          <w:p w14:paraId="52205ECA"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469.900,00</w:t>
            </w:r>
          </w:p>
        </w:tc>
        <w:tc>
          <w:tcPr>
            <w:tcW w:w="1160" w:type="dxa"/>
            <w:tcBorders>
              <w:top w:val="nil"/>
              <w:left w:val="nil"/>
              <w:bottom w:val="single" w:sz="4" w:space="0" w:color="auto"/>
              <w:right w:val="nil"/>
            </w:tcBorders>
            <w:noWrap/>
            <w:vAlign w:val="bottom"/>
            <w:hideMark/>
          </w:tcPr>
          <w:p w14:paraId="3EE157CE" w14:textId="77777777" w:rsidR="00CE1A1E" w:rsidRPr="00CE1A1E" w:rsidRDefault="00CE1A1E" w:rsidP="00CE1A1E">
            <w:pPr>
              <w:spacing w:after="0" w:line="240" w:lineRule="auto"/>
              <w:jc w:val="right"/>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339.114,84</w:t>
            </w:r>
          </w:p>
        </w:tc>
        <w:tc>
          <w:tcPr>
            <w:tcW w:w="900" w:type="dxa"/>
            <w:tcBorders>
              <w:top w:val="nil"/>
              <w:left w:val="nil"/>
              <w:bottom w:val="single" w:sz="4" w:space="0" w:color="auto"/>
              <w:right w:val="nil"/>
            </w:tcBorders>
            <w:shd w:val="clear" w:color="000000" w:fill="FFFFFF"/>
            <w:noWrap/>
            <w:vAlign w:val="bottom"/>
            <w:hideMark/>
          </w:tcPr>
          <w:p w14:paraId="65F24D4E"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206,55%</w:t>
            </w:r>
          </w:p>
        </w:tc>
        <w:tc>
          <w:tcPr>
            <w:tcW w:w="980" w:type="dxa"/>
            <w:tcBorders>
              <w:top w:val="nil"/>
              <w:left w:val="nil"/>
              <w:bottom w:val="single" w:sz="4" w:space="0" w:color="auto"/>
              <w:right w:val="nil"/>
            </w:tcBorders>
            <w:noWrap/>
            <w:vAlign w:val="bottom"/>
            <w:hideMark/>
          </w:tcPr>
          <w:p w14:paraId="1B8C9084"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72,17%</w:t>
            </w:r>
          </w:p>
        </w:tc>
      </w:tr>
      <w:tr w:rsidR="00CE1A1E" w:rsidRPr="00CE1A1E" w14:paraId="2AE8168D" w14:textId="77777777" w:rsidTr="00CE1A1E">
        <w:trPr>
          <w:trHeight w:val="450"/>
        </w:trPr>
        <w:tc>
          <w:tcPr>
            <w:tcW w:w="745" w:type="dxa"/>
            <w:tcBorders>
              <w:top w:val="nil"/>
              <w:left w:val="nil"/>
              <w:bottom w:val="single" w:sz="4" w:space="0" w:color="auto"/>
              <w:right w:val="nil"/>
            </w:tcBorders>
            <w:noWrap/>
            <w:vAlign w:val="bottom"/>
            <w:hideMark/>
          </w:tcPr>
          <w:p w14:paraId="208864BF"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42</w:t>
            </w:r>
          </w:p>
        </w:tc>
        <w:tc>
          <w:tcPr>
            <w:tcW w:w="2320" w:type="dxa"/>
            <w:tcBorders>
              <w:top w:val="nil"/>
              <w:left w:val="nil"/>
              <w:bottom w:val="single" w:sz="4" w:space="0" w:color="auto"/>
              <w:right w:val="nil"/>
            </w:tcBorders>
            <w:vAlign w:val="bottom"/>
            <w:hideMark/>
          </w:tcPr>
          <w:p w14:paraId="2B8DB7A6" w14:textId="77777777" w:rsidR="00CE1A1E" w:rsidRPr="00CE1A1E" w:rsidRDefault="00CE1A1E" w:rsidP="00CE1A1E">
            <w:pPr>
              <w:spacing w:after="0" w:line="240" w:lineRule="auto"/>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Rashodi za nabavu proizvedene dugotrajne imovine</w:t>
            </w:r>
          </w:p>
        </w:tc>
        <w:tc>
          <w:tcPr>
            <w:tcW w:w="1380" w:type="dxa"/>
            <w:tcBorders>
              <w:top w:val="nil"/>
              <w:left w:val="nil"/>
              <w:bottom w:val="single" w:sz="4" w:space="0" w:color="auto"/>
              <w:right w:val="nil"/>
            </w:tcBorders>
            <w:noWrap/>
            <w:vAlign w:val="bottom"/>
            <w:hideMark/>
          </w:tcPr>
          <w:p w14:paraId="76CB20FC"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4.005.028,29</w:t>
            </w:r>
          </w:p>
        </w:tc>
        <w:tc>
          <w:tcPr>
            <w:tcW w:w="1360" w:type="dxa"/>
            <w:tcBorders>
              <w:top w:val="nil"/>
              <w:left w:val="nil"/>
              <w:bottom w:val="single" w:sz="4" w:space="0" w:color="auto"/>
              <w:right w:val="nil"/>
            </w:tcBorders>
            <w:noWrap/>
            <w:vAlign w:val="bottom"/>
            <w:hideMark/>
          </w:tcPr>
          <w:p w14:paraId="69BD60E6"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8.101.666,59</w:t>
            </w:r>
          </w:p>
        </w:tc>
        <w:tc>
          <w:tcPr>
            <w:tcW w:w="1360" w:type="dxa"/>
            <w:tcBorders>
              <w:top w:val="nil"/>
              <w:left w:val="nil"/>
              <w:bottom w:val="single" w:sz="4" w:space="0" w:color="auto"/>
              <w:right w:val="nil"/>
            </w:tcBorders>
            <w:noWrap/>
            <w:vAlign w:val="bottom"/>
            <w:hideMark/>
          </w:tcPr>
          <w:p w14:paraId="213B536A"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7.994.777,59</w:t>
            </w:r>
          </w:p>
        </w:tc>
        <w:tc>
          <w:tcPr>
            <w:tcW w:w="1160" w:type="dxa"/>
            <w:tcBorders>
              <w:top w:val="nil"/>
              <w:left w:val="nil"/>
              <w:bottom w:val="single" w:sz="4" w:space="0" w:color="auto"/>
              <w:right w:val="nil"/>
            </w:tcBorders>
            <w:noWrap/>
            <w:vAlign w:val="bottom"/>
            <w:hideMark/>
          </w:tcPr>
          <w:p w14:paraId="7BFBC6A5" w14:textId="77777777" w:rsidR="00CE1A1E" w:rsidRPr="00CE1A1E" w:rsidRDefault="00CE1A1E" w:rsidP="00CE1A1E">
            <w:pPr>
              <w:spacing w:after="0" w:line="240" w:lineRule="auto"/>
              <w:jc w:val="right"/>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4.636.213,06</w:t>
            </w:r>
          </w:p>
        </w:tc>
        <w:tc>
          <w:tcPr>
            <w:tcW w:w="900" w:type="dxa"/>
            <w:tcBorders>
              <w:top w:val="nil"/>
              <w:left w:val="nil"/>
              <w:bottom w:val="single" w:sz="4" w:space="0" w:color="auto"/>
              <w:right w:val="nil"/>
            </w:tcBorders>
            <w:shd w:val="clear" w:color="000000" w:fill="FFFFFF"/>
            <w:noWrap/>
            <w:vAlign w:val="bottom"/>
            <w:hideMark/>
          </w:tcPr>
          <w:p w14:paraId="0500B08A"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115,76%</w:t>
            </w:r>
          </w:p>
        </w:tc>
        <w:tc>
          <w:tcPr>
            <w:tcW w:w="980" w:type="dxa"/>
            <w:tcBorders>
              <w:top w:val="nil"/>
              <w:left w:val="nil"/>
              <w:bottom w:val="single" w:sz="4" w:space="0" w:color="auto"/>
              <w:right w:val="nil"/>
            </w:tcBorders>
            <w:noWrap/>
            <w:vAlign w:val="bottom"/>
            <w:hideMark/>
          </w:tcPr>
          <w:p w14:paraId="068156B5"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57,99%</w:t>
            </w:r>
          </w:p>
        </w:tc>
      </w:tr>
      <w:tr w:rsidR="00CE1A1E" w:rsidRPr="00CE1A1E" w14:paraId="72CEBF24" w14:textId="77777777" w:rsidTr="00CE1A1E">
        <w:trPr>
          <w:trHeight w:val="720"/>
        </w:trPr>
        <w:tc>
          <w:tcPr>
            <w:tcW w:w="745" w:type="dxa"/>
            <w:tcBorders>
              <w:top w:val="nil"/>
              <w:left w:val="nil"/>
              <w:bottom w:val="single" w:sz="4" w:space="0" w:color="auto"/>
              <w:right w:val="nil"/>
            </w:tcBorders>
            <w:noWrap/>
            <w:vAlign w:val="bottom"/>
            <w:hideMark/>
          </w:tcPr>
          <w:p w14:paraId="24B5ECED"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lastRenderedPageBreak/>
              <w:t>43</w:t>
            </w:r>
          </w:p>
        </w:tc>
        <w:tc>
          <w:tcPr>
            <w:tcW w:w="2320" w:type="dxa"/>
            <w:tcBorders>
              <w:top w:val="nil"/>
              <w:left w:val="nil"/>
              <w:bottom w:val="single" w:sz="4" w:space="0" w:color="auto"/>
              <w:right w:val="nil"/>
            </w:tcBorders>
            <w:vAlign w:val="bottom"/>
            <w:hideMark/>
          </w:tcPr>
          <w:p w14:paraId="724F016F" w14:textId="77777777" w:rsidR="00CE1A1E" w:rsidRPr="00CE1A1E" w:rsidRDefault="00CE1A1E" w:rsidP="00CE1A1E">
            <w:pPr>
              <w:spacing w:after="0" w:line="240" w:lineRule="auto"/>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 xml:space="preserve">Rashodi za nabavu plemenitih metala i ostalih pohranjenih vrijednosti </w:t>
            </w:r>
          </w:p>
        </w:tc>
        <w:tc>
          <w:tcPr>
            <w:tcW w:w="1380" w:type="dxa"/>
            <w:tcBorders>
              <w:top w:val="nil"/>
              <w:left w:val="nil"/>
              <w:bottom w:val="single" w:sz="4" w:space="0" w:color="auto"/>
              <w:right w:val="nil"/>
            </w:tcBorders>
            <w:noWrap/>
            <w:vAlign w:val="bottom"/>
            <w:hideMark/>
          </w:tcPr>
          <w:p w14:paraId="5BF6E826"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0,00</w:t>
            </w:r>
          </w:p>
        </w:tc>
        <w:tc>
          <w:tcPr>
            <w:tcW w:w="1360" w:type="dxa"/>
            <w:tcBorders>
              <w:top w:val="nil"/>
              <w:left w:val="nil"/>
              <w:bottom w:val="single" w:sz="4" w:space="0" w:color="auto"/>
              <w:right w:val="nil"/>
            </w:tcBorders>
            <w:noWrap/>
            <w:vAlign w:val="bottom"/>
            <w:hideMark/>
          </w:tcPr>
          <w:p w14:paraId="2A34D824"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2.500,00</w:t>
            </w:r>
          </w:p>
        </w:tc>
        <w:tc>
          <w:tcPr>
            <w:tcW w:w="1360" w:type="dxa"/>
            <w:tcBorders>
              <w:top w:val="nil"/>
              <w:left w:val="nil"/>
              <w:bottom w:val="single" w:sz="4" w:space="0" w:color="auto"/>
              <w:right w:val="nil"/>
            </w:tcBorders>
            <w:noWrap/>
            <w:vAlign w:val="bottom"/>
            <w:hideMark/>
          </w:tcPr>
          <w:p w14:paraId="4854AADA"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2.500,00</w:t>
            </w:r>
          </w:p>
        </w:tc>
        <w:tc>
          <w:tcPr>
            <w:tcW w:w="1160" w:type="dxa"/>
            <w:tcBorders>
              <w:top w:val="nil"/>
              <w:left w:val="nil"/>
              <w:bottom w:val="single" w:sz="4" w:space="0" w:color="auto"/>
              <w:right w:val="nil"/>
            </w:tcBorders>
            <w:noWrap/>
            <w:vAlign w:val="bottom"/>
            <w:hideMark/>
          </w:tcPr>
          <w:p w14:paraId="732B5BDD" w14:textId="77777777" w:rsidR="00CE1A1E" w:rsidRPr="00CE1A1E" w:rsidRDefault="00CE1A1E" w:rsidP="00CE1A1E">
            <w:pPr>
              <w:spacing w:after="0" w:line="240" w:lineRule="auto"/>
              <w:jc w:val="right"/>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2.500,00</w:t>
            </w:r>
          </w:p>
        </w:tc>
        <w:tc>
          <w:tcPr>
            <w:tcW w:w="900" w:type="dxa"/>
            <w:tcBorders>
              <w:top w:val="nil"/>
              <w:left w:val="nil"/>
              <w:bottom w:val="single" w:sz="4" w:space="0" w:color="auto"/>
              <w:right w:val="nil"/>
            </w:tcBorders>
            <w:shd w:val="clear" w:color="000000" w:fill="FFFFFF"/>
            <w:noWrap/>
            <w:vAlign w:val="bottom"/>
            <w:hideMark/>
          </w:tcPr>
          <w:p w14:paraId="617011FD" w14:textId="506536C3"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w:t>
            </w:r>
            <w:r w:rsidRPr="00CE1A1E">
              <w:rPr>
                <w:rFonts w:ascii="Calibri" w:eastAsia="Times New Roman" w:hAnsi="Calibri" w:cs="Calibri"/>
                <w:color w:val="000000"/>
                <w:sz w:val="16"/>
                <w:szCs w:val="16"/>
                <w:lang w:eastAsia="hr-HR"/>
              </w:rPr>
              <w:t> </w:t>
            </w:r>
          </w:p>
        </w:tc>
        <w:tc>
          <w:tcPr>
            <w:tcW w:w="980" w:type="dxa"/>
            <w:tcBorders>
              <w:top w:val="nil"/>
              <w:left w:val="nil"/>
              <w:bottom w:val="single" w:sz="4" w:space="0" w:color="auto"/>
              <w:right w:val="nil"/>
            </w:tcBorders>
            <w:noWrap/>
            <w:vAlign w:val="bottom"/>
            <w:hideMark/>
          </w:tcPr>
          <w:p w14:paraId="236EF58C"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100,00%</w:t>
            </w:r>
          </w:p>
        </w:tc>
      </w:tr>
      <w:tr w:rsidR="00CE1A1E" w:rsidRPr="00CE1A1E" w14:paraId="0B147680" w14:textId="77777777" w:rsidTr="00CE1A1E">
        <w:trPr>
          <w:trHeight w:val="450"/>
        </w:trPr>
        <w:tc>
          <w:tcPr>
            <w:tcW w:w="745" w:type="dxa"/>
            <w:tcBorders>
              <w:top w:val="nil"/>
              <w:left w:val="nil"/>
              <w:bottom w:val="nil"/>
              <w:right w:val="nil"/>
            </w:tcBorders>
            <w:noWrap/>
            <w:vAlign w:val="bottom"/>
            <w:hideMark/>
          </w:tcPr>
          <w:p w14:paraId="0087CCA1"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45</w:t>
            </w:r>
          </w:p>
        </w:tc>
        <w:tc>
          <w:tcPr>
            <w:tcW w:w="2320" w:type="dxa"/>
            <w:tcBorders>
              <w:top w:val="nil"/>
              <w:left w:val="nil"/>
              <w:bottom w:val="nil"/>
              <w:right w:val="nil"/>
            </w:tcBorders>
            <w:vAlign w:val="bottom"/>
            <w:hideMark/>
          </w:tcPr>
          <w:p w14:paraId="74C1FC66" w14:textId="77777777" w:rsidR="00CE1A1E" w:rsidRPr="00CE1A1E" w:rsidRDefault="00CE1A1E" w:rsidP="00CE1A1E">
            <w:pPr>
              <w:spacing w:after="0" w:line="240" w:lineRule="auto"/>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 xml:space="preserve">Rashodi za dodatna ulaganja na nefinancijskoj imovini </w:t>
            </w:r>
          </w:p>
        </w:tc>
        <w:tc>
          <w:tcPr>
            <w:tcW w:w="1380" w:type="dxa"/>
            <w:tcBorders>
              <w:top w:val="nil"/>
              <w:left w:val="nil"/>
              <w:bottom w:val="nil"/>
              <w:right w:val="nil"/>
            </w:tcBorders>
            <w:noWrap/>
            <w:vAlign w:val="bottom"/>
            <w:hideMark/>
          </w:tcPr>
          <w:p w14:paraId="50FCD2EF"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0,00</w:t>
            </w:r>
          </w:p>
        </w:tc>
        <w:tc>
          <w:tcPr>
            <w:tcW w:w="1360" w:type="dxa"/>
            <w:tcBorders>
              <w:top w:val="nil"/>
              <w:left w:val="nil"/>
              <w:bottom w:val="nil"/>
              <w:right w:val="nil"/>
            </w:tcBorders>
            <w:noWrap/>
            <w:vAlign w:val="bottom"/>
            <w:hideMark/>
          </w:tcPr>
          <w:p w14:paraId="0E350633"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239.000,00</w:t>
            </w:r>
          </w:p>
        </w:tc>
        <w:tc>
          <w:tcPr>
            <w:tcW w:w="1360" w:type="dxa"/>
            <w:tcBorders>
              <w:top w:val="nil"/>
              <w:left w:val="nil"/>
              <w:bottom w:val="nil"/>
              <w:right w:val="nil"/>
            </w:tcBorders>
            <w:noWrap/>
            <w:vAlign w:val="bottom"/>
            <w:hideMark/>
          </w:tcPr>
          <w:p w14:paraId="233B912B"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224.000,00</w:t>
            </w:r>
          </w:p>
        </w:tc>
        <w:tc>
          <w:tcPr>
            <w:tcW w:w="1160" w:type="dxa"/>
            <w:tcBorders>
              <w:top w:val="nil"/>
              <w:left w:val="nil"/>
              <w:bottom w:val="nil"/>
              <w:right w:val="nil"/>
            </w:tcBorders>
            <w:noWrap/>
            <w:vAlign w:val="bottom"/>
            <w:hideMark/>
          </w:tcPr>
          <w:p w14:paraId="3F3CF2C4" w14:textId="77777777" w:rsidR="00CE1A1E" w:rsidRPr="00CE1A1E" w:rsidRDefault="00CE1A1E" w:rsidP="00CE1A1E">
            <w:pPr>
              <w:spacing w:after="0" w:line="240" w:lineRule="auto"/>
              <w:jc w:val="right"/>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89.879,95</w:t>
            </w:r>
          </w:p>
        </w:tc>
        <w:tc>
          <w:tcPr>
            <w:tcW w:w="900" w:type="dxa"/>
            <w:tcBorders>
              <w:top w:val="nil"/>
              <w:left w:val="nil"/>
              <w:bottom w:val="nil"/>
              <w:right w:val="nil"/>
            </w:tcBorders>
            <w:shd w:val="clear" w:color="000000" w:fill="FFFFFF"/>
            <w:noWrap/>
            <w:vAlign w:val="bottom"/>
            <w:hideMark/>
          </w:tcPr>
          <w:p w14:paraId="203A225F" w14:textId="596E2085" w:rsidR="00CE1A1E" w:rsidRPr="00CE1A1E" w:rsidRDefault="00CE1A1E" w:rsidP="00CE1A1E">
            <w:pPr>
              <w:spacing w:after="0" w:line="240" w:lineRule="auto"/>
              <w:jc w:val="center"/>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w:t>
            </w:r>
          </w:p>
        </w:tc>
        <w:tc>
          <w:tcPr>
            <w:tcW w:w="980" w:type="dxa"/>
            <w:tcBorders>
              <w:top w:val="nil"/>
              <w:left w:val="nil"/>
              <w:bottom w:val="nil"/>
              <w:right w:val="nil"/>
            </w:tcBorders>
            <w:noWrap/>
            <w:vAlign w:val="bottom"/>
            <w:hideMark/>
          </w:tcPr>
          <w:p w14:paraId="71454FD4"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40,12%</w:t>
            </w:r>
          </w:p>
        </w:tc>
      </w:tr>
      <w:tr w:rsidR="00CE1A1E" w:rsidRPr="00CE1A1E" w14:paraId="5226E916" w14:textId="77777777" w:rsidTr="00CE1A1E">
        <w:trPr>
          <w:trHeight w:val="555"/>
        </w:trPr>
        <w:tc>
          <w:tcPr>
            <w:tcW w:w="745" w:type="dxa"/>
            <w:tcBorders>
              <w:top w:val="single" w:sz="4" w:space="0" w:color="auto"/>
              <w:left w:val="nil"/>
              <w:bottom w:val="single" w:sz="4" w:space="0" w:color="auto"/>
              <w:right w:val="nil"/>
            </w:tcBorders>
            <w:shd w:val="clear" w:color="000000" w:fill="BFBFBF"/>
            <w:noWrap/>
            <w:vAlign w:val="bottom"/>
            <w:hideMark/>
          </w:tcPr>
          <w:p w14:paraId="2B12B0FE" w14:textId="77777777" w:rsidR="00CE1A1E" w:rsidRPr="00CE1A1E" w:rsidRDefault="00CE1A1E" w:rsidP="00CE1A1E">
            <w:pPr>
              <w:spacing w:after="0" w:line="240" w:lineRule="auto"/>
              <w:jc w:val="center"/>
              <w:rPr>
                <w:rFonts w:ascii="Calibri" w:eastAsia="Times New Roman" w:hAnsi="Calibri" w:cs="Calibri"/>
                <w:b/>
                <w:bCs/>
                <w:color w:val="000000"/>
                <w:sz w:val="16"/>
                <w:szCs w:val="16"/>
                <w:lang w:eastAsia="hr-HR"/>
              </w:rPr>
            </w:pPr>
            <w:r w:rsidRPr="00CE1A1E">
              <w:rPr>
                <w:rFonts w:ascii="Calibri" w:eastAsia="Times New Roman" w:hAnsi="Calibri" w:cs="Calibri"/>
                <w:b/>
                <w:bCs/>
                <w:color w:val="000000"/>
                <w:sz w:val="16"/>
                <w:szCs w:val="16"/>
                <w:lang w:eastAsia="hr-HR"/>
              </w:rPr>
              <w:t>5</w:t>
            </w:r>
          </w:p>
        </w:tc>
        <w:tc>
          <w:tcPr>
            <w:tcW w:w="2320" w:type="dxa"/>
            <w:tcBorders>
              <w:top w:val="single" w:sz="4" w:space="0" w:color="auto"/>
              <w:left w:val="nil"/>
              <w:bottom w:val="single" w:sz="4" w:space="0" w:color="auto"/>
              <w:right w:val="nil"/>
            </w:tcBorders>
            <w:shd w:val="clear" w:color="000000" w:fill="BFBFBF"/>
            <w:vAlign w:val="bottom"/>
            <w:hideMark/>
          </w:tcPr>
          <w:p w14:paraId="071CC55C" w14:textId="77777777" w:rsidR="00CE1A1E" w:rsidRPr="00CE1A1E" w:rsidRDefault="00CE1A1E" w:rsidP="00CE1A1E">
            <w:pPr>
              <w:spacing w:after="0" w:line="240" w:lineRule="auto"/>
              <w:rPr>
                <w:rFonts w:ascii="Calibri" w:eastAsia="Times New Roman" w:hAnsi="Calibri" w:cs="Calibri"/>
                <w:b/>
                <w:bCs/>
                <w:color w:val="000000"/>
                <w:sz w:val="16"/>
                <w:szCs w:val="16"/>
                <w:lang w:eastAsia="hr-HR"/>
              </w:rPr>
            </w:pPr>
            <w:r w:rsidRPr="00CE1A1E">
              <w:rPr>
                <w:rFonts w:ascii="Calibri" w:eastAsia="Times New Roman" w:hAnsi="Calibri" w:cs="Calibri"/>
                <w:b/>
                <w:bCs/>
                <w:color w:val="000000"/>
                <w:sz w:val="16"/>
                <w:szCs w:val="16"/>
                <w:lang w:eastAsia="hr-HR"/>
              </w:rPr>
              <w:t xml:space="preserve">IZDACI ZA FINANCIJSKU IMOVINU I OTPLATE ZAJMOVA </w:t>
            </w:r>
          </w:p>
        </w:tc>
        <w:tc>
          <w:tcPr>
            <w:tcW w:w="1380" w:type="dxa"/>
            <w:tcBorders>
              <w:top w:val="single" w:sz="4" w:space="0" w:color="auto"/>
              <w:left w:val="nil"/>
              <w:bottom w:val="single" w:sz="4" w:space="0" w:color="auto"/>
              <w:right w:val="nil"/>
            </w:tcBorders>
            <w:shd w:val="clear" w:color="000000" w:fill="BFBFBF"/>
            <w:noWrap/>
            <w:vAlign w:val="bottom"/>
            <w:hideMark/>
          </w:tcPr>
          <w:p w14:paraId="75CC2007" w14:textId="77777777" w:rsidR="00CE1A1E" w:rsidRPr="00CE1A1E" w:rsidRDefault="00CE1A1E" w:rsidP="00CE1A1E">
            <w:pPr>
              <w:spacing w:after="0" w:line="240" w:lineRule="auto"/>
              <w:jc w:val="center"/>
              <w:rPr>
                <w:rFonts w:ascii="Calibri" w:eastAsia="Times New Roman" w:hAnsi="Calibri" w:cs="Calibri"/>
                <w:b/>
                <w:bCs/>
                <w:color w:val="000000"/>
                <w:sz w:val="16"/>
                <w:szCs w:val="16"/>
                <w:lang w:eastAsia="hr-HR"/>
              </w:rPr>
            </w:pPr>
            <w:r w:rsidRPr="00CE1A1E">
              <w:rPr>
                <w:rFonts w:ascii="Calibri" w:eastAsia="Times New Roman" w:hAnsi="Calibri" w:cs="Calibri"/>
                <w:b/>
                <w:bCs/>
                <w:color w:val="000000"/>
                <w:sz w:val="16"/>
                <w:szCs w:val="16"/>
                <w:lang w:eastAsia="hr-HR"/>
              </w:rPr>
              <w:t>632.317,64</w:t>
            </w:r>
          </w:p>
        </w:tc>
        <w:tc>
          <w:tcPr>
            <w:tcW w:w="1360" w:type="dxa"/>
            <w:tcBorders>
              <w:top w:val="single" w:sz="4" w:space="0" w:color="auto"/>
              <w:left w:val="nil"/>
              <w:bottom w:val="single" w:sz="4" w:space="0" w:color="auto"/>
              <w:right w:val="nil"/>
            </w:tcBorders>
            <w:shd w:val="clear" w:color="000000" w:fill="BFBFBF"/>
            <w:noWrap/>
            <w:vAlign w:val="bottom"/>
            <w:hideMark/>
          </w:tcPr>
          <w:p w14:paraId="32F5A2EE" w14:textId="77777777" w:rsidR="00CE1A1E" w:rsidRPr="00CE1A1E" w:rsidRDefault="00CE1A1E" w:rsidP="00CE1A1E">
            <w:pPr>
              <w:spacing w:after="0" w:line="240" w:lineRule="auto"/>
              <w:jc w:val="center"/>
              <w:rPr>
                <w:rFonts w:ascii="Calibri" w:eastAsia="Times New Roman" w:hAnsi="Calibri" w:cs="Calibri"/>
                <w:b/>
                <w:bCs/>
                <w:color w:val="000000"/>
                <w:sz w:val="16"/>
                <w:szCs w:val="16"/>
                <w:lang w:eastAsia="hr-HR"/>
              </w:rPr>
            </w:pPr>
            <w:r w:rsidRPr="00CE1A1E">
              <w:rPr>
                <w:rFonts w:ascii="Calibri" w:eastAsia="Times New Roman" w:hAnsi="Calibri" w:cs="Calibri"/>
                <w:b/>
                <w:bCs/>
                <w:color w:val="000000"/>
                <w:sz w:val="16"/>
                <w:szCs w:val="16"/>
                <w:lang w:eastAsia="hr-HR"/>
              </w:rPr>
              <w:t>398.700,00</w:t>
            </w:r>
          </w:p>
        </w:tc>
        <w:tc>
          <w:tcPr>
            <w:tcW w:w="1360" w:type="dxa"/>
            <w:tcBorders>
              <w:top w:val="single" w:sz="4" w:space="0" w:color="auto"/>
              <w:left w:val="nil"/>
              <w:bottom w:val="single" w:sz="4" w:space="0" w:color="auto"/>
              <w:right w:val="nil"/>
            </w:tcBorders>
            <w:shd w:val="clear" w:color="000000" w:fill="BFBFBF"/>
            <w:noWrap/>
            <w:vAlign w:val="bottom"/>
            <w:hideMark/>
          </w:tcPr>
          <w:p w14:paraId="14785E01" w14:textId="77777777" w:rsidR="00CE1A1E" w:rsidRPr="00CE1A1E" w:rsidRDefault="00CE1A1E" w:rsidP="00CE1A1E">
            <w:pPr>
              <w:spacing w:after="0" w:line="240" w:lineRule="auto"/>
              <w:jc w:val="center"/>
              <w:rPr>
                <w:rFonts w:ascii="Calibri" w:eastAsia="Times New Roman" w:hAnsi="Calibri" w:cs="Calibri"/>
                <w:b/>
                <w:bCs/>
                <w:color w:val="000000"/>
                <w:sz w:val="16"/>
                <w:szCs w:val="16"/>
                <w:lang w:eastAsia="hr-HR"/>
              </w:rPr>
            </w:pPr>
            <w:r w:rsidRPr="00CE1A1E">
              <w:rPr>
                <w:rFonts w:ascii="Calibri" w:eastAsia="Times New Roman" w:hAnsi="Calibri" w:cs="Calibri"/>
                <w:b/>
                <w:bCs/>
                <w:color w:val="000000"/>
                <w:sz w:val="16"/>
                <w:szCs w:val="16"/>
                <w:lang w:eastAsia="hr-HR"/>
              </w:rPr>
              <w:t>398.700,00</w:t>
            </w:r>
          </w:p>
        </w:tc>
        <w:tc>
          <w:tcPr>
            <w:tcW w:w="1160" w:type="dxa"/>
            <w:tcBorders>
              <w:top w:val="single" w:sz="4" w:space="0" w:color="auto"/>
              <w:left w:val="nil"/>
              <w:bottom w:val="single" w:sz="4" w:space="0" w:color="auto"/>
              <w:right w:val="nil"/>
            </w:tcBorders>
            <w:shd w:val="clear" w:color="000000" w:fill="BFBFBF"/>
            <w:noWrap/>
            <w:vAlign w:val="bottom"/>
            <w:hideMark/>
          </w:tcPr>
          <w:p w14:paraId="68BB0229" w14:textId="77777777" w:rsidR="00CE1A1E" w:rsidRPr="00CE1A1E" w:rsidRDefault="00CE1A1E" w:rsidP="00CE1A1E">
            <w:pPr>
              <w:spacing w:after="0" w:line="240" w:lineRule="auto"/>
              <w:jc w:val="right"/>
              <w:rPr>
                <w:rFonts w:ascii="Calibri" w:eastAsia="Times New Roman" w:hAnsi="Calibri" w:cs="Calibri"/>
                <w:b/>
                <w:bCs/>
                <w:color w:val="000000"/>
                <w:sz w:val="16"/>
                <w:szCs w:val="16"/>
                <w:lang w:eastAsia="hr-HR"/>
              </w:rPr>
            </w:pPr>
            <w:r w:rsidRPr="00CE1A1E">
              <w:rPr>
                <w:rFonts w:ascii="Calibri" w:eastAsia="Times New Roman" w:hAnsi="Calibri" w:cs="Calibri"/>
                <w:b/>
                <w:bCs/>
                <w:color w:val="000000"/>
                <w:sz w:val="16"/>
                <w:szCs w:val="16"/>
                <w:lang w:eastAsia="hr-HR"/>
              </w:rPr>
              <w:t>352.837,33</w:t>
            </w:r>
          </w:p>
        </w:tc>
        <w:tc>
          <w:tcPr>
            <w:tcW w:w="900" w:type="dxa"/>
            <w:tcBorders>
              <w:top w:val="single" w:sz="4" w:space="0" w:color="auto"/>
              <w:left w:val="nil"/>
              <w:bottom w:val="single" w:sz="4" w:space="0" w:color="auto"/>
              <w:right w:val="nil"/>
            </w:tcBorders>
            <w:shd w:val="clear" w:color="000000" w:fill="BFBFBF"/>
            <w:noWrap/>
            <w:vAlign w:val="bottom"/>
            <w:hideMark/>
          </w:tcPr>
          <w:p w14:paraId="694EC8C4" w14:textId="77777777" w:rsidR="00CE1A1E" w:rsidRPr="00CE1A1E" w:rsidRDefault="00CE1A1E" w:rsidP="00CE1A1E">
            <w:pPr>
              <w:spacing w:after="0" w:line="240" w:lineRule="auto"/>
              <w:jc w:val="center"/>
              <w:rPr>
                <w:rFonts w:ascii="Calibri" w:eastAsia="Times New Roman" w:hAnsi="Calibri" w:cs="Calibri"/>
                <w:b/>
                <w:bCs/>
                <w:color w:val="000000"/>
                <w:sz w:val="16"/>
                <w:szCs w:val="16"/>
                <w:lang w:eastAsia="hr-HR"/>
              </w:rPr>
            </w:pPr>
            <w:r w:rsidRPr="00CE1A1E">
              <w:rPr>
                <w:rFonts w:ascii="Calibri" w:eastAsia="Times New Roman" w:hAnsi="Calibri" w:cs="Calibri"/>
                <w:b/>
                <w:bCs/>
                <w:color w:val="000000"/>
                <w:sz w:val="16"/>
                <w:szCs w:val="16"/>
                <w:lang w:eastAsia="hr-HR"/>
              </w:rPr>
              <w:t>55,80%</w:t>
            </w:r>
          </w:p>
        </w:tc>
        <w:tc>
          <w:tcPr>
            <w:tcW w:w="980" w:type="dxa"/>
            <w:tcBorders>
              <w:top w:val="single" w:sz="4" w:space="0" w:color="auto"/>
              <w:left w:val="nil"/>
              <w:bottom w:val="single" w:sz="4" w:space="0" w:color="auto"/>
              <w:right w:val="nil"/>
            </w:tcBorders>
            <w:shd w:val="clear" w:color="000000" w:fill="BFBFBF"/>
            <w:noWrap/>
            <w:vAlign w:val="bottom"/>
            <w:hideMark/>
          </w:tcPr>
          <w:p w14:paraId="0E78FA4C" w14:textId="77777777" w:rsidR="00CE1A1E" w:rsidRPr="00CE1A1E" w:rsidRDefault="00CE1A1E" w:rsidP="00CE1A1E">
            <w:pPr>
              <w:spacing w:after="0" w:line="240" w:lineRule="auto"/>
              <w:jc w:val="center"/>
              <w:rPr>
                <w:rFonts w:ascii="Calibri" w:eastAsia="Times New Roman" w:hAnsi="Calibri" w:cs="Calibri"/>
                <w:b/>
                <w:bCs/>
                <w:color w:val="000000"/>
                <w:sz w:val="16"/>
                <w:szCs w:val="16"/>
                <w:lang w:eastAsia="hr-HR"/>
              </w:rPr>
            </w:pPr>
            <w:r w:rsidRPr="00CE1A1E">
              <w:rPr>
                <w:rFonts w:ascii="Calibri" w:eastAsia="Times New Roman" w:hAnsi="Calibri" w:cs="Calibri"/>
                <w:b/>
                <w:bCs/>
                <w:color w:val="000000"/>
                <w:sz w:val="16"/>
                <w:szCs w:val="16"/>
                <w:lang w:eastAsia="hr-HR"/>
              </w:rPr>
              <w:t>88,50%</w:t>
            </w:r>
          </w:p>
        </w:tc>
      </w:tr>
      <w:tr w:rsidR="00CE1A1E" w:rsidRPr="00CE1A1E" w14:paraId="285397BE" w14:textId="77777777" w:rsidTr="00CE1A1E">
        <w:trPr>
          <w:trHeight w:val="705"/>
        </w:trPr>
        <w:tc>
          <w:tcPr>
            <w:tcW w:w="745" w:type="dxa"/>
            <w:tcBorders>
              <w:top w:val="nil"/>
              <w:left w:val="nil"/>
              <w:bottom w:val="single" w:sz="4" w:space="0" w:color="auto"/>
              <w:right w:val="nil"/>
            </w:tcBorders>
            <w:noWrap/>
            <w:vAlign w:val="bottom"/>
            <w:hideMark/>
          </w:tcPr>
          <w:p w14:paraId="39C8C2AA" w14:textId="77777777" w:rsidR="00CE1A1E" w:rsidRPr="00CE1A1E" w:rsidRDefault="00CE1A1E" w:rsidP="00CE1A1E">
            <w:pPr>
              <w:spacing w:after="0" w:line="240" w:lineRule="auto"/>
              <w:jc w:val="center"/>
              <w:rPr>
                <w:rFonts w:ascii="Calibri" w:eastAsia="Times New Roman" w:hAnsi="Calibri" w:cs="Calibri"/>
                <w:b/>
                <w:bCs/>
                <w:color w:val="000000"/>
                <w:sz w:val="16"/>
                <w:szCs w:val="16"/>
                <w:lang w:eastAsia="hr-HR"/>
              </w:rPr>
            </w:pPr>
            <w:r w:rsidRPr="00CE1A1E">
              <w:rPr>
                <w:rFonts w:ascii="Calibri" w:eastAsia="Times New Roman" w:hAnsi="Calibri" w:cs="Calibri"/>
                <w:b/>
                <w:bCs/>
                <w:color w:val="000000"/>
                <w:sz w:val="16"/>
                <w:szCs w:val="16"/>
                <w:lang w:eastAsia="hr-HR"/>
              </w:rPr>
              <w:t>53</w:t>
            </w:r>
          </w:p>
        </w:tc>
        <w:tc>
          <w:tcPr>
            <w:tcW w:w="2320" w:type="dxa"/>
            <w:tcBorders>
              <w:top w:val="nil"/>
              <w:left w:val="nil"/>
              <w:bottom w:val="single" w:sz="4" w:space="0" w:color="auto"/>
              <w:right w:val="nil"/>
            </w:tcBorders>
            <w:vAlign w:val="bottom"/>
            <w:hideMark/>
          </w:tcPr>
          <w:p w14:paraId="65E0CD25" w14:textId="77777777" w:rsidR="00CE1A1E" w:rsidRPr="00CE1A1E" w:rsidRDefault="00CE1A1E" w:rsidP="00CE1A1E">
            <w:pPr>
              <w:spacing w:after="0" w:line="240" w:lineRule="auto"/>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 xml:space="preserve">Izdaci za ulaganja u financijske instrumente -dionice i udjele u glavnici  </w:t>
            </w:r>
          </w:p>
        </w:tc>
        <w:tc>
          <w:tcPr>
            <w:tcW w:w="1380" w:type="dxa"/>
            <w:tcBorders>
              <w:top w:val="nil"/>
              <w:left w:val="nil"/>
              <w:bottom w:val="single" w:sz="4" w:space="0" w:color="auto"/>
              <w:right w:val="nil"/>
            </w:tcBorders>
            <w:noWrap/>
            <w:vAlign w:val="bottom"/>
            <w:hideMark/>
          </w:tcPr>
          <w:p w14:paraId="7C2AF907"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435.341,84</w:t>
            </w:r>
          </w:p>
        </w:tc>
        <w:tc>
          <w:tcPr>
            <w:tcW w:w="1360" w:type="dxa"/>
            <w:tcBorders>
              <w:top w:val="nil"/>
              <w:left w:val="nil"/>
              <w:bottom w:val="single" w:sz="4" w:space="0" w:color="auto"/>
              <w:right w:val="nil"/>
            </w:tcBorders>
            <w:noWrap/>
            <w:vAlign w:val="bottom"/>
            <w:hideMark/>
          </w:tcPr>
          <w:p w14:paraId="17A073A9" w14:textId="77777777" w:rsidR="00CE1A1E" w:rsidRPr="00CE1A1E" w:rsidRDefault="00CE1A1E" w:rsidP="006F14A4">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0,00</w:t>
            </w:r>
          </w:p>
        </w:tc>
        <w:tc>
          <w:tcPr>
            <w:tcW w:w="1360" w:type="dxa"/>
            <w:tcBorders>
              <w:top w:val="nil"/>
              <w:left w:val="nil"/>
              <w:bottom w:val="single" w:sz="4" w:space="0" w:color="auto"/>
              <w:right w:val="nil"/>
            </w:tcBorders>
            <w:noWrap/>
            <w:vAlign w:val="bottom"/>
            <w:hideMark/>
          </w:tcPr>
          <w:p w14:paraId="0181E673" w14:textId="77777777" w:rsidR="00CE1A1E" w:rsidRPr="00CE1A1E" w:rsidRDefault="00CE1A1E" w:rsidP="006F14A4">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0,00</w:t>
            </w:r>
          </w:p>
        </w:tc>
        <w:tc>
          <w:tcPr>
            <w:tcW w:w="1160" w:type="dxa"/>
            <w:tcBorders>
              <w:top w:val="nil"/>
              <w:left w:val="nil"/>
              <w:bottom w:val="single" w:sz="4" w:space="0" w:color="auto"/>
              <w:right w:val="nil"/>
            </w:tcBorders>
            <w:noWrap/>
            <w:vAlign w:val="bottom"/>
            <w:hideMark/>
          </w:tcPr>
          <w:p w14:paraId="6F728B43" w14:textId="77777777" w:rsidR="00CE1A1E" w:rsidRPr="00CE1A1E" w:rsidRDefault="00CE1A1E" w:rsidP="006F14A4">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0,00</w:t>
            </w:r>
          </w:p>
        </w:tc>
        <w:tc>
          <w:tcPr>
            <w:tcW w:w="900" w:type="dxa"/>
            <w:tcBorders>
              <w:top w:val="nil"/>
              <w:left w:val="nil"/>
              <w:bottom w:val="single" w:sz="4" w:space="0" w:color="auto"/>
              <w:right w:val="nil"/>
            </w:tcBorders>
            <w:noWrap/>
            <w:vAlign w:val="bottom"/>
            <w:hideMark/>
          </w:tcPr>
          <w:p w14:paraId="1855801B"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0,00%</w:t>
            </w:r>
          </w:p>
        </w:tc>
        <w:tc>
          <w:tcPr>
            <w:tcW w:w="980" w:type="dxa"/>
            <w:tcBorders>
              <w:top w:val="nil"/>
              <w:left w:val="nil"/>
              <w:bottom w:val="single" w:sz="4" w:space="0" w:color="auto"/>
              <w:right w:val="nil"/>
            </w:tcBorders>
            <w:noWrap/>
            <w:vAlign w:val="bottom"/>
            <w:hideMark/>
          </w:tcPr>
          <w:p w14:paraId="23204714" w14:textId="3C886CC0"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w:t>
            </w:r>
          </w:p>
        </w:tc>
      </w:tr>
      <w:tr w:rsidR="00CE1A1E" w:rsidRPr="00CE1A1E" w14:paraId="1023CA7F" w14:textId="77777777" w:rsidTr="00CE1A1E">
        <w:trPr>
          <w:trHeight w:val="450"/>
        </w:trPr>
        <w:tc>
          <w:tcPr>
            <w:tcW w:w="745" w:type="dxa"/>
            <w:tcBorders>
              <w:top w:val="nil"/>
              <w:left w:val="nil"/>
              <w:bottom w:val="nil"/>
              <w:right w:val="nil"/>
            </w:tcBorders>
            <w:noWrap/>
            <w:vAlign w:val="bottom"/>
            <w:hideMark/>
          </w:tcPr>
          <w:p w14:paraId="29F126D2"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54</w:t>
            </w:r>
          </w:p>
        </w:tc>
        <w:tc>
          <w:tcPr>
            <w:tcW w:w="2320" w:type="dxa"/>
            <w:tcBorders>
              <w:top w:val="nil"/>
              <w:left w:val="nil"/>
              <w:bottom w:val="nil"/>
              <w:right w:val="nil"/>
            </w:tcBorders>
            <w:vAlign w:val="bottom"/>
            <w:hideMark/>
          </w:tcPr>
          <w:p w14:paraId="236B151E" w14:textId="77777777" w:rsidR="00CE1A1E" w:rsidRPr="00CE1A1E" w:rsidRDefault="00CE1A1E" w:rsidP="00CE1A1E">
            <w:pPr>
              <w:spacing w:after="0" w:line="240" w:lineRule="auto"/>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 xml:space="preserve">Izdaci za otplatu glavnice primljenih kredita i zajmova </w:t>
            </w:r>
          </w:p>
        </w:tc>
        <w:tc>
          <w:tcPr>
            <w:tcW w:w="1380" w:type="dxa"/>
            <w:tcBorders>
              <w:top w:val="nil"/>
              <w:left w:val="nil"/>
              <w:bottom w:val="nil"/>
              <w:right w:val="nil"/>
            </w:tcBorders>
            <w:noWrap/>
            <w:vAlign w:val="bottom"/>
            <w:hideMark/>
          </w:tcPr>
          <w:p w14:paraId="5E15D6AB"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196.975,80</w:t>
            </w:r>
          </w:p>
        </w:tc>
        <w:tc>
          <w:tcPr>
            <w:tcW w:w="1360" w:type="dxa"/>
            <w:tcBorders>
              <w:top w:val="nil"/>
              <w:left w:val="nil"/>
              <w:bottom w:val="nil"/>
              <w:right w:val="nil"/>
            </w:tcBorders>
            <w:noWrap/>
            <w:vAlign w:val="bottom"/>
            <w:hideMark/>
          </w:tcPr>
          <w:p w14:paraId="06D955DC"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398.700,00</w:t>
            </w:r>
          </w:p>
        </w:tc>
        <w:tc>
          <w:tcPr>
            <w:tcW w:w="1360" w:type="dxa"/>
            <w:tcBorders>
              <w:top w:val="nil"/>
              <w:left w:val="nil"/>
              <w:bottom w:val="nil"/>
              <w:right w:val="nil"/>
            </w:tcBorders>
            <w:noWrap/>
            <w:vAlign w:val="bottom"/>
            <w:hideMark/>
          </w:tcPr>
          <w:p w14:paraId="5ABF9670"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398.700,00</w:t>
            </w:r>
          </w:p>
        </w:tc>
        <w:tc>
          <w:tcPr>
            <w:tcW w:w="1160" w:type="dxa"/>
            <w:tcBorders>
              <w:top w:val="nil"/>
              <w:left w:val="nil"/>
              <w:bottom w:val="nil"/>
              <w:right w:val="nil"/>
            </w:tcBorders>
            <w:noWrap/>
            <w:vAlign w:val="bottom"/>
            <w:hideMark/>
          </w:tcPr>
          <w:p w14:paraId="02FB2567" w14:textId="77777777" w:rsidR="00CE1A1E" w:rsidRPr="00CE1A1E" w:rsidRDefault="00CE1A1E" w:rsidP="00CE1A1E">
            <w:pPr>
              <w:spacing w:after="0" w:line="240" w:lineRule="auto"/>
              <w:jc w:val="right"/>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352.837,33</w:t>
            </w:r>
          </w:p>
        </w:tc>
        <w:tc>
          <w:tcPr>
            <w:tcW w:w="900" w:type="dxa"/>
            <w:tcBorders>
              <w:top w:val="nil"/>
              <w:left w:val="nil"/>
              <w:bottom w:val="single" w:sz="4" w:space="0" w:color="auto"/>
              <w:right w:val="nil"/>
            </w:tcBorders>
            <w:shd w:val="clear" w:color="000000" w:fill="FFFFFF"/>
            <w:noWrap/>
            <w:vAlign w:val="bottom"/>
            <w:hideMark/>
          </w:tcPr>
          <w:p w14:paraId="77D6844E" w14:textId="77777777" w:rsidR="00CE1A1E" w:rsidRPr="00CE1A1E" w:rsidRDefault="00CE1A1E" w:rsidP="00CE1A1E">
            <w:pPr>
              <w:spacing w:after="0" w:line="240" w:lineRule="auto"/>
              <w:jc w:val="center"/>
              <w:rPr>
                <w:rFonts w:ascii="Calibri" w:eastAsia="Times New Roman" w:hAnsi="Calibri" w:cs="Calibri"/>
                <w:b/>
                <w:bCs/>
                <w:color w:val="000000"/>
                <w:sz w:val="16"/>
                <w:szCs w:val="16"/>
                <w:lang w:eastAsia="hr-HR"/>
              </w:rPr>
            </w:pPr>
            <w:r w:rsidRPr="00CE1A1E">
              <w:rPr>
                <w:rFonts w:ascii="Calibri" w:eastAsia="Times New Roman" w:hAnsi="Calibri" w:cs="Calibri"/>
                <w:b/>
                <w:bCs/>
                <w:color w:val="000000"/>
                <w:sz w:val="16"/>
                <w:szCs w:val="16"/>
                <w:lang w:eastAsia="hr-HR"/>
              </w:rPr>
              <w:t>179,13%</w:t>
            </w:r>
          </w:p>
        </w:tc>
        <w:tc>
          <w:tcPr>
            <w:tcW w:w="980" w:type="dxa"/>
            <w:tcBorders>
              <w:top w:val="nil"/>
              <w:left w:val="nil"/>
              <w:bottom w:val="nil"/>
              <w:right w:val="nil"/>
            </w:tcBorders>
            <w:noWrap/>
            <w:vAlign w:val="bottom"/>
            <w:hideMark/>
          </w:tcPr>
          <w:p w14:paraId="7B9EA4C3" w14:textId="77777777" w:rsidR="00CE1A1E" w:rsidRPr="00CE1A1E" w:rsidRDefault="00CE1A1E" w:rsidP="00CE1A1E">
            <w:pPr>
              <w:spacing w:after="0" w:line="240" w:lineRule="auto"/>
              <w:jc w:val="center"/>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88,50%</w:t>
            </w:r>
          </w:p>
        </w:tc>
      </w:tr>
      <w:tr w:rsidR="00CE1A1E" w:rsidRPr="00CE1A1E" w14:paraId="79A2FB96" w14:textId="77777777" w:rsidTr="00CE1A1E">
        <w:trPr>
          <w:trHeight w:val="300"/>
        </w:trPr>
        <w:tc>
          <w:tcPr>
            <w:tcW w:w="745" w:type="dxa"/>
            <w:tcBorders>
              <w:top w:val="single" w:sz="4" w:space="0" w:color="auto"/>
              <w:left w:val="nil"/>
              <w:bottom w:val="single" w:sz="4" w:space="0" w:color="auto"/>
              <w:right w:val="nil"/>
            </w:tcBorders>
            <w:shd w:val="clear" w:color="000000" w:fill="D0CECE"/>
            <w:noWrap/>
            <w:vAlign w:val="bottom"/>
            <w:hideMark/>
          </w:tcPr>
          <w:p w14:paraId="481C3524" w14:textId="77777777" w:rsidR="00CE1A1E" w:rsidRPr="00CE1A1E" w:rsidRDefault="00CE1A1E" w:rsidP="00CE1A1E">
            <w:pPr>
              <w:spacing w:after="0" w:line="240" w:lineRule="auto"/>
              <w:rPr>
                <w:rFonts w:ascii="Calibri" w:eastAsia="Times New Roman" w:hAnsi="Calibri" w:cs="Calibri"/>
                <w:color w:val="000000"/>
                <w:sz w:val="16"/>
                <w:szCs w:val="16"/>
                <w:lang w:eastAsia="hr-HR"/>
              </w:rPr>
            </w:pPr>
            <w:r w:rsidRPr="00CE1A1E">
              <w:rPr>
                <w:rFonts w:ascii="Calibri" w:eastAsia="Times New Roman" w:hAnsi="Calibri" w:cs="Calibri"/>
                <w:color w:val="000000"/>
                <w:sz w:val="16"/>
                <w:szCs w:val="16"/>
                <w:lang w:eastAsia="hr-HR"/>
              </w:rPr>
              <w:t> </w:t>
            </w:r>
          </w:p>
        </w:tc>
        <w:tc>
          <w:tcPr>
            <w:tcW w:w="2320" w:type="dxa"/>
            <w:tcBorders>
              <w:top w:val="single" w:sz="4" w:space="0" w:color="auto"/>
              <w:left w:val="nil"/>
              <w:bottom w:val="single" w:sz="4" w:space="0" w:color="auto"/>
              <w:right w:val="nil"/>
            </w:tcBorders>
            <w:shd w:val="clear" w:color="000000" w:fill="D0CECE"/>
            <w:noWrap/>
            <w:vAlign w:val="bottom"/>
            <w:hideMark/>
          </w:tcPr>
          <w:p w14:paraId="7D2F7918" w14:textId="77777777" w:rsidR="00CE1A1E" w:rsidRPr="00CE1A1E" w:rsidRDefault="00CE1A1E" w:rsidP="00CE1A1E">
            <w:pPr>
              <w:spacing w:after="0" w:line="240" w:lineRule="auto"/>
              <w:rPr>
                <w:rFonts w:ascii="Calibri" w:eastAsia="Times New Roman" w:hAnsi="Calibri" w:cs="Calibri"/>
                <w:b/>
                <w:bCs/>
                <w:color w:val="000000"/>
                <w:sz w:val="16"/>
                <w:szCs w:val="16"/>
                <w:lang w:eastAsia="hr-HR"/>
              </w:rPr>
            </w:pPr>
            <w:r w:rsidRPr="00CE1A1E">
              <w:rPr>
                <w:rFonts w:ascii="Calibri" w:eastAsia="Times New Roman" w:hAnsi="Calibri" w:cs="Calibri"/>
                <w:b/>
                <w:bCs/>
                <w:color w:val="000000"/>
                <w:sz w:val="16"/>
                <w:szCs w:val="16"/>
                <w:lang w:eastAsia="hr-HR"/>
              </w:rPr>
              <w:t>SVEUKUPNO</w:t>
            </w:r>
          </w:p>
        </w:tc>
        <w:tc>
          <w:tcPr>
            <w:tcW w:w="1380" w:type="dxa"/>
            <w:tcBorders>
              <w:top w:val="single" w:sz="4" w:space="0" w:color="auto"/>
              <w:left w:val="nil"/>
              <w:bottom w:val="single" w:sz="4" w:space="0" w:color="auto"/>
              <w:right w:val="nil"/>
            </w:tcBorders>
            <w:shd w:val="clear" w:color="000000" w:fill="D0CECE"/>
            <w:noWrap/>
            <w:vAlign w:val="bottom"/>
            <w:hideMark/>
          </w:tcPr>
          <w:p w14:paraId="214597D0" w14:textId="77777777" w:rsidR="00CE1A1E" w:rsidRPr="00CE1A1E" w:rsidRDefault="00CE1A1E" w:rsidP="00CE1A1E">
            <w:pPr>
              <w:spacing w:after="0" w:line="240" w:lineRule="auto"/>
              <w:jc w:val="center"/>
              <w:rPr>
                <w:rFonts w:ascii="Calibri" w:eastAsia="Times New Roman" w:hAnsi="Calibri" w:cs="Calibri"/>
                <w:b/>
                <w:bCs/>
                <w:color w:val="000000"/>
                <w:sz w:val="16"/>
                <w:szCs w:val="16"/>
                <w:lang w:eastAsia="hr-HR"/>
              </w:rPr>
            </w:pPr>
            <w:r w:rsidRPr="00CE1A1E">
              <w:rPr>
                <w:rFonts w:ascii="Calibri" w:eastAsia="Times New Roman" w:hAnsi="Calibri" w:cs="Calibri"/>
                <w:b/>
                <w:bCs/>
                <w:color w:val="000000"/>
                <w:sz w:val="16"/>
                <w:szCs w:val="16"/>
                <w:lang w:eastAsia="hr-HR"/>
              </w:rPr>
              <w:t>17.385.315,20</w:t>
            </w:r>
          </w:p>
        </w:tc>
        <w:tc>
          <w:tcPr>
            <w:tcW w:w="1360" w:type="dxa"/>
            <w:tcBorders>
              <w:top w:val="single" w:sz="4" w:space="0" w:color="auto"/>
              <w:left w:val="nil"/>
              <w:bottom w:val="single" w:sz="4" w:space="0" w:color="auto"/>
              <w:right w:val="nil"/>
            </w:tcBorders>
            <w:shd w:val="clear" w:color="000000" w:fill="D0CECE"/>
            <w:noWrap/>
            <w:vAlign w:val="bottom"/>
            <w:hideMark/>
          </w:tcPr>
          <w:p w14:paraId="05DDD76A" w14:textId="77777777" w:rsidR="00CE1A1E" w:rsidRPr="00CE1A1E" w:rsidRDefault="00CE1A1E" w:rsidP="00CE1A1E">
            <w:pPr>
              <w:spacing w:after="0" w:line="240" w:lineRule="auto"/>
              <w:jc w:val="center"/>
              <w:rPr>
                <w:rFonts w:ascii="Calibri" w:eastAsia="Times New Roman" w:hAnsi="Calibri" w:cs="Calibri"/>
                <w:b/>
                <w:bCs/>
                <w:color w:val="000000"/>
                <w:sz w:val="16"/>
                <w:szCs w:val="16"/>
                <w:lang w:eastAsia="hr-HR"/>
              </w:rPr>
            </w:pPr>
            <w:r w:rsidRPr="00CE1A1E">
              <w:rPr>
                <w:rFonts w:ascii="Calibri" w:eastAsia="Times New Roman" w:hAnsi="Calibri" w:cs="Calibri"/>
                <w:b/>
                <w:bCs/>
                <w:color w:val="000000"/>
                <w:sz w:val="16"/>
                <w:szCs w:val="16"/>
                <w:lang w:eastAsia="hr-HR"/>
              </w:rPr>
              <w:t>25.461.515,09</w:t>
            </w:r>
          </w:p>
        </w:tc>
        <w:tc>
          <w:tcPr>
            <w:tcW w:w="1360" w:type="dxa"/>
            <w:tcBorders>
              <w:top w:val="single" w:sz="4" w:space="0" w:color="auto"/>
              <w:left w:val="nil"/>
              <w:bottom w:val="single" w:sz="4" w:space="0" w:color="auto"/>
              <w:right w:val="nil"/>
            </w:tcBorders>
            <w:shd w:val="clear" w:color="000000" w:fill="D0CECE"/>
            <w:noWrap/>
            <w:vAlign w:val="bottom"/>
            <w:hideMark/>
          </w:tcPr>
          <w:p w14:paraId="2A9DB09C" w14:textId="77777777" w:rsidR="00CE1A1E" w:rsidRPr="00CE1A1E" w:rsidRDefault="00CE1A1E" w:rsidP="00CE1A1E">
            <w:pPr>
              <w:spacing w:after="0" w:line="240" w:lineRule="auto"/>
              <w:jc w:val="center"/>
              <w:rPr>
                <w:rFonts w:ascii="Calibri" w:eastAsia="Times New Roman" w:hAnsi="Calibri" w:cs="Calibri"/>
                <w:b/>
                <w:bCs/>
                <w:color w:val="000000"/>
                <w:sz w:val="16"/>
                <w:szCs w:val="16"/>
                <w:lang w:eastAsia="hr-HR"/>
              </w:rPr>
            </w:pPr>
            <w:r w:rsidRPr="00CE1A1E">
              <w:rPr>
                <w:rFonts w:ascii="Calibri" w:eastAsia="Times New Roman" w:hAnsi="Calibri" w:cs="Calibri"/>
                <w:b/>
                <w:bCs/>
                <w:color w:val="000000"/>
                <w:sz w:val="16"/>
                <w:szCs w:val="16"/>
                <w:lang w:eastAsia="hr-HR"/>
              </w:rPr>
              <w:t>25.461.515,09</w:t>
            </w:r>
          </w:p>
        </w:tc>
        <w:tc>
          <w:tcPr>
            <w:tcW w:w="1160" w:type="dxa"/>
            <w:tcBorders>
              <w:top w:val="single" w:sz="4" w:space="0" w:color="auto"/>
              <w:left w:val="nil"/>
              <w:bottom w:val="single" w:sz="4" w:space="0" w:color="auto"/>
              <w:right w:val="nil"/>
            </w:tcBorders>
            <w:shd w:val="clear" w:color="000000" w:fill="D0CECE"/>
            <w:noWrap/>
            <w:vAlign w:val="bottom"/>
            <w:hideMark/>
          </w:tcPr>
          <w:p w14:paraId="7E8D25DD" w14:textId="77777777" w:rsidR="00CE1A1E" w:rsidRPr="00CE1A1E" w:rsidRDefault="00CE1A1E" w:rsidP="00CE1A1E">
            <w:pPr>
              <w:spacing w:after="0" w:line="240" w:lineRule="auto"/>
              <w:jc w:val="right"/>
              <w:rPr>
                <w:rFonts w:ascii="Calibri" w:eastAsia="Times New Roman" w:hAnsi="Calibri" w:cs="Calibri"/>
                <w:b/>
                <w:bCs/>
                <w:color w:val="000000"/>
                <w:sz w:val="16"/>
                <w:szCs w:val="16"/>
                <w:lang w:eastAsia="hr-HR"/>
              </w:rPr>
            </w:pPr>
            <w:r w:rsidRPr="00CE1A1E">
              <w:rPr>
                <w:rFonts w:ascii="Calibri" w:eastAsia="Times New Roman" w:hAnsi="Calibri" w:cs="Calibri"/>
                <w:b/>
                <w:bCs/>
                <w:color w:val="000000"/>
                <w:sz w:val="16"/>
                <w:szCs w:val="16"/>
                <w:lang w:eastAsia="hr-HR"/>
              </w:rPr>
              <w:t>19.932.543,52</w:t>
            </w:r>
          </w:p>
        </w:tc>
        <w:tc>
          <w:tcPr>
            <w:tcW w:w="900" w:type="dxa"/>
            <w:tcBorders>
              <w:top w:val="nil"/>
              <w:left w:val="nil"/>
              <w:bottom w:val="single" w:sz="4" w:space="0" w:color="auto"/>
              <w:right w:val="nil"/>
            </w:tcBorders>
            <w:shd w:val="clear" w:color="000000" w:fill="D0CECE"/>
            <w:noWrap/>
            <w:vAlign w:val="bottom"/>
            <w:hideMark/>
          </w:tcPr>
          <w:p w14:paraId="07F27D49" w14:textId="77777777" w:rsidR="00CE1A1E" w:rsidRPr="00CE1A1E" w:rsidRDefault="00CE1A1E" w:rsidP="00CE1A1E">
            <w:pPr>
              <w:spacing w:after="0" w:line="240" w:lineRule="auto"/>
              <w:jc w:val="center"/>
              <w:rPr>
                <w:rFonts w:ascii="Calibri" w:eastAsia="Times New Roman" w:hAnsi="Calibri" w:cs="Calibri"/>
                <w:b/>
                <w:bCs/>
                <w:color w:val="000000"/>
                <w:sz w:val="16"/>
                <w:szCs w:val="16"/>
                <w:lang w:eastAsia="hr-HR"/>
              </w:rPr>
            </w:pPr>
            <w:r w:rsidRPr="00CE1A1E">
              <w:rPr>
                <w:rFonts w:ascii="Calibri" w:eastAsia="Times New Roman" w:hAnsi="Calibri" w:cs="Calibri"/>
                <w:b/>
                <w:bCs/>
                <w:color w:val="000000"/>
                <w:sz w:val="16"/>
                <w:szCs w:val="16"/>
                <w:lang w:eastAsia="hr-HR"/>
              </w:rPr>
              <w:t>114,65%</w:t>
            </w:r>
          </w:p>
        </w:tc>
        <w:tc>
          <w:tcPr>
            <w:tcW w:w="980" w:type="dxa"/>
            <w:tcBorders>
              <w:top w:val="single" w:sz="4" w:space="0" w:color="auto"/>
              <w:left w:val="nil"/>
              <w:bottom w:val="single" w:sz="4" w:space="0" w:color="auto"/>
              <w:right w:val="nil"/>
            </w:tcBorders>
            <w:shd w:val="clear" w:color="000000" w:fill="D0CECE"/>
            <w:noWrap/>
            <w:vAlign w:val="bottom"/>
            <w:hideMark/>
          </w:tcPr>
          <w:p w14:paraId="7CBCFF81" w14:textId="77777777" w:rsidR="00CE1A1E" w:rsidRPr="00CE1A1E" w:rsidRDefault="00CE1A1E" w:rsidP="00CE1A1E">
            <w:pPr>
              <w:spacing w:after="0" w:line="240" w:lineRule="auto"/>
              <w:jc w:val="center"/>
              <w:rPr>
                <w:rFonts w:ascii="Calibri" w:eastAsia="Times New Roman" w:hAnsi="Calibri" w:cs="Calibri"/>
                <w:b/>
                <w:bCs/>
                <w:color w:val="000000"/>
                <w:sz w:val="16"/>
                <w:szCs w:val="16"/>
                <w:lang w:eastAsia="hr-HR"/>
              </w:rPr>
            </w:pPr>
            <w:r w:rsidRPr="00CE1A1E">
              <w:rPr>
                <w:rFonts w:ascii="Calibri" w:eastAsia="Times New Roman" w:hAnsi="Calibri" w:cs="Calibri"/>
                <w:b/>
                <w:bCs/>
                <w:color w:val="000000"/>
                <w:sz w:val="16"/>
                <w:szCs w:val="16"/>
                <w:lang w:eastAsia="hr-HR"/>
              </w:rPr>
              <w:t>78,28%</w:t>
            </w:r>
          </w:p>
        </w:tc>
      </w:tr>
    </w:tbl>
    <w:p w14:paraId="791F8840" w14:textId="77777777" w:rsidR="00CE1A1E" w:rsidRDefault="00CE1A1E" w:rsidP="00C47CCC">
      <w:pPr>
        <w:spacing w:after="0" w:line="240" w:lineRule="auto"/>
        <w:jc w:val="both"/>
        <w:rPr>
          <w:rFonts w:cstheme="minorHAnsi"/>
          <w:sz w:val="24"/>
          <w:szCs w:val="24"/>
        </w:rPr>
      </w:pPr>
    </w:p>
    <w:p w14:paraId="5615C901" w14:textId="5EA7FF7F" w:rsidR="008030CF" w:rsidRDefault="008030CF" w:rsidP="00C47CCC">
      <w:pPr>
        <w:spacing w:after="0" w:line="240" w:lineRule="auto"/>
        <w:jc w:val="both"/>
        <w:rPr>
          <w:rFonts w:cstheme="minorHAnsi"/>
          <w:sz w:val="24"/>
          <w:szCs w:val="24"/>
        </w:rPr>
      </w:pPr>
      <w:r>
        <w:rPr>
          <w:rFonts w:cstheme="minorHAnsi"/>
          <w:sz w:val="24"/>
          <w:szCs w:val="24"/>
        </w:rPr>
        <w:t xml:space="preserve">U strukturi ukupno izvršenih rashoda i izdataka proračuna najveći je udjel rashoda poslovanja s </w:t>
      </w:r>
      <w:r w:rsidR="00CE1A1E">
        <w:rPr>
          <w:rFonts w:cstheme="minorHAnsi"/>
          <w:sz w:val="24"/>
          <w:szCs w:val="24"/>
        </w:rPr>
        <w:t>72,81</w:t>
      </w:r>
      <w:r>
        <w:rPr>
          <w:rFonts w:cstheme="minorHAnsi"/>
          <w:sz w:val="24"/>
          <w:szCs w:val="24"/>
        </w:rPr>
        <w:t xml:space="preserve">%, slijede rashodi za nabavu nefinancijske imovine s </w:t>
      </w:r>
      <w:r w:rsidR="00CE1A1E">
        <w:rPr>
          <w:rFonts w:cstheme="minorHAnsi"/>
          <w:sz w:val="24"/>
          <w:szCs w:val="24"/>
        </w:rPr>
        <w:t>25,42</w:t>
      </w:r>
      <w:r>
        <w:rPr>
          <w:rFonts w:cstheme="minorHAnsi"/>
          <w:sz w:val="24"/>
          <w:szCs w:val="24"/>
        </w:rPr>
        <w:t xml:space="preserve">% udjela te izdaci za financijsku imovinu i otplate zajmova s udjelom od </w:t>
      </w:r>
      <w:r w:rsidR="00CE1A1E">
        <w:rPr>
          <w:rFonts w:cstheme="minorHAnsi"/>
          <w:sz w:val="24"/>
          <w:szCs w:val="24"/>
        </w:rPr>
        <w:t>1,77</w:t>
      </w:r>
      <w:r>
        <w:rPr>
          <w:rFonts w:cstheme="minorHAnsi"/>
          <w:sz w:val="24"/>
          <w:szCs w:val="24"/>
        </w:rPr>
        <w:t xml:space="preserve">%. </w:t>
      </w:r>
    </w:p>
    <w:p w14:paraId="1CCD0F78" w14:textId="2831CC06" w:rsidR="008030CF" w:rsidRDefault="008030CF" w:rsidP="00C47CCC">
      <w:pPr>
        <w:spacing w:after="0" w:line="240" w:lineRule="auto"/>
        <w:jc w:val="both"/>
        <w:rPr>
          <w:rFonts w:cstheme="minorHAnsi"/>
          <w:sz w:val="24"/>
          <w:szCs w:val="24"/>
        </w:rPr>
      </w:pPr>
      <w:r>
        <w:rPr>
          <w:rFonts w:cstheme="minorHAnsi"/>
          <w:sz w:val="24"/>
          <w:szCs w:val="24"/>
        </w:rPr>
        <w:t xml:space="preserve">Ostvareni rashodi i izdaci proračuna u </w:t>
      </w:r>
      <w:r w:rsidR="00C47CCC">
        <w:rPr>
          <w:rFonts w:cstheme="minorHAnsi"/>
          <w:sz w:val="24"/>
          <w:szCs w:val="24"/>
        </w:rPr>
        <w:t>202</w:t>
      </w:r>
      <w:r w:rsidR="00CE1A1E">
        <w:rPr>
          <w:rFonts w:cstheme="minorHAnsi"/>
          <w:sz w:val="24"/>
          <w:szCs w:val="24"/>
        </w:rPr>
        <w:t>5</w:t>
      </w:r>
      <w:r w:rsidR="00C47CCC">
        <w:rPr>
          <w:rFonts w:cstheme="minorHAnsi"/>
          <w:sz w:val="24"/>
          <w:szCs w:val="24"/>
        </w:rPr>
        <w:t>. godin</w:t>
      </w:r>
      <w:r w:rsidR="0040023E">
        <w:rPr>
          <w:rFonts w:cstheme="minorHAnsi"/>
          <w:sz w:val="24"/>
          <w:szCs w:val="24"/>
        </w:rPr>
        <w:t>i</w:t>
      </w:r>
      <w:r>
        <w:rPr>
          <w:rFonts w:cstheme="minorHAnsi"/>
          <w:sz w:val="24"/>
          <w:szCs w:val="24"/>
        </w:rPr>
        <w:t xml:space="preserve"> veći su za </w:t>
      </w:r>
      <w:r w:rsidR="00CE1A1E">
        <w:rPr>
          <w:rFonts w:cstheme="minorHAnsi"/>
          <w:sz w:val="24"/>
          <w:szCs w:val="24"/>
        </w:rPr>
        <w:t>14,65</w:t>
      </w:r>
      <w:r>
        <w:rPr>
          <w:rFonts w:cstheme="minorHAnsi"/>
          <w:sz w:val="24"/>
          <w:szCs w:val="24"/>
        </w:rPr>
        <w:t xml:space="preserve">% u odnosu na </w:t>
      </w:r>
      <w:r w:rsidR="0040023E">
        <w:rPr>
          <w:rFonts w:cstheme="minorHAnsi"/>
          <w:sz w:val="24"/>
          <w:szCs w:val="24"/>
        </w:rPr>
        <w:t>202</w:t>
      </w:r>
      <w:r w:rsidR="00CE1A1E">
        <w:rPr>
          <w:rFonts w:cstheme="minorHAnsi"/>
          <w:sz w:val="24"/>
          <w:szCs w:val="24"/>
        </w:rPr>
        <w:t>4</w:t>
      </w:r>
      <w:r w:rsidR="0040023E">
        <w:rPr>
          <w:rFonts w:cstheme="minorHAnsi"/>
          <w:sz w:val="24"/>
          <w:szCs w:val="24"/>
        </w:rPr>
        <w:t>.godinu,</w:t>
      </w:r>
      <w:r>
        <w:rPr>
          <w:rFonts w:cstheme="minorHAnsi"/>
          <w:sz w:val="24"/>
          <w:szCs w:val="24"/>
        </w:rPr>
        <w:t xml:space="preserve"> na što utječe veće ostvarenje rashoda </w:t>
      </w:r>
      <w:r w:rsidR="004127F6">
        <w:rPr>
          <w:rFonts w:cstheme="minorHAnsi"/>
          <w:sz w:val="24"/>
          <w:szCs w:val="24"/>
        </w:rPr>
        <w:t xml:space="preserve">poslovanja </w:t>
      </w:r>
      <w:r w:rsidR="006E6980">
        <w:rPr>
          <w:rFonts w:cstheme="minorHAnsi"/>
          <w:sz w:val="24"/>
          <w:szCs w:val="24"/>
        </w:rPr>
        <w:t xml:space="preserve">za </w:t>
      </w:r>
      <w:r w:rsidR="00CE1A1E">
        <w:rPr>
          <w:rFonts w:cstheme="minorHAnsi"/>
          <w:sz w:val="24"/>
          <w:szCs w:val="24"/>
        </w:rPr>
        <w:t>15,32</w:t>
      </w:r>
      <w:r w:rsidR="006E6980">
        <w:rPr>
          <w:rFonts w:cstheme="minorHAnsi"/>
          <w:sz w:val="24"/>
          <w:szCs w:val="24"/>
        </w:rPr>
        <w:t xml:space="preserve">% </w:t>
      </w:r>
      <w:r w:rsidR="004127F6">
        <w:rPr>
          <w:rFonts w:cstheme="minorHAnsi"/>
          <w:sz w:val="24"/>
          <w:szCs w:val="24"/>
        </w:rPr>
        <w:t xml:space="preserve">i </w:t>
      </w:r>
      <w:r w:rsidR="00CE1A1E">
        <w:rPr>
          <w:rFonts w:cstheme="minorHAnsi"/>
          <w:sz w:val="24"/>
          <w:szCs w:val="24"/>
        </w:rPr>
        <w:t>rashoda za nabavu nefinancijske imovine za 21,55%.</w:t>
      </w:r>
    </w:p>
    <w:p w14:paraId="16C53BFB" w14:textId="77777777" w:rsidR="00224EFE" w:rsidRDefault="00224EFE" w:rsidP="0094632E">
      <w:pPr>
        <w:spacing w:after="0" w:line="240" w:lineRule="auto"/>
        <w:jc w:val="both"/>
        <w:rPr>
          <w:rFonts w:cstheme="minorHAnsi"/>
          <w:sz w:val="24"/>
          <w:szCs w:val="24"/>
        </w:rPr>
      </w:pPr>
    </w:p>
    <w:p w14:paraId="670682BD" w14:textId="3D202F59" w:rsidR="00820F2B" w:rsidRDefault="008030CF" w:rsidP="0094632E">
      <w:pPr>
        <w:spacing w:after="0" w:line="240" w:lineRule="auto"/>
        <w:jc w:val="both"/>
        <w:rPr>
          <w:rFonts w:cstheme="minorHAnsi"/>
          <w:sz w:val="24"/>
          <w:szCs w:val="24"/>
        </w:rPr>
      </w:pPr>
      <w:r>
        <w:rPr>
          <w:rFonts w:cstheme="minorHAnsi"/>
          <w:sz w:val="24"/>
          <w:szCs w:val="24"/>
        </w:rPr>
        <w:t>U nastavku slijedi obrazloženje izvršenja rashoda i izdataka</w:t>
      </w:r>
      <w:r w:rsidR="00216711">
        <w:rPr>
          <w:rFonts w:cstheme="minorHAnsi"/>
          <w:sz w:val="24"/>
          <w:szCs w:val="24"/>
        </w:rPr>
        <w:t xml:space="preserve"> konsolidiranog proračuna </w:t>
      </w:r>
      <w:r w:rsidR="00275474">
        <w:rPr>
          <w:rFonts w:cstheme="minorHAnsi"/>
          <w:sz w:val="24"/>
          <w:szCs w:val="24"/>
        </w:rPr>
        <w:t xml:space="preserve">u </w:t>
      </w:r>
      <w:r w:rsidR="00E040DE">
        <w:rPr>
          <w:rFonts w:cstheme="minorHAnsi"/>
          <w:sz w:val="24"/>
          <w:szCs w:val="24"/>
        </w:rPr>
        <w:t>202</w:t>
      </w:r>
      <w:r w:rsidR="00CE1A1E">
        <w:rPr>
          <w:rFonts w:cstheme="minorHAnsi"/>
          <w:sz w:val="24"/>
          <w:szCs w:val="24"/>
        </w:rPr>
        <w:t>5</w:t>
      </w:r>
      <w:r w:rsidR="00E040DE">
        <w:rPr>
          <w:rFonts w:cstheme="minorHAnsi"/>
          <w:sz w:val="24"/>
          <w:szCs w:val="24"/>
        </w:rPr>
        <w:t>.godin</w:t>
      </w:r>
      <w:r w:rsidR="0040023E">
        <w:rPr>
          <w:rFonts w:cstheme="minorHAnsi"/>
          <w:sz w:val="24"/>
          <w:szCs w:val="24"/>
        </w:rPr>
        <w:t>i</w:t>
      </w:r>
      <w:r w:rsidR="00E040DE">
        <w:rPr>
          <w:rFonts w:cstheme="minorHAnsi"/>
          <w:sz w:val="24"/>
          <w:szCs w:val="24"/>
        </w:rPr>
        <w:t>.</w:t>
      </w:r>
    </w:p>
    <w:p w14:paraId="63E52FEA" w14:textId="77777777" w:rsidR="00F202EC" w:rsidRDefault="00F202EC" w:rsidP="0094632E">
      <w:pPr>
        <w:spacing w:after="0" w:line="240" w:lineRule="auto"/>
        <w:jc w:val="both"/>
        <w:rPr>
          <w:rFonts w:cstheme="minorHAnsi"/>
          <w:sz w:val="24"/>
          <w:szCs w:val="24"/>
        </w:rPr>
      </w:pPr>
    </w:p>
    <w:p w14:paraId="4D60D2B5" w14:textId="74B0AB23" w:rsidR="008030CF" w:rsidRPr="00CE7B85" w:rsidRDefault="008030CF" w:rsidP="008030CF">
      <w:pPr>
        <w:spacing w:line="240" w:lineRule="auto"/>
        <w:jc w:val="both"/>
        <w:rPr>
          <w:rFonts w:cstheme="minorHAnsi"/>
          <w:b/>
          <w:sz w:val="24"/>
          <w:szCs w:val="24"/>
        </w:rPr>
      </w:pPr>
      <w:r w:rsidRPr="00CE7B85">
        <w:rPr>
          <w:rFonts w:cstheme="minorHAnsi"/>
          <w:b/>
          <w:sz w:val="24"/>
          <w:szCs w:val="24"/>
        </w:rPr>
        <w:t xml:space="preserve">2.1.  RASHODI POSLOVANJA </w:t>
      </w:r>
    </w:p>
    <w:p w14:paraId="16803CA1" w14:textId="4DD38F80" w:rsidR="008030CF" w:rsidRPr="00BF01DA" w:rsidRDefault="008030CF" w:rsidP="008030CF">
      <w:pPr>
        <w:spacing w:after="0" w:line="240" w:lineRule="auto"/>
        <w:jc w:val="both"/>
        <w:rPr>
          <w:rFonts w:cstheme="minorHAnsi"/>
          <w:b/>
          <w:sz w:val="24"/>
          <w:szCs w:val="24"/>
        </w:rPr>
      </w:pPr>
      <w:r w:rsidRPr="00CE7B85">
        <w:rPr>
          <w:rFonts w:cstheme="minorHAnsi"/>
          <w:sz w:val="24"/>
          <w:szCs w:val="24"/>
        </w:rPr>
        <w:t>Rashodi poslovanja</w:t>
      </w:r>
      <w:r w:rsidR="0040023E">
        <w:rPr>
          <w:rFonts w:cstheme="minorHAnsi"/>
          <w:sz w:val="24"/>
          <w:szCs w:val="24"/>
        </w:rPr>
        <w:t xml:space="preserve"> su planirani u iznosu </w:t>
      </w:r>
      <w:r w:rsidR="003E03C1">
        <w:rPr>
          <w:rFonts w:cstheme="minorHAnsi"/>
          <w:sz w:val="24"/>
          <w:szCs w:val="24"/>
        </w:rPr>
        <w:t>16.371.637,50</w:t>
      </w:r>
      <w:r w:rsidR="0040023E">
        <w:rPr>
          <w:rFonts w:cstheme="minorHAnsi"/>
          <w:sz w:val="24"/>
          <w:szCs w:val="24"/>
        </w:rPr>
        <w:t xml:space="preserve"> eura, a izvršeni</w:t>
      </w:r>
      <w:r w:rsidRPr="00CE7B85">
        <w:rPr>
          <w:rFonts w:cstheme="minorHAnsi"/>
          <w:sz w:val="24"/>
          <w:szCs w:val="24"/>
        </w:rPr>
        <w:t xml:space="preserve"> u iznosu </w:t>
      </w:r>
      <w:r w:rsidR="0040023E">
        <w:rPr>
          <w:rFonts w:cstheme="minorHAnsi"/>
          <w:sz w:val="24"/>
          <w:szCs w:val="24"/>
        </w:rPr>
        <w:t xml:space="preserve"> </w:t>
      </w:r>
      <w:r w:rsidR="003E03C1">
        <w:rPr>
          <w:rFonts w:cstheme="minorHAnsi"/>
          <w:b/>
          <w:sz w:val="24"/>
          <w:szCs w:val="24"/>
        </w:rPr>
        <w:t>14.511.998,34</w:t>
      </w:r>
      <w:r w:rsidR="006C79B7">
        <w:rPr>
          <w:rFonts w:cstheme="minorHAnsi"/>
          <w:b/>
          <w:sz w:val="24"/>
          <w:szCs w:val="24"/>
        </w:rPr>
        <w:t xml:space="preserve"> </w:t>
      </w:r>
      <w:r w:rsidR="00275474">
        <w:rPr>
          <w:rFonts w:cstheme="minorHAnsi"/>
          <w:b/>
          <w:sz w:val="24"/>
          <w:szCs w:val="24"/>
        </w:rPr>
        <w:t>eura</w:t>
      </w:r>
      <w:r w:rsidRPr="00CE7B85">
        <w:rPr>
          <w:rFonts w:cstheme="minorHAnsi"/>
          <w:sz w:val="24"/>
          <w:szCs w:val="24"/>
        </w:rPr>
        <w:t xml:space="preserve"> ili </w:t>
      </w:r>
      <w:r w:rsidR="003E03C1">
        <w:rPr>
          <w:rFonts w:cstheme="minorHAnsi"/>
          <w:sz w:val="24"/>
          <w:szCs w:val="24"/>
        </w:rPr>
        <w:t>88,64</w:t>
      </w:r>
      <w:r w:rsidRPr="00CE7B85">
        <w:rPr>
          <w:rFonts w:cstheme="minorHAnsi"/>
          <w:sz w:val="24"/>
          <w:szCs w:val="24"/>
        </w:rPr>
        <w:t>% godišnjeg plana. U</w:t>
      </w:r>
      <w:r w:rsidR="0053681C">
        <w:rPr>
          <w:rFonts w:cstheme="minorHAnsi"/>
          <w:sz w:val="24"/>
          <w:szCs w:val="24"/>
        </w:rPr>
        <w:t xml:space="preserve"> odnosu na ostvarenje 202</w:t>
      </w:r>
      <w:r w:rsidR="003E03C1">
        <w:rPr>
          <w:rFonts w:cstheme="minorHAnsi"/>
          <w:sz w:val="24"/>
          <w:szCs w:val="24"/>
        </w:rPr>
        <w:t>4</w:t>
      </w:r>
      <w:r w:rsidRPr="00CE7B85">
        <w:rPr>
          <w:rFonts w:cstheme="minorHAnsi"/>
          <w:sz w:val="24"/>
          <w:szCs w:val="24"/>
        </w:rPr>
        <w:t>. godine rashodi pos</w:t>
      </w:r>
      <w:r>
        <w:rPr>
          <w:rFonts w:cstheme="minorHAnsi"/>
          <w:sz w:val="24"/>
          <w:szCs w:val="24"/>
        </w:rPr>
        <w:t xml:space="preserve">lovanja veći su za </w:t>
      </w:r>
      <w:r w:rsidR="003E03C1">
        <w:rPr>
          <w:rFonts w:cstheme="minorHAnsi"/>
          <w:sz w:val="24"/>
          <w:szCs w:val="24"/>
        </w:rPr>
        <w:t>1.928.210,20</w:t>
      </w:r>
      <w:r w:rsidR="0053681C">
        <w:rPr>
          <w:rFonts w:cstheme="minorHAnsi"/>
          <w:sz w:val="24"/>
          <w:szCs w:val="24"/>
        </w:rPr>
        <w:t xml:space="preserve"> eura</w:t>
      </w:r>
      <w:r>
        <w:rPr>
          <w:rFonts w:cstheme="minorHAnsi"/>
          <w:sz w:val="24"/>
          <w:szCs w:val="24"/>
        </w:rPr>
        <w:t xml:space="preserve"> ili za </w:t>
      </w:r>
      <w:r w:rsidR="003E03C1">
        <w:rPr>
          <w:rFonts w:cstheme="minorHAnsi"/>
          <w:sz w:val="24"/>
          <w:szCs w:val="24"/>
        </w:rPr>
        <w:t>15,32</w:t>
      </w:r>
      <w:r>
        <w:rPr>
          <w:rFonts w:cstheme="minorHAnsi"/>
          <w:sz w:val="24"/>
          <w:szCs w:val="24"/>
        </w:rPr>
        <w:t>%</w:t>
      </w:r>
      <w:r w:rsidR="0040023E">
        <w:rPr>
          <w:rFonts w:cstheme="minorHAnsi"/>
          <w:sz w:val="24"/>
          <w:szCs w:val="24"/>
        </w:rPr>
        <w:t xml:space="preserve"> prvenstveno na stavkama rashoda za zaposlene i materijalnih rashoda, ali i kod drugih vrsta </w:t>
      </w:r>
      <w:r w:rsidR="00827904">
        <w:rPr>
          <w:rFonts w:cstheme="minorHAnsi"/>
          <w:sz w:val="24"/>
          <w:szCs w:val="24"/>
        </w:rPr>
        <w:t>rashoda o čemu detaljnije u nastavku teksta.</w:t>
      </w:r>
    </w:p>
    <w:p w14:paraId="09445F64" w14:textId="3DC72912" w:rsidR="008030CF" w:rsidRPr="00CE7B85" w:rsidRDefault="008030CF" w:rsidP="008030CF">
      <w:pPr>
        <w:spacing w:after="0" w:line="240" w:lineRule="auto"/>
        <w:jc w:val="both"/>
        <w:rPr>
          <w:rFonts w:cstheme="minorHAnsi"/>
          <w:sz w:val="24"/>
          <w:szCs w:val="24"/>
        </w:rPr>
      </w:pPr>
      <w:r>
        <w:rPr>
          <w:rFonts w:cstheme="minorHAnsi"/>
          <w:sz w:val="24"/>
          <w:szCs w:val="24"/>
        </w:rPr>
        <w:t>Pojedine vrste rashoda unutar rashoda poslovanja izvršene su kako slijedi:</w:t>
      </w:r>
    </w:p>
    <w:p w14:paraId="1F0C2AB7" w14:textId="77777777" w:rsidR="008030CF" w:rsidRDefault="008030CF" w:rsidP="008030CF">
      <w:pPr>
        <w:spacing w:after="0" w:line="240" w:lineRule="auto"/>
        <w:jc w:val="both"/>
        <w:rPr>
          <w:rFonts w:ascii="Times New Roman" w:hAnsi="Times New Roman" w:cs="Times New Roman"/>
        </w:rPr>
      </w:pPr>
    </w:p>
    <w:p w14:paraId="30CF687A" w14:textId="77777777" w:rsidR="008030CF" w:rsidRDefault="008030CF" w:rsidP="008030CF">
      <w:pPr>
        <w:spacing w:after="0" w:line="240" w:lineRule="auto"/>
        <w:jc w:val="both"/>
        <w:rPr>
          <w:rFonts w:cstheme="minorHAnsi"/>
          <w:b/>
          <w:sz w:val="24"/>
          <w:szCs w:val="24"/>
        </w:rPr>
      </w:pPr>
      <w:r w:rsidRPr="004A6FD3">
        <w:rPr>
          <w:rFonts w:cstheme="minorHAnsi"/>
          <w:b/>
          <w:sz w:val="24"/>
          <w:szCs w:val="24"/>
        </w:rPr>
        <w:t>2.1.1. Rashodi za zaposlene</w:t>
      </w:r>
    </w:p>
    <w:p w14:paraId="44ADF27B" w14:textId="77777777" w:rsidR="00BB12ED" w:rsidRPr="004A6FD3" w:rsidRDefault="00BB12ED" w:rsidP="008030CF">
      <w:pPr>
        <w:spacing w:after="0" w:line="240" w:lineRule="auto"/>
        <w:jc w:val="both"/>
        <w:rPr>
          <w:rFonts w:cstheme="minorHAnsi"/>
          <w:b/>
          <w:sz w:val="24"/>
          <w:szCs w:val="24"/>
        </w:rPr>
      </w:pPr>
    </w:p>
    <w:p w14:paraId="1FE7DA6D" w14:textId="77777777" w:rsidR="008030CF" w:rsidRPr="004A6FD3" w:rsidRDefault="008030CF" w:rsidP="008030CF">
      <w:pPr>
        <w:spacing w:after="0" w:line="240" w:lineRule="auto"/>
        <w:jc w:val="both"/>
        <w:rPr>
          <w:rFonts w:cstheme="minorHAnsi"/>
          <w:sz w:val="24"/>
          <w:szCs w:val="24"/>
        </w:rPr>
      </w:pPr>
      <w:r w:rsidRPr="004A6FD3">
        <w:rPr>
          <w:rFonts w:cstheme="minorHAnsi"/>
          <w:sz w:val="24"/>
          <w:szCs w:val="24"/>
        </w:rPr>
        <w:t>Rashodi za zaposlene evidentiraju se na računima skupine 31, strukturirani po podskupinama računa:</w:t>
      </w:r>
    </w:p>
    <w:p w14:paraId="1CB353BA" w14:textId="77777777" w:rsidR="008030CF" w:rsidRPr="004A6FD3" w:rsidRDefault="008030CF" w:rsidP="008030CF">
      <w:pPr>
        <w:spacing w:after="0" w:line="240" w:lineRule="auto"/>
        <w:jc w:val="both"/>
        <w:rPr>
          <w:rFonts w:cstheme="minorHAnsi"/>
          <w:sz w:val="24"/>
          <w:szCs w:val="24"/>
        </w:rPr>
      </w:pPr>
      <w:r w:rsidRPr="004A6FD3">
        <w:rPr>
          <w:rFonts w:cstheme="minorHAnsi"/>
          <w:b/>
          <w:sz w:val="24"/>
          <w:szCs w:val="24"/>
        </w:rPr>
        <w:t>311</w:t>
      </w:r>
      <w:r w:rsidRPr="004A6FD3">
        <w:rPr>
          <w:rFonts w:cstheme="minorHAnsi"/>
          <w:sz w:val="24"/>
          <w:szCs w:val="24"/>
        </w:rPr>
        <w:t>- plaće (u bruto iznosu) kao naknade koje poslodavac isplaćuje zaposlenima za obavljen rad,</w:t>
      </w:r>
    </w:p>
    <w:p w14:paraId="269FCF07" w14:textId="77777777" w:rsidR="008030CF" w:rsidRPr="004A6FD3" w:rsidRDefault="008030CF" w:rsidP="008030CF">
      <w:pPr>
        <w:spacing w:after="0" w:line="240" w:lineRule="auto"/>
        <w:jc w:val="both"/>
        <w:rPr>
          <w:rFonts w:cstheme="minorHAnsi"/>
          <w:sz w:val="24"/>
          <w:szCs w:val="24"/>
        </w:rPr>
      </w:pPr>
      <w:r w:rsidRPr="004A6FD3">
        <w:rPr>
          <w:rFonts w:cstheme="minorHAnsi"/>
          <w:b/>
          <w:sz w:val="24"/>
          <w:szCs w:val="24"/>
        </w:rPr>
        <w:t>312</w:t>
      </w:r>
      <w:r w:rsidRPr="004A6FD3">
        <w:rPr>
          <w:rFonts w:cstheme="minorHAnsi"/>
          <w:sz w:val="24"/>
          <w:szCs w:val="24"/>
        </w:rPr>
        <w:t>- ostali rashodi za zaposlene: nagrade, darovi, dodatak za uspješan rad, otpremnine, naknada za bolest, invalidnost i smrtni slučaj i slične naknade,</w:t>
      </w:r>
    </w:p>
    <w:p w14:paraId="5BD60BD2" w14:textId="77777777" w:rsidR="008030CF" w:rsidRDefault="008030CF" w:rsidP="008030CF">
      <w:pPr>
        <w:spacing w:after="0" w:line="240" w:lineRule="auto"/>
        <w:jc w:val="both"/>
        <w:rPr>
          <w:rFonts w:cstheme="minorHAnsi"/>
          <w:sz w:val="24"/>
          <w:szCs w:val="24"/>
        </w:rPr>
      </w:pPr>
      <w:r w:rsidRPr="004A6FD3">
        <w:rPr>
          <w:rFonts w:cstheme="minorHAnsi"/>
          <w:b/>
          <w:sz w:val="24"/>
          <w:szCs w:val="24"/>
        </w:rPr>
        <w:t>313</w:t>
      </w:r>
      <w:r w:rsidRPr="004A6FD3">
        <w:rPr>
          <w:rFonts w:cstheme="minorHAnsi"/>
          <w:sz w:val="24"/>
          <w:szCs w:val="24"/>
        </w:rPr>
        <w:t>- doprinosi na plaće.</w:t>
      </w:r>
    </w:p>
    <w:p w14:paraId="17CE79A7" w14:textId="77777777" w:rsidR="005530F5" w:rsidRDefault="005530F5" w:rsidP="008030CF">
      <w:pPr>
        <w:spacing w:after="0" w:line="240" w:lineRule="auto"/>
        <w:jc w:val="both"/>
        <w:rPr>
          <w:rFonts w:cstheme="minorHAnsi"/>
          <w:sz w:val="24"/>
          <w:szCs w:val="24"/>
        </w:rPr>
      </w:pPr>
    </w:p>
    <w:p w14:paraId="7CB7835D" w14:textId="00DF7F93" w:rsidR="005530F5" w:rsidRDefault="005530F5" w:rsidP="008030CF">
      <w:pPr>
        <w:spacing w:after="0" w:line="240" w:lineRule="auto"/>
        <w:jc w:val="both"/>
        <w:rPr>
          <w:rFonts w:ascii="Calibri" w:hAnsi="Calibri" w:cs="Calibri"/>
          <w:sz w:val="24"/>
          <w:szCs w:val="24"/>
        </w:rPr>
      </w:pPr>
      <w:r w:rsidRPr="00D639F1">
        <w:rPr>
          <w:rFonts w:ascii="Calibri" w:hAnsi="Calibri" w:cs="Calibri"/>
          <w:sz w:val="24"/>
          <w:szCs w:val="24"/>
        </w:rPr>
        <w:t xml:space="preserve">Rashodi za zaposlene ostvareni su u iznosu od </w:t>
      </w:r>
      <w:r w:rsidR="003E03C1">
        <w:rPr>
          <w:rFonts w:ascii="Calibri" w:hAnsi="Calibri" w:cs="Calibri"/>
          <w:sz w:val="24"/>
          <w:szCs w:val="24"/>
        </w:rPr>
        <w:t>5.944.242,49</w:t>
      </w:r>
      <w:r w:rsidRPr="00D639F1">
        <w:rPr>
          <w:rFonts w:ascii="Calibri" w:hAnsi="Calibri" w:cs="Calibri"/>
          <w:sz w:val="24"/>
          <w:szCs w:val="24"/>
        </w:rPr>
        <w:t xml:space="preserve"> eura što je za </w:t>
      </w:r>
      <w:r w:rsidR="003E03C1">
        <w:rPr>
          <w:rFonts w:ascii="Calibri" w:hAnsi="Calibri" w:cs="Calibri"/>
          <w:sz w:val="24"/>
          <w:szCs w:val="24"/>
        </w:rPr>
        <w:t>27,07</w:t>
      </w:r>
      <w:r w:rsidRPr="00D639F1">
        <w:rPr>
          <w:rFonts w:ascii="Calibri" w:hAnsi="Calibri" w:cs="Calibri"/>
          <w:sz w:val="24"/>
          <w:szCs w:val="24"/>
        </w:rPr>
        <w:t>% više u odnosu na prethodnu godinu</w:t>
      </w:r>
      <w:r w:rsidR="00827904">
        <w:rPr>
          <w:rFonts w:ascii="Calibri" w:hAnsi="Calibri" w:cs="Calibri"/>
          <w:sz w:val="24"/>
          <w:szCs w:val="24"/>
        </w:rPr>
        <w:t xml:space="preserve"> ili </w:t>
      </w:r>
      <w:r w:rsidR="003E03C1">
        <w:rPr>
          <w:rFonts w:ascii="Calibri" w:hAnsi="Calibri" w:cs="Calibri"/>
          <w:sz w:val="24"/>
          <w:szCs w:val="24"/>
        </w:rPr>
        <w:t>95,10</w:t>
      </w:r>
      <w:r w:rsidR="00827904">
        <w:rPr>
          <w:rFonts w:ascii="Calibri" w:hAnsi="Calibri" w:cs="Calibri"/>
          <w:sz w:val="24"/>
          <w:szCs w:val="24"/>
        </w:rPr>
        <w:t>% plana.</w:t>
      </w:r>
    </w:p>
    <w:p w14:paraId="4DCB6D40" w14:textId="1BE1A554" w:rsidR="00BB5D74" w:rsidRPr="00BB5D74" w:rsidRDefault="00BB5D74" w:rsidP="00BB5D74">
      <w:pPr>
        <w:jc w:val="both"/>
        <w:rPr>
          <w:sz w:val="24"/>
          <w:szCs w:val="24"/>
        </w:rPr>
      </w:pPr>
      <w:r w:rsidRPr="00BB5D74">
        <w:rPr>
          <w:sz w:val="24"/>
          <w:szCs w:val="24"/>
        </w:rPr>
        <w:t xml:space="preserve">Od tog se iznosa na Grad Trogir odnosi 1.902.922,49 eura (za 15,1% više u odnosu na ostvarenje u izvještajnom razdoblju 2024. zbog povećanja plaća zaposlenih u gradskoj upravi (povećanje koeficijenata i osnovice), 2.225.493,51 eura na Dječji vrtić Trogir (što je za 52% više od ostvarenja u  izvještajnom razdoblju prethodne godine, zbog povećanja proračunske osnovice te povećanja koeficijenta složenosti radnih mjesta od 01.siječnja 2025.godine), </w:t>
      </w:r>
      <w:r w:rsidRPr="00BB5D74">
        <w:rPr>
          <w:sz w:val="24"/>
          <w:szCs w:val="24"/>
        </w:rPr>
        <w:lastRenderedPageBreak/>
        <w:t>144.387,64 eura na Gradsku knjižnicu Trogir (povećanje za 56,4% uslijed rasta plaća i isplate otpremnine bivšoj ravnateljici), 242.585,95 eura na Muzej Grada Trogira (povećanje od 14,6% zbog plaća za 8 djelatnica muzeja), JU Športski objekti Trogir 227.638,37 eura (povećanje od 5,3% zbog povećanja osnovice i koeficijenata za radno mjesto zaposlenih) i na Javnu vatrogasnu postrojbu Grada Trogira 1.201.214,53 eura (povećanje od 15,4% u odnosu na prethodnu godinu uslijed povećanja broja zaposlenih, povećanja osnovice i koeficijenata vatrogasaca i ostalih rashoda za zaposlene).</w:t>
      </w:r>
    </w:p>
    <w:p w14:paraId="3BAE19E2" w14:textId="5D4F486F" w:rsidR="00BB5D74" w:rsidRDefault="00BB5D74" w:rsidP="00BB5D74">
      <w:pPr>
        <w:jc w:val="both"/>
      </w:pPr>
      <w:r w:rsidRPr="00BB5D74">
        <w:rPr>
          <w:sz w:val="24"/>
          <w:szCs w:val="24"/>
        </w:rPr>
        <w:t xml:space="preserve">Ostali rashodi za zaposlene ostvareni su u iznosu od 427.227,06 eura ili 19,8% više u odnosu na prethodnu godinu. Grad Trogir je ostvario 147.300,40 eura ili 8,8% manje u odnosu na isto razdoblje prethodne godine, a odnosi se na donošenje Odluke Gradonačelnika o pravu na naknadu za prehranu za službenike u iznosu koji je maksimalno dozvoljen, zatim na naknadu za prigodne darove povodom Uskrsa, isplatu regresa, </w:t>
      </w:r>
      <w:proofErr w:type="spellStart"/>
      <w:r w:rsidRPr="00BB5D74">
        <w:rPr>
          <w:sz w:val="24"/>
          <w:szCs w:val="24"/>
        </w:rPr>
        <w:t>Stivanjice</w:t>
      </w:r>
      <w:proofErr w:type="spellEnd"/>
      <w:r w:rsidRPr="00BB5D74">
        <w:rPr>
          <w:sz w:val="24"/>
          <w:szCs w:val="24"/>
        </w:rPr>
        <w:t xml:space="preserve"> te Božićnice</w:t>
      </w:r>
      <w:r>
        <w:t>.</w:t>
      </w:r>
    </w:p>
    <w:p w14:paraId="2123D290" w14:textId="459AA776" w:rsidR="00BB5D74" w:rsidRPr="00BB5D74" w:rsidRDefault="00BB5D74" w:rsidP="00BB5D74">
      <w:pPr>
        <w:jc w:val="both"/>
        <w:rPr>
          <w:sz w:val="24"/>
          <w:szCs w:val="24"/>
        </w:rPr>
      </w:pPr>
      <w:r w:rsidRPr="00BB5D74">
        <w:rPr>
          <w:sz w:val="24"/>
          <w:szCs w:val="24"/>
        </w:rPr>
        <w:t xml:space="preserve">Preostala razlika od 279.926,66 eura odnosi se na proračunske korisnike i to u sljedećim iznosima: 159.758,69 eura Dječji vrtić Trogir ili 27,9% više od prethodne godine zbog obračuna i isplate otpremnina za djelatnike koji su otišli u mirovinu, 30.065,92 eura Gradska knjižnica Trogir (povećanje od značajnih 323,80% zbog isplate otpremnine, povećanja osnovice i novih zapošljavanja), 39.379,56 eura Muzej Grada Trogira (povećanje od 149,3% u odnosu na ostvarenje prethodne godine zbog isplate </w:t>
      </w:r>
      <w:proofErr w:type="spellStart"/>
      <w:r w:rsidRPr="00BB5D74">
        <w:rPr>
          <w:sz w:val="24"/>
          <w:szCs w:val="24"/>
        </w:rPr>
        <w:t>Uskrsnica</w:t>
      </w:r>
      <w:proofErr w:type="spellEnd"/>
      <w:r w:rsidRPr="00BB5D74">
        <w:rPr>
          <w:sz w:val="24"/>
          <w:szCs w:val="24"/>
        </w:rPr>
        <w:t xml:space="preserve">, jubilarnih nagrada i toplog obroka, a još jedan od razloga povećanja je odlazak ravnateljice u mirovinu  te isplata naknade za neiskorišteni godišnji odmor), JU Športski objekti Trogir 21.951,61 eura (prehrana i isplata </w:t>
      </w:r>
      <w:proofErr w:type="spellStart"/>
      <w:r w:rsidRPr="00BB5D74">
        <w:rPr>
          <w:sz w:val="24"/>
          <w:szCs w:val="24"/>
        </w:rPr>
        <w:t>Uskrsnica</w:t>
      </w:r>
      <w:proofErr w:type="spellEnd"/>
      <w:r w:rsidRPr="00BB5D74">
        <w:rPr>
          <w:sz w:val="24"/>
          <w:szCs w:val="24"/>
        </w:rPr>
        <w:t>)  i  JVP Trogir 28.770,88 eura ili 4,6% više zbog isplate jubilarnih nagrada te povećanog broja radnika.</w:t>
      </w:r>
    </w:p>
    <w:p w14:paraId="610A0636" w14:textId="589D3B7A" w:rsidR="00A01647" w:rsidRDefault="00D639F1" w:rsidP="00D639F1">
      <w:pPr>
        <w:spacing w:after="0" w:line="240" w:lineRule="auto"/>
        <w:jc w:val="both"/>
        <w:rPr>
          <w:rFonts w:cstheme="minorHAnsi"/>
          <w:b/>
          <w:sz w:val="24"/>
          <w:szCs w:val="24"/>
        </w:rPr>
      </w:pPr>
      <w:r w:rsidRPr="0014573F">
        <w:rPr>
          <w:rFonts w:cstheme="minorHAnsi"/>
          <w:b/>
          <w:sz w:val="24"/>
          <w:szCs w:val="24"/>
        </w:rPr>
        <w:t>2.1.2.  Materijalni rashodi</w:t>
      </w:r>
    </w:p>
    <w:p w14:paraId="5A9946DC" w14:textId="77777777" w:rsidR="00C47CCC" w:rsidRDefault="00D639F1" w:rsidP="00D639F1">
      <w:pPr>
        <w:tabs>
          <w:tab w:val="left" w:pos="720"/>
        </w:tabs>
        <w:spacing w:after="0"/>
        <w:jc w:val="both"/>
        <w:rPr>
          <w:rFonts w:cstheme="minorHAnsi"/>
          <w:sz w:val="24"/>
          <w:szCs w:val="24"/>
        </w:rPr>
      </w:pPr>
      <w:r w:rsidRPr="0014573F">
        <w:rPr>
          <w:rFonts w:cstheme="minorHAnsi"/>
          <w:sz w:val="24"/>
          <w:szCs w:val="24"/>
        </w:rPr>
        <w:t>Materijalni rashodi obuhvaćaju rashode korištenja usluga i dobara potrebnih za redovno funkcioniranje tijela gradske uprave i proračunskih korisnika, materijaln</w:t>
      </w:r>
      <w:r>
        <w:rPr>
          <w:rFonts w:cstheme="minorHAnsi"/>
          <w:sz w:val="24"/>
          <w:szCs w:val="24"/>
        </w:rPr>
        <w:t>e rashode za izvršavanje programskih aktivnosti</w:t>
      </w:r>
      <w:r w:rsidRPr="0014573F">
        <w:rPr>
          <w:rFonts w:cstheme="minorHAnsi"/>
          <w:sz w:val="24"/>
          <w:szCs w:val="24"/>
        </w:rPr>
        <w:t xml:space="preserve"> upravnih odjela </w:t>
      </w:r>
      <w:r>
        <w:rPr>
          <w:rFonts w:cstheme="minorHAnsi"/>
          <w:sz w:val="24"/>
          <w:szCs w:val="24"/>
        </w:rPr>
        <w:t xml:space="preserve">Grada </w:t>
      </w:r>
      <w:r w:rsidRPr="0014573F">
        <w:rPr>
          <w:rFonts w:cstheme="minorHAnsi"/>
          <w:sz w:val="24"/>
          <w:szCs w:val="24"/>
        </w:rPr>
        <w:t xml:space="preserve">i proračunskih korisnika, te naknade troškova zaposlenima (putovanja, prijevoz, stručno usavršavanje i ostale naknade), a knjiže se na računima skupine 32. </w:t>
      </w:r>
    </w:p>
    <w:p w14:paraId="2E77148E" w14:textId="3EAD2E2C" w:rsidR="00507084" w:rsidRDefault="00D639F1" w:rsidP="00A01647">
      <w:pPr>
        <w:tabs>
          <w:tab w:val="left" w:pos="720"/>
        </w:tabs>
        <w:spacing w:after="0"/>
        <w:jc w:val="both"/>
        <w:rPr>
          <w:rFonts w:ascii="Calibri" w:hAnsi="Calibri" w:cs="Calibri"/>
          <w:sz w:val="24"/>
          <w:szCs w:val="24"/>
        </w:rPr>
      </w:pPr>
      <w:r w:rsidRPr="0014573F">
        <w:rPr>
          <w:rFonts w:cstheme="minorHAnsi"/>
          <w:sz w:val="24"/>
          <w:szCs w:val="24"/>
        </w:rPr>
        <w:t>Ova vrsta rashoda</w:t>
      </w:r>
      <w:r>
        <w:rPr>
          <w:rFonts w:cstheme="minorHAnsi"/>
          <w:sz w:val="24"/>
          <w:szCs w:val="24"/>
        </w:rPr>
        <w:t xml:space="preserve"> planirana je</w:t>
      </w:r>
      <w:r w:rsidR="00827904">
        <w:rPr>
          <w:rFonts w:cstheme="minorHAnsi"/>
          <w:sz w:val="24"/>
          <w:szCs w:val="24"/>
        </w:rPr>
        <w:t xml:space="preserve"> u </w:t>
      </w:r>
      <w:r>
        <w:rPr>
          <w:rFonts w:cstheme="minorHAnsi"/>
          <w:sz w:val="24"/>
          <w:szCs w:val="24"/>
        </w:rPr>
        <w:t xml:space="preserve">iznosu od </w:t>
      </w:r>
      <w:r w:rsidR="00A01647">
        <w:rPr>
          <w:rFonts w:cstheme="minorHAnsi"/>
          <w:sz w:val="24"/>
          <w:szCs w:val="24"/>
        </w:rPr>
        <w:t>6.539.396,81</w:t>
      </w:r>
      <w:r>
        <w:rPr>
          <w:rFonts w:cstheme="minorHAnsi"/>
          <w:sz w:val="24"/>
          <w:szCs w:val="24"/>
        </w:rPr>
        <w:t xml:space="preserve"> eura, a ostvarena </w:t>
      </w:r>
      <w:r w:rsidRPr="0014573F">
        <w:rPr>
          <w:rFonts w:cstheme="minorHAnsi"/>
          <w:sz w:val="24"/>
          <w:szCs w:val="24"/>
        </w:rPr>
        <w:t xml:space="preserve">u iznosu od </w:t>
      </w:r>
      <w:r w:rsidR="00A01647">
        <w:rPr>
          <w:rFonts w:cstheme="minorHAnsi"/>
          <w:sz w:val="24"/>
          <w:szCs w:val="24"/>
        </w:rPr>
        <w:t>5.483.177,58</w:t>
      </w:r>
      <w:r>
        <w:rPr>
          <w:rFonts w:cstheme="minorHAnsi"/>
          <w:sz w:val="24"/>
          <w:szCs w:val="24"/>
        </w:rPr>
        <w:t xml:space="preserve"> eura</w:t>
      </w:r>
      <w:r w:rsidRPr="0014573F">
        <w:rPr>
          <w:rFonts w:cstheme="minorHAnsi"/>
          <w:sz w:val="24"/>
          <w:szCs w:val="24"/>
        </w:rPr>
        <w:t xml:space="preserve"> ili za </w:t>
      </w:r>
      <w:r w:rsidR="00A01647">
        <w:rPr>
          <w:rFonts w:cstheme="minorHAnsi"/>
          <w:sz w:val="24"/>
          <w:szCs w:val="24"/>
        </w:rPr>
        <w:t>14,84</w:t>
      </w:r>
      <w:r>
        <w:rPr>
          <w:rFonts w:cstheme="minorHAnsi"/>
          <w:sz w:val="24"/>
          <w:szCs w:val="24"/>
        </w:rPr>
        <w:t xml:space="preserve">% </w:t>
      </w:r>
      <w:r w:rsidR="00274379">
        <w:rPr>
          <w:rFonts w:cstheme="minorHAnsi"/>
          <w:sz w:val="24"/>
          <w:szCs w:val="24"/>
        </w:rPr>
        <w:t>više</w:t>
      </w:r>
      <w:r w:rsidRPr="0014573F">
        <w:rPr>
          <w:rFonts w:cstheme="minorHAnsi"/>
          <w:sz w:val="24"/>
          <w:szCs w:val="24"/>
        </w:rPr>
        <w:t xml:space="preserve"> od ostvarenja</w:t>
      </w:r>
      <w:r>
        <w:rPr>
          <w:rFonts w:cstheme="minorHAnsi"/>
          <w:sz w:val="24"/>
          <w:szCs w:val="24"/>
        </w:rPr>
        <w:t xml:space="preserve"> 202</w:t>
      </w:r>
      <w:r w:rsidR="00A01647">
        <w:rPr>
          <w:rFonts w:cstheme="minorHAnsi"/>
          <w:sz w:val="24"/>
          <w:szCs w:val="24"/>
        </w:rPr>
        <w:t>4</w:t>
      </w:r>
      <w:r>
        <w:rPr>
          <w:rFonts w:cstheme="minorHAnsi"/>
          <w:sz w:val="24"/>
          <w:szCs w:val="24"/>
        </w:rPr>
        <w:t xml:space="preserve">. godine. </w:t>
      </w:r>
    </w:p>
    <w:p w14:paraId="78E84930" w14:textId="455AD4B1" w:rsidR="00A01647" w:rsidRPr="00A01647" w:rsidRDefault="00A01647" w:rsidP="00A01647">
      <w:pPr>
        <w:jc w:val="both"/>
        <w:rPr>
          <w:sz w:val="24"/>
          <w:szCs w:val="24"/>
        </w:rPr>
      </w:pPr>
      <w:r w:rsidRPr="00A01647">
        <w:rPr>
          <w:sz w:val="24"/>
          <w:szCs w:val="24"/>
        </w:rPr>
        <w:t>Na materijalne rashode Grada Trogira odnosi se 4.439.253,19 eura, dok su proračunski korisnici financirali svoje materijalne rashode u iznosu od 1.043.924,39 eura.</w:t>
      </w:r>
      <w:r w:rsidR="00D35386">
        <w:rPr>
          <w:sz w:val="24"/>
          <w:szCs w:val="24"/>
        </w:rPr>
        <w:t xml:space="preserve"> </w:t>
      </w:r>
      <w:r w:rsidRPr="00A01647">
        <w:rPr>
          <w:sz w:val="24"/>
          <w:szCs w:val="24"/>
        </w:rPr>
        <w:t>Od ukupnih materijalnih rashoda najveći dio, odnosno 4.553.410,39 eura utrošeno je na rashode za usluge, što je za 16,7% više od ostvarenja prethodne godine. </w:t>
      </w:r>
    </w:p>
    <w:p w14:paraId="7A88BF46" w14:textId="3C3E93F9" w:rsidR="00B3709C" w:rsidRPr="00BF36A9" w:rsidRDefault="00D639F1" w:rsidP="00BF36A9">
      <w:pPr>
        <w:tabs>
          <w:tab w:val="left" w:pos="720"/>
        </w:tabs>
        <w:spacing w:line="240" w:lineRule="auto"/>
        <w:jc w:val="both"/>
        <w:rPr>
          <w:rFonts w:cstheme="minorHAnsi"/>
          <w:sz w:val="24"/>
          <w:szCs w:val="24"/>
        </w:rPr>
      </w:pPr>
      <w:r w:rsidRPr="0014573F">
        <w:rPr>
          <w:rFonts w:cstheme="minorHAnsi"/>
          <w:sz w:val="24"/>
          <w:szCs w:val="24"/>
        </w:rPr>
        <w:t>Pojedine vrste materijalnih ra</w:t>
      </w:r>
      <w:r>
        <w:rPr>
          <w:rFonts w:cstheme="minorHAnsi"/>
          <w:sz w:val="24"/>
          <w:szCs w:val="24"/>
        </w:rPr>
        <w:t>shoda ostvarene su kako slijedi:</w:t>
      </w:r>
    </w:p>
    <w:p w14:paraId="5134E617" w14:textId="19B5349F" w:rsidR="000C0894" w:rsidRDefault="000C0894" w:rsidP="000C0894">
      <w:pPr>
        <w:spacing w:after="0" w:line="240" w:lineRule="auto"/>
        <w:jc w:val="both"/>
        <w:rPr>
          <w:rFonts w:cstheme="minorHAnsi"/>
          <w:sz w:val="24"/>
          <w:szCs w:val="24"/>
          <w:u w:val="single"/>
        </w:rPr>
      </w:pPr>
      <w:r>
        <w:rPr>
          <w:rFonts w:cstheme="minorHAnsi"/>
          <w:sz w:val="24"/>
          <w:szCs w:val="24"/>
          <w:u w:val="single"/>
        </w:rPr>
        <w:t>2.1.2.1</w:t>
      </w:r>
      <w:r w:rsidRPr="00DD0855">
        <w:rPr>
          <w:rFonts w:cstheme="minorHAnsi"/>
          <w:sz w:val="24"/>
          <w:szCs w:val="24"/>
          <w:u w:val="single"/>
        </w:rPr>
        <w:t xml:space="preserve">. Rashodi za usluge </w:t>
      </w:r>
    </w:p>
    <w:p w14:paraId="57BE6170" w14:textId="4BF9054E" w:rsidR="00507084" w:rsidRDefault="00507084" w:rsidP="00507084">
      <w:pPr>
        <w:jc w:val="both"/>
        <w:rPr>
          <w:rFonts w:ascii="Calibri" w:hAnsi="Calibri" w:cs="Calibri"/>
        </w:rPr>
      </w:pPr>
      <w:r w:rsidRPr="00507084">
        <w:rPr>
          <w:rFonts w:ascii="Calibri" w:hAnsi="Calibri" w:cs="Calibri"/>
          <w:sz w:val="24"/>
          <w:szCs w:val="24"/>
        </w:rPr>
        <w:t xml:space="preserve">Od ukupnih materijalnih rashoda najveći dio, odnosno </w:t>
      </w:r>
      <w:r w:rsidR="00D35386">
        <w:rPr>
          <w:rFonts w:ascii="Calibri" w:hAnsi="Calibri" w:cs="Calibri"/>
          <w:sz w:val="24"/>
          <w:szCs w:val="24"/>
        </w:rPr>
        <w:t>4.553.410,39</w:t>
      </w:r>
      <w:r w:rsidRPr="00507084">
        <w:rPr>
          <w:rFonts w:ascii="Calibri" w:hAnsi="Calibri" w:cs="Calibri"/>
          <w:sz w:val="24"/>
          <w:szCs w:val="24"/>
        </w:rPr>
        <w:t xml:space="preserve"> eura utrošeno je na rashode za usluge, što je za </w:t>
      </w:r>
      <w:r w:rsidR="00D35386">
        <w:rPr>
          <w:rFonts w:ascii="Calibri" w:hAnsi="Calibri" w:cs="Calibri"/>
          <w:sz w:val="24"/>
          <w:szCs w:val="24"/>
        </w:rPr>
        <w:t>16,68</w:t>
      </w:r>
      <w:r w:rsidRPr="00507084">
        <w:rPr>
          <w:rFonts w:ascii="Calibri" w:hAnsi="Calibri" w:cs="Calibri"/>
          <w:sz w:val="24"/>
          <w:szCs w:val="24"/>
        </w:rPr>
        <w:t>% više od ostvarenja prethodne godine</w:t>
      </w:r>
      <w:r w:rsidRPr="00A91109">
        <w:rPr>
          <w:rFonts w:ascii="Calibri" w:hAnsi="Calibri" w:cs="Calibri"/>
        </w:rPr>
        <w:t xml:space="preserve">. </w:t>
      </w:r>
    </w:p>
    <w:p w14:paraId="7461BE8F" w14:textId="77777777" w:rsidR="00D35386" w:rsidRPr="00D35386" w:rsidRDefault="00D35386" w:rsidP="00D35386">
      <w:pPr>
        <w:jc w:val="both"/>
        <w:rPr>
          <w:sz w:val="24"/>
          <w:szCs w:val="24"/>
        </w:rPr>
      </w:pPr>
      <w:r w:rsidRPr="00D35386">
        <w:rPr>
          <w:sz w:val="24"/>
          <w:szCs w:val="24"/>
        </w:rPr>
        <w:t xml:space="preserve">Od ukupnog iznosa rashoda za usluge, Grad Trogir je utrošio 3.885.095,75 eura na rashode za usluge (povećanje od 14% u odnosu na prethodnu godinu), od kojih najznačajnije ostvarenje bilježe usluge tekućeg i investicijskog održavanja u iznosu od 1.621.776,01 eura ili 6,5% više </w:t>
      </w:r>
      <w:r w:rsidRPr="00D35386">
        <w:rPr>
          <w:sz w:val="24"/>
          <w:szCs w:val="24"/>
        </w:rPr>
        <w:lastRenderedPageBreak/>
        <w:t xml:space="preserve">nego prethodne godine (održavanje nerazvrstanih cesta i puteva koje za Grad obavlja trgovačko društvo Cestar, održavanje javne rasvjete, održavanje gradskog groblja, oborinskih kanala, uklanjanje otpada odbačenog na JPP, ručno i strojno čišćenje javnih površina koje za Grad obavlja Trogir Holding, uređenje gradskih plaža i privezišta, sanacija </w:t>
      </w:r>
      <w:proofErr w:type="spellStart"/>
      <w:r w:rsidRPr="00D35386">
        <w:rPr>
          <w:sz w:val="24"/>
          <w:szCs w:val="24"/>
        </w:rPr>
        <w:t>pokosa</w:t>
      </w:r>
      <w:proofErr w:type="spellEnd"/>
      <w:r w:rsidRPr="00D35386">
        <w:rPr>
          <w:sz w:val="24"/>
          <w:szCs w:val="24"/>
        </w:rPr>
        <w:t xml:space="preserve"> na plažama, održavanje i uređenje prostora u vlasništvu Grada (kulturnih dobara), uređenje javnih površina, poboljšanje sigurnosti na cestama te druge usluge održavanja u sklopu programa Participativnog budžetiranja mjesnih odbora „I tebe se pita“-ITSP) te komunalne usluge u iznosu od 1.174.395,24 eura (povećanje od 38,8% u odnosu na prethodnu godinu),a odnose se na održavanje javnih i zelenih površina, koje održavanje obavlja trgovačko društvo Trogir Holding u vlasništvu Grada u sklopu programa održavanja te manje komunalne akcije u sklopu ITSP, zatim usluge sakupljanja i zbrinjavanja životinja i dr.), dok su proračunski korisnici iz svojih sredstava na rashode za usluge utrošili 668.314,64 eura.</w:t>
      </w:r>
    </w:p>
    <w:p w14:paraId="64D860F8" w14:textId="77777777" w:rsidR="00D35386" w:rsidRPr="00D35386" w:rsidRDefault="00D35386" w:rsidP="00D35386">
      <w:pPr>
        <w:jc w:val="both"/>
        <w:rPr>
          <w:sz w:val="24"/>
          <w:szCs w:val="24"/>
        </w:rPr>
      </w:pPr>
      <w:r w:rsidRPr="00D35386">
        <w:rPr>
          <w:sz w:val="24"/>
          <w:szCs w:val="24"/>
        </w:rPr>
        <w:t>JU Športski objekti Trogir bilježi najveće povećanje ove skupine rashoda za 168,6%, a razlog povećanja su veći troškovi za usluge tekućeg i investicijskog održavanja u svim dvoranama sportskih objekata. </w:t>
      </w:r>
    </w:p>
    <w:p w14:paraId="5C0CEF05" w14:textId="77777777" w:rsidR="00D35386" w:rsidRPr="00D35386" w:rsidRDefault="00D35386" w:rsidP="00D35386">
      <w:pPr>
        <w:jc w:val="both"/>
        <w:rPr>
          <w:sz w:val="24"/>
          <w:szCs w:val="24"/>
        </w:rPr>
      </w:pPr>
      <w:r w:rsidRPr="00D35386">
        <w:rPr>
          <w:sz w:val="24"/>
          <w:szCs w:val="24"/>
        </w:rPr>
        <w:t>Također, JVP Grada Trogira bilježi povećanje rashoda za usluge za 19,1%, a razlog povećanja su veći troškovi za zdravstvene usluge zbog uvođenja detaljnijih sistematskih pregleda vatrogasaca, intelektualne i osobne usluge te ostale usluge koje se odnose na usluge tehničkog pregleda, održavanja prostorija i sustava vatrodojave i dr. </w:t>
      </w:r>
    </w:p>
    <w:p w14:paraId="389DB6CF" w14:textId="77777777" w:rsidR="00AA5BE2" w:rsidRPr="00BC2C3C" w:rsidRDefault="00AA5BE2" w:rsidP="00AA5BE2">
      <w:pPr>
        <w:spacing w:after="0" w:line="240" w:lineRule="auto"/>
        <w:jc w:val="both"/>
        <w:rPr>
          <w:rFonts w:cstheme="minorHAnsi"/>
          <w:sz w:val="24"/>
          <w:szCs w:val="24"/>
          <w:u w:val="single"/>
        </w:rPr>
      </w:pPr>
      <w:r>
        <w:rPr>
          <w:rFonts w:cstheme="minorHAnsi"/>
          <w:sz w:val="24"/>
          <w:szCs w:val="24"/>
          <w:u w:val="single"/>
        </w:rPr>
        <w:t>2.1.2.2</w:t>
      </w:r>
      <w:r w:rsidRPr="00BC2C3C">
        <w:rPr>
          <w:rFonts w:cstheme="minorHAnsi"/>
          <w:sz w:val="24"/>
          <w:szCs w:val="24"/>
          <w:u w:val="single"/>
        </w:rPr>
        <w:t>. Rashodi za materijal i energiju</w:t>
      </w:r>
    </w:p>
    <w:p w14:paraId="157AE98F" w14:textId="0FD9E7A6" w:rsidR="00AA5BE2" w:rsidRPr="00E7508F" w:rsidRDefault="00AA5BE2" w:rsidP="00AA5BE2">
      <w:pPr>
        <w:jc w:val="both"/>
        <w:rPr>
          <w:rFonts w:ascii="Calibri" w:hAnsi="Calibri" w:cs="Calibri"/>
          <w:sz w:val="24"/>
          <w:szCs w:val="24"/>
        </w:rPr>
      </w:pPr>
      <w:r w:rsidRPr="00E7508F">
        <w:rPr>
          <w:rFonts w:ascii="Calibri" w:hAnsi="Calibri" w:cs="Calibri"/>
          <w:sz w:val="24"/>
          <w:szCs w:val="24"/>
        </w:rPr>
        <w:t xml:space="preserve">Drugi po veličini izdataka materijalnih rashoda odnosi se na rashode za materijal i energiju  i to u iznosu od </w:t>
      </w:r>
      <w:r>
        <w:rPr>
          <w:rFonts w:ascii="Calibri" w:hAnsi="Calibri" w:cs="Calibri"/>
          <w:sz w:val="24"/>
          <w:szCs w:val="24"/>
        </w:rPr>
        <w:t>513.776,62</w:t>
      </w:r>
      <w:r w:rsidRPr="00E7508F">
        <w:rPr>
          <w:rFonts w:ascii="Calibri" w:hAnsi="Calibri" w:cs="Calibri"/>
          <w:sz w:val="24"/>
          <w:szCs w:val="24"/>
        </w:rPr>
        <w:t xml:space="preserve"> eura, najveći dio tih rashoda pripada Gradu Trogiru i to u iznosu od </w:t>
      </w:r>
      <w:r>
        <w:rPr>
          <w:rFonts w:ascii="Calibri" w:hAnsi="Calibri" w:cs="Calibri"/>
          <w:sz w:val="24"/>
          <w:szCs w:val="24"/>
        </w:rPr>
        <w:t>214.049,18</w:t>
      </w:r>
      <w:r w:rsidRPr="00E7508F">
        <w:rPr>
          <w:rFonts w:ascii="Calibri" w:hAnsi="Calibri" w:cs="Calibri"/>
          <w:sz w:val="24"/>
          <w:szCs w:val="24"/>
        </w:rPr>
        <w:t xml:space="preserve"> eura ili </w:t>
      </w:r>
      <w:r>
        <w:rPr>
          <w:rFonts w:ascii="Calibri" w:hAnsi="Calibri" w:cs="Calibri"/>
          <w:sz w:val="24"/>
          <w:szCs w:val="24"/>
        </w:rPr>
        <w:t>13,4</w:t>
      </w:r>
      <w:r w:rsidRPr="00E7508F">
        <w:rPr>
          <w:rFonts w:ascii="Calibri" w:hAnsi="Calibri" w:cs="Calibri"/>
          <w:sz w:val="24"/>
          <w:szCs w:val="24"/>
        </w:rPr>
        <w:t>%</w:t>
      </w:r>
      <w:r>
        <w:rPr>
          <w:rFonts w:ascii="Calibri" w:hAnsi="Calibri" w:cs="Calibri"/>
          <w:sz w:val="24"/>
          <w:szCs w:val="24"/>
        </w:rPr>
        <w:t xml:space="preserve"> više</w:t>
      </w:r>
      <w:r w:rsidRPr="00E7508F">
        <w:rPr>
          <w:rFonts w:ascii="Calibri" w:hAnsi="Calibri" w:cs="Calibri"/>
          <w:sz w:val="24"/>
          <w:szCs w:val="24"/>
        </w:rPr>
        <w:t xml:space="preserve"> od ostvarenja prethodne godine</w:t>
      </w:r>
      <w:r>
        <w:rPr>
          <w:rFonts w:ascii="Calibri" w:hAnsi="Calibri" w:cs="Calibri"/>
          <w:sz w:val="24"/>
          <w:szCs w:val="24"/>
        </w:rPr>
        <w:t xml:space="preserve">, dok preostali iznos od 299.727,44 eura pripada proračunskim korisnicima i to najvećim dijelom za materijal i </w:t>
      </w:r>
      <w:r w:rsidR="00504995">
        <w:rPr>
          <w:rFonts w:ascii="Calibri" w:hAnsi="Calibri" w:cs="Calibri"/>
          <w:sz w:val="24"/>
          <w:szCs w:val="24"/>
        </w:rPr>
        <w:t>sirovine.</w:t>
      </w:r>
      <w:r w:rsidRPr="00E7508F">
        <w:rPr>
          <w:rFonts w:ascii="Calibri" w:hAnsi="Calibri" w:cs="Calibri"/>
          <w:sz w:val="24"/>
          <w:szCs w:val="24"/>
        </w:rPr>
        <w:t xml:space="preserve"> </w:t>
      </w:r>
    </w:p>
    <w:p w14:paraId="5B7A34E6" w14:textId="39D2914C" w:rsidR="00FE6F5E" w:rsidRPr="00FE6F5E" w:rsidRDefault="00D016D1" w:rsidP="00FE6F5E">
      <w:pPr>
        <w:spacing w:after="0" w:line="240" w:lineRule="auto"/>
        <w:jc w:val="both"/>
        <w:rPr>
          <w:rFonts w:cstheme="minorHAnsi"/>
          <w:sz w:val="24"/>
          <w:szCs w:val="24"/>
          <w:u w:val="single"/>
        </w:rPr>
      </w:pPr>
      <w:r w:rsidRPr="00D016D1">
        <w:rPr>
          <w:rFonts w:cstheme="minorHAnsi"/>
          <w:sz w:val="24"/>
          <w:szCs w:val="24"/>
          <w:u w:val="single"/>
        </w:rPr>
        <w:t>2.1.2.3. Ostali nespomenuti rashodi poslovanja</w:t>
      </w:r>
    </w:p>
    <w:p w14:paraId="7C4DBAFA" w14:textId="77777777" w:rsidR="00FE6F5E" w:rsidRDefault="00FE6F5E" w:rsidP="00FE6F5E">
      <w:pPr>
        <w:spacing w:after="0"/>
        <w:jc w:val="both"/>
        <w:rPr>
          <w:sz w:val="24"/>
          <w:szCs w:val="24"/>
        </w:rPr>
      </w:pPr>
      <w:r w:rsidRPr="00FE6F5E">
        <w:rPr>
          <w:sz w:val="24"/>
          <w:szCs w:val="24"/>
        </w:rPr>
        <w:t>Ostali nespomenuti rashodi poslovanja su treći po visini izdatka za materijalne rashode ostvareni u iznosu od 341.770,07 eura što je za 2,6% više u usporedbi sa ostvarenjem prethodne godine. Najveći dio otpada na Grad Trogir u iznosu od 305.322,45 eura, a odnosi se na naknade za rad predstavničkih i izvršnih tijela koje bilježe povećanje od 57,7% u odnosu na 2024.g. na što je utjecalo ostvarenje naknade članovima povjerenstava za održavanje lokalnih izbora I. i II. kruga , troškovi reprezentacije bilježe povećanje od 25,1% u odnosu na ostvarenje prethodne godine kao i  članarine, pristojbe i naknade, dok troškovi  sudskih postupaka  bilježe povećanje ostvarenja u odnosu na ostvarenje prethodne godine i to za značajnih 1.366,3%,a odnose se na presudu Gž-3779/2024.</w:t>
      </w:r>
    </w:p>
    <w:p w14:paraId="6EA69A81" w14:textId="5B0519FF" w:rsidR="00EA3118" w:rsidRDefault="00FE6F5E" w:rsidP="00FE6F5E">
      <w:pPr>
        <w:spacing w:after="0"/>
        <w:jc w:val="both"/>
        <w:rPr>
          <w:sz w:val="24"/>
          <w:szCs w:val="24"/>
        </w:rPr>
      </w:pPr>
      <w:r w:rsidRPr="00FE6F5E">
        <w:rPr>
          <w:sz w:val="24"/>
          <w:szCs w:val="24"/>
        </w:rPr>
        <w:t xml:space="preserve">Proračunski korisnici su ostvarili 36.447,62 eura ostalih nespomenutih rashoda poslovanja i to Dječji vrtić Trogir iznos od 11.548,72 eura što je za 43,2% više od ostvarenja prethodne godine, razlog povećanja su veći troškovi reprezentacije zbog obilježavanja Dana Grada, te značajan rast rashoda za pristojbe i naknade zbog nezapošljavanja invalida, Muzej Grada Trogira 9.401,18 eura ili 43,2% više od ostvarenja prethodne godine zbog rashoda za pristojbe i naknade koji bilježi najveće povećanje i to se odnosi na javnobilježničke pristojbe zbog pokretanja sudskog postupka za zbog ne napuštanja poslovnog prostora, Gradska knjižnica Trogir s ostvarenjem od 220,86 eura, zatim JU Športski objekti Trogir iznos od 6.649,43 eura ili </w:t>
      </w:r>
      <w:r w:rsidRPr="00FE6F5E">
        <w:rPr>
          <w:sz w:val="24"/>
          <w:szCs w:val="24"/>
        </w:rPr>
        <w:lastRenderedPageBreak/>
        <w:t>28,0% u odnosu na ostvarenje prethodne godine zbog povećanja rashoda na šifri 3299 ostali nespomenuti rashodi poslovanja koji nisu objašnjeni u bilješkama korisnika,  dok je JVP Grada Trogira ostvarila iznos od 8.627,43 eura ili značajnih 96% više  od ostvarenja prethodne godine uslijed povećanja cijene osiguranja vozila te je povećan i trošak reprezentacije-ugošćivanje poslovnih partnera kao i povećani ostali nespomenuti rashodi poslovanja, tu spadaju troškovi kamata i ostali neplanirani rashodi.</w:t>
      </w:r>
    </w:p>
    <w:p w14:paraId="7378BFDE" w14:textId="77777777" w:rsidR="00FE6F5E" w:rsidRPr="00FE6F5E" w:rsidRDefault="00FE6F5E" w:rsidP="00FE6F5E">
      <w:pPr>
        <w:spacing w:after="0"/>
        <w:jc w:val="both"/>
        <w:rPr>
          <w:sz w:val="24"/>
          <w:szCs w:val="24"/>
        </w:rPr>
      </w:pPr>
    </w:p>
    <w:p w14:paraId="07206868" w14:textId="77777777" w:rsidR="00D639F1" w:rsidRDefault="001C1B24" w:rsidP="008030CF">
      <w:pPr>
        <w:spacing w:after="0" w:line="240" w:lineRule="auto"/>
        <w:jc w:val="both"/>
        <w:rPr>
          <w:rFonts w:cstheme="minorHAnsi"/>
          <w:b/>
          <w:sz w:val="24"/>
          <w:szCs w:val="24"/>
        </w:rPr>
      </w:pPr>
      <w:r w:rsidRPr="001C1B24">
        <w:rPr>
          <w:rFonts w:cstheme="minorHAnsi"/>
          <w:b/>
          <w:sz w:val="24"/>
          <w:szCs w:val="24"/>
        </w:rPr>
        <w:t xml:space="preserve">2.1.3. Financijski rashodi </w:t>
      </w:r>
    </w:p>
    <w:p w14:paraId="261AB340" w14:textId="06B3619E" w:rsidR="008D4B8D" w:rsidRPr="008D4B8D" w:rsidRDefault="00E33F78" w:rsidP="008D4B8D">
      <w:pPr>
        <w:spacing w:after="0"/>
        <w:jc w:val="both"/>
        <w:rPr>
          <w:rFonts w:ascii="Calibri" w:hAnsi="Calibri" w:cs="Calibri"/>
          <w:sz w:val="24"/>
          <w:szCs w:val="24"/>
        </w:rPr>
      </w:pPr>
      <w:r w:rsidRPr="008D4B8D">
        <w:rPr>
          <w:rFonts w:ascii="Calibri" w:hAnsi="Calibri" w:cs="Calibri"/>
          <w:sz w:val="24"/>
          <w:szCs w:val="24"/>
        </w:rPr>
        <w:t>Financijski rashodi (kamate i ostali financijski rashodi)</w:t>
      </w:r>
      <w:r w:rsidR="007D012D" w:rsidRPr="008D4B8D">
        <w:rPr>
          <w:rFonts w:ascii="Calibri" w:hAnsi="Calibri" w:cs="Calibri"/>
          <w:sz w:val="24"/>
          <w:szCs w:val="24"/>
        </w:rPr>
        <w:t xml:space="preserve"> planirani su u iznosu od </w:t>
      </w:r>
      <w:r w:rsidR="008D4B8D" w:rsidRPr="008D4B8D">
        <w:rPr>
          <w:rFonts w:ascii="Calibri" w:hAnsi="Calibri" w:cs="Calibri"/>
          <w:sz w:val="24"/>
          <w:szCs w:val="24"/>
        </w:rPr>
        <w:t>53.681,00</w:t>
      </w:r>
      <w:r w:rsidR="007D012D" w:rsidRPr="008D4B8D">
        <w:rPr>
          <w:rFonts w:ascii="Calibri" w:hAnsi="Calibri" w:cs="Calibri"/>
          <w:sz w:val="24"/>
          <w:szCs w:val="24"/>
        </w:rPr>
        <w:t xml:space="preserve"> eura, a izvršeni su u iznosu od </w:t>
      </w:r>
      <w:r w:rsidR="008D4B8D" w:rsidRPr="008D4B8D">
        <w:rPr>
          <w:rFonts w:ascii="Calibri" w:hAnsi="Calibri" w:cs="Calibri"/>
          <w:sz w:val="24"/>
          <w:szCs w:val="24"/>
        </w:rPr>
        <w:t>34.071,34</w:t>
      </w:r>
      <w:r w:rsidRPr="008D4B8D">
        <w:rPr>
          <w:rFonts w:ascii="Calibri" w:hAnsi="Calibri" w:cs="Calibri"/>
          <w:sz w:val="24"/>
          <w:szCs w:val="24"/>
        </w:rPr>
        <w:t xml:space="preserve"> eura ili</w:t>
      </w:r>
      <w:r w:rsidR="00487996" w:rsidRPr="008D4B8D">
        <w:rPr>
          <w:rFonts w:ascii="Calibri" w:hAnsi="Calibri" w:cs="Calibri"/>
          <w:sz w:val="24"/>
          <w:szCs w:val="24"/>
        </w:rPr>
        <w:t xml:space="preserve"> </w:t>
      </w:r>
      <w:r w:rsidR="008D4B8D" w:rsidRPr="008D4B8D">
        <w:rPr>
          <w:rFonts w:ascii="Calibri" w:hAnsi="Calibri" w:cs="Calibri"/>
          <w:sz w:val="24"/>
          <w:szCs w:val="24"/>
        </w:rPr>
        <w:t>63,47</w:t>
      </w:r>
      <w:r w:rsidR="00487996" w:rsidRPr="008D4B8D">
        <w:rPr>
          <w:rFonts w:ascii="Calibri" w:hAnsi="Calibri" w:cs="Calibri"/>
          <w:sz w:val="24"/>
          <w:szCs w:val="24"/>
        </w:rPr>
        <w:t xml:space="preserve"> % plana. U odnosu na 202</w:t>
      </w:r>
      <w:r w:rsidR="008D4B8D" w:rsidRPr="008D4B8D">
        <w:rPr>
          <w:rFonts w:ascii="Calibri" w:hAnsi="Calibri" w:cs="Calibri"/>
          <w:sz w:val="24"/>
          <w:szCs w:val="24"/>
        </w:rPr>
        <w:t>4</w:t>
      </w:r>
      <w:r w:rsidR="00487996" w:rsidRPr="008D4B8D">
        <w:rPr>
          <w:rFonts w:ascii="Calibri" w:hAnsi="Calibri" w:cs="Calibri"/>
          <w:sz w:val="24"/>
          <w:szCs w:val="24"/>
        </w:rPr>
        <w:t xml:space="preserve">.godinu su manji za </w:t>
      </w:r>
      <w:r w:rsidR="008D4B8D" w:rsidRPr="008D4B8D">
        <w:rPr>
          <w:rFonts w:ascii="Calibri" w:hAnsi="Calibri" w:cs="Calibri"/>
          <w:sz w:val="24"/>
          <w:szCs w:val="24"/>
        </w:rPr>
        <w:t>4,9</w:t>
      </w:r>
      <w:r w:rsidR="00487996" w:rsidRPr="008D4B8D">
        <w:rPr>
          <w:rFonts w:ascii="Calibri" w:hAnsi="Calibri" w:cs="Calibri"/>
          <w:sz w:val="24"/>
          <w:szCs w:val="24"/>
        </w:rPr>
        <w:t>%</w:t>
      </w:r>
      <w:r w:rsidRPr="008D4B8D">
        <w:rPr>
          <w:rFonts w:ascii="Calibri" w:hAnsi="Calibri" w:cs="Calibri"/>
          <w:sz w:val="24"/>
          <w:szCs w:val="24"/>
        </w:rPr>
        <w:t xml:space="preserve">. Od tog se iznosa na Grad Trogir odnosi </w:t>
      </w:r>
      <w:r w:rsidR="008D4B8D" w:rsidRPr="008D4B8D">
        <w:rPr>
          <w:rFonts w:ascii="Calibri" w:hAnsi="Calibri" w:cs="Calibri"/>
          <w:sz w:val="24"/>
          <w:szCs w:val="24"/>
        </w:rPr>
        <w:t>25.649,34</w:t>
      </w:r>
      <w:r w:rsidRPr="008D4B8D">
        <w:rPr>
          <w:rFonts w:ascii="Calibri" w:hAnsi="Calibri" w:cs="Calibri"/>
          <w:sz w:val="24"/>
          <w:szCs w:val="24"/>
        </w:rPr>
        <w:t xml:space="preserve"> eura što je smanjenje od </w:t>
      </w:r>
      <w:r w:rsidR="008D4B8D" w:rsidRPr="008D4B8D">
        <w:rPr>
          <w:rFonts w:ascii="Calibri" w:hAnsi="Calibri" w:cs="Calibri"/>
          <w:sz w:val="24"/>
          <w:szCs w:val="24"/>
        </w:rPr>
        <w:t>3,1</w:t>
      </w:r>
      <w:r w:rsidRPr="008D4B8D">
        <w:rPr>
          <w:rFonts w:ascii="Calibri" w:hAnsi="Calibri" w:cs="Calibri"/>
          <w:sz w:val="24"/>
          <w:szCs w:val="24"/>
        </w:rPr>
        <w:t xml:space="preserve">% u odnosu na ostvarenje prethodne godine, </w:t>
      </w:r>
      <w:r w:rsidR="008D4B8D" w:rsidRPr="008D4B8D">
        <w:rPr>
          <w:sz w:val="24"/>
          <w:szCs w:val="24"/>
        </w:rPr>
        <w:t>a razlog smanjenja je manje ostvarenje bankarskih usluga i usluga platnog prometa (usluge Erste banke za vođenje transakcijskog računa) dok  su smanjeni rashodi za redovne kamate za otplatu tri dugoročna kredita s RBA) po ugovorenoj godišnjoj kamatnoj stopi od 1,19% . </w:t>
      </w:r>
    </w:p>
    <w:p w14:paraId="30A16B3D" w14:textId="7E1F6F31" w:rsidR="003A5578" w:rsidRPr="003A5578" w:rsidRDefault="003A5578" w:rsidP="003A5578">
      <w:pPr>
        <w:jc w:val="both"/>
        <w:rPr>
          <w:sz w:val="24"/>
          <w:szCs w:val="24"/>
        </w:rPr>
      </w:pPr>
      <w:r w:rsidRPr="003A5578">
        <w:rPr>
          <w:sz w:val="24"/>
          <w:szCs w:val="24"/>
        </w:rPr>
        <w:t>Ostali financijski rashodi ostvareni su za 2,4%više u odnosu na prethodnu godinu i iznose 19.176,85 eura, a odnose se na bankarske usluge i usluge platnog prometa u iznosu od 16.091,13 eura, zatezne kamate koje bilježe povećanje 41,6%, a  koje pripada Gradu Trogiru i odnosi se većinom na zatezne kamate kod naplate sudskih presuda/nagodba, dok su proračunski korisnici imali ostvarenje kod ostalih financijskih rashoda u ukupnom iznosu od 6.142,59 eura. Dječji vrtić Trogir je imao financijskih rashoda u iznosu od 1.922,79 eura, Muzej 586,81 eura, Knjižnica 524,31 eura i JU Športski objekti Trogir 2.438,22 eura ili 38% više od ostvarenja prethodne godine i to sve od bankarskih usluga i usluga platnog prometa i zateznih kamata, dok je JVP Grada Trogira imala 1.894,41 eura, od čega su bankarske usluge i usluge platnog prometa iznosile 670,46 eura i kamate za primljeni kredit u iznosu od 1.894,41 eura.</w:t>
      </w:r>
    </w:p>
    <w:p w14:paraId="3B9BC9D1" w14:textId="77777777" w:rsidR="003A5578" w:rsidRPr="003A5578" w:rsidRDefault="003A5578" w:rsidP="003A5578">
      <w:pPr>
        <w:jc w:val="both"/>
        <w:rPr>
          <w:sz w:val="24"/>
          <w:szCs w:val="24"/>
        </w:rPr>
      </w:pPr>
      <w:r w:rsidRPr="003A5578">
        <w:rPr>
          <w:sz w:val="24"/>
          <w:szCs w:val="24"/>
        </w:rPr>
        <w:t>Grad Trogir je ostvario ukupno 13.034,26 eura navedenih rashoda i to 10.698,54 eura bankarskih usluga i 2.335,42 eura zateznih kamata koje su gore već opisane.</w:t>
      </w:r>
    </w:p>
    <w:p w14:paraId="747F89EF" w14:textId="77777777" w:rsidR="00280CEA" w:rsidRDefault="00280CEA" w:rsidP="001C1B24">
      <w:pPr>
        <w:spacing w:after="0"/>
        <w:jc w:val="both"/>
        <w:rPr>
          <w:rFonts w:ascii="Calibri" w:hAnsi="Calibri" w:cs="Calibri"/>
          <w:sz w:val="24"/>
          <w:szCs w:val="24"/>
        </w:rPr>
      </w:pPr>
    </w:p>
    <w:p w14:paraId="61D47E53" w14:textId="71195930" w:rsidR="001C1B24" w:rsidRDefault="001C1B24" w:rsidP="001C1B24">
      <w:pPr>
        <w:spacing w:after="0"/>
        <w:jc w:val="both"/>
        <w:rPr>
          <w:b/>
          <w:sz w:val="24"/>
          <w:szCs w:val="24"/>
        </w:rPr>
      </w:pPr>
      <w:r w:rsidRPr="005A2690">
        <w:rPr>
          <w:b/>
          <w:sz w:val="24"/>
          <w:szCs w:val="24"/>
        </w:rPr>
        <w:t>2.1.4. Subvencije</w:t>
      </w:r>
    </w:p>
    <w:p w14:paraId="313175A3" w14:textId="5A59394D" w:rsidR="00280CEA" w:rsidRPr="00280CEA" w:rsidRDefault="005B5553" w:rsidP="00280CEA">
      <w:pPr>
        <w:jc w:val="both"/>
        <w:rPr>
          <w:rFonts w:ascii="Calibri" w:hAnsi="Calibri" w:cs="Calibri"/>
          <w:sz w:val="24"/>
          <w:szCs w:val="24"/>
        </w:rPr>
      </w:pPr>
      <w:r w:rsidRPr="00280CEA">
        <w:rPr>
          <w:rFonts w:ascii="Calibri" w:hAnsi="Calibri" w:cs="Calibri"/>
          <w:sz w:val="24"/>
          <w:szCs w:val="24"/>
        </w:rPr>
        <w:t xml:space="preserve">Subvencije su </w:t>
      </w:r>
      <w:r w:rsidR="00487996" w:rsidRPr="00280CEA">
        <w:rPr>
          <w:rFonts w:ascii="Calibri" w:hAnsi="Calibri" w:cs="Calibri"/>
          <w:sz w:val="24"/>
          <w:szCs w:val="24"/>
        </w:rPr>
        <w:t xml:space="preserve">planirane u iznosu od </w:t>
      </w:r>
      <w:r w:rsidR="00280CEA" w:rsidRPr="00280CEA">
        <w:rPr>
          <w:rFonts w:ascii="Calibri" w:hAnsi="Calibri" w:cs="Calibri"/>
          <w:sz w:val="24"/>
          <w:szCs w:val="24"/>
        </w:rPr>
        <w:t>547.876,00</w:t>
      </w:r>
      <w:r w:rsidR="00487996" w:rsidRPr="00280CEA">
        <w:rPr>
          <w:rFonts w:ascii="Calibri" w:hAnsi="Calibri" w:cs="Calibri"/>
          <w:sz w:val="24"/>
          <w:szCs w:val="24"/>
        </w:rPr>
        <w:t xml:space="preserve"> eura, a </w:t>
      </w:r>
      <w:r w:rsidRPr="00280CEA">
        <w:rPr>
          <w:rFonts w:ascii="Calibri" w:hAnsi="Calibri" w:cs="Calibri"/>
          <w:sz w:val="24"/>
          <w:szCs w:val="24"/>
        </w:rPr>
        <w:t xml:space="preserve">izvršene u iznosu od </w:t>
      </w:r>
      <w:r w:rsidR="00280CEA" w:rsidRPr="00280CEA">
        <w:rPr>
          <w:rFonts w:ascii="Calibri" w:hAnsi="Calibri" w:cs="Calibri"/>
          <w:sz w:val="24"/>
          <w:szCs w:val="24"/>
        </w:rPr>
        <w:t>547.875,72</w:t>
      </w:r>
      <w:r w:rsidRPr="00280CEA">
        <w:rPr>
          <w:rFonts w:ascii="Calibri" w:hAnsi="Calibri" w:cs="Calibri"/>
          <w:sz w:val="24"/>
          <w:szCs w:val="24"/>
        </w:rPr>
        <w:t xml:space="preserve"> eura </w:t>
      </w:r>
      <w:r w:rsidR="00487996" w:rsidRPr="00280CEA">
        <w:rPr>
          <w:rFonts w:ascii="Calibri" w:hAnsi="Calibri" w:cs="Calibri"/>
          <w:sz w:val="24"/>
          <w:szCs w:val="24"/>
        </w:rPr>
        <w:t xml:space="preserve">ili </w:t>
      </w:r>
      <w:r w:rsidR="00280CEA" w:rsidRPr="00280CEA">
        <w:rPr>
          <w:rFonts w:ascii="Calibri" w:hAnsi="Calibri" w:cs="Calibri"/>
          <w:sz w:val="24"/>
          <w:szCs w:val="24"/>
        </w:rPr>
        <w:t>100</w:t>
      </w:r>
      <w:r w:rsidR="00487996" w:rsidRPr="00280CEA">
        <w:rPr>
          <w:rFonts w:ascii="Calibri" w:hAnsi="Calibri" w:cs="Calibri"/>
          <w:sz w:val="24"/>
          <w:szCs w:val="24"/>
        </w:rPr>
        <w:t>% plana,</w:t>
      </w:r>
      <w:r w:rsidR="00280CEA" w:rsidRPr="00280CEA">
        <w:rPr>
          <w:sz w:val="24"/>
          <w:szCs w:val="24"/>
        </w:rPr>
        <w:t xml:space="preserve"> što je za značajnih 123,3% više u odnosu na ostvarenje prethodne godine, a odnose se u cijelosti na subvencioniranje povlaštenog prijevoza učenika i studenata Grada temeljem Ugovora </w:t>
      </w:r>
      <w:r w:rsidR="00280CEA">
        <w:rPr>
          <w:sz w:val="24"/>
          <w:szCs w:val="24"/>
        </w:rPr>
        <w:t xml:space="preserve">s </w:t>
      </w:r>
      <w:r w:rsidR="00280CEA" w:rsidRPr="00280CEA">
        <w:rPr>
          <w:sz w:val="24"/>
          <w:szCs w:val="24"/>
        </w:rPr>
        <w:t>trgovačkim društvom Promet d.o.o., a temeljem Uredbe(EZ) br.1370/2007 iz 2016.g. u pogledu otvaranja tržišta za usluge domaćeg željezničkog prijevoza putnika.  Ovaj rashod se u cijelosti odnosi na Grad Trogir.</w:t>
      </w:r>
    </w:p>
    <w:p w14:paraId="6AE6A8F9" w14:textId="1DF1B1C2" w:rsidR="001C1B24" w:rsidRDefault="001C1B24" w:rsidP="001C1B24">
      <w:pPr>
        <w:spacing w:after="0"/>
        <w:jc w:val="both"/>
        <w:rPr>
          <w:sz w:val="24"/>
          <w:szCs w:val="24"/>
          <w:u w:val="single"/>
        </w:rPr>
      </w:pPr>
      <w:r w:rsidRPr="00275C23">
        <w:rPr>
          <w:sz w:val="24"/>
          <w:szCs w:val="24"/>
          <w:u w:val="single"/>
        </w:rPr>
        <w:t>Proračunski korisnici ne planiraju ovu vrstu rashoda.</w:t>
      </w:r>
    </w:p>
    <w:p w14:paraId="78BA10EA" w14:textId="77777777" w:rsidR="00224EFE" w:rsidRDefault="00224EFE" w:rsidP="001C1B24">
      <w:pPr>
        <w:spacing w:after="0"/>
        <w:jc w:val="both"/>
        <w:rPr>
          <w:sz w:val="24"/>
          <w:szCs w:val="24"/>
          <w:u w:val="single"/>
        </w:rPr>
      </w:pPr>
    </w:p>
    <w:p w14:paraId="025B8095" w14:textId="279ACD13" w:rsidR="001C1B24" w:rsidRDefault="001C1B24" w:rsidP="001C1B24">
      <w:pPr>
        <w:spacing w:after="0"/>
        <w:jc w:val="both"/>
        <w:rPr>
          <w:b/>
          <w:sz w:val="24"/>
          <w:szCs w:val="24"/>
        </w:rPr>
      </w:pPr>
      <w:r w:rsidRPr="009D4A12">
        <w:rPr>
          <w:b/>
          <w:sz w:val="24"/>
          <w:szCs w:val="24"/>
        </w:rPr>
        <w:t xml:space="preserve">2.1.5. Pomoći dane u inozemstvo i unutar općeg proračuna </w:t>
      </w:r>
    </w:p>
    <w:p w14:paraId="3393F3E8" w14:textId="4FEEC420" w:rsidR="00AC228F" w:rsidRPr="00AC228F" w:rsidRDefault="00E33F78" w:rsidP="00AC228F">
      <w:pPr>
        <w:jc w:val="both"/>
        <w:rPr>
          <w:rFonts w:ascii="Calibri" w:hAnsi="Calibri" w:cs="Calibri"/>
          <w:sz w:val="24"/>
          <w:szCs w:val="24"/>
        </w:rPr>
      </w:pPr>
      <w:r w:rsidRPr="00E33F78">
        <w:rPr>
          <w:rFonts w:ascii="Calibri" w:hAnsi="Calibri" w:cs="Calibri"/>
          <w:sz w:val="24"/>
          <w:szCs w:val="24"/>
        </w:rPr>
        <w:t>Pomoći dane u inozemstvo i unutar općeg proračuna</w:t>
      </w:r>
      <w:r w:rsidR="00487996">
        <w:rPr>
          <w:rFonts w:ascii="Calibri" w:hAnsi="Calibri" w:cs="Calibri"/>
          <w:sz w:val="24"/>
          <w:szCs w:val="24"/>
        </w:rPr>
        <w:t xml:space="preserve"> planirane su u iznosu od </w:t>
      </w:r>
      <w:r w:rsidR="00575925">
        <w:rPr>
          <w:rFonts w:ascii="Calibri" w:hAnsi="Calibri" w:cs="Calibri"/>
          <w:sz w:val="24"/>
          <w:szCs w:val="24"/>
        </w:rPr>
        <w:t>409.500,00</w:t>
      </w:r>
      <w:r w:rsidR="00487996">
        <w:rPr>
          <w:rFonts w:ascii="Calibri" w:hAnsi="Calibri" w:cs="Calibri"/>
          <w:sz w:val="24"/>
          <w:szCs w:val="24"/>
        </w:rPr>
        <w:t xml:space="preserve"> eura, a </w:t>
      </w:r>
      <w:r w:rsidRPr="00E33F78">
        <w:rPr>
          <w:rFonts w:ascii="Calibri" w:hAnsi="Calibri" w:cs="Calibri"/>
          <w:sz w:val="24"/>
          <w:szCs w:val="24"/>
        </w:rPr>
        <w:t xml:space="preserve">ostvarene su u iznosu od </w:t>
      </w:r>
      <w:r w:rsidR="00575925">
        <w:rPr>
          <w:rFonts w:ascii="Calibri" w:hAnsi="Calibri" w:cs="Calibri"/>
          <w:sz w:val="24"/>
          <w:szCs w:val="24"/>
        </w:rPr>
        <w:t>241.432,73</w:t>
      </w:r>
      <w:r w:rsidRPr="00E33F78">
        <w:rPr>
          <w:rFonts w:ascii="Calibri" w:hAnsi="Calibri" w:cs="Calibri"/>
          <w:sz w:val="24"/>
          <w:szCs w:val="24"/>
        </w:rPr>
        <w:t xml:space="preserve"> eura ili </w:t>
      </w:r>
      <w:r w:rsidR="00575925">
        <w:rPr>
          <w:rFonts w:ascii="Calibri" w:hAnsi="Calibri" w:cs="Calibri"/>
          <w:sz w:val="24"/>
          <w:szCs w:val="24"/>
        </w:rPr>
        <w:t>58,96</w:t>
      </w:r>
      <w:r w:rsidR="00487996">
        <w:rPr>
          <w:rFonts w:ascii="Calibri" w:hAnsi="Calibri" w:cs="Calibri"/>
          <w:sz w:val="24"/>
          <w:szCs w:val="24"/>
        </w:rPr>
        <w:t>% plana. U odnosu na 202</w:t>
      </w:r>
      <w:r w:rsidR="00575925">
        <w:rPr>
          <w:rFonts w:ascii="Calibri" w:hAnsi="Calibri" w:cs="Calibri"/>
          <w:sz w:val="24"/>
          <w:szCs w:val="24"/>
        </w:rPr>
        <w:t>4</w:t>
      </w:r>
      <w:r w:rsidR="00487996">
        <w:rPr>
          <w:rFonts w:ascii="Calibri" w:hAnsi="Calibri" w:cs="Calibri"/>
          <w:sz w:val="24"/>
          <w:szCs w:val="24"/>
        </w:rPr>
        <w:t xml:space="preserve">.godinu više su za </w:t>
      </w:r>
      <w:r w:rsidR="00575925">
        <w:rPr>
          <w:rFonts w:ascii="Calibri" w:hAnsi="Calibri" w:cs="Calibri"/>
          <w:sz w:val="24"/>
          <w:szCs w:val="24"/>
        </w:rPr>
        <w:t>3,77</w:t>
      </w:r>
      <w:r w:rsidR="00B3709C">
        <w:rPr>
          <w:rFonts w:ascii="Calibri" w:hAnsi="Calibri" w:cs="Calibri"/>
          <w:sz w:val="24"/>
          <w:szCs w:val="24"/>
        </w:rPr>
        <w:t>%</w:t>
      </w:r>
      <w:r w:rsidR="00487996">
        <w:rPr>
          <w:rFonts w:ascii="Calibri" w:hAnsi="Calibri" w:cs="Calibri"/>
          <w:sz w:val="24"/>
          <w:szCs w:val="24"/>
        </w:rPr>
        <w:t>.</w:t>
      </w:r>
      <w:r w:rsidR="000C6000">
        <w:rPr>
          <w:rFonts w:ascii="Calibri" w:hAnsi="Calibri" w:cs="Calibri"/>
          <w:sz w:val="24"/>
          <w:szCs w:val="24"/>
        </w:rPr>
        <w:t xml:space="preserve"> </w:t>
      </w:r>
      <w:r w:rsidR="00AC228F" w:rsidRPr="00AC228F">
        <w:rPr>
          <w:sz w:val="24"/>
          <w:szCs w:val="24"/>
        </w:rPr>
        <w:t xml:space="preserve">Ostvarenje ovih pomoći odnosi se na tekuće pomoći proračunskim </w:t>
      </w:r>
      <w:r w:rsidR="00AC228F" w:rsidRPr="00AC228F">
        <w:rPr>
          <w:sz w:val="24"/>
          <w:szCs w:val="24"/>
        </w:rPr>
        <w:lastRenderedPageBreak/>
        <w:t>korisnicima drugih proračuna u iznosu od 241.432,73 eura za financiranje osnovnih i srednjih škola i osobnih pomoćnika u nastavi u osnovnim školama i u cijelosti se odnosi na Grad Trogir. </w:t>
      </w:r>
    </w:p>
    <w:p w14:paraId="67B07CC9" w14:textId="77777777" w:rsidR="001C1B24" w:rsidRDefault="001C1B24" w:rsidP="001C1B24">
      <w:pPr>
        <w:spacing w:after="0" w:line="240" w:lineRule="auto"/>
        <w:jc w:val="both"/>
        <w:rPr>
          <w:rFonts w:cstheme="minorHAnsi"/>
          <w:b/>
          <w:sz w:val="24"/>
          <w:szCs w:val="24"/>
        </w:rPr>
      </w:pPr>
      <w:r w:rsidRPr="005A2690">
        <w:rPr>
          <w:rFonts w:cstheme="minorHAnsi"/>
          <w:b/>
          <w:sz w:val="24"/>
          <w:szCs w:val="24"/>
        </w:rPr>
        <w:t>2.</w:t>
      </w:r>
      <w:r>
        <w:rPr>
          <w:rFonts w:cstheme="minorHAnsi"/>
          <w:b/>
          <w:sz w:val="24"/>
          <w:szCs w:val="24"/>
        </w:rPr>
        <w:t>1.6</w:t>
      </w:r>
      <w:r w:rsidRPr="005A2690">
        <w:rPr>
          <w:rFonts w:cstheme="minorHAnsi"/>
          <w:b/>
          <w:sz w:val="24"/>
          <w:szCs w:val="24"/>
        </w:rPr>
        <w:t>. Naknade građanima i kućanstvima na temelju osiguranja i druge naknade</w:t>
      </w:r>
    </w:p>
    <w:p w14:paraId="27755923" w14:textId="77777777" w:rsidR="009A5723" w:rsidRDefault="009A5723" w:rsidP="00341C5C">
      <w:pPr>
        <w:jc w:val="both"/>
        <w:rPr>
          <w:rFonts w:cstheme="minorHAnsi"/>
          <w:sz w:val="24"/>
          <w:szCs w:val="24"/>
          <w:u w:val="single"/>
        </w:rPr>
      </w:pPr>
    </w:p>
    <w:p w14:paraId="493C974C" w14:textId="11D80646" w:rsidR="00341C5C" w:rsidRPr="00341C5C" w:rsidRDefault="00341C5C" w:rsidP="00341C5C">
      <w:pPr>
        <w:jc w:val="both"/>
        <w:rPr>
          <w:sz w:val="24"/>
          <w:szCs w:val="24"/>
        </w:rPr>
      </w:pPr>
      <w:r w:rsidRPr="00341C5C">
        <w:rPr>
          <w:sz w:val="24"/>
          <w:szCs w:val="24"/>
        </w:rPr>
        <w:t>Naknade građanima i kućanstvima na temelju osiguranja i druge naknade  iznose 786.951,35 eura što je 28,6% više od ostvarenja prethodne godine i u potpunosti se odnose na naknade koje isplaćuje Grad Trogir. Razlog povećanja ove skupine rashoda je zbog većeg ostvarenja sufinanciranja cijene vrtića, stipendiranja učenika i studenata, pomoći za novorođenu djecu, financiranje programa za osposobljavanje pomoćnika u nastavi u organizaciji POU  i dr.</w:t>
      </w:r>
    </w:p>
    <w:p w14:paraId="5F6CBBB6" w14:textId="7EEB8ABF" w:rsidR="00341C5C" w:rsidRPr="00341C5C" w:rsidRDefault="00341C5C" w:rsidP="00341C5C">
      <w:pPr>
        <w:jc w:val="both"/>
        <w:rPr>
          <w:sz w:val="24"/>
          <w:szCs w:val="24"/>
        </w:rPr>
      </w:pPr>
      <w:r w:rsidRPr="00341C5C">
        <w:rPr>
          <w:sz w:val="24"/>
          <w:szCs w:val="24"/>
        </w:rPr>
        <w:t>Ovdje treba spomenuti i isplate prigodnog dara-</w:t>
      </w:r>
      <w:proofErr w:type="spellStart"/>
      <w:r w:rsidRPr="00341C5C">
        <w:rPr>
          <w:sz w:val="24"/>
          <w:szCs w:val="24"/>
        </w:rPr>
        <w:t>Uskrsnica</w:t>
      </w:r>
      <w:proofErr w:type="spellEnd"/>
      <w:r w:rsidRPr="00341C5C">
        <w:rPr>
          <w:sz w:val="24"/>
          <w:szCs w:val="24"/>
        </w:rPr>
        <w:t>/Božićnica umirovljenicima Grada Trogira i nezaposlenima (korisnicima Centra za socijalnu skrb i nezaposlenima iznad 55.godina), podmirenje dijela troškova stanovanja u iznosu od 17.587,96 eura, jednokratne pomoći obiteljima i kućanstvima u iznosu od 94.950,00 eura, financijska pomoć za novorođenu djecu 104.000,00 eura, naknade za porodiljni dopust do treće godine života djeteta u iznosu od 6.160,00 eura (sufinanciranje cijene vrtića EMAUS i sufinanciranje cijene Dječjeg vrtića Seget  u iznosu od 263.266,48), dok su naknade za stipendiranje učenika i studenata ostvarene  u iznosu od 112.100,00 eur</w:t>
      </w:r>
      <w:r>
        <w:rPr>
          <w:sz w:val="24"/>
          <w:szCs w:val="24"/>
        </w:rPr>
        <w:t>a.</w:t>
      </w:r>
    </w:p>
    <w:p w14:paraId="79D89989" w14:textId="696A0CDB" w:rsidR="001C1B24" w:rsidRPr="00C009F2" w:rsidRDefault="001C1B24" w:rsidP="00B3709C">
      <w:pPr>
        <w:spacing w:after="0"/>
        <w:jc w:val="both"/>
        <w:rPr>
          <w:rFonts w:ascii="Calibri" w:hAnsi="Calibri" w:cs="Calibri"/>
          <w:sz w:val="24"/>
          <w:szCs w:val="24"/>
        </w:rPr>
      </w:pPr>
      <w:r w:rsidRPr="005A2690">
        <w:rPr>
          <w:rFonts w:cstheme="minorHAnsi"/>
          <w:sz w:val="24"/>
          <w:szCs w:val="24"/>
          <w:u w:val="single"/>
        </w:rPr>
        <w:t>Proračunski korisnici ne planiraju ovu vrstu rashoda.</w:t>
      </w:r>
    </w:p>
    <w:p w14:paraId="415A28E0" w14:textId="77777777" w:rsidR="0086784D" w:rsidRDefault="0086784D" w:rsidP="00113ECA">
      <w:pPr>
        <w:spacing w:after="0" w:line="240" w:lineRule="auto"/>
        <w:jc w:val="both"/>
        <w:rPr>
          <w:rFonts w:cstheme="minorHAnsi"/>
          <w:sz w:val="24"/>
          <w:szCs w:val="24"/>
        </w:rPr>
      </w:pPr>
    </w:p>
    <w:p w14:paraId="7973DEB8" w14:textId="152F8514" w:rsidR="00113ECA" w:rsidRDefault="00113ECA" w:rsidP="00113ECA">
      <w:pPr>
        <w:spacing w:after="0" w:line="240" w:lineRule="auto"/>
        <w:jc w:val="both"/>
        <w:rPr>
          <w:rFonts w:cstheme="minorHAnsi"/>
          <w:b/>
          <w:sz w:val="24"/>
          <w:szCs w:val="24"/>
        </w:rPr>
      </w:pPr>
      <w:r w:rsidRPr="004F1BC2">
        <w:rPr>
          <w:rFonts w:cstheme="minorHAnsi"/>
          <w:b/>
          <w:sz w:val="24"/>
          <w:szCs w:val="24"/>
        </w:rPr>
        <w:t>2.</w:t>
      </w:r>
      <w:r>
        <w:rPr>
          <w:rFonts w:cstheme="minorHAnsi"/>
          <w:b/>
          <w:sz w:val="24"/>
          <w:szCs w:val="24"/>
        </w:rPr>
        <w:t>1.7</w:t>
      </w:r>
      <w:r w:rsidRPr="004F1BC2">
        <w:rPr>
          <w:rFonts w:cstheme="minorHAnsi"/>
          <w:b/>
          <w:sz w:val="24"/>
          <w:szCs w:val="24"/>
        </w:rPr>
        <w:t xml:space="preserve">.  </w:t>
      </w:r>
      <w:r w:rsidR="009A5723">
        <w:rPr>
          <w:rFonts w:cstheme="minorHAnsi"/>
          <w:b/>
          <w:sz w:val="24"/>
          <w:szCs w:val="24"/>
        </w:rPr>
        <w:t xml:space="preserve">Rashodi za donacije, kazne, naknade šteta i kapitalne pomoći </w:t>
      </w:r>
      <w:r w:rsidRPr="004F1BC2">
        <w:rPr>
          <w:rFonts w:cstheme="minorHAnsi"/>
          <w:b/>
          <w:sz w:val="24"/>
          <w:szCs w:val="24"/>
        </w:rPr>
        <w:t xml:space="preserve"> </w:t>
      </w:r>
    </w:p>
    <w:p w14:paraId="3569AF7F" w14:textId="51255820" w:rsidR="00487996" w:rsidRPr="009A5723" w:rsidRDefault="009A5723" w:rsidP="002D130F">
      <w:pPr>
        <w:spacing w:after="0"/>
        <w:jc w:val="both"/>
        <w:rPr>
          <w:rFonts w:ascii="Calibri" w:hAnsi="Calibri" w:cs="Calibri"/>
          <w:sz w:val="24"/>
          <w:szCs w:val="24"/>
        </w:rPr>
      </w:pPr>
      <w:r w:rsidRPr="009A5723">
        <w:rPr>
          <w:sz w:val="24"/>
          <w:szCs w:val="24"/>
        </w:rPr>
        <w:t xml:space="preserve">Rashodi za donacije, kazne, naknade šteta i kapitalne pomoći </w:t>
      </w:r>
      <w:r w:rsidR="00487996" w:rsidRPr="009A5723">
        <w:rPr>
          <w:rFonts w:ascii="Calibri" w:hAnsi="Calibri" w:cs="Calibri"/>
          <w:sz w:val="24"/>
          <w:szCs w:val="24"/>
        </w:rPr>
        <w:t xml:space="preserve">planirani su u iznosu </w:t>
      </w:r>
      <w:r w:rsidR="00341C5C" w:rsidRPr="009A5723">
        <w:rPr>
          <w:rFonts w:ascii="Calibri" w:hAnsi="Calibri" w:cs="Calibri"/>
          <w:sz w:val="24"/>
          <w:szCs w:val="24"/>
        </w:rPr>
        <w:t>1.623.622,69</w:t>
      </w:r>
      <w:r w:rsidR="00487996" w:rsidRPr="009A5723">
        <w:rPr>
          <w:rFonts w:ascii="Calibri" w:hAnsi="Calibri" w:cs="Calibri"/>
          <w:sz w:val="24"/>
          <w:szCs w:val="24"/>
        </w:rPr>
        <w:t xml:space="preserve"> eura, a</w:t>
      </w:r>
      <w:r w:rsidR="00E33F78" w:rsidRPr="009A5723">
        <w:rPr>
          <w:rFonts w:ascii="Calibri" w:hAnsi="Calibri" w:cs="Calibri"/>
          <w:sz w:val="24"/>
          <w:szCs w:val="24"/>
        </w:rPr>
        <w:t xml:space="preserve"> ostvareni su u iznosu od </w:t>
      </w:r>
      <w:r w:rsidR="00341C5C" w:rsidRPr="009A5723">
        <w:rPr>
          <w:rFonts w:ascii="Calibri" w:hAnsi="Calibri" w:cs="Calibri"/>
          <w:sz w:val="24"/>
          <w:szCs w:val="24"/>
        </w:rPr>
        <w:t>1.474.247,13</w:t>
      </w:r>
      <w:r w:rsidR="00E33F78" w:rsidRPr="009A5723">
        <w:rPr>
          <w:rFonts w:ascii="Calibri" w:hAnsi="Calibri" w:cs="Calibri"/>
          <w:sz w:val="24"/>
          <w:szCs w:val="24"/>
        </w:rPr>
        <w:t xml:space="preserve"> eura</w:t>
      </w:r>
      <w:r w:rsidR="00487996" w:rsidRPr="009A5723">
        <w:rPr>
          <w:rFonts w:ascii="Calibri" w:hAnsi="Calibri" w:cs="Calibri"/>
          <w:sz w:val="24"/>
          <w:szCs w:val="24"/>
        </w:rPr>
        <w:t xml:space="preserve"> ili </w:t>
      </w:r>
      <w:r w:rsidR="00341C5C" w:rsidRPr="009A5723">
        <w:rPr>
          <w:rFonts w:ascii="Calibri" w:hAnsi="Calibri" w:cs="Calibri"/>
          <w:sz w:val="24"/>
          <w:szCs w:val="24"/>
        </w:rPr>
        <w:t>90,80</w:t>
      </w:r>
      <w:r w:rsidR="00487996" w:rsidRPr="009A5723">
        <w:rPr>
          <w:rFonts w:ascii="Calibri" w:hAnsi="Calibri" w:cs="Calibri"/>
          <w:sz w:val="24"/>
          <w:szCs w:val="24"/>
        </w:rPr>
        <w:t>% plana. U odnosu na 202</w:t>
      </w:r>
      <w:r w:rsidR="00341C5C" w:rsidRPr="009A5723">
        <w:rPr>
          <w:rFonts w:ascii="Calibri" w:hAnsi="Calibri" w:cs="Calibri"/>
          <w:sz w:val="24"/>
          <w:szCs w:val="24"/>
        </w:rPr>
        <w:t>4</w:t>
      </w:r>
      <w:r w:rsidR="00487996" w:rsidRPr="009A5723">
        <w:rPr>
          <w:rFonts w:ascii="Calibri" w:hAnsi="Calibri" w:cs="Calibri"/>
          <w:sz w:val="24"/>
          <w:szCs w:val="24"/>
        </w:rPr>
        <w:t xml:space="preserve">.godinu </w:t>
      </w:r>
      <w:r w:rsidR="00341C5C" w:rsidRPr="009A5723">
        <w:rPr>
          <w:rFonts w:ascii="Calibri" w:hAnsi="Calibri" w:cs="Calibri"/>
          <w:sz w:val="24"/>
          <w:szCs w:val="24"/>
        </w:rPr>
        <w:t xml:space="preserve">manji su za </w:t>
      </w:r>
      <w:r w:rsidR="007E3D19" w:rsidRPr="009A5723">
        <w:rPr>
          <w:rFonts w:ascii="Calibri" w:hAnsi="Calibri" w:cs="Calibri"/>
          <w:sz w:val="24"/>
          <w:szCs w:val="24"/>
        </w:rPr>
        <w:t>26,49</w:t>
      </w:r>
      <w:r w:rsidR="00E33F78" w:rsidRPr="009A5723">
        <w:rPr>
          <w:rFonts w:ascii="Calibri" w:hAnsi="Calibri" w:cs="Calibri"/>
          <w:sz w:val="24"/>
          <w:szCs w:val="24"/>
        </w:rPr>
        <w:t>%</w:t>
      </w:r>
      <w:r w:rsidR="00487996" w:rsidRPr="009A5723">
        <w:rPr>
          <w:rFonts w:ascii="Calibri" w:hAnsi="Calibri" w:cs="Calibri"/>
          <w:sz w:val="24"/>
          <w:szCs w:val="24"/>
        </w:rPr>
        <w:t xml:space="preserve"> i u </w:t>
      </w:r>
      <w:r w:rsidR="00E33F78" w:rsidRPr="009A5723">
        <w:rPr>
          <w:rFonts w:ascii="Calibri" w:hAnsi="Calibri" w:cs="Calibri"/>
          <w:sz w:val="24"/>
          <w:szCs w:val="24"/>
        </w:rPr>
        <w:t xml:space="preserve">cijelosti se odnose na Grad Trogir. </w:t>
      </w:r>
    </w:p>
    <w:p w14:paraId="3DDE45AF" w14:textId="730C615E" w:rsidR="00B75B13" w:rsidRDefault="00E33F78" w:rsidP="002D130F">
      <w:pPr>
        <w:spacing w:after="0"/>
        <w:jc w:val="both"/>
        <w:rPr>
          <w:rFonts w:ascii="Calibri" w:hAnsi="Calibri" w:cs="Calibri"/>
          <w:sz w:val="24"/>
          <w:szCs w:val="24"/>
        </w:rPr>
      </w:pPr>
      <w:r w:rsidRPr="009A5723">
        <w:rPr>
          <w:rFonts w:ascii="Calibri" w:hAnsi="Calibri" w:cs="Calibri"/>
          <w:sz w:val="24"/>
          <w:szCs w:val="24"/>
        </w:rPr>
        <w:t xml:space="preserve">U okviru </w:t>
      </w:r>
      <w:r w:rsidR="009A5723">
        <w:rPr>
          <w:rFonts w:ascii="Calibri" w:hAnsi="Calibri" w:cs="Calibri"/>
          <w:sz w:val="24"/>
          <w:szCs w:val="24"/>
        </w:rPr>
        <w:t>ovih rashoda</w:t>
      </w:r>
      <w:r w:rsidRPr="009A5723">
        <w:rPr>
          <w:rFonts w:ascii="Calibri" w:hAnsi="Calibri" w:cs="Calibri"/>
          <w:sz w:val="24"/>
          <w:szCs w:val="24"/>
        </w:rPr>
        <w:t xml:space="preserve">, Grad je za tekuće donacije izdvojio </w:t>
      </w:r>
      <w:r w:rsidR="009A5723">
        <w:rPr>
          <w:rFonts w:ascii="Calibri" w:hAnsi="Calibri" w:cs="Calibri"/>
          <w:sz w:val="24"/>
          <w:szCs w:val="24"/>
        </w:rPr>
        <w:t>1.263.966,22</w:t>
      </w:r>
      <w:r w:rsidRPr="009A5723">
        <w:rPr>
          <w:rFonts w:ascii="Calibri" w:hAnsi="Calibri" w:cs="Calibri"/>
          <w:sz w:val="24"/>
          <w:szCs w:val="24"/>
        </w:rPr>
        <w:t xml:space="preserve"> </w:t>
      </w:r>
      <w:r w:rsidR="002D130F" w:rsidRPr="009A5723">
        <w:rPr>
          <w:rFonts w:ascii="Calibri" w:hAnsi="Calibri" w:cs="Calibri"/>
          <w:sz w:val="24"/>
          <w:szCs w:val="24"/>
        </w:rPr>
        <w:t xml:space="preserve">eura </w:t>
      </w:r>
      <w:r w:rsidR="00B75B13" w:rsidRPr="009A5723">
        <w:rPr>
          <w:rFonts w:ascii="Calibri" w:hAnsi="Calibri" w:cs="Calibri"/>
          <w:sz w:val="24"/>
          <w:szCs w:val="24"/>
        </w:rPr>
        <w:t xml:space="preserve">ili </w:t>
      </w:r>
      <w:r w:rsidR="009A5723">
        <w:rPr>
          <w:rFonts w:ascii="Calibri" w:hAnsi="Calibri" w:cs="Calibri"/>
          <w:sz w:val="24"/>
          <w:szCs w:val="24"/>
        </w:rPr>
        <w:t>10,6</w:t>
      </w:r>
      <w:r w:rsidR="00B75B13" w:rsidRPr="009A5723">
        <w:rPr>
          <w:rFonts w:ascii="Calibri" w:hAnsi="Calibri" w:cs="Calibri"/>
          <w:sz w:val="24"/>
          <w:szCs w:val="24"/>
        </w:rPr>
        <w:t>% više u odnosu na prethodnu</w:t>
      </w:r>
      <w:r w:rsidR="009A5723">
        <w:rPr>
          <w:rFonts w:ascii="Calibri" w:hAnsi="Calibri" w:cs="Calibri"/>
          <w:sz w:val="24"/>
          <w:szCs w:val="24"/>
        </w:rPr>
        <w:t xml:space="preserve"> godinu</w:t>
      </w:r>
      <w:r w:rsidR="00B75B13" w:rsidRPr="009A5723">
        <w:rPr>
          <w:rFonts w:ascii="Calibri" w:hAnsi="Calibri" w:cs="Calibri"/>
          <w:sz w:val="24"/>
          <w:szCs w:val="24"/>
        </w:rPr>
        <w:t xml:space="preserve"> dok su kapitalne donacije iznosile </w:t>
      </w:r>
      <w:r w:rsidR="009A5723">
        <w:rPr>
          <w:rFonts w:ascii="Calibri" w:hAnsi="Calibri" w:cs="Calibri"/>
          <w:sz w:val="24"/>
          <w:szCs w:val="24"/>
        </w:rPr>
        <w:t>199.218,94</w:t>
      </w:r>
      <w:r w:rsidR="00B75B13" w:rsidRPr="009A5723">
        <w:rPr>
          <w:rFonts w:ascii="Calibri" w:hAnsi="Calibri" w:cs="Calibri"/>
          <w:sz w:val="24"/>
          <w:szCs w:val="24"/>
        </w:rPr>
        <w:t xml:space="preserve"> eura ili </w:t>
      </w:r>
      <w:r w:rsidR="009A5723">
        <w:rPr>
          <w:rFonts w:ascii="Calibri" w:hAnsi="Calibri" w:cs="Calibri"/>
          <w:sz w:val="24"/>
          <w:szCs w:val="24"/>
        </w:rPr>
        <w:t>18,1</w:t>
      </w:r>
      <w:r w:rsidR="00B75B13" w:rsidRPr="009A5723">
        <w:rPr>
          <w:rFonts w:ascii="Calibri" w:hAnsi="Calibri" w:cs="Calibri"/>
          <w:sz w:val="24"/>
          <w:szCs w:val="24"/>
        </w:rPr>
        <w:t xml:space="preserve">% manje u odnosu na </w:t>
      </w:r>
      <w:r w:rsidR="009A5723">
        <w:rPr>
          <w:rFonts w:ascii="Calibri" w:hAnsi="Calibri" w:cs="Calibri"/>
          <w:sz w:val="24"/>
          <w:szCs w:val="24"/>
        </w:rPr>
        <w:t>ostvarenje 2024</w:t>
      </w:r>
      <w:r w:rsidR="00B75B13" w:rsidRPr="009A5723">
        <w:rPr>
          <w:rFonts w:ascii="Calibri" w:hAnsi="Calibri" w:cs="Calibri"/>
          <w:sz w:val="24"/>
          <w:szCs w:val="24"/>
        </w:rPr>
        <w:t>. godin</w:t>
      </w:r>
      <w:r w:rsidR="009A5723">
        <w:rPr>
          <w:rFonts w:ascii="Calibri" w:hAnsi="Calibri" w:cs="Calibri"/>
          <w:sz w:val="24"/>
          <w:szCs w:val="24"/>
        </w:rPr>
        <w:t>e</w:t>
      </w:r>
      <w:r w:rsidR="00B75B13" w:rsidRPr="002D130F">
        <w:rPr>
          <w:rFonts w:ascii="Calibri" w:hAnsi="Calibri" w:cs="Calibri"/>
          <w:sz w:val="24"/>
          <w:szCs w:val="24"/>
        </w:rPr>
        <w:t>.</w:t>
      </w:r>
    </w:p>
    <w:p w14:paraId="4DE67C00" w14:textId="215242A6" w:rsidR="009A5723" w:rsidRPr="009A5723" w:rsidRDefault="009A5723" w:rsidP="009A5723">
      <w:pPr>
        <w:jc w:val="both"/>
        <w:rPr>
          <w:sz w:val="24"/>
          <w:szCs w:val="24"/>
        </w:rPr>
      </w:pPr>
      <w:r w:rsidRPr="009A5723">
        <w:rPr>
          <w:sz w:val="24"/>
          <w:szCs w:val="24"/>
        </w:rPr>
        <w:t>Tekuće donacije u novcu ostvarene su u iznosu od 1.263.966,22 eura, a odnose se na donacije političkim strankama u iznosu od 31.578,62 eura, donacije u kulturi Pučkom otvorenom učilištu u ukupnom iznosu od 153.699,20 eura ( od kojeg iznosa 34.437,87 eura za redovnu djelatnost i 23.333,32 eura za sufinanciranje djelatnosti u sklopu programa novog kulturno edukativnog centra pod nazivom „</w:t>
      </w:r>
      <w:proofErr w:type="spellStart"/>
      <w:r w:rsidRPr="009A5723">
        <w:rPr>
          <w:sz w:val="24"/>
          <w:szCs w:val="24"/>
        </w:rPr>
        <w:t>Kantun</w:t>
      </w:r>
      <w:proofErr w:type="spellEnd"/>
      <w:r w:rsidRPr="009A5723">
        <w:rPr>
          <w:sz w:val="24"/>
          <w:szCs w:val="24"/>
        </w:rPr>
        <w:t xml:space="preserve"> kulture“ koje je Odlukom Gradskog vijeća dano na upravljanje Pučkom otvorenom učilištu, te udrugama, ustanovama i pojedincima u kulturi u iznosu od 273.519,21 eura, donacije za šport i tehničku kulturu u iznosu od 530.000,00 eura, a odnose se na financiranje Zajednice sportskih udruga, donacije za civilnu zaštitu u ukupnom iznosu od 105.260,00 eura (DVD- redovna djelatnost- 85.260,00 eura te za gorsku službu spašavanja-20.000,00 eura), donacije udrugama, ustanovama i pojedincima za humanitarnu skrb iznos od 130.415,92 eura, donacije braniteljima, braniteljskim obiteljima i udrugama iznos od 12.000,00eura, donacije udrugama iz područja turizma iznos od 106.500,00 eura i to Turističkoj zajednici Grada Trogira za pokriće troškova organizacije Zimske </w:t>
      </w:r>
      <w:proofErr w:type="spellStart"/>
      <w:r w:rsidRPr="009A5723">
        <w:rPr>
          <w:sz w:val="24"/>
          <w:szCs w:val="24"/>
        </w:rPr>
        <w:t>adventure</w:t>
      </w:r>
      <w:proofErr w:type="spellEnd"/>
      <w:r w:rsidRPr="009A5723">
        <w:rPr>
          <w:sz w:val="24"/>
          <w:szCs w:val="24"/>
        </w:rPr>
        <w:t>, Dan žena, trogirsko ljeto i dr.)</w:t>
      </w:r>
    </w:p>
    <w:p w14:paraId="737EAE1C" w14:textId="4366DEAC" w:rsidR="009A5723" w:rsidRPr="00042D2E" w:rsidRDefault="009A5723" w:rsidP="00042D2E">
      <w:pPr>
        <w:jc w:val="both"/>
        <w:rPr>
          <w:sz w:val="24"/>
          <w:szCs w:val="24"/>
        </w:rPr>
      </w:pPr>
      <w:r w:rsidRPr="009A5723">
        <w:rPr>
          <w:sz w:val="24"/>
          <w:szCs w:val="24"/>
        </w:rPr>
        <w:t xml:space="preserve">Kapitalne donacije ostvarene su u iznosu od 199.218,94 eura što je za 18,1% manje u odnosu na prethodnu godinu. Od donacija neprofitnim organizacijama udruzi HVIDRA se isplaćuje </w:t>
      </w:r>
      <w:r w:rsidRPr="009A5723">
        <w:rPr>
          <w:sz w:val="24"/>
          <w:szCs w:val="24"/>
        </w:rPr>
        <w:lastRenderedPageBreak/>
        <w:t xml:space="preserve">2.500 € mjesečno sukladno ugovoru te za 12/2025.g. iznose 25.000,00 eura, dok je za donacije za DVD ostvareno ukupno 110.865,74 eura, od čega za nabavu vatrogasnog vozila MAN u iznosu od 51.421,68 eura, za autocisternu MAN iznos od 46.440,48 eura i za nabavu vatrogasnog plovila iznos od 13.003,58 eura, POU za nabavu reflektora te za baletnih pod u </w:t>
      </w:r>
      <w:proofErr w:type="spellStart"/>
      <w:r w:rsidRPr="009A5723">
        <w:rPr>
          <w:sz w:val="24"/>
          <w:szCs w:val="24"/>
        </w:rPr>
        <w:t>Kantun</w:t>
      </w:r>
      <w:proofErr w:type="spellEnd"/>
      <w:r w:rsidRPr="009A5723">
        <w:rPr>
          <w:sz w:val="24"/>
          <w:szCs w:val="24"/>
        </w:rPr>
        <w:t xml:space="preserve"> kulture iznos od 6.377,95 eura. Kapitalne donacije vjerskim zajednicama ostvarene su u iznosu od 48.000,00 eura i to Hrvatskoj dominikanskoj provinciji za izradu dokumentacije za požarom razorenog samostana </w:t>
      </w:r>
      <w:proofErr w:type="spellStart"/>
      <w:r w:rsidRPr="009A5723">
        <w:rPr>
          <w:sz w:val="24"/>
          <w:szCs w:val="24"/>
        </w:rPr>
        <w:t>Sv.Križ</w:t>
      </w:r>
      <w:proofErr w:type="spellEnd"/>
      <w:r w:rsidRPr="009A5723">
        <w:rPr>
          <w:sz w:val="24"/>
          <w:szCs w:val="24"/>
        </w:rPr>
        <w:t xml:space="preserve"> iznos od 22.000,00 eura i Župnom uredu sv. Ivana Trogirskog u Žedno, </w:t>
      </w:r>
      <w:proofErr w:type="spellStart"/>
      <w:r w:rsidRPr="009A5723">
        <w:rPr>
          <w:sz w:val="24"/>
          <w:szCs w:val="24"/>
        </w:rPr>
        <w:t>Arbanija</w:t>
      </w:r>
      <w:proofErr w:type="spellEnd"/>
      <w:r w:rsidRPr="009A5723">
        <w:rPr>
          <w:sz w:val="24"/>
          <w:szCs w:val="24"/>
        </w:rPr>
        <w:t xml:space="preserve"> u iznosu od 889,28 eura za financiranje nabavke glazbene opreme, zatim 8.000,00 eura franjevačkom samostanu na </w:t>
      </w:r>
      <w:proofErr w:type="spellStart"/>
      <w:r w:rsidRPr="009A5723">
        <w:rPr>
          <w:sz w:val="24"/>
          <w:szCs w:val="24"/>
        </w:rPr>
        <w:t>Dridu</w:t>
      </w:r>
      <w:proofErr w:type="spellEnd"/>
      <w:r w:rsidRPr="009A5723">
        <w:rPr>
          <w:sz w:val="24"/>
          <w:szCs w:val="24"/>
        </w:rPr>
        <w:t xml:space="preserve"> za grijanje, 13.000,00 eura Župi Gospe od Anđela za obnovu crkve i 5.000,00 eura župi sv. Jakova za radove.</w:t>
      </w:r>
    </w:p>
    <w:p w14:paraId="030495D4" w14:textId="026B76CE" w:rsidR="00E33F78" w:rsidRDefault="00126892" w:rsidP="00113ECA">
      <w:pPr>
        <w:spacing w:after="0" w:line="240" w:lineRule="auto"/>
        <w:jc w:val="both"/>
        <w:rPr>
          <w:rFonts w:cstheme="minorHAnsi"/>
          <w:b/>
          <w:sz w:val="24"/>
          <w:szCs w:val="24"/>
        </w:rPr>
      </w:pPr>
      <w:r>
        <w:rPr>
          <w:rFonts w:cstheme="minorHAnsi"/>
          <w:b/>
          <w:sz w:val="24"/>
          <w:szCs w:val="24"/>
        </w:rPr>
        <w:t>2.1.8. Kazne, penali i naknade štet</w:t>
      </w:r>
      <w:r w:rsidR="009A5723">
        <w:rPr>
          <w:rFonts w:cstheme="minorHAnsi"/>
          <w:b/>
          <w:sz w:val="24"/>
          <w:szCs w:val="24"/>
        </w:rPr>
        <w:t>e</w:t>
      </w:r>
      <w:r>
        <w:rPr>
          <w:rFonts w:cstheme="minorHAnsi"/>
          <w:b/>
          <w:sz w:val="24"/>
          <w:szCs w:val="24"/>
        </w:rPr>
        <w:t xml:space="preserve"> </w:t>
      </w:r>
    </w:p>
    <w:p w14:paraId="472AF1AB" w14:textId="5FF8506C" w:rsidR="0040757B" w:rsidRPr="0040757B" w:rsidRDefault="0040757B" w:rsidP="0040757B">
      <w:pPr>
        <w:jc w:val="both"/>
        <w:rPr>
          <w:sz w:val="24"/>
          <w:szCs w:val="24"/>
        </w:rPr>
      </w:pPr>
      <w:r w:rsidRPr="0040757B">
        <w:rPr>
          <w:sz w:val="24"/>
          <w:szCs w:val="24"/>
        </w:rPr>
        <w:t>Kazne, penali i naknade štete  bilježi manje značajno ostvarenje u ovom izvještajnom razdoblju i iznose 11.061,97 eura koji se odnosi na presudu GŽ-3779/2024-2, razlog smanjenja je ostvarenje prošle godine koje se  odnosi na djelomičnu prisilnu naplatu po izvršnosti presude na teret Grada u  predmetu broj P-19/14 u 2024. godini, ovo se odnosi u cijelosti na Grad Trogir.</w:t>
      </w:r>
    </w:p>
    <w:p w14:paraId="79140D74" w14:textId="77777777" w:rsidR="00F202EC" w:rsidRDefault="00F202EC" w:rsidP="00D01B33">
      <w:pPr>
        <w:pStyle w:val="Bezproreda"/>
        <w:jc w:val="both"/>
        <w:rPr>
          <w:sz w:val="24"/>
          <w:szCs w:val="24"/>
        </w:rPr>
      </w:pPr>
    </w:p>
    <w:p w14:paraId="1B00A4DB" w14:textId="41B1C9AC" w:rsidR="00113ECA" w:rsidRPr="00D01B33" w:rsidRDefault="00113ECA" w:rsidP="00D01B33">
      <w:pPr>
        <w:pStyle w:val="Bezproreda"/>
        <w:jc w:val="both"/>
        <w:rPr>
          <w:sz w:val="24"/>
          <w:szCs w:val="24"/>
        </w:rPr>
      </w:pPr>
      <w:r w:rsidRPr="001B1FCA">
        <w:rPr>
          <w:rFonts w:cstheme="minorHAnsi"/>
          <w:b/>
          <w:sz w:val="24"/>
          <w:szCs w:val="24"/>
        </w:rPr>
        <w:t xml:space="preserve">2.2. RASHODI </w:t>
      </w:r>
      <w:r>
        <w:rPr>
          <w:rFonts w:cstheme="minorHAnsi"/>
          <w:b/>
          <w:sz w:val="24"/>
          <w:szCs w:val="24"/>
        </w:rPr>
        <w:t xml:space="preserve">ZA NABAVU NEFINANCIJSKE IMOVINE </w:t>
      </w:r>
    </w:p>
    <w:p w14:paraId="2C1FEA29" w14:textId="7BFF4F31" w:rsidR="000322F8" w:rsidRDefault="002D130F" w:rsidP="000322F8">
      <w:pPr>
        <w:spacing w:after="0"/>
        <w:jc w:val="both"/>
        <w:rPr>
          <w:rFonts w:ascii="Calibri" w:hAnsi="Calibri" w:cs="Calibri"/>
          <w:sz w:val="24"/>
          <w:szCs w:val="24"/>
        </w:rPr>
      </w:pPr>
      <w:r w:rsidRPr="002D130F">
        <w:rPr>
          <w:rFonts w:ascii="Calibri" w:hAnsi="Calibri" w:cs="Calibri"/>
          <w:sz w:val="24"/>
          <w:szCs w:val="24"/>
        </w:rPr>
        <w:t>Rashodi za nabavu nefinancijske imovine</w:t>
      </w:r>
      <w:r w:rsidR="000322F8">
        <w:rPr>
          <w:rFonts w:ascii="Calibri" w:hAnsi="Calibri" w:cs="Calibri"/>
          <w:sz w:val="24"/>
          <w:szCs w:val="24"/>
        </w:rPr>
        <w:t xml:space="preserve"> planirani su u iznosu od </w:t>
      </w:r>
      <w:r w:rsidR="00C459D1">
        <w:rPr>
          <w:rFonts w:ascii="Calibri" w:hAnsi="Calibri" w:cs="Calibri"/>
          <w:sz w:val="24"/>
          <w:szCs w:val="24"/>
        </w:rPr>
        <w:t>8.691.177,59</w:t>
      </w:r>
      <w:r w:rsidR="000322F8">
        <w:rPr>
          <w:rFonts w:ascii="Calibri" w:hAnsi="Calibri" w:cs="Calibri"/>
          <w:sz w:val="24"/>
          <w:szCs w:val="24"/>
        </w:rPr>
        <w:t xml:space="preserve"> eura, a </w:t>
      </w:r>
      <w:r w:rsidRPr="002D130F">
        <w:rPr>
          <w:rFonts w:ascii="Calibri" w:hAnsi="Calibri" w:cs="Calibri"/>
          <w:sz w:val="24"/>
          <w:szCs w:val="24"/>
        </w:rPr>
        <w:t xml:space="preserve"> ostvareni su u iznosu od </w:t>
      </w:r>
      <w:r w:rsidR="00C459D1">
        <w:rPr>
          <w:rFonts w:ascii="Calibri" w:hAnsi="Calibri" w:cs="Calibri"/>
          <w:sz w:val="24"/>
          <w:szCs w:val="24"/>
        </w:rPr>
        <w:t>5.067.707,85</w:t>
      </w:r>
      <w:r w:rsidRPr="002D130F">
        <w:rPr>
          <w:rFonts w:ascii="Calibri" w:hAnsi="Calibri" w:cs="Calibri"/>
          <w:sz w:val="24"/>
          <w:szCs w:val="24"/>
        </w:rPr>
        <w:t xml:space="preserve"> eura ili </w:t>
      </w:r>
      <w:r w:rsidR="000322F8">
        <w:rPr>
          <w:rFonts w:ascii="Calibri" w:hAnsi="Calibri" w:cs="Calibri"/>
          <w:sz w:val="24"/>
          <w:szCs w:val="24"/>
        </w:rPr>
        <w:t xml:space="preserve"> </w:t>
      </w:r>
      <w:r w:rsidR="00C459D1">
        <w:rPr>
          <w:rFonts w:ascii="Calibri" w:hAnsi="Calibri" w:cs="Calibri"/>
          <w:sz w:val="24"/>
          <w:szCs w:val="24"/>
        </w:rPr>
        <w:t>58,31</w:t>
      </w:r>
      <w:r w:rsidR="000322F8">
        <w:rPr>
          <w:rFonts w:ascii="Calibri" w:hAnsi="Calibri" w:cs="Calibri"/>
          <w:sz w:val="24"/>
          <w:szCs w:val="24"/>
        </w:rPr>
        <w:t>% plana, sukladno dinamici odvijanja radova kod pojedinih kapitalnih projekata. U odnosu na ostvarenje u 202</w:t>
      </w:r>
      <w:r w:rsidR="00C459D1">
        <w:rPr>
          <w:rFonts w:ascii="Calibri" w:hAnsi="Calibri" w:cs="Calibri"/>
          <w:sz w:val="24"/>
          <w:szCs w:val="24"/>
        </w:rPr>
        <w:t>4</w:t>
      </w:r>
      <w:r w:rsidR="000322F8">
        <w:rPr>
          <w:rFonts w:ascii="Calibri" w:hAnsi="Calibri" w:cs="Calibri"/>
          <w:sz w:val="24"/>
          <w:szCs w:val="24"/>
        </w:rPr>
        <w:t xml:space="preserve">.godini </w:t>
      </w:r>
      <w:r w:rsidR="00C459D1">
        <w:rPr>
          <w:rFonts w:ascii="Calibri" w:hAnsi="Calibri" w:cs="Calibri"/>
          <w:sz w:val="24"/>
          <w:szCs w:val="24"/>
        </w:rPr>
        <w:t>već</w:t>
      </w:r>
      <w:r w:rsidR="000322F8">
        <w:rPr>
          <w:rFonts w:ascii="Calibri" w:hAnsi="Calibri" w:cs="Calibri"/>
          <w:sz w:val="24"/>
          <w:szCs w:val="24"/>
        </w:rPr>
        <w:t xml:space="preserve">i su za </w:t>
      </w:r>
      <w:r w:rsidRPr="002D130F">
        <w:rPr>
          <w:rFonts w:ascii="Calibri" w:hAnsi="Calibri" w:cs="Calibri"/>
          <w:sz w:val="24"/>
          <w:szCs w:val="24"/>
        </w:rPr>
        <w:t xml:space="preserve">značajnih </w:t>
      </w:r>
      <w:r w:rsidR="00C459D1">
        <w:rPr>
          <w:rFonts w:ascii="Calibri" w:hAnsi="Calibri" w:cs="Calibri"/>
          <w:sz w:val="24"/>
          <w:szCs w:val="24"/>
        </w:rPr>
        <w:t>21,55</w:t>
      </w:r>
      <w:r w:rsidRPr="002D130F">
        <w:rPr>
          <w:rFonts w:ascii="Calibri" w:hAnsi="Calibri" w:cs="Calibri"/>
          <w:sz w:val="24"/>
          <w:szCs w:val="24"/>
        </w:rPr>
        <w:t>%</w:t>
      </w:r>
      <w:r w:rsidR="000322F8">
        <w:rPr>
          <w:rFonts w:ascii="Calibri" w:hAnsi="Calibri" w:cs="Calibri"/>
          <w:sz w:val="24"/>
          <w:szCs w:val="24"/>
        </w:rPr>
        <w:t xml:space="preserve"> ili </w:t>
      </w:r>
      <w:r w:rsidR="00C459D1">
        <w:rPr>
          <w:rFonts w:ascii="Calibri" w:hAnsi="Calibri" w:cs="Calibri"/>
          <w:sz w:val="24"/>
          <w:szCs w:val="24"/>
        </w:rPr>
        <w:t>898.498,43</w:t>
      </w:r>
      <w:r w:rsidR="000322F8">
        <w:rPr>
          <w:rFonts w:ascii="Calibri" w:hAnsi="Calibri" w:cs="Calibri"/>
          <w:sz w:val="24"/>
          <w:szCs w:val="24"/>
        </w:rPr>
        <w:t xml:space="preserve"> eura</w:t>
      </w:r>
      <w:r w:rsidRPr="002D130F">
        <w:rPr>
          <w:rFonts w:ascii="Calibri" w:hAnsi="Calibri" w:cs="Calibri"/>
          <w:sz w:val="24"/>
          <w:szCs w:val="24"/>
        </w:rPr>
        <w:t xml:space="preserve">. </w:t>
      </w:r>
    </w:p>
    <w:p w14:paraId="79C26B91" w14:textId="132C0703" w:rsidR="00AB7695" w:rsidRPr="00C459D1" w:rsidRDefault="00AB7695" w:rsidP="00C459D1">
      <w:pPr>
        <w:jc w:val="both"/>
        <w:rPr>
          <w:sz w:val="24"/>
          <w:szCs w:val="24"/>
        </w:rPr>
      </w:pPr>
      <w:r w:rsidRPr="00C459D1">
        <w:rPr>
          <w:sz w:val="24"/>
          <w:szCs w:val="24"/>
        </w:rPr>
        <w:t>Grad Trogir je utrošio za nabavu nefinancijske imovine 4.877.010,40 eura, dok su proračunski korisnici utrošili za nabavu nefinancijske imovine iznos od 190.697,45 eura. </w:t>
      </w:r>
    </w:p>
    <w:p w14:paraId="190C2AEF" w14:textId="77777777" w:rsidR="002D130F" w:rsidRPr="00B1166E" w:rsidRDefault="002D130F" w:rsidP="002D130F">
      <w:pPr>
        <w:spacing w:after="0" w:line="240" w:lineRule="auto"/>
        <w:jc w:val="both"/>
        <w:rPr>
          <w:rFonts w:ascii="Calibri" w:hAnsi="Calibri" w:cs="Calibri"/>
          <w:sz w:val="24"/>
          <w:szCs w:val="24"/>
        </w:rPr>
      </w:pPr>
      <w:r w:rsidRPr="00B1166E">
        <w:rPr>
          <w:rFonts w:cstheme="minorHAnsi"/>
          <w:bCs/>
          <w:sz w:val="24"/>
          <w:szCs w:val="24"/>
          <w:u w:val="single"/>
        </w:rPr>
        <w:t xml:space="preserve">2.2.1. Rashodi za nabavu </w:t>
      </w:r>
      <w:proofErr w:type="spellStart"/>
      <w:r w:rsidRPr="00B1166E">
        <w:rPr>
          <w:rFonts w:cstheme="minorHAnsi"/>
          <w:bCs/>
          <w:sz w:val="24"/>
          <w:szCs w:val="24"/>
          <w:u w:val="single"/>
        </w:rPr>
        <w:t>neproizvedene</w:t>
      </w:r>
      <w:proofErr w:type="spellEnd"/>
      <w:r w:rsidRPr="00B1166E">
        <w:rPr>
          <w:rFonts w:cstheme="minorHAnsi"/>
          <w:bCs/>
          <w:sz w:val="24"/>
          <w:szCs w:val="24"/>
          <w:u w:val="single"/>
        </w:rPr>
        <w:t xml:space="preserve"> dugotrajne imovine</w:t>
      </w:r>
    </w:p>
    <w:p w14:paraId="3C3FD673" w14:textId="7812DD47" w:rsidR="00224EFE" w:rsidRPr="00224EFE" w:rsidRDefault="00EE1180" w:rsidP="00224EFE">
      <w:pPr>
        <w:jc w:val="both"/>
        <w:rPr>
          <w:sz w:val="24"/>
          <w:szCs w:val="24"/>
        </w:rPr>
      </w:pPr>
      <w:r w:rsidRPr="00EE1180">
        <w:rPr>
          <w:sz w:val="24"/>
          <w:szCs w:val="24"/>
        </w:rPr>
        <w:t xml:space="preserve">Od ukupnih rashoda za nabavu nefinancijske imovine, na rashode za nabavu </w:t>
      </w:r>
      <w:proofErr w:type="spellStart"/>
      <w:r w:rsidRPr="00EE1180">
        <w:rPr>
          <w:sz w:val="24"/>
          <w:szCs w:val="24"/>
        </w:rPr>
        <w:t>neproizvedene</w:t>
      </w:r>
      <w:proofErr w:type="spellEnd"/>
      <w:r w:rsidRPr="00EE1180">
        <w:rPr>
          <w:sz w:val="24"/>
          <w:szCs w:val="24"/>
        </w:rPr>
        <w:t xml:space="preserve"> dugotrajne imovine odnosi se iznos od 339.114,84 eura, što je za 106,5% više u odnosu na izvještajno razdoblje prethodne godine i to 290.824,32 eura iznos na materijalnu imovinu –prirodna bogatstva, a odnosi se na otkup zemljišta  temeljem Rješenja o izvlaštenju za proširenje Ulice Ante Starčevića u Trogiru u iznosu od 192.372,10 eura, otkup zemljišta u svrhu proširenja ulice Rimski put u iznosu od 19.075,99 eura, te otkup zemljišta u za izgradnju novog dječjeg igrališta u naselju </w:t>
      </w:r>
      <w:proofErr w:type="spellStart"/>
      <w:r w:rsidRPr="00EE1180">
        <w:rPr>
          <w:sz w:val="24"/>
          <w:szCs w:val="24"/>
        </w:rPr>
        <w:t>Arbanija</w:t>
      </w:r>
      <w:proofErr w:type="spellEnd"/>
      <w:r w:rsidRPr="00EE1180">
        <w:rPr>
          <w:sz w:val="24"/>
          <w:szCs w:val="24"/>
        </w:rPr>
        <w:t xml:space="preserve"> u iznosu od 78.880,00 eura. Iznos od 48.290,52 eura odnosi se na šifru 412- nematerijalna imovina, Grad </w:t>
      </w:r>
      <w:proofErr w:type="spellStart"/>
      <w:r w:rsidRPr="00EE1180">
        <w:rPr>
          <w:sz w:val="24"/>
          <w:szCs w:val="24"/>
        </w:rPr>
        <w:t>trogir</w:t>
      </w:r>
      <w:proofErr w:type="spellEnd"/>
      <w:r w:rsidRPr="00EE1180">
        <w:rPr>
          <w:sz w:val="24"/>
          <w:szCs w:val="24"/>
        </w:rPr>
        <w:t xml:space="preserve"> bilježi ostvarenje ove skupine u iznosu od 41.772,34 eura, riječ je o digitalizaciji gradske uprave te za nabavu nove web informativne platforme, projekt naziva Trogir Digital, dok se preostali iznos od 6.518,18 eura odnosi na proračunske korisnike i to 4.725,00 eura kod dječjeg vrtića Trogir i to za implementaciju novih programskih rješenja, iznos od 771,60 eura kod JVP Grada Trogira,  600,00 eura kod JU Sportski objekti Trogir i Gradska knjižnica Trogir iznos od 421,58 eura.</w:t>
      </w:r>
    </w:p>
    <w:p w14:paraId="24D2EF44" w14:textId="02D7D66A" w:rsidR="0088796A" w:rsidRPr="00B1166E" w:rsidRDefault="0088796A" w:rsidP="0088796A">
      <w:pPr>
        <w:spacing w:after="0" w:line="240" w:lineRule="auto"/>
        <w:jc w:val="both"/>
        <w:rPr>
          <w:rFonts w:cstheme="minorHAnsi"/>
          <w:bCs/>
          <w:sz w:val="24"/>
          <w:szCs w:val="24"/>
          <w:u w:val="single"/>
        </w:rPr>
      </w:pPr>
      <w:r w:rsidRPr="00B1166E">
        <w:rPr>
          <w:rFonts w:cstheme="minorHAnsi"/>
          <w:bCs/>
          <w:sz w:val="24"/>
          <w:szCs w:val="24"/>
          <w:u w:val="single"/>
        </w:rPr>
        <w:t xml:space="preserve">2.2.2. Rashodi za nabavu proizvedene dugotrajne imovine </w:t>
      </w:r>
    </w:p>
    <w:p w14:paraId="43319B2C" w14:textId="77777777" w:rsidR="000A01AB" w:rsidRDefault="00EE1180" w:rsidP="000A01AB">
      <w:pPr>
        <w:spacing w:after="0"/>
        <w:jc w:val="both"/>
        <w:rPr>
          <w:sz w:val="24"/>
          <w:szCs w:val="24"/>
        </w:rPr>
      </w:pPr>
      <w:r w:rsidRPr="00EE1180">
        <w:rPr>
          <w:sz w:val="24"/>
          <w:szCs w:val="24"/>
        </w:rPr>
        <w:t xml:space="preserve">Rashodi za nabavu proizvedene dugotrajne imovine realizirani su u iznosu od 4.636.213,06 eura ili 15,8% više od ostvarenja u izvještajnom razdoblju prethodne godine, na Grad Trogir </w:t>
      </w:r>
      <w:r w:rsidRPr="00EE1180">
        <w:rPr>
          <w:sz w:val="24"/>
          <w:szCs w:val="24"/>
        </w:rPr>
        <w:lastRenderedPageBreak/>
        <w:t>otpada iznos od 4.454.533,79 eura koji iznos je veći za 24,5% od ostvarenja prethodne godine i to na:</w:t>
      </w:r>
    </w:p>
    <w:p w14:paraId="39FF9E54" w14:textId="6B15ECFD" w:rsidR="00EE1180" w:rsidRDefault="00EE1180" w:rsidP="000A01AB">
      <w:pPr>
        <w:spacing w:after="0"/>
        <w:jc w:val="both"/>
        <w:rPr>
          <w:sz w:val="24"/>
          <w:szCs w:val="24"/>
        </w:rPr>
      </w:pPr>
      <w:r w:rsidRPr="000A01AB">
        <w:rPr>
          <w:sz w:val="24"/>
          <w:szCs w:val="24"/>
          <w:u w:val="single"/>
        </w:rPr>
        <w:t>rashode za građevinske objekte</w:t>
      </w:r>
      <w:r w:rsidRPr="00EE1180">
        <w:rPr>
          <w:sz w:val="24"/>
          <w:szCs w:val="24"/>
        </w:rPr>
        <w:t xml:space="preserve"> ostvarene u iznosu od 3.918.756,72 eura ili 31% više  ostvarenju prethodne godine, a odnose se u značajnijem iznosu na  hitnu sanaciju kuće </w:t>
      </w:r>
      <w:proofErr w:type="spellStart"/>
      <w:r w:rsidRPr="00EE1180">
        <w:rPr>
          <w:sz w:val="24"/>
          <w:szCs w:val="24"/>
        </w:rPr>
        <w:t>Puović</w:t>
      </w:r>
      <w:proofErr w:type="spellEnd"/>
      <w:r w:rsidRPr="00EE1180">
        <w:rPr>
          <w:sz w:val="24"/>
          <w:szCs w:val="24"/>
        </w:rPr>
        <w:t xml:space="preserve"> na Malariji uključujući i usluge koordinatora II u iznosu od 182.248,67 eura, izradu plana izvođenja radova te početak rekonstrukcije dijela ulice Ante Starčevića u iznosu od 1.024.733,34 eura, rekonstrukcija ulice Tina Ujevića iznos od 171.632,91 eura ( izvođenje radova, nadzor), izradu projektne dokumentacije za projekt izgradnje nove sportske dvorane u iznosu od 33.246,72 eura,  izgradnju obalnog pojasa </w:t>
      </w:r>
      <w:proofErr w:type="spellStart"/>
      <w:r w:rsidRPr="00EE1180">
        <w:rPr>
          <w:sz w:val="24"/>
          <w:szCs w:val="24"/>
        </w:rPr>
        <w:t>Brigi</w:t>
      </w:r>
      <w:proofErr w:type="spellEnd"/>
      <w:r w:rsidRPr="00EE1180">
        <w:rPr>
          <w:sz w:val="24"/>
          <w:szCs w:val="24"/>
        </w:rPr>
        <w:t xml:space="preserve"> Lokvice (dionica od parkirališta do malog mosta) u iznosu ostvarenja od 745.305,91 eura za radove, nadzor i koordinatora II, izgradnju obalnog pojasa </w:t>
      </w:r>
      <w:proofErr w:type="spellStart"/>
      <w:r w:rsidRPr="00EE1180">
        <w:rPr>
          <w:sz w:val="24"/>
          <w:szCs w:val="24"/>
        </w:rPr>
        <w:t>Brigi</w:t>
      </w:r>
      <w:proofErr w:type="spellEnd"/>
      <w:r w:rsidRPr="00EE1180">
        <w:rPr>
          <w:sz w:val="24"/>
          <w:szCs w:val="24"/>
        </w:rPr>
        <w:t xml:space="preserve"> Lokvice s biciklističkom stazom (dionica od športske luke do Pantana) u iznosu ostvarenja od 409.669,07 eura (radovi, nadzor i zaštitu na radu),  izgradnju poligona za autoškolu u Planom u iznosu od 43.550,00 eura, izradu projektne dokumentacije za projekt obnove parka </w:t>
      </w:r>
      <w:proofErr w:type="spellStart"/>
      <w:r w:rsidRPr="00EE1180">
        <w:rPr>
          <w:sz w:val="24"/>
          <w:szCs w:val="24"/>
        </w:rPr>
        <w:t>Garagnin</w:t>
      </w:r>
      <w:proofErr w:type="spellEnd"/>
      <w:r w:rsidRPr="00EE1180">
        <w:rPr>
          <w:sz w:val="24"/>
          <w:szCs w:val="24"/>
        </w:rPr>
        <w:t xml:space="preserve"> u iznosu od 441.670,98 eura (radovi), za izgradnju javne rasvjete u ukupnom iznosu od 140.606,38 eura (u ulici Put Mulina, ulici Rimski put, cesta </w:t>
      </w:r>
      <w:proofErr w:type="spellStart"/>
      <w:r w:rsidRPr="00EE1180">
        <w:rPr>
          <w:sz w:val="24"/>
          <w:szCs w:val="24"/>
        </w:rPr>
        <w:t>Divulje</w:t>
      </w:r>
      <w:proofErr w:type="spellEnd"/>
      <w:r w:rsidRPr="00EE1180">
        <w:rPr>
          <w:sz w:val="24"/>
          <w:szCs w:val="24"/>
        </w:rPr>
        <w:t xml:space="preserve"> i put sv. Marte, u Žednom, u ulici Ante Starčevića, u naselju </w:t>
      </w:r>
      <w:proofErr w:type="spellStart"/>
      <w:r w:rsidRPr="00EE1180">
        <w:rPr>
          <w:sz w:val="24"/>
          <w:szCs w:val="24"/>
        </w:rPr>
        <w:t>Plano</w:t>
      </w:r>
      <w:proofErr w:type="spellEnd"/>
      <w:r w:rsidRPr="00EE1180">
        <w:rPr>
          <w:sz w:val="24"/>
          <w:szCs w:val="24"/>
        </w:rPr>
        <w:t xml:space="preserve">, u naselju </w:t>
      </w:r>
      <w:proofErr w:type="spellStart"/>
      <w:r w:rsidRPr="00EE1180">
        <w:rPr>
          <w:sz w:val="24"/>
          <w:szCs w:val="24"/>
        </w:rPr>
        <w:t>Miševac</w:t>
      </w:r>
      <w:proofErr w:type="spellEnd"/>
      <w:r w:rsidRPr="00EE1180">
        <w:rPr>
          <w:sz w:val="24"/>
          <w:szCs w:val="24"/>
        </w:rPr>
        <w:t xml:space="preserve"> i </w:t>
      </w:r>
      <w:proofErr w:type="spellStart"/>
      <w:r w:rsidRPr="00EE1180">
        <w:rPr>
          <w:sz w:val="24"/>
          <w:szCs w:val="24"/>
        </w:rPr>
        <w:t>Mastrinka</w:t>
      </w:r>
      <w:proofErr w:type="spellEnd"/>
      <w:r w:rsidRPr="00EE1180">
        <w:rPr>
          <w:sz w:val="24"/>
          <w:szCs w:val="24"/>
        </w:rPr>
        <w:t xml:space="preserve">, na otoku Čiovo, u ulici Put </w:t>
      </w:r>
      <w:proofErr w:type="spellStart"/>
      <w:r w:rsidRPr="00EE1180">
        <w:rPr>
          <w:sz w:val="24"/>
          <w:szCs w:val="24"/>
        </w:rPr>
        <w:t>Krbana</w:t>
      </w:r>
      <w:proofErr w:type="spellEnd"/>
      <w:r w:rsidRPr="00EE1180">
        <w:rPr>
          <w:sz w:val="24"/>
          <w:szCs w:val="24"/>
        </w:rPr>
        <w:t xml:space="preserve"> i dr.), izgradnju obalnog pojasa na </w:t>
      </w:r>
      <w:proofErr w:type="spellStart"/>
      <w:r w:rsidRPr="00EE1180">
        <w:rPr>
          <w:sz w:val="24"/>
          <w:szCs w:val="24"/>
        </w:rPr>
        <w:t>Saldunu</w:t>
      </w:r>
      <w:proofErr w:type="spellEnd"/>
      <w:r w:rsidRPr="00EE1180">
        <w:rPr>
          <w:sz w:val="24"/>
          <w:szCs w:val="24"/>
        </w:rPr>
        <w:t xml:space="preserve"> u iznosu od 31.875,00 eura, dokumentaciju za rekonstrukciju zapadne Čiovske obale s trgom Lučica u iznosu od 18.868,75 eura,  dokumentaciju za uređenje trga sv. Dominika u iznosu od 11.250,00 eura, uređenje trga Rudine na Drveniku Malom u iznosu od 95.470,47 eura i dr.</w:t>
      </w:r>
    </w:p>
    <w:p w14:paraId="20CFFFF6" w14:textId="77777777" w:rsidR="000A01AB" w:rsidRPr="00EE1180" w:rsidRDefault="000A01AB" w:rsidP="000A01AB">
      <w:pPr>
        <w:spacing w:after="0"/>
        <w:jc w:val="both"/>
        <w:rPr>
          <w:sz w:val="24"/>
          <w:szCs w:val="24"/>
        </w:rPr>
      </w:pPr>
    </w:p>
    <w:p w14:paraId="492C5A5E" w14:textId="77777777" w:rsidR="00EE1180" w:rsidRDefault="00EE1180" w:rsidP="00EE1180">
      <w:pPr>
        <w:jc w:val="both"/>
        <w:rPr>
          <w:sz w:val="24"/>
          <w:szCs w:val="24"/>
        </w:rPr>
      </w:pPr>
      <w:r w:rsidRPr="00EE1180">
        <w:rPr>
          <w:sz w:val="24"/>
          <w:szCs w:val="24"/>
        </w:rPr>
        <w:t xml:space="preserve">Na proračunske korisnike odnosi se ukupni iznos rashoda za nabavu proizvedene dugotrajne imovine (šifra 42) u iznosu od 181.679,27 eura i to kod Muzeja Grada Trogira iznos od 15.005,18 eura što je za 143,7% više od ostvarenja prethodne godine (uredska oprema i namještaj, nabava info pulta, police i postamenti za skulpture-12.376,15 eura), knjige, umjetnička djela i ostale izložbene vrijednosti 2.629,03 eura (nabava knjiga i muzejski </w:t>
      </w:r>
      <w:proofErr w:type="spellStart"/>
      <w:r w:rsidRPr="00EE1180">
        <w:rPr>
          <w:sz w:val="24"/>
          <w:szCs w:val="24"/>
        </w:rPr>
        <w:t>izlosci</w:t>
      </w:r>
      <w:proofErr w:type="spellEnd"/>
      <w:r w:rsidRPr="00EE1180">
        <w:rPr>
          <w:sz w:val="24"/>
          <w:szCs w:val="24"/>
        </w:rPr>
        <w:t xml:space="preserve">), kod Dječjeg vrtića Trogir imamo ostvarenje od 8.854,68 eura ili značajnih 84,4% manje od ostvarenje prethodne godine (nabava profesionalnog štapnog miksera za centralnu kuhinju i namještaja za odgojno obrazovne skupine te rashodi za implementaciju novih programskih rješenja), kod Gradske knjižnice Trogir imamo ostvarenje od 20.898,68 eura i to u cijelosti za nabavu knjižne građe) kod JU Športski objekti Trogir imamo ostvarenje od 98.626,17 eura što je za značajnih 68,8% manje od ostvarenja prethodne godine i to za izgradnju dječjeg igrališta u Krtinama, preostali iznos od 38.294,56 eura se odnosi na ostvarenje JVP Trogir i bilježi povećanje od 44% u odnosu na ostvarenje prethodne godine, a odnosi se na nabavu opreme za održavanje i zaštitu kao što su mlaznice, nosila i ostala oprema potrebna za opremanje vozila i rad na terenu te dijelom na uredsku i komunikacijsku opremu kao što su nabava termalne kamere i </w:t>
      </w:r>
      <w:proofErr w:type="spellStart"/>
      <w:r w:rsidRPr="00EE1180">
        <w:rPr>
          <w:sz w:val="24"/>
          <w:szCs w:val="24"/>
        </w:rPr>
        <w:t>spuštalice</w:t>
      </w:r>
      <w:proofErr w:type="spellEnd"/>
      <w:r w:rsidRPr="00EE1180">
        <w:rPr>
          <w:sz w:val="24"/>
          <w:szCs w:val="24"/>
        </w:rPr>
        <w:t xml:space="preserve"> te njezinih popratnih dijelova</w:t>
      </w:r>
      <w:r>
        <w:rPr>
          <w:sz w:val="24"/>
          <w:szCs w:val="24"/>
        </w:rPr>
        <w:t>,</w:t>
      </w:r>
    </w:p>
    <w:p w14:paraId="0BE65260" w14:textId="77777777" w:rsidR="00EE1180" w:rsidRDefault="00EE1180" w:rsidP="00EE1180">
      <w:pPr>
        <w:jc w:val="both"/>
        <w:rPr>
          <w:sz w:val="24"/>
          <w:szCs w:val="24"/>
        </w:rPr>
      </w:pPr>
      <w:r w:rsidRPr="000A01AB">
        <w:rPr>
          <w:sz w:val="24"/>
          <w:szCs w:val="24"/>
          <w:u w:val="single"/>
        </w:rPr>
        <w:t>na rashode za postrojenja i opremu</w:t>
      </w:r>
      <w:r w:rsidRPr="00EE1180">
        <w:rPr>
          <w:sz w:val="24"/>
          <w:szCs w:val="24"/>
        </w:rPr>
        <w:t xml:space="preserve"> u iznosu od 432.757,69 eura ili 28,8% manje od ostvarenja prethodne godine zbog ostvarenja rashoda za projekt opremanja u sklopu Adaptacija kino dvorane u Trogiru (novi edukacijsko- kulturni centar) sufinanciran iz EU fondova (SAFU) temeljem Ugovora o dodjeli bespovratnih sredstava br. KK.06.2.2.12.0004 za projekte financirane iz Europskih strukturnih i investicijskih fondova u pozivu za natječaj </w:t>
      </w:r>
      <w:proofErr w:type="spellStart"/>
      <w:r w:rsidRPr="00EE1180">
        <w:rPr>
          <w:sz w:val="24"/>
          <w:szCs w:val="24"/>
        </w:rPr>
        <w:t>Brownfield</w:t>
      </w:r>
      <w:proofErr w:type="spellEnd"/>
      <w:r w:rsidRPr="00EE1180">
        <w:rPr>
          <w:sz w:val="24"/>
          <w:szCs w:val="24"/>
        </w:rPr>
        <w:t xml:space="preserve"> na području Urbane aglomeracije Split, nacionalne komponente i Ministarstva kulture u </w:t>
      </w:r>
      <w:r w:rsidRPr="00EE1180">
        <w:rPr>
          <w:sz w:val="24"/>
          <w:szCs w:val="24"/>
        </w:rPr>
        <w:lastRenderedPageBreak/>
        <w:t xml:space="preserve">ukupnom iznosu ostvarenja od 247.783,50 eura. U ovom izvještajnom razdoblju ostvarenje se odnosi na nabavu opreme za uređenje dječjeg igrališta na </w:t>
      </w:r>
      <w:proofErr w:type="spellStart"/>
      <w:r w:rsidRPr="00EE1180">
        <w:rPr>
          <w:sz w:val="24"/>
          <w:szCs w:val="24"/>
        </w:rPr>
        <w:t>Balančanama</w:t>
      </w:r>
      <w:proofErr w:type="spellEnd"/>
      <w:r w:rsidRPr="00EE1180">
        <w:rPr>
          <w:sz w:val="24"/>
          <w:szCs w:val="24"/>
        </w:rPr>
        <w:t xml:space="preserve"> u iznosu od 153.031,25 eura, opreme za plaže u iznosu od 37.338,75 eura, opremanje igrališta </w:t>
      </w:r>
      <w:proofErr w:type="spellStart"/>
      <w:r w:rsidRPr="00EE1180">
        <w:rPr>
          <w:sz w:val="24"/>
          <w:szCs w:val="24"/>
        </w:rPr>
        <w:t>Saldun</w:t>
      </w:r>
      <w:proofErr w:type="spellEnd"/>
      <w:r w:rsidRPr="00EE1180">
        <w:rPr>
          <w:sz w:val="24"/>
          <w:szCs w:val="24"/>
        </w:rPr>
        <w:t xml:space="preserve"> u iznosu od 23.000,00 eura te opremanje kontrolne sobe za videonadzor u iznosu od 9.992,50 eura , dok se značajniji iznos od 75.327,50 eura odnosi na nabavu opreme za unaprjeđenje sustava javnih bicikli ( stalci i terminali za bicikle).</w:t>
      </w:r>
    </w:p>
    <w:p w14:paraId="4C6F506F" w14:textId="42F4DE8C" w:rsidR="00EE1180" w:rsidRPr="00EE1180" w:rsidRDefault="00EE1180" w:rsidP="00EE1180">
      <w:pPr>
        <w:jc w:val="both"/>
        <w:rPr>
          <w:sz w:val="24"/>
          <w:szCs w:val="24"/>
        </w:rPr>
      </w:pPr>
      <w:r w:rsidRPr="00C412F6">
        <w:rPr>
          <w:sz w:val="24"/>
          <w:szCs w:val="24"/>
          <w:u w:val="single"/>
        </w:rPr>
        <w:t>Rashodi za prijevozna sredstva</w:t>
      </w:r>
      <w:r w:rsidRPr="00EE1180">
        <w:rPr>
          <w:sz w:val="24"/>
          <w:szCs w:val="24"/>
        </w:rPr>
        <w:t xml:space="preserve"> bilježe ostvarenje u izvještajnom razdoblju 2025.godine u iznosu od 85.491,00 eura i to za nabavu vozila Škoda </w:t>
      </w:r>
      <w:proofErr w:type="spellStart"/>
      <w:r w:rsidRPr="00EE1180">
        <w:rPr>
          <w:sz w:val="24"/>
          <w:szCs w:val="24"/>
        </w:rPr>
        <w:t>Karoq</w:t>
      </w:r>
      <w:proofErr w:type="spellEnd"/>
      <w:r w:rsidRPr="00EE1180">
        <w:rPr>
          <w:sz w:val="24"/>
          <w:szCs w:val="24"/>
        </w:rPr>
        <w:t xml:space="preserve"> u iznosu od 30.750,00</w:t>
      </w:r>
      <w:r w:rsidR="001A1421">
        <w:rPr>
          <w:sz w:val="24"/>
          <w:szCs w:val="24"/>
        </w:rPr>
        <w:t xml:space="preserve"> </w:t>
      </w:r>
      <w:r w:rsidRPr="00EE1180">
        <w:rPr>
          <w:sz w:val="24"/>
          <w:szCs w:val="24"/>
        </w:rPr>
        <w:t>eura i za unaprjeđenje sustava javnih bicikli iznos od 54.741,00 eura i u cijelosti pripadaju Gradu Trogiru.</w:t>
      </w:r>
    </w:p>
    <w:p w14:paraId="539EB97D" w14:textId="47C0A827" w:rsidR="00486392" w:rsidRPr="00486392" w:rsidRDefault="00486392" w:rsidP="00486392">
      <w:pPr>
        <w:jc w:val="both"/>
        <w:rPr>
          <w:sz w:val="24"/>
          <w:szCs w:val="24"/>
        </w:rPr>
      </w:pPr>
      <w:r w:rsidRPr="00C412F6">
        <w:rPr>
          <w:sz w:val="24"/>
          <w:szCs w:val="24"/>
          <w:u w:val="single"/>
        </w:rPr>
        <w:t>Višegodišnji nasadi i osnovno stado</w:t>
      </w:r>
      <w:r w:rsidRPr="00486392">
        <w:rPr>
          <w:sz w:val="24"/>
          <w:szCs w:val="24"/>
        </w:rPr>
        <w:t xml:space="preserve"> bilježi iznos od 41.281,75 eura ili 243,6 % više od ostvarenja prethodne godine, a  odnosi se na sadnju stabala u sklopu projekta provedbe mjera klimatskih promjena i pripada u cijelosti Gradu Trogiru, </w:t>
      </w:r>
    </w:p>
    <w:p w14:paraId="132EC5D0" w14:textId="0028CC4C" w:rsidR="00486392" w:rsidRPr="00486392" w:rsidRDefault="00486392" w:rsidP="00486392">
      <w:pPr>
        <w:jc w:val="both"/>
        <w:rPr>
          <w:sz w:val="24"/>
          <w:szCs w:val="24"/>
        </w:rPr>
      </w:pPr>
      <w:r w:rsidRPr="00486392">
        <w:rPr>
          <w:sz w:val="24"/>
          <w:szCs w:val="24"/>
        </w:rPr>
        <w:t xml:space="preserve">Na ostalu nematerijalnu proizvedenu imovinu  ide iznos od 42.943,75 eura ili 42,7% manje od ostvarenja prethodne godine, a odnose se najvećim dijelom na izradu geodetskog snimka javnih površina u iznosu od 1.500,00 eura, geodetski snimak odvodne infrastrukture u iznosu od 11.250,00 eura,  geodetski snimak nerazvrstanih cesta u iznosu od 4.825,00 eura,  izradu nove katastarsko geodetske podloge za izradu UPU </w:t>
      </w:r>
      <w:proofErr w:type="spellStart"/>
      <w:r w:rsidRPr="00486392">
        <w:rPr>
          <w:sz w:val="24"/>
          <w:szCs w:val="24"/>
        </w:rPr>
        <w:t>Cocina</w:t>
      </w:r>
      <w:proofErr w:type="spellEnd"/>
      <w:r w:rsidRPr="00486392">
        <w:rPr>
          <w:sz w:val="24"/>
          <w:szCs w:val="24"/>
        </w:rPr>
        <w:t xml:space="preserve"> draga u iznosu od 4.500,00 eura, te na usluge terenske izmjere objekata za evidenciju komunalne naknade u naselju </w:t>
      </w:r>
      <w:proofErr w:type="spellStart"/>
      <w:r w:rsidRPr="00486392">
        <w:rPr>
          <w:sz w:val="24"/>
          <w:szCs w:val="24"/>
        </w:rPr>
        <w:t>Mastrinka</w:t>
      </w:r>
      <w:proofErr w:type="spellEnd"/>
      <w:r w:rsidRPr="00486392">
        <w:rPr>
          <w:sz w:val="24"/>
          <w:szCs w:val="24"/>
        </w:rPr>
        <w:t xml:space="preserve"> u iznosu ostvarenja od 9.937,50 eura, kao i za uslugu terenske izmjere objekata za evidenciju komunalne naknade u naselju Drvenik veliki i Mali u iznosu od 10.931,25 eura.</w:t>
      </w:r>
    </w:p>
    <w:p w14:paraId="1F4AE35C" w14:textId="01CEC8B2" w:rsidR="00486392" w:rsidRPr="00486392" w:rsidRDefault="00486392" w:rsidP="00486392">
      <w:pPr>
        <w:jc w:val="both"/>
        <w:rPr>
          <w:sz w:val="24"/>
          <w:szCs w:val="24"/>
        </w:rPr>
      </w:pPr>
      <w:r w:rsidRPr="00C412F6">
        <w:rPr>
          <w:sz w:val="24"/>
          <w:szCs w:val="24"/>
          <w:u w:val="single"/>
        </w:rPr>
        <w:t>Rashodi za dodatna ulaganja na nefinancijskoj imovini</w:t>
      </w:r>
      <w:r w:rsidRPr="00486392">
        <w:rPr>
          <w:sz w:val="24"/>
          <w:szCs w:val="24"/>
        </w:rPr>
        <w:t xml:space="preserve"> ne bilježe ostvarenje lani, dok u izvještajnom razdoblju iznose 89.879,95 eura</w:t>
      </w:r>
      <w:r>
        <w:rPr>
          <w:sz w:val="24"/>
          <w:szCs w:val="24"/>
        </w:rPr>
        <w:t xml:space="preserve"> ili 40,12% godišnjeg plana</w:t>
      </w:r>
      <w:r w:rsidRPr="00486392">
        <w:rPr>
          <w:sz w:val="24"/>
          <w:szCs w:val="24"/>
        </w:rPr>
        <w:t xml:space="preserve"> i to kod Grada Trogira, a odnose se na dodatna ulaganja na sportskoj dvorani Vinko </w:t>
      </w:r>
      <w:proofErr w:type="spellStart"/>
      <w:r w:rsidRPr="00486392">
        <w:rPr>
          <w:sz w:val="24"/>
          <w:szCs w:val="24"/>
        </w:rPr>
        <w:t>Kandija</w:t>
      </w:r>
      <w:proofErr w:type="spellEnd"/>
      <w:r w:rsidRPr="00486392">
        <w:rPr>
          <w:sz w:val="24"/>
          <w:szCs w:val="24"/>
        </w:rPr>
        <w:t xml:space="preserve"> za nabavu, montažu E</w:t>
      </w:r>
      <w:r>
        <w:rPr>
          <w:sz w:val="24"/>
          <w:szCs w:val="24"/>
        </w:rPr>
        <w:t>-</w:t>
      </w:r>
      <w:r w:rsidRPr="00486392">
        <w:rPr>
          <w:sz w:val="24"/>
          <w:szCs w:val="24"/>
        </w:rPr>
        <w:t>punionice.</w:t>
      </w:r>
    </w:p>
    <w:p w14:paraId="7A0DEE5C" w14:textId="06BFF564" w:rsidR="000322F8" w:rsidRDefault="0088796A" w:rsidP="000322F8">
      <w:pPr>
        <w:spacing w:line="240" w:lineRule="auto"/>
        <w:jc w:val="both"/>
        <w:rPr>
          <w:rFonts w:cstheme="minorHAnsi"/>
          <w:b/>
          <w:sz w:val="24"/>
          <w:szCs w:val="24"/>
        </w:rPr>
      </w:pPr>
      <w:r>
        <w:rPr>
          <w:rFonts w:cstheme="minorHAnsi"/>
          <w:b/>
          <w:sz w:val="24"/>
          <w:szCs w:val="24"/>
        </w:rPr>
        <w:t xml:space="preserve">2.3. IZDACI ZA FINANCIJSKU IMOVINU I OTPLATE ZAJMOVA </w:t>
      </w:r>
    </w:p>
    <w:p w14:paraId="4EB58518" w14:textId="0D285D84" w:rsidR="0019435B" w:rsidRDefault="00B25994" w:rsidP="0019435B">
      <w:r w:rsidRPr="00A91109">
        <w:rPr>
          <w:rFonts w:cs="Calibri"/>
          <w:sz w:val="24"/>
          <w:szCs w:val="24"/>
        </w:rPr>
        <w:t>Izdaci za financijsku imovinu i otplate zajmova</w:t>
      </w:r>
      <w:r w:rsidR="000322F8">
        <w:rPr>
          <w:rFonts w:cs="Calibri"/>
          <w:sz w:val="24"/>
          <w:szCs w:val="24"/>
        </w:rPr>
        <w:t xml:space="preserve"> su planirani u iznosu od </w:t>
      </w:r>
      <w:r w:rsidR="0019435B">
        <w:rPr>
          <w:rFonts w:cs="Calibri"/>
          <w:sz w:val="24"/>
          <w:szCs w:val="24"/>
        </w:rPr>
        <w:t>398.700,00</w:t>
      </w:r>
      <w:r w:rsidR="000322F8">
        <w:rPr>
          <w:rFonts w:cs="Calibri"/>
          <w:sz w:val="24"/>
          <w:szCs w:val="24"/>
        </w:rPr>
        <w:t xml:space="preserve"> eura, a izvršeni u iznosu</w:t>
      </w:r>
      <w:r w:rsidRPr="00A91109">
        <w:rPr>
          <w:rFonts w:cs="Calibri"/>
          <w:sz w:val="24"/>
          <w:szCs w:val="24"/>
        </w:rPr>
        <w:t xml:space="preserve"> od </w:t>
      </w:r>
      <w:r w:rsidR="0019435B">
        <w:rPr>
          <w:rFonts w:cs="Calibri"/>
          <w:sz w:val="24"/>
          <w:szCs w:val="24"/>
        </w:rPr>
        <w:t>352.837,33</w:t>
      </w:r>
      <w:r>
        <w:rPr>
          <w:rFonts w:cs="Calibri"/>
          <w:sz w:val="24"/>
          <w:szCs w:val="24"/>
        </w:rPr>
        <w:t xml:space="preserve"> eura  ili </w:t>
      </w:r>
      <w:r w:rsidR="0019435B">
        <w:rPr>
          <w:rFonts w:cs="Calibri"/>
          <w:sz w:val="24"/>
          <w:szCs w:val="24"/>
        </w:rPr>
        <w:t>88,50</w:t>
      </w:r>
      <w:r w:rsidR="000322F8">
        <w:rPr>
          <w:rFonts w:cs="Calibri"/>
          <w:sz w:val="24"/>
          <w:szCs w:val="24"/>
        </w:rPr>
        <w:t>% plana. U odnosu na 202</w:t>
      </w:r>
      <w:r w:rsidR="0019435B">
        <w:rPr>
          <w:rFonts w:cs="Calibri"/>
          <w:sz w:val="24"/>
          <w:szCs w:val="24"/>
        </w:rPr>
        <w:t>4</w:t>
      </w:r>
      <w:r w:rsidR="000322F8">
        <w:rPr>
          <w:rFonts w:cs="Calibri"/>
          <w:sz w:val="24"/>
          <w:szCs w:val="24"/>
        </w:rPr>
        <w:t xml:space="preserve">.godinu </w:t>
      </w:r>
      <w:r w:rsidR="0019435B">
        <w:rPr>
          <w:rFonts w:cs="Calibri"/>
          <w:sz w:val="24"/>
          <w:szCs w:val="24"/>
        </w:rPr>
        <w:t xml:space="preserve">manji su za </w:t>
      </w:r>
      <w:r w:rsidR="0019435B">
        <w:t>44,2%.</w:t>
      </w:r>
    </w:p>
    <w:p w14:paraId="44B932CC" w14:textId="77777777" w:rsidR="0019435B" w:rsidRDefault="00B25994" w:rsidP="00B25994">
      <w:pPr>
        <w:pStyle w:val="Bezproreda"/>
        <w:jc w:val="both"/>
        <w:rPr>
          <w:sz w:val="24"/>
          <w:szCs w:val="24"/>
        </w:rPr>
      </w:pPr>
      <w:r w:rsidRPr="00E65C2F">
        <w:rPr>
          <w:rFonts w:cs="Calibri"/>
          <w:sz w:val="24"/>
          <w:szCs w:val="24"/>
          <w:u w:val="single"/>
        </w:rPr>
        <w:t xml:space="preserve">Izdaci za </w:t>
      </w:r>
      <w:r w:rsidR="0019435B">
        <w:rPr>
          <w:rFonts w:cs="Calibri"/>
          <w:sz w:val="24"/>
          <w:szCs w:val="24"/>
          <w:u w:val="single"/>
        </w:rPr>
        <w:t xml:space="preserve">ulaganja u financijske instrumente -dionice i udjele u glavnici </w:t>
      </w:r>
      <w:r w:rsidRPr="00E65C2F">
        <w:rPr>
          <w:rFonts w:cs="Calibri"/>
          <w:sz w:val="24"/>
          <w:szCs w:val="24"/>
          <w:u w:val="single"/>
        </w:rPr>
        <w:t>dionice i udjele u glavnici</w:t>
      </w:r>
      <w:r>
        <w:rPr>
          <w:rFonts w:cs="Calibri"/>
          <w:sz w:val="24"/>
          <w:szCs w:val="24"/>
        </w:rPr>
        <w:t xml:space="preserve"> </w:t>
      </w:r>
      <w:r w:rsidR="0019435B" w:rsidRPr="0019435B">
        <w:rPr>
          <w:sz w:val="24"/>
          <w:szCs w:val="24"/>
        </w:rPr>
        <w:t>bez ostvarenja u izvještajnom razdoblju, dok su lani iznosile 435.341,84 eura i odnosile su se na isplatu naknade poslovnih udjela u korist isključenim članovima trgovačkog društva Trogir Holding temeljem Odluke o isključenju članova- osnivača iz trgovačkog društva donesenoj na skupštini  društva održanoj dana 9. studenoga 2023. godine (</w:t>
      </w:r>
      <w:proofErr w:type="spellStart"/>
      <w:r w:rsidR="0019435B" w:rsidRPr="0019435B">
        <w:rPr>
          <w:sz w:val="24"/>
          <w:szCs w:val="24"/>
        </w:rPr>
        <w:t>otpravak</w:t>
      </w:r>
      <w:proofErr w:type="spellEnd"/>
      <w:r w:rsidR="0019435B" w:rsidRPr="0019435B">
        <w:rPr>
          <w:sz w:val="24"/>
          <w:szCs w:val="24"/>
        </w:rPr>
        <w:t xml:space="preserve"> OU- 488/23),  Općine Seget i Općine Marina, te temeljem izvršene procjene tržišne vrijednosti ovlaštenog revizora Russell </w:t>
      </w:r>
      <w:proofErr w:type="spellStart"/>
      <w:r w:rsidR="0019435B" w:rsidRPr="0019435B">
        <w:rPr>
          <w:sz w:val="24"/>
          <w:szCs w:val="24"/>
        </w:rPr>
        <w:t>Bedford</w:t>
      </w:r>
      <w:proofErr w:type="spellEnd"/>
      <w:r w:rsidR="0019435B" w:rsidRPr="0019435B">
        <w:rPr>
          <w:sz w:val="24"/>
          <w:szCs w:val="24"/>
        </w:rPr>
        <w:t xml:space="preserve"> Croatia, i to u iznosu od 225.554,56 eura u korist Općine Seget te u iznosu od 212.787,28 eura u korist Općine Marina.</w:t>
      </w:r>
    </w:p>
    <w:p w14:paraId="698478F0" w14:textId="77777777" w:rsidR="0019435B" w:rsidRDefault="0019435B" w:rsidP="00B25994">
      <w:pPr>
        <w:pStyle w:val="Bezproreda"/>
        <w:jc w:val="both"/>
        <w:rPr>
          <w:sz w:val="24"/>
          <w:szCs w:val="24"/>
        </w:rPr>
      </w:pPr>
    </w:p>
    <w:p w14:paraId="2AD0DD42" w14:textId="42A15C90" w:rsidR="00B25994" w:rsidRPr="0019435B" w:rsidRDefault="00B25994" w:rsidP="00B25994">
      <w:pPr>
        <w:pStyle w:val="Bezproreda"/>
        <w:jc w:val="both"/>
        <w:rPr>
          <w:rFonts w:cs="Calibri"/>
          <w:color w:val="EE0000"/>
          <w:sz w:val="24"/>
          <w:szCs w:val="24"/>
        </w:rPr>
      </w:pPr>
      <w:r w:rsidRPr="00E65C2F">
        <w:rPr>
          <w:rFonts w:cs="Calibri"/>
          <w:sz w:val="24"/>
          <w:szCs w:val="24"/>
          <w:u w:val="single"/>
        </w:rPr>
        <w:t>Izdaci za otplatu glavnice primljenih kredita i zajmova</w:t>
      </w:r>
      <w:r>
        <w:rPr>
          <w:rFonts w:cs="Calibri"/>
          <w:sz w:val="24"/>
          <w:szCs w:val="24"/>
        </w:rPr>
        <w:t xml:space="preserve"> iznose </w:t>
      </w:r>
      <w:r w:rsidR="0019435B">
        <w:rPr>
          <w:rFonts w:cs="Calibri"/>
          <w:sz w:val="24"/>
          <w:szCs w:val="24"/>
        </w:rPr>
        <w:t>352.837,33</w:t>
      </w:r>
      <w:r>
        <w:rPr>
          <w:rFonts w:cs="Calibri"/>
          <w:sz w:val="24"/>
          <w:szCs w:val="24"/>
        </w:rPr>
        <w:t xml:space="preserve"> eura i odnose se na</w:t>
      </w:r>
      <w:r w:rsidRPr="00A91109">
        <w:rPr>
          <w:rFonts w:cs="Calibri"/>
          <w:sz w:val="24"/>
          <w:szCs w:val="24"/>
        </w:rPr>
        <w:t xml:space="preserve"> otplate glavnice po osnovi primljenih dugoročnih kredita</w:t>
      </w:r>
      <w:r>
        <w:rPr>
          <w:rFonts w:cs="Calibri"/>
          <w:sz w:val="24"/>
          <w:szCs w:val="24"/>
        </w:rPr>
        <w:t xml:space="preserve"> (tri dugoročna kredita br.19418010059, br.19418010061 i br. 19418010062) u ukupnom iznosu od </w:t>
      </w:r>
      <w:r w:rsidR="0019435B">
        <w:rPr>
          <w:rFonts w:cs="Calibri"/>
          <w:sz w:val="24"/>
          <w:szCs w:val="24"/>
        </w:rPr>
        <w:t>156.624,05</w:t>
      </w:r>
      <w:r>
        <w:rPr>
          <w:rFonts w:cs="Calibri"/>
          <w:sz w:val="24"/>
          <w:szCs w:val="24"/>
        </w:rPr>
        <w:t xml:space="preserve"> eura </w:t>
      </w:r>
      <w:r>
        <w:rPr>
          <w:rFonts w:cs="Calibri"/>
          <w:sz w:val="24"/>
          <w:szCs w:val="24"/>
        </w:rPr>
        <w:lastRenderedPageBreak/>
        <w:t xml:space="preserve">kod Grada Trogira te </w:t>
      </w:r>
      <w:r w:rsidR="0019435B">
        <w:rPr>
          <w:rFonts w:cs="Calibri"/>
          <w:sz w:val="24"/>
          <w:szCs w:val="24"/>
        </w:rPr>
        <w:t xml:space="preserve">otplata </w:t>
      </w:r>
      <w:r>
        <w:rPr>
          <w:rFonts w:cs="Calibri"/>
          <w:sz w:val="24"/>
          <w:szCs w:val="24"/>
        </w:rPr>
        <w:t>glavnice dugoročnog kredita kod JVP Grada Trogira u iznosu od 26.113,20 eura</w:t>
      </w:r>
      <w:r w:rsidR="00042D2E">
        <w:rPr>
          <w:rFonts w:cs="Calibri"/>
          <w:sz w:val="24"/>
          <w:szCs w:val="24"/>
        </w:rPr>
        <w:t>.</w:t>
      </w:r>
    </w:p>
    <w:p w14:paraId="0B6535BF" w14:textId="77777777" w:rsidR="0019435B" w:rsidRDefault="0019435B" w:rsidP="006B0202">
      <w:pPr>
        <w:pStyle w:val="Bezproreda"/>
        <w:jc w:val="both"/>
        <w:rPr>
          <w:rFonts w:cs="Calibri"/>
          <w:sz w:val="24"/>
          <w:szCs w:val="24"/>
        </w:rPr>
      </w:pPr>
    </w:p>
    <w:p w14:paraId="5F88A521" w14:textId="0655DFC1" w:rsidR="00BF36A9" w:rsidRDefault="00B1166E" w:rsidP="00B1166E">
      <w:pPr>
        <w:spacing w:after="0" w:line="240" w:lineRule="auto"/>
        <w:jc w:val="both"/>
        <w:rPr>
          <w:rFonts w:cstheme="minorHAnsi"/>
          <w:sz w:val="24"/>
          <w:szCs w:val="24"/>
        </w:rPr>
      </w:pPr>
      <w:r>
        <w:rPr>
          <w:rFonts w:cstheme="minorHAnsi"/>
          <w:sz w:val="24"/>
          <w:szCs w:val="24"/>
        </w:rPr>
        <w:t xml:space="preserve">U grafikonu 1. koji slijedi daje se pregled izvršenih rashoda i izdataka </w:t>
      </w:r>
      <w:r w:rsidR="000322F8">
        <w:rPr>
          <w:rFonts w:cstheme="minorHAnsi"/>
          <w:sz w:val="24"/>
          <w:szCs w:val="24"/>
        </w:rPr>
        <w:t>P</w:t>
      </w:r>
      <w:r>
        <w:rPr>
          <w:rFonts w:cstheme="minorHAnsi"/>
          <w:sz w:val="24"/>
          <w:szCs w:val="24"/>
        </w:rPr>
        <w:t>roračuna Grada Trogira u  202</w:t>
      </w:r>
      <w:r w:rsidR="006F14A4">
        <w:rPr>
          <w:rFonts w:cstheme="minorHAnsi"/>
          <w:sz w:val="24"/>
          <w:szCs w:val="24"/>
        </w:rPr>
        <w:t>5</w:t>
      </w:r>
      <w:r>
        <w:rPr>
          <w:rFonts w:cstheme="minorHAnsi"/>
          <w:sz w:val="24"/>
          <w:szCs w:val="24"/>
        </w:rPr>
        <w:t>. godi</w:t>
      </w:r>
      <w:r w:rsidR="000322F8">
        <w:rPr>
          <w:rFonts w:cstheme="minorHAnsi"/>
          <w:sz w:val="24"/>
          <w:szCs w:val="24"/>
        </w:rPr>
        <w:t>ni</w:t>
      </w:r>
      <w:r>
        <w:rPr>
          <w:rFonts w:cstheme="minorHAnsi"/>
          <w:sz w:val="24"/>
          <w:szCs w:val="24"/>
        </w:rPr>
        <w:t>.</w:t>
      </w:r>
    </w:p>
    <w:p w14:paraId="625E5C92" w14:textId="77777777" w:rsidR="0019435B" w:rsidRDefault="0019435B" w:rsidP="00B1166E">
      <w:pPr>
        <w:spacing w:after="0" w:line="240" w:lineRule="auto"/>
        <w:jc w:val="both"/>
        <w:rPr>
          <w:rFonts w:cstheme="minorHAnsi"/>
          <w:b/>
          <w:sz w:val="24"/>
          <w:szCs w:val="24"/>
        </w:rPr>
      </w:pPr>
    </w:p>
    <w:p w14:paraId="2EEBB50C" w14:textId="77777777" w:rsidR="00BB3F84" w:rsidRDefault="00BB3F84" w:rsidP="00B1166E">
      <w:pPr>
        <w:spacing w:after="0" w:line="240" w:lineRule="auto"/>
        <w:jc w:val="both"/>
        <w:rPr>
          <w:rFonts w:cstheme="minorHAnsi"/>
          <w:b/>
          <w:sz w:val="24"/>
          <w:szCs w:val="24"/>
        </w:rPr>
      </w:pPr>
    </w:p>
    <w:p w14:paraId="4F9A2AB7" w14:textId="12EA952F" w:rsidR="00B1166E" w:rsidRPr="00E37078" w:rsidRDefault="00B1166E" w:rsidP="00B1166E">
      <w:pPr>
        <w:spacing w:after="0" w:line="240" w:lineRule="auto"/>
        <w:jc w:val="both"/>
        <w:rPr>
          <w:rFonts w:cstheme="minorHAnsi"/>
        </w:rPr>
      </w:pPr>
      <w:r w:rsidRPr="00A94C60">
        <w:rPr>
          <w:rFonts w:cstheme="minorHAnsi"/>
          <w:b/>
          <w:sz w:val="24"/>
          <w:szCs w:val="24"/>
        </w:rPr>
        <w:t xml:space="preserve">Grafikon </w:t>
      </w:r>
      <w:r w:rsidR="00224EFE">
        <w:rPr>
          <w:rFonts w:cstheme="minorHAnsi"/>
          <w:b/>
          <w:sz w:val="24"/>
          <w:szCs w:val="24"/>
        </w:rPr>
        <w:t>2</w:t>
      </w:r>
      <w:r>
        <w:rPr>
          <w:rFonts w:cstheme="minorHAnsi"/>
          <w:sz w:val="24"/>
          <w:szCs w:val="24"/>
        </w:rPr>
        <w:t xml:space="preserve">. </w:t>
      </w:r>
      <w:r w:rsidRPr="00E37078">
        <w:rPr>
          <w:rFonts w:cstheme="minorHAnsi"/>
        </w:rPr>
        <w:t>Ostvarenje rashoda i izdataka proračuna Grada Trogira u 202</w:t>
      </w:r>
      <w:r w:rsidR="00F202EC">
        <w:rPr>
          <w:rFonts w:cstheme="minorHAnsi"/>
        </w:rPr>
        <w:t>5</w:t>
      </w:r>
      <w:r w:rsidRPr="00E37078">
        <w:rPr>
          <w:rFonts w:cstheme="minorHAnsi"/>
        </w:rPr>
        <w:t xml:space="preserve">. godini </w:t>
      </w:r>
    </w:p>
    <w:p w14:paraId="45829636" w14:textId="77777777" w:rsidR="00B1166E" w:rsidRDefault="00B1166E" w:rsidP="006B0202">
      <w:pPr>
        <w:pStyle w:val="Bezproreda"/>
        <w:jc w:val="both"/>
        <w:rPr>
          <w:rFonts w:cs="Calibri"/>
          <w:sz w:val="24"/>
          <w:szCs w:val="24"/>
        </w:rPr>
      </w:pPr>
    </w:p>
    <w:p w14:paraId="7366D171" w14:textId="77777777" w:rsidR="00B1166E" w:rsidRDefault="00B1166E" w:rsidP="006B0202">
      <w:pPr>
        <w:pStyle w:val="Bezproreda"/>
        <w:jc w:val="both"/>
        <w:rPr>
          <w:rFonts w:cs="Calibri"/>
          <w:sz w:val="24"/>
          <w:szCs w:val="24"/>
        </w:rPr>
      </w:pPr>
    </w:p>
    <w:p w14:paraId="56C87A31" w14:textId="74D96120" w:rsidR="00B1166E" w:rsidRDefault="0019435B" w:rsidP="006B0202">
      <w:pPr>
        <w:pStyle w:val="Bezproreda"/>
        <w:jc w:val="both"/>
        <w:rPr>
          <w:rFonts w:cs="Calibri"/>
          <w:sz w:val="24"/>
          <w:szCs w:val="24"/>
        </w:rPr>
      </w:pPr>
      <w:r>
        <w:rPr>
          <w:noProof/>
        </w:rPr>
        <w:drawing>
          <wp:inline distT="0" distB="0" distL="0" distR="0" wp14:anchorId="527005AE" wp14:editId="325DC905">
            <wp:extent cx="5760720" cy="2821305"/>
            <wp:effectExtent l="0" t="0" r="11430" b="17145"/>
            <wp:docPr id="615117943" name="Grafikon 1">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A9B35CF" w14:textId="77777777" w:rsidR="0019435B" w:rsidRDefault="0019435B" w:rsidP="006B0202">
      <w:pPr>
        <w:pStyle w:val="Bezproreda"/>
        <w:jc w:val="both"/>
        <w:rPr>
          <w:rFonts w:cs="Calibri"/>
          <w:sz w:val="24"/>
          <w:szCs w:val="24"/>
        </w:rPr>
      </w:pPr>
    </w:p>
    <w:p w14:paraId="16C5BDF9" w14:textId="77777777" w:rsidR="00224EFE" w:rsidRDefault="00224EFE" w:rsidP="006B0202">
      <w:pPr>
        <w:pStyle w:val="Bezproreda"/>
        <w:jc w:val="both"/>
        <w:rPr>
          <w:rFonts w:cs="Calibri"/>
          <w:sz w:val="24"/>
          <w:szCs w:val="24"/>
        </w:rPr>
      </w:pPr>
    </w:p>
    <w:p w14:paraId="65123571" w14:textId="1A178084" w:rsidR="001A578C" w:rsidRPr="001A578C" w:rsidRDefault="001A578C">
      <w:pPr>
        <w:pStyle w:val="Bezproreda"/>
        <w:numPr>
          <w:ilvl w:val="0"/>
          <w:numId w:val="32"/>
        </w:numPr>
        <w:jc w:val="both"/>
        <w:rPr>
          <w:b/>
          <w:bCs/>
          <w:sz w:val="24"/>
          <w:szCs w:val="24"/>
        </w:rPr>
      </w:pPr>
      <w:r w:rsidRPr="001A578C">
        <w:rPr>
          <w:b/>
          <w:bCs/>
          <w:sz w:val="24"/>
          <w:szCs w:val="24"/>
        </w:rPr>
        <w:t>OSTVARENJE RASHODA I IZDATAKA PO IZVORIMA FINANCIRANJA</w:t>
      </w:r>
    </w:p>
    <w:p w14:paraId="11028756" w14:textId="77777777" w:rsidR="001A578C" w:rsidRDefault="001A578C" w:rsidP="001A578C">
      <w:pPr>
        <w:pStyle w:val="Bezproreda"/>
        <w:jc w:val="both"/>
      </w:pPr>
    </w:p>
    <w:p w14:paraId="03790789" w14:textId="77777777" w:rsidR="001A578C" w:rsidRPr="001A578C" w:rsidRDefault="001A578C" w:rsidP="006B0202">
      <w:pPr>
        <w:pStyle w:val="Bezproreda"/>
        <w:jc w:val="both"/>
        <w:rPr>
          <w:sz w:val="24"/>
          <w:szCs w:val="24"/>
        </w:rPr>
      </w:pPr>
      <w:r>
        <w:t xml:space="preserve"> </w:t>
      </w:r>
      <w:r w:rsidRPr="001A578C">
        <w:rPr>
          <w:sz w:val="24"/>
          <w:szCs w:val="24"/>
        </w:rPr>
        <w:t xml:space="preserve">Proračunska klasifikacija po izvorima financiranja omogućuje praćenje izvršenja rashoda po prihodima iz kojih se financiraju. Za svaki prihod određeno je uz koji se izvor financiranja veže, a rashodi po izvorima financiranja se izvršavaju u skladu s utvrđenim planom i ostvarenjem prihoda iz kojih se financiraju. </w:t>
      </w:r>
    </w:p>
    <w:p w14:paraId="336101F2" w14:textId="77777777" w:rsidR="001A578C" w:rsidRPr="001A578C" w:rsidRDefault="001A578C" w:rsidP="006B0202">
      <w:pPr>
        <w:pStyle w:val="Bezproreda"/>
        <w:jc w:val="both"/>
        <w:rPr>
          <w:sz w:val="24"/>
          <w:szCs w:val="24"/>
        </w:rPr>
      </w:pPr>
      <w:r w:rsidRPr="001A578C">
        <w:rPr>
          <w:sz w:val="24"/>
          <w:szCs w:val="24"/>
        </w:rPr>
        <w:t xml:space="preserve">Osnovni izvori financiranja su: opći prihodi i primici, vlastiti prihodi i namjenski prihodi i primici (prihodi za posebne namjene, pomoći, donacije, prihodi od prodaje ili zamjene nefinancijske imovine i naknade s naslova osiguranja te namjenski primici). Zakonom o proračunu daje se fleksibilnost u izvršavanju rashoda i izdataka koji se financiraju iz izvora: vlastiti prihodi i namjenski prihodi i primici, na način da se propisuje mogućnost njihova izvršavanja u iznosima većim od planiranih, a ograničenje se postavlja na razinu ostvarenja prihoda. Dodatno, neiskorišteni prihodi iz ovih izvora u jednoj godini mogu se prenijeti i trošiti u sljedećoj proračunskoj godini. </w:t>
      </w:r>
    </w:p>
    <w:p w14:paraId="3621E7A5" w14:textId="6B5F3493" w:rsidR="00487996" w:rsidRDefault="001A578C" w:rsidP="006B0202">
      <w:pPr>
        <w:pStyle w:val="Bezproreda"/>
        <w:jc w:val="both"/>
        <w:rPr>
          <w:sz w:val="24"/>
          <w:szCs w:val="24"/>
        </w:rPr>
      </w:pPr>
      <w:r w:rsidRPr="001A578C">
        <w:rPr>
          <w:sz w:val="24"/>
          <w:szCs w:val="24"/>
        </w:rPr>
        <w:t>U nastavku se daje tabelarni i grafički pregled izvršenih rashoda i izdataka konsolidiranog proračuna u 202</w:t>
      </w:r>
      <w:r w:rsidR="00F7643F">
        <w:rPr>
          <w:sz w:val="24"/>
          <w:szCs w:val="24"/>
        </w:rPr>
        <w:t>5</w:t>
      </w:r>
      <w:r w:rsidRPr="001A578C">
        <w:rPr>
          <w:sz w:val="24"/>
          <w:szCs w:val="24"/>
        </w:rPr>
        <w:t>. godini prema izvorima financiranja.</w:t>
      </w:r>
    </w:p>
    <w:p w14:paraId="1F925D7A" w14:textId="77777777" w:rsidR="00F7643F" w:rsidRDefault="00F7643F" w:rsidP="006B0202">
      <w:pPr>
        <w:pStyle w:val="Bezproreda"/>
        <w:jc w:val="both"/>
        <w:rPr>
          <w:sz w:val="24"/>
          <w:szCs w:val="24"/>
        </w:rPr>
      </w:pPr>
    </w:p>
    <w:p w14:paraId="4A41B6DE" w14:textId="77777777" w:rsidR="00224EFE" w:rsidRDefault="00224EFE" w:rsidP="006B0202">
      <w:pPr>
        <w:pStyle w:val="Bezproreda"/>
        <w:jc w:val="both"/>
        <w:rPr>
          <w:sz w:val="24"/>
          <w:szCs w:val="24"/>
        </w:rPr>
      </w:pPr>
    </w:p>
    <w:p w14:paraId="6C47D03B" w14:textId="77777777" w:rsidR="00224EFE" w:rsidRDefault="00224EFE" w:rsidP="006B0202">
      <w:pPr>
        <w:pStyle w:val="Bezproreda"/>
        <w:jc w:val="both"/>
        <w:rPr>
          <w:sz w:val="24"/>
          <w:szCs w:val="24"/>
        </w:rPr>
      </w:pPr>
    </w:p>
    <w:p w14:paraId="646FFDE5" w14:textId="77777777" w:rsidR="00224EFE" w:rsidRDefault="00224EFE" w:rsidP="006B0202">
      <w:pPr>
        <w:pStyle w:val="Bezproreda"/>
        <w:jc w:val="both"/>
        <w:rPr>
          <w:sz w:val="24"/>
          <w:szCs w:val="24"/>
        </w:rPr>
      </w:pPr>
    </w:p>
    <w:p w14:paraId="29111DCB" w14:textId="49C07D41" w:rsidR="00B7386F" w:rsidRDefault="001A578C" w:rsidP="006B0202">
      <w:pPr>
        <w:pStyle w:val="Bezproreda"/>
        <w:jc w:val="both"/>
        <w:rPr>
          <w:rFonts w:cs="Calibri"/>
          <w:sz w:val="24"/>
          <w:szCs w:val="24"/>
        </w:rPr>
      </w:pPr>
      <w:r w:rsidRPr="001A578C">
        <w:rPr>
          <w:b/>
          <w:bCs/>
          <w:sz w:val="24"/>
          <w:szCs w:val="24"/>
        </w:rPr>
        <w:lastRenderedPageBreak/>
        <w:t>Tablica 5</w:t>
      </w:r>
      <w:r>
        <w:rPr>
          <w:sz w:val="24"/>
          <w:szCs w:val="24"/>
        </w:rPr>
        <w:t>. Izvršenje rashoda i izdataka prema izvorima financiranja u 202</w:t>
      </w:r>
      <w:r w:rsidR="00F7643F">
        <w:rPr>
          <w:sz w:val="24"/>
          <w:szCs w:val="24"/>
        </w:rPr>
        <w:t>5</w:t>
      </w:r>
      <w:r>
        <w:rPr>
          <w:sz w:val="24"/>
          <w:szCs w:val="24"/>
        </w:rPr>
        <w:t xml:space="preserve">.godini </w:t>
      </w:r>
    </w:p>
    <w:tbl>
      <w:tblPr>
        <w:tblpPr w:leftFromText="180" w:rightFromText="180" w:bottomFromText="160" w:vertAnchor="text" w:horzAnchor="margin" w:tblpXSpec="center" w:tblpY="287"/>
        <w:tblW w:w="11348" w:type="dxa"/>
        <w:tblLook w:val="04A0" w:firstRow="1" w:lastRow="0" w:firstColumn="1" w:lastColumn="0" w:noHBand="0" w:noVBand="1"/>
      </w:tblPr>
      <w:tblGrid>
        <w:gridCol w:w="3093"/>
        <w:gridCol w:w="1680"/>
        <w:gridCol w:w="1508"/>
        <w:gridCol w:w="1525"/>
        <w:gridCol w:w="1525"/>
        <w:gridCol w:w="1067"/>
        <w:gridCol w:w="950"/>
      </w:tblGrid>
      <w:tr w:rsidR="00B7386F" w:rsidRPr="00100041" w14:paraId="7B48D497" w14:textId="77777777" w:rsidTr="00C47D35">
        <w:trPr>
          <w:trHeight w:val="456"/>
        </w:trPr>
        <w:tc>
          <w:tcPr>
            <w:tcW w:w="3093" w:type="dxa"/>
            <w:tcBorders>
              <w:top w:val="single" w:sz="4" w:space="0" w:color="auto"/>
              <w:bottom w:val="single" w:sz="4" w:space="0" w:color="auto"/>
            </w:tcBorders>
            <w:shd w:val="clear" w:color="auto" w:fill="FFE599" w:themeFill="accent4" w:themeFillTint="66"/>
            <w:noWrap/>
            <w:vAlign w:val="bottom"/>
            <w:hideMark/>
          </w:tcPr>
          <w:p w14:paraId="51723C6B"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IZVORI FINANCIRANJA</w:t>
            </w:r>
          </w:p>
        </w:tc>
        <w:tc>
          <w:tcPr>
            <w:tcW w:w="1680" w:type="dxa"/>
            <w:tcBorders>
              <w:top w:val="single" w:sz="4" w:space="0" w:color="auto"/>
              <w:bottom w:val="single" w:sz="4" w:space="0" w:color="auto"/>
            </w:tcBorders>
            <w:shd w:val="clear" w:color="auto" w:fill="FFE599" w:themeFill="accent4" w:themeFillTint="66"/>
            <w:vAlign w:val="center"/>
            <w:hideMark/>
          </w:tcPr>
          <w:p w14:paraId="2684BC93"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Izvršenje 202</w:t>
            </w:r>
            <w:r>
              <w:rPr>
                <w:rFonts w:ascii="Arial" w:eastAsia="Times New Roman" w:hAnsi="Arial" w:cs="Arial"/>
                <w:b/>
                <w:bCs/>
                <w:sz w:val="18"/>
                <w:szCs w:val="18"/>
                <w:lang w:eastAsia="hr-HR"/>
              </w:rPr>
              <w:t>4</w:t>
            </w:r>
            <w:r w:rsidRPr="00100041">
              <w:rPr>
                <w:rFonts w:ascii="Arial" w:eastAsia="Times New Roman" w:hAnsi="Arial" w:cs="Arial"/>
                <w:b/>
                <w:bCs/>
                <w:sz w:val="18"/>
                <w:szCs w:val="18"/>
                <w:lang w:eastAsia="hr-HR"/>
              </w:rPr>
              <w:t xml:space="preserve">. </w:t>
            </w:r>
          </w:p>
        </w:tc>
        <w:tc>
          <w:tcPr>
            <w:tcW w:w="1508" w:type="dxa"/>
            <w:tcBorders>
              <w:top w:val="single" w:sz="4" w:space="0" w:color="auto"/>
              <w:bottom w:val="single" w:sz="4" w:space="0" w:color="auto"/>
            </w:tcBorders>
            <w:shd w:val="clear" w:color="auto" w:fill="FFE599" w:themeFill="accent4" w:themeFillTint="66"/>
            <w:vAlign w:val="center"/>
          </w:tcPr>
          <w:p w14:paraId="4D4315DD"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Izvorni  plan</w:t>
            </w:r>
            <w:r>
              <w:rPr>
                <w:rFonts w:ascii="Arial" w:eastAsia="Times New Roman" w:hAnsi="Arial" w:cs="Arial"/>
                <w:b/>
                <w:bCs/>
                <w:sz w:val="18"/>
                <w:szCs w:val="18"/>
                <w:lang w:eastAsia="hr-HR"/>
              </w:rPr>
              <w:t>/rebalans</w:t>
            </w:r>
            <w:r w:rsidRPr="00100041">
              <w:rPr>
                <w:rFonts w:ascii="Arial" w:eastAsia="Times New Roman" w:hAnsi="Arial" w:cs="Arial"/>
                <w:b/>
                <w:bCs/>
                <w:sz w:val="18"/>
                <w:szCs w:val="18"/>
                <w:lang w:eastAsia="hr-HR"/>
              </w:rPr>
              <w:t xml:space="preserve"> 202</w:t>
            </w:r>
            <w:r>
              <w:rPr>
                <w:rFonts w:ascii="Arial" w:eastAsia="Times New Roman" w:hAnsi="Arial" w:cs="Arial"/>
                <w:b/>
                <w:bCs/>
                <w:sz w:val="18"/>
                <w:szCs w:val="18"/>
                <w:lang w:eastAsia="hr-HR"/>
              </w:rPr>
              <w:t>5</w:t>
            </w:r>
            <w:r w:rsidRPr="00100041">
              <w:rPr>
                <w:rFonts w:ascii="Arial" w:eastAsia="Times New Roman" w:hAnsi="Arial" w:cs="Arial"/>
                <w:b/>
                <w:bCs/>
                <w:sz w:val="18"/>
                <w:szCs w:val="18"/>
                <w:lang w:eastAsia="hr-HR"/>
              </w:rPr>
              <w:t xml:space="preserve">. </w:t>
            </w:r>
          </w:p>
        </w:tc>
        <w:tc>
          <w:tcPr>
            <w:tcW w:w="1525" w:type="dxa"/>
            <w:tcBorders>
              <w:top w:val="single" w:sz="4" w:space="0" w:color="auto"/>
              <w:bottom w:val="single" w:sz="4" w:space="0" w:color="auto"/>
            </w:tcBorders>
            <w:shd w:val="clear" w:color="auto" w:fill="FFE599" w:themeFill="accent4" w:themeFillTint="66"/>
            <w:vAlign w:val="center"/>
          </w:tcPr>
          <w:p w14:paraId="21AA9D8C"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Tekući plan 2025.</w:t>
            </w:r>
          </w:p>
        </w:tc>
        <w:tc>
          <w:tcPr>
            <w:tcW w:w="1525" w:type="dxa"/>
            <w:tcBorders>
              <w:top w:val="single" w:sz="4" w:space="0" w:color="auto"/>
              <w:bottom w:val="single" w:sz="4" w:space="0" w:color="auto"/>
            </w:tcBorders>
            <w:shd w:val="clear" w:color="auto" w:fill="FFE599" w:themeFill="accent4" w:themeFillTint="66"/>
            <w:vAlign w:val="center"/>
            <w:hideMark/>
          </w:tcPr>
          <w:p w14:paraId="296ACAAB"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Izvršenje 202</w:t>
            </w:r>
            <w:r>
              <w:rPr>
                <w:rFonts w:ascii="Arial" w:eastAsia="Times New Roman" w:hAnsi="Arial" w:cs="Arial"/>
                <w:b/>
                <w:bCs/>
                <w:sz w:val="18"/>
                <w:szCs w:val="18"/>
                <w:lang w:eastAsia="hr-HR"/>
              </w:rPr>
              <w:t>5</w:t>
            </w:r>
            <w:r w:rsidRPr="00100041">
              <w:rPr>
                <w:rFonts w:ascii="Arial" w:eastAsia="Times New Roman" w:hAnsi="Arial" w:cs="Arial"/>
                <w:b/>
                <w:bCs/>
                <w:sz w:val="18"/>
                <w:szCs w:val="18"/>
                <w:lang w:eastAsia="hr-HR"/>
              </w:rPr>
              <w:t xml:space="preserve">. </w:t>
            </w:r>
          </w:p>
        </w:tc>
        <w:tc>
          <w:tcPr>
            <w:tcW w:w="1067" w:type="dxa"/>
            <w:tcBorders>
              <w:top w:val="single" w:sz="4" w:space="0" w:color="auto"/>
              <w:bottom w:val="single" w:sz="4" w:space="0" w:color="auto"/>
            </w:tcBorders>
            <w:shd w:val="clear" w:color="auto" w:fill="FFE599" w:themeFill="accent4" w:themeFillTint="66"/>
            <w:vAlign w:val="center"/>
            <w:hideMark/>
          </w:tcPr>
          <w:p w14:paraId="00EDCE8D"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Indeks  (</w:t>
            </w:r>
            <w:r>
              <w:rPr>
                <w:rFonts w:ascii="Arial" w:eastAsia="Times New Roman" w:hAnsi="Arial" w:cs="Arial"/>
                <w:b/>
                <w:bCs/>
                <w:sz w:val="18"/>
                <w:szCs w:val="18"/>
                <w:lang w:eastAsia="hr-HR"/>
              </w:rPr>
              <w:t>4</w:t>
            </w:r>
            <w:r w:rsidRPr="00100041">
              <w:rPr>
                <w:rFonts w:ascii="Arial" w:eastAsia="Times New Roman" w:hAnsi="Arial" w:cs="Arial"/>
                <w:b/>
                <w:bCs/>
                <w:sz w:val="18"/>
                <w:szCs w:val="18"/>
                <w:lang w:eastAsia="hr-HR"/>
              </w:rPr>
              <w:t>/1)</w:t>
            </w:r>
          </w:p>
        </w:tc>
        <w:tc>
          <w:tcPr>
            <w:tcW w:w="950" w:type="dxa"/>
            <w:tcBorders>
              <w:top w:val="single" w:sz="4" w:space="0" w:color="auto"/>
              <w:bottom w:val="single" w:sz="4" w:space="0" w:color="auto"/>
            </w:tcBorders>
            <w:shd w:val="clear" w:color="auto" w:fill="FFE599" w:themeFill="accent4" w:themeFillTint="66"/>
            <w:vAlign w:val="center"/>
            <w:hideMark/>
          </w:tcPr>
          <w:p w14:paraId="3E19B530"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Indeks  (</w:t>
            </w:r>
            <w:r>
              <w:rPr>
                <w:rFonts w:ascii="Arial" w:eastAsia="Times New Roman" w:hAnsi="Arial" w:cs="Arial"/>
                <w:b/>
                <w:bCs/>
                <w:sz w:val="18"/>
                <w:szCs w:val="18"/>
                <w:lang w:eastAsia="hr-HR"/>
              </w:rPr>
              <w:t>4</w:t>
            </w:r>
            <w:r w:rsidRPr="00100041">
              <w:rPr>
                <w:rFonts w:ascii="Arial" w:eastAsia="Times New Roman" w:hAnsi="Arial" w:cs="Arial"/>
                <w:b/>
                <w:bCs/>
                <w:sz w:val="18"/>
                <w:szCs w:val="18"/>
                <w:lang w:eastAsia="hr-HR"/>
              </w:rPr>
              <w:t>/</w:t>
            </w:r>
            <w:r>
              <w:rPr>
                <w:rFonts w:ascii="Arial" w:eastAsia="Times New Roman" w:hAnsi="Arial" w:cs="Arial"/>
                <w:b/>
                <w:bCs/>
                <w:sz w:val="18"/>
                <w:szCs w:val="18"/>
                <w:lang w:eastAsia="hr-HR"/>
              </w:rPr>
              <w:t>3</w:t>
            </w:r>
            <w:r w:rsidRPr="00100041">
              <w:rPr>
                <w:rFonts w:ascii="Arial" w:eastAsia="Times New Roman" w:hAnsi="Arial" w:cs="Arial"/>
                <w:b/>
                <w:bCs/>
                <w:sz w:val="18"/>
                <w:szCs w:val="18"/>
                <w:lang w:eastAsia="hr-HR"/>
              </w:rPr>
              <w:t>)</w:t>
            </w:r>
          </w:p>
        </w:tc>
      </w:tr>
      <w:tr w:rsidR="00B7386F" w:rsidRPr="00100041" w14:paraId="70EF50EA" w14:textId="77777777" w:rsidTr="00C47D35">
        <w:trPr>
          <w:trHeight w:val="202"/>
        </w:trPr>
        <w:tc>
          <w:tcPr>
            <w:tcW w:w="3093" w:type="dxa"/>
            <w:tcBorders>
              <w:top w:val="single" w:sz="4" w:space="0" w:color="auto"/>
              <w:bottom w:val="single" w:sz="4" w:space="0" w:color="auto"/>
            </w:tcBorders>
            <w:shd w:val="clear" w:color="auto" w:fill="FFE599" w:themeFill="accent4" w:themeFillTint="66"/>
            <w:noWrap/>
            <w:vAlign w:val="bottom"/>
            <w:hideMark/>
          </w:tcPr>
          <w:p w14:paraId="3410AE93"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p>
        </w:tc>
        <w:tc>
          <w:tcPr>
            <w:tcW w:w="1680" w:type="dxa"/>
            <w:tcBorders>
              <w:top w:val="single" w:sz="4" w:space="0" w:color="auto"/>
              <w:bottom w:val="single" w:sz="4" w:space="0" w:color="auto"/>
            </w:tcBorders>
            <w:shd w:val="clear" w:color="auto" w:fill="FFE599" w:themeFill="accent4" w:themeFillTint="66"/>
            <w:noWrap/>
            <w:vAlign w:val="bottom"/>
            <w:hideMark/>
          </w:tcPr>
          <w:p w14:paraId="7F0611D8"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(1)</w:t>
            </w:r>
          </w:p>
        </w:tc>
        <w:tc>
          <w:tcPr>
            <w:tcW w:w="1508" w:type="dxa"/>
            <w:tcBorders>
              <w:top w:val="single" w:sz="4" w:space="0" w:color="auto"/>
              <w:bottom w:val="single" w:sz="4" w:space="0" w:color="auto"/>
            </w:tcBorders>
            <w:shd w:val="clear" w:color="auto" w:fill="FFE599" w:themeFill="accent4" w:themeFillTint="66"/>
            <w:vAlign w:val="bottom"/>
          </w:tcPr>
          <w:p w14:paraId="26E78082"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(2)</w:t>
            </w:r>
          </w:p>
        </w:tc>
        <w:tc>
          <w:tcPr>
            <w:tcW w:w="1525" w:type="dxa"/>
            <w:tcBorders>
              <w:top w:val="single" w:sz="4" w:space="0" w:color="auto"/>
              <w:bottom w:val="single" w:sz="4" w:space="0" w:color="auto"/>
            </w:tcBorders>
            <w:shd w:val="clear" w:color="auto" w:fill="FFE599" w:themeFill="accent4" w:themeFillTint="66"/>
          </w:tcPr>
          <w:p w14:paraId="1A39CA94"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(3)</w:t>
            </w:r>
          </w:p>
        </w:tc>
        <w:tc>
          <w:tcPr>
            <w:tcW w:w="1525" w:type="dxa"/>
            <w:tcBorders>
              <w:top w:val="single" w:sz="4" w:space="0" w:color="auto"/>
              <w:bottom w:val="single" w:sz="4" w:space="0" w:color="auto"/>
            </w:tcBorders>
            <w:shd w:val="clear" w:color="auto" w:fill="FFE599" w:themeFill="accent4" w:themeFillTint="66"/>
            <w:noWrap/>
            <w:vAlign w:val="bottom"/>
            <w:hideMark/>
          </w:tcPr>
          <w:p w14:paraId="361D50F4"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w:t>
            </w:r>
            <w:r>
              <w:rPr>
                <w:rFonts w:ascii="Arial" w:eastAsia="Times New Roman" w:hAnsi="Arial" w:cs="Arial"/>
                <w:b/>
                <w:bCs/>
                <w:sz w:val="18"/>
                <w:szCs w:val="18"/>
                <w:lang w:eastAsia="hr-HR"/>
              </w:rPr>
              <w:t>4</w:t>
            </w:r>
            <w:r w:rsidRPr="00100041">
              <w:rPr>
                <w:rFonts w:ascii="Arial" w:eastAsia="Times New Roman" w:hAnsi="Arial" w:cs="Arial"/>
                <w:b/>
                <w:bCs/>
                <w:sz w:val="18"/>
                <w:szCs w:val="18"/>
                <w:lang w:eastAsia="hr-HR"/>
              </w:rPr>
              <w:t>)</w:t>
            </w:r>
          </w:p>
        </w:tc>
        <w:tc>
          <w:tcPr>
            <w:tcW w:w="1067" w:type="dxa"/>
            <w:tcBorders>
              <w:top w:val="single" w:sz="4" w:space="0" w:color="auto"/>
              <w:bottom w:val="single" w:sz="4" w:space="0" w:color="auto"/>
            </w:tcBorders>
            <w:shd w:val="clear" w:color="auto" w:fill="FFE599" w:themeFill="accent4" w:themeFillTint="66"/>
            <w:noWrap/>
            <w:vAlign w:val="bottom"/>
            <w:hideMark/>
          </w:tcPr>
          <w:p w14:paraId="1DB77B88"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w:t>
            </w:r>
            <w:r>
              <w:rPr>
                <w:rFonts w:ascii="Arial" w:eastAsia="Times New Roman" w:hAnsi="Arial" w:cs="Arial"/>
                <w:b/>
                <w:bCs/>
                <w:sz w:val="18"/>
                <w:szCs w:val="18"/>
                <w:lang w:eastAsia="hr-HR"/>
              </w:rPr>
              <w:t>5</w:t>
            </w:r>
            <w:r w:rsidRPr="00100041">
              <w:rPr>
                <w:rFonts w:ascii="Arial" w:eastAsia="Times New Roman" w:hAnsi="Arial" w:cs="Arial"/>
                <w:b/>
                <w:bCs/>
                <w:sz w:val="18"/>
                <w:szCs w:val="18"/>
                <w:lang w:eastAsia="hr-HR"/>
              </w:rPr>
              <w:t>)</w:t>
            </w:r>
          </w:p>
        </w:tc>
        <w:tc>
          <w:tcPr>
            <w:tcW w:w="950" w:type="dxa"/>
            <w:tcBorders>
              <w:top w:val="single" w:sz="4" w:space="0" w:color="auto"/>
              <w:bottom w:val="single" w:sz="4" w:space="0" w:color="auto"/>
            </w:tcBorders>
            <w:shd w:val="clear" w:color="auto" w:fill="FFE599" w:themeFill="accent4" w:themeFillTint="66"/>
            <w:noWrap/>
            <w:vAlign w:val="bottom"/>
            <w:hideMark/>
          </w:tcPr>
          <w:p w14:paraId="230AD08C"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w:t>
            </w:r>
            <w:r>
              <w:rPr>
                <w:rFonts w:ascii="Arial" w:eastAsia="Times New Roman" w:hAnsi="Arial" w:cs="Arial"/>
                <w:b/>
                <w:bCs/>
                <w:sz w:val="18"/>
                <w:szCs w:val="18"/>
                <w:lang w:eastAsia="hr-HR"/>
              </w:rPr>
              <w:t>6</w:t>
            </w:r>
            <w:r w:rsidRPr="00100041">
              <w:rPr>
                <w:rFonts w:ascii="Arial" w:eastAsia="Times New Roman" w:hAnsi="Arial" w:cs="Arial"/>
                <w:b/>
                <w:bCs/>
                <w:sz w:val="18"/>
                <w:szCs w:val="18"/>
                <w:lang w:eastAsia="hr-HR"/>
              </w:rPr>
              <w:t>)</w:t>
            </w:r>
          </w:p>
        </w:tc>
      </w:tr>
      <w:tr w:rsidR="00B7386F" w:rsidRPr="00100041" w14:paraId="772A868C" w14:textId="77777777" w:rsidTr="00C47D35">
        <w:trPr>
          <w:trHeight w:val="202"/>
        </w:trPr>
        <w:tc>
          <w:tcPr>
            <w:tcW w:w="3093" w:type="dxa"/>
            <w:tcBorders>
              <w:top w:val="single" w:sz="4" w:space="0" w:color="auto"/>
              <w:bottom w:val="single" w:sz="4" w:space="0" w:color="auto"/>
            </w:tcBorders>
            <w:shd w:val="clear" w:color="auto" w:fill="FFE599" w:themeFill="accent4" w:themeFillTint="66"/>
            <w:noWrap/>
            <w:vAlign w:val="bottom"/>
            <w:hideMark/>
          </w:tcPr>
          <w:p w14:paraId="28001AD8" w14:textId="77777777" w:rsidR="00B7386F" w:rsidRPr="00100041" w:rsidRDefault="00B7386F" w:rsidP="00C47D35">
            <w:pPr>
              <w:spacing w:after="0" w:line="240" w:lineRule="auto"/>
              <w:rPr>
                <w:rFonts w:ascii="Arial" w:eastAsia="Times New Roman" w:hAnsi="Arial" w:cs="Arial"/>
                <w:b/>
                <w:bCs/>
                <w:color w:val="FFFFFF"/>
                <w:sz w:val="18"/>
                <w:szCs w:val="18"/>
                <w:lang w:eastAsia="hr-HR"/>
              </w:rPr>
            </w:pPr>
            <w:r w:rsidRPr="00100041">
              <w:rPr>
                <w:rFonts w:ascii="Arial" w:eastAsia="Times New Roman" w:hAnsi="Arial" w:cs="Arial"/>
                <w:b/>
                <w:bCs/>
                <w:color w:val="FFFFFF"/>
                <w:sz w:val="18"/>
                <w:szCs w:val="18"/>
                <w:lang w:eastAsia="hr-HR"/>
              </w:rPr>
              <w:t xml:space="preserve"> </w:t>
            </w:r>
            <w:r w:rsidRPr="00100041">
              <w:rPr>
                <w:rFonts w:ascii="Arial" w:eastAsia="Times New Roman" w:hAnsi="Arial" w:cs="Arial"/>
                <w:b/>
                <w:bCs/>
                <w:sz w:val="18"/>
                <w:szCs w:val="18"/>
                <w:lang w:eastAsia="hr-HR"/>
              </w:rPr>
              <w:t>SVEUKUPNI PRIHODI</w:t>
            </w:r>
          </w:p>
        </w:tc>
        <w:tc>
          <w:tcPr>
            <w:tcW w:w="1680" w:type="dxa"/>
            <w:tcBorders>
              <w:top w:val="single" w:sz="4" w:space="0" w:color="auto"/>
              <w:bottom w:val="single" w:sz="4" w:space="0" w:color="auto"/>
            </w:tcBorders>
            <w:shd w:val="clear" w:color="auto" w:fill="FFE599" w:themeFill="accent4" w:themeFillTint="66"/>
            <w:noWrap/>
            <w:vAlign w:val="bottom"/>
          </w:tcPr>
          <w:p w14:paraId="2712916F"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17.537.721,38</w:t>
            </w:r>
          </w:p>
        </w:tc>
        <w:tc>
          <w:tcPr>
            <w:tcW w:w="1508" w:type="dxa"/>
            <w:tcBorders>
              <w:top w:val="single" w:sz="4" w:space="0" w:color="auto"/>
              <w:bottom w:val="single" w:sz="4" w:space="0" w:color="auto"/>
            </w:tcBorders>
            <w:shd w:val="clear" w:color="auto" w:fill="FFE599" w:themeFill="accent4" w:themeFillTint="66"/>
            <w:vAlign w:val="bottom"/>
          </w:tcPr>
          <w:p w14:paraId="0E621550"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20.828.572,16</w:t>
            </w:r>
          </w:p>
        </w:tc>
        <w:tc>
          <w:tcPr>
            <w:tcW w:w="1525" w:type="dxa"/>
            <w:tcBorders>
              <w:top w:val="single" w:sz="4" w:space="0" w:color="auto"/>
              <w:bottom w:val="single" w:sz="4" w:space="0" w:color="auto"/>
            </w:tcBorders>
            <w:shd w:val="clear" w:color="auto" w:fill="FFE599" w:themeFill="accent4" w:themeFillTint="66"/>
          </w:tcPr>
          <w:p w14:paraId="63D84433"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20.828.572,16</w:t>
            </w:r>
          </w:p>
        </w:tc>
        <w:tc>
          <w:tcPr>
            <w:tcW w:w="1525" w:type="dxa"/>
            <w:tcBorders>
              <w:top w:val="single" w:sz="4" w:space="0" w:color="auto"/>
              <w:bottom w:val="single" w:sz="4" w:space="0" w:color="auto"/>
            </w:tcBorders>
            <w:shd w:val="clear" w:color="auto" w:fill="FFE599" w:themeFill="accent4" w:themeFillTint="66"/>
            <w:noWrap/>
            <w:vAlign w:val="bottom"/>
          </w:tcPr>
          <w:p w14:paraId="7ABD43D2"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19.637.321,82</w:t>
            </w:r>
          </w:p>
        </w:tc>
        <w:tc>
          <w:tcPr>
            <w:tcW w:w="1067" w:type="dxa"/>
            <w:tcBorders>
              <w:top w:val="single" w:sz="4" w:space="0" w:color="auto"/>
              <w:bottom w:val="single" w:sz="4" w:space="0" w:color="auto"/>
            </w:tcBorders>
            <w:shd w:val="clear" w:color="auto" w:fill="FFE599" w:themeFill="accent4" w:themeFillTint="66"/>
            <w:noWrap/>
            <w:vAlign w:val="bottom"/>
          </w:tcPr>
          <w:p w14:paraId="49DFD3B0"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111,97%</w:t>
            </w:r>
          </w:p>
        </w:tc>
        <w:tc>
          <w:tcPr>
            <w:tcW w:w="950" w:type="dxa"/>
            <w:tcBorders>
              <w:top w:val="single" w:sz="4" w:space="0" w:color="auto"/>
              <w:bottom w:val="single" w:sz="4" w:space="0" w:color="auto"/>
            </w:tcBorders>
            <w:shd w:val="clear" w:color="auto" w:fill="FFE599" w:themeFill="accent4" w:themeFillTint="66"/>
            <w:noWrap/>
            <w:vAlign w:val="bottom"/>
          </w:tcPr>
          <w:p w14:paraId="2AC8DF48"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94,28%</w:t>
            </w:r>
          </w:p>
        </w:tc>
      </w:tr>
      <w:tr w:rsidR="00B7386F" w:rsidRPr="00100041" w14:paraId="3199F2A5" w14:textId="77777777" w:rsidTr="00C47D35">
        <w:trPr>
          <w:trHeight w:val="202"/>
        </w:trPr>
        <w:tc>
          <w:tcPr>
            <w:tcW w:w="3093" w:type="dxa"/>
            <w:tcBorders>
              <w:top w:val="single" w:sz="4" w:space="0" w:color="auto"/>
              <w:bottom w:val="single" w:sz="4" w:space="0" w:color="auto"/>
            </w:tcBorders>
            <w:shd w:val="clear" w:color="auto" w:fill="FFE599" w:themeFill="accent4" w:themeFillTint="66"/>
            <w:noWrap/>
            <w:vAlign w:val="bottom"/>
            <w:hideMark/>
          </w:tcPr>
          <w:p w14:paraId="3578AE4F" w14:textId="77777777" w:rsidR="00B7386F" w:rsidRPr="00100041" w:rsidRDefault="00B7386F" w:rsidP="00C47D35">
            <w:pPr>
              <w:spacing w:after="0" w:line="240" w:lineRule="auto"/>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Izvor 1. OPĆI PRIHODI I PRIMICI</w:t>
            </w:r>
          </w:p>
        </w:tc>
        <w:tc>
          <w:tcPr>
            <w:tcW w:w="1680" w:type="dxa"/>
            <w:tcBorders>
              <w:top w:val="single" w:sz="4" w:space="0" w:color="auto"/>
              <w:bottom w:val="single" w:sz="4" w:space="0" w:color="auto"/>
            </w:tcBorders>
            <w:shd w:val="clear" w:color="auto" w:fill="FFE599" w:themeFill="accent4" w:themeFillTint="66"/>
            <w:noWrap/>
            <w:vAlign w:val="bottom"/>
          </w:tcPr>
          <w:p w14:paraId="71C3D381"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12.109.051,09</w:t>
            </w:r>
          </w:p>
        </w:tc>
        <w:tc>
          <w:tcPr>
            <w:tcW w:w="1508" w:type="dxa"/>
            <w:tcBorders>
              <w:top w:val="single" w:sz="4" w:space="0" w:color="auto"/>
              <w:bottom w:val="single" w:sz="4" w:space="0" w:color="auto"/>
            </w:tcBorders>
            <w:shd w:val="clear" w:color="auto" w:fill="FFE599" w:themeFill="accent4" w:themeFillTint="66"/>
            <w:vAlign w:val="bottom"/>
          </w:tcPr>
          <w:p w14:paraId="0095EEA8"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12.949.732,23</w:t>
            </w:r>
          </w:p>
        </w:tc>
        <w:tc>
          <w:tcPr>
            <w:tcW w:w="1525" w:type="dxa"/>
            <w:tcBorders>
              <w:top w:val="single" w:sz="4" w:space="0" w:color="auto"/>
              <w:bottom w:val="single" w:sz="4" w:space="0" w:color="auto"/>
            </w:tcBorders>
            <w:shd w:val="clear" w:color="auto" w:fill="FFE599" w:themeFill="accent4" w:themeFillTint="66"/>
          </w:tcPr>
          <w:p w14:paraId="12F16100"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12.949.732,23</w:t>
            </w:r>
          </w:p>
        </w:tc>
        <w:tc>
          <w:tcPr>
            <w:tcW w:w="1525" w:type="dxa"/>
            <w:tcBorders>
              <w:top w:val="single" w:sz="4" w:space="0" w:color="auto"/>
              <w:bottom w:val="single" w:sz="4" w:space="0" w:color="auto"/>
            </w:tcBorders>
            <w:shd w:val="clear" w:color="auto" w:fill="FFE599" w:themeFill="accent4" w:themeFillTint="66"/>
            <w:noWrap/>
            <w:vAlign w:val="bottom"/>
          </w:tcPr>
          <w:p w14:paraId="5122F8CB"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13.308.965,36</w:t>
            </w:r>
          </w:p>
        </w:tc>
        <w:tc>
          <w:tcPr>
            <w:tcW w:w="1067" w:type="dxa"/>
            <w:tcBorders>
              <w:top w:val="single" w:sz="4" w:space="0" w:color="auto"/>
              <w:bottom w:val="single" w:sz="4" w:space="0" w:color="auto"/>
            </w:tcBorders>
            <w:shd w:val="clear" w:color="auto" w:fill="FFE599" w:themeFill="accent4" w:themeFillTint="66"/>
            <w:noWrap/>
            <w:vAlign w:val="bottom"/>
          </w:tcPr>
          <w:p w14:paraId="45AF6723"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109,91%</w:t>
            </w:r>
          </w:p>
        </w:tc>
        <w:tc>
          <w:tcPr>
            <w:tcW w:w="950" w:type="dxa"/>
            <w:tcBorders>
              <w:top w:val="single" w:sz="4" w:space="0" w:color="auto"/>
              <w:bottom w:val="single" w:sz="4" w:space="0" w:color="auto"/>
            </w:tcBorders>
            <w:shd w:val="clear" w:color="auto" w:fill="FFE599" w:themeFill="accent4" w:themeFillTint="66"/>
            <w:noWrap/>
            <w:vAlign w:val="bottom"/>
          </w:tcPr>
          <w:p w14:paraId="751494B6"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102,77%</w:t>
            </w:r>
          </w:p>
        </w:tc>
      </w:tr>
      <w:tr w:rsidR="00B7386F" w:rsidRPr="00100041" w14:paraId="6652FC9D" w14:textId="77777777" w:rsidTr="00C47D35">
        <w:trPr>
          <w:trHeight w:val="202"/>
        </w:trPr>
        <w:tc>
          <w:tcPr>
            <w:tcW w:w="3093" w:type="dxa"/>
            <w:tcBorders>
              <w:top w:val="single" w:sz="4" w:space="0" w:color="auto"/>
              <w:bottom w:val="single" w:sz="4" w:space="0" w:color="auto"/>
            </w:tcBorders>
            <w:noWrap/>
            <w:vAlign w:val="bottom"/>
            <w:hideMark/>
          </w:tcPr>
          <w:p w14:paraId="79FE6666" w14:textId="77777777" w:rsidR="00B7386F" w:rsidRPr="00100041" w:rsidRDefault="00B7386F" w:rsidP="00C47D3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1.1. Opći prihodi i primici</w:t>
            </w:r>
          </w:p>
        </w:tc>
        <w:tc>
          <w:tcPr>
            <w:tcW w:w="1680" w:type="dxa"/>
            <w:tcBorders>
              <w:top w:val="single" w:sz="4" w:space="0" w:color="auto"/>
              <w:bottom w:val="single" w:sz="4" w:space="0" w:color="auto"/>
            </w:tcBorders>
            <w:noWrap/>
            <w:vAlign w:val="bottom"/>
          </w:tcPr>
          <w:p w14:paraId="2FAB5BAE"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12.109.051,09</w:t>
            </w:r>
          </w:p>
        </w:tc>
        <w:tc>
          <w:tcPr>
            <w:tcW w:w="1508" w:type="dxa"/>
            <w:tcBorders>
              <w:top w:val="single" w:sz="4" w:space="0" w:color="auto"/>
              <w:bottom w:val="single" w:sz="4" w:space="0" w:color="auto"/>
            </w:tcBorders>
            <w:vAlign w:val="bottom"/>
          </w:tcPr>
          <w:p w14:paraId="5BE8E92B"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12.949.732,23</w:t>
            </w:r>
          </w:p>
        </w:tc>
        <w:tc>
          <w:tcPr>
            <w:tcW w:w="1525" w:type="dxa"/>
            <w:tcBorders>
              <w:top w:val="single" w:sz="4" w:space="0" w:color="auto"/>
              <w:bottom w:val="single" w:sz="4" w:space="0" w:color="auto"/>
            </w:tcBorders>
          </w:tcPr>
          <w:p w14:paraId="1145F0FD"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12.949.732,23</w:t>
            </w:r>
          </w:p>
        </w:tc>
        <w:tc>
          <w:tcPr>
            <w:tcW w:w="1525" w:type="dxa"/>
            <w:tcBorders>
              <w:top w:val="single" w:sz="4" w:space="0" w:color="auto"/>
              <w:bottom w:val="single" w:sz="4" w:space="0" w:color="auto"/>
            </w:tcBorders>
            <w:noWrap/>
            <w:vAlign w:val="bottom"/>
          </w:tcPr>
          <w:p w14:paraId="433ACFA2"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13.308.965,36</w:t>
            </w:r>
          </w:p>
        </w:tc>
        <w:tc>
          <w:tcPr>
            <w:tcW w:w="1067" w:type="dxa"/>
            <w:tcBorders>
              <w:top w:val="single" w:sz="4" w:space="0" w:color="auto"/>
              <w:bottom w:val="single" w:sz="4" w:space="0" w:color="auto"/>
            </w:tcBorders>
            <w:noWrap/>
            <w:vAlign w:val="bottom"/>
          </w:tcPr>
          <w:p w14:paraId="423C5CC2"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109,91%</w:t>
            </w:r>
          </w:p>
        </w:tc>
        <w:tc>
          <w:tcPr>
            <w:tcW w:w="950" w:type="dxa"/>
            <w:tcBorders>
              <w:top w:val="single" w:sz="4" w:space="0" w:color="auto"/>
              <w:bottom w:val="single" w:sz="4" w:space="0" w:color="auto"/>
            </w:tcBorders>
            <w:noWrap/>
            <w:vAlign w:val="bottom"/>
          </w:tcPr>
          <w:p w14:paraId="20BF4F54"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102,77%</w:t>
            </w:r>
          </w:p>
        </w:tc>
      </w:tr>
      <w:tr w:rsidR="00B7386F" w:rsidRPr="00100041" w14:paraId="04EFEFB2" w14:textId="77777777" w:rsidTr="00C47D35">
        <w:trPr>
          <w:trHeight w:val="202"/>
        </w:trPr>
        <w:tc>
          <w:tcPr>
            <w:tcW w:w="3093" w:type="dxa"/>
            <w:tcBorders>
              <w:top w:val="single" w:sz="4" w:space="0" w:color="auto"/>
              <w:bottom w:val="single" w:sz="4" w:space="0" w:color="auto"/>
            </w:tcBorders>
            <w:shd w:val="clear" w:color="auto" w:fill="FFE599" w:themeFill="accent4" w:themeFillTint="66"/>
            <w:noWrap/>
            <w:vAlign w:val="bottom"/>
            <w:hideMark/>
          </w:tcPr>
          <w:p w14:paraId="18B20E98" w14:textId="77777777" w:rsidR="00B7386F" w:rsidRPr="00100041" w:rsidRDefault="00B7386F" w:rsidP="00C47D35">
            <w:pPr>
              <w:spacing w:after="0" w:line="240" w:lineRule="auto"/>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Izvor 3. VLASTITI PRIHODI</w:t>
            </w:r>
          </w:p>
        </w:tc>
        <w:tc>
          <w:tcPr>
            <w:tcW w:w="1680" w:type="dxa"/>
            <w:tcBorders>
              <w:top w:val="single" w:sz="4" w:space="0" w:color="auto"/>
              <w:bottom w:val="single" w:sz="4" w:space="0" w:color="auto"/>
            </w:tcBorders>
            <w:shd w:val="clear" w:color="auto" w:fill="FFE599" w:themeFill="accent4" w:themeFillTint="66"/>
            <w:noWrap/>
            <w:vAlign w:val="bottom"/>
          </w:tcPr>
          <w:p w14:paraId="01E6A4DB"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111.123,93</w:t>
            </w:r>
          </w:p>
        </w:tc>
        <w:tc>
          <w:tcPr>
            <w:tcW w:w="1508" w:type="dxa"/>
            <w:tcBorders>
              <w:top w:val="single" w:sz="4" w:space="0" w:color="auto"/>
              <w:bottom w:val="single" w:sz="4" w:space="0" w:color="auto"/>
            </w:tcBorders>
            <w:shd w:val="clear" w:color="auto" w:fill="FFE599" w:themeFill="accent4" w:themeFillTint="66"/>
            <w:vAlign w:val="bottom"/>
          </w:tcPr>
          <w:p w14:paraId="084F0B8D"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128.006,00</w:t>
            </w:r>
          </w:p>
        </w:tc>
        <w:tc>
          <w:tcPr>
            <w:tcW w:w="1525" w:type="dxa"/>
            <w:tcBorders>
              <w:top w:val="single" w:sz="4" w:space="0" w:color="auto"/>
              <w:bottom w:val="single" w:sz="4" w:space="0" w:color="auto"/>
            </w:tcBorders>
            <w:shd w:val="clear" w:color="auto" w:fill="FFE599" w:themeFill="accent4" w:themeFillTint="66"/>
          </w:tcPr>
          <w:p w14:paraId="5B7AD739"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128.006,00</w:t>
            </w:r>
          </w:p>
        </w:tc>
        <w:tc>
          <w:tcPr>
            <w:tcW w:w="1525" w:type="dxa"/>
            <w:tcBorders>
              <w:top w:val="single" w:sz="4" w:space="0" w:color="auto"/>
              <w:bottom w:val="single" w:sz="4" w:space="0" w:color="auto"/>
            </w:tcBorders>
            <w:shd w:val="clear" w:color="auto" w:fill="FFE599" w:themeFill="accent4" w:themeFillTint="66"/>
            <w:noWrap/>
            <w:vAlign w:val="bottom"/>
          </w:tcPr>
          <w:p w14:paraId="129F7C9E"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110.765,31</w:t>
            </w:r>
          </w:p>
        </w:tc>
        <w:tc>
          <w:tcPr>
            <w:tcW w:w="1067" w:type="dxa"/>
            <w:tcBorders>
              <w:top w:val="single" w:sz="4" w:space="0" w:color="auto"/>
              <w:bottom w:val="single" w:sz="4" w:space="0" w:color="auto"/>
            </w:tcBorders>
            <w:shd w:val="clear" w:color="auto" w:fill="FFE599" w:themeFill="accent4" w:themeFillTint="66"/>
            <w:noWrap/>
            <w:vAlign w:val="bottom"/>
          </w:tcPr>
          <w:p w14:paraId="0B7C7891"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99,68%</w:t>
            </w:r>
          </w:p>
        </w:tc>
        <w:tc>
          <w:tcPr>
            <w:tcW w:w="950" w:type="dxa"/>
            <w:tcBorders>
              <w:top w:val="single" w:sz="4" w:space="0" w:color="auto"/>
              <w:bottom w:val="single" w:sz="4" w:space="0" w:color="auto"/>
            </w:tcBorders>
            <w:shd w:val="clear" w:color="auto" w:fill="FFE599" w:themeFill="accent4" w:themeFillTint="66"/>
            <w:noWrap/>
            <w:vAlign w:val="bottom"/>
          </w:tcPr>
          <w:p w14:paraId="412A0ADF"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86,53%</w:t>
            </w:r>
          </w:p>
        </w:tc>
      </w:tr>
      <w:tr w:rsidR="00B7386F" w:rsidRPr="00100041" w14:paraId="564ECFD2" w14:textId="77777777" w:rsidTr="00C47D35">
        <w:trPr>
          <w:trHeight w:val="395"/>
        </w:trPr>
        <w:tc>
          <w:tcPr>
            <w:tcW w:w="3093" w:type="dxa"/>
            <w:tcBorders>
              <w:top w:val="single" w:sz="4" w:space="0" w:color="auto"/>
              <w:bottom w:val="single" w:sz="4" w:space="0" w:color="auto"/>
            </w:tcBorders>
            <w:noWrap/>
            <w:vAlign w:val="bottom"/>
            <w:hideMark/>
          </w:tcPr>
          <w:p w14:paraId="03CB3B9C" w14:textId="77777777" w:rsidR="00B7386F" w:rsidRPr="00100041" w:rsidRDefault="00B7386F" w:rsidP="00C47D3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3.2. Vlastiti prihodi proračunskih korisnika</w:t>
            </w:r>
          </w:p>
        </w:tc>
        <w:tc>
          <w:tcPr>
            <w:tcW w:w="1680" w:type="dxa"/>
            <w:tcBorders>
              <w:top w:val="single" w:sz="4" w:space="0" w:color="auto"/>
              <w:bottom w:val="single" w:sz="4" w:space="0" w:color="auto"/>
            </w:tcBorders>
            <w:noWrap/>
            <w:vAlign w:val="center"/>
          </w:tcPr>
          <w:p w14:paraId="26BA8F23"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111.123,93</w:t>
            </w:r>
          </w:p>
        </w:tc>
        <w:tc>
          <w:tcPr>
            <w:tcW w:w="1508" w:type="dxa"/>
            <w:tcBorders>
              <w:top w:val="single" w:sz="4" w:space="0" w:color="auto"/>
              <w:bottom w:val="single" w:sz="4" w:space="0" w:color="auto"/>
            </w:tcBorders>
            <w:vAlign w:val="center"/>
          </w:tcPr>
          <w:p w14:paraId="5E1205C8"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128.006,00</w:t>
            </w:r>
          </w:p>
        </w:tc>
        <w:tc>
          <w:tcPr>
            <w:tcW w:w="1525" w:type="dxa"/>
            <w:tcBorders>
              <w:top w:val="single" w:sz="4" w:space="0" w:color="auto"/>
              <w:bottom w:val="single" w:sz="4" w:space="0" w:color="auto"/>
            </w:tcBorders>
            <w:vAlign w:val="center"/>
          </w:tcPr>
          <w:p w14:paraId="7474C237"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128.006,00</w:t>
            </w:r>
          </w:p>
        </w:tc>
        <w:tc>
          <w:tcPr>
            <w:tcW w:w="1525" w:type="dxa"/>
            <w:tcBorders>
              <w:top w:val="single" w:sz="4" w:space="0" w:color="auto"/>
              <w:bottom w:val="single" w:sz="4" w:space="0" w:color="auto"/>
            </w:tcBorders>
            <w:noWrap/>
            <w:vAlign w:val="center"/>
          </w:tcPr>
          <w:p w14:paraId="3E4B9BC9"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110.765,31</w:t>
            </w:r>
          </w:p>
        </w:tc>
        <w:tc>
          <w:tcPr>
            <w:tcW w:w="1067" w:type="dxa"/>
            <w:tcBorders>
              <w:top w:val="single" w:sz="4" w:space="0" w:color="auto"/>
              <w:bottom w:val="single" w:sz="4" w:space="0" w:color="auto"/>
            </w:tcBorders>
            <w:noWrap/>
            <w:vAlign w:val="center"/>
          </w:tcPr>
          <w:p w14:paraId="75A445C2"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99,68%</w:t>
            </w:r>
          </w:p>
        </w:tc>
        <w:tc>
          <w:tcPr>
            <w:tcW w:w="950" w:type="dxa"/>
            <w:tcBorders>
              <w:top w:val="single" w:sz="4" w:space="0" w:color="auto"/>
              <w:bottom w:val="single" w:sz="4" w:space="0" w:color="auto"/>
            </w:tcBorders>
            <w:noWrap/>
            <w:vAlign w:val="center"/>
          </w:tcPr>
          <w:p w14:paraId="3A151837"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86,53%</w:t>
            </w:r>
          </w:p>
        </w:tc>
      </w:tr>
      <w:tr w:rsidR="00B7386F" w:rsidRPr="00100041" w14:paraId="62F6A77E" w14:textId="77777777" w:rsidTr="00C47D35">
        <w:trPr>
          <w:trHeight w:val="202"/>
        </w:trPr>
        <w:tc>
          <w:tcPr>
            <w:tcW w:w="3093" w:type="dxa"/>
            <w:tcBorders>
              <w:top w:val="single" w:sz="4" w:space="0" w:color="auto"/>
              <w:bottom w:val="single" w:sz="4" w:space="0" w:color="auto"/>
            </w:tcBorders>
            <w:shd w:val="clear" w:color="auto" w:fill="FFE599" w:themeFill="accent4" w:themeFillTint="66"/>
            <w:noWrap/>
            <w:vAlign w:val="bottom"/>
            <w:hideMark/>
          </w:tcPr>
          <w:p w14:paraId="28877CF6" w14:textId="77777777" w:rsidR="00B7386F" w:rsidRPr="00100041" w:rsidRDefault="00B7386F" w:rsidP="00C47D35">
            <w:pPr>
              <w:spacing w:after="0" w:line="240" w:lineRule="auto"/>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Izvor 4. PRIHODI ZA POSEBNE NAMJENE</w:t>
            </w:r>
          </w:p>
        </w:tc>
        <w:tc>
          <w:tcPr>
            <w:tcW w:w="1680" w:type="dxa"/>
            <w:tcBorders>
              <w:top w:val="single" w:sz="4" w:space="0" w:color="auto"/>
              <w:bottom w:val="single" w:sz="4" w:space="0" w:color="auto"/>
            </w:tcBorders>
            <w:shd w:val="clear" w:color="auto" w:fill="FFE599" w:themeFill="accent4" w:themeFillTint="66"/>
            <w:noWrap/>
            <w:vAlign w:val="center"/>
          </w:tcPr>
          <w:p w14:paraId="70D1C2C1"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4.175.559,05</w:t>
            </w:r>
          </w:p>
        </w:tc>
        <w:tc>
          <w:tcPr>
            <w:tcW w:w="1508" w:type="dxa"/>
            <w:tcBorders>
              <w:top w:val="single" w:sz="4" w:space="0" w:color="auto"/>
              <w:bottom w:val="single" w:sz="4" w:space="0" w:color="auto"/>
            </w:tcBorders>
            <w:shd w:val="clear" w:color="auto" w:fill="FFE599" w:themeFill="accent4" w:themeFillTint="66"/>
            <w:vAlign w:val="center"/>
          </w:tcPr>
          <w:p w14:paraId="3A295AB4"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5.173.536,93</w:t>
            </w:r>
          </w:p>
        </w:tc>
        <w:tc>
          <w:tcPr>
            <w:tcW w:w="1525" w:type="dxa"/>
            <w:tcBorders>
              <w:top w:val="single" w:sz="4" w:space="0" w:color="auto"/>
              <w:bottom w:val="single" w:sz="4" w:space="0" w:color="auto"/>
            </w:tcBorders>
            <w:shd w:val="clear" w:color="auto" w:fill="FFE599" w:themeFill="accent4" w:themeFillTint="66"/>
            <w:vAlign w:val="center"/>
          </w:tcPr>
          <w:p w14:paraId="5F897724"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5.173.536,93</w:t>
            </w:r>
          </w:p>
        </w:tc>
        <w:tc>
          <w:tcPr>
            <w:tcW w:w="1525" w:type="dxa"/>
            <w:tcBorders>
              <w:top w:val="single" w:sz="4" w:space="0" w:color="auto"/>
              <w:bottom w:val="single" w:sz="4" w:space="0" w:color="auto"/>
            </w:tcBorders>
            <w:shd w:val="clear" w:color="auto" w:fill="FFE599" w:themeFill="accent4" w:themeFillTint="66"/>
            <w:noWrap/>
            <w:vAlign w:val="center"/>
          </w:tcPr>
          <w:p w14:paraId="37AC926B"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5.021.220,85</w:t>
            </w:r>
          </w:p>
        </w:tc>
        <w:tc>
          <w:tcPr>
            <w:tcW w:w="1067" w:type="dxa"/>
            <w:tcBorders>
              <w:top w:val="single" w:sz="4" w:space="0" w:color="auto"/>
              <w:bottom w:val="single" w:sz="4" w:space="0" w:color="auto"/>
            </w:tcBorders>
            <w:shd w:val="clear" w:color="auto" w:fill="FFE599" w:themeFill="accent4" w:themeFillTint="66"/>
            <w:noWrap/>
            <w:vAlign w:val="center"/>
          </w:tcPr>
          <w:p w14:paraId="7279F3C0"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120,25%</w:t>
            </w:r>
          </w:p>
        </w:tc>
        <w:tc>
          <w:tcPr>
            <w:tcW w:w="950" w:type="dxa"/>
            <w:tcBorders>
              <w:top w:val="single" w:sz="4" w:space="0" w:color="auto"/>
              <w:bottom w:val="single" w:sz="4" w:space="0" w:color="auto"/>
            </w:tcBorders>
            <w:shd w:val="clear" w:color="auto" w:fill="FFE599" w:themeFill="accent4" w:themeFillTint="66"/>
            <w:noWrap/>
            <w:vAlign w:val="center"/>
          </w:tcPr>
          <w:p w14:paraId="4B8907A2"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97,06%</w:t>
            </w:r>
          </w:p>
        </w:tc>
      </w:tr>
      <w:tr w:rsidR="00B7386F" w:rsidRPr="00100041" w14:paraId="1743B1F0" w14:textId="77777777" w:rsidTr="00C47D35">
        <w:trPr>
          <w:trHeight w:val="202"/>
        </w:trPr>
        <w:tc>
          <w:tcPr>
            <w:tcW w:w="3093" w:type="dxa"/>
            <w:tcBorders>
              <w:top w:val="single" w:sz="4" w:space="0" w:color="auto"/>
              <w:bottom w:val="single" w:sz="4" w:space="0" w:color="auto"/>
            </w:tcBorders>
            <w:noWrap/>
            <w:vAlign w:val="bottom"/>
            <w:hideMark/>
          </w:tcPr>
          <w:p w14:paraId="2B847E37" w14:textId="77777777" w:rsidR="00B7386F" w:rsidRPr="00100041" w:rsidRDefault="00B7386F" w:rsidP="00C47D3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4.1. Komunalni doprinos</w:t>
            </w:r>
          </w:p>
        </w:tc>
        <w:tc>
          <w:tcPr>
            <w:tcW w:w="1680" w:type="dxa"/>
            <w:tcBorders>
              <w:top w:val="single" w:sz="4" w:space="0" w:color="auto"/>
              <w:bottom w:val="single" w:sz="4" w:space="0" w:color="auto"/>
            </w:tcBorders>
            <w:noWrap/>
            <w:vAlign w:val="center"/>
          </w:tcPr>
          <w:p w14:paraId="14EADDF9"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1.113.976,61</w:t>
            </w:r>
          </w:p>
        </w:tc>
        <w:tc>
          <w:tcPr>
            <w:tcW w:w="1508" w:type="dxa"/>
            <w:tcBorders>
              <w:top w:val="single" w:sz="4" w:space="0" w:color="auto"/>
              <w:bottom w:val="single" w:sz="4" w:space="0" w:color="auto"/>
            </w:tcBorders>
            <w:vAlign w:val="center"/>
          </w:tcPr>
          <w:p w14:paraId="115252B5"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1.349.885,93</w:t>
            </w:r>
          </w:p>
        </w:tc>
        <w:tc>
          <w:tcPr>
            <w:tcW w:w="1525" w:type="dxa"/>
            <w:tcBorders>
              <w:top w:val="single" w:sz="4" w:space="0" w:color="auto"/>
              <w:bottom w:val="single" w:sz="4" w:space="0" w:color="auto"/>
            </w:tcBorders>
            <w:vAlign w:val="center"/>
          </w:tcPr>
          <w:p w14:paraId="1E3B948A"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1.349.885,93</w:t>
            </w:r>
          </w:p>
        </w:tc>
        <w:tc>
          <w:tcPr>
            <w:tcW w:w="1525" w:type="dxa"/>
            <w:tcBorders>
              <w:top w:val="single" w:sz="4" w:space="0" w:color="auto"/>
              <w:bottom w:val="single" w:sz="4" w:space="0" w:color="auto"/>
            </w:tcBorders>
            <w:noWrap/>
            <w:vAlign w:val="center"/>
          </w:tcPr>
          <w:p w14:paraId="6EBE411B"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1.445.037,08</w:t>
            </w:r>
          </w:p>
        </w:tc>
        <w:tc>
          <w:tcPr>
            <w:tcW w:w="1067" w:type="dxa"/>
            <w:tcBorders>
              <w:top w:val="single" w:sz="4" w:space="0" w:color="auto"/>
              <w:bottom w:val="single" w:sz="4" w:space="0" w:color="auto"/>
            </w:tcBorders>
            <w:noWrap/>
            <w:vAlign w:val="center"/>
          </w:tcPr>
          <w:p w14:paraId="13D493E2"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129,72%</w:t>
            </w:r>
          </w:p>
        </w:tc>
        <w:tc>
          <w:tcPr>
            <w:tcW w:w="950" w:type="dxa"/>
            <w:tcBorders>
              <w:top w:val="single" w:sz="4" w:space="0" w:color="auto"/>
              <w:bottom w:val="single" w:sz="4" w:space="0" w:color="auto"/>
            </w:tcBorders>
            <w:noWrap/>
            <w:vAlign w:val="center"/>
          </w:tcPr>
          <w:p w14:paraId="5D3A0E4E"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107,05%</w:t>
            </w:r>
          </w:p>
        </w:tc>
      </w:tr>
      <w:tr w:rsidR="00B7386F" w:rsidRPr="00100041" w14:paraId="47FA25FC" w14:textId="77777777" w:rsidTr="00C47D35">
        <w:trPr>
          <w:trHeight w:val="202"/>
        </w:trPr>
        <w:tc>
          <w:tcPr>
            <w:tcW w:w="3093" w:type="dxa"/>
            <w:tcBorders>
              <w:top w:val="single" w:sz="4" w:space="0" w:color="auto"/>
              <w:bottom w:val="single" w:sz="4" w:space="0" w:color="auto"/>
            </w:tcBorders>
            <w:noWrap/>
            <w:vAlign w:val="bottom"/>
            <w:hideMark/>
          </w:tcPr>
          <w:p w14:paraId="1B0DF15F" w14:textId="77777777" w:rsidR="00B7386F" w:rsidRPr="00100041" w:rsidRDefault="00B7386F" w:rsidP="00C47D3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4.2. Komunalna naknada</w:t>
            </w:r>
          </w:p>
        </w:tc>
        <w:tc>
          <w:tcPr>
            <w:tcW w:w="1680" w:type="dxa"/>
            <w:tcBorders>
              <w:top w:val="single" w:sz="4" w:space="0" w:color="auto"/>
              <w:bottom w:val="single" w:sz="4" w:space="0" w:color="auto"/>
            </w:tcBorders>
            <w:noWrap/>
            <w:vAlign w:val="center"/>
          </w:tcPr>
          <w:p w14:paraId="00F1914C"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1.677.571,24</w:t>
            </w:r>
          </w:p>
        </w:tc>
        <w:tc>
          <w:tcPr>
            <w:tcW w:w="1508" w:type="dxa"/>
            <w:tcBorders>
              <w:top w:val="single" w:sz="4" w:space="0" w:color="auto"/>
              <w:bottom w:val="single" w:sz="4" w:space="0" w:color="auto"/>
            </w:tcBorders>
            <w:vAlign w:val="center"/>
          </w:tcPr>
          <w:p w14:paraId="4E5FC489"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1.873.200,00</w:t>
            </w:r>
          </w:p>
        </w:tc>
        <w:tc>
          <w:tcPr>
            <w:tcW w:w="1525" w:type="dxa"/>
            <w:tcBorders>
              <w:top w:val="single" w:sz="4" w:space="0" w:color="auto"/>
              <w:bottom w:val="single" w:sz="4" w:space="0" w:color="auto"/>
            </w:tcBorders>
            <w:vAlign w:val="center"/>
          </w:tcPr>
          <w:p w14:paraId="4B0390E4"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1.873.200,00</w:t>
            </w:r>
          </w:p>
        </w:tc>
        <w:tc>
          <w:tcPr>
            <w:tcW w:w="1525" w:type="dxa"/>
            <w:tcBorders>
              <w:top w:val="single" w:sz="4" w:space="0" w:color="auto"/>
              <w:bottom w:val="single" w:sz="4" w:space="0" w:color="auto"/>
            </w:tcBorders>
            <w:noWrap/>
            <w:vAlign w:val="center"/>
          </w:tcPr>
          <w:p w14:paraId="62DA46F4"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1.756.902,15</w:t>
            </w:r>
          </w:p>
        </w:tc>
        <w:tc>
          <w:tcPr>
            <w:tcW w:w="1067" w:type="dxa"/>
            <w:tcBorders>
              <w:top w:val="single" w:sz="4" w:space="0" w:color="auto"/>
              <w:bottom w:val="single" w:sz="4" w:space="0" w:color="auto"/>
            </w:tcBorders>
            <w:noWrap/>
            <w:vAlign w:val="center"/>
          </w:tcPr>
          <w:p w14:paraId="6AE0ED75"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104,73%</w:t>
            </w:r>
          </w:p>
        </w:tc>
        <w:tc>
          <w:tcPr>
            <w:tcW w:w="950" w:type="dxa"/>
            <w:tcBorders>
              <w:top w:val="single" w:sz="4" w:space="0" w:color="auto"/>
              <w:bottom w:val="single" w:sz="4" w:space="0" w:color="auto"/>
            </w:tcBorders>
            <w:noWrap/>
            <w:vAlign w:val="center"/>
          </w:tcPr>
          <w:p w14:paraId="52029425"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93,79%</w:t>
            </w:r>
          </w:p>
        </w:tc>
      </w:tr>
      <w:tr w:rsidR="00B7386F" w:rsidRPr="00100041" w14:paraId="03D0CF63" w14:textId="77777777" w:rsidTr="00C47D35">
        <w:trPr>
          <w:trHeight w:val="395"/>
        </w:trPr>
        <w:tc>
          <w:tcPr>
            <w:tcW w:w="3093" w:type="dxa"/>
            <w:tcBorders>
              <w:top w:val="single" w:sz="4" w:space="0" w:color="auto"/>
              <w:bottom w:val="single" w:sz="4" w:space="0" w:color="auto"/>
            </w:tcBorders>
            <w:noWrap/>
            <w:vAlign w:val="bottom"/>
            <w:hideMark/>
          </w:tcPr>
          <w:p w14:paraId="62900684" w14:textId="77777777" w:rsidR="00B7386F" w:rsidRPr="00100041" w:rsidRDefault="00B7386F" w:rsidP="00C47D3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4.3. Ostali prihodi za posebne namjene</w:t>
            </w:r>
          </w:p>
        </w:tc>
        <w:tc>
          <w:tcPr>
            <w:tcW w:w="1680" w:type="dxa"/>
            <w:tcBorders>
              <w:top w:val="single" w:sz="4" w:space="0" w:color="auto"/>
              <w:bottom w:val="single" w:sz="4" w:space="0" w:color="auto"/>
            </w:tcBorders>
            <w:noWrap/>
            <w:vAlign w:val="center"/>
          </w:tcPr>
          <w:p w14:paraId="4A56EB37"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800.929,90</w:t>
            </w:r>
          </w:p>
        </w:tc>
        <w:tc>
          <w:tcPr>
            <w:tcW w:w="1508" w:type="dxa"/>
            <w:tcBorders>
              <w:top w:val="single" w:sz="4" w:space="0" w:color="auto"/>
              <w:bottom w:val="single" w:sz="4" w:space="0" w:color="auto"/>
            </w:tcBorders>
            <w:vAlign w:val="center"/>
          </w:tcPr>
          <w:p w14:paraId="038A8117"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1.320.600,00</w:t>
            </w:r>
          </w:p>
        </w:tc>
        <w:tc>
          <w:tcPr>
            <w:tcW w:w="1525" w:type="dxa"/>
            <w:tcBorders>
              <w:top w:val="single" w:sz="4" w:space="0" w:color="auto"/>
              <w:bottom w:val="single" w:sz="4" w:space="0" w:color="auto"/>
            </w:tcBorders>
            <w:vAlign w:val="center"/>
          </w:tcPr>
          <w:p w14:paraId="7386F63E"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1.320.600,00</w:t>
            </w:r>
          </w:p>
        </w:tc>
        <w:tc>
          <w:tcPr>
            <w:tcW w:w="1525" w:type="dxa"/>
            <w:tcBorders>
              <w:top w:val="single" w:sz="4" w:space="0" w:color="auto"/>
              <w:bottom w:val="single" w:sz="4" w:space="0" w:color="auto"/>
            </w:tcBorders>
            <w:noWrap/>
            <w:vAlign w:val="center"/>
          </w:tcPr>
          <w:p w14:paraId="1BA18CC8"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1.210.478,00</w:t>
            </w:r>
          </w:p>
        </w:tc>
        <w:tc>
          <w:tcPr>
            <w:tcW w:w="1067" w:type="dxa"/>
            <w:tcBorders>
              <w:top w:val="single" w:sz="4" w:space="0" w:color="auto"/>
              <w:bottom w:val="single" w:sz="4" w:space="0" w:color="auto"/>
            </w:tcBorders>
            <w:noWrap/>
            <w:vAlign w:val="center"/>
          </w:tcPr>
          <w:p w14:paraId="1FA289A2"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151,13%</w:t>
            </w:r>
          </w:p>
        </w:tc>
        <w:tc>
          <w:tcPr>
            <w:tcW w:w="950" w:type="dxa"/>
            <w:tcBorders>
              <w:top w:val="single" w:sz="4" w:space="0" w:color="auto"/>
              <w:bottom w:val="single" w:sz="4" w:space="0" w:color="auto"/>
            </w:tcBorders>
            <w:noWrap/>
            <w:vAlign w:val="center"/>
          </w:tcPr>
          <w:p w14:paraId="3986CF70"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91,66%</w:t>
            </w:r>
          </w:p>
        </w:tc>
      </w:tr>
      <w:tr w:rsidR="00B7386F" w:rsidRPr="00100041" w14:paraId="181E9DD0" w14:textId="77777777" w:rsidTr="00C47D35">
        <w:trPr>
          <w:trHeight w:val="407"/>
        </w:trPr>
        <w:tc>
          <w:tcPr>
            <w:tcW w:w="3093" w:type="dxa"/>
            <w:tcBorders>
              <w:top w:val="single" w:sz="4" w:space="0" w:color="auto"/>
              <w:bottom w:val="single" w:sz="4" w:space="0" w:color="auto"/>
            </w:tcBorders>
            <w:vAlign w:val="bottom"/>
            <w:hideMark/>
          </w:tcPr>
          <w:p w14:paraId="7CB0B851" w14:textId="77777777" w:rsidR="00B7386F" w:rsidRPr="00100041" w:rsidRDefault="00B7386F" w:rsidP="00C47D3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 xml:space="preserve">Izvor 4.4. Ostali prihodi za posebne namjene proračunskih korisnika </w:t>
            </w:r>
          </w:p>
        </w:tc>
        <w:tc>
          <w:tcPr>
            <w:tcW w:w="1680" w:type="dxa"/>
            <w:tcBorders>
              <w:top w:val="single" w:sz="4" w:space="0" w:color="auto"/>
              <w:bottom w:val="single" w:sz="4" w:space="0" w:color="auto"/>
            </w:tcBorders>
            <w:noWrap/>
            <w:vAlign w:val="center"/>
          </w:tcPr>
          <w:p w14:paraId="229BF3D6"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276.045,81</w:t>
            </w:r>
          </w:p>
        </w:tc>
        <w:tc>
          <w:tcPr>
            <w:tcW w:w="1508" w:type="dxa"/>
            <w:tcBorders>
              <w:top w:val="single" w:sz="4" w:space="0" w:color="auto"/>
              <w:bottom w:val="single" w:sz="4" w:space="0" w:color="auto"/>
            </w:tcBorders>
            <w:vAlign w:val="center"/>
          </w:tcPr>
          <w:p w14:paraId="53E62EAF"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303.737,00</w:t>
            </w:r>
          </w:p>
        </w:tc>
        <w:tc>
          <w:tcPr>
            <w:tcW w:w="1525" w:type="dxa"/>
            <w:tcBorders>
              <w:top w:val="single" w:sz="4" w:space="0" w:color="auto"/>
              <w:bottom w:val="single" w:sz="4" w:space="0" w:color="auto"/>
            </w:tcBorders>
            <w:vAlign w:val="center"/>
          </w:tcPr>
          <w:p w14:paraId="4099D687"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303.737,00</w:t>
            </w:r>
          </w:p>
        </w:tc>
        <w:tc>
          <w:tcPr>
            <w:tcW w:w="1525" w:type="dxa"/>
            <w:tcBorders>
              <w:top w:val="single" w:sz="4" w:space="0" w:color="auto"/>
              <w:bottom w:val="single" w:sz="4" w:space="0" w:color="auto"/>
            </w:tcBorders>
            <w:noWrap/>
            <w:vAlign w:val="center"/>
          </w:tcPr>
          <w:p w14:paraId="68C7C28C"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282.689,62</w:t>
            </w:r>
          </w:p>
        </w:tc>
        <w:tc>
          <w:tcPr>
            <w:tcW w:w="1067" w:type="dxa"/>
            <w:tcBorders>
              <w:top w:val="single" w:sz="4" w:space="0" w:color="auto"/>
              <w:bottom w:val="single" w:sz="4" w:space="0" w:color="auto"/>
            </w:tcBorders>
            <w:noWrap/>
            <w:vAlign w:val="center"/>
          </w:tcPr>
          <w:p w14:paraId="527F55F7"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102,41%</w:t>
            </w:r>
          </w:p>
        </w:tc>
        <w:tc>
          <w:tcPr>
            <w:tcW w:w="950" w:type="dxa"/>
            <w:tcBorders>
              <w:top w:val="single" w:sz="4" w:space="0" w:color="auto"/>
              <w:bottom w:val="single" w:sz="4" w:space="0" w:color="auto"/>
            </w:tcBorders>
            <w:noWrap/>
            <w:vAlign w:val="center"/>
          </w:tcPr>
          <w:p w14:paraId="7A11CE27"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93,07%</w:t>
            </w:r>
          </w:p>
        </w:tc>
      </w:tr>
      <w:tr w:rsidR="00B7386F" w:rsidRPr="00100041" w14:paraId="2A6A8EB3" w14:textId="77777777" w:rsidTr="00C47D35">
        <w:trPr>
          <w:trHeight w:val="407"/>
        </w:trPr>
        <w:tc>
          <w:tcPr>
            <w:tcW w:w="3093" w:type="dxa"/>
            <w:tcBorders>
              <w:top w:val="single" w:sz="4" w:space="0" w:color="auto"/>
              <w:bottom w:val="single" w:sz="4" w:space="0" w:color="auto"/>
            </w:tcBorders>
            <w:vAlign w:val="bottom"/>
          </w:tcPr>
          <w:p w14:paraId="699900EA" w14:textId="77777777" w:rsidR="00B7386F" w:rsidRPr="00100041" w:rsidRDefault="00B7386F" w:rsidP="00C47D3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4.5. Ostali prihodi za posebne namjene -decentralizacija –JVP</w:t>
            </w:r>
          </w:p>
        </w:tc>
        <w:tc>
          <w:tcPr>
            <w:tcW w:w="1680" w:type="dxa"/>
            <w:tcBorders>
              <w:top w:val="single" w:sz="4" w:space="0" w:color="auto"/>
              <w:bottom w:val="single" w:sz="4" w:space="0" w:color="auto"/>
            </w:tcBorders>
            <w:noWrap/>
            <w:vAlign w:val="center"/>
          </w:tcPr>
          <w:p w14:paraId="2DC4EE5F"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216.011,14</w:t>
            </w:r>
          </w:p>
        </w:tc>
        <w:tc>
          <w:tcPr>
            <w:tcW w:w="1508" w:type="dxa"/>
            <w:tcBorders>
              <w:top w:val="single" w:sz="4" w:space="0" w:color="auto"/>
              <w:bottom w:val="single" w:sz="4" w:space="0" w:color="auto"/>
            </w:tcBorders>
            <w:vAlign w:val="center"/>
          </w:tcPr>
          <w:p w14:paraId="76F9726C"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326.114,00</w:t>
            </w:r>
          </w:p>
        </w:tc>
        <w:tc>
          <w:tcPr>
            <w:tcW w:w="1525" w:type="dxa"/>
            <w:tcBorders>
              <w:top w:val="single" w:sz="4" w:space="0" w:color="auto"/>
              <w:bottom w:val="single" w:sz="4" w:space="0" w:color="auto"/>
            </w:tcBorders>
            <w:vAlign w:val="center"/>
          </w:tcPr>
          <w:p w14:paraId="5AA7971D"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326.114,00</w:t>
            </w:r>
          </w:p>
        </w:tc>
        <w:tc>
          <w:tcPr>
            <w:tcW w:w="1525" w:type="dxa"/>
            <w:tcBorders>
              <w:top w:val="single" w:sz="4" w:space="0" w:color="auto"/>
              <w:bottom w:val="single" w:sz="4" w:space="0" w:color="auto"/>
            </w:tcBorders>
            <w:noWrap/>
            <w:vAlign w:val="center"/>
          </w:tcPr>
          <w:p w14:paraId="6A5D135E"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326.114,00</w:t>
            </w:r>
          </w:p>
        </w:tc>
        <w:tc>
          <w:tcPr>
            <w:tcW w:w="1067" w:type="dxa"/>
            <w:tcBorders>
              <w:top w:val="single" w:sz="4" w:space="0" w:color="auto"/>
              <w:bottom w:val="single" w:sz="4" w:space="0" w:color="auto"/>
            </w:tcBorders>
            <w:noWrap/>
            <w:vAlign w:val="center"/>
          </w:tcPr>
          <w:p w14:paraId="0FBCE334"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150,97%</w:t>
            </w:r>
          </w:p>
        </w:tc>
        <w:tc>
          <w:tcPr>
            <w:tcW w:w="950" w:type="dxa"/>
            <w:tcBorders>
              <w:top w:val="single" w:sz="4" w:space="0" w:color="auto"/>
              <w:bottom w:val="single" w:sz="4" w:space="0" w:color="auto"/>
            </w:tcBorders>
            <w:noWrap/>
            <w:vAlign w:val="center"/>
          </w:tcPr>
          <w:p w14:paraId="5C650480"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100,00%</w:t>
            </w:r>
          </w:p>
        </w:tc>
      </w:tr>
      <w:tr w:rsidR="00B7386F" w:rsidRPr="00100041" w14:paraId="08134B9C" w14:textId="77777777" w:rsidTr="00C47D35">
        <w:trPr>
          <w:trHeight w:val="407"/>
        </w:trPr>
        <w:tc>
          <w:tcPr>
            <w:tcW w:w="3093" w:type="dxa"/>
            <w:tcBorders>
              <w:top w:val="single" w:sz="4" w:space="0" w:color="auto"/>
              <w:bottom w:val="single" w:sz="4" w:space="0" w:color="auto"/>
            </w:tcBorders>
            <w:vAlign w:val="bottom"/>
          </w:tcPr>
          <w:p w14:paraId="54F12797" w14:textId="77777777" w:rsidR="00B7386F" w:rsidRPr="00100041" w:rsidRDefault="00B7386F" w:rsidP="00C47D3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4.6. Ostali prihodi za posebne namjene –ustupljeni dio za JVP</w:t>
            </w:r>
          </w:p>
        </w:tc>
        <w:tc>
          <w:tcPr>
            <w:tcW w:w="1680" w:type="dxa"/>
            <w:tcBorders>
              <w:top w:val="single" w:sz="4" w:space="0" w:color="auto"/>
              <w:bottom w:val="single" w:sz="4" w:space="0" w:color="auto"/>
            </w:tcBorders>
            <w:noWrap/>
            <w:vAlign w:val="center"/>
          </w:tcPr>
          <w:p w14:paraId="4288BF65"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91.024,35</w:t>
            </w:r>
          </w:p>
        </w:tc>
        <w:tc>
          <w:tcPr>
            <w:tcW w:w="1508" w:type="dxa"/>
            <w:tcBorders>
              <w:top w:val="single" w:sz="4" w:space="0" w:color="auto"/>
              <w:bottom w:val="single" w:sz="4" w:space="0" w:color="auto"/>
            </w:tcBorders>
            <w:vAlign w:val="center"/>
          </w:tcPr>
          <w:p w14:paraId="132362FB"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25" w:type="dxa"/>
            <w:tcBorders>
              <w:top w:val="single" w:sz="4" w:space="0" w:color="auto"/>
              <w:bottom w:val="single" w:sz="4" w:space="0" w:color="auto"/>
            </w:tcBorders>
            <w:vAlign w:val="center"/>
          </w:tcPr>
          <w:p w14:paraId="4F98F021"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25" w:type="dxa"/>
            <w:tcBorders>
              <w:top w:val="single" w:sz="4" w:space="0" w:color="auto"/>
              <w:bottom w:val="single" w:sz="4" w:space="0" w:color="auto"/>
            </w:tcBorders>
            <w:noWrap/>
            <w:vAlign w:val="center"/>
          </w:tcPr>
          <w:p w14:paraId="3940FDA0"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067" w:type="dxa"/>
            <w:tcBorders>
              <w:top w:val="single" w:sz="4" w:space="0" w:color="auto"/>
              <w:bottom w:val="single" w:sz="4" w:space="0" w:color="auto"/>
            </w:tcBorders>
            <w:noWrap/>
            <w:vAlign w:val="center"/>
          </w:tcPr>
          <w:p w14:paraId="0D4EC296"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950" w:type="dxa"/>
            <w:tcBorders>
              <w:top w:val="single" w:sz="4" w:space="0" w:color="auto"/>
              <w:bottom w:val="single" w:sz="4" w:space="0" w:color="auto"/>
            </w:tcBorders>
            <w:noWrap/>
            <w:vAlign w:val="center"/>
          </w:tcPr>
          <w:p w14:paraId="218BB7B4"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r>
      <w:tr w:rsidR="00B7386F" w:rsidRPr="00100041" w14:paraId="50B820F8" w14:textId="77777777" w:rsidTr="00C47D35">
        <w:trPr>
          <w:trHeight w:val="202"/>
        </w:trPr>
        <w:tc>
          <w:tcPr>
            <w:tcW w:w="3093" w:type="dxa"/>
            <w:tcBorders>
              <w:top w:val="single" w:sz="4" w:space="0" w:color="auto"/>
              <w:bottom w:val="single" w:sz="4" w:space="0" w:color="auto"/>
            </w:tcBorders>
            <w:shd w:val="clear" w:color="auto" w:fill="FFE599" w:themeFill="accent4" w:themeFillTint="66"/>
            <w:noWrap/>
            <w:vAlign w:val="bottom"/>
            <w:hideMark/>
          </w:tcPr>
          <w:p w14:paraId="674863A1" w14:textId="77777777" w:rsidR="00B7386F" w:rsidRPr="00100041" w:rsidRDefault="00B7386F" w:rsidP="00C47D35">
            <w:pPr>
              <w:spacing w:after="0" w:line="240" w:lineRule="auto"/>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Izvor 5. POMOĆI</w:t>
            </w:r>
          </w:p>
        </w:tc>
        <w:tc>
          <w:tcPr>
            <w:tcW w:w="1680" w:type="dxa"/>
            <w:tcBorders>
              <w:top w:val="single" w:sz="4" w:space="0" w:color="auto"/>
              <w:bottom w:val="single" w:sz="4" w:space="0" w:color="auto"/>
            </w:tcBorders>
            <w:shd w:val="clear" w:color="auto" w:fill="FFE599" w:themeFill="accent4" w:themeFillTint="66"/>
            <w:noWrap/>
            <w:vAlign w:val="center"/>
          </w:tcPr>
          <w:p w14:paraId="5F230E06"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1.133.548,95</w:t>
            </w:r>
          </w:p>
        </w:tc>
        <w:tc>
          <w:tcPr>
            <w:tcW w:w="1508" w:type="dxa"/>
            <w:tcBorders>
              <w:top w:val="single" w:sz="4" w:space="0" w:color="auto"/>
              <w:bottom w:val="single" w:sz="4" w:space="0" w:color="auto"/>
            </w:tcBorders>
            <w:shd w:val="clear" w:color="auto" w:fill="FFE599" w:themeFill="accent4" w:themeFillTint="66"/>
            <w:vAlign w:val="center"/>
          </w:tcPr>
          <w:p w14:paraId="5EDDE3A7"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2.562.397,00</w:t>
            </w:r>
          </w:p>
        </w:tc>
        <w:tc>
          <w:tcPr>
            <w:tcW w:w="1525" w:type="dxa"/>
            <w:tcBorders>
              <w:top w:val="single" w:sz="4" w:space="0" w:color="auto"/>
              <w:bottom w:val="single" w:sz="4" w:space="0" w:color="auto"/>
            </w:tcBorders>
            <w:shd w:val="clear" w:color="auto" w:fill="FFE599" w:themeFill="accent4" w:themeFillTint="66"/>
            <w:vAlign w:val="center"/>
          </w:tcPr>
          <w:p w14:paraId="017377F5"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2.562.397,00</w:t>
            </w:r>
          </w:p>
        </w:tc>
        <w:tc>
          <w:tcPr>
            <w:tcW w:w="1525" w:type="dxa"/>
            <w:tcBorders>
              <w:top w:val="single" w:sz="4" w:space="0" w:color="auto"/>
              <w:bottom w:val="single" w:sz="4" w:space="0" w:color="auto"/>
            </w:tcBorders>
            <w:shd w:val="clear" w:color="auto" w:fill="FFE599" w:themeFill="accent4" w:themeFillTint="66"/>
            <w:noWrap/>
            <w:vAlign w:val="center"/>
          </w:tcPr>
          <w:p w14:paraId="45CD8FE6"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1.188.949,01</w:t>
            </w:r>
          </w:p>
        </w:tc>
        <w:tc>
          <w:tcPr>
            <w:tcW w:w="1067" w:type="dxa"/>
            <w:tcBorders>
              <w:top w:val="single" w:sz="4" w:space="0" w:color="auto"/>
              <w:bottom w:val="single" w:sz="4" w:space="0" w:color="auto"/>
            </w:tcBorders>
            <w:shd w:val="clear" w:color="auto" w:fill="FFE599" w:themeFill="accent4" w:themeFillTint="66"/>
            <w:noWrap/>
            <w:vAlign w:val="center"/>
          </w:tcPr>
          <w:p w14:paraId="7A165699"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104,89%</w:t>
            </w:r>
          </w:p>
        </w:tc>
        <w:tc>
          <w:tcPr>
            <w:tcW w:w="950" w:type="dxa"/>
            <w:tcBorders>
              <w:top w:val="single" w:sz="4" w:space="0" w:color="auto"/>
              <w:bottom w:val="single" w:sz="4" w:space="0" w:color="auto"/>
            </w:tcBorders>
            <w:shd w:val="clear" w:color="auto" w:fill="FFE599" w:themeFill="accent4" w:themeFillTint="66"/>
            <w:noWrap/>
            <w:vAlign w:val="center"/>
          </w:tcPr>
          <w:p w14:paraId="46053467"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46,40%</w:t>
            </w:r>
          </w:p>
        </w:tc>
      </w:tr>
      <w:tr w:rsidR="00B7386F" w:rsidRPr="00100041" w14:paraId="36809409" w14:textId="77777777" w:rsidTr="00C47D35">
        <w:trPr>
          <w:trHeight w:val="202"/>
        </w:trPr>
        <w:tc>
          <w:tcPr>
            <w:tcW w:w="3093" w:type="dxa"/>
            <w:tcBorders>
              <w:top w:val="single" w:sz="4" w:space="0" w:color="auto"/>
              <w:bottom w:val="single" w:sz="4" w:space="0" w:color="auto"/>
            </w:tcBorders>
            <w:noWrap/>
            <w:vAlign w:val="bottom"/>
            <w:hideMark/>
          </w:tcPr>
          <w:p w14:paraId="42D5A3DC" w14:textId="77777777" w:rsidR="00B7386F" w:rsidRPr="00100041" w:rsidRDefault="00B7386F" w:rsidP="00C47D3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5.1. Ostale pomoći</w:t>
            </w:r>
          </w:p>
        </w:tc>
        <w:tc>
          <w:tcPr>
            <w:tcW w:w="1680" w:type="dxa"/>
            <w:tcBorders>
              <w:top w:val="single" w:sz="4" w:space="0" w:color="auto"/>
              <w:bottom w:val="single" w:sz="4" w:space="0" w:color="auto"/>
            </w:tcBorders>
            <w:noWrap/>
            <w:vAlign w:val="center"/>
          </w:tcPr>
          <w:p w14:paraId="18FBF9A1"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951.705,58</w:t>
            </w:r>
          </w:p>
        </w:tc>
        <w:tc>
          <w:tcPr>
            <w:tcW w:w="1508" w:type="dxa"/>
            <w:tcBorders>
              <w:top w:val="single" w:sz="4" w:space="0" w:color="auto"/>
              <w:bottom w:val="single" w:sz="4" w:space="0" w:color="auto"/>
            </w:tcBorders>
            <w:vAlign w:val="center"/>
          </w:tcPr>
          <w:p w14:paraId="15A44CA3"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1.312.696,00</w:t>
            </w:r>
          </w:p>
        </w:tc>
        <w:tc>
          <w:tcPr>
            <w:tcW w:w="1525" w:type="dxa"/>
            <w:tcBorders>
              <w:top w:val="single" w:sz="4" w:space="0" w:color="auto"/>
              <w:bottom w:val="single" w:sz="4" w:space="0" w:color="auto"/>
            </w:tcBorders>
            <w:vAlign w:val="center"/>
          </w:tcPr>
          <w:p w14:paraId="5B1CD710"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1.312.696,00</w:t>
            </w:r>
          </w:p>
        </w:tc>
        <w:tc>
          <w:tcPr>
            <w:tcW w:w="1525" w:type="dxa"/>
            <w:tcBorders>
              <w:top w:val="single" w:sz="4" w:space="0" w:color="auto"/>
              <w:bottom w:val="single" w:sz="4" w:space="0" w:color="auto"/>
            </w:tcBorders>
            <w:noWrap/>
            <w:vAlign w:val="center"/>
          </w:tcPr>
          <w:p w14:paraId="7C737672"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1.036.551,06</w:t>
            </w:r>
          </w:p>
        </w:tc>
        <w:tc>
          <w:tcPr>
            <w:tcW w:w="1067" w:type="dxa"/>
            <w:tcBorders>
              <w:top w:val="single" w:sz="4" w:space="0" w:color="auto"/>
              <w:bottom w:val="single" w:sz="4" w:space="0" w:color="auto"/>
            </w:tcBorders>
            <w:noWrap/>
            <w:vAlign w:val="center"/>
          </w:tcPr>
          <w:p w14:paraId="7493FA5B"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108,92%</w:t>
            </w:r>
          </w:p>
        </w:tc>
        <w:tc>
          <w:tcPr>
            <w:tcW w:w="950" w:type="dxa"/>
            <w:tcBorders>
              <w:top w:val="single" w:sz="4" w:space="0" w:color="auto"/>
              <w:bottom w:val="single" w:sz="4" w:space="0" w:color="auto"/>
            </w:tcBorders>
            <w:noWrap/>
            <w:vAlign w:val="center"/>
          </w:tcPr>
          <w:p w14:paraId="6BF87A81"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78,96%</w:t>
            </w:r>
          </w:p>
        </w:tc>
      </w:tr>
      <w:tr w:rsidR="00B7386F" w:rsidRPr="00100041" w14:paraId="04B6DA65" w14:textId="77777777" w:rsidTr="00C47D35">
        <w:trPr>
          <w:trHeight w:val="202"/>
        </w:trPr>
        <w:tc>
          <w:tcPr>
            <w:tcW w:w="3093" w:type="dxa"/>
            <w:tcBorders>
              <w:top w:val="single" w:sz="4" w:space="0" w:color="auto"/>
              <w:bottom w:val="single" w:sz="4" w:space="0" w:color="auto"/>
            </w:tcBorders>
            <w:noWrap/>
            <w:vAlign w:val="bottom"/>
            <w:hideMark/>
          </w:tcPr>
          <w:p w14:paraId="7DBBE9C5" w14:textId="77777777" w:rsidR="00B7386F" w:rsidRPr="00100041" w:rsidRDefault="00B7386F" w:rsidP="00C47D3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5.2. Pomoći EU</w:t>
            </w:r>
          </w:p>
        </w:tc>
        <w:tc>
          <w:tcPr>
            <w:tcW w:w="1680" w:type="dxa"/>
            <w:tcBorders>
              <w:top w:val="single" w:sz="4" w:space="0" w:color="auto"/>
              <w:bottom w:val="single" w:sz="4" w:space="0" w:color="auto"/>
            </w:tcBorders>
            <w:noWrap/>
            <w:vAlign w:val="center"/>
          </w:tcPr>
          <w:p w14:paraId="2D0415DD"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71.235,49</w:t>
            </w:r>
          </w:p>
        </w:tc>
        <w:tc>
          <w:tcPr>
            <w:tcW w:w="1508" w:type="dxa"/>
            <w:tcBorders>
              <w:top w:val="single" w:sz="4" w:space="0" w:color="auto"/>
              <w:bottom w:val="single" w:sz="4" w:space="0" w:color="auto"/>
            </w:tcBorders>
            <w:vAlign w:val="center"/>
          </w:tcPr>
          <w:p w14:paraId="10C79D53"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406.650,00</w:t>
            </w:r>
          </w:p>
        </w:tc>
        <w:tc>
          <w:tcPr>
            <w:tcW w:w="1525" w:type="dxa"/>
            <w:tcBorders>
              <w:top w:val="single" w:sz="4" w:space="0" w:color="auto"/>
              <w:bottom w:val="single" w:sz="4" w:space="0" w:color="auto"/>
            </w:tcBorders>
            <w:vAlign w:val="center"/>
          </w:tcPr>
          <w:p w14:paraId="54EB2B0E"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406.650,00</w:t>
            </w:r>
          </w:p>
        </w:tc>
        <w:tc>
          <w:tcPr>
            <w:tcW w:w="1525" w:type="dxa"/>
            <w:tcBorders>
              <w:top w:val="single" w:sz="4" w:space="0" w:color="auto"/>
              <w:bottom w:val="single" w:sz="4" w:space="0" w:color="auto"/>
            </w:tcBorders>
            <w:noWrap/>
            <w:vAlign w:val="center"/>
          </w:tcPr>
          <w:p w14:paraId="5CDF90E0"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57.953,62</w:t>
            </w:r>
          </w:p>
        </w:tc>
        <w:tc>
          <w:tcPr>
            <w:tcW w:w="1067" w:type="dxa"/>
            <w:tcBorders>
              <w:top w:val="single" w:sz="4" w:space="0" w:color="auto"/>
              <w:bottom w:val="single" w:sz="4" w:space="0" w:color="auto"/>
            </w:tcBorders>
            <w:noWrap/>
            <w:vAlign w:val="center"/>
          </w:tcPr>
          <w:p w14:paraId="07C5C495"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81,35%</w:t>
            </w:r>
          </w:p>
        </w:tc>
        <w:tc>
          <w:tcPr>
            <w:tcW w:w="950" w:type="dxa"/>
            <w:tcBorders>
              <w:top w:val="single" w:sz="4" w:space="0" w:color="auto"/>
              <w:bottom w:val="single" w:sz="4" w:space="0" w:color="auto"/>
            </w:tcBorders>
            <w:noWrap/>
            <w:vAlign w:val="center"/>
          </w:tcPr>
          <w:p w14:paraId="49134E7D"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14,25%</w:t>
            </w:r>
          </w:p>
        </w:tc>
      </w:tr>
      <w:tr w:rsidR="00B7386F" w:rsidRPr="00100041" w14:paraId="61CD9688" w14:textId="77777777" w:rsidTr="00C47D35">
        <w:trPr>
          <w:trHeight w:val="202"/>
        </w:trPr>
        <w:tc>
          <w:tcPr>
            <w:tcW w:w="3093" w:type="dxa"/>
            <w:tcBorders>
              <w:top w:val="single" w:sz="4" w:space="0" w:color="auto"/>
              <w:bottom w:val="single" w:sz="4" w:space="0" w:color="auto"/>
            </w:tcBorders>
            <w:noWrap/>
            <w:vAlign w:val="bottom"/>
            <w:hideMark/>
          </w:tcPr>
          <w:p w14:paraId="75E50504" w14:textId="77777777" w:rsidR="00B7386F" w:rsidRPr="00100041" w:rsidRDefault="00B7386F" w:rsidP="00C47D3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5.4. Pomoći EU  proračunskih korisnika</w:t>
            </w:r>
          </w:p>
        </w:tc>
        <w:tc>
          <w:tcPr>
            <w:tcW w:w="1680" w:type="dxa"/>
            <w:tcBorders>
              <w:top w:val="single" w:sz="4" w:space="0" w:color="auto"/>
              <w:bottom w:val="single" w:sz="4" w:space="0" w:color="auto"/>
            </w:tcBorders>
            <w:noWrap/>
            <w:vAlign w:val="center"/>
          </w:tcPr>
          <w:p w14:paraId="6DFE70B9"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5.509,38</w:t>
            </w:r>
          </w:p>
        </w:tc>
        <w:tc>
          <w:tcPr>
            <w:tcW w:w="1508" w:type="dxa"/>
            <w:tcBorders>
              <w:top w:val="single" w:sz="4" w:space="0" w:color="auto"/>
              <w:bottom w:val="single" w:sz="4" w:space="0" w:color="auto"/>
            </w:tcBorders>
            <w:vAlign w:val="center"/>
          </w:tcPr>
          <w:p w14:paraId="5537563A"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665.125,00</w:t>
            </w:r>
          </w:p>
        </w:tc>
        <w:tc>
          <w:tcPr>
            <w:tcW w:w="1525" w:type="dxa"/>
            <w:tcBorders>
              <w:top w:val="single" w:sz="4" w:space="0" w:color="auto"/>
              <w:bottom w:val="single" w:sz="4" w:space="0" w:color="auto"/>
            </w:tcBorders>
            <w:vAlign w:val="center"/>
          </w:tcPr>
          <w:p w14:paraId="46F3D400"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665.125,00</w:t>
            </w:r>
          </w:p>
        </w:tc>
        <w:tc>
          <w:tcPr>
            <w:tcW w:w="1525" w:type="dxa"/>
            <w:tcBorders>
              <w:top w:val="single" w:sz="4" w:space="0" w:color="auto"/>
              <w:bottom w:val="single" w:sz="4" w:space="0" w:color="auto"/>
            </w:tcBorders>
            <w:noWrap/>
            <w:vAlign w:val="center"/>
          </w:tcPr>
          <w:p w14:paraId="1318D12E"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067" w:type="dxa"/>
            <w:tcBorders>
              <w:top w:val="single" w:sz="4" w:space="0" w:color="auto"/>
              <w:bottom w:val="single" w:sz="4" w:space="0" w:color="auto"/>
            </w:tcBorders>
            <w:noWrap/>
            <w:vAlign w:val="center"/>
          </w:tcPr>
          <w:p w14:paraId="3A1D88A2"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950" w:type="dxa"/>
            <w:tcBorders>
              <w:top w:val="single" w:sz="4" w:space="0" w:color="auto"/>
              <w:bottom w:val="single" w:sz="4" w:space="0" w:color="auto"/>
            </w:tcBorders>
            <w:noWrap/>
            <w:vAlign w:val="center"/>
          </w:tcPr>
          <w:p w14:paraId="1A0F8E2A"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r>
      <w:tr w:rsidR="00B7386F" w:rsidRPr="00100041" w14:paraId="27E859AE" w14:textId="77777777" w:rsidTr="00C47D35">
        <w:trPr>
          <w:trHeight w:val="363"/>
        </w:trPr>
        <w:tc>
          <w:tcPr>
            <w:tcW w:w="3093" w:type="dxa"/>
            <w:tcBorders>
              <w:top w:val="single" w:sz="4" w:space="0" w:color="auto"/>
              <w:bottom w:val="single" w:sz="4" w:space="0" w:color="auto"/>
            </w:tcBorders>
            <w:noWrap/>
            <w:vAlign w:val="bottom"/>
            <w:hideMark/>
          </w:tcPr>
          <w:p w14:paraId="2714BEDE" w14:textId="77777777" w:rsidR="00B7386F" w:rsidRPr="00100041" w:rsidRDefault="00B7386F" w:rsidP="00C47D3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5.5. Ostale pomoći  proračunskih korisnika</w:t>
            </w:r>
          </w:p>
        </w:tc>
        <w:tc>
          <w:tcPr>
            <w:tcW w:w="1680" w:type="dxa"/>
            <w:tcBorders>
              <w:top w:val="single" w:sz="4" w:space="0" w:color="auto"/>
              <w:bottom w:val="single" w:sz="4" w:space="0" w:color="auto"/>
            </w:tcBorders>
            <w:noWrap/>
            <w:vAlign w:val="center"/>
          </w:tcPr>
          <w:p w14:paraId="61EB0DDB"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105.098,50</w:t>
            </w:r>
          </w:p>
        </w:tc>
        <w:tc>
          <w:tcPr>
            <w:tcW w:w="1508" w:type="dxa"/>
            <w:tcBorders>
              <w:top w:val="single" w:sz="4" w:space="0" w:color="auto"/>
              <w:bottom w:val="single" w:sz="4" w:space="0" w:color="auto"/>
            </w:tcBorders>
            <w:vAlign w:val="center"/>
          </w:tcPr>
          <w:p w14:paraId="117F8824"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177.926,00</w:t>
            </w:r>
          </w:p>
        </w:tc>
        <w:tc>
          <w:tcPr>
            <w:tcW w:w="1525" w:type="dxa"/>
            <w:tcBorders>
              <w:top w:val="single" w:sz="4" w:space="0" w:color="auto"/>
              <w:bottom w:val="single" w:sz="4" w:space="0" w:color="auto"/>
            </w:tcBorders>
            <w:vAlign w:val="center"/>
          </w:tcPr>
          <w:p w14:paraId="64969109"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177.926,00</w:t>
            </w:r>
          </w:p>
        </w:tc>
        <w:tc>
          <w:tcPr>
            <w:tcW w:w="1525" w:type="dxa"/>
            <w:tcBorders>
              <w:top w:val="single" w:sz="4" w:space="0" w:color="auto"/>
              <w:bottom w:val="single" w:sz="4" w:space="0" w:color="auto"/>
            </w:tcBorders>
            <w:noWrap/>
            <w:vAlign w:val="center"/>
          </w:tcPr>
          <w:p w14:paraId="7F46FCCD"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94.444,33</w:t>
            </w:r>
          </w:p>
        </w:tc>
        <w:tc>
          <w:tcPr>
            <w:tcW w:w="1067" w:type="dxa"/>
            <w:tcBorders>
              <w:top w:val="single" w:sz="4" w:space="0" w:color="auto"/>
              <w:bottom w:val="single" w:sz="4" w:space="0" w:color="auto"/>
            </w:tcBorders>
            <w:noWrap/>
            <w:vAlign w:val="center"/>
          </w:tcPr>
          <w:p w14:paraId="615D524F"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89,86%</w:t>
            </w:r>
          </w:p>
        </w:tc>
        <w:tc>
          <w:tcPr>
            <w:tcW w:w="950" w:type="dxa"/>
            <w:tcBorders>
              <w:top w:val="single" w:sz="4" w:space="0" w:color="auto"/>
              <w:bottom w:val="single" w:sz="4" w:space="0" w:color="auto"/>
            </w:tcBorders>
            <w:noWrap/>
            <w:vAlign w:val="center"/>
          </w:tcPr>
          <w:p w14:paraId="542B9B0E"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53,08%</w:t>
            </w:r>
          </w:p>
        </w:tc>
      </w:tr>
      <w:tr w:rsidR="00B7386F" w:rsidRPr="00100041" w14:paraId="3CAE05A4" w14:textId="77777777" w:rsidTr="00C47D35">
        <w:trPr>
          <w:trHeight w:val="202"/>
        </w:trPr>
        <w:tc>
          <w:tcPr>
            <w:tcW w:w="3093" w:type="dxa"/>
            <w:tcBorders>
              <w:top w:val="single" w:sz="4" w:space="0" w:color="auto"/>
              <w:bottom w:val="single" w:sz="4" w:space="0" w:color="auto"/>
            </w:tcBorders>
            <w:noWrap/>
            <w:vAlign w:val="bottom"/>
            <w:hideMark/>
          </w:tcPr>
          <w:p w14:paraId="17C529C7" w14:textId="77777777" w:rsidR="00B7386F" w:rsidRPr="00100041" w:rsidRDefault="00B7386F" w:rsidP="00C47D35">
            <w:pPr>
              <w:spacing w:after="0" w:line="240" w:lineRule="auto"/>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Izvor 6. DONACIJE</w:t>
            </w:r>
          </w:p>
        </w:tc>
        <w:tc>
          <w:tcPr>
            <w:tcW w:w="1680" w:type="dxa"/>
            <w:tcBorders>
              <w:top w:val="single" w:sz="4" w:space="0" w:color="auto"/>
              <w:bottom w:val="single" w:sz="4" w:space="0" w:color="auto"/>
            </w:tcBorders>
            <w:noWrap/>
            <w:vAlign w:val="center"/>
          </w:tcPr>
          <w:p w14:paraId="01E0684D"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8.438,36</w:t>
            </w:r>
          </w:p>
        </w:tc>
        <w:tc>
          <w:tcPr>
            <w:tcW w:w="1508" w:type="dxa"/>
            <w:tcBorders>
              <w:top w:val="single" w:sz="4" w:space="0" w:color="auto"/>
              <w:bottom w:val="single" w:sz="4" w:space="0" w:color="auto"/>
            </w:tcBorders>
            <w:vAlign w:val="center"/>
          </w:tcPr>
          <w:p w14:paraId="190DFD82"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11.900,00</w:t>
            </w:r>
          </w:p>
        </w:tc>
        <w:tc>
          <w:tcPr>
            <w:tcW w:w="1525" w:type="dxa"/>
            <w:tcBorders>
              <w:top w:val="single" w:sz="4" w:space="0" w:color="auto"/>
              <w:bottom w:val="single" w:sz="4" w:space="0" w:color="auto"/>
            </w:tcBorders>
            <w:vAlign w:val="center"/>
          </w:tcPr>
          <w:p w14:paraId="48C32C29"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11.900,00</w:t>
            </w:r>
          </w:p>
        </w:tc>
        <w:tc>
          <w:tcPr>
            <w:tcW w:w="1525" w:type="dxa"/>
            <w:tcBorders>
              <w:top w:val="single" w:sz="4" w:space="0" w:color="auto"/>
              <w:bottom w:val="single" w:sz="4" w:space="0" w:color="auto"/>
            </w:tcBorders>
            <w:noWrap/>
            <w:vAlign w:val="center"/>
          </w:tcPr>
          <w:p w14:paraId="0281F9C3"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7.421,29</w:t>
            </w:r>
          </w:p>
        </w:tc>
        <w:tc>
          <w:tcPr>
            <w:tcW w:w="1067" w:type="dxa"/>
            <w:tcBorders>
              <w:top w:val="single" w:sz="4" w:space="0" w:color="auto"/>
              <w:bottom w:val="single" w:sz="4" w:space="0" w:color="auto"/>
            </w:tcBorders>
            <w:noWrap/>
            <w:vAlign w:val="center"/>
          </w:tcPr>
          <w:p w14:paraId="4F5771A6"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87,95%</w:t>
            </w:r>
          </w:p>
        </w:tc>
        <w:tc>
          <w:tcPr>
            <w:tcW w:w="950" w:type="dxa"/>
            <w:tcBorders>
              <w:top w:val="single" w:sz="4" w:space="0" w:color="auto"/>
              <w:bottom w:val="single" w:sz="4" w:space="0" w:color="auto"/>
            </w:tcBorders>
            <w:noWrap/>
            <w:vAlign w:val="center"/>
          </w:tcPr>
          <w:p w14:paraId="68AFD5E8"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62,36%</w:t>
            </w:r>
          </w:p>
        </w:tc>
      </w:tr>
      <w:tr w:rsidR="00B7386F" w:rsidRPr="00100041" w14:paraId="21137755" w14:textId="77777777" w:rsidTr="00C47D35">
        <w:trPr>
          <w:trHeight w:val="202"/>
        </w:trPr>
        <w:tc>
          <w:tcPr>
            <w:tcW w:w="3093" w:type="dxa"/>
            <w:tcBorders>
              <w:top w:val="single" w:sz="4" w:space="0" w:color="auto"/>
              <w:bottom w:val="single" w:sz="4" w:space="0" w:color="auto"/>
            </w:tcBorders>
            <w:noWrap/>
            <w:vAlign w:val="bottom"/>
            <w:hideMark/>
          </w:tcPr>
          <w:p w14:paraId="7B1B2EAE" w14:textId="77777777" w:rsidR="00B7386F" w:rsidRPr="00100041" w:rsidRDefault="00B7386F" w:rsidP="00C47D3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6.1. Donacije</w:t>
            </w:r>
          </w:p>
        </w:tc>
        <w:tc>
          <w:tcPr>
            <w:tcW w:w="1680" w:type="dxa"/>
            <w:tcBorders>
              <w:top w:val="single" w:sz="4" w:space="0" w:color="auto"/>
              <w:bottom w:val="single" w:sz="4" w:space="0" w:color="auto"/>
            </w:tcBorders>
            <w:noWrap/>
            <w:vAlign w:val="center"/>
          </w:tcPr>
          <w:p w14:paraId="5CDABBB3"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6.569,78</w:t>
            </w:r>
          </w:p>
        </w:tc>
        <w:tc>
          <w:tcPr>
            <w:tcW w:w="1508" w:type="dxa"/>
            <w:tcBorders>
              <w:top w:val="single" w:sz="4" w:space="0" w:color="auto"/>
              <w:bottom w:val="single" w:sz="4" w:space="0" w:color="auto"/>
            </w:tcBorders>
            <w:vAlign w:val="center"/>
          </w:tcPr>
          <w:p w14:paraId="4E5FB0D9"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7.300,00</w:t>
            </w:r>
          </w:p>
        </w:tc>
        <w:tc>
          <w:tcPr>
            <w:tcW w:w="1525" w:type="dxa"/>
            <w:tcBorders>
              <w:top w:val="single" w:sz="4" w:space="0" w:color="auto"/>
              <w:bottom w:val="single" w:sz="4" w:space="0" w:color="auto"/>
            </w:tcBorders>
            <w:vAlign w:val="center"/>
          </w:tcPr>
          <w:p w14:paraId="4810411C"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7.300,00</w:t>
            </w:r>
          </w:p>
        </w:tc>
        <w:tc>
          <w:tcPr>
            <w:tcW w:w="1525" w:type="dxa"/>
            <w:tcBorders>
              <w:top w:val="single" w:sz="4" w:space="0" w:color="auto"/>
              <w:bottom w:val="single" w:sz="4" w:space="0" w:color="auto"/>
            </w:tcBorders>
            <w:noWrap/>
            <w:vAlign w:val="center"/>
          </w:tcPr>
          <w:p w14:paraId="329EA591"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6.983,29</w:t>
            </w:r>
          </w:p>
        </w:tc>
        <w:tc>
          <w:tcPr>
            <w:tcW w:w="1067" w:type="dxa"/>
            <w:tcBorders>
              <w:top w:val="single" w:sz="4" w:space="0" w:color="auto"/>
              <w:bottom w:val="single" w:sz="4" w:space="0" w:color="auto"/>
            </w:tcBorders>
            <w:noWrap/>
            <w:vAlign w:val="center"/>
          </w:tcPr>
          <w:p w14:paraId="0B426FB7"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106,29%</w:t>
            </w:r>
          </w:p>
        </w:tc>
        <w:tc>
          <w:tcPr>
            <w:tcW w:w="950" w:type="dxa"/>
            <w:tcBorders>
              <w:top w:val="single" w:sz="4" w:space="0" w:color="auto"/>
              <w:bottom w:val="single" w:sz="4" w:space="0" w:color="auto"/>
            </w:tcBorders>
            <w:noWrap/>
            <w:vAlign w:val="center"/>
          </w:tcPr>
          <w:p w14:paraId="0EC47043" w14:textId="77777777" w:rsidR="00B7386F" w:rsidRPr="00100041" w:rsidRDefault="00B7386F" w:rsidP="00C47D35">
            <w:pPr>
              <w:spacing w:after="0" w:line="240" w:lineRule="auto"/>
              <w:rPr>
                <w:rFonts w:ascii="Arial" w:eastAsia="Times New Roman" w:hAnsi="Arial" w:cs="Arial"/>
                <w:bCs/>
                <w:sz w:val="18"/>
                <w:szCs w:val="18"/>
                <w:lang w:eastAsia="hr-HR"/>
              </w:rPr>
            </w:pPr>
            <w:r>
              <w:rPr>
                <w:rFonts w:ascii="Arial" w:eastAsia="Times New Roman" w:hAnsi="Arial" w:cs="Arial"/>
                <w:bCs/>
                <w:sz w:val="18"/>
                <w:szCs w:val="18"/>
                <w:lang w:eastAsia="hr-HR"/>
              </w:rPr>
              <w:t xml:space="preserve">  95,66%</w:t>
            </w:r>
          </w:p>
        </w:tc>
      </w:tr>
      <w:tr w:rsidR="00B7386F" w:rsidRPr="00100041" w14:paraId="258C7379" w14:textId="77777777" w:rsidTr="00C47D35">
        <w:trPr>
          <w:trHeight w:val="391"/>
        </w:trPr>
        <w:tc>
          <w:tcPr>
            <w:tcW w:w="3093" w:type="dxa"/>
            <w:tcBorders>
              <w:top w:val="single" w:sz="4" w:space="0" w:color="auto"/>
              <w:bottom w:val="single" w:sz="4" w:space="0" w:color="auto"/>
            </w:tcBorders>
            <w:noWrap/>
            <w:vAlign w:val="bottom"/>
            <w:hideMark/>
          </w:tcPr>
          <w:p w14:paraId="02D5CC2D" w14:textId="77777777" w:rsidR="00B7386F" w:rsidRPr="00100041" w:rsidRDefault="00B7386F" w:rsidP="00C47D3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6.2. Donacije proračunskih korisnika</w:t>
            </w:r>
          </w:p>
        </w:tc>
        <w:tc>
          <w:tcPr>
            <w:tcW w:w="1680" w:type="dxa"/>
            <w:tcBorders>
              <w:top w:val="single" w:sz="4" w:space="0" w:color="auto"/>
              <w:bottom w:val="single" w:sz="4" w:space="0" w:color="auto"/>
            </w:tcBorders>
            <w:noWrap/>
            <w:vAlign w:val="center"/>
          </w:tcPr>
          <w:p w14:paraId="5F069B16"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1.868,58</w:t>
            </w:r>
          </w:p>
        </w:tc>
        <w:tc>
          <w:tcPr>
            <w:tcW w:w="1508" w:type="dxa"/>
            <w:tcBorders>
              <w:top w:val="single" w:sz="4" w:space="0" w:color="auto"/>
              <w:bottom w:val="single" w:sz="4" w:space="0" w:color="auto"/>
            </w:tcBorders>
            <w:vAlign w:val="center"/>
          </w:tcPr>
          <w:p w14:paraId="1B787270"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4.600,00</w:t>
            </w:r>
          </w:p>
        </w:tc>
        <w:tc>
          <w:tcPr>
            <w:tcW w:w="1525" w:type="dxa"/>
            <w:tcBorders>
              <w:top w:val="single" w:sz="4" w:space="0" w:color="auto"/>
              <w:bottom w:val="single" w:sz="4" w:space="0" w:color="auto"/>
            </w:tcBorders>
            <w:vAlign w:val="center"/>
          </w:tcPr>
          <w:p w14:paraId="76CAFC30"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4.600,00</w:t>
            </w:r>
          </w:p>
        </w:tc>
        <w:tc>
          <w:tcPr>
            <w:tcW w:w="1525" w:type="dxa"/>
            <w:tcBorders>
              <w:top w:val="single" w:sz="4" w:space="0" w:color="auto"/>
              <w:bottom w:val="single" w:sz="4" w:space="0" w:color="auto"/>
            </w:tcBorders>
            <w:noWrap/>
            <w:vAlign w:val="center"/>
          </w:tcPr>
          <w:p w14:paraId="6439C4E8"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438,00</w:t>
            </w:r>
          </w:p>
        </w:tc>
        <w:tc>
          <w:tcPr>
            <w:tcW w:w="1067" w:type="dxa"/>
            <w:tcBorders>
              <w:top w:val="single" w:sz="4" w:space="0" w:color="auto"/>
              <w:bottom w:val="single" w:sz="4" w:space="0" w:color="auto"/>
            </w:tcBorders>
            <w:noWrap/>
            <w:vAlign w:val="center"/>
          </w:tcPr>
          <w:p w14:paraId="1743E1B5"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23,44%</w:t>
            </w:r>
          </w:p>
        </w:tc>
        <w:tc>
          <w:tcPr>
            <w:tcW w:w="950" w:type="dxa"/>
            <w:tcBorders>
              <w:top w:val="single" w:sz="4" w:space="0" w:color="auto"/>
              <w:bottom w:val="single" w:sz="4" w:space="0" w:color="auto"/>
            </w:tcBorders>
            <w:noWrap/>
            <w:vAlign w:val="center"/>
          </w:tcPr>
          <w:p w14:paraId="2236A609"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9,52%</w:t>
            </w:r>
          </w:p>
        </w:tc>
      </w:tr>
      <w:tr w:rsidR="00B7386F" w:rsidRPr="00100041" w14:paraId="0D0837D5" w14:textId="77777777" w:rsidTr="00C47D35">
        <w:trPr>
          <w:trHeight w:val="391"/>
        </w:trPr>
        <w:tc>
          <w:tcPr>
            <w:tcW w:w="3093" w:type="dxa"/>
            <w:tcBorders>
              <w:top w:val="single" w:sz="4" w:space="0" w:color="auto"/>
              <w:bottom w:val="single" w:sz="4" w:space="0" w:color="auto"/>
            </w:tcBorders>
            <w:shd w:val="clear" w:color="auto" w:fill="FFE599" w:themeFill="accent4" w:themeFillTint="66"/>
            <w:noWrap/>
            <w:vAlign w:val="bottom"/>
          </w:tcPr>
          <w:p w14:paraId="1836B862" w14:textId="77777777" w:rsidR="00B7386F" w:rsidRPr="00203590" w:rsidRDefault="00B7386F" w:rsidP="00C47D35">
            <w:pPr>
              <w:spacing w:after="0" w:line="240" w:lineRule="auto"/>
              <w:rPr>
                <w:rFonts w:ascii="Arial" w:eastAsia="Times New Roman" w:hAnsi="Arial" w:cs="Arial"/>
                <w:b/>
                <w:sz w:val="18"/>
                <w:szCs w:val="18"/>
                <w:lang w:eastAsia="hr-HR"/>
              </w:rPr>
            </w:pPr>
            <w:r w:rsidRPr="00203590">
              <w:rPr>
                <w:rFonts w:ascii="Arial" w:eastAsia="Times New Roman" w:hAnsi="Arial" w:cs="Arial"/>
                <w:b/>
                <w:sz w:val="18"/>
                <w:szCs w:val="18"/>
                <w:lang w:eastAsia="hr-HR"/>
              </w:rPr>
              <w:t>Izvor 7. PRIHODI OD PRODAJE ILI ZAMJENE NEFIN.IMOVINE I NAK.OSIG.</w:t>
            </w:r>
          </w:p>
        </w:tc>
        <w:tc>
          <w:tcPr>
            <w:tcW w:w="1680" w:type="dxa"/>
            <w:tcBorders>
              <w:top w:val="single" w:sz="4" w:space="0" w:color="auto"/>
              <w:bottom w:val="single" w:sz="4" w:space="0" w:color="auto"/>
            </w:tcBorders>
            <w:shd w:val="clear" w:color="auto" w:fill="FFE599" w:themeFill="accent4" w:themeFillTint="66"/>
            <w:noWrap/>
            <w:vAlign w:val="center"/>
          </w:tcPr>
          <w:p w14:paraId="064C4FC3" w14:textId="77777777" w:rsidR="00B7386F" w:rsidRPr="00203590" w:rsidRDefault="00B7386F" w:rsidP="00C47D35">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0,00</w:t>
            </w:r>
          </w:p>
        </w:tc>
        <w:tc>
          <w:tcPr>
            <w:tcW w:w="1508" w:type="dxa"/>
            <w:tcBorders>
              <w:top w:val="single" w:sz="4" w:space="0" w:color="auto"/>
              <w:bottom w:val="single" w:sz="4" w:space="0" w:color="auto"/>
            </w:tcBorders>
            <w:shd w:val="clear" w:color="auto" w:fill="FFE599" w:themeFill="accent4" w:themeFillTint="66"/>
            <w:vAlign w:val="center"/>
          </w:tcPr>
          <w:p w14:paraId="389C9C3F" w14:textId="77777777" w:rsidR="00B7386F" w:rsidRPr="00203590" w:rsidRDefault="00B7386F" w:rsidP="00C47D35">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3.000,00</w:t>
            </w:r>
          </w:p>
        </w:tc>
        <w:tc>
          <w:tcPr>
            <w:tcW w:w="1525" w:type="dxa"/>
            <w:tcBorders>
              <w:top w:val="single" w:sz="4" w:space="0" w:color="auto"/>
              <w:bottom w:val="single" w:sz="4" w:space="0" w:color="auto"/>
            </w:tcBorders>
            <w:shd w:val="clear" w:color="auto" w:fill="FFE599" w:themeFill="accent4" w:themeFillTint="66"/>
            <w:vAlign w:val="center"/>
          </w:tcPr>
          <w:p w14:paraId="6B22DD66" w14:textId="77777777" w:rsidR="00B7386F" w:rsidRPr="00203590" w:rsidRDefault="00B7386F" w:rsidP="00C47D35">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3.000,00</w:t>
            </w:r>
          </w:p>
        </w:tc>
        <w:tc>
          <w:tcPr>
            <w:tcW w:w="1525" w:type="dxa"/>
            <w:tcBorders>
              <w:top w:val="single" w:sz="4" w:space="0" w:color="auto"/>
              <w:bottom w:val="single" w:sz="4" w:space="0" w:color="auto"/>
            </w:tcBorders>
            <w:shd w:val="clear" w:color="auto" w:fill="FFE599" w:themeFill="accent4" w:themeFillTint="66"/>
            <w:noWrap/>
            <w:vAlign w:val="center"/>
          </w:tcPr>
          <w:p w14:paraId="33947AF5" w14:textId="77777777" w:rsidR="00B7386F" w:rsidRPr="00203590" w:rsidRDefault="00B7386F" w:rsidP="00C47D35">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0,00</w:t>
            </w:r>
          </w:p>
        </w:tc>
        <w:tc>
          <w:tcPr>
            <w:tcW w:w="1067" w:type="dxa"/>
            <w:tcBorders>
              <w:top w:val="single" w:sz="4" w:space="0" w:color="auto"/>
              <w:bottom w:val="single" w:sz="4" w:space="0" w:color="auto"/>
            </w:tcBorders>
            <w:shd w:val="clear" w:color="auto" w:fill="FFE599" w:themeFill="accent4" w:themeFillTint="66"/>
            <w:noWrap/>
            <w:vAlign w:val="center"/>
          </w:tcPr>
          <w:p w14:paraId="623DC7DE" w14:textId="77777777" w:rsidR="00B7386F" w:rsidRPr="00203590" w:rsidRDefault="00B7386F" w:rsidP="00C47D35">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w:t>
            </w:r>
          </w:p>
        </w:tc>
        <w:tc>
          <w:tcPr>
            <w:tcW w:w="950" w:type="dxa"/>
            <w:tcBorders>
              <w:top w:val="single" w:sz="4" w:space="0" w:color="auto"/>
              <w:bottom w:val="single" w:sz="4" w:space="0" w:color="auto"/>
            </w:tcBorders>
            <w:shd w:val="clear" w:color="auto" w:fill="FFE599" w:themeFill="accent4" w:themeFillTint="66"/>
            <w:noWrap/>
            <w:vAlign w:val="center"/>
          </w:tcPr>
          <w:p w14:paraId="772978B2" w14:textId="77777777" w:rsidR="00B7386F" w:rsidRPr="00203590" w:rsidRDefault="00B7386F" w:rsidP="00C47D35">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w:t>
            </w:r>
          </w:p>
        </w:tc>
      </w:tr>
      <w:tr w:rsidR="00B7386F" w:rsidRPr="00100041" w14:paraId="0CA36B2B" w14:textId="77777777" w:rsidTr="00C47D35">
        <w:trPr>
          <w:trHeight w:val="391"/>
        </w:trPr>
        <w:tc>
          <w:tcPr>
            <w:tcW w:w="3093" w:type="dxa"/>
            <w:tcBorders>
              <w:top w:val="single" w:sz="4" w:space="0" w:color="auto"/>
              <w:bottom w:val="single" w:sz="4" w:space="0" w:color="auto"/>
            </w:tcBorders>
            <w:noWrap/>
            <w:vAlign w:val="bottom"/>
          </w:tcPr>
          <w:p w14:paraId="0F52A0E7" w14:textId="77777777" w:rsidR="00B7386F" w:rsidRDefault="00B7386F" w:rsidP="00C47D35">
            <w:pPr>
              <w:spacing w:after="0" w:line="240" w:lineRule="auto"/>
              <w:rPr>
                <w:rFonts w:ascii="Arial" w:eastAsia="Times New Roman" w:hAnsi="Arial" w:cs="Arial"/>
                <w:bCs/>
                <w:sz w:val="18"/>
                <w:szCs w:val="18"/>
                <w:lang w:eastAsia="hr-HR"/>
              </w:rPr>
            </w:pPr>
            <w:r>
              <w:rPr>
                <w:rFonts w:ascii="Arial" w:eastAsia="Times New Roman" w:hAnsi="Arial" w:cs="Arial"/>
                <w:bCs/>
                <w:sz w:val="18"/>
                <w:szCs w:val="18"/>
                <w:lang w:eastAsia="hr-HR"/>
              </w:rPr>
              <w:t xml:space="preserve">Izvor 7.1. Prihodi od prodaje ili zamjene </w:t>
            </w:r>
            <w:proofErr w:type="spellStart"/>
            <w:r>
              <w:rPr>
                <w:rFonts w:ascii="Arial" w:eastAsia="Times New Roman" w:hAnsi="Arial" w:cs="Arial"/>
                <w:bCs/>
                <w:sz w:val="18"/>
                <w:szCs w:val="18"/>
                <w:lang w:eastAsia="hr-HR"/>
              </w:rPr>
              <w:t>nef.imovine</w:t>
            </w:r>
            <w:proofErr w:type="spellEnd"/>
            <w:r>
              <w:rPr>
                <w:rFonts w:ascii="Arial" w:eastAsia="Times New Roman" w:hAnsi="Arial" w:cs="Arial"/>
                <w:bCs/>
                <w:sz w:val="18"/>
                <w:szCs w:val="18"/>
                <w:lang w:eastAsia="hr-HR"/>
              </w:rPr>
              <w:t xml:space="preserve"> i </w:t>
            </w:r>
            <w:proofErr w:type="spellStart"/>
            <w:r>
              <w:rPr>
                <w:rFonts w:ascii="Arial" w:eastAsia="Times New Roman" w:hAnsi="Arial" w:cs="Arial"/>
                <w:bCs/>
                <w:sz w:val="18"/>
                <w:szCs w:val="18"/>
                <w:lang w:eastAsia="hr-HR"/>
              </w:rPr>
              <w:t>nak</w:t>
            </w:r>
            <w:proofErr w:type="spellEnd"/>
            <w:r>
              <w:rPr>
                <w:rFonts w:ascii="Arial" w:eastAsia="Times New Roman" w:hAnsi="Arial" w:cs="Arial"/>
                <w:bCs/>
                <w:sz w:val="18"/>
                <w:szCs w:val="18"/>
                <w:lang w:eastAsia="hr-HR"/>
              </w:rPr>
              <w:t xml:space="preserve">  .osiguranja</w:t>
            </w:r>
          </w:p>
        </w:tc>
        <w:tc>
          <w:tcPr>
            <w:tcW w:w="1680" w:type="dxa"/>
            <w:tcBorders>
              <w:top w:val="single" w:sz="4" w:space="0" w:color="auto"/>
              <w:bottom w:val="single" w:sz="4" w:space="0" w:color="auto"/>
            </w:tcBorders>
            <w:noWrap/>
            <w:vAlign w:val="center"/>
          </w:tcPr>
          <w:p w14:paraId="6FF36C12" w14:textId="77777777" w:rsidR="00B7386F"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08" w:type="dxa"/>
            <w:tcBorders>
              <w:top w:val="single" w:sz="4" w:space="0" w:color="auto"/>
              <w:bottom w:val="single" w:sz="4" w:space="0" w:color="auto"/>
            </w:tcBorders>
            <w:vAlign w:val="center"/>
          </w:tcPr>
          <w:p w14:paraId="6885EA8B" w14:textId="77777777" w:rsidR="00B7386F"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3.000,00</w:t>
            </w:r>
          </w:p>
        </w:tc>
        <w:tc>
          <w:tcPr>
            <w:tcW w:w="1525" w:type="dxa"/>
            <w:tcBorders>
              <w:top w:val="single" w:sz="4" w:space="0" w:color="auto"/>
              <w:bottom w:val="single" w:sz="4" w:space="0" w:color="auto"/>
            </w:tcBorders>
            <w:vAlign w:val="center"/>
          </w:tcPr>
          <w:p w14:paraId="7483C802" w14:textId="77777777" w:rsidR="00B7386F"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3.000,00</w:t>
            </w:r>
          </w:p>
        </w:tc>
        <w:tc>
          <w:tcPr>
            <w:tcW w:w="1525" w:type="dxa"/>
            <w:tcBorders>
              <w:top w:val="single" w:sz="4" w:space="0" w:color="auto"/>
              <w:bottom w:val="single" w:sz="4" w:space="0" w:color="auto"/>
            </w:tcBorders>
            <w:noWrap/>
            <w:vAlign w:val="center"/>
          </w:tcPr>
          <w:p w14:paraId="7E9CFC0B" w14:textId="77777777" w:rsidR="00B7386F"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067" w:type="dxa"/>
            <w:tcBorders>
              <w:top w:val="single" w:sz="4" w:space="0" w:color="auto"/>
              <w:bottom w:val="single" w:sz="4" w:space="0" w:color="auto"/>
            </w:tcBorders>
            <w:noWrap/>
            <w:vAlign w:val="center"/>
          </w:tcPr>
          <w:p w14:paraId="677E33FF" w14:textId="77777777" w:rsidR="00B7386F"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c>
          <w:tcPr>
            <w:tcW w:w="950" w:type="dxa"/>
            <w:tcBorders>
              <w:top w:val="single" w:sz="4" w:space="0" w:color="auto"/>
              <w:bottom w:val="single" w:sz="4" w:space="0" w:color="auto"/>
            </w:tcBorders>
            <w:noWrap/>
            <w:vAlign w:val="center"/>
          </w:tcPr>
          <w:p w14:paraId="6F9D9D2B" w14:textId="77777777" w:rsidR="00B7386F"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r>
      <w:tr w:rsidR="00B7386F" w:rsidRPr="00100041" w14:paraId="53EC4F09" w14:textId="77777777" w:rsidTr="00C47D35">
        <w:trPr>
          <w:trHeight w:val="202"/>
        </w:trPr>
        <w:tc>
          <w:tcPr>
            <w:tcW w:w="3093" w:type="dxa"/>
            <w:tcBorders>
              <w:top w:val="single" w:sz="4" w:space="0" w:color="auto"/>
              <w:bottom w:val="single" w:sz="4" w:space="0" w:color="auto"/>
            </w:tcBorders>
            <w:shd w:val="clear" w:color="auto" w:fill="FFE599" w:themeFill="accent4" w:themeFillTint="66"/>
            <w:noWrap/>
            <w:vAlign w:val="bottom"/>
            <w:hideMark/>
          </w:tcPr>
          <w:p w14:paraId="7452FD80" w14:textId="77777777" w:rsidR="00B7386F" w:rsidRPr="00100041" w:rsidRDefault="00B7386F" w:rsidP="00C47D35">
            <w:pPr>
              <w:spacing w:after="0" w:line="240" w:lineRule="auto"/>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 xml:space="preserve"> SVEUKUPNI RASHODI</w:t>
            </w:r>
          </w:p>
        </w:tc>
        <w:tc>
          <w:tcPr>
            <w:tcW w:w="1680" w:type="dxa"/>
            <w:tcBorders>
              <w:top w:val="single" w:sz="4" w:space="0" w:color="auto"/>
              <w:bottom w:val="single" w:sz="4" w:space="0" w:color="auto"/>
            </w:tcBorders>
            <w:shd w:val="clear" w:color="auto" w:fill="FFE599" w:themeFill="accent4" w:themeFillTint="66"/>
            <w:noWrap/>
            <w:vAlign w:val="center"/>
          </w:tcPr>
          <w:p w14:paraId="2ED41023"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16.752.997,56</w:t>
            </w:r>
          </w:p>
        </w:tc>
        <w:tc>
          <w:tcPr>
            <w:tcW w:w="1508" w:type="dxa"/>
            <w:tcBorders>
              <w:top w:val="single" w:sz="4" w:space="0" w:color="auto"/>
              <w:bottom w:val="single" w:sz="4" w:space="0" w:color="auto"/>
            </w:tcBorders>
            <w:shd w:val="clear" w:color="auto" w:fill="FFE599" w:themeFill="accent4" w:themeFillTint="66"/>
            <w:vAlign w:val="center"/>
          </w:tcPr>
          <w:p w14:paraId="187BD347"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25.062.815,09</w:t>
            </w:r>
          </w:p>
        </w:tc>
        <w:tc>
          <w:tcPr>
            <w:tcW w:w="1525" w:type="dxa"/>
            <w:tcBorders>
              <w:top w:val="single" w:sz="4" w:space="0" w:color="auto"/>
              <w:bottom w:val="single" w:sz="4" w:space="0" w:color="auto"/>
            </w:tcBorders>
            <w:shd w:val="clear" w:color="auto" w:fill="FFE599" w:themeFill="accent4" w:themeFillTint="66"/>
            <w:vAlign w:val="center"/>
          </w:tcPr>
          <w:p w14:paraId="616505FC"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25.062.815,09</w:t>
            </w:r>
          </w:p>
        </w:tc>
        <w:tc>
          <w:tcPr>
            <w:tcW w:w="1525" w:type="dxa"/>
            <w:tcBorders>
              <w:top w:val="single" w:sz="4" w:space="0" w:color="auto"/>
              <w:bottom w:val="single" w:sz="4" w:space="0" w:color="auto"/>
            </w:tcBorders>
            <w:shd w:val="clear" w:color="auto" w:fill="FFE599" w:themeFill="accent4" w:themeFillTint="66"/>
            <w:noWrap/>
            <w:vAlign w:val="center"/>
          </w:tcPr>
          <w:p w14:paraId="7BA3816A"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19.932.543,52</w:t>
            </w:r>
          </w:p>
        </w:tc>
        <w:tc>
          <w:tcPr>
            <w:tcW w:w="1067" w:type="dxa"/>
            <w:tcBorders>
              <w:top w:val="single" w:sz="4" w:space="0" w:color="auto"/>
              <w:bottom w:val="single" w:sz="4" w:space="0" w:color="auto"/>
            </w:tcBorders>
            <w:shd w:val="clear" w:color="auto" w:fill="FFE599" w:themeFill="accent4" w:themeFillTint="66"/>
            <w:noWrap/>
            <w:vAlign w:val="center"/>
          </w:tcPr>
          <w:p w14:paraId="4AA8BCCA"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118,98%</w:t>
            </w:r>
          </w:p>
        </w:tc>
        <w:tc>
          <w:tcPr>
            <w:tcW w:w="950" w:type="dxa"/>
            <w:tcBorders>
              <w:top w:val="single" w:sz="4" w:space="0" w:color="auto"/>
              <w:bottom w:val="single" w:sz="4" w:space="0" w:color="auto"/>
            </w:tcBorders>
            <w:shd w:val="clear" w:color="auto" w:fill="FFE599" w:themeFill="accent4" w:themeFillTint="66"/>
            <w:noWrap/>
            <w:vAlign w:val="center"/>
          </w:tcPr>
          <w:p w14:paraId="465F5FD5"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79,53%</w:t>
            </w:r>
          </w:p>
        </w:tc>
      </w:tr>
      <w:tr w:rsidR="00B7386F" w:rsidRPr="00100041" w14:paraId="0D578924" w14:textId="77777777" w:rsidTr="00C47D35">
        <w:trPr>
          <w:trHeight w:val="202"/>
        </w:trPr>
        <w:tc>
          <w:tcPr>
            <w:tcW w:w="3093" w:type="dxa"/>
            <w:tcBorders>
              <w:top w:val="single" w:sz="4" w:space="0" w:color="auto"/>
              <w:bottom w:val="single" w:sz="4" w:space="0" w:color="auto"/>
            </w:tcBorders>
            <w:shd w:val="clear" w:color="auto" w:fill="FFE599" w:themeFill="accent4" w:themeFillTint="66"/>
            <w:noWrap/>
            <w:vAlign w:val="bottom"/>
            <w:hideMark/>
          </w:tcPr>
          <w:p w14:paraId="2BA0F240" w14:textId="77777777" w:rsidR="00B7386F" w:rsidRPr="00100041" w:rsidRDefault="00B7386F" w:rsidP="00C47D35">
            <w:pPr>
              <w:spacing w:after="0" w:line="240" w:lineRule="auto"/>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Izvor 1. OPĆI PRIHODI I PRIMICI</w:t>
            </w:r>
          </w:p>
        </w:tc>
        <w:tc>
          <w:tcPr>
            <w:tcW w:w="1680" w:type="dxa"/>
            <w:tcBorders>
              <w:top w:val="single" w:sz="4" w:space="0" w:color="auto"/>
              <w:bottom w:val="single" w:sz="4" w:space="0" w:color="auto"/>
            </w:tcBorders>
            <w:shd w:val="clear" w:color="auto" w:fill="FFE599" w:themeFill="accent4" w:themeFillTint="66"/>
            <w:noWrap/>
            <w:vAlign w:val="center"/>
          </w:tcPr>
          <w:p w14:paraId="587A3CE4"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10.401.979,87</w:t>
            </w:r>
          </w:p>
        </w:tc>
        <w:tc>
          <w:tcPr>
            <w:tcW w:w="1508" w:type="dxa"/>
            <w:tcBorders>
              <w:top w:val="single" w:sz="4" w:space="0" w:color="auto"/>
              <w:bottom w:val="single" w:sz="4" w:space="0" w:color="auto"/>
            </w:tcBorders>
            <w:shd w:val="clear" w:color="auto" w:fill="FFE599" w:themeFill="accent4" w:themeFillTint="66"/>
            <w:vAlign w:val="center"/>
          </w:tcPr>
          <w:p w14:paraId="647EE725"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13.704.767,00</w:t>
            </w:r>
          </w:p>
        </w:tc>
        <w:tc>
          <w:tcPr>
            <w:tcW w:w="1525" w:type="dxa"/>
            <w:tcBorders>
              <w:top w:val="single" w:sz="4" w:space="0" w:color="auto"/>
              <w:bottom w:val="single" w:sz="4" w:space="0" w:color="auto"/>
            </w:tcBorders>
            <w:shd w:val="clear" w:color="auto" w:fill="FFE599" w:themeFill="accent4" w:themeFillTint="66"/>
            <w:vAlign w:val="center"/>
          </w:tcPr>
          <w:p w14:paraId="73765AFE"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13.660.538,50</w:t>
            </w:r>
          </w:p>
        </w:tc>
        <w:tc>
          <w:tcPr>
            <w:tcW w:w="1525" w:type="dxa"/>
            <w:tcBorders>
              <w:top w:val="single" w:sz="4" w:space="0" w:color="auto"/>
              <w:bottom w:val="single" w:sz="4" w:space="0" w:color="auto"/>
            </w:tcBorders>
            <w:shd w:val="clear" w:color="auto" w:fill="FFE599" w:themeFill="accent4" w:themeFillTint="66"/>
            <w:noWrap/>
            <w:vAlign w:val="center"/>
          </w:tcPr>
          <w:p w14:paraId="1E8DB956"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11.736.174,31</w:t>
            </w:r>
          </w:p>
        </w:tc>
        <w:tc>
          <w:tcPr>
            <w:tcW w:w="1067" w:type="dxa"/>
            <w:tcBorders>
              <w:top w:val="single" w:sz="4" w:space="0" w:color="auto"/>
              <w:bottom w:val="single" w:sz="4" w:space="0" w:color="auto"/>
            </w:tcBorders>
            <w:shd w:val="clear" w:color="auto" w:fill="FFE599" w:themeFill="accent4" w:themeFillTint="66"/>
            <w:noWrap/>
            <w:vAlign w:val="center"/>
          </w:tcPr>
          <w:p w14:paraId="3E0BE3D8"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112,83%</w:t>
            </w:r>
          </w:p>
        </w:tc>
        <w:tc>
          <w:tcPr>
            <w:tcW w:w="950" w:type="dxa"/>
            <w:tcBorders>
              <w:top w:val="single" w:sz="4" w:space="0" w:color="auto"/>
              <w:bottom w:val="single" w:sz="4" w:space="0" w:color="auto"/>
            </w:tcBorders>
            <w:shd w:val="clear" w:color="auto" w:fill="FFE599" w:themeFill="accent4" w:themeFillTint="66"/>
            <w:noWrap/>
            <w:vAlign w:val="center"/>
          </w:tcPr>
          <w:p w14:paraId="6930B9DF"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85,91%</w:t>
            </w:r>
          </w:p>
        </w:tc>
      </w:tr>
      <w:tr w:rsidR="00B7386F" w:rsidRPr="00100041" w14:paraId="1CB68F90" w14:textId="77777777" w:rsidTr="00C47D35">
        <w:trPr>
          <w:trHeight w:val="202"/>
        </w:trPr>
        <w:tc>
          <w:tcPr>
            <w:tcW w:w="3093" w:type="dxa"/>
            <w:tcBorders>
              <w:top w:val="single" w:sz="4" w:space="0" w:color="auto"/>
              <w:bottom w:val="single" w:sz="4" w:space="0" w:color="auto"/>
            </w:tcBorders>
            <w:noWrap/>
            <w:vAlign w:val="bottom"/>
            <w:hideMark/>
          </w:tcPr>
          <w:p w14:paraId="7234D77B" w14:textId="77777777" w:rsidR="00B7386F" w:rsidRPr="00100041" w:rsidRDefault="00B7386F" w:rsidP="00C47D3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1.1. Opći prihodi i primici</w:t>
            </w:r>
          </w:p>
        </w:tc>
        <w:tc>
          <w:tcPr>
            <w:tcW w:w="1680" w:type="dxa"/>
            <w:tcBorders>
              <w:top w:val="single" w:sz="4" w:space="0" w:color="auto"/>
              <w:bottom w:val="single" w:sz="4" w:space="0" w:color="auto"/>
            </w:tcBorders>
            <w:noWrap/>
            <w:vAlign w:val="center"/>
          </w:tcPr>
          <w:p w14:paraId="703B8CBB"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10.401.979,87</w:t>
            </w:r>
          </w:p>
        </w:tc>
        <w:tc>
          <w:tcPr>
            <w:tcW w:w="1508" w:type="dxa"/>
            <w:tcBorders>
              <w:top w:val="single" w:sz="4" w:space="0" w:color="auto"/>
              <w:bottom w:val="single" w:sz="4" w:space="0" w:color="auto"/>
            </w:tcBorders>
            <w:vAlign w:val="center"/>
          </w:tcPr>
          <w:p w14:paraId="3792D64C"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13.650.967,00</w:t>
            </w:r>
          </w:p>
        </w:tc>
        <w:tc>
          <w:tcPr>
            <w:tcW w:w="1525" w:type="dxa"/>
            <w:tcBorders>
              <w:top w:val="single" w:sz="4" w:space="0" w:color="auto"/>
              <w:bottom w:val="single" w:sz="4" w:space="0" w:color="auto"/>
            </w:tcBorders>
            <w:vAlign w:val="center"/>
          </w:tcPr>
          <w:p w14:paraId="1733FEE6"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13.607.623,50</w:t>
            </w:r>
          </w:p>
        </w:tc>
        <w:tc>
          <w:tcPr>
            <w:tcW w:w="1525" w:type="dxa"/>
            <w:tcBorders>
              <w:top w:val="single" w:sz="4" w:space="0" w:color="auto"/>
              <w:bottom w:val="single" w:sz="4" w:space="0" w:color="auto"/>
            </w:tcBorders>
            <w:noWrap/>
            <w:vAlign w:val="center"/>
          </w:tcPr>
          <w:p w14:paraId="40C67680"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11.717.098,32</w:t>
            </w:r>
          </w:p>
        </w:tc>
        <w:tc>
          <w:tcPr>
            <w:tcW w:w="1067" w:type="dxa"/>
            <w:tcBorders>
              <w:top w:val="single" w:sz="4" w:space="0" w:color="auto"/>
              <w:bottom w:val="single" w:sz="4" w:space="0" w:color="auto"/>
            </w:tcBorders>
            <w:noWrap/>
            <w:vAlign w:val="center"/>
          </w:tcPr>
          <w:p w14:paraId="18BCE824"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112,64%</w:t>
            </w:r>
          </w:p>
        </w:tc>
        <w:tc>
          <w:tcPr>
            <w:tcW w:w="950" w:type="dxa"/>
            <w:tcBorders>
              <w:top w:val="single" w:sz="4" w:space="0" w:color="auto"/>
              <w:bottom w:val="single" w:sz="4" w:space="0" w:color="auto"/>
            </w:tcBorders>
            <w:noWrap/>
            <w:vAlign w:val="center"/>
          </w:tcPr>
          <w:p w14:paraId="2222662D"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86,11%</w:t>
            </w:r>
          </w:p>
        </w:tc>
      </w:tr>
      <w:tr w:rsidR="00B7386F" w:rsidRPr="00100041" w14:paraId="758701DE" w14:textId="77777777" w:rsidTr="00C47D35">
        <w:trPr>
          <w:trHeight w:val="202"/>
        </w:trPr>
        <w:tc>
          <w:tcPr>
            <w:tcW w:w="3093" w:type="dxa"/>
            <w:tcBorders>
              <w:top w:val="single" w:sz="4" w:space="0" w:color="auto"/>
              <w:bottom w:val="single" w:sz="4" w:space="0" w:color="auto"/>
            </w:tcBorders>
            <w:noWrap/>
            <w:vAlign w:val="bottom"/>
          </w:tcPr>
          <w:p w14:paraId="22AE382B" w14:textId="77777777" w:rsidR="00B7386F" w:rsidRPr="00100041" w:rsidRDefault="00B7386F" w:rsidP="00C47D35">
            <w:pPr>
              <w:spacing w:after="0" w:line="240" w:lineRule="auto"/>
              <w:rPr>
                <w:rFonts w:ascii="Arial" w:eastAsia="Times New Roman" w:hAnsi="Arial" w:cs="Arial"/>
                <w:bCs/>
                <w:sz w:val="18"/>
                <w:szCs w:val="18"/>
                <w:lang w:eastAsia="hr-HR"/>
              </w:rPr>
            </w:pPr>
            <w:r>
              <w:rPr>
                <w:rFonts w:ascii="Arial" w:eastAsia="Times New Roman" w:hAnsi="Arial" w:cs="Arial"/>
                <w:bCs/>
                <w:sz w:val="18"/>
                <w:szCs w:val="18"/>
                <w:lang w:eastAsia="hr-HR"/>
              </w:rPr>
              <w:t xml:space="preserve">Izvor 1.9. Preneseni viška/manjak-opći prihodi i primici </w:t>
            </w:r>
          </w:p>
        </w:tc>
        <w:tc>
          <w:tcPr>
            <w:tcW w:w="1680" w:type="dxa"/>
            <w:tcBorders>
              <w:top w:val="single" w:sz="4" w:space="0" w:color="auto"/>
              <w:bottom w:val="single" w:sz="4" w:space="0" w:color="auto"/>
            </w:tcBorders>
            <w:noWrap/>
            <w:vAlign w:val="center"/>
          </w:tcPr>
          <w:p w14:paraId="10AD8D96" w14:textId="77777777" w:rsidR="00B7386F"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08" w:type="dxa"/>
            <w:tcBorders>
              <w:top w:val="single" w:sz="4" w:space="0" w:color="auto"/>
              <w:bottom w:val="single" w:sz="4" w:space="0" w:color="auto"/>
            </w:tcBorders>
            <w:vAlign w:val="center"/>
          </w:tcPr>
          <w:p w14:paraId="6D1D5D4D" w14:textId="77777777" w:rsidR="00B7386F"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53.800,00</w:t>
            </w:r>
          </w:p>
        </w:tc>
        <w:tc>
          <w:tcPr>
            <w:tcW w:w="1525" w:type="dxa"/>
            <w:tcBorders>
              <w:top w:val="single" w:sz="4" w:space="0" w:color="auto"/>
              <w:bottom w:val="single" w:sz="4" w:space="0" w:color="auto"/>
            </w:tcBorders>
            <w:vAlign w:val="center"/>
          </w:tcPr>
          <w:p w14:paraId="1A913A74" w14:textId="77777777" w:rsidR="00B7386F"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52.915,00</w:t>
            </w:r>
          </w:p>
        </w:tc>
        <w:tc>
          <w:tcPr>
            <w:tcW w:w="1525" w:type="dxa"/>
            <w:tcBorders>
              <w:top w:val="single" w:sz="4" w:space="0" w:color="auto"/>
              <w:bottom w:val="single" w:sz="4" w:space="0" w:color="auto"/>
            </w:tcBorders>
            <w:noWrap/>
            <w:vAlign w:val="center"/>
          </w:tcPr>
          <w:p w14:paraId="507C21C5" w14:textId="77777777" w:rsidR="00B7386F"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19.075,99</w:t>
            </w:r>
          </w:p>
        </w:tc>
        <w:tc>
          <w:tcPr>
            <w:tcW w:w="1067" w:type="dxa"/>
            <w:tcBorders>
              <w:top w:val="single" w:sz="4" w:space="0" w:color="auto"/>
              <w:bottom w:val="single" w:sz="4" w:space="0" w:color="auto"/>
            </w:tcBorders>
            <w:noWrap/>
            <w:vAlign w:val="center"/>
          </w:tcPr>
          <w:p w14:paraId="45287428" w14:textId="77777777" w:rsidR="00B7386F"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950" w:type="dxa"/>
            <w:tcBorders>
              <w:top w:val="single" w:sz="4" w:space="0" w:color="auto"/>
              <w:bottom w:val="single" w:sz="4" w:space="0" w:color="auto"/>
            </w:tcBorders>
            <w:noWrap/>
            <w:vAlign w:val="center"/>
          </w:tcPr>
          <w:p w14:paraId="3BFD0A75" w14:textId="77777777" w:rsidR="00B7386F"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36,05%</w:t>
            </w:r>
          </w:p>
        </w:tc>
      </w:tr>
      <w:tr w:rsidR="00B7386F" w:rsidRPr="00100041" w14:paraId="21DEB461" w14:textId="77777777" w:rsidTr="00C47D35">
        <w:trPr>
          <w:trHeight w:val="202"/>
        </w:trPr>
        <w:tc>
          <w:tcPr>
            <w:tcW w:w="3093" w:type="dxa"/>
            <w:tcBorders>
              <w:top w:val="single" w:sz="4" w:space="0" w:color="auto"/>
              <w:bottom w:val="single" w:sz="4" w:space="0" w:color="auto"/>
            </w:tcBorders>
            <w:shd w:val="clear" w:color="auto" w:fill="FFE599" w:themeFill="accent4" w:themeFillTint="66"/>
            <w:noWrap/>
            <w:vAlign w:val="bottom"/>
            <w:hideMark/>
          </w:tcPr>
          <w:p w14:paraId="575F99E8" w14:textId="77777777" w:rsidR="00B7386F" w:rsidRPr="00100041" w:rsidRDefault="00B7386F" w:rsidP="00C47D35">
            <w:pPr>
              <w:spacing w:after="0" w:line="240" w:lineRule="auto"/>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Izvor 3. VLASTITI PRIHODI</w:t>
            </w:r>
          </w:p>
        </w:tc>
        <w:tc>
          <w:tcPr>
            <w:tcW w:w="1680" w:type="dxa"/>
            <w:tcBorders>
              <w:top w:val="single" w:sz="4" w:space="0" w:color="auto"/>
              <w:bottom w:val="single" w:sz="4" w:space="0" w:color="auto"/>
            </w:tcBorders>
            <w:shd w:val="clear" w:color="auto" w:fill="FFE599" w:themeFill="accent4" w:themeFillTint="66"/>
            <w:noWrap/>
            <w:vAlign w:val="center"/>
          </w:tcPr>
          <w:p w14:paraId="09A047A7"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82.453,46</w:t>
            </w:r>
          </w:p>
        </w:tc>
        <w:tc>
          <w:tcPr>
            <w:tcW w:w="1508" w:type="dxa"/>
            <w:tcBorders>
              <w:top w:val="single" w:sz="4" w:space="0" w:color="auto"/>
              <w:bottom w:val="single" w:sz="4" w:space="0" w:color="auto"/>
            </w:tcBorders>
            <w:shd w:val="clear" w:color="auto" w:fill="FFE599" w:themeFill="accent4" w:themeFillTint="66"/>
            <w:vAlign w:val="center"/>
          </w:tcPr>
          <w:p w14:paraId="64E99A7F"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128.006,00</w:t>
            </w:r>
          </w:p>
        </w:tc>
        <w:tc>
          <w:tcPr>
            <w:tcW w:w="1525" w:type="dxa"/>
            <w:tcBorders>
              <w:top w:val="single" w:sz="4" w:space="0" w:color="auto"/>
              <w:bottom w:val="single" w:sz="4" w:space="0" w:color="auto"/>
            </w:tcBorders>
            <w:shd w:val="clear" w:color="auto" w:fill="FFE599" w:themeFill="accent4" w:themeFillTint="66"/>
            <w:vAlign w:val="center"/>
          </w:tcPr>
          <w:p w14:paraId="70D8E941"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128.006,00</w:t>
            </w:r>
          </w:p>
        </w:tc>
        <w:tc>
          <w:tcPr>
            <w:tcW w:w="1525" w:type="dxa"/>
            <w:tcBorders>
              <w:top w:val="single" w:sz="4" w:space="0" w:color="auto"/>
              <w:bottom w:val="single" w:sz="4" w:space="0" w:color="auto"/>
            </w:tcBorders>
            <w:shd w:val="clear" w:color="auto" w:fill="FFE599" w:themeFill="accent4" w:themeFillTint="66"/>
            <w:noWrap/>
            <w:vAlign w:val="center"/>
          </w:tcPr>
          <w:p w14:paraId="4C794AC3"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104.852,82</w:t>
            </w:r>
          </w:p>
        </w:tc>
        <w:tc>
          <w:tcPr>
            <w:tcW w:w="1067" w:type="dxa"/>
            <w:tcBorders>
              <w:top w:val="single" w:sz="4" w:space="0" w:color="auto"/>
              <w:bottom w:val="single" w:sz="4" w:space="0" w:color="auto"/>
            </w:tcBorders>
            <w:shd w:val="clear" w:color="auto" w:fill="FFE599" w:themeFill="accent4" w:themeFillTint="66"/>
            <w:noWrap/>
            <w:vAlign w:val="center"/>
          </w:tcPr>
          <w:p w14:paraId="64360742"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127,17%</w:t>
            </w:r>
          </w:p>
        </w:tc>
        <w:tc>
          <w:tcPr>
            <w:tcW w:w="950" w:type="dxa"/>
            <w:tcBorders>
              <w:top w:val="single" w:sz="4" w:space="0" w:color="auto"/>
              <w:bottom w:val="single" w:sz="4" w:space="0" w:color="auto"/>
            </w:tcBorders>
            <w:shd w:val="clear" w:color="auto" w:fill="FFE599" w:themeFill="accent4" w:themeFillTint="66"/>
            <w:noWrap/>
            <w:vAlign w:val="center"/>
          </w:tcPr>
          <w:p w14:paraId="07C168D0"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81,91%</w:t>
            </w:r>
          </w:p>
        </w:tc>
      </w:tr>
      <w:tr w:rsidR="00B7386F" w:rsidRPr="00100041" w14:paraId="197A4CA3" w14:textId="77777777" w:rsidTr="00C47D35">
        <w:trPr>
          <w:trHeight w:val="342"/>
        </w:trPr>
        <w:tc>
          <w:tcPr>
            <w:tcW w:w="3093" w:type="dxa"/>
            <w:tcBorders>
              <w:top w:val="single" w:sz="4" w:space="0" w:color="auto"/>
              <w:bottom w:val="single" w:sz="4" w:space="0" w:color="auto"/>
            </w:tcBorders>
            <w:noWrap/>
            <w:vAlign w:val="bottom"/>
            <w:hideMark/>
          </w:tcPr>
          <w:p w14:paraId="77BAA548" w14:textId="77777777" w:rsidR="00B7386F" w:rsidRPr="00100041" w:rsidRDefault="00B7386F" w:rsidP="00C47D3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3.2. Vlastiti prihodi proračunskih korisnika</w:t>
            </w:r>
          </w:p>
        </w:tc>
        <w:tc>
          <w:tcPr>
            <w:tcW w:w="1680" w:type="dxa"/>
            <w:tcBorders>
              <w:top w:val="single" w:sz="4" w:space="0" w:color="auto"/>
              <w:bottom w:val="single" w:sz="4" w:space="0" w:color="auto"/>
            </w:tcBorders>
            <w:noWrap/>
            <w:vAlign w:val="center"/>
          </w:tcPr>
          <w:p w14:paraId="4E63B643"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82.453,46</w:t>
            </w:r>
          </w:p>
        </w:tc>
        <w:tc>
          <w:tcPr>
            <w:tcW w:w="1508" w:type="dxa"/>
            <w:tcBorders>
              <w:top w:val="single" w:sz="4" w:space="0" w:color="auto"/>
              <w:bottom w:val="single" w:sz="4" w:space="0" w:color="auto"/>
            </w:tcBorders>
            <w:vAlign w:val="center"/>
          </w:tcPr>
          <w:p w14:paraId="625412F6"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128.006,00</w:t>
            </w:r>
          </w:p>
        </w:tc>
        <w:tc>
          <w:tcPr>
            <w:tcW w:w="1525" w:type="dxa"/>
            <w:tcBorders>
              <w:top w:val="single" w:sz="4" w:space="0" w:color="auto"/>
              <w:bottom w:val="single" w:sz="4" w:space="0" w:color="auto"/>
            </w:tcBorders>
            <w:vAlign w:val="center"/>
          </w:tcPr>
          <w:p w14:paraId="4E68536A"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128.006,00</w:t>
            </w:r>
          </w:p>
        </w:tc>
        <w:tc>
          <w:tcPr>
            <w:tcW w:w="1525" w:type="dxa"/>
            <w:tcBorders>
              <w:top w:val="single" w:sz="4" w:space="0" w:color="auto"/>
              <w:bottom w:val="single" w:sz="4" w:space="0" w:color="auto"/>
            </w:tcBorders>
            <w:noWrap/>
            <w:vAlign w:val="center"/>
          </w:tcPr>
          <w:p w14:paraId="1354E081"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104.852,82</w:t>
            </w:r>
          </w:p>
        </w:tc>
        <w:tc>
          <w:tcPr>
            <w:tcW w:w="1067" w:type="dxa"/>
            <w:tcBorders>
              <w:top w:val="single" w:sz="4" w:space="0" w:color="auto"/>
              <w:bottom w:val="single" w:sz="4" w:space="0" w:color="auto"/>
            </w:tcBorders>
            <w:noWrap/>
            <w:vAlign w:val="center"/>
          </w:tcPr>
          <w:p w14:paraId="3A3563EB"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127,17%</w:t>
            </w:r>
          </w:p>
        </w:tc>
        <w:tc>
          <w:tcPr>
            <w:tcW w:w="950" w:type="dxa"/>
            <w:tcBorders>
              <w:top w:val="single" w:sz="4" w:space="0" w:color="auto"/>
              <w:bottom w:val="single" w:sz="4" w:space="0" w:color="auto"/>
            </w:tcBorders>
            <w:noWrap/>
            <w:vAlign w:val="center"/>
          </w:tcPr>
          <w:p w14:paraId="2D470AE9"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81,91%</w:t>
            </w:r>
          </w:p>
        </w:tc>
      </w:tr>
      <w:tr w:rsidR="00B7386F" w:rsidRPr="00100041" w14:paraId="6D95D34E" w14:textId="77777777" w:rsidTr="00C47D35">
        <w:trPr>
          <w:trHeight w:val="367"/>
        </w:trPr>
        <w:tc>
          <w:tcPr>
            <w:tcW w:w="3093" w:type="dxa"/>
            <w:tcBorders>
              <w:top w:val="single" w:sz="4" w:space="0" w:color="auto"/>
              <w:bottom w:val="single" w:sz="4" w:space="0" w:color="auto"/>
            </w:tcBorders>
            <w:shd w:val="clear" w:color="auto" w:fill="FFE599" w:themeFill="accent4" w:themeFillTint="66"/>
            <w:noWrap/>
            <w:vAlign w:val="bottom"/>
            <w:hideMark/>
          </w:tcPr>
          <w:p w14:paraId="03DAC157" w14:textId="77777777" w:rsidR="00B7386F" w:rsidRPr="00100041" w:rsidRDefault="00B7386F" w:rsidP="00C47D35">
            <w:pPr>
              <w:spacing w:after="0" w:line="240" w:lineRule="auto"/>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Izvor 4. PRIHODI ZA POSEBNE NAMJENE</w:t>
            </w:r>
          </w:p>
        </w:tc>
        <w:tc>
          <w:tcPr>
            <w:tcW w:w="1680" w:type="dxa"/>
            <w:tcBorders>
              <w:top w:val="single" w:sz="4" w:space="0" w:color="auto"/>
              <w:bottom w:val="single" w:sz="4" w:space="0" w:color="auto"/>
            </w:tcBorders>
            <w:shd w:val="clear" w:color="auto" w:fill="FFE599" w:themeFill="accent4" w:themeFillTint="66"/>
            <w:noWrap/>
            <w:vAlign w:val="center"/>
          </w:tcPr>
          <w:p w14:paraId="7A37DBF4"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3.670.761,64</w:t>
            </w:r>
          </w:p>
        </w:tc>
        <w:tc>
          <w:tcPr>
            <w:tcW w:w="1508" w:type="dxa"/>
            <w:tcBorders>
              <w:top w:val="single" w:sz="4" w:space="0" w:color="auto"/>
              <w:bottom w:val="single" w:sz="4" w:space="0" w:color="auto"/>
            </w:tcBorders>
            <w:shd w:val="clear" w:color="auto" w:fill="FFE599" w:themeFill="accent4" w:themeFillTint="66"/>
            <w:vAlign w:val="center"/>
          </w:tcPr>
          <w:p w14:paraId="4BFE0611"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6.753.330,50</w:t>
            </w:r>
          </w:p>
        </w:tc>
        <w:tc>
          <w:tcPr>
            <w:tcW w:w="1525" w:type="dxa"/>
            <w:tcBorders>
              <w:top w:val="single" w:sz="4" w:space="0" w:color="auto"/>
              <w:bottom w:val="single" w:sz="4" w:space="0" w:color="auto"/>
            </w:tcBorders>
            <w:shd w:val="clear" w:color="auto" w:fill="FFE599" w:themeFill="accent4" w:themeFillTint="66"/>
            <w:vAlign w:val="center"/>
          </w:tcPr>
          <w:p w14:paraId="6B3B9FB4"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6.789.551,50</w:t>
            </w:r>
          </w:p>
        </w:tc>
        <w:tc>
          <w:tcPr>
            <w:tcW w:w="1525" w:type="dxa"/>
            <w:tcBorders>
              <w:top w:val="single" w:sz="4" w:space="0" w:color="auto"/>
              <w:bottom w:val="single" w:sz="4" w:space="0" w:color="auto"/>
            </w:tcBorders>
            <w:shd w:val="clear" w:color="auto" w:fill="FFE599" w:themeFill="accent4" w:themeFillTint="66"/>
            <w:noWrap/>
            <w:vAlign w:val="center"/>
          </w:tcPr>
          <w:p w14:paraId="696A9AF3"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5.121.512,33</w:t>
            </w:r>
          </w:p>
        </w:tc>
        <w:tc>
          <w:tcPr>
            <w:tcW w:w="1067" w:type="dxa"/>
            <w:tcBorders>
              <w:top w:val="single" w:sz="4" w:space="0" w:color="auto"/>
              <w:bottom w:val="single" w:sz="4" w:space="0" w:color="auto"/>
            </w:tcBorders>
            <w:shd w:val="clear" w:color="auto" w:fill="FFE599" w:themeFill="accent4" w:themeFillTint="66"/>
            <w:noWrap/>
            <w:vAlign w:val="center"/>
          </w:tcPr>
          <w:p w14:paraId="39C73F1C"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139,52%</w:t>
            </w:r>
          </w:p>
        </w:tc>
        <w:tc>
          <w:tcPr>
            <w:tcW w:w="950" w:type="dxa"/>
            <w:tcBorders>
              <w:top w:val="single" w:sz="4" w:space="0" w:color="auto"/>
              <w:bottom w:val="single" w:sz="4" w:space="0" w:color="auto"/>
            </w:tcBorders>
            <w:shd w:val="clear" w:color="auto" w:fill="FFE599" w:themeFill="accent4" w:themeFillTint="66"/>
            <w:noWrap/>
            <w:vAlign w:val="center"/>
          </w:tcPr>
          <w:p w14:paraId="2BCCDF0D"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75,43%</w:t>
            </w:r>
          </w:p>
        </w:tc>
      </w:tr>
      <w:tr w:rsidR="00B7386F" w:rsidRPr="00100041" w14:paraId="1EE50015" w14:textId="77777777" w:rsidTr="00C47D35">
        <w:trPr>
          <w:trHeight w:val="202"/>
        </w:trPr>
        <w:tc>
          <w:tcPr>
            <w:tcW w:w="3093" w:type="dxa"/>
            <w:tcBorders>
              <w:top w:val="single" w:sz="4" w:space="0" w:color="auto"/>
              <w:bottom w:val="single" w:sz="4" w:space="0" w:color="auto"/>
            </w:tcBorders>
            <w:noWrap/>
            <w:vAlign w:val="bottom"/>
            <w:hideMark/>
          </w:tcPr>
          <w:p w14:paraId="27D85285" w14:textId="77777777" w:rsidR="00B7386F" w:rsidRPr="00100041" w:rsidRDefault="00B7386F" w:rsidP="00C47D3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4.1. Komunalni doprinos</w:t>
            </w:r>
          </w:p>
        </w:tc>
        <w:tc>
          <w:tcPr>
            <w:tcW w:w="1680" w:type="dxa"/>
            <w:tcBorders>
              <w:top w:val="single" w:sz="4" w:space="0" w:color="auto"/>
              <w:bottom w:val="single" w:sz="4" w:space="0" w:color="auto"/>
            </w:tcBorders>
            <w:noWrap/>
            <w:vAlign w:val="center"/>
          </w:tcPr>
          <w:p w14:paraId="30E28379"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368.201,05</w:t>
            </w:r>
          </w:p>
        </w:tc>
        <w:tc>
          <w:tcPr>
            <w:tcW w:w="1508" w:type="dxa"/>
            <w:tcBorders>
              <w:top w:val="single" w:sz="4" w:space="0" w:color="auto"/>
              <w:bottom w:val="single" w:sz="4" w:space="0" w:color="auto"/>
            </w:tcBorders>
            <w:vAlign w:val="center"/>
          </w:tcPr>
          <w:p w14:paraId="7CDA738C"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1.349.885,93</w:t>
            </w:r>
          </w:p>
        </w:tc>
        <w:tc>
          <w:tcPr>
            <w:tcW w:w="1525" w:type="dxa"/>
            <w:tcBorders>
              <w:top w:val="single" w:sz="4" w:space="0" w:color="auto"/>
              <w:bottom w:val="single" w:sz="4" w:space="0" w:color="auto"/>
            </w:tcBorders>
            <w:vAlign w:val="center"/>
          </w:tcPr>
          <w:p w14:paraId="638FC3B5"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1.326.645,93</w:t>
            </w:r>
          </w:p>
        </w:tc>
        <w:tc>
          <w:tcPr>
            <w:tcW w:w="1525" w:type="dxa"/>
            <w:tcBorders>
              <w:top w:val="single" w:sz="4" w:space="0" w:color="auto"/>
              <w:bottom w:val="single" w:sz="4" w:space="0" w:color="auto"/>
            </w:tcBorders>
            <w:noWrap/>
            <w:vAlign w:val="center"/>
          </w:tcPr>
          <w:p w14:paraId="1D53EEB7"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557.596,17</w:t>
            </w:r>
          </w:p>
        </w:tc>
        <w:tc>
          <w:tcPr>
            <w:tcW w:w="1067" w:type="dxa"/>
            <w:tcBorders>
              <w:top w:val="single" w:sz="4" w:space="0" w:color="auto"/>
              <w:bottom w:val="single" w:sz="4" w:space="0" w:color="auto"/>
            </w:tcBorders>
            <w:noWrap/>
            <w:vAlign w:val="center"/>
          </w:tcPr>
          <w:p w14:paraId="37F9B4E7"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151,44%</w:t>
            </w:r>
          </w:p>
        </w:tc>
        <w:tc>
          <w:tcPr>
            <w:tcW w:w="950" w:type="dxa"/>
            <w:tcBorders>
              <w:top w:val="single" w:sz="4" w:space="0" w:color="auto"/>
              <w:bottom w:val="single" w:sz="4" w:space="0" w:color="auto"/>
            </w:tcBorders>
            <w:noWrap/>
            <w:vAlign w:val="center"/>
          </w:tcPr>
          <w:p w14:paraId="019DD445"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42,03%</w:t>
            </w:r>
          </w:p>
        </w:tc>
      </w:tr>
      <w:tr w:rsidR="00B7386F" w:rsidRPr="00100041" w14:paraId="4E66091E" w14:textId="77777777" w:rsidTr="00C47D35">
        <w:trPr>
          <w:trHeight w:val="202"/>
        </w:trPr>
        <w:tc>
          <w:tcPr>
            <w:tcW w:w="3093" w:type="dxa"/>
            <w:tcBorders>
              <w:top w:val="single" w:sz="4" w:space="0" w:color="auto"/>
              <w:bottom w:val="single" w:sz="4" w:space="0" w:color="auto"/>
            </w:tcBorders>
            <w:noWrap/>
            <w:vAlign w:val="bottom"/>
            <w:hideMark/>
          </w:tcPr>
          <w:p w14:paraId="5240F521" w14:textId="77777777" w:rsidR="00B7386F" w:rsidRPr="00100041" w:rsidRDefault="00B7386F" w:rsidP="00C47D3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4.2. Komunalna naknada</w:t>
            </w:r>
          </w:p>
        </w:tc>
        <w:tc>
          <w:tcPr>
            <w:tcW w:w="1680" w:type="dxa"/>
            <w:tcBorders>
              <w:top w:val="single" w:sz="4" w:space="0" w:color="auto"/>
              <w:bottom w:val="single" w:sz="4" w:space="0" w:color="auto"/>
            </w:tcBorders>
            <w:noWrap/>
            <w:vAlign w:val="center"/>
          </w:tcPr>
          <w:p w14:paraId="2108CD9E"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2.045.863,37</w:t>
            </w:r>
          </w:p>
        </w:tc>
        <w:tc>
          <w:tcPr>
            <w:tcW w:w="1508" w:type="dxa"/>
            <w:tcBorders>
              <w:top w:val="single" w:sz="4" w:space="0" w:color="auto"/>
              <w:bottom w:val="single" w:sz="4" w:space="0" w:color="auto"/>
            </w:tcBorders>
            <w:vAlign w:val="center"/>
          </w:tcPr>
          <w:p w14:paraId="69C4E14A"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2.627.612,50</w:t>
            </w:r>
          </w:p>
        </w:tc>
        <w:tc>
          <w:tcPr>
            <w:tcW w:w="1525" w:type="dxa"/>
            <w:tcBorders>
              <w:top w:val="single" w:sz="4" w:space="0" w:color="auto"/>
              <w:bottom w:val="single" w:sz="4" w:space="0" w:color="auto"/>
            </w:tcBorders>
            <w:vAlign w:val="center"/>
          </w:tcPr>
          <w:p w14:paraId="4103CB3E"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2.630.018,50</w:t>
            </w:r>
          </w:p>
        </w:tc>
        <w:tc>
          <w:tcPr>
            <w:tcW w:w="1525" w:type="dxa"/>
            <w:tcBorders>
              <w:top w:val="single" w:sz="4" w:space="0" w:color="auto"/>
              <w:bottom w:val="single" w:sz="4" w:space="0" w:color="auto"/>
            </w:tcBorders>
            <w:noWrap/>
            <w:vAlign w:val="center"/>
          </w:tcPr>
          <w:p w14:paraId="4998F0ED"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2.445.393,29</w:t>
            </w:r>
          </w:p>
        </w:tc>
        <w:tc>
          <w:tcPr>
            <w:tcW w:w="1067" w:type="dxa"/>
            <w:tcBorders>
              <w:top w:val="single" w:sz="4" w:space="0" w:color="auto"/>
              <w:bottom w:val="single" w:sz="4" w:space="0" w:color="auto"/>
            </w:tcBorders>
            <w:noWrap/>
            <w:vAlign w:val="center"/>
          </w:tcPr>
          <w:p w14:paraId="0B5F810D"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119,53%</w:t>
            </w:r>
          </w:p>
        </w:tc>
        <w:tc>
          <w:tcPr>
            <w:tcW w:w="950" w:type="dxa"/>
            <w:tcBorders>
              <w:top w:val="single" w:sz="4" w:space="0" w:color="auto"/>
              <w:bottom w:val="single" w:sz="4" w:space="0" w:color="auto"/>
            </w:tcBorders>
            <w:noWrap/>
            <w:vAlign w:val="center"/>
          </w:tcPr>
          <w:p w14:paraId="69E6981A"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92,98%</w:t>
            </w:r>
          </w:p>
        </w:tc>
      </w:tr>
      <w:tr w:rsidR="00B7386F" w:rsidRPr="00100041" w14:paraId="3A8F8538" w14:textId="77777777" w:rsidTr="00C47D35">
        <w:trPr>
          <w:trHeight w:val="394"/>
        </w:trPr>
        <w:tc>
          <w:tcPr>
            <w:tcW w:w="3093" w:type="dxa"/>
            <w:tcBorders>
              <w:top w:val="single" w:sz="4" w:space="0" w:color="auto"/>
              <w:bottom w:val="single" w:sz="4" w:space="0" w:color="auto"/>
            </w:tcBorders>
            <w:noWrap/>
            <w:vAlign w:val="bottom"/>
            <w:hideMark/>
          </w:tcPr>
          <w:p w14:paraId="3B789E6A" w14:textId="77777777" w:rsidR="00B7386F" w:rsidRPr="00100041" w:rsidRDefault="00B7386F" w:rsidP="00C47D3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4.3. Ostali prihodi za posebne namjene</w:t>
            </w:r>
          </w:p>
        </w:tc>
        <w:tc>
          <w:tcPr>
            <w:tcW w:w="1680" w:type="dxa"/>
            <w:tcBorders>
              <w:top w:val="single" w:sz="4" w:space="0" w:color="auto"/>
              <w:bottom w:val="single" w:sz="4" w:space="0" w:color="auto"/>
            </w:tcBorders>
            <w:noWrap/>
            <w:vAlign w:val="center"/>
          </w:tcPr>
          <w:p w14:paraId="1D620C2C"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699.047,77</w:t>
            </w:r>
          </w:p>
        </w:tc>
        <w:tc>
          <w:tcPr>
            <w:tcW w:w="1508" w:type="dxa"/>
            <w:tcBorders>
              <w:top w:val="single" w:sz="4" w:space="0" w:color="auto"/>
              <w:bottom w:val="single" w:sz="4" w:space="0" w:color="auto"/>
            </w:tcBorders>
            <w:vAlign w:val="center"/>
          </w:tcPr>
          <w:p w14:paraId="5579A849"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1.078.850,00</w:t>
            </w:r>
          </w:p>
        </w:tc>
        <w:tc>
          <w:tcPr>
            <w:tcW w:w="1525" w:type="dxa"/>
            <w:tcBorders>
              <w:top w:val="single" w:sz="4" w:space="0" w:color="auto"/>
              <w:bottom w:val="single" w:sz="4" w:space="0" w:color="auto"/>
            </w:tcBorders>
            <w:vAlign w:val="center"/>
          </w:tcPr>
          <w:p w14:paraId="3739CA1E"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1.157.609,00</w:t>
            </w:r>
          </w:p>
        </w:tc>
        <w:tc>
          <w:tcPr>
            <w:tcW w:w="1525" w:type="dxa"/>
            <w:tcBorders>
              <w:top w:val="single" w:sz="4" w:space="0" w:color="auto"/>
              <w:bottom w:val="single" w:sz="4" w:space="0" w:color="auto"/>
            </w:tcBorders>
            <w:noWrap/>
            <w:vAlign w:val="center"/>
          </w:tcPr>
          <w:p w14:paraId="3F0BB352"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921.852,97</w:t>
            </w:r>
          </w:p>
        </w:tc>
        <w:tc>
          <w:tcPr>
            <w:tcW w:w="1067" w:type="dxa"/>
            <w:tcBorders>
              <w:top w:val="single" w:sz="4" w:space="0" w:color="auto"/>
              <w:bottom w:val="single" w:sz="4" w:space="0" w:color="auto"/>
            </w:tcBorders>
            <w:noWrap/>
            <w:vAlign w:val="center"/>
          </w:tcPr>
          <w:p w14:paraId="3EEB2323"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131,87%</w:t>
            </w:r>
          </w:p>
        </w:tc>
        <w:tc>
          <w:tcPr>
            <w:tcW w:w="950" w:type="dxa"/>
            <w:tcBorders>
              <w:top w:val="single" w:sz="4" w:space="0" w:color="auto"/>
              <w:bottom w:val="single" w:sz="4" w:space="0" w:color="auto"/>
            </w:tcBorders>
            <w:noWrap/>
            <w:vAlign w:val="center"/>
          </w:tcPr>
          <w:p w14:paraId="5DAFC117"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79,63%</w:t>
            </w:r>
          </w:p>
        </w:tc>
      </w:tr>
      <w:tr w:rsidR="00B7386F" w:rsidRPr="00100041" w14:paraId="7B17D541" w14:textId="77777777" w:rsidTr="00C47D35">
        <w:trPr>
          <w:trHeight w:val="419"/>
        </w:trPr>
        <w:tc>
          <w:tcPr>
            <w:tcW w:w="3093" w:type="dxa"/>
            <w:tcBorders>
              <w:top w:val="single" w:sz="4" w:space="0" w:color="auto"/>
              <w:bottom w:val="single" w:sz="4" w:space="0" w:color="auto"/>
            </w:tcBorders>
            <w:vAlign w:val="bottom"/>
            <w:hideMark/>
          </w:tcPr>
          <w:p w14:paraId="2EF68478" w14:textId="77777777" w:rsidR="00B7386F" w:rsidRPr="00100041" w:rsidRDefault="00B7386F" w:rsidP="00C47D3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 xml:space="preserve">Izvor 4.4. Ostali prihodi za posebne namjene proračunskih korisnika </w:t>
            </w:r>
          </w:p>
        </w:tc>
        <w:tc>
          <w:tcPr>
            <w:tcW w:w="1680" w:type="dxa"/>
            <w:tcBorders>
              <w:top w:val="single" w:sz="4" w:space="0" w:color="auto"/>
              <w:bottom w:val="single" w:sz="4" w:space="0" w:color="auto"/>
            </w:tcBorders>
            <w:noWrap/>
            <w:vAlign w:val="center"/>
          </w:tcPr>
          <w:p w14:paraId="4244C23D"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252.870,45</w:t>
            </w:r>
          </w:p>
        </w:tc>
        <w:tc>
          <w:tcPr>
            <w:tcW w:w="1508" w:type="dxa"/>
            <w:tcBorders>
              <w:top w:val="single" w:sz="4" w:space="0" w:color="auto"/>
              <w:bottom w:val="single" w:sz="4" w:space="0" w:color="auto"/>
            </w:tcBorders>
            <w:vAlign w:val="center"/>
          </w:tcPr>
          <w:p w14:paraId="62DC8569"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303.737,00</w:t>
            </w:r>
          </w:p>
        </w:tc>
        <w:tc>
          <w:tcPr>
            <w:tcW w:w="1525" w:type="dxa"/>
            <w:tcBorders>
              <w:top w:val="single" w:sz="4" w:space="0" w:color="auto"/>
              <w:bottom w:val="single" w:sz="4" w:space="0" w:color="auto"/>
            </w:tcBorders>
            <w:vAlign w:val="center"/>
          </w:tcPr>
          <w:p w14:paraId="40F6F286"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303.737,00</w:t>
            </w:r>
          </w:p>
        </w:tc>
        <w:tc>
          <w:tcPr>
            <w:tcW w:w="1525" w:type="dxa"/>
            <w:tcBorders>
              <w:top w:val="single" w:sz="4" w:space="0" w:color="auto"/>
              <w:bottom w:val="single" w:sz="4" w:space="0" w:color="auto"/>
            </w:tcBorders>
            <w:noWrap/>
            <w:vAlign w:val="center"/>
          </w:tcPr>
          <w:p w14:paraId="5CC2CF4D"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250.227,64</w:t>
            </w:r>
          </w:p>
        </w:tc>
        <w:tc>
          <w:tcPr>
            <w:tcW w:w="1067" w:type="dxa"/>
            <w:tcBorders>
              <w:top w:val="single" w:sz="4" w:space="0" w:color="auto"/>
              <w:bottom w:val="single" w:sz="4" w:space="0" w:color="auto"/>
            </w:tcBorders>
            <w:noWrap/>
            <w:vAlign w:val="center"/>
          </w:tcPr>
          <w:p w14:paraId="3897A7E5"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98,95%</w:t>
            </w:r>
          </w:p>
        </w:tc>
        <w:tc>
          <w:tcPr>
            <w:tcW w:w="950" w:type="dxa"/>
            <w:tcBorders>
              <w:top w:val="single" w:sz="4" w:space="0" w:color="auto"/>
              <w:bottom w:val="single" w:sz="4" w:space="0" w:color="auto"/>
            </w:tcBorders>
            <w:noWrap/>
            <w:vAlign w:val="center"/>
          </w:tcPr>
          <w:p w14:paraId="2D10DDC0"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82,38%</w:t>
            </w:r>
          </w:p>
        </w:tc>
      </w:tr>
      <w:tr w:rsidR="00B7386F" w:rsidRPr="00100041" w14:paraId="29748A4A" w14:textId="77777777" w:rsidTr="00C47D35">
        <w:trPr>
          <w:trHeight w:val="419"/>
        </w:trPr>
        <w:tc>
          <w:tcPr>
            <w:tcW w:w="3093" w:type="dxa"/>
            <w:tcBorders>
              <w:top w:val="single" w:sz="4" w:space="0" w:color="auto"/>
              <w:bottom w:val="single" w:sz="4" w:space="0" w:color="auto"/>
            </w:tcBorders>
            <w:vAlign w:val="bottom"/>
          </w:tcPr>
          <w:p w14:paraId="5C5D1BE4" w14:textId="77777777" w:rsidR="00B7386F" w:rsidRPr="00100041" w:rsidRDefault="00B7386F" w:rsidP="00C47D3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 xml:space="preserve">Izvor 4.5.Ostali prihodi za posebne namjene-decentralizacija- JVP </w:t>
            </w:r>
          </w:p>
        </w:tc>
        <w:tc>
          <w:tcPr>
            <w:tcW w:w="1680" w:type="dxa"/>
            <w:tcBorders>
              <w:top w:val="single" w:sz="4" w:space="0" w:color="auto"/>
              <w:bottom w:val="single" w:sz="4" w:space="0" w:color="auto"/>
            </w:tcBorders>
            <w:noWrap/>
            <w:vAlign w:val="center"/>
          </w:tcPr>
          <w:p w14:paraId="7B03EEA3"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213.754,64</w:t>
            </w:r>
          </w:p>
        </w:tc>
        <w:tc>
          <w:tcPr>
            <w:tcW w:w="1508" w:type="dxa"/>
            <w:tcBorders>
              <w:top w:val="single" w:sz="4" w:space="0" w:color="auto"/>
              <w:bottom w:val="single" w:sz="4" w:space="0" w:color="auto"/>
            </w:tcBorders>
            <w:vAlign w:val="center"/>
          </w:tcPr>
          <w:p w14:paraId="60E6EA3C"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326.114,00</w:t>
            </w:r>
          </w:p>
        </w:tc>
        <w:tc>
          <w:tcPr>
            <w:tcW w:w="1525" w:type="dxa"/>
            <w:tcBorders>
              <w:top w:val="single" w:sz="4" w:space="0" w:color="auto"/>
              <w:bottom w:val="single" w:sz="4" w:space="0" w:color="auto"/>
            </w:tcBorders>
            <w:vAlign w:val="center"/>
          </w:tcPr>
          <w:p w14:paraId="15B4E5ED"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326.114,00</w:t>
            </w:r>
          </w:p>
        </w:tc>
        <w:tc>
          <w:tcPr>
            <w:tcW w:w="1525" w:type="dxa"/>
            <w:tcBorders>
              <w:top w:val="single" w:sz="4" w:space="0" w:color="auto"/>
              <w:bottom w:val="single" w:sz="4" w:space="0" w:color="auto"/>
            </w:tcBorders>
            <w:noWrap/>
            <w:vAlign w:val="center"/>
          </w:tcPr>
          <w:p w14:paraId="57E57EAD"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326.114,00</w:t>
            </w:r>
          </w:p>
        </w:tc>
        <w:tc>
          <w:tcPr>
            <w:tcW w:w="1067" w:type="dxa"/>
            <w:tcBorders>
              <w:top w:val="single" w:sz="4" w:space="0" w:color="auto"/>
              <w:bottom w:val="single" w:sz="4" w:space="0" w:color="auto"/>
            </w:tcBorders>
            <w:noWrap/>
            <w:vAlign w:val="center"/>
          </w:tcPr>
          <w:p w14:paraId="1A399AED"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152,56%</w:t>
            </w:r>
          </w:p>
        </w:tc>
        <w:tc>
          <w:tcPr>
            <w:tcW w:w="950" w:type="dxa"/>
            <w:tcBorders>
              <w:top w:val="single" w:sz="4" w:space="0" w:color="auto"/>
              <w:bottom w:val="single" w:sz="4" w:space="0" w:color="auto"/>
            </w:tcBorders>
            <w:noWrap/>
            <w:vAlign w:val="center"/>
          </w:tcPr>
          <w:p w14:paraId="2EF9350A"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100,00%</w:t>
            </w:r>
          </w:p>
        </w:tc>
      </w:tr>
      <w:tr w:rsidR="00B7386F" w:rsidRPr="00100041" w14:paraId="77D120D6" w14:textId="77777777" w:rsidTr="00C47D35">
        <w:trPr>
          <w:trHeight w:val="419"/>
        </w:trPr>
        <w:tc>
          <w:tcPr>
            <w:tcW w:w="3093" w:type="dxa"/>
            <w:tcBorders>
              <w:top w:val="single" w:sz="4" w:space="0" w:color="auto"/>
              <w:bottom w:val="single" w:sz="4" w:space="0" w:color="auto"/>
            </w:tcBorders>
            <w:vAlign w:val="bottom"/>
          </w:tcPr>
          <w:p w14:paraId="76EA018F" w14:textId="77777777" w:rsidR="00B7386F" w:rsidRPr="00100041" w:rsidRDefault="00B7386F" w:rsidP="00C47D3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4.6. Ostali prihodi za posebne namjene- ustupljeni dio za JVP</w:t>
            </w:r>
          </w:p>
        </w:tc>
        <w:tc>
          <w:tcPr>
            <w:tcW w:w="1680" w:type="dxa"/>
            <w:tcBorders>
              <w:top w:val="single" w:sz="4" w:space="0" w:color="auto"/>
              <w:bottom w:val="single" w:sz="4" w:space="0" w:color="auto"/>
            </w:tcBorders>
            <w:noWrap/>
            <w:vAlign w:val="center"/>
          </w:tcPr>
          <w:p w14:paraId="0A4AD280"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91.024,36</w:t>
            </w:r>
          </w:p>
        </w:tc>
        <w:tc>
          <w:tcPr>
            <w:tcW w:w="1508" w:type="dxa"/>
            <w:tcBorders>
              <w:top w:val="single" w:sz="4" w:space="0" w:color="auto"/>
              <w:bottom w:val="single" w:sz="4" w:space="0" w:color="auto"/>
            </w:tcBorders>
            <w:vAlign w:val="center"/>
          </w:tcPr>
          <w:p w14:paraId="737A1C3D"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25" w:type="dxa"/>
            <w:tcBorders>
              <w:top w:val="single" w:sz="4" w:space="0" w:color="auto"/>
              <w:bottom w:val="single" w:sz="4" w:space="0" w:color="auto"/>
            </w:tcBorders>
            <w:vAlign w:val="center"/>
          </w:tcPr>
          <w:p w14:paraId="2E9A42A7"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25" w:type="dxa"/>
            <w:tcBorders>
              <w:top w:val="single" w:sz="4" w:space="0" w:color="auto"/>
              <w:bottom w:val="single" w:sz="4" w:space="0" w:color="auto"/>
            </w:tcBorders>
            <w:noWrap/>
            <w:vAlign w:val="center"/>
          </w:tcPr>
          <w:p w14:paraId="6EFBC91F"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067" w:type="dxa"/>
            <w:tcBorders>
              <w:top w:val="single" w:sz="4" w:space="0" w:color="auto"/>
              <w:bottom w:val="single" w:sz="4" w:space="0" w:color="auto"/>
            </w:tcBorders>
            <w:noWrap/>
            <w:vAlign w:val="center"/>
          </w:tcPr>
          <w:p w14:paraId="4C5F9CE7"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950" w:type="dxa"/>
            <w:tcBorders>
              <w:top w:val="single" w:sz="4" w:space="0" w:color="auto"/>
              <w:bottom w:val="single" w:sz="4" w:space="0" w:color="auto"/>
            </w:tcBorders>
            <w:noWrap/>
            <w:vAlign w:val="center"/>
          </w:tcPr>
          <w:p w14:paraId="0B132077"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r>
      <w:tr w:rsidR="00B7386F" w:rsidRPr="00100041" w14:paraId="4A7184A9" w14:textId="77777777" w:rsidTr="00C47D35">
        <w:trPr>
          <w:trHeight w:val="414"/>
        </w:trPr>
        <w:tc>
          <w:tcPr>
            <w:tcW w:w="3093" w:type="dxa"/>
            <w:tcBorders>
              <w:top w:val="single" w:sz="4" w:space="0" w:color="auto"/>
              <w:bottom w:val="single" w:sz="4" w:space="0" w:color="auto"/>
            </w:tcBorders>
            <w:vAlign w:val="bottom"/>
          </w:tcPr>
          <w:p w14:paraId="2CE5A702" w14:textId="77777777" w:rsidR="00B7386F" w:rsidRPr="00100041" w:rsidRDefault="00B7386F" w:rsidP="00C47D35">
            <w:pPr>
              <w:spacing w:after="0" w:line="240" w:lineRule="auto"/>
              <w:rPr>
                <w:rFonts w:ascii="Arial" w:eastAsia="Times New Roman" w:hAnsi="Arial" w:cs="Arial"/>
                <w:bCs/>
                <w:sz w:val="18"/>
                <w:szCs w:val="18"/>
                <w:lang w:eastAsia="hr-HR"/>
              </w:rPr>
            </w:pPr>
            <w:r>
              <w:rPr>
                <w:rFonts w:ascii="Arial" w:eastAsia="Times New Roman" w:hAnsi="Arial" w:cs="Arial"/>
                <w:bCs/>
                <w:sz w:val="18"/>
                <w:szCs w:val="18"/>
                <w:lang w:eastAsia="hr-HR"/>
              </w:rPr>
              <w:t xml:space="preserve">Izvor 4.9. Preneseni višak/manjak-prihodi za posebne namjene </w:t>
            </w:r>
          </w:p>
        </w:tc>
        <w:tc>
          <w:tcPr>
            <w:tcW w:w="1680" w:type="dxa"/>
            <w:tcBorders>
              <w:top w:val="single" w:sz="4" w:space="0" w:color="auto"/>
              <w:bottom w:val="single" w:sz="4" w:space="0" w:color="auto"/>
            </w:tcBorders>
            <w:noWrap/>
            <w:vAlign w:val="center"/>
          </w:tcPr>
          <w:p w14:paraId="0144B58C" w14:textId="77777777" w:rsidR="00B7386F"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08" w:type="dxa"/>
            <w:tcBorders>
              <w:top w:val="single" w:sz="4" w:space="0" w:color="auto"/>
              <w:bottom w:val="single" w:sz="4" w:space="0" w:color="auto"/>
            </w:tcBorders>
            <w:vAlign w:val="center"/>
          </w:tcPr>
          <w:p w14:paraId="43F569B7" w14:textId="77777777" w:rsidR="00B7386F"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1.067.131,07</w:t>
            </w:r>
          </w:p>
        </w:tc>
        <w:tc>
          <w:tcPr>
            <w:tcW w:w="1525" w:type="dxa"/>
            <w:tcBorders>
              <w:top w:val="single" w:sz="4" w:space="0" w:color="auto"/>
              <w:bottom w:val="single" w:sz="4" w:space="0" w:color="auto"/>
            </w:tcBorders>
            <w:vAlign w:val="center"/>
          </w:tcPr>
          <w:p w14:paraId="38E5719E" w14:textId="77777777" w:rsidR="00B7386F"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1.045.427,07</w:t>
            </w:r>
          </w:p>
        </w:tc>
        <w:tc>
          <w:tcPr>
            <w:tcW w:w="1525" w:type="dxa"/>
            <w:tcBorders>
              <w:top w:val="single" w:sz="4" w:space="0" w:color="auto"/>
              <w:bottom w:val="single" w:sz="4" w:space="0" w:color="auto"/>
            </w:tcBorders>
            <w:noWrap/>
            <w:vAlign w:val="center"/>
          </w:tcPr>
          <w:p w14:paraId="55447B10" w14:textId="77777777" w:rsidR="00B7386F"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620.328,26</w:t>
            </w:r>
          </w:p>
        </w:tc>
        <w:tc>
          <w:tcPr>
            <w:tcW w:w="1067" w:type="dxa"/>
            <w:tcBorders>
              <w:top w:val="single" w:sz="4" w:space="0" w:color="auto"/>
              <w:bottom w:val="single" w:sz="4" w:space="0" w:color="auto"/>
            </w:tcBorders>
            <w:noWrap/>
            <w:vAlign w:val="center"/>
          </w:tcPr>
          <w:p w14:paraId="3F31E549" w14:textId="77777777" w:rsidR="00B7386F"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950" w:type="dxa"/>
            <w:tcBorders>
              <w:top w:val="single" w:sz="4" w:space="0" w:color="auto"/>
              <w:bottom w:val="single" w:sz="4" w:space="0" w:color="auto"/>
            </w:tcBorders>
            <w:noWrap/>
            <w:vAlign w:val="center"/>
          </w:tcPr>
          <w:p w14:paraId="7835FE81" w14:textId="77777777" w:rsidR="00B7386F"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59,34%</w:t>
            </w:r>
          </w:p>
        </w:tc>
      </w:tr>
      <w:tr w:rsidR="00B7386F" w:rsidRPr="00100041" w14:paraId="2E88C261" w14:textId="77777777" w:rsidTr="00C47D35">
        <w:trPr>
          <w:trHeight w:val="202"/>
        </w:trPr>
        <w:tc>
          <w:tcPr>
            <w:tcW w:w="3093" w:type="dxa"/>
            <w:tcBorders>
              <w:top w:val="single" w:sz="4" w:space="0" w:color="auto"/>
              <w:bottom w:val="single" w:sz="4" w:space="0" w:color="auto"/>
            </w:tcBorders>
            <w:shd w:val="clear" w:color="auto" w:fill="FFE599" w:themeFill="accent4" w:themeFillTint="66"/>
            <w:noWrap/>
            <w:vAlign w:val="bottom"/>
            <w:hideMark/>
          </w:tcPr>
          <w:p w14:paraId="7FFB3383" w14:textId="77777777" w:rsidR="00B7386F" w:rsidRPr="00100041" w:rsidRDefault="00B7386F" w:rsidP="00C47D35">
            <w:pPr>
              <w:spacing w:after="0" w:line="240" w:lineRule="auto"/>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Izvor 5. POMOĆI</w:t>
            </w:r>
          </w:p>
        </w:tc>
        <w:tc>
          <w:tcPr>
            <w:tcW w:w="1680" w:type="dxa"/>
            <w:tcBorders>
              <w:top w:val="single" w:sz="4" w:space="0" w:color="auto"/>
              <w:bottom w:val="single" w:sz="4" w:space="0" w:color="auto"/>
            </w:tcBorders>
            <w:shd w:val="clear" w:color="auto" w:fill="FFE599" w:themeFill="accent4" w:themeFillTint="66"/>
            <w:noWrap/>
            <w:vAlign w:val="center"/>
          </w:tcPr>
          <w:p w14:paraId="62F42CE9"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500.644,65</w:t>
            </w:r>
          </w:p>
        </w:tc>
        <w:tc>
          <w:tcPr>
            <w:tcW w:w="1508" w:type="dxa"/>
            <w:tcBorders>
              <w:top w:val="single" w:sz="4" w:space="0" w:color="auto"/>
              <w:bottom w:val="single" w:sz="4" w:space="0" w:color="auto"/>
            </w:tcBorders>
            <w:shd w:val="clear" w:color="auto" w:fill="FFE599" w:themeFill="accent4" w:themeFillTint="66"/>
            <w:vAlign w:val="center"/>
          </w:tcPr>
          <w:p w14:paraId="4C6BDE74"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4.311.811,59</w:t>
            </w:r>
          </w:p>
        </w:tc>
        <w:tc>
          <w:tcPr>
            <w:tcW w:w="1525" w:type="dxa"/>
            <w:tcBorders>
              <w:top w:val="single" w:sz="4" w:space="0" w:color="auto"/>
              <w:bottom w:val="single" w:sz="4" w:space="0" w:color="auto"/>
            </w:tcBorders>
            <w:shd w:val="clear" w:color="auto" w:fill="FFE599" w:themeFill="accent4" w:themeFillTint="66"/>
            <w:vAlign w:val="center"/>
          </w:tcPr>
          <w:p w14:paraId="6141F2FD"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4.319.819,09</w:t>
            </w:r>
          </w:p>
        </w:tc>
        <w:tc>
          <w:tcPr>
            <w:tcW w:w="1525" w:type="dxa"/>
            <w:tcBorders>
              <w:top w:val="single" w:sz="4" w:space="0" w:color="auto"/>
              <w:bottom w:val="single" w:sz="4" w:space="0" w:color="auto"/>
            </w:tcBorders>
            <w:shd w:val="clear" w:color="auto" w:fill="FFE599" w:themeFill="accent4" w:themeFillTint="66"/>
            <w:noWrap/>
            <w:vAlign w:val="center"/>
          </w:tcPr>
          <w:p w14:paraId="3A13AE80"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2.817.340,88</w:t>
            </w:r>
          </w:p>
        </w:tc>
        <w:tc>
          <w:tcPr>
            <w:tcW w:w="1067" w:type="dxa"/>
            <w:tcBorders>
              <w:top w:val="single" w:sz="4" w:space="0" w:color="auto"/>
              <w:bottom w:val="single" w:sz="4" w:space="0" w:color="auto"/>
            </w:tcBorders>
            <w:shd w:val="clear" w:color="auto" w:fill="FFE599" w:themeFill="accent4" w:themeFillTint="66"/>
            <w:noWrap/>
            <w:vAlign w:val="center"/>
          </w:tcPr>
          <w:p w14:paraId="201A2F21"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786,04%</w:t>
            </w:r>
          </w:p>
        </w:tc>
        <w:tc>
          <w:tcPr>
            <w:tcW w:w="950" w:type="dxa"/>
            <w:tcBorders>
              <w:top w:val="single" w:sz="4" w:space="0" w:color="auto"/>
              <w:bottom w:val="single" w:sz="4" w:space="0" w:color="auto"/>
            </w:tcBorders>
            <w:shd w:val="clear" w:color="auto" w:fill="FFE599" w:themeFill="accent4" w:themeFillTint="66"/>
            <w:noWrap/>
            <w:vAlign w:val="center"/>
          </w:tcPr>
          <w:p w14:paraId="278EDB88"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65,22%</w:t>
            </w:r>
          </w:p>
        </w:tc>
      </w:tr>
      <w:tr w:rsidR="00B7386F" w:rsidRPr="00100041" w14:paraId="0F83DD47" w14:textId="77777777" w:rsidTr="00C47D35">
        <w:trPr>
          <w:trHeight w:val="202"/>
        </w:trPr>
        <w:tc>
          <w:tcPr>
            <w:tcW w:w="3093" w:type="dxa"/>
            <w:tcBorders>
              <w:top w:val="single" w:sz="4" w:space="0" w:color="auto"/>
              <w:bottom w:val="single" w:sz="4" w:space="0" w:color="auto"/>
            </w:tcBorders>
            <w:noWrap/>
            <w:vAlign w:val="bottom"/>
            <w:hideMark/>
          </w:tcPr>
          <w:p w14:paraId="4F95D223" w14:textId="77777777" w:rsidR="00B7386F" w:rsidRPr="00100041" w:rsidRDefault="00B7386F" w:rsidP="00C47D3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lastRenderedPageBreak/>
              <w:t>Izvor 5.1. Ostale pomoći</w:t>
            </w:r>
          </w:p>
        </w:tc>
        <w:tc>
          <w:tcPr>
            <w:tcW w:w="1680" w:type="dxa"/>
            <w:tcBorders>
              <w:top w:val="single" w:sz="4" w:space="0" w:color="auto"/>
              <w:bottom w:val="single" w:sz="4" w:space="0" w:color="auto"/>
            </w:tcBorders>
            <w:noWrap/>
            <w:vAlign w:val="center"/>
          </w:tcPr>
          <w:p w14:paraId="41AB6CD2"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322.269,29</w:t>
            </w:r>
          </w:p>
        </w:tc>
        <w:tc>
          <w:tcPr>
            <w:tcW w:w="1508" w:type="dxa"/>
            <w:tcBorders>
              <w:top w:val="single" w:sz="4" w:space="0" w:color="auto"/>
              <w:bottom w:val="single" w:sz="4" w:space="0" w:color="auto"/>
            </w:tcBorders>
            <w:vAlign w:val="center"/>
          </w:tcPr>
          <w:p w14:paraId="687A818A"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1.312.696,00</w:t>
            </w:r>
          </w:p>
        </w:tc>
        <w:tc>
          <w:tcPr>
            <w:tcW w:w="1525" w:type="dxa"/>
            <w:tcBorders>
              <w:top w:val="single" w:sz="4" w:space="0" w:color="auto"/>
              <w:bottom w:val="single" w:sz="4" w:space="0" w:color="auto"/>
            </w:tcBorders>
            <w:vAlign w:val="center"/>
          </w:tcPr>
          <w:p w14:paraId="3EC86F63"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1.399.063,50</w:t>
            </w:r>
          </w:p>
        </w:tc>
        <w:tc>
          <w:tcPr>
            <w:tcW w:w="1525" w:type="dxa"/>
            <w:tcBorders>
              <w:top w:val="single" w:sz="4" w:space="0" w:color="auto"/>
              <w:bottom w:val="single" w:sz="4" w:space="0" w:color="auto"/>
            </w:tcBorders>
            <w:noWrap/>
            <w:vAlign w:val="center"/>
          </w:tcPr>
          <w:p w14:paraId="2A660427"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1.120.220,49</w:t>
            </w:r>
          </w:p>
        </w:tc>
        <w:tc>
          <w:tcPr>
            <w:tcW w:w="1067" w:type="dxa"/>
            <w:tcBorders>
              <w:top w:val="single" w:sz="4" w:space="0" w:color="auto"/>
              <w:bottom w:val="single" w:sz="4" w:space="0" w:color="auto"/>
            </w:tcBorders>
            <w:noWrap/>
            <w:vAlign w:val="center"/>
          </w:tcPr>
          <w:p w14:paraId="26BA282F"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347,60%</w:t>
            </w:r>
          </w:p>
        </w:tc>
        <w:tc>
          <w:tcPr>
            <w:tcW w:w="950" w:type="dxa"/>
            <w:tcBorders>
              <w:top w:val="single" w:sz="4" w:space="0" w:color="auto"/>
              <w:bottom w:val="single" w:sz="4" w:space="0" w:color="auto"/>
            </w:tcBorders>
            <w:noWrap/>
            <w:vAlign w:val="center"/>
          </w:tcPr>
          <w:p w14:paraId="4EA448A6"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80,07%</w:t>
            </w:r>
          </w:p>
        </w:tc>
      </w:tr>
      <w:tr w:rsidR="00B7386F" w:rsidRPr="00100041" w14:paraId="55F0E721" w14:textId="77777777" w:rsidTr="00C47D35">
        <w:trPr>
          <w:trHeight w:val="202"/>
        </w:trPr>
        <w:tc>
          <w:tcPr>
            <w:tcW w:w="3093" w:type="dxa"/>
            <w:tcBorders>
              <w:top w:val="single" w:sz="4" w:space="0" w:color="auto"/>
              <w:bottom w:val="single" w:sz="4" w:space="0" w:color="auto"/>
            </w:tcBorders>
            <w:noWrap/>
            <w:vAlign w:val="bottom"/>
            <w:hideMark/>
          </w:tcPr>
          <w:p w14:paraId="50CC9F85" w14:textId="77777777" w:rsidR="00B7386F" w:rsidRPr="00100041" w:rsidRDefault="00B7386F" w:rsidP="00C47D3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5.2. Pomoći EU</w:t>
            </w:r>
          </w:p>
        </w:tc>
        <w:tc>
          <w:tcPr>
            <w:tcW w:w="1680" w:type="dxa"/>
            <w:tcBorders>
              <w:top w:val="single" w:sz="4" w:space="0" w:color="auto"/>
              <w:bottom w:val="single" w:sz="4" w:space="0" w:color="auto"/>
            </w:tcBorders>
            <w:noWrap/>
            <w:vAlign w:val="center"/>
          </w:tcPr>
          <w:p w14:paraId="55108A08"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32.536,66</w:t>
            </w:r>
          </w:p>
        </w:tc>
        <w:tc>
          <w:tcPr>
            <w:tcW w:w="1508" w:type="dxa"/>
            <w:tcBorders>
              <w:top w:val="single" w:sz="4" w:space="0" w:color="auto"/>
              <w:bottom w:val="single" w:sz="4" w:space="0" w:color="auto"/>
            </w:tcBorders>
            <w:vAlign w:val="center"/>
          </w:tcPr>
          <w:p w14:paraId="768C3124"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406.650,00</w:t>
            </w:r>
          </w:p>
        </w:tc>
        <w:tc>
          <w:tcPr>
            <w:tcW w:w="1525" w:type="dxa"/>
            <w:tcBorders>
              <w:top w:val="single" w:sz="4" w:space="0" w:color="auto"/>
              <w:bottom w:val="single" w:sz="4" w:space="0" w:color="auto"/>
            </w:tcBorders>
            <w:vAlign w:val="center"/>
          </w:tcPr>
          <w:p w14:paraId="7B4622EB"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366.650,00</w:t>
            </w:r>
          </w:p>
        </w:tc>
        <w:tc>
          <w:tcPr>
            <w:tcW w:w="1525" w:type="dxa"/>
            <w:tcBorders>
              <w:top w:val="single" w:sz="4" w:space="0" w:color="auto"/>
              <w:bottom w:val="single" w:sz="4" w:space="0" w:color="auto"/>
            </w:tcBorders>
            <w:noWrap/>
            <w:vAlign w:val="center"/>
          </w:tcPr>
          <w:p w14:paraId="4CB6807D" w14:textId="77777777" w:rsidR="00B7386F" w:rsidRPr="003256CD"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51.584,24</w:t>
            </w:r>
          </w:p>
        </w:tc>
        <w:tc>
          <w:tcPr>
            <w:tcW w:w="1067" w:type="dxa"/>
            <w:tcBorders>
              <w:top w:val="single" w:sz="4" w:space="0" w:color="auto"/>
              <w:bottom w:val="single" w:sz="4" w:space="0" w:color="auto"/>
            </w:tcBorders>
            <w:noWrap/>
            <w:vAlign w:val="center"/>
          </w:tcPr>
          <w:p w14:paraId="106C23A3"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158,54%</w:t>
            </w:r>
          </w:p>
        </w:tc>
        <w:tc>
          <w:tcPr>
            <w:tcW w:w="950" w:type="dxa"/>
            <w:tcBorders>
              <w:top w:val="single" w:sz="4" w:space="0" w:color="auto"/>
              <w:bottom w:val="single" w:sz="4" w:space="0" w:color="auto"/>
            </w:tcBorders>
            <w:noWrap/>
            <w:vAlign w:val="center"/>
          </w:tcPr>
          <w:p w14:paraId="1F9FF118"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14,07%</w:t>
            </w:r>
          </w:p>
        </w:tc>
      </w:tr>
      <w:tr w:rsidR="00B7386F" w:rsidRPr="00100041" w14:paraId="67393D5B" w14:textId="77777777" w:rsidTr="00C47D35">
        <w:trPr>
          <w:trHeight w:val="202"/>
        </w:trPr>
        <w:tc>
          <w:tcPr>
            <w:tcW w:w="3093" w:type="dxa"/>
            <w:tcBorders>
              <w:top w:val="single" w:sz="4" w:space="0" w:color="auto"/>
              <w:bottom w:val="single" w:sz="4" w:space="0" w:color="auto"/>
            </w:tcBorders>
            <w:noWrap/>
            <w:vAlign w:val="bottom"/>
            <w:hideMark/>
          </w:tcPr>
          <w:p w14:paraId="15DFCCC9" w14:textId="77777777" w:rsidR="00B7386F" w:rsidRPr="00100041" w:rsidRDefault="00B7386F" w:rsidP="00C47D3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5.4. Pomoći EU  proračunskih korisnika</w:t>
            </w:r>
          </w:p>
        </w:tc>
        <w:tc>
          <w:tcPr>
            <w:tcW w:w="1680" w:type="dxa"/>
            <w:tcBorders>
              <w:top w:val="single" w:sz="4" w:space="0" w:color="auto"/>
              <w:bottom w:val="single" w:sz="4" w:space="0" w:color="auto"/>
            </w:tcBorders>
            <w:noWrap/>
            <w:vAlign w:val="center"/>
          </w:tcPr>
          <w:p w14:paraId="45BFEECC"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29.115,80</w:t>
            </w:r>
          </w:p>
        </w:tc>
        <w:tc>
          <w:tcPr>
            <w:tcW w:w="1508" w:type="dxa"/>
            <w:tcBorders>
              <w:top w:val="single" w:sz="4" w:space="0" w:color="auto"/>
              <w:bottom w:val="single" w:sz="4" w:space="0" w:color="auto"/>
            </w:tcBorders>
            <w:vAlign w:val="center"/>
          </w:tcPr>
          <w:p w14:paraId="6F38CF4A"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665.125,00</w:t>
            </w:r>
          </w:p>
        </w:tc>
        <w:tc>
          <w:tcPr>
            <w:tcW w:w="1525" w:type="dxa"/>
            <w:tcBorders>
              <w:top w:val="single" w:sz="4" w:space="0" w:color="auto"/>
              <w:bottom w:val="single" w:sz="4" w:space="0" w:color="auto"/>
            </w:tcBorders>
            <w:vAlign w:val="center"/>
          </w:tcPr>
          <w:p w14:paraId="71753926"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665.125,00</w:t>
            </w:r>
          </w:p>
        </w:tc>
        <w:tc>
          <w:tcPr>
            <w:tcW w:w="1525" w:type="dxa"/>
            <w:tcBorders>
              <w:top w:val="single" w:sz="4" w:space="0" w:color="auto"/>
              <w:bottom w:val="single" w:sz="4" w:space="0" w:color="auto"/>
            </w:tcBorders>
            <w:noWrap/>
            <w:vAlign w:val="center"/>
          </w:tcPr>
          <w:p w14:paraId="391E5CF8" w14:textId="77777777" w:rsidR="00B7386F" w:rsidRPr="003256CD"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067" w:type="dxa"/>
            <w:tcBorders>
              <w:top w:val="single" w:sz="4" w:space="0" w:color="auto"/>
              <w:bottom w:val="single" w:sz="4" w:space="0" w:color="auto"/>
            </w:tcBorders>
            <w:noWrap/>
            <w:vAlign w:val="center"/>
          </w:tcPr>
          <w:p w14:paraId="5CE15ACD"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950" w:type="dxa"/>
            <w:tcBorders>
              <w:top w:val="single" w:sz="4" w:space="0" w:color="auto"/>
              <w:bottom w:val="single" w:sz="4" w:space="0" w:color="auto"/>
            </w:tcBorders>
            <w:noWrap/>
            <w:vAlign w:val="center"/>
          </w:tcPr>
          <w:p w14:paraId="4C6559F7"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r>
      <w:tr w:rsidR="00B7386F" w:rsidRPr="00100041" w14:paraId="0444BF3B" w14:textId="77777777" w:rsidTr="00C47D35">
        <w:trPr>
          <w:trHeight w:val="202"/>
        </w:trPr>
        <w:tc>
          <w:tcPr>
            <w:tcW w:w="3093" w:type="dxa"/>
            <w:tcBorders>
              <w:top w:val="single" w:sz="4" w:space="0" w:color="auto"/>
              <w:bottom w:val="single" w:sz="4" w:space="0" w:color="auto"/>
            </w:tcBorders>
            <w:noWrap/>
            <w:vAlign w:val="bottom"/>
            <w:hideMark/>
          </w:tcPr>
          <w:p w14:paraId="19F3CA17" w14:textId="77777777" w:rsidR="00B7386F" w:rsidRPr="00100041" w:rsidRDefault="00B7386F" w:rsidP="00C47D3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5.5. Ostale pomoći  proračunskih korisnika</w:t>
            </w:r>
          </w:p>
        </w:tc>
        <w:tc>
          <w:tcPr>
            <w:tcW w:w="1680" w:type="dxa"/>
            <w:tcBorders>
              <w:top w:val="single" w:sz="4" w:space="0" w:color="auto"/>
              <w:bottom w:val="single" w:sz="4" w:space="0" w:color="auto"/>
            </w:tcBorders>
            <w:noWrap/>
            <w:vAlign w:val="center"/>
          </w:tcPr>
          <w:p w14:paraId="389C9BC3"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116.722,90</w:t>
            </w:r>
          </w:p>
        </w:tc>
        <w:tc>
          <w:tcPr>
            <w:tcW w:w="1508" w:type="dxa"/>
            <w:tcBorders>
              <w:top w:val="single" w:sz="4" w:space="0" w:color="auto"/>
              <w:bottom w:val="single" w:sz="4" w:space="0" w:color="auto"/>
            </w:tcBorders>
            <w:vAlign w:val="center"/>
          </w:tcPr>
          <w:p w14:paraId="6B1065A6"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177.926,00</w:t>
            </w:r>
          </w:p>
        </w:tc>
        <w:tc>
          <w:tcPr>
            <w:tcW w:w="1525" w:type="dxa"/>
            <w:tcBorders>
              <w:top w:val="single" w:sz="4" w:space="0" w:color="auto"/>
              <w:bottom w:val="single" w:sz="4" w:space="0" w:color="auto"/>
            </w:tcBorders>
            <w:vAlign w:val="center"/>
          </w:tcPr>
          <w:p w14:paraId="6F187B07"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177.926,00</w:t>
            </w:r>
          </w:p>
        </w:tc>
        <w:tc>
          <w:tcPr>
            <w:tcW w:w="1525" w:type="dxa"/>
            <w:tcBorders>
              <w:top w:val="single" w:sz="4" w:space="0" w:color="auto"/>
              <w:bottom w:val="single" w:sz="4" w:space="0" w:color="auto"/>
            </w:tcBorders>
            <w:noWrap/>
            <w:vAlign w:val="center"/>
          </w:tcPr>
          <w:p w14:paraId="1934A0C6" w14:textId="77777777" w:rsidR="00B7386F" w:rsidRPr="003256CD"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97.255,31</w:t>
            </w:r>
          </w:p>
        </w:tc>
        <w:tc>
          <w:tcPr>
            <w:tcW w:w="1067" w:type="dxa"/>
            <w:tcBorders>
              <w:top w:val="single" w:sz="4" w:space="0" w:color="auto"/>
              <w:bottom w:val="single" w:sz="4" w:space="0" w:color="auto"/>
            </w:tcBorders>
            <w:noWrap/>
            <w:vAlign w:val="center"/>
          </w:tcPr>
          <w:p w14:paraId="13088EB2"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950" w:type="dxa"/>
            <w:tcBorders>
              <w:top w:val="single" w:sz="4" w:space="0" w:color="auto"/>
              <w:bottom w:val="single" w:sz="4" w:space="0" w:color="auto"/>
            </w:tcBorders>
            <w:noWrap/>
            <w:vAlign w:val="center"/>
          </w:tcPr>
          <w:p w14:paraId="4A56F012"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54,66%</w:t>
            </w:r>
          </w:p>
        </w:tc>
      </w:tr>
      <w:tr w:rsidR="00B7386F" w:rsidRPr="00100041" w14:paraId="7A0681F2" w14:textId="77777777" w:rsidTr="00C47D35">
        <w:trPr>
          <w:trHeight w:val="202"/>
        </w:trPr>
        <w:tc>
          <w:tcPr>
            <w:tcW w:w="3093" w:type="dxa"/>
            <w:tcBorders>
              <w:top w:val="single" w:sz="4" w:space="0" w:color="auto"/>
              <w:bottom w:val="single" w:sz="4" w:space="0" w:color="auto"/>
            </w:tcBorders>
            <w:noWrap/>
            <w:vAlign w:val="bottom"/>
          </w:tcPr>
          <w:p w14:paraId="5C68E1FF" w14:textId="77777777" w:rsidR="00B7386F" w:rsidRPr="00100041" w:rsidRDefault="00B7386F" w:rsidP="00C47D35">
            <w:pPr>
              <w:spacing w:after="0" w:line="240" w:lineRule="auto"/>
              <w:rPr>
                <w:rFonts w:ascii="Arial" w:eastAsia="Times New Roman" w:hAnsi="Arial" w:cs="Arial"/>
                <w:bCs/>
                <w:sz w:val="18"/>
                <w:szCs w:val="18"/>
                <w:lang w:eastAsia="hr-HR"/>
              </w:rPr>
            </w:pPr>
            <w:r>
              <w:rPr>
                <w:rFonts w:ascii="Arial" w:eastAsia="Times New Roman" w:hAnsi="Arial" w:cs="Arial"/>
                <w:bCs/>
                <w:sz w:val="18"/>
                <w:szCs w:val="18"/>
                <w:lang w:eastAsia="hr-HR"/>
              </w:rPr>
              <w:t>Izvor 5.9. Preneseni višak/manjak-pomoći</w:t>
            </w:r>
          </w:p>
        </w:tc>
        <w:tc>
          <w:tcPr>
            <w:tcW w:w="1680" w:type="dxa"/>
            <w:tcBorders>
              <w:top w:val="single" w:sz="4" w:space="0" w:color="auto"/>
              <w:bottom w:val="single" w:sz="4" w:space="0" w:color="auto"/>
            </w:tcBorders>
            <w:noWrap/>
            <w:vAlign w:val="center"/>
          </w:tcPr>
          <w:p w14:paraId="3EB2C9E1" w14:textId="77777777" w:rsidR="00B7386F"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08" w:type="dxa"/>
            <w:tcBorders>
              <w:top w:val="single" w:sz="4" w:space="0" w:color="auto"/>
              <w:bottom w:val="single" w:sz="4" w:space="0" w:color="auto"/>
            </w:tcBorders>
            <w:vAlign w:val="center"/>
          </w:tcPr>
          <w:p w14:paraId="6BF79933" w14:textId="77777777" w:rsidR="00B7386F"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1.749.414,59</w:t>
            </w:r>
          </w:p>
        </w:tc>
        <w:tc>
          <w:tcPr>
            <w:tcW w:w="1525" w:type="dxa"/>
            <w:tcBorders>
              <w:top w:val="single" w:sz="4" w:space="0" w:color="auto"/>
              <w:bottom w:val="single" w:sz="4" w:space="0" w:color="auto"/>
            </w:tcBorders>
            <w:vAlign w:val="center"/>
          </w:tcPr>
          <w:p w14:paraId="14BD18EA" w14:textId="77777777" w:rsidR="00B7386F"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1.711.054,59</w:t>
            </w:r>
          </w:p>
        </w:tc>
        <w:tc>
          <w:tcPr>
            <w:tcW w:w="1525" w:type="dxa"/>
            <w:tcBorders>
              <w:top w:val="single" w:sz="4" w:space="0" w:color="auto"/>
              <w:bottom w:val="single" w:sz="4" w:space="0" w:color="auto"/>
            </w:tcBorders>
            <w:noWrap/>
            <w:vAlign w:val="center"/>
          </w:tcPr>
          <w:p w14:paraId="35718553" w14:textId="77777777" w:rsidR="00B7386F"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1.548.280,84</w:t>
            </w:r>
          </w:p>
        </w:tc>
        <w:tc>
          <w:tcPr>
            <w:tcW w:w="1067" w:type="dxa"/>
            <w:tcBorders>
              <w:top w:val="single" w:sz="4" w:space="0" w:color="auto"/>
              <w:bottom w:val="single" w:sz="4" w:space="0" w:color="auto"/>
            </w:tcBorders>
            <w:noWrap/>
            <w:vAlign w:val="center"/>
          </w:tcPr>
          <w:p w14:paraId="5F14A375" w14:textId="77777777" w:rsidR="00B7386F"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950" w:type="dxa"/>
            <w:tcBorders>
              <w:top w:val="single" w:sz="4" w:space="0" w:color="auto"/>
              <w:bottom w:val="single" w:sz="4" w:space="0" w:color="auto"/>
            </w:tcBorders>
            <w:noWrap/>
            <w:vAlign w:val="center"/>
          </w:tcPr>
          <w:p w14:paraId="35CFA555" w14:textId="77777777" w:rsidR="00B7386F"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90,49%</w:t>
            </w:r>
          </w:p>
        </w:tc>
      </w:tr>
      <w:tr w:rsidR="00B7386F" w:rsidRPr="00100041" w14:paraId="4CC500DD" w14:textId="77777777" w:rsidTr="00C47D35">
        <w:trPr>
          <w:trHeight w:val="202"/>
        </w:trPr>
        <w:tc>
          <w:tcPr>
            <w:tcW w:w="3093" w:type="dxa"/>
            <w:tcBorders>
              <w:top w:val="single" w:sz="4" w:space="0" w:color="auto"/>
              <w:bottom w:val="single" w:sz="4" w:space="0" w:color="auto"/>
            </w:tcBorders>
            <w:shd w:val="clear" w:color="auto" w:fill="FFE599" w:themeFill="accent4" w:themeFillTint="66"/>
            <w:noWrap/>
            <w:vAlign w:val="bottom"/>
            <w:hideMark/>
          </w:tcPr>
          <w:p w14:paraId="66B41979" w14:textId="77777777" w:rsidR="00B7386F" w:rsidRPr="00100041" w:rsidRDefault="00B7386F" w:rsidP="00C47D35">
            <w:pPr>
              <w:spacing w:after="0" w:line="240" w:lineRule="auto"/>
              <w:rPr>
                <w:rFonts w:ascii="Arial" w:eastAsia="Times New Roman" w:hAnsi="Arial" w:cs="Arial"/>
                <w:b/>
                <w:bCs/>
                <w:sz w:val="18"/>
                <w:szCs w:val="18"/>
                <w:lang w:eastAsia="hr-HR"/>
              </w:rPr>
            </w:pPr>
            <w:r w:rsidRPr="00100041">
              <w:rPr>
                <w:rFonts w:ascii="Arial" w:eastAsia="Times New Roman" w:hAnsi="Arial" w:cs="Arial"/>
                <w:b/>
                <w:bCs/>
                <w:sz w:val="18"/>
                <w:szCs w:val="18"/>
                <w:lang w:eastAsia="hr-HR"/>
              </w:rPr>
              <w:t>Izvor 6. DONACIJE</w:t>
            </w:r>
          </w:p>
        </w:tc>
        <w:tc>
          <w:tcPr>
            <w:tcW w:w="1680" w:type="dxa"/>
            <w:tcBorders>
              <w:top w:val="single" w:sz="4" w:space="0" w:color="auto"/>
              <w:bottom w:val="single" w:sz="4" w:space="0" w:color="auto"/>
            </w:tcBorders>
            <w:shd w:val="clear" w:color="auto" w:fill="FFE599" w:themeFill="accent4" w:themeFillTint="66"/>
            <w:noWrap/>
            <w:vAlign w:val="center"/>
          </w:tcPr>
          <w:p w14:paraId="26421AD7"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1.114,00</w:t>
            </w:r>
          </w:p>
        </w:tc>
        <w:tc>
          <w:tcPr>
            <w:tcW w:w="1508" w:type="dxa"/>
            <w:tcBorders>
              <w:top w:val="single" w:sz="4" w:space="0" w:color="auto"/>
              <w:bottom w:val="single" w:sz="4" w:space="0" w:color="auto"/>
            </w:tcBorders>
            <w:shd w:val="clear" w:color="auto" w:fill="FFE599" w:themeFill="accent4" w:themeFillTint="66"/>
            <w:vAlign w:val="center"/>
          </w:tcPr>
          <w:p w14:paraId="510C6273"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11.900,00</w:t>
            </w:r>
          </w:p>
        </w:tc>
        <w:tc>
          <w:tcPr>
            <w:tcW w:w="1525" w:type="dxa"/>
            <w:tcBorders>
              <w:top w:val="single" w:sz="4" w:space="0" w:color="auto"/>
              <w:bottom w:val="single" w:sz="4" w:space="0" w:color="auto"/>
            </w:tcBorders>
            <w:shd w:val="clear" w:color="auto" w:fill="FFE599" w:themeFill="accent4" w:themeFillTint="66"/>
            <w:vAlign w:val="center"/>
          </w:tcPr>
          <w:p w14:paraId="6329C665"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11.900,00</w:t>
            </w:r>
          </w:p>
        </w:tc>
        <w:tc>
          <w:tcPr>
            <w:tcW w:w="1525" w:type="dxa"/>
            <w:tcBorders>
              <w:top w:val="single" w:sz="4" w:space="0" w:color="auto"/>
              <w:bottom w:val="single" w:sz="4" w:space="0" w:color="auto"/>
            </w:tcBorders>
            <w:shd w:val="clear" w:color="auto" w:fill="FFE599" w:themeFill="accent4" w:themeFillTint="66"/>
            <w:noWrap/>
            <w:vAlign w:val="center"/>
          </w:tcPr>
          <w:p w14:paraId="54ACEAC1"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2.663,18</w:t>
            </w:r>
          </w:p>
        </w:tc>
        <w:tc>
          <w:tcPr>
            <w:tcW w:w="1067" w:type="dxa"/>
            <w:tcBorders>
              <w:top w:val="single" w:sz="4" w:space="0" w:color="auto"/>
              <w:bottom w:val="single" w:sz="4" w:space="0" w:color="auto"/>
            </w:tcBorders>
            <w:shd w:val="clear" w:color="auto" w:fill="FFE599" w:themeFill="accent4" w:themeFillTint="66"/>
            <w:noWrap/>
            <w:vAlign w:val="center"/>
          </w:tcPr>
          <w:p w14:paraId="08B6D4B2"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0,00%</w:t>
            </w:r>
          </w:p>
        </w:tc>
        <w:tc>
          <w:tcPr>
            <w:tcW w:w="950" w:type="dxa"/>
            <w:tcBorders>
              <w:top w:val="single" w:sz="4" w:space="0" w:color="auto"/>
              <w:bottom w:val="single" w:sz="4" w:space="0" w:color="auto"/>
            </w:tcBorders>
            <w:shd w:val="clear" w:color="auto" w:fill="FFE599" w:themeFill="accent4" w:themeFillTint="66"/>
            <w:noWrap/>
            <w:vAlign w:val="center"/>
          </w:tcPr>
          <w:p w14:paraId="690A5753" w14:textId="77777777" w:rsidR="00B7386F" w:rsidRPr="00100041" w:rsidRDefault="00B7386F" w:rsidP="00C47D3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22,38%</w:t>
            </w:r>
          </w:p>
        </w:tc>
      </w:tr>
      <w:tr w:rsidR="00B7386F" w:rsidRPr="00100041" w14:paraId="1C6104F6" w14:textId="77777777" w:rsidTr="00C47D35">
        <w:trPr>
          <w:trHeight w:val="202"/>
        </w:trPr>
        <w:tc>
          <w:tcPr>
            <w:tcW w:w="3093" w:type="dxa"/>
            <w:tcBorders>
              <w:top w:val="single" w:sz="4" w:space="0" w:color="auto"/>
              <w:bottom w:val="single" w:sz="4" w:space="0" w:color="auto"/>
            </w:tcBorders>
            <w:noWrap/>
            <w:vAlign w:val="bottom"/>
            <w:hideMark/>
          </w:tcPr>
          <w:p w14:paraId="3CBF05D6" w14:textId="77777777" w:rsidR="00B7386F" w:rsidRPr="00100041" w:rsidRDefault="00B7386F" w:rsidP="00C47D3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6.1. Donacije</w:t>
            </w:r>
          </w:p>
        </w:tc>
        <w:tc>
          <w:tcPr>
            <w:tcW w:w="1680" w:type="dxa"/>
            <w:tcBorders>
              <w:top w:val="single" w:sz="4" w:space="0" w:color="auto"/>
              <w:bottom w:val="single" w:sz="4" w:space="0" w:color="auto"/>
            </w:tcBorders>
            <w:noWrap/>
            <w:vAlign w:val="center"/>
          </w:tcPr>
          <w:p w14:paraId="074FBDA2"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08" w:type="dxa"/>
            <w:tcBorders>
              <w:top w:val="single" w:sz="4" w:space="0" w:color="auto"/>
              <w:bottom w:val="single" w:sz="4" w:space="0" w:color="auto"/>
            </w:tcBorders>
            <w:vAlign w:val="center"/>
          </w:tcPr>
          <w:p w14:paraId="192AAFFE"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7.300,00</w:t>
            </w:r>
          </w:p>
        </w:tc>
        <w:tc>
          <w:tcPr>
            <w:tcW w:w="1525" w:type="dxa"/>
            <w:tcBorders>
              <w:top w:val="single" w:sz="4" w:space="0" w:color="auto"/>
              <w:bottom w:val="single" w:sz="4" w:space="0" w:color="auto"/>
            </w:tcBorders>
            <w:vAlign w:val="center"/>
          </w:tcPr>
          <w:p w14:paraId="15AE6956"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7.300,00</w:t>
            </w:r>
          </w:p>
        </w:tc>
        <w:tc>
          <w:tcPr>
            <w:tcW w:w="1525" w:type="dxa"/>
            <w:tcBorders>
              <w:top w:val="single" w:sz="4" w:space="0" w:color="auto"/>
              <w:bottom w:val="single" w:sz="4" w:space="0" w:color="auto"/>
            </w:tcBorders>
            <w:noWrap/>
            <w:vAlign w:val="center"/>
          </w:tcPr>
          <w:p w14:paraId="5F0BB559"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2.225,18</w:t>
            </w:r>
          </w:p>
        </w:tc>
        <w:tc>
          <w:tcPr>
            <w:tcW w:w="1067" w:type="dxa"/>
            <w:tcBorders>
              <w:top w:val="single" w:sz="4" w:space="0" w:color="auto"/>
              <w:bottom w:val="single" w:sz="4" w:space="0" w:color="auto"/>
            </w:tcBorders>
            <w:noWrap/>
            <w:vAlign w:val="center"/>
          </w:tcPr>
          <w:p w14:paraId="5F38FE82"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950" w:type="dxa"/>
            <w:tcBorders>
              <w:top w:val="single" w:sz="4" w:space="0" w:color="auto"/>
              <w:bottom w:val="single" w:sz="4" w:space="0" w:color="auto"/>
            </w:tcBorders>
            <w:noWrap/>
            <w:vAlign w:val="center"/>
          </w:tcPr>
          <w:p w14:paraId="28889FA3"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30,48%</w:t>
            </w:r>
          </w:p>
        </w:tc>
      </w:tr>
      <w:tr w:rsidR="00B7386F" w:rsidRPr="00100041" w14:paraId="5FBEDCFA" w14:textId="77777777" w:rsidTr="00C47D35">
        <w:trPr>
          <w:trHeight w:val="368"/>
        </w:trPr>
        <w:tc>
          <w:tcPr>
            <w:tcW w:w="3093" w:type="dxa"/>
            <w:tcBorders>
              <w:top w:val="single" w:sz="4" w:space="0" w:color="auto"/>
              <w:bottom w:val="single" w:sz="4" w:space="0" w:color="auto"/>
            </w:tcBorders>
            <w:noWrap/>
            <w:vAlign w:val="bottom"/>
            <w:hideMark/>
          </w:tcPr>
          <w:p w14:paraId="5108158D" w14:textId="77777777" w:rsidR="00B7386F" w:rsidRPr="00100041" w:rsidRDefault="00B7386F" w:rsidP="00C47D35">
            <w:pPr>
              <w:spacing w:after="0" w:line="240" w:lineRule="auto"/>
              <w:rPr>
                <w:rFonts w:ascii="Arial" w:eastAsia="Times New Roman" w:hAnsi="Arial" w:cs="Arial"/>
                <w:bCs/>
                <w:sz w:val="18"/>
                <w:szCs w:val="18"/>
                <w:lang w:eastAsia="hr-HR"/>
              </w:rPr>
            </w:pPr>
            <w:r w:rsidRPr="00100041">
              <w:rPr>
                <w:rFonts w:ascii="Arial" w:eastAsia="Times New Roman" w:hAnsi="Arial" w:cs="Arial"/>
                <w:bCs/>
                <w:sz w:val="18"/>
                <w:szCs w:val="18"/>
                <w:lang w:eastAsia="hr-HR"/>
              </w:rPr>
              <w:t>Izvor 6.2. Donacije proračunskih korisnika</w:t>
            </w:r>
          </w:p>
        </w:tc>
        <w:tc>
          <w:tcPr>
            <w:tcW w:w="1680" w:type="dxa"/>
            <w:tcBorders>
              <w:top w:val="single" w:sz="4" w:space="0" w:color="auto"/>
              <w:bottom w:val="single" w:sz="4" w:space="0" w:color="auto"/>
            </w:tcBorders>
            <w:noWrap/>
            <w:vAlign w:val="center"/>
          </w:tcPr>
          <w:p w14:paraId="3E2FA74D"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08" w:type="dxa"/>
            <w:tcBorders>
              <w:top w:val="single" w:sz="4" w:space="0" w:color="auto"/>
              <w:bottom w:val="single" w:sz="4" w:space="0" w:color="auto"/>
            </w:tcBorders>
            <w:vAlign w:val="center"/>
          </w:tcPr>
          <w:p w14:paraId="45321016"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4.600,00</w:t>
            </w:r>
          </w:p>
        </w:tc>
        <w:tc>
          <w:tcPr>
            <w:tcW w:w="1525" w:type="dxa"/>
            <w:tcBorders>
              <w:top w:val="single" w:sz="4" w:space="0" w:color="auto"/>
              <w:bottom w:val="single" w:sz="4" w:space="0" w:color="auto"/>
            </w:tcBorders>
            <w:vAlign w:val="center"/>
          </w:tcPr>
          <w:p w14:paraId="2C9FF10A"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4.600,00</w:t>
            </w:r>
          </w:p>
        </w:tc>
        <w:tc>
          <w:tcPr>
            <w:tcW w:w="1525" w:type="dxa"/>
            <w:tcBorders>
              <w:top w:val="single" w:sz="4" w:space="0" w:color="auto"/>
              <w:bottom w:val="single" w:sz="4" w:space="0" w:color="auto"/>
            </w:tcBorders>
            <w:noWrap/>
            <w:vAlign w:val="center"/>
          </w:tcPr>
          <w:p w14:paraId="0EEEC655"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438,00</w:t>
            </w:r>
          </w:p>
        </w:tc>
        <w:tc>
          <w:tcPr>
            <w:tcW w:w="1067" w:type="dxa"/>
            <w:tcBorders>
              <w:top w:val="single" w:sz="4" w:space="0" w:color="auto"/>
              <w:bottom w:val="single" w:sz="4" w:space="0" w:color="auto"/>
            </w:tcBorders>
            <w:noWrap/>
            <w:vAlign w:val="center"/>
          </w:tcPr>
          <w:p w14:paraId="793B591B"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950" w:type="dxa"/>
            <w:tcBorders>
              <w:top w:val="single" w:sz="4" w:space="0" w:color="auto"/>
              <w:bottom w:val="single" w:sz="4" w:space="0" w:color="auto"/>
            </w:tcBorders>
            <w:noWrap/>
            <w:vAlign w:val="center"/>
          </w:tcPr>
          <w:p w14:paraId="74D663C8" w14:textId="77777777" w:rsidR="00B7386F" w:rsidRPr="00100041"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9,52%</w:t>
            </w:r>
          </w:p>
        </w:tc>
      </w:tr>
      <w:tr w:rsidR="00B7386F" w:rsidRPr="003256CD" w14:paraId="169AB5A8" w14:textId="77777777" w:rsidTr="00C47D35">
        <w:trPr>
          <w:trHeight w:val="368"/>
        </w:trPr>
        <w:tc>
          <w:tcPr>
            <w:tcW w:w="3093" w:type="dxa"/>
            <w:tcBorders>
              <w:top w:val="single" w:sz="4" w:space="0" w:color="auto"/>
              <w:bottom w:val="single" w:sz="4" w:space="0" w:color="auto"/>
            </w:tcBorders>
            <w:shd w:val="clear" w:color="auto" w:fill="FFE599" w:themeFill="accent4" w:themeFillTint="66"/>
            <w:noWrap/>
            <w:vAlign w:val="bottom"/>
          </w:tcPr>
          <w:p w14:paraId="38303D42" w14:textId="77777777" w:rsidR="00B7386F" w:rsidRPr="003256CD" w:rsidRDefault="00B7386F" w:rsidP="00C47D35">
            <w:pPr>
              <w:spacing w:after="0" w:line="240" w:lineRule="auto"/>
              <w:rPr>
                <w:rFonts w:ascii="Arial" w:eastAsia="Times New Roman" w:hAnsi="Arial" w:cs="Arial"/>
                <w:b/>
                <w:sz w:val="18"/>
                <w:szCs w:val="18"/>
                <w:lang w:eastAsia="hr-HR"/>
              </w:rPr>
            </w:pPr>
            <w:r w:rsidRPr="003256CD">
              <w:rPr>
                <w:rFonts w:ascii="Arial" w:eastAsia="Times New Roman" w:hAnsi="Arial" w:cs="Arial"/>
                <w:b/>
                <w:sz w:val="18"/>
                <w:szCs w:val="18"/>
                <w:lang w:eastAsia="hr-HR"/>
              </w:rPr>
              <w:t xml:space="preserve">Izvor 7. PRIHODI OD PRODAJE ILI ZAMJENE NEFINANCIJSKE IMOVINE I NAKNADE OSIGURANJA </w:t>
            </w:r>
          </w:p>
        </w:tc>
        <w:tc>
          <w:tcPr>
            <w:tcW w:w="1680" w:type="dxa"/>
            <w:tcBorders>
              <w:top w:val="single" w:sz="4" w:space="0" w:color="auto"/>
              <w:bottom w:val="single" w:sz="4" w:space="0" w:color="auto"/>
            </w:tcBorders>
            <w:shd w:val="clear" w:color="auto" w:fill="FFE599" w:themeFill="accent4" w:themeFillTint="66"/>
            <w:noWrap/>
            <w:vAlign w:val="center"/>
          </w:tcPr>
          <w:p w14:paraId="2DAAF009" w14:textId="77777777" w:rsidR="00B7386F" w:rsidRPr="003256CD" w:rsidRDefault="00B7386F" w:rsidP="00C47D35">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0,00</w:t>
            </w:r>
          </w:p>
        </w:tc>
        <w:tc>
          <w:tcPr>
            <w:tcW w:w="1508" w:type="dxa"/>
            <w:tcBorders>
              <w:top w:val="single" w:sz="4" w:space="0" w:color="auto"/>
              <w:bottom w:val="single" w:sz="4" w:space="0" w:color="auto"/>
            </w:tcBorders>
            <w:shd w:val="clear" w:color="auto" w:fill="FFE599" w:themeFill="accent4" w:themeFillTint="66"/>
            <w:vAlign w:val="center"/>
          </w:tcPr>
          <w:p w14:paraId="11C741B2" w14:textId="77777777" w:rsidR="00B7386F" w:rsidRPr="003256CD" w:rsidRDefault="00B7386F" w:rsidP="00C47D35">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3.000,00</w:t>
            </w:r>
          </w:p>
        </w:tc>
        <w:tc>
          <w:tcPr>
            <w:tcW w:w="1525" w:type="dxa"/>
            <w:tcBorders>
              <w:top w:val="single" w:sz="4" w:space="0" w:color="auto"/>
              <w:bottom w:val="single" w:sz="4" w:space="0" w:color="auto"/>
            </w:tcBorders>
            <w:shd w:val="clear" w:color="auto" w:fill="FFE599" w:themeFill="accent4" w:themeFillTint="66"/>
            <w:vAlign w:val="center"/>
          </w:tcPr>
          <w:p w14:paraId="242FF486" w14:textId="77777777" w:rsidR="00B7386F" w:rsidRPr="003256CD" w:rsidRDefault="00B7386F" w:rsidP="00C47D35">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3.000,00</w:t>
            </w:r>
          </w:p>
        </w:tc>
        <w:tc>
          <w:tcPr>
            <w:tcW w:w="1525" w:type="dxa"/>
            <w:tcBorders>
              <w:top w:val="single" w:sz="4" w:space="0" w:color="auto"/>
              <w:bottom w:val="single" w:sz="4" w:space="0" w:color="auto"/>
            </w:tcBorders>
            <w:shd w:val="clear" w:color="auto" w:fill="FFE599" w:themeFill="accent4" w:themeFillTint="66"/>
            <w:noWrap/>
            <w:vAlign w:val="center"/>
          </w:tcPr>
          <w:p w14:paraId="5EC48E9F" w14:textId="77777777" w:rsidR="00B7386F" w:rsidRPr="003256CD" w:rsidRDefault="00B7386F" w:rsidP="00C47D35">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0,00</w:t>
            </w:r>
          </w:p>
        </w:tc>
        <w:tc>
          <w:tcPr>
            <w:tcW w:w="1067" w:type="dxa"/>
            <w:tcBorders>
              <w:top w:val="single" w:sz="4" w:space="0" w:color="auto"/>
              <w:bottom w:val="single" w:sz="4" w:space="0" w:color="auto"/>
            </w:tcBorders>
            <w:shd w:val="clear" w:color="auto" w:fill="FFE599" w:themeFill="accent4" w:themeFillTint="66"/>
            <w:noWrap/>
            <w:vAlign w:val="center"/>
          </w:tcPr>
          <w:p w14:paraId="35A050B7" w14:textId="77777777" w:rsidR="00B7386F" w:rsidRPr="003256CD" w:rsidRDefault="00B7386F" w:rsidP="00C47D35">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w:t>
            </w:r>
          </w:p>
        </w:tc>
        <w:tc>
          <w:tcPr>
            <w:tcW w:w="950" w:type="dxa"/>
            <w:tcBorders>
              <w:top w:val="single" w:sz="4" w:space="0" w:color="auto"/>
              <w:bottom w:val="single" w:sz="4" w:space="0" w:color="auto"/>
            </w:tcBorders>
            <w:shd w:val="clear" w:color="auto" w:fill="FFE599" w:themeFill="accent4" w:themeFillTint="66"/>
            <w:noWrap/>
            <w:vAlign w:val="center"/>
          </w:tcPr>
          <w:p w14:paraId="624545FC" w14:textId="77777777" w:rsidR="00B7386F" w:rsidRPr="003256CD" w:rsidRDefault="00B7386F" w:rsidP="00C47D35">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w:t>
            </w:r>
          </w:p>
        </w:tc>
      </w:tr>
      <w:tr w:rsidR="00B7386F" w:rsidRPr="00100041" w14:paraId="0119CAD2" w14:textId="77777777" w:rsidTr="00C47D35">
        <w:trPr>
          <w:trHeight w:val="368"/>
        </w:trPr>
        <w:tc>
          <w:tcPr>
            <w:tcW w:w="3093" w:type="dxa"/>
            <w:tcBorders>
              <w:top w:val="single" w:sz="4" w:space="0" w:color="auto"/>
              <w:bottom w:val="single" w:sz="4" w:space="0" w:color="auto"/>
            </w:tcBorders>
            <w:noWrap/>
            <w:vAlign w:val="bottom"/>
          </w:tcPr>
          <w:p w14:paraId="4837B118" w14:textId="77777777" w:rsidR="00B7386F" w:rsidRDefault="00B7386F" w:rsidP="00C47D35">
            <w:pPr>
              <w:spacing w:after="0" w:line="240" w:lineRule="auto"/>
              <w:rPr>
                <w:rFonts w:ascii="Arial" w:eastAsia="Times New Roman" w:hAnsi="Arial" w:cs="Arial"/>
                <w:bCs/>
                <w:sz w:val="18"/>
                <w:szCs w:val="18"/>
                <w:lang w:eastAsia="hr-HR"/>
              </w:rPr>
            </w:pPr>
            <w:r>
              <w:rPr>
                <w:rFonts w:ascii="Arial" w:eastAsia="Times New Roman" w:hAnsi="Arial" w:cs="Arial"/>
                <w:bCs/>
                <w:sz w:val="18"/>
                <w:szCs w:val="18"/>
                <w:lang w:eastAsia="hr-HR"/>
              </w:rPr>
              <w:t xml:space="preserve">Izvor 7.1. Prihodi od prodaje nefinancijske imovine i naknade osiguranja </w:t>
            </w:r>
          </w:p>
        </w:tc>
        <w:tc>
          <w:tcPr>
            <w:tcW w:w="1680" w:type="dxa"/>
            <w:tcBorders>
              <w:top w:val="single" w:sz="4" w:space="0" w:color="auto"/>
              <w:bottom w:val="single" w:sz="4" w:space="0" w:color="auto"/>
            </w:tcBorders>
            <w:noWrap/>
            <w:vAlign w:val="center"/>
          </w:tcPr>
          <w:p w14:paraId="1B91AF00" w14:textId="77777777" w:rsidR="00B7386F"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08" w:type="dxa"/>
            <w:tcBorders>
              <w:top w:val="single" w:sz="4" w:space="0" w:color="auto"/>
              <w:bottom w:val="single" w:sz="4" w:space="0" w:color="auto"/>
            </w:tcBorders>
            <w:vAlign w:val="center"/>
          </w:tcPr>
          <w:p w14:paraId="3EF35F34" w14:textId="77777777" w:rsidR="00B7386F"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3.000,00</w:t>
            </w:r>
          </w:p>
        </w:tc>
        <w:tc>
          <w:tcPr>
            <w:tcW w:w="1525" w:type="dxa"/>
            <w:tcBorders>
              <w:top w:val="single" w:sz="4" w:space="0" w:color="auto"/>
              <w:bottom w:val="single" w:sz="4" w:space="0" w:color="auto"/>
            </w:tcBorders>
            <w:vAlign w:val="center"/>
          </w:tcPr>
          <w:p w14:paraId="19981D51" w14:textId="77777777" w:rsidR="00B7386F"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3.000,00</w:t>
            </w:r>
          </w:p>
        </w:tc>
        <w:tc>
          <w:tcPr>
            <w:tcW w:w="1525" w:type="dxa"/>
            <w:tcBorders>
              <w:top w:val="single" w:sz="4" w:space="0" w:color="auto"/>
              <w:bottom w:val="single" w:sz="4" w:space="0" w:color="auto"/>
            </w:tcBorders>
            <w:noWrap/>
            <w:vAlign w:val="center"/>
          </w:tcPr>
          <w:p w14:paraId="7BA97494" w14:textId="77777777" w:rsidR="00B7386F"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067" w:type="dxa"/>
            <w:tcBorders>
              <w:top w:val="single" w:sz="4" w:space="0" w:color="auto"/>
              <w:bottom w:val="single" w:sz="4" w:space="0" w:color="auto"/>
            </w:tcBorders>
            <w:noWrap/>
            <w:vAlign w:val="center"/>
          </w:tcPr>
          <w:p w14:paraId="2EEA4EE6" w14:textId="77777777" w:rsidR="00B7386F"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c>
          <w:tcPr>
            <w:tcW w:w="950" w:type="dxa"/>
            <w:tcBorders>
              <w:top w:val="single" w:sz="4" w:space="0" w:color="auto"/>
              <w:bottom w:val="single" w:sz="4" w:space="0" w:color="auto"/>
            </w:tcBorders>
            <w:noWrap/>
            <w:vAlign w:val="center"/>
          </w:tcPr>
          <w:p w14:paraId="6DE18E37" w14:textId="77777777" w:rsidR="00B7386F"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r>
      <w:tr w:rsidR="00B7386F" w:rsidRPr="003256CD" w14:paraId="5588FFC9" w14:textId="77777777" w:rsidTr="00C47D35">
        <w:trPr>
          <w:trHeight w:val="368"/>
        </w:trPr>
        <w:tc>
          <w:tcPr>
            <w:tcW w:w="3093" w:type="dxa"/>
            <w:tcBorders>
              <w:top w:val="single" w:sz="4" w:space="0" w:color="auto"/>
              <w:bottom w:val="single" w:sz="4" w:space="0" w:color="auto"/>
            </w:tcBorders>
            <w:shd w:val="clear" w:color="auto" w:fill="FFE599" w:themeFill="accent4" w:themeFillTint="66"/>
            <w:noWrap/>
            <w:vAlign w:val="bottom"/>
          </w:tcPr>
          <w:p w14:paraId="55869110" w14:textId="77777777" w:rsidR="00B7386F" w:rsidRPr="003256CD" w:rsidRDefault="00B7386F" w:rsidP="00C47D35">
            <w:pPr>
              <w:spacing w:after="0" w:line="240" w:lineRule="auto"/>
              <w:rPr>
                <w:rFonts w:ascii="Arial" w:eastAsia="Times New Roman" w:hAnsi="Arial" w:cs="Arial"/>
                <w:b/>
                <w:sz w:val="18"/>
                <w:szCs w:val="18"/>
                <w:lang w:eastAsia="hr-HR"/>
              </w:rPr>
            </w:pPr>
            <w:r w:rsidRPr="003256CD">
              <w:rPr>
                <w:rFonts w:ascii="Arial" w:eastAsia="Times New Roman" w:hAnsi="Arial" w:cs="Arial"/>
                <w:b/>
                <w:sz w:val="18"/>
                <w:szCs w:val="18"/>
                <w:lang w:eastAsia="hr-HR"/>
              </w:rPr>
              <w:t>Izvor 9.REZULTAT</w:t>
            </w:r>
          </w:p>
        </w:tc>
        <w:tc>
          <w:tcPr>
            <w:tcW w:w="1680" w:type="dxa"/>
            <w:tcBorders>
              <w:top w:val="single" w:sz="4" w:space="0" w:color="auto"/>
              <w:bottom w:val="single" w:sz="4" w:space="0" w:color="auto"/>
            </w:tcBorders>
            <w:shd w:val="clear" w:color="auto" w:fill="FFE599" w:themeFill="accent4" w:themeFillTint="66"/>
            <w:noWrap/>
            <w:vAlign w:val="center"/>
          </w:tcPr>
          <w:p w14:paraId="2677E430" w14:textId="77777777" w:rsidR="00B7386F" w:rsidRPr="003256CD" w:rsidRDefault="00B7386F" w:rsidP="00C47D35">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2.096.043,94</w:t>
            </w:r>
          </w:p>
        </w:tc>
        <w:tc>
          <w:tcPr>
            <w:tcW w:w="1508" w:type="dxa"/>
            <w:tcBorders>
              <w:top w:val="single" w:sz="4" w:space="0" w:color="auto"/>
              <w:bottom w:val="single" w:sz="4" w:space="0" w:color="auto"/>
            </w:tcBorders>
            <w:shd w:val="clear" w:color="auto" w:fill="FFE599" w:themeFill="accent4" w:themeFillTint="66"/>
            <w:vAlign w:val="center"/>
          </w:tcPr>
          <w:p w14:paraId="6079CE6A" w14:textId="77777777" w:rsidR="00B7386F" w:rsidRPr="003256CD" w:rsidRDefault="00B7386F" w:rsidP="00C47D35">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0,00</w:t>
            </w:r>
          </w:p>
        </w:tc>
        <w:tc>
          <w:tcPr>
            <w:tcW w:w="1525" w:type="dxa"/>
            <w:tcBorders>
              <w:top w:val="single" w:sz="4" w:space="0" w:color="auto"/>
              <w:bottom w:val="single" w:sz="4" w:space="0" w:color="auto"/>
            </w:tcBorders>
            <w:shd w:val="clear" w:color="auto" w:fill="FFE599" w:themeFill="accent4" w:themeFillTint="66"/>
            <w:vAlign w:val="center"/>
          </w:tcPr>
          <w:p w14:paraId="3BF0B590" w14:textId="77777777" w:rsidR="00B7386F" w:rsidRPr="003256CD" w:rsidRDefault="00B7386F" w:rsidP="00C47D35">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0,00</w:t>
            </w:r>
          </w:p>
        </w:tc>
        <w:tc>
          <w:tcPr>
            <w:tcW w:w="1525" w:type="dxa"/>
            <w:tcBorders>
              <w:top w:val="single" w:sz="4" w:space="0" w:color="auto"/>
              <w:bottom w:val="single" w:sz="4" w:space="0" w:color="auto"/>
            </w:tcBorders>
            <w:shd w:val="clear" w:color="auto" w:fill="FFE599" w:themeFill="accent4" w:themeFillTint="66"/>
            <w:noWrap/>
            <w:vAlign w:val="center"/>
          </w:tcPr>
          <w:p w14:paraId="1C723539" w14:textId="77777777" w:rsidR="00B7386F" w:rsidRPr="003256CD" w:rsidRDefault="00B7386F" w:rsidP="00C47D35">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0,00</w:t>
            </w:r>
          </w:p>
        </w:tc>
        <w:tc>
          <w:tcPr>
            <w:tcW w:w="1067" w:type="dxa"/>
            <w:tcBorders>
              <w:top w:val="single" w:sz="4" w:space="0" w:color="auto"/>
              <w:bottom w:val="single" w:sz="4" w:space="0" w:color="auto"/>
            </w:tcBorders>
            <w:shd w:val="clear" w:color="auto" w:fill="FFE599" w:themeFill="accent4" w:themeFillTint="66"/>
            <w:noWrap/>
            <w:vAlign w:val="center"/>
          </w:tcPr>
          <w:p w14:paraId="6470925D" w14:textId="77777777" w:rsidR="00B7386F" w:rsidRPr="003256CD" w:rsidRDefault="00B7386F" w:rsidP="00C47D35">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w:t>
            </w:r>
          </w:p>
        </w:tc>
        <w:tc>
          <w:tcPr>
            <w:tcW w:w="950" w:type="dxa"/>
            <w:tcBorders>
              <w:top w:val="single" w:sz="4" w:space="0" w:color="auto"/>
              <w:bottom w:val="single" w:sz="4" w:space="0" w:color="auto"/>
            </w:tcBorders>
            <w:shd w:val="clear" w:color="auto" w:fill="FFE599" w:themeFill="accent4" w:themeFillTint="66"/>
            <w:noWrap/>
            <w:vAlign w:val="center"/>
          </w:tcPr>
          <w:p w14:paraId="4DABDEA3" w14:textId="77777777" w:rsidR="00B7386F" w:rsidRPr="003256CD" w:rsidRDefault="00B7386F" w:rsidP="00C47D35">
            <w:pPr>
              <w:spacing w:after="0" w:line="240" w:lineRule="auto"/>
              <w:jc w:val="center"/>
              <w:rPr>
                <w:rFonts w:ascii="Arial" w:eastAsia="Times New Roman" w:hAnsi="Arial" w:cs="Arial"/>
                <w:b/>
                <w:sz w:val="18"/>
                <w:szCs w:val="18"/>
                <w:lang w:eastAsia="hr-HR"/>
              </w:rPr>
            </w:pPr>
            <w:r>
              <w:rPr>
                <w:rFonts w:ascii="Arial" w:eastAsia="Times New Roman" w:hAnsi="Arial" w:cs="Arial"/>
                <w:b/>
                <w:sz w:val="18"/>
                <w:szCs w:val="18"/>
                <w:lang w:eastAsia="hr-HR"/>
              </w:rPr>
              <w:t>-</w:t>
            </w:r>
          </w:p>
        </w:tc>
      </w:tr>
      <w:tr w:rsidR="00B7386F" w:rsidRPr="00100041" w14:paraId="27C4F38F" w14:textId="77777777" w:rsidTr="00C47D35">
        <w:trPr>
          <w:trHeight w:val="368"/>
        </w:trPr>
        <w:tc>
          <w:tcPr>
            <w:tcW w:w="3093" w:type="dxa"/>
            <w:tcBorders>
              <w:top w:val="single" w:sz="4" w:space="0" w:color="auto"/>
              <w:bottom w:val="single" w:sz="4" w:space="0" w:color="auto"/>
            </w:tcBorders>
            <w:noWrap/>
            <w:vAlign w:val="bottom"/>
          </w:tcPr>
          <w:p w14:paraId="03C9A36E" w14:textId="77777777" w:rsidR="00B7386F" w:rsidRDefault="00B7386F" w:rsidP="00C47D35">
            <w:pPr>
              <w:spacing w:after="0" w:line="240" w:lineRule="auto"/>
              <w:rPr>
                <w:rFonts w:ascii="Arial" w:eastAsia="Times New Roman" w:hAnsi="Arial" w:cs="Arial"/>
                <w:bCs/>
                <w:sz w:val="18"/>
                <w:szCs w:val="18"/>
                <w:lang w:eastAsia="hr-HR"/>
              </w:rPr>
            </w:pPr>
            <w:r>
              <w:rPr>
                <w:rFonts w:ascii="Arial" w:eastAsia="Times New Roman" w:hAnsi="Arial" w:cs="Arial"/>
                <w:bCs/>
                <w:sz w:val="18"/>
                <w:szCs w:val="18"/>
                <w:lang w:eastAsia="hr-HR"/>
              </w:rPr>
              <w:t>Izvor 9.1. VIŠAK PRENESENI</w:t>
            </w:r>
          </w:p>
        </w:tc>
        <w:tc>
          <w:tcPr>
            <w:tcW w:w="1680" w:type="dxa"/>
            <w:tcBorders>
              <w:top w:val="single" w:sz="4" w:space="0" w:color="auto"/>
              <w:bottom w:val="single" w:sz="4" w:space="0" w:color="auto"/>
            </w:tcBorders>
            <w:noWrap/>
            <w:vAlign w:val="center"/>
          </w:tcPr>
          <w:p w14:paraId="698F6B88" w14:textId="77777777" w:rsidR="00B7386F"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2.096.043,94</w:t>
            </w:r>
          </w:p>
        </w:tc>
        <w:tc>
          <w:tcPr>
            <w:tcW w:w="1508" w:type="dxa"/>
            <w:tcBorders>
              <w:top w:val="single" w:sz="4" w:space="0" w:color="auto"/>
              <w:bottom w:val="single" w:sz="4" w:space="0" w:color="auto"/>
            </w:tcBorders>
            <w:vAlign w:val="center"/>
          </w:tcPr>
          <w:p w14:paraId="3E1D1F91" w14:textId="77777777" w:rsidR="00B7386F"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25" w:type="dxa"/>
            <w:tcBorders>
              <w:top w:val="single" w:sz="4" w:space="0" w:color="auto"/>
              <w:bottom w:val="single" w:sz="4" w:space="0" w:color="auto"/>
            </w:tcBorders>
            <w:vAlign w:val="center"/>
          </w:tcPr>
          <w:p w14:paraId="7E50CB5F" w14:textId="77777777" w:rsidR="00B7386F"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25" w:type="dxa"/>
            <w:tcBorders>
              <w:top w:val="single" w:sz="4" w:space="0" w:color="auto"/>
              <w:bottom w:val="single" w:sz="4" w:space="0" w:color="auto"/>
            </w:tcBorders>
            <w:noWrap/>
            <w:vAlign w:val="center"/>
          </w:tcPr>
          <w:p w14:paraId="7C970993" w14:textId="77777777" w:rsidR="00B7386F"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067" w:type="dxa"/>
            <w:tcBorders>
              <w:top w:val="single" w:sz="4" w:space="0" w:color="auto"/>
              <w:bottom w:val="single" w:sz="4" w:space="0" w:color="auto"/>
            </w:tcBorders>
            <w:noWrap/>
            <w:vAlign w:val="center"/>
          </w:tcPr>
          <w:p w14:paraId="4957353A" w14:textId="77777777" w:rsidR="00B7386F"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c>
          <w:tcPr>
            <w:tcW w:w="950" w:type="dxa"/>
            <w:tcBorders>
              <w:top w:val="single" w:sz="4" w:space="0" w:color="auto"/>
              <w:bottom w:val="single" w:sz="4" w:space="0" w:color="auto"/>
            </w:tcBorders>
            <w:noWrap/>
            <w:vAlign w:val="center"/>
          </w:tcPr>
          <w:p w14:paraId="31A1D068" w14:textId="77777777" w:rsidR="00B7386F" w:rsidRDefault="00B7386F" w:rsidP="00C47D35">
            <w:pPr>
              <w:spacing w:after="0" w:line="240" w:lineRule="auto"/>
              <w:jc w:val="center"/>
              <w:rPr>
                <w:rFonts w:ascii="Arial" w:eastAsia="Times New Roman" w:hAnsi="Arial" w:cs="Arial"/>
                <w:bCs/>
                <w:sz w:val="18"/>
                <w:szCs w:val="18"/>
                <w:lang w:eastAsia="hr-HR"/>
              </w:rPr>
            </w:pPr>
            <w:r>
              <w:rPr>
                <w:rFonts w:ascii="Arial" w:eastAsia="Times New Roman" w:hAnsi="Arial" w:cs="Arial"/>
                <w:bCs/>
                <w:sz w:val="18"/>
                <w:szCs w:val="18"/>
                <w:lang w:eastAsia="hr-HR"/>
              </w:rPr>
              <w:t>-</w:t>
            </w:r>
          </w:p>
        </w:tc>
      </w:tr>
    </w:tbl>
    <w:p w14:paraId="33D454CA" w14:textId="77777777" w:rsidR="00B7386F" w:rsidRDefault="00B7386F" w:rsidP="006B0202">
      <w:pPr>
        <w:pStyle w:val="Bezproreda"/>
        <w:jc w:val="both"/>
        <w:rPr>
          <w:rFonts w:cs="Calibri"/>
          <w:sz w:val="24"/>
          <w:szCs w:val="24"/>
        </w:rPr>
      </w:pPr>
    </w:p>
    <w:p w14:paraId="74C3DE17" w14:textId="77777777" w:rsidR="00F50515" w:rsidRDefault="00F50515" w:rsidP="006B0202">
      <w:pPr>
        <w:pStyle w:val="Bezproreda"/>
        <w:jc w:val="both"/>
        <w:rPr>
          <w:rFonts w:cs="Calibri"/>
          <w:sz w:val="24"/>
          <w:szCs w:val="24"/>
        </w:rPr>
      </w:pPr>
    </w:p>
    <w:p w14:paraId="5E85A865" w14:textId="77777777" w:rsidR="00F50515" w:rsidRPr="005C174C" w:rsidRDefault="00F50515" w:rsidP="00F50515">
      <w:pPr>
        <w:pStyle w:val="Default"/>
        <w:rPr>
          <w:rFonts w:asciiTheme="minorHAnsi" w:hAnsiTheme="minorHAnsi" w:cstheme="minorHAnsi"/>
          <w:b/>
        </w:rPr>
      </w:pPr>
      <w:r w:rsidRPr="005C174C">
        <w:rPr>
          <w:rFonts w:asciiTheme="minorHAnsi" w:hAnsiTheme="minorHAnsi" w:cstheme="minorHAnsi"/>
          <w:b/>
        </w:rPr>
        <w:t xml:space="preserve">4. REALIZACIJA PO FUNKCIJSKOJ KLASIFIKACIJI </w:t>
      </w:r>
    </w:p>
    <w:p w14:paraId="489A0BF3" w14:textId="77777777" w:rsidR="00F50515" w:rsidRDefault="00F50515" w:rsidP="00F50515">
      <w:pPr>
        <w:spacing w:after="0"/>
        <w:rPr>
          <w:rFonts w:ascii="Times New Roman" w:hAnsi="Times New Roman"/>
          <w:b/>
          <w:sz w:val="24"/>
          <w:szCs w:val="24"/>
        </w:rPr>
      </w:pPr>
    </w:p>
    <w:p w14:paraId="1DFCCF9E" w14:textId="77777777" w:rsidR="00F50515" w:rsidRPr="00F50515" w:rsidRDefault="00F50515" w:rsidP="00F50515">
      <w:pPr>
        <w:spacing w:after="0"/>
        <w:jc w:val="both"/>
        <w:rPr>
          <w:sz w:val="24"/>
          <w:szCs w:val="24"/>
        </w:rPr>
      </w:pPr>
      <w:r w:rsidRPr="00F50515">
        <w:rPr>
          <w:sz w:val="24"/>
          <w:szCs w:val="24"/>
        </w:rPr>
        <w:t xml:space="preserve">Funkcijska klasifikacija razvrstava rashode JLP(R)S (bez izdataka) u skladu s njihovom namjenom, organizirane i razvrstane prema ulaganjima sredstava u djelatnosti: opće javne usluge, javni red i sigurnost, ekonomske poslove, zaštitu okoliša, unapređenje stanovanja i zajednice, zdravstvo, rekreaciju, kulturu i religiju, obrazovanje i socijalnu zaštitu. </w:t>
      </w:r>
    </w:p>
    <w:p w14:paraId="58C93A46" w14:textId="3C9D6CD9" w:rsidR="00F50515" w:rsidRDefault="00F50515" w:rsidP="00F50515">
      <w:pPr>
        <w:spacing w:after="0"/>
        <w:rPr>
          <w:sz w:val="24"/>
          <w:szCs w:val="24"/>
        </w:rPr>
      </w:pPr>
      <w:r w:rsidRPr="00E72A45">
        <w:rPr>
          <w:sz w:val="24"/>
          <w:szCs w:val="24"/>
        </w:rPr>
        <w:t xml:space="preserve">Promatrajući strukturu rashoda po funkcijskoj klasifikaciji pokazuje da su sredstava utrošena kako slijedi: </w:t>
      </w:r>
    </w:p>
    <w:p w14:paraId="48DFB87D" w14:textId="77777777" w:rsidR="00F50515" w:rsidRDefault="00F50515" w:rsidP="00F50515">
      <w:pPr>
        <w:spacing w:after="0"/>
        <w:rPr>
          <w:sz w:val="24"/>
          <w:szCs w:val="24"/>
        </w:rPr>
      </w:pPr>
    </w:p>
    <w:p w14:paraId="5337FEE0" w14:textId="4AFA8F81" w:rsidR="00F50515" w:rsidRPr="00F50515" w:rsidRDefault="00F50515" w:rsidP="00F50515">
      <w:pPr>
        <w:spacing w:after="0"/>
        <w:rPr>
          <w:b/>
          <w:bCs/>
          <w:sz w:val="24"/>
          <w:szCs w:val="24"/>
        </w:rPr>
      </w:pPr>
      <w:r w:rsidRPr="00F50515">
        <w:rPr>
          <w:b/>
          <w:bCs/>
          <w:sz w:val="24"/>
          <w:szCs w:val="24"/>
        </w:rPr>
        <w:t xml:space="preserve">Tablica 6. </w:t>
      </w:r>
      <w:r w:rsidRPr="00F50515">
        <w:rPr>
          <w:sz w:val="24"/>
          <w:szCs w:val="24"/>
        </w:rPr>
        <w:t>Izvršenje rashoda prema funkcijskoj klasifikaciji u 202</w:t>
      </w:r>
      <w:r w:rsidR="00F7643F">
        <w:rPr>
          <w:sz w:val="24"/>
          <w:szCs w:val="24"/>
        </w:rPr>
        <w:t>5</w:t>
      </w:r>
      <w:r w:rsidRPr="00F50515">
        <w:rPr>
          <w:sz w:val="24"/>
          <w:szCs w:val="24"/>
        </w:rPr>
        <w:t>.godini</w:t>
      </w:r>
      <w:r>
        <w:rPr>
          <w:b/>
          <w:bCs/>
          <w:sz w:val="24"/>
          <w:szCs w:val="24"/>
        </w:rPr>
        <w:t xml:space="preserve"> </w:t>
      </w:r>
    </w:p>
    <w:p w14:paraId="3ACD76D5" w14:textId="77777777" w:rsidR="00F50515" w:rsidRDefault="00F50515" w:rsidP="00F50515">
      <w:pPr>
        <w:spacing w:after="0"/>
        <w:rPr>
          <w:sz w:val="24"/>
          <w:szCs w:val="24"/>
        </w:rPr>
      </w:pPr>
    </w:p>
    <w:tbl>
      <w:tblPr>
        <w:tblW w:w="11798" w:type="dxa"/>
        <w:tblInd w:w="-1372" w:type="dxa"/>
        <w:tblLook w:val="04A0" w:firstRow="1" w:lastRow="0" w:firstColumn="1" w:lastColumn="0" w:noHBand="0" w:noVBand="1"/>
      </w:tblPr>
      <w:tblGrid>
        <w:gridCol w:w="3436"/>
        <w:gridCol w:w="1653"/>
        <w:gridCol w:w="1578"/>
        <w:gridCol w:w="1578"/>
        <w:gridCol w:w="1671"/>
        <w:gridCol w:w="991"/>
        <w:gridCol w:w="891"/>
      </w:tblGrid>
      <w:tr w:rsidR="00086875" w:rsidRPr="00086875" w14:paraId="1546F187" w14:textId="77777777" w:rsidTr="00086875">
        <w:trPr>
          <w:trHeight w:val="844"/>
        </w:trPr>
        <w:tc>
          <w:tcPr>
            <w:tcW w:w="3436" w:type="dxa"/>
            <w:tcBorders>
              <w:top w:val="single" w:sz="4" w:space="0" w:color="auto"/>
              <w:left w:val="single" w:sz="4" w:space="0" w:color="auto"/>
              <w:bottom w:val="single" w:sz="4" w:space="0" w:color="auto"/>
              <w:right w:val="single" w:sz="4" w:space="0" w:color="auto"/>
            </w:tcBorders>
            <w:noWrap/>
            <w:vAlign w:val="bottom"/>
            <w:hideMark/>
          </w:tcPr>
          <w:p w14:paraId="5B0553B2" w14:textId="77777777" w:rsidR="00086875" w:rsidRPr="00086875" w:rsidRDefault="00086875" w:rsidP="00086875">
            <w:pPr>
              <w:spacing w:after="0" w:line="240" w:lineRule="auto"/>
              <w:jc w:val="center"/>
              <w:rPr>
                <w:rFonts w:ascii="Calibri" w:eastAsia="Times New Roman" w:hAnsi="Calibri" w:cs="Calibri"/>
                <w:b/>
                <w:bCs/>
                <w:color w:val="000000"/>
                <w:lang w:eastAsia="hr-HR"/>
              </w:rPr>
            </w:pPr>
            <w:r w:rsidRPr="00086875">
              <w:rPr>
                <w:rFonts w:ascii="Calibri" w:eastAsia="Times New Roman" w:hAnsi="Calibri" w:cs="Calibri"/>
                <w:b/>
                <w:bCs/>
                <w:color w:val="000000"/>
                <w:lang w:eastAsia="hr-HR"/>
              </w:rPr>
              <w:t xml:space="preserve">Naziv funkcijske klasifikacije </w:t>
            </w:r>
          </w:p>
        </w:tc>
        <w:tc>
          <w:tcPr>
            <w:tcW w:w="1653" w:type="dxa"/>
            <w:tcBorders>
              <w:top w:val="single" w:sz="4" w:space="0" w:color="auto"/>
              <w:left w:val="nil"/>
              <w:bottom w:val="single" w:sz="4" w:space="0" w:color="auto"/>
              <w:right w:val="single" w:sz="4" w:space="0" w:color="auto"/>
            </w:tcBorders>
            <w:vAlign w:val="bottom"/>
            <w:hideMark/>
          </w:tcPr>
          <w:p w14:paraId="7668A7A8" w14:textId="77777777" w:rsidR="00086875" w:rsidRPr="00086875" w:rsidRDefault="00086875" w:rsidP="00086875">
            <w:pPr>
              <w:spacing w:after="0" w:line="240" w:lineRule="auto"/>
              <w:jc w:val="center"/>
              <w:rPr>
                <w:rFonts w:ascii="Calibri" w:eastAsia="Times New Roman" w:hAnsi="Calibri" w:cs="Calibri"/>
                <w:b/>
                <w:bCs/>
                <w:color w:val="000000"/>
                <w:lang w:eastAsia="hr-HR"/>
              </w:rPr>
            </w:pPr>
            <w:r w:rsidRPr="00086875">
              <w:rPr>
                <w:rFonts w:ascii="Calibri" w:eastAsia="Times New Roman" w:hAnsi="Calibri" w:cs="Calibri"/>
                <w:b/>
                <w:bCs/>
                <w:color w:val="000000"/>
                <w:lang w:eastAsia="hr-HR"/>
              </w:rPr>
              <w:t>Izvršenje                  I.-XII.2024. (€)</w:t>
            </w:r>
          </w:p>
        </w:tc>
        <w:tc>
          <w:tcPr>
            <w:tcW w:w="1578" w:type="dxa"/>
            <w:tcBorders>
              <w:top w:val="single" w:sz="4" w:space="0" w:color="auto"/>
              <w:left w:val="nil"/>
              <w:bottom w:val="single" w:sz="4" w:space="0" w:color="auto"/>
              <w:right w:val="single" w:sz="4" w:space="0" w:color="auto"/>
            </w:tcBorders>
            <w:vAlign w:val="bottom"/>
            <w:hideMark/>
          </w:tcPr>
          <w:p w14:paraId="27F4C9A0" w14:textId="77777777" w:rsidR="00086875" w:rsidRPr="00086875" w:rsidRDefault="00086875" w:rsidP="00086875">
            <w:pPr>
              <w:spacing w:after="0" w:line="240" w:lineRule="auto"/>
              <w:jc w:val="center"/>
              <w:rPr>
                <w:rFonts w:ascii="Calibri" w:eastAsia="Times New Roman" w:hAnsi="Calibri" w:cs="Calibri"/>
                <w:b/>
                <w:bCs/>
                <w:color w:val="000000"/>
                <w:lang w:eastAsia="hr-HR"/>
              </w:rPr>
            </w:pPr>
            <w:r w:rsidRPr="00086875">
              <w:rPr>
                <w:rFonts w:ascii="Calibri" w:eastAsia="Times New Roman" w:hAnsi="Calibri" w:cs="Calibri"/>
                <w:b/>
                <w:bCs/>
                <w:color w:val="000000"/>
                <w:lang w:eastAsia="hr-HR"/>
              </w:rPr>
              <w:t>Izvorni plan/rebalans 2025. (€)</w:t>
            </w:r>
          </w:p>
        </w:tc>
        <w:tc>
          <w:tcPr>
            <w:tcW w:w="1578" w:type="dxa"/>
            <w:tcBorders>
              <w:top w:val="single" w:sz="4" w:space="0" w:color="auto"/>
              <w:left w:val="nil"/>
              <w:bottom w:val="single" w:sz="4" w:space="0" w:color="auto"/>
              <w:right w:val="single" w:sz="4" w:space="0" w:color="auto"/>
            </w:tcBorders>
            <w:vAlign w:val="bottom"/>
            <w:hideMark/>
          </w:tcPr>
          <w:p w14:paraId="74E7C0AF" w14:textId="77777777" w:rsidR="00086875" w:rsidRPr="00086875" w:rsidRDefault="00086875" w:rsidP="00086875">
            <w:pPr>
              <w:spacing w:after="0" w:line="240" w:lineRule="auto"/>
              <w:jc w:val="center"/>
              <w:rPr>
                <w:rFonts w:ascii="Calibri" w:eastAsia="Times New Roman" w:hAnsi="Calibri" w:cs="Calibri"/>
                <w:b/>
                <w:bCs/>
                <w:color w:val="000000"/>
                <w:lang w:eastAsia="hr-HR"/>
              </w:rPr>
            </w:pPr>
            <w:r w:rsidRPr="00086875">
              <w:rPr>
                <w:rFonts w:ascii="Calibri" w:eastAsia="Times New Roman" w:hAnsi="Calibri" w:cs="Calibri"/>
                <w:b/>
                <w:bCs/>
                <w:color w:val="000000"/>
                <w:lang w:eastAsia="hr-HR"/>
              </w:rPr>
              <w:t>Tekući plan 2025.(€)</w:t>
            </w:r>
          </w:p>
        </w:tc>
        <w:tc>
          <w:tcPr>
            <w:tcW w:w="1671" w:type="dxa"/>
            <w:tcBorders>
              <w:top w:val="single" w:sz="4" w:space="0" w:color="auto"/>
              <w:left w:val="nil"/>
              <w:bottom w:val="single" w:sz="4" w:space="0" w:color="auto"/>
              <w:right w:val="single" w:sz="4" w:space="0" w:color="auto"/>
            </w:tcBorders>
            <w:vAlign w:val="bottom"/>
            <w:hideMark/>
          </w:tcPr>
          <w:p w14:paraId="79D7F74D" w14:textId="77777777" w:rsidR="00086875" w:rsidRPr="00086875" w:rsidRDefault="00086875" w:rsidP="00086875">
            <w:pPr>
              <w:spacing w:after="0" w:line="240" w:lineRule="auto"/>
              <w:jc w:val="center"/>
              <w:rPr>
                <w:rFonts w:ascii="Calibri" w:eastAsia="Times New Roman" w:hAnsi="Calibri" w:cs="Calibri"/>
                <w:b/>
                <w:bCs/>
                <w:color w:val="000000"/>
                <w:lang w:eastAsia="hr-HR"/>
              </w:rPr>
            </w:pPr>
            <w:r w:rsidRPr="00086875">
              <w:rPr>
                <w:rFonts w:ascii="Calibri" w:eastAsia="Times New Roman" w:hAnsi="Calibri" w:cs="Calibri"/>
                <w:b/>
                <w:bCs/>
                <w:color w:val="000000"/>
                <w:lang w:eastAsia="hr-HR"/>
              </w:rPr>
              <w:t>Izvršenje                            I.-XII.2025. (€)</w:t>
            </w:r>
          </w:p>
        </w:tc>
        <w:tc>
          <w:tcPr>
            <w:tcW w:w="991" w:type="dxa"/>
            <w:tcBorders>
              <w:top w:val="single" w:sz="4" w:space="0" w:color="auto"/>
              <w:left w:val="nil"/>
              <w:bottom w:val="single" w:sz="4" w:space="0" w:color="auto"/>
              <w:right w:val="single" w:sz="4" w:space="0" w:color="auto"/>
            </w:tcBorders>
            <w:vAlign w:val="bottom"/>
            <w:hideMark/>
          </w:tcPr>
          <w:p w14:paraId="6D373D61" w14:textId="77777777" w:rsidR="00086875" w:rsidRPr="00086875" w:rsidRDefault="00086875" w:rsidP="00086875">
            <w:pPr>
              <w:spacing w:after="0" w:line="240" w:lineRule="auto"/>
              <w:jc w:val="center"/>
              <w:rPr>
                <w:rFonts w:ascii="Calibri" w:eastAsia="Times New Roman" w:hAnsi="Calibri" w:cs="Calibri"/>
                <w:b/>
                <w:bCs/>
                <w:color w:val="000000"/>
                <w:lang w:eastAsia="hr-HR"/>
              </w:rPr>
            </w:pPr>
            <w:r w:rsidRPr="00086875">
              <w:rPr>
                <w:rFonts w:ascii="Calibri" w:eastAsia="Times New Roman" w:hAnsi="Calibri" w:cs="Calibri"/>
                <w:b/>
                <w:bCs/>
                <w:color w:val="000000"/>
                <w:lang w:eastAsia="hr-HR"/>
              </w:rPr>
              <w:t>Indeks (4/1)</w:t>
            </w:r>
          </w:p>
        </w:tc>
        <w:tc>
          <w:tcPr>
            <w:tcW w:w="891" w:type="dxa"/>
            <w:tcBorders>
              <w:top w:val="single" w:sz="4" w:space="0" w:color="auto"/>
              <w:left w:val="nil"/>
              <w:bottom w:val="single" w:sz="4" w:space="0" w:color="auto"/>
              <w:right w:val="single" w:sz="4" w:space="0" w:color="auto"/>
            </w:tcBorders>
            <w:vAlign w:val="bottom"/>
            <w:hideMark/>
          </w:tcPr>
          <w:p w14:paraId="7B3AAE8B" w14:textId="77777777" w:rsidR="00086875" w:rsidRPr="00086875" w:rsidRDefault="00086875" w:rsidP="00086875">
            <w:pPr>
              <w:spacing w:after="0" w:line="240" w:lineRule="auto"/>
              <w:jc w:val="center"/>
              <w:rPr>
                <w:rFonts w:ascii="Calibri" w:eastAsia="Times New Roman" w:hAnsi="Calibri" w:cs="Calibri"/>
                <w:b/>
                <w:bCs/>
                <w:color w:val="000000"/>
                <w:lang w:eastAsia="hr-HR"/>
              </w:rPr>
            </w:pPr>
            <w:r w:rsidRPr="00086875">
              <w:rPr>
                <w:rFonts w:ascii="Calibri" w:eastAsia="Times New Roman" w:hAnsi="Calibri" w:cs="Calibri"/>
                <w:b/>
                <w:bCs/>
                <w:color w:val="000000"/>
                <w:lang w:eastAsia="hr-HR"/>
              </w:rPr>
              <w:t>Indeks (4/3)</w:t>
            </w:r>
          </w:p>
        </w:tc>
      </w:tr>
      <w:tr w:rsidR="00086875" w:rsidRPr="00086875" w14:paraId="77225797" w14:textId="77777777" w:rsidTr="00086875">
        <w:trPr>
          <w:trHeight w:val="281"/>
        </w:trPr>
        <w:tc>
          <w:tcPr>
            <w:tcW w:w="3436" w:type="dxa"/>
            <w:tcBorders>
              <w:top w:val="single" w:sz="4" w:space="0" w:color="auto"/>
              <w:left w:val="single" w:sz="4" w:space="0" w:color="auto"/>
              <w:bottom w:val="single" w:sz="4" w:space="0" w:color="auto"/>
              <w:right w:val="single" w:sz="4" w:space="0" w:color="auto"/>
            </w:tcBorders>
            <w:noWrap/>
            <w:vAlign w:val="bottom"/>
            <w:hideMark/>
          </w:tcPr>
          <w:p w14:paraId="5DAC723A" w14:textId="77777777" w:rsidR="00086875" w:rsidRPr="00086875" w:rsidRDefault="00086875" w:rsidP="00086875">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 </w:t>
            </w:r>
          </w:p>
        </w:tc>
        <w:tc>
          <w:tcPr>
            <w:tcW w:w="1653" w:type="dxa"/>
            <w:tcBorders>
              <w:top w:val="nil"/>
              <w:left w:val="nil"/>
              <w:bottom w:val="single" w:sz="4" w:space="0" w:color="auto"/>
              <w:right w:val="single" w:sz="4" w:space="0" w:color="auto"/>
            </w:tcBorders>
            <w:noWrap/>
            <w:vAlign w:val="bottom"/>
            <w:hideMark/>
          </w:tcPr>
          <w:p w14:paraId="3BA6FF06" w14:textId="77777777" w:rsidR="00086875" w:rsidRPr="00086875" w:rsidRDefault="00086875" w:rsidP="00086875">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(1)</w:t>
            </w:r>
          </w:p>
        </w:tc>
        <w:tc>
          <w:tcPr>
            <w:tcW w:w="1578" w:type="dxa"/>
            <w:tcBorders>
              <w:top w:val="nil"/>
              <w:left w:val="nil"/>
              <w:bottom w:val="single" w:sz="4" w:space="0" w:color="auto"/>
              <w:right w:val="single" w:sz="4" w:space="0" w:color="auto"/>
            </w:tcBorders>
            <w:noWrap/>
            <w:vAlign w:val="bottom"/>
            <w:hideMark/>
          </w:tcPr>
          <w:p w14:paraId="10926EDC" w14:textId="77777777" w:rsidR="00086875" w:rsidRPr="00086875" w:rsidRDefault="00086875" w:rsidP="00086875">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(2)</w:t>
            </w:r>
          </w:p>
        </w:tc>
        <w:tc>
          <w:tcPr>
            <w:tcW w:w="1578" w:type="dxa"/>
            <w:tcBorders>
              <w:top w:val="nil"/>
              <w:left w:val="nil"/>
              <w:bottom w:val="single" w:sz="4" w:space="0" w:color="auto"/>
              <w:right w:val="single" w:sz="4" w:space="0" w:color="auto"/>
            </w:tcBorders>
            <w:noWrap/>
            <w:vAlign w:val="bottom"/>
            <w:hideMark/>
          </w:tcPr>
          <w:p w14:paraId="5CB3B40E" w14:textId="77777777" w:rsidR="00086875" w:rsidRPr="00086875" w:rsidRDefault="00086875" w:rsidP="00086875">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(3)</w:t>
            </w:r>
          </w:p>
        </w:tc>
        <w:tc>
          <w:tcPr>
            <w:tcW w:w="1671" w:type="dxa"/>
            <w:tcBorders>
              <w:top w:val="nil"/>
              <w:left w:val="nil"/>
              <w:bottom w:val="single" w:sz="4" w:space="0" w:color="auto"/>
              <w:right w:val="single" w:sz="4" w:space="0" w:color="auto"/>
            </w:tcBorders>
            <w:noWrap/>
            <w:vAlign w:val="bottom"/>
            <w:hideMark/>
          </w:tcPr>
          <w:p w14:paraId="750F5785" w14:textId="77777777" w:rsidR="00086875" w:rsidRPr="00086875" w:rsidRDefault="00086875" w:rsidP="00086875">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(4)</w:t>
            </w:r>
          </w:p>
        </w:tc>
        <w:tc>
          <w:tcPr>
            <w:tcW w:w="991" w:type="dxa"/>
            <w:tcBorders>
              <w:top w:val="nil"/>
              <w:left w:val="nil"/>
              <w:bottom w:val="single" w:sz="4" w:space="0" w:color="auto"/>
              <w:right w:val="single" w:sz="4" w:space="0" w:color="auto"/>
            </w:tcBorders>
            <w:noWrap/>
            <w:vAlign w:val="bottom"/>
            <w:hideMark/>
          </w:tcPr>
          <w:p w14:paraId="689D92BC" w14:textId="77777777" w:rsidR="00086875" w:rsidRPr="00086875" w:rsidRDefault="00086875" w:rsidP="00086875">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(5)</w:t>
            </w:r>
          </w:p>
        </w:tc>
        <w:tc>
          <w:tcPr>
            <w:tcW w:w="891" w:type="dxa"/>
            <w:tcBorders>
              <w:top w:val="nil"/>
              <w:left w:val="nil"/>
              <w:bottom w:val="single" w:sz="4" w:space="0" w:color="auto"/>
              <w:right w:val="single" w:sz="4" w:space="0" w:color="auto"/>
            </w:tcBorders>
            <w:noWrap/>
            <w:vAlign w:val="bottom"/>
            <w:hideMark/>
          </w:tcPr>
          <w:p w14:paraId="0013153C" w14:textId="77777777" w:rsidR="00086875" w:rsidRPr="00086875" w:rsidRDefault="00086875" w:rsidP="00086875">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(6)</w:t>
            </w:r>
          </w:p>
        </w:tc>
      </w:tr>
      <w:tr w:rsidR="00086875" w:rsidRPr="00086875" w14:paraId="70FF4D69" w14:textId="77777777" w:rsidTr="00086875">
        <w:trPr>
          <w:trHeight w:val="281"/>
        </w:trPr>
        <w:tc>
          <w:tcPr>
            <w:tcW w:w="3436" w:type="dxa"/>
            <w:tcBorders>
              <w:top w:val="single" w:sz="4" w:space="0" w:color="auto"/>
              <w:left w:val="single" w:sz="4" w:space="0" w:color="auto"/>
              <w:bottom w:val="single" w:sz="4" w:space="0" w:color="auto"/>
              <w:right w:val="single" w:sz="4" w:space="0" w:color="auto"/>
            </w:tcBorders>
            <w:noWrap/>
            <w:vAlign w:val="bottom"/>
            <w:hideMark/>
          </w:tcPr>
          <w:p w14:paraId="7B872FEB" w14:textId="77777777" w:rsidR="00086875" w:rsidRPr="00086875" w:rsidRDefault="00086875" w:rsidP="00086875">
            <w:pPr>
              <w:spacing w:after="0" w:line="240" w:lineRule="auto"/>
              <w:rPr>
                <w:rFonts w:ascii="Calibri" w:eastAsia="Times New Roman" w:hAnsi="Calibri" w:cs="Calibri"/>
                <w:color w:val="000000"/>
                <w:lang w:eastAsia="hr-HR"/>
              </w:rPr>
            </w:pPr>
            <w:r w:rsidRPr="00086875">
              <w:rPr>
                <w:rFonts w:ascii="Calibri" w:eastAsia="Times New Roman" w:hAnsi="Calibri" w:cs="Calibri"/>
                <w:color w:val="000000"/>
                <w:lang w:eastAsia="hr-HR"/>
              </w:rPr>
              <w:t xml:space="preserve">Opće javne usluge </w:t>
            </w:r>
          </w:p>
        </w:tc>
        <w:tc>
          <w:tcPr>
            <w:tcW w:w="1653" w:type="dxa"/>
            <w:tcBorders>
              <w:top w:val="nil"/>
              <w:left w:val="nil"/>
              <w:bottom w:val="single" w:sz="4" w:space="0" w:color="auto"/>
              <w:right w:val="single" w:sz="4" w:space="0" w:color="auto"/>
            </w:tcBorders>
            <w:noWrap/>
            <w:vAlign w:val="bottom"/>
            <w:hideMark/>
          </w:tcPr>
          <w:p w14:paraId="0C463FCA" w14:textId="77777777" w:rsidR="00086875" w:rsidRPr="00086875" w:rsidRDefault="00086875" w:rsidP="00086875">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3.355.488,01</w:t>
            </w:r>
          </w:p>
        </w:tc>
        <w:tc>
          <w:tcPr>
            <w:tcW w:w="1578" w:type="dxa"/>
            <w:tcBorders>
              <w:top w:val="nil"/>
              <w:left w:val="nil"/>
              <w:bottom w:val="single" w:sz="4" w:space="0" w:color="auto"/>
              <w:right w:val="single" w:sz="4" w:space="0" w:color="auto"/>
            </w:tcBorders>
            <w:noWrap/>
            <w:vAlign w:val="bottom"/>
            <w:hideMark/>
          </w:tcPr>
          <w:p w14:paraId="7E09CDC5" w14:textId="77777777" w:rsidR="00086875" w:rsidRPr="00086875" w:rsidRDefault="00086875" w:rsidP="00086875">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3.797.452,31</w:t>
            </w:r>
          </w:p>
        </w:tc>
        <w:tc>
          <w:tcPr>
            <w:tcW w:w="1578" w:type="dxa"/>
            <w:tcBorders>
              <w:top w:val="nil"/>
              <w:left w:val="nil"/>
              <w:bottom w:val="single" w:sz="4" w:space="0" w:color="auto"/>
              <w:right w:val="single" w:sz="4" w:space="0" w:color="auto"/>
            </w:tcBorders>
            <w:noWrap/>
            <w:vAlign w:val="bottom"/>
            <w:hideMark/>
          </w:tcPr>
          <w:p w14:paraId="5927F0E8" w14:textId="77777777" w:rsidR="00086875" w:rsidRPr="00086875" w:rsidRDefault="00086875" w:rsidP="00086875">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3.689.226,31</w:t>
            </w:r>
          </w:p>
        </w:tc>
        <w:tc>
          <w:tcPr>
            <w:tcW w:w="1671" w:type="dxa"/>
            <w:tcBorders>
              <w:top w:val="nil"/>
              <w:left w:val="nil"/>
              <w:bottom w:val="single" w:sz="4" w:space="0" w:color="auto"/>
              <w:right w:val="single" w:sz="4" w:space="0" w:color="auto"/>
            </w:tcBorders>
            <w:noWrap/>
            <w:vAlign w:val="bottom"/>
            <w:hideMark/>
          </w:tcPr>
          <w:p w14:paraId="6C51D550" w14:textId="77777777" w:rsidR="00086875" w:rsidRPr="00086875" w:rsidRDefault="00086875" w:rsidP="00086875">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3.168.472,00</w:t>
            </w:r>
          </w:p>
        </w:tc>
        <w:tc>
          <w:tcPr>
            <w:tcW w:w="991" w:type="dxa"/>
            <w:tcBorders>
              <w:top w:val="nil"/>
              <w:left w:val="nil"/>
              <w:bottom w:val="single" w:sz="4" w:space="0" w:color="auto"/>
              <w:right w:val="single" w:sz="4" w:space="0" w:color="auto"/>
            </w:tcBorders>
            <w:noWrap/>
            <w:vAlign w:val="bottom"/>
            <w:hideMark/>
          </w:tcPr>
          <w:p w14:paraId="1A714085" w14:textId="77777777" w:rsidR="00086875" w:rsidRPr="00086875" w:rsidRDefault="00086875" w:rsidP="00086875">
            <w:pPr>
              <w:spacing w:after="0" w:line="240" w:lineRule="auto"/>
              <w:jc w:val="right"/>
              <w:rPr>
                <w:rFonts w:ascii="Calibri" w:eastAsia="Times New Roman" w:hAnsi="Calibri" w:cs="Calibri"/>
                <w:color w:val="000000"/>
                <w:lang w:eastAsia="hr-HR"/>
              </w:rPr>
            </w:pPr>
            <w:r w:rsidRPr="00086875">
              <w:rPr>
                <w:rFonts w:ascii="Calibri" w:eastAsia="Times New Roman" w:hAnsi="Calibri" w:cs="Calibri"/>
                <w:color w:val="000000"/>
                <w:lang w:eastAsia="hr-HR"/>
              </w:rPr>
              <w:t>94,43%</w:t>
            </w:r>
          </w:p>
        </w:tc>
        <w:tc>
          <w:tcPr>
            <w:tcW w:w="891" w:type="dxa"/>
            <w:tcBorders>
              <w:top w:val="nil"/>
              <w:left w:val="nil"/>
              <w:bottom w:val="single" w:sz="4" w:space="0" w:color="auto"/>
              <w:right w:val="single" w:sz="4" w:space="0" w:color="auto"/>
            </w:tcBorders>
            <w:noWrap/>
            <w:vAlign w:val="bottom"/>
            <w:hideMark/>
          </w:tcPr>
          <w:p w14:paraId="05C4FBDF" w14:textId="77777777" w:rsidR="00086875" w:rsidRPr="00086875" w:rsidRDefault="00086875" w:rsidP="00086875">
            <w:pPr>
              <w:spacing w:after="0" w:line="240" w:lineRule="auto"/>
              <w:jc w:val="right"/>
              <w:rPr>
                <w:rFonts w:ascii="Calibri" w:eastAsia="Times New Roman" w:hAnsi="Calibri" w:cs="Calibri"/>
                <w:color w:val="000000"/>
                <w:lang w:eastAsia="hr-HR"/>
              </w:rPr>
            </w:pPr>
            <w:r w:rsidRPr="00086875">
              <w:rPr>
                <w:rFonts w:ascii="Calibri" w:eastAsia="Times New Roman" w:hAnsi="Calibri" w:cs="Calibri"/>
                <w:color w:val="000000"/>
                <w:lang w:eastAsia="hr-HR"/>
              </w:rPr>
              <w:t>85,88%</w:t>
            </w:r>
          </w:p>
        </w:tc>
      </w:tr>
      <w:tr w:rsidR="00086875" w:rsidRPr="00086875" w14:paraId="5E28D265" w14:textId="77777777" w:rsidTr="00086875">
        <w:trPr>
          <w:trHeight w:val="281"/>
        </w:trPr>
        <w:tc>
          <w:tcPr>
            <w:tcW w:w="3436" w:type="dxa"/>
            <w:tcBorders>
              <w:top w:val="single" w:sz="4" w:space="0" w:color="auto"/>
              <w:left w:val="single" w:sz="4" w:space="0" w:color="auto"/>
              <w:bottom w:val="single" w:sz="4" w:space="0" w:color="auto"/>
              <w:right w:val="single" w:sz="4" w:space="0" w:color="auto"/>
            </w:tcBorders>
            <w:noWrap/>
            <w:vAlign w:val="bottom"/>
            <w:hideMark/>
          </w:tcPr>
          <w:p w14:paraId="0D49A637" w14:textId="77777777" w:rsidR="00086875" w:rsidRPr="00086875" w:rsidRDefault="00086875" w:rsidP="00086875">
            <w:pPr>
              <w:spacing w:after="0" w:line="240" w:lineRule="auto"/>
              <w:rPr>
                <w:rFonts w:ascii="Calibri" w:eastAsia="Times New Roman" w:hAnsi="Calibri" w:cs="Calibri"/>
                <w:color w:val="000000"/>
                <w:lang w:eastAsia="hr-HR"/>
              </w:rPr>
            </w:pPr>
            <w:r w:rsidRPr="00086875">
              <w:rPr>
                <w:rFonts w:ascii="Calibri" w:eastAsia="Times New Roman" w:hAnsi="Calibri" w:cs="Calibri"/>
                <w:color w:val="000000"/>
                <w:lang w:eastAsia="hr-HR"/>
              </w:rPr>
              <w:t>Javni red i sigurnost</w:t>
            </w:r>
          </w:p>
        </w:tc>
        <w:tc>
          <w:tcPr>
            <w:tcW w:w="1653" w:type="dxa"/>
            <w:tcBorders>
              <w:top w:val="nil"/>
              <w:left w:val="nil"/>
              <w:bottom w:val="single" w:sz="4" w:space="0" w:color="auto"/>
              <w:right w:val="single" w:sz="4" w:space="0" w:color="auto"/>
            </w:tcBorders>
            <w:noWrap/>
            <w:vAlign w:val="bottom"/>
            <w:hideMark/>
          </w:tcPr>
          <w:p w14:paraId="5D7A4333" w14:textId="77777777" w:rsidR="00086875" w:rsidRPr="00086875" w:rsidRDefault="00086875" w:rsidP="00086875">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1.474.816,58</w:t>
            </w:r>
          </w:p>
        </w:tc>
        <w:tc>
          <w:tcPr>
            <w:tcW w:w="1578" w:type="dxa"/>
            <w:tcBorders>
              <w:top w:val="nil"/>
              <w:left w:val="nil"/>
              <w:bottom w:val="single" w:sz="4" w:space="0" w:color="auto"/>
              <w:right w:val="single" w:sz="4" w:space="0" w:color="auto"/>
            </w:tcBorders>
            <w:noWrap/>
            <w:vAlign w:val="bottom"/>
            <w:hideMark/>
          </w:tcPr>
          <w:p w14:paraId="3670F6B6" w14:textId="77777777" w:rsidR="00086875" w:rsidRPr="00086875" w:rsidRDefault="00086875" w:rsidP="00086875">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2.558.561,47</w:t>
            </w:r>
          </w:p>
        </w:tc>
        <w:tc>
          <w:tcPr>
            <w:tcW w:w="1578" w:type="dxa"/>
            <w:tcBorders>
              <w:top w:val="nil"/>
              <w:left w:val="nil"/>
              <w:bottom w:val="single" w:sz="4" w:space="0" w:color="auto"/>
              <w:right w:val="single" w:sz="4" w:space="0" w:color="auto"/>
            </w:tcBorders>
            <w:noWrap/>
            <w:vAlign w:val="bottom"/>
            <w:hideMark/>
          </w:tcPr>
          <w:p w14:paraId="26B56F46" w14:textId="77777777" w:rsidR="00086875" w:rsidRPr="00086875" w:rsidRDefault="00086875" w:rsidP="00086875">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2.556.561,47</w:t>
            </w:r>
          </w:p>
        </w:tc>
        <w:tc>
          <w:tcPr>
            <w:tcW w:w="1671" w:type="dxa"/>
            <w:tcBorders>
              <w:top w:val="nil"/>
              <w:left w:val="nil"/>
              <w:bottom w:val="single" w:sz="4" w:space="0" w:color="auto"/>
              <w:right w:val="single" w:sz="4" w:space="0" w:color="auto"/>
            </w:tcBorders>
            <w:noWrap/>
            <w:vAlign w:val="bottom"/>
            <w:hideMark/>
          </w:tcPr>
          <w:p w14:paraId="197A8B07" w14:textId="77777777" w:rsidR="00086875" w:rsidRPr="00086875" w:rsidRDefault="00086875" w:rsidP="00086875">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1.651.861,45</w:t>
            </w:r>
          </w:p>
        </w:tc>
        <w:tc>
          <w:tcPr>
            <w:tcW w:w="991" w:type="dxa"/>
            <w:tcBorders>
              <w:top w:val="nil"/>
              <w:left w:val="nil"/>
              <w:bottom w:val="single" w:sz="4" w:space="0" w:color="auto"/>
              <w:right w:val="single" w:sz="4" w:space="0" w:color="auto"/>
            </w:tcBorders>
            <w:noWrap/>
            <w:vAlign w:val="bottom"/>
            <w:hideMark/>
          </w:tcPr>
          <w:p w14:paraId="0D3440AC" w14:textId="77777777" w:rsidR="00086875" w:rsidRPr="00086875" w:rsidRDefault="00086875" w:rsidP="00086875">
            <w:pPr>
              <w:spacing w:after="0" w:line="240" w:lineRule="auto"/>
              <w:jc w:val="right"/>
              <w:rPr>
                <w:rFonts w:ascii="Calibri" w:eastAsia="Times New Roman" w:hAnsi="Calibri" w:cs="Calibri"/>
                <w:color w:val="000000"/>
                <w:lang w:eastAsia="hr-HR"/>
              </w:rPr>
            </w:pPr>
            <w:r w:rsidRPr="00086875">
              <w:rPr>
                <w:rFonts w:ascii="Calibri" w:eastAsia="Times New Roman" w:hAnsi="Calibri" w:cs="Calibri"/>
                <w:color w:val="000000"/>
                <w:lang w:eastAsia="hr-HR"/>
              </w:rPr>
              <w:t>112,00%</w:t>
            </w:r>
          </w:p>
        </w:tc>
        <w:tc>
          <w:tcPr>
            <w:tcW w:w="891" w:type="dxa"/>
            <w:tcBorders>
              <w:top w:val="nil"/>
              <w:left w:val="nil"/>
              <w:bottom w:val="single" w:sz="4" w:space="0" w:color="auto"/>
              <w:right w:val="single" w:sz="4" w:space="0" w:color="auto"/>
            </w:tcBorders>
            <w:noWrap/>
            <w:vAlign w:val="bottom"/>
            <w:hideMark/>
          </w:tcPr>
          <w:p w14:paraId="28A1B1A5" w14:textId="77777777" w:rsidR="00086875" w:rsidRPr="00086875" w:rsidRDefault="00086875" w:rsidP="00086875">
            <w:pPr>
              <w:spacing w:after="0" w:line="240" w:lineRule="auto"/>
              <w:jc w:val="right"/>
              <w:rPr>
                <w:rFonts w:ascii="Calibri" w:eastAsia="Times New Roman" w:hAnsi="Calibri" w:cs="Calibri"/>
                <w:color w:val="000000"/>
                <w:lang w:eastAsia="hr-HR"/>
              </w:rPr>
            </w:pPr>
            <w:r w:rsidRPr="00086875">
              <w:rPr>
                <w:rFonts w:ascii="Calibri" w:eastAsia="Times New Roman" w:hAnsi="Calibri" w:cs="Calibri"/>
                <w:color w:val="000000"/>
                <w:lang w:eastAsia="hr-HR"/>
              </w:rPr>
              <w:t>64,61%</w:t>
            </w:r>
          </w:p>
        </w:tc>
      </w:tr>
      <w:tr w:rsidR="00086875" w:rsidRPr="00086875" w14:paraId="3B448906" w14:textId="77777777" w:rsidTr="00086875">
        <w:trPr>
          <w:trHeight w:val="281"/>
        </w:trPr>
        <w:tc>
          <w:tcPr>
            <w:tcW w:w="3436" w:type="dxa"/>
            <w:tcBorders>
              <w:top w:val="single" w:sz="4" w:space="0" w:color="auto"/>
              <w:left w:val="single" w:sz="4" w:space="0" w:color="auto"/>
              <w:bottom w:val="single" w:sz="4" w:space="0" w:color="auto"/>
              <w:right w:val="single" w:sz="4" w:space="0" w:color="auto"/>
            </w:tcBorders>
            <w:noWrap/>
            <w:vAlign w:val="bottom"/>
            <w:hideMark/>
          </w:tcPr>
          <w:p w14:paraId="5F1C4328" w14:textId="77777777" w:rsidR="00086875" w:rsidRPr="00086875" w:rsidRDefault="00086875" w:rsidP="00086875">
            <w:pPr>
              <w:spacing w:after="0" w:line="240" w:lineRule="auto"/>
              <w:rPr>
                <w:rFonts w:ascii="Calibri" w:eastAsia="Times New Roman" w:hAnsi="Calibri" w:cs="Calibri"/>
                <w:color w:val="000000"/>
                <w:lang w:eastAsia="hr-HR"/>
              </w:rPr>
            </w:pPr>
            <w:r w:rsidRPr="00086875">
              <w:rPr>
                <w:rFonts w:ascii="Calibri" w:eastAsia="Times New Roman" w:hAnsi="Calibri" w:cs="Calibri"/>
                <w:color w:val="000000"/>
                <w:lang w:eastAsia="hr-HR"/>
              </w:rPr>
              <w:t>Ekonomski poslovi</w:t>
            </w:r>
          </w:p>
        </w:tc>
        <w:tc>
          <w:tcPr>
            <w:tcW w:w="1653" w:type="dxa"/>
            <w:tcBorders>
              <w:top w:val="nil"/>
              <w:left w:val="nil"/>
              <w:bottom w:val="single" w:sz="4" w:space="0" w:color="auto"/>
              <w:right w:val="single" w:sz="4" w:space="0" w:color="auto"/>
            </w:tcBorders>
            <w:noWrap/>
            <w:vAlign w:val="bottom"/>
            <w:hideMark/>
          </w:tcPr>
          <w:p w14:paraId="5A4946E5" w14:textId="77777777" w:rsidR="00086875" w:rsidRPr="00086875" w:rsidRDefault="00086875" w:rsidP="00086875">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928.876,67</w:t>
            </w:r>
          </w:p>
        </w:tc>
        <w:tc>
          <w:tcPr>
            <w:tcW w:w="1578" w:type="dxa"/>
            <w:tcBorders>
              <w:top w:val="nil"/>
              <w:left w:val="nil"/>
              <w:bottom w:val="single" w:sz="4" w:space="0" w:color="auto"/>
              <w:right w:val="single" w:sz="4" w:space="0" w:color="auto"/>
            </w:tcBorders>
            <w:noWrap/>
            <w:vAlign w:val="bottom"/>
            <w:hideMark/>
          </w:tcPr>
          <w:p w14:paraId="4831B893" w14:textId="77777777" w:rsidR="00086875" w:rsidRPr="00086875" w:rsidRDefault="00086875" w:rsidP="00086875">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2.429.000,00</w:t>
            </w:r>
          </w:p>
        </w:tc>
        <w:tc>
          <w:tcPr>
            <w:tcW w:w="1578" w:type="dxa"/>
            <w:tcBorders>
              <w:top w:val="nil"/>
              <w:left w:val="nil"/>
              <w:bottom w:val="single" w:sz="4" w:space="0" w:color="auto"/>
              <w:right w:val="single" w:sz="4" w:space="0" w:color="auto"/>
            </w:tcBorders>
            <w:noWrap/>
            <w:vAlign w:val="bottom"/>
            <w:hideMark/>
          </w:tcPr>
          <w:p w14:paraId="3682C322" w14:textId="77777777" w:rsidR="00086875" w:rsidRPr="00086875" w:rsidRDefault="00086875" w:rsidP="00086875">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2.376.750,00</w:t>
            </w:r>
          </w:p>
        </w:tc>
        <w:tc>
          <w:tcPr>
            <w:tcW w:w="1671" w:type="dxa"/>
            <w:tcBorders>
              <w:top w:val="nil"/>
              <w:left w:val="nil"/>
              <w:bottom w:val="single" w:sz="4" w:space="0" w:color="auto"/>
              <w:right w:val="single" w:sz="4" w:space="0" w:color="auto"/>
            </w:tcBorders>
            <w:noWrap/>
            <w:vAlign w:val="bottom"/>
            <w:hideMark/>
          </w:tcPr>
          <w:p w14:paraId="5184C020" w14:textId="77777777" w:rsidR="00086875" w:rsidRPr="00086875" w:rsidRDefault="00086875" w:rsidP="00086875">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1.778.397,51</w:t>
            </w:r>
          </w:p>
        </w:tc>
        <w:tc>
          <w:tcPr>
            <w:tcW w:w="991" w:type="dxa"/>
            <w:tcBorders>
              <w:top w:val="nil"/>
              <w:left w:val="nil"/>
              <w:bottom w:val="single" w:sz="4" w:space="0" w:color="auto"/>
              <w:right w:val="single" w:sz="4" w:space="0" w:color="auto"/>
            </w:tcBorders>
            <w:noWrap/>
            <w:vAlign w:val="bottom"/>
            <w:hideMark/>
          </w:tcPr>
          <w:p w14:paraId="6CCB5E1E" w14:textId="77777777" w:rsidR="00086875" w:rsidRPr="00086875" w:rsidRDefault="00086875" w:rsidP="00086875">
            <w:pPr>
              <w:spacing w:after="0" w:line="240" w:lineRule="auto"/>
              <w:jc w:val="right"/>
              <w:rPr>
                <w:rFonts w:ascii="Calibri" w:eastAsia="Times New Roman" w:hAnsi="Calibri" w:cs="Calibri"/>
                <w:color w:val="000000"/>
                <w:lang w:eastAsia="hr-HR"/>
              </w:rPr>
            </w:pPr>
            <w:r w:rsidRPr="00086875">
              <w:rPr>
                <w:rFonts w:ascii="Calibri" w:eastAsia="Times New Roman" w:hAnsi="Calibri" w:cs="Calibri"/>
                <w:color w:val="000000"/>
                <w:lang w:eastAsia="hr-HR"/>
              </w:rPr>
              <w:t>191,46%</w:t>
            </w:r>
          </w:p>
        </w:tc>
        <w:tc>
          <w:tcPr>
            <w:tcW w:w="891" w:type="dxa"/>
            <w:tcBorders>
              <w:top w:val="nil"/>
              <w:left w:val="nil"/>
              <w:bottom w:val="single" w:sz="4" w:space="0" w:color="auto"/>
              <w:right w:val="single" w:sz="4" w:space="0" w:color="auto"/>
            </w:tcBorders>
            <w:noWrap/>
            <w:vAlign w:val="bottom"/>
            <w:hideMark/>
          </w:tcPr>
          <w:p w14:paraId="50E6A493" w14:textId="77777777" w:rsidR="00086875" w:rsidRPr="00086875" w:rsidRDefault="00086875" w:rsidP="00086875">
            <w:pPr>
              <w:spacing w:after="0" w:line="240" w:lineRule="auto"/>
              <w:jc w:val="right"/>
              <w:rPr>
                <w:rFonts w:ascii="Calibri" w:eastAsia="Times New Roman" w:hAnsi="Calibri" w:cs="Calibri"/>
                <w:color w:val="000000"/>
                <w:lang w:eastAsia="hr-HR"/>
              </w:rPr>
            </w:pPr>
            <w:r w:rsidRPr="00086875">
              <w:rPr>
                <w:rFonts w:ascii="Calibri" w:eastAsia="Times New Roman" w:hAnsi="Calibri" w:cs="Calibri"/>
                <w:color w:val="000000"/>
                <w:lang w:eastAsia="hr-HR"/>
              </w:rPr>
              <w:t>74,82%</w:t>
            </w:r>
          </w:p>
        </w:tc>
      </w:tr>
      <w:tr w:rsidR="00086875" w:rsidRPr="00086875" w14:paraId="4CF28523" w14:textId="77777777" w:rsidTr="00086875">
        <w:trPr>
          <w:trHeight w:val="281"/>
        </w:trPr>
        <w:tc>
          <w:tcPr>
            <w:tcW w:w="3436" w:type="dxa"/>
            <w:tcBorders>
              <w:top w:val="single" w:sz="4" w:space="0" w:color="auto"/>
              <w:left w:val="single" w:sz="4" w:space="0" w:color="auto"/>
              <w:bottom w:val="single" w:sz="4" w:space="0" w:color="auto"/>
              <w:right w:val="single" w:sz="4" w:space="0" w:color="auto"/>
            </w:tcBorders>
            <w:noWrap/>
            <w:vAlign w:val="bottom"/>
            <w:hideMark/>
          </w:tcPr>
          <w:p w14:paraId="4F497B0D" w14:textId="77777777" w:rsidR="00086875" w:rsidRPr="00086875" w:rsidRDefault="00086875" w:rsidP="00086875">
            <w:pPr>
              <w:spacing w:after="0" w:line="240" w:lineRule="auto"/>
              <w:rPr>
                <w:rFonts w:ascii="Calibri" w:eastAsia="Times New Roman" w:hAnsi="Calibri" w:cs="Calibri"/>
                <w:color w:val="000000"/>
                <w:lang w:eastAsia="hr-HR"/>
              </w:rPr>
            </w:pPr>
            <w:r w:rsidRPr="00086875">
              <w:rPr>
                <w:rFonts w:ascii="Calibri" w:eastAsia="Times New Roman" w:hAnsi="Calibri" w:cs="Calibri"/>
                <w:color w:val="000000"/>
                <w:lang w:eastAsia="hr-HR"/>
              </w:rPr>
              <w:t>Zaštita okoliša</w:t>
            </w:r>
          </w:p>
        </w:tc>
        <w:tc>
          <w:tcPr>
            <w:tcW w:w="1653" w:type="dxa"/>
            <w:tcBorders>
              <w:top w:val="nil"/>
              <w:left w:val="nil"/>
              <w:bottom w:val="single" w:sz="4" w:space="0" w:color="auto"/>
              <w:right w:val="single" w:sz="4" w:space="0" w:color="auto"/>
            </w:tcBorders>
            <w:noWrap/>
            <w:vAlign w:val="bottom"/>
            <w:hideMark/>
          </w:tcPr>
          <w:p w14:paraId="510293B0" w14:textId="77777777" w:rsidR="00086875" w:rsidRPr="00086875" w:rsidRDefault="00086875" w:rsidP="00086875">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68.869,48</w:t>
            </w:r>
          </w:p>
        </w:tc>
        <w:tc>
          <w:tcPr>
            <w:tcW w:w="1578" w:type="dxa"/>
            <w:tcBorders>
              <w:top w:val="nil"/>
              <w:left w:val="nil"/>
              <w:bottom w:val="single" w:sz="4" w:space="0" w:color="auto"/>
              <w:right w:val="single" w:sz="4" w:space="0" w:color="auto"/>
            </w:tcBorders>
            <w:noWrap/>
            <w:vAlign w:val="bottom"/>
            <w:hideMark/>
          </w:tcPr>
          <w:p w14:paraId="6AE8AB57" w14:textId="77777777" w:rsidR="00086875" w:rsidRPr="00086875" w:rsidRDefault="00086875" w:rsidP="00086875">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153.750,00</w:t>
            </w:r>
          </w:p>
        </w:tc>
        <w:tc>
          <w:tcPr>
            <w:tcW w:w="1578" w:type="dxa"/>
            <w:tcBorders>
              <w:top w:val="nil"/>
              <w:left w:val="nil"/>
              <w:bottom w:val="single" w:sz="4" w:space="0" w:color="auto"/>
              <w:right w:val="single" w:sz="4" w:space="0" w:color="auto"/>
            </w:tcBorders>
            <w:noWrap/>
            <w:vAlign w:val="bottom"/>
            <w:hideMark/>
          </w:tcPr>
          <w:p w14:paraId="7B0211BA" w14:textId="77777777" w:rsidR="00086875" w:rsidRPr="00086875" w:rsidRDefault="00086875" w:rsidP="00086875">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153.750,00</w:t>
            </w:r>
          </w:p>
        </w:tc>
        <w:tc>
          <w:tcPr>
            <w:tcW w:w="1671" w:type="dxa"/>
            <w:tcBorders>
              <w:top w:val="nil"/>
              <w:left w:val="nil"/>
              <w:bottom w:val="single" w:sz="4" w:space="0" w:color="auto"/>
              <w:right w:val="single" w:sz="4" w:space="0" w:color="auto"/>
            </w:tcBorders>
            <w:noWrap/>
            <w:vAlign w:val="bottom"/>
            <w:hideMark/>
          </w:tcPr>
          <w:p w14:paraId="196F06C8" w14:textId="77777777" w:rsidR="00086875" w:rsidRPr="00086875" w:rsidRDefault="00086875" w:rsidP="00086875">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98.567,63</w:t>
            </w:r>
          </w:p>
        </w:tc>
        <w:tc>
          <w:tcPr>
            <w:tcW w:w="991" w:type="dxa"/>
            <w:tcBorders>
              <w:top w:val="nil"/>
              <w:left w:val="nil"/>
              <w:bottom w:val="single" w:sz="4" w:space="0" w:color="auto"/>
              <w:right w:val="single" w:sz="4" w:space="0" w:color="auto"/>
            </w:tcBorders>
            <w:noWrap/>
            <w:vAlign w:val="bottom"/>
            <w:hideMark/>
          </w:tcPr>
          <w:p w14:paraId="5363E406" w14:textId="77777777" w:rsidR="00086875" w:rsidRPr="00086875" w:rsidRDefault="00086875" w:rsidP="00086875">
            <w:pPr>
              <w:spacing w:after="0" w:line="240" w:lineRule="auto"/>
              <w:jc w:val="right"/>
              <w:rPr>
                <w:rFonts w:ascii="Calibri" w:eastAsia="Times New Roman" w:hAnsi="Calibri" w:cs="Calibri"/>
                <w:color w:val="000000"/>
                <w:lang w:eastAsia="hr-HR"/>
              </w:rPr>
            </w:pPr>
            <w:r w:rsidRPr="00086875">
              <w:rPr>
                <w:rFonts w:ascii="Calibri" w:eastAsia="Times New Roman" w:hAnsi="Calibri" w:cs="Calibri"/>
                <w:color w:val="000000"/>
                <w:lang w:eastAsia="hr-HR"/>
              </w:rPr>
              <w:t>143,12%</w:t>
            </w:r>
          </w:p>
        </w:tc>
        <w:tc>
          <w:tcPr>
            <w:tcW w:w="891" w:type="dxa"/>
            <w:tcBorders>
              <w:top w:val="nil"/>
              <w:left w:val="nil"/>
              <w:bottom w:val="single" w:sz="4" w:space="0" w:color="auto"/>
              <w:right w:val="single" w:sz="4" w:space="0" w:color="auto"/>
            </w:tcBorders>
            <w:noWrap/>
            <w:vAlign w:val="bottom"/>
            <w:hideMark/>
          </w:tcPr>
          <w:p w14:paraId="3A2F8AF4" w14:textId="77777777" w:rsidR="00086875" w:rsidRPr="00086875" w:rsidRDefault="00086875" w:rsidP="00086875">
            <w:pPr>
              <w:spacing w:after="0" w:line="240" w:lineRule="auto"/>
              <w:jc w:val="right"/>
              <w:rPr>
                <w:rFonts w:ascii="Calibri" w:eastAsia="Times New Roman" w:hAnsi="Calibri" w:cs="Calibri"/>
                <w:color w:val="000000"/>
                <w:lang w:eastAsia="hr-HR"/>
              </w:rPr>
            </w:pPr>
            <w:r w:rsidRPr="00086875">
              <w:rPr>
                <w:rFonts w:ascii="Calibri" w:eastAsia="Times New Roman" w:hAnsi="Calibri" w:cs="Calibri"/>
                <w:color w:val="000000"/>
                <w:lang w:eastAsia="hr-HR"/>
              </w:rPr>
              <w:t>64,11%</w:t>
            </w:r>
          </w:p>
        </w:tc>
      </w:tr>
      <w:tr w:rsidR="00086875" w:rsidRPr="00086875" w14:paraId="614FED97" w14:textId="77777777" w:rsidTr="00086875">
        <w:trPr>
          <w:trHeight w:val="548"/>
        </w:trPr>
        <w:tc>
          <w:tcPr>
            <w:tcW w:w="3436" w:type="dxa"/>
            <w:tcBorders>
              <w:top w:val="single" w:sz="4" w:space="0" w:color="auto"/>
              <w:left w:val="single" w:sz="4" w:space="0" w:color="auto"/>
              <w:bottom w:val="single" w:sz="4" w:space="0" w:color="auto"/>
              <w:right w:val="single" w:sz="4" w:space="0" w:color="auto"/>
            </w:tcBorders>
            <w:vAlign w:val="bottom"/>
            <w:hideMark/>
          </w:tcPr>
          <w:p w14:paraId="0EEA6908" w14:textId="77777777" w:rsidR="00086875" w:rsidRPr="00086875" w:rsidRDefault="00086875" w:rsidP="00086875">
            <w:pPr>
              <w:spacing w:after="0" w:line="240" w:lineRule="auto"/>
              <w:rPr>
                <w:rFonts w:ascii="Calibri" w:eastAsia="Times New Roman" w:hAnsi="Calibri" w:cs="Calibri"/>
                <w:color w:val="000000"/>
                <w:lang w:eastAsia="hr-HR"/>
              </w:rPr>
            </w:pPr>
            <w:r w:rsidRPr="00086875">
              <w:rPr>
                <w:rFonts w:ascii="Calibri" w:eastAsia="Times New Roman" w:hAnsi="Calibri" w:cs="Calibri"/>
                <w:color w:val="000000"/>
                <w:lang w:eastAsia="hr-HR"/>
              </w:rPr>
              <w:t>Usluge unaprjeđenja stanovanja i zajednice</w:t>
            </w:r>
          </w:p>
        </w:tc>
        <w:tc>
          <w:tcPr>
            <w:tcW w:w="1653" w:type="dxa"/>
            <w:tcBorders>
              <w:top w:val="nil"/>
              <w:left w:val="nil"/>
              <w:bottom w:val="single" w:sz="4" w:space="0" w:color="auto"/>
              <w:right w:val="single" w:sz="4" w:space="0" w:color="auto"/>
            </w:tcBorders>
            <w:noWrap/>
            <w:vAlign w:val="bottom"/>
            <w:hideMark/>
          </w:tcPr>
          <w:p w14:paraId="51CC1F2A" w14:textId="77777777" w:rsidR="00086875" w:rsidRPr="00086875" w:rsidRDefault="00086875" w:rsidP="00086875">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6.581.859,72</w:t>
            </w:r>
          </w:p>
        </w:tc>
        <w:tc>
          <w:tcPr>
            <w:tcW w:w="1578" w:type="dxa"/>
            <w:tcBorders>
              <w:top w:val="nil"/>
              <w:left w:val="nil"/>
              <w:bottom w:val="single" w:sz="4" w:space="0" w:color="auto"/>
              <w:right w:val="single" w:sz="4" w:space="0" w:color="auto"/>
            </w:tcBorders>
            <w:noWrap/>
            <w:vAlign w:val="bottom"/>
            <w:hideMark/>
          </w:tcPr>
          <w:p w14:paraId="1ED45E22" w14:textId="77777777" w:rsidR="00086875" w:rsidRPr="00086875" w:rsidRDefault="00086875" w:rsidP="00086875">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10.025.855,31</w:t>
            </w:r>
          </w:p>
        </w:tc>
        <w:tc>
          <w:tcPr>
            <w:tcW w:w="1578" w:type="dxa"/>
            <w:tcBorders>
              <w:top w:val="nil"/>
              <w:left w:val="nil"/>
              <w:bottom w:val="single" w:sz="4" w:space="0" w:color="auto"/>
              <w:right w:val="single" w:sz="4" w:space="0" w:color="auto"/>
            </w:tcBorders>
            <w:noWrap/>
            <w:vAlign w:val="bottom"/>
            <w:hideMark/>
          </w:tcPr>
          <w:p w14:paraId="542C09F4" w14:textId="77777777" w:rsidR="00086875" w:rsidRPr="00086875" w:rsidRDefault="00086875" w:rsidP="00086875">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10.088.872,31</w:t>
            </w:r>
          </w:p>
        </w:tc>
        <w:tc>
          <w:tcPr>
            <w:tcW w:w="1671" w:type="dxa"/>
            <w:tcBorders>
              <w:top w:val="nil"/>
              <w:left w:val="nil"/>
              <w:bottom w:val="single" w:sz="4" w:space="0" w:color="auto"/>
              <w:right w:val="single" w:sz="4" w:space="0" w:color="auto"/>
            </w:tcBorders>
            <w:noWrap/>
            <w:vAlign w:val="bottom"/>
            <w:hideMark/>
          </w:tcPr>
          <w:p w14:paraId="3886BA0C" w14:textId="77777777" w:rsidR="00086875" w:rsidRPr="00086875" w:rsidRDefault="00086875" w:rsidP="00086875">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7.130.408,11</w:t>
            </w:r>
          </w:p>
        </w:tc>
        <w:tc>
          <w:tcPr>
            <w:tcW w:w="991" w:type="dxa"/>
            <w:tcBorders>
              <w:top w:val="nil"/>
              <w:left w:val="nil"/>
              <w:bottom w:val="single" w:sz="4" w:space="0" w:color="auto"/>
              <w:right w:val="single" w:sz="4" w:space="0" w:color="auto"/>
            </w:tcBorders>
            <w:noWrap/>
            <w:vAlign w:val="bottom"/>
            <w:hideMark/>
          </w:tcPr>
          <w:p w14:paraId="239C211F" w14:textId="77777777" w:rsidR="00086875" w:rsidRPr="00086875" w:rsidRDefault="00086875" w:rsidP="00086875">
            <w:pPr>
              <w:spacing w:after="0" w:line="240" w:lineRule="auto"/>
              <w:jc w:val="right"/>
              <w:rPr>
                <w:rFonts w:ascii="Calibri" w:eastAsia="Times New Roman" w:hAnsi="Calibri" w:cs="Calibri"/>
                <w:color w:val="000000"/>
                <w:lang w:eastAsia="hr-HR"/>
              </w:rPr>
            </w:pPr>
            <w:r w:rsidRPr="00086875">
              <w:rPr>
                <w:rFonts w:ascii="Calibri" w:eastAsia="Times New Roman" w:hAnsi="Calibri" w:cs="Calibri"/>
                <w:color w:val="000000"/>
                <w:lang w:eastAsia="hr-HR"/>
              </w:rPr>
              <w:t>108,33%</w:t>
            </w:r>
          </w:p>
        </w:tc>
        <w:tc>
          <w:tcPr>
            <w:tcW w:w="891" w:type="dxa"/>
            <w:tcBorders>
              <w:top w:val="nil"/>
              <w:left w:val="nil"/>
              <w:bottom w:val="single" w:sz="4" w:space="0" w:color="auto"/>
              <w:right w:val="single" w:sz="4" w:space="0" w:color="auto"/>
            </w:tcBorders>
            <w:noWrap/>
            <w:vAlign w:val="bottom"/>
            <w:hideMark/>
          </w:tcPr>
          <w:p w14:paraId="37AF7608" w14:textId="77777777" w:rsidR="00086875" w:rsidRPr="00086875" w:rsidRDefault="00086875" w:rsidP="00086875">
            <w:pPr>
              <w:spacing w:after="0" w:line="240" w:lineRule="auto"/>
              <w:jc w:val="right"/>
              <w:rPr>
                <w:rFonts w:ascii="Calibri" w:eastAsia="Times New Roman" w:hAnsi="Calibri" w:cs="Calibri"/>
                <w:color w:val="000000"/>
                <w:lang w:eastAsia="hr-HR"/>
              </w:rPr>
            </w:pPr>
            <w:r w:rsidRPr="00086875">
              <w:rPr>
                <w:rFonts w:ascii="Calibri" w:eastAsia="Times New Roman" w:hAnsi="Calibri" w:cs="Calibri"/>
                <w:color w:val="000000"/>
                <w:lang w:eastAsia="hr-HR"/>
              </w:rPr>
              <w:t>70,68%</w:t>
            </w:r>
          </w:p>
        </w:tc>
      </w:tr>
      <w:tr w:rsidR="00086875" w:rsidRPr="00086875" w14:paraId="77D43978" w14:textId="77777777" w:rsidTr="00086875">
        <w:trPr>
          <w:trHeight w:val="281"/>
        </w:trPr>
        <w:tc>
          <w:tcPr>
            <w:tcW w:w="3436" w:type="dxa"/>
            <w:tcBorders>
              <w:top w:val="single" w:sz="4" w:space="0" w:color="auto"/>
              <w:left w:val="single" w:sz="4" w:space="0" w:color="auto"/>
              <w:bottom w:val="single" w:sz="4" w:space="0" w:color="auto"/>
              <w:right w:val="single" w:sz="4" w:space="0" w:color="auto"/>
            </w:tcBorders>
            <w:noWrap/>
            <w:vAlign w:val="bottom"/>
            <w:hideMark/>
          </w:tcPr>
          <w:p w14:paraId="525AAE25" w14:textId="77777777" w:rsidR="00086875" w:rsidRPr="00086875" w:rsidRDefault="00086875" w:rsidP="00086875">
            <w:pPr>
              <w:spacing w:after="0" w:line="240" w:lineRule="auto"/>
              <w:rPr>
                <w:rFonts w:ascii="Calibri" w:eastAsia="Times New Roman" w:hAnsi="Calibri" w:cs="Calibri"/>
                <w:color w:val="000000"/>
                <w:lang w:eastAsia="hr-HR"/>
              </w:rPr>
            </w:pPr>
            <w:r w:rsidRPr="00086875">
              <w:rPr>
                <w:rFonts w:ascii="Calibri" w:eastAsia="Times New Roman" w:hAnsi="Calibri" w:cs="Calibri"/>
                <w:color w:val="000000"/>
                <w:lang w:eastAsia="hr-HR"/>
              </w:rPr>
              <w:t>Zdravstvo</w:t>
            </w:r>
          </w:p>
        </w:tc>
        <w:tc>
          <w:tcPr>
            <w:tcW w:w="1653" w:type="dxa"/>
            <w:tcBorders>
              <w:top w:val="nil"/>
              <w:left w:val="nil"/>
              <w:bottom w:val="single" w:sz="4" w:space="0" w:color="auto"/>
              <w:right w:val="single" w:sz="4" w:space="0" w:color="auto"/>
            </w:tcBorders>
            <w:noWrap/>
            <w:vAlign w:val="bottom"/>
            <w:hideMark/>
          </w:tcPr>
          <w:p w14:paraId="7BD797AE" w14:textId="77777777" w:rsidR="00086875" w:rsidRPr="00086875" w:rsidRDefault="00086875" w:rsidP="00086875">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21.500,00</w:t>
            </w:r>
          </w:p>
        </w:tc>
        <w:tc>
          <w:tcPr>
            <w:tcW w:w="1578" w:type="dxa"/>
            <w:tcBorders>
              <w:top w:val="nil"/>
              <w:left w:val="nil"/>
              <w:bottom w:val="single" w:sz="4" w:space="0" w:color="auto"/>
              <w:right w:val="single" w:sz="4" w:space="0" w:color="auto"/>
            </w:tcBorders>
            <w:noWrap/>
            <w:vAlign w:val="bottom"/>
            <w:hideMark/>
          </w:tcPr>
          <w:p w14:paraId="18E2F10A" w14:textId="77777777" w:rsidR="00086875" w:rsidRPr="00086875" w:rsidRDefault="00086875" w:rsidP="00086875">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30.000,00</w:t>
            </w:r>
          </w:p>
        </w:tc>
        <w:tc>
          <w:tcPr>
            <w:tcW w:w="1578" w:type="dxa"/>
            <w:tcBorders>
              <w:top w:val="nil"/>
              <w:left w:val="nil"/>
              <w:bottom w:val="single" w:sz="4" w:space="0" w:color="auto"/>
              <w:right w:val="single" w:sz="4" w:space="0" w:color="auto"/>
            </w:tcBorders>
            <w:noWrap/>
            <w:vAlign w:val="bottom"/>
            <w:hideMark/>
          </w:tcPr>
          <w:p w14:paraId="5545C5CD" w14:textId="77777777" w:rsidR="00086875" w:rsidRPr="00086875" w:rsidRDefault="00086875" w:rsidP="00086875">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30.000,00</w:t>
            </w:r>
          </w:p>
        </w:tc>
        <w:tc>
          <w:tcPr>
            <w:tcW w:w="1671" w:type="dxa"/>
            <w:tcBorders>
              <w:top w:val="nil"/>
              <w:left w:val="nil"/>
              <w:bottom w:val="single" w:sz="4" w:space="0" w:color="auto"/>
              <w:right w:val="single" w:sz="4" w:space="0" w:color="auto"/>
            </w:tcBorders>
            <w:noWrap/>
            <w:vAlign w:val="bottom"/>
            <w:hideMark/>
          </w:tcPr>
          <w:p w14:paraId="70C23A03" w14:textId="77777777" w:rsidR="00086875" w:rsidRPr="00086875" w:rsidRDefault="00086875" w:rsidP="00086875">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23.000,00</w:t>
            </w:r>
          </w:p>
        </w:tc>
        <w:tc>
          <w:tcPr>
            <w:tcW w:w="991" w:type="dxa"/>
            <w:tcBorders>
              <w:top w:val="nil"/>
              <w:left w:val="nil"/>
              <w:bottom w:val="single" w:sz="4" w:space="0" w:color="auto"/>
              <w:right w:val="single" w:sz="4" w:space="0" w:color="auto"/>
            </w:tcBorders>
            <w:noWrap/>
            <w:vAlign w:val="bottom"/>
            <w:hideMark/>
          </w:tcPr>
          <w:p w14:paraId="66387E8C" w14:textId="77777777" w:rsidR="00086875" w:rsidRPr="00086875" w:rsidRDefault="00086875" w:rsidP="00086875">
            <w:pPr>
              <w:spacing w:after="0" w:line="240" w:lineRule="auto"/>
              <w:jc w:val="right"/>
              <w:rPr>
                <w:rFonts w:ascii="Calibri" w:eastAsia="Times New Roman" w:hAnsi="Calibri" w:cs="Calibri"/>
                <w:color w:val="000000"/>
                <w:lang w:eastAsia="hr-HR"/>
              </w:rPr>
            </w:pPr>
            <w:r w:rsidRPr="00086875">
              <w:rPr>
                <w:rFonts w:ascii="Calibri" w:eastAsia="Times New Roman" w:hAnsi="Calibri" w:cs="Calibri"/>
                <w:color w:val="000000"/>
                <w:lang w:eastAsia="hr-HR"/>
              </w:rPr>
              <w:t>106,98%</w:t>
            </w:r>
          </w:p>
        </w:tc>
        <w:tc>
          <w:tcPr>
            <w:tcW w:w="891" w:type="dxa"/>
            <w:tcBorders>
              <w:top w:val="nil"/>
              <w:left w:val="nil"/>
              <w:bottom w:val="single" w:sz="4" w:space="0" w:color="auto"/>
              <w:right w:val="single" w:sz="4" w:space="0" w:color="auto"/>
            </w:tcBorders>
            <w:noWrap/>
            <w:vAlign w:val="bottom"/>
            <w:hideMark/>
          </w:tcPr>
          <w:p w14:paraId="205BABA2" w14:textId="77777777" w:rsidR="00086875" w:rsidRPr="00086875" w:rsidRDefault="00086875" w:rsidP="00086875">
            <w:pPr>
              <w:spacing w:after="0" w:line="240" w:lineRule="auto"/>
              <w:jc w:val="right"/>
              <w:rPr>
                <w:rFonts w:ascii="Calibri" w:eastAsia="Times New Roman" w:hAnsi="Calibri" w:cs="Calibri"/>
                <w:color w:val="000000"/>
                <w:lang w:eastAsia="hr-HR"/>
              </w:rPr>
            </w:pPr>
            <w:r w:rsidRPr="00086875">
              <w:rPr>
                <w:rFonts w:ascii="Calibri" w:eastAsia="Times New Roman" w:hAnsi="Calibri" w:cs="Calibri"/>
                <w:color w:val="000000"/>
                <w:lang w:eastAsia="hr-HR"/>
              </w:rPr>
              <w:t>76,67%</w:t>
            </w:r>
          </w:p>
        </w:tc>
      </w:tr>
      <w:tr w:rsidR="00086875" w:rsidRPr="00086875" w14:paraId="08C6498D" w14:textId="77777777" w:rsidTr="00086875">
        <w:trPr>
          <w:trHeight w:val="281"/>
        </w:trPr>
        <w:tc>
          <w:tcPr>
            <w:tcW w:w="3436" w:type="dxa"/>
            <w:tcBorders>
              <w:top w:val="single" w:sz="4" w:space="0" w:color="auto"/>
              <w:left w:val="single" w:sz="4" w:space="0" w:color="auto"/>
              <w:bottom w:val="single" w:sz="4" w:space="0" w:color="auto"/>
              <w:right w:val="single" w:sz="4" w:space="0" w:color="auto"/>
            </w:tcBorders>
            <w:noWrap/>
            <w:vAlign w:val="bottom"/>
            <w:hideMark/>
          </w:tcPr>
          <w:p w14:paraId="23ADA5B5" w14:textId="77777777" w:rsidR="00086875" w:rsidRPr="00086875" w:rsidRDefault="00086875" w:rsidP="00086875">
            <w:pPr>
              <w:spacing w:after="0" w:line="240" w:lineRule="auto"/>
              <w:rPr>
                <w:rFonts w:ascii="Calibri" w:eastAsia="Times New Roman" w:hAnsi="Calibri" w:cs="Calibri"/>
                <w:color w:val="000000"/>
                <w:lang w:eastAsia="hr-HR"/>
              </w:rPr>
            </w:pPr>
            <w:r w:rsidRPr="00086875">
              <w:rPr>
                <w:rFonts w:ascii="Calibri" w:eastAsia="Times New Roman" w:hAnsi="Calibri" w:cs="Calibri"/>
                <w:color w:val="000000"/>
                <w:lang w:eastAsia="hr-HR"/>
              </w:rPr>
              <w:t>Rekreacija, kultura i religija</w:t>
            </w:r>
          </w:p>
        </w:tc>
        <w:tc>
          <w:tcPr>
            <w:tcW w:w="1653" w:type="dxa"/>
            <w:tcBorders>
              <w:top w:val="nil"/>
              <w:left w:val="nil"/>
              <w:bottom w:val="single" w:sz="4" w:space="0" w:color="auto"/>
              <w:right w:val="single" w:sz="4" w:space="0" w:color="auto"/>
            </w:tcBorders>
            <w:noWrap/>
            <w:vAlign w:val="bottom"/>
            <w:hideMark/>
          </w:tcPr>
          <w:p w14:paraId="57BAE6FF" w14:textId="77777777" w:rsidR="00086875" w:rsidRPr="00086875" w:rsidRDefault="00086875" w:rsidP="00086875">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1.514.109,36</w:t>
            </w:r>
          </w:p>
        </w:tc>
        <w:tc>
          <w:tcPr>
            <w:tcW w:w="1578" w:type="dxa"/>
            <w:tcBorders>
              <w:top w:val="nil"/>
              <w:left w:val="nil"/>
              <w:bottom w:val="single" w:sz="4" w:space="0" w:color="auto"/>
              <w:right w:val="single" w:sz="4" w:space="0" w:color="auto"/>
            </w:tcBorders>
            <w:noWrap/>
            <w:vAlign w:val="bottom"/>
            <w:hideMark/>
          </w:tcPr>
          <w:p w14:paraId="383CA119" w14:textId="77777777" w:rsidR="00086875" w:rsidRPr="00086875" w:rsidRDefault="00086875" w:rsidP="00086875">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2.059.596,00</w:t>
            </w:r>
          </w:p>
        </w:tc>
        <w:tc>
          <w:tcPr>
            <w:tcW w:w="1578" w:type="dxa"/>
            <w:tcBorders>
              <w:top w:val="nil"/>
              <w:left w:val="nil"/>
              <w:bottom w:val="single" w:sz="4" w:space="0" w:color="auto"/>
              <w:right w:val="single" w:sz="4" w:space="0" w:color="auto"/>
            </w:tcBorders>
            <w:noWrap/>
            <w:vAlign w:val="bottom"/>
            <w:hideMark/>
          </w:tcPr>
          <w:p w14:paraId="08FD1B78" w14:textId="77777777" w:rsidR="00086875" w:rsidRPr="00086875" w:rsidRDefault="00086875" w:rsidP="00086875">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2.088.731,00</w:t>
            </w:r>
          </w:p>
        </w:tc>
        <w:tc>
          <w:tcPr>
            <w:tcW w:w="1671" w:type="dxa"/>
            <w:tcBorders>
              <w:top w:val="nil"/>
              <w:left w:val="nil"/>
              <w:bottom w:val="single" w:sz="4" w:space="0" w:color="auto"/>
              <w:right w:val="single" w:sz="4" w:space="0" w:color="auto"/>
            </w:tcBorders>
            <w:noWrap/>
            <w:vAlign w:val="bottom"/>
            <w:hideMark/>
          </w:tcPr>
          <w:p w14:paraId="711386D5" w14:textId="77777777" w:rsidR="00086875" w:rsidRPr="00086875" w:rsidRDefault="00086875" w:rsidP="00086875">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2.000.669,89</w:t>
            </w:r>
          </w:p>
        </w:tc>
        <w:tc>
          <w:tcPr>
            <w:tcW w:w="991" w:type="dxa"/>
            <w:tcBorders>
              <w:top w:val="nil"/>
              <w:left w:val="nil"/>
              <w:bottom w:val="single" w:sz="4" w:space="0" w:color="auto"/>
              <w:right w:val="single" w:sz="4" w:space="0" w:color="auto"/>
            </w:tcBorders>
            <w:noWrap/>
            <w:vAlign w:val="bottom"/>
            <w:hideMark/>
          </w:tcPr>
          <w:p w14:paraId="15289B15" w14:textId="77777777" w:rsidR="00086875" w:rsidRPr="00086875" w:rsidRDefault="00086875" w:rsidP="00086875">
            <w:pPr>
              <w:spacing w:after="0" w:line="240" w:lineRule="auto"/>
              <w:jc w:val="right"/>
              <w:rPr>
                <w:rFonts w:ascii="Calibri" w:eastAsia="Times New Roman" w:hAnsi="Calibri" w:cs="Calibri"/>
                <w:color w:val="000000"/>
                <w:lang w:eastAsia="hr-HR"/>
              </w:rPr>
            </w:pPr>
            <w:r w:rsidRPr="00086875">
              <w:rPr>
                <w:rFonts w:ascii="Calibri" w:eastAsia="Times New Roman" w:hAnsi="Calibri" w:cs="Calibri"/>
                <w:color w:val="000000"/>
                <w:lang w:eastAsia="hr-HR"/>
              </w:rPr>
              <w:t>132,14%</w:t>
            </w:r>
          </w:p>
        </w:tc>
        <w:tc>
          <w:tcPr>
            <w:tcW w:w="891" w:type="dxa"/>
            <w:tcBorders>
              <w:top w:val="nil"/>
              <w:left w:val="nil"/>
              <w:bottom w:val="single" w:sz="4" w:space="0" w:color="auto"/>
              <w:right w:val="single" w:sz="4" w:space="0" w:color="auto"/>
            </w:tcBorders>
            <w:noWrap/>
            <w:vAlign w:val="bottom"/>
            <w:hideMark/>
          </w:tcPr>
          <w:p w14:paraId="51D2384A" w14:textId="77777777" w:rsidR="00086875" w:rsidRPr="00086875" w:rsidRDefault="00086875" w:rsidP="00086875">
            <w:pPr>
              <w:spacing w:after="0" w:line="240" w:lineRule="auto"/>
              <w:jc w:val="right"/>
              <w:rPr>
                <w:rFonts w:ascii="Calibri" w:eastAsia="Times New Roman" w:hAnsi="Calibri" w:cs="Calibri"/>
                <w:color w:val="000000"/>
                <w:lang w:eastAsia="hr-HR"/>
              </w:rPr>
            </w:pPr>
            <w:r w:rsidRPr="00086875">
              <w:rPr>
                <w:rFonts w:ascii="Calibri" w:eastAsia="Times New Roman" w:hAnsi="Calibri" w:cs="Calibri"/>
                <w:color w:val="000000"/>
                <w:lang w:eastAsia="hr-HR"/>
              </w:rPr>
              <w:t>95,78%</w:t>
            </w:r>
          </w:p>
        </w:tc>
      </w:tr>
      <w:tr w:rsidR="00086875" w:rsidRPr="00086875" w14:paraId="7B69788B" w14:textId="77777777" w:rsidTr="00086875">
        <w:trPr>
          <w:trHeight w:val="281"/>
        </w:trPr>
        <w:tc>
          <w:tcPr>
            <w:tcW w:w="3436" w:type="dxa"/>
            <w:tcBorders>
              <w:top w:val="single" w:sz="4" w:space="0" w:color="auto"/>
              <w:left w:val="single" w:sz="4" w:space="0" w:color="auto"/>
              <w:bottom w:val="single" w:sz="4" w:space="0" w:color="auto"/>
              <w:right w:val="single" w:sz="4" w:space="0" w:color="auto"/>
            </w:tcBorders>
            <w:noWrap/>
            <w:vAlign w:val="bottom"/>
            <w:hideMark/>
          </w:tcPr>
          <w:p w14:paraId="3A005175" w14:textId="77777777" w:rsidR="00086875" w:rsidRPr="00086875" w:rsidRDefault="00086875" w:rsidP="00086875">
            <w:pPr>
              <w:spacing w:after="0" w:line="240" w:lineRule="auto"/>
              <w:rPr>
                <w:rFonts w:ascii="Calibri" w:eastAsia="Times New Roman" w:hAnsi="Calibri" w:cs="Calibri"/>
                <w:color w:val="000000"/>
                <w:lang w:eastAsia="hr-HR"/>
              </w:rPr>
            </w:pPr>
            <w:r w:rsidRPr="00086875">
              <w:rPr>
                <w:rFonts w:ascii="Calibri" w:eastAsia="Times New Roman" w:hAnsi="Calibri" w:cs="Calibri"/>
                <w:color w:val="000000"/>
                <w:lang w:eastAsia="hr-HR"/>
              </w:rPr>
              <w:t>Obrazovanje</w:t>
            </w:r>
          </w:p>
        </w:tc>
        <w:tc>
          <w:tcPr>
            <w:tcW w:w="1653" w:type="dxa"/>
            <w:tcBorders>
              <w:top w:val="nil"/>
              <w:left w:val="nil"/>
              <w:bottom w:val="single" w:sz="4" w:space="0" w:color="auto"/>
              <w:right w:val="single" w:sz="4" w:space="0" w:color="auto"/>
            </w:tcBorders>
            <w:noWrap/>
            <w:vAlign w:val="bottom"/>
            <w:hideMark/>
          </w:tcPr>
          <w:p w14:paraId="3941C7ED" w14:textId="77777777" w:rsidR="00086875" w:rsidRPr="00086875" w:rsidRDefault="00086875" w:rsidP="00086875">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2.321.737,64</w:t>
            </w:r>
          </w:p>
        </w:tc>
        <w:tc>
          <w:tcPr>
            <w:tcW w:w="1578" w:type="dxa"/>
            <w:tcBorders>
              <w:top w:val="nil"/>
              <w:left w:val="nil"/>
              <w:bottom w:val="single" w:sz="4" w:space="0" w:color="auto"/>
              <w:right w:val="single" w:sz="4" w:space="0" w:color="auto"/>
            </w:tcBorders>
            <w:noWrap/>
            <w:vAlign w:val="bottom"/>
            <w:hideMark/>
          </w:tcPr>
          <w:p w14:paraId="2B9FA172" w14:textId="77777777" w:rsidR="00086875" w:rsidRPr="00086875" w:rsidRDefault="00086875" w:rsidP="00086875">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3.365.300,00</w:t>
            </w:r>
          </w:p>
        </w:tc>
        <w:tc>
          <w:tcPr>
            <w:tcW w:w="1578" w:type="dxa"/>
            <w:tcBorders>
              <w:top w:val="nil"/>
              <w:left w:val="nil"/>
              <w:bottom w:val="single" w:sz="4" w:space="0" w:color="auto"/>
              <w:right w:val="single" w:sz="4" w:space="0" w:color="auto"/>
            </w:tcBorders>
            <w:noWrap/>
            <w:vAlign w:val="bottom"/>
            <w:hideMark/>
          </w:tcPr>
          <w:p w14:paraId="26015DCB" w14:textId="77777777" w:rsidR="00086875" w:rsidRPr="00086875" w:rsidRDefault="00086875" w:rsidP="00086875">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3.435.624,00</w:t>
            </w:r>
          </w:p>
        </w:tc>
        <w:tc>
          <w:tcPr>
            <w:tcW w:w="1671" w:type="dxa"/>
            <w:tcBorders>
              <w:top w:val="nil"/>
              <w:left w:val="nil"/>
              <w:bottom w:val="single" w:sz="4" w:space="0" w:color="auto"/>
              <w:right w:val="single" w:sz="4" w:space="0" w:color="auto"/>
            </w:tcBorders>
            <w:noWrap/>
            <w:vAlign w:val="bottom"/>
            <w:hideMark/>
          </w:tcPr>
          <w:p w14:paraId="1D78043F" w14:textId="77777777" w:rsidR="00086875" w:rsidRPr="00086875" w:rsidRDefault="00086875" w:rsidP="00086875">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3.154.252,25</w:t>
            </w:r>
          </w:p>
        </w:tc>
        <w:tc>
          <w:tcPr>
            <w:tcW w:w="991" w:type="dxa"/>
            <w:tcBorders>
              <w:top w:val="nil"/>
              <w:left w:val="nil"/>
              <w:bottom w:val="single" w:sz="4" w:space="0" w:color="auto"/>
              <w:right w:val="single" w:sz="4" w:space="0" w:color="auto"/>
            </w:tcBorders>
            <w:noWrap/>
            <w:vAlign w:val="bottom"/>
            <w:hideMark/>
          </w:tcPr>
          <w:p w14:paraId="2047B403" w14:textId="77777777" w:rsidR="00086875" w:rsidRPr="00086875" w:rsidRDefault="00086875" w:rsidP="00086875">
            <w:pPr>
              <w:spacing w:after="0" w:line="240" w:lineRule="auto"/>
              <w:jc w:val="right"/>
              <w:rPr>
                <w:rFonts w:ascii="Calibri" w:eastAsia="Times New Roman" w:hAnsi="Calibri" w:cs="Calibri"/>
                <w:color w:val="000000"/>
                <w:lang w:eastAsia="hr-HR"/>
              </w:rPr>
            </w:pPr>
            <w:r w:rsidRPr="00086875">
              <w:rPr>
                <w:rFonts w:ascii="Calibri" w:eastAsia="Times New Roman" w:hAnsi="Calibri" w:cs="Calibri"/>
                <w:color w:val="000000"/>
                <w:lang w:eastAsia="hr-HR"/>
              </w:rPr>
              <w:t>135,86%</w:t>
            </w:r>
          </w:p>
        </w:tc>
        <w:tc>
          <w:tcPr>
            <w:tcW w:w="891" w:type="dxa"/>
            <w:tcBorders>
              <w:top w:val="nil"/>
              <w:left w:val="nil"/>
              <w:bottom w:val="single" w:sz="4" w:space="0" w:color="auto"/>
              <w:right w:val="single" w:sz="4" w:space="0" w:color="auto"/>
            </w:tcBorders>
            <w:noWrap/>
            <w:vAlign w:val="bottom"/>
            <w:hideMark/>
          </w:tcPr>
          <w:p w14:paraId="79D1A9BC" w14:textId="77777777" w:rsidR="00086875" w:rsidRPr="00086875" w:rsidRDefault="00086875" w:rsidP="00086875">
            <w:pPr>
              <w:spacing w:after="0" w:line="240" w:lineRule="auto"/>
              <w:jc w:val="right"/>
              <w:rPr>
                <w:rFonts w:ascii="Calibri" w:eastAsia="Times New Roman" w:hAnsi="Calibri" w:cs="Calibri"/>
                <w:color w:val="000000"/>
                <w:lang w:eastAsia="hr-HR"/>
              </w:rPr>
            </w:pPr>
            <w:r w:rsidRPr="00086875">
              <w:rPr>
                <w:rFonts w:ascii="Calibri" w:eastAsia="Times New Roman" w:hAnsi="Calibri" w:cs="Calibri"/>
                <w:color w:val="000000"/>
                <w:lang w:eastAsia="hr-HR"/>
              </w:rPr>
              <w:t>91,81%</w:t>
            </w:r>
          </w:p>
        </w:tc>
      </w:tr>
      <w:tr w:rsidR="00086875" w:rsidRPr="00086875" w14:paraId="1413551F" w14:textId="77777777" w:rsidTr="00086875">
        <w:trPr>
          <w:trHeight w:val="281"/>
        </w:trPr>
        <w:tc>
          <w:tcPr>
            <w:tcW w:w="3436" w:type="dxa"/>
            <w:tcBorders>
              <w:top w:val="single" w:sz="4" w:space="0" w:color="auto"/>
              <w:left w:val="single" w:sz="4" w:space="0" w:color="auto"/>
              <w:bottom w:val="single" w:sz="4" w:space="0" w:color="auto"/>
              <w:right w:val="single" w:sz="4" w:space="0" w:color="auto"/>
            </w:tcBorders>
            <w:noWrap/>
            <w:vAlign w:val="bottom"/>
            <w:hideMark/>
          </w:tcPr>
          <w:p w14:paraId="18427864" w14:textId="77777777" w:rsidR="00086875" w:rsidRPr="00086875" w:rsidRDefault="00086875" w:rsidP="00086875">
            <w:pPr>
              <w:spacing w:after="0" w:line="240" w:lineRule="auto"/>
              <w:rPr>
                <w:rFonts w:ascii="Calibri" w:eastAsia="Times New Roman" w:hAnsi="Calibri" w:cs="Calibri"/>
                <w:color w:val="000000"/>
                <w:lang w:eastAsia="hr-HR"/>
              </w:rPr>
            </w:pPr>
            <w:r w:rsidRPr="00086875">
              <w:rPr>
                <w:rFonts w:ascii="Calibri" w:eastAsia="Times New Roman" w:hAnsi="Calibri" w:cs="Calibri"/>
                <w:color w:val="000000"/>
                <w:lang w:eastAsia="hr-HR"/>
              </w:rPr>
              <w:t>Socijalna zaštita</w:t>
            </w:r>
          </w:p>
        </w:tc>
        <w:tc>
          <w:tcPr>
            <w:tcW w:w="1653" w:type="dxa"/>
            <w:tcBorders>
              <w:top w:val="nil"/>
              <w:left w:val="nil"/>
              <w:bottom w:val="single" w:sz="4" w:space="0" w:color="auto"/>
              <w:right w:val="single" w:sz="4" w:space="0" w:color="auto"/>
            </w:tcBorders>
            <w:noWrap/>
            <w:vAlign w:val="bottom"/>
            <w:hideMark/>
          </w:tcPr>
          <w:p w14:paraId="49114C99" w14:textId="77777777" w:rsidR="00086875" w:rsidRPr="00086875" w:rsidRDefault="00086875" w:rsidP="00086875">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485.740,10</w:t>
            </w:r>
          </w:p>
        </w:tc>
        <w:tc>
          <w:tcPr>
            <w:tcW w:w="1578" w:type="dxa"/>
            <w:tcBorders>
              <w:top w:val="nil"/>
              <w:left w:val="nil"/>
              <w:bottom w:val="single" w:sz="4" w:space="0" w:color="auto"/>
              <w:right w:val="single" w:sz="4" w:space="0" w:color="auto"/>
            </w:tcBorders>
            <w:noWrap/>
            <w:vAlign w:val="bottom"/>
            <w:hideMark/>
          </w:tcPr>
          <w:p w14:paraId="37B4733B" w14:textId="77777777" w:rsidR="00086875" w:rsidRPr="00086875" w:rsidRDefault="00086875" w:rsidP="00086875">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643.300,00</w:t>
            </w:r>
          </w:p>
        </w:tc>
        <w:tc>
          <w:tcPr>
            <w:tcW w:w="1578" w:type="dxa"/>
            <w:tcBorders>
              <w:top w:val="nil"/>
              <w:left w:val="nil"/>
              <w:bottom w:val="single" w:sz="4" w:space="0" w:color="auto"/>
              <w:right w:val="single" w:sz="4" w:space="0" w:color="auto"/>
            </w:tcBorders>
            <w:noWrap/>
            <w:vAlign w:val="bottom"/>
            <w:hideMark/>
          </w:tcPr>
          <w:p w14:paraId="20B57C9F" w14:textId="77777777" w:rsidR="00086875" w:rsidRPr="00086875" w:rsidRDefault="00086875" w:rsidP="00086875">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643.300,00</w:t>
            </w:r>
          </w:p>
        </w:tc>
        <w:tc>
          <w:tcPr>
            <w:tcW w:w="1671" w:type="dxa"/>
            <w:tcBorders>
              <w:top w:val="nil"/>
              <w:left w:val="nil"/>
              <w:bottom w:val="single" w:sz="4" w:space="0" w:color="auto"/>
              <w:right w:val="single" w:sz="4" w:space="0" w:color="auto"/>
            </w:tcBorders>
            <w:noWrap/>
            <w:vAlign w:val="bottom"/>
            <w:hideMark/>
          </w:tcPr>
          <w:p w14:paraId="6D7A9F99" w14:textId="77777777" w:rsidR="00086875" w:rsidRPr="00086875" w:rsidRDefault="00086875" w:rsidP="00086875">
            <w:pPr>
              <w:spacing w:after="0" w:line="240" w:lineRule="auto"/>
              <w:jc w:val="center"/>
              <w:rPr>
                <w:rFonts w:ascii="Calibri" w:eastAsia="Times New Roman" w:hAnsi="Calibri" w:cs="Calibri"/>
                <w:color w:val="000000"/>
                <w:lang w:eastAsia="hr-HR"/>
              </w:rPr>
            </w:pPr>
            <w:r w:rsidRPr="00086875">
              <w:rPr>
                <w:rFonts w:ascii="Calibri" w:eastAsia="Times New Roman" w:hAnsi="Calibri" w:cs="Calibri"/>
                <w:color w:val="000000"/>
                <w:lang w:eastAsia="hr-HR"/>
              </w:rPr>
              <w:t>574.077,35</w:t>
            </w:r>
          </w:p>
        </w:tc>
        <w:tc>
          <w:tcPr>
            <w:tcW w:w="991" w:type="dxa"/>
            <w:tcBorders>
              <w:top w:val="nil"/>
              <w:left w:val="nil"/>
              <w:bottom w:val="single" w:sz="4" w:space="0" w:color="auto"/>
              <w:right w:val="single" w:sz="4" w:space="0" w:color="auto"/>
            </w:tcBorders>
            <w:noWrap/>
            <w:vAlign w:val="bottom"/>
            <w:hideMark/>
          </w:tcPr>
          <w:p w14:paraId="1449A77F" w14:textId="77777777" w:rsidR="00086875" w:rsidRPr="00086875" w:rsidRDefault="00086875" w:rsidP="00086875">
            <w:pPr>
              <w:spacing w:after="0" w:line="240" w:lineRule="auto"/>
              <w:jc w:val="right"/>
              <w:rPr>
                <w:rFonts w:ascii="Calibri" w:eastAsia="Times New Roman" w:hAnsi="Calibri" w:cs="Calibri"/>
                <w:color w:val="000000"/>
                <w:lang w:eastAsia="hr-HR"/>
              </w:rPr>
            </w:pPr>
            <w:r w:rsidRPr="00086875">
              <w:rPr>
                <w:rFonts w:ascii="Calibri" w:eastAsia="Times New Roman" w:hAnsi="Calibri" w:cs="Calibri"/>
                <w:color w:val="000000"/>
                <w:lang w:eastAsia="hr-HR"/>
              </w:rPr>
              <w:t>118,19%</w:t>
            </w:r>
          </w:p>
        </w:tc>
        <w:tc>
          <w:tcPr>
            <w:tcW w:w="891" w:type="dxa"/>
            <w:tcBorders>
              <w:top w:val="nil"/>
              <w:left w:val="nil"/>
              <w:bottom w:val="single" w:sz="4" w:space="0" w:color="auto"/>
              <w:right w:val="single" w:sz="4" w:space="0" w:color="auto"/>
            </w:tcBorders>
            <w:noWrap/>
            <w:vAlign w:val="bottom"/>
            <w:hideMark/>
          </w:tcPr>
          <w:p w14:paraId="68AB70CD" w14:textId="77777777" w:rsidR="00086875" w:rsidRPr="00086875" w:rsidRDefault="00086875" w:rsidP="00086875">
            <w:pPr>
              <w:spacing w:after="0" w:line="240" w:lineRule="auto"/>
              <w:jc w:val="right"/>
              <w:rPr>
                <w:rFonts w:ascii="Calibri" w:eastAsia="Times New Roman" w:hAnsi="Calibri" w:cs="Calibri"/>
                <w:color w:val="000000"/>
                <w:lang w:eastAsia="hr-HR"/>
              </w:rPr>
            </w:pPr>
            <w:r w:rsidRPr="00086875">
              <w:rPr>
                <w:rFonts w:ascii="Calibri" w:eastAsia="Times New Roman" w:hAnsi="Calibri" w:cs="Calibri"/>
                <w:color w:val="000000"/>
                <w:lang w:eastAsia="hr-HR"/>
              </w:rPr>
              <w:t>89,24%</w:t>
            </w:r>
          </w:p>
        </w:tc>
      </w:tr>
      <w:tr w:rsidR="00086875" w:rsidRPr="00086875" w14:paraId="75A3FF3A" w14:textId="77777777" w:rsidTr="00086875">
        <w:trPr>
          <w:trHeight w:val="281"/>
        </w:trPr>
        <w:tc>
          <w:tcPr>
            <w:tcW w:w="3436" w:type="dxa"/>
            <w:tcBorders>
              <w:top w:val="single" w:sz="4" w:space="0" w:color="auto"/>
              <w:left w:val="single" w:sz="4" w:space="0" w:color="auto"/>
              <w:bottom w:val="single" w:sz="4" w:space="0" w:color="auto"/>
              <w:right w:val="single" w:sz="4" w:space="0" w:color="auto"/>
            </w:tcBorders>
            <w:noWrap/>
            <w:vAlign w:val="bottom"/>
            <w:hideMark/>
          </w:tcPr>
          <w:p w14:paraId="44B54846" w14:textId="77777777" w:rsidR="00086875" w:rsidRPr="00086875" w:rsidRDefault="00086875" w:rsidP="00086875">
            <w:pPr>
              <w:spacing w:after="0" w:line="240" w:lineRule="auto"/>
              <w:rPr>
                <w:rFonts w:ascii="Calibri" w:eastAsia="Times New Roman" w:hAnsi="Calibri" w:cs="Calibri"/>
                <w:b/>
                <w:bCs/>
                <w:color w:val="000000"/>
                <w:lang w:eastAsia="hr-HR"/>
              </w:rPr>
            </w:pPr>
            <w:r w:rsidRPr="00086875">
              <w:rPr>
                <w:rFonts w:ascii="Calibri" w:eastAsia="Times New Roman" w:hAnsi="Calibri" w:cs="Calibri"/>
                <w:b/>
                <w:bCs/>
                <w:color w:val="000000"/>
                <w:lang w:eastAsia="hr-HR"/>
              </w:rPr>
              <w:t>UKUPNO RASHODI BEZ IZDATAKA:</w:t>
            </w:r>
          </w:p>
        </w:tc>
        <w:tc>
          <w:tcPr>
            <w:tcW w:w="1653" w:type="dxa"/>
            <w:tcBorders>
              <w:top w:val="nil"/>
              <w:left w:val="nil"/>
              <w:bottom w:val="single" w:sz="4" w:space="0" w:color="auto"/>
              <w:right w:val="single" w:sz="4" w:space="0" w:color="auto"/>
            </w:tcBorders>
            <w:noWrap/>
            <w:vAlign w:val="bottom"/>
            <w:hideMark/>
          </w:tcPr>
          <w:p w14:paraId="79A2803D" w14:textId="77777777" w:rsidR="00086875" w:rsidRPr="00086875" w:rsidRDefault="00086875" w:rsidP="00086875">
            <w:pPr>
              <w:spacing w:after="0" w:line="240" w:lineRule="auto"/>
              <w:jc w:val="center"/>
              <w:rPr>
                <w:rFonts w:ascii="Calibri" w:eastAsia="Times New Roman" w:hAnsi="Calibri" w:cs="Calibri"/>
                <w:b/>
                <w:bCs/>
                <w:color w:val="000000"/>
                <w:lang w:eastAsia="hr-HR"/>
              </w:rPr>
            </w:pPr>
            <w:r w:rsidRPr="00086875">
              <w:rPr>
                <w:rFonts w:ascii="Calibri" w:eastAsia="Times New Roman" w:hAnsi="Calibri" w:cs="Calibri"/>
                <w:b/>
                <w:bCs/>
                <w:color w:val="000000"/>
                <w:lang w:eastAsia="hr-HR"/>
              </w:rPr>
              <w:t>16.752.997,56</w:t>
            </w:r>
          </w:p>
        </w:tc>
        <w:tc>
          <w:tcPr>
            <w:tcW w:w="1578" w:type="dxa"/>
            <w:tcBorders>
              <w:top w:val="nil"/>
              <w:left w:val="nil"/>
              <w:bottom w:val="single" w:sz="4" w:space="0" w:color="auto"/>
              <w:right w:val="single" w:sz="4" w:space="0" w:color="auto"/>
            </w:tcBorders>
            <w:noWrap/>
            <w:vAlign w:val="bottom"/>
            <w:hideMark/>
          </w:tcPr>
          <w:p w14:paraId="6A1EAA0E" w14:textId="77777777" w:rsidR="00086875" w:rsidRPr="00086875" w:rsidRDefault="00086875" w:rsidP="00086875">
            <w:pPr>
              <w:spacing w:after="0" w:line="240" w:lineRule="auto"/>
              <w:jc w:val="center"/>
              <w:rPr>
                <w:rFonts w:ascii="Calibri" w:eastAsia="Times New Roman" w:hAnsi="Calibri" w:cs="Calibri"/>
                <w:b/>
                <w:bCs/>
                <w:color w:val="000000"/>
                <w:lang w:eastAsia="hr-HR"/>
              </w:rPr>
            </w:pPr>
            <w:r w:rsidRPr="00086875">
              <w:rPr>
                <w:rFonts w:ascii="Calibri" w:eastAsia="Times New Roman" w:hAnsi="Calibri" w:cs="Calibri"/>
                <w:b/>
                <w:bCs/>
                <w:color w:val="000000"/>
                <w:lang w:eastAsia="hr-HR"/>
              </w:rPr>
              <w:t>25.062.815,09</w:t>
            </w:r>
          </w:p>
        </w:tc>
        <w:tc>
          <w:tcPr>
            <w:tcW w:w="1578" w:type="dxa"/>
            <w:tcBorders>
              <w:top w:val="nil"/>
              <w:left w:val="nil"/>
              <w:bottom w:val="single" w:sz="4" w:space="0" w:color="auto"/>
              <w:right w:val="single" w:sz="4" w:space="0" w:color="auto"/>
            </w:tcBorders>
            <w:noWrap/>
            <w:vAlign w:val="bottom"/>
            <w:hideMark/>
          </w:tcPr>
          <w:p w14:paraId="356ECBB4" w14:textId="77777777" w:rsidR="00086875" w:rsidRPr="00086875" w:rsidRDefault="00086875" w:rsidP="00086875">
            <w:pPr>
              <w:spacing w:after="0" w:line="240" w:lineRule="auto"/>
              <w:jc w:val="center"/>
              <w:rPr>
                <w:rFonts w:ascii="Calibri" w:eastAsia="Times New Roman" w:hAnsi="Calibri" w:cs="Calibri"/>
                <w:b/>
                <w:bCs/>
                <w:color w:val="000000"/>
                <w:lang w:eastAsia="hr-HR"/>
              </w:rPr>
            </w:pPr>
            <w:r w:rsidRPr="00086875">
              <w:rPr>
                <w:rFonts w:ascii="Calibri" w:eastAsia="Times New Roman" w:hAnsi="Calibri" w:cs="Calibri"/>
                <w:b/>
                <w:bCs/>
                <w:color w:val="000000"/>
                <w:lang w:eastAsia="hr-HR"/>
              </w:rPr>
              <w:t>25.062.815,09</w:t>
            </w:r>
          </w:p>
        </w:tc>
        <w:tc>
          <w:tcPr>
            <w:tcW w:w="1671" w:type="dxa"/>
            <w:tcBorders>
              <w:top w:val="nil"/>
              <w:left w:val="nil"/>
              <w:bottom w:val="single" w:sz="4" w:space="0" w:color="auto"/>
              <w:right w:val="single" w:sz="4" w:space="0" w:color="auto"/>
            </w:tcBorders>
            <w:noWrap/>
            <w:vAlign w:val="bottom"/>
            <w:hideMark/>
          </w:tcPr>
          <w:p w14:paraId="76899274" w14:textId="77777777" w:rsidR="00086875" w:rsidRPr="00086875" w:rsidRDefault="00086875" w:rsidP="00086875">
            <w:pPr>
              <w:spacing w:after="0" w:line="240" w:lineRule="auto"/>
              <w:jc w:val="center"/>
              <w:rPr>
                <w:rFonts w:ascii="Calibri" w:eastAsia="Times New Roman" w:hAnsi="Calibri" w:cs="Calibri"/>
                <w:b/>
                <w:bCs/>
                <w:color w:val="000000"/>
                <w:lang w:eastAsia="hr-HR"/>
              </w:rPr>
            </w:pPr>
            <w:r w:rsidRPr="00086875">
              <w:rPr>
                <w:rFonts w:ascii="Calibri" w:eastAsia="Times New Roman" w:hAnsi="Calibri" w:cs="Calibri"/>
                <w:b/>
                <w:bCs/>
                <w:color w:val="000000"/>
                <w:lang w:eastAsia="hr-HR"/>
              </w:rPr>
              <w:t>19.579.706,19</w:t>
            </w:r>
          </w:p>
        </w:tc>
        <w:tc>
          <w:tcPr>
            <w:tcW w:w="991" w:type="dxa"/>
            <w:tcBorders>
              <w:top w:val="nil"/>
              <w:left w:val="nil"/>
              <w:bottom w:val="single" w:sz="4" w:space="0" w:color="auto"/>
              <w:right w:val="single" w:sz="4" w:space="0" w:color="auto"/>
            </w:tcBorders>
            <w:noWrap/>
            <w:vAlign w:val="bottom"/>
            <w:hideMark/>
          </w:tcPr>
          <w:p w14:paraId="16C452B8" w14:textId="77777777" w:rsidR="00086875" w:rsidRPr="00086875" w:rsidRDefault="00086875" w:rsidP="00086875">
            <w:pPr>
              <w:spacing w:after="0" w:line="240" w:lineRule="auto"/>
              <w:jc w:val="right"/>
              <w:rPr>
                <w:rFonts w:ascii="Calibri" w:eastAsia="Times New Roman" w:hAnsi="Calibri" w:cs="Calibri"/>
                <w:b/>
                <w:bCs/>
                <w:color w:val="000000"/>
                <w:lang w:eastAsia="hr-HR"/>
              </w:rPr>
            </w:pPr>
            <w:r w:rsidRPr="00086875">
              <w:rPr>
                <w:rFonts w:ascii="Calibri" w:eastAsia="Times New Roman" w:hAnsi="Calibri" w:cs="Calibri"/>
                <w:b/>
                <w:bCs/>
                <w:color w:val="000000"/>
                <w:lang w:eastAsia="hr-HR"/>
              </w:rPr>
              <w:t>116,87%</w:t>
            </w:r>
          </w:p>
        </w:tc>
        <w:tc>
          <w:tcPr>
            <w:tcW w:w="891" w:type="dxa"/>
            <w:tcBorders>
              <w:top w:val="nil"/>
              <w:left w:val="nil"/>
              <w:bottom w:val="single" w:sz="4" w:space="0" w:color="auto"/>
              <w:right w:val="single" w:sz="4" w:space="0" w:color="auto"/>
            </w:tcBorders>
            <w:noWrap/>
            <w:vAlign w:val="bottom"/>
            <w:hideMark/>
          </w:tcPr>
          <w:p w14:paraId="04A629F3" w14:textId="77777777" w:rsidR="00086875" w:rsidRPr="00086875" w:rsidRDefault="00086875" w:rsidP="00086875">
            <w:pPr>
              <w:spacing w:after="0" w:line="240" w:lineRule="auto"/>
              <w:jc w:val="right"/>
              <w:rPr>
                <w:rFonts w:ascii="Calibri" w:eastAsia="Times New Roman" w:hAnsi="Calibri" w:cs="Calibri"/>
                <w:b/>
                <w:bCs/>
                <w:color w:val="000000"/>
                <w:lang w:eastAsia="hr-HR"/>
              </w:rPr>
            </w:pPr>
            <w:r w:rsidRPr="00086875">
              <w:rPr>
                <w:rFonts w:ascii="Calibri" w:eastAsia="Times New Roman" w:hAnsi="Calibri" w:cs="Calibri"/>
                <w:b/>
                <w:bCs/>
                <w:color w:val="000000"/>
                <w:lang w:eastAsia="hr-HR"/>
              </w:rPr>
              <w:t>78,12%</w:t>
            </w:r>
          </w:p>
        </w:tc>
      </w:tr>
    </w:tbl>
    <w:p w14:paraId="1EACE2C1" w14:textId="77777777" w:rsidR="00F50515" w:rsidRDefault="00F50515" w:rsidP="00F50515">
      <w:pPr>
        <w:spacing w:after="0"/>
        <w:rPr>
          <w:sz w:val="24"/>
          <w:szCs w:val="24"/>
        </w:rPr>
      </w:pPr>
    </w:p>
    <w:p w14:paraId="6983DB9B" w14:textId="77777777" w:rsidR="00F50515" w:rsidRDefault="00F50515" w:rsidP="00F50515">
      <w:pPr>
        <w:spacing w:after="0"/>
        <w:rPr>
          <w:sz w:val="24"/>
          <w:szCs w:val="24"/>
        </w:rPr>
      </w:pPr>
    </w:p>
    <w:p w14:paraId="028CACD1" w14:textId="77777777" w:rsidR="00F50515" w:rsidRDefault="00F50515" w:rsidP="00F50515">
      <w:pPr>
        <w:spacing w:after="0"/>
        <w:jc w:val="both"/>
        <w:rPr>
          <w:rFonts w:ascii="Calibri" w:hAnsi="Calibri" w:cs="Calibri"/>
          <w:sz w:val="24"/>
          <w:szCs w:val="24"/>
        </w:rPr>
      </w:pPr>
      <w:r w:rsidRPr="0092551D">
        <w:rPr>
          <w:rFonts w:ascii="Calibri" w:hAnsi="Calibri" w:cs="Calibri"/>
          <w:sz w:val="24"/>
          <w:szCs w:val="24"/>
        </w:rPr>
        <w:lastRenderedPageBreak/>
        <w:t>Važno je naglasiti kako se funkcijski klasificiraju isključivo rashodi poslovanja i rashodi za nabavu nefinancijske imovine, dok se izdaci za financijsku imovinu i obveze ne razvrstavaju funkcijski, a time ni ne uključuju u Izvještaj.</w:t>
      </w:r>
    </w:p>
    <w:p w14:paraId="351F5067" w14:textId="77777777" w:rsidR="002E5FBD" w:rsidRDefault="00D6753E" w:rsidP="002E5FBD">
      <w:pPr>
        <w:pStyle w:val="StandardWeb"/>
        <w:spacing w:before="0" w:beforeAutospacing="0" w:after="180" w:afterAutospacing="0"/>
        <w:jc w:val="both"/>
        <w:rPr>
          <w:rFonts w:asciiTheme="minorHAnsi" w:hAnsiTheme="minorHAnsi" w:cstheme="minorHAnsi"/>
        </w:rPr>
      </w:pPr>
      <w:r w:rsidRPr="00D6753E">
        <w:rPr>
          <w:rFonts w:asciiTheme="minorHAnsi" w:hAnsiTheme="minorHAnsi" w:cstheme="minorHAnsi"/>
        </w:rPr>
        <w:t xml:space="preserve">Najveći udio u ukupnim rashodima odnosi se na rashode za usluge unapređenja stanovanja i zajednice koji su ostvareni u iznosu od </w:t>
      </w:r>
      <w:r w:rsidR="00015048">
        <w:rPr>
          <w:rFonts w:asciiTheme="minorHAnsi" w:hAnsiTheme="minorHAnsi" w:cstheme="minorHAnsi"/>
        </w:rPr>
        <w:t>7.130.408,11</w:t>
      </w:r>
      <w:r w:rsidRPr="00D6753E">
        <w:rPr>
          <w:rFonts w:asciiTheme="minorHAnsi" w:hAnsiTheme="minorHAnsi" w:cstheme="minorHAnsi"/>
        </w:rPr>
        <w:t xml:space="preserve"> </w:t>
      </w:r>
      <w:r w:rsidR="00086875">
        <w:rPr>
          <w:rFonts w:asciiTheme="minorHAnsi" w:hAnsiTheme="minorHAnsi" w:cstheme="minorHAnsi"/>
        </w:rPr>
        <w:t>eura</w:t>
      </w:r>
      <w:r w:rsidR="00015048">
        <w:rPr>
          <w:rFonts w:asciiTheme="minorHAnsi" w:hAnsiTheme="minorHAnsi" w:cstheme="minorHAnsi"/>
        </w:rPr>
        <w:t xml:space="preserve"> </w:t>
      </w:r>
      <w:r w:rsidR="00015048" w:rsidRPr="00015048">
        <w:rPr>
          <w:rFonts w:asciiTheme="minorHAnsi" w:hAnsiTheme="minorHAnsi" w:cstheme="minorHAnsi"/>
        </w:rPr>
        <w:t>(</w:t>
      </w:r>
      <w:r w:rsidR="00015048" w:rsidRPr="00015048">
        <w:rPr>
          <w:rFonts w:asciiTheme="minorHAnsi" w:eastAsia="Calibri" w:hAnsiTheme="minorHAnsi" w:cstheme="minorHAnsi"/>
        </w:rPr>
        <w:t>izgradnja i održavanje komunalne infrastrukture, nerazvrstane ceste, javne površine, javnu rasvjetu i dr</w:t>
      </w:r>
      <w:r w:rsidR="00015048">
        <w:rPr>
          <w:rFonts w:asciiTheme="minorHAnsi" w:eastAsia="Calibri" w:hAnsiTheme="minorHAnsi" w:cstheme="minorHAnsi"/>
        </w:rPr>
        <w:t>.</w:t>
      </w:r>
      <w:r w:rsidR="00015048" w:rsidRPr="00015048">
        <w:rPr>
          <w:rFonts w:asciiTheme="minorHAnsi" w:eastAsia="Calibri" w:hAnsiTheme="minorHAnsi" w:cstheme="minorHAnsi"/>
        </w:rPr>
        <w:t>)</w:t>
      </w:r>
      <w:r w:rsidRPr="00015048">
        <w:rPr>
          <w:rFonts w:asciiTheme="minorHAnsi" w:hAnsiTheme="minorHAnsi" w:cstheme="minorHAnsi"/>
        </w:rPr>
        <w:t>,</w:t>
      </w:r>
      <w:r w:rsidRPr="00D6753E">
        <w:rPr>
          <w:rFonts w:asciiTheme="minorHAnsi" w:hAnsiTheme="minorHAnsi" w:cstheme="minorHAnsi"/>
        </w:rPr>
        <w:t xml:space="preserve"> odnosno </w:t>
      </w:r>
      <w:r w:rsidR="00015048">
        <w:rPr>
          <w:rFonts w:asciiTheme="minorHAnsi" w:hAnsiTheme="minorHAnsi" w:cstheme="minorHAnsi"/>
        </w:rPr>
        <w:t>36,42</w:t>
      </w:r>
      <w:r w:rsidRPr="00D6753E">
        <w:rPr>
          <w:rFonts w:asciiTheme="minorHAnsi" w:hAnsiTheme="minorHAnsi" w:cstheme="minorHAnsi"/>
        </w:rPr>
        <w:t xml:space="preserve">% </w:t>
      </w:r>
      <w:r w:rsidR="00015048">
        <w:rPr>
          <w:rFonts w:asciiTheme="minorHAnsi" w:hAnsiTheme="minorHAnsi" w:cstheme="minorHAnsi"/>
        </w:rPr>
        <w:t xml:space="preserve">ili za 8,33% više </w:t>
      </w:r>
      <w:r w:rsidRPr="00D6753E">
        <w:rPr>
          <w:rFonts w:asciiTheme="minorHAnsi" w:hAnsiTheme="minorHAnsi" w:cstheme="minorHAnsi"/>
        </w:rPr>
        <w:t xml:space="preserve">u odnosu na izvršenje prethodne godine. </w:t>
      </w:r>
    </w:p>
    <w:p w14:paraId="592C44B3" w14:textId="77777777" w:rsidR="002E5FBD" w:rsidRDefault="00015048" w:rsidP="002E5FBD">
      <w:pPr>
        <w:pStyle w:val="StandardWeb"/>
        <w:spacing w:before="0" w:beforeAutospacing="0" w:after="180" w:afterAutospacing="0"/>
        <w:jc w:val="both"/>
        <w:rPr>
          <w:rFonts w:asciiTheme="minorHAnsi" w:hAnsiTheme="minorHAnsi" w:cstheme="minorHAnsi"/>
        </w:rPr>
      </w:pPr>
      <w:r w:rsidRPr="002E5FBD">
        <w:rPr>
          <w:rFonts w:asciiTheme="minorHAnsi" w:hAnsiTheme="minorHAnsi" w:cstheme="minorHAnsi"/>
        </w:rPr>
        <w:t xml:space="preserve">Za obrazovanje je utrošeno </w:t>
      </w:r>
      <w:r w:rsidR="002E5FBD">
        <w:rPr>
          <w:rFonts w:asciiTheme="minorHAnsi" w:hAnsiTheme="minorHAnsi" w:cstheme="minorHAnsi"/>
        </w:rPr>
        <w:t xml:space="preserve">3.154.252,25 </w:t>
      </w:r>
      <w:r w:rsidR="002E5FBD" w:rsidRPr="002E5FBD">
        <w:rPr>
          <w:rFonts w:asciiTheme="minorHAnsi" w:hAnsiTheme="minorHAnsi" w:cstheme="minorHAnsi"/>
        </w:rPr>
        <w:t>eura (</w:t>
      </w:r>
      <w:r w:rsidR="002E5FBD" w:rsidRPr="002E5FBD">
        <w:rPr>
          <w:rFonts w:asciiTheme="minorHAnsi" w:eastAsia="Calibri" w:hAnsiTheme="minorHAnsi" w:cstheme="minorHAnsi"/>
        </w:rPr>
        <w:t xml:space="preserve"> predškolsko obrazovanje, stipendije učenicima i studentima…)</w:t>
      </w:r>
      <w:r w:rsidR="002E5FBD" w:rsidRPr="002E5FBD">
        <w:rPr>
          <w:rFonts w:asciiTheme="minorHAnsi" w:hAnsiTheme="minorHAnsi" w:cstheme="minorHAnsi"/>
        </w:rPr>
        <w:t xml:space="preserve"> </w:t>
      </w:r>
      <w:r w:rsidRPr="002E5FBD">
        <w:rPr>
          <w:rFonts w:asciiTheme="minorHAnsi" w:hAnsiTheme="minorHAnsi" w:cstheme="minorHAnsi"/>
        </w:rPr>
        <w:t xml:space="preserve"> odnosno </w:t>
      </w:r>
      <w:r w:rsidR="002E5FBD">
        <w:rPr>
          <w:rFonts w:asciiTheme="minorHAnsi" w:hAnsiTheme="minorHAnsi" w:cstheme="minorHAnsi"/>
        </w:rPr>
        <w:t>35,86</w:t>
      </w:r>
      <w:r w:rsidRPr="002E5FBD">
        <w:rPr>
          <w:rFonts w:asciiTheme="minorHAnsi" w:hAnsiTheme="minorHAnsi" w:cstheme="minorHAnsi"/>
        </w:rPr>
        <w:t>%</w:t>
      </w:r>
      <w:r w:rsidR="002E5FBD">
        <w:rPr>
          <w:rFonts w:asciiTheme="minorHAnsi" w:hAnsiTheme="minorHAnsi" w:cstheme="minorHAnsi"/>
        </w:rPr>
        <w:t xml:space="preserve"> više</w:t>
      </w:r>
      <w:r w:rsidRPr="002E5FBD">
        <w:rPr>
          <w:rFonts w:asciiTheme="minorHAnsi" w:hAnsiTheme="minorHAnsi" w:cstheme="minorHAnsi"/>
        </w:rPr>
        <w:t xml:space="preserve"> u odnosu na prethodnu godinu, dok su rashodi za rekreaciju, kulturu i religiju ostvareni u iznosu od </w:t>
      </w:r>
      <w:r w:rsidR="002E5FBD">
        <w:rPr>
          <w:rFonts w:asciiTheme="minorHAnsi" w:hAnsiTheme="minorHAnsi" w:cstheme="minorHAnsi"/>
        </w:rPr>
        <w:t>2.000.669,89 eura ili 32,14% više od ostvarenja prethodne godine.</w:t>
      </w:r>
    </w:p>
    <w:p w14:paraId="67E473C4" w14:textId="77777777" w:rsidR="002E5FBD" w:rsidRDefault="00015048" w:rsidP="002E5FBD">
      <w:pPr>
        <w:pStyle w:val="StandardWeb"/>
        <w:spacing w:before="0" w:beforeAutospacing="0" w:after="180" w:afterAutospacing="0"/>
        <w:jc w:val="both"/>
        <w:rPr>
          <w:rFonts w:asciiTheme="minorHAnsi" w:hAnsiTheme="minorHAnsi" w:cstheme="minorHAnsi"/>
        </w:rPr>
      </w:pPr>
      <w:r w:rsidRPr="002E5FBD">
        <w:rPr>
          <w:rFonts w:asciiTheme="minorHAnsi" w:hAnsiTheme="minorHAnsi" w:cstheme="minorHAnsi"/>
        </w:rPr>
        <w:t xml:space="preserve">Rashodi za ekonomske poslove ostvareni su u iznosu od </w:t>
      </w:r>
      <w:r w:rsidR="002E5FBD">
        <w:rPr>
          <w:rFonts w:asciiTheme="minorHAnsi" w:hAnsiTheme="minorHAnsi" w:cstheme="minorHAnsi"/>
        </w:rPr>
        <w:t>1.778.397,51 eura,</w:t>
      </w:r>
      <w:r w:rsidRPr="002E5FBD">
        <w:rPr>
          <w:rFonts w:asciiTheme="minorHAnsi" w:hAnsiTheme="minorHAnsi" w:cstheme="minorHAnsi"/>
        </w:rPr>
        <w:t xml:space="preserve"> odnosno </w:t>
      </w:r>
      <w:r w:rsidR="002E5FBD">
        <w:rPr>
          <w:rFonts w:asciiTheme="minorHAnsi" w:hAnsiTheme="minorHAnsi" w:cstheme="minorHAnsi"/>
        </w:rPr>
        <w:t>za značajnih 91,46</w:t>
      </w:r>
      <w:r w:rsidRPr="002E5FBD">
        <w:rPr>
          <w:rFonts w:asciiTheme="minorHAnsi" w:hAnsiTheme="minorHAnsi" w:cstheme="minorHAnsi"/>
        </w:rPr>
        <w:t>% u odnosu na prethodnu godinu i</w:t>
      </w:r>
      <w:r w:rsidR="002E5FBD">
        <w:rPr>
          <w:rFonts w:asciiTheme="minorHAnsi" w:hAnsiTheme="minorHAnsi" w:cstheme="minorHAnsi"/>
        </w:rPr>
        <w:t>li 74,82</w:t>
      </w:r>
      <w:r w:rsidRPr="002E5FBD">
        <w:rPr>
          <w:rFonts w:asciiTheme="minorHAnsi" w:hAnsiTheme="minorHAnsi" w:cstheme="minorHAnsi"/>
        </w:rPr>
        <w:t>% plana.</w:t>
      </w:r>
    </w:p>
    <w:p w14:paraId="1D9525F3" w14:textId="77777777" w:rsidR="002E5FBD" w:rsidRDefault="00015048" w:rsidP="002E5FBD">
      <w:pPr>
        <w:pStyle w:val="StandardWeb"/>
        <w:spacing w:before="0" w:beforeAutospacing="0" w:after="180" w:afterAutospacing="0"/>
        <w:jc w:val="both"/>
        <w:rPr>
          <w:rFonts w:asciiTheme="minorHAnsi" w:hAnsiTheme="minorHAnsi" w:cstheme="minorHAnsi"/>
        </w:rPr>
      </w:pPr>
      <w:r w:rsidRPr="002E5FBD">
        <w:rPr>
          <w:rFonts w:asciiTheme="minorHAnsi" w:hAnsiTheme="minorHAnsi" w:cstheme="minorHAnsi"/>
        </w:rPr>
        <w:t xml:space="preserve">Za socijalnu zaštitu izdvojeno je </w:t>
      </w:r>
      <w:r w:rsidR="002E5FBD">
        <w:rPr>
          <w:rFonts w:asciiTheme="minorHAnsi" w:hAnsiTheme="minorHAnsi" w:cstheme="minorHAnsi"/>
        </w:rPr>
        <w:t>574.077,35 eura,</w:t>
      </w:r>
      <w:r w:rsidRPr="002E5FBD">
        <w:rPr>
          <w:rFonts w:asciiTheme="minorHAnsi" w:hAnsiTheme="minorHAnsi" w:cstheme="minorHAnsi"/>
        </w:rPr>
        <w:t xml:space="preserve"> što predstavlja </w:t>
      </w:r>
      <w:r w:rsidR="002E5FBD">
        <w:rPr>
          <w:rFonts w:asciiTheme="minorHAnsi" w:hAnsiTheme="minorHAnsi" w:cstheme="minorHAnsi"/>
        </w:rPr>
        <w:t>18,19% više od ostvarenja</w:t>
      </w:r>
      <w:r w:rsidRPr="002E5FBD">
        <w:rPr>
          <w:rFonts w:asciiTheme="minorHAnsi" w:hAnsiTheme="minorHAnsi" w:cstheme="minorHAnsi"/>
        </w:rPr>
        <w:t xml:space="preserve"> prethodne godine i </w:t>
      </w:r>
      <w:r w:rsidR="002E5FBD">
        <w:rPr>
          <w:rFonts w:asciiTheme="minorHAnsi" w:hAnsiTheme="minorHAnsi" w:cstheme="minorHAnsi"/>
        </w:rPr>
        <w:t>89,24</w:t>
      </w:r>
      <w:r w:rsidRPr="002E5FBD">
        <w:rPr>
          <w:rFonts w:asciiTheme="minorHAnsi" w:hAnsiTheme="minorHAnsi" w:cstheme="minorHAnsi"/>
        </w:rPr>
        <w:t xml:space="preserve">% plana, dok su rashodi za zaštitu okoliša ostvareni u iznosu od </w:t>
      </w:r>
      <w:r w:rsidR="002E5FBD">
        <w:rPr>
          <w:rFonts w:asciiTheme="minorHAnsi" w:hAnsiTheme="minorHAnsi" w:cstheme="minorHAnsi"/>
        </w:rPr>
        <w:t>98.567,63 eura ili za 43,12% više od ostvarenja prethodne godine.</w:t>
      </w:r>
    </w:p>
    <w:p w14:paraId="75B54C11" w14:textId="795659DE" w:rsidR="002E03CB" w:rsidRDefault="00F50515" w:rsidP="002E5FBD">
      <w:pPr>
        <w:pStyle w:val="StandardWeb"/>
        <w:spacing w:before="0" w:beforeAutospacing="0" w:after="180" w:afterAutospacing="0"/>
        <w:jc w:val="both"/>
        <w:rPr>
          <w:rFonts w:asciiTheme="minorHAnsi" w:hAnsiTheme="minorHAnsi" w:cstheme="minorHAnsi"/>
        </w:rPr>
      </w:pPr>
      <w:r w:rsidRPr="002E5FBD">
        <w:rPr>
          <w:rFonts w:asciiTheme="minorHAnsi" w:hAnsiTheme="minorHAnsi" w:cstheme="minorHAnsi"/>
        </w:rPr>
        <w:t xml:space="preserve">U odnosu na prethodnu godinu, promatrajući u postocima, najviše su povećani rashodi za </w:t>
      </w:r>
      <w:r w:rsidR="002E5FBD" w:rsidRPr="002E5FBD">
        <w:rPr>
          <w:rFonts w:asciiTheme="minorHAnsi" w:hAnsiTheme="minorHAnsi" w:cstheme="minorHAnsi"/>
        </w:rPr>
        <w:t>ekonomske poslove</w:t>
      </w:r>
      <w:r w:rsidRPr="002E5FBD">
        <w:rPr>
          <w:rFonts w:asciiTheme="minorHAnsi" w:hAnsiTheme="minorHAnsi" w:cstheme="minorHAnsi"/>
        </w:rPr>
        <w:t xml:space="preserve"> za </w:t>
      </w:r>
      <w:r w:rsidR="002E5FBD" w:rsidRPr="002E5FBD">
        <w:rPr>
          <w:rFonts w:asciiTheme="minorHAnsi" w:hAnsiTheme="minorHAnsi" w:cstheme="minorHAnsi"/>
        </w:rPr>
        <w:t>91,46</w:t>
      </w:r>
      <w:r w:rsidRPr="002E5FBD">
        <w:rPr>
          <w:rFonts w:asciiTheme="minorHAnsi" w:hAnsiTheme="minorHAnsi" w:cstheme="minorHAnsi"/>
        </w:rPr>
        <w:t xml:space="preserve">%, </w:t>
      </w:r>
      <w:r w:rsidR="002E5FBD">
        <w:rPr>
          <w:rFonts w:asciiTheme="minorHAnsi" w:hAnsiTheme="minorHAnsi" w:cstheme="minorHAnsi"/>
        </w:rPr>
        <w:t xml:space="preserve">zaštitu okoliša 43,12%, obrazovanje 35,86%, </w:t>
      </w:r>
      <w:r w:rsidRPr="002E5FBD">
        <w:rPr>
          <w:rFonts w:asciiTheme="minorHAnsi" w:hAnsiTheme="minorHAnsi" w:cstheme="minorHAnsi"/>
        </w:rPr>
        <w:t xml:space="preserve">rekreaciju, kulturu i religiju </w:t>
      </w:r>
      <w:r w:rsidR="002E5FBD" w:rsidRPr="002E5FBD">
        <w:rPr>
          <w:rFonts w:asciiTheme="minorHAnsi" w:hAnsiTheme="minorHAnsi" w:cstheme="minorHAnsi"/>
        </w:rPr>
        <w:t>32,14</w:t>
      </w:r>
      <w:r w:rsidRPr="002E5FBD">
        <w:rPr>
          <w:rFonts w:asciiTheme="minorHAnsi" w:hAnsiTheme="minorHAnsi" w:cstheme="minorHAnsi"/>
        </w:rPr>
        <w:t xml:space="preserve">%, </w:t>
      </w:r>
      <w:r w:rsidR="00B61B0F">
        <w:rPr>
          <w:rFonts w:asciiTheme="minorHAnsi" w:hAnsiTheme="minorHAnsi" w:cstheme="minorHAnsi"/>
        </w:rPr>
        <w:t>socijalnu zaštitu 18,19</w:t>
      </w:r>
      <w:r w:rsidRPr="002E5FBD">
        <w:rPr>
          <w:rFonts w:asciiTheme="minorHAnsi" w:hAnsiTheme="minorHAnsi" w:cstheme="minorHAnsi"/>
        </w:rPr>
        <w:t xml:space="preserve">% i  obrazovanje </w:t>
      </w:r>
      <w:r w:rsidR="002E5FBD" w:rsidRPr="002E5FBD">
        <w:rPr>
          <w:rFonts w:asciiTheme="minorHAnsi" w:hAnsiTheme="minorHAnsi" w:cstheme="minorHAnsi"/>
        </w:rPr>
        <w:t>35,86</w:t>
      </w:r>
      <w:r w:rsidRPr="002E5FBD">
        <w:rPr>
          <w:rFonts w:asciiTheme="minorHAnsi" w:hAnsiTheme="minorHAnsi" w:cstheme="minorHAnsi"/>
        </w:rPr>
        <w:t>%.</w:t>
      </w:r>
    </w:p>
    <w:p w14:paraId="74BC9465" w14:textId="77777777" w:rsidR="002E5FBD" w:rsidRPr="002E5FBD" w:rsidRDefault="002E5FBD" w:rsidP="002E5FBD">
      <w:pPr>
        <w:pStyle w:val="StandardWeb"/>
        <w:spacing w:before="0" w:beforeAutospacing="0" w:after="180" w:afterAutospacing="0"/>
        <w:jc w:val="both"/>
        <w:rPr>
          <w:rFonts w:asciiTheme="minorHAnsi" w:hAnsiTheme="minorHAnsi" w:cstheme="minorHAnsi"/>
        </w:rPr>
      </w:pPr>
    </w:p>
    <w:p w14:paraId="26524599" w14:textId="77777777" w:rsidR="009E3015" w:rsidRDefault="009E3015" w:rsidP="009E3015">
      <w:pPr>
        <w:spacing w:after="0"/>
        <w:rPr>
          <w:rFonts w:cstheme="minorHAnsi"/>
          <w:b/>
          <w:sz w:val="28"/>
          <w:szCs w:val="28"/>
        </w:rPr>
      </w:pPr>
      <w:r>
        <w:rPr>
          <w:rFonts w:cstheme="minorHAnsi"/>
          <w:b/>
          <w:sz w:val="28"/>
          <w:szCs w:val="28"/>
        </w:rPr>
        <w:t xml:space="preserve">5. </w:t>
      </w:r>
      <w:r w:rsidRPr="005621BB">
        <w:rPr>
          <w:rFonts w:cstheme="minorHAnsi"/>
          <w:b/>
          <w:sz w:val="28"/>
          <w:szCs w:val="28"/>
        </w:rPr>
        <w:t xml:space="preserve">POSEBNI IZVJEŠTAJI </w:t>
      </w:r>
    </w:p>
    <w:p w14:paraId="130A719C" w14:textId="77777777" w:rsidR="009E3015" w:rsidRPr="00C36D38" w:rsidRDefault="009E3015" w:rsidP="009E3015">
      <w:pPr>
        <w:autoSpaceDE w:val="0"/>
        <w:autoSpaceDN w:val="0"/>
        <w:adjustRightInd w:val="0"/>
        <w:spacing w:after="0" w:line="240" w:lineRule="auto"/>
        <w:jc w:val="both"/>
        <w:rPr>
          <w:rFonts w:eastAsia="Times New Roman" w:cstheme="minorHAnsi"/>
          <w:sz w:val="24"/>
          <w:szCs w:val="24"/>
          <w:lang w:eastAsia="hr-HR"/>
        </w:rPr>
      </w:pPr>
    </w:p>
    <w:p w14:paraId="12B5348F" w14:textId="77777777" w:rsidR="009E3015" w:rsidRPr="009E3015" w:rsidRDefault="009E3015" w:rsidP="009E3015">
      <w:pPr>
        <w:rPr>
          <w:rFonts w:cstheme="minorHAnsi"/>
          <w:b/>
          <w:sz w:val="24"/>
          <w:szCs w:val="24"/>
        </w:rPr>
      </w:pPr>
      <w:r w:rsidRPr="009E3015">
        <w:rPr>
          <w:rFonts w:cstheme="minorHAnsi"/>
          <w:b/>
          <w:sz w:val="24"/>
          <w:szCs w:val="24"/>
        </w:rPr>
        <w:t>5.1. IZVJEŠTAJ O KORIŠTENJU PRORAČUNSKE ZALIHE</w:t>
      </w:r>
    </w:p>
    <w:p w14:paraId="4CADFEFB" w14:textId="77777777" w:rsidR="009E3015" w:rsidRDefault="009E3015" w:rsidP="009E3015">
      <w:pPr>
        <w:spacing w:after="0" w:line="240" w:lineRule="auto"/>
        <w:jc w:val="both"/>
        <w:rPr>
          <w:rFonts w:cstheme="minorHAnsi"/>
          <w:sz w:val="24"/>
          <w:szCs w:val="24"/>
        </w:rPr>
      </w:pPr>
      <w:r w:rsidRPr="0078496E">
        <w:rPr>
          <w:rFonts w:cstheme="minorHAnsi"/>
          <w:sz w:val="24"/>
          <w:szCs w:val="24"/>
        </w:rPr>
        <w:t>Sukladno</w:t>
      </w:r>
      <w:r>
        <w:rPr>
          <w:rFonts w:cstheme="minorHAnsi"/>
          <w:sz w:val="24"/>
          <w:szCs w:val="24"/>
        </w:rPr>
        <w:t xml:space="preserve"> članku 65.</w:t>
      </w:r>
      <w:r w:rsidRPr="0078496E">
        <w:rPr>
          <w:rFonts w:cstheme="minorHAnsi"/>
          <w:sz w:val="24"/>
          <w:szCs w:val="24"/>
        </w:rPr>
        <w:t xml:space="preserve"> Zakonu o proračunu, sredstva proračun</w:t>
      </w:r>
      <w:r>
        <w:rPr>
          <w:rFonts w:cstheme="minorHAnsi"/>
          <w:sz w:val="24"/>
          <w:szCs w:val="24"/>
        </w:rPr>
        <w:t xml:space="preserve">ske zalihe mogu se koristiti </w:t>
      </w:r>
      <w:r w:rsidRPr="0078496E">
        <w:rPr>
          <w:rFonts w:cstheme="minorHAnsi"/>
          <w:sz w:val="24"/>
          <w:szCs w:val="24"/>
        </w:rPr>
        <w:t>za financiranje rashoda nastalih pri otklanjanju posljedica elementarnih nepogoda, epidemija, ekoloških nesreća i ostalih nepredvidivih nesreća</w:t>
      </w:r>
      <w:r>
        <w:rPr>
          <w:rFonts w:cstheme="minorHAnsi"/>
          <w:sz w:val="24"/>
          <w:szCs w:val="24"/>
        </w:rPr>
        <w:t xml:space="preserve"> odnosno izvanrednih događaja tijekom godine. </w:t>
      </w:r>
    </w:p>
    <w:p w14:paraId="4A1BC364" w14:textId="306EF137" w:rsidR="009E3015" w:rsidRDefault="009E3015" w:rsidP="009E3015">
      <w:pPr>
        <w:spacing w:after="0" w:line="240" w:lineRule="auto"/>
        <w:jc w:val="both"/>
        <w:rPr>
          <w:rFonts w:cstheme="minorHAnsi"/>
          <w:sz w:val="24"/>
          <w:szCs w:val="24"/>
        </w:rPr>
      </w:pPr>
      <w:r w:rsidRPr="0078496E">
        <w:rPr>
          <w:rFonts w:cstheme="minorHAnsi"/>
          <w:sz w:val="24"/>
          <w:szCs w:val="24"/>
        </w:rPr>
        <w:t>U</w:t>
      </w:r>
      <w:r>
        <w:rPr>
          <w:rFonts w:cstheme="minorHAnsi"/>
          <w:sz w:val="24"/>
          <w:szCs w:val="24"/>
        </w:rPr>
        <w:t xml:space="preserve"> Odluci o izvršavanju proračuna </w:t>
      </w:r>
      <w:r w:rsidRPr="0078496E">
        <w:rPr>
          <w:rFonts w:cstheme="minorHAnsi"/>
          <w:sz w:val="24"/>
          <w:szCs w:val="24"/>
        </w:rPr>
        <w:t>z</w:t>
      </w:r>
      <w:r>
        <w:rPr>
          <w:rFonts w:cstheme="minorHAnsi"/>
          <w:sz w:val="24"/>
          <w:szCs w:val="24"/>
        </w:rPr>
        <w:t>a 202</w:t>
      </w:r>
      <w:r w:rsidR="00592D5D">
        <w:rPr>
          <w:rFonts w:cstheme="minorHAnsi"/>
          <w:sz w:val="24"/>
          <w:szCs w:val="24"/>
        </w:rPr>
        <w:t>5</w:t>
      </w:r>
      <w:r w:rsidRPr="0078496E">
        <w:rPr>
          <w:rFonts w:cstheme="minorHAnsi"/>
          <w:sz w:val="24"/>
          <w:szCs w:val="24"/>
        </w:rPr>
        <w:t>. godinu utvrđena</w:t>
      </w:r>
      <w:r>
        <w:rPr>
          <w:rFonts w:cstheme="minorHAnsi"/>
          <w:sz w:val="24"/>
          <w:szCs w:val="24"/>
        </w:rPr>
        <w:t xml:space="preserve"> je visina sredstava proračunske zalihe</w:t>
      </w:r>
      <w:r w:rsidRPr="0078496E">
        <w:rPr>
          <w:rFonts w:cstheme="minorHAnsi"/>
          <w:sz w:val="24"/>
          <w:szCs w:val="24"/>
        </w:rPr>
        <w:t xml:space="preserve"> u okviru skupine 385- proračunska pri</w:t>
      </w:r>
      <w:r>
        <w:rPr>
          <w:rFonts w:cstheme="minorHAnsi"/>
          <w:sz w:val="24"/>
          <w:szCs w:val="24"/>
        </w:rPr>
        <w:t xml:space="preserve">čuva u iznosu od </w:t>
      </w:r>
      <w:r w:rsidR="00D63F66">
        <w:rPr>
          <w:rFonts w:cstheme="minorHAnsi"/>
          <w:sz w:val="24"/>
          <w:szCs w:val="24"/>
        </w:rPr>
        <w:t>40.000,00</w:t>
      </w:r>
      <w:r>
        <w:rPr>
          <w:rFonts w:cstheme="minorHAnsi"/>
          <w:sz w:val="24"/>
          <w:szCs w:val="24"/>
        </w:rPr>
        <w:t xml:space="preserve"> eura. </w:t>
      </w:r>
    </w:p>
    <w:p w14:paraId="2623B5DC" w14:textId="77777777" w:rsidR="009E3015" w:rsidRDefault="009E3015" w:rsidP="009E3015">
      <w:pPr>
        <w:spacing w:after="0" w:line="240" w:lineRule="auto"/>
        <w:jc w:val="both"/>
        <w:rPr>
          <w:rFonts w:cstheme="minorHAnsi"/>
          <w:sz w:val="24"/>
          <w:szCs w:val="24"/>
        </w:rPr>
      </w:pPr>
      <w:r>
        <w:rPr>
          <w:rFonts w:cstheme="minorHAnsi"/>
          <w:sz w:val="24"/>
          <w:szCs w:val="24"/>
        </w:rPr>
        <w:t>Člankom 66. Zakona o proračunu, utvrđeno je tko odlučuje o korištenju proračunske zalihe te obveza izvještavanja o njezinom korištenju. O korištenju proračunske zalihe odlučuje Gradonačelnik.</w:t>
      </w:r>
    </w:p>
    <w:p w14:paraId="43048D4B" w14:textId="5454E068" w:rsidR="009E3015" w:rsidRDefault="009E3015" w:rsidP="009E3015">
      <w:pPr>
        <w:spacing w:after="0" w:line="240" w:lineRule="auto"/>
        <w:jc w:val="both"/>
        <w:rPr>
          <w:rFonts w:cstheme="minorHAnsi"/>
          <w:sz w:val="24"/>
          <w:szCs w:val="24"/>
        </w:rPr>
      </w:pPr>
      <w:r>
        <w:rPr>
          <w:rFonts w:cstheme="minorHAnsi"/>
          <w:sz w:val="24"/>
          <w:szCs w:val="24"/>
        </w:rPr>
        <w:t>U izvještajnom razdoblju 202</w:t>
      </w:r>
      <w:r w:rsidR="00592D5D">
        <w:rPr>
          <w:rFonts w:cstheme="minorHAnsi"/>
          <w:sz w:val="24"/>
          <w:szCs w:val="24"/>
        </w:rPr>
        <w:t>5</w:t>
      </w:r>
      <w:r>
        <w:rPr>
          <w:rFonts w:cstheme="minorHAnsi"/>
          <w:sz w:val="24"/>
          <w:szCs w:val="24"/>
        </w:rPr>
        <w:t>.godine nisu korištena sredstva proračunske zalihe.</w:t>
      </w:r>
    </w:p>
    <w:p w14:paraId="4B9E2454" w14:textId="77777777" w:rsidR="008E74C5" w:rsidRDefault="008E74C5" w:rsidP="009E3015">
      <w:pPr>
        <w:spacing w:after="0" w:line="240" w:lineRule="auto"/>
        <w:jc w:val="both"/>
        <w:rPr>
          <w:rFonts w:cstheme="minorHAnsi"/>
          <w:sz w:val="24"/>
          <w:szCs w:val="24"/>
        </w:rPr>
      </w:pPr>
    </w:p>
    <w:p w14:paraId="41E375EC" w14:textId="4FACD074" w:rsidR="009E3015" w:rsidRPr="009E3015" w:rsidRDefault="009E3015" w:rsidP="009E3015">
      <w:pPr>
        <w:spacing w:after="0"/>
        <w:rPr>
          <w:rFonts w:cstheme="minorHAnsi"/>
          <w:b/>
          <w:sz w:val="24"/>
          <w:szCs w:val="24"/>
        </w:rPr>
      </w:pPr>
      <w:r w:rsidRPr="009E3015">
        <w:rPr>
          <w:rFonts w:cstheme="minorHAnsi"/>
          <w:b/>
          <w:sz w:val="24"/>
          <w:szCs w:val="24"/>
        </w:rPr>
        <w:t>5.2.  IZVJEŠTAJ O ZADUŽIVANJU NA DOMAĆEM I STRANOM</w:t>
      </w:r>
      <w:r>
        <w:rPr>
          <w:rFonts w:cstheme="minorHAnsi"/>
          <w:b/>
          <w:sz w:val="24"/>
          <w:szCs w:val="24"/>
        </w:rPr>
        <w:t xml:space="preserve"> </w:t>
      </w:r>
      <w:r w:rsidRPr="0007014E">
        <w:rPr>
          <w:rFonts w:cstheme="minorHAnsi"/>
          <w:b/>
          <w:sz w:val="24"/>
          <w:szCs w:val="24"/>
        </w:rPr>
        <w:t>TRŽIŠTU NOVCA I KAPITALA</w:t>
      </w:r>
      <w:r>
        <w:rPr>
          <w:rFonts w:cstheme="minorHAnsi"/>
          <w:b/>
          <w:sz w:val="24"/>
          <w:szCs w:val="24"/>
        </w:rPr>
        <w:t xml:space="preserve"> U  202</w:t>
      </w:r>
      <w:r w:rsidR="00D63F66">
        <w:rPr>
          <w:rFonts w:cstheme="minorHAnsi"/>
          <w:b/>
          <w:sz w:val="24"/>
          <w:szCs w:val="24"/>
        </w:rPr>
        <w:t>5</w:t>
      </w:r>
      <w:r>
        <w:rPr>
          <w:rFonts w:cstheme="minorHAnsi"/>
          <w:b/>
          <w:sz w:val="24"/>
          <w:szCs w:val="24"/>
        </w:rPr>
        <w:t>.GODINI</w:t>
      </w:r>
    </w:p>
    <w:p w14:paraId="4E2FACCF" w14:textId="77777777" w:rsidR="009E3015" w:rsidRDefault="009E3015" w:rsidP="009E3015">
      <w:pPr>
        <w:spacing w:after="0"/>
        <w:rPr>
          <w:rFonts w:ascii="Times New Roman" w:hAnsi="Times New Roman"/>
          <w:sz w:val="24"/>
          <w:szCs w:val="24"/>
        </w:rPr>
      </w:pPr>
    </w:p>
    <w:p w14:paraId="16056562" w14:textId="075BA039" w:rsidR="009E3015" w:rsidRDefault="009E3015" w:rsidP="009E3015">
      <w:pPr>
        <w:spacing w:after="0"/>
        <w:jc w:val="both"/>
        <w:rPr>
          <w:rFonts w:cstheme="minorHAnsi"/>
          <w:sz w:val="24"/>
          <w:szCs w:val="24"/>
        </w:rPr>
      </w:pPr>
      <w:r w:rsidRPr="00BF7AF6">
        <w:rPr>
          <w:rFonts w:cstheme="minorHAnsi"/>
          <w:sz w:val="24"/>
          <w:szCs w:val="24"/>
        </w:rPr>
        <w:t xml:space="preserve">Pravilnikom o </w:t>
      </w:r>
      <w:r>
        <w:rPr>
          <w:rFonts w:cstheme="minorHAnsi"/>
          <w:sz w:val="24"/>
          <w:szCs w:val="24"/>
        </w:rPr>
        <w:t xml:space="preserve">polugodišnjem i godišnjem izvještaju o izvršenju proračuna (NN br.85/23) propisano je da godišnji Izvještaj o zaduživanju na domaćem i stranom tržištu novca i kapitala daje pregled zaduživanja koje je ugovorila jedinica lokalne i područne (regionalne) samouprave kao i pregled zaduživanja koje su ugovorili njezini proračunski korisnici u izvještajnom razdoblju po vrsti instrumenata, valutnoj, kamatnoj i ročnoj strukturi te stanje </w:t>
      </w:r>
      <w:r>
        <w:rPr>
          <w:rFonts w:cstheme="minorHAnsi"/>
          <w:sz w:val="24"/>
          <w:szCs w:val="24"/>
        </w:rPr>
        <w:lastRenderedPageBreak/>
        <w:t>obveza za vrijednosne papire, kredite i zajmove koje je ugovorila jedinica lokalne i područne (regionalne) samouprave i stanje obveza za kredite i zajmove koje su ugovorili njezini proračunski korisnici  na početku i na kraju proračunske godine kao i iznose otplata navedenih obveza raspoređene prema dospijeću u narednim godinama.</w:t>
      </w:r>
    </w:p>
    <w:p w14:paraId="674EE8E1" w14:textId="77777777" w:rsidR="009E3015" w:rsidRDefault="009E3015" w:rsidP="009E3015">
      <w:pPr>
        <w:spacing w:after="0"/>
        <w:jc w:val="both"/>
        <w:rPr>
          <w:rFonts w:cstheme="minorHAnsi"/>
          <w:sz w:val="24"/>
          <w:szCs w:val="24"/>
        </w:rPr>
      </w:pPr>
    </w:p>
    <w:p w14:paraId="24AA7EA4" w14:textId="77777777" w:rsidR="009E3015" w:rsidRPr="006C386D" w:rsidRDefault="009E3015" w:rsidP="009E3015">
      <w:pPr>
        <w:spacing w:after="0"/>
        <w:jc w:val="both"/>
        <w:rPr>
          <w:rFonts w:cstheme="minorHAnsi"/>
          <w:b/>
          <w:sz w:val="24"/>
          <w:szCs w:val="24"/>
        </w:rPr>
      </w:pPr>
      <w:r w:rsidRPr="006C386D">
        <w:rPr>
          <w:rFonts w:cstheme="minorHAnsi"/>
          <w:b/>
          <w:sz w:val="24"/>
          <w:szCs w:val="24"/>
        </w:rPr>
        <w:t xml:space="preserve">STANJE OBVEZA ZA PRIMLJENE KREDITE I ZAJMOVE - GRAD TROGIR </w:t>
      </w:r>
    </w:p>
    <w:p w14:paraId="3BC90EC7" w14:textId="77777777" w:rsidR="009E3015" w:rsidRPr="00A63D93" w:rsidRDefault="009E3015" w:rsidP="009E3015">
      <w:pPr>
        <w:pStyle w:val="Odlomakpopisa"/>
        <w:spacing w:after="0"/>
        <w:ind w:left="1080"/>
        <w:jc w:val="center"/>
        <w:rPr>
          <w:rFonts w:ascii="Times New Roman" w:hAnsi="Times New Roman"/>
          <w:b/>
        </w:rPr>
      </w:pPr>
    </w:p>
    <w:p w14:paraId="2B48C0C9" w14:textId="77777777" w:rsidR="009E3015" w:rsidRDefault="009E3015" w:rsidP="009E3015">
      <w:pPr>
        <w:autoSpaceDE w:val="0"/>
        <w:autoSpaceDN w:val="0"/>
        <w:adjustRightInd w:val="0"/>
        <w:spacing w:after="0" w:line="240" w:lineRule="auto"/>
        <w:jc w:val="both"/>
        <w:rPr>
          <w:rFonts w:eastAsia="Times New Roman" w:cstheme="minorHAnsi"/>
          <w:sz w:val="24"/>
          <w:szCs w:val="24"/>
          <w:lang w:eastAsia="hr-HR"/>
        </w:rPr>
      </w:pPr>
      <w:r w:rsidRPr="0078496E">
        <w:rPr>
          <w:rFonts w:eastAsia="Times New Roman" w:cstheme="minorHAnsi"/>
          <w:sz w:val="24"/>
          <w:szCs w:val="24"/>
          <w:lang w:eastAsia="hr-HR"/>
        </w:rPr>
        <w:t>Zaduživanje jedinica lokalne i područne (regionalne) samouprave regulirano je Zakonom o proračunu</w:t>
      </w:r>
      <w:r>
        <w:rPr>
          <w:rFonts w:eastAsia="Times New Roman" w:cstheme="minorHAnsi"/>
          <w:sz w:val="24"/>
          <w:szCs w:val="24"/>
          <w:lang w:eastAsia="hr-HR"/>
        </w:rPr>
        <w:t xml:space="preserve"> (NN br. 144/21)</w:t>
      </w:r>
      <w:r w:rsidRPr="0078496E">
        <w:rPr>
          <w:rFonts w:eastAsia="Times New Roman" w:cstheme="minorHAnsi"/>
          <w:sz w:val="24"/>
          <w:szCs w:val="24"/>
          <w:lang w:eastAsia="hr-HR"/>
        </w:rPr>
        <w:t xml:space="preserve"> </w:t>
      </w:r>
      <w:r>
        <w:rPr>
          <w:rFonts w:eastAsia="Times New Roman" w:cstheme="minorHAnsi"/>
          <w:sz w:val="24"/>
          <w:szCs w:val="24"/>
          <w:lang w:eastAsia="hr-HR"/>
        </w:rPr>
        <w:t xml:space="preserve">i </w:t>
      </w:r>
      <w:r w:rsidRPr="0078496E">
        <w:rPr>
          <w:rFonts w:eastAsia="Times New Roman" w:cstheme="minorHAnsi"/>
          <w:sz w:val="24"/>
          <w:szCs w:val="24"/>
          <w:lang w:eastAsia="hr-HR"/>
        </w:rPr>
        <w:t>Pravilnikom o postupku zaduživanja te davanju jamstava i suglasnosti jedinica lokalne i područne (regionalne) samouprave (Naro</w:t>
      </w:r>
      <w:r>
        <w:rPr>
          <w:rFonts w:eastAsia="Times New Roman" w:cstheme="minorHAnsi"/>
          <w:sz w:val="24"/>
          <w:szCs w:val="24"/>
          <w:lang w:eastAsia="hr-HR"/>
        </w:rPr>
        <w:t>dne novine, broj 67/22</w:t>
      </w:r>
      <w:r w:rsidRPr="0078496E">
        <w:rPr>
          <w:rFonts w:eastAsia="Times New Roman" w:cstheme="minorHAnsi"/>
          <w:sz w:val="24"/>
          <w:szCs w:val="24"/>
          <w:lang w:eastAsia="hr-HR"/>
        </w:rPr>
        <w:t>.).</w:t>
      </w:r>
      <w:r>
        <w:rPr>
          <w:rFonts w:eastAsia="Times New Roman" w:cstheme="minorHAnsi"/>
          <w:sz w:val="24"/>
          <w:szCs w:val="24"/>
          <w:lang w:eastAsia="hr-HR"/>
        </w:rPr>
        <w:t xml:space="preserve"> Pod zaduživanjem se podrazumijeva uzimanje kredita, zajmova i izdavanje vrijednosnih papira. </w:t>
      </w:r>
    </w:p>
    <w:p w14:paraId="2118A65A" w14:textId="65F4A8E5" w:rsidR="009E3015" w:rsidRDefault="009E3015" w:rsidP="009E3015">
      <w:pPr>
        <w:autoSpaceDE w:val="0"/>
        <w:autoSpaceDN w:val="0"/>
        <w:adjustRightInd w:val="0"/>
        <w:spacing w:after="0" w:line="240" w:lineRule="auto"/>
        <w:jc w:val="both"/>
        <w:rPr>
          <w:rFonts w:eastAsia="Times New Roman" w:cstheme="minorHAnsi"/>
          <w:sz w:val="24"/>
          <w:szCs w:val="24"/>
          <w:lang w:eastAsia="hr-HR"/>
        </w:rPr>
      </w:pPr>
      <w:r>
        <w:rPr>
          <w:rFonts w:eastAsia="Times New Roman" w:cstheme="minorHAnsi"/>
          <w:sz w:val="24"/>
          <w:szCs w:val="24"/>
          <w:lang w:eastAsia="hr-HR"/>
        </w:rPr>
        <w:t>U izvještajnom razdoblju 202</w:t>
      </w:r>
      <w:r w:rsidR="0054624A">
        <w:rPr>
          <w:rFonts w:eastAsia="Times New Roman" w:cstheme="minorHAnsi"/>
          <w:sz w:val="24"/>
          <w:szCs w:val="24"/>
          <w:lang w:eastAsia="hr-HR"/>
        </w:rPr>
        <w:t>5</w:t>
      </w:r>
      <w:r>
        <w:rPr>
          <w:rFonts w:eastAsia="Times New Roman" w:cstheme="minorHAnsi"/>
          <w:sz w:val="24"/>
          <w:szCs w:val="24"/>
          <w:lang w:eastAsia="hr-HR"/>
        </w:rPr>
        <w:t>. godine Grad Trogir se nije zaduživao za nove dugoročne kredite, te se u nastavku daje pregled dugoročnih kredita Grada Trogira ugovorenih u prethodnim godinama kao i stanje obveza za kredite na 31.12.202</w:t>
      </w:r>
      <w:r w:rsidR="0054624A">
        <w:rPr>
          <w:rFonts w:eastAsia="Times New Roman" w:cstheme="minorHAnsi"/>
          <w:sz w:val="24"/>
          <w:szCs w:val="24"/>
          <w:lang w:eastAsia="hr-HR"/>
        </w:rPr>
        <w:t>5</w:t>
      </w:r>
      <w:r>
        <w:rPr>
          <w:rFonts w:eastAsia="Times New Roman" w:cstheme="minorHAnsi"/>
          <w:sz w:val="24"/>
          <w:szCs w:val="24"/>
          <w:lang w:eastAsia="hr-HR"/>
        </w:rPr>
        <w:t>. godine s iznosima godišnjih otplata navedenih obveza u narednim godinama.</w:t>
      </w:r>
    </w:p>
    <w:p w14:paraId="49B2A189" w14:textId="77777777" w:rsidR="009E3015" w:rsidRDefault="009E3015" w:rsidP="009E3015">
      <w:pPr>
        <w:spacing w:after="0" w:line="240" w:lineRule="auto"/>
        <w:jc w:val="both"/>
        <w:rPr>
          <w:rFonts w:eastAsia="Times New Roman" w:cstheme="minorHAnsi"/>
          <w:sz w:val="24"/>
          <w:szCs w:val="24"/>
          <w:lang w:eastAsia="hr-HR"/>
        </w:rPr>
      </w:pPr>
    </w:p>
    <w:p w14:paraId="64EBF29D" w14:textId="77777777" w:rsidR="009E3015" w:rsidRDefault="009E3015" w:rsidP="009E3015">
      <w:pPr>
        <w:autoSpaceDE w:val="0"/>
        <w:autoSpaceDN w:val="0"/>
        <w:adjustRightInd w:val="0"/>
        <w:spacing w:after="0" w:line="240" w:lineRule="auto"/>
        <w:jc w:val="both"/>
        <w:rPr>
          <w:rFonts w:eastAsia="Times New Roman" w:cstheme="minorHAnsi"/>
          <w:sz w:val="24"/>
          <w:szCs w:val="24"/>
          <w:u w:val="single"/>
          <w:lang w:eastAsia="hr-HR"/>
        </w:rPr>
      </w:pPr>
      <w:r w:rsidRPr="005D25A0">
        <w:rPr>
          <w:rFonts w:eastAsia="Times New Roman" w:cstheme="minorHAnsi"/>
          <w:sz w:val="24"/>
          <w:szCs w:val="24"/>
          <w:u w:val="single"/>
          <w:lang w:eastAsia="hr-HR"/>
        </w:rPr>
        <w:t>1. DUGOROČNI KREDIT RAIFFEISENBANK  ZA REALIZACIJU KAPITALNIH PROJEKATA</w:t>
      </w:r>
      <w:r>
        <w:rPr>
          <w:rFonts w:eastAsia="Times New Roman" w:cstheme="minorHAnsi"/>
          <w:sz w:val="24"/>
          <w:szCs w:val="24"/>
          <w:u w:val="single"/>
          <w:lang w:eastAsia="hr-HR"/>
        </w:rPr>
        <w:t xml:space="preserve"> (partija </w:t>
      </w:r>
      <w:r>
        <w:rPr>
          <w:rFonts w:eastAsia="Times New Roman" w:cstheme="minorHAnsi"/>
          <w:sz w:val="24"/>
          <w:szCs w:val="24"/>
          <w:lang w:eastAsia="hr-HR"/>
        </w:rPr>
        <w:t>854945)</w:t>
      </w:r>
    </w:p>
    <w:p w14:paraId="4AC755D0" w14:textId="69504515" w:rsidR="009E3015" w:rsidRDefault="009E3015" w:rsidP="009E3015">
      <w:pPr>
        <w:autoSpaceDE w:val="0"/>
        <w:autoSpaceDN w:val="0"/>
        <w:adjustRightInd w:val="0"/>
        <w:spacing w:after="0" w:line="240" w:lineRule="auto"/>
        <w:jc w:val="both"/>
        <w:rPr>
          <w:rFonts w:eastAsia="Times New Roman" w:cstheme="minorHAnsi"/>
          <w:sz w:val="24"/>
          <w:szCs w:val="24"/>
          <w:lang w:eastAsia="hr-HR"/>
        </w:rPr>
      </w:pPr>
      <w:r w:rsidRPr="00C70D03">
        <w:rPr>
          <w:rFonts w:eastAsia="Times New Roman" w:cstheme="minorHAnsi"/>
          <w:sz w:val="24"/>
          <w:szCs w:val="24"/>
          <w:lang w:eastAsia="hr-HR"/>
        </w:rPr>
        <w:t xml:space="preserve">Gradsko </w:t>
      </w:r>
      <w:r>
        <w:rPr>
          <w:rFonts w:eastAsia="Times New Roman" w:cstheme="minorHAnsi"/>
          <w:sz w:val="24"/>
          <w:szCs w:val="24"/>
          <w:lang w:eastAsia="hr-HR"/>
        </w:rPr>
        <w:t xml:space="preserve">vijeće Grada Trogira je na sjednici 26.srpnja 2019. godine donijelo Odluku o zaduživanju Grada Trogira za realizaciju kapitalnih projekata„ Uređenje trga kod ribarnice“ i „Nabava poslovnog prostora za dječji vrtić“. Slijedom navedenog, dana 3.listopada 2019. godine od Ministarstva financija je dobivena suglasnost da se Grad Trogir može zadužiti te je Grad Trogir dana 29.10.2019. godine sklopio s </w:t>
      </w:r>
      <w:proofErr w:type="spellStart"/>
      <w:r>
        <w:rPr>
          <w:rFonts w:eastAsia="Times New Roman" w:cstheme="minorHAnsi"/>
          <w:sz w:val="24"/>
          <w:szCs w:val="24"/>
          <w:lang w:eastAsia="hr-HR"/>
        </w:rPr>
        <w:t>Raiffeisenbank</w:t>
      </w:r>
      <w:proofErr w:type="spellEnd"/>
      <w:r>
        <w:rPr>
          <w:rFonts w:eastAsia="Times New Roman" w:cstheme="minorHAnsi"/>
          <w:sz w:val="24"/>
          <w:szCs w:val="24"/>
          <w:lang w:eastAsia="hr-HR"/>
        </w:rPr>
        <w:t xml:space="preserve"> </w:t>
      </w:r>
      <w:proofErr w:type="spellStart"/>
      <w:r>
        <w:rPr>
          <w:rFonts w:eastAsia="Times New Roman" w:cstheme="minorHAnsi"/>
          <w:sz w:val="24"/>
          <w:szCs w:val="24"/>
          <w:lang w:eastAsia="hr-HR"/>
        </w:rPr>
        <w:t>Austria</w:t>
      </w:r>
      <w:proofErr w:type="spellEnd"/>
      <w:r>
        <w:rPr>
          <w:rFonts w:eastAsia="Times New Roman" w:cstheme="minorHAnsi"/>
          <w:sz w:val="24"/>
          <w:szCs w:val="24"/>
          <w:lang w:eastAsia="hr-HR"/>
        </w:rPr>
        <w:t xml:space="preserve"> d.d. Zagreb Ugovor o dugoročnom kreditu br.19418010061 partija 418-854945 7897 odobrenog iz sredstava HBOR-a u iznosu od</w:t>
      </w:r>
      <w:r w:rsidR="00FC2500">
        <w:rPr>
          <w:rFonts w:eastAsia="Times New Roman" w:cstheme="minorHAnsi"/>
          <w:sz w:val="24"/>
          <w:szCs w:val="24"/>
          <w:lang w:eastAsia="hr-HR"/>
        </w:rPr>
        <w:t xml:space="preserve"> 683.522,46</w:t>
      </w:r>
      <w:r>
        <w:rPr>
          <w:rFonts w:eastAsia="Times New Roman" w:cstheme="minorHAnsi"/>
          <w:sz w:val="24"/>
          <w:szCs w:val="24"/>
          <w:lang w:eastAsia="hr-HR"/>
        </w:rPr>
        <w:t xml:space="preserve"> </w:t>
      </w:r>
      <w:r w:rsidR="00FC2500">
        <w:rPr>
          <w:rFonts w:eastAsia="Times New Roman" w:cstheme="minorHAnsi"/>
          <w:sz w:val="24"/>
          <w:szCs w:val="24"/>
          <w:lang w:eastAsia="hr-HR"/>
        </w:rPr>
        <w:t>eura (</w:t>
      </w:r>
      <w:r>
        <w:rPr>
          <w:rFonts w:eastAsia="Times New Roman" w:cstheme="minorHAnsi"/>
          <w:sz w:val="24"/>
          <w:szCs w:val="24"/>
          <w:lang w:eastAsia="hr-HR"/>
        </w:rPr>
        <w:t>5.150.000 kn</w:t>
      </w:r>
      <w:r w:rsidR="00FC2500">
        <w:rPr>
          <w:rFonts w:eastAsia="Times New Roman" w:cstheme="minorHAnsi"/>
          <w:sz w:val="24"/>
          <w:szCs w:val="24"/>
          <w:lang w:eastAsia="hr-HR"/>
        </w:rPr>
        <w:t>)</w:t>
      </w:r>
      <w:r>
        <w:rPr>
          <w:rFonts w:eastAsia="Times New Roman" w:cstheme="minorHAnsi"/>
          <w:sz w:val="24"/>
          <w:szCs w:val="24"/>
          <w:lang w:eastAsia="hr-HR"/>
        </w:rPr>
        <w:t xml:space="preserve"> za potrebe financiranja kapitalnih projekata „ Uređenje trga kod ribarnice“ i „Nabava poslovnog prostora za dječji vrtić“.</w:t>
      </w:r>
    </w:p>
    <w:p w14:paraId="5C33F22A" w14:textId="77777777" w:rsidR="009E3015" w:rsidRDefault="009E3015" w:rsidP="009E3015">
      <w:pPr>
        <w:autoSpaceDE w:val="0"/>
        <w:autoSpaceDN w:val="0"/>
        <w:adjustRightInd w:val="0"/>
        <w:spacing w:after="0" w:line="240" w:lineRule="auto"/>
        <w:jc w:val="both"/>
        <w:rPr>
          <w:rFonts w:eastAsia="Times New Roman" w:cstheme="minorHAnsi"/>
          <w:sz w:val="24"/>
          <w:szCs w:val="24"/>
          <w:lang w:eastAsia="hr-HR"/>
        </w:rPr>
      </w:pPr>
      <w:r>
        <w:rPr>
          <w:rFonts w:eastAsia="Times New Roman" w:cstheme="minorHAnsi"/>
          <w:sz w:val="24"/>
          <w:szCs w:val="24"/>
          <w:lang w:eastAsia="hr-HR"/>
        </w:rPr>
        <w:t>Rok otplate kredita je 10 godina s 1 godinom počeka, fiksna kamatna stopa iznosi 1,19% godišnje, a otplata kredita je mjesečna. Ukupan iznos glavnice kredita otplaćuje se u 120 jednakih mjesečnih obroka od kojih je prvi obrok započeo s otplatom, sukladno ugovoru, 30.09.2021.godine, a posljednji dospijeva na naplatu 31.08.2031. godine.</w:t>
      </w:r>
    </w:p>
    <w:p w14:paraId="4FDE1AC9" w14:textId="77777777" w:rsidR="009E3015" w:rsidRDefault="009E3015" w:rsidP="009E3015">
      <w:pPr>
        <w:autoSpaceDE w:val="0"/>
        <w:autoSpaceDN w:val="0"/>
        <w:adjustRightInd w:val="0"/>
        <w:spacing w:after="0" w:line="240" w:lineRule="auto"/>
        <w:jc w:val="both"/>
        <w:rPr>
          <w:rFonts w:eastAsia="Times New Roman" w:cstheme="minorHAnsi"/>
          <w:sz w:val="24"/>
          <w:szCs w:val="24"/>
          <w:lang w:eastAsia="hr-HR"/>
        </w:rPr>
      </w:pPr>
      <w:r>
        <w:rPr>
          <w:rFonts w:eastAsia="Times New Roman" w:cstheme="minorHAnsi"/>
          <w:sz w:val="24"/>
          <w:szCs w:val="24"/>
          <w:lang w:eastAsia="hr-HR"/>
        </w:rPr>
        <w:t>Kredit je u cijelosti iskorišten u ukupnom iznosu od 658.319,25 eura do 31.12.2020.godine.</w:t>
      </w:r>
    </w:p>
    <w:p w14:paraId="423B05BF" w14:textId="77777777" w:rsidR="008E74C5" w:rsidRDefault="009E3015" w:rsidP="009E3015">
      <w:pPr>
        <w:autoSpaceDE w:val="0"/>
        <w:autoSpaceDN w:val="0"/>
        <w:adjustRightInd w:val="0"/>
        <w:spacing w:after="0" w:line="240" w:lineRule="auto"/>
        <w:jc w:val="both"/>
        <w:rPr>
          <w:rFonts w:eastAsia="Times New Roman" w:cstheme="minorHAnsi"/>
          <w:sz w:val="24"/>
          <w:szCs w:val="24"/>
          <w:lang w:eastAsia="hr-HR"/>
        </w:rPr>
      </w:pPr>
      <w:r>
        <w:rPr>
          <w:rFonts w:eastAsia="Times New Roman" w:cstheme="minorHAnsi"/>
          <w:sz w:val="24"/>
          <w:szCs w:val="24"/>
          <w:lang w:eastAsia="hr-HR"/>
        </w:rPr>
        <w:t>Na dan 31.12.202</w:t>
      </w:r>
      <w:r w:rsidR="0054624A">
        <w:rPr>
          <w:rFonts w:eastAsia="Times New Roman" w:cstheme="minorHAnsi"/>
          <w:sz w:val="24"/>
          <w:szCs w:val="24"/>
          <w:lang w:eastAsia="hr-HR"/>
        </w:rPr>
        <w:t>5</w:t>
      </w:r>
      <w:r>
        <w:rPr>
          <w:rFonts w:eastAsia="Times New Roman" w:cstheme="minorHAnsi"/>
          <w:sz w:val="24"/>
          <w:szCs w:val="24"/>
          <w:lang w:eastAsia="hr-HR"/>
        </w:rPr>
        <w:t xml:space="preserve">. godine otplaćeno je glavnice </w:t>
      </w:r>
      <w:r w:rsidR="00FC2500">
        <w:rPr>
          <w:rFonts w:eastAsia="Times New Roman" w:cstheme="minorHAnsi"/>
          <w:sz w:val="24"/>
          <w:szCs w:val="24"/>
          <w:lang w:eastAsia="hr-HR"/>
        </w:rPr>
        <w:t>60.345,89</w:t>
      </w:r>
      <w:r>
        <w:rPr>
          <w:rFonts w:eastAsia="Times New Roman" w:cstheme="minorHAnsi"/>
          <w:sz w:val="24"/>
          <w:szCs w:val="24"/>
          <w:lang w:eastAsia="hr-HR"/>
        </w:rPr>
        <w:t xml:space="preserve"> eura (ukupno 1</w:t>
      </w:r>
      <w:r w:rsidR="00214D4D">
        <w:rPr>
          <w:rFonts w:eastAsia="Times New Roman" w:cstheme="minorHAnsi"/>
          <w:sz w:val="24"/>
          <w:szCs w:val="24"/>
          <w:lang w:eastAsia="hr-HR"/>
        </w:rPr>
        <w:t>1</w:t>
      </w:r>
      <w:r>
        <w:rPr>
          <w:rFonts w:eastAsia="Times New Roman" w:cstheme="minorHAnsi"/>
          <w:sz w:val="24"/>
          <w:szCs w:val="24"/>
          <w:lang w:eastAsia="hr-HR"/>
        </w:rPr>
        <w:t xml:space="preserve"> obroka, svaki po 5.485,99 eura). Stanje nedospjelih obveza po ovom kreditu iznosi za glavnicu </w:t>
      </w:r>
      <w:r w:rsidR="00FC2500">
        <w:rPr>
          <w:rFonts w:eastAsia="Times New Roman" w:cstheme="minorHAnsi"/>
          <w:sz w:val="24"/>
          <w:szCs w:val="24"/>
          <w:lang w:eastAsia="hr-HR"/>
        </w:rPr>
        <w:t>378.533,70</w:t>
      </w:r>
      <w:r>
        <w:rPr>
          <w:rFonts w:eastAsia="Times New Roman" w:cstheme="minorHAnsi"/>
          <w:sz w:val="24"/>
          <w:szCs w:val="24"/>
          <w:lang w:eastAsia="hr-HR"/>
        </w:rPr>
        <w:t xml:space="preserve"> eura.</w:t>
      </w:r>
    </w:p>
    <w:p w14:paraId="0FD07C2A" w14:textId="77777777" w:rsidR="00224EFE" w:rsidRDefault="00224EFE" w:rsidP="009E3015">
      <w:pPr>
        <w:autoSpaceDE w:val="0"/>
        <w:autoSpaceDN w:val="0"/>
        <w:adjustRightInd w:val="0"/>
        <w:spacing w:after="0" w:line="240" w:lineRule="auto"/>
        <w:jc w:val="both"/>
        <w:rPr>
          <w:rFonts w:eastAsia="Times New Roman" w:cstheme="minorHAnsi"/>
          <w:sz w:val="24"/>
          <w:szCs w:val="24"/>
          <w:lang w:eastAsia="hr-HR"/>
        </w:rPr>
      </w:pPr>
    </w:p>
    <w:p w14:paraId="016AEEB9" w14:textId="14AEC537" w:rsidR="009E3015" w:rsidRPr="00224EFE" w:rsidRDefault="009E3015" w:rsidP="009E3015">
      <w:pPr>
        <w:autoSpaceDE w:val="0"/>
        <w:autoSpaceDN w:val="0"/>
        <w:adjustRightInd w:val="0"/>
        <w:spacing w:after="0" w:line="240" w:lineRule="auto"/>
        <w:jc w:val="both"/>
        <w:rPr>
          <w:rFonts w:eastAsia="Times New Roman" w:cstheme="minorHAnsi"/>
          <w:sz w:val="24"/>
          <w:szCs w:val="24"/>
          <w:lang w:eastAsia="hr-HR"/>
        </w:rPr>
      </w:pPr>
      <w:r w:rsidRPr="005D25A0">
        <w:rPr>
          <w:rFonts w:eastAsia="Times New Roman" w:cstheme="minorHAnsi"/>
          <w:sz w:val="24"/>
          <w:szCs w:val="24"/>
          <w:u w:val="single"/>
          <w:lang w:eastAsia="hr-HR"/>
        </w:rPr>
        <w:t>2. DUGOROČNI KREDIT RAIFFEISENBANK ZA REALIZACIJU KAPITALNIH PROJEKATA</w:t>
      </w:r>
      <w:r>
        <w:rPr>
          <w:rFonts w:eastAsia="Times New Roman" w:cstheme="minorHAnsi"/>
          <w:sz w:val="24"/>
          <w:szCs w:val="24"/>
          <w:u w:val="single"/>
          <w:lang w:eastAsia="hr-HR"/>
        </w:rPr>
        <w:t xml:space="preserve"> (partija </w:t>
      </w:r>
      <w:r>
        <w:rPr>
          <w:rFonts w:eastAsia="Times New Roman" w:cstheme="minorHAnsi"/>
          <w:sz w:val="24"/>
          <w:szCs w:val="24"/>
          <w:lang w:eastAsia="hr-HR"/>
        </w:rPr>
        <w:t>855003)</w:t>
      </w:r>
    </w:p>
    <w:p w14:paraId="7E54EEAB" w14:textId="7A87B633" w:rsidR="009E3015" w:rsidRDefault="009E3015" w:rsidP="009E3015">
      <w:pPr>
        <w:autoSpaceDE w:val="0"/>
        <w:autoSpaceDN w:val="0"/>
        <w:adjustRightInd w:val="0"/>
        <w:spacing w:after="0" w:line="240" w:lineRule="auto"/>
        <w:jc w:val="both"/>
        <w:rPr>
          <w:rFonts w:eastAsia="Times New Roman" w:cstheme="minorHAnsi"/>
          <w:sz w:val="24"/>
          <w:szCs w:val="24"/>
          <w:lang w:eastAsia="hr-HR"/>
        </w:rPr>
      </w:pPr>
      <w:r w:rsidRPr="00C70D03">
        <w:rPr>
          <w:rFonts w:eastAsia="Times New Roman" w:cstheme="minorHAnsi"/>
          <w:sz w:val="24"/>
          <w:szCs w:val="24"/>
          <w:lang w:eastAsia="hr-HR"/>
        </w:rPr>
        <w:t xml:space="preserve">Gradsko </w:t>
      </w:r>
      <w:r>
        <w:rPr>
          <w:rFonts w:eastAsia="Times New Roman" w:cstheme="minorHAnsi"/>
          <w:sz w:val="24"/>
          <w:szCs w:val="24"/>
          <w:lang w:eastAsia="hr-HR"/>
        </w:rPr>
        <w:t xml:space="preserve">vijeće Grada Trogira je na sjednici 26.srpnja 2019. godine donijelo Odluku o zaduživanju Grada Trogira za realizaciju kapitalnih projekata „Rekonstrukcija ulice Put </w:t>
      </w:r>
      <w:proofErr w:type="spellStart"/>
      <w:r>
        <w:rPr>
          <w:rFonts w:eastAsia="Times New Roman" w:cstheme="minorHAnsi"/>
          <w:sz w:val="24"/>
          <w:szCs w:val="24"/>
          <w:lang w:eastAsia="hr-HR"/>
        </w:rPr>
        <w:t>Dragulina</w:t>
      </w:r>
      <w:proofErr w:type="spellEnd"/>
      <w:r>
        <w:rPr>
          <w:rFonts w:eastAsia="Times New Roman" w:cstheme="minorHAnsi"/>
          <w:sz w:val="24"/>
          <w:szCs w:val="24"/>
          <w:lang w:eastAsia="hr-HR"/>
        </w:rPr>
        <w:t xml:space="preserve">„ i „Izgradnja obalnog pojasa </w:t>
      </w:r>
      <w:proofErr w:type="spellStart"/>
      <w:r>
        <w:rPr>
          <w:rFonts w:eastAsia="Times New Roman" w:cstheme="minorHAnsi"/>
          <w:sz w:val="24"/>
          <w:szCs w:val="24"/>
          <w:lang w:eastAsia="hr-HR"/>
        </w:rPr>
        <w:t>Brigi</w:t>
      </w:r>
      <w:proofErr w:type="spellEnd"/>
      <w:r>
        <w:rPr>
          <w:rFonts w:eastAsia="Times New Roman" w:cstheme="minorHAnsi"/>
          <w:sz w:val="24"/>
          <w:szCs w:val="24"/>
          <w:lang w:eastAsia="hr-HR"/>
        </w:rPr>
        <w:t xml:space="preserve">-Lokvice“. Slijedom navedenog, dana 3.listopada 2019. godine od Ministarstva financija je dobivena suglasnost da se Grad Trogir može zadužiti te je Grad Trogir dana 29.10.2019. godine sklopio s </w:t>
      </w:r>
      <w:proofErr w:type="spellStart"/>
      <w:r>
        <w:rPr>
          <w:rFonts w:eastAsia="Times New Roman" w:cstheme="minorHAnsi"/>
          <w:sz w:val="24"/>
          <w:szCs w:val="24"/>
          <w:lang w:eastAsia="hr-HR"/>
        </w:rPr>
        <w:t>Raiffeisenbank</w:t>
      </w:r>
      <w:proofErr w:type="spellEnd"/>
      <w:r>
        <w:rPr>
          <w:rFonts w:eastAsia="Times New Roman" w:cstheme="minorHAnsi"/>
          <w:sz w:val="24"/>
          <w:szCs w:val="24"/>
          <w:lang w:eastAsia="hr-HR"/>
        </w:rPr>
        <w:t xml:space="preserve"> </w:t>
      </w:r>
      <w:proofErr w:type="spellStart"/>
      <w:r>
        <w:rPr>
          <w:rFonts w:eastAsia="Times New Roman" w:cstheme="minorHAnsi"/>
          <w:sz w:val="24"/>
          <w:szCs w:val="24"/>
          <w:lang w:eastAsia="hr-HR"/>
        </w:rPr>
        <w:t>Austria</w:t>
      </w:r>
      <w:proofErr w:type="spellEnd"/>
      <w:r>
        <w:rPr>
          <w:rFonts w:eastAsia="Times New Roman" w:cstheme="minorHAnsi"/>
          <w:sz w:val="24"/>
          <w:szCs w:val="24"/>
          <w:lang w:eastAsia="hr-HR"/>
        </w:rPr>
        <w:t xml:space="preserve"> d.d. Zagreb Ugovor o dugoročnom kreditu br.19418010062 partija 418-855003 7897 sklopljenom s </w:t>
      </w:r>
      <w:proofErr w:type="spellStart"/>
      <w:r>
        <w:rPr>
          <w:rFonts w:eastAsia="Times New Roman" w:cstheme="minorHAnsi"/>
          <w:sz w:val="24"/>
          <w:szCs w:val="24"/>
          <w:lang w:eastAsia="hr-HR"/>
        </w:rPr>
        <w:t>Raiffeisenbank</w:t>
      </w:r>
      <w:proofErr w:type="spellEnd"/>
      <w:r>
        <w:rPr>
          <w:rFonts w:eastAsia="Times New Roman" w:cstheme="minorHAnsi"/>
          <w:sz w:val="24"/>
          <w:szCs w:val="24"/>
          <w:lang w:eastAsia="hr-HR"/>
        </w:rPr>
        <w:t xml:space="preserve"> </w:t>
      </w:r>
      <w:proofErr w:type="spellStart"/>
      <w:r>
        <w:rPr>
          <w:rFonts w:eastAsia="Times New Roman" w:cstheme="minorHAnsi"/>
          <w:sz w:val="24"/>
          <w:szCs w:val="24"/>
          <w:lang w:eastAsia="hr-HR"/>
        </w:rPr>
        <w:t>Austria</w:t>
      </w:r>
      <w:proofErr w:type="spellEnd"/>
      <w:r>
        <w:rPr>
          <w:rFonts w:eastAsia="Times New Roman" w:cstheme="minorHAnsi"/>
          <w:sz w:val="24"/>
          <w:szCs w:val="24"/>
          <w:lang w:eastAsia="hr-HR"/>
        </w:rPr>
        <w:t xml:space="preserve"> d.d. Zagreb, odobrenog iz sredstava HBOR-a u ukupnom iznosu od </w:t>
      </w:r>
      <w:r w:rsidR="00214D4D">
        <w:rPr>
          <w:rFonts w:eastAsia="Times New Roman" w:cstheme="minorHAnsi"/>
          <w:sz w:val="24"/>
          <w:szCs w:val="24"/>
          <w:lang w:eastAsia="hr-HR"/>
        </w:rPr>
        <w:t>683.522,46 eura (</w:t>
      </w:r>
      <w:r>
        <w:rPr>
          <w:rFonts w:eastAsia="Times New Roman" w:cstheme="minorHAnsi"/>
          <w:sz w:val="24"/>
          <w:szCs w:val="24"/>
          <w:lang w:eastAsia="hr-HR"/>
        </w:rPr>
        <w:t>4.700.000,00 kn</w:t>
      </w:r>
      <w:r w:rsidR="00214D4D">
        <w:rPr>
          <w:rFonts w:eastAsia="Times New Roman" w:cstheme="minorHAnsi"/>
          <w:sz w:val="24"/>
          <w:szCs w:val="24"/>
          <w:lang w:eastAsia="hr-HR"/>
        </w:rPr>
        <w:t>)</w:t>
      </w:r>
      <w:r>
        <w:rPr>
          <w:rFonts w:eastAsia="Times New Roman" w:cstheme="minorHAnsi"/>
          <w:sz w:val="24"/>
          <w:szCs w:val="24"/>
          <w:lang w:eastAsia="hr-HR"/>
        </w:rPr>
        <w:t xml:space="preserve">. </w:t>
      </w:r>
    </w:p>
    <w:p w14:paraId="1B55108F" w14:textId="77777777" w:rsidR="009E3015" w:rsidRDefault="009E3015" w:rsidP="009E3015">
      <w:pPr>
        <w:autoSpaceDE w:val="0"/>
        <w:autoSpaceDN w:val="0"/>
        <w:adjustRightInd w:val="0"/>
        <w:spacing w:after="0" w:line="240" w:lineRule="auto"/>
        <w:jc w:val="both"/>
        <w:rPr>
          <w:rFonts w:eastAsia="Times New Roman" w:cstheme="minorHAnsi"/>
          <w:sz w:val="24"/>
          <w:szCs w:val="24"/>
          <w:lang w:eastAsia="hr-HR"/>
        </w:rPr>
      </w:pPr>
      <w:r>
        <w:rPr>
          <w:rFonts w:eastAsia="Times New Roman" w:cstheme="minorHAnsi"/>
          <w:sz w:val="24"/>
          <w:szCs w:val="24"/>
          <w:lang w:eastAsia="hr-HR"/>
        </w:rPr>
        <w:t xml:space="preserve">Rok otplate kredita je 10 godina s 2 godine počeka, fiksna kamatna stopa iznosi 1,19% godišnje, a otplata kredita je mjesečna. Ukupan iznos glavnice kredita otplaćuje se u 120 </w:t>
      </w:r>
      <w:r>
        <w:rPr>
          <w:rFonts w:eastAsia="Times New Roman" w:cstheme="minorHAnsi"/>
          <w:sz w:val="24"/>
          <w:szCs w:val="24"/>
          <w:lang w:eastAsia="hr-HR"/>
        </w:rPr>
        <w:lastRenderedPageBreak/>
        <w:t>jednakih mjesečnih obroka od kojih je prvi obrok započeo s otplatom, sukladno ugovoru, 30.9.2021. godine, a posljednji ugovoren na dan 31.08.2031.godine</w:t>
      </w:r>
    </w:p>
    <w:p w14:paraId="2968F553" w14:textId="77777777" w:rsidR="009E3015" w:rsidRDefault="009E3015" w:rsidP="009E3015">
      <w:pPr>
        <w:autoSpaceDE w:val="0"/>
        <w:autoSpaceDN w:val="0"/>
        <w:adjustRightInd w:val="0"/>
        <w:spacing w:after="0" w:line="240" w:lineRule="auto"/>
        <w:jc w:val="both"/>
        <w:rPr>
          <w:rFonts w:eastAsia="Times New Roman" w:cstheme="minorHAnsi"/>
          <w:sz w:val="24"/>
          <w:szCs w:val="24"/>
          <w:lang w:eastAsia="hr-HR"/>
        </w:rPr>
      </w:pPr>
      <w:r>
        <w:rPr>
          <w:rFonts w:eastAsia="Times New Roman" w:cstheme="minorHAnsi"/>
          <w:sz w:val="24"/>
          <w:szCs w:val="24"/>
          <w:lang w:eastAsia="hr-HR"/>
        </w:rPr>
        <w:t>Povlačenje kredita je započelo u prosincu 2019. godine i s 31.12.2023. godine je iskorišteno 539.324,28 eura sukladno dinamici realizacije projekata.</w:t>
      </w:r>
    </w:p>
    <w:p w14:paraId="7B1816C4" w14:textId="5BA7CBF4" w:rsidR="009E3015" w:rsidRPr="00FC2500" w:rsidRDefault="00214D4D" w:rsidP="00FC2500">
      <w:pPr>
        <w:jc w:val="both"/>
        <w:rPr>
          <w:sz w:val="24"/>
          <w:szCs w:val="24"/>
        </w:rPr>
      </w:pPr>
      <w:r w:rsidRPr="00B35081">
        <w:rPr>
          <w:sz w:val="24"/>
          <w:szCs w:val="24"/>
        </w:rPr>
        <w:t>Na dan 31.12.2025. godine otplaćeno</w:t>
      </w:r>
      <w:r>
        <w:rPr>
          <w:sz w:val="24"/>
          <w:szCs w:val="24"/>
        </w:rPr>
        <w:t xml:space="preserve"> je</w:t>
      </w:r>
      <w:r w:rsidRPr="00B35081">
        <w:rPr>
          <w:sz w:val="24"/>
          <w:szCs w:val="24"/>
        </w:rPr>
        <w:t xml:space="preserve"> 11 mjesečnih obroka, svaki od </w:t>
      </w:r>
      <w:r>
        <w:rPr>
          <w:sz w:val="24"/>
          <w:szCs w:val="24"/>
        </w:rPr>
        <w:t>4.494,37</w:t>
      </w:r>
      <w:r w:rsidRPr="00B35081">
        <w:rPr>
          <w:sz w:val="24"/>
          <w:szCs w:val="24"/>
        </w:rPr>
        <w:t xml:space="preserve"> eura, odnosno ukupno </w:t>
      </w:r>
      <w:r>
        <w:rPr>
          <w:sz w:val="24"/>
          <w:szCs w:val="24"/>
        </w:rPr>
        <w:t>49.438,07</w:t>
      </w:r>
      <w:r w:rsidRPr="00B35081">
        <w:rPr>
          <w:sz w:val="24"/>
          <w:szCs w:val="24"/>
        </w:rPr>
        <w:t xml:space="preserve"> eura</w:t>
      </w:r>
      <w:r>
        <w:rPr>
          <w:sz w:val="24"/>
          <w:szCs w:val="24"/>
        </w:rPr>
        <w:t>.</w:t>
      </w:r>
      <w:r>
        <w:rPr>
          <w:rFonts w:eastAsia="Times New Roman" w:cstheme="minorHAnsi"/>
          <w:sz w:val="24"/>
          <w:szCs w:val="24"/>
          <w:lang w:eastAsia="hr-HR"/>
        </w:rPr>
        <w:t xml:space="preserve"> Stanje nedospjelih obveza po ovom kreditu iznosi za glavnicu 310.111,43 eura.</w:t>
      </w:r>
    </w:p>
    <w:p w14:paraId="662E6545" w14:textId="4368DC79" w:rsidR="009E3015" w:rsidRDefault="009E3015" w:rsidP="009E3015">
      <w:pPr>
        <w:autoSpaceDE w:val="0"/>
        <w:autoSpaceDN w:val="0"/>
        <w:adjustRightInd w:val="0"/>
        <w:spacing w:after="0" w:line="240" w:lineRule="auto"/>
        <w:jc w:val="both"/>
        <w:rPr>
          <w:rFonts w:eastAsia="Times New Roman" w:cstheme="minorHAnsi"/>
          <w:sz w:val="24"/>
          <w:szCs w:val="24"/>
          <w:u w:val="single"/>
          <w:lang w:eastAsia="hr-HR"/>
        </w:rPr>
      </w:pPr>
      <w:r w:rsidRPr="005D25A0">
        <w:rPr>
          <w:rFonts w:eastAsia="Times New Roman" w:cstheme="minorHAnsi"/>
          <w:sz w:val="24"/>
          <w:szCs w:val="24"/>
          <w:u w:val="single"/>
          <w:lang w:eastAsia="hr-HR"/>
        </w:rPr>
        <w:t>3. DUGOROČNI KREDIT RAIFFEISENBANK ZA REALIZACIJU KAPITALNOG PROJEKTA</w:t>
      </w:r>
      <w:r>
        <w:rPr>
          <w:rFonts w:eastAsia="Times New Roman" w:cstheme="minorHAnsi"/>
          <w:sz w:val="24"/>
          <w:szCs w:val="24"/>
          <w:u w:val="single"/>
          <w:lang w:eastAsia="hr-HR"/>
        </w:rPr>
        <w:t xml:space="preserve"> (partija </w:t>
      </w:r>
      <w:r>
        <w:rPr>
          <w:rFonts w:eastAsia="Times New Roman" w:cstheme="minorHAnsi"/>
          <w:sz w:val="24"/>
          <w:szCs w:val="24"/>
          <w:lang w:eastAsia="hr-HR"/>
        </w:rPr>
        <w:t>854953)</w:t>
      </w:r>
    </w:p>
    <w:p w14:paraId="1CF002E0" w14:textId="4F07AD10" w:rsidR="009E3015" w:rsidRDefault="009E3015" w:rsidP="009E3015">
      <w:pPr>
        <w:autoSpaceDE w:val="0"/>
        <w:autoSpaceDN w:val="0"/>
        <w:adjustRightInd w:val="0"/>
        <w:spacing w:after="0" w:line="240" w:lineRule="auto"/>
        <w:jc w:val="both"/>
        <w:rPr>
          <w:rFonts w:eastAsia="Times New Roman" w:cstheme="minorHAnsi"/>
          <w:sz w:val="24"/>
          <w:szCs w:val="24"/>
          <w:lang w:eastAsia="hr-HR"/>
        </w:rPr>
      </w:pPr>
      <w:r w:rsidRPr="00C70D03">
        <w:rPr>
          <w:rFonts w:eastAsia="Times New Roman" w:cstheme="minorHAnsi"/>
          <w:sz w:val="24"/>
          <w:szCs w:val="24"/>
          <w:lang w:eastAsia="hr-HR"/>
        </w:rPr>
        <w:t xml:space="preserve">Gradsko </w:t>
      </w:r>
      <w:r>
        <w:rPr>
          <w:rFonts w:eastAsia="Times New Roman" w:cstheme="minorHAnsi"/>
          <w:sz w:val="24"/>
          <w:szCs w:val="24"/>
          <w:lang w:eastAsia="hr-HR"/>
        </w:rPr>
        <w:t xml:space="preserve">vijeće Grada Trogira je na sjednici 26. srpnja 2019. godine donijelo Odluku o zaduživanju Grada Trogira za realizaciju kapitalnog projekata „ Izgradnja javne rasvjete“.  Slijedom navedenog, dana 3.listopada 2019. godine od Ministarstva financija je dobivena suglasnost da se Grad Trogir može zadužiti te je Grad Trogir dana 29.10.2019. godine sklopio s </w:t>
      </w:r>
      <w:proofErr w:type="spellStart"/>
      <w:r>
        <w:rPr>
          <w:rFonts w:eastAsia="Times New Roman" w:cstheme="minorHAnsi"/>
          <w:sz w:val="24"/>
          <w:szCs w:val="24"/>
          <w:lang w:eastAsia="hr-HR"/>
        </w:rPr>
        <w:t>Raiffeisenbank</w:t>
      </w:r>
      <w:proofErr w:type="spellEnd"/>
      <w:r>
        <w:rPr>
          <w:rFonts w:eastAsia="Times New Roman" w:cstheme="minorHAnsi"/>
          <w:sz w:val="24"/>
          <w:szCs w:val="24"/>
          <w:lang w:eastAsia="hr-HR"/>
        </w:rPr>
        <w:t xml:space="preserve"> </w:t>
      </w:r>
      <w:proofErr w:type="spellStart"/>
      <w:r>
        <w:rPr>
          <w:rFonts w:eastAsia="Times New Roman" w:cstheme="minorHAnsi"/>
          <w:sz w:val="24"/>
          <w:szCs w:val="24"/>
          <w:lang w:eastAsia="hr-HR"/>
        </w:rPr>
        <w:t>Austria</w:t>
      </w:r>
      <w:proofErr w:type="spellEnd"/>
      <w:r>
        <w:rPr>
          <w:rFonts w:eastAsia="Times New Roman" w:cstheme="minorHAnsi"/>
          <w:sz w:val="24"/>
          <w:szCs w:val="24"/>
          <w:lang w:eastAsia="hr-HR"/>
        </w:rPr>
        <w:t xml:space="preserve"> d.d. Zagreb Ugovor o dugoročnom kreditu br.19418010059 partija 418-854953 7897</w:t>
      </w:r>
      <w:r w:rsidRPr="00B41E32">
        <w:rPr>
          <w:rFonts w:eastAsia="Times New Roman" w:cstheme="minorHAnsi"/>
          <w:sz w:val="24"/>
          <w:szCs w:val="24"/>
          <w:lang w:eastAsia="hr-HR"/>
        </w:rPr>
        <w:t xml:space="preserve"> </w:t>
      </w:r>
      <w:r>
        <w:rPr>
          <w:rFonts w:eastAsia="Times New Roman" w:cstheme="minorHAnsi"/>
          <w:sz w:val="24"/>
          <w:szCs w:val="24"/>
          <w:lang w:eastAsia="hr-HR"/>
        </w:rPr>
        <w:t>odobrenog iz sredstava HBOR-a u ukupnom iznosu od 510.982,81 eura</w:t>
      </w:r>
      <w:r w:rsidR="00DA7BE3">
        <w:rPr>
          <w:rFonts w:eastAsia="Times New Roman" w:cstheme="minorHAnsi"/>
          <w:sz w:val="24"/>
          <w:szCs w:val="24"/>
          <w:lang w:eastAsia="hr-HR"/>
        </w:rPr>
        <w:t xml:space="preserve"> (3.850.000,00 kn)</w:t>
      </w:r>
      <w:r>
        <w:rPr>
          <w:rFonts w:eastAsia="Times New Roman" w:cstheme="minorHAnsi"/>
          <w:sz w:val="24"/>
          <w:szCs w:val="24"/>
          <w:lang w:eastAsia="hr-HR"/>
        </w:rPr>
        <w:t>.</w:t>
      </w:r>
    </w:p>
    <w:p w14:paraId="3EAB1A0D" w14:textId="77777777" w:rsidR="009E3015" w:rsidRDefault="009E3015" w:rsidP="009E3015">
      <w:pPr>
        <w:autoSpaceDE w:val="0"/>
        <w:autoSpaceDN w:val="0"/>
        <w:adjustRightInd w:val="0"/>
        <w:spacing w:after="0" w:line="240" w:lineRule="auto"/>
        <w:jc w:val="both"/>
        <w:rPr>
          <w:rFonts w:eastAsia="Times New Roman" w:cstheme="minorHAnsi"/>
          <w:sz w:val="24"/>
          <w:szCs w:val="24"/>
          <w:lang w:eastAsia="hr-HR"/>
        </w:rPr>
      </w:pPr>
      <w:r>
        <w:rPr>
          <w:rFonts w:eastAsia="Times New Roman" w:cstheme="minorHAnsi"/>
          <w:sz w:val="24"/>
          <w:szCs w:val="24"/>
          <w:lang w:eastAsia="hr-HR"/>
        </w:rPr>
        <w:t>Rok otplate kredita je 10 godina s 2 godine počeka, fiksna kamatna stopa iznosi 1,19% godišnje, a otplata kredita je mjesečna. Ukupan iznos glavnice kredita otplaćuje se u 120 jednakih mjesečnih obroka od kojih prvi dospijeva na naplatu 30.09.2021.g., a posljednji 31.08. 2031.godine.</w:t>
      </w:r>
    </w:p>
    <w:p w14:paraId="451333EC" w14:textId="77777777" w:rsidR="009E3015" w:rsidRDefault="009E3015" w:rsidP="009E3015">
      <w:pPr>
        <w:autoSpaceDE w:val="0"/>
        <w:autoSpaceDN w:val="0"/>
        <w:adjustRightInd w:val="0"/>
        <w:spacing w:after="0" w:line="240" w:lineRule="auto"/>
        <w:jc w:val="both"/>
        <w:rPr>
          <w:rFonts w:eastAsia="Times New Roman" w:cstheme="minorHAnsi"/>
          <w:sz w:val="24"/>
          <w:szCs w:val="24"/>
          <w:lang w:eastAsia="hr-HR"/>
        </w:rPr>
      </w:pPr>
      <w:r>
        <w:rPr>
          <w:rFonts w:eastAsia="Times New Roman" w:cstheme="minorHAnsi"/>
          <w:sz w:val="24"/>
          <w:szCs w:val="24"/>
          <w:lang w:eastAsia="hr-HR"/>
        </w:rPr>
        <w:t>Temeljem Odluke o izmjenama i dopunama Odluke o zaduživanju od 17.srpnja 2020.godine i suglasnosti Ministarstva financija od 3.listopada 2019.godine , Grad Trogir je dana 21.prosinca 2020. godine sklopio Dodatak br.1 Ugovora o kreditu kojim se dio sredstava prenamijenio za kapitalni projekt“ Sanaciju deponija u Planom“, s time da je ukupan ugovoreni iznos ostao nepromijenjen.</w:t>
      </w:r>
    </w:p>
    <w:p w14:paraId="0CBBBE5A" w14:textId="77777777" w:rsidR="009E3015" w:rsidRDefault="009E3015" w:rsidP="009E3015">
      <w:pPr>
        <w:autoSpaceDE w:val="0"/>
        <w:autoSpaceDN w:val="0"/>
        <w:adjustRightInd w:val="0"/>
        <w:spacing w:after="0" w:line="240" w:lineRule="auto"/>
        <w:jc w:val="both"/>
        <w:rPr>
          <w:rFonts w:eastAsia="Times New Roman" w:cstheme="minorHAnsi"/>
          <w:sz w:val="24"/>
          <w:szCs w:val="24"/>
          <w:lang w:eastAsia="hr-HR"/>
        </w:rPr>
      </w:pPr>
      <w:r>
        <w:rPr>
          <w:rFonts w:eastAsia="Times New Roman" w:cstheme="minorHAnsi"/>
          <w:sz w:val="24"/>
          <w:szCs w:val="24"/>
          <w:lang w:eastAsia="hr-HR"/>
        </w:rPr>
        <w:t xml:space="preserve">Povlačenje kredita je počelo u prosincu 2019. godine i s 31.12.2022. godine je iskorišteno u cijelosti 510.982,81 eura kreditnih sredstava. </w:t>
      </w:r>
    </w:p>
    <w:p w14:paraId="788FDEDA" w14:textId="320DCF86" w:rsidR="00224EFE" w:rsidRDefault="00B35081" w:rsidP="00224EFE">
      <w:pPr>
        <w:jc w:val="both"/>
        <w:rPr>
          <w:rFonts w:eastAsia="Times New Roman" w:cstheme="minorHAnsi"/>
          <w:sz w:val="24"/>
          <w:szCs w:val="24"/>
          <w:lang w:eastAsia="hr-HR"/>
        </w:rPr>
      </w:pPr>
      <w:r w:rsidRPr="00B35081">
        <w:rPr>
          <w:sz w:val="24"/>
          <w:szCs w:val="24"/>
        </w:rPr>
        <w:t>Na dan 31.12.2025. godine otplaćeno</w:t>
      </w:r>
      <w:r>
        <w:rPr>
          <w:sz w:val="24"/>
          <w:szCs w:val="24"/>
        </w:rPr>
        <w:t xml:space="preserve"> je</w:t>
      </w:r>
      <w:r w:rsidRPr="00B35081">
        <w:rPr>
          <w:sz w:val="24"/>
          <w:szCs w:val="24"/>
        </w:rPr>
        <w:t xml:space="preserve"> 11 mjesečnih obroka, svaki od 4.258,19 eura, odnosno ukupno 46.840,09 eura</w:t>
      </w:r>
      <w:r>
        <w:rPr>
          <w:sz w:val="24"/>
          <w:szCs w:val="24"/>
        </w:rPr>
        <w:t>.</w:t>
      </w:r>
      <w:r w:rsidR="009E3015">
        <w:rPr>
          <w:rFonts w:eastAsia="Times New Roman" w:cstheme="minorHAnsi"/>
          <w:sz w:val="24"/>
          <w:szCs w:val="24"/>
          <w:lang w:eastAsia="hr-HR"/>
        </w:rPr>
        <w:t xml:space="preserve"> Stanje nedospjelih obveza po ovom kreditu iznosi za glavnicu </w:t>
      </w:r>
      <w:r>
        <w:rPr>
          <w:rFonts w:eastAsia="Times New Roman" w:cstheme="minorHAnsi"/>
          <w:sz w:val="24"/>
          <w:szCs w:val="24"/>
          <w:lang w:eastAsia="hr-HR"/>
        </w:rPr>
        <w:t>293.815,13</w:t>
      </w:r>
      <w:r w:rsidR="009E3015">
        <w:rPr>
          <w:rFonts w:eastAsia="Times New Roman" w:cstheme="minorHAnsi"/>
          <w:sz w:val="24"/>
          <w:szCs w:val="24"/>
          <w:lang w:eastAsia="hr-HR"/>
        </w:rPr>
        <w:t xml:space="preserve"> eura.</w:t>
      </w:r>
    </w:p>
    <w:p w14:paraId="2FFEDBDD" w14:textId="22507838" w:rsidR="009E3015" w:rsidRDefault="009E3015" w:rsidP="009E3015">
      <w:pPr>
        <w:autoSpaceDE w:val="0"/>
        <w:autoSpaceDN w:val="0"/>
        <w:adjustRightInd w:val="0"/>
        <w:spacing w:after="0" w:line="240" w:lineRule="auto"/>
        <w:jc w:val="both"/>
        <w:rPr>
          <w:rFonts w:eastAsia="Times New Roman" w:cstheme="minorHAnsi"/>
          <w:sz w:val="24"/>
          <w:szCs w:val="24"/>
          <w:lang w:eastAsia="hr-HR"/>
        </w:rPr>
      </w:pPr>
      <w:r>
        <w:rPr>
          <w:rFonts w:eastAsia="Times New Roman" w:cstheme="minorHAnsi"/>
          <w:sz w:val="24"/>
          <w:szCs w:val="24"/>
          <w:lang w:eastAsia="hr-HR"/>
        </w:rPr>
        <w:t xml:space="preserve"> </w:t>
      </w:r>
      <w:r>
        <w:rPr>
          <w:rFonts w:eastAsia="Times New Roman" w:cstheme="minorHAnsi"/>
          <w:b/>
          <w:sz w:val="24"/>
          <w:szCs w:val="24"/>
          <w:lang w:eastAsia="hr-HR"/>
        </w:rPr>
        <w:t xml:space="preserve">Tablica </w:t>
      </w:r>
      <w:r w:rsidR="00031E9C">
        <w:rPr>
          <w:rFonts w:eastAsia="Times New Roman" w:cstheme="minorHAnsi"/>
          <w:b/>
          <w:sz w:val="24"/>
          <w:szCs w:val="24"/>
          <w:lang w:eastAsia="hr-HR"/>
        </w:rPr>
        <w:t>7</w:t>
      </w:r>
      <w:r>
        <w:rPr>
          <w:rFonts w:eastAsia="Times New Roman" w:cstheme="minorHAnsi"/>
          <w:sz w:val="24"/>
          <w:szCs w:val="24"/>
          <w:lang w:eastAsia="hr-HR"/>
        </w:rPr>
        <w:t xml:space="preserve">. </w:t>
      </w:r>
      <w:r w:rsidRPr="00812BB7">
        <w:rPr>
          <w:rFonts w:eastAsia="Times New Roman" w:cstheme="minorHAnsi"/>
          <w:lang w:eastAsia="hr-HR"/>
        </w:rPr>
        <w:t xml:space="preserve">Stanje obveza po dugoročnim kreditima na dan </w:t>
      </w:r>
      <w:r>
        <w:rPr>
          <w:rFonts w:eastAsia="Times New Roman" w:cstheme="minorHAnsi"/>
          <w:lang w:eastAsia="hr-HR"/>
        </w:rPr>
        <w:t>31.12.202</w:t>
      </w:r>
      <w:r w:rsidR="00F7643F">
        <w:rPr>
          <w:rFonts w:eastAsia="Times New Roman" w:cstheme="minorHAnsi"/>
          <w:lang w:eastAsia="hr-HR"/>
        </w:rPr>
        <w:t>5</w:t>
      </w:r>
      <w:r w:rsidRPr="00812BB7">
        <w:rPr>
          <w:rFonts w:eastAsia="Times New Roman" w:cstheme="minorHAnsi"/>
          <w:lang w:eastAsia="hr-HR"/>
        </w:rPr>
        <w:t>.godine</w:t>
      </w:r>
      <w:r>
        <w:rPr>
          <w:rFonts w:eastAsia="Times New Roman" w:cstheme="minorHAnsi"/>
          <w:sz w:val="24"/>
          <w:szCs w:val="24"/>
          <w:lang w:eastAsia="hr-HR"/>
        </w:rPr>
        <w:t xml:space="preserve"> </w:t>
      </w:r>
    </w:p>
    <w:p w14:paraId="5F45839A" w14:textId="77777777" w:rsidR="009E3015" w:rsidRDefault="009E3015" w:rsidP="009E3015">
      <w:pPr>
        <w:autoSpaceDE w:val="0"/>
        <w:autoSpaceDN w:val="0"/>
        <w:adjustRightInd w:val="0"/>
        <w:spacing w:after="0" w:line="240" w:lineRule="auto"/>
        <w:jc w:val="both"/>
        <w:rPr>
          <w:rFonts w:eastAsia="Times New Roman" w:cstheme="minorHAnsi"/>
          <w:sz w:val="24"/>
          <w:szCs w:val="24"/>
          <w:lang w:eastAsia="hr-HR"/>
        </w:rPr>
      </w:pPr>
    </w:p>
    <w:tbl>
      <w:tblPr>
        <w:tblW w:w="10594" w:type="dxa"/>
        <w:tblInd w:w="-426" w:type="dxa"/>
        <w:tblLook w:val="04A0" w:firstRow="1" w:lastRow="0" w:firstColumn="1" w:lastColumn="0" w:noHBand="0" w:noVBand="1"/>
      </w:tblPr>
      <w:tblGrid>
        <w:gridCol w:w="2620"/>
        <w:gridCol w:w="2195"/>
        <w:gridCol w:w="2195"/>
        <w:gridCol w:w="1904"/>
        <w:gridCol w:w="1680"/>
      </w:tblGrid>
      <w:tr w:rsidR="009E3015" w:rsidRPr="00865C14" w14:paraId="2A20D424" w14:textId="77777777" w:rsidTr="00484CF6">
        <w:trPr>
          <w:trHeight w:val="307"/>
        </w:trPr>
        <w:tc>
          <w:tcPr>
            <w:tcW w:w="10594" w:type="dxa"/>
            <w:gridSpan w:val="5"/>
            <w:tcBorders>
              <w:top w:val="single" w:sz="4" w:space="0" w:color="auto"/>
              <w:left w:val="nil"/>
              <w:bottom w:val="single" w:sz="4" w:space="0" w:color="auto"/>
              <w:right w:val="nil"/>
            </w:tcBorders>
            <w:noWrap/>
            <w:vAlign w:val="bottom"/>
            <w:hideMark/>
          </w:tcPr>
          <w:p w14:paraId="08D68E61" w14:textId="0B44D7C5" w:rsidR="009E3015" w:rsidRPr="00865C14" w:rsidRDefault="009E3015" w:rsidP="00484CF6">
            <w:pPr>
              <w:spacing w:after="0" w:line="240" w:lineRule="auto"/>
              <w:jc w:val="center"/>
              <w:rPr>
                <w:rFonts w:ascii="Calibri" w:eastAsia="Times New Roman" w:hAnsi="Calibri" w:cs="Calibri"/>
                <w:color w:val="000000"/>
                <w:lang w:eastAsia="hr-HR"/>
              </w:rPr>
            </w:pPr>
            <w:r w:rsidRPr="00865C14">
              <w:rPr>
                <w:rFonts w:ascii="Calibri" w:eastAsia="Times New Roman" w:hAnsi="Calibri" w:cs="Calibri"/>
                <w:color w:val="000000"/>
                <w:lang w:eastAsia="hr-HR"/>
              </w:rPr>
              <w:t xml:space="preserve">Stanje obveza po dugoročnim </w:t>
            </w:r>
            <w:r>
              <w:rPr>
                <w:rFonts w:ascii="Calibri" w:eastAsia="Times New Roman" w:hAnsi="Calibri" w:cs="Calibri"/>
                <w:color w:val="000000"/>
                <w:lang w:eastAsia="hr-HR"/>
              </w:rPr>
              <w:t>kreditima  na dan 31.12.202</w:t>
            </w:r>
            <w:r w:rsidR="002E6435">
              <w:rPr>
                <w:rFonts w:ascii="Calibri" w:eastAsia="Times New Roman" w:hAnsi="Calibri" w:cs="Calibri"/>
                <w:color w:val="000000"/>
                <w:lang w:eastAsia="hr-HR"/>
              </w:rPr>
              <w:t>5</w:t>
            </w:r>
            <w:r>
              <w:rPr>
                <w:rFonts w:ascii="Calibri" w:eastAsia="Times New Roman" w:hAnsi="Calibri" w:cs="Calibri"/>
                <w:color w:val="000000"/>
                <w:lang w:eastAsia="hr-HR"/>
              </w:rPr>
              <w:t>. godine</w:t>
            </w:r>
          </w:p>
        </w:tc>
      </w:tr>
      <w:tr w:rsidR="009E3015" w:rsidRPr="00865C14" w14:paraId="2C51C4F5" w14:textId="77777777" w:rsidTr="00484CF6">
        <w:trPr>
          <w:trHeight w:val="1307"/>
        </w:trPr>
        <w:tc>
          <w:tcPr>
            <w:tcW w:w="2620" w:type="dxa"/>
            <w:tcBorders>
              <w:top w:val="nil"/>
              <w:left w:val="nil"/>
              <w:bottom w:val="single" w:sz="4" w:space="0" w:color="auto"/>
              <w:right w:val="nil"/>
            </w:tcBorders>
            <w:vAlign w:val="center"/>
            <w:hideMark/>
          </w:tcPr>
          <w:p w14:paraId="487725B2" w14:textId="77777777" w:rsidR="009E3015" w:rsidRPr="00865C14" w:rsidRDefault="009E3015" w:rsidP="00484CF6">
            <w:pPr>
              <w:spacing w:after="0" w:line="240" w:lineRule="auto"/>
              <w:jc w:val="center"/>
              <w:rPr>
                <w:rFonts w:ascii="Calibri" w:eastAsia="Times New Roman" w:hAnsi="Calibri" w:cs="Calibri"/>
                <w:b/>
                <w:bCs/>
                <w:color w:val="000000"/>
                <w:lang w:eastAsia="hr-HR"/>
              </w:rPr>
            </w:pPr>
            <w:r w:rsidRPr="00865C14">
              <w:rPr>
                <w:rFonts w:ascii="Calibri" w:eastAsia="Times New Roman" w:hAnsi="Calibri" w:cs="Calibri"/>
                <w:b/>
                <w:bCs/>
                <w:color w:val="000000"/>
                <w:lang w:eastAsia="hr-HR"/>
              </w:rPr>
              <w:t xml:space="preserve">Naziv pravne osobe davatelja kredita </w:t>
            </w:r>
          </w:p>
        </w:tc>
        <w:tc>
          <w:tcPr>
            <w:tcW w:w="2195" w:type="dxa"/>
            <w:tcBorders>
              <w:top w:val="nil"/>
              <w:left w:val="nil"/>
              <w:bottom w:val="single" w:sz="4" w:space="0" w:color="auto"/>
              <w:right w:val="nil"/>
            </w:tcBorders>
            <w:vAlign w:val="center"/>
            <w:hideMark/>
          </w:tcPr>
          <w:p w14:paraId="1DEDF57C" w14:textId="77777777" w:rsidR="009E3015" w:rsidRPr="00865C14" w:rsidRDefault="009E3015" w:rsidP="00484CF6">
            <w:pPr>
              <w:spacing w:after="0" w:line="240" w:lineRule="auto"/>
              <w:jc w:val="center"/>
              <w:rPr>
                <w:rFonts w:ascii="Calibri" w:eastAsia="Times New Roman" w:hAnsi="Calibri" w:cs="Calibri"/>
                <w:b/>
                <w:bCs/>
                <w:color w:val="000000"/>
                <w:lang w:eastAsia="hr-HR"/>
              </w:rPr>
            </w:pPr>
            <w:r w:rsidRPr="00865C14">
              <w:rPr>
                <w:rFonts w:ascii="Calibri" w:eastAsia="Times New Roman" w:hAnsi="Calibri" w:cs="Calibri"/>
                <w:b/>
                <w:bCs/>
                <w:color w:val="000000"/>
                <w:lang w:eastAsia="hr-HR"/>
              </w:rPr>
              <w:t xml:space="preserve">Raiffeisen </w:t>
            </w:r>
            <w:proofErr w:type="spellStart"/>
            <w:r w:rsidRPr="00865C14">
              <w:rPr>
                <w:rFonts w:ascii="Calibri" w:eastAsia="Times New Roman" w:hAnsi="Calibri" w:cs="Calibri"/>
                <w:b/>
                <w:bCs/>
                <w:color w:val="000000"/>
                <w:lang w:eastAsia="hr-HR"/>
              </w:rPr>
              <w:t>bank</w:t>
            </w:r>
            <w:proofErr w:type="spellEnd"/>
            <w:r>
              <w:rPr>
                <w:rFonts w:ascii="Calibri" w:eastAsia="Times New Roman" w:hAnsi="Calibri" w:cs="Calibri"/>
                <w:b/>
                <w:bCs/>
                <w:color w:val="000000"/>
                <w:lang w:eastAsia="hr-HR"/>
              </w:rPr>
              <w:t xml:space="preserve"> (partija 854945)</w:t>
            </w:r>
            <w:r w:rsidRPr="00865C14">
              <w:rPr>
                <w:rFonts w:ascii="Calibri" w:eastAsia="Times New Roman" w:hAnsi="Calibri" w:cs="Calibri"/>
                <w:b/>
                <w:bCs/>
                <w:color w:val="000000"/>
                <w:lang w:eastAsia="hr-HR"/>
              </w:rPr>
              <w:t xml:space="preserve"> (</w:t>
            </w:r>
            <w:r>
              <w:rPr>
                <w:rFonts w:ascii="Calibri" w:eastAsia="Times New Roman" w:hAnsi="Calibri" w:cs="Calibri"/>
                <w:b/>
                <w:bCs/>
                <w:color w:val="000000"/>
                <w:lang w:eastAsia="hr-HR"/>
              </w:rPr>
              <w:t>658.319,25 €</w:t>
            </w:r>
            <w:r w:rsidRPr="00865C14">
              <w:rPr>
                <w:rFonts w:ascii="Calibri" w:eastAsia="Times New Roman" w:hAnsi="Calibri" w:cs="Calibri"/>
                <w:b/>
                <w:bCs/>
                <w:color w:val="000000"/>
                <w:lang w:eastAsia="hr-HR"/>
              </w:rPr>
              <w:t>)</w:t>
            </w:r>
          </w:p>
        </w:tc>
        <w:tc>
          <w:tcPr>
            <w:tcW w:w="2195" w:type="dxa"/>
            <w:tcBorders>
              <w:top w:val="nil"/>
              <w:left w:val="nil"/>
              <w:bottom w:val="single" w:sz="4" w:space="0" w:color="auto"/>
              <w:right w:val="nil"/>
            </w:tcBorders>
            <w:vAlign w:val="center"/>
            <w:hideMark/>
          </w:tcPr>
          <w:p w14:paraId="4CEF4507" w14:textId="77777777" w:rsidR="009E3015" w:rsidRPr="00865C14" w:rsidRDefault="009E3015" w:rsidP="00484CF6">
            <w:pPr>
              <w:spacing w:after="0" w:line="240" w:lineRule="auto"/>
              <w:jc w:val="center"/>
              <w:rPr>
                <w:rFonts w:ascii="Calibri" w:eastAsia="Times New Roman" w:hAnsi="Calibri" w:cs="Calibri"/>
                <w:b/>
                <w:bCs/>
                <w:color w:val="000000"/>
                <w:lang w:eastAsia="hr-HR"/>
              </w:rPr>
            </w:pPr>
            <w:r w:rsidRPr="00865C14">
              <w:rPr>
                <w:rFonts w:ascii="Calibri" w:eastAsia="Times New Roman" w:hAnsi="Calibri" w:cs="Calibri"/>
                <w:b/>
                <w:bCs/>
                <w:color w:val="000000"/>
                <w:lang w:eastAsia="hr-HR"/>
              </w:rPr>
              <w:t xml:space="preserve">Raiffeisen </w:t>
            </w:r>
            <w:proofErr w:type="spellStart"/>
            <w:r w:rsidRPr="00865C14">
              <w:rPr>
                <w:rFonts w:ascii="Calibri" w:eastAsia="Times New Roman" w:hAnsi="Calibri" w:cs="Calibri"/>
                <w:b/>
                <w:bCs/>
                <w:color w:val="000000"/>
                <w:lang w:eastAsia="hr-HR"/>
              </w:rPr>
              <w:t>bank</w:t>
            </w:r>
            <w:proofErr w:type="spellEnd"/>
            <w:r w:rsidRPr="00865C14">
              <w:rPr>
                <w:rFonts w:ascii="Calibri" w:eastAsia="Times New Roman" w:hAnsi="Calibri" w:cs="Calibri"/>
                <w:b/>
                <w:bCs/>
                <w:color w:val="000000"/>
                <w:lang w:eastAsia="hr-HR"/>
              </w:rPr>
              <w:t xml:space="preserve"> </w:t>
            </w:r>
            <w:r>
              <w:rPr>
                <w:rFonts w:ascii="Calibri" w:eastAsia="Times New Roman" w:hAnsi="Calibri" w:cs="Calibri"/>
                <w:b/>
                <w:bCs/>
                <w:color w:val="000000"/>
                <w:lang w:eastAsia="hr-HR"/>
              </w:rPr>
              <w:t xml:space="preserve">(partija 855003)            </w:t>
            </w:r>
            <w:r w:rsidRPr="00865C14">
              <w:rPr>
                <w:rFonts w:ascii="Calibri" w:eastAsia="Times New Roman" w:hAnsi="Calibri" w:cs="Calibri"/>
                <w:b/>
                <w:bCs/>
                <w:color w:val="000000"/>
                <w:lang w:eastAsia="hr-HR"/>
              </w:rPr>
              <w:t>(</w:t>
            </w:r>
            <w:r>
              <w:rPr>
                <w:rFonts w:ascii="Calibri" w:eastAsia="Times New Roman" w:hAnsi="Calibri" w:cs="Calibri"/>
                <w:b/>
                <w:bCs/>
                <w:color w:val="000000"/>
                <w:lang w:eastAsia="hr-HR"/>
              </w:rPr>
              <w:t>539.324,28 €</w:t>
            </w:r>
            <w:r w:rsidRPr="00865C14">
              <w:rPr>
                <w:rFonts w:ascii="Calibri" w:eastAsia="Times New Roman" w:hAnsi="Calibri" w:cs="Calibri"/>
                <w:b/>
                <w:bCs/>
                <w:color w:val="000000"/>
                <w:lang w:eastAsia="hr-HR"/>
              </w:rPr>
              <w:t>)</w:t>
            </w:r>
          </w:p>
        </w:tc>
        <w:tc>
          <w:tcPr>
            <w:tcW w:w="1904" w:type="dxa"/>
            <w:tcBorders>
              <w:top w:val="nil"/>
              <w:left w:val="nil"/>
              <w:bottom w:val="single" w:sz="4" w:space="0" w:color="auto"/>
              <w:right w:val="nil"/>
            </w:tcBorders>
            <w:vAlign w:val="center"/>
            <w:hideMark/>
          </w:tcPr>
          <w:p w14:paraId="1237F31D" w14:textId="77777777" w:rsidR="009E3015" w:rsidRDefault="009E3015" w:rsidP="00484CF6">
            <w:pPr>
              <w:spacing w:after="0" w:line="240" w:lineRule="auto"/>
              <w:jc w:val="center"/>
              <w:rPr>
                <w:rFonts w:ascii="Calibri" w:eastAsia="Times New Roman" w:hAnsi="Calibri" w:cs="Calibri"/>
                <w:b/>
                <w:bCs/>
                <w:color w:val="000000"/>
                <w:lang w:eastAsia="hr-HR"/>
              </w:rPr>
            </w:pPr>
            <w:r w:rsidRPr="00865C14">
              <w:rPr>
                <w:rFonts w:ascii="Calibri" w:eastAsia="Times New Roman" w:hAnsi="Calibri" w:cs="Calibri"/>
                <w:b/>
                <w:bCs/>
                <w:color w:val="000000"/>
                <w:lang w:eastAsia="hr-HR"/>
              </w:rPr>
              <w:t xml:space="preserve">Raiffeisen </w:t>
            </w:r>
            <w:proofErr w:type="spellStart"/>
            <w:r w:rsidRPr="00865C14">
              <w:rPr>
                <w:rFonts w:ascii="Calibri" w:eastAsia="Times New Roman" w:hAnsi="Calibri" w:cs="Calibri"/>
                <w:b/>
                <w:bCs/>
                <w:color w:val="000000"/>
                <w:lang w:eastAsia="hr-HR"/>
              </w:rPr>
              <w:t>bank</w:t>
            </w:r>
            <w:proofErr w:type="spellEnd"/>
            <w:r w:rsidRPr="00865C14">
              <w:rPr>
                <w:rFonts w:ascii="Calibri" w:eastAsia="Times New Roman" w:hAnsi="Calibri" w:cs="Calibri"/>
                <w:b/>
                <w:bCs/>
                <w:color w:val="000000"/>
                <w:lang w:eastAsia="hr-HR"/>
              </w:rPr>
              <w:t xml:space="preserve"> </w:t>
            </w:r>
            <w:r>
              <w:rPr>
                <w:rFonts w:ascii="Calibri" w:eastAsia="Times New Roman" w:hAnsi="Calibri" w:cs="Calibri"/>
                <w:b/>
                <w:bCs/>
                <w:color w:val="000000"/>
                <w:lang w:eastAsia="hr-HR"/>
              </w:rPr>
              <w:t>(partija 854953)</w:t>
            </w:r>
          </w:p>
          <w:p w14:paraId="077663A6" w14:textId="77777777" w:rsidR="009E3015" w:rsidRPr="00865C14" w:rsidRDefault="009E3015" w:rsidP="00484CF6">
            <w:pPr>
              <w:spacing w:after="0" w:line="240" w:lineRule="auto"/>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t>(510.982,81 €</w:t>
            </w:r>
            <w:r w:rsidRPr="00865C14">
              <w:rPr>
                <w:rFonts w:ascii="Calibri" w:eastAsia="Times New Roman" w:hAnsi="Calibri" w:cs="Calibri"/>
                <w:b/>
                <w:bCs/>
                <w:color w:val="000000"/>
                <w:lang w:eastAsia="hr-HR"/>
              </w:rPr>
              <w:t>)</w:t>
            </w:r>
          </w:p>
        </w:tc>
        <w:tc>
          <w:tcPr>
            <w:tcW w:w="1680" w:type="dxa"/>
            <w:tcBorders>
              <w:top w:val="nil"/>
              <w:left w:val="nil"/>
              <w:bottom w:val="single" w:sz="4" w:space="0" w:color="auto"/>
              <w:right w:val="nil"/>
            </w:tcBorders>
            <w:vAlign w:val="center"/>
            <w:hideMark/>
          </w:tcPr>
          <w:p w14:paraId="63D98F0D" w14:textId="77777777" w:rsidR="009E3015" w:rsidRPr="00865C14" w:rsidRDefault="009E3015" w:rsidP="00484CF6">
            <w:pPr>
              <w:spacing w:after="0" w:line="240" w:lineRule="auto"/>
              <w:jc w:val="center"/>
              <w:rPr>
                <w:rFonts w:ascii="Calibri" w:eastAsia="Times New Roman" w:hAnsi="Calibri" w:cs="Calibri"/>
                <w:b/>
                <w:bCs/>
                <w:color w:val="000000"/>
                <w:lang w:eastAsia="hr-HR"/>
              </w:rPr>
            </w:pPr>
            <w:r w:rsidRPr="00865C14">
              <w:rPr>
                <w:rFonts w:ascii="Calibri" w:eastAsia="Times New Roman" w:hAnsi="Calibri" w:cs="Calibri"/>
                <w:b/>
                <w:bCs/>
                <w:color w:val="000000"/>
                <w:lang w:eastAsia="hr-HR"/>
              </w:rPr>
              <w:t xml:space="preserve">Ukupno </w:t>
            </w:r>
          </w:p>
        </w:tc>
      </w:tr>
      <w:tr w:rsidR="009E3015" w:rsidRPr="00865C14" w14:paraId="4F19C86E" w14:textId="77777777" w:rsidTr="00484CF6">
        <w:trPr>
          <w:trHeight w:val="307"/>
        </w:trPr>
        <w:tc>
          <w:tcPr>
            <w:tcW w:w="2620" w:type="dxa"/>
            <w:tcBorders>
              <w:top w:val="nil"/>
              <w:left w:val="nil"/>
              <w:bottom w:val="single" w:sz="4" w:space="0" w:color="auto"/>
              <w:right w:val="nil"/>
            </w:tcBorders>
            <w:noWrap/>
            <w:vAlign w:val="bottom"/>
            <w:hideMark/>
          </w:tcPr>
          <w:p w14:paraId="57FDBFAC" w14:textId="77777777" w:rsidR="009E3015" w:rsidRPr="00865C14" w:rsidRDefault="009E3015" w:rsidP="00484CF6">
            <w:pPr>
              <w:spacing w:after="0" w:line="240" w:lineRule="auto"/>
              <w:jc w:val="center"/>
              <w:rPr>
                <w:rFonts w:ascii="Calibri" w:eastAsia="Times New Roman" w:hAnsi="Calibri" w:cs="Calibri"/>
                <w:color w:val="000000"/>
                <w:lang w:eastAsia="hr-HR"/>
              </w:rPr>
            </w:pPr>
            <w:r w:rsidRPr="00865C14">
              <w:rPr>
                <w:rFonts w:ascii="Calibri" w:eastAsia="Times New Roman" w:hAnsi="Calibri" w:cs="Calibri"/>
                <w:color w:val="000000"/>
                <w:lang w:eastAsia="hr-HR"/>
              </w:rPr>
              <w:t>1</w:t>
            </w:r>
          </w:p>
        </w:tc>
        <w:tc>
          <w:tcPr>
            <w:tcW w:w="2195" w:type="dxa"/>
            <w:tcBorders>
              <w:top w:val="nil"/>
              <w:left w:val="nil"/>
              <w:bottom w:val="single" w:sz="4" w:space="0" w:color="auto"/>
              <w:right w:val="nil"/>
            </w:tcBorders>
            <w:noWrap/>
            <w:vAlign w:val="bottom"/>
            <w:hideMark/>
          </w:tcPr>
          <w:p w14:paraId="3CAF0D11" w14:textId="77777777" w:rsidR="009E3015" w:rsidRPr="00865C14" w:rsidRDefault="009E3015" w:rsidP="00484CF6">
            <w:pPr>
              <w:spacing w:after="0" w:line="240" w:lineRule="auto"/>
              <w:jc w:val="center"/>
              <w:rPr>
                <w:rFonts w:ascii="Calibri" w:eastAsia="Times New Roman" w:hAnsi="Calibri" w:cs="Calibri"/>
                <w:color w:val="000000"/>
                <w:lang w:eastAsia="hr-HR"/>
              </w:rPr>
            </w:pPr>
            <w:r w:rsidRPr="00865C14">
              <w:rPr>
                <w:rFonts w:ascii="Calibri" w:eastAsia="Times New Roman" w:hAnsi="Calibri" w:cs="Calibri"/>
                <w:color w:val="000000"/>
                <w:lang w:eastAsia="hr-HR"/>
              </w:rPr>
              <w:t>3</w:t>
            </w:r>
          </w:p>
        </w:tc>
        <w:tc>
          <w:tcPr>
            <w:tcW w:w="2195" w:type="dxa"/>
            <w:tcBorders>
              <w:top w:val="nil"/>
              <w:left w:val="nil"/>
              <w:bottom w:val="single" w:sz="4" w:space="0" w:color="auto"/>
              <w:right w:val="nil"/>
            </w:tcBorders>
            <w:noWrap/>
            <w:vAlign w:val="bottom"/>
            <w:hideMark/>
          </w:tcPr>
          <w:p w14:paraId="22950804" w14:textId="77777777" w:rsidR="009E3015" w:rsidRPr="00865C14" w:rsidRDefault="009E3015" w:rsidP="00484CF6">
            <w:pPr>
              <w:spacing w:after="0" w:line="240" w:lineRule="auto"/>
              <w:jc w:val="center"/>
              <w:rPr>
                <w:rFonts w:ascii="Calibri" w:eastAsia="Times New Roman" w:hAnsi="Calibri" w:cs="Calibri"/>
                <w:color w:val="000000"/>
                <w:lang w:eastAsia="hr-HR"/>
              </w:rPr>
            </w:pPr>
            <w:r w:rsidRPr="00865C14">
              <w:rPr>
                <w:rFonts w:ascii="Calibri" w:eastAsia="Times New Roman" w:hAnsi="Calibri" w:cs="Calibri"/>
                <w:color w:val="000000"/>
                <w:lang w:eastAsia="hr-HR"/>
              </w:rPr>
              <w:t>4</w:t>
            </w:r>
          </w:p>
        </w:tc>
        <w:tc>
          <w:tcPr>
            <w:tcW w:w="1904" w:type="dxa"/>
            <w:tcBorders>
              <w:top w:val="nil"/>
              <w:left w:val="nil"/>
              <w:bottom w:val="single" w:sz="4" w:space="0" w:color="auto"/>
              <w:right w:val="nil"/>
            </w:tcBorders>
            <w:noWrap/>
            <w:vAlign w:val="bottom"/>
            <w:hideMark/>
          </w:tcPr>
          <w:p w14:paraId="4A6135D4" w14:textId="77777777" w:rsidR="009E3015" w:rsidRPr="00865C14" w:rsidRDefault="009E3015" w:rsidP="00484CF6">
            <w:pPr>
              <w:spacing w:after="0" w:line="240" w:lineRule="auto"/>
              <w:jc w:val="center"/>
              <w:rPr>
                <w:rFonts w:ascii="Calibri" w:eastAsia="Times New Roman" w:hAnsi="Calibri" w:cs="Calibri"/>
                <w:color w:val="000000"/>
                <w:lang w:eastAsia="hr-HR"/>
              </w:rPr>
            </w:pPr>
            <w:r w:rsidRPr="00865C14">
              <w:rPr>
                <w:rFonts w:ascii="Calibri" w:eastAsia="Times New Roman" w:hAnsi="Calibri" w:cs="Calibri"/>
                <w:color w:val="000000"/>
                <w:lang w:eastAsia="hr-HR"/>
              </w:rPr>
              <w:t>5</w:t>
            </w:r>
          </w:p>
        </w:tc>
        <w:tc>
          <w:tcPr>
            <w:tcW w:w="1680" w:type="dxa"/>
            <w:tcBorders>
              <w:top w:val="nil"/>
              <w:left w:val="nil"/>
              <w:bottom w:val="single" w:sz="4" w:space="0" w:color="auto"/>
              <w:right w:val="nil"/>
            </w:tcBorders>
            <w:noWrap/>
            <w:vAlign w:val="bottom"/>
            <w:hideMark/>
          </w:tcPr>
          <w:p w14:paraId="0E5ADE96" w14:textId="77777777" w:rsidR="009E3015" w:rsidRPr="00865C14" w:rsidRDefault="009E3015" w:rsidP="00484CF6">
            <w:pPr>
              <w:spacing w:after="0" w:line="240" w:lineRule="auto"/>
              <w:jc w:val="center"/>
              <w:rPr>
                <w:rFonts w:ascii="Calibri" w:eastAsia="Times New Roman" w:hAnsi="Calibri" w:cs="Calibri"/>
                <w:color w:val="000000"/>
                <w:lang w:eastAsia="hr-HR"/>
              </w:rPr>
            </w:pPr>
            <w:r w:rsidRPr="00865C14">
              <w:rPr>
                <w:rFonts w:ascii="Calibri" w:eastAsia="Times New Roman" w:hAnsi="Calibri" w:cs="Calibri"/>
                <w:color w:val="000000"/>
                <w:lang w:eastAsia="hr-HR"/>
              </w:rPr>
              <w:t>6</w:t>
            </w:r>
          </w:p>
        </w:tc>
      </w:tr>
      <w:tr w:rsidR="009E3015" w:rsidRPr="00865C14" w14:paraId="16EEA3AE" w14:textId="77777777" w:rsidTr="00484CF6">
        <w:trPr>
          <w:trHeight w:val="615"/>
        </w:trPr>
        <w:tc>
          <w:tcPr>
            <w:tcW w:w="2620" w:type="dxa"/>
            <w:tcBorders>
              <w:top w:val="nil"/>
              <w:left w:val="nil"/>
              <w:bottom w:val="single" w:sz="4" w:space="0" w:color="auto"/>
              <w:right w:val="nil"/>
            </w:tcBorders>
            <w:shd w:val="clear" w:color="000000" w:fill="D0CECE"/>
            <w:vAlign w:val="bottom"/>
            <w:hideMark/>
          </w:tcPr>
          <w:p w14:paraId="2B2AF6AF" w14:textId="54FEA082" w:rsidR="009E3015" w:rsidRPr="00865C14" w:rsidRDefault="009E3015" w:rsidP="00484CF6">
            <w:pPr>
              <w:spacing w:after="0" w:line="240" w:lineRule="auto"/>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t>Stanje glavnice na 1.1.202</w:t>
            </w:r>
            <w:r w:rsidR="002E6435">
              <w:rPr>
                <w:rFonts w:ascii="Calibri" w:eastAsia="Times New Roman" w:hAnsi="Calibri" w:cs="Calibri"/>
                <w:b/>
                <w:bCs/>
                <w:color w:val="000000"/>
                <w:lang w:eastAsia="hr-HR"/>
              </w:rPr>
              <w:t>5</w:t>
            </w:r>
            <w:r w:rsidRPr="00865C14">
              <w:rPr>
                <w:rFonts w:ascii="Calibri" w:eastAsia="Times New Roman" w:hAnsi="Calibri" w:cs="Calibri"/>
                <w:b/>
                <w:bCs/>
                <w:color w:val="000000"/>
                <w:lang w:eastAsia="hr-HR"/>
              </w:rPr>
              <w:t>.</w:t>
            </w:r>
          </w:p>
        </w:tc>
        <w:tc>
          <w:tcPr>
            <w:tcW w:w="2195" w:type="dxa"/>
            <w:tcBorders>
              <w:top w:val="nil"/>
              <w:left w:val="nil"/>
              <w:bottom w:val="single" w:sz="4" w:space="0" w:color="auto"/>
              <w:right w:val="nil"/>
            </w:tcBorders>
            <w:shd w:val="clear" w:color="000000" w:fill="D0CECE"/>
            <w:noWrap/>
            <w:vAlign w:val="bottom"/>
            <w:hideMark/>
          </w:tcPr>
          <w:p w14:paraId="2A465F6F" w14:textId="2E0E6A34" w:rsidR="009E3015" w:rsidRPr="00865C14" w:rsidRDefault="00AD62EA" w:rsidP="00484CF6">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438.879,59</w:t>
            </w:r>
          </w:p>
        </w:tc>
        <w:tc>
          <w:tcPr>
            <w:tcW w:w="2195" w:type="dxa"/>
            <w:tcBorders>
              <w:top w:val="nil"/>
              <w:left w:val="nil"/>
              <w:bottom w:val="single" w:sz="4" w:space="0" w:color="auto"/>
              <w:right w:val="nil"/>
            </w:tcBorders>
            <w:shd w:val="clear" w:color="000000" w:fill="D0CECE"/>
            <w:noWrap/>
            <w:vAlign w:val="bottom"/>
            <w:hideMark/>
          </w:tcPr>
          <w:p w14:paraId="68C7E037" w14:textId="2711FE74" w:rsidR="009E3015" w:rsidRPr="00865C14" w:rsidRDefault="00AD62EA" w:rsidP="00484CF6">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359.549,50</w:t>
            </w:r>
          </w:p>
        </w:tc>
        <w:tc>
          <w:tcPr>
            <w:tcW w:w="1904" w:type="dxa"/>
            <w:tcBorders>
              <w:top w:val="nil"/>
              <w:left w:val="nil"/>
              <w:bottom w:val="single" w:sz="4" w:space="0" w:color="auto"/>
              <w:right w:val="nil"/>
            </w:tcBorders>
            <w:shd w:val="clear" w:color="000000" w:fill="D0CECE"/>
            <w:noWrap/>
            <w:vAlign w:val="bottom"/>
            <w:hideMark/>
          </w:tcPr>
          <w:p w14:paraId="56F19557" w14:textId="665F608B" w:rsidR="009E3015" w:rsidRPr="00865C14" w:rsidRDefault="00AD62EA" w:rsidP="00484CF6">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340.655,22</w:t>
            </w:r>
          </w:p>
        </w:tc>
        <w:tc>
          <w:tcPr>
            <w:tcW w:w="1680" w:type="dxa"/>
            <w:tcBorders>
              <w:top w:val="nil"/>
              <w:left w:val="nil"/>
              <w:bottom w:val="single" w:sz="4" w:space="0" w:color="auto"/>
              <w:right w:val="nil"/>
            </w:tcBorders>
            <w:shd w:val="clear" w:color="000000" w:fill="D0CECE"/>
            <w:noWrap/>
            <w:vAlign w:val="bottom"/>
            <w:hideMark/>
          </w:tcPr>
          <w:p w14:paraId="0CFB1203" w14:textId="5AE855C8" w:rsidR="009E3015" w:rsidRPr="00865C14" w:rsidRDefault="00B35081" w:rsidP="00484CF6">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1.139.084,31</w:t>
            </w:r>
          </w:p>
        </w:tc>
      </w:tr>
      <w:tr w:rsidR="009E3015" w:rsidRPr="00865C14" w14:paraId="6DFBFBD6" w14:textId="77777777" w:rsidTr="00484CF6">
        <w:trPr>
          <w:trHeight w:val="615"/>
        </w:trPr>
        <w:tc>
          <w:tcPr>
            <w:tcW w:w="2620" w:type="dxa"/>
            <w:tcBorders>
              <w:top w:val="nil"/>
              <w:left w:val="nil"/>
              <w:bottom w:val="single" w:sz="4" w:space="0" w:color="auto"/>
              <w:right w:val="nil"/>
            </w:tcBorders>
            <w:vAlign w:val="bottom"/>
            <w:hideMark/>
          </w:tcPr>
          <w:p w14:paraId="5C0A1297" w14:textId="5CF04265" w:rsidR="009E3015" w:rsidRPr="00865C14" w:rsidRDefault="009E3015" w:rsidP="00484CF6">
            <w:pPr>
              <w:spacing w:after="0" w:line="240" w:lineRule="auto"/>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t>Otplata glavnice u 202</w:t>
            </w:r>
            <w:r w:rsidR="002E6435">
              <w:rPr>
                <w:rFonts w:ascii="Calibri" w:eastAsia="Times New Roman" w:hAnsi="Calibri" w:cs="Calibri"/>
                <w:b/>
                <w:bCs/>
                <w:color w:val="000000"/>
                <w:lang w:eastAsia="hr-HR"/>
              </w:rPr>
              <w:t>5</w:t>
            </w:r>
            <w:r w:rsidRPr="00865C14">
              <w:rPr>
                <w:rFonts w:ascii="Calibri" w:eastAsia="Times New Roman" w:hAnsi="Calibri" w:cs="Calibri"/>
                <w:b/>
                <w:bCs/>
                <w:color w:val="000000"/>
                <w:lang w:eastAsia="hr-HR"/>
              </w:rPr>
              <w:t>.</w:t>
            </w:r>
          </w:p>
        </w:tc>
        <w:tc>
          <w:tcPr>
            <w:tcW w:w="2195" w:type="dxa"/>
            <w:tcBorders>
              <w:top w:val="nil"/>
              <w:left w:val="nil"/>
              <w:bottom w:val="single" w:sz="4" w:space="0" w:color="auto"/>
              <w:right w:val="nil"/>
            </w:tcBorders>
            <w:noWrap/>
            <w:vAlign w:val="bottom"/>
            <w:hideMark/>
          </w:tcPr>
          <w:p w14:paraId="09781688" w14:textId="594E9B5F" w:rsidR="009E3015" w:rsidRPr="00865C14" w:rsidRDefault="00AD62EA" w:rsidP="00484CF6">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60.345,89</w:t>
            </w:r>
          </w:p>
        </w:tc>
        <w:tc>
          <w:tcPr>
            <w:tcW w:w="2195" w:type="dxa"/>
            <w:tcBorders>
              <w:top w:val="nil"/>
              <w:left w:val="nil"/>
              <w:bottom w:val="single" w:sz="4" w:space="0" w:color="auto"/>
              <w:right w:val="nil"/>
            </w:tcBorders>
            <w:noWrap/>
            <w:vAlign w:val="bottom"/>
            <w:hideMark/>
          </w:tcPr>
          <w:p w14:paraId="5F05138E" w14:textId="6B4E3863" w:rsidR="009E3015" w:rsidRPr="00865C14" w:rsidRDefault="00AD62EA" w:rsidP="00484CF6">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49.438,07</w:t>
            </w:r>
          </w:p>
        </w:tc>
        <w:tc>
          <w:tcPr>
            <w:tcW w:w="1904" w:type="dxa"/>
            <w:tcBorders>
              <w:top w:val="nil"/>
              <w:left w:val="nil"/>
              <w:bottom w:val="single" w:sz="4" w:space="0" w:color="auto"/>
              <w:right w:val="nil"/>
            </w:tcBorders>
            <w:noWrap/>
            <w:vAlign w:val="bottom"/>
            <w:hideMark/>
          </w:tcPr>
          <w:p w14:paraId="60CC189C" w14:textId="733DAF8B" w:rsidR="009E3015" w:rsidRPr="00865C14" w:rsidRDefault="00AD62EA" w:rsidP="00484CF6">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46.840,09</w:t>
            </w:r>
          </w:p>
        </w:tc>
        <w:tc>
          <w:tcPr>
            <w:tcW w:w="1680" w:type="dxa"/>
            <w:tcBorders>
              <w:top w:val="nil"/>
              <w:left w:val="nil"/>
              <w:bottom w:val="single" w:sz="4" w:space="0" w:color="auto"/>
              <w:right w:val="nil"/>
            </w:tcBorders>
            <w:noWrap/>
            <w:vAlign w:val="bottom"/>
            <w:hideMark/>
          </w:tcPr>
          <w:p w14:paraId="10D8F357" w14:textId="1B9B1ED9" w:rsidR="009E3015" w:rsidRPr="00865C14" w:rsidRDefault="00B35081" w:rsidP="00484CF6">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156.624,05</w:t>
            </w:r>
          </w:p>
        </w:tc>
      </w:tr>
      <w:tr w:rsidR="009E3015" w:rsidRPr="00865C14" w14:paraId="280B3D96" w14:textId="77777777" w:rsidTr="00484CF6">
        <w:trPr>
          <w:trHeight w:val="615"/>
        </w:trPr>
        <w:tc>
          <w:tcPr>
            <w:tcW w:w="2620" w:type="dxa"/>
            <w:tcBorders>
              <w:top w:val="nil"/>
              <w:left w:val="nil"/>
              <w:bottom w:val="single" w:sz="4" w:space="0" w:color="auto"/>
              <w:right w:val="nil"/>
            </w:tcBorders>
            <w:shd w:val="clear" w:color="000000" w:fill="D0CECE"/>
            <w:vAlign w:val="bottom"/>
            <w:hideMark/>
          </w:tcPr>
          <w:p w14:paraId="76F93986" w14:textId="351CB98B" w:rsidR="009E3015" w:rsidRPr="00865C14" w:rsidRDefault="009E3015" w:rsidP="00484CF6">
            <w:pPr>
              <w:spacing w:after="0" w:line="240" w:lineRule="auto"/>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t>Stanje glavnice na 31.12.202</w:t>
            </w:r>
            <w:r w:rsidR="002E6435">
              <w:rPr>
                <w:rFonts w:ascii="Calibri" w:eastAsia="Times New Roman" w:hAnsi="Calibri" w:cs="Calibri"/>
                <w:b/>
                <w:bCs/>
                <w:color w:val="000000"/>
                <w:lang w:eastAsia="hr-HR"/>
              </w:rPr>
              <w:t>5</w:t>
            </w:r>
            <w:r w:rsidRPr="00865C14">
              <w:rPr>
                <w:rFonts w:ascii="Calibri" w:eastAsia="Times New Roman" w:hAnsi="Calibri" w:cs="Calibri"/>
                <w:b/>
                <w:bCs/>
                <w:color w:val="000000"/>
                <w:lang w:eastAsia="hr-HR"/>
              </w:rPr>
              <w:t>.</w:t>
            </w:r>
          </w:p>
        </w:tc>
        <w:tc>
          <w:tcPr>
            <w:tcW w:w="2195" w:type="dxa"/>
            <w:tcBorders>
              <w:top w:val="nil"/>
              <w:left w:val="nil"/>
              <w:bottom w:val="single" w:sz="4" w:space="0" w:color="auto"/>
              <w:right w:val="nil"/>
            </w:tcBorders>
            <w:shd w:val="clear" w:color="000000" w:fill="D0CECE"/>
            <w:noWrap/>
            <w:vAlign w:val="bottom"/>
          </w:tcPr>
          <w:p w14:paraId="5220C263" w14:textId="5D025F12" w:rsidR="009E3015" w:rsidRPr="00865C14" w:rsidRDefault="00AD62EA" w:rsidP="00484CF6">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378.533,70</w:t>
            </w:r>
          </w:p>
        </w:tc>
        <w:tc>
          <w:tcPr>
            <w:tcW w:w="2195" w:type="dxa"/>
            <w:tcBorders>
              <w:top w:val="nil"/>
              <w:left w:val="nil"/>
              <w:bottom w:val="single" w:sz="4" w:space="0" w:color="auto"/>
              <w:right w:val="nil"/>
            </w:tcBorders>
            <w:shd w:val="clear" w:color="000000" w:fill="D0CECE"/>
            <w:noWrap/>
            <w:vAlign w:val="bottom"/>
          </w:tcPr>
          <w:p w14:paraId="4DCE41C8" w14:textId="19E105D1" w:rsidR="009E3015" w:rsidRPr="00865C14" w:rsidRDefault="00AD62EA" w:rsidP="00484CF6">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310.111,43</w:t>
            </w:r>
          </w:p>
        </w:tc>
        <w:tc>
          <w:tcPr>
            <w:tcW w:w="1904" w:type="dxa"/>
            <w:tcBorders>
              <w:top w:val="nil"/>
              <w:left w:val="nil"/>
              <w:bottom w:val="single" w:sz="4" w:space="0" w:color="auto"/>
              <w:right w:val="nil"/>
            </w:tcBorders>
            <w:shd w:val="clear" w:color="000000" w:fill="D0CECE"/>
            <w:noWrap/>
            <w:vAlign w:val="bottom"/>
          </w:tcPr>
          <w:p w14:paraId="7CBE6C1F" w14:textId="795077C9" w:rsidR="009E3015" w:rsidRPr="00865C14" w:rsidRDefault="00AD62EA" w:rsidP="00484CF6">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293.815,13</w:t>
            </w:r>
          </w:p>
        </w:tc>
        <w:tc>
          <w:tcPr>
            <w:tcW w:w="1680" w:type="dxa"/>
            <w:tcBorders>
              <w:top w:val="nil"/>
              <w:left w:val="nil"/>
              <w:bottom w:val="single" w:sz="4" w:space="0" w:color="auto"/>
              <w:right w:val="nil"/>
            </w:tcBorders>
            <w:shd w:val="clear" w:color="000000" w:fill="D0CECE"/>
            <w:noWrap/>
            <w:vAlign w:val="bottom"/>
          </w:tcPr>
          <w:p w14:paraId="3046D2A1" w14:textId="017EF835" w:rsidR="009E3015" w:rsidRPr="00865C14" w:rsidRDefault="00B35081" w:rsidP="00484CF6">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982.460,26</w:t>
            </w:r>
          </w:p>
        </w:tc>
      </w:tr>
      <w:tr w:rsidR="009E3015" w:rsidRPr="00865C14" w14:paraId="43563A54" w14:textId="77777777" w:rsidTr="00484CF6">
        <w:trPr>
          <w:trHeight w:val="307"/>
        </w:trPr>
        <w:tc>
          <w:tcPr>
            <w:tcW w:w="2620" w:type="dxa"/>
            <w:tcBorders>
              <w:top w:val="nil"/>
              <w:left w:val="nil"/>
              <w:bottom w:val="nil"/>
              <w:right w:val="nil"/>
            </w:tcBorders>
            <w:vAlign w:val="bottom"/>
            <w:hideMark/>
          </w:tcPr>
          <w:p w14:paraId="524667D3" w14:textId="77777777" w:rsidR="009E3015" w:rsidRPr="00865C14" w:rsidRDefault="009E3015" w:rsidP="00484CF6">
            <w:pPr>
              <w:spacing w:after="0" w:line="240" w:lineRule="auto"/>
              <w:jc w:val="center"/>
              <w:rPr>
                <w:rFonts w:ascii="Calibri" w:eastAsia="Times New Roman" w:hAnsi="Calibri" w:cs="Calibri"/>
                <w:b/>
                <w:bCs/>
                <w:i/>
                <w:iCs/>
                <w:color w:val="000000"/>
                <w:lang w:eastAsia="hr-HR"/>
              </w:rPr>
            </w:pPr>
            <w:r w:rsidRPr="00865C14">
              <w:rPr>
                <w:rFonts w:ascii="Calibri" w:eastAsia="Times New Roman" w:hAnsi="Calibri" w:cs="Calibri"/>
                <w:b/>
                <w:bCs/>
                <w:i/>
                <w:iCs/>
                <w:color w:val="000000"/>
                <w:lang w:eastAsia="hr-HR"/>
              </w:rPr>
              <w:lastRenderedPageBreak/>
              <w:t>Iznosi otplata</w:t>
            </w:r>
            <w:r>
              <w:rPr>
                <w:rFonts w:ascii="Calibri" w:eastAsia="Times New Roman" w:hAnsi="Calibri" w:cs="Calibri"/>
                <w:b/>
                <w:bCs/>
                <w:i/>
                <w:iCs/>
                <w:color w:val="000000"/>
                <w:lang w:eastAsia="hr-HR"/>
              </w:rPr>
              <w:t xml:space="preserve"> u narednom razdoblju:</w:t>
            </w:r>
          </w:p>
        </w:tc>
        <w:tc>
          <w:tcPr>
            <w:tcW w:w="2195" w:type="dxa"/>
            <w:tcBorders>
              <w:top w:val="nil"/>
              <w:left w:val="nil"/>
              <w:bottom w:val="nil"/>
              <w:right w:val="nil"/>
            </w:tcBorders>
            <w:noWrap/>
            <w:vAlign w:val="bottom"/>
            <w:hideMark/>
          </w:tcPr>
          <w:p w14:paraId="7209FCAA" w14:textId="77777777" w:rsidR="009E3015" w:rsidRPr="00865C14" w:rsidRDefault="009E3015" w:rsidP="00484CF6">
            <w:pPr>
              <w:spacing w:after="0" w:line="240" w:lineRule="auto"/>
              <w:jc w:val="center"/>
              <w:rPr>
                <w:rFonts w:ascii="Calibri" w:eastAsia="Times New Roman" w:hAnsi="Calibri" w:cs="Calibri"/>
                <w:b/>
                <w:bCs/>
                <w:i/>
                <w:iCs/>
                <w:color w:val="000000"/>
                <w:lang w:eastAsia="hr-HR"/>
              </w:rPr>
            </w:pPr>
          </w:p>
        </w:tc>
        <w:tc>
          <w:tcPr>
            <w:tcW w:w="2195" w:type="dxa"/>
            <w:tcBorders>
              <w:top w:val="nil"/>
              <w:left w:val="nil"/>
              <w:bottom w:val="nil"/>
              <w:right w:val="nil"/>
            </w:tcBorders>
            <w:noWrap/>
            <w:vAlign w:val="bottom"/>
            <w:hideMark/>
          </w:tcPr>
          <w:p w14:paraId="042EFEFF" w14:textId="77777777" w:rsidR="009E3015" w:rsidRPr="00865C14" w:rsidRDefault="009E3015" w:rsidP="00484CF6">
            <w:pPr>
              <w:spacing w:after="0" w:line="240" w:lineRule="auto"/>
              <w:rPr>
                <w:rFonts w:ascii="Times New Roman" w:eastAsia="Times New Roman" w:hAnsi="Times New Roman" w:cs="Times New Roman"/>
                <w:sz w:val="20"/>
                <w:szCs w:val="20"/>
                <w:lang w:eastAsia="hr-HR"/>
              </w:rPr>
            </w:pPr>
          </w:p>
        </w:tc>
        <w:tc>
          <w:tcPr>
            <w:tcW w:w="1904" w:type="dxa"/>
            <w:tcBorders>
              <w:top w:val="nil"/>
              <w:left w:val="nil"/>
              <w:bottom w:val="nil"/>
              <w:right w:val="nil"/>
            </w:tcBorders>
            <w:noWrap/>
            <w:vAlign w:val="bottom"/>
            <w:hideMark/>
          </w:tcPr>
          <w:p w14:paraId="19F92C38" w14:textId="77777777" w:rsidR="009E3015" w:rsidRPr="00865C14" w:rsidRDefault="009E3015" w:rsidP="00484CF6">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noWrap/>
            <w:vAlign w:val="bottom"/>
            <w:hideMark/>
          </w:tcPr>
          <w:p w14:paraId="072220F0" w14:textId="77777777" w:rsidR="009E3015" w:rsidRPr="00865C14" w:rsidRDefault="009E3015" w:rsidP="00484CF6">
            <w:pPr>
              <w:spacing w:after="0" w:line="240" w:lineRule="auto"/>
              <w:rPr>
                <w:rFonts w:ascii="Times New Roman" w:eastAsia="Times New Roman" w:hAnsi="Times New Roman" w:cs="Times New Roman"/>
                <w:sz w:val="20"/>
                <w:szCs w:val="20"/>
                <w:lang w:eastAsia="hr-HR"/>
              </w:rPr>
            </w:pPr>
          </w:p>
        </w:tc>
      </w:tr>
      <w:tr w:rsidR="009E3015" w:rsidRPr="00865C14" w14:paraId="4576CB47" w14:textId="77777777" w:rsidTr="00484CF6">
        <w:trPr>
          <w:trHeight w:val="307"/>
        </w:trPr>
        <w:tc>
          <w:tcPr>
            <w:tcW w:w="2620" w:type="dxa"/>
            <w:tcBorders>
              <w:top w:val="nil"/>
              <w:left w:val="nil"/>
              <w:bottom w:val="nil"/>
              <w:right w:val="nil"/>
            </w:tcBorders>
            <w:vAlign w:val="bottom"/>
            <w:hideMark/>
          </w:tcPr>
          <w:p w14:paraId="24B5821E" w14:textId="77777777" w:rsidR="009E3015" w:rsidRPr="00865C14" w:rsidRDefault="009E3015" w:rsidP="00484CF6">
            <w:pPr>
              <w:spacing w:after="0" w:line="240" w:lineRule="auto"/>
              <w:jc w:val="center"/>
              <w:rPr>
                <w:rFonts w:ascii="Calibri" w:eastAsia="Times New Roman" w:hAnsi="Calibri" w:cs="Calibri"/>
                <w:color w:val="000000"/>
                <w:lang w:eastAsia="hr-HR"/>
              </w:rPr>
            </w:pPr>
            <w:r w:rsidRPr="00865C14">
              <w:rPr>
                <w:rFonts w:ascii="Calibri" w:eastAsia="Times New Roman" w:hAnsi="Calibri" w:cs="Calibri"/>
                <w:color w:val="000000"/>
                <w:lang w:eastAsia="hr-HR"/>
              </w:rPr>
              <w:t>2026.</w:t>
            </w:r>
          </w:p>
        </w:tc>
        <w:tc>
          <w:tcPr>
            <w:tcW w:w="2195" w:type="dxa"/>
            <w:tcBorders>
              <w:top w:val="nil"/>
              <w:left w:val="nil"/>
              <w:bottom w:val="nil"/>
              <w:right w:val="nil"/>
            </w:tcBorders>
            <w:noWrap/>
            <w:vAlign w:val="bottom"/>
          </w:tcPr>
          <w:p w14:paraId="624D7969" w14:textId="77777777" w:rsidR="009E3015" w:rsidRPr="00865C14" w:rsidRDefault="009E3015" w:rsidP="00484CF6">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65.831,92</w:t>
            </w:r>
          </w:p>
        </w:tc>
        <w:tc>
          <w:tcPr>
            <w:tcW w:w="2195" w:type="dxa"/>
            <w:tcBorders>
              <w:top w:val="nil"/>
              <w:left w:val="nil"/>
              <w:bottom w:val="nil"/>
              <w:right w:val="nil"/>
            </w:tcBorders>
            <w:noWrap/>
            <w:vAlign w:val="bottom"/>
          </w:tcPr>
          <w:p w14:paraId="51379A0B" w14:textId="77777777" w:rsidR="009E3015" w:rsidRPr="00865C14" w:rsidRDefault="009E3015" w:rsidP="00484CF6">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53.932,42</w:t>
            </w:r>
          </w:p>
        </w:tc>
        <w:tc>
          <w:tcPr>
            <w:tcW w:w="1904" w:type="dxa"/>
            <w:tcBorders>
              <w:top w:val="nil"/>
              <w:left w:val="nil"/>
              <w:bottom w:val="nil"/>
              <w:right w:val="nil"/>
            </w:tcBorders>
            <w:noWrap/>
            <w:vAlign w:val="bottom"/>
          </w:tcPr>
          <w:p w14:paraId="5D1D7D39" w14:textId="77777777" w:rsidR="009E3015" w:rsidRPr="00865C14" w:rsidRDefault="009E3015" w:rsidP="00484CF6">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51.098,28</w:t>
            </w:r>
          </w:p>
        </w:tc>
        <w:tc>
          <w:tcPr>
            <w:tcW w:w="1680" w:type="dxa"/>
            <w:tcBorders>
              <w:top w:val="nil"/>
              <w:left w:val="nil"/>
              <w:bottom w:val="nil"/>
              <w:right w:val="nil"/>
            </w:tcBorders>
            <w:noWrap/>
            <w:vAlign w:val="bottom"/>
          </w:tcPr>
          <w:p w14:paraId="4F59DCC2" w14:textId="77777777" w:rsidR="009E3015" w:rsidRPr="00865C14" w:rsidRDefault="009E3015" w:rsidP="00484CF6">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170.862,62</w:t>
            </w:r>
          </w:p>
        </w:tc>
      </w:tr>
      <w:tr w:rsidR="009E3015" w:rsidRPr="00865C14" w14:paraId="4D76AD8F" w14:textId="77777777" w:rsidTr="00484CF6">
        <w:trPr>
          <w:trHeight w:val="307"/>
        </w:trPr>
        <w:tc>
          <w:tcPr>
            <w:tcW w:w="2620" w:type="dxa"/>
            <w:tcBorders>
              <w:top w:val="nil"/>
              <w:left w:val="nil"/>
              <w:bottom w:val="nil"/>
              <w:right w:val="nil"/>
            </w:tcBorders>
            <w:vAlign w:val="bottom"/>
            <w:hideMark/>
          </w:tcPr>
          <w:p w14:paraId="79614399" w14:textId="77777777" w:rsidR="009E3015" w:rsidRPr="00865C14" w:rsidRDefault="009E3015" w:rsidP="00484CF6">
            <w:pPr>
              <w:spacing w:after="0" w:line="240" w:lineRule="auto"/>
              <w:jc w:val="center"/>
              <w:rPr>
                <w:rFonts w:ascii="Calibri" w:eastAsia="Times New Roman" w:hAnsi="Calibri" w:cs="Calibri"/>
                <w:color w:val="000000"/>
                <w:lang w:eastAsia="hr-HR"/>
              </w:rPr>
            </w:pPr>
            <w:r w:rsidRPr="00865C14">
              <w:rPr>
                <w:rFonts w:ascii="Calibri" w:eastAsia="Times New Roman" w:hAnsi="Calibri" w:cs="Calibri"/>
                <w:color w:val="000000"/>
                <w:lang w:eastAsia="hr-HR"/>
              </w:rPr>
              <w:t>2027.</w:t>
            </w:r>
          </w:p>
        </w:tc>
        <w:tc>
          <w:tcPr>
            <w:tcW w:w="2195" w:type="dxa"/>
            <w:tcBorders>
              <w:top w:val="nil"/>
              <w:left w:val="nil"/>
              <w:bottom w:val="nil"/>
              <w:right w:val="nil"/>
            </w:tcBorders>
            <w:noWrap/>
            <w:vAlign w:val="bottom"/>
          </w:tcPr>
          <w:p w14:paraId="236B3880" w14:textId="77777777" w:rsidR="009E3015" w:rsidRPr="00865C14" w:rsidRDefault="009E3015" w:rsidP="00484CF6">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65.831,92</w:t>
            </w:r>
          </w:p>
        </w:tc>
        <w:tc>
          <w:tcPr>
            <w:tcW w:w="2195" w:type="dxa"/>
            <w:tcBorders>
              <w:top w:val="nil"/>
              <w:left w:val="nil"/>
              <w:bottom w:val="nil"/>
              <w:right w:val="nil"/>
            </w:tcBorders>
            <w:noWrap/>
            <w:vAlign w:val="bottom"/>
          </w:tcPr>
          <w:p w14:paraId="636339F9" w14:textId="77777777" w:rsidR="009E3015" w:rsidRPr="00865C14" w:rsidRDefault="009E3015" w:rsidP="00484CF6">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53.932,42</w:t>
            </w:r>
          </w:p>
        </w:tc>
        <w:tc>
          <w:tcPr>
            <w:tcW w:w="1904" w:type="dxa"/>
            <w:tcBorders>
              <w:top w:val="nil"/>
              <w:left w:val="nil"/>
              <w:bottom w:val="nil"/>
              <w:right w:val="nil"/>
            </w:tcBorders>
            <w:noWrap/>
            <w:vAlign w:val="bottom"/>
          </w:tcPr>
          <w:p w14:paraId="70B3FD7D" w14:textId="77777777" w:rsidR="009E3015" w:rsidRPr="00865C14" w:rsidRDefault="009E3015" w:rsidP="00484CF6">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51.098,28</w:t>
            </w:r>
          </w:p>
        </w:tc>
        <w:tc>
          <w:tcPr>
            <w:tcW w:w="1680" w:type="dxa"/>
            <w:tcBorders>
              <w:top w:val="nil"/>
              <w:left w:val="nil"/>
              <w:bottom w:val="nil"/>
              <w:right w:val="nil"/>
            </w:tcBorders>
            <w:noWrap/>
            <w:vAlign w:val="bottom"/>
          </w:tcPr>
          <w:p w14:paraId="4410A42A" w14:textId="77777777" w:rsidR="009E3015" w:rsidRPr="00865C14" w:rsidRDefault="009E3015" w:rsidP="00484CF6">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170.862,62</w:t>
            </w:r>
          </w:p>
        </w:tc>
      </w:tr>
      <w:tr w:rsidR="009E3015" w:rsidRPr="00865C14" w14:paraId="3E50D3E7" w14:textId="77777777" w:rsidTr="00484CF6">
        <w:trPr>
          <w:trHeight w:val="307"/>
        </w:trPr>
        <w:tc>
          <w:tcPr>
            <w:tcW w:w="2620" w:type="dxa"/>
            <w:tcBorders>
              <w:top w:val="nil"/>
              <w:left w:val="nil"/>
              <w:bottom w:val="nil"/>
              <w:right w:val="nil"/>
            </w:tcBorders>
            <w:vAlign w:val="bottom"/>
            <w:hideMark/>
          </w:tcPr>
          <w:p w14:paraId="5CED19AB" w14:textId="77777777" w:rsidR="009E3015" w:rsidRPr="00865C14" w:rsidRDefault="009E3015" w:rsidP="00484CF6">
            <w:pPr>
              <w:spacing w:after="0" w:line="240" w:lineRule="auto"/>
              <w:jc w:val="center"/>
              <w:rPr>
                <w:rFonts w:ascii="Calibri" w:eastAsia="Times New Roman" w:hAnsi="Calibri" w:cs="Calibri"/>
                <w:color w:val="000000"/>
                <w:lang w:eastAsia="hr-HR"/>
              </w:rPr>
            </w:pPr>
            <w:r w:rsidRPr="00865C14">
              <w:rPr>
                <w:rFonts w:ascii="Calibri" w:eastAsia="Times New Roman" w:hAnsi="Calibri" w:cs="Calibri"/>
                <w:color w:val="000000"/>
                <w:lang w:eastAsia="hr-HR"/>
              </w:rPr>
              <w:t>2028.</w:t>
            </w:r>
          </w:p>
        </w:tc>
        <w:tc>
          <w:tcPr>
            <w:tcW w:w="2195" w:type="dxa"/>
            <w:tcBorders>
              <w:top w:val="nil"/>
              <w:left w:val="nil"/>
              <w:bottom w:val="nil"/>
              <w:right w:val="nil"/>
            </w:tcBorders>
            <w:noWrap/>
            <w:vAlign w:val="bottom"/>
          </w:tcPr>
          <w:p w14:paraId="0EFEA358" w14:textId="77777777" w:rsidR="009E3015" w:rsidRPr="00865C14" w:rsidRDefault="009E3015" w:rsidP="00484CF6">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65.831,92</w:t>
            </w:r>
          </w:p>
        </w:tc>
        <w:tc>
          <w:tcPr>
            <w:tcW w:w="2195" w:type="dxa"/>
            <w:tcBorders>
              <w:top w:val="nil"/>
              <w:left w:val="nil"/>
              <w:bottom w:val="nil"/>
              <w:right w:val="nil"/>
            </w:tcBorders>
            <w:noWrap/>
            <w:vAlign w:val="bottom"/>
          </w:tcPr>
          <w:p w14:paraId="59CD21DC" w14:textId="77777777" w:rsidR="009E3015" w:rsidRPr="00865C14" w:rsidRDefault="009E3015" w:rsidP="00484CF6">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53.932,42</w:t>
            </w:r>
          </w:p>
        </w:tc>
        <w:tc>
          <w:tcPr>
            <w:tcW w:w="1904" w:type="dxa"/>
            <w:tcBorders>
              <w:top w:val="nil"/>
              <w:left w:val="nil"/>
              <w:bottom w:val="nil"/>
              <w:right w:val="nil"/>
            </w:tcBorders>
            <w:noWrap/>
            <w:vAlign w:val="bottom"/>
          </w:tcPr>
          <w:p w14:paraId="2D98EC49" w14:textId="77777777" w:rsidR="009E3015" w:rsidRPr="00865C14" w:rsidRDefault="009E3015" w:rsidP="00484CF6">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51.098,28</w:t>
            </w:r>
          </w:p>
        </w:tc>
        <w:tc>
          <w:tcPr>
            <w:tcW w:w="1680" w:type="dxa"/>
            <w:tcBorders>
              <w:top w:val="nil"/>
              <w:left w:val="nil"/>
              <w:bottom w:val="nil"/>
              <w:right w:val="nil"/>
            </w:tcBorders>
            <w:noWrap/>
            <w:vAlign w:val="bottom"/>
          </w:tcPr>
          <w:p w14:paraId="5EAD6D8E" w14:textId="77777777" w:rsidR="009E3015" w:rsidRPr="00865C14" w:rsidRDefault="009E3015" w:rsidP="00484CF6">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170.862,62</w:t>
            </w:r>
          </w:p>
        </w:tc>
      </w:tr>
      <w:tr w:rsidR="009E3015" w:rsidRPr="00865C14" w14:paraId="075E0169" w14:textId="77777777" w:rsidTr="00484CF6">
        <w:trPr>
          <w:trHeight w:val="307"/>
        </w:trPr>
        <w:tc>
          <w:tcPr>
            <w:tcW w:w="2620" w:type="dxa"/>
            <w:tcBorders>
              <w:top w:val="nil"/>
              <w:left w:val="nil"/>
              <w:bottom w:val="nil"/>
              <w:right w:val="nil"/>
            </w:tcBorders>
            <w:vAlign w:val="bottom"/>
            <w:hideMark/>
          </w:tcPr>
          <w:p w14:paraId="3DDE0D4D" w14:textId="77777777" w:rsidR="009E3015" w:rsidRPr="00865C14" w:rsidRDefault="009E3015" w:rsidP="00484CF6">
            <w:pPr>
              <w:spacing w:after="0" w:line="240" w:lineRule="auto"/>
              <w:jc w:val="center"/>
              <w:rPr>
                <w:rFonts w:ascii="Calibri" w:eastAsia="Times New Roman" w:hAnsi="Calibri" w:cs="Calibri"/>
                <w:color w:val="000000"/>
                <w:lang w:eastAsia="hr-HR"/>
              </w:rPr>
            </w:pPr>
            <w:r w:rsidRPr="00865C14">
              <w:rPr>
                <w:rFonts w:ascii="Calibri" w:eastAsia="Times New Roman" w:hAnsi="Calibri" w:cs="Calibri"/>
                <w:color w:val="000000"/>
                <w:lang w:eastAsia="hr-HR"/>
              </w:rPr>
              <w:t>2029.</w:t>
            </w:r>
          </w:p>
        </w:tc>
        <w:tc>
          <w:tcPr>
            <w:tcW w:w="2195" w:type="dxa"/>
            <w:tcBorders>
              <w:top w:val="nil"/>
              <w:left w:val="nil"/>
              <w:bottom w:val="nil"/>
              <w:right w:val="nil"/>
            </w:tcBorders>
            <w:noWrap/>
            <w:vAlign w:val="bottom"/>
          </w:tcPr>
          <w:p w14:paraId="0AB10849" w14:textId="77777777" w:rsidR="009E3015" w:rsidRPr="00865C14" w:rsidRDefault="009E3015" w:rsidP="00484CF6">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65.831,92</w:t>
            </w:r>
          </w:p>
        </w:tc>
        <w:tc>
          <w:tcPr>
            <w:tcW w:w="2195" w:type="dxa"/>
            <w:tcBorders>
              <w:top w:val="nil"/>
              <w:left w:val="nil"/>
              <w:bottom w:val="nil"/>
              <w:right w:val="nil"/>
            </w:tcBorders>
            <w:noWrap/>
            <w:vAlign w:val="bottom"/>
          </w:tcPr>
          <w:p w14:paraId="44978CAB" w14:textId="77777777" w:rsidR="009E3015" w:rsidRPr="00865C14" w:rsidRDefault="009E3015" w:rsidP="00484CF6">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53.932,42</w:t>
            </w:r>
          </w:p>
        </w:tc>
        <w:tc>
          <w:tcPr>
            <w:tcW w:w="1904" w:type="dxa"/>
            <w:tcBorders>
              <w:top w:val="nil"/>
              <w:left w:val="nil"/>
              <w:bottom w:val="nil"/>
              <w:right w:val="nil"/>
            </w:tcBorders>
            <w:noWrap/>
            <w:vAlign w:val="bottom"/>
          </w:tcPr>
          <w:p w14:paraId="04FC6626" w14:textId="77777777" w:rsidR="009E3015" w:rsidRPr="00865C14" w:rsidRDefault="009E3015" w:rsidP="00484CF6">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51.098,28</w:t>
            </w:r>
          </w:p>
        </w:tc>
        <w:tc>
          <w:tcPr>
            <w:tcW w:w="1680" w:type="dxa"/>
            <w:tcBorders>
              <w:top w:val="nil"/>
              <w:left w:val="nil"/>
              <w:bottom w:val="nil"/>
              <w:right w:val="nil"/>
            </w:tcBorders>
            <w:noWrap/>
            <w:vAlign w:val="bottom"/>
          </w:tcPr>
          <w:p w14:paraId="61E7741A" w14:textId="77777777" w:rsidR="009E3015" w:rsidRPr="00865C14" w:rsidRDefault="009E3015" w:rsidP="00484CF6">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170.862,62</w:t>
            </w:r>
          </w:p>
        </w:tc>
      </w:tr>
      <w:tr w:rsidR="009E3015" w:rsidRPr="00865C14" w14:paraId="342C4878" w14:textId="77777777" w:rsidTr="00484CF6">
        <w:trPr>
          <w:trHeight w:val="307"/>
        </w:trPr>
        <w:tc>
          <w:tcPr>
            <w:tcW w:w="2620" w:type="dxa"/>
            <w:tcBorders>
              <w:top w:val="nil"/>
              <w:left w:val="nil"/>
              <w:bottom w:val="nil"/>
              <w:right w:val="nil"/>
            </w:tcBorders>
            <w:vAlign w:val="bottom"/>
            <w:hideMark/>
          </w:tcPr>
          <w:p w14:paraId="3C68C534" w14:textId="77777777" w:rsidR="009E3015" w:rsidRPr="00865C14" w:rsidRDefault="009E3015" w:rsidP="00484CF6">
            <w:pPr>
              <w:spacing w:after="0" w:line="240" w:lineRule="auto"/>
              <w:jc w:val="center"/>
              <w:rPr>
                <w:rFonts w:ascii="Calibri" w:eastAsia="Times New Roman" w:hAnsi="Calibri" w:cs="Calibri"/>
                <w:color w:val="000000"/>
                <w:lang w:eastAsia="hr-HR"/>
              </w:rPr>
            </w:pPr>
            <w:r w:rsidRPr="00865C14">
              <w:rPr>
                <w:rFonts w:ascii="Calibri" w:eastAsia="Times New Roman" w:hAnsi="Calibri" w:cs="Calibri"/>
                <w:color w:val="000000"/>
                <w:lang w:eastAsia="hr-HR"/>
              </w:rPr>
              <w:t>2030.</w:t>
            </w:r>
          </w:p>
        </w:tc>
        <w:tc>
          <w:tcPr>
            <w:tcW w:w="2195" w:type="dxa"/>
            <w:tcBorders>
              <w:top w:val="nil"/>
              <w:left w:val="nil"/>
              <w:bottom w:val="nil"/>
              <w:right w:val="nil"/>
            </w:tcBorders>
            <w:noWrap/>
            <w:vAlign w:val="bottom"/>
          </w:tcPr>
          <w:p w14:paraId="1A622E3D" w14:textId="77777777" w:rsidR="009E3015" w:rsidRPr="00865C14" w:rsidRDefault="009E3015" w:rsidP="00484CF6">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65.831,92</w:t>
            </w:r>
          </w:p>
        </w:tc>
        <w:tc>
          <w:tcPr>
            <w:tcW w:w="2195" w:type="dxa"/>
            <w:tcBorders>
              <w:top w:val="nil"/>
              <w:left w:val="nil"/>
              <w:bottom w:val="nil"/>
              <w:right w:val="nil"/>
            </w:tcBorders>
            <w:noWrap/>
            <w:vAlign w:val="bottom"/>
          </w:tcPr>
          <w:p w14:paraId="4394A58A" w14:textId="77777777" w:rsidR="009E3015" w:rsidRPr="00865C14" w:rsidRDefault="009E3015" w:rsidP="00484CF6">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53.932,42</w:t>
            </w:r>
          </w:p>
        </w:tc>
        <w:tc>
          <w:tcPr>
            <w:tcW w:w="1904" w:type="dxa"/>
            <w:tcBorders>
              <w:top w:val="nil"/>
              <w:left w:val="nil"/>
              <w:bottom w:val="nil"/>
              <w:right w:val="nil"/>
            </w:tcBorders>
            <w:noWrap/>
            <w:vAlign w:val="bottom"/>
          </w:tcPr>
          <w:p w14:paraId="389F6EA2" w14:textId="77777777" w:rsidR="009E3015" w:rsidRPr="00865C14" w:rsidRDefault="009E3015" w:rsidP="00484CF6">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51.098,28</w:t>
            </w:r>
          </w:p>
        </w:tc>
        <w:tc>
          <w:tcPr>
            <w:tcW w:w="1680" w:type="dxa"/>
            <w:tcBorders>
              <w:top w:val="nil"/>
              <w:left w:val="nil"/>
              <w:bottom w:val="nil"/>
              <w:right w:val="nil"/>
            </w:tcBorders>
            <w:noWrap/>
            <w:vAlign w:val="bottom"/>
          </w:tcPr>
          <w:p w14:paraId="57640BFA" w14:textId="77777777" w:rsidR="009E3015" w:rsidRPr="00865C14" w:rsidRDefault="009E3015" w:rsidP="00484CF6">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170.862,62</w:t>
            </w:r>
          </w:p>
        </w:tc>
      </w:tr>
      <w:tr w:rsidR="009E3015" w:rsidRPr="00865C14" w14:paraId="2BE510EC" w14:textId="77777777" w:rsidTr="00484CF6">
        <w:trPr>
          <w:trHeight w:val="307"/>
        </w:trPr>
        <w:tc>
          <w:tcPr>
            <w:tcW w:w="2620" w:type="dxa"/>
            <w:tcBorders>
              <w:top w:val="nil"/>
              <w:left w:val="nil"/>
              <w:bottom w:val="single" w:sz="4" w:space="0" w:color="auto"/>
              <w:right w:val="nil"/>
            </w:tcBorders>
            <w:vAlign w:val="bottom"/>
            <w:hideMark/>
          </w:tcPr>
          <w:p w14:paraId="21E4E47C" w14:textId="77777777" w:rsidR="009E3015" w:rsidRPr="00865C14" w:rsidRDefault="009E3015" w:rsidP="00484CF6">
            <w:pPr>
              <w:spacing w:after="0" w:line="240" w:lineRule="auto"/>
              <w:jc w:val="center"/>
              <w:rPr>
                <w:rFonts w:ascii="Calibri" w:eastAsia="Times New Roman" w:hAnsi="Calibri" w:cs="Calibri"/>
                <w:color w:val="000000"/>
                <w:lang w:eastAsia="hr-HR"/>
              </w:rPr>
            </w:pPr>
            <w:r w:rsidRPr="00865C14">
              <w:rPr>
                <w:rFonts w:ascii="Calibri" w:eastAsia="Times New Roman" w:hAnsi="Calibri" w:cs="Calibri"/>
                <w:color w:val="000000"/>
                <w:lang w:eastAsia="hr-HR"/>
              </w:rPr>
              <w:t>2031.</w:t>
            </w:r>
          </w:p>
        </w:tc>
        <w:tc>
          <w:tcPr>
            <w:tcW w:w="2195" w:type="dxa"/>
            <w:tcBorders>
              <w:top w:val="nil"/>
              <w:left w:val="nil"/>
              <w:bottom w:val="single" w:sz="4" w:space="0" w:color="auto"/>
              <w:right w:val="nil"/>
            </w:tcBorders>
            <w:noWrap/>
            <w:vAlign w:val="bottom"/>
            <w:hideMark/>
          </w:tcPr>
          <w:p w14:paraId="651E280F" w14:textId="2E99B8C4" w:rsidR="009E3015" w:rsidRPr="00865C14" w:rsidRDefault="00B05517" w:rsidP="00484CF6">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49.374,10</w:t>
            </w:r>
          </w:p>
        </w:tc>
        <w:tc>
          <w:tcPr>
            <w:tcW w:w="2195" w:type="dxa"/>
            <w:tcBorders>
              <w:top w:val="nil"/>
              <w:left w:val="nil"/>
              <w:bottom w:val="single" w:sz="4" w:space="0" w:color="auto"/>
              <w:right w:val="nil"/>
            </w:tcBorders>
            <w:noWrap/>
            <w:vAlign w:val="bottom"/>
            <w:hideMark/>
          </w:tcPr>
          <w:p w14:paraId="50F3BE6F" w14:textId="1C8F2C7C" w:rsidR="009E3015" w:rsidRPr="00865C14" w:rsidRDefault="00B05517" w:rsidP="00484CF6">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40.449,33</w:t>
            </w:r>
          </w:p>
        </w:tc>
        <w:tc>
          <w:tcPr>
            <w:tcW w:w="1904" w:type="dxa"/>
            <w:tcBorders>
              <w:top w:val="nil"/>
              <w:left w:val="nil"/>
              <w:bottom w:val="single" w:sz="4" w:space="0" w:color="auto"/>
              <w:right w:val="nil"/>
            </w:tcBorders>
            <w:noWrap/>
            <w:vAlign w:val="bottom"/>
            <w:hideMark/>
          </w:tcPr>
          <w:p w14:paraId="31DD9340" w14:textId="6D6752CB" w:rsidR="009E3015" w:rsidRPr="00865C14" w:rsidRDefault="00B05517" w:rsidP="00484CF6">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38.323,73</w:t>
            </w:r>
          </w:p>
        </w:tc>
        <w:tc>
          <w:tcPr>
            <w:tcW w:w="1680" w:type="dxa"/>
            <w:tcBorders>
              <w:top w:val="nil"/>
              <w:left w:val="nil"/>
              <w:bottom w:val="single" w:sz="4" w:space="0" w:color="auto"/>
              <w:right w:val="nil"/>
            </w:tcBorders>
            <w:noWrap/>
            <w:vAlign w:val="bottom"/>
            <w:hideMark/>
          </w:tcPr>
          <w:p w14:paraId="1C66B972" w14:textId="70C6BA36" w:rsidR="009E3015" w:rsidRPr="00865C14" w:rsidRDefault="00B05517" w:rsidP="00484CF6">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128.147,16</w:t>
            </w:r>
          </w:p>
        </w:tc>
      </w:tr>
    </w:tbl>
    <w:p w14:paraId="28AE7F0B" w14:textId="77777777" w:rsidR="00842FF1" w:rsidRDefault="00842FF1" w:rsidP="009E3015">
      <w:pPr>
        <w:autoSpaceDE w:val="0"/>
        <w:autoSpaceDN w:val="0"/>
        <w:adjustRightInd w:val="0"/>
        <w:spacing w:after="0" w:line="240" w:lineRule="auto"/>
        <w:jc w:val="both"/>
        <w:rPr>
          <w:rFonts w:eastAsia="Times New Roman" w:cstheme="minorHAnsi"/>
          <w:sz w:val="24"/>
          <w:szCs w:val="24"/>
          <w:u w:val="single"/>
          <w:lang w:eastAsia="hr-HR"/>
        </w:rPr>
      </w:pPr>
    </w:p>
    <w:p w14:paraId="50A3E48E" w14:textId="78E94950" w:rsidR="009E3015" w:rsidRDefault="009E3015" w:rsidP="009E3015">
      <w:pPr>
        <w:autoSpaceDE w:val="0"/>
        <w:autoSpaceDN w:val="0"/>
        <w:adjustRightInd w:val="0"/>
        <w:spacing w:after="0" w:line="240" w:lineRule="auto"/>
        <w:jc w:val="both"/>
        <w:rPr>
          <w:rFonts w:eastAsia="Times New Roman" w:cstheme="minorHAnsi"/>
          <w:sz w:val="24"/>
          <w:szCs w:val="24"/>
          <w:u w:val="single"/>
          <w:lang w:eastAsia="hr-HR"/>
        </w:rPr>
      </w:pPr>
      <w:r w:rsidRPr="00FC1928">
        <w:rPr>
          <w:rFonts w:eastAsia="Times New Roman" w:cstheme="minorHAnsi"/>
          <w:sz w:val="24"/>
          <w:szCs w:val="24"/>
          <w:u w:val="single"/>
          <w:lang w:eastAsia="hr-HR"/>
        </w:rPr>
        <w:t>4. KRATKOROČNI BESKAMATNI ZAJMOVI DRŽAVE DO VISINE POREZA NA DOHODAK I PRIREZU POREZA NA DOHODAK ČIJE JE PLAĆANJE OSLOBOĐENO, ODGOĐENO I/ILI JE ODOBRENA OBROČNA OTPLATA ODNOSNO DO VISINE IZVRŠENOG POVRATA I PREMA RASPOLOŽIVIM SREDSTVIMA DRŽAVNOG PRORAČUNA</w:t>
      </w:r>
    </w:p>
    <w:p w14:paraId="3A840190" w14:textId="77777777" w:rsidR="009E3015" w:rsidRPr="00F71F1F" w:rsidRDefault="009E3015" w:rsidP="009E3015">
      <w:pPr>
        <w:autoSpaceDE w:val="0"/>
        <w:autoSpaceDN w:val="0"/>
        <w:adjustRightInd w:val="0"/>
        <w:spacing w:after="0" w:line="240" w:lineRule="auto"/>
        <w:jc w:val="both"/>
        <w:rPr>
          <w:rFonts w:eastAsia="Times New Roman" w:cstheme="minorHAnsi"/>
          <w:sz w:val="24"/>
          <w:szCs w:val="24"/>
          <w:u w:val="single"/>
          <w:lang w:eastAsia="hr-HR"/>
        </w:rPr>
      </w:pPr>
    </w:p>
    <w:p w14:paraId="753CD351" w14:textId="77777777" w:rsidR="009E3015" w:rsidRPr="00F71F1F" w:rsidRDefault="009E3015" w:rsidP="009E3015">
      <w:pPr>
        <w:suppressAutoHyphens/>
        <w:overflowPunct w:val="0"/>
        <w:autoSpaceDE w:val="0"/>
        <w:autoSpaceDN w:val="0"/>
        <w:adjustRightInd w:val="0"/>
        <w:spacing w:after="120" w:line="240" w:lineRule="auto"/>
        <w:jc w:val="both"/>
      </w:pPr>
      <w:r>
        <w:rPr>
          <w:sz w:val="24"/>
          <w:szCs w:val="24"/>
        </w:rPr>
        <w:t>I</w:t>
      </w:r>
      <w:r w:rsidRPr="00F71F1F">
        <w:rPr>
          <w:sz w:val="24"/>
          <w:szCs w:val="24"/>
        </w:rPr>
        <w:t>zmjenama i dopunama Zakona o izvršavanju Državnog proračuna za 2020. (Narodne novine, br. 42/20) koje su pratile dopune Općeg poreznog zakona, propisano je da će u ovim uvjetima Republika Hrvatska osigurati sredstva beskamatnog zajma jedinicama lokalne i područne (regionalne) samouprave, HZZO-u i HZMO-u za premošćivanje situacije nastale zbog različite dinamike priljeva sredstava i dospijeća obveza. Nastavno na odredbe Zakona o izvršavanju, ministar financija donio je Naputak o načinu isplate beskamatnog zajma jedinicama lokalne i područne (regionalne) samouprave, HZMO-u i HZZO-u (Narodne novine, br. 46/20) kojim se propisuje način ostvarivanja prava na beskamatni zajam, sustav izvještavanja te način vođenja evidencija. Jedinica lokalne i područne (regionalne) samouprave obvezuje se za zajam dan na ime povrata poreza na dohodak temeljem utvrđenog godišnjeg obračuna, a u iznosu raspoloživih sredstava državnog proračuna, izvršiti povrat na račun državnog proračuna najduže u roku od godinu dana. Povrat dijela sredstava zajma, isplaćenog na ime poreza na dohodak, prireza porezu na dohodak i doprinosa čije je plaćanje odgođeno i/ili je odobrena obročna otplata, a u iznosu raspoloživih sredstava državnog proračuna, vršit će se Ministarstvu financija na račun državnog proračuna sukcesivno u visini naplate odgođenog i/ili obročnom otplatom danog poreza na dohodak, prireza porezu na dohodak i doprinosa.</w:t>
      </w:r>
      <w:r>
        <w:t xml:space="preserve"> </w:t>
      </w:r>
    </w:p>
    <w:p w14:paraId="1606EE7E" w14:textId="7F5E3766" w:rsidR="003C1985" w:rsidRDefault="009E3015" w:rsidP="009E3015">
      <w:pPr>
        <w:tabs>
          <w:tab w:val="left" w:pos="707"/>
        </w:tabs>
        <w:suppressAutoHyphens/>
        <w:overflowPunct w:val="0"/>
        <w:autoSpaceDE w:val="0"/>
        <w:autoSpaceDN w:val="0"/>
        <w:adjustRightInd w:val="0"/>
        <w:spacing w:after="0" w:line="240" w:lineRule="auto"/>
        <w:jc w:val="both"/>
        <w:rPr>
          <w:rFonts w:eastAsia="Times New Roman" w:cstheme="minorHAnsi"/>
          <w:color w:val="000000"/>
          <w:kern w:val="2"/>
          <w:sz w:val="24"/>
          <w:szCs w:val="24"/>
          <w:lang w:eastAsia="hr-HR"/>
        </w:rPr>
      </w:pPr>
      <w:r w:rsidRPr="00F11431">
        <w:rPr>
          <w:rFonts w:eastAsia="Times New Roman" w:cstheme="minorHAnsi"/>
          <w:color w:val="000000"/>
          <w:kern w:val="2"/>
          <w:sz w:val="24"/>
          <w:szCs w:val="24"/>
          <w:lang w:eastAsia="hr-HR"/>
        </w:rPr>
        <w:t xml:space="preserve">Sukladno mjerama Vlade i donesenog Naputka Grad Trogir je ostvario i beskamatni zajam u iznosu od </w:t>
      </w:r>
      <w:r>
        <w:rPr>
          <w:rFonts w:eastAsia="Times New Roman" w:cstheme="minorHAnsi"/>
          <w:color w:val="000000"/>
          <w:kern w:val="2"/>
          <w:sz w:val="24"/>
          <w:szCs w:val="24"/>
          <w:lang w:eastAsia="hr-HR"/>
        </w:rPr>
        <w:t xml:space="preserve">105.774,90 eura </w:t>
      </w:r>
      <w:r w:rsidRPr="00F11431">
        <w:rPr>
          <w:rFonts w:eastAsia="Times New Roman" w:cstheme="minorHAnsi"/>
          <w:color w:val="000000"/>
          <w:kern w:val="2"/>
          <w:sz w:val="24"/>
          <w:szCs w:val="24"/>
          <w:lang w:eastAsia="hr-HR"/>
        </w:rPr>
        <w:t>po osnovi odgode plaćanja poreza na dohodak i doprinosa s obvezo</w:t>
      </w:r>
      <w:r>
        <w:rPr>
          <w:rFonts w:eastAsia="Times New Roman" w:cstheme="minorHAnsi"/>
          <w:color w:val="000000"/>
          <w:kern w:val="2"/>
          <w:sz w:val="24"/>
          <w:szCs w:val="24"/>
          <w:lang w:eastAsia="hr-HR"/>
        </w:rPr>
        <w:t>m povrata u 2021.g., a otplaćivao</w:t>
      </w:r>
      <w:r w:rsidRPr="00F11431">
        <w:rPr>
          <w:rFonts w:eastAsia="Times New Roman" w:cstheme="minorHAnsi"/>
          <w:color w:val="000000"/>
          <w:kern w:val="2"/>
          <w:sz w:val="24"/>
          <w:szCs w:val="24"/>
          <w:lang w:eastAsia="hr-HR"/>
        </w:rPr>
        <w:t xml:space="preserve"> se i nakon 2021.g. kroz umanjenje uplate poreza na dohodak i evidentira se temeljem izvještaja Fine i Ministarstva financija. Na početku </w:t>
      </w:r>
      <w:r>
        <w:rPr>
          <w:rFonts w:eastAsia="Times New Roman" w:cstheme="minorHAnsi"/>
          <w:color w:val="000000"/>
          <w:kern w:val="2"/>
          <w:sz w:val="24"/>
          <w:szCs w:val="24"/>
          <w:lang w:eastAsia="hr-HR"/>
        </w:rPr>
        <w:t xml:space="preserve">2024.godine </w:t>
      </w:r>
      <w:r w:rsidRPr="00F11431">
        <w:rPr>
          <w:rFonts w:eastAsia="Times New Roman" w:cstheme="minorHAnsi"/>
          <w:color w:val="000000"/>
          <w:kern w:val="2"/>
          <w:sz w:val="24"/>
          <w:szCs w:val="24"/>
          <w:lang w:eastAsia="hr-HR"/>
        </w:rPr>
        <w:t xml:space="preserve">stanje zajma je iznosilo </w:t>
      </w:r>
      <w:r>
        <w:rPr>
          <w:rFonts w:eastAsia="Times New Roman" w:cstheme="minorHAnsi"/>
          <w:color w:val="000000"/>
          <w:kern w:val="2"/>
          <w:sz w:val="24"/>
          <w:szCs w:val="24"/>
          <w:lang w:eastAsia="hr-HR"/>
        </w:rPr>
        <w:t>98.859,51 eura</w:t>
      </w:r>
      <w:r w:rsidRPr="00F11431">
        <w:rPr>
          <w:rFonts w:eastAsia="Times New Roman" w:cstheme="minorHAnsi"/>
          <w:color w:val="000000"/>
          <w:kern w:val="2"/>
          <w:sz w:val="24"/>
          <w:szCs w:val="24"/>
          <w:lang w:eastAsia="hr-HR"/>
        </w:rPr>
        <w:t>.</w:t>
      </w:r>
    </w:p>
    <w:p w14:paraId="42EEA85B" w14:textId="56DF1CA6" w:rsidR="00224EFE" w:rsidRPr="004B4CDB" w:rsidRDefault="009E3015" w:rsidP="004B4CDB">
      <w:pPr>
        <w:tabs>
          <w:tab w:val="left" w:pos="707"/>
        </w:tabs>
        <w:suppressAutoHyphens/>
        <w:overflowPunct w:val="0"/>
        <w:autoSpaceDE w:val="0"/>
        <w:autoSpaceDN w:val="0"/>
        <w:adjustRightInd w:val="0"/>
        <w:spacing w:after="0" w:line="240" w:lineRule="auto"/>
        <w:jc w:val="both"/>
        <w:rPr>
          <w:rFonts w:eastAsia="Times New Roman" w:cstheme="minorHAnsi"/>
          <w:color w:val="000000"/>
          <w:kern w:val="2"/>
          <w:sz w:val="24"/>
          <w:szCs w:val="24"/>
          <w:lang w:eastAsia="hr-HR"/>
        </w:rPr>
      </w:pPr>
      <w:r w:rsidRPr="001B64FA">
        <w:rPr>
          <w:rFonts w:eastAsia="Times New Roman" w:cstheme="minorHAnsi"/>
          <w:color w:val="000000"/>
          <w:kern w:val="2"/>
          <w:sz w:val="24"/>
          <w:szCs w:val="24"/>
          <w:lang w:eastAsia="hr-HR"/>
        </w:rPr>
        <w:t>U izvještajnom razdoblju 202</w:t>
      </w:r>
      <w:r w:rsidR="001B64FA" w:rsidRPr="001B64FA">
        <w:rPr>
          <w:rFonts w:eastAsia="Times New Roman" w:cstheme="minorHAnsi"/>
          <w:color w:val="000000"/>
          <w:kern w:val="2"/>
          <w:sz w:val="24"/>
          <w:szCs w:val="24"/>
          <w:lang w:eastAsia="hr-HR"/>
        </w:rPr>
        <w:t>5</w:t>
      </w:r>
      <w:r w:rsidRPr="001B64FA">
        <w:rPr>
          <w:rFonts w:eastAsia="Times New Roman" w:cstheme="minorHAnsi"/>
          <w:color w:val="000000"/>
          <w:kern w:val="2"/>
          <w:sz w:val="24"/>
          <w:szCs w:val="24"/>
          <w:lang w:eastAsia="hr-HR"/>
        </w:rPr>
        <w:t xml:space="preserve">.godine </w:t>
      </w:r>
      <w:r w:rsidR="001B64FA" w:rsidRPr="001B64FA">
        <w:rPr>
          <w:rFonts w:eastAsia="Times New Roman" w:cstheme="minorHAnsi"/>
          <w:color w:val="000000"/>
          <w:kern w:val="2"/>
          <w:sz w:val="24"/>
          <w:szCs w:val="24"/>
          <w:lang w:eastAsia="hr-HR"/>
        </w:rPr>
        <w:t xml:space="preserve">izvršen je povrat duga </w:t>
      </w:r>
      <w:r w:rsidR="001B64FA" w:rsidRPr="001B64FA">
        <w:rPr>
          <w:sz w:val="24"/>
          <w:szCs w:val="24"/>
        </w:rPr>
        <w:t>što za Zajam po osnovi odgode/obročne otplate/oslobođenje poreza na dohodak (2020.g.) iznosi 32.953,17 eura (trećina  od 98.859,51 eura).</w:t>
      </w:r>
    </w:p>
    <w:p w14:paraId="76AC3F3C" w14:textId="77777777" w:rsidR="00224EFE" w:rsidRDefault="00224EFE" w:rsidP="009E3015">
      <w:pPr>
        <w:autoSpaceDE w:val="0"/>
        <w:autoSpaceDN w:val="0"/>
        <w:adjustRightInd w:val="0"/>
        <w:spacing w:after="0" w:line="240" w:lineRule="auto"/>
        <w:jc w:val="both"/>
        <w:rPr>
          <w:rFonts w:eastAsia="Times New Roman" w:cstheme="minorHAnsi"/>
          <w:sz w:val="24"/>
          <w:szCs w:val="24"/>
          <w:u w:val="single"/>
          <w:lang w:eastAsia="hr-HR"/>
        </w:rPr>
      </w:pPr>
    </w:p>
    <w:tbl>
      <w:tblPr>
        <w:tblW w:w="9237" w:type="dxa"/>
        <w:tblLook w:val="04A0" w:firstRow="1" w:lastRow="0" w:firstColumn="1" w:lastColumn="0" w:noHBand="0" w:noVBand="1"/>
      </w:tblPr>
      <w:tblGrid>
        <w:gridCol w:w="2696"/>
        <w:gridCol w:w="4324"/>
        <w:gridCol w:w="2217"/>
      </w:tblGrid>
      <w:tr w:rsidR="009E3015" w:rsidRPr="008C30CD" w14:paraId="118C3743" w14:textId="77777777" w:rsidTr="00484CF6">
        <w:trPr>
          <w:trHeight w:val="897"/>
        </w:trPr>
        <w:tc>
          <w:tcPr>
            <w:tcW w:w="2696" w:type="dxa"/>
            <w:tcBorders>
              <w:top w:val="single" w:sz="4" w:space="0" w:color="auto"/>
              <w:left w:val="nil"/>
              <w:bottom w:val="single" w:sz="4" w:space="0" w:color="auto"/>
              <w:right w:val="nil"/>
            </w:tcBorders>
            <w:noWrap/>
            <w:vAlign w:val="center"/>
            <w:hideMark/>
          </w:tcPr>
          <w:p w14:paraId="4BB9B155" w14:textId="77777777" w:rsidR="009E3015" w:rsidRPr="008C30CD" w:rsidRDefault="009E3015" w:rsidP="00484CF6">
            <w:pPr>
              <w:spacing w:after="0" w:line="240" w:lineRule="auto"/>
              <w:jc w:val="center"/>
              <w:rPr>
                <w:rFonts w:ascii="Calibri" w:eastAsia="Times New Roman" w:hAnsi="Calibri" w:cs="Calibri"/>
                <w:b/>
                <w:bCs/>
                <w:color w:val="000000"/>
                <w:lang w:eastAsia="hr-HR"/>
              </w:rPr>
            </w:pPr>
            <w:r w:rsidRPr="008C30CD">
              <w:rPr>
                <w:rFonts w:ascii="Calibri" w:eastAsia="Times New Roman" w:hAnsi="Calibri" w:cs="Calibri"/>
                <w:b/>
                <w:bCs/>
                <w:color w:val="000000"/>
                <w:lang w:eastAsia="hr-HR"/>
              </w:rPr>
              <w:t xml:space="preserve">Vrsta zajma </w:t>
            </w:r>
          </w:p>
        </w:tc>
        <w:tc>
          <w:tcPr>
            <w:tcW w:w="4324" w:type="dxa"/>
            <w:tcBorders>
              <w:top w:val="single" w:sz="4" w:space="0" w:color="auto"/>
              <w:left w:val="nil"/>
              <w:bottom w:val="single" w:sz="4" w:space="0" w:color="auto"/>
              <w:right w:val="nil"/>
            </w:tcBorders>
            <w:vAlign w:val="center"/>
            <w:hideMark/>
          </w:tcPr>
          <w:p w14:paraId="2DD4F7A6" w14:textId="77777777" w:rsidR="009E3015" w:rsidRPr="008C30CD" w:rsidRDefault="009E3015" w:rsidP="00484CF6">
            <w:pPr>
              <w:spacing w:after="0" w:line="240" w:lineRule="auto"/>
              <w:jc w:val="center"/>
              <w:rPr>
                <w:rFonts w:ascii="Calibri" w:eastAsia="Times New Roman" w:hAnsi="Calibri" w:cs="Calibri"/>
                <w:b/>
                <w:bCs/>
                <w:color w:val="000000"/>
                <w:lang w:eastAsia="hr-HR"/>
              </w:rPr>
            </w:pPr>
            <w:r w:rsidRPr="008C30CD">
              <w:rPr>
                <w:rFonts w:ascii="Calibri" w:eastAsia="Times New Roman" w:hAnsi="Calibri" w:cs="Calibri"/>
                <w:b/>
                <w:bCs/>
                <w:color w:val="000000"/>
                <w:lang w:eastAsia="hr-HR"/>
              </w:rPr>
              <w:t xml:space="preserve">Zajam na ime poreza na dohodak i prireza porezu na dohodak čije je plaćanje odgođeno i/ili je odobrena obročna otplata u 2020.godini </w:t>
            </w:r>
            <w:r>
              <w:rPr>
                <w:rFonts w:ascii="Calibri" w:eastAsia="Times New Roman" w:hAnsi="Calibri" w:cs="Calibri"/>
                <w:b/>
                <w:bCs/>
                <w:color w:val="000000"/>
                <w:lang w:eastAsia="hr-HR"/>
              </w:rPr>
              <w:t>(€)</w:t>
            </w:r>
          </w:p>
        </w:tc>
        <w:tc>
          <w:tcPr>
            <w:tcW w:w="2217" w:type="dxa"/>
            <w:tcBorders>
              <w:top w:val="single" w:sz="4" w:space="0" w:color="auto"/>
              <w:left w:val="nil"/>
              <w:bottom w:val="single" w:sz="4" w:space="0" w:color="auto"/>
              <w:right w:val="nil"/>
            </w:tcBorders>
            <w:noWrap/>
            <w:vAlign w:val="center"/>
            <w:hideMark/>
          </w:tcPr>
          <w:p w14:paraId="5E2D791D" w14:textId="77777777" w:rsidR="009E3015" w:rsidRPr="008C30CD" w:rsidRDefault="009E3015" w:rsidP="00484CF6">
            <w:pPr>
              <w:spacing w:after="0" w:line="240" w:lineRule="auto"/>
              <w:jc w:val="center"/>
              <w:rPr>
                <w:rFonts w:ascii="Calibri" w:eastAsia="Times New Roman" w:hAnsi="Calibri" w:cs="Calibri"/>
                <w:b/>
                <w:bCs/>
                <w:color w:val="000000"/>
                <w:lang w:eastAsia="hr-HR"/>
              </w:rPr>
            </w:pPr>
            <w:r w:rsidRPr="008C30CD">
              <w:rPr>
                <w:rFonts w:ascii="Calibri" w:eastAsia="Times New Roman" w:hAnsi="Calibri" w:cs="Calibri"/>
                <w:b/>
                <w:bCs/>
                <w:color w:val="000000"/>
                <w:lang w:eastAsia="hr-HR"/>
              </w:rPr>
              <w:t xml:space="preserve">Ukupno </w:t>
            </w:r>
            <w:r>
              <w:rPr>
                <w:rFonts w:ascii="Calibri" w:eastAsia="Times New Roman" w:hAnsi="Calibri" w:cs="Calibri"/>
                <w:b/>
                <w:bCs/>
                <w:color w:val="000000"/>
                <w:lang w:eastAsia="hr-HR"/>
              </w:rPr>
              <w:t>(€)</w:t>
            </w:r>
          </w:p>
        </w:tc>
      </w:tr>
      <w:tr w:rsidR="009E3015" w:rsidRPr="008C30CD" w14:paraId="70CA6E4C" w14:textId="77777777" w:rsidTr="00484CF6">
        <w:trPr>
          <w:trHeight w:val="141"/>
        </w:trPr>
        <w:tc>
          <w:tcPr>
            <w:tcW w:w="2696" w:type="dxa"/>
            <w:tcBorders>
              <w:top w:val="single" w:sz="4" w:space="0" w:color="auto"/>
              <w:left w:val="nil"/>
              <w:bottom w:val="single" w:sz="4" w:space="0" w:color="auto"/>
              <w:right w:val="nil"/>
            </w:tcBorders>
            <w:noWrap/>
            <w:vAlign w:val="bottom"/>
            <w:hideMark/>
          </w:tcPr>
          <w:p w14:paraId="4B30C421" w14:textId="77777777" w:rsidR="009E3015" w:rsidRPr="008C30CD" w:rsidRDefault="009E3015" w:rsidP="00484CF6">
            <w:pPr>
              <w:spacing w:after="0" w:line="240" w:lineRule="auto"/>
              <w:jc w:val="center"/>
              <w:rPr>
                <w:rFonts w:ascii="Calibri" w:eastAsia="Times New Roman" w:hAnsi="Calibri" w:cs="Calibri"/>
                <w:color w:val="000000"/>
                <w:lang w:eastAsia="hr-HR"/>
              </w:rPr>
            </w:pPr>
            <w:r w:rsidRPr="008C30CD">
              <w:rPr>
                <w:rFonts w:ascii="Calibri" w:eastAsia="Times New Roman" w:hAnsi="Calibri" w:cs="Calibri"/>
                <w:color w:val="000000"/>
                <w:lang w:eastAsia="hr-HR"/>
              </w:rPr>
              <w:t>(1)</w:t>
            </w:r>
          </w:p>
        </w:tc>
        <w:tc>
          <w:tcPr>
            <w:tcW w:w="4324" w:type="dxa"/>
            <w:tcBorders>
              <w:top w:val="single" w:sz="4" w:space="0" w:color="auto"/>
              <w:left w:val="nil"/>
              <w:bottom w:val="single" w:sz="4" w:space="0" w:color="auto"/>
              <w:right w:val="nil"/>
            </w:tcBorders>
            <w:noWrap/>
            <w:vAlign w:val="bottom"/>
            <w:hideMark/>
          </w:tcPr>
          <w:p w14:paraId="28E10812" w14:textId="77777777" w:rsidR="009E3015" w:rsidRPr="008C30CD" w:rsidRDefault="009E3015" w:rsidP="00484CF6">
            <w:pPr>
              <w:spacing w:after="0" w:line="240" w:lineRule="auto"/>
              <w:jc w:val="center"/>
              <w:rPr>
                <w:rFonts w:ascii="Calibri" w:eastAsia="Times New Roman" w:hAnsi="Calibri" w:cs="Calibri"/>
                <w:color w:val="000000"/>
                <w:lang w:eastAsia="hr-HR"/>
              </w:rPr>
            </w:pPr>
            <w:r w:rsidRPr="008C30CD">
              <w:rPr>
                <w:rFonts w:ascii="Calibri" w:eastAsia="Times New Roman" w:hAnsi="Calibri" w:cs="Calibri"/>
                <w:color w:val="000000"/>
                <w:lang w:eastAsia="hr-HR"/>
              </w:rPr>
              <w:t>(2)</w:t>
            </w:r>
          </w:p>
        </w:tc>
        <w:tc>
          <w:tcPr>
            <w:tcW w:w="2217" w:type="dxa"/>
            <w:tcBorders>
              <w:top w:val="nil"/>
              <w:left w:val="nil"/>
              <w:bottom w:val="single" w:sz="4" w:space="0" w:color="auto"/>
              <w:right w:val="nil"/>
            </w:tcBorders>
            <w:noWrap/>
            <w:vAlign w:val="bottom"/>
            <w:hideMark/>
          </w:tcPr>
          <w:p w14:paraId="5BFF6B76" w14:textId="77777777" w:rsidR="009E3015" w:rsidRPr="008C30CD" w:rsidRDefault="009E3015" w:rsidP="00484CF6">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(3</w:t>
            </w:r>
            <w:r w:rsidRPr="008C30CD">
              <w:rPr>
                <w:rFonts w:ascii="Calibri" w:eastAsia="Times New Roman" w:hAnsi="Calibri" w:cs="Calibri"/>
                <w:color w:val="000000"/>
                <w:lang w:eastAsia="hr-HR"/>
              </w:rPr>
              <w:t>)</w:t>
            </w:r>
          </w:p>
        </w:tc>
      </w:tr>
      <w:tr w:rsidR="009E3015" w:rsidRPr="008C30CD" w14:paraId="1243A8B9" w14:textId="77777777" w:rsidTr="00484CF6">
        <w:trPr>
          <w:trHeight w:val="472"/>
        </w:trPr>
        <w:tc>
          <w:tcPr>
            <w:tcW w:w="2696" w:type="dxa"/>
            <w:tcBorders>
              <w:top w:val="single" w:sz="4" w:space="0" w:color="auto"/>
              <w:left w:val="nil"/>
              <w:bottom w:val="single" w:sz="4" w:space="0" w:color="auto"/>
              <w:right w:val="nil"/>
            </w:tcBorders>
            <w:shd w:val="clear" w:color="000000" w:fill="D0CECE"/>
            <w:vAlign w:val="bottom"/>
            <w:hideMark/>
          </w:tcPr>
          <w:p w14:paraId="20F6510C" w14:textId="62105128" w:rsidR="009E3015" w:rsidRPr="008C30CD" w:rsidRDefault="009E3015" w:rsidP="00484CF6">
            <w:pPr>
              <w:spacing w:after="0" w:line="240" w:lineRule="auto"/>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t>Stanje glavnice na 01.01.202</w:t>
            </w:r>
            <w:r w:rsidR="002E6435">
              <w:rPr>
                <w:rFonts w:ascii="Calibri" w:eastAsia="Times New Roman" w:hAnsi="Calibri" w:cs="Calibri"/>
                <w:b/>
                <w:bCs/>
                <w:color w:val="000000"/>
                <w:lang w:eastAsia="hr-HR"/>
              </w:rPr>
              <w:t>5</w:t>
            </w:r>
            <w:r w:rsidRPr="008C30CD">
              <w:rPr>
                <w:rFonts w:ascii="Calibri" w:eastAsia="Times New Roman" w:hAnsi="Calibri" w:cs="Calibri"/>
                <w:b/>
                <w:bCs/>
                <w:color w:val="000000"/>
                <w:lang w:eastAsia="hr-HR"/>
              </w:rPr>
              <w:t>.</w:t>
            </w:r>
          </w:p>
        </w:tc>
        <w:tc>
          <w:tcPr>
            <w:tcW w:w="4324" w:type="dxa"/>
            <w:tcBorders>
              <w:top w:val="single" w:sz="4" w:space="0" w:color="auto"/>
              <w:left w:val="nil"/>
              <w:bottom w:val="single" w:sz="4" w:space="0" w:color="auto"/>
              <w:right w:val="nil"/>
            </w:tcBorders>
            <w:shd w:val="clear" w:color="000000" w:fill="D0CECE"/>
            <w:noWrap/>
            <w:vAlign w:val="bottom"/>
            <w:hideMark/>
          </w:tcPr>
          <w:p w14:paraId="24900184" w14:textId="77777777" w:rsidR="009E3015" w:rsidRPr="008C30CD" w:rsidRDefault="009E3015" w:rsidP="00484CF6">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 xml:space="preserve">98.859,51 </w:t>
            </w:r>
          </w:p>
        </w:tc>
        <w:tc>
          <w:tcPr>
            <w:tcW w:w="2217" w:type="dxa"/>
            <w:tcBorders>
              <w:top w:val="nil"/>
              <w:left w:val="nil"/>
              <w:bottom w:val="single" w:sz="4" w:space="0" w:color="auto"/>
              <w:right w:val="nil"/>
            </w:tcBorders>
            <w:shd w:val="clear" w:color="000000" w:fill="D0CECE"/>
            <w:noWrap/>
            <w:vAlign w:val="bottom"/>
            <w:hideMark/>
          </w:tcPr>
          <w:p w14:paraId="4396FBB8" w14:textId="77777777" w:rsidR="009E3015" w:rsidRPr="008C30CD" w:rsidRDefault="009E3015" w:rsidP="00484CF6">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98.859,51</w:t>
            </w:r>
          </w:p>
        </w:tc>
      </w:tr>
      <w:tr w:rsidR="009E3015" w:rsidRPr="008C30CD" w14:paraId="73DC33C5" w14:textId="77777777" w:rsidTr="00484CF6">
        <w:trPr>
          <w:trHeight w:val="275"/>
        </w:trPr>
        <w:tc>
          <w:tcPr>
            <w:tcW w:w="2696" w:type="dxa"/>
            <w:tcBorders>
              <w:top w:val="single" w:sz="4" w:space="0" w:color="auto"/>
              <w:left w:val="nil"/>
              <w:bottom w:val="single" w:sz="4" w:space="0" w:color="auto"/>
              <w:right w:val="nil"/>
            </w:tcBorders>
            <w:vAlign w:val="center"/>
            <w:hideMark/>
          </w:tcPr>
          <w:p w14:paraId="48AC83BE" w14:textId="3BF2A1E2" w:rsidR="009E3015" w:rsidRPr="008C30CD" w:rsidRDefault="009E3015" w:rsidP="00484CF6">
            <w:pPr>
              <w:spacing w:after="0" w:line="240" w:lineRule="auto"/>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lastRenderedPageBreak/>
              <w:t>Otplata glavnice u razdoblju od I.-XII. 202</w:t>
            </w:r>
            <w:r w:rsidR="002E6435">
              <w:rPr>
                <w:rFonts w:ascii="Calibri" w:eastAsia="Times New Roman" w:hAnsi="Calibri" w:cs="Calibri"/>
                <w:b/>
                <w:bCs/>
                <w:color w:val="000000"/>
                <w:lang w:eastAsia="hr-HR"/>
              </w:rPr>
              <w:t>5</w:t>
            </w:r>
            <w:r w:rsidRPr="008C30CD">
              <w:rPr>
                <w:rFonts w:ascii="Calibri" w:eastAsia="Times New Roman" w:hAnsi="Calibri" w:cs="Calibri"/>
                <w:b/>
                <w:bCs/>
                <w:color w:val="000000"/>
                <w:lang w:eastAsia="hr-HR"/>
              </w:rPr>
              <w:t>.</w:t>
            </w:r>
          </w:p>
        </w:tc>
        <w:tc>
          <w:tcPr>
            <w:tcW w:w="4324" w:type="dxa"/>
            <w:tcBorders>
              <w:top w:val="single" w:sz="4" w:space="0" w:color="auto"/>
              <w:left w:val="nil"/>
              <w:bottom w:val="single" w:sz="4" w:space="0" w:color="auto"/>
              <w:right w:val="nil"/>
            </w:tcBorders>
            <w:noWrap/>
            <w:vAlign w:val="bottom"/>
            <w:hideMark/>
          </w:tcPr>
          <w:p w14:paraId="1D46F541" w14:textId="2F375102" w:rsidR="009E3015" w:rsidRPr="008C30CD" w:rsidRDefault="001B64FA" w:rsidP="00484CF6">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32.953,17</w:t>
            </w:r>
            <w:r w:rsidR="009E3015">
              <w:rPr>
                <w:rFonts w:ascii="Calibri" w:eastAsia="Times New Roman" w:hAnsi="Calibri" w:cs="Calibri"/>
                <w:color w:val="000000"/>
                <w:lang w:eastAsia="hr-HR"/>
              </w:rPr>
              <w:t xml:space="preserve"> </w:t>
            </w:r>
          </w:p>
        </w:tc>
        <w:tc>
          <w:tcPr>
            <w:tcW w:w="2217" w:type="dxa"/>
            <w:tcBorders>
              <w:top w:val="nil"/>
              <w:left w:val="nil"/>
              <w:bottom w:val="single" w:sz="4" w:space="0" w:color="auto"/>
              <w:right w:val="nil"/>
            </w:tcBorders>
            <w:noWrap/>
            <w:vAlign w:val="bottom"/>
            <w:hideMark/>
          </w:tcPr>
          <w:p w14:paraId="463B814D" w14:textId="206F4C82" w:rsidR="009E3015" w:rsidRPr="008C30CD" w:rsidRDefault="001B64FA" w:rsidP="00484CF6">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32.953,17</w:t>
            </w:r>
            <w:r w:rsidR="009E3015" w:rsidRPr="008C30CD">
              <w:rPr>
                <w:rFonts w:ascii="Calibri" w:eastAsia="Times New Roman" w:hAnsi="Calibri" w:cs="Calibri"/>
                <w:color w:val="000000"/>
                <w:lang w:eastAsia="hr-HR"/>
              </w:rPr>
              <w:t xml:space="preserve">   </w:t>
            </w:r>
          </w:p>
        </w:tc>
      </w:tr>
      <w:tr w:rsidR="009E3015" w:rsidRPr="008C30CD" w14:paraId="55E6864E" w14:textId="77777777" w:rsidTr="00484CF6">
        <w:trPr>
          <w:trHeight w:val="282"/>
        </w:trPr>
        <w:tc>
          <w:tcPr>
            <w:tcW w:w="2696" w:type="dxa"/>
            <w:tcBorders>
              <w:top w:val="single" w:sz="4" w:space="0" w:color="auto"/>
              <w:left w:val="nil"/>
              <w:bottom w:val="single" w:sz="4" w:space="0" w:color="auto"/>
              <w:right w:val="nil"/>
            </w:tcBorders>
            <w:shd w:val="clear" w:color="000000" w:fill="D0CECE"/>
            <w:vAlign w:val="bottom"/>
            <w:hideMark/>
          </w:tcPr>
          <w:p w14:paraId="61BB13BC" w14:textId="3C184E91" w:rsidR="009E3015" w:rsidRPr="008C30CD" w:rsidRDefault="009E3015" w:rsidP="00484CF6">
            <w:pPr>
              <w:spacing w:after="0" w:line="240" w:lineRule="auto"/>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t>Stanje glavnice na 31.12.202</w:t>
            </w:r>
            <w:r w:rsidR="002E6435">
              <w:rPr>
                <w:rFonts w:ascii="Calibri" w:eastAsia="Times New Roman" w:hAnsi="Calibri" w:cs="Calibri"/>
                <w:b/>
                <w:bCs/>
                <w:color w:val="000000"/>
                <w:lang w:eastAsia="hr-HR"/>
              </w:rPr>
              <w:t>5</w:t>
            </w:r>
            <w:r w:rsidRPr="008C30CD">
              <w:rPr>
                <w:rFonts w:ascii="Calibri" w:eastAsia="Times New Roman" w:hAnsi="Calibri" w:cs="Calibri"/>
                <w:b/>
                <w:bCs/>
                <w:color w:val="000000"/>
                <w:lang w:eastAsia="hr-HR"/>
              </w:rPr>
              <w:t>.</w:t>
            </w:r>
          </w:p>
        </w:tc>
        <w:tc>
          <w:tcPr>
            <w:tcW w:w="4324" w:type="dxa"/>
            <w:tcBorders>
              <w:top w:val="single" w:sz="4" w:space="0" w:color="auto"/>
              <w:left w:val="nil"/>
              <w:bottom w:val="single" w:sz="4" w:space="0" w:color="auto"/>
              <w:right w:val="nil"/>
            </w:tcBorders>
            <w:shd w:val="clear" w:color="000000" w:fill="D0CECE"/>
            <w:noWrap/>
            <w:vAlign w:val="bottom"/>
            <w:hideMark/>
          </w:tcPr>
          <w:p w14:paraId="60F10736" w14:textId="0F5C377D" w:rsidR="009E3015" w:rsidRPr="008C30CD" w:rsidRDefault="001B64FA" w:rsidP="00484CF6">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65.906,34</w:t>
            </w:r>
            <w:r w:rsidR="009E3015">
              <w:rPr>
                <w:rFonts w:ascii="Calibri" w:eastAsia="Times New Roman" w:hAnsi="Calibri" w:cs="Calibri"/>
                <w:color w:val="000000"/>
                <w:lang w:eastAsia="hr-HR"/>
              </w:rPr>
              <w:t xml:space="preserve"> </w:t>
            </w:r>
          </w:p>
        </w:tc>
        <w:tc>
          <w:tcPr>
            <w:tcW w:w="2217" w:type="dxa"/>
            <w:tcBorders>
              <w:top w:val="nil"/>
              <w:left w:val="nil"/>
              <w:bottom w:val="single" w:sz="4" w:space="0" w:color="auto"/>
              <w:right w:val="nil"/>
            </w:tcBorders>
            <w:shd w:val="clear" w:color="000000" w:fill="D0CECE"/>
            <w:noWrap/>
            <w:vAlign w:val="bottom"/>
            <w:hideMark/>
          </w:tcPr>
          <w:p w14:paraId="19AE7C62" w14:textId="4F8DB86C" w:rsidR="009E3015" w:rsidRPr="008C30CD" w:rsidRDefault="001B64FA" w:rsidP="00484CF6">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65.906,34</w:t>
            </w:r>
            <w:r w:rsidR="009E3015" w:rsidRPr="008C30CD">
              <w:rPr>
                <w:rFonts w:ascii="Calibri" w:eastAsia="Times New Roman" w:hAnsi="Calibri" w:cs="Calibri"/>
                <w:color w:val="000000"/>
                <w:lang w:eastAsia="hr-HR"/>
              </w:rPr>
              <w:t xml:space="preserve">   </w:t>
            </w:r>
          </w:p>
        </w:tc>
      </w:tr>
    </w:tbl>
    <w:p w14:paraId="07BB3BDA" w14:textId="77777777" w:rsidR="009E3015" w:rsidRDefault="009E3015" w:rsidP="009E3015">
      <w:pPr>
        <w:autoSpaceDE w:val="0"/>
        <w:autoSpaceDN w:val="0"/>
        <w:adjustRightInd w:val="0"/>
        <w:spacing w:after="0" w:line="240" w:lineRule="auto"/>
        <w:jc w:val="both"/>
        <w:rPr>
          <w:rFonts w:eastAsia="Times New Roman" w:cstheme="minorHAnsi"/>
          <w:sz w:val="24"/>
          <w:szCs w:val="24"/>
          <w:u w:val="single"/>
          <w:lang w:eastAsia="hr-HR"/>
        </w:rPr>
      </w:pPr>
    </w:p>
    <w:p w14:paraId="34F3C1AF" w14:textId="77777777" w:rsidR="009E3015" w:rsidRDefault="009E3015" w:rsidP="009E3015">
      <w:pPr>
        <w:autoSpaceDE w:val="0"/>
        <w:autoSpaceDN w:val="0"/>
        <w:adjustRightInd w:val="0"/>
        <w:spacing w:after="0" w:line="240" w:lineRule="auto"/>
        <w:jc w:val="both"/>
        <w:rPr>
          <w:rFonts w:eastAsia="Times New Roman" w:cstheme="minorHAnsi"/>
          <w:sz w:val="24"/>
          <w:szCs w:val="24"/>
          <w:u w:val="single"/>
          <w:lang w:eastAsia="hr-HR"/>
        </w:rPr>
      </w:pPr>
    </w:p>
    <w:p w14:paraId="065A25DA" w14:textId="77777777" w:rsidR="009E3015" w:rsidRDefault="009E3015" w:rsidP="009E3015">
      <w:pPr>
        <w:autoSpaceDE w:val="0"/>
        <w:autoSpaceDN w:val="0"/>
        <w:adjustRightInd w:val="0"/>
        <w:spacing w:after="0" w:line="240" w:lineRule="auto"/>
        <w:jc w:val="both"/>
        <w:rPr>
          <w:rFonts w:eastAsia="Times New Roman" w:cstheme="minorHAnsi"/>
          <w:sz w:val="24"/>
          <w:szCs w:val="24"/>
          <w:u w:val="single"/>
          <w:lang w:eastAsia="hr-HR"/>
        </w:rPr>
      </w:pPr>
      <w:r>
        <w:rPr>
          <w:rFonts w:eastAsia="Times New Roman" w:cstheme="minorHAnsi"/>
          <w:sz w:val="24"/>
          <w:szCs w:val="24"/>
          <w:u w:val="single"/>
          <w:lang w:eastAsia="hr-HR"/>
        </w:rPr>
        <w:t>5</w:t>
      </w:r>
      <w:r w:rsidRPr="00EA0A18">
        <w:rPr>
          <w:rFonts w:eastAsia="Times New Roman" w:cstheme="minorHAnsi"/>
          <w:sz w:val="24"/>
          <w:szCs w:val="24"/>
          <w:u w:val="single"/>
          <w:lang w:eastAsia="hr-HR"/>
        </w:rPr>
        <w:t>. BESKAMATNI ZAJAM OD DRŽAVNOG PRORAČUNA JLPRS USLIJED PADA PRIHODA</w:t>
      </w:r>
    </w:p>
    <w:p w14:paraId="4B6AD66A" w14:textId="77777777" w:rsidR="009E3015" w:rsidRDefault="009E3015" w:rsidP="009E3015">
      <w:pPr>
        <w:autoSpaceDE w:val="0"/>
        <w:autoSpaceDN w:val="0"/>
        <w:adjustRightInd w:val="0"/>
        <w:spacing w:after="0" w:line="240" w:lineRule="auto"/>
        <w:jc w:val="both"/>
        <w:rPr>
          <w:rFonts w:eastAsia="Times New Roman" w:cstheme="minorHAnsi"/>
          <w:sz w:val="24"/>
          <w:szCs w:val="24"/>
          <w:lang w:eastAsia="hr-HR"/>
        </w:rPr>
      </w:pPr>
      <w:r w:rsidRPr="00F11431">
        <w:rPr>
          <w:rFonts w:eastAsia="Times New Roman" w:cstheme="minorHAnsi"/>
          <w:sz w:val="24"/>
          <w:szCs w:val="24"/>
          <w:lang w:eastAsia="hr-HR"/>
        </w:rPr>
        <w:t>Sukladno Naputku</w:t>
      </w:r>
      <w:r>
        <w:rPr>
          <w:rFonts w:eastAsia="Times New Roman" w:cstheme="minorHAnsi"/>
          <w:sz w:val="24"/>
          <w:szCs w:val="24"/>
          <w:lang w:eastAsia="hr-HR"/>
        </w:rPr>
        <w:t xml:space="preserve"> o isplati beskamatnog zajma jedinicama lokalne područne (regionalne) samouprave uslijed pada prihoda (NN 130/20) u 2020.godini Grad Trogir je ostvario iznos od 411.440,71 eura dugoročnog beskamatnog zajma iz državnog proračuna s rokom povrata od tri godine od dana uplate sredstava zajma iz državnog proračuna. </w:t>
      </w:r>
    </w:p>
    <w:p w14:paraId="18B92C44" w14:textId="3DD841E5" w:rsidR="001B64FA" w:rsidRPr="001B64FA" w:rsidRDefault="001B64FA" w:rsidP="001B64FA">
      <w:pPr>
        <w:autoSpaceDE w:val="0"/>
        <w:autoSpaceDN w:val="0"/>
        <w:adjustRightInd w:val="0"/>
        <w:spacing w:after="0" w:line="240" w:lineRule="auto"/>
        <w:jc w:val="both"/>
        <w:rPr>
          <w:rFonts w:eastAsia="Times New Roman" w:cstheme="minorHAnsi"/>
          <w:sz w:val="24"/>
          <w:szCs w:val="24"/>
          <w:lang w:eastAsia="hr-HR"/>
        </w:rPr>
      </w:pPr>
      <w:r w:rsidRPr="001B64FA">
        <w:rPr>
          <w:sz w:val="24"/>
          <w:szCs w:val="24"/>
        </w:rPr>
        <w:t>Temeljem čl. 36 Zakona o izvršavanju državnog proračuna (NN 149/24)</w:t>
      </w:r>
      <w:r>
        <w:rPr>
          <w:sz w:val="24"/>
          <w:szCs w:val="24"/>
        </w:rPr>
        <w:t>, p</w:t>
      </w:r>
      <w:r w:rsidRPr="001B64FA">
        <w:rPr>
          <w:color w:val="231F20"/>
          <w:sz w:val="24"/>
          <w:szCs w:val="24"/>
          <w:shd w:val="clear" w:color="auto" w:fill="FFFFFF"/>
        </w:rPr>
        <w:t>reostali dio beskamatnog zajma isplaćen na temelju Naputka o isplati sredstava beskamatnog zajma jedinicama lokalne i područne (regionalne) samouprave uslijed pada prihoda (»Narodne novine«, br. 130/20. i 134/23.)</w:t>
      </w:r>
      <w:r>
        <w:rPr>
          <w:color w:val="231F20"/>
          <w:sz w:val="24"/>
          <w:szCs w:val="24"/>
          <w:shd w:val="clear" w:color="auto" w:fill="FFFFFF"/>
        </w:rPr>
        <w:t xml:space="preserve"> </w:t>
      </w:r>
      <w:r w:rsidRPr="001B64FA">
        <w:rPr>
          <w:color w:val="231F20"/>
          <w:sz w:val="24"/>
          <w:szCs w:val="24"/>
          <w:shd w:val="clear" w:color="auto" w:fill="FFFFFF"/>
        </w:rPr>
        <w:t>jedinice su dužne vratiti najkasnije do kraja 2027. godine tako da ukupan povrat zajma u 2025. godini iznosi najmanje trećinu duga na dan 31. prosinca 2024.</w:t>
      </w:r>
    </w:p>
    <w:p w14:paraId="326A388B" w14:textId="77777777" w:rsidR="001B64FA" w:rsidRDefault="001B64FA" w:rsidP="001B64FA">
      <w:pPr>
        <w:jc w:val="both"/>
        <w:rPr>
          <w:rFonts w:eastAsia="Times New Roman" w:cstheme="minorHAnsi"/>
          <w:sz w:val="24"/>
          <w:szCs w:val="24"/>
          <w:lang w:eastAsia="hr-HR"/>
        </w:rPr>
      </w:pPr>
      <w:r>
        <w:rPr>
          <w:rFonts w:eastAsia="Times New Roman" w:cstheme="minorHAnsi"/>
          <w:sz w:val="24"/>
          <w:szCs w:val="24"/>
          <w:lang w:eastAsia="hr-HR"/>
        </w:rPr>
        <w:t>Grad Trogir je u 2025.godini izvršio povrat od najmanje trećine duga (ukupni dug 411.440,71 eura) koji iznosi 137.146,92 eura.</w:t>
      </w:r>
    </w:p>
    <w:p w14:paraId="45AA4700" w14:textId="77777777" w:rsidR="001B64FA" w:rsidRDefault="001B64FA" w:rsidP="009E3015">
      <w:pPr>
        <w:autoSpaceDE w:val="0"/>
        <w:autoSpaceDN w:val="0"/>
        <w:adjustRightInd w:val="0"/>
        <w:spacing w:after="0" w:line="240" w:lineRule="auto"/>
        <w:jc w:val="both"/>
        <w:rPr>
          <w:rFonts w:eastAsia="Times New Roman" w:cstheme="minorHAnsi"/>
          <w:sz w:val="24"/>
          <w:szCs w:val="24"/>
          <w:lang w:eastAsia="hr-HR"/>
        </w:rPr>
      </w:pPr>
    </w:p>
    <w:p w14:paraId="18A2E4AB" w14:textId="77777777" w:rsidR="009E3015" w:rsidRDefault="009E3015" w:rsidP="009E3015">
      <w:pPr>
        <w:spacing w:after="0"/>
        <w:jc w:val="both"/>
        <w:rPr>
          <w:rFonts w:cstheme="minorHAnsi"/>
          <w:b/>
          <w:sz w:val="24"/>
          <w:szCs w:val="24"/>
        </w:rPr>
      </w:pPr>
      <w:r w:rsidRPr="006C386D">
        <w:rPr>
          <w:rFonts w:cstheme="minorHAnsi"/>
          <w:b/>
          <w:sz w:val="24"/>
          <w:szCs w:val="24"/>
        </w:rPr>
        <w:t xml:space="preserve">STANJE OBVEZA ZA PRIMLJENE KREDITE I ZAJMOVE </w:t>
      </w:r>
      <w:r>
        <w:rPr>
          <w:rFonts w:cstheme="minorHAnsi"/>
          <w:b/>
          <w:sz w:val="24"/>
          <w:szCs w:val="24"/>
        </w:rPr>
        <w:t xml:space="preserve">-PRORAČUNSKI KORISNICI GRADA TROGIRA </w:t>
      </w:r>
    </w:p>
    <w:p w14:paraId="60C2D16C" w14:textId="77777777" w:rsidR="009E3015" w:rsidRDefault="009E3015" w:rsidP="009E3015">
      <w:pPr>
        <w:spacing w:after="0"/>
        <w:jc w:val="both"/>
        <w:rPr>
          <w:rFonts w:cstheme="minorHAnsi"/>
          <w:sz w:val="24"/>
          <w:szCs w:val="24"/>
        </w:rPr>
      </w:pPr>
      <w:r>
        <w:rPr>
          <w:rFonts w:cstheme="minorHAnsi"/>
          <w:sz w:val="24"/>
          <w:szCs w:val="24"/>
        </w:rPr>
        <w:t>Zaduživanje proračunskih korisnika jedinice lokalne i područne samouprave regulirano je Zakonom o proračunu (NN br.144/21).</w:t>
      </w:r>
    </w:p>
    <w:p w14:paraId="2CE90403" w14:textId="77777777" w:rsidR="009E3015" w:rsidRDefault="009E3015" w:rsidP="009E3015">
      <w:pPr>
        <w:spacing w:after="0"/>
        <w:jc w:val="both"/>
        <w:rPr>
          <w:rFonts w:cstheme="minorHAnsi"/>
          <w:sz w:val="24"/>
          <w:szCs w:val="24"/>
        </w:rPr>
      </w:pPr>
      <w:r>
        <w:rPr>
          <w:rFonts w:cstheme="minorHAnsi"/>
          <w:sz w:val="24"/>
          <w:szCs w:val="24"/>
        </w:rPr>
        <w:t>Gradsko vijeće Grada Trogira je na 7. sjednici održanoj dana 09.ožujka 2022.godine donijelo Odluku o izmjeni i dopuni Odluke o izvršavanju Proračuna Grada Trogira (Službeni glasnik Grada Trogira br.7/22) kojom se mijenja članak 28, stavak 9. na način da se proračunski korisnik može dugoročno zadužiti samo za investiciju koja se financira iz njezin proračuna uz suglasnost osnivača. Na temelju navedene Odluke, a sukladno članku 127. st. 1. Zakona o proračunu, Gradonačelnik Grada Trogira je dana 22.veljače 2022.godine donio Odluku o davanju suglasnosti za zaduženje Javnoj vatrogasnoj postrojbi Grada Trogira u iznosu od 104.452,85 eura za nabavu vozila za spašavanje i gašenje s visina putem dugoročnog kredita.</w:t>
      </w:r>
    </w:p>
    <w:p w14:paraId="024BB086" w14:textId="77777777" w:rsidR="009E3015" w:rsidRDefault="009E3015" w:rsidP="009E3015">
      <w:pPr>
        <w:spacing w:after="0"/>
        <w:jc w:val="both"/>
        <w:rPr>
          <w:rFonts w:cstheme="minorHAnsi"/>
          <w:sz w:val="24"/>
          <w:szCs w:val="24"/>
        </w:rPr>
      </w:pPr>
      <w:r>
        <w:rPr>
          <w:rFonts w:cstheme="minorHAnsi"/>
          <w:sz w:val="24"/>
          <w:szCs w:val="24"/>
        </w:rPr>
        <w:t>Slijedom navedenoga, JVP Grada Trogira je s Hrvatskom poštanskom bankom dana 12.prosinca 2022.godine sklopio Ugovor o dugoročnom kreditu.</w:t>
      </w:r>
    </w:p>
    <w:p w14:paraId="2CBFB875" w14:textId="77777777" w:rsidR="009E3015" w:rsidRDefault="009E3015" w:rsidP="009E3015">
      <w:pPr>
        <w:autoSpaceDE w:val="0"/>
        <w:autoSpaceDN w:val="0"/>
        <w:adjustRightInd w:val="0"/>
        <w:spacing w:after="0" w:line="240" w:lineRule="auto"/>
        <w:jc w:val="both"/>
        <w:rPr>
          <w:rFonts w:eastAsia="Times New Roman" w:cstheme="minorHAnsi"/>
          <w:sz w:val="24"/>
          <w:szCs w:val="24"/>
          <w:lang w:eastAsia="hr-HR"/>
        </w:rPr>
      </w:pPr>
      <w:r>
        <w:rPr>
          <w:rFonts w:eastAsia="Times New Roman" w:cstheme="minorHAnsi"/>
          <w:sz w:val="24"/>
          <w:szCs w:val="24"/>
          <w:lang w:eastAsia="hr-HR"/>
        </w:rPr>
        <w:t xml:space="preserve">Rok otplate kredita je 4 godine s 1 godinom počeka, </w:t>
      </w:r>
      <w:r>
        <w:rPr>
          <w:sz w:val="24"/>
          <w:szCs w:val="24"/>
        </w:rPr>
        <w:t>redovna kamatna stopa: 6-mjesečni NRS3 za kune uveć</w:t>
      </w:r>
      <w:r w:rsidRPr="000C6F4B">
        <w:rPr>
          <w:sz w:val="24"/>
          <w:szCs w:val="24"/>
        </w:rPr>
        <w:t xml:space="preserve">an za fiksni dio kamatne stope u visini 1,90 postotnih </w:t>
      </w:r>
      <w:r>
        <w:rPr>
          <w:sz w:val="24"/>
          <w:szCs w:val="24"/>
        </w:rPr>
        <w:t>poena godišnje</w:t>
      </w:r>
      <w:r w:rsidRPr="000C6F4B">
        <w:rPr>
          <w:sz w:val="24"/>
          <w:szCs w:val="24"/>
        </w:rPr>
        <w:t xml:space="preserve">, promjenjiva, u skladu s promjenom nacionalne referentne stope za sve glavne izvore sredstava od svih fizičkih i pravnih osoba, uključujući i one iz financijskog sektora (dalje: NRS3), a sastoji se od promjenjivog i fiksnog dijela. Promjenjivi dio kamatne stope se sastoji od referentne </w:t>
      </w:r>
      <w:r>
        <w:rPr>
          <w:sz w:val="24"/>
          <w:szCs w:val="24"/>
        </w:rPr>
        <w:t>kamatne stope koju čini 6-mjeseč</w:t>
      </w:r>
      <w:r w:rsidRPr="000C6F4B">
        <w:rPr>
          <w:sz w:val="24"/>
          <w:szCs w:val="24"/>
        </w:rPr>
        <w:t>ni NRS3 za kune, važeći na dan prvog korištenja kredita, kojeg periodično utvrđuje i objavljuje nadležna institucija za administraciju NRS-a, te se mijenja ovisno o promjeni stope referentne kamate</w:t>
      </w:r>
      <w:r>
        <w:rPr>
          <w:sz w:val="24"/>
          <w:szCs w:val="24"/>
        </w:rPr>
        <w:t>. Otplata kredita je mjesečna.</w:t>
      </w:r>
      <w:r>
        <w:rPr>
          <w:rFonts w:eastAsia="Times New Roman" w:cstheme="minorHAnsi"/>
          <w:sz w:val="24"/>
          <w:szCs w:val="24"/>
          <w:lang w:eastAsia="hr-HR"/>
        </w:rPr>
        <w:t xml:space="preserve"> </w:t>
      </w:r>
    </w:p>
    <w:p w14:paraId="521427B0" w14:textId="77777777" w:rsidR="009E3015" w:rsidRDefault="009E3015" w:rsidP="009E3015">
      <w:pPr>
        <w:autoSpaceDE w:val="0"/>
        <w:autoSpaceDN w:val="0"/>
        <w:adjustRightInd w:val="0"/>
        <w:spacing w:after="0" w:line="240" w:lineRule="auto"/>
        <w:jc w:val="both"/>
        <w:rPr>
          <w:rFonts w:eastAsia="Times New Roman" w:cstheme="minorHAnsi"/>
          <w:sz w:val="24"/>
          <w:szCs w:val="24"/>
          <w:lang w:eastAsia="hr-HR"/>
        </w:rPr>
      </w:pPr>
      <w:r>
        <w:rPr>
          <w:rFonts w:eastAsia="Times New Roman" w:cstheme="minorHAnsi"/>
          <w:sz w:val="24"/>
          <w:szCs w:val="24"/>
          <w:lang w:eastAsia="hr-HR"/>
        </w:rPr>
        <w:t>Ukupan iznos glavnice kredita otplaćuje se u 48 jednakih mjesečnih obroka od kojih prvi obrok dospijeva na naplatu 31.01.2024.godine, sukladno ugovoru, a posljednji ugovoren na dan 31.12.2027.godine. Povlačenje kredita je započelo u prosincu 2022. godine i s 31.12.2022. godine je u cijelosti iskorišteno kredita u iznosu od 104.452,85 eura.</w:t>
      </w:r>
    </w:p>
    <w:p w14:paraId="1FB5D5A4" w14:textId="17B24391" w:rsidR="000322F8" w:rsidRDefault="009E3015" w:rsidP="002E6435">
      <w:pPr>
        <w:autoSpaceDE w:val="0"/>
        <w:autoSpaceDN w:val="0"/>
        <w:adjustRightInd w:val="0"/>
        <w:spacing w:after="0" w:line="240" w:lineRule="auto"/>
        <w:jc w:val="both"/>
        <w:rPr>
          <w:rFonts w:eastAsia="Times New Roman" w:cstheme="minorHAnsi"/>
          <w:sz w:val="24"/>
          <w:szCs w:val="24"/>
          <w:lang w:eastAsia="hr-HR"/>
        </w:rPr>
      </w:pPr>
      <w:r>
        <w:rPr>
          <w:rFonts w:eastAsia="Times New Roman" w:cstheme="minorHAnsi"/>
          <w:sz w:val="24"/>
          <w:szCs w:val="24"/>
          <w:lang w:eastAsia="hr-HR"/>
        </w:rPr>
        <w:lastRenderedPageBreak/>
        <w:t xml:space="preserve"> Sa 1.01.2024. godine počela je otplata glavnice dugoročnog kredita i do 31.prosinca 202</w:t>
      </w:r>
      <w:r w:rsidR="00214D4D">
        <w:rPr>
          <w:rFonts w:eastAsia="Times New Roman" w:cstheme="minorHAnsi"/>
          <w:sz w:val="24"/>
          <w:szCs w:val="24"/>
          <w:lang w:eastAsia="hr-HR"/>
        </w:rPr>
        <w:t>5</w:t>
      </w:r>
      <w:r>
        <w:rPr>
          <w:rFonts w:eastAsia="Times New Roman" w:cstheme="minorHAnsi"/>
          <w:sz w:val="24"/>
          <w:szCs w:val="24"/>
          <w:lang w:eastAsia="hr-HR"/>
        </w:rPr>
        <w:t xml:space="preserve">.godine ukupno je otplaćeno glavnice 26.113,20 eura i kamata 4.450,29 eura. Stanje nedospjelih obveza po ovom kreditu iznosi za glavnicu </w:t>
      </w:r>
      <w:r w:rsidR="008E37D0">
        <w:rPr>
          <w:rFonts w:eastAsia="Times New Roman" w:cstheme="minorHAnsi"/>
          <w:sz w:val="24"/>
          <w:szCs w:val="24"/>
          <w:lang w:eastAsia="hr-HR"/>
        </w:rPr>
        <w:t>52.226,45</w:t>
      </w:r>
      <w:r>
        <w:rPr>
          <w:rFonts w:eastAsia="Times New Roman" w:cstheme="minorHAnsi"/>
          <w:sz w:val="24"/>
          <w:szCs w:val="24"/>
          <w:lang w:eastAsia="hr-HR"/>
        </w:rPr>
        <w:t xml:space="preserve"> eura</w:t>
      </w:r>
      <w:r w:rsidR="002E6435">
        <w:rPr>
          <w:rFonts w:eastAsia="Times New Roman" w:cstheme="minorHAnsi"/>
          <w:sz w:val="24"/>
          <w:szCs w:val="24"/>
          <w:lang w:eastAsia="hr-HR"/>
        </w:rPr>
        <w:t>.</w:t>
      </w:r>
    </w:p>
    <w:p w14:paraId="69F7C6CB" w14:textId="77777777" w:rsidR="00F11332" w:rsidRDefault="00F11332" w:rsidP="00F11332">
      <w:pPr>
        <w:spacing w:after="0"/>
        <w:jc w:val="both"/>
        <w:rPr>
          <w:rFonts w:eastAsia="Times New Roman" w:cstheme="minorHAnsi"/>
          <w:sz w:val="24"/>
          <w:szCs w:val="24"/>
          <w:lang w:eastAsia="hr-HR"/>
        </w:rPr>
      </w:pPr>
    </w:p>
    <w:p w14:paraId="5B3C0DF4" w14:textId="2BBEF2AF" w:rsidR="00F11332" w:rsidRDefault="00F11332" w:rsidP="00F11332">
      <w:pPr>
        <w:spacing w:after="0"/>
        <w:jc w:val="both"/>
        <w:rPr>
          <w:rFonts w:cstheme="minorHAnsi"/>
          <w:sz w:val="24"/>
          <w:szCs w:val="24"/>
        </w:rPr>
      </w:pPr>
      <w:r>
        <w:rPr>
          <w:rFonts w:cstheme="minorHAnsi"/>
          <w:sz w:val="24"/>
          <w:szCs w:val="24"/>
        </w:rPr>
        <w:t xml:space="preserve">Na temelju čl.46. Odluke o izvršavanju proračuna Grada Trogira za 2025.godinu (Službeni glasnik br.32/2024), a sukladno članku 127. st. 1. Zakona o proračunu, Gradonačelnik Grada Trogira je dana </w:t>
      </w:r>
      <w:r w:rsidR="00AF77CF">
        <w:rPr>
          <w:rFonts w:cstheme="minorHAnsi"/>
          <w:sz w:val="24"/>
          <w:szCs w:val="24"/>
        </w:rPr>
        <w:t>27.listopada 2025</w:t>
      </w:r>
      <w:r>
        <w:rPr>
          <w:rFonts w:cstheme="minorHAnsi"/>
          <w:sz w:val="24"/>
          <w:szCs w:val="24"/>
        </w:rPr>
        <w:t xml:space="preserve">.godine donio Odluku o davanju suglasnosti za zaduženje </w:t>
      </w:r>
      <w:r w:rsidR="00AF77CF">
        <w:rPr>
          <w:rFonts w:cstheme="minorHAnsi"/>
          <w:sz w:val="24"/>
          <w:szCs w:val="24"/>
        </w:rPr>
        <w:t xml:space="preserve">Javnoj ustanovi Sportski objekti Trogir </w:t>
      </w:r>
      <w:r>
        <w:rPr>
          <w:rFonts w:cstheme="minorHAnsi"/>
          <w:sz w:val="24"/>
          <w:szCs w:val="24"/>
        </w:rPr>
        <w:t xml:space="preserve">u iznosu od </w:t>
      </w:r>
      <w:r w:rsidR="00AF77CF">
        <w:rPr>
          <w:rFonts w:cstheme="minorHAnsi"/>
          <w:sz w:val="24"/>
          <w:szCs w:val="24"/>
        </w:rPr>
        <w:t>150.000,00</w:t>
      </w:r>
      <w:r>
        <w:rPr>
          <w:rFonts w:cstheme="minorHAnsi"/>
          <w:sz w:val="24"/>
          <w:szCs w:val="24"/>
        </w:rPr>
        <w:t xml:space="preserve"> eura za </w:t>
      </w:r>
      <w:r w:rsidR="00AF77CF">
        <w:rPr>
          <w:rFonts w:cstheme="minorHAnsi"/>
          <w:sz w:val="24"/>
          <w:szCs w:val="24"/>
        </w:rPr>
        <w:t xml:space="preserve">financiranje uređenja nogometnog igrališta, odnosno demontaže starog i postavljanje novog umjetnog travnjaka na nogometnom igralištu </w:t>
      </w:r>
      <w:proofErr w:type="spellStart"/>
      <w:r w:rsidR="00AF77CF">
        <w:rPr>
          <w:rFonts w:cstheme="minorHAnsi"/>
          <w:sz w:val="24"/>
          <w:szCs w:val="24"/>
        </w:rPr>
        <w:t>Batarija</w:t>
      </w:r>
      <w:proofErr w:type="spellEnd"/>
      <w:r>
        <w:rPr>
          <w:rFonts w:cstheme="minorHAnsi"/>
          <w:sz w:val="24"/>
          <w:szCs w:val="24"/>
        </w:rPr>
        <w:t xml:space="preserve"> putem dugoročnog kredita.</w:t>
      </w:r>
    </w:p>
    <w:p w14:paraId="29F01D6A" w14:textId="3F572CE8" w:rsidR="00F11332" w:rsidRDefault="00F11332" w:rsidP="00F11332">
      <w:pPr>
        <w:spacing w:after="0"/>
        <w:jc w:val="both"/>
        <w:rPr>
          <w:rFonts w:cstheme="minorHAnsi"/>
          <w:sz w:val="24"/>
          <w:szCs w:val="24"/>
        </w:rPr>
      </w:pPr>
      <w:r>
        <w:rPr>
          <w:rFonts w:cstheme="minorHAnsi"/>
          <w:sz w:val="24"/>
          <w:szCs w:val="24"/>
        </w:rPr>
        <w:t>Slijedom navedenoga, J</w:t>
      </w:r>
      <w:r w:rsidR="00AF77CF">
        <w:rPr>
          <w:rFonts w:cstheme="minorHAnsi"/>
          <w:sz w:val="24"/>
          <w:szCs w:val="24"/>
        </w:rPr>
        <w:t>avna ustanova Sportski objekti Trogir</w:t>
      </w:r>
      <w:r>
        <w:rPr>
          <w:rFonts w:cstheme="minorHAnsi"/>
          <w:sz w:val="24"/>
          <w:szCs w:val="24"/>
        </w:rPr>
        <w:t xml:space="preserve"> je s</w:t>
      </w:r>
      <w:r w:rsidR="00AF77CF">
        <w:rPr>
          <w:rFonts w:cstheme="minorHAnsi"/>
          <w:sz w:val="24"/>
          <w:szCs w:val="24"/>
        </w:rPr>
        <w:t xml:space="preserve"> Erste &amp;Steiermaerkische Bank d.d.</w:t>
      </w:r>
      <w:r>
        <w:rPr>
          <w:rFonts w:cstheme="minorHAnsi"/>
          <w:sz w:val="24"/>
          <w:szCs w:val="24"/>
        </w:rPr>
        <w:t xml:space="preserve"> dana </w:t>
      </w:r>
      <w:r w:rsidR="00AF77CF">
        <w:rPr>
          <w:rFonts w:cstheme="minorHAnsi"/>
          <w:sz w:val="24"/>
          <w:szCs w:val="24"/>
        </w:rPr>
        <w:t>28.studenog 2025</w:t>
      </w:r>
      <w:r>
        <w:rPr>
          <w:rFonts w:cstheme="minorHAnsi"/>
          <w:sz w:val="24"/>
          <w:szCs w:val="24"/>
        </w:rPr>
        <w:t>.godine sklopi</w:t>
      </w:r>
      <w:r w:rsidR="00AF77CF">
        <w:rPr>
          <w:rFonts w:cstheme="minorHAnsi"/>
          <w:sz w:val="24"/>
          <w:szCs w:val="24"/>
        </w:rPr>
        <w:t>la</w:t>
      </w:r>
      <w:r>
        <w:rPr>
          <w:rFonts w:cstheme="minorHAnsi"/>
          <w:sz w:val="24"/>
          <w:szCs w:val="24"/>
        </w:rPr>
        <w:t xml:space="preserve"> Ugovor o dugoročnom kreditu.</w:t>
      </w:r>
    </w:p>
    <w:p w14:paraId="240FE4AF" w14:textId="31704D32" w:rsidR="00AF77CF" w:rsidRDefault="00AF77CF" w:rsidP="00F11332">
      <w:pPr>
        <w:spacing w:after="0"/>
        <w:jc w:val="both"/>
        <w:rPr>
          <w:rFonts w:cstheme="minorHAnsi"/>
          <w:sz w:val="24"/>
          <w:szCs w:val="24"/>
        </w:rPr>
      </w:pPr>
      <w:r>
        <w:rPr>
          <w:rFonts w:eastAsia="Times New Roman" w:cstheme="minorHAnsi"/>
          <w:sz w:val="24"/>
          <w:szCs w:val="24"/>
          <w:lang w:eastAsia="hr-HR"/>
        </w:rPr>
        <w:t xml:space="preserve">Rok otplate kredita je 1 godina i 11 mjeseci, </w:t>
      </w:r>
      <w:r>
        <w:rPr>
          <w:sz w:val="24"/>
          <w:szCs w:val="24"/>
        </w:rPr>
        <w:t xml:space="preserve">redovna kamatna stopa 2,8% fiksna,  </w:t>
      </w:r>
    </w:p>
    <w:p w14:paraId="590B20AC" w14:textId="77777777" w:rsidR="000A6B09" w:rsidRDefault="00AF77CF" w:rsidP="00AF77CF">
      <w:pPr>
        <w:autoSpaceDE w:val="0"/>
        <w:autoSpaceDN w:val="0"/>
        <w:adjustRightInd w:val="0"/>
        <w:spacing w:after="0" w:line="240" w:lineRule="auto"/>
        <w:jc w:val="both"/>
        <w:rPr>
          <w:rFonts w:eastAsia="Times New Roman" w:cstheme="minorHAnsi"/>
          <w:sz w:val="24"/>
          <w:szCs w:val="24"/>
          <w:lang w:eastAsia="hr-HR"/>
        </w:rPr>
      </w:pPr>
      <w:r>
        <w:rPr>
          <w:rFonts w:eastAsia="Times New Roman" w:cstheme="minorHAnsi"/>
          <w:sz w:val="24"/>
          <w:szCs w:val="24"/>
          <w:lang w:eastAsia="hr-HR"/>
        </w:rPr>
        <w:t>Ukupan iznos glavnice kredita otplaćuje se u 23 jednakih mjesečnih obroka od kojih prvi obrok dospijeva na naplatu 31.01.202</w:t>
      </w:r>
      <w:r w:rsidR="00714FE4">
        <w:rPr>
          <w:rFonts w:eastAsia="Times New Roman" w:cstheme="minorHAnsi"/>
          <w:sz w:val="24"/>
          <w:szCs w:val="24"/>
          <w:lang w:eastAsia="hr-HR"/>
        </w:rPr>
        <w:t>6</w:t>
      </w:r>
      <w:r>
        <w:rPr>
          <w:rFonts w:eastAsia="Times New Roman" w:cstheme="minorHAnsi"/>
          <w:sz w:val="24"/>
          <w:szCs w:val="24"/>
          <w:lang w:eastAsia="hr-HR"/>
        </w:rPr>
        <w:t xml:space="preserve">.godine, sukladno ugovoru, a posljednji ugovoren na dan </w:t>
      </w:r>
      <w:r w:rsidR="00714FE4">
        <w:rPr>
          <w:rFonts w:eastAsia="Times New Roman" w:cstheme="minorHAnsi"/>
          <w:sz w:val="24"/>
          <w:szCs w:val="24"/>
          <w:lang w:eastAsia="hr-HR"/>
        </w:rPr>
        <w:t>30.11.2027</w:t>
      </w:r>
      <w:r>
        <w:rPr>
          <w:rFonts w:eastAsia="Times New Roman" w:cstheme="minorHAnsi"/>
          <w:sz w:val="24"/>
          <w:szCs w:val="24"/>
          <w:lang w:eastAsia="hr-HR"/>
        </w:rPr>
        <w:t xml:space="preserve">.godine. </w:t>
      </w:r>
    </w:p>
    <w:p w14:paraId="294F23E7" w14:textId="0415F2AA" w:rsidR="00AF77CF" w:rsidRDefault="00AF77CF" w:rsidP="00AF77CF">
      <w:pPr>
        <w:autoSpaceDE w:val="0"/>
        <w:autoSpaceDN w:val="0"/>
        <w:adjustRightInd w:val="0"/>
        <w:spacing w:after="0" w:line="240" w:lineRule="auto"/>
        <w:jc w:val="both"/>
        <w:rPr>
          <w:rFonts w:eastAsia="Times New Roman" w:cstheme="minorHAnsi"/>
          <w:sz w:val="24"/>
          <w:szCs w:val="24"/>
          <w:lang w:eastAsia="hr-HR"/>
        </w:rPr>
      </w:pPr>
      <w:r>
        <w:rPr>
          <w:rFonts w:eastAsia="Times New Roman" w:cstheme="minorHAnsi"/>
          <w:sz w:val="24"/>
          <w:szCs w:val="24"/>
          <w:lang w:eastAsia="hr-HR"/>
        </w:rPr>
        <w:t>Povlačenje kredita je započelo u prosincu 202</w:t>
      </w:r>
      <w:r w:rsidR="00714FE4">
        <w:rPr>
          <w:rFonts w:eastAsia="Times New Roman" w:cstheme="minorHAnsi"/>
          <w:sz w:val="24"/>
          <w:szCs w:val="24"/>
          <w:lang w:eastAsia="hr-HR"/>
        </w:rPr>
        <w:t>5</w:t>
      </w:r>
      <w:r>
        <w:rPr>
          <w:rFonts w:eastAsia="Times New Roman" w:cstheme="minorHAnsi"/>
          <w:sz w:val="24"/>
          <w:szCs w:val="24"/>
          <w:lang w:eastAsia="hr-HR"/>
        </w:rPr>
        <w:t>. godine i s 31.12.202</w:t>
      </w:r>
      <w:r w:rsidR="00714FE4">
        <w:rPr>
          <w:rFonts w:eastAsia="Times New Roman" w:cstheme="minorHAnsi"/>
          <w:sz w:val="24"/>
          <w:szCs w:val="24"/>
          <w:lang w:eastAsia="hr-HR"/>
        </w:rPr>
        <w:t>5</w:t>
      </w:r>
      <w:r>
        <w:rPr>
          <w:rFonts w:eastAsia="Times New Roman" w:cstheme="minorHAnsi"/>
          <w:sz w:val="24"/>
          <w:szCs w:val="24"/>
          <w:lang w:eastAsia="hr-HR"/>
        </w:rPr>
        <w:t xml:space="preserve">. godine je u cijelosti iskorišteno kredita u iznosu od </w:t>
      </w:r>
      <w:r w:rsidR="00714FE4">
        <w:rPr>
          <w:rFonts w:eastAsia="Times New Roman" w:cstheme="minorHAnsi"/>
          <w:sz w:val="24"/>
          <w:szCs w:val="24"/>
          <w:lang w:eastAsia="hr-HR"/>
        </w:rPr>
        <w:t>150.000,00</w:t>
      </w:r>
      <w:r>
        <w:rPr>
          <w:rFonts w:eastAsia="Times New Roman" w:cstheme="minorHAnsi"/>
          <w:sz w:val="24"/>
          <w:szCs w:val="24"/>
          <w:lang w:eastAsia="hr-HR"/>
        </w:rPr>
        <w:t xml:space="preserve"> eura.</w:t>
      </w:r>
    </w:p>
    <w:p w14:paraId="5C211B93" w14:textId="2163E437" w:rsidR="00AF77CF" w:rsidRDefault="00AF77CF" w:rsidP="00AF77CF">
      <w:pPr>
        <w:autoSpaceDE w:val="0"/>
        <w:autoSpaceDN w:val="0"/>
        <w:adjustRightInd w:val="0"/>
        <w:spacing w:after="0" w:line="240" w:lineRule="auto"/>
        <w:jc w:val="both"/>
        <w:rPr>
          <w:rFonts w:eastAsia="Times New Roman" w:cstheme="minorHAnsi"/>
          <w:sz w:val="24"/>
          <w:szCs w:val="24"/>
          <w:lang w:eastAsia="hr-HR"/>
        </w:rPr>
      </w:pPr>
      <w:r>
        <w:rPr>
          <w:rFonts w:eastAsia="Times New Roman" w:cstheme="minorHAnsi"/>
          <w:sz w:val="24"/>
          <w:szCs w:val="24"/>
          <w:lang w:eastAsia="hr-HR"/>
        </w:rPr>
        <w:t xml:space="preserve"> Sa </w:t>
      </w:r>
      <w:r w:rsidR="000A6B09">
        <w:rPr>
          <w:rFonts w:eastAsia="Times New Roman" w:cstheme="minorHAnsi"/>
          <w:sz w:val="24"/>
          <w:szCs w:val="24"/>
          <w:lang w:eastAsia="hr-HR"/>
        </w:rPr>
        <w:t>31.12.2025.</w:t>
      </w:r>
      <w:r>
        <w:rPr>
          <w:rFonts w:eastAsia="Times New Roman" w:cstheme="minorHAnsi"/>
          <w:sz w:val="24"/>
          <w:szCs w:val="24"/>
          <w:lang w:eastAsia="hr-HR"/>
        </w:rPr>
        <w:t xml:space="preserve"> godine </w:t>
      </w:r>
      <w:r w:rsidR="000A6B09">
        <w:rPr>
          <w:rFonts w:eastAsia="Times New Roman" w:cstheme="minorHAnsi"/>
          <w:sz w:val="24"/>
          <w:szCs w:val="24"/>
          <w:lang w:eastAsia="hr-HR"/>
        </w:rPr>
        <w:t xml:space="preserve">ukupno je otplaćeno </w:t>
      </w:r>
      <w:r>
        <w:rPr>
          <w:rFonts w:eastAsia="Times New Roman" w:cstheme="minorHAnsi"/>
          <w:sz w:val="24"/>
          <w:szCs w:val="24"/>
          <w:lang w:eastAsia="hr-HR"/>
        </w:rPr>
        <w:t xml:space="preserve">kamata </w:t>
      </w:r>
      <w:r w:rsidR="000A6B09">
        <w:rPr>
          <w:rFonts w:eastAsia="Times New Roman" w:cstheme="minorHAnsi"/>
          <w:sz w:val="24"/>
          <w:szCs w:val="24"/>
          <w:lang w:eastAsia="hr-HR"/>
        </w:rPr>
        <w:t>385,00</w:t>
      </w:r>
      <w:r>
        <w:rPr>
          <w:rFonts w:eastAsia="Times New Roman" w:cstheme="minorHAnsi"/>
          <w:sz w:val="24"/>
          <w:szCs w:val="24"/>
          <w:lang w:eastAsia="hr-HR"/>
        </w:rPr>
        <w:t xml:space="preserve"> eura. Stanje nedospjelih obveza po ovom kreditu iznosi za glavnicu </w:t>
      </w:r>
      <w:r w:rsidR="000A6B09">
        <w:rPr>
          <w:rFonts w:eastAsia="Times New Roman" w:cstheme="minorHAnsi"/>
          <w:sz w:val="24"/>
          <w:szCs w:val="24"/>
          <w:lang w:eastAsia="hr-HR"/>
        </w:rPr>
        <w:t>150.000,00</w:t>
      </w:r>
      <w:r>
        <w:rPr>
          <w:rFonts w:eastAsia="Times New Roman" w:cstheme="minorHAnsi"/>
          <w:sz w:val="24"/>
          <w:szCs w:val="24"/>
          <w:lang w:eastAsia="hr-HR"/>
        </w:rPr>
        <w:t xml:space="preserve"> eura.</w:t>
      </w:r>
    </w:p>
    <w:p w14:paraId="021E6239" w14:textId="77777777" w:rsidR="007438AC" w:rsidRDefault="007438AC" w:rsidP="00031E9C">
      <w:pPr>
        <w:rPr>
          <w:rFonts w:cstheme="minorHAnsi"/>
          <w:b/>
          <w:sz w:val="24"/>
          <w:szCs w:val="24"/>
        </w:rPr>
      </w:pPr>
    </w:p>
    <w:p w14:paraId="4A0641C0" w14:textId="61292286" w:rsidR="00031E9C" w:rsidRDefault="00031E9C" w:rsidP="00031E9C">
      <w:pPr>
        <w:rPr>
          <w:rFonts w:ascii="Times New Roman" w:hAnsi="Times New Roman"/>
          <w:b/>
          <w:sz w:val="24"/>
          <w:szCs w:val="24"/>
        </w:rPr>
      </w:pPr>
      <w:r>
        <w:rPr>
          <w:rFonts w:cstheme="minorHAnsi"/>
          <w:b/>
          <w:sz w:val="24"/>
          <w:szCs w:val="24"/>
        </w:rPr>
        <w:t>5.3</w:t>
      </w:r>
      <w:r w:rsidRPr="00B33FF6">
        <w:rPr>
          <w:rFonts w:cstheme="minorHAnsi"/>
          <w:b/>
          <w:sz w:val="24"/>
          <w:szCs w:val="24"/>
        </w:rPr>
        <w:t xml:space="preserve">. IZVJEŠTAJ O DANIM JAMSTVIMA I IZDACIMA PO JAMSTVIMA </w:t>
      </w:r>
    </w:p>
    <w:p w14:paraId="6D154E58" w14:textId="77777777" w:rsidR="00031E9C" w:rsidRDefault="00031E9C" w:rsidP="00031E9C">
      <w:pPr>
        <w:spacing w:after="0" w:line="240" w:lineRule="auto"/>
        <w:jc w:val="both"/>
        <w:rPr>
          <w:rFonts w:cstheme="minorHAnsi"/>
          <w:sz w:val="24"/>
          <w:szCs w:val="24"/>
        </w:rPr>
      </w:pPr>
      <w:r w:rsidRPr="00B33FF6">
        <w:rPr>
          <w:rFonts w:cstheme="minorHAnsi"/>
          <w:sz w:val="24"/>
          <w:szCs w:val="24"/>
        </w:rPr>
        <w:t>Sukladno članku 129. Zakona o proračunu JLP(R)S može dati jamstvo</w:t>
      </w:r>
      <w:r>
        <w:rPr>
          <w:rFonts w:cstheme="minorHAnsi"/>
          <w:sz w:val="24"/>
          <w:szCs w:val="24"/>
        </w:rPr>
        <w:t xml:space="preserve"> za dugoročno zaduženje proračunskom i izvanproračunskom korisniku JLP®S,</w:t>
      </w:r>
      <w:r w:rsidRPr="00B33FF6">
        <w:rPr>
          <w:rFonts w:cstheme="minorHAnsi"/>
          <w:sz w:val="24"/>
          <w:szCs w:val="24"/>
        </w:rPr>
        <w:t xml:space="preserve"> pravnoj osobi u njezinom većinskom vlasništv</w:t>
      </w:r>
      <w:r>
        <w:rPr>
          <w:rFonts w:cstheme="minorHAnsi"/>
          <w:sz w:val="24"/>
          <w:szCs w:val="24"/>
        </w:rPr>
        <w:t>u ili suvlasništvu jedinica lokalne i područne (regionalne) samouprave i ustanovi čiji je osnivač, uz prethodno dobivenu suglasnost ministra financija. Dano jamstvo</w:t>
      </w:r>
      <w:r w:rsidRPr="00B33FF6">
        <w:rPr>
          <w:rFonts w:cstheme="minorHAnsi"/>
          <w:sz w:val="24"/>
          <w:szCs w:val="24"/>
        </w:rPr>
        <w:t xml:space="preserve"> uključuje</w:t>
      </w:r>
      <w:r>
        <w:rPr>
          <w:rFonts w:cstheme="minorHAnsi"/>
          <w:sz w:val="24"/>
          <w:szCs w:val="24"/>
        </w:rPr>
        <w:t xml:space="preserve"> se</w:t>
      </w:r>
      <w:r w:rsidRPr="00B33FF6">
        <w:rPr>
          <w:rFonts w:cstheme="minorHAnsi"/>
          <w:sz w:val="24"/>
          <w:szCs w:val="24"/>
        </w:rPr>
        <w:t xml:space="preserve"> </w:t>
      </w:r>
      <w:r>
        <w:rPr>
          <w:rFonts w:cstheme="minorHAnsi"/>
          <w:sz w:val="24"/>
          <w:szCs w:val="24"/>
        </w:rPr>
        <w:t>u opseg mogućeg zaduživanja JLP®S razmjerno osnivačkim pravima sukladno aktu o osnivanju odnosno udjelu  u vlasništvu.</w:t>
      </w:r>
    </w:p>
    <w:p w14:paraId="0C104807" w14:textId="77777777" w:rsidR="00101594" w:rsidRDefault="00031E9C" w:rsidP="00101594">
      <w:pPr>
        <w:spacing w:after="0" w:line="240" w:lineRule="auto"/>
        <w:jc w:val="both"/>
        <w:rPr>
          <w:rFonts w:cstheme="minorHAnsi"/>
          <w:sz w:val="24"/>
          <w:szCs w:val="24"/>
        </w:rPr>
      </w:pPr>
      <w:r>
        <w:rPr>
          <w:rFonts w:cstheme="minorHAnsi"/>
          <w:sz w:val="24"/>
          <w:szCs w:val="24"/>
        </w:rPr>
        <w:t>Grad Trogir nema danih jamstva za izvještajno razdoblje.</w:t>
      </w:r>
    </w:p>
    <w:p w14:paraId="27AE6660" w14:textId="45525F91" w:rsidR="001126A7" w:rsidRDefault="00031E9C" w:rsidP="00101594">
      <w:pPr>
        <w:spacing w:after="0" w:line="240" w:lineRule="auto"/>
        <w:jc w:val="both"/>
        <w:rPr>
          <w:rFonts w:cstheme="minorHAnsi"/>
          <w:sz w:val="24"/>
          <w:szCs w:val="24"/>
        </w:rPr>
      </w:pPr>
      <w:r w:rsidRPr="00CD57F8">
        <w:rPr>
          <w:rFonts w:cstheme="minorHAnsi"/>
          <w:sz w:val="24"/>
          <w:szCs w:val="24"/>
        </w:rPr>
        <w:t xml:space="preserve">U </w:t>
      </w:r>
      <w:r>
        <w:rPr>
          <w:rFonts w:cstheme="minorHAnsi"/>
          <w:sz w:val="24"/>
          <w:szCs w:val="24"/>
        </w:rPr>
        <w:t>izvještajnom razdoblju 202</w:t>
      </w:r>
      <w:r w:rsidR="001126A7">
        <w:rPr>
          <w:rFonts w:cstheme="minorHAnsi"/>
          <w:sz w:val="24"/>
          <w:szCs w:val="24"/>
        </w:rPr>
        <w:t>5</w:t>
      </w:r>
      <w:r>
        <w:rPr>
          <w:rFonts w:cstheme="minorHAnsi"/>
          <w:sz w:val="24"/>
          <w:szCs w:val="24"/>
        </w:rPr>
        <w:t>. godine, Gradonačelnik je sukladno članku 127. Zakona o proračunu i članku 46. Odluke o izvršavanju Proračuna Grada Trogira za 202</w:t>
      </w:r>
      <w:r w:rsidR="001126A7">
        <w:rPr>
          <w:rFonts w:cstheme="minorHAnsi"/>
          <w:sz w:val="24"/>
          <w:szCs w:val="24"/>
        </w:rPr>
        <w:t>5</w:t>
      </w:r>
      <w:r>
        <w:rPr>
          <w:rFonts w:cstheme="minorHAnsi"/>
          <w:sz w:val="24"/>
          <w:szCs w:val="24"/>
        </w:rPr>
        <w:t>. godinu dao suglasnosti koje se iskazuju u sljedećoj tablici:</w:t>
      </w:r>
    </w:p>
    <w:p w14:paraId="714EA416" w14:textId="77777777" w:rsidR="007438AC" w:rsidRDefault="007438AC" w:rsidP="00031E9C">
      <w:pPr>
        <w:spacing w:line="240" w:lineRule="auto"/>
        <w:rPr>
          <w:rFonts w:ascii="Times New Roman" w:hAnsi="Times New Roman" w:cs="Times New Roman"/>
          <w:b/>
        </w:rPr>
      </w:pPr>
    </w:p>
    <w:p w14:paraId="414D3842" w14:textId="60F76E04" w:rsidR="00224EFE" w:rsidRPr="004B4CDB" w:rsidRDefault="00031E9C" w:rsidP="00031E9C">
      <w:pPr>
        <w:spacing w:line="240" w:lineRule="auto"/>
        <w:rPr>
          <w:rFonts w:cstheme="minorHAnsi"/>
          <w:sz w:val="24"/>
          <w:szCs w:val="24"/>
        </w:rPr>
      </w:pPr>
      <w:r w:rsidRPr="004B4CDB">
        <w:rPr>
          <w:rFonts w:ascii="Times New Roman" w:hAnsi="Times New Roman" w:cs="Times New Roman"/>
          <w:b/>
          <w:sz w:val="24"/>
          <w:szCs w:val="24"/>
        </w:rPr>
        <w:t>Tablica 8</w:t>
      </w:r>
      <w:r w:rsidRPr="004B4CDB">
        <w:rPr>
          <w:rFonts w:ascii="Times New Roman" w:hAnsi="Times New Roman" w:cs="Times New Roman"/>
          <w:b/>
          <w:i/>
          <w:sz w:val="24"/>
          <w:szCs w:val="24"/>
        </w:rPr>
        <w:t xml:space="preserve">. </w:t>
      </w:r>
      <w:r w:rsidRPr="004B4CDB">
        <w:rPr>
          <w:rFonts w:cstheme="minorHAnsi"/>
          <w:sz w:val="24"/>
          <w:szCs w:val="24"/>
        </w:rPr>
        <w:t>Pregled danih  suglasnosti Grada Trogira –stanje 31.prosinca 202</w:t>
      </w:r>
      <w:r w:rsidR="00F7643F" w:rsidRPr="004B4CDB">
        <w:rPr>
          <w:rFonts w:cstheme="minorHAnsi"/>
          <w:sz w:val="24"/>
          <w:szCs w:val="24"/>
        </w:rPr>
        <w:t>5</w:t>
      </w:r>
      <w:r w:rsidRPr="004B4CDB">
        <w:rPr>
          <w:rFonts w:cstheme="minorHAnsi"/>
          <w:sz w:val="24"/>
          <w:szCs w:val="24"/>
        </w:rPr>
        <w:t>.g</w:t>
      </w:r>
      <w:r w:rsidR="004B4CDB" w:rsidRPr="004B4CDB">
        <w:rPr>
          <w:rFonts w:cstheme="minorHAnsi"/>
          <w:sz w:val="24"/>
          <w:szCs w:val="24"/>
        </w:rPr>
        <w:t>.</w:t>
      </w:r>
    </w:p>
    <w:tbl>
      <w:tblPr>
        <w:tblpPr w:leftFromText="180" w:rightFromText="180" w:bottomFromText="160" w:vertAnchor="text" w:horzAnchor="margin" w:tblpXSpec="center" w:tblpY="291"/>
        <w:tblW w:w="11781" w:type="dxa"/>
        <w:tblLook w:val="04A0" w:firstRow="1" w:lastRow="0" w:firstColumn="1" w:lastColumn="0" w:noHBand="0" w:noVBand="1"/>
      </w:tblPr>
      <w:tblGrid>
        <w:gridCol w:w="1057"/>
        <w:gridCol w:w="1070"/>
        <w:gridCol w:w="1686"/>
        <w:gridCol w:w="1191"/>
        <w:gridCol w:w="1886"/>
        <w:gridCol w:w="1254"/>
        <w:gridCol w:w="1181"/>
        <w:gridCol w:w="1250"/>
        <w:gridCol w:w="1206"/>
      </w:tblGrid>
      <w:tr w:rsidR="00031E9C" w14:paraId="76946B58" w14:textId="77777777" w:rsidTr="00FF2C1F">
        <w:trPr>
          <w:trHeight w:val="551"/>
        </w:trPr>
        <w:tc>
          <w:tcPr>
            <w:tcW w:w="1057" w:type="dxa"/>
            <w:tcBorders>
              <w:top w:val="single" w:sz="4" w:space="0" w:color="auto"/>
              <w:left w:val="nil"/>
              <w:bottom w:val="single" w:sz="4" w:space="0" w:color="auto"/>
              <w:right w:val="single" w:sz="4" w:space="0" w:color="auto"/>
            </w:tcBorders>
            <w:vAlign w:val="center"/>
            <w:hideMark/>
          </w:tcPr>
          <w:p w14:paraId="021E31D5" w14:textId="77777777" w:rsidR="00031E9C" w:rsidRDefault="00031E9C" w:rsidP="00484CF6">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Korisnik suglasnosti</w:t>
            </w:r>
          </w:p>
        </w:tc>
        <w:tc>
          <w:tcPr>
            <w:tcW w:w="1070" w:type="dxa"/>
            <w:tcBorders>
              <w:top w:val="single" w:sz="4" w:space="0" w:color="auto"/>
              <w:left w:val="nil"/>
              <w:bottom w:val="single" w:sz="4" w:space="0" w:color="auto"/>
              <w:right w:val="single" w:sz="4" w:space="0" w:color="auto"/>
            </w:tcBorders>
            <w:vAlign w:val="center"/>
            <w:hideMark/>
          </w:tcPr>
          <w:p w14:paraId="5B6A5EF7" w14:textId="77777777" w:rsidR="00031E9C" w:rsidRDefault="00031E9C" w:rsidP="00484CF6">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Vrsta obveze Grada</w:t>
            </w:r>
          </w:p>
        </w:tc>
        <w:tc>
          <w:tcPr>
            <w:tcW w:w="1686" w:type="dxa"/>
            <w:tcBorders>
              <w:top w:val="single" w:sz="4" w:space="0" w:color="auto"/>
              <w:left w:val="nil"/>
              <w:bottom w:val="single" w:sz="4" w:space="0" w:color="auto"/>
              <w:right w:val="single" w:sz="4" w:space="0" w:color="auto"/>
            </w:tcBorders>
            <w:vAlign w:val="center"/>
            <w:hideMark/>
          </w:tcPr>
          <w:p w14:paraId="1ACA187B" w14:textId="77777777" w:rsidR="00031E9C" w:rsidRDefault="00031E9C" w:rsidP="00484CF6">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Namjena kredita</w:t>
            </w:r>
          </w:p>
        </w:tc>
        <w:tc>
          <w:tcPr>
            <w:tcW w:w="1191" w:type="dxa"/>
            <w:tcBorders>
              <w:top w:val="single" w:sz="4" w:space="0" w:color="auto"/>
              <w:left w:val="nil"/>
              <w:bottom w:val="single" w:sz="4" w:space="0" w:color="auto"/>
              <w:right w:val="single" w:sz="4" w:space="0" w:color="auto"/>
            </w:tcBorders>
            <w:vAlign w:val="center"/>
            <w:hideMark/>
          </w:tcPr>
          <w:p w14:paraId="5619DCA2" w14:textId="77777777" w:rsidR="00031E9C" w:rsidRDefault="00031E9C" w:rsidP="00484CF6">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Odluka o suglasnosti</w:t>
            </w:r>
          </w:p>
        </w:tc>
        <w:tc>
          <w:tcPr>
            <w:tcW w:w="1886" w:type="dxa"/>
            <w:tcBorders>
              <w:top w:val="single" w:sz="4" w:space="0" w:color="auto"/>
              <w:left w:val="nil"/>
              <w:bottom w:val="single" w:sz="4" w:space="0" w:color="auto"/>
              <w:right w:val="single" w:sz="4" w:space="0" w:color="auto"/>
            </w:tcBorders>
            <w:vAlign w:val="center"/>
            <w:hideMark/>
          </w:tcPr>
          <w:p w14:paraId="3932044D" w14:textId="77777777" w:rsidR="00031E9C" w:rsidRDefault="00031E9C" w:rsidP="00484CF6">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Davatelj kredita</w:t>
            </w:r>
          </w:p>
        </w:tc>
        <w:tc>
          <w:tcPr>
            <w:tcW w:w="1254" w:type="dxa"/>
            <w:tcBorders>
              <w:top w:val="single" w:sz="4" w:space="0" w:color="auto"/>
              <w:left w:val="nil"/>
              <w:bottom w:val="single" w:sz="4" w:space="0" w:color="auto"/>
              <w:right w:val="single" w:sz="4" w:space="0" w:color="auto"/>
            </w:tcBorders>
            <w:vAlign w:val="center"/>
            <w:hideMark/>
          </w:tcPr>
          <w:p w14:paraId="4EDBC275" w14:textId="77777777" w:rsidR="00031E9C" w:rsidRDefault="00031E9C" w:rsidP="00484CF6">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 xml:space="preserve"> Iznos glavnice</w:t>
            </w:r>
          </w:p>
        </w:tc>
        <w:tc>
          <w:tcPr>
            <w:tcW w:w="1181" w:type="dxa"/>
            <w:tcBorders>
              <w:top w:val="single" w:sz="4" w:space="0" w:color="auto"/>
              <w:left w:val="nil"/>
              <w:bottom w:val="single" w:sz="4" w:space="0" w:color="auto"/>
              <w:right w:val="single" w:sz="4" w:space="0" w:color="auto"/>
            </w:tcBorders>
            <w:vAlign w:val="center"/>
            <w:hideMark/>
          </w:tcPr>
          <w:p w14:paraId="5FBFDD17" w14:textId="77777777" w:rsidR="00031E9C" w:rsidRDefault="00031E9C" w:rsidP="00484CF6">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Vrsta kredita</w:t>
            </w:r>
          </w:p>
        </w:tc>
        <w:tc>
          <w:tcPr>
            <w:tcW w:w="1250" w:type="dxa"/>
            <w:tcBorders>
              <w:top w:val="single" w:sz="4" w:space="0" w:color="auto"/>
              <w:left w:val="nil"/>
              <w:bottom w:val="single" w:sz="4" w:space="0" w:color="auto"/>
              <w:right w:val="single" w:sz="4" w:space="0" w:color="auto"/>
            </w:tcBorders>
            <w:vAlign w:val="center"/>
            <w:hideMark/>
          </w:tcPr>
          <w:p w14:paraId="5E91AC59" w14:textId="075AD594" w:rsidR="00031E9C" w:rsidRDefault="00031E9C" w:rsidP="00484CF6">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Stanje obveza na dan 01.01.202</w:t>
            </w:r>
            <w:r w:rsidR="002E6435">
              <w:rPr>
                <w:rFonts w:ascii="Times New Roman" w:eastAsia="Times New Roman" w:hAnsi="Times New Roman" w:cs="Times New Roman"/>
                <w:b/>
                <w:bCs/>
                <w:sz w:val="18"/>
                <w:szCs w:val="18"/>
                <w:lang w:eastAsia="hr-HR"/>
              </w:rPr>
              <w:t>5</w:t>
            </w:r>
            <w:r>
              <w:rPr>
                <w:rFonts w:ascii="Times New Roman" w:eastAsia="Times New Roman" w:hAnsi="Times New Roman" w:cs="Times New Roman"/>
                <w:b/>
                <w:bCs/>
                <w:sz w:val="18"/>
                <w:szCs w:val="18"/>
                <w:lang w:eastAsia="hr-HR"/>
              </w:rPr>
              <w:t>.g.</w:t>
            </w:r>
          </w:p>
        </w:tc>
        <w:tc>
          <w:tcPr>
            <w:tcW w:w="1206" w:type="dxa"/>
            <w:tcBorders>
              <w:top w:val="single" w:sz="4" w:space="0" w:color="auto"/>
              <w:left w:val="nil"/>
              <w:bottom w:val="single" w:sz="4" w:space="0" w:color="auto"/>
              <w:right w:val="single" w:sz="4" w:space="0" w:color="auto"/>
            </w:tcBorders>
            <w:vAlign w:val="center"/>
            <w:hideMark/>
          </w:tcPr>
          <w:p w14:paraId="158DA8E1" w14:textId="630529DA" w:rsidR="00031E9C" w:rsidRDefault="00031E9C" w:rsidP="00484CF6">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Stanje obveza na dan 31.12.202</w:t>
            </w:r>
            <w:r w:rsidR="002E6435">
              <w:rPr>
                <w:rFonts w:ascii="Times New Roman" w:eastAsia="Times New Roman" w:hAnsi="Times New Roman" w:cs="Times New Roman"/>
                <w:b/>
                <w:bCs/>
                <w:sz w:val="18"/>
                <w:szCs w:val="18"/>
                <w:lang w:eastAsia="hr-HR"/>
              </w:rPr>
              <w:t>5</w:t>
            </w:r>
            <w:r>
              <w:rPr>
                <w:rFonts w:ascii="Times New Roman" w:eastAsia="Times New Roman" w:hAnsi="Times New Roman" w:cs="Times New Roman"/>
                <w:b/>
                <w:bCs/>
                <w:sz w:val="18"/>
                <w:szCs w:val="18"/>
                <w:lang w:eastAsia="hr-HR"/>
              </w:rPr>
              <w:t>.g.</w:t>
            </w:r>
          </w:p>
        </w:tc>
      </w:tr>
      <w:tr w:rsidR="00031E9C" w14:paraId="25506AA8" w14:textId="77777777" w:rsidTr="00FF2C1F">
        <w:trPr>
          <w:trHeight w:val="658"/>
        </w:trPr>
        <w:tc>
          <w:tcPr>
            <w:tcW w:w="1057" w:type="dxa"/>
            <w:tcBorders>
              <w:top w:val="nil"/>
              <w:left w:val="nil"/>
              <w:bottom w:val="single" w:sz="4" w:space="0" w:color="auto"/>
              <w:right w:val="single" w:sz="4" w:space="0" w:color="auto"/>
            </w:tcBorders>
            <w:noWrap/>
            <w:vAlign w:val="bottom"/>
            <w:hideMark/>
          </w:tcPr>
          <w:p w14:paraId="73881133" w14:textId="77777777" w:rsidR="00031E9C" w:rsidRDefault="00031E9C"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Trogir Holding d.o.o.</w:t>
            </w:r>
          </w:p>
        </w:tc>
        <w:tc>
          <w:tcPr>
            <w:tcW w:w="1070" w:type="dxa"/>
            <w:tcBorders>
              <w:top w:val="nil"/>
              <w:left w:val="nil"/>
              <w:bottom w:val="single" w:sz="4" w:space="0" w:color="auto"/>
              <w:right w:val="single" w:sz="4" w:space="0" w:color="auto"/>
            </w:tcBorders>
            <w:noWrap/>
            <w:vAlign w:val="bottom"/>
            <w:hideMark/>
          </w:tcPr>
          <w:p w14:paraId="4608D52D" w14:textId="77777777" w:rsidR="00031E9C" w:rsidRDefault="00031E9C" w:rsidP="00484CF6">
            <w:pPr>
              <w:spacing w:after="0" w:line="240" w:lineRule="auto"/>
              <w:rPr>
                <w:rFonts w:ascii="Times New Roman" w:eastAsia="Times New Roman" w:hAnsi="Times New Roman" w:cs="Times New Roman"/>
                <w:sz w:val="18"/>
                <w:szCs w:val="18"/>
                <w:u w:val="single"/>
                <w:lang w:eastAsia="hr-HR"/>
              </w:rPr>
            </w:pPr>
            <w:r>
              <w:rPr>
                <w:rFonts w:ascii="Times New Roman" w:eastAsia="Times New Roman" w:hAnsi="Times New Roman" w:cs="Times New Roman"/>
                <w:sz w:val="18"/>
                <w:szCs w:val="18"/>
                <w:u w:val="single"/>
                <w:lang w:eastAsia="hr-HR"/>
              </w:rPr>
              <w:t xml:space="preserve">Suglasnost </w:t>
            </w:r>
          </w:p>
        </w:tc>
        <w:tc>
          <w:tcPr>
            <w:tcW w:w="1686" w:type="dxa"/>
            <w:tcBorders>
              <w:top w:val="nil"/>
              <w:left w:val="nil"/>
              <w:bottom w:val="single" w:sz="4" w:space="0" w:color="auto"/>
              <w:right w:val="single" w:sz="4" w:space="0" w:color="auto"/>
            </w:tcBorders>
            <w:vAlign w:val="bottom"/>
            <w:hideMark/>
          </w:tcPr>
          <w:p w14:paraId="5BE6FEBB" w14:textId="77777777" w:rsidR="00031E9C" w:rsidRDefault="00031E9C"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xml:space="preserve">Restrukturiranje kreditnih zaduženja i za investicije </w:t>
            </w:r>
          </w:p>
        </w:tc>
        <w:tc>
          <w:tcPr>
            <w:tcW w:w="1191" w:type="dxa"/>
            <w:tcBorders>
              <w:top w:val="nil"/>
              <w:left w:val="nil"/>
              <w:bottom w:val="single" w:sz="4" w:space="0" w:color="auto"/>
              <w:right w:val="single" w:sz="4" w:space="0" w:color="auto"/>
            </w:tcBorders>
            <w:shd w:val="clear" w:color="auto" w:fill="FFFFFF"/>
            <w:vAlign w:val="bottom"/>
            <w:hideMark/>
          </w:tcPr>
          <w:p w14:paraId="47C72E8A" w14:textId="77777777" w:rsidR="00031E9C" w:rsidRDefault="00031E9C"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Odluka o suglasnosti</w:t>
            </w:r>
          </w:p>
        </w:tc>
        <w:tc>
          <w:tcPr>
            <w:tcW w:w="1886" w:type="dxa"/>
            <w:tcBorders>
              <w:top w:val="nil"/>
              <w:left w:val="nil"/>
              <w:bottom w:val="single" w:sz="4" w:space="0" w:color="auto"/>
              <w:right w:val="single" w:sz="4" w:space="0" w:color="auto"/>
            </w:tcBorders>
            <w:noWrap/>
            <w:vAlign w:val="bottom"/>
            <w:hideMark/>
          </w:tcPr>
          <w:p w14:paraId="3F513F79" w14:textId="77777777" w:rsidR="00031E9C" w:rsidRDefault="00031E9C" w:rsidP="00484CF6">
            <w:pPr>
              <w:spacing w:after="0" w:line="240" w:lineRule="auto"/>
              <w:jc w:val="center"/>
              <w:rPr>
                <w:rFonts w:ascii="Times New Roman" w:eastAsia="Times New Roman" w:hAnsi="Times New Roman" w:cs="Times New Roman"/>
                <w:sz w:val="18"/>
                <w:szCs w:val="18"/>
                <w:lang w:eastAsia="hr-HR"/>
              </w:rPr>
            </w:pPr>
            <w:proofErr w:type="spellStart"/>
            <w:r>
              <w:rPr>
                <w:rFonts w:ascii="Times New Roman" w:eastAsia="Times New Roman" w:hAnsi="Times New Roman" w:cs="Times New Roman"/>
                <w:sz w:val="18"/>
                <w:szCs w:val="18"/>
                <w:lang w:eastAsia="hr-HR"/>
              </w:rPr>
              <w:t>Erste&amp;Steiermarkische</w:t>
            </w:r>
            <w:proofErr w:type="spellEnd"/>
            <w:r>
              <w:rPr>
                <w:rFonts w:ascii="Times New Roman" w:eastAsia="Times New Roman" w:hAnsi="Times New Roman" w:cs="Times New Roman"/>
                <w:sz w:val="18"/>
                <w:szCs w:val="18"/>
                <w:lang w:eastAsia="hr-HR"/>
              </w:rPr>
              <w:t xml:space="preserve">  </w:t>
            </w:r>
            <w:proofErr w:type="spellStart"/>
            <w:r>
              <w:rPr>
                <w:rFonts w:ascii="Times New Roman" w:eastAsia="Times New Roman" w:hAnsi="Times New Roman" w:cs="Times New Roman"/>
                <w:sz w:val="18"/>
                <w:szCs w:val="18"/>
                <w:lang w:eastAsia="hr-HR"/>
              </w:rPr>
              <w:t>bank</w:t>
            </w:r>
            <w:proofErr w:type="spellEnd"/>
            <w:r>
              <w:rPr>
                <w:rFonts w:ascii="Times New Roman" w:eastAsia="Times New Roman" w:hAnsi="Times New Roman" w:cs="Times New Roman"/>
                <w:sz w:val="18"/>
                <w:szCs w:val="18"/>
                <w:lang w:eastAsia="hr-HR"/>
              </w:rPr>
              <w:t xml:space="preserve"> d.o.o.</w:t>
            </w:r>
          </w:p>
        </w:tc>
        <w:tc>
          <w:tcPr>
            <w:tcW w:w="1254" w:type="dxa"/>
            <w:tcBorders>
              <w:top w:val="nil"/>
              <w:left w:val="nil"/>
              <w:bottom w:val="single" w:sz="4" w:space="0" w:color="auto"/>
              <w:right w:val="single" w:sz="4" w:space="0" w:color="auto"/>
            </w:tcBorders>
            <w:vAlign w:val="center"/>
            <w:hideMark/>
          </w:tcPr>
          <w:p w14:paraId="2AFCC88B" w14:textId="77777777" w:rsidR="00031E9C" w:rsidRDefault="00031E9C" w:rsidP="00484CF6">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853.440,84</w:t>
            </w:r>
          </w:p>
        </w:tc>
        <w:tc>
          <w:tcPr>
            <w:tcW w:w="1181" w:type="dxa"/>
            <w:tcBorders>
              <w:top w:val="nil"/>
              <w:left w:val="nil"/>
              <w:bottom w:val="single" w:sz="4" w:space="0" w:color="auto"/>
              <w:right w:val="single" w:sz="4" w:space="0" w:color="auto"/>
            </w:tcBorders>
            <w:vAlign w:val="center"/>
            <w:hideMark/>
          </w:tcPr>
          <w:p w14:paraId="3EA65031" w14:textId="77777777" w:rsidR="00031E9C" w:rsidRDefault="00031E9C" w:rsidP="00484CF6">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Dugoročni kredit</w:t>
            </w:r>
          </w:p>
        </w:tc>
        <w:tc>
          <w:tcPr>
            <w:tcW w:w="1250" w:type="dxa"/>
            <w:tcBorders>
              <w:top w:val="nil"/>
              <w:left w:val="nil"/>
              <w:bottom w:val="single" w:sz="4" w:space="0" w:color="auto"/>
              <w:right w:val="single" w:sz="4" w:space="0" w:color="auto"/>
            </w:tcBorders>
            <w:vAlign w:val="center"/>
            <w:hideMark/>
          </w:tcPr>
          <w:p w14:paraId="0D5F3D86" w14:textId="60519976" w:rsidR="00031E9C" w:rsidRDefault="00D54BC3" w:rsidP="00484CF6">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609.509,62</w:t>
            </w:r>
          </w:p>
        </w:tc>
        <w:tc>
          <w:tcPr>
            <w:tcW w:w="1206" w:type="dxa"/>
            <w:tcBorders>
              <w:top w:val="nil"/>
              <w:left w:val="nil"/>
              <w:bottom w:val="single" w:sz="4" w:space="0" w:color="auto"/>
              <w:right w:val="single" w:sz="4" w:space="0" w:color="auto"/>
            </w:tcBorders>
            <w:noWrap/>
            <w:vAlign w:val="center"/>
          </w:tcPr>
          <w:p w14:paraId="19C7E95E" w14:textId="0A602740" w:rsidR="00031E9C" w:rsidRDefault="003A3E36" w:rsidP="00484CF6">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515.065,18</w:t>
            </w:r>
          </w:p>
        </w:tc>
      </w:tr>
      <w:tr w:rsidR="00031E9C" w14:paraId="75011D22" w14:textId="77777777" w:rsidTr="00FF2C1F">
        <w:trPr>
          <w:trHeight w:val="241"/>
        </w:trPr>
        <w:tc>
          <w:tcPr>
            <w:tcW w:w="1057" w:type="dxa"/>
            <w:tcBorders>
              <w:top w:val="nil"/>
              <w:left w:val="nil"/>
              <w:bottom w:val="single" w:sz="4" w:space="0" w:color="auto"/>
              <w:right w:val="single" w:sz="4" w:space="0" w:color="auto"/>
            </w:tcBorders>
            <w:noWrap/>
            <w:vAlign w:val="bottom"/>
            <w:hideMark/>
          </w:tcPr>
          <w:p w14:paraId="191868A7" w14:textId="77777777" w:rsidR="00031E9C" w:rsidRDefault="00031E9C" w:rsidP="00484CF6">
            <w:pPr>
              <w:spacing w:after="0" w:line="240" w:lineRule="auto"/>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Trogir holding d.o.o.</w:t>
            </w:r>
          </w:p>
        </w:tc>
        <w:tc>
          <w:tcPr>
            <w:tcW w:w="1070" w:type="dxa"/>
            <w:tcBorders>
              <w:top w:val="nil"/>
              <w:left w:val="nil"/>
              <w:bottom w:val="single" w:sz="4" w:space="0" w:color="auto"/>
              <w:right w:val="single" w:sz="4" w:space="0" w:color="auto"/>
            </w:tcBorders>
            <w:noWrap/>
            <w:vAlign w:val="bottom"/>
            <w:hideMark/>
          </w:tcPr>
          <w:p w14:paraId="58739C4B" w14:textId="77777777" w:rsidR="00031E9C" w:rsidRDefault="00031E9C"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Suglasnost</w:t>
            </w:r>
          </w:p>
        </w:tc>
        <w:tc>
          <w:tcPr>
            <w:tcW w:w="1686" w:type="dxa"/>
            <w:tcBorders>
              <w:top w:val="nil"/>
              <w:left w:val="nil"/>
              <w:bottom w:val="single" w:sz="4" w:space="0" w:color="auto"/>
              <w:right w:val="single" w:sz="4" w:space="0" w:color="auto"/>
            </w:tcBorders>
            <w:noWrap/>
            <w:vAlign w:val="bottom"/>
            <w:hideMark/>
          </w:tcPr>
          <w:p w14:paraId="663FC9FA" w14:textId="77777777" w:rsidR="00031E9C" w:rsidRDefault="00031E9C"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xml:space="preserve">Nabava komunalnog vozila </w:t>
            </w:r>
            <w:proofErr w:type="spellStart"/>
            <w:r>
              <w:rPr>
                <w:rFonts w:ascii="Times New Roman" w:eastAsia="Times New Roman" w:hAnsi="Times New Roman" w:cs="Times New Roman"/>
                <w:sz w:val="18"/>
                <w:szCs w:val="18"/>
                <w:lang w:eastAsia="hr-HR"/>
              </w:rPr>
              <w:t>Piaggio</w:t>
            </w:r>
            <w:proofErr w:type="spellEnd"/>
            <w:r>
              <w:rPr>
                <w:rFonts w:ascii="Times New Roman" w:eastAsia="Times New Roman" w:hAnsi="Times New Roman" w:cs="Times New Roman"/>
                <w:sz w:val="18"/>
                <w:szCs w:val="18"/>
                <w:lang w:eastAsia="hr-HR"/>
              </w:rPr>
              <w:t xml:space="preserve"> </w:t>
            </w:r>
            <w:proofErr w:type="spellStart"/>
            <w:r>
              <w:rPr>
                <w:rFonts w:ascii="Times New Roman" w:eastAsia="Times New Roman" w:hAnsi="Times New Roman" w:cs="Times New Roman"/>
                <w:sz w:val="18"/>
                <w:szCs w:val="18"/>
                <w:lang w:eastAsia="hr-HR"/>
              </w:rPr>
              <w:t>porter</w:t>
            </w:r>
            <w:proofErr w:type="spellEnd"/>
            <w:r>
              <w:rPr>
                <w:rFonts w:ascii="Times New Roman" w:eastAsia="Times New Roman" w:hAnsi="Times New Roman" w:cs="Times New Roman"/>
                <w:sz w:val="18"/>
                <w:szCs w:val="18"/>
                <w:lang w:eastAsia="hr-HR"/>
              </w:rPr>
              <w:t xml:space="preserve"> NP6 SWSR</w:t>
            </w:r>
          </w:p>
        </w:tc>
        <w:tc>
          <w:tcPr>
            <w:tcW w:w="1191" w:type="dxa"/>
            <w:tcBorders>
              <w:top w:val="nil"/>
              <w:left w:val="nil"/>
              <w:bottom w:val="single" w:sz="4" w:space="0" w:color="auto"/>
              <w:right w:val="single" w:sz="4" w:space="0" w:color="auto"/>
            </w:tcBorders>
            <w:noWrap/>
            <w:vAlign w:val="bottom"/>
            <w:hideMark/>
          </w:tcPr>
          <w:p w14:paraId="383468C4" w14:textId="77777777" w:rsidR="00031E9C" w:rsidRDefault="00031E9C"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xml:space="preserve">Odluka o suglasnosti </w:t>
            </w:r>
          </w:p>
        </w:tc>
        <w:tc>
          <w:tcPr>
            <w:tcW w:w="1886" w:type="dxa"/>
            <w:tcBorders>
              <w:top w:val="nil"/>
              <w:left w:val="nil"/>
              <w:bottom w:val="single" w:sz="4" w:space="0" w:color="auto"/>
              <w:right w:val="single" w:sz="4" w:space="0" w:color="auto"/>
            </w:tcBorders>
            <w:noWrap/>
            <w:vAlign w:val="center"/>
            <w:hideMark/>
          </w:tcPr>
          <w:p w14:paraId="4DA40516" w14:textId="77777777" w:rsidR="00031E9C" w:rsidRDefault="00031E9C" w:rsidP="00484CF6">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OTP Leasing</w:t>
            </w:r>
          </w:p>
        </w:tc>
        <w:tc>
          <w:tcPr>
            <w:tcW w:w="1254" w:type="dxa"/>
            <w:tcBorders>
              <w:top w:val="nil"/>
              <w:left w:val="nil"/>
              <w:bottom w:val="single" w:sz="4" w:space="0" w:color="auto"/>
              <w:right w:val="single" w:sz="4" w:space="0" w:color="auto"/>
            </w:tcBorders>
            <w:noWrap/>
            <w:vAlign w:val="center"/>
            <w:hideMark/>
          </w:tcPr>
          <w:p w14:paraId="28640DB0" w14:textId="77777777" w:rsidR="00031E9C" w:rsidRDefault="00031E9C" w:rsidP="00484CF6">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27.622,93</w:t>
            </w:r>
          </w:p>
        </w:tc>
        <w:tc>
          <w:tcPr>
            <w:tcW w:w="1181" w:type="dxa"/>
            <w:tcBorders>
              <w:top w:val="nil"/>
              <w:left w:val="nil"/>
              <w:bottom w:val="single" w:sz="4" w:space="0" w:color="auto"/>
              <w:right w:val="single" w:sz="4" w:space="0" w:color="auto"/>
            </w:tcBorders>
            <w:noWrap/>
            <w:vAlign w:val="center"/>
            <w:hideMark/>
          </w:tcPr>
          <w:p w14:paraId="216DD39C" w14:textId="77777777" w:rsidR="00031E9C" w:rsidRDefault="00031E9C" w:rsidP="00484CF6">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Financijski leasing</w:t>
            </w:r>
          </w:p>
        </w:tc>
        <w:tc>
          <w:tcPr>
            <w:tcW w:w="1250" w:type="dxa"/>
            <w:tcBorders>
              <w:top w:val="nil"/>
              <w:left w:val="nil"/>
              <w:bottom w:val="single" w:sz="4" w:space="0" w:color="auto"/>
              <w:right w:val="single" w:sz="4" w:space="0" w:color="auto"/>
            </w:tcBorders>
            <w:noWrap/>
            <w:vAlign w:val="center"/>
            <w:hideMark/>
          </w:tcPr>
          <w:p w14:paraId="0D5BC3C5" w14:textId="697C2648" w:rsidR="00031E9C" w:rsidRPr="002577E4" w:rsidRDefault="00D54BC3" w:rsidP="00484CF6">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4.768,31</w:t>
            </w:r>
          </w:p>
        </w:tc>
        <w:tc>
          <w:tcPr>
            <w:tcW w:w="1206" w:type="dxa"/>
            <w:tcBorders>
              <w:top w:val="nil"/>
              <w:left w:val="nil"/>
              <w:bottom w:val="single" w:sz="4" w:space="0" w:color="auto"/>
              <w:right w:val="single" w:sz="4" w:space="0" w:color="auto"/>
            </w:tcBorders>
            <w:noWrap/>
            <w:vAlign w:val="center"/>
          </w:tcPr>
          <w:p w14:paraId="1472039B" w14:textId="41E3A2D1" w:rsidR="00031E9C" w:rsidRDefault="003A3E36" w:rsidP="00484CF6">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0,00</w:t>
            </w:r>
          </w:p>
        </w:tc>
      </w:tr>
      <w:tr w:rsidR="00031E9C" w14:paraId="730DB449" w14:textId="77777777" w:rsidTr="00FF2C1F">
        <w:trPr>
          <w:trHeight w:val="241"/>
        </w:trPr>
        <w:tc>
          <w:tcPr>
            <w:tcW w:w="1057" w:type="dxa"/>
            <w:tcBorders>
              <w:top w:val="nil"/>
              <w:left w:val="nil"/>
              <w:bottom w:val="single" w:sz="4" w:space="0" w:color="auto"/>
              <w:right w:val="single" w:sz="4" w:space="0" w:color="auto"/>
            </w:tcBorders>
            <w:noWrap/>
            <w:vAlign w:val="bottom"/>
            <w:hideMark/>
          </w:tcPr>
          <w:p w14:paraId="46C79AA9" w14:textId="77777777" w:rsidR="00031E9C" w:rsidRDefault="00031E9C" w:rsidP="00484CF6">
            <w:pPr>
              <w:spacing w:after="0" w:line="240" w:lineRule="auto"/>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lastRenderedPageBreak/>
              <w:t>Trogir holding d.o.o.</w:t>
            </w:r>
          </w:p>
        </w:tc>
        <w:tc>
          <w:tcPr>
            <w:tcW w:w="1070" w:type="dxa"/>
            <w:tcBorders>
              <w:top w:val="nil"/>
              <w:left w:val="nil"/>
              <w:bottom w:val="single" w:sz="4" w:space="0" w:color="auto"/>
              <w:right w:val="single" w:sz="4" w:space="0" w:color="auto"/>
            </w:tcBorders>
            <w:noWrap/>
            <w:vAlign w:val="bottom"/>
            <w:hideMark/>
          </w:tcPr>
          <w:p w14:paraId="7285223A" w14:textId="77777777" w:rsidR="00031E9C" w:rsidRDefault="00031E9C"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xml:space="preserve">Suglasnost </w:t>
            </w:r>
          </w:p>
        </w:tc>
        <w:tc>
          <w:tcPr>
            <w:tcW w:w="1686" w:type="dxa"/>
            <w:tcBorders>
              <w:top w:val="nil"/>
              <w:left w:val="nil"/>
              <w:bottom w:val="single" w:sz="4" w:space="0" w:color="auto"/>
              <w:right w:val="single" w:sz="4" w:space="0" w:color="auto"/>
            </w:tcBorders>
            <w:noWrap/>
            <w:vAlign w:val="bottom"/>
            <w:hideMark/>
          </w:tcPr>
          <w:p w14:paraId="787F0D4B" w14:textId="77777777" w:rsidR="00031E9C" w:rsidRDefault="00031E9C"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Nabava opreme za sustav sakupljanja i evidencije sakupljanja otpada</w:t>
            </w:r>
          </w:p>
        </w:tc>
        <w:tc>
          <w:tcPr>
            <w:tcW w:w="1191" w:type="dxa"/>
            <w:tcBorders>
              <w:top w:val="nil"/>
              <w:left w:val="nil"/>
              <w:bottom w:val="single" w:sz="4" w:space="0" w:color="auto"/>
              <w:right w:val="single" w:sz="4" w:space="0" w:color="auto"/>
            </w:tcBorders>
            <w:noWrap/>
            <w:vAlign w:val="bottom"/>
            <w:hideMark/>
          </w:tcPr>
          <w:p w14:paraId="3D2DEAC3" w14:textId="77777777" w:rsidR="00031E9C" w:rsidRDefault="00031E9C"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xml:space="preserve">Odluka o suglasnosti </w:t>
            </w:r>
          </w:p>
        </w:tc>
        <w:tc>
          <w:tcPr>
            <w:tcW w:w="1886" w:type="dxa"/>
            <w:tcBorders>
              <w:top w:val="nil"/>
              <w:left w:val="nil"/>
              <w:bottom w:val="single" w:sz="4" w:space="0" w:color="auto"/>
              <w:right w:val="single" w:sz="4" w:space="0" w:color="auto"/>
            </w:tcBorders>
            <w:noWrap/>
            <w:vAlign w:val="center"/>
            <w:hideMark/>
          </w:tcPr>
          <w:p w14:paraId="2593FFB3" w14:textId="77777777" w:rsidR="00031E9C" w:rsidRDefault="00031E9C" w:rsidP="00484CF6">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xml:space="preserve">OTP Leasing </w:t>
            </w:r>
          </w:p>
        </w:tc>
        <w:tc>
          <w:tcPr>
            <w:tcW w:w="1254" w:type="dxa"/>
            <w:tcBorders>
              <w:top w:val="nil"/>
              <w:left w:val="nil"/>
              <w:bottom w:val="single" w:sz="4" w:space="0" w:color="auto"/>
              <w:right w:val="single" w:sz="4" w:space="0" w:color="auto"/>
            </w:tcBorders>
            <w:noWrap/>
            <w:vAlign w:val="center"/>
            <w:hideMark/>
          </w:tcPr>
          <w:p w14:paraId="39C54D18" w14:textId="77777777" w:rsidR="00031E9C" w:rsidRDefault="00031E9C" w:rsidP="00484CF6">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141.398,03</w:t>
            </w:r>
          </w:p>
        </w:tc>
        <w:tc>
          <w:tcPr>
            <w:tcW w:w="1181" w:type="dxa"/>
            <w:tcBorders>
              <w:top w:val="nil"/>
              <w:left w:val="nil"/>
              <w:bottom w:val="single" w:sz="4" w:space="0" w:color="auto"/>
              <w:right w:val="single" w:sz="4" w:space="0" w:color="auto"/>
            </w:tcBorders>
            <w:noWrap/>
            <w:vAlign w:val="center"/>
            <w:hideMark/>
          </w:tcPr>
          <w:p w14:paraId="612B6E1B" w14:textId="77777777" w:rsidR="00031E9C" w:rsidRDefault="00031E9C" w:rsidP="00484CF6">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Financijski leasing</w:t>
            </w:r>
          </w:p>
        </w:tc>
        <w:tc>
          <w:tcPr>
            <w:tcW w:w="1250" w:type="dxa"/>
            <w:tcBorders>
              <w:top w:val="nil"/>
              <w:left w:val="nil"/>
              <w:bottom w:val="single" w:sz="4" w:space="0" w:color="auto"/>
              <w:right w:val="single" w:sz="4" w:space="0" w:color="auto"/>
            </w:tcBorders>
            <w:noWrap/>
            <w:vAlign w:val="center"/>
            <w:hideMark/>
          </w:tcPr>
          <w:p w14:paraId="5A2BDA39" w14:textId="1ED78409" w:rsidR="00031E9C" w:rsidRPr="00B22AC2" w:rsidRDefault="00D54BC3" w:rsidP="00484CF6">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62.224,59</w:t>
            </w:r>
          </w:p>
        </w:tc>
        <w:tc>
          <w:tcPr>
            <w:tcW w:w="1206" w:type="dxa"/>
            <w:tcBorders>
              <w:top w:val="nil"/>
              <w:left w:val="nil"/>
              <w:bottom w:val="single" w:sz="4" w:space="0" w:color="auto"/>
              <w:right w:val="single" w:sz="4" w:space="0" w:color="auto"/>
            </w:tcBorders>
            <w:noWrap/>
            <w:vAlign w:val="center"/>
            <w:hideMark/>
          </w:tcPr>
          <w:p w14:paraId="5F5FA36F" w14:textId="5AAC9DCB" w:rsidR="00031E9C" w:rsidRPr="002577E4" w:rsidRDefault="003A3E36" w:rsidP="00484CF6">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35.501,15</w:t>
            </w:r>
          </w:p>
        </w:tc>
      </w:tr>
      <w:tr w:rsidR="00031E9C" w14:paraId="24B16EE1" w14:textId="77777777" w:rsidTr="00FF2C1F">
        <w:trPr>
          <w:trHeight w:val="241"/>
        </w:trPr>
        <w:tc>
          <w:tcPr>
            <w:tcW w:w="1057" w:type="dxa"/>
            <w:tcBorders>
              <w:top w:val="nil"/>
              <w:left w:val="nil"/>
              <w:bottom w:val="single" w:sz="4" w:space="0" w:color="auto"/>
              <w:right w:val="single" w:sz="4" w:space="0" w:color="auto"/>
            </w:tcBorders>
            <w:noWrap/>
            <w:vAlign w:val="bottom"/>
          </w:tcPr>
          <w:p w14:paraId="6FCA41FD" w14:textId="77777777" w:rsidR="00031E9C" w:rsidRDefault="00031E9C" w:rsidP="00484CF6">
            <w:pPr>
              <w:spacing w:after="0" w:line="240" w:lineRule="auto"/>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Trogir holding d.o.o.</w:t>
            </w:r>
          </w:p>
        </w:tc>
        <w:tc>
          <w:tcPr>
            <w:tcW w:w="1070" w:type="dxa"/>
            <w:tcBorders>
              <w:top w:val="nil"/>
              <w:left w:val="nil"/>
              <w:bottom w:val="single" w:sz="4" w:space="0" w:color="auto"/>
              <w:right w:val="single" w:sz="4" w:space="0" w:color="auto"/>
            </w:tcBorders>
            <w:noWrap/>
            <w:vAlign w:val="bottom"/>
          </w:tcPr>
          <w:p w14:paraId="3D526F49" w14:textId="77777777" w:rsidR="00031E9C" w:rsidRDefault="00031E9C"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Suglasnost</w:t>
            </w:r>
          </w:p>
        </w:tc>
        <w:tc>
          <w:tcPr>
            <w:tcW w:w="1686" w:type="dxa"/>
            <w:tcBorders>
              <w:top w:val="nil"/>
              <w:left w:val="nil"/>
              <w:bottom w:val="single" w:sz="4" w:space="0" w:color="auto"/>
              <w:right w:val="single" w:sz="4" w:space="0" w:color="auto"/>
            </w:tcBorders>
            <w:noWrap/>
            <w:vAlign w:val="bottom"/>
          </w:tcPr>
          <w:p w14:paraId="1E841E69" w14:textId="77777777" w:rsidR="00031E9C" w:rsidRDefault="00031E9C"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xml:space="preserve">Kupnja osnovnog sredstva </w:t>
            </w:r>
            <w:proofErr w:type="spellStart"/>
            <w:r>
              <w:rPr>
                <w:rFonts w:ascii="Times New Roman" w:eastAsia="Times New Roman" w:hAnsi="Times New Roman" w:cs="Times New Roman"/>
                <w:sz w:val="18"/>
                <w:szCs w:val="18"/>
                <w:lang w:eastAsia="hr-HR"/>
              </w:rPr>
              <w:t>Samopodizač</w:t>
            </w:r>
            <w:proofErr w:type="spellEnd"/>
            <w:r>
              <w:rPr>
                <w:rFonts w:ascii="Times New Roman" w:eastAsia="Times New Roman" w:hAnsi="Times New Roman" w:cs="Times New Roman"/>
                <w:sz w:val="18"/>
                <w:szCs w:val="18"/>
                <w:lang w:eastAsia="hr-HR"/>
              </w:rPr>
              <w:t xml:space="preserve"> kontejnera</w:t>
            </w:r>
          </w:p>
        </w:tc>
        <w:tc>
          <w:tcPr>
            <w:tcW w:w="1191" w:type="dxa"/>
            <w:tcBorders>
              <w:top w:val="nil"/>
              <w:left w:val="nil"/>
              <w:bottom w:val="single" w:sz="4" w:space="0" w:color="auto"/>
              <w:right w:val="single" w:sz="4" w:space="0" w:color="auto"/>
            </w:tcBorders>
            <w:noWrap/>
            <w:vAlign w:val="bottom"/>
          </w:tcPr>
          <w:p w14:paraId="4D8F6248" w14:textId="77777777" w:rsidR="00031E9C" w:rsidRDefault="00031E9C"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Odluka o suglasnosti</w:t>
            </w:r>
          </w:p>
        </w:tc>
        <w:tc>
          <w:tcPr>
            <w:tcW w:w="1886" w:type="dxa"/>
            <w:tcBorders>
              <w:top w:val="nil"/>
              <w:left w:val="nil"/>
              <w:bottom w:val="single" w:sz="4" w:space="0" w:color="auto"/>
              <w:right w:val="single" w:sz="4" w:space="0" w:color="auto"/>
            </w:tcBorders>
            <w:noWrap/>
            <w:vAlign w:val="center"/>
          </w:tcPr>
          <w:p w14:paraId="10BA5095" w14:textId="77777777" w:rsidR="00031E9C" w:rsidRDefault="00031E9C" w:rsidP="00484CF6">
            <w:pPr>
              <w:spacing w:after="0" w:line="240" w:lineRule="auto"/>
              <w:jc w:val="center"/>
              <w:rPr>
                <w:rFonts w:ascii="Times New Roman" w:eastAsia="Times New Roman" w:hAnsi="Times New Roman" w:cs="Times New Roman"/>
                <w:sz w:val="18"/>
                <w:szCs w:val="18"/>
                <w:lang w:eastAsia="hr-HR"/>
              </w:rPr>
            </w:pPr>
            <w:proofErr w:type="spellStart"/>
            <w:r>
              <w:rPr>
                <w:rFonts w:ascii="Times New Roman" w:eastAsia="Times New Roman" w:hAnsi="Times New Roman" w:cs="Times New Roman"/>
                <w:sz w:val="18"/>
                <w:szCs w:val="18"/>
                <w:lang w:eastAsia="hr-HR"/>
              </w:rPr>
              <w:t>Erste&amp;Steiermarkische</w:t>
            </w:r>
            <w:proofErr w:type="spellEnd"/>
            <w:r>
              <w:rPr>
                <w:rFonts w:ascii="Times New Roman" w:eastAsia="Times New Roman" w:hAnsi="Times New Roman" w:cs="Times New Roman"/>
                <w:sz w:val="18"/>
                <w:szCs w:val="18"/>
                <w:lang w:eastAsia="hr-HR"/>
              </w:rPr>
              <w:t xml:space="preserve">  S-leasing d.o.o.</w:t>
            </w:r>
          </w:p>
        </w:tc>
        <w:tc>
          <w:tcPr>
            <w:tcW w:w="1254" w:type="dxa"/>
            <w:tcBorders>
              <w:top w:val="nil"/>
              <w:left w:val="nil"/>
              <w:bottom w:val="single" w:sz="4" w:space="0" w:color="auto"/>
              <w:right w:val="single" w:sz="4" w:space="0" w:color="auto"/>
            </w:tcBorders>
            <w:noWrap/>
            <w:vAlign w:val="center"/>
          </w:tcPr>
          <w:p w14:paraId="56B2113C" w14:textId="77777777" w:rsidR="00031E9C" w:rsidRDefault="00031E9C" w:rsidP="00484CF6">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168.736,56</w:t>
            </w:r>
          </w:p>
        </w:tc>
        <w:tc>
          <w:tcPr>
            <w:tcW w:w="1181" w:type="dxa"/>
            <w:tcBorders>
              <w:top w:val="nil"/>
              <w:left w:val="nil"/>
              <w:bottom w:val="single" w:sz="4" w:space="0" w:color="auto"/>
              <w:right w:val="single" w:sz="4" w:space="0" w:color="auto"/>
            </w:tcBorders>
            <w:noWrap/>
            <w:vAlign w:val="center"/>
          </w:tcPr>
          <w:p w14:paraId="084C11FA" w14:textId="77777777" w:rsidR="00031E9C" w:rsidRDefault="00031E9C" w:rsidP="00484CF6">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Financijski leasing</w:t>
            </w:r>
          </w:p>
        </w:tc>
        <w:tc>
          <w:tcPr>
            <w:tcW w:w="1250" w:type="dxa"/>
            <w:tcBorders>
              <w:top w:val="nil"/>
              <w:left w:val="nil"/>
              <w:bottom w:val="single" w:sz="4" w:space="0" w:color="auto"/>
              <w:right w:val="single" w:sz="4" w:space="0" w:color="auto"/>
            </w:tcBorders>
            <w:noWrap/>
            <w:vAlign w:val="center"/>
          </w:tcPr>
          <w:p w14:paraId="695A5BDD" w14:textId="2E06393A" w:rsidR="00031E9C" w:rsidRPr="00B22AC2" w:rsidRDefault="00D54BC3" w:rsidP="00484CF6">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116.011,86</w:t>
            </w:r>
          </w:p>
        </w:tc>
        <w:tc>
          <w:tcPr>
            <w:tcW w:w="1206" w:type="dxa"/>
            <w:tcBorders>
              <w:top w:val="nil"/>
              <w:left w:val="nil"/>
              <w:bottom w:val="single" w:sz="4" w:space="0" w:color="auto"/>
              <w:right w:val="single" w:sz="4" w:space="0" w:color="auto"/>
            </w:tcBorders>
            <w:noWrap/>
            <w:vAlign w:val="center"/>
          </w:tcPr>
          <w:p w14:paraId="4A832864" w14:textId="436BF7E8" w:rsidR="00031E9C" w:rsidRPr="002577E4" w:rsidRDefault="003A3E36" w:rsidP="00484CF6">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92.500,71</w:t>
            </w:r>
          </w:p>
        </w:tc>
      </w:tr>
      <w:tr w:rsidR="00031E9C" w14:paraId="120E0396" w14:textId="77777777" w:rsidTr="00FF2C1F">
        <w:trPr>
          <w:trHeight w:val="241"/>
        </w:trPr>
        <w:tc>
          <w:tcPr>
            <w:tcW w:w="1057" w:type="dxa"/>
            <w:tcBorders>
              <w:top w:val="nil"/>
              <w:left w:val="nil"/>
              <w:bottom w:val="single" w:sz="4" w:space="0" w:color="auto"/>
              <w:right w:val="single" w:sz="4" w:space="0" w:color="auto"/>
            </w:tcBorders>
            <w:noWrap/>
            <w:vAlign w:val="bottom"/>
          </w:tcPr>
          <w:p w14:paraId="45F76C74" w14:textId="77777777" w:rsidR="00031E9C" w:rsidRDefault="00031E9C" w:rsidP="00484CF6">
            <w:pPr>
              <w:spacing w:after="0" w:line="240" w:lineRule="auto"/>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Trogir holding d.o.o.</w:t>
            </w:r>
          </w:p>
        </w:tc>
        <w:tc>
          <w:tcPr>
            <w:tcW w:w="1070" w:type="dxa"/>
            <w:tcBorders>
              <w:top w:val="nil"/>
              <w:left w:val="nil"/>
              <w:bottom w:val="single" w:sz="4" w:space="0" w:color="auto"/>
              <w:right w:val="single" w:sz="4" w:space="0" w:color="auto"/>
            </w:tcBorders>
            <w:noWrap/>
            <w:vAlign w:val="bottom"/>
          </w:tcPr>
          <w:p w14:paraId="40087941" w14:textId="77777777" w:rsidR="00031E9C" w:rsidRDefault="00031E9C"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Suglasnost</w:t>
            </w:r>
          </w:p>
        </w:tc>
        <w:tc>
          <w:tcPr>
            <w:tcW w:w="1686" w:type="dxa"/>
            <w:tcBorders>
              <w:top w:val="nil"/>
              <w:left w:val="nil"/>
              <w:bottom w:val="single" w:sz="4" w:space="0" w:color="auto"/>
              <w:right w:val="single" w:sz="4" w:space="0" w:color="auto"/>
            </w:tcBorders>
            <w:noWrap/>
            <w:vAlign w:val="bottom"/>
          </w:tcPr>
          <w:p w14:paraId="202087A9" w14:textId="77777777" w:rsidR="00031E9C" w:rsidRDefault="00031E9C"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Nabava osnovnog sredstva MAN TGS+FAUN POWERPRESS</w:t>
            </w:r>
          </w:p>
        </w:tc>
        <w:tc>
          <w:tcPr>
            <w:tcW w:w="1191" w:type="dxa"/>
            <w:tcBorders>
              <w:top w:val="nil"/>
              <w:left w:val="nil"/>
              <w:bottom w:val="single" w:sz="4" w:space="0" w:color="auto"/>
              <w:right w:val="single" w:sz="4" w:space="0" w:color="auto"/>
            </w:tcBorders>
            <w:noWrap/>
            <w:vAlign w:val="bottom"/>
          </w:tcPr>
          <w:p w14:paraId="1B011818" w14:textId="77777777" w:rsidR="00031E9C" w:rsidRDefault="00031E9C"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Odluka o suglasnosti</w:t>
            </w:r>
          </w:p>
        </w:tc>
        <w:tc>
          <w:tcPr>
            <w:tcW w:w="1886" w:type="dxa"/>
            <w:tcBorders>
              <w:top w:val="nil"/>
              <w:left w:val="nil"/>
              <w:bottom w:val="single" w:sz="4" w:space="0" w:color="auto"/>
              <w:right w:val="single" w:sz="4" w:space="0" w:color="auto"/>
            </w:tcBorders>
            <w:noWrap/>
            <w:vAlign w:val="center"/>
          </w:tcPr>
          <w:p w14:paraId="1405FEF4" w14:textId="77777777" w:rsidR="00031E9C" w:rsidRDefault="00031E9C" w:rsidP="00484CF6">
            <w:pPr>
              <w:spacing w:after="0" w:line="240" w:lineRule="auto"/>
              <w:jc w:val="center"/>
              <w:rPr>
                <w:rFonts w:ascii="Times New Roman" w:eastAsia="Times New Roman" w:hAnsi="Times New Roman" w:cs="Times New Roman"/>
                <w:sz w:val="18"/>
                <w:szCs w:val="18"/>
                <w:lang w:eastAsia="hr-HR"/>
              </w:rPr>
            </w:pPr>
            <w:proofErr w:type="spellStart"/>
            <w:r>
              <w:rPr>
                <w:rFonts w:ascii="Times New Roman" w:eastAsia="Times New Roman" w:hAnsi="Times New Roman" w:cs="Times New Roman"/>
                <w:sz w:val="18"/>
                <w:szCs w:val="18"/>
                <w:lang w:eastAsia="hr-HR"/>
              </w:rPr>
              <w:t>Erste&amp;Steiermarkische</w:t>
            </w:r>
            <w:proofErr w:type="spellEnd"/>
            <w:r>
              <w:rPr>
                <w:rFonts w:ascii="Times New Roman" w:eastAsia="Times New Roman" w:hAnsi="Times New Roman" w:cs="Times New Roman"/>
                <w:sz w:val="18"/>
                <w:szCs w:val="18"/>
                <w:lang w:eastAsia="hr-HR"/>
              </w:rPr>
              <w:t xml:space="preserve">  S-leasing d.o.o.</w:t>
            </w:r>
          </w:p>
        </w:tc>
        <w:tc>
          <w:tcPr>
            <w:tcW w:w="1254" w:type="dxa"/>
            <w:tcBorders>
              <w:top w:val="nil"/>
              <w:left w:val="nil"/>
              <w:bottom w:val="single" w:sz="4" w:space="0" w:color="auto"/>
              <w:right w:val="single" w:sz="4" w:space="0" w:color="auto"/>
            </w:tcBorders>
            <w:noWrap/>
            <w:vAlign w:val="center"/>
          </w:tcPr>
          <w:p w14:paraId="45128CE4" w14:textId="77777777" w:rsidR="00031E9C" w:rsidRDefault="00031E9C" w:rsidP="00484CF6">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109.745,17</w:t>
            </w:r>
          </w:p>
        </w:tc>
        <w:tc>
          <w:tcPr>
            <w:tcW w:w="1181" w:type="dxa"/>
            <w:tcBorders>
              <w:top w:val="nil"/>
              <w:left w:val="nil"/>
              <w:bottom w:val="single" w:sz="4" w:space="0" w:color="auto"/>
              <w:right w:val="single" w:sz="4" w:space="0" w:color="auto"/>
            </w:tcBorders>
            <w:noWrap/>
            <w:vAlign w:val="center"/>
          </w:tcPr>
          <w:p w14:paraId="73B3CDC8" w14:textId="77777777" w:rsidR="00031E9C" w:rsidRDefault="00031E9C" w:rsidP="00484CF6">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Financijski leasing</w:t>
            </w:r>
          </w:p>
        </w:tc>
        <w:tc>
          <w:tcPr>
            <w:tcW w:w="1250" w:type="dxa"/>
            <w:tcBorders>
              <w:top w:val="nil"/>
              <w:left w:val="nil"/>
              <w:bottom w:val="single" w:sz="4" w:space="0" w:color="auto"/>
              <w:right w:val="single" w:sz="4" w:space="0" w:color="auto"/>
            </w:tcBorders>
            <w:noWrap/>
            <w:vAlign w:val="center"/>
          </w:tcPr>
          <w:p w14:paraId="53EA7262" w14:textId="426FFCD9" w:rsidR="00031E9C" w:rsidRPr="00B22AC2" w:rsidRDefault="00D54BC3" w:rsidP="00484CF6">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67.540,89</w:t>
            </w:r>
          </w:p>
        </w:tc>
        <w:tc>
          <w:tcPr>
            <w:tcW w:w="1206" w:type="dxa"/>
            <w:tcBorders>
              <w:top w:val="nil"/>
              <w:left w:val="nil"/>
              <w:bottom w:val="single" w:sz="4" w:space="0" w:color="auto"/>
              <w:right w:val="single" w:sz="4" w:space="0" w:color="auto"/>
            </w:tcBorders>
            <w:noWrap/>
            <w:vAlign w:val="center"/>
          </w:tcPr>
          <w:p w14:paraId="6432F5D6" w14:textId="26E4B8A3" w:rsidR="00031E9C" w:rsidRDefault="003A3E36" w:rsidP="00484CF6">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0,00</w:t>
            </w:r>
          </w:p>
        </w:tc>
      </w:tr>
      <w:tr w:rsidR="00031E9C" w14:paraId="59726156" w14:textId="77777777" w:rsidTr="00FF2C1F">
        <w:trPr>
          <w:trHeight w:val="241"/>
        </w:trPr>
        <w:tc>
          <w:tcPr>
            <w:tcW w:w="1057" w:type="dxa"/>
            <w:tcBorders>
              <w:top w:val="nil"/>
              <w:left w:val="nil"/>
              <w:bottom w:val="single" w:sz="4" w:space="0" w:color="auto"/>
              <w:right w:val="single" w:sz="4" w:space="0" w:color="auto"/>
            </w:tcBorders>
            <w:noWrap/>
            <w:vAlign w:val="bottom"/>
          </w:tcPr>
          <w:p w14:paraId="3EAC5A19" w14:textId="77777777" w:rsidR="00031E9C" w:rsidRDefault="00031E9C" w:rsidP="00484CF6">
            <w:pPr>
              <w:spacing w:after="0" w:line="240" w:lineRule="auto"/>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Javna vatrogasna postrojba Grada Trogira</w:t>
            </w:r>
          </w:p>
        </w:tc>
        <w:tc>
          <w:tcPr>
            <w:tcW w:w="1070" w:type="dxa"/>
            <w:tcBorders>
              <w:top w:val="nil"/>
              <w:left w:val="nil"/>
              <w:bottom w:val="single" w:sz="4" w:space="0" w:color="auto"/>
              <w:right w:val="single" w:sz="4" w:space="0" w:color="auto"/>
            </w:tcBorders>
            <w:noWrap/>
            <w:vAlign w:val="bottom"/>
          </w:tcPr>
          <w:p w14:paraId="75094B4B" w14:textId="77777777" w:rsidR="00031E9C" w:rsidRDefault="00031E9C"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xml:space="preserve">Suglasnost </w:t>
            </w:r>
          </w:p>
        </w:tc>
        <w:tc>
          <w:tcPr>
            <w:tcW w:w="1686" w:type="dxa"/>
            <w:tcBorders>
              <w:top w:val="nil"/>
              <w:left w:val="nil"/>
              <w:bottom w:val="single" w:sz="4" w:space="0" w:color="auto"/>
              <w:right w:val="single" w:sz="4" w:space="0" w:color="auto"/>
            </w:tcBorders>
            <w:noWrap/>
            <w:vAlign w:val="bottom"/>
          </w:tcPr>
          <w:p w14:paraId="009A70C4" w14:textId="77777777" w:rsidR="00031E9C" w:rsidRDefault="00031E9C"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xml:space="preserve">Nabava vatrogasnog vozila </w:t>
            </w:r>
          </w:p>
        </w:tc>
        <w:tc>
          <w:tcPr>
            <w:tcW w:w="1191" w:type="dxa"/>
            <w:tcBorders>
              <w:top w:val="nil"/>
              <w:left w:val="nil"/>
              <w:bottom w:val="single" w:sz="4" w:space="0" w:color="auto"/>
              <w:right w:val="single" w:sz="4" w:space="0" w:color="auto"/>
            </w:tcBorders>
            <w:noWrap/>
            <w:vAlign w:val="bottom"/>
          </w:tcPr>
          <w:p w14:paraId="3FE4ADB3" w14:textId="77777777" w:rsidR="00031E9C" w:rsidRDefault="00031E9C"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Odluka o suglasnosti</w:t>
            </w:r>
          </w:p>
        </w:tc>
        <w:tc>
          <w:tcPr>
            <w:tcW w:w="1886" w:type="dxa"/>
            <w:tcBorders>
              <w:top w:val="nil"/>
              <w:left w:val="nil"/>
              <w:bottom w:val="single" w:sz="4" w:space="0" w:color="auto"/>
              <w:right w:val="single" w:sz="4" w:space="0" w:color="auto"/>
            </w:tcBorders>
            <w:noWrap/>
            <w:vAlign w:val="center"/>
          </w:tcPr>
          <w:p w14:paraId="42E88318" w14:textId="77777777" w:rsidR="00031E9C" w:rsidRDefault="00031E9C" w:rsidP="00484CF6">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Hrvatska poštanska banka</w:t>
            </w:r>
          </w:p>
        </w:tc>
        <w:tc>
          <w:tcPr>
            <w:tcW w:w="1254" w:type="dxa"/>
            <w:tcBorders>
              <w:top w:val="nil"/>
              <w:left w:val="nil"/>
              <w:bottom w:val="single" w:sz="4" w:space="0" w:color="auto"/>
              <w:right w:val="single" w:sz="4" w:space="0" w:color="auto"/>
            </w:tcBorders>
            <w:noWrap/>
            <w:vAlign w:val="center"/>
          </w:tcPr>
          <w:p w14:paraId="6CFA1791" w14:textId="77777777" w:rsidR="00031E9C" w:rsidRDefault="00031E9C" w:rsidP="00484CF6">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104.452,85</w:t>
            </w:r>
          </w:p>
        </w:tc>
        <w:tc>
          <w:tcPr>
            <w:tcW w:w="1181" w:type="dxa"/>
            <w:tcBorders>
              <w:top w:val="nil"/>
              <w:left w:val="nil"/>
              <w:bottom w:val="single" w:sz="4" w:space="0" w:color="auto"/>
              <w:right w:val="single" w:sz="4" w:space="0" w:color="auto"/>
            </w:tcBorders>
            <w:noWrap/>
            <w:vAlign w:val="center"/>
          </w:tcPr>
          <w:p w14:paraId="51670C70" w14:textId="77777777" w:rsidR="00031E9C" w:rsidRDefault="00031E9C" w:rsidP="00484CF6">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Dugoročni kredit</w:t>
            </w:r>
          </w:p>
        </w:tc>
        <w:tc>
          <w:tcPr>
            <w:tcW w:w="1250" w:type="dxa"/>
            <w:tcBorders>
              <w:top w:val="nil"/>
              <w:left w:val="nil"/>
              <w:bottom w:val="single" w:sz="4" w:space="0" w:color="auto"/>
              <w:right w:val="single" w:sz="4" w:space="0" w:color="auto"/>
            </w:tcBorders>
            <w:noWrap/>
            <w:vAlign w:val="center"/>
          </w:tcPr>
          <w:p w14:paraId="7954FAC7" w14:textId="7EA94F4F" w:rsidR="00031E9C" w:rsidRPr="00B22AC2" w:rsidRDefault="00D54BC3" w:rsidP="00484CF6">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78.339,64</w:t>
            </w:r>
          </w:p>
        </w:tc>
        <w:tc>
          <w:tcPr>
            <w:tcW w:w="1206" w:type="dxa"/>
            <w:tcBorders>
              <w:top w:val="nil"/>
              <w:left w:val="nil"/>
              <w:bottom w:val="single" w:sz="4" w:space="0" w:color="auto"/>
              <w:right w:val="single" w:sz="4" w:space="0" w:color="auto"/>
            </w:tcBorders>
            <w:noWrap/>
            <w:vAlign w:val="center"/>
          </w:tcPr>
          <w:p w14:paraId="4C25992E" w14:textId="4AB61418" w:rsidR="00031E9C" w:rsidRDefault="003A3E36" w:rsidP="00484CF6">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52.226,45</w:t>
            </w:r>
          </w:p>
        </w:tc>
      </w:tr>
      <w:tr w:rsidR="00031E9C" w14:paraId="25765FCD" w14:textId="77777777" w:rsidTr="00FF2C1F">
        <w:trPr>
          <w:trHeight w:val="241"/>
        </w:trPr>
        <w:tc>
          <w:tcPr>
            <w:tcW w:w="1057" w:type="dxa"/>
            <w:tcBorders>
              <w:top w:val="nil"/>
              <w:left w:val="nil"/>
              <w:bottom w:val="single" w:sz="4" w:space="0" w:color="auto"/>
              <w:right w:val="single" w:sz="4" w:space="0" w:color="auto"/>
            </w:tcBorders>
            <w:noWrap/>
            <w:vAlign w:val="bottom"/>
          </w:tcPr>
          <w:p w14:paraId="140D021A" w14:textId="77777777" w:rsidR="00031E9C" w:rsidRDefault="00031E9C" w:rsidP="00484CF6">
            <w:pPr>
              <w:spacing w:after="0" w:line="240" w:lineRule="auto"/>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Trogir holding d.o.o.</w:t>
            </w:r>
          </w:p>
        </w:tc>
        <w:tc>
          <w:tcPr>
            <w:tcW w:w="1070" w:type="dxa"/>
            <w:tcBorders>
              <w:top w:val="nil"/>
              <w:left w:val="nil"/>
              <w:bottom w:val="single" w:sz="4" w:space="0" w:color="auto"/>
              <w:right w:val="single" w:sz="4" w:space="0" w:color="auto"/>
            </w:tcBorders>
            <w:noWrap/>
            <w:vAlign w:val="bottom"/>
          </w:tcPr>
          <w:p w14:paraId="52165B76" w14:textId="77777777" w:rsidR="00031E9C" w:rsidRDefault="00031E9C"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Suglasnost</w:t>
            </w:r>
          </w:p>
        </w:tc>
        <w:tc>
          <w:tcPr>
            <w:tcW w:w="1686" w:type="dxa"/>
            <w:tcBorders>
              <w:top w:val="nil"/>
              <w:left w:val="nil"/>
              <w:bottom w:val="single" w:sz="4" w:space="0" w:color="auto"/>
              <w:right w:val="single" w:sz="4" w:space="0" w:color="auto"/>
            </w:tcBorders>
            <w:noWrap/>
            <w:vAlign w:val="bottom"/>
          </w:tcPr>
          <w:p w14:paraId="3EBFAAAA" w14:textId="77777777" w:rsidR="00031E9C" w:rsidRDefault="00031E9C"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Kupnja osnovnog sredstva VOLKSWAGEN POLO 1.0 TSI</w:t>
            </w:r>
          </w:p>
        </w:tc>
        <w:tc>
          <w:tcPr>
            <w:tcW w:w="1191" w:type="dxa"/>
            <w:tcBorders>
              <w:top w:val="nil"/>
              <w:left w:val="nil"/>
              <w:bottom w:val="single" w:sz="4" w:space="0" w:color="auto"/>
              <w:right w:val="single" w:sz="4" w:space="0" w:color="auto"/>
            </w:tcBorders>
            <w:noWrap/>
            <w:vAlign w:val="bottom"/>
          </w:tcPr>
          <w:p w14:paraId="5A030BB4" w14:textId="77777777" w:rsidR="00031E9C" w:rsidRDefault="00031E9C"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Odluka o suglasnosti 25.01.2023. Izmjena odluke (09.03.2023.)</w:t>
            </w:r>
          </w:p>
        </w:tc>
        <w:tc>
          <w:tcPr>
            <w:tcW w:w="1886" w:type="dxa"/>
            <w:tcBorders>
              <w:top w:val="nil"/>
              <w:left w:val="nil"/>
              <w:bottom w:val="single" w:sz="4" w:space="0" w:color="auto"/>
              <w:right w:val="single" w:sz="4" w:space="0" w:color="auto"/>
            </w:tcBorders>
            <w:noWrap/>
            <w:vAlign w:val="center"/>
          </w:tcPr>
          <w:p w14:paraId="41E4F153" w14:textId="77777777" w:rsidR="00031E9C" w:rsidRDefault="00031E9C" w:rsidP="00484CF6">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Erste Leasing d.o.o.</w:t>
            </w:r>
          </w:p>
        </w:tc>
        <w:tc>
          <w:tcPr>
            <w:tcW w:w="1254" w:type="dxa"/>
            <w:tcBorders>
              <w:top w:val="nil"/>
              <w:left w:val="nil"/>
              <w:bottom w:val="single" w:sz="4" w:space="0" w:color="auto"/>
              <w:right w:val="single" w:sz="4" w:space="0" w:color="auto"/>
            </w:tcBorders>
            <w:noWrap/>
            <w:vAlign w:val="center"/>
          </w:tcPr>
          <w:p w14:paraId="070ADD70" w14:textId="77777777" w:rsidR="00031E9C" w:rsidRDefault="00031E9C" w:rsidP="00484CF6">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17.523,00</w:t>
            </w:r>
          </w:p>
        </w:tc>
        <w:tc>
          <w:tcPr>
            <w:tcW w:w="1181" w:type="dxa"/>
            <w:tcBorders>
              <w:top w:val="nil"/>
              <w:left w:val="nil"/>
              <w:bottom w:val="single" w:sz="4" w:space="0" w:color="auto"/>
              <w:right w:val="single" w:sz="4" w:space="0" w:color="auto"/>
            </w:tcBorders>
            <w:noWrap/>
            <w:vAlign w:val="center"/>
          </w:tcPr>
          <w:p w14:paraId="46DDD4D3" w14:textId="77777777" w:rsidR="00031E9C" w:rsidRDefault="00031E9C" w:rsidP="00484CF6">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xml:space="preserve">Financijski leasing </w:t>
            </w:r>
          </w:p>
        </w:tc>
        <w:tc>
          <w:tcPr>
            <w:tcW w:w="1250" w:type="dxa"/>
            <w:tcBorders>
              <w:top w:val="nil"/>
              <w:left w:val="nil"/>
              <w:bottom w:val="single" w:sz="4" w:space="0" w:color="auto"/>
              <w:right w:val="single" w:sz="4" w:space="0" w:color="auto"/>
            </w:tcBorders>
            <w:noWrap/>
            <w:vAlign w:val="center"/>
          </w:tcPr>
          <w:p w14:paraId="473A72E7" w14:textId="45955472" w:rsidR="00031E9C" w:rsidRDefault="00D54BC3" w:rsidP="00484CF6">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11.772,43</w:t>
            </w:r>
          </w:p>
        </w:tc>
        <w:tc>
          <w:tcPr>
            <w:tcW w:w="1206" w:type="dxa"/>
            <w:tcBorders>
              <w:top w:val="nil"/>
              <w:left w:val="nil"/>
              <w:bottom w:val="single" w:sz="4" w:space="0" w:color="auto"/>
              <w:right w:val="single" w:sz="4" w:space="0" w:color="auto"/>
            </w:tcBorders>
            <w:noWrap/>
            <w:vAlign w:val="center"/>
          </w:tcPr>
          <w:p w14:paraId="2856D000" w14:textId="7B202261" w:rsidR="00031E9C" w:rsidRDefault="003A3E36" w:rsidP="00484CF6">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0,00</w:t>
            </w:r>
          </w:p>
        </w:tc>
      </w:tr>
      <w:tr w:rsidR="00031E9C" w14:paraId="01000622" w14:textId="77777777" w:rsidTr="00FF2C1F">
        <w:trPr>
          <w:trHeight w:val="241"/>
        </w:trPr>
        <w:tc>
          <w:tcPr>
            <w:tcW w:w="1057" w:type="dxa"/>
            <w:tcBorders>
              <w:top w:val="nil"/>
              <w:left w:val="nil"/>
              <w:bottom w:val="single" w:sz="4" w:space="0" w:color="auto"/>
              <w:right w:val="single" w:sz="4" w:space="0" w:color="auto"/>
            </w:tcBorders>
            <w:noWrap/>
            <w:vAlign w:val="bottom"/>
          </w:tcPr>
          <w:p w14:paraId="4946001B" w14:textId="77777777" w:rsidR="00031E9C" w:rsidRDefault="00031E9C" w:rsidP="00484CF6">
            <w:pPr>
              <w:spacing w:after="0" w:line="240" w:lineRule="auto"/>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Trogir holding d.o.o.</w:t>
            </w:r>
          </w:p>
        </w:tc>
        <w:tc>
          <w:tcPr>
            <w:tcW w:w="1070" w:type="dxa"/>
            <w:tcBorders>
              <w:top w:val="nil"/>
              <w:left w:val="nil"/>
              <w:bottom w:val="single" w:sz="4" w:space="0" w:color="auto"/>
              <w:right w:val="single" w:sz="4" w:space="0" w:color="auto"/>
            </w:tcBorders>
            <w:noWrap/>
            <w:vAlign w:val="bottom"/>
          </w:tcPr>
          <w:p w14:paraId="1D7EF456" w14:textId="77777777" w:rsidR="00031E9C" w:rsidRDefault="00031E9C"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Suglasnost</w:t>
            </w:r>
          </w:p>
        </w:tc>
        <w:tc>
          <w:tcPr>
            <w:tcW w:w="1686" w:type="dxa"/>
            <w:tcBorders>
              <w:top w:val="nil"/>
              <w:left w:val="nil"/>
              <w:bottom w:val="single" w:sz="4" w:space="0" w:color="auto"/>
              <w:right w:val="single" w:sz="4" w:space="0" w:color="auto"/>
            </w:tcBorders>
            <w:noWrap/>
            <w:vAlign w:val="bottom"/>
          </w:tcPr>
          <w:p w14:paraId="2A7049A1" w14:textId="77777777" w:rsidR="00031E9C" w:rsidRDefault="00031E9C"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Kupnja osnovnog sredstva IVECO DAILY TROSTRANI KIPER</w:t>
            </w:r>
          </w:p>
        </w:tc>
        <w:tc>
          <w:tcPr>
            <w:tcW w:w="1191" w:type="dxa"/>
            <w:tcBorders>
              <w:top w:val="nil"/>
              <w:left w:val="nil"/>
              <w:bottom w:val="single" w:sz="4" w:space="0" w:color="auto"/>
              <w:right w:val="single" w:sz="4" w:space="0" w:color="auto"/>
            </w:tcBorders>
            <w:noWrap/>
            <w:vAlign w:val="bottom"/>
          </w:tcPr>
          <w:p w14:paraId="30C57CC8" w14:textId="77777777" w:rsidR="00031E9C" w:rsidRDefault="00031E9C"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Odluka o davanju suglasnosti 25.01.2023 (Izmjena Odluke 09.03.2023.)</w:t>
            </w:r>
          </w:p>
        </w:tc>
        <w:tc>
          <w:tcPr>
            <w:tcW w:w="1886" w:type="dxa"/>
            <w:tcBorders>
              <w:top w:val="nil"/>
              <w:left w:val="nil"/>
              <w:bottom w:val="single" w:sz="4" w:space="0" w:color="auto"/>
              <w:right w:val="single" w:sz="4" w:space="0" w:color="auto"/>
            </w:tcBorders>
            <w:noWrap/>
            <w:vAlign w:val="center"/>
          </w:tcPr>
          <w:p w14:paraId="2350CF96" w14:textId="77777777" w:rsidR="00031E9C" w:rsidRDefault="00031E9C" w:rsidP="00484CF6">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Erste Leasing d.o.o.</w:t>
            </w:r>
          </w:p>
        </w:tc>
        <w:tc>
          <w:tcPr>
            <w:tcW w:w="1254" w:type="dxa"/>
            <w:tcBorders>
              <w:top w:val="nil"/>
              <w:left w:val="nil"/>
              <w:bottom w:val="single" w:sz="4" w:space="0" w:color="auto"/>
              <w:right w:val="single" w:sz="4" w:space="0" w:color="auto"/>
            </w:tcBorders>
            <w:noWrap/>
            <w:vAlign w:val="center"/>
          </w:tcPr>
          <w:p w14:paraId="6E38798B" w14:textId="77777777" w:rsidR="00031E9C" w:rsidRDefault="00031E9C" w:rsidP="00484CF6">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50.766,48</w:t>
            </w:r>
          </w:p>
        </w:tc>
        <w:tc>
          <w:tcPr>
            <w:tcW w:w="1181" w:type="dxa"/>
            <w:tcBorders>
              <w:top w:val="nil"/>
              <w:left w:val="nil"/>
              <w:bottom w:val="single" w:sz="4" w:space="0" w:color="auto"/>
              <w:right w:val="single" w:sz="4" w:space="0" w:color="auto"/>
            </w:tcBorders>
            <w:noWrap/>
            <w:vAlign w:val="center"/>
          </w:tcPr>
          <w:p w14:paraId="079BB15A" w14:textId="77777777" w:rsidR="00031E9C" w:rsidRDefault="00031E9C" w:rsidP="00484CF6">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Financijski leasing</w:t>
            </w:r>
          </w:p>
        </w:tc>
        <w:tc>
          <w:tcPr>
            <w:tcW w:w="1250" w:type="dxa"/>
            <w:tcBorders>
              <w:top w:val="nil"/>
              <w:left w:val="nil"/>
              <w:bottom w:val="single" w:sz="4" w:space="0" w:color="auto"/>
              <w:right w:val="single" w:sz="4" w:space="0" w:color="auto"/>
            </w:tcBorders>
            <w:noWrap/>
            <w:vAlign w:val="center"/>
          </w:tcPr>
          <w:p w14:paraId="7AEF73E0" w14:textId="38323339" w:rsidR="00031E9C" w:rsidRDefault="00D54BC3" w:rsidP="00484CF6">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34.294,39</w:t>
            </w:r>
          </w:p>
        </w:tc>
        <w:tc>
          <w:tcPr>
            <w:tcW w:w="1206" w:type="dxa"/>
            <w:tcBorders>
              <w:top w:val="nil"/>
              <w:left w:val="nil"/>
              <w:bottom w:val="single" w:sz="4" w:space="0" w:color="auto"/>
              <w:right w:val="single" w:sz="4" w:space="0" w:color="auto"/>
            </w:tcBorders>
            <w:noWrap/>
            <w:vAlign w:val="center"/>
          </w:tcPr>
          <w:p w14:paraId="4F3D62B1" w14:textId="20BFE3D5" w:rsidR="00031E9C" w:rsidRDefault="003A3E36" w:rsidP="00484CF6">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0,00</w:t>
            </w:r>
          </w:p>
        </w:tc>
      </w:tr>
      <w:tr w:rsidR="00031E9C" w14:paraId="740663BD" w14:textId="77777777" w:rsidTr="00FF2C1F">
        <w:trPr>
          <w:trHeight w:val="241"/>
        </w:trPr>
        <w:tc>
          <w:tcPr>
            <w:tcW w:w="1057" w:type="dxa"/>
            <w:tcBorders>
              <w:top w:val="nil"/>
              <w:left w:val="nil"/>
              <w:bottom w:val="single" w:sz="4" w:space="0" w:color="auto"/>
              <w:right w:val="single" w:sz="4" w:space="0" w:color="auto"/>
            </w:tcBorders>
            <w:noWrap/>
            <w:vAlign w:val="bottom"/>
          </w:tcPr>
          <w:p w14:paraId="78F7F40E" w14:textId="77777777" w:rsidR="00031E9C" w:rsidRDefault="00031E9C" w:rsidP="00484CF6">
            <w:pPr>
              <w:spacing w:after="0" w:line="240" w:lineRule="auto"/>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Trogir holding d.o.o.</w:t>
            </w:r>
          </w:p>
        </w:tc>
        <w:tc>
          <w:tcPr>
            <w:tcW w:w="1070" w:type="dxa"/>
            <w:tcBorders>
              <w:top w:val="nil"/>
              <w:left w:val="nil"/>
              <w:bottom w:val="single" w:sz="4" w:space="0" w:color="auto"/>
              <w:right w:val="single" w:sz="4" w:space="0" w:color="auto"/>
            </w:tcBorders>
            <w:noWrap/>
            <w:vAlign w:val="bottom"/>
          </w:tcPr>
          <w:p w14:paraId="5B5AB5A5" w14:textId="77777777" w:rsidR="00031E9C" w:rsidRDefault="00031E9C"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xml:space="preserve">Suglasnost </w:t>
            </w:r>
          </w:p>
        </w:tc>
        <w:tc>
          <w:tcPr>
            <w:tcW w:w="1686" w:type="dxa"/>
            <w:tcBorders>
              <w:top w:val="nil"/>
              <w:left w:val="nil"/>
              <w:bottom w:val="single" w:sz="4" w:space="0" w:color="auto"/>
              <w:right w:val="single" w:sz="4" w:space="0" w:color="auto"/>
            </w:tcBorders>
            <w:noWrap/>
            <w:vAlign w:val="bottom"/>
          </w:tcPr>
          <w:p w14:paraId="41F76A5C" w14:textId="77777777" w:rsidR="00031E9C" w:rsidRDefault="00031E9C"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Kupnja osnovnog sredstva IVECO DAILY 35C 16H3.0-COSECO K1P5M3</w:t>
            </w:r>
          </w:p>
        </w:tc>
        <w:tc>
          <w:tcPr>
            <w:tcW w:w="1191" w:type="dxa"/>
            <w:tcBorders>
              <w:top w:val="nil"/>
              <w:left w:val="nil"/>
              <w:bottom w:val="single" w:sz="4" w:space="0" w:color="auto"/>
              <w:right w:val="single" w:sz="4" w:space="0" w:color="auto"/>
            </w:tcBorders>
            <w:noWrap/>
            <w:vAlign w:val="bottom"/>
          </w:tcPr>
          <w:p w14:paraId="4BB82915" w14:textId="77777777" w:rsidR="00031E9C" w:rsidRDefault="00031E9C"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Odluka o davanju suglasnosti 25.01.2023 (Izmjena Odluke 19.05.2023.)</w:t>
            </w:r>
          </w:p>
        </w:tc>
        <w:tc>
          <w:tcPr>
            <w:tcW w:w="1886" w:type="dxa"/>
            <w:tcBorders>
              <w:top w:val="nil"/>
              <w:left w:val="nil"/>
              <w:bottom w:val="single" w:sz="4" w:space="0" w:color="auto"/>
              <w:right w:val="single" w:sz="4" w:space="0" w:color="auto"/>
            </w:tcBorders>
            <w:noWrap/>
            <w:vAlign w:val="center"/>
          </w:tcPr>
          <w:p w14:paraId="730CE66A" w14:textId="77777777" w:rsidR="00031E9C" w:rsidRDefault="00031E9C" w:rsidP="00484CF6">
            <w:pPr>
              <w:spacing w:after="0" w:line="240" w:lineRule="auto"/>
              <w:jc w:val="center"/>
              <w:rPr>
                <w:rFonts w:ascii="Times New Roman" w:eastAsia="Times New Roman" w:hAnsi="Times New Roman" w:cs="Times New Roman"/>
                <w:sz w:val="18"/>
                <w:szCs w:val="18"/>
                <w:lang w:eastAsia="hr-HR"/>
              </w:rPr>
            </w:pPr>
            <w:proofErr w:type="spellStart"/>
            <w:r w:rsidRPr="00BE4162">
              <w:rPr>
                <w:rFonts w:ascii="Times New Roman" w:eastAsia="Times New Roman" w:hAnsi="Times New Roman" w:cs="Times New Roman"/>
                <w:sz w:val="18"/>
                <w:szCs w:val="18"/>
                <w:lang w:eastAsia="hr-HR"/>
              </w:rPr>
              <w:t>Erste&amp;Steiermarkische</w:t>
            </w:r>
            <w:proofErr w:type="spellEnd"/>
            <w:r w:rsidRPr="00BE4162">
              <w:rPr>
                <w:rFonts w:ascii="Times New Roman" w:eastAsia="Times New Roman" w:hAnsi="Times New Roman" w:cs="Times New Roman"/>
                <w:sz w:val="18"/>
                <w:szCs w:val="18"/>
                <w:lang w:eastAsia="hr-HR"/>
              </w:rPr>
              <w:t xml:space="preserve">  S-leasing d.o.o.</w:t>
            </w:r>
          </w:p>
        </w:tc>
        <w:tc>
          <w:tcPr>
            <w:tcW w:w="1254" w:type="dxa"/>
            <w:tcBorders>
              <w:top w:val="nil"/>
              <w:left w:val="nil"/>
              <w:bottom w:val="single" w:sz="4" w:space="0" w:color="auto"/>
              <w:right w:val="single" w:sz="4" w:space="0" w:color="auto"/>
            </w:tcBorders>
            <w:noWrap/>
            <w:vAlign w:val="center"/>
          </w:tcPr>
          <w:p w14:paraId="50F05DE7" w14:textId="77777777" w:rsidR="00031E9C" w:rsidRDefault="00031E9C" w:rsidP="00484CF6">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105.250,00</w:t>
            </w:r>
          </w:p>
        </w:tc>
        <w:tc>
          <w:tcPr>
            <w:tcW w:w="1181" w:type="dxa"/>
            <w:tcBorders>
              <w:top w:val="nil"/>
              <w:left w:val="nil"/>
              <w:bottom w:val="single" w:sz="4" w:space="0" w:color="auto"/>
              <w:right w:val="single" w:sz="4" w:space="0" w:color="auto"/>
            </w:tcBorders>
            <w:noWrap/>
            <w:vAlign w:val="center"/>
          </w:tcPr>
          <w:p w14:paraId="304F4840" w14:textId="77777777" w:rsidR="00031E9C" w:rsidRDefault="00031E9C" w:rsidP="00484CF6">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xml:space="preserve">Financijski leasing </w:t>
            </w:r>
          </w:p>
        </w:tc>
        <w:tc>
          <w:tcPr>
            <w:tcW w:w="1250" w:type="dxa"/>
            <w:tcBorders>
              <w:top w:val="nil"/>
              <w:left w:val="nil"/>
              <w:bottom w:val="single" w:sz="4" w:space="0" w:color="auto"/>
              <w:right w:val="single" w:sz="4" w:space="0" w:color="auto"/>
            </w:tcBorders>
            <w:noWrap/>
            <w:vAlign w:val="center"/>
          </w:tcPr>
          <w:p w14:paraId="6C939737" w14:textId="7DCA0F32" w:rsidR="00031E9C" w:rsidRDefault="00D54BC3" w:rsidP="00484CF6">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81.593,74</w:t>
            </w:r>
          </w:p>
        </w:tc>
        <w:tc>
          <w:tcPr>
            <w:tcW w:w="1206" w:type="dxa"/>
            <w:tcBorders>
              <w:top w:val="nil"/>
              <w:left w:val="nil"/>
              <w:bottom w:val="single" w:sz="4" w:space="0" w:color="auto"/>
              <w:right w:val="single" w:sz="4" w:space="0" w:color="auto"/>
            </w:tcBorders>
            <w:noWrap/>
            <w:vAlign w:val="center"/>
          </w:tcPr>
          <w:p w14:paraId="751CFC42" w14:textId="1E62EDC9" w:rsidR="00031E9C" w:rsidRDefault="003A3E36" w:rsidP="00484CF6">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0,00</w:t>
            </w:r>
          </w:p>
        </w:tc>
      </w:tr>
      <w:tr w:rsidR="00031E9C" w14:paraId="0FE4D45B" w14:textId="77777777" w:rsidTr="00FF2C1F">
        <w:trPr>
          <w:trHeight w:val="241"/>
        </w:trPr>
        <w:tc>
          <w:tcPr>
            <w:tcW w:w="1057" w:type="dxa"/>
            <w:tcBorders>
              <w:top w:val="nil"/>
              <w:left w:val="nil"/>
              <w:bottom w:val="single" w:sz="4" w:space="0" w:color="auto"/>
              <w:right w:val="single" w:sz="4" w:space="0" w:color="auto"/>
            </w:tcBorders>
            <w:noWrap/>
            <w:vAlign w:val="bottom"/>
          </w:tcPr>
          <w:p w14:paraId="342D3BED" w14:textId="77777777" w:rsidR="00031E9C" w:rsidRDefault="00031E9C" w:rsidP="00484CF6">
            <w:pPr>
              <w:spacing w:after="0" w:line="240" w:lineRule="auto"/>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Trogir holding d.o.o.</w:t>
            </w:r>
          </w:p>
        </w:tc>
        <w:tc>
          <w:tcPr>
            <w:tcW w:w="1070" w:type="dxa"/>
            <w:tcBorders>
              <w:top w:val="nil"/>
              <w:left w:val="nil"/>
              <w:bottom w:val="single" w:sz="4" w:space="0" w:color="auto"/>
              <w:right w:val="single" w:sz="4" w:space="0" w:color="auto"/>
            </w:tcBorders>
            <w:noWrap/>
            <w:vAlign w:val="bottom"/>
          </w:tcPr>
          <w:p w14:paraId="4660CD16" w14:textId="77777777" w:rsidR="00031E9C" w:rsidRDefault="00031E9C"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Suglasnost</w:t>
            </w:r>
          </w:p>
        </w:tc>
        <w:tc>
          <w:tcPr>
            <w:tcW w:w="1686" w:type="dxa"/>
            <w:tcBorders>
              <w:top w:val="nil"/>
              <w:left w:val="nil"/>
              <w:bottom w:val="single" w:sz="4" w:space="0" w:color="auto"/>
              <w:right w:val="single" w:sz="4" w:space="0" w:color="auto"/>
            </w:tcBorders>
            <w:noWrap/>
            <w:vAlign w:val="bottom"/>
          </w:tcPr>
          <w:p w14:paraId="0AA8A49B" w14:textId="77777777" w:rsidR="00031E9C" w:rsidRDefault="00031E9C"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Kupnja osnovnog sredstva IVECO DAILY 35C 16H3.0-COSECO K1P5M3</w:t>
            </w:r>
          </w:p>
        </w:tc>
        <w:tc>
          <w:tcPr>
            <w:tcW w:w="1191" w:type="dxa"/>
            <w:tcBorders>
              <w:top w:val="nil"/>
              <w:left w:val="nil"/>
              <w:bottom w:val="single" w:sz="4" w:space="0" w:color="auto"/>
              <w:right w:val="single" w:sz="4" w:space="0" w:color="auto"/>
            </w:tcBorders>
            <w:noWrap/>
            <w:vAlign w:val="bottom"/>
          </w:tcPr>
          <w:p w14:paraId="02BF7919" w14:textId="77777777" w:rsidR="00031E9C" w:rsidRDefault="00031E9C"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Odluka o davanju suglasnosti 25.01.2023 (Izmjena Odluke 19.05.2023.)</w:t>
            </w:r>
          </w:p>
        </w:tc>
        <w:tc>
          <w:tcPr>
            <w:tcW w:w="1886" w:type="dxa"/>
            <w:tcBorders>
              <w:top w:val="nil"/>
              <w:left w:val="nil"/>
              <w:bottom w:val="single" w:sz="4" w:space="0" w:color="auto"/>
              <w:right w:val="single" w:sz="4" w:space="0" w:color="auto"/>
            </w:tcBorders>
            <w:noWrap/>
            <w:vAlign w:val="center"/>
          </w:tcPr>
          <w:p w14:paraId="06955CB2" w14:textId="77777777" w:rsidR="00031E9C" w:rsidRDefault="00031E9C" w:rsidP="00484CF6">
            <w:pPr>
              <w:spacing w:after="0" w:line="240" w:lineRule="auto"/>
              <w:jc w:val="center"/>
              <w:rPr>
                <w:rFonts w:ascii="Times New Roman" w:eastAsia="Times New Roman" w:hAnsi="Times New Roman" w:cs="Times New Roman"/>
                <w:sz w:val="18"/>
                <w:szCs w:val="18"/>
                <w:lang w:eastAsia="hr-HR"/>
              </w:rPr>
            </w:pPr>
            <w:proofErr w:type="spellStart"/>
            <w:r w:rsidRPr="00BE4162">
              <w:rPr>
                <w:rFonts w:ascii="Times New Roman" w:eastAsia="Times New Roman" w:hAnsi="Times New Roman" w:cs="Times New Roman"/>
                <w:sz w:val="18"/>
                <w:szCs w:val="18"/>
                <w:lang w:eastAsia="hr-HR"/>
              </w:rPr>
              <w:t>Erste&amp;Steiermarkische</w:t>
            </w:r>
            <w:proofErr w:type="spellEnd"/>
            <w:r w:rsidRPr="00BE4162">
              <w:rPr>
                <w:rFonts w:ascii="Times New Roman" w:eastAsia="Times New Roman" w:hAnsi="Times New Roman" w:cs="Times New Roman"/>
                <w:sz w:val="18"/>
                <w:szCs w:val="18"/>
                <w:lang w:eastAsia="hr-HR"/>
              </w:rPr>
              <w:t xml:space="preserve">  S-leasing d.o.o</w:t>
            </w:r>
          </w:p>
        </w:tc>
        <w:tc>
          <w:tcPr>
            <w:tcW w:w="1254" w:type="dxa"/>
            <w:tcBorders>
              <w:top w:val="nil"/>
              <w:left w:val="nil"/>
              <w:bottom w:val="single" w:sz="4" w:space="0" w:color="auto"/>
              <w:right w:val="single" w:sz="4" w:space="0" w:color="auto"/>
            </w:tcBorders>
            <w:noWrap/>
            <w:vAlign w:val="center"/>
          </w:tcPr>
          <w:p w14:paraId="2B11DD61" w14:textId="77777777" w:rsidR="00031E9C" w:rsidRDefault="00031E9C" w:rsidP="00484CF6">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105.250,00</w:t>
            </w:r>
          </w:p>
        </w:tc>
        <w:tc>
          <w:tcPr>
            <w:tcW w:w="1181" w:type="dxa"/>
            <w:tcBorders>
              <w:top w:val="nil"/>
              <w:left w:val="nil"/>
              <w:bottom w:val="single" w:sz="4" w:space="0" w:color="auto"/>
              <w:right w:val="single" w:sz="4" w:space="0" w:color="auto"/>
            </w:tcBorders>
            <w:noWrap/>
            <w:vAlign w:val="center"/>
          </w:tcPr>
          <w:p w14:paraId="67668BFF" w14:textId="77777777" w:rsidR="00031E9C" w:rsidRDefault="00031E9C" w:rsidP="00484CF6">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Financijski leasing</w:t>
            </w:r>
          </w:p>
        </w:tc>
        <w:tc>
          <w:tcPr>
            <w:tcW w:w="1250" w:type="dxa"/>
            <w:tcBorders>
              <w:top w:val="nil"/>
              <w:left w:val="nil"/>
              <w:bottom w:val="single" w:sz="4" w:space="0" w:color="auto"/>
              <w:right w:val="single" w:sz="4" w:space="0" w:color="auto"/>
            </w:tcBorders>
            <w:noWrap/>
            <w:vAlign w:val="center"/>
          </w:tcPr>
          <w:p w14:paraId="6415A850" w14:textId="43F3AFF5" w:rsidR="00031E9C" w:rsidRDefault="00D54BC3" w:rsidP="00484CF6">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81.593,74</w:t>
            </w:r>
          </w:p>
        </w:tc>
        <w:tc>
          <w:tcPr>
            <w:tcW w:w="1206" w:type="dxa"/>
            <w:tcBorders>
              <w:top w:val="nil"/>
              <w:left w:val="nil"/>
              <w:bottom w:val="single" w:sz="4" w:space="0" w:color="auto"/>
              <w:right w:val="single" w:sz="4" w:space="0" w:color="auto"/>
            </w:tcBorders>
            <w:noWrap/>
            <w:vAlign w:val="center"/>
          </w:tcPr>
          <w:p w14:paraId="2DE6F229" w14:textId="4F292221" w:rsidR="00031E9C" w:rsidRDefault="003A3E36" w:rsidP="00484CF6">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0,00</w:t>
            </w:r>
          </w:p>
        </w:tc>
      </w:tr>
      <w:tr w:rsidR="00031E9C" w14:paraId="1782A247" w14:textId="77777777" w:rsidTr="00FF2C1F">
        <w:trPr>
          <w:trHeight w:val="241"/>
        </w:trPr>
        <w:tc>
          <w:tcPr>
            <w:tcW w:w="1057" w:type="dxa"/>
            <w:tcBorders>
              <w:top w:val="nil"/>
              <w:left w:val="nil"/>
              <w:bottom w:val="single" w:sz="4" w:space="0" w:color="auto"/>
              <w:right w:val="single" w:sz="4" w:space="0" w:color="auto"/>
            </w:tcBorders>
            <w:noWrap/>
            <w:vAlign w:val="bottom"/>
          </w:tcPr>
          <w:p w14:paraId="58B36925" w14:textId="77777777" w:rsidR="00031E9C" w:rsidRDefault="00031E9C" w:rsidP="00484CF6">
            <w:pPr>
              <w:spacing w:after="0" w:line="240" w:lineRule="auto"/>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Trogir holding d.o.o.</w:t>
            </w:r>
          </w:p>
        </w:tc>
        <w:tc>
          <w:tcPr>
            <w:tcW w:w="1070" w:type="dxa"/>
            <w:tcBorders>
              <w:top w:val="nil"/>
              <w:left w:val="nil"/>
              <w:bottom w:val="single" w:sz="4" w:space="0" w:color="auto"/>
              <w:right w:val="single" w:sz="4" w:space="0" w:color="auto"/>
            </w:tcBorders>
            <w:noWrap/>
            <w:vAlign w:val="bottom"/>
          </w:tcPr>
          <w:p w14:paraId="75D59238" w14:textId="77777777" w:rsidR="00031E9C" w:rsidRDefault="00031E9C"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Suglasnost</w:t>
            </w:r>
          </w:p>
        </w:tc>
        <w:tc>
          <w:tcPr>
            <w:tcW w:w="1686" w:type="dxa"/>
            <w:tcBorders>
              <w:top w:val="nil"/>
              <w:left w:val="nil"/>
              <w:bottom w:val="single" w:sz="4" w:space="0" w:color="auto"/>
              <w:right w:val="single" w:sz="4" w:space="0" w:color="auto"/>
            </w:tcBorders>
            <w:noWrap/>
            <w:vAlign w:val="bottom"/>
          </w:tcPr>
          <w:p w14:paraId="1D57701F" w14:textId="77777777" w:rsidR="00031E9C" w:rsidRDefault="00031E9C"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Kupnja osnovnog sredstva komunalno vozilo IVECO DAILY 55C18WX (pogon 4x4)</w:t>
            </w:r>
          </w:p>
        </w:tc>
        <w:tc>
          <w:tcPr>
            <w:tcW w:w="1191" w:type="dxa"/>
            <w:tcBorders>
              <w:top w:val="nil"/>
              <w:left w:val="nil"/>
              <w:bottom w:val="single" w:sz="4" w:space="0" w:color="auto"/>
              <w:right w:val="single" w:sz="4" w:space="0" w:color="auto"/>
            </w:tcBorders>
            <w:noWrap/>
            <w:vAlign w:val="bottom"/>
          </w:tcPr>
          <w:p w14:paraId="3E751FD1" w14:textId="77777777" w:rsidR="00031E9C" w:rsidRDefault="00031E9C"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Odluka o davanju suglasnosti 25.01.2023 (Izmjena Odluke 22.05.2023.)</w:t>
            </w:r>
          </w:p>
        </w:tc>
        <w:tc>
          <w:tcPr>
            <w:tcW w:w="1886" w:type="dxa"/>
            <w:tcBorders>
              <w:top w:val="nil"/>
              <w:left w:val="nil"/>
              <w:bottom w:val="single" w:sz="4" w:space="0" w:color="auto"/>
              <w:right w:val="single" w:sz="4" w:space="0" w:color="auto"/>
            </w:tcBorders>
            <w:noWrap/>
            <w:vAlign w:val="center"/>
          </w:tcPr>
          <w:p w14:paraId="2E526480" w14:textId="77777777" w:rsidR="00031E9C" w:rsidRDefault="00031E9C" w:rsidP="00484CF6">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Raiffeisen leasing d.o.o.</w:t>
            </w:r>
          </w:p>
        </w:tc>
        <w:tc>
          <w:tcPr>
            <w:tcW w:w="1254" w:type="dxa"/>
            <w:tcBorders>
              <w:top w:val="nil"/>
              <w:left w:val="nil"/>
              <w:bottom w:val="single" w:sz="4" w:space="0" w:color="auto"/>
              <w:right w:val="single" w:sz="4" w:space="0" w:color="auto"/>
            </w:tcBorders>
            <w:noWrap/>
            <w:vAlign w:val="center"/>
          </w:tcPr>
          <w:p w14:paraId="29E65898" w14:textId="77777777" w:rsidR="00031E9C" w:rsidRDefault="00031E9C" w:rsidP="00484CF6">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167.375,00</w:t>
            </w:r>
          </w:p>
        </w:tc>
        <w:tc>
          <w:tcPr>
            <w:tcW w:w="1181" w:type="dxa"/>
            <w:tcBorders>
              <w:top w:val="nil"/>
              <w:left w:val="nil"/>
              <w:bottom w:val="single" w:sz="4" w:space="0" w:color="auto"/>
              <w:right w:val="single" w:sz="4" w:space="0" w:color="auto"/>
            </w:tcBorders>
            <w:noWrap/>
            <w:vAlign w:val="center"/>
          </w:tcPr>
          <w:p w14:paraId="04E18DBF" w14:textId="77777777" w:rsidR="00031E9C" w:rsidRDefault="00031E9C" w:rsidP="00484CF6">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xml:space="preserve">Financijski leasing </w:t>
            </w:r>
          </w:p>
        </w:tc>
        <w:tc>
          <w:tcPr>
            <w:tcW w:w="1250" w:type="dxa"/>
            <w:tcBorders>
              <w:top w:val="nil"/>
              <w:left w:val="nil"/>
              <w:bottom w:val="single" w:sz="4" w:space="0" w:color="auto"/>
              <w:right w:val="single" w:sz="4" w:space="0" w:color="auto"/>
            </w:tcBorders>
            <w:noWrap/>
            <w:vAlign w:val="center"/>
          </w:tcPr>
          <w:p w14:paraId="5C0799A6" w14:textId="04024625" w:rsidR="00031E9C" w:rsidRDefault="00D54BC3" w:rsidP="00484CF6">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149.633,86</w:t>
            </w:r>
          </w:p>
        </w:tc>
        <w:tc>
          <w:tcPr>
            <w:tcW w:w="1206" w:type="dxa"/>
            <w:tcBorders>
              <w:top w:val="nil"/>
              <w:left w:val="nil"/>
              <w:bottom w:val="single" w:sz="4" w:space="0" w:color="auto"/>
              <w:right w:val="single" w:sz="4" w:space="0" w:color="auto"/>
            </w:tcBorders>
            <w:noWrap/>
            <w:vAlign w:val="center"/>
          </w:tcPr>
          <w:p w14:paraId="2A9E572A" w14:textId="05C9360E" w:rsidR="00031E9C" w:rsidRDefault="003A3E36" w:rsidP="00484CF6">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0,00</w:t>
            </w:r>
          </w:p>
        </w:tc>
      </w:tr>
      <w:tr w:rsidR="00031E9C" w14:paraId="38DC3DBF" w14:textId="77777777" w:rsidTr="00FF2C1F">
        <w:trPr>
          <w:trHeight w:val="241"/>
        </w:trPr>
        <w:tc>
          <w:tcPr>
            <w:tcW w:w="1057" w:type="dxa"/>
            <w:tcBorders>
              <w:top w:val="nil"/>
              <w:left w:val="nil"/>
              <w:bottom w:val="single" w:sz="4" w:space="0" w:color="auto"/>
              <w:right w:val="single" w:sz="4" w:space="0" w:color="auto"/>
            </w:tcBorders>
            <w:noWrap/>
            <w:vAlign w:val="bottom"/>
          </w:tcPr>
          <w:p w14:paraId="0998443B" w14:textId="77777777" w:rsidR="00031E9C" w:rsidRDefault="00031E9C" w:rsidP="00484CF6">
            <w:pPr>
              <w:spacing w:after="0" w:line="240" w:lineRule="auto"/>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Trogir holding d.o.o.</w:t>
            </w:r>
          </w:p>
        </w:tc>
        <w:tc>
          <w:tcPr>
            <w:tcW w:w="1070" w:type="dxa"/>
            <w:tcBorders>
              <w:top w:val="nil"/>
              <w:left w:val="nil"/>
              <w:bottom w:val="single" w:sz="4" w:space="0" w:color="auto"/>
              <w:right w:val="single" w:sz="4" w:space="0" w:color="auto"/>
            </w:tcBorders>
            <w:noWrap/>
            <w:vAlign w:val="bottom"/>
          </w:tcPr>
          <w:p w14:paraId="317E3505" w14:textId="77777777" w:rsidR="00031E9C" w:rsidRDefault="00031E9C"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Suglasnost</w:t>
            </w:r>
          </w:p>
        </w:tc>
        <w:tc>
          <w:tcPr>
            <w:tcW w:w="1686" w:type="dxa"/>
            <w:tcBorders>
              <w:top w:val="nil"/>
              <w:left w:val="nil"/>
              <w:bottom w:val="single" w:sz="4" w:space="0" w:color="auto"/>
              <w:right w:val="single" w:sz="4" w:space="0" w:color="auto"/>
            </w:tcBorders>
            <w:noWrap/>
            <w:vAlign w:val="bottom"/>
          </w:tcPr>
          <w:p w14:paraId="51C4D363" w14:textId="77777777" w:rsidR="00031E9C" w:rsidRDefault="00031E9C"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Investicijski kredit (uređenje i opremanje parkirališta i izgradnja solarne elektrane)</w:t>
            </w:r>
          </w:p>
        </w:tc>
        <w:tc>
          <w:tcPr>
            <w:tcW w:w="1191" w:type="dxa"/>
            <w:tcBorders>
              <w:top w:val="nil"/>
              <w:left w:val="nil"/>
              <w:bottom w:val="single" w:sz="4" w:space="0" w:color="auto"/>
              <w:right w:val="single" w:sz="4" w:space="0" w:color="auto"/>
            </w:tcBorders>
            <w:noWrap/>
            <w:vAlign w:val="bottom"/>
          </w:tcPr>
          <w:p w14:paraId="06EE5D40" w14:textId="77777777" w:rsidR="00031E9C" w:rsidRDefault="00031E9C"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Odluka o davanju suglasnosti (13.06.2023.)</w:t>
            </w:r>
          </w:p>
        </w:tc>
        <w:tc>
          <w:tcPr>
            <w:tcW w:w="1886" w:type="dxa"/>
            <w:tcBorders>
              <w:top w:val="nil"/>
              <w:left w:val="nil"/>
              <w:bottom w:val="single" w:sz="4" w:space="0" w:color="auto"/>
              <w:right w:val="single" w:sz="4" w:space="0" w:color="auto"/>
            </w:tcBorders>
            <w:noWrap/>
            <w:vAlign w:val="center"/>
          </w:tcPr>
          <w:p w14:paraId="017C2364" w14:textId="77777777" w:rsidR="00031E9C" w:rsidRDefault="00031E9C" w:rsidP="00484CF6">
            <w:pPr>
              <w:spacing w:after="0" w:line="240" w:lineRule="auto"/>
              <w:jc w:val="center"/>
              <w:rPr>
                <w:rFonts w:ascii="Times New Roman" w:eastAsia="Times New Roman" w:hAnsi="Times New Roman" w:cs="Times New Roman"/>
                <w:sz w:val="18"/>
                <w:szCs w:val="18"/>
                <w:lang w:eastAsia="hr-HR"/>
              </w:rPr>
            </w:pPr>
            <w:proofErr w:type="spellStart"/>
            <w:r w:rsidRPr="00BE4162">
              <w:rPr>
                <w:rFonts w:ascii="Times New Roman" w:eastAsia="Times New Roman" w:hAnsi="Times New Roman" w:cs="Times New Roman"/>
                <w:sz w:val="18"/>
                <w:szCs w:val="18"/>
                <w:lang w:eastAsia="hr-HR"/>
              </w:rPr>
              <w:t>Erste&amp;Steiermarkische</w:t>
            </w:r>
            <w:proofErr w:type="spellEnd"/>
            <w:r w:rsidRPr="00BE4162">
              <w:rPr>
                <w:rFonts w:ascii="Times New Roman" w:eastAsia="Times New Roman" w:hAnsi="Times New Roman" w:cs="Times New Roman"/>
                <w:sz w:val="18"/>
                <w:szCs w:val="18"/>
                <w:lang w:eastAsia="hr-HR"/>
              </w:rPr>
              <w:t xml:space="preserve">  S-leasing d.o.o</w:t>
            </w:r>
          </w:p>
        </w:tc>
        <w:tc>
          <w:tcPr>
            <w:tcW w:w="1254" w:type="dxa"/>
            <w:tcBorders>
              <w:top w:val="nil"/>
              <w:left w:val="nil"/>
              <w:bottom w:val="single" w:sz="4" w:space="0" w:color="auto"/>
              <w:right w:val="single" w:sz="4" w:space="0" w:color="auto"/>
            </w:tcBorders>
            <w:noWrap/>
            <w:vAlign w:val="center"/>
          </w:tcPr>
          <w:p w14:paraId="12665D37" w14:textId="77777777" w:rsidR="00031E9C" w:rsidRDefault="00031E9C" w:rsidP="00484CF6">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300.000,00</w:t>
            </w:r>
          </w:p>
        </w:tc>
        <w:tc>
          <w:tcPr>
            <w:tcW w:w="1181" w:type="dxa"/>
            <w:tcBorders>
              <w:top w:val="nil"/>
              <w:left w:val="nil"/>
              <w:bottom w:val="single" w:sz="4" w:space="0" w:color="auto"/>
              <w:right w:val="single" w:sz="4" w:space="0" w:color="auto"/>
            </w:tcBorders>
            <w:noWrap/>
            <w:vAlign w:val="center"/>
          </w:tcPr>
          <w:p w14:paraId="7C12CF0F" w14:textId="77777777" w:rsidR="00031E9C" w:rsidRDefault="00031E9C" w:rsidP="00484CF6">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xml:space="preserve">Dugoročni kredit </w:t>
            </w:r>
          </w:p>
        </w:tc>
        <w:tc>
          <w:tcPr>
            <w:tcW w:w="1250" w:type="dxa"/>
            <w:tcBorders>
              <w:top w:val="nil"/>
              <w:left w:val="nil"/>
              <w:bottom w:val="single" w:sz="4" w:space="0" w:color="auto"/>
              <w:right w:val="single" w:sz="4" w:space="0" w:color="auto"/>
            </w:tcBorders>
            <w:noWrap/>
            <w:vAlign w:val="center"/>
          </w:tcPr>
          <w:p w14:paraId="789E741C" w14:textId="414BC5F9" w:rsidR="00031E9C" w:rsidRDefault="00D54BC3" w:rsidP="00484CF6">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255.000,00</w:t>
            </w:r>
          </w:p>
        </w:tc>
        <w:tc>
          <w:tcPr>
            <w:tcW w:w="1206" w:type="dxa"/>
            <w:tcBorders>
              <w:top w:val="nil"/>
              <w:left w:val="nil"/>
              <w:bottom w:val="single" w:sz="4" w:space="0" w:color="auto"/>
              <w:right w:val="single" w:sz="4" w:space="0" w:color="auto"/>
            </w:tcBorders>
            <w:noWrap/>
            <w:vAlign w:val="center"/>
          </w:tcPr>
          <w:p w14:paraId="71D94FED" w14:textId="50F989F1" w:rsidR="00031E9C" w:rsidRDefault="003A3E36" w:rsidP="003A3E36">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0,00</w:t>
            </w:r>
          </w:p>
        </w:tc>
      </w:tr>
      <w:tr w:rsidR="003A3E36" w14:paraId="0CB55D92" w14:textId="77777777" w:rsidTr="00FF2C1F">
        <w:trPr>
          <w:trHeight w:val="241"/>
        </w:trPr>
        <w:tc>
          <w:tcPr>
            <w:tcW w:w="1057" w:type="dxa"/>
            <w:tcBorders>
              <w:top w:val="nil"/>
              <w:left w:val="nil"/>
              <w:bottom w:val="single" w:sz="4" w:space="0" w:color="auto"/>
              <w:right w:val="single" w:sz="4" w:space="0" w:color="auto"/>
            </w:tcBorders>
            <w:noWrap/>
            <w:vAlign w:val="bottom"/>
          </w:tcPr>
          <w:p w14:paraId="3659A3F5" w14:textId="50215B1A" w:rsidR="003A3E36" w:rsidRDefault="003A3E36" w:rsidP="00484CF6">
            <w:pPr>
              <w:spacing w:after="0" w:line="240" w:lineRule="auto"/>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Trogir holding d.o.o.</w:t>
            </w:r>
          </w:p>
        </w:tc>
        <w:tc>
          <w:tcPr>
            <w:tcW w:w="1070" w:type="dxa"/>
            <w:tcBorders>
              <w:top w:val="nil"/>
              <w:left w:val="nil"/>
              <w:bottom w:val="single" w:sz="4" w:space="0" w:color="auto"/>
              <w:right w:val="single" w:sz="4" w:space="0" w:color="auto"/>
            </w:tcBorders>
            <w:noWrap/>
            <w:vAlign w:val="bottom"/>
          </w:tcPr>
          <w:p w14:paraId="27F3ACCC" w14:textId="3802A58F" w:rsidR="003A3E36" w:rsidRDefault="003A3E36"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Suglasnost</w:t>
            </w:r>
          </w:p>
        </w:tc>
        <w:tc>
          <w:tcPr>
            <w:tcW w:w="1686" w:type="dxa"/>
            <w:tcBorders>
              <w:top w:val="nil"/>
              <w:left w:val="nil"/>
              <w:bottom w:val="single" w:sz="4" w:space="0" w:color="auto"/>
              <w:right w:val="single" w:sz="4" w:space="0" w:color="auto"/>
            </w:tcBorders>
            <w:noWrap/>
            <w:vAlign w:val="bottom"/>
          </w:tcPr>
          <w:p w14:paraId="4A38C9D4" w14:textId="7E8AEB2B" w:rsidR="003A3E36" w:rsidRDefault="003A3E36"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Kupnja osnovnog sredstva IVECO EUROCARGO ML</w:t>
            </w:r>
          </w:p>
        </w:tc>
        <w:tc>
          <w:tcPr>
            <w:tcW w:w="1191" w:type="dxa"/>
            <w:tcBorders>
              <w:top w:val="nil"/>
              <w:left w:val="nil"/>
              <w:bottom w:val="single" w:sz="4" w:space="0" w:color="auto"/>
              <w:right w:val="single" w:sz="4" w:space="0" w:color="auto"/>
            </w:tcBorders>
            <w:noWrap/>
            <w:vAlign w:val="bottom"/>
          </w:tcPr>
          <w:p w14:paraId="7FA39AEF" w14:textId="48A51D28" w:rsidR="003A3E36" w:rsidRDefault="003A3E36"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Odluka o davanju suglasnosti (27.08.2025.)</w:t>
            </w:r>
          </w:p>
        </w:tc>
        <w:tc>
          <w:tcPr>
            <w:tcW w:w="1886" w:type="dxa"/>
            <w:tcBorders>
              <w:top w:val="nil"/>
              <w:left w:val="nil"/>
              <w:bottom w:val="single" w:sz="4" w:space="0" w:color="auto"/>
              <w:right w:val="single" w:sz="4" w:space="0" w:color="auto"/>
            </w:tcBorders>
            <w:noWrap/>
            <w:vAlign w:val="center"/>
          </w:tcPr>
          <w:p w14:paraId="427BC99F" w14:textId="7AAF50D3" w:rsidR="003A3E36" w:rsidRPr="00BE4162" w:rsidRDefault="003A3E36" w:rsidP="00484CF6">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xml:space="preserve">PBZ LEASING </w:t>
            </w:r>
          </w:p>
        </w:tc>
        <w:tc>
          <w:tcPr>
            <w:tcW w:w="1254" w:type="dxa"/>
            <w:tcBorders>
              <w:top w:val="nil"/>
              <w:left w:val="nil"/>
              <w:bottom w:val="single" w:sz="4" w:space="0" w:color="auto"/>
              <w:right w:val="single" w:sz="4" w:space="0" w:color="auto"/>
            </w:tcBorders>
            <w:noWrap/>
            <w:vAlign w:val="center"/>
          </w:tcPr>
          <w:p w14:paraId="21F2A9E9" w14:textId="45FCD577" w:rsidR="003A3E36" w:rsidRDefault="003A3E36" w:rsidP="00484CF6">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268.750,00</w:t>
            </w:r>
          </w:p>
        </w:tc>
        <w:tc>
          <w:tcPr>
            <w:tcW w:w="1181" w:type="dxa"/>
            <w:tcBorders>
              <w:top w:val="nil"/>
              <w:left w:val="nil"/>
              <w:bottom w:val="single" w:sz="4" w:space="0" w:color="auto"/>
              <w:right w:val="single" w:sz="4" w:space="0" w:color="auto"/>
            </w:tcBorders>
            <w:noWrap/>
            <w:vAlign w:val="center"/>
          </w:tcPr>
          <w:p w14:paraId="756D1E9E" w14:textId="73731E66" w:rsidR="003A3E36" w:rsidRDefault="003A3E36" w:rsidP="00484CF6">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Financijski leasing</w:t>
            </w:r>
          </w:p>
        </w:tc>
        <w:tc>
          <w:tcPr>
            <w:tcW w:w="1250" w:type="dxa"/>
            <w:tcBorders>
              <w:top w:val="nil"/>
              <w:left w:val="nil"/>
              <w:bottom w:val="single" w:sz="4" w:space="0" w:color="auto"/>
              <w:right w:val="single" w:sz="4" w:space="0" w:color="auto"/>
            </w:tcBorders>
            <w:noWrap/>
            <w:vAlign w:val="center"/>
          </w:tcPr>
          <w:p w14:paraId="763C7E78" w14:textId="586E30B1" w:rsidR="003A3E36" w:rsidRDefault="003A3E36" w:rsidP="00484CF6">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0,00</w:t>
            </w:r>
          </w:p>
        </w:tc>
        <w:tc>
          <w:tcPr>
            <w:tcW w:w="1206" w:type="dxa"/>
            <w:tcBorders>
              <w:top w:val="nil"/>
              <w:left w:val="nil"/>
              <w:bottom w:val="single" w:sz="4" w:space="0" w:color="auto"/>
              <w:right w:val="single" w:sz="4" w:space="0" w:color="auto"/>
            </w:tcBorders>
            <w:noWrap/>
            <w:vAlign w:val="center"/>
          </w:tcPr>
          <w:p w14:paraId="09CCB12A" w14:textId="223E7634" w:rsidR="003A3E36" w:rsidRDefault="003A3E36" w:rsidP="003A3E36">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0,00</w:t>
            </w:r>
          </w:p>
        </w:tc>
      </w:tr>
      <w:tr w:rsidR="003A3E36" w14:paraId="37CE7D14" w14:textId="77777777" w:rsidTr="00FF2C1F">
        <w:trPr>
          <w:trHeight w:val="241"/>
        </w:trPr>
        <w:tc>
          <w:tcPr>
            <w:tcW w:w="1057" w:type="dxa"/>
            <w:tcBorders>
              <w:top w:val="nil"/>
              <w:left w:val="nil"/>
              <w:bottom w:val="single" w:sz="4" w:space="0" w:color="auto"/>
              <w:right w:val="single" w:sz="4" w:space="0" w:color="auto"/>
            </w:tcBorders>
            <w:noWrap/>
            <w:vAlign w:val="bottom"/>
          </w:tcPr>
          <w:p w14:paraId="773F8E68" w14:textId="1B91168F" w:rsidR="003A3E36" w:rsidRDefault="003A3E36" w:rsidP="00484CF6">
            <w:pPr>
              <w:spacing w:after="0" w:line="240" w:lineRule="auto"/>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Trogir holding d.o.o.</w:t>
            </w:r>
          </w:p>
        </w:tc>
        <w:tc>
          <w:tcPr>
            <w:tcW w:w="1070" w:type="dxa"/>
            <w:tcBorders>
              <w:top w:val="nil"/>
              <w:left w:val="nil"/>
              <w:bottom w:val="single" w:sz="4" w:space="0" w:color="auto"/>
              <w:right w:val="single" w:sz="4" w:space="0" w:color="auto"/>
            </w:tcBorders>
            <w:noWrap/>
            <w:vAlign w:val="bottom"/>
          </w:tcPr>
          <w:p w14:paraId="5C471308" w14:textId="58962CA6" w:rsidR="003A3E36" w:rsidRDefault="003A3E36"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Suglasnost</w:t>
            </w:r>
          </w:p>
        </w:tc>
        <w:tc>
          <w:tcPr>
            <w:tcW w:w="1686" w:type="dxa"/>
            <w:tcBorders>
              <w:top w:val="nil"/>
              <w:left w:val="nil"/>
              <w:bottom w:val="single" w:sz="4" w:space="0" w:color="auto"/>
              <w:right w:val="single" w:sz="4" w:space="0" w:color="auto"/>
            </w:tcBorders>
            <w:noWrap/>
            <w:vAlign w:val="bottom"/>
          </w:tcPr>
          <w:p w14:paraId="2DB1FF6F" w14:textId="119FE45B" w:rsidR="003A3E36" w:rsidRDefault="003A3E36" w:rsidP="00484CF6">
            <w:pPr>
              <w:spacing w:after="0" w:line="240" w:lineRule="auto"/>
              <w:rPr>
                <w:rFonts w:ascii="Times New Roman" w:eastAsia="Times New Roman" w:hAnsi="Times New Roman" w:cs="Times New Roman"/>
                <w:sz w:val="18"/>
                <w:szCs w:val="18"/>
                <w:lang w:eastAsia="hr-HR"/>
              </w:rPr>
            </w:pPr>
            <w:r>
              <w:rPr>
                <w:rFonts w:eastAsia="Times New Roman" w:cs="Calibri"/>
                <w:color w:val="000000"/>
                <w:sz w:val="20"/>
                <w:szCs w:val="20"/>
                <w:lang w:eastAsia="hr-HR"/>
              </w:rPr>
              <w:t>Refinanciranje obveza</w:t>
            </w:r>
          </w:p>
        </w:tc>
        <w:tc>
          <w:tcPr>
            <w:tcW w:w="1191" w:type="dxa"/>
            <w:tcBorders>
              <w:top w:val="nil"/>
              <w:left w:val="nil"/>
              <w:bottom w:val="single" w:sz="4" w:space="0" w:color="auto"/>
              <w:right w:val="single" w:sz="4" w:space="0" w:color="auto"/>
            </w:tcBorders>
            <w:noWrap/>
            <w:vAlign w:val="bottom"/>
          </w:tcPr>
          <w:p w14:paraId="20A123E3" w14:textId="4E560119" w:rsidR="003A3E36" w:rsidRDefault="003A3E36"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Odluka o davanju suglasnosti (27.10.2025.)</w:t>
            </w:r>
          </w:p>
        </w:tc>
        <w:tc>
          <w:tcPr>
            <w:tcW w:w="1886" w:type="dxa"/>
            <w:tcBorders>
              <w:top w:val="nil"/>
              <w:left w:val="nil"/>
              <w:bottom w:val="single" w:sz="4" w:space="0" w:color="auto"/>
              <w:right w:val="single" w:sz="4" w:space="0" w:color="auto"/>
            </w:tcBorders>
            <w:noWrap/>
            <w:vAlign w:val="center"/>
          </w:tcPr>
          <w:p w14:paraId="60EA77C8" w14:textId="6E513C2E" w:rsidR="003A3E36" w:rsidRPr="00BE4162" w:rsidRDefault="003A3E36" w:rsidP="00484CF6">
            <w:pPr>
              <w:spacing w:after="0" w:line="240" w:lineRule="auto"/>
              <w:jc w:val="center"/>
              <w:rPr>
                <w:rFonts w:ascii="Times New Roman" w:eastAsia="Times New Roman" w:hAnsi="Times New Roman" w:cs="Times New Roman"/>
                <w:sz w:val="18"/>
                <w:szCs w:val="18"/>
                <w:lang w:eastAsia="hr-HR"/>
              </w:rPr>
            </w:pPr>
            <w:r>
              <w:rPr>
                <w:rFonts w:eastAsia="Times New Roman" w:cs="Calibri"/>
                <w:color w:val="000000"/>
                <w:sz w:val="20"/>
                <w:szCs w:val="20"/>
                <w:lang w:eastAsia="hr-HR"/>
              </w:rPr>
              <w:t>ERSTE-BANK D.D.</w:t>
            </w:r>
          </w:p>
        </w:tc>
        <w:tc>
          <w:tcPr>
            <w:tcW w:w="1254" w:type="dxa"/>
            <w:tcBorders>
              <w:top w:val="nil"/>
              <w:left w:val="nil"/>
              <w:bottom w:val="single" w:sz="4" w:space="0" w:color="auto"/>
              <w:right w:val="single" w:sz="4" w:space="0" w:color="auto"/>
            </w:tcBorders>
            <w:noWrap/>
            <w:vAlign w:val="center"/>
          </w:tcPr>
          <w:p w14:paraId="1E0215F7" w14:textId="4A4C283A" w:rsidR="003A3E36" w:rsidRDefault="003A3E36" w:rsidP="00484CF6">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835.000,00</w:t>
            </w:r>
          </w:p>
        </w:tc>
        <w:tc>
          <w:tcPr>
            <w:tcW w:w="1181" w:type="dxa"/>
            <w:tcBorders>
              <w:top w:val="nil"/>
              <w:left w:val="nil"/>
              <w:bottom w:val="single" w:sz="4" w:space="0" w:color="auto"/>
              <w:right w:val="single" w:sz="4" w:space="0" w:color="auto"/>
            </w:tcBorders>
            <w:noWrap/>
            <w:vAlign w:val="center"/>
          </w:tcPr>
          <w:p w14:paraId="51116432" w14:textId="082FF000" w:rsidR="003A3E36" w:rsidRDefault="003A3E36" w:rsidP="00484CF6">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xml:space="preserve">Dugoročni kredit </w:t>
            </w:r>
          </w:p>
        </w:tc>
        <w:tc>
          <w:tcPr>
            <w:tcW w:w="1250" w:type="dxa"/>
            <w:tcBorders>
              <w:top w:val="nil"/>
              <w:left w:val="nil"/>
              <w:bottom w:val="single" w:sz="4" w:space="0" w:color="auto"/>
              <w:right w:val="single" w:sz="4" w:space="0" w:color="auto"/>
            </w:tcBorders>
            <w:noWrap/>
            <w:vAlign w:val="center"/>
          </w:tcPr>
          <w:p w14:paraId="233DA63C" w14:textId="34C0E702" w:rsidR="003A3E36" w:rsidRDefault="003A3E36" w:rsidP="003A3E36">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0,00</w:t>
            </w:r>
          </w:p>
        </w:tc>
        <w:tc>
          <w:tcPr>
            <w:tcW w:w="1206" w:type="dxa"/>
            <w:tcBorders>
              <w:top w:val="nil"/>
              <w:left w:val="nil"/>
              <w:bottom w:val="single" w:sz="4" w:space="0" w:color="auto"/>
              <w:right w:val="single" w:sz="4" w:space="0" w:color="auto"/>
            </w:tcBorders>
            <w:noWrap/>
            <w:vAlign w:val="center"/>
          </w:tcPr>
          <w:p w14:paraId="0F1F1DFF" w14:textId="2915443D" w:rsidR="003A3E36" w:rsidRDefault="003A3E36" w:rsidP="003A3E36">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835.000,00</w:t>
            </w:r>
          </w:p>
        </w:tc>
      </w:tr>
      <w:tr w:rsidR="00D54BC3" w14:paraId="48ADC0DA" w14:textId="77777777" w:rsidTr="00FF2C1F">
        <w:trPr>
          <w:trHeight w:val="241"/>
        </w:trPr>
        <w:tc>
          <w:tcPr>
            <w:tcW w:w="1057" w:type="dxa"/>
            <w:tcBorders>
              <w:top w:val="nil"/>
              <w:left w:val="nil"/>
              <w:bottom w:val="single" w:sz="4" w:space="0" w:color="auto"/>
              <w:right w:val="single" w:sz="4" w:space="0" w:color="auto"/>
            </w:tcBorders>
            <w:noWrap/>
            <w:vAlign w:val="bottom"/>
          </w:tcPr>
          <w:p w14:paraId="4ACBD7E7" w14:textId="281B3229" w:rsidR="00D54BC3" w:rsidRDefault="003A3E36" w:rsidP="00484CF6">
            <w:pPr>
              <w:spacing w:after="0" w:line="240" w:lineRule="auto"/>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lastRenderedPageBreak/>
              <w:t>Trogir holding d.o.o.</w:t>
            </w:r>
          </w:p>
        </w:tc>
        <w:tc>
          <w:tcPr>
            <w:tcW w:w="1070" w:type="dxa"/>
            <w:tcBorders>
              <w:top w:val="nil"/>
              <w:left w:val="nil"/>
              <w:bottom w:val="single" w:sz="4" w:space="0" w:color="auto"/>
              <w:right w:val="single" w:sz="4" w:space="0" w:color="auto"/>
            </w:tcBorders>
            <w:noWrap/>
            <w:vAlign w:val="bottom"/>
          </w:tcPr>
          <w:p w14:paraId="09269B74" w14:textId="143BC402" w:rsidR="00D54BC3" w:rsidRDefault="003A3E36"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Suglasnost</w:t>
            </w:r>
          </w:p>
        </w:tc>
        <w:tc>
          <w:tcPr>
            <w:tcW w:w="1686" w:type="dxa"/>
            <w:tcBorders>
              <w:top w:val="nil"/>
              <w:left w:val="nil"/>
              <w:bottom w:val="single" w:sz="4" w:space="0" w:color="auto"/>
              <w:right w:val="single" w:sz="4" w:space="0" w:color="auto"/>
            </w:tcBorders>
            <w:noWrap/>
            <w:vAlign w:val="bottom"/>
          </w:tcPr>
          <w:p w14:paraId="29265F26" w14:textId="49D1FA01" w:rsidR="00D54BC3" w:rsidRDefault="003A3E36" w:rsidP="00484CF6">
            <w:pPr>
              <w:spacing w:after="0" w:line="240" w:lineRule="auto"/>
              <w:rPr>
                <w:rFonts w:ascii="Times New Roman" w:eastAsia="Times New Roman" w:hAnsi="Times New Roman" w:cs="Times New Roman"/>
                <w:sz w:val="18"/>
                <w:szCs w:val="18"/>
                <w:lang w:eastAsia="hr-HR"/>
              </w:rPr>
            </w:pPr>
            <w:r>
              <w:rPr>
                <w:rFonts w:eastAsia="Times New Roman" w:cs="Calibri"/>
                <w:color w:val="000000"/>
                <w:sz w:val="20"/>
                <w:szCs w:val="20"/>
                <w:lang w:eastAsia="hr-HR"/>
              </w:rPr>
              <w:t>Investicijski kredit</w:t>
            </w:r>
          </w:p>
        </w:tc>
        <w:tc>
          <w:tcPr>
            <w:tcW w:w="1191" w:type="dxa"/>
            <w:tcBorders>
              <w:top w:val="nil"/>
              <w:left w:val="nil"/>
              <w:bottom w:val="single" w:sz="4" w:space="0" w:color="auto"/>
              <w:right w:val="single" w:sz="4" w:space="0" w:color="auto"/>
            </w:tcBorders>
            <w:noWrap/>
            <w:vAlign w:val="bottom"/>
          </w:tcPr>
          <w:p w14:paraId="401CFC83" w14:textId="288A8E5B" w:rsidR="00D54BC3" w:rsidRDefault="003A3E36"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Odluka o davanju suglasnosti (27.10.2025.)</w:t>
            </w:r>
          </w:p>
        </w:tc>
        <w:tc>
          <w:tcPr>
            <w:tcW w:w="1886" w:type="dxa"/>
            <w:tcBorders>
              <w:top w:val="nil"/>
              <w:left w:val="nil"/>
              <w:bottom w:val="single" w:sz="4" w:space="0" w:color="auto"/>
              <w:right w:val="single" w:sz="4" w:space="0" w:color="auto"/>
            </w:tcBorders>
            <w:noWrap/>
            <w:vAlign w:val="center"/>
          </w:tcPr>
          <w:p w14:paraId="331000E9" w14:textId="712C3A5D" w:rsidR="00D54BC3" w:rsidRPr="00BE4162" w:rsidRDefault="003A3E36" w:rsidP="00484CF6">
            <w:pPr>
              <w:spacing w:after="0" w:line="240" w:lineRule="auto"/>
              <w:jc w:val="center"/>
              <w:rPr>
                <w:rFonts w:ascii="Times New Roman" w:eastAsia="Times New Roman" w:hAnsi="Times New Roman" w:cs="Times New Roman"/>
                <w:sz w:val="18"/>
                <w:szCs w:val="18"/>
                <w:lang w:eastAsia="hr-HR"/>
              </w:rPr>
            </w:pPr>
            <w:r>
              <w:rPr>
                <w:rFonts w:eastAsia="Times New Roman" w:cs="Calibri"/>
                <w:color w:val="000000"/>
                <w:sz w:val="20"/>
                <w:szCs w:val="20"/>
                <w:lang w:eastAsia="hr-HR"/>
              </w:rPr>
              <w:t>ERSTE-BANK D.D.</w:t>
            </w:r>
          </w:p>
        </w:tc>
        <w:tc>
          <w:tcPr>
            <w:tcW w:w="1254" w:type="dxa"/>
            <w:tcBorders>
              <w:top w:val="nil"/>
              <w:left w:val="nil"/>
              <w:bottom w:val="single" w:sz="4" w:space="0" w:color="auto"/>
              <w:right w:val="single" w:sz="4" w:space="0" w:color="auto"/>
            </w:tcBorders>
            <w:noWrap/>
            <w:vAlign w:val="center"/>
          </w:tcPr>
          <w:p w14:paraId="07FFC3E3" w14:textId="17D442EC" w:rsidR="00D54BC3" w:rsidRDefault="003A3E36" w:rsidP="00484CF6">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1.100.000,00</w:t>
            </w:r>
          </w:p>
        </w:tc>
        <w:tc>
          <w:tcPr>
            <w:tcW w:w="1181" w:type="dxa"/>
            <w:tcBorders>
              <w:top w:val="nil"/>
              <w:left w:val="nil"/>
              <w:bottom w:val="single" w:sz="4" w:space="0" w:color="auto"/>
              <w:right w:val="single" w:sz="4" w:space="0" w:color="auto"/>
            </w:tcBorders>
            <w:noWrap/>
            <w:vAlign w:val="center"/>
          </w:tcPr>
          <w:p w14:paraId="7A0A9BC0" w14:textId="56512215" w:rsidR="00D54BC3" w:rsidRDefault="003A3E36" w:rsidP="00484CF6">
            <w:pPr>
              <w:spacing w:after="0" w:line="240" w:lineRule="auto"/>
              <w:jc w:val="center"/>
              <w:rPr>
                <w:rFonts w:ascii="Times New Roman" w:eastAsia="Times New Roman" w:hAnsi="Times New Roman" w:cs="Times New Roman"/>
                <w:sz w:val="18"/>
                <w:szCs w:val="18"/>
                <w:lang w:eastAsia="hr-HR"/>
              </w:rPr>
            </w:pPr>
            <w:r>
              <w:rPr>
                <w:rFonts w:eastAsia="Times New Roman" w:cs="Calibri"/>
                <w:color w:val="000000"/>
                <w:sz w:val="20"/>
                <w:szCs w:val="20"/>
                <w:lang w:eastAsia="hr-HR"/>
              </w:rPr>
              <w:t>Dugoročni kredit</w:t>
            </w:r>
          </w:p>
        </w:tc>
        <w:tc>
          <w:tcPr>
            <w:tcW w:w="1250" w:type="dxa"/>
            <w:tcBorders>
              <w:top w:val="nil"/>
              <w:left w:val="nil"/>
              <w:bottom w:val="single" w:sz="4" w:space="0" w:color="auto"/>
              <w:right w:val="single" w:sz="4" w:space="0" w:color="auto"/>
            </w:tcBorders>
            <w:noWrap/>
            <w:vAlign w:val="center"/>
          </w:tcPr>
          <w:p w14:paraId="04060F1D" w14:textId="46115E4A" w:rsidR="00D54BC3" w:rsidRDefault="003A3E36" w:rsidP="003A3E36">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1.100.000,00</w:t>
            </w:r>
          </w:p>
        </w:tc>
        <w:tc>
          <w:tcPr>
            <w:tcW w:w="1206" w:type="dxa"/>
            <w:tcBorders>
              <w:top w:val="nil"/>
              <w:left w:val="nil"/>
              <w:bottom w:val="single" w:sz="4" w:space="0" w:color="auto"/>
              <w:right w:val="single" w:sz="4" w:space="0" w:color="auto"/>
            </w:tcBorders>
            <w:noWrap/>
            <w:vAlign w:val="center"/>
          </w:tcPr>
          <w:p w14:paraId="777E7079" w14:textId="38BFBD77" w:rsidR="00D54BC3" w:rsidRDefault="003A3E36" w:rsidP="003A3E36">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1.100.000,00</w:t>
            </w:r>
          </w:p>
        </w:tc>
      </w:tr>
      <w:tr w:rsidR="006331C9" w14:paraId="48727949" w14:textId="77777777" w:rsidTr="00FF2C1F">
        <w:trPr>
          <w:trHeight w:val="241"/>
        </w:trPr>
        <w:tc>
          <w:tcPr>
            <w:tcW w:w="1057" w:type="dxa"/>
            <w:tcBorders>
              <w:top w:val="nil"/>
              <w:left w:val="nil"/>
              <w:bottom w:val="single" w:sz="4" w:space="0" w:color="auto"/>
              <w:right w:val="single" w:sz="4" w:space="0" w:color="auto"/>
            </w:tcBorders>
            <w:noWrap/>
            <w:vAlign w:val="bottom"/>
          </w:tcPr>
          <w:p w14:paraId="104CE929" w14:textId="6E5933D8" w:rsidR="006331C9" w:rsidRDefault="006331C9" w:rsidP="00484CF6">
            <w:pPr>
              <w:spacing w:after="0" w:line="240" w:lineRule="auto"/>
              <w:rPr>
                <w:rFonts w:ascii="Times New Roman" w:eastAsia="Times New Roman" w:hAnsi="Times New Roman" w:cs="Times New Roman"/>
                <w:bCs/>
                <w:sz w:val="18"/>
                <w:szCs w:val="18"/>
                <w:lang w:eastAsia="hr-HR"/>
              </w:rPr>
            </w:pPr>
            <w:r>
              <w:rPr>
                <w:rFonts w:eastAsia="Times New Roman" w:cs="Calibri"/>
                <w:color w:val="000000"/>
                <w:sz w:val="20"/>
                <w:szCs w:val="20"/>
                <w:lang w:eastAsia="hr-HR"/>
              </w:rPr>
              <w:t>J</w:t>
            </w:r>
            <w:r w:rsidR="0037469C">
              <w:rPr>
                <w:rFonts w:eastAsia="Times New Roman" w:cs="Calibri"/>
                <w:color w:val="000000"/>
                <w:sz w:val="20"/>
                <w:szCs w:val="20"/>
                <w:lang w:eastAsia="hr-HR"/>
              </w:rPr>
              <w:t xml:space="preserve">u Sportski objekti Trogir </w:t>
            </w:r>
          </w:p>
        </w:tc>
        <w:tc>
          <w:tcPr>
            <w:tcW w:w="1070" w:type="dxa"/>
            <w:tcBorders>
              <w:top w:val="nil"/>
              <w:left w:val="nil"/>
              <w:bottom w:val="single" w:sz="4" w:space="0" w:color="auto"/>
              <w:right w:val="single" w:sz="4" w:space="0" w:color="auto"/>
            </w:tcBorders>
            <w:noWrap/>
            <w:vAlign w:val="bottom"/>
          </w:tcPr>
          <w:p w14:paraId="719987EF" w14:textId="6551414A" w:rsidR="006331C9" w:rsidRDefault="006331C9"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Suglasnost</w:t>
            </w:r>
          </w:p>
        </w:tc>
        <w:tc>
          <w:tcPr>
            <w:tcW w:w="1686" w:type="dxa"/>
            <w:tcBorders>
              <w:top w:val="nil"/>
              <w:left w:val="nil"/>
              <w:bottom w:val="single" w:sz="4" w:space="0" w:color="auto"/>
              <w:right w:val="single" w:sz="4" w:space="0" w:color="auto"/>
            </w:tcBorders>
            <w:noWrap/>
            <w:vAlign w:val="bottom"/>
          </w:tcPr>
          <w:p w14:paraId="2A00C4F3" w14:textId="1958E148" w:rsidR="006331C9" w:rsidRDefault="006331C9" w:rsidP="00484CF6">
            <w:pPr>
              <w:spacing w:after="0" w:line="240" w:lineRule="auto"/>
              <w:rPr>
                <w:rFonts w:eastAsia="Times New Roman" w:cs="Calibri"/>
                <w:color w:val="000000"/>
                <w:sz w:val="20"/>
                <w:szCs w:val="20"/>
                <w:lang w:eastAsia="hr-HR"/>
              </w:rPr>
            </w:pPr>
            <w:r>
              <w:rPr>
                <w:rFonts w:eastAsia="Times New Roman" w:cs="Calibri"/>
                <w:color w:val="000000"/>
                <w:sz w:val="20"/>
                <w:szCs w:val="20"/>
                <w:lang w:eastAsia="hr-HR"/>
              </w:rPr>
              <w:t>Financiranje uređenja nogometnog igrališta(zamjena travnjaka)</w:t>
            </w:r>
          </w:p>
        </w:tc>
        <w:tc>
          <w:tcPr>
            <w:tcW w:w="1191" w:type="dxa"/>
            <w:tcBorders>
              <w:top w:val="nil"/>
              <w:left w:val="nil"/>
              <w:bottom w:val="single" w:sz="4" w:space="0" w:color="auto"/>
              <w:right w:val="single" w:sz="4" w:space="0" w:color="auto"/>
            </w:tcBorders>
            <w:noWrap/>
            <w:vAlign w:val="bottom"/>
          </w:tcPr>
          <w:p w14:paraId="7A90721E" w14:textId="35AAF626" w:rsidR="006331C9" w:rsidRDefault="006331C9"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Odluka o davanju suglasnosti (27.10.2025.)</w:t>
            </w:r>
          </w:p>
        </w:tc>
        <w:tc>
          <w:tcPr>
            <w:tcW w:w="1886" w:type="dxa"/>
            <w:tcBorders>
              <w:top w:val="nil"/>
              <w:left w:val="nil"/>
              <w:bottom w:val="single" w:sz="4" w:space="0" w:color="auto"/>
              <w:right w:val="single" w:sz="4" w:space="0" w:color="auto"/>
            </w:tcBorders>
            <w:noWrap/>
            <w:vAlign w:val="center"/>
          </w:tcPr>
          <w:p w14:paraId="1276F2EB" w14:textId="6CF45FB1" w:rsidR="006331C9" w:rsidRDefault="006331C9" w:rsidP="00484CF6">
            <w:pPr>
              <w:spacing w:after="0" w:line="240" w:lineRule="auto"/>
              <w:jc w:val="center"/>
              <w:rPr>
                <w:rFonts w:eastAsia="Times New Roman" w:cs="Calibri"/>
                <w:color w:val="000000"/>
                <w:sz w:val="20"/>
                <w:szCs w:val="20"/>
                <w:lang w:eastAsia="hr-HR"/>
              </w:rPr>
            </w:pPr>
            <w:r w:rsidRPr="00E70398">
              <w:rPr>
                <w:rFonts w:eastAsia="Times New Roman" w:cs="Calibri"/>
                <w:color w:val="000000"/>
                <w:sz w:val="20"/>
                <w:szCs w:val="20"/>
                <w:lang w:eastAsia="hr-HR"/>
              </w:rPr>
              <w:t xml:space="preserve">Erste &amp; </w:t>
            </w:r>
            <w:proofErr w:type="spellStart"/>
            <w:r w:rsidRPr="00E70398">
              <w:rPr>
                <w:rFonts w:eastAsia="Times New Roman" w:cs="Calibri"/>
                <w:color w:val="000000"/>
                <w:sz w:val="20"/>
                <w:szCs w:val="20"/>
                <w:lang w:eastAsia="hr-HR"/>
              </w:rPr>
              <w:t>Steiermarkisch</w:t>
            </w:r>
            <w:proofErr w:type="spellEnd"/>
            <w:r>
              <w:rPr>
                <w:rFonts w:eastAsia="Times New Roman" w:cs="Calibri"/>
                <w:color w:val="000000"/>
                <w:sz w:val="20"/>
                <w:szCs w:val="20"/>
                <w:lang w:eastAsia="hr-HR"/>
              </w:rPr>
              <w:t xml:space="preserve"> </w:t>
            </w:r>
            <w:proofErr w:type="spellStart"/>
            <w:r>
              <w:rPr>
                <w:rFonts w:eastAsia="Times New Roman" w:cs="Calibri"/>
                <w:color w:val="000000"/>
                <w:sz w:val="20"/>
                <w:szCs w:val="20"/>
                <w:lang w:eastAsia="hr-HR"/>
              </w:rPr>
              <w:t>bank.d.d</w:t>
            </w:r>
            <w:proofErr w:type="spellEnd"/>
            <w:r>
              <w:rPr>
                <w:rFonts w:eastAsia="Times New Roman" w:cs="Calibri"/>
                <w:color w:val="000000"/>
                <w:sz w:val="20"/>
                <w:szCs w:val="20"/>
                <w:lang w:eastAsia="hr-HR"/>
              </w:rPr>
              <w:t>.</w:t>
            </w:r>
          </w:p>
        </w:tc>
        <w:tc>
          <w:tcPr>
            <w:tcW w:w="1254" w:type="dxa"/>
            <w:tcBorders>
              <w:top w:val="nil"/>
              <w:left w:val="nil"/>
              <w:bottom w:val="single" w:sz="4" w:space="0" w:color="auto"/>
              <w:right w:val="single" w:sz="4" w:space="0" w:color="auto"/>
            </w:tcBorders>
            <w:noWrap/>
            <w:vAlign w:val="center"/>
          </w:tcPr>
          <w:p w14:paraId="7851EB52" w14:textId="7B0485FB" w:rsidR="006331C9" w:rsidRDefault="006331C9" w:rsidP="00484CF6">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150.000,00</w:t>
            </w:r>
          </w:p>
        </w:tc>
        <w:tc>
          <w:tcPr>
            <w:tcW w:w="1181" w:type="dxa"/>
            <w:tcBorders>
              <w:top w:val="nil"/>
              <w:left w:val="nil"/>
              <w:bottom w:val="single" w:sz="4" w:space="0" w:color="auto"/>
              <w:right w:val="single" w:sz="4" w:space="0" w:color="auto"/>
            </w:tcBorders>
            <w:noWrap/>
            <w:vAlign w:val="center"/>
          </w:tcPr>
          <w:p w14:paraId="79BDB3B4" w14:textId="23EFA63D" w:rsidR="006331C9" w:rsidRDefault="006331C9" w:rsidP="00484CF6">
            <w:pPr>
              <w:spacing w:after="0" w:line="240" w:lineRule="auto"/>
              <w:jc w:val="center"/>
              <w:rPr>
                <w:rFonts w:eastAsia="Times New Roman" w:cs="Calibri"/>
                <w:color w:val="000000"/>
                <w:sz w:val="20"/>
                <w:szCs w:val="20"/>
                <w:lang w:eastAsia="hr-HR"/>
              </w:rPr>
            </w:pPr>
            <w:r>
              <w:rPr>
                <w:rFonts w:eastAsia="Times New Roman" w:cs="Calibri"/>
                <w:color w:val="000000"/>
                <w:sz w:val="20"/>
                <w:szCs w:val="20"/>
                <w:lang w:eastAsia="hr-HR"/>
              </w:rPr>
              <w:t>Dugoročni kredit</w:t>
            </w:r>
          </w:p>
        </w:tc>
        <w:tc>
          <w:tcPr>
            <w:tcW w:w="1250" w:type="dxa"/>
            <w:tcBorders>
              <w:top w:val="nil"/>
              <w:left w:val="nil"/>
              <w:bottom w:val="single" w:sz="4" w:space="0" w:color="auto"/>
              <w:right w:val="single" w:sz="4" w:space="0" w:color="auto"/>
            </w:tcBorders>
            <w:noWrap/>
            <w:vAlign w:val="center"/>
          </w:tcPr>
          <w:p w14:paraId="7DA3F799" w14:textId="3BEE3258" w:rsidR="006331C9" w:rsidRDefault="006331C9" w:rsidP="003A3E36">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0,00</w:t>
            </w:r>
          </w:p>
        </w:tc>
        <w:tc>
          <w:tcPr>
            <w:tcW w:w="1206" w:type="dxa"/>
            <w:tcBorders>
              <w:top w:val="nil"/>
              <w:left w:val="nil"/>
              <w:bottom w:val="single" w:sz="4" w:space="0" w:color="auto"/>
              <w:right w:val="single" w:sz="4" w:space="0" w:color="auto"/>
            </w:tcBorders>
            <w:noWrap/>
            <w:vAlign w:val="center"/>
          </w:tcPr>
          <w:p w14:paraId="165EA87D" w14:textId="460EF6E8" w:rsidR="006331C9" w:rsidRDefault="006331C9" w:rsidP="003A3E36">
            <w:pPr>
              <w:spacing w:after="0" w:line="240" w:lineRule="auto"/>
              <w:jc w:val="right"/>
              <w:rPr>
                <w:rFonts w:ascii="Times New Roman" w:eastAsia="Times New Roman" w:hAnsi="Times New Roman" w:cs="Times New Roman"/>
                <w:bCs/>
                <w:sz w:val="18"/>
                <w:szCs w:val="18"/>
                <w:lang w:eastAsia="hr-HR"/>
              </w:rPr>
            </w:pPr>
            <w:r>
              <w:rPr>
                <w:rFonts w:ascii="Times New Roman" w:eastAsia="Times New Roman" w:hAnsi="Times New Roman" w:cs="Times New Roman"/>
                <w:bCs/>
                <w:sz w:val="18"/>
                <w:szCs w:val="18"/>
                <w:lang w:eastAsia="hr-HR"/>
              </w:rPr>
              <w:t>150.000,00</w:t>
            </w:r>
          </w:p>
        </w:tc>
      </w:tr>
      <w:tr w:rsidR="00031E9C" w14:paraId="6747C36C" w14:textId="77777777" w:rsidTr="00FF2C1F">
        <w:trPr>
          <w:trHeight w:val="383"/>
        </w:trPr>
        <w:tc>
          <w:tcPr>
            <w:tcW w:w="1057" w:type="dxa"/>
            <w:tcBorders>
              <w:top w:val="nil"/>
              <w:left w:val="nil"/>
              <w:bottom w:val="single" w:sz="4" w:space="0" w:color="auto"/>
              <w:right w:val="single" w:sz="4" w:space="0" w:color="auto"/>
            </w:tcBorders>
            <w:noWrap/>
            <w:vAlign w:val="bottom"/>
            <w:hideMark/>
          </w:tcPr>
          <w:p w14:paraId="74398B98" w14:textId="77777777" w:rsidR="00031E9C" w:rsidRDefault="00031E9C" w:rsidP="00484CF6">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Ukupno</w:t>
            </w:r>
          </w:p>
        </w:tc>
        <w:tc>
          <w:tcPr>
            <w:tcW w:w="1070" w:type="dxa"/>
            <w:tcBorders>
              <w:top w:val="nil"/>
              <w:left w:val="nil"/>
              <w:bottom w:val="single" w:sz="4" w:space="0" w:color="auto"/>
              <w:right w:val="single" w:sz="4" w:space="0" w:color="auto"/>
            </w:tcBorders>
            <w:noWrap/>
            <w:vAlign w:val="bottom"/>
            <w:hideMark/>
          </w:tcPr>
          <w:p w14:paraId="5EAD43CC" w14:textId="77777777" w:rsidR="00031E9C" w:rsidRDefault="00031E9C"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w:t>
            </w:r>
          </w:p>
        </w:tc>
        <w:tc>
          <w:tcPr>
            <w:tcW w:w="1686" w:type="dxa"/>
            <w:tcBorders>
              <w:top w:val="nil"/>
              <w:left w:val="nil"/>
              <w:bottom w:val="single" w:sz="4" w:space="0" w:color="auto"/>
              <w:right w:val="single" w:sz="4" w:space="0" w:color="auto"/>
            </w:tcBorders>
            <w:noWrap/>
            <w:vAlign w:val="bottom"/>
            <w:hideMark/>
          </w:tcPr>
          <w:p w14:paraId="380ED36F" w14:textId="77777777" w:rsidR="00031E9C" w:rsidRDefault="00031E9C"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w:t>
            </w:r>
          </w:p>
        </w:tc>
        <w:tc>
          <w:tcPr>
            <w:tcW w:w="1191" w:type="dxa"/>
            <w:tcBorders>
              <w:top w:val="nil"/>
              <w:left w:val="nil"/>
              <w:bottom w:val="single" w:sz="4" w:space="0" w:color="auto"/>
              <w:right w:val="single" w:sz="4" w:space="0" w:color="auto"/>
            </w:tcBorders>
            <w:noWrap/>
            <w:vAlign w:val="bottom"/>
            <w:hideMark/>
          </w:tcPr>
          <w:p w14:paraId="2BD21980" w14:textId="77777777" w:rsidR="00031E9C" w:rsidRDefault="00031E9C" w:rsidP="00484CF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w:t>
            </w:r>
          </w:p>
        </w:tc>
        <w:tc>
          <w:tcPr>
            <w:tcW w:w="1886" w:type="dxa"/>
            <w:tcBorders>
              <w:top w:val="nil"/>
              <w:left w:val="nil"/>
              <w:bottom w:val="single" w:sz="4" w:space="0" w:color="auto"/>
              <w:right w:val="single" w:sz="4" w:space="0" w:color="auto"/>
            </w:tcBorders>
            <w:noWrap/>
            <w:vAlign w:val="bottom"/>
            <w:hideMark/>
          </w:tcPr>
          <w:p w14:paraId="3629049D" w14:textId="77777777" w:rsidR="00031E9C" w:rsidRDefault="00031E9C" w:rsidP="00484CF6">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w:t>
            </w:r>
          </w:p>
        </w:tc>
        <w:tc>
          <w:tcPr>
            <w:tcW w:w="1254" w:type="dxa"/>
            <w:tcBorders>
              <w:top w:val="nil"/>
              <w:left w:val="nil"/>
              <w:bottom w:val="single" w:sz="4" w:space="0" w:color="auto"/>
              <w:right w:val="single" w:sz="4" w:space="0" w:color="auto"/>
            </w:tcBorders>
            <w:noWrap/>
            <w:vAlign w:val="bottom"/>
            <w:hideMark/>
          </w:tcPr>
          <w:p w14:paraId="5EA2CEF4" w14:textId="77777777" w:rsidR="00031E9C" w:rsidRDefault="00031E9C" w:rsidP="00484CF6">
            <w:pPr>
              <w:rPr>
                <w:rFonts w:ascii="Times New Roman" w:eastAsia="Times New Roman" w:hAnsi="Times New Roman" w:cs="Times New Roman"/>
                <w:sz w:val="18"/>
                <w:szCs w:val="18"/>
                <w:lang w:eastAsia="hr-HR"/>
              </w:rPr>
            </w:pPr>
          </w:p>
        </w:tc>
        <w:tc>
          <w:tcPr>
            <w:tcW w:w="1181" w:type="dxa"/>
            <w:tcBorders>
              <w:top w:val="nil"/>
              <w:left w:val="nil"/>
              <w:bottom w:val="single" w:sz="4" w:space="0" w:color="auto"/>
              <w:right w:val="single" w:sz="4" w:space="0" w:color="auto"/>
            </w:tcBorders>
            <w:noWrap/>
            <w:vAlign w:val="bottom"/>
            <w:hideMark/>
          </w:tcPr>
          <w:p w14:paraId="26EA5144" w14:textId="77777777" w:rsidR="00031E9C" w:rsidRDefault="00031E9C" w:rsidP="00484CF6">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w:t>
            </w:r>
          </w:p>
        </w:tc>
        <w:tc>
          <w:tcPr>
            <w:tcW w:w="1250" w:type="dxa"/>
            <w:tcBorders>
              <w:top w:val="nil"/>
              <w:left w:val="nil"/>
              <w:bottom w:val="single" w:sz="4" w:space="0" w:color="auto"/>
              <w:right w:val="single" w:sz="4" w:space="0" w:color="auto"/>
            </w:tcBorders>
            <w:noWrap/>
            <w:vAlign w:val="center"/>
            <w:hideMark/>
          </w:tcPr>
          <w:p w14:paraId="063C6364" w14:textId="73B36FCE" w:rsidR="00031E9C" w:rsidRDefault="009D3AAA" w:rsidP="00484CF6">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2.652.283,07</w:t>
            </w:r>
          </w:p>
        </w:tc>
        <w:tc>
          <w:tcPr>
            <w:tcW w:w="1206" w:type="dxa"/>
            <w:tcBorders>
              <w:top w:val="nil"/>
              <w:left w:val="nil"/>
              <w:bottom w:val="single" w:sz="4" w:space="0" w:color="auto"/>
              <w:right w:val="single" w:sz="4" w:space="0" w:color="auto"/>
            </w:tcBorders>
            <w:noWrap/>
            <w:vAlign w:val="center"/>
          </w:tcPr>
          <w:p w14:paraId="55BDA3F5" w14:textId="50AB8462" w:rsidR="00031E9C" w:rsidRDefault="009D3AAA" w:rsidP="00484CF6">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2.780.293,49</w:t>
            </w:r>
          </w:p>
        </w:tc>
      </w:tr>
    </w:tbl>
    <w:p w14:paraId="7828FA35" w14:textId="77777777" w:rsidR="00D54BC3" w:rsidRDefault="00D54BC3" w:rsidP="0088796A">
      <w:pPr>
        <w:pStyle w:val="Bezproreda"/>
        <w:jc w:val="both"/>
        <w:rPr>
          <w:b/>
          <w:bCs/>
          <w:sz w:val="24"/>
          <w:szCs w:val="24"/>
        </w:rPr>
      </w:pPr>
    </w:p>
    <w:p w14:paraId="2EA1A0BF" w14:textId="77777777" w:rsidR="00134DD6" w:rsidRPr="008E74C5" w:rsidRDefault="00134DD6" w:rsidP="0088796A">
      <w:pPr>
        <w:pStyle w:val="Bezproreda"/>
        <w:jc w:val="both"/>
        <w:rPr>
          <w:b/>
          <w:bCs/>
          <w:color w:val="000000" w:themeColor="text1"/>
          <w:sz w:val="24"/>
          <w:szCs w:val="24"/>
        </w:rPr>
      </w:pPr>
    </w:p>
    <w:p w14:paraId="5468607A" w14:textId="55D384FC" w:rsidR="00151C5B" w:rsidRPr="008E74C5" w:rsidRDefault="00151C5B" w:rsidP="0088796A">
      <w:pPr>
        <w:pStyle w:val="Bezproreda"/>
        <w:jc w:val="both"/>
        <w:rPr>
          <w:b/>
          <w:bCs/>
          <w:color w:val="000000" w:themeColor="text1"/>
          <w:sz w:val="24"/>
          <w:szCs w:val="24"/>
        </w:rPr>
      </w:pPr>
      <w:r w:rsidRPr="008E74C5">
        <w:rPr>
          <w:b/>
          <w:bCs/>
          <w:color w:val="000000" w:themeColor="text1"/>
          <w:sz w:val="24"/>
          <w:szCs w:val="24"/>
        </w:rPr>
        <w:t>5.4. IZVJEŠTAJ O KORIŠTENJU SREDSTAVA FONDOVA EUROPSKE UNIJE U 202</w:t>
      </w:r>
      <w:r w:rsidR="00592D5D" w:rsidRPr="008E74C5">
        <w:rPr>
          <w:b/>
          <w:bCs/>
          <w:color w:val="000000" w:themeColor="text1"/>
          <w:sz w:val="24"/>
          <w:szCs w:val="24"/>
        </w:rPr>
        <w:t>5</w:t>
      </w:r>
      <w:r w:rsidRPr="008E74C5">
        <w:rPr>
          <w:b/>
          <w:bCs/>
          <w:color w:val="000000" w:themeColor="text1"/>
          <w:sz w:val="24"/>
          <w:szCs w:val="24"/>
        </w:rPr>
        <w:t>. GODINI</w:t>
      </w:r>
    </w:p>
    <w:p w14:paraId="0CA5C983" w14:textId="77777777" w:rsidR="00151C5B" w:rsidRPr="008E74C5" w:rsidRDefault="00151C5B" w:rsidP="0088796A">
      <w:pPr>
        <w:pStyle w:val="Bezproreda"/>
        <w:jc w:val="both"/>
        <w:rPr>
          <w:b/>
          <w:bCs/>
          <w:color w:val="000000" w:themeColor="text1"/>
          <w:sz w:val="24"/>
          <w:szCs w:val="24"/>
        </w:rPr>
      </w:pPr>
    </w:p>
    <w:p w14:paraId="1ECE883C" w14:textId="77777777" w:rsidR="00151C5B" w:rsidRPr="008E74C5" w:rsidRDefault="00151C5B" w:rsidP="0088796A">
      <w:pPr>
        <w:pStyle w:val="Bezproreda"/>
        <w:jc w:val="both"/>
        <w:rPr>
          <w:color w:val="000000" w:themeColor="text1"/>
          <w:sz w:val="24"/>
          <w:szCs w:val="24"/>
        </w:rPr>
      </w:pPr>
      <w:r w:rsidRPr="008E74C5">
        <w:rPr>
          <w:color w:val="000000" w:themeColor="text1"/>
        </w:rPr>
        <w:t xml:space="preserve"> </w:t>
      </w:r>
      <w:r w:rsidRPr="008E74C5">
        <w:rPr>
          <w:color w:val="000000" w:themeColor="text1"/>
          <w:sz w:val="24"/>
          <w:szCs w:val="24"/>
        </w:rPr>
        <w:t>Pravilnikom o polugodišnjem i godišnjem izvještaju o izvršenju proračuna i financijskog plana, propisano je da Izvještaj o korištenju sredstava fondova Europske unije sadrži podatke o evidentiranim prihodima i rashodima iz fondova Europske unije za proračunsku godinu po fondovima Europske unije te stanje obveza i potraživanja po sredstvima iz fondova Europske unije na kraju proračunske godine. Pored navedenog, u izvještaju se daju podaci o ukupno ugovorenim sredstvima fondova Europske unije po projektima u tijeku, i to: - ukupno ugovorenim sredstvima fondova Europske unije od početka provedbe projekta zaključno s izvještajnim razdobljem, - ukupno uplaćenim sredstvima fondova Europske unije od početka provedbe projekta zaključno s izvještajnim razdobljem.</w:t>
      </w:r>
    </w:p>
    <w:p w14:paraId="4A830E47" w14:textId="53744ADD" w:rsidR="00151C5B" w:rsidRPr="008E74C5" w:rsidRDefault="00151C5B" w:rsidP="0088796A">
      <w:pPr>
        <w:pStyle w:val="Bezproreda"/>
        <w:jc w:val="both"/>
        <w:rPr>
          <w:color w:val="000000" w:themeColor="text1"/>
          <w:sz w:val="24"/>
          <w:szCs w:val="24"/>
        </w:rPr>
      </w:pPr>
      <w:r w:rsidRPr="008E74C5">
        <w:rPr>
          <w:color w:val="000000" w:themeColor="text1"/>
          <w:sz w:val="24"/>
          <w:szCs w:val="24"/>
        </w:rPr>
        <w:t xml:space="preserve">Grad Trogir primjenjuje proračunsko računovodstvo u skladu sa Zakonom o proračunu (Narodne novine, broj 144/21) i Pravilnikom o proračunskom računovodstvu i računskom planu (Narodne novine, broj 124/14, 115/15, 87/16, 3/18, 126/19 i 108/20). U svojim knjigovodstvenim evidencijama osigurava pojedinačne podatke o vrstama prihoda i primitaka, rashoda i izdataka, stanju imovine, obveza i vlastitih izvora. Prihodi i primici te rashodi i izdaci iskazuju se prema modificiranom računovodstvenom načelu nastanka događaja. Prihodi i primici priznaju se u izvještajnom razdoblju u kojem su postali raspoloživi i pod uvjetom da su mjerljivi. </w:t>
      </w:r>
    </w:p>
    <w:p w14:paraId="6E6F43ED" w14:textId="7D059029" w:rsidR="006A3A97" w:rsidRPr="008E74C5" w:rsidRDefault="00151C5B" w:rsidP="0088796A">
      <w:pPr>
        <w:pStyle w:val="Bezproreda"/>
        <w:jc w:val="both"/>
        <w:rPr>
          <w:color w:val="000000" w:themeColor="text1"/>
          <w:sz w:val="24"/>
          <w:szCs w:val="24"/>
        </w:rPr>
      </w:pPr>
      <w:r w:rsidRPr="008E74C5">
        <w:rPr>
          <w:color w:val="000000" w:themeColor="text1"/>
          <w:sz w:val="24"/>
          <w:szCs w:val="24"/>
        </w:rPr>
        <w:t>Rashodi se priznaju na temelju nastanka događaja (obveza) i u izvještajnom razdoblju na koje se odnose neovisno o plaćanju. Sukladno svemu prethodno navedenom, Grad Trogir  temeljem utvrđenog okvira evidentira prihode i rashode za projekte koji se financiraju iz EU sredstava. Prihodi za financiranje EU projekata planiraju se i izvršavaju na odgovarajućim računima ekonomske klasifikacije i pripadajućih izvora financiranja. Rashodi iz EU sredstava planiraju se i evidentiraju unutar upravnog odjela koje provodi projekt, odnosno prema organizacijskoj, programskoj i ekonomskoj klasifikaciji s pripadajućim izvorima financiranja. U izvještajnom razdoblju provodilo se ukupno</w:t>
      </w:r>
      <w:r w:rsidR="00593C65" w:rsidRPr="008E74C5">
        <w:rPr>
          <w:color w:val="000000" w:themeColor="text1"/>
          <w:sz w:val="24"/>
          <w:szCs w:val="24"/>
        </w:rPr>
        <w:t xml:space="preserve"> </w:t>
      </w:r>
      <w:r w:rsidR="00003F28" w:rsidRPr="008E74C5">
        <w:rPr>
          <w:color w:val="000000" w:themeColor="text1"/>
          <w:sz w:val="24"/>
          <w:szCs w:val="24"/>
        </w:rPr>
        <w:t xml:space="preserve">74 </w:t>
      </w:r>
      <w:r w:rsidRPr="008E74C5">
        <w:rPr>
          <w:color w:val="000000" w:themeColor="text1"/>
          <w:sz w:val="24"/>
          <w:szCs w:val="24"/>
        </w:rPr>
        <w:t>projekata unutar upravnih odjela Grada Trogira, a u nastavku slijedi tablični prikaz prihoda i rashoda projekata Grada i proračunskih korisnika koji su se u 2024. godini financirali iz fondova Europske unije.</w:t>
      </w:r>
    </w:p>
    <w:p w14:paraId="19234ED4" w14:textId="77777777" w:rsidR="00592D5D" w:rsidRPr="008E74C5" w:rsidRDefault="00592D5D" w:rsidP="0088796A">
      <w:pPr>
        <w:pStyle w:val="Bezproreda"/>
        <w:jc w:val="both"/>
        <w:rPr>
          <w:rFonts w:cs="Calibri"/>
          <w:color w:val="000000" w:themeColor="text1"/>
          <w:sz w:val="24"/>
          <w:szCs w:val="24"/>
        </w:rPr>
      </w:pPr>
    </w:p>
    <w:p w14:paraId="2730CFA3" w14:textId="1459DE75" w:rsidR="008A061E" w:rsidRPr="008E74C5" w:rsidRDefault="008A061E" w:rsidP="0088796A">
      <w:pPr>
        <w:pStyle w:val="Bezproreda"/>
        <w:jc w:val="both"/>
        <w:rPr>
          <w:rFonts w:cs="Calibri"/>
          <w:color w:val="000000" w:themeColor="text1"/>
          <w:sz w:val="24"/>
          <w:szCs w:val="24"/>
        </w:rPr>
      </w:pPr>
      <w:r w:rsidRPr="008E74C5">
        <w:rPr>
          <w:rFonts w:cs="Calibri"/>
          <w:b/>
          <w:bCs/>
          <w:color w:val="000000" w:themeColor="text1"/>
          <w:sz w:val="24"/>
          <w:szCs w:val="24"/>
        </w:rPr>
        <w:t>Tablica 9.</w:t>
      </w:r>
      <w:r w:rsidRPr="008E74C5">
        <w:rPr>
          <w:rFonts w:cs="Calibri"/>
          <w:color w:val="000000" w:themeColor="text1"/>
          <w:sz w:val="24"/>
          <w:szCs w:val="24"/>
        </w:rPr>
        <w:t xml:space="preserve"> Izvještaj o korištenju sredstava Fondova EU za 202</w:t>
      </w:r>
      <w:r w:rsidR="00592D5D" w:rsidRPr="008E74C5">
        <w:rPr>
          <w:rFonts w:cs="Calibri"/>
          <w:color w:val="000000" w:themeColor="text1"/>
          <w:sz w:val="24"/>
          <w:szCs w:val="24"/>
        </w:rPr>
        <w:t>5</w:t>
      </w:r>
      <w:r w:rsidRPr="008E74C5">
        <w:rPr>
          <w:rFonts w:cs="Calibri"/>
          <w:color w:val="000000" w:themeColor="text1"/>
          <w:sz w:val="24"/>
          <w:szCs w:val="24"/>
        </w:rPr>
        <w:t>.godinu -GRAD TROGIR</w:t>
      </w:r>
    </w:p>
    <w:p w14:paraId="7A203451" w14:textId="39FA2567" w:rsidR="009E3015" w:rsidRDefault="009E3015" w:rsidP="008A061E">
      <w:pPr>
        <w:pStyle w:val="Bezproreda"/>
        <w:ind w:hanging="993"/>
        <w:jc w:val="both"/>
        <w:rPr>
          <w:rFonts w:cs="Calibri"/>
          <w:sz w:val="24"/>
          <w:szCs w:val="24"/>
        </w:rPr>
      </w:pPr>
    </w:p>
    <w:p w14:paraId="2D6934DB" w14:textId="77777777" w:rsidR="000A59EF" w:rsidRDefault="000A59EF" w:rsidP="008A061E">
      <w:pPr>
        <w:pStyle w:val="Bezproreda"/>
        <w:ind w:hanging="993"/>
        <w:jc w:val="both"/>
        <w:rPr>
          <w:rFonts w:cs="Calibri"/>
          <w:sz w:val="24"/>
          <w:szCs w:val="24"/>
        </w:rPr>
      </w:pPr>
    </w:p>
    <w:p w14:paraId="46B45EF1" w14:textId="1B727F1D" w:rsidR="000A59EF" w:rsidRDefault="00A569E4" w:rsidP="008A061E">
      <w:pPr>
        <w:pStyle w:val="Bezproreda"/>
        <w:ind w:hanging="993"/>
        <w:jc w:val="both"/>
        <w:rPr>
          <w:rFonts w:cs="Calibri"/>
          <w:sz w:val="24"/>
          <w:szCs w:val="24"/>
        </w:rPr>
      </w:pPr>
      <w:r w:rsidRPr="00A569E4">
        <w:rPr>
          <w:rFonts w:cs="Calibri"/>
          <w:noProof/>
          <w:sz w:val="24"/>
          <w:szCs w:val="24"/>
        </w:rPr>
        <w:lastRenderedPageBreak/>
        <w:drawing>
          <wp:inline distT="0" distB="0" distL="0" distR="0" wp14:anchorId="1283450B" wp14:editId="33D6D774">
            <wp:extent cx="6934200" cy="4985385"/>
            <wp:effectExtent l="0" t="0" r="0" b="5715"/>
            <wp:docPr id="167261402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614027" name=""/>
                    <pic:cNvPicPr/>
                  </pic:nvPicPr>
                  <pic:blipFill>
                    <a:blip r:embed="rId10"/>
                    <a:stretch>
                      <a:fillRect/>
                    </a:stretch>
                  </pic:blipFill>
                  <pic:spPr>
                    <a:xfrm>
                      <a:off x="0" y="0"/>
                      <a:ext cx="6934200" cy="4985385"/>
                    </a:xfrm>
                    <a:prstGeom prst="rect">
                      <a:avLst/>
                    </a:prstGeom>
                  </pic:spPr>
                </pic:pic>
              </a:graphicData>
            </a:graphic>
          </wp:inline>
        </w:drawing>
      </w:r>
    </w:p>
    <w:p w14:paraId="0E6E2432" w14:textId="77777777" w:rsidR="000A59EF" w:rsidRDefault="000A59EF" w:rsidP="008A061E">
      <w:pPr>
        <w:pStyle w:val="Bezproreda"/>
        <w:ind w:hanging="993"/>
        <w:jc w:val="both"/>
        <w:rPr>
          <w:rFonts w:cs="Calibri"/>
          <w:sz w:val="24"/>
          <w:szCs w:val="24"/>
        </w:rPr>
      </w:pPr>
    </w:p>
    <w:p w14:paraId="3139BEA1" w14:textId="38D1B1B8" w:rsidR="002F6375" w:rsidRDefault="002F6375" w:rsidP="00134DD6">
      <w:pPr>
        <w:pStyle w:val="Bezproreda"/>
        <w:jc w:val="both"/>
        <w:rPr>
          <w:rFonts w:cs="Calibri"/>
          <w:sz w:val="24"/>
          <w:szCs w:val="24"/>
        </w:rPr>
      </w:pPr>
    </w:p>
    <w:p w14:paraId="50332D0E" w14:textId="77777777" w:rsidR="000E203D" w:rsidRPr="00224EFE" w:rsidRDefault="000E203D" w:rsidP="000E203D">
      <w:pPr>
        <w:jc w:val="both"/>
        <w:rPr>
          <w:sz w:val="24"/>
          <w:szCs w:val="24"/>
        </w:rPr>
      </w:pPr>
      <w:r w:rsidRPr="00224EFE">
        <w:rPr>
          <w:sz w:val="24"/>
          <w:szCs w:val="24"/>
        </w:rPr>
        <w:t>Izvještaj se odnosi na projekte financirane iz novog programskog razdoblja 2021.-2027. </w:t>
      </w:r>
    </w:p>
    <w:p w14:paraId="71599E68" w14:textId="77777777" w:rsidR="00224EFE" w:rsidRDefault="000E203D" w:rsidP="00224EFE">
      <w:pPr>
        <w:spacing w:after="0"/>
        <w:jc w:val="both"/>
        <w:rPr>
          <w:sz w:val="24"/>
          <w:szCs w:val="24"/>
        </w:rPr>
      </w:pPr>
      <w:r w:rsidRPr="00224EFE">
        <w:rPr>
          <w:sz w:val="24"/>
          <w:szCs w:val="24"/>
        </w:rPr>
        <w:t xml:space="preserve">Izvor 5.8.1. se odnosi na projekt "Energetska obnova sportske dvorane Vinko </w:t>
      </w:r>
      <w:proofErr w:type="spellStart"/>
      <w:r w:rsidRPr="00224EFE">
        <w:rPr>
          <w:sz w:val="24"/>
          <w:szCs w:val="24"/>
        </w:rPr>
        <w:t>Kandija</w:t>
      </w:r>
      <w:proofErr w:type="spellEnd"/>
      <w:r w:rsidRPr="00224EFE">
        <w:rPr>
          <w:sz w:val="24"/>
          <w:szCs w:val="24"/>
        </w:rPr>
        <w:t xml:space="preserve"> u Trogiru" kojeg sufinancira Ministarstvo prostornog uređenja, graditeljstva i državne imovine (nadležno tijelo), FZZOEU (provedbeno tijelo) temeljem Ugovora o dodjeli bespovratnih sredstava za projekte koji se financiraju iz NPOO 2021.-2026. u ukupnom iznosu prihvatljivih troškova od 1.750.449,43 eura u sklopu kojih se dodjeljuju bespovratna sredstva u iznosu od 1.402.612,98 eura. Temeljem ZNS a br.1 izvršena je uplata od 31.405,62 eura te potraživanje Grada na dan 31.12.2025. iznosi 1.371.207,36 eura, evidencija se vodi na </w:t>
      </w:r>
      <w:proofErr w:type="spellStart"/>
      <w:r w:rsidRPr="00224EFE">
        <w:rPr>
          <w:sz w:val="24"/>
          <w:szCs w:val="24"/>
        </w:rPr>
        <w:t>Izvanbilančnim</w:t>
      </w:r>
      <w:proofErr w:type="spellEnd"/>
      <w:r w:rsidRPr="00224EFE">
        <w:rPr>
          <w:sz w:val="24"/>
          <w:szCs w:val="24"/>
        </w:rPr>
        <w:t xml:space="preserve"> zapisima</w:t>
      </w:r>
    </w:p>
    <w:p w14:paraId="7CA6811C" w14:textId="0CBAB25F" w:rsidR="000E203D" w:rsidRPr="00224EFE" w:rsidRDefault="000E203D" w:rsidP="00224EFE">
      <w:pPr>
        <w:spacing w:after="0"/>
        <w:jc w:val="both"/>
        <w:rPr>
          <w:sz w:val="24"/>
          <w:szCs w:val="24"/>
        </w:rPr>
      </w:pPr>
      <w:r w:rsidRPr="00224EFE">
        <w:rPr>
          <w:sz w:val="24"/>
          <w:szCs w:val="24"/>
        </w:rPr>
        <w:t xml:space="preserve">Izvor 5.6.3. se odnosi na projekt "Uređenje obalnog pojasa </w:t>
      </w:r>
      <w:proofErr w:type="spellStart"/>
      <w:r w:rsidRPr="00224EFE">
        <w:rPr>
          <w:sz w:val="24"/>
          <w:szCs w:val="24"/>
        </w:rPr>
        <w:t>Brigi</w:t>
      </w:r>
      <w:proofErr w:type="spellEnd"/>
      <w:r w:rsidRPr="00224EFE">
        <w:rPr>
          <w:sz w:val="24"/>
          <w:szCs w:val="24"/>
        </w:rPr>
        <w:t xml:space="preserve"> Lokvice Uporabna cjelina 1- šetnica i </w:t>
      </w:r>
      <w:proofErr w:type="spellStart"/>
      <w:r w:rsidRPr="00224EFE">
        <w:rPr>
          <w:sz w:val="24"/>
          <w:szCs w:val="24"/>
        </w:rPr>
        <w:t>biciklsitička</w:t>
      </w:r>
      <w:proofErr w:type="spellEnd"/>
      <w:r w:rsidRPr="00224EFE">
        <w:rPr>
          <w:sz w:val="24"/>
          <w:szCs w:val="24"/>
        </w:rPr>
        <w:t xml:space="preserve"> staza od lukobrana PŠU </w:t>
      </w:r>
      <w:proofErr w:type="spellStart"/>
      <w:r w:rsidRPr="00224EFE">
        <w:rPr>
          <w:sz w:val="24"/>
          <w:szCs w:val="24"/>
        </w:rPr>
        <w:t>Brigi</w:t>
      </w:r>
      <w:proofErr w:type="spellEnd"/>
      <w:r w:rsidRPr="00224EFE">
        <w:rPr>
          <w:sz w:val="24"/>
          <w:szCs w:val="24"/>
        </w:rPr>
        <w:t xml:space="preserve"> Lokvice do zapadnog ruba Pastoralnog centra" sufinanciranom od Ministarstva regionalnog razvoja i fondova Europske unije temeljem Ugovor o sufinanciranju provedbe EU projekta JPF.2025.-2.036. u sklopu INTEGRIRANOG TERITORIJALNOG PROGRAMA 2021.-2027., </w:t>
      </w:r>
      <w:r w:rsidR="00A569E4" w:rsidRPr="00224EFE">
        <w:rPr>
          <w:sz w:val="24"/>
          <w:szCs w:val="24"/>
        </w:rPr>
        <w:t>u ukupnom iznosu prihvatljivih troškova od 2.500.000,00 eura u sklopu kojih se dodjeljuju bespovratna sredstva u iznosu od 1.400.000,00 eura</w:t>
      </w:r>
      <w:r w:rsidR="008E74C5" w:rsidRPr="00224EFE">
        <w:rPr>
          <w:sz w:val="24"/>
          <w:szCs w:val="24"/>
        </w:rPr>
        <w:t xml:space="preserve">, a u 2025. godini ne bilježi realizaciju niti provedbene aktivnosti. </w:t>
      </w:r>
    </w:p>
    <w:p w14:paraId="7C997CC1" w14:textId="4D001E99" w:rsidR="009E3015" w:rsidRDefault="009E3015" w:rsidP="0088796A">
      <w:pPr>
        <w:pStyle w:val="Bezproreda"/>
        <w:jc w:val="both"/>
        <w:rPr>
          <w:rFonts w:cs="Calibri"/>
          <w:sz w:val="24"/>
          <w:szCs w:val="24"/>
        </w:rPr>
      </w:pPr>
    </w:p>
    <w:p w14:paraId="5D4457C2" w14:textId="77777777" w:rsidR="009E3015" w:rsidRDefault="009E3015" w:rsidP="0088796A">
      <w:pPr>
        <w:pStyle w:val="Bezproreda"/>
        <w:jc w:val="both"/>
        <w:rPr>
          <w:rFonts w:cs="Calibri"/>
          <w:sz w:val="24"/>
          <w:szCs w:val="24"/>
        </w:rPr>
      </w:pPr>
    </w:p>
    <w:p w14:paraId="0246B648" w14:textId="01FB14E0" w:rsidR="00134DD6" w:rsidRPr="005F5D64" w:rsidRDefault="002F6375" w:rsidP="005F5D64">
      <w:pPr>
        <w:jc w:val="both"/>
        <w:rPr>
          <w:rFonts w:ascii="Calibri" w:eastAsia="Times New Roman" w:hAnsi="Calibri" w:cs="Calibri"/>
          <w:b/>
          <w:bCs/>
          <w:color w:val="000000"/>
          <w:sz w:val="24"/>
          <w:szCs w:val="24"/>
          <w:lang w:eastAsia="hr-HR"/>
        </w:rPr>
      </w:pPr>
      <w:r w:rsidRPr="002F6375">
        <w:rPr>
          <w:b/>
          <w:bCs/>
        </w:rPr>
        <w:t>Tablica 1</w:t>
      </w:r>
      <w:r w:rsidR="00224EFE">
        <w:rPr>
          <w:b/>
          <w:bCs/>
        </w:rPr>
        <w:t>0</w:t>
      </w:r>
      <w:r>
        <w:t>. Izvještaj o korištenju sredstava Fondova EU za 202</w:t>
      </w:r>
      <w:r w:rsidR="008E74C5">
        <w:t>5</w:t>
      </w:r>
      <w:r>
        <w:t>.godinu-proračunski korisnici -JVP GRADA TROGIRA</w:t>
      </w:r>
    </w:p>
    <w:p w14:paraId="0D264158" w14:textId="15A80537" w:rsidR="00134DD6" w:rsidRDefault="00572DD6" w:rsidP="002F6375">
      <w:pPr>
        <w:pStyle w:val="Bezproreda"/>
        <w:ind w:left="-993"/>
        <w:jc w:val="both"/>
        <w:rPr>
          <w:noProof/>
        </w:rPr>
      </w:pPr>
      <w:r w:rsidRPr="00572DD6">
        <w:rPr>
          <w:noProof/>
        </w:rPr>
        <w:drawing>
          <wp:inline distT="0" distB="0" distL="0" distR="0" wp14:anchorId="69DCCBBF" wp14:editId="1DB5DCD1">
            <wp:extent cx="6928885" cy="2328161"/>
            <wp:effectExtent l="0" t="0" r="5715" b="0"/>
            <wp:docPr id="95879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793" name=""/>
                    <pic:cNvPicPr/>
                  </pic:nvPicPr>
                  <pic:blipFill>
                    <a:blip r:embed="rId11"/>
                    <a:stretch>
                      <a:fillRect/>
                    </a:stretch>
                  </pic:blipFill>
                  <pic:spPr>
                    <a:xfrm>
                      <a:off x="0" y="0"/>
                      <a:ext cx="7053640" cy="2370080"/>
                    </a:xfrm>
                    <a:prstGeom prst="rect">
                      <a:avLst/>
                    </a:prstGeom>
                  </pic:spPr>
                </pic:pic>
              </a:graphicData>
            </a:graphic>
          </wp:inline>
        </w:drawing>
      </w:r>
    </w:p>
    <w:p w14:paraId="59773B85" w14:textId="77777777" w:rsidR="00134DD6" w:rsidRDefault="00134DD6" w:rsidP="002F6375">
      <w:pPr>
        <w:pStyle w:val="Bezproreda"/>
        <w:ind w:left="-993"/>
        <w:jc w:val="both"/>
        <w:rPr>
          <w:noProof/>
        </w:rPr>
      </w:pPr>
    </w:p>
    <w:p w14:paraId="1D9E4DCB" w14:textId="2E23A597" w:rsidR="00134DD6" w:rsidRDefault="008E74C5" w:rsidP="002F6375">
      <w:pPr>
        <w:pStyle w:val="Bezproreda"/>
        <w:ind w:left="-993"/>
        <w:jc w:val="both"/>
        <w:rPr>
          <w:rFonts w:cs="Calibri"/>
          <w:sz w:val="24"/>
          <w:szCs w:val="24"/>
        </w:rPr>
      </w:pPr>
      <w:r>
        <w:t xml:space="preserve">                   Navedeni projekt u tablici 1</w:t>
      </w:r>
      <w:r w:rsidR="005F5D64">
        <w:t>0</w:t>
      </w:r>
      <w:r>
        <w:t>. u 2025. godini ne bilježi realizaciju niti provedbene aktivnosti.</w:t>
      </w:r>
    </w:p>
    <w:p w14:paraId="7EDB6E8E" w14:textId="77777777" w:rsidR="003C1985" w:rsidRDefault="003C1985" w:rsidP="0088796A">
      <w:pPr>
        <w:pStyle w:val="Bezproreda"/>
        <w:jc w:val="both"/>
        <w:rPr>
          <w:rFonts w:cs="Calibri"/>
          <w:sz w:val="24"/>
          <w:szCs w:val="24"/>
        </w:rPr>
      </w:pPr>
    </w:p>
    <w:p w14:paraId="3746DB8C" w14:textId="77777777" w:rsidR="003C1985" w:rsidRDefault="003C1985" w:rsidP="0088796A">
      <w:pPr>
        <w:pStyle w:val="Bezproreda"/>
        <w:jc w:val="both"/>
        <w:rPr>
          <w:rFonts w:cs="Calibri"/>
          <w:sz w:val="24"/>
          <w:szCs w:val="24"/>
        </w:rPr>
      </w:pPr>
    </w:p>
    <w:p w14:paraId="28CFACE6" w14:textId="2123FECE" w:rsidR="00820F2B" w:rsidRPr="00C364F9" w:rsidRDefault="00C364F9" w:rsidP="00C364F9">
      <w:pPr>
        <w:pStyle w:val="Bezproreda"/>
        <w:jc w:val="both"/>
        <w:rPr>
          <w:rFonts w:cs="Calibri"/>
          <w:b/>
          <w:bCs/>
          <w:sz w:val="24"/>
          <w:szCs w:val="24"/>
        </w:rPr>
      </w:pPr>
      <w:r w:rsidRPr="00C364F9">
        <w:rPr>
          <w:rFonts w:cs="Calibri"/>
          <w:b/>
          <w:bCs/>
          <w:sz w:val="24"/>
          <w:szCs w:val="24"/>
        </w:rPr>
        <w:t>5.5.</w:t>
      </w:r>
      <w:r>
        <w:rPr>
          <w:rFonts w:cs="Calibri"/>
          <w:b/>
          <w:bCs/>
          <w:sz w:val="24"/>
          <w:szCs w:val="24"/>
        </w:rPr>
        <w:t xml:space="preserve"> </w:t>
      </w:r>
      <w:r w:rsidR="00082588">
        <w:rPr>
          <w:rFonts w:cs="Calibri"/>
          <w:b/>
          <w:bCs/>
          <w:sz w:val="24"/>
          <w:szCs w:val="24"/>
        </w:rPr>
        <w:t>IZVJEŠTAJ O STANJU</w:t>
      </w:r>
      <w:r w:rsidR="00082588">
        <w:rPr>
          <w:rFonts w:cstheme="minorHAnsi"/>
          <w:b/>
          <w:bCs/>
          <w:sz w:val="24"/>
          <w:szCs w:val="24"/>
        </w:rPr>
        <w:t xml:space="preserve"> </w:t>
      </w:r>
      <w:r w:rsidR="00820F2B" w:rsidRPr="00C364F9">
        <w:rPr>
          <w:rFonts w:cstheme="minorHAnsi"/>
          <w:b/>
          <w:bCs/>
          <w:sz w:val="24"/>
          <w:szCs w:val="24"/>
        </w:rPr>
        <w:t>POTRAŽIVANJA</w:t>
      </w:r>
      <w:r w:rsidR="00082588">
        <w:rPr>
          <w:rFonts w:cstheme="minorHAnsi"/>
          <w:b/>
          <w:bCs/>
          <w:sz w:val="24"/>
          <w:szCs w:val="24"/>
        </w:rPr>
        <w:t xml:space="preserve"> I OBVEZA</w:t>
      </w:r>
      <w:r w:rsidR="00820F2B" w:rsidRPr="00C364F9">
        <w:rPr>
          <w:rFonts w:cstheme="minorHAnsi"/>
          <w:b/>
          <w:bCs/>
          <w:sz w:val="24"/>
          <w:szCs w:val="24"/>
        </w:rPr>
        <w:t>, TE POTENCIJALNIH OBVEZA PO SUDSKIM POSTUPCIMA U TIJEKU</w:t>
      </w:r>
    </w:p>
    <w:p w14:paraId="08521F2E" w14:textId="77777777" w:rsidR="00B1166E" w:rsidRPr="002D4DC0" w:rsidRDefault="00B1166E" w:rsidP="00B1166E">
      <w:pPr>
        <w:jc w:val="center"/>
        <w:rPr>
          <w:rFonts w:cstheme="minorHAnsi"/>
          <w:b/>
          <w:sz w:val="28"/>
          <w:szCs w:val="28"/>
        </w:rPr>
      </w:pPr>
    </w:p>
    <w:p w14:paraId="4228B8DD" w14:textId="5C413C0C" w:rsidR="00820F2B" w:rsidRDefault="00C364F9" w:rsidP="00820F2B">
      <w:pPr>
        <w:rPr>
          <w:rFonts w:cstheme="minorHAnsi"/>
          <w:b/>
          <w:sz w:val="24"/>
          <w:szCs w:val="24"/>
        </w:rPr>
      </w:pPr>
      <w:r>
        <w:rPr>
          <w:rFonts w:cstheme="minorHAnsi"/>
          <w:b/>
          <w:sz w:val="24"/>
          <w:szCs w:val="24"/>
        </w:rPr>
        <w:t>5.5</w:t>
      </w:r>
      <w:r w:rsidR="00820F2B">
        <w:rPr>
          <w:rFonts w:cstheme="minorHAnsi"/>
          <w:b/>
          <w:sz w:val="24"/>
          <w:szCs w:val="24"/>
        </w:rPr>
        <w:t>.1. STANJE NENAPLAĆENIH POTRAŽIVANJA ZA PRIHODE JLP(R)S I NJIHOVIH PRORAČUNSKIH KORISNIKA</w:t>
      </w:r>
      <w:r w:rsidR="00820F2B" w:rsidRPr="002D4DC0">
        <w:rPr>
          <w:rFonts w:cstheme="minorHAnsi"/>
          <w:b/>
          <w:sz w:val="24"/>
          <w:szCs w:val="24"/>
        </w:rPr>
        <w:t xml:space="preserve"> </w:t>
      </w:r>
    </w:p>
    <w:p w14:paraId="5BC41F5E" w14:textId="0DF43D68" w:rsidR="00267E67" w:rsidRDefault="00820F2B" w:rsidP="00943AB2">
      <w:pPr>
        <w:jc w:val="both"/>
        <w:rPr>
          <w:rFonts w:cstheme="minorHAnsi"/>
          <w:sz w:val="24"/>
          <w:szCs w:val="24"/>
        </w:rPr>
      </w:pPr>
      <w:r w:rsidRPr="002D4DC0">
        <w:rPr>
          <w:rFonts w:cstheme="minorHAnsi"/>
          <w:sz w:val="24"/>
          <w:szCs w:val="24"/>
        </w:rPr>
        <w:t xml:space="preserve">Pravilnikom o </w:t>
      </w:r>
      <w:r>
        <w:rPr>
          <w:rFonts w:cstheme="minorHAnsi"/>
          <w:sz w:val="24"/>
          <w:szCs w:val="24"/>
        </w:rPr>
        <w:t>polugodišnjem i godišnjem izvještaju o izvršenju proračuna propisano je da se u dijelu godišnjeg izvještaja gdje se obrazlaže ostvarenje prihoda i primitaka, rashoda i izdataka, treba obrazložiti:</w:t>
      </w:r>
    </w:p>
    <w:p w14:paraId="177F0C23" w14:textId="77777777" w:rsidR="00820F2B" w:rsidRDefault="00820F2B">
      <w:pPr>
        <w:pStyle w:val="Odlomakpopisa"/>
        <w:numPr>
          <w:ilvl w:val="0"/>
          <w:numId w:val="2"/>
        </w:numPr>
        <w:rPr>
          <w:rFonts w:cstheme="minorHAnsi"/>
          <w:sz w:val="24"/>
          <w:szCs w:val="24"/>
        </w:rPr>
      </w:pPr>
      <w:r>
        <w:rPr>
          <w:rFonts w:cstheme="minorHAnsi"/>
          <w:sz w:val="24"/>
          <w:szCs w:val="24"/>
        </w:rPr>
        <w:t xml:space="preserve">Stanje nenaplaćenih potraživanja za prihode JLP(R)S i njihovih proračunskih korisnika, </w:t>
      </w:r>
    </w:p>
    <w:p w14:paraId="00014F05" w14:textId="77777777" w:rsidR="00820F2B" w:rsidRDefault="00820F2B">
      <w:pPr>
        <w:pStyle w:val="Odlomakpopisa"/>
        <w:numPr>
          <w:ilvl w:val="0"/>
          <w:numId w:val="2"/>
        </w:numPr>
        <w:rPr>
          <w:rFonts w:cstheme="minorHAnsi"/>
          <w:sz w:val="24"/>
          <w:szCs w:val="24"/>
        </w:rPr>
      </w:pPr>
      <w:r>
        <w:rPr>
          <w:rFonts w:cstheme="minorHAnsi"/>
          <w:sz w:val="24"/>
          <w:szCs w:val="24"/>
        </w:rPr>
        <w:t xml:space="preserve">Stanje nepodmirenih dospjelih obveza JLP(R)S i njihovih proračunskih korisnika, </w:t>
      </w:r>
    </w:p>
    <w:p w14:paraId="4D411E0D" w14:textId="77777777" w:rsidR="00820F2B" w:rsidRDefault="00820F2B">
      <w:pPr>
        <w:pStyle w:val="Odlomakpopisa"/>
        <w:numPr>
          <w:ilvl w:val="0"/>
          <w:numId w:val="2"/>
        </w:numPr>
        <w:rPr>
          <w:rFonts w:cstheme="minorHAnsi"/>
          <w:sz w:val="24"/>
          <w:szCs w:val="24"/>
        </w:rPr>
      </w:pPr>
      <w:r>
        <w:rPr>
          <w:rFonts w:cstheme="minorHAnsi"/>
          <w:sz w:val="24"/>
          <w:szCs w:val="24"/>
        </w:rPr>
        <w:t>Stanje potencijalnih obveza po osnovi sudskih postupaka JLP(R)S i njihovih proračunskih korisnika.</w:t>
      </w:r>
    </w:p>
    <w:p w14:paraId="42931E07" w14:textId="20F3CFD5" w:rsidR="005C47E6" w:rsidRDefault="00820F2B" w:rsidP="00820F2B">
      <w:pPr>
        <w:jc w:val="both"/>
        <w:rPr>
          <w:rFonts w:cstheme="minorHAnsi"/>
          <w:sz w:val="24"/>
          <w:szCs w:val="24"/>
        </w:rPr>
      </w:pPr>
      <w:r>
        <w:rPr>
          <w:rFonts w:cstheme="minorHAnsi"/>
          <w:sz w:val="24"/>
          <w:szCs w:val="24"/>
        </w:rPr>
        <w:t>U nastavku slijedi tabelarni prikaz stanja nenaplaćenih potraživanja za prihode Grada i proračunskih korisnika.</w:t>
      </w:r>
    </w:p>
    <w:p w14:paraId="3DF48AA6" w14:textId="5F9B6CDA" w:rsidR="00820F2B" w:rsidRDefault="00820F2B" w:rsidP="00820F2B">
      <w:pPr>
        <w:jc w:val="both"/>
        <w:rPr>
          <w:rFonts w:cstheme="minorHAnsi"/>
          <w:sz w:val="24"/>
          <w:szCs w:val="24"/>
        </w:rPr>
      </w:pPr>
      <w:r w:rsidRPr="00605D0C">
        <w:rPr>
          <w:rFonts w:cstheme="minorHAnsi"/>
          <w:b/>
          <w:sz w:val="24"/>
          <w:szCs w:val="24"/>
        </w:rPr>
        <w:t xml:space="preserve">Tablica </w:t>
      </w:r>
      <w:r w:rsidR="00C364F9">
        <w:rPr>
          <w:rFonts w:cstheme="minorHAnsi"/>
          <w:b/>
          <w:sz w:val="24"/>
          <w:szCs w:val="24"/>
        </w:rPr>
        <w:t>1</w:t>
      </w:r>
      <w:r w:rsidR="005F5D64">
        <w:rPr>
          <w:rFonts w:cstheme="minorHAnsi"/>
          <w:b/>
          <w:sz w:val="24"/>
          <w:szCs w:val="24"/>
        </w:rPr>
        <w:t>1</w:t>
      </w:r>
      <w:r>
        <w:rPr>
          <w:rFonts w:cstheme="minorHAnsi"/>
          <w:sz w:val="24"/>
          <w:szCs w:val="24"/>
        </w:rPr>
        <w:t xml:space="preserve">. </w:t>
      </w:r>
      <w:r w:rsidRPr="00BA7EF1">
        <w:rPr>
          <w:rFonts w:cstheme="minorHAnsi"/>
          <w:sz w:val="24"/>
          <w:szCs w:val="24"/>
        </w:rPr>
        <w:t>Stanje nenaplaćenih potraživanja za prihode</w:t>
      </w:r>
      <w:r w:rsidR="00374733">
        <w:rPr>
          <w:rFonts w:cstheme="minorHAnsi"/>
          <w:sz w:val="24"/>
          <w:szCs w:val="24"/>
        </w:rPr>
        <w:t xml:space="preserve"> </w:t>
      </w:r>
      <w:r w:rsidR="00374733" w:rsidRPr="00842FF1">
        <w:rPr>
          <w:rFonts w:cstheme="minorHAnsi"/>
          <w:sz w:val="24"/>
          <w:szCs w:val="24"/>
        </w:rPr>
        <w:t>poslovanja</w:t>
      </w:r>
      <w:r w:rsidRPr="00842FF1">
        <w:rPr>
          <w:rFonts w:cstheme="minorHAnsi"/>
          <w:sz w:val="24"/>
          <w:szCs w:val="24"/>
        </w:rPr>
        <w:t xml:space="preserve"> Grada Trogira i proračunskih korisnika na dan 31.12.202</w:t>
      </w:r>
      <w:r w:rsidR="00F7643F">
        <w:rPr>
          <w:rFonts w:cstheme="minorHAnsi"/>
          <w:sz w:val="24"/>
          <w:szCs w:val="24"/>
        </w:rPr>
        <w:t>5</w:t>
      </w:r>
      <w:r w:rsidRPr="00842FF1">
        <w:rPr>
          <w:rFonts w:cstheme="minorHAnsi"/>
          <w:sz w:val="24"/>
          <w:szCs w:val="24"/>
        </w:rPr>
        <w:t>.</w:t>
      </w:r>
    </w:p>
    <w:p w14:paraId="251E612E" w14:textId="77777777" w:rsidR="004B4CDB" w:rsidRDefault="004B4CDB" w:rsidP="00820F2B">
      <w:pPr>
        <w:jc w:val="both"/>
        <w:rPr>
          <w:rFonts w:cstheme="minorHAnsi"/>
          <w:sz w:val="24"/>
          <w:szCs w:val="24"/>
        </w:rPr>
      </w:pPr>
    </w:p>
    <w:p w14:paraId="4E839E37" w14:textId="77777777" w:rsidR="004B4CDB" w:rsidRPr="00842FF1" w:rsidRDefault="004B4CDB" w:rsidP="00820F2B">
      <w:pPr>
        <w:jc w:val="both"/>
        <w:rPr>
          <w:rFonts w:cstheme="minorHAnsi"/>
          <w:sz w:val="24"/>
          <w:szCs w:val="24"/>
        </w:rPr>
      </w:pPr>
    </w:p>
    <w:tbl>
      <w:tblPr>
        <w:tblW w:w="9391" w:type="dxa"/>
        <w:tblLook w:val="04A0" w:firstRow="1" w:lastRow="0" w:firstColumn="1" w:lastColumn="0" w:noHBand="0" w:noVBand="1"/>
      </w:tblPr>
      <w:tblGrid>
        <w:gridCol w:w="3139"/>
        <w:gridCol w:w="2500"/>
        <w:gridCol w:w="1538"/>
        <w:gridCol w:w="2214"/>
      </w:tblGrid>
      <w:tr w:rsidR="00820F2B" w:rsidRPr="000424F6" w14:paraId="04C382B6" w14:textId="77777777" w:rsidTr="00DD63A1">
        <w:trPr>
          <w:trHeight w:val="1534"/>
        </w:trPr>
        <w:tc>
          <w:tcPr>
            <w:tcW w:w="3139"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6977E4D5" w14:textId="77777777" w:rsidR="00820F2B" w:rsidRPr="000424F6" w:rsidRDefault="00820F2B" w:rsidP="00A86D03">
            <w:pPr>
              <w:spacing w:after="0" w:line="240" w:lineRule="auto"/>
              <w:jc w:val="center"/>
              <w:rPr>
                <w:rFonts w:ascii="Calibri" w:eastAsia="Times New Roman" w:hAnsi="Calibri" w:cs="Calibri"/>
                <w:color w:val="000000"/>
                <w:sz w:val="20"/>
                <w:szCs w:val="20"/>
                <w:lang w:eastAsia="hr-HR"/>
              </w:rPr>
            </w:pPr>
            <w:r w:rsidRPr="000424F6">
              <w:rPr>
                <w:rFonts w:ascii="Calibri" w:eastAsia="Times New Roman" w:hAnsi="Calibri" w:cs="Calibri"/>
                <w:color w:val="000000"/>
                <w:sz w:val="20"/>
                <w:szCs w:val="20"/>
                <w:lang w:eastAsia="hr-HR"/>
              </w:rPr>
              <w:lastRenderedPageBreak/>
              <w:t>Naziv ustanove</w:t>
            </w:r>
          </w:p>
        </w:tc>
        <w:tc>
          <w:tcPr>
            <w:tcW w:w="2500" w:type="dxa"/>
            <w:tcBorders>
              <w:top w:val="single" w:sz="4" w:space="0" w:color="auto"/>
              <w:left w:val="nil"/>
              <w:bottom w:val="single" w:sz="4" w:space="0" w:color="auto"/>
              <w:right w:val="single" w:sz="4" w:space="0" w:color="auto"/>
            </w:tcBorders>
            <w:shd w:val="clear" w:color="000000" w:fill="D9D9D9"/>
            <w:vAlign w:val="bottom"/>
            <w:hideMark/>
          </w:tcPr>
          <w:p w14:paraId="3792BA1D" w14:textId="77777777" w:rsidR="00820F2B" w:rsidRPr="000424F6" w:rsidRDefault="00820F2B" w:rsidP="00A86D03">
            <w:pPr>
              <w:spacing w:after="0" w:line="240" w:lineRule="auto"/>
              <w:jc w:val="center"/>
              <w:rPr>
                <w:rFonts w:ascii="Calibri" w:eastAsia="Times New Roman" w:hAnsi="Calibri" w:cs="Calibri"/>
                <w:color w:val="000000"/>
                <w:sz w:val="20"/>
                <w:szCs w:val="20"/>
                <w:lang w:eastAsia="hr-HR"/>
              </w:rPr>
            </w:pPr>
            <w:r w:rsidRPr="000424F6">
              <w:rPr>
                <w:rFonts w:ascii="Calibri" w:eastAsia="Times New Roman" w:hAnsi="Calibri" w:cs="Calibri"/>
                <w:b/>
                <w:bCs/>
                <w:color w:val="000000"/>
                <w:sz w:val="20"/>
                <w:szCs w:val="20"/>
                <w:lang w:eastAsia="hr-HR"/>
              </w:rPr>
              <w:t>BIL šifra 16</w:t>
            </w:r>
            <w:r w:rsidRPr="000424F6">
              <w:rPr>
                <w:rFonts w:ascii="Calibri" w:eastAsia="Times New Roman" w:hAnsi="Calibri" w:cs="Calibri"/>
                <w:color w:val="000000"/>
                <w:sz w:val="20"/>
                <w:szCs w:val="20"/>
                <w:lang w:eastAsia="hr-HR"/>
              </w:rPr>
              <w:t xml:space="preserve"> </w:t>
            </w:r>
            <w:r w:rsidRPr="002C2421">
              <w:rPr>
                <w:rFonts w:ascii="Calibri" w:eastAsia="Times New Roman" w:hAnsi="Calibri" w:cs="Calibri"/>
                <w:color w:val="000000"/>
                <w:sz w:val="20"/>
                <w:szCs w:val="20"/>
                <w:lang w:eastAsia="hr-HR"/>
              </w:rPr>
              <w:t xml:space="preserve">           </w:t>
            </w:r>
            <w:r w:rsidRPr="000424F6">
              <w:rPr>
                <w:rFonts w:ascii="Calibri" w:eastAsia="Times New Roman" w:hAnsi="Calibri" w:cs="Calibri"/>
                <w:color w:val="000000"/>
                <w:sz w:val="20"/>
                <w:szCs w:val="20"/>
                <w:lang w:eastAsia="hr-HR"/>
              </w:rPr>
              <w:t>Potraživanja za prihode poslovanja uključujući izvršeni ispravak vrijednosti potraživanja</w:t>
            </w:r>
          </w:p>
        </w:tc>
        <w:tc>
          <w:tcPr>
            <w:tcW w:w="1538" w:type="dxa"/>
            <w:tcBorders>
              <w:top w:val="single" w:sz="4" w:space="0" w:color="auto"/>
              <w:left w:val="nil"/>
              <w:bottom w:val="single" w:sz="4" w:space="0" w:color="auto"/>
              <w:right w:val="single" w:sz="4" w:space="0" w:color="auto"/>
            </w:tcBorders>
            <w:shd w:val="clear" w:color="000000" w:fill="D9D9D9"/>
            <w:vAlign w:val="bottom"/>
            <w:hideMark/>
          </w:tcPr>
          <w:p w14:paraId="12FAB23F" w14:textId="77777777" w:rsidR="00820F2B" w:rsidRPr="000424F6" w:rsidRDefault="00820F2B" w:rsidP="00A86D03">
            <w:pPr>
              <w:spacing w:after="0" w:line="240" w:lineRule="auto"/>
              <w:jc w:val="center"/>
              <w:rPr>
                <w:rFonts w:ascii="Calibri" w:eastAsia="Times New Roman" w:hAnsi="Calibri" w:cs="Calibri"/>
                <w:color w:val="000000"/>
                <w:sz w:val="20"/>
                <w:szCs w:val="20"/>
                <w:lang w:eastAsia="hr-HR"/>
              </w:rPr>
            </w:pPr>
            <w:r w:rsidRPr="000424F6">
              <w:rPr>
                <w:rFonts w:ascii="Calibri" w:eastAsia="Times New Roman" w:hAnsi="Calibri" w:cs="Calibri"/>
                <w:b/>
                <w:bCs/>
                <w:color w:val="000000"/>
                <w:sz w:val="20"/>
                <w:szCs w:val="20"/>
                <w:lang w:eastAsia="hr-HR"/>
              </w:rPr>
              <w:t>BIL šifra 17</w:t>
            </w:r>
            <w:r w:rsidRPr="000424F6">
              <w:rPr>
                <w:rFonts w:ascii="Calibri" w:eastAsia="Times New Roman" w:hAnsi="Calibri" w:cs="Calibri"/>
                <w:color w:val="000000"/>
                <w:sz w:val="20"/>
                <w:szCs w:val="20"/>
                <w:lang w:eastAsia="hr-HR"/>
              </w:rPr>
              <w:t xml:space="preserve"> Potraživanja od prodaje nefinancijske imovine</w:t>
            </w:r>
          </w:p>
        </w:tc>
        <w:tc>
          <w:tcPr>
            <w:tcW w:w="2214" w:type="dxa"/>
            <w:tcBorders>
              <w:top w:val="single" w:sz="4" w:space="0" w:color="auto"/>
              <w:left w:val="nil"/>
              <w:bottom w:val="single" w:sz="4" w:space="0" w:color="auto"/>
              <w:right w:val="single" w:sz="4" w:space="0" w:color="auto"/>
            </w:tcBorders>
            <w:shd w:val="clear" w:color="000000" w:fill="D9D9D9"/>
            <w:vAlign w:val="bottom"/>
            <w:hideMark/>
          </w:tcPr>
          <w:p w14:paraId="3694C7D8" w14:textId="77777777" w:rsidR="00820F2B" w:rsidRPr="000424F6" w:rsidRDefault="00820F2B" w:rsidP="00A86D03">
            <w:pPr>
              <w:spacing w:after="0" w:line="240" w:lineRule="auto"/>
              <w:jc w:val="center"/>
              <w:rPr>
                <w:rFonts w:ascii="Calibri" w:eastAsia="Times New Roman" w:hAnsi="Calibri" w:cs="Calibri"/>
                <w:color w:val="000000"/>
                <w:sz w:val="20"/>
                <w:szCs w:val="20"/>
                <w:lang w:eastAsia="hr-HR"/>
              </w:rPr>
            </w:pPr>
            <w:r w:rsidRPr="000424F6">
              <w:rPr>
                <w:rFonts w:ascii="Calibri" w:eastAsia="Times New Roman" w:hAnsi="Calibri" w:cs="Calibri"/>
                <w:color w:val="000000"/>
                <w:sz w:val="20"/>
                <w:szCs w:val="20"/>
                <w:lang w:eastAsia="hr-HR"/>
              </w:rPr>
              <w:t>Ukupno nenaplaćena potraživanja</w:t>
            </w:r>
          </w:p>
        </w:tc>
      </w:tr>
      <w:tr w:rsidR="00820F2B" w:rsidRPr="000424F6" w14:paraId="664A71E4" w14:textId="77777777" w:rsidTr="00DD63A1">
        <w:trPr>
          <w:trHeight w:val="300"/>
        </w:trPr>
        <w:tc>
          <w:tcPr>
            <w:tcW w:w="3139" w:type="dxa"/>
            <w:tcBorders>
              <w:top w:val="nil"/>
              <w:left w:val="single" w:sz="4" w:space="0" w:color="auto"/>
              <w:bottom w:val="single" w:sz="4" w:space="0" w:color="auto"/>
              <w:right w:val="single" w:sz="4" w:space="0" w:color="auto"/>
            </w:tcBorders>
            <w:noWrap/>
            <w:vAlign w:val="bottom"/>
            <w:hideMark/>
          </w:tcPr>
          <w:p w14:paraId="5B7A4068" w14:textId="77777777" w:rsidR="00820F2B" w:rsidRPr="000424F6" w:rsidRDefault="00820F2B" w:rsidP="00A86D03">
            <w:pPr>
              <w:spacing w:after="0" w:line="240" w:lineRule="auto"/>
              <w:jc w:val="center"/>
              <w:rPr>
                <w:rFonts w:ascii="Calibri" w:eastAsia="Times New Roman" w:hAnsi="Calibri" w:cs="Calibri"/>
                <w:color w:val="000000"/>
                <w:sz w:val="18"/>
                <w:szCs w:val="18"/>
                <w:lang w:eastAsia="hr-HR"/>
              </w:rPr>
            </w:pPr>
            <w:r w:rsidRPr="000424F6">
              <w:rPr>
                <w:rFonts w:ascii="Calibri" w:eastAsia="Times New Roman" w:hAnsi="Calibri" w:cs="Calibri"/>
                <w:color w:val="000000"/>
                <w:sz w:val="18"/>
                <w:szCs w:val="18"/>
                <w:lang w:eastAsia="hr-HR"/>
              </w:rPr>
              <w:t>1.</w:t>
            </w:r>
          </w:p>
        </w:tc>
        <w:tc>
          <w:tcPr>
            <w:tcW w:w="2500" w:type="dxa"/>
            <w:tcBorders>
              <w:top w:val="nil"/>
              <w:left w:val="nil"/>
              <w:bottom w:val="single" w:sz="4" w:space="0" w:color="auto"/>
              <w:right w:val="single" w:sz="4" w:space="0" w:color="auto"/>
            </w:tcBorders>
            <w:noWrap/>
            <w:vAlign w:val="bottom"/>
            <w:hideMark/>
          </w:tcPr>
          <w:p w14:paraId="7C05A9C6" w14:textId="77777777" w:rsidR="00820F2B" w:rsidRPr="000424F6" w:rsidRDefault="00820F2B" w:rsidP="00A86D03">
            <w:pPr>
              <w:spacing w:after="0" w:line="240" w:lineRule="auto"/>
              <w:jc w:val="center"/>
              <w:rPr>
                <w:rFonts w:ascii="Calibri" w:eastAsia="Times New Roman" w:hAnsi="Calibri" w:cs="Calibri"/>
                <w:color w:val="000000"/>
                <w:sz w:val="18"/>
                <w:szCs w:val="18"/>
                <w:lang w:eastAsia="hr-HR"/>
              </w:rPr>
            </w:pPr>
            <w:r w:rsidRPr="000424F6">
              <w:rPr>
                <w:rFonts w:ascii="Calibri" w:eastAsia="Times New Roman" w:hAnsi="Calibri" w:cs="Calibri"/>
                <w:color w:val="000000"/>
                <w:sz w:val="18"/>
                <w:szCs w:val="18"/>
                <w:lang w:eastAsia="hr-HR"/>
              </w:rPr>
              <w:t>2.</w:t>
            </w:r>
          </w:p>
        </w:tc>
        <w:tc>
          <w:tcPr>
            <w:tcW w:w="1538" w:type="dxa"/>
            <w:tcBorders>
              <w:top w:val="nil"/>
              <w:left w:val="nil"/>
              <w:bottom w:val="single" w:sz="4" w:space="0" w:color="auto"/>
              <w:right w:val="single" w:sz="4" w:space="0" w:color="auto"/>
            </w:tcBorders>
            <w:noWrap/>
            <w:vAlign w:val="bottom"/>
            <w:hideMark/>
          </w:tcPr>
          <w:p w14:paraId="004F0286" w14:textId="77777777" w:rsidR="00820F2B" w:rsidRPr="000424F6" w:rsidRDefault="00820F2B" w:rsidP="00A86D03">
            <w:pPr>
              <w:spacing w:after="0" w:line="240" w:lineRule="auto"/>
              <w:jc w:val="center"/>
              <w:rPr>
                <w:rFonts w:ascii="Calibri" w:eastAsia="Times New Roman" w:hAnsi="Calibri" w:cs="Calibri"/>
                <w:color w:val="000000"/>
                <w:sz w:val="18"/>
                <w:szCs w:val="18"/>
                <w:lang w:eastAsia="hr-HR"/>
              </w:rPr>
            </w:pPr>
            <w:r w:rsidRPr="000424F6">
              <w:rPr>
                <w:rFonts w:ascii="Calibri" w:eastAsia="Times New Roman" w:hAnsi="Calibri" w:cs="Calibri"/>
                <w:color w:val="000000"/>
                <w:sz w:val="18"/>
                <w:szCs w:val="18"/>
                <w:lang w:eastAsia="hr-HR"/>
              </w:rPr>
              <w:t>3.</w:t>
            </w:r>
          </w:p>
        </w:tc>
        <w:tc>
          <w:tcPr>
            <w:tcW w:w="2214" w:type="dxa"/>
            <w:tcBorders>
              <w:top w:val="nil"/>
              <w:left w:val="nil"/>
              <w:bottom w:val="single" w:sz="4" w:space="0" w:color="auto"/>
              <w:right w:val="single" w:sz="4" w:space="0" w:color="auto"/>
            </w:tcBorders>
            <w:noWrap/>
            <w:vAlign w:val="bottom"/>
            <w:hideMark/>
          </w:tcPr>
          <w:p w14:paraId="7220903D" w14:textId="77777777" w:rsidR="00820F2B" w:rsidRPr="000424F6" w:rsidRDefault="00820F2B" w:rsidP="00A86D03">
            <w:pPr>
              <w:spacing w:after="0" w:line="240" w:lineRule="auto"/>
              <w:jc w:val="center"/>
              <w:rPr>
                <w:rFonts w:ascii="Calibri" w:eastAsia="Times New Roman" w:hAnsi="Calibri" w:cs="Calibri"/>
                <w:color w:val="000000"/>
                <w:sz w:val="18"/>
                <w:szCs w:val="18"/>
                <w:lang w:eastAsia="hr-HR"/>
              </w:rPr>
            </w:pPr>
            <w:r w:rsidRPr="000424F6">
              <w:rPr>
                <w:rFonts w:ascii="Calibri" w:eastAsia="Times New Roman" w:hAnsi="Calibri" w:cs="Calibri"/>
                <w:color w:val="000000"/>
                <w:sz w:val="18"/>
                <w:szCs w:val="18"/>
                <w:lang w:eastAsia="hr-HR"/>
              </w:rPr>
              <w:t>4.</w:t>
            </w:r>
          </w:p>
        </w:tc>
      </w:tr>
      <w:tr w:rsidR="00820F2B" w:rsidRPr="000424F6" w14:paraId="1566E20A" w14:textId="77777777" w:rsidTr="00DD63A1">
        <w:trPr>
          <w:trHeight w:val="300"/>
        </w:trPr>
        <w:tc>
          <w:tcPr>
            <w:tcW w:w="3139" w:type="dxa"/>
            <w:tcBorders>
              <w:top w:val="nil"/>
              <w:left w:val="single" w:sz="4" w:space="0" w:color="auto"/>
              <w:bottom w:val="single" w:sz="4" w:space="0" w:color="auto"/>
              <w:right w:val="single" w:sz="4" w:space="0" w:color="auto"/>
            </w:tcBorders>
            <w:shd w:val="clear" w:color="000000" w:fill="F2F2F2"/>
            <w:noWrap/>
            <w:vAlign w:val="bottom"/>
            <w:hideMark/>
          </w:tcPr>
          <w:p w14:paraId="5100181C" w14:textId="77777777" w:rsidR="00820F2B" w:rsidRPr="000424F6" w:rsidRDefault="00820F2B" w:rsidP="00A86D03">
            <w:pPr>
              <w:spacing w:after="0" w:line="240" w:lineRule="auto"/>
              <w:rPr>
                <w:rFonts w:ascii="Calibri" w:eastAsia="Times New Roman" w:hAnsi="Calibri" w:cs="Calibri"/>
                <w:color w:val="000000"/>
                <w:sz w:val="18"/>
                <w:szCs w:val="18"/>
                <w:lang w:eastAsia="hr-HR"/>
              </w:rPr>
            </w:pPr>
            <w:r w:rsidRPr="000424F6">
              <w:rPr>
                <w:rFonts w:ascii="Calibri" w:eastAsia="Times New Roman" w:hAnsi="Calibri" w:cs="Calibri"/>
                <w:color w:val="000000"/>
                <w:sz w:val="18"/>
                <w:szCs w:val="18"/>
                <w:lang w:eastAsia="hr-HR"/>
              </w:rPr>
              <w:t>Grad Trogir</w:t>
            </w:r>
          </w:p>
        </w:tc>
        <w:tc>
          <w:tcPr>
            <w:tcW w:w="2500" w:type="dxa"/>
            <w:tcBorders>
              <w:top w:val="nil"/>
              <w:left w:val="nil"/>
              <w:bottom w:val="single" w:sz="4" w:space="0" w:color="auto"/>
              <w:right w:val="single" w:sz="4" w:space="0" w:color="auto"/>
            </w:tcBorders>
            <w:shd w:val="clear" w:color="000000" w:fill="F2F2F2"/>
            <w:noWrap/>
            <w:vAlign w:val="bottom"/>
            <w:hideMark/>
          </w:tcPr>
          <w:p w14:paraId="0BA9D3AD" w14:textId="4C763F40" w:rsidR="00820F2B" w:rsidRPr="000424F6" w:rsidRDefault="00D53702" w:rsidP="00A86D03">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2.247.519,01</w:t>
            </w:r>
          </w:p>
        </w:tc>
        <w:tc>
          <w:tcPr>
            <w:tcW w:w="1538" w:type="dxa"/>
            <w:tcBorders>
              <w:top w:val="nil"/>
              <w:left w:val="nil"/>
              <w:bottom w:val="single" w:sz="4" w:space="0" w:color="auto"/>
              <w:right w:val="single" w:sz="4" w:space="0" w:color="auto"/>
            </w:tcBorders>
            <w:shd w:val="clear" w:color="000000" w:fill="F2F2F2"/>
            <w:noWrap/>
            <w:vAlign w:val="bottom"/>
            <w:hideMark/>
          </w:tcPr>
          <w:p w14:paraId="0D2A3DBC" w14:textId="124F1365" w:rsidR="00820F2B" w:rsidRPr="000424F6" w:rsidRDefault="00D53702" w:rsidP="00A86D03">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30.118,87</w:t>
            </w:r>
          </w:p>
        </w:tc>
        <w:tc>
          <w:tcPr>
            <w:tcW w:w="2214" w:type="dxa"/>
            <w:tcBorders>
              <w:top w:val="nil"/>
              <w:left w:val="nil"/>
              <w:bottom w:val="single" w:sz="4" w:space="0" w:color="auto"/>
              <w:right w:val="single" w:sz="4" w:space="0" w:color="auto"/>
            </w:tcBorders>
            <w:shd w:val="clear" w:color="000000" w:fill="F2F2F2"/>
            <w:noWrap/>
            <w:vAlign w:val="bottom"/>
            <w:hideMark/>
          </w:tcPr>
          <w:p w14:paraId="288F1D61" w14:textId="150E4F3D" w:rsidR="00820F2B" w:rsidRPr="000424F6" w:rsidRDefault="00D53702" w:rsidP="00A86D03">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2.277.637,88</w:t>
            </w:r>
          </w:p>
        </w:tc>
      </w:tr>
      <w:tr w:rsidR="00820F2B" w:rsidRPr="000424F6" w14:paraId="6719EDDF" w14:textId="77777777" w:rsidTr="00DD63A1">
        <w:trPr>
          <w:trHeight w:val="300"/>
        </w:trPr>
        <w:tc>
          <w:tcPr>
            <w:tcW w:w="3139" w:type="dxa"/>
            <w:tcBorders>
              <w:top w:val="nil"/>
              <w:left w:val="single" w:sz="4" w:space="0" w:color="auto"/>
              <w:bottom w:val="single" w:sz="4" w:space="0" w:color="auto"/>
              <w:right w:val="single" w:sz="4" w:space="0" w:color="auto"/>
            </w:tcBorders>
            <w:noWrap/>
            <w:vAlign w:val="bottom"/>
            <w:hideMark/>
          </w:tcPr>
          <w:p w14:paraId="26FA5E45" w14:textId="77777777" w:rsidR="00820F2B" w:rsidRPr="000424F6" w:rsidRDefault="00820F2B" w:rsidP="00A86D03">
            <w:pPr>
              <w:spacing w:after="0" w:line="240" w:lineRule="auto"/>
              <w:rPr>
                <w:rFonts w:ascii="Calibri" w:eastAsia="Times New Roman" w:hAnsi="Calibri" w:cs="Calibri"/>
                <w:color w:val="000000"/>
                <w:sz w:val="18"/>
                <w:szCs w:val="18"/>
                <w:lang w:eastAsia="hr-HR"/>
              </w:rPr>
            </w:pPr>
            <w:r w:rsidRPr="000424F6">
              <w:rPr>
                <w:rFonts w:ascii="Calibri" w:eastAsia="Times New Roman" w:hAnsi="Calibri" w:cs="Calibri"/>
                <w:color w:val="000000"/>
                <w:sz w:val="18"/>
                <w:szCs w:val="18"/>
                <w:lang w:eastAsia="hr-HR"/>
              </w:rPr>
              <w:t>Dječji vrtić Trogir</w:t>
            </w:r>
          </w:p>
        </w:tc>
        <w:tc>
          <w:tcPr>
            <w:tcW w:w="2500" w:type="dxa"/>
            <w:tcBorders>
              <w:top w:val="nil"/>
              <w:left w:val="nil"/>
              <w:bottom w:val="single" w:sz="4" w:space="0" w:color="auto"/>
              <w:right w:val="single" w:sz="4" w:space="0" w:color="auto"/>
            </w:tcBorders>
            <w:noWrap/>
            <w:vAlign w:val="bottom"/>
            <w:hideMark/>
          </w:tcPr>
          <w:p w14:paraId="6DFF3F3A" w14:textId="6019CC73" w:rsidR="00820F2B" w:rsidRPr="000424F6" w:rsidRDefault="00731A73" w:rsidP="00A86D03">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7.207,78</w:t>
            </w:r>
          </w:p>
        </w:tc>
        <w:tc>
          <w:tcPr>
            <w:tcW w:w="1538" w:type="dxa"/>
            <w:tcBorders>
              <w:top w:val="nil"/>
              <w:left w:val="nil"/>
              <w:bottom w:val="single" w:sz="4" w:space="0" w:color="auto"/>
              <w:right w:val="single" w:sz="4" w:space="0" w:color="auto"/>
            </w:tcBorders>
            <w:noWrap/>
            <w:vAlign w:val="bottom"/>
            <w:hideMark/>
          </w:tcPr>
          <w:p w14:paraId="74297CD1" w14:textId="77777777" w:rsidR="00820F2B" w:rsidRPr="000424F6" w:rsidRDefault="00820F2B" w:rsidP="00A86D03">
            <w:pPr>
              <w:spacing w:after="0" w:line="240" w:lineRule="auto"/>
              <w:jc w:val="right"/>
              <w:rPr>
                <w:rFonts w:ascii="Calibri" w:eastAsia="Times New Roman" w:hAnsi="Calibri" w:cs="Calibri"/>
                <w:color w:val="000000"/>
                <w:sz w:val="18"/>
                <w:szCs w:val="18"/>
                <w:lang w:eastAsia="hr-HR"/>
              </w:rPr>
            </w:pPr>
            <w:r w:rsidRPr="000424F6">
              <w:rPr>
                <w:rFonts w:ascii="Calibri" w:eastAsia="Times New Roman" w:hAnsi="Calibri" w:cs="Calibri"/>
                <w:color w:val="000000"/>
                <w:sz w:val="18"/>
                <w:szCs w:val="18"/>
                <w:lang w:eastAsia="hr-HR"/>
              </w:rPr>
              <w:t>0,00</w:t>
            </w:r>
          </w:p>
        </w:tc>
        <w:tc>
          <w:tcPr>
            <w:tcW w:w="2214" w:type="dxa"/>
            <w:tcBorders>
              <w:top w:val="nil"/>
              <w:left w:val="nil"/>
              <w:bottom w:val="single" w:sz="4" w:space="0" w:color="auto"/>
              <w:right w:val="single" w:sz="4" w:space="0" w:color="auto"/>
            </w:tcBorders>
            <w:noWrap/>
            <w:vAlign w:val="bottom"/>
            <w:hideMark/>
          </w:tcPr>
          <w:p w14:paraId="76A65BBA" w14:textId="13DB06E1" w:rsidR="00820F2B" w:rsidRPr="000424F6" w:rsidRDefault="00731A73" w:rsidP="00A86D03">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7.207,78</w:t>
            </w:r>
          </w:p>
        </w:tc>
      </w:tr>
      <w:tr w:rsidR="00820F2B" w:rsidRPr="000424F6" w14:paraId="0E211ECE" w14:textId="77777777" w:rsidTr="00DD63A1">
        <w:trPr>
          <w:trHeight w:val="300"/>
        </w:trPr>
        <w:tc>
          <w:tcPr>
            <w:tcW w:w="3139" w:type="dxa"/>
            <w:tcBorders>
              <w:top w:val="nil"/>
              <w:left w:val="single" w:sz="4" w:space="0" w:color="auto"/>
              <w:bottom w:val="single" w:sz="4" w:space="0" w:color="auto"/>
              <w:right w:val="single" w:sz="4" w:space="0" w:color="auto"/>
            </w:tcBorders>
            <w:noWrap/>
            <w:vAlign w:val="bottom"/>
            <w:hideMark/>
          </w:tcPr>
          <w:p w14:paraId="68C7753A" w14:textId="77777777" w:rsidR="00820F2B" w:rsidRPr="000424F6" w:rsidRDefault="00820F2B" w:rsidP="00A86D03">
            <w:pPr>
              <w:spacing w:after="0" w:line="240" w:lineRule="auto"/>
              <w:rPr>
                <w:rFonts w:ascii="Calibri" w:eastAsia="Times New Roman" w:hAnsi="Calibri" w:cs="Calibri"/>
                <w:color w:val="000000"/>
                <w:sz w:val="18"/>
                <w:szCs w:val="18"/>
                <w:lang w:eastAsia="hr-HR"/>
              </w:rPr>
            </w:pPr>
            <w:r w:rsidRPr="000424F6">
              <w:rPr>
                <w:rFonts w:ascii="Calibri" w:eastAsia="Times New Roman" w:hAnsi="Calibri" w:cs="Calibri"/>
                <w:color w:val="000000"/>
                <w:sz w:val="18"/>
                <w:szCs w:val="18"/>
                <w:lang w:eastAsia="hr-HR"/>
              </w:rPr>
              <w:t>Gradska knjižnica Trogir</w:t>
            </w:r>
          </w:p>
        </w:tc>
        <w:tc>
          <w:tcPr>
            <w:tcW w:w="2500" w:type="dxa"/>
            <w:tcBorders>
              <w:top w:val="nil"/>
              <w:left w:val="nil"/>
              <w:bottom w:val="single" w:sz="4" w:space="0" w:color="auto"/>
              <w:right w:val="single" w:sz="4" w:space="0" w:color="auto"/>
            </w:tcBorders>
            <w:noWrap/>
            <w:vAlign w:val="bottom"/>
            <w:hideMark/>
          </w:tcPr>
          <w:p w14:paraId="46E91D84" w14:textId="77777777" w:rsidR="00820F2B" w:rsidRPr="000424F6" w:rsidRDefault="00820F2B" w:rsidP="00A86D03">
            <w:pPr>
              <w:spacing w:after="0" w:line="240" w:lineRule="auto"/>
              <w:jc w:val="right"/>
              <w:rPr>
                <w:rFonts w:ascii="Calibri" w:eastAsia="Times New Roman" w:hAnsi="Calibri" w:cs="Calibri"/>
                <w:color w:val="000000"/>
                <w:sz w:val="18"/>
                <w:szCs w:val="18"/>
                <w:lang w:eastAsia="hr-HR"/>
              </w:rPr>
            </w:pPr>
            <w:r w:rsidRPr="000424F6">
              <w:rPr>
                <w:rFonts w:ascii="Calibri" w:eastAsia="Times New Roman" w:hAnsi="Calibri" w:cs="Calibri"/>
                <w:color w:val="000000"/>
                <w:sz w:val="18"/>
                <w:szCs w:val="18"/>
                <w:lang w:eastAsia="hr-HR"/>
              </w:rPr>
              <w:t>0,00</w:t>
            </w:r>
          </w:p>
        </w:tc>
        <w:tc>
          <w:tcPr>
            <w:tcW w:w="1538" w:type="dxa"/>
            <w:tcBorders>
              <w:top w:val="nil"/>
              <w:left w:val="nil"/>
              <w:bottom w:val="single" w:sz="4" w:space="0" w:color="auto"/>
              <w:right w:val="single" w:sz="4" w:space="0" w:color="auto"/>
            </w:tcBorders>
            <w:noWrap/>
            <w:vAlign w:val="bottom"/>
            <w:hideMark/>
          </w:tcPr>
          <w:p w14:paraId="781E3CEC" w14:textId="77777777" w:rsidR="00820F2B" w:rsidRPr="000424F6" w:rsidRDefault="00820F2B" w:rsidP="00A86D03">
            <w:pPr>
              <w:spacing w:after="0" w:line="240" w:lineRule="auto"/>
              <w:jc w:val="right"/>
              <w:rPr>
                <w:rFonts w:ascii="Calibri" w:eastAsia="Times New Roman" w:hAnsi="Calibri" w:cs="Calibri"/>
                <w:color w:val="000000"/>
                <w:sz w:val="18"/>
                <w:szCs w:val="18"/>
                <w:lang w:eastAsia="hr-HR"/>
              </w:rPr>
            </w:pPr>
            <w:r w:rsidRPr="000424F6">
              <w:rPr>
                <w:rFonts w:ascii="Calibri" w:eastAsia="Times New Roman" w:hAnsi="Calibri" w:cs="Calibri"/>
                <w:color w:val="000000"/>
                <w:sz w:val="18"/>
                <w:szCs w:val="18"/>
                <w:lang w:eastAsia="hr-HR"/>
              </w:rPr>
              <w:t>0,00</w:t>
            </w:r>
          </w:p>
        </w:tc>
        <w:tc>
          <w:tcPr>
            <w:tcW w:w="2214" w:type="dxa"/>
            <w:tcBorders>
              <w:top w:val="nil"/>
              <w:left w:val="nil"/>
              <w:bottom w:val="single" w:sz="4" w:space="0" w:color="auto"/>
              <w:right w:val="single" w:sz="4" w:space="0" w:color="auto"/>
            </w:tcBorders>
            <w:noWrap/>
            <w:vAlign w:val="bottom"/>
            <w:hideMark/>
          </w:tcPr>
          <w:p w14:paraId="3B14201F" w14:textId="77777777" w:rsidR="00820F2B" w:rsidRPr="000424F6" w:rsidRDefault="00820F2B" w:rsidP="00A86D03">
            <w:pPr>
              <w:spacing w:after="0" w:line="240" w:lineRule="auto"/>
              <w:jc w:val="right"/>
              <w:rPr>
                <w:rFonts w:ascii="Calibri" w:eastAsia="Times New Roman" w:hAnsi="Calibri" w:cs="Calibri"/>
                <w:color w:val="000000"/>
                <w:sz w:val="18"/>
                <w:szCs w:val="18"/>
                <w:lang w:eastAsia="hr-HR"/>
              </w:rPr>
            </w:pPr>
            <w:r w:rsidRPr="000424F6">
              <w:rPr>
                <w:rFonts w:ascii="Calibri" w:eastAsia="Times New Roman" w:hAnsi="Calibri" w:cs="Calibri"/>
                <w:color w:val="000000"/>
                <w:sz w:val="18"/>
                <w:szCs w:val="18"/>
                <w:lang w:eastAsia="hr-HR"/>
              </w:rPr>
              <w:t>0,00</w:t>
            </w:r>
          </w:p>
        </w:tc>
      </w:tr>
      <w:tr w:rsidR="00820F2B" w:rsidRPr="000424F6" w14:paraId="60EFCC73" w14:textId="77777777" w:rsidTr="00DD63A1">
        <w:trPr>
          <w:trHeight w:val="300"/>
        </w:trPr>
        <w:tc>
          <w:tcPr>
            <w:tcW w:w="3139" w:type="dxa"/>
            <w:tcBorders>
              <w:top w:val="nil"/>
              <w:left w:val="single" w:sz="4" w:space="0" w:color="auto"/>
              <w:bottom w:val="single" w:sz="4" w:space="0" w:color="auto"/>
              <w:right w:val="single" w:sz="4" w:space="0" w:color="auto"/>
            </w:tcBorders>
            <w:noWrap/>
            <w:vAlign w:val="bottom"/>
            <w:hideMark/>
          </w:tcPr>
          <w:p w14:paraId="27A77AA3" w14:textId="77777777" w:rsidR="00820F2B" w:rsidRPr="000424F6" w:rsidRDefault="00820F2B" w:rsidP="00A86D03">
            <w:pPr>
              <w:spacing w:after="0" w:line="240" w:lineRule="auto"/>
              <w:rPr>
                <w:rFonts w:ascii="Calibri" w:eastAsia="Times New Roman" w:hAnsi="Calibri" w:cs="Calibri"/>
                <w:color w:val="000000"/>
                <w:sz w:val="18"/>
                <w:szCs w:val="18"/>
                <w:lang w:eastAsia="hr-HR"/>
              </w:rPr>
            </w:pPr>
            <w:r w:rsidRPr="000424F6">
              <w:rPr>
                <w:rFonts w:ascii="Calibri" w:eastAsia="Times New Roman" w:hAnsi="Calibri" w:cs="Calibri"/>
                <w:color w:val="000000"/>
                <w:sz w:val="18"/>
                <w:szCs w:val="18"/>
                <w:lang w:eastAsia="hr-HR"/>
              </w:rPr>
              <w:t>Muzej Grada Trogira</w:t>
            </w:r>
          </w:p>
        </w:tc>
        <w:tc>
          <w:tcPr>
            <w:tcW w:w="2500" w:type="dxa"/>
            <w:tcBorders>
              <w:top w:val="nil"/>
              <w:left w:val="nil"/>
              <w:bottom w:val="single" w:sz="4" w:space="0" w:color="auto"/>
              <w:right w:val="single" w:sz="4" w:space="0" w:color="auto"/>
            </w:tcBorders>
            <w:noWrap/>
            <w:vAlign w:val="bottom"/>
            <w:hideMark/>
          </w:tcPr>
          <w:p w14:paraId="5F1882B9" w14:textId="4836CBA3" w:rsidR="00820F2B" w:rsidRPr="000424F6" w:rsidRDefault="00731A73" w:rsidP="00A86D03">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0,00</w:t>
            </w:r>
          </w:p>
        </w:tc>
        <w:tc>
          <w:tcPr>
            <w:tcW w:w="1538" w:type="dxa"/>
            <w:tcBorders>
              <w:top w:val="nil"/>
              <w:left w:val="nil"/>
              <w:bottom w:val="single" w:sz="4" w:space="0" w:color="auto"/>
              <w:right w:val="single" w:sz="4" w:space="0" w:color="auto"/>
            </w:tcBorders>
            <w:noWrap/>
            <w:vAlign w:val="bottom"/>
            <w:hideMark/>
          </w:tcPr>
          <w:p w14:paraId="4A5BE64C" w14:textId="77777777" w:rsidR="00820F2B" w:rsidRPr="000424F6" w:rsidRDefault="00820F2B" w:rsidP="00A86D03">
            <w:pPr>
              <w:spacing w:after="0" w:line="240" w:lineRule="auto"/>
              <w:jc w:val="right"/>
              <w:rPr>
                <w:rFonts w:ascii="Calibri" w:eastAsia="Times New Roman" w:hAnsi="Calibri" w:cs="Calibri"/>
                <w:color w:val="000000"/>
                <w:sz w:val="18"/>
                <w:szCs w:val="18"/>
                <w:lang w:eastAsia="hr-HR"/>
              </w:rPr>
            </w:pPr>
            <w:r w:rsidRPr="000424F6">
              <w:rPr>
                <w:rFonts w:ascii="Calibri" w:eastAsia="Times New Roman" w:hAnsi="Calibri" w:cs="Calibri"/>
                <w:color w:val="000000"/>
                <w:sz w:val="18"/>
                <w:szCs w:val="18"/>
                <w:lang w:eastAsia="hr-HR"/>
              </w:rPr>
              <w:t>0,00</w:t>
            </w:r>
          </w:p>
        </w:tc>
        <w:tc>
          <w:tcPr>
            <w:tcW w:w="2214" w:type="dxa"/>
            <w:tcBorders>
              <w:top w:val="nil"/>
              <w:left w:val="nil"/>
              <w:bottom w:val="single" w:sz="4" w:space="0" w:color="auto"/>
              <w:right w:val="single" w:sz="4" w:space="0" w:color="auto"/>
            </w:tcBorders>
            <w:noWrap/>
            <w:vAlign w:val="bottom"/>
            <w:hideMark/>
          </w:tcPr>
          <w:p w14:paraId="429ECB73" w14:textId="77777777" w:rsidR="00820F2B" w:rsidRPr="000424F6" w:rsidRDefault="00820F2B" w:rsidP="00A86D03">
            <w:pPr>
              <w:spacing w:after="0" w:line="240" w:lineRule="auto"/>
              <w:jc w:val="right"/>
              <w:rPr>
                <w:rFonts w:ascii="Calibri" w:eastAsia="Times New Roman" w:hAnsi="Calibri" w:cs="Calibri"/>
                <w:color w:val="000000"/>
                <w:sz w:val="18"/>
                <w:szCs w:val="18"/>
                <w:lang w:eastAsia="hr-HR"/>
              </w:rPr>
            </w:pPr>
            <w:r w:rsidRPr="000424F6">
              <w:rPr>
                <w:rFonts w:ascii="Calibri" w:eastAsia="Times New Roman" w:hAnsi="Calibri" w:cs="Calibri"/>
                <w:color w:val="000000"/>
                <w:sz w:val="18"/>
                <w:szCs w:val="18"/>
                <w:lang w:eastAsia="hr-HR"/>
              </w:rPr>
              <w:t>0,00</w:t>
            </w:r>
          </w:p>
        </w:tc>
      </w:tr>
      <w:tr w:rsidR="00820F2B" w:rsidRPr="000424F6" w14:paraId="0961567B" w14:textId="77777777" w:rsidTr="00DD63A1">
        <w:trPr>
          <w:trHeight w:val="300"/>
        </w:trPr>
        <w:tc>
          <w:tcPr>
            <w:tcW w:w="3139" w:type="dxa"/>
            <w:tcBorders>
              <w:top w:val="nil"/>
              <w:left w:val="single" w:sz="4" w:space="0" w:color="auto"/>
              <w:bottom w:val="single" w:sz="4" w:space="0" w:color="auto"/>
              <w:right w:val="single" w:sz="4" w:space="0" w:color="auto"/>
            </w:tcBorders>
            <w:noWrap/>
            <w:vAlign w:val="bottom"/>
            <w:hideMark/>
          </w:tcPr>
          <w:p w14:paraId="6A83312A" w14:textId="77777777" w:rsidR="00820F2B" w:rsidRPr="000424F6" w:rsidRDefault="00820F2B" w:rsidP="00A86D03">
            <w:pPr>
              <w:spacing w:after="0" w:line="240" w:lineRule="auto"/>
              <w:rPr>
                <w:rFonts w:ascii="Calibri" w:eastAsia="Times New Roman" w:hAnsi="Calibri" w:cs="Calibri"/>
                <w:color w:val="000000"/>
                <w:sz w:val="18"/>
                <w:szCs w:val="18"/>
                <w:lang w:eastAsia="hr-HR"/>
              </w:rPr>
            </w:pPr>
            <w:r w:rsidRPr="000424F6">
              <w:rPr>
                <w:rFonts w:ascii="Calibri" w:eastAsia="Times New Roman" w:hAnsi="Calibri" w:cs="Calibri"/>
                <w:color w:val="000000"/>
                <w:sz w:val="18"/>
                <w:szCs w:val="18"/>
                <w:lang w:eastAsia="hr-HR"/>
              </w:rPr>
              <w:t>Javna ustanova Sportski objekti</w:t>
            </w:r>
          </w:p>
        </w:tc>
        <w:tc>
          <w:tcPr>
            <w:tcW w:w="2500" w:type="dxa"/>
            <w:tcBorders>
              <w:top w:val="nil"/>
              <w:left w:val="nil"/>
              <w:bottom w:val="single" w:sz="4" w:space="0" w:color="auto"/>
              <w:right w:val="single" w:sz="4" w:space="0" w:color="auto"/>
            </w:tcBorders>
            <w:noWrap/>
            <w:vAlign w:val="bottom"/>
            <w:hideMark/>
          </w:tcPr>
          <w:p w14:paraId="46020CD9" w14:textId="30EDC43A" w:rsidR="00820F2B" w:rsidRPr="000424F6" w:rsidRDefault="00731A73" w:rsidP="00A86D03">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7.303,15</w:t>
            </w:r>
          </w:p>
        </w:tc>
        <w:tc>
          <w:tcPr>
            <w:tcW w:w="1538" w:type="dxa"/>
            <w:tcBorders>
              <w:top w:val="nil"/>
              <w:left w:val="nil"/>
              <w:bottom w:val="single" w:sz="4" w:space="0" w:color="auto"/>
              <w:right w:val="single" w:sz="4" w:space="0" w:color="auto"/>
            </w:tcBorders>
            <w:noWrap/>
            <w:vAlign w:val="bottom"/>
            <w:hideMark/>
          </w:tcPr>
          <w:p w14:paraId="57B3AC95" w14:textId="77777777" w:rsidR="00820F2B" w:rsidRPr="000424F6" w:rsidRDefault="00820F2B" w:rsidP="00A86D03">
            <w:pPr>
              <w:spacing w:after="0" w:line="240" w:lineRule="auto"/>
              <w:jc w:val="right"/>
              <w:rPr>
                <w:rFonts w:ascii="Calibri" w:eastAsia="Times New Roman" w:hAnsi="Calibri" w:cs="Calibri"/>
                <w:color w:val="000000"/>
                <w:sz w:val="18"/>
                <w:szCs w:val="18"/>
                <w:lang w:eastAsia="hr-HR"/>
              </w:rPr>
            </w:pPr>
            <w:r w:rsidRPr="000424F6">
              <w:rPr>
                <w:rFonts w:ascii="Calibri" w:eastAsia="Times New Roman" w:hAnsi="Calibri" w:cs="Calibri"/>
                <w:color w:val="000000"/>
                <w:sz w:val="18"/>
                <w:szCs w:val="18"/>
                <w:lang w:eastAsia="hr-HR"/>
              </w:rPr>
              <w:t>0,00</w:t>
            </w:r>
          </w:p>
        </w:tc>
        <w:tc>
          <w:tcPr>
            <w:tcW w:w="2214" w:type="dxa"/>
            <w:tcBorders>
              <w:top w:val="nil"/>
              <w:left w:val="nil"/>
              <w:bottom w:val="single" w:sz="4" w:space="0" w:color="auto"/>
              <w:right w:val="single" w:sz="4" w:space="0" w:color="auto"/>
            </w:tcBorders>
            <w:noWrap/>
            <w:vAlign w:val="bottom"/>
            <w:hideMark/>
          </w:tcPr>
          <w:p w14:paraId="22F0C279" w14:textId="08D7BADC" w:rsidR="00820F2B" w:rsidRPr="000424F6" w:rsidRDefault="00731A73" w:rsidP="00A86D03">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7.303,15</w:t>
            </w:r>
          </w:p>
        </w:tc>
      </w:tr>
      <w:tr w:rsidR="00820F2B" w:rsidRPr="000424F6" w14:paraId="330FDDCF" w14:textId="77777777" w:rsidTr="00DD63A1">
        <w:trPr>
          <w:trHeight w:val="300"/>
        </w:trPr>
        <w:tc>
          <w:tcPr>
            <w:tcW w:w="3139" w:type="dxa"/>
            <w:tcBorders>
              <w:top w:val="nil"/>
              <w:left w:val="single" w:sz="4" w:space="0" w:color="auto"/>
              <w:bottom w:val="single" w:sz="4" w:space="0" w:color="auto"/>
              <w:right w:val="single" w:sz="4" w:space="0" w:color="auto"/>
            </w:tcBorders>
            <w:noWrap/>
            <w:vAlign w:val="bottom"/>
            <w:hideMark/>
          </w:tcPr>
          <w:p w14:paraId="763F5AD6" w14:textId="77777777" w:rsidR="00820F2B" w:rsidRPr="000424F6" w:rsidRDefault="00820F2B" w:rsidP="00A86D03">
            <w:pPr>
              <w:spacing w:after="0" w:line="240" w:lineRule="auto"/>
              <w:rPr>
                <w:rFonts w:ascii="Calibri" w:eastAsia="Times New Roman" w:hAnsi="Calibri" w:cs="Calibri"/>
                <w:color w:val="000000"/>
                <w:sz w:val="18"/>
                <w:szCs w:val="18"/>
                <w:lang w:eastAsia="hr-HR"/>
              </w:rPr>
            </w:pPr>
            <w:r w:rsidRPr="000424F6">
              <w:rPr>
                <w:rFonts w:ascii="Calibri" w:eastAsia="Times New Roman" w:hAnsi="Calibri" w:cs="Calibri"/>
                <w:color w:val="000000"/>
                <w:sz w:val="18"/>
                <w:szCs w:val="18"/>
                <w:lang w:eastAsia="hr-HR"/>
              </w:rPr>
              <w:t>JVP Grada Trogira</w:t>
            </w:r>
          </w:p>
        </w:tc>
        <w:tc>
          <w:tcPr>
            <w:tcW w:w="2500" w:type="dxa"/>
            <w:tcBorders>
              <w:top w:val="nil"/>
              <w:left w:val="nil"/>
              <w:bottom w:val="single" w:sz="4" w:space="0" w:color="auto"/>
              <w:right w:val="single" w:sz="4" w:space="0" w:color="auto"/>
            </w:tcBorders>
            <w:noWrap/>
            <w:vAlign w:val="bottom"/>
            <w:hideMark/>
          </w:tcPr>
          <w:p w14:paraId="778CBFBF" w14:textId="1E51AAB9" w:rsidR="00820F2B" w:rsidRPr="000424F6" w:rsidRDefault="00731A73" w:rsidP="00A86D03">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3.995,61</w:t>
            </w:r>
          </w:p>
        </w:tc>
        <w:tc>
          <w:tcPr>
            <w:tcW w:w="1538" w:type="dxa"/>
            <w:tcBorders>
              <w:top w:val="nil"/>
              <w:left w:val="nil"/>
              <w:bottom w:val="single" w:sz="4" w:space="0" w:color="auto"/>
              <w:right w:val="single" w:sz="4" w:space="0" w:color="auto"/>
            </w:tcBorders>
            <w:noWrap/>
            <w:vAlign w:val="bottom"/>
            <w:hideMark/>
          </w:tcPr>
          <w:p w14:paraId="6DA4F3E7" w14:textId="77777777" w:rsidR="00820F2B" w:rsidRPr="000424F6" w:rsidRDefault="00820F2B" w:rsidP="00A86D03">
            <w:pPr>
              <w:spacing w:after="0" w:line="240" w:lineRule="auto"/>
              <w:jc w:val="right"/>
              <w:rPr>
                <w:rFonts w:ascii="Calibri" w:eastAsia="Times New Roman" w:hAnsi="Calibri" w:cs="Calibri"/>
                <w:color w:val="000000"/>
                <w:sz w:val="18"/>
                <w:szCs w:val="18"/>
                <w:lang w:eastAsia="hr-HR"/>
              </w:rPr>
            </w:pPr>
            <w:r w:rsidRPr="000424F6">
              <w:rPr>
                <w:rFonts w:ascii="Calibri" w:eastAsia="Times New Roman" w:hAnsi="Calibri" w:cs="Calibri"/>
                <w:color w:val="000000"/>
                <w:sz w:val="18"/>
                <w:szCs w:val="18"/>
                <w:lang w:eastAsia="hr-HR"/>
              </w:rPr>
              <w:t>0,00</w:t>
            </w:r>
          </w:p>
        </w:tc>
        <w:tc>
          <w:tcPr>
            <w:tcW w:w="2214" w:type="dxa"/>
            <w:tcBorders>
              <w:top w:val="nil"/>
              <w:left w:val="nil"/>
              <w:bottom w:val="single" w:sz="4" w:space="0" w:color="auto"/>
              <w:right w:val="single" w:sz="4" w:space="0" w:color="auto"/>
            </w:tcBorders>
            <w:noWrap/>
            <w:vAlign w:val="bottom"/>
            <w:hideMark/>
          </w:tcPr>
          <w:p w14:paraId="6C2DC5F3" w14:textId="3D6D828E" w:rsidR="00820F2B" w:rsidRPr="000424F6" w:rsidRDefault="00731A73" w:rsidP="00A86D03">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3.995,61</w:t>
            </w:r>
          </w:p>
        </w:tc>
      </w:tr>
      <w:tr w:rsidR="00820F2B" w:rsidRPr="000424F6" w14:paraId="1453EA98" w14:textId="77777777" w:rsidTr="00DD63A1">
        <w:trPr>
          <w:trHeight w:val="300"/>
        </w:trPr>
        <w:tc>
          <w:tcPr>
            <w:tcW w:w="3139" w:type="dxa"/>
            <w:tcBorders>
              <w:top w:val="nil"/>
              <w:left w:val="single" w:sz="4" w:space="0" w:color="auto"/>
              <w:bottom w:val="single" w:sz="4" w:space="0" w:color="auto"/>
              <w:right w:val="single" w:sz="4" w:space="0" w:color="auto"/>
            </w:tcBorders>
            <w:shd w:val="clear" w:color="000000" w:fill="F2F2F2"/>
            <w:noWrap/>
            <w:vAlign w:val="bottom"/>
            <w:hideMark/>
          </w:tcPr>
          <w:p w14:paraId="02BD22A6" w14:textId="77777777" w:rsidR="00820F2B" w:rsidRPr="000424F6" w:rsidRDefault="00820F2B" w:rsidP="00A86D03">
            <w:pPr>
              <w:spacing w:after="0" w:line="240" w:lineRule="auto"/>
              <w:rPr>
                <w:rFonts w:ascii="Calibri" w:eastAsia="Times New Roman" w:hAnsi="Calibri" w:cs="Calibri"/>
                <w:color w:val="000000"/>
                <w:sz w:val="18"/>
                <w:szCs w:val="18"/>
                <w:lang w:eastAsia="hr-HR"/>
              </w:rPr>
            </w:pPr>
            <w:r w:rsidRPr="000424F6">
              <w:rPr>
                <w:rFonts w:ascii="Calibri" w:eastAsia="Times New Roman" w:hAnsi="Calibri" w:cs="Calibri"/>
                <w:color w:val="000000"/>
                <w:sz w:val="18"/>
                <w:szCs w:val="18"/>
                <w:lang w:eastAsia="hr-HR"/>
              </w:rPr>
              <w:t>Ukupno proračunski korisnici</w:t>
            </w:r>
          </w:p>
        </w:tc>
        <w:tc>
          <w:tcPr>
            <w:tcW w:w="2500" w:type="dxa"/>
            <w:tcBorders>
              <w:top w:val="nil"/>
              <w:left w:val="nil"/>
              <w:bottom w:val="single" w:sz="4" w:space="0" w:color="auto"/>
              <w:right w:val="single" w:sz="4" w:space="0" w:color="auto"/>
            </w:tcBorders>
            <w:shd w:val="clear" w:color="000000" w:fill="F2F2F2"/>
            <w:noWrap/>
            <w:vAlign w:val="bottom"/>
            <w:hideMark/>
          </w:tcPr>
          <w:p w14:paraId="2CE6E29E" w14:textId="1DA49688" w:rsidR="00820F2B" w:rsidRPr="000424F6" w:rsidRDefault="00731A73" w:rsidP="00A86D03">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18.506,54</w:t>
            </w:r>
          </w:p>
        </w:tc>
        <w:tc>
          <w:tcPr>
            <w:tcW w:w="1538" w:type="dxa"/>
            <w:tcBorders>
              <w:top w:val="nil"/>
              <w:left w:val="nil"/>
              <w:bottom w:val="single" w:sz="4" w:space="0" w:color="auto"/>
              <w:right w:val="single" w:sz="4" w:space="0" w:color="auto"/>
            </w:tcBorders>
            <w:shd w:val="clear" w:color="000000" w:fill="F2F2F2"/>
            <w:noWrap/>
            <w:vAlign w:val="bottom"/>
            <w:hideMark/>
          </w:tcPr>
          <w:p w14:paraId="3090969A" w14:textId="77777777" w:rsidR="00820F2B" w:rsidRPr="000424F6" w:rsidRDefault="00820F2B" w:rsidP="00A86D03">
            <w:pPr>
              <w:spacing w:after="0" w:line="240" w:lineRule="auto"/>
              <w:jc w:val="right"/>
              <w:rPr>
                <w:rFonts w:ascii="Calibri" w:eastAsia="Times New Roman" w:hAnsi="Calibri" w:cs="Calibri"/>
                <w:color w:val="000000"/>
                <w:sz w:val="18"/>
                <w:szCs w:val="18"/>
                <w:lang w:eastAsia="hr-HR"/>
              </w:rPr>
            </w:pPr>
            <w:r w:rsidRPr="000424F6">
              <w:rPr>
                <w:rFonts w:ascii="Calibri" w:eastAsia="Times New Roman" w:hAnsi="Calibri" w:cs="Calibri"/>
                <w:color w:val="000000"/>
                <w:sz w:val="18"/>
                <w:szCs w:val="18"/>
                <w:lang w:eastAsia="hr-HR"/>
              </w:rPr>
              <w:t>0,00</w:t>
            </w:r>
          </w:p>
        </w:tc>
        <w:tc>
          <w:tcPr>
            <w:tcW w:w="2214" w:type="dxa"/>
            <w:tcBorders>
              <w:top w:val="nil"/>
              <w:left w:val="nil"/>
              <w:bottom w:val="single" w:sz="4" w:space="0" w:color="auto"/>
              <w:right w:val="single" w:sz="4" w:space="0" w:color="auto"/>
            </w:tcBorders>
            <w:shd w:val="clear" w:color="000000" w:fill="F2F2F2"/>
            <w:noWrap/>
            <w:vAlign w:val="bottom"/>
            <w:hideMark/>
          </w:tcPr>
          <w:p w14:paraId="35EE5C33" w14:textId="7CAA4081" w:rsidR="00820F2B" w:rsidRPr="000424F6" w:rsidRDefault="00731A73" w:rsidP="00A86D03">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18.506,54</w:t>
            </w:r>
          </w:p>
        </w:tc>
      </w:tr>
      <w:tr w:rsidR="00820F2B" w:rsidRPr="000424F6" w14:paraId="523FBEBF" w14:textId="77777777" w:rsidTr="00DD63A1">
        <w:trPr>
          <w:trHeight w:val="300"/>
        </w:trPr>
        <w:tc>
          <w:tcPr>
            <w:tcW w:w="3139" w:type="dxa"/>
            <w:tcBorders>
              <w:top w:val="nil"/>
              <w:left w:val="single" w:sz="4" w:space="0" w:color="auto"/>
              <w:bottom w:val="single" w:sz="4" w:space="0" w:color="auto"/>
              <w:right w:val="single" w:sz="4" w:space="0" w:color="auto"/>
            </w:tcBorders>
            <w:shd w:val="clear" w:color="000000" w:fill="D9D9D9"/>
            <w:noWrap/>
            <w:vAlign w:val="bottom"/>
            <w:hideMark/>
          </w:tcPr>
          <w:p w14:paraId="725B896E" w14:textId="77777777" w:rsidR="00820F2B" w:rsidRPr="000424F6" w:rsidRDefault="00820F2B" w:rsidP="00A86D03">
            <w:pPr>
              <w:spacing w:after="0" w:line="240" w:lineRule="auto"/>
              <w:rPr>
                <w:rFonts w:ascii="Calibri" w:eastAsia="Times New Roman" w:hAnsi="Calibri" w:cs="Calibri"/>
                <w:b/>
                <w:bCs/>
                <w:color w:val="000000"/>
                <w:sz w:val="20"/>
                <w:szCs w:val="20"/>
                <w:lang w:eastAsia="hr-HR"/>
              </w:rPr>
            </w:pPr>
            <w:r w:rsidRPr="000424F6">
              <w:rPr>
                <w:rFonts w:ascii="Calibri" w:eastAsia="Times New Roman" w:hAnsi="Calibri" w:cs="Calibri"/>
                <w:b/>
                <w:bCs/>
                <w:color w:val="000000"/>
                <w:sz w:val="20"/>
                <w:szCs w:val="20"/>
                <w:lang w:eastAsia="hr-HR"/>
              </w:rPr>
              <w:t xml:space="preserve">SVEUKUPNO </w:t>
            </w:r>
          </w:p>
        </w:tc>
        <w:tc>
          <w:tcPr>
            <w:tcW w:w="2500" w:type="dxa"/>
            <w:tcBorders>
              <w:top w:val="nil"/>
              <w:left w:val="nil"/>
              <w:bottom w:val="single" w:sz="4" w:space="0" w:color="auto"/>
              <w:right w:val="single" w:sz="4" w:space="0" w:color="auto"/>
            </w:tcBorders>
            <w:shd w:val="clear" w:color="000000" w:fill="D9D9D9"/>
            <w:noWrap/>
            <w:vAlign w:val="bottom"/>
            <w:hideMark/>
          </w:tcPr>
          <w:p w14:paraId="3CB4345A" w14:textId="33BC41FB" w:rsidR="00820F2B" w:rsidRPr="000424F6" w:rsidRDefault="00731A73" w:rsidP="00A86D03">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2.266.025,55</w:t>
            </w:r>
          </w:p>
        </w:tc>
        <w:tc>
          <w:tcPr>
            <w:tcW w:w="1538" w:type="dxa"/>
            <w:tcBorders>
              <w:top w:val="nil"/>
              <w:left w:val="nil"/>
              <w:bottom w:val="single" w:sz="4" w:space="0" w:color="auto"/>
              <w:right w:val="single" w:sz="4" w:space="0" w:color="auto"/>
            </w:tcBorders>
            <w:shd w:val="clear" w:color="000000" w:fill="D9D9D9"/>
            <w:noWrap/>
            <w:vAlign w:val="bottom"/>
            <w:hideMark/>
          </w:tcPr>
          <w:p w14:paraId="6849300B" w14:textId="37241910" w:rsidR="00820F2B" w:rsidRPr="000424F6" w:rsidRDefault="00D53702" w:rsidP="00A86D03">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30.118,87</w:t>
            </w:r>
          </w:p>
        </w:tc>
        <w:tc>
          <w:tcPr>
            <w:tcW w:w="2214" w:type="dxa"/>
            <w:tcBorders>
              <w:top w:val="nil"/>
              <w:left w:val="nil"/>
              <w:bottom w:val="single" w:sz="4" w:space="0" w:color="auto"/>
              <w:right w:val="single" w:sz="4" w:space="0" w:color="auto"/>
            </w:tcBorders>
            <w:shd w:val="clear" w:color="000000" w:fill="D9D9D9"/>
            <w:noWrap/>
            <w:vAlign w:val="bottom"/>
            <w:hideMark/>
          </w:tcPr>
          <w:p w14:paraId="5AC4FD8C" w14:textId="248BACF1" w:rsidR="00820F2B" w:rsidRPr="000424F6" w:rsidRDefault="00731A73" w:rsidP="00A86D03">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2.296.144,42</w:t>
            </w:r>
          </w:p>
        </w:tc>
      </w:tr>
    </w:tbl>
    <w:p w14:paraId="72858BE3" w14:textId="77777777" w:rsidR="00820F2B" w:rsidRDefault="00820F2B" w:rsidP="00820F2B">
      <w:pPr>
        <w:rPr>
          <w:rFonts w:cstheme="minorHAnsi"/>
          <w:sz w:val="24"/>
          <w:szCs w:val="24"/>
        </w:rPr>
      </w:pPr>
    </w:p>
    <w:p w14:paraId="270C490F" w14:textId="52F69D2F" w:rsidR="005C47E6" w:rsidRPr="005C47E6" w:rsidRDefault="005C47E6" w:rsidP="005C47E6">
      <w:pPr>
        <w:jc w:val="both"/>
        <w:rPr>
          <w:rFonts w:cstheme="minorHAnsi"/>
          <w:b/>
          <w:bCs/>
          <w:sz w:val="24"/>
          <w:szCs w:val="24"/>
          <w:u w:val="single"/>
        </w:rPr>
      </w:pPr>
      <w:r w:rsidRPr="005C47E6">
        <w:rPr>
          <w:rFonts w:cstheme="minorHAnsi"/>
          <w:b/>
          <w:bCs/>
          <w:sz w:val="24"/>
          <w:szCs w:val="24"/>
          <w:u w:val="single"/>
        </w:rPr>
        <w:t>GRAD</w:t>
      </w:r>
    </w:p>
    <w:p w14:paraId="1C23E309" w14:textId="26446F48" w:rsidR="003413FD" w:rsidRDefault="005C47E6" w:rsidP="00820F2B">
      <w:pPr>
        <w:jc w:val="both"/>
        <w:rPr>
          <w:rFonts w:cstheme="minorHAnsi"/>
          <w:sz w:val="24"/>
          <w:szCs w:val="24"/>
        </w:rPr>
      </w:pPr>
      <w:r>
        <w:rPr>
          <w:rFonts w:cstheme="minorHAnsi"/>
          <w:sz w:val="24"/>
          <w:szCs w:val="24"/>
        </w:rPr>
        <w:t>Stanje ukupnih nenaplaćenih potraživanja</w:t>
      </w:r>
      <w:r w:rsidR="00BB7558">
        <w:rPr>
          <w:rFonts w:cstheme="minorHAnsi"/>
          <w:sz w:val="24"/>
          <w:szCs w:val="24"/>
        </w:rPr>
        <w:t xml:space="preserve"> </w:t>
      </w:r>
      <w:r w:rsidR="00BB7558" w:rsidRPr="00842FF1">
        <w:rPr>
          <w:rFonts w:cstheme="minorHAnsi"/>
          <w:sz w:val="24"/>
          <w:szCs w:val="24"/>
        </w:rPr>
        <w:t>poslovanja</w:t>
      </w:r>
      <w:r>
        <w:rPr>
          <w:rFonts w:cstheme="minorHAnsi"/>
          <w:sz w:val="24"/>
          <w:szCs w:val="24"/>
        </w:rPr>
        <w:t xml:space="preserve"> Grada na dan 31.12.202</w:t>
      </w:r>
      <w:r w:rsidR="0041513E">
        <w:rPr>
          <w:rFonts w:cstheme="minorHAnsi"/>
          <w:sz w:val="24"/>
          <w:szCs w:val="24"/>
        </w:rPr>
        <w:t>5</w:t>
      </w:r>
      <w:r>
        <w:rPr>
          <w:rFonts w:cstheme="minorHAnsi"/>
          <w:sz w:val="24"/>
          <w:szCs w:val="24"/>
        </w:rPr>
        <w:t xml:space="preserve">.godine iznosi </w:t>
      </w:r>
      <w:r w:rsidR="003413FD">
        <w:rPr>
          <w:rFonts w:cstheme="minorHAnsi"/>
          <w:sz w:val="24"/>
          <w:szCs w:val="24"/>
        </w:rPr>
        <w:t>2.277.637,88</w:t>
      </w:r>
      <w:r>
        <w:rPr>
          <w:rFonts w:cstheme="minorHAnsi"/>
          <w:sz w:val="24"/>
          <w:szCs w:val="24"/>
        </w:rPr>
        <w:t xml:space="preserve"> eura i u odnosu  na 31.12.202</w:t>
      </w:r>
      <w:r w:rsidR="003413FD">
        <w:rPr>
          <w:rFonts w:cstheme="minorHAnsi"/>
          <w:sz w:val="24"/>
          <w:szCs w:val="24"/>
        </w:rPr>
        <w:t>4</w:t>
      </w:r>
      <w:r>
        <w:rPr>
          <w:rFonts w:cstheme="minorHAnsi"/>
          <w:sz w:val="24"/>
          <w:szCs w:val="24"/>
        </w:rPr>
        <w:t xml:space="preserve">. godine, potraživanja su </w:t>
      </w:r>
      <w:r w:rsidR="003413FD">
        <w:rPr>
          <w:rFonts w:cstheme="minorHAnsi"/>
          <w:sz w:val="24"/>
          <w:szCs w:val="24"/>
        </w:rPr>
        <w:t>veća</w:t>
      </w:r>
      <w:r>
        <w:rPr>
          <w:rFonts w:cstheme="minorHAnsi"/>
          <w:sz w:val="24"/>
          <w:szCs w:val="24"/>
        </w:rPr>
        <w:t xml:space="preserve"> za </w:t>
      </w:r>
      <w:r w:rsidR="003413FD">
        <w:rPr>
          <w:rFonts w:cstheme="minorHAnsi"/>
          <w:sz w:val="24"/>
          <w:szCs w:val="24"/>
        </w:rPr>
        <w:t>680.301,81</w:t>
      </w:r>
      <w:r>
        <w:rPr>
          <w:rFonts w:cstheme="minorHAnsi"/>
          <w:sz w:val="24"/>
          <w:szCs w:val="24"/>
        </w:rPr>
        <w:t xml:space="preserve"> eura ili </w:t>
      </w:r>
      <w:r w:rsidR="003413FD">
        <w:rPr>
          <w:rFonts w:cstheme="minorHAnsi"/>
          <w:sz w:val="24"/>
          <w:szCs w:val="24"/>
        </w:rPr>
        <w:t>45,51</w:t>
      </w:r>
      <w:r>
        <w:rPr>
          <w:rFonts w:cstheme="minorHAnsi"/>
          <w:sz w:val="24"/>
          <w:szCs w:val="24"/>
        </w:rPr>
        <w:t>%</w:t>
      </w:r>
      <w:r w:rsidR="00CB3053">
        <w:rPr>
          <w:rFonts w:cstheme="minorHAnsi"/>
          <w:sz w:val="24"/>
          <w:szCs w:val="24"/>
        </w:rPr>
        <w:t xml:space="preserve">, </w:t>
      </w:r>
      <w:r w:rsidR="00CB3053" w:rsidRPr="006430C4">
        <w:rPr>
          <w:rFonts w:cstheme="minorHAnsi"/>
          <w:sz w:val="24"/>
          <w:szCs w:val="24"/>
        </w:rPr>
        <w:t xml:space="preserve">a na koji iznos povećanja je utjecao novi način </w:t>
      </w:r>
      <w:r w:rsidR="0029516D" w:rsidRPr="006430C4">
        <w:rPr>
          <w:rFonts w:cstheme="minorHAnsi"/>
          <w:sz w:val="24"/>
          <w:szCs w:val="24"/>
        </w:rPr>
        <w:t>evidentiranja potraživanja za pomoći iz inozemstva i od subjekata unutar općeg proračuna temeljem novih pravila evidentiranja</w:t>
      </w:r>
      <w:r w:rsidRPr="006430C4">
        <w:rPr>
          <w:rFonts w:cstheme="minorHAnsi"/>
          <w:sz w:val="24"/>
          <w:szCs w:val="24"/>
        </w:rPr>
        <w:t>.</w:t>
      </w:r>
      <w:r>
        <w:rPr>
          <w:rFonts w:cstheme="minorHAnsi"/>
          <w:sz w:val="24"/>
          <w:szCs w:val="24"/>
        </w:rPr>
        <w:t xml:space="preserve"> Stanje ukupnog potraživanja za prihode poslovanja na 31.12.202</w:t>
      </w:r>
      <w:r w:rsidR="0041513E">
        <w:rPr>
          <w:rFonts w:cstheme="minorHAnsi"/>
          <w:sz w:val="24"/>
          <w:szCs w:val="24"/>
        </w:rPr>
        <w:t>5</w:t>
      </w:r>
      <w:r>
        <w:rPr>
          <w:rFonts w:cstheme="minorHAnsi"/>
          <w:sz w:val="24"/>
          <w:szCs w:val="24"/>
        </w:rPr>
        <w:t xml:space="preserve">.godine iznosi </w:t>
      </w:r>
      <w:r w:rsidR="003413FD">
        <w:rPr>
          <w:rFonts w:cstheme="minorHAnsi"/>
          <w:sz w:val="24"/>
          <w:szCs w:val="24"/>
        </w:rPr>
        <w:t>2.247.519,01</w:t>
      </w:r>
      <w:r>
        <w:rPr>
          <w:rFonts w:cstheme="minorHAnsi"/>
          <w:sz w:val="24"/>
          <w:szCs w:val="24"/>
        </w:rPr>
        <w:t xml:space="preserve"> eura. </w:t>
      </w:r>
    </w:p>
    <w:p w14:paraId="35F7464F" w14:textId="77777777" w:rsidR="003413FD" w:rsidRPr="005F73E9" w:rsidRDefault="003413FD" w:rsidP="003413FD">
      <w:pPr>
        <w:spacing w:after="0" w:line="240" w:lineRule="auto"/>
        <w:jc w:val="both"/>
        <w:rPr>
          <w:rFonts w:ascii="Cambria" w:hAnsi="Cambria" w:cs="Arial"/>
          <w:sz w:val="24"/>
          <w:szCs w:val="24"/>
        </w:rPr>
      </w:pPr>
      <w:r w:rsidRPr="005F73E9">
        <w:rPr>
          <w:rFonts w:ascii="Cambria" w:hAnsi="Cambria" w:cs="Arial"/>
          <w:sz w:val="24"/>
          <w:szCs w:val="24"/>
        </w:rPr>
        <w:t>Potraživanja za prihode poslovanja na dan 31.12.202</w:t>
      </w:r>
      <w:r>
        <w:rPr>
          <w:rFonts w:ascii="Cambria" w:hAnsi="Cambria" w:cs="Arial"/>
          <w:sz w:val="24"/>
          <w:szCs w:val="24"/>
        </w:rPr>
        <w:t>5</w:t>
      </w:r>
      <w:r w:rsidRPr="005F73E9">
        <w:rPr>
          <w:rFonts w:ascii="Cambria" w:hAnsi="Cambria" w:cs="Arial"/>
          <w:sz w:val="24"/>
          <w:szCs w:val="24"/>
        </w:rPr>
        <w:t>.g</w:t>
      </w:r>
      <w:r w:rsidRPr="00E4301B">
        <w:rPr>
          <w:rFonts w:ascii="Cambria" w:hAnsi="Cambria" w:cs="Arial"/>
          <w:sz w:val="24"/>
          <w:szCs w:val="24"/>
        </w:rPr>
        <w:t>. iznose 2.247.519,01 eura</w:t>
      </w:r>
      <w:r w:rsidRPr="005F73E9">
        <w:rPr>
          <w:rFonts w:ascii="Cambria" w:hAnsi="Cambria" w:cs="Arial"/>
          <w:sz w:val="24"/>
          <w:szCs w:val="24"/>
        </w:rPr>
        <w:t>, a odnose se na:</w:t>
      </w:r>
    </w:p>
    <w:p w14:paraId="6A51031D" w14:textId="77777777" w:rsidR="003413FD" w:rsidRPr="005F73E9" w:rsidRDefault="003413FD" w:rsidP="003413FD">
      <w:pPr>
        <w:spacing w:after="0" w:line="240" w:lineRule="auto"/>
        <w:jc w:val="both"/>
        <w:rPr>
          <w:rFonts w:ascii="Cambria" w:hAnsi="Cambria" w:cs="Arial"/>
          <w:sz w:val="24"/>
          <w:szCs w:val="24"/>
        </w:rPr>
      </w:pPr>
    </w:p>
    <w:tbl>
      <w:tblPr>
        <w:tblW w:w="8647" w:type="dxa"/>
        <w:tblInd w:w="-5" w:type="dxa"/>
        <w:tblLook w:val="04A0" w:firstRow="1" w:lastRow="0" w:firstColumn="1" w:lastColumn="0" w:noHBand="0" w:noVBand="1"/>
      </w:tblPr>
      <w:tblGrid>
        <w:gridCol w:w="997"/>
        <w:gridCol w:w="6091"/>
        <w:gridCol w:w="1559"/>
      </w:tblGrid>
      <w:tr w:rsidR="003413FD" w:rsidRPr="00001518" w14:paraId="1C23DA50" w14:textId="77777777" w:rsidTr="00F77D72">
        <w:trPr>
          <w:trHeight w:val="300"/>
        </w:trPr>
        <w:tc>
          <w:tcPr>
            <w:tcW w:w="997" w:type="dxa"/>
            <w:tcBorders>
              <w:top w:val="single" w:sz="4" w:space="0" w:color="auto"/>
              <w:left w:val="single" w:sz="4" w:space="0" w:color="auto"/>
              <w:bottom w:val="single" w:sz="4" w:space="0" w:color="auto"/>
              <w:right w:val="single" w:sz="4" w:space="0" w:color="auto"/>
            </w:tcBorders>
            <w:noWrap/>
            <w:vAlign w:val="bottom"/>
            <w:hideMark/>
          </w:tcPr>
          <w:p w14:paraId="40F15523" w14:textId="77777777" w:rsidR="003413FD" w:rsidRPr="00001518" w:rsidRDefault="003413FD" w:rsidP="00F77D72">
            <w:pPr>
              <w:spacing w:after="0" w:line="240" w:lineRule="auto"/>
              <w:jc w:val="both"/>
              <w:rPr>
                <w:rFonts w:ascii="Cambria" w:eastAsia="Times New Roman" w:hAnsi="Cambria" w:cs="Arial"/>
                <w:bCs/>
                <w:lang w:eastAsia="hr-HR"/>
              </w:rPr>
            </w:pPr>
            <w:r w:rsidRPr="00001518">
              <w:rPr>
                <w:rFonts w:ascii="Cambria" w:eastAsia="Times New Roman" w:hAnsi="Cambria" w:cs="Arial"/>
                <w:bCs/>
                <w:lang w:eastAsia="hr-HR"/>
              </w:rPr>
              <w:t>161</w:t>
            </w:r>
          </w:p>
        </w:tc>
        <w:tc>
          <w:tcPr>
            <w:tcW w:w="6091" w:type="dxa"/>
            <w:tcBorders>
              <w:top w:val="single" w:sz="4" w:space="0" w:color="auto"/>
              <w:left w:val="nil"/>
              <w:bottom w:val="single" w:sz="4" w:space="0" w:color="auto"/>
              <w:right w:val="single" w:sz="4" w:space="0" w:color="auto"/>
            </w:tcBorders>
            <w:noWrap/>
            <w:vAlign w:val="bottom"/>
            <w:hideMark/>
          </w:tcPr>
          <w:p w14:paraId="055C053F" w14:textId="77777777" w:rsidR="003413FD" w:rsidRPr="00001518" w:rsidRDefault="003413FD" w:rsidP="00F77D72">
            <w:pPr>
              <w:spacing w:after="0" w:line="240" w:lineRule="auto"/>
              <w:jc w:val="both"/>
              <w:rPr>
                <w:rFonts w:ascii="Cambria" w:eastAsia="Times New Roman" w:hAnsi="Cambria" w:cs="Arial"/>
                <w:bCs/>
                <w:lang w:eastAsia="hr-HR"/>
              </w:rPr>
            </w:pPr>
            <w:r w:rsidRPr="00001518">
              <w:rPr>
                <w:rFonts w:ascii="Cambria" w:eastAsia="Times New Roman" w:hAnsi="Cambria" w:cs="Arial"/>
                <w:bCs/>
                <w:lang w:eastAsia="hr-HR"/>
              </w:rPr>
              <w:t>Potraživanja za poreze</w:t>
            </w:r>
          </w:p>
        </w:tc>
        <w:tc>
          <w:tcPr>
            <w:tcW w:w="1559" w:type="dxa"/>
            <w:tcBorders>
              <w:top w:val="single" w:sz="4" w:space="0" w:color="auto"/>
              <w:left w:val="nil"/>
              <w:bottom w:val="single" w:sz="4" w:space="0" w:color="auto"/>
              <w:right w:val="single" w:sz="4" w:space="0" w:color="auto"/>
            </w:tcBorders>
            <w:noWrap/>
            <w:vAlign w:val="bottom"/>
            <w:hideMark/>
          </w:tcPr>
          <w:p w14:paraId="3641FA15" w14:textId="77777777" w:rsidR="003413FD" w:rsidRPr="00001518" w:rsidRDefault="003413FD" w:rsidP="00F77D72">
            <w:pPr>
              <w:spacing w:after="0" w:line="240" w:lineRule="auto"/>
              <w:jc w:val="right"/>
              <w:rPr>
                <w:rFonts w:ascii="Cambria" w:eastAsia="Times New Roman" w:hAnsi="Cambria" w:cs="Arial"/>
                <w:bCs/>
                <w:lang w:eastAsia="hr-HR"/>
              </w:rPr>
            </w:pPr>
            <w:r>
              <w:rPr>
                <w:rFonts w:ascii="Cambria" w:eastAsia="Times New Roman" w:hAnsi="Cambria" w:cs="Arial"/>
                <w:bCs/>
                <w:lang w:eastAsia="hr-HR"/>
              </w:rPr>
              <w:t>311.837,60</w:t>
            </w:r>
          </w:p>
        </w:tc>
      </w:tr>
      <w:tr w:rsidR="003413FD" w:rsidRPr="00001518" w14:paraId="3BFCDF35" w14:textId="77777777" w:rsidTr="00F77D72">
        <w:trPr>
          <w:trHeight w:val="300"/>
        </w:trPr>
        <w:tc>
          <w:tcPr>
            <w:tcW w:w="997" w:type="dxa"/>
            <w:tcBorders>
              <w:top w:val="single" w:sz="4" w:space="0" w:color="auto"/>
              <w:left w:val="single" w:sz="4" w:space="0" w:color="auto"/>
              <w:bottom w:val="single" w:sz="4" w:space="0" w:color="auto"/>
              <w:right w:val="single" w:sz="4" w:space="0" w:color="auto"/>
            </w:tcBorders>
            <w:noWrap/>
            <w:vAlign w:val="bottom"/>
          </w:tcPr>
          <w:p w14:paraId="267AEB02" w14:textId="77777777" w:rsidR="003413FD" w:rsidRPr="00001518" w:rsidRDefault="003413FD" w:rsidP="00F77D72">
            <w:pPr>
              <w:spacing w:after="0" w:line="240" w:lineRule="auto"/>
              <w:jc w:val="both"/>
              <w:rPr>
                <w:rFonts w:ascii="Cambria" w:eastAsia="Times New Roman" w:hAnsi="Cambria" w:cs="Arial"/>
                <w:bCs/>
                <w:lang w:eastAsia="hr-HR"/>
              </w:rPr>
            </w:pPr>
            <w:r>
              <w:rPr>
                <w:rFonts w:ascii="Cambria" w:eastAsia="Times New Roman" w:hAnsi="Cambria" w:cs="Arial"/>
                <w:bCs/>
                <w:lang w:eastAsia="hr-HR"/>
              </w:rPr>
              <w:t>163</w:t>
            </w:r>
          </w:p>
        </w:tc>
        <w:tc>
          <w:tcPr>
            <w:tcW w:w="6091" w:type="dxa"/>
            <w:tcBorders>
              <w:top w:val="single" w:sz="4" w:space="0" w:color="auto"/>
              <w:left w:val="nil"/>
              <w:bottom w:val="single" w:sz="4" w:space="0" w:color="auto"/>
              <w:right w:val="single" w:sz="4" w:space="0" w:color="auto"/>
            </w:tcBorders>
            <w:noWrap/>
            <w:vAlign w:val="bottom"/>
          </w:tcPr>
          <w:p w14:paraId="54966B31" w14:textId="77777777" w:rsidR="003413FD" w:rsidRPr="00001518" w:rsidRDefault="003413FD" w:rsidP="00F77D72">
            <w:pPr>
              <w:spacing w:after="0" w:line="240" w:lineRule="auto"/>
              <w:jc w:val="both"/>
              <w:rPr>
                <w:rFonts w:ascii="Cambria" w:eastAsia="Times New Roman" w:hAnsi="Cambria" w:cs="Arial"/>
                <w:bCs/>
                <w:lang w:eastAsia="hr-HR"/>
              </w:rPr>
            </w:pPr>
            <w:r>
              <w:rPr>
                <w:rFonts w:ascii="Cambria" w:eastAsia="Times New Roman" w:hAnsi="Cambria" w:cs="Arial"/>
                <w:bCs/>
                <w:lang w:eastAsia="hr-HR"/>
              </w:rPr>
              <w:t>Potraživanja za pomoći iz inozemstva i od subjekata unutar općeg proračuna</w:t>
            </w:r>
          </w:p>
        </w:tc>
        <w:tc>
          <w:tcPr>
            <w:tcW w:w="1559" w:type="dxa"/>
            <w:tcBorders>
              <w:top w:val="single" w:sz="4" w:space="0" w:color="auto"/>
              <w:left w:val="nil"/>
              <w:bottom w:val="single" w:sz="4" w:space="0" w:color="auto"/>
              <w:right w:val="single" w:sz="4" w:space="0" w:color="auto"/>
            </w:tcBorders>
            <w:noWrap/>
            <w:vAlign w:val="bottom"/>
          </w:tcPr>
          <w:p w14:paraId="299B0ADF" w14:textId="77777777" w:rsidR="003413FD" w:rsidRDefault="003413FD" w:rsidP="00F77D72">
            <w:pPr>
              <w:spacing w:after="0" w:line="240" w:lineRule="auto"/>
              <w:jc w:val="right"/>
              <w:rPr>
                <w:rFonts w:ascii="Cambria" w:eastAsia="Times New Roman" w:hAnsi="Cambria" w:cs="Arial"/>
                <w:bCs/>
                <w:lang w:eastAsia="hr-HR"/>
              </w:rPr>
            </w:pPr>
            <w:r>
              <w:rPr>
                <w:rFonts w:ascii="Cambria" w:eastAsia="Times New Roman" w:hAnsi="Cambria" w:cs="Arial"/>
                <w:bCs/>
                <w:lang w:eastAsia="hr-HR"/>
              </w:rPr>
              <w:t>527.128,93</w:t>
            </w:r>
          </w:p>
        </w:tc>
      </w:tr>
      <w:tr w:rsidR="003413FD" w:rsidRPr="00001518" w14:paraId="6EDB8CE8" w14:textId="77777777" w:rsidTr="00F77D72">
        <w:trPr>
          <w:trHeight w:val="300"/>
        </w:trPr>
        <w:tc>
          <w:tcPr>
            <w:tcW w:w="997" w:type="dxa"/>
            <w:tcBorders>
              <w:top w:val="nil"/>
              <w:left w:val="single" w:sz="4" w:space="0" w:color="auto"/>
              <w:bottom w:val="single" w:sz="4" w:space="0" w:color="auto"/>
              <w:right w:val="single" w:sz="4" w:space="0" w:color="auto"/>
            </w:tcBorders>
            <w:noWrap/>
            <w:vAlign w:val="bottom"/>
            <w:hideMark/>
          </w:tcPr>
          <w:p w14:paraId="6F0BD80E" w14:textId="77777777" w:rsidR="003413FD" w:rsidRPr="00001518" w:rsidRDefault="003413FD" w:rsidP="00F77D72">
            <w:pPr>
              <w:spacing w:after="0" w:line="240" w:lineRule="auto"/>
              <w:jc w:val="both"/>
              <w:rPr>
                <w:rFonts w:ascii="Cambria" w:eastAsia="Times New Roman" w:hAnsi="Cambria" w:cs="Arial"/>
                <w:bCs/>
                <w:lang w:eastAsia="hr-HR"/>
              </w:rPr>
            </w:pPr>
            <w:r w:rsidRPr="00001518">
              <w:rPr>
                <w:rFonts w:ascii="Cambria" w:eastAsia="Times New Roman" w:hAnsi="Cambria" w:cs="Arial"/>
                <w:bCs/>
                <w:lang w:eastAsia="hr-HR"/>
              </w:rPr>
              <w:t>164</w:t>
            </w:r>
          </w:p>
        </w:tc>
        <w:tc>
          <w:tcPr>
            <w:tcW w:w="6091" w:type="dxa"/>
            <w:tcBorders>
              <w:top w:val="nil"/>
              <w:left w:val="nil"/>
              <w:bottom w:val="single" w:sz="4" w:space="0" w:color="auto"/>
              <w:right w:val="single" w:sz="4" w:space="0" w:color="auto"/>
            </w:tcBorders>
            <w:noWrap/>
            <w:vAlign w:val="bottom"/>
            <w:hideMark/>
          </w:tcPr>
          <w:p w14:paraId="346C8F31" w14:textId="77777777" w:rsidR="003413FD" w:rsidRPr="00001518" w:rsidRDefault="003413FD" w:rsidP="00F77D72">
            <w:pPr>
              <w:spacing w:after="0" w:line="240" w:lineRule="auto"/>
              <w:jc w:val="both"/>
              <w:rPr>
                <w:rFonts w:ascii="Cambria" w:eastAsia="Times New Roman" w:hAnsi="Cambria" w:cs="Arial"/>
                <w:bCs/>
                <w:lang w:eastAsia="hr-HR"/>
              </w:rPr>
            </w:pPr>
            <w:r w:rsidRPr="00001518">
              <w:rPr>
                <w:rFonts w:ascii="Cambria" w:eastAsia="Times New Roman" w:hAnsi="Cambria" w:cs="Arial"/>
                <w:bCs/>
                <w:lang w:eastAsia="hr-HR"/>
              </w:rPr>
              <w:t>Potraživanja za prihode od imovine</w:t>
            </w:r>
          </w:p>
        </w:tc>
        <w:tc>
          <w:tcPr>
            <w:tcW w:w="1559" w:type="dxa"/>
            <w:tcBorders>
              <w:top w:val="nil"/>
              <w:left w:val="nil"/>
              <w:bottom w:val="single" w:sz="4" w:space="0" w:color="auto"/>
              <w:right w:val="single" w:sz="4" w:space="0" w:color="auto"/>
            </w:tcBorders>
            <w:noWrap/>
            <w:vAlign w:val="bottom"/>
            <w:hideMark/>
          </w:tcPr>
          <w:p w14:paraId="43BE1940" w14:textId="77777777" w:rsidR="003413FD" w:rsidRPr="00001518" w:rsidRDefault="003413FD" w:rsidP="00F77D72">
            <w:pPr>
              <w:spacing w:after="0" w:line="240" w:lineRule="auto"/>
              <w:jc w:val="right"/>
              <w:rPr>
                <w:rFonts w:ascii="Cambria" w:eastAsia="Times New Roman" w:hAnsi="Cambria" w:cs="Arial"/>
                <w:bCs/>
                <w:lang w:eastAsia="hr-HR"/>
              </w:rPr>
            </w:pPr>
            <w:r>
              <w:rPr>
                <w:rFonts w:ascii="Cambria" w:eastAsia="Times New Roman" w:hAnsi="Cambria" w:cs="Arial"/>
                <w:bCs/>
                <w:lang w:eastAsia="hr-HR"/>
              </w:rPr>
              <w:t>538.103,42</w:t>
            </w:r>
          </w:p>
        </w:tc>
      </w:tr>
      <w:tr w:rsidR="003413FD" w:rsidRPr="00001518" w14:paraId="3455E0D1" w14:textId="77777777" w:rsidTr="00F77D72">
        <w:trPr>
          <w:trHeight w:val="300"/>
        </w:trPr>
        <w:tc>
          <w:tcPr>
            <w:tcW w:w="997" w:type="dxa"/>
            <w:tcBorders>
              <w:top w:val="nil"/>
              <w:left w:val="single" w:sz="4" w:space="0" w:color="auto"/>
              <w:bottom w:val="single" w:sz="4" w:space="0" w:color="auto"/>
              <w:right w:val="single" w:sz="4" w:space="0" w:color="auto"/>
            </w:tcBorders>
            <w:noWrap/>
            <w:vAlign w:val="bottom"/>
            <w:hideMark/>
          </w:tcPr>
          <w:p w14:paraId="77B98641" w14:textId="77777777" w:rsidR="003413FD" w:rsidRPr="00001518" w:rsidRDefault="003413FD" w:rsidP="00F77D72">
            <w:pPr>
              <w:spacing w:after="0" w:line="240" w:lineRule="auto"/>
              <w:jc w:val="both"/>
              <w:rPr>
                <w:rFonts w:ascii="Cambria" w:eastAsia="Times New Roman" w:hAnsi="Cambria" w:cs="Arial"/>
                <w:bCs/>
                <w:lang w:eastAsia="hr-HR"/>
              </w:rPr>
            </w:pPr>
            <w:r w:rsidRPr="00001518">
              <w:rPr>
                <w:rFonts w:ascii="Cambria" w:eastAsia="Times New Roman" w:hAnsi="Cambria" w:cs="Arial"/>
                <w:bCs/>
                <w:lang w:eastAsia="hr-HR"/>
              </w:rPr>
              <w:t>165</w:t>
            </w:r>
          </w:p>
        </w:tc>
        <w:tc>
          <w:tcPr>
            <w:tcW w:w="6091" w:type="dxa"/>
            <w:tcBorders>
              <w:top w:val="nil"/>
              <w:left w:val="nil"/>
              <w:bottom w:val="single" w:sz="4" w:space="0" w:color="auto"/>
              <w:right w:val="single" w:sz="4" w:space="0" w:color="auto"/>
            </w:tcBorders>
            <w:noWrap/>
            <w:vAlign w:val="bottom"/>
            <w:hideMark/>
          </w:tcPr>
          <w:p w14:paraId="2360740F" w14:textId="77777777" w:rsidR="003413FD" w:rsidRPr="00001518" w:rsidRDefault="003413FD" w:rsidP="00F77D72">
            <w:pPr>
              <w:spacing w:after="0" w:line="240" w:lineRule="auto"/>
              <w:jc w:val="both"/>
              <w:rPr>
                <w:rFonts w:ascii="Cambria" w:eastAsia="Times New Roman" w:hAnsi="Cambria" w:cs="Arial"/>
                <w:bCs/>
                <w:lang w:eastAsia="hr-HR"/>
              </w:rPr>
            </w:pPr>
            <w:r w:rsidRPr="00001518">
              <w:rPr>
                <w:rFonts w:ascii="Cambria" w:eastAsia="Times New Roman" w:hAnsi="Cambria" w:cs="Arial"/>
                <w:bCs/>
                <w:lang w:eastAsia="hr-HR"/>
              </w:rPr>
              <w:t>Potraživanja za upravne i administrativne pristojbe i prihode po posebnim propisima</w:t>
            </w:r>
          </w:p>
        </w:tc>
        <w:tc>
          <w:tcPr>
            <w:tcW w:w="1559" w:type="dxa"/>
            <w:tcBorders>
              <w:top w:val="nil"/>
              <w:left w:val="nil"/>
              <w:bottom w:val="single" w:sz="4" w:space="0" w:color="auto"/>
              <w:right w:val="single" w:sz="4" w:space="0" w:color="auto"/>
            </w:tcBorders>
            <w:noWrap/>
            <w:vAlign w:val="bottom"/>
            <w:hideMark/>
          </w:tcPr>
          <w:p w14:paraId="46513472" w14:textId="77777777" w:rsidR="003413FD" w:rsidRPr="00001518" w:rsidRDefault="003413FD" w:rsidP="00F77D72">
            <w:pPr>
              <w:spacing w:after="0" w:line="240" w:lineRule="auto"/>
              <w:jc w:val="right"/>
              <w:rPr>
                <w:rFonts w:ascii="Cambria" w:eastAsia="Times New Roman" w:hAnsi="Cambria" w:cs="Arial"/>
                <w:bCs/>
                <w:lang w:eastAsia="hr-HR"/>
              </w:rPr>
            </w:pPr>
            <w:r>
              <w:rPr>
                <w:rFonts w:ascii="Cambria" w:eastAsia="Times New Roman" w:hAnsi="Cambria" w:cs="Arial"/>
                <w:bCs/>
                <w:lang w:eastAsia="hr-HR"/>
              </w:rPr>
              <w:t>1.795.627,45</w:t>
            </w:r>
          </w:p>
        </w:tc>
      </w:tr>
      <w:tr w:rsidR="003413FD" w:rsidRPr="00001518" w14:paraId="32BD338E" w14:textId="77777777" w:rsidTr="00F77D72">
        <w:trPr>
          <w:trHeight w:val="300"/>
        </w:trPr>
        <w:tc>
          <w:tcPr>
            <w:tcW w:w="997" w:type="dxa"/>
            <w:tcBorders>
              <w:top w:val="nil"/>
              <w:left w:val="single" w:sz="4" w:space="0" w:color="auto"/>
              <w:bottom w:val="single" w:sz="4" w:space="0" w:color="auto"/>
              <w:right w:val="single" w:sz="4" w:space="0" w:color="auto"/>
            </w:tcBorders>
            <w:noWrap/>
            <w:vAlign w:val="bottom"/>
          </w:tcPr>
          <w:p w14:paraId="5D9E7EE0" w14:textId="77777777" w:rsidR="003413FD" w:rsidRPr="00001518" w:rsidRDefault="003413FD" w:rsidP="00F77D72">
            <w:pPr>
              <w:spacing w:after="0" w:line="240" w:lineRule="auto"/>
              <w:jc w:val="both"/>
              <w:rPr>
                <w:rFonts w:ascii="Cambria" w:eastAsia="Times New Roman" w:hAnsi="Cambria" w:cs="Arial"/>
                <w:bCs/>
                <w:lang w:eastAsia="hr-HR"/>
              </w:rPr>
            </w:pPr>
            <w:r w:rsidRPr="00001518">
              <w:rPr>
                <w:rFonts w:ascii="Cambria" w:eastAsia="Times New Roman" w:hAnsi="Cambria" w:cs="Arial"/>
                <w:bCs/>
                <w:lang w:eastAsia="hr-HR"/>
              </w:rPr>
              <w:t>166</w:t>
            </w:r>
          </w:p>
        </w:tc>
        <w:tc>
          <w:tcPr>
            <w:tcW w:w="6091" w:type="dxa"/>
            <w:tcBorders>
              <w:top w:val="nil"/>
              <w:left w:val="nil"/>
              <w:bottom w:val="single" w:sz="4" w:space="0" w:color="auto"/>
              <w:right w:val="single" w:sz="4" w:space="0" w:color="auto"/>
            </w:tcBorders>
            <w:noWrap/>
            <w:vAlign w:val="bottom"/>
          </w:tcPr>
          <w:p w14:paraId="2476461F" w14:textId="77777777" w:rsidR="003413FD" w:rsidRPr="00001518" w:rsidRDefault="003413FD" w:rsidP="00F77D72">
            <w:pPr>
              <w:spacing w:after="0" w:line="240" w:lineRule="auto"/>
              <w:jc w:val="both"/>
              <w:rPr>
                <w:rFonts w:ascii="Cambria" w:eastAsia="Times New Roman" w:hAnsi="Cambria" w:cs="Arial"/>
                <w:bCs/>
                <w:lang w:eastAsia="hr-HR"/>
              </w:rPr>
            </w:pPr>
            <w:r w:rsidRPr="00001518">
              <w:rPr>
                <w:rFonts w:ascii="Cambria" w:eastAsia="Times New Roman" w:hAnsi="Cambria" w:cs="Arial"/>
                <w:bCs/>
                <w:lang w:eastAsia="hr-HR"/>
              </w:rPr>
              <w:t>Potraživanja za prihode od prodaje proizvoda i robe te pruženih usluga</w:t>
            </w:r>
          </w:p>
        </w:tc>
        <w:tc>
          <w:tcPr>
            <w:tcW w:w="1559" w:type="dxa"/>
            <w:tcBorders>
              <w:top w:val="nil"/>
              <w:left w:val="nil"/>
              <w:bottom w:val="single" w:sz="4" w:space="0" w:color="auto"/>
              <w:right w:val="single" w:sz="4" w:space="0" w:color="auto"/>
            </w:tcBorders>
            <w:noWrap/>
            <w:vAlign w:val="bottom"/>
          </w:tcPr>
          <w:p w14:paraId="686CD891" w14:textId="77777777" w:rsidR="003413FD" w:rsidRPr="00001518" w:rsidRDefault="003413FD" w:rsidP="00F77D72">
            <w:pPr>
              <w:spacing w:after="0" w:line="240" w:lineRule="auto"/>
              <w:jc w:val="right"/>
              <w:rPr>
                <w:rFonts w:ascii="Cambria" w:eastAsia="Times New Roman" w:hAnsi="Cambria" w:cs="Arial"/>
                <w:bCs/>
                <w:lang w:eastAsia="hr-HR"/>
              </w:rPr>
            </w:pPr>
            <w:r>
              <w:rPr>
                <w:rFonts w:ascii="Cambria" w:eastAsia="Times New Roman" w:hAnsi="Cambria" w:cs="Arial"/>
                <w:bCs/>
                <w:lang w:eastAsia="hr-HR"/>
              </w:rPr>
              <w:t>215,83</w:t>
            </w:r>
          </w:p>
        </w:tc>
      </w:tr>
      <w:tr w:rsidR="003413FD" w:rsidRPr="00001518" w14:paraId="4C8AF1B6" w14:textId="77777777" w:rsidTr="00F77D72">
        <w:trPr>
          <w:trHeight w:val="223"/>
        </w:trPr>
        <w:tc>
          <w:tcPr>
            <w:tcW w:w="997" w:type="dxa"/>
            <w:tcBorders>
              <w:top w:val="single" w:sz="4" w:space="0" w:color="auto"/>
              <w:left w:val="single" w:sz="4" w:space="0" w:color="auto"/>
              <w:bottom w:val="single" w:sz="4" w:space="0" w:color="auto"/>
              <w:right w:val="single" w:sz="4" w:space="0" w:color="auto"/>
            </w:tcBorders>
            <w:noWrap/>
            <w:vAlign w:val="bottom"/>
            <w:hideMark/>
          </w:tcPr>
          <w:p w14:paraId="1F6F9240" w14:textId="77777777" w:rsidR="003413FD" w:rsidRPr="00001518" w:rsidRDefault="003413FD" w:rsidP="00F77D72">
            <w:pPr>
              <w:spacing w:after="0" w:line="240" w:lineRule="auto"/>
              <w:jc w:val="both"/>
              <w:rPr>
                <w:rFonts w:ascii="Cambria" w:eastAsia="Times New Roman" w:hAnsi="Cambria" w:cs="Arial"/>
                <w:bCs/>
                <w:lang w:eastAsia="hr-HR"/>
              </w:rPr>
            </w:pPr>
            <w:r w:rsidRPr="00001518">
              <w:rPr>
                <w:rFonts w:ascii="Cambria" w:eastAsia="Times New Roman" w:hAnsi="Cambria" w:cs="Arial"/>
                <w:bCs/>
                <w:lang w:eastAsia="hr-HR"/>
              </w:rPr>
              <w:t>168</w:t>
            </w:r>
          </w:p>
        </w:tc>
        <w:tc>
          <w:tcPr>
            <w:tcW w:w="6091" w:type="dxa"/>
            <w:tcBorders>
              <w:top w:val="single" w:sz="4" w:space="0" w:color="auto"/>
              <w:left w:val="nil"/>
              <w:bottom w:val="single" w:sz="4" w:space="0" w:color="auto"/>
              <w:right w:val="single" w:sz="4" w:space="0" w:color="auto"/>
            </w:tcBorders>
            <w:noWrap/>
            <w:vAlign w:val="bottom"/>
            <w:hideMark/>
          </w:tcPr>
          <w:p w14:paraId="164A558E" w14:textId="77777777" w:rsidR="003413FD" w:rsidRPr="00001518" w:rsidRDefault="003413FD" w:rsidP="00F77D72">
            <w:pPr>
              <w:spacing w:after="0" w:line="240" w:lineRule="auto"/>
              <w:jc w:val="both"/>
              <w:rPr>
                <w:rFonts w:ascii="Cambria" w:eastAsia="Times New Roman" w:hAnsi="Cambria" w:cs="Arial"/>
                <w:bCs/>
                <w:lang w:eastAsia="hr-HR"/>
              </w:rPr>
            </w:pPr>
            <w:r w:rsidRPr="00001518">
              <w:rPr>
                <w:rFonts w:ascii="Cambria" w:eastAsia="Times New Roman" w:hAnsi="Cambria" w:cs="Arial"/>
                <w:bCs/>
                <w:lang w:eastAsia="hr-HR"/>
              </w:rPr>
              <w:t>Potraživanja za kazne i upravne mjere te ostale prihode</w:t>
            </w:r>
          </w:p>
        </w:tc>
        <w:tc>
          <w:tcPr>
            <w:tcW w:w="1559" w:type="dxa"/>
            <w:tcBorders>
              <w:top w:val="single" w:sz="4" w:space="0" w:color="auto"/>
              <w:left w:val="nil"/>
              <w:bottom w:val="single" w:sz="4" w:space="0" w:color="auto"/>
              <w:right w:val="single" w:sz="4" w:space="0" w:color="auto"/>
            </w:tcBorders>
            <w:noWrap/>
            <w:vAlign w:val="bottom"/>
            <w:hideMark/>
          </w:tcPr>
          <w:p w14:paraId="3CC0D3D2" w14:textId="77777777" w:rsidR="003413FD" w:rsidRPr="00001518" w:rsidRDefault="003413FD" w:rsidP="00F77D72">
            <w:pPr>
              <w:spacing w:after="0" w:line="240" w:lineRule="auto"/>
              <w:jc w:val="right"/>
              <w:rPr>
                <w:rFonts w:ascii="Cambria" w:eastAsia="Times New Roman" w:hAnsi="Cambria" w:cs="Arial"/>
                <w:bCs/>
                <w:lang w:eastAsia="hr-HR"/>
              </w:rPr>
            </w:pPr>
            <w:r>
              <w:rPr>
                <w:rFonts w:ascii="Cambria" w:eastAsia="Times New Roman" w:hAnsi="Cambria" w:cs="Arial"/>
                <w:bCs/>
                <w:lang w:eastAsia="hr-HR"/>
              </w:rPr>
              <w:t>158.464,67</w:t>
            </w:r>
          </w:p>
        </w:tc>
      </w:tr>
      <w:tr w:rsidR="003413FD" w:rsidRPr="00001518" w14:paraId="4472B01C" w14:textId="77777777" w:rsidTr="00F77D72">
        <w:trPr>
          <w:trHeight w:val="300"/>
        </w:trPr>
        <w:tc>
          <w:tcPr>
            <w:tcW w:w="997" w:type="dxa"/>
            <w:tcBorders>
              <w:top w:val="single" w:sz="4" w:space="0" w:color="auto"/>
              <w:left w:val="single" w:sz="4" w:space="0" w:color="auto"/>
              <w:bottom w:val="single" w:sz="4" w:space="0" w:color="auto"/>
              <w:right w:val="single" w:sz="4" w:space="0" w:color="auto"/>
            </w:tcBorders>
            <w:noWrap/>
            <w:vAlign w:val="bottom"/>
          </w:tcPr>
          <w:p w14:paraId="0967A578" w14:textId="77777777" w:rsidR="003413FD" w:rsidRPr="00001518" w:rsidRDefault="003413FD" w:rsidP="00F77D72">
            <w:pPr>
              <w:spacing w:after="0" w:line="240" w:lineRule="auto"/>
              <w:jc w:val="both"/>
              <w:rPr>
                <w:rFonts w:ascii="Cambria" w:eastAsia="Times New Roman" w:hAnsi="Cambria" w:cs="Arial"/>
                <w:bCs/>
                <w:lang w:eastAsia="hr-HR"/>
              </w:rPr>
            </w:pPr>
            <w:r>
              <w:rPr>
                <w:rFonts w:ascii="Cambria" w:eastAsia="Times New Roman" w:hAnsi="Cambria" w:cs="Arial"/>
                <w:bCs/>
                <w:lang w:eastAsia="hr-HR"/>
              </w:rPr>
              <w:t>169</w:t>
            </w:r>
          </w:p>
        </w:tc>
        <w:tc>
          <w:tcPr>
            <w:tcW w:w="6091" w:type="dxa"/>
            <w:tcBorders>
              <w:top w:val="single" w:sz="4" w:space="0" w:color="auto"/>
              <w:left w:val="nil"/>
              <w:bottom w:val="single" w:sz="4" w:space="0" w:color="auto"/>
              <w:right w:val="single" w:sz="4" w:space="0" w:color="auto"/>
            </w:tcBorders>
            <w:noWrap/>
            <w:vAlign w:val="bottom"/>
          </w:tcPr>
          <w:p w14:paraId="6843919B" w14:textId="77777777" w:rsidR="003413FD" w:rsidRPr="00001518" w:rsidRDefault="003413FD" w:rsidP="00F77D72">
            <w:pPr>
              <w:spacing w:after="0" w:line="240" w:lineRule="auto"/>
              <w:jc w:val="both"/>
              <w:rPr>
                <w:rFonts w:ascii="Cambria" w:eastAsia="Times New Roman" w:hAnsi="Cambria" w:cs="Arial"/>
                <w:bCs/>
                <w:lang w:eastAsia="hr-HR"/>
              </w:rPr>
            </w:pPr>
            <w:r>
              <w:rPr>
                <w:rFonts w:ascii="Cambria" w:eastAsia="Times New Roman" w:hAnsi="Cambria" w:cs="Arial"/>
                <w:bCs/>
                <w:lang w:eastAsia="hr-HR"/>
              </w:rPr>
              <w:t xml:space="preserve">Ispravak vrijednosti potraživanja </w:t>
            </w:r>
          </w:p>
        </w:tc>
        <w:tc>
          <w:tcPr>
            <w:tcW w:w="1559" w:type="dxa"/>
            <w:tcBorders>
              <w:top w:val="single" w:sz="4" w:space="0" w:color="auto"/>
              <w:left w:val="nil"/>
              <w:bottom w:val="single" w:sz="4" w:space="0" w:color="auto"/>
              <w:right w:val="single" w:sz="4" w:space="0" w:color="auto"/>
            </w:tcBorders>
            <w:noWrap/>
            <w:vAlign w:val="bottom"/>
          </w:tcPr>
          <w:p w14:paraId="0335DD2D" w14:textId="77777777" w:rsidR="003413FD" w:rsidRDefault="003413FD" w:rsidP="00F77D72">
            <w:pPr>
              <w:spacing w:after="0" w:line="240" w:lineRule="auto"/>
              <w:jc w:val="right"/>
              <w:rPr>
                <w:rFonts w:ascii="Cambria" w:eastAsia="Times New Roman" w:hAnsi="Cambria" w:cs="Arial"/>
                <w:bCs/>
                <w:lang w:eastAsia="hr-HR"/>
              </w:rPr>
            </w:pPr>
            <w:r>
              <w:rPr>
                <w:rFonts w:ascii="Cambria" w:eastAsia="Times New Roman" w:hAnsi="Cambria" w:cs="Arial"/>
                <w:bCs/>
                <w:lang w:eastAsia="hr-HR"/>
              </w:rPr>
              <w:t>1.083.858,89</w:t>
            </w:r>
          </w:p>
        </w:tc>
      </w:tr>
    </w:tbl>
    <w:p w14:paraId="59CBBACE" w14:textId="77777777" w:rsidR="0041513E" w:rsidRPr="005C47E6" w:rsidRDefault="0041513E" w:rsidP="00820F2B">
      <w:pPr>
        <w:jc w:val="both"/>
        <w:rPr>
          <w:rFonts w:cstheme="minorHAnsi"/>
          <w:sz w:val="24"/>
          <w:szCs w:val="24"/>
        </w:rPr>
      </w:pPr>
    </w:p>
    <w:p w14:paraId="3A37BE96" w14:textId="00724418" w:rsidR="00267E67" w:rsidRPr="00101594" w:rsidRDefault="00F97BA3" w:rsidP="00820F2B">
      <w:pPr>
        <w:jc w:val="both"/>
        <w:rPr>
          <w:rFonts w:cstheme="minorHAnsi"/>
          <w:sz w:val="24"/>
          <w:szCs w:val="24"/>
        </w:rPr>
      </w:pPr>
      <w:r w:rsidRPr="00F97BA3">
        <w:rPr>
          <w:rFonts w:cstheme="minorHAnsi"/>
          <w:b/>
          <w:bCs/>
          <w:sz w:val="24"/>
          <w:szCs w:val="24"/>
        </w:rPr>
        <w:t>Tablica 1</w:t>
      </w:r>
      <w:r w:rsidR="005F5D64">
        <w:rPr>
          <w:rFonts w:cstheme="minorHAnsi"/>
          <w:b/>
          <w:bCs/>
          <w:sz w:val="24"/>
          <w:szCs w:val="24"/>
        </w:rPr>
        <w:t>2</w:t>
      </w:r>
      <w:r w:rsidRPr="00F97BA3">
        <w:rPr>
          <w:rFonts w:cstheme="minorHAnsi"/>
          <w:b/>
          <w:bCs/>
          <w:sz w:val="24"/>
          <w:szCs w:val="24"/>
        </w:rPr>
        <w:t>.</w:t>
      </w:r>
      <w:r w:rsidR="00101594">
        <w:rPr>
          <w:rFonts w:cstheme="minorHAnsi"/>
          <w:b/>
          <w:bCs/>
          <w:sz w:val="24"/>
          <w:szCs w:val="24"/>
        </w:rPr>
        <w:t xml:space="preserve"> </w:t>
      </w:r>
      <w:r>
        <w:rPr>
          <w:rFonts w:cstheme="minorHAnsi"/>
          <w:sz w:val="24"/>
          <w:szCs w:val="24"/>
        </w:rPr>
        <w:t xml:space="preserve">Stanje </w:t>
      </w:r>
      <w:r w:rsidR="00BB4142" w:rsidRPr="00101594">
        <w:rPr>
          <w:rFonts w:cstheme="minorHAnsi"/>
          <w:sz w:val="24"/>
          <w:szCs w:val="24"/>
        </w:rPr>
        <w:t>dospjelih i nedospjelih</w:t>
      </w:r>
      <w:r w:rsidRPr="00101594">
        <w:rPr>
          <w:rFonts w:cstheme="minorHAnsi"/>
          <w:sz w:val="24"/>
          <w:szCs w:val="24"/>
        </w:rPr>
        <w:t xml:space="preserve"> potraživanja</w:t>
      </w:r>
      <w:r w:rsidR="00BB7558" w:rsidRPr="00101594">
        <w:rPr>
          <w:rFonts w:cstheme="minorHAnsi"/>
          <w:sz w:val="24"/>
          <w:szCs w:val="24"/>
        </w:rPr>
        <w:t xml:space="preserve"> za gradske naknade</w:t>
      </w:r>
      <w:r w:rsidRPr="00101594">
        <w:rPr>
          <w:rFonts w:cstheme="minorHAnsi"/>
          <w:sz w:val="24"/>
          <w:szCs w:val="24"/>
        </w:rPr>
        <w:t xml:space="preserve"> za pravne obveznike na dan 31.12.202</w:t>
      </w:r>
      <w:r w:rsidR="005663D5">
        <w:rPr>
          <w:rFonts w:cstheme="minorHAnsi"/>
          <w:sz w:val="24"/>
          <w:szCs w:val="24"/>
        </w:rPr>
        <w:t>5</w:t>
      </w:r>
      <w:r w:rsidRPr="00101594">
        <w:rPr>
          <w:rFonts w:cstheme="minorHAnsi"/>
          <w:sz w:val="24"/>
          <w:szCs w:val="24"/>
        </w:rPr>
        <w:t>.</w:t>
      </w:r>
    </w:p>
    <w:p w14:paraId="4074E2C3" w14:textId="77777777" w:rsidR="00F97BA3" w:rsidRDefault="00F97BA3" w:rsidP="00820F2B">
      <w:pPr>
        <w:jc w:val="both"/>
        <w:rPr>
          <w:rFonts w:cstheme="minorHAnsi"/>
          <w:sz w:val="24"/>
          <w:szCs w:val="24"/>
        </w:rPr>
      </w:pPr>
    </w:p>
    <w:tbl>
      <w:tblPr>
        <w:tblW w:w="11834" w:type="dxa"/>
        <w:tblInd w:w="-1422" w:type="dxa"/>
        <w:tblLook w:val="04A0" w:firstRow="1" w:lastRow="0" w:firstColumn="1" w:lastColumn="0" w:noHBand="0" w:noVBand="1"/>
      </w:tblPr>
      <w:tblGrid>
        <w:gridCol w:w="2838"/>
        <w:gridCol w:w="1031"/>
        <w:gridCol w:w="965"/>
        <w:gridCol w:w="1031"/>
        <w:gridCol w:w="871"/>
        <w:gridCol w:w="1031"/>
        <w:gridCol w:w="965"/>
        <w:gridCol w:w="1031"/>
        <w:gridCol w:w="1031"/>
        <w:gridCol w:w="1040"/>
      </w:tblGrid>
      <w:tr w:rsidR="00134DD6" w:rsidRPr="00134DD6" w14:paraId="29A89596" w14:textId="77777777" w:rsidTr="00134DD6">
        <w:trPr>
          <w:trHeight w:val="499"/>
        </w:trPr>
        <w:tc>
          <w:tcPr>
            <w:tcW w:w="2838" w:type="dxa"/>
            <w:tcBorders>
              <w:top w:val="single" w:sz="4" w:space="0" w:color="auto"/>
              <w:left w:val="single" w:sz="4" w:space="0" w:color="auto"/>
              <w:bottom w:val="single" w:sz="4" w:space="0" w:color="auto"/>
              <w:right w:val="single" w:sz="4" w:space="0" w:color="000000"/>
            </w:tcBorders>
            <w:hideMark/>
          </w:tcPr>
          <w:p w14:paraId="4C6CC6E2" w14:textId="77777777" w:rsidR="00134DD6" w:rsidRPr="00134DD6" w:rsidRDefault="00134DD6" w:rsidP="00134DD6">
            <w:pPr>
              <w:spacing w:after="0" w:line="240" w:lineRule="auto"/>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 </w:t>
            </w:r>
          </w:p>
        </w:tc>
        <w:tc>
          <w:tcPr>
            <w:tcW w:w="1031" w:type="dxa"/>
            <w:tcBorders>
              <w:top w:val="single" w:sz="4" w:space="0" w:color="auto"/>
              <w:left w:val="nil"/>
              <w:bottom w:val="single" w:sz="4" w:space="0" w:color="auto"/>
              <w:right w:val="single" w:sz="4" w:space="0" w:color="auto"/>
            </w:tcBorders>
            <w:hideMark/>
          </w:tcPr>
          <w:p w14:paraId="04169E14" w14:textId="77777777" w:rsidR="00134DD6" w:rsidRPr="00134DD6" w:rsidRDefault="00134DD6" w:rsidP="00134DD6">
            <w:pPr>
              <w:spacing w:after="0" w:line="240" w:lineRule="auto"/>
              <w:jc w:val="right"/>
              <w:rPr>
                <w:rFonts w:ascii="Arial" w:eastAsia="Times New Roman" w:hAnsi="Arial" w:cs="Arial"/>
                <w:b/>
                <w:bCs/>
                <w:color w:val="000000"/>
                <w:sz w:val="16"/>
                <w:szCs w:val="16"/>
                <w:lang w:eastAsia="hr-HR"/>
              </w:rPr>
            </w:pPr>
            <w:r w:rsidRPr="00134DD6">
              <w:rPr>
                <w:rFonts w:ascii="Arial" w:eastAsia="Times New Roman" w:hAnsi="Arial" w:cs="Arial"/>
                <w:b/>
                <w:bCs/>
                <w:color w:val="000000"/>
                <w:sz w:val="16"/>
                <w:szCs w:val="16"/>
                <w:lang w:eastAsia="hr-HR"/>
              </w:rPr>
              <w:t>Redovno duguje</w:t>
            </w:r>
          </w:p>
        </w:tc>
        <w:tc>
          <w:tcPr>
            <w:tcW w:w="965" w:type="dxa"/>
            <w:tcBorders>
              <w:top w:val="single" w:sz="4" w:space="0" w:color="auto"/>
              <w:left w:val="nil"/>
              <w:bottom w:val="single" w:sz="4" w:space="0" w:color="auto"/>
              <w:right w:val="single" w:sz="4" w:space="0" w:color="auto"/>
            </w:tcBorders>
            <w:hideMark/>
          </w:tcPr>
          <w:p w14:paraId="72BB0DCD" w14:textId="77777777" w:rsidR="00134DD6" w:rsidRPr="00134DD6" w:rsidRDefault="00134DD6" w:rsidP="00134DD6">
            <w:pPr>
              <w:spacing w:after="0" w:line="240" w:lineRule="auto"/>
              <w:jc w:val="right"/>
              <w:rPr>
                <w:rFonts w:ascii="Arial" w:eastAsia="Times New Roman" w:hAnsi="Arial" w:cs="Arial"/>
                <w:b/>
                <w:bCs/>
                <w:color w:val="000000"/>
                <w:sz w:val="16"/>
                <w:szCs w:val="16"/>
                <w:lang w:eastAsia="hr-HR"/>
              </w:rPr>
            </w:pPr>
            <w:r w:rsidRPr="00134DD6">
              <w:rPr>
                <w:rFonts w:ascii="Arial" w:eastAsia="Times New Roman" w:hAnsi="Arial" w:cs="Arial"/>
                <w:b/>
                <w:bCs/>
                <w:color w:val="000000"/>
                <w:sz w:val="16"/>
                <w:szCs w:val="16"/>
                <w:lang w:eastAsia="hr-HR"/>
              </w:rPr>
              <w:t>Redovno potražuje</w:t>
            </w:r>
          </w:p>
        </w:tc>
        <w:tc>
          <w:tcPr>
            <w:tcW w:w="1031" w:type="dxa"/>
            <w:tcBorders>
              <w:top w:val="single" w:sz="4" w:space="0" w:color="auto"/>
              <w:left w:val="nil"/>
              <w:bottom w:val="single" w:sz="4" w:space="0" w:color="auto"/>
              <w:right w:val="single" w:sz="4" w:space="0" w:color="auto"/>
            </w:tcBorders>
            <w:hideMark/>
          </w:tcPr>
          <w:p w14:paraId="0D0D5595" w14:textId="77777777" w:rsidR="00134DD6" w:rsidRPr="00134DD6" w:rsidRDefault="00134DD6" w:rsidP="00134DD6">
            <w:pPr>
              <w:spacing w:after="0" w:line="240" w:lineRule="auto"/>
              <w:jc w:val="right"/>
              <w:rPr>
                <w:rFonts w:ascii="Arial" w:eastAsia="Times New Roman" w:hAnsi="Arial" w:cs="Arial"/>
                <w:b/>
                <w:bCs/>
                <w:color w:val="000000"/>
                <w:sz w:val="16"/>
                <w:szCs w:val="16"/>
                <w:lang w:eastAsia="hr-HR"/>
              </w:rPr>
            </w:pPr>
            <w:r w:rsidRPr="00134DD6">
              <w:rPr>
                <w:rFonts w:ascii="Arial" w:eastAsia="Times New Roman" w:hAnsi="Arial" w:cs="Arial"/>
                <w:b/>
                <w:bCs/>
                <w:color w:val="000000"/>
                <w:sz w:val="16"/>
                <w:szCs w:val="16"/>
                <w:lang w:eastAsia="hr-HR"/>
              </w:rPr>
              <w:t>Redovno saldo</w:t>
            </w:r>
          </w:p>
        </w:tc>
        <w:tc>
          <w:tcPr>
            <w:tcW w:w="871" w:type="dxa"/>
            <w:tcBorders>
              <w:top w:val="single" w:sz="4" w:space="0" w:color="auto"/>
              <w:left w:val="nil"/>
              <w:bottom w:val="single" w:sz="4" w:space="0" w:color="auto"/>
              <w:right w:val="single" w:sz="4" w:space="0" w:color="auto"/>
            </w:tcBorders>
            <w:hideMark/>
          </w:tcPr>
          <w:p w14:paraId="5398DC04" w14:textId="77777777" w:rsidR="00134DD6" w:rsidRPr="00134DD6" w:rsidRDefault="00134DD6" w:rsidP="00134DD6">
            <w:pPr>
              <w:spacing w:after="0" w:line="240" w:lineRule="auto"/>
              <w:jc w:val="right"/>
              <w:rPr>
                <w:rFonts w:ascii="Arial" w:eastAsia="Times New Roman" w:hAnsi="Arial" w:cs="Arial"/>
                <w:b/>
                <w:bCs/>
                <w:color w:val="000000"/>
                <w:sz w:val="16"/>
                <w:szCs w:val="16"/>
                <w:lang w:eastAsia="hr-HR"/>
              </w:rPr>
            </w:pPr>
            <w:r w:rsidRPr="00134DD6">
              <w:rPr>
                <w:rFonts w:ascii="Arial" w:eastAsia="Times New Roman" w:hAnsi="Arial" w:cs="Arial"/>
                <w:b/>
                <w:bCs/>
                <w:color w:val="000000"/>
                <w:sz w:val="16"/>
                <w:szCs w:val="16"/>
                <w:lang w:eastAsia="hr-HR"/>
              </w:rPr>
              <w:t>SISP</w:t>
            </w:r>
          </w:p>
        </w:tc>
        <w:tc>
          <w:tcPr>
            <w:tcW w:w="1031" w:type="dxa"/>
            <w:tcBorders>
              <w:top w:val="single" w:sz="4" w:space="0" w:color="auto"/>
              <w:left w:val="nil"/>
              <w:bottom w:val="single" w:sz="4" w:space="0" w:color="auto"/>
              <w:right w:val="single" w:sz="4" w:space="0" w:color="auto"/>
            </w:tcBorders>
            <w:hideMark/>
          </w:tcPr>
          <w:p w14:paraId="2A3D69B5" w14:textId="77777777" w:rsidR="00134DD6" w:rsidRPr="00134DD6" w:rsidRDefault="00134DD6" w:rsidP="00134DD6">
            <w:pPr>
              <w:spacing w:after="0" w:line="240" w:lineRule="auto"/>
              <w:jc w:val="right"/>
              <w:rPr>
                <w:rFonts w:ascii="Arial" w:eastAsia="Times New Roman" w:hAnsi="Arial" w:cs="Arial"/>
                <w:b/>
                <w:bCs/>
                <w:color w:val="000000"/>
                <w:sz w:val="16"/>
                <w:szCs w:val="16"/>
                <w:lang w:eastAsia="hr-HR"/>
              </w:rPr>
            </w:pPr>
            <w:r w:rsidRPr="00134DD6">
              <w:rPr>
                <w:rFonts w:ascii="Arial" w:eastAsia="Times New Roman" w:hAnsi="Arial" w:cs="Arial"/>
                <w:b/>
                <w:bCs/>
                <w:color w:val="000000"/>
                <w:sz w:val="16"/>
                <w:szCs w:val="16"/>
                <w:lang w:eastAsia="hr-HR"/>
              </w:rPr>
              <w:t>Utuženo duguje</w:t>
            </w:r>
          </w:p>
        </w:tc>
        <w:tc>
          <w:tcPr>
            <w:tcW w:w="965" w:type="dxa"/>
            <w:tcBorders>
              <w:top w:val="single" w:sz="4" w:space="0" w:color="auto"/>
              <w:left w:val="nil"/>
              <w:bottom w:val="single" w:sz="4" w:space="0" w:color="auto"/>
              <w:right w:val="single" w:sz="4" w:space="0" w:color="auto"/>
            </w:tcBorders>
            <w:hideMark/>
          </w:tcPr>
          <w:p w14:paraId="110D1FF2" w14:textId="77777777" w:rsidR="00134DD6" w:rsidRPr="00134DD6" w:rsidRDefault="00134DD6" w:rsidP="00134DD6">
            <w:pPr>
              <w:spacing w:after="0" w:line="240" w:lineRule="auto"/>
              <w:jc w:val="right"/>
              <w:rPr>
                <w:rFonts w:ascii="Arial" w:eastAsia="Times New Roman" w:hAnsi="Arial" w:cs="Arial"/>
                <w:b/>
                <w:bCs/>
                <w:color w:val="000000"/>
                <w:sz w:val="16"/>
                <w:szCs w:val="16"/>
                <w:lang w:eastAsia="hr-HR"/>
              </w:rPr>
            </w:pPr>
            <w:r w:rsidRPr="00134DD6">
              <w:rPr>
                <w:rFonts w:ascii="Arial" w:eastAsia="Times New Roman" w:hAnsi="Arial" w:cs="Arial"/>
                <w:b/>
                <w:bCs/>
                <w:color w:val="000000"/>
                <w:sz w:val="16"/>
                <w:szCs w:val="16"/>
                <w:lang w:eastAsia="hr-HR"/>
              </w:rPr>
              <w:t>Utuženo potražuje</w:t>
            </w:r>
          </w:p>
        </w:tc>
        <w:tc>
          <w:tcPr>
            <w:tcW w:w="1031" w:type="dxa"/>
            <w:tcBorders>
              <w:top w:val="single" w:sz="4" w:space="0" w:color="auto"/>
              <w:left w:val="nil"/>
              <w:bottom w:val="single" w:sz="4" w:space="0" w:color="auto"/>
              <w:right w:val="single" w:sz="4" w:space="0" w:color="auto"/>
            </w:tcBorders>
            <w:hideMark/>
          </w:tcPr>
          <w:p w14:paraId="3F8F3C90" w14:textId="77777777" w:rsidR="00134DD6" w:rsidRPr="00134DD6" w:rsidRDefault="00134DD6" w:rsidP="00134DD6">
            <w:pPr>
              <w:spacing w:after="0" w:line="240" w:lineRule="auto"/>
              <w:jc w:val="right"/>
              <w:rPr>
                <w:rFonts w:ascii="Arial" w:eastAsia="Times New Roman" w:hAnsi="Arial" w:cs="Arial"/>
                <w:b/>
                <w:bCs/>
                <w:color w:val="000000"/>
                <w:sz w:val="16"/>
                <w:szCs w:val="16"/>
                <w:lang w:eastAsia="hr-HR"/>
              </w:rPr>
            </w:pPr>
            <w:r w:rsidRPr="00134DD6">
              <w:rPr>
                <w:rFonts w:ascii="Arial" w:eastAsia="Times New Roman" w:hAnsi="Arial" w:cs="Arial"/>
                <w:b/>
                <w:bCs/>
                <w:color w:val="000000"/>
                <w:sz w:val="16"/>
                <w:szCs w:val="16"/>
                <w:lang w:eastAsia="hr-HR"/>
              </w:rPr>
              <w:t>Utuženo saldo</w:t>
            </w:r>
          </w:p>
        </w:tc>
        <w:tc>
          <w:tcPr>
            <w:tcW w:w="1031" w:type="dxa"/>
            <w:tcBorders>
              <w:top w:val="single" w:sz="4" w:space="0" w:color="auto"/>
              <w:left w:val="nil"/>
              <w:bottom w:val="single" w:sz="4" w:space="0" w:color="auto"/>
              <w:right w:val="single" w:sz="4" w:space="0" w:color="auto"/>
            </w:tcBorders>
            <w:hideMark/>
          </w:tcPr>
          <w:p w14:paraId="75133C3F" w14:textId="77777777" w:rsidR="00134DD6" w:rsidRPr="00134DD6" w:rsidRDefault="00134DD6" w:rsidP="00134DD6">
            <w:pPr>
              <w:spacing w:after="0" w:line="240" w:lineRule="auto"/>
              <w:jc w:val="right"/>
              <w:rPr>
                <w:rFonts w:ascii="Arial" w:eastAsia="Times New Roman" w:hAnsi="Arial" w:cs="Arial"/>
                <w:b/>
                <w:bCs/>
                <w:color w:val="000000"/>
                <w:sz w:val="16"/>
                <w:szCs w:val="16"/>
                <w:lang w:eastAsia="hr-HR"/>
              </w:rPr>
            </w:pPr>
            <w:r w:rsidRPr="00134DD6">
              <w:rPr>
                <w:rFonts w:ascii="Arial" w:eastAsia="Times New Roman" w:hAnsi="Arial" w:cs="Arial"/>
                <w:b/>
                <w:bCs/>
                <w:color w:val="000000"/>
                <w:sz w:val="16"/>
                <w:szCs w:val="16"/>
                <w:lang w:eastAsia="hr-HR"/>
              </w:rPr>
              <w:t>Dospjeli saldo</w:t>
            </w:r>
          </w:p>
        </w:tc>
        <w:tc>
          <w:tcPr>
            <w:tcW w:w="1040" w:type="dxa"/>
            <w:tcBorders>
              <w:top w:val="single" w:sz="4" w:space="0" w:color="auto"/>
              <w:left w:val="nil"/>
              <w:bottom w:val="single" w:sz="4" w:space="0" w:color="auto"/>
              <w:right w:val="single" w:sz="4" w:space="0" w:color="auto"/>
            </w:tcBorders>
            <w:hideMark/>
          </w:tcPr>
          <w:p w14:paraId="7DFB3837" w14:textId="77777777" w:rsidR="00134DD6" w:rsidRPr="00134DD6" w:rsidRDefault="00134DD6" w:rsidP="00134DD6">
            <w:pPr>
              <w:spacing w:after="0" w:line="240" w:lineRule="auto"/>
              <w:jc w:val="right"/>
              <w:rPr>
                <w:rFonts w:ascii="Arial" w:eastAsia="Times New Roman" w:hAnsi="Arial" w:cs="Arial"/>
                <w:b/>
                <w:bCs/>
                <w:color w:val="000000"/>
                <w:sz w:val="16"/>
                <w:szCs w:val="16"/>
                <w:lang w:eastAsia="hr-HR"/>
              </w:rPr>
            </w:pPr>
            <w:r w:rsidRPr="00134DD6">
              <w:rPr>
                <w:rFonts w:ascii="Arial" w:eastAsia="Times New Roman" w:hAnsi="Arial" w:cs="Arial"/>
                <w:b/>
                <w:bCs/>
                <w:color w:val="000000"/>
                <w:sz w:val="16"/>
                <w:szCs w:val="16"/>
                <w:lang w:eastAsia="hr-HR"/>
              </w:rPr>
              <w:t>Nedospjeli saldo</w:t>
            </w:r>
          </w:p>
        </w:tc>
      </w:tr>
      <w:tr w:rsidR="00134DD6" w:rsidRPr="00134DD6" w14:paraId="5A1411DC" w14:textId="77777777" w:rsidTr="00134DD6">
        <w:trPr>
          <w:trHeight w:val="332"/>
        </w:trPr>
        <w:tc>
          <w:tcPr>
            <w:tcW w:w="2838" w:type="dxa"/>
            <w:tcBorders>
              <w:top w:val="single" w:sz="4" w:space="0" w:color="auto"/>
              <w:left w:val="single" w:sz="4" w:space="0" w:color="auto"/>
              <w:bottom w:val="single" w:sz="4" w:space="0" w:color="auto"/>
              <w:right w:val="single" w:sz="4" w:space="0" w:color="auto"/>
            </w:tcBorders>
            <w:hideMark/>
          </w:tcPr>
          <w:p w14:paraId="437F5BDB" w14:textId="77777777" w:rsidR="00134DD6" w:rsidRPr="00134DD6" w:rsidRDefault="00134DD6" w:rsidP="00134DD6">
            <w:pPr>
              <w:spacing w:after="0" w:line="240" w:lineRule="auto"/>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 xml:space="preserve"> Naknada:  ATP - Naknada za dozvolu (autotaksi)</w:t>
            </w:r>
          </w:p>
        </w:tc>
        <w:tc>
          <w:tcPr>
            <w:tcW w:w="1031" w:type="dxa"/>
            <w:tcBorders>
              <w:top w:val="nil"/>
              <w:left w:val="nil"/>
              <w:bottom w:val="single" w:sz="4" w:space="0" w:color="auto"/>
              <w:right w:val="single" w:sz="4" w:space="0" w:color="auto"/>
            </w:tcBorders>
            <w:hideMark/>
          </w:tcPr>
          <w:p w14:paraId="07F3BB86"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965" w:type="dxa"/>
            <w:tcBorders>
              <w:top w:val="nil"/>
              <w:left w:val="nil"/>
              <w:bottom w:val="single" w:sz="4" w:space="0" w:color="auto"/>
              <w:right w:val="single" w:sz="4" w:space="0" w:color="auto"/>
            </w:tcBorders>
            <w:hideMark/>
          </w:tcPr>
          <w:p w14:paraId="2C6DCACA"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132,72</w:t>
            </w:r>
          </w:p>
        </w:tc>
        <w:tc>
          <w:tcPr>
            <w:tcW w:w="1031" w:type="dxa"/>
            <w:tcBorders>
              <w:top w:val="nil"/>
              <w:left w:val="nil"/>
              <w:bottom w:val="single" w:sz="4" w:space="0" w:color="auto"/>
              <w:right w:val="single" w:sz="4" w:space="0" w:color="auto"/>
            </w:tcBorders>
            <w:hideMark/>
          </w:tcPr>
          <w:p w14:paraId="0B096953"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-132,72</w:t>
            </w:r>
          </w:p>
        </w:tc>
        <w:tc>
          <w:tcPr>
            <w:tcW w:w="871" w:type="dxa"/>
            <w:tcBorders>
              <w:top w:val="nil"/>
              <w:left w:val="nil"/>
              <w:bottom w:val="single" w:sz="4" w:space="0" w:color="auto"/>
              <w:right w:val="single" w:sz="4" w:space="0" w:color="auto"/>
            </w:tcBorders>
            <w:hideMark/>
          </w:tcPr>
          <w:p w14:paraId="031A42A3"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31" w:type="dxa"/>
            <w:tcBorders>
              <w:top w:val="nil"/>
              <w:left w:val="nil"/>
              <w:bottom w:val="single" w:sz="4" w:space="0" w:color="auto"/>
              <w:right w:val="single" w:sz="4" w:space="0" w:color="auto"/>
            </w:tcBorders>
            <w:hideMark/>
          </w:tcPr>
          <w:p w14:paraId="217B2482"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965" w:type="dxa"/>
            <w:tcBorders>
              <w:top w:val="single" w:sz="4" w:space="0" w:color="auto"/>
              <w:left w:val="nil"/>
              <w:bottom w:val="single" w:sz="4" w:space="0" w:color="auto"/>
              <w:right w:val="single" w:sz="4" w:space="0" w:color="auto"/>
            </w:tcBorders>
            <w:hideMark/>
          </w:tcPr>
          <w:p w14:paraId="0C345909"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31" w:type="dxa"/>
            <w:tcBorders>
              <w:top w:val="single" w:sz="4" w:space="0" w:color="auto"/>
              <w:left w:val="nil"/>
              <w:bottom w:val="single" w:sz="4" w:space="0" w:color="auto"/>
              <w:right w:val="single" w:sz="4" w:space="0" w:color="auto"/>
            </w:tcBorders>
            <w:hideMark/>
          </w:tcPr>
          <w:p w14:paraId="4F487587"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31" w:type="dxa"/>
            <w:tcBorders>
              <w:top w:val="nil"/>
              <w:left w:val="nil"/>
              <w:bottom w:val="single" w:sz="4" w:space="0" w:color="auto"/>
              <w:right w:val="single" w:sz="4" w:space="0" w:color="auto"/>
            </w:tcBorders>
            <w:hideMark/>
          </w:tcPr>
          <w:p w14:paraId="29D18BEB"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-132,72</w:t>
            </w:r>
          </w:p>
        </w:tc>
        <w:tc>
          <w:tcPr>
            <w:tcW w:w="1040" w:type="dxa"/>
            <w:tcBorders>
              <w:top w:val="nil"/>
              <w:left w:val="nil"/>
              <w:bottom w:val="single" w:sz="4" w:space="0" w:color="auto"/>
              <w:right w:val="single" w:sz="4" w:space="0" w:color="auto"/>
            </w:tcBorders>
            <w:noWrap/>
            <w:hideMark/>
          </w:tcPr>
          <w:p w14:paraId="66F181F9" w14:textId="77777777" w:rsidR="00134DD6" w:rsidRPr="00134DD6" w:rsidRDefault="00134DD6" w:rsidP="00134DD6">
            <w:pPr>
              <w:spacing w:after="0" w:line="240" w:lineRule="auto"/>
              <w:jc w:val="right"/>
              <w:rPr>
                <w:rFonts w:ascii="Arial" w:eastAsia="Times New Roman" w:hAnsi="Arial" w:cs="Arial"/>
                <w:sz w:val="16"/>
                <w:szCs w:val="16"/>
                <w:lang w:eastAsia="hr-HR"/>
              </w:rPr>
            </w:pPr>
            <w:r w:rsidRPr="00134DD6">
              <w:rPr>
                <w:rFonts w:ascii="Arial" w:eastAsia="Times New Roman" w:hAnsi="Arial" w:cs="Arial"/>
                <w:sz w:val="16"/>
                <w:szCs w:val="16"/>
                <w:lang w:eastAsia="hr-HR"/>
              </w:rPr>
              <w:t>0,00</w:t>
            </w:r>
          </w:p>
        </w:tc>
      </w:tr>
      <w:tr w:rsidR="00134DD6" w:rsidRPr="00134DD6" w14:paraId="4156CF12" w14:textId="77777777" w:rsidTr="00134DD6">
        <w:trPr>
          <w:trHeight w:val="332"/>
        </w:trPr>
        <w:tc>
          <w:tcPr>
            <w:tcW w:w="2838" w:type="dxa"/>
            <w:tcBorders>
              <w:top w:val="single" w:sz="4" w:space="0" w:color="auto"/>
              <w:left w:val="single" w:sz="4" w:space="0" w:color="auto"/>
              <w:bottom w:val="single" w:sz="4" w:space="0" w:color="auto"/>
              <w:right w:val="single" w:sz="4" w:space="0" w:color="auto"/>
            </w:tcBorders>
            <w:hideMark/>
          </w:tcPr>
          <w:p w14:paraId="4EFE0E0C" w14:textId="77777777" w:rsidR="00134DD6" w:rsidRPr="00134DD6" w:rsidRDefault="00134DD6" w:rsidP="00134DD6">
            <w:pPr>
              <w:spacing w:after="0" w:line="240" w:lineRule="auto"/>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 xml:space="preserve"> Naknada:  DKN - KOMUNALNI DOPRINOS</w:t>
            </w:r>
          </w:p>
        </w:tc>
        <w:tc>
          <w:tcPr>
            <w:tcW w:w="1031" w:type="dxa"/>
            <w:tcBorders>
              <w:top w:val="nil"/>
              <w:left w:val="nil"/>
              <w:bottom w:val="single" w:sz="4" w:space="0" w:color="auto"/>
              <w:right w:val="single" w:sz="4" w:space="0" w:color="auto"/>
            </w:tcBorders>
            <w:hideMark/>
          </w:tcPr>
          <w:p w14:paraId="036DB622"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9.339,73</w:t>
            </w:r>
          </w:p>
        </w:tc>
        <w:tc>
          <w:tcPr>
            <w:tcW w:w="965" w:type="dxa"/>
            <w:tcBorders>
              <w:top w:val="nil"/>
              <w:left w:val="nil"/>
              <w:bottom w:val="single" w:sz="4" w:space="0" w:color="auto"/>
              <w:right w:val="single" w:sz="4" w:space="0" w:color="auto"/>
            </w:tcBorders>
            <w:hideMark/>
          </w:tcPr>
          <w:p w14:paraId="22F0ECAD"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124,18</w:t>
            </w:r>
          </w:p>
        </w:tc>
        <w:tc>
          <w:tcPr>
            <w:tcW w:w="1031" w:type="dxa"/>
            <w:tcBorders>
              <w:top w:val="nil"/>
              <w:left w:val="nil"/>
              <w:bottom w:val="single" w:sz="4" w:space="0" w:color="auto"/>
              <w:right w:val="single" w:sz="4" w:space="0" w:color="auto"/>
            </w:tcBorders>
            <w:hideMark/>
          </w:tcPr>
          <w:p w14:paraId="0FB476C7"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9.215,55</w:t>
            </w:r>
          </w:p>
        </w:tc>
        <w:tc>
          <w:tcPr>
            <w:tcW w:w="871" w:type="dxa"/>
            <w:tcBorders>
              <w:top w:val="nil"/>
              <w:left w:val="nil"/>
              <w:bottom w:val="single" w:sz="4" w:space="0" w:color="auto"/>
              <w:right w:val="single" w:sz="4" w:space="0" w:color="auto"/>
            </w:tcBorders>
            <w:hideMark/>
          </w:tcPr>
          <w:p w14:paraId="193D602D"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31" w:type="dxa"/>
            <w:tcBorders>
              <w:top w:val="nil"/>
              <w:left w:val="nil"/>
              <w:bottom w:val="single" w:sz="4" w:space="0" w:color="auto"/>
              <w:right w:val="single" w:sz="4" w:space="0" w:color="auto"/>
            </w:tcBorders>
            <w:hideMark/>
          </w:tcPr>
          <w:p w14:paraId="629F5472"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19.159,82</w:t>
            </w:r>
          </w:p>
        </w:tc>
        <w:tc>
          <w:tcPr>
            <w:tcW w:w="965" w:type="dxa"/>
            <w:tcBorders>
              <w:top w:val="single" w:sz="4" w:space="0" w:color="auto"/>
              <w:left w:val="nil"/>
              <w:bottom w:val="single" w:sz="4" w:space="0" w:color="auto"/>
              <w:right w:val="single" w:sz="4" w:space="0" w:color="auto"/>
            </w:tcBorders>
            <w:hideMark/>
          </w:tcPr>
          <w:p w14:paraId="157778CD"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31" w:type="dxa"/>
            <w:tcBorders>
              <w:top w:val="single" w:sz="4" w:space="0" w:color="auto"/>
              <w:left w:val="nil"/>
              <w:bottom w:val="single" w:sz="4" w:space="0" w:color="auto"/>
              <w:right w:val="single" w:sz="4" w:space="0" w:color="auto"/>
            </w:tcBorders>
            <w:hideMark/>
          </w:tcPr>
          <w:p w14:paraId="23620CB8"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19.159,82</w:t>
            </w:r>
          </w:p>
        </w:tc>
        <w:tc>
          <w:tcPr>
            <w:tcW w:w="1031" w:type="dxa"/>
            <w:tcBorders>
              <w:top w:val="nil"/>
              <w:left w:val="nil"/>
              <w:bottom w:val="single" w:sz="4" w:space="0" w:color="auto"/>
              <w:right w:val="single" w:sz="4" w:space="0" w:color="auto"/>
            </w:tcBorders>
            <w:hideMark/>
          </w:tcPr>
          <w:p w14:paraId="038EA3D2"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28.375,37</w:t>
            </w:r>
          </w:p>
        </w:tc>
        <w:tc>
          <w:tcPr>
            <w:tcW w:w="1040" w:type="dxa"/>
            <w:tcBorders>
              <w:top w:val="nil"/>
              <w:left w:val="nil"/>
              <w:bottom w:val="single" w:sz="4" w:space="0" w:color="auto"/>
              <w:right w:val="single" w:sz="4" w:space="0" w:color="auto"/>
            </w:tcBorders>
            <w:noWrap/>
            <w:hideMark/>
          </w:tcPr>
          <w:p w14:paraId="122F72E1" w14:textId="77777777" w:rsidR="00134DD6" w:rsidRPr="00134DD6" w:rsidRDefault="00134DD6" w:rsidP="00134DD6">
            <w:pPr>
              <w:spacing w:after="0" w:line="240" w:lineRule="auto"/>
              <w:jc w:val="right"/>
              <w:rPr>
                <w:rFonts w:ascii="Arial" w:eastAsia="Times New Roman" w:hAnsi="Arial" w:cs="Arial"/>
                <w:sz w:val="16"/>
                <w:szCs w:val="16"/>
                <w:lang w:eastAsia="hr-HR"/>
              </w:rPr>
            </w:pPr>
            <w:r w:rsidRPr="00134DD6">
              <w:rPr>
                <w:rFonts w:ascii="Arial" w:eastAsia="Times New Roman" w:hAnsi="Arial" w:cs="Arial"/>
                <w:sz w:val="16"/>
                <w:szCs w:val="16"/>
                <w:lang w:eastAsia="hr-HR"/>
              </w:rPr>
              <w:t>149.775,31</w:t>
            </w:r>
          </w:p>
        </w:tc>
      </w:tr>
      <w:tr w:rsidR="00134DD6" w:rsidRPr="00134DD6" w14:paraId="60CCBD5B" w14:textId="77777777" w:rsidTr="00134DD6">
        <w:trPr>
          <w:trHeight w:val="582"/>
        </w:trPr>
        <w:tc>
          <w:tcPr>
            <w:tcW w:w="2838" w:type="dxa"/>
            <w:tcBorders>
              <w:top w:val="single" w:sz="4" w:space="0" w:color="auto"/>
              <w:left w:val="single" w:sz="4" w:space="0" w:color="auto"/>
              <w:bottom w:val="single" w:sz="4" w:space="0" w:color="auto"/>
              <w:right w:val="single" w:sz="4" w:space="0" w:color="auto"/>
            </w:tcBorders>
            <w:hideMark/>
          </w:tcPr>
          <w:p w14:paraId="3A52BB42" w14:textId="77777777" w:rsidR="00134DD6" w:rsidRPr="00134DD6" w:rsidRDefault="00134DD6" w:rsidP="00134DD6">
            <w:pPr>
              <w:spacing w:after="0" w:line="240" w:lineRule="auto"/>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lastRenderedPageBreak/>
              <w:t xml:space="preserve"> Naknada:  EMS - EKSPLOATACIJA MINER.SIROVINA  </w:t>
            </w:r>
          </w:p>
        </w:tc>
        <w:tc>
          <w:tcPr>
            <w:tcW w:w="1031" w:type="dxa"/>
            <w:tcBorders>
              <w:top w:val="nil"/>
              <w:left w:val="nil"/>
              <w:bottom w:val="single" w:sz="4" w:space="0" w:color="auto"/>
              <w:right w:val="single" w:sz="4" w:space="0" w:color="auto"/>
            </w:tcBorders>
            <w:hideMark/>
          </w:tcPr>
          <w:p w14:paraId="12E6A507"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965" w:type="dxa"/>
            <w:tcBorders>
              <w:top w:val="nil"/>
              <w:left w:val="nil"/>
              <w:bottom w:val="single" w:sz="4" w:space="0" w:color="auto"/>
              <w:right w:val="single" w:sz="4" w:space="0" w:color="auto"/>
            </w:tcBorders>
            <w:hideMark/>
          </w:tcPr>
          <w:p w14:paraId="3555AD0C"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714,00</w:t>
            </w:r>
          </w:p>
        </w:tc>
        <w:tc>
          <w:tcPr>
            <w:tcW w:w="1031" w:type="dxa"/>
            <w:tcBorders>
              <w:top w:val="nil"/>
              <w:left w:val="nil"/>
              <w:bottom w:val="single" w:sz="4" w:space="0" w:color="auto"/>
              <w:right w:val="single" w:sz="4" w:space="0" w:color="auto"/>
            </w:tcBorders>
            <w:hideMark/>
          </w:tcPr>
          <w:p w14:paraId="32DC8558"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-714,00</w:t>
            </w:r>
          </w:p>
        </w:tc>
        <w:tc>
          <w:tcPr>
            <w:tcW w:w="871" w:type="dxa"/>
            <w:tcBorders>
              <w:top w:val="nil"/>
              <w:left w:val="nil"/>
              <w:bottom w:val="single" w:sz="4" w:space="0" w:color="auto"/>
              <w:right w:val="single" w:sz="4" w:space="0" w:color="auto"/>
            </w:tcBorders>
            <w:hideMark/>
          </w:tcPr>
          <w:p w14:paraId="50F44E98"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31" w:type="dxa"/>
            <w:tcBorders>
              <w:top w:val="nil"/>
              <w:left w:val="nil"/>
              <w:bottom w:val="single" w:sz="4" w:space="0" w:color="auto"/>
              <w:right w:val="single" w:sz="4" w:space="0" w:color="auto"/>
            </w:tcBorders>
            <w:hideMark/>
          </w:tcPr>
          <w:p w14:paraId="4777FDF3"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965" w:type="dxa"/>
            <w:tcBorders>
              <w:top w:val="single" w:sz="4" w:space="0" w:color="auto"/>
              <w:left w:val="nil"/>
              <w:bottom w:val="single" w:sz="4" w:space="0" w:color="auto"/>
              <w:right w:val="single" w:sz="4" w:space="0" w:color="auto"/>
            </w:tcBorders>
            <w:hideMark/>
          </w:tcPr>
          <w:p w14:paraId="61564039"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31" w:type="dxa"/>
            <w:tcBorders>
              <w:top w:val="single" w:sz="4" w:space="0" w:color="auto"/>
              <w:left w:val="nil"/>
              <w:bottom w:val="single" w:sz="4" w:space="0" w:color="auto"/>
              <w:right w:val="single" w:sz="4" w:space="0" w:color="auto"/>
            </w:tcBorders>
            <w:hideMark/>
          </w:tcPr>
          <w:p w14:paraId="44EAA898"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31" w:type="dxa"/>
            <w:tcBorders>
              <w:top w:val="nil"/>
              <w:left w:val="nil"/>
              <w:bottom w:val="single" w:sz="4" w:space="0" w:color="auto"/>
              <w:right w:val="single" w:sz="4" w:space="0" w:color="auto"/>
            </w:tcBorders>
            <w:hideMark/>
          </w:tcPr>
          <w:p w14:paraId="7952998B"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-714,00</w:t>
            </w:r>
          </w:p>
        </w:tc>
        <w:tc>
          <w:tcPr>
            <w:tcW w:w="1040" w:type="dxa"/>
            <w:tcBorders>
              <w:top w:val="nil"/>
              <w:left w:val="nil"/>
              <w:bottom w:val="single" w:sz="4" w:space="0" w:color="auto"/>
              <w:right w:val="single" w:sz="4" w:space="0" w:color="auto"/>
            </w:tcBorders>
            <w:noWrap/>
            <w:hideMark/>
          </w:tcPr>
          <w:p w14:paraId="70D970E4" w14:textId="77777777" w:rsidR="00134DD6" w:rsidRPr="00134DD6" w:rsidRDefault="00134DD6" w:rsidP="00134DD6">
            <w:pPr>
              <w:spacing w:after="0" w:line="240" w:lineRule="auto"/>
              <w:jc w:val="right"/>
              <w:rPr>
                <w:rFonts w:ascii="Arial" w:eastAsia="Times New Roman" w:hAnsi="Arial" w:cs="Arial"/>
                <w:sz w:val="16"/>
                <w:szCs w:val="16"/>
                <w:lang w:eastAsia="hr-HR"/>
              </w:rPr>
            </w:pPr>
            <w:r w:rsidRPr="00134DD6">
              <w:rPr>
                <w:rFonts w:ascii="Arial" w:eastAsia="Times New Roman" w:hAnsi="Arial" w:cs="Arial"/>
                <w:sz w:val="16"/>
                <w:szCs w:val="16"/>
                <w:lang w:eastAsia="hr-HR"/>
              </w:rPr>
              <w:t>0,00</w:t>
            </w:r>
          </w:p>
        </w:tc>
      </w:tr>
      <w:tr w:rsidR="00134DD6" w:rsidRPr="00134DD6" w14:paraId="3598A560" w14:textId="77777777" w:rsidTr="00134DD6">
        <w:trPr>
          <w:trHeight w:val="332"/>
        </w:trPr>
        <w:tc>
          <w:tcPr>
            <w:tcW w:w="2838" w:type="dxa"/>
            <w:tcBorders>
              <w:top w:val="single" w:sz="4" w:space="0" w:color="auto"/>
              <w:left w:val="single" w:sz="4" w:space="0" w:color="auto"/>
              <w:bottom w:val="single" w:sz="4" w:space="0" w:color="auto"/>
              <w:right w:val="single" w:sz="4" w:space="0" w:color="auto"/>
            </w:tcBorders>
            <w:hideMark/>
          </w:tcPr>
          <w:p w14:paraId="298946DE" w14:textId="77777777" w:rsidR="00134DD6" w:rsidRPr="00134DD6" w:rsidRDefault="00134DD6" w:rsidP="00134DD6">
            <w:pPr>
              <w:spacing w:after="0" w:line="240" w:lineRule="auto"/>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 xml:space="preserve"> Naknada:  NKI - JPP - KIOSCI</w:t>
            </w:r>
          </w:p>
        </w:tc>
        <w:tc>
          <w:tcPr>
            <w:tcW w:w="1031" w:type="dxa"/>
            <w:tcBorders>
              <w:top w:val="nil"/>
              <w:left w:val="nil"/>
              <w:bottom w:val="single" w:sz="4" w:space="0" w:color="auto"/>
              <w:right w:val="single" w:sz="4" w:space="0" w:color="auto"/>
            </w:tcBorders>
            <w:hideMark/>
          </w:tcPr>
          <w:p w14:paraId="12708154"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1.400,17</w:t>
            </w:r>
          </w:p>
        </w:tc>
        <w:tc>
          <w:tcPr>
            <w:tcW w:w="965" w:type="dxa"/>
            <w:tcBorders>
              <w:top w:val="nil"/>
              <w:left w:val="nil"/>
              <w:bottom w:val="single" w:sz="4" w:space="0" w:color="auto"/>
              <w:right w:val="single" w:sz="4" w:space="0" w:color="auto"/>
            </w:tcBorders>
            <w:hideMark/>
          </w:tcPr>
          <w:p w14:paraId="011E1C5B"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18.290,40</w:t>
            </w:r>
          </w:p>
        </w:tc>
        <w:tc>
          <w:tcPr>
            <w:tcW w:w="1031" w:type="dxa"/>
            <w:tcBorders>
              <w:top w:val="nil"/>
              <w:left w:val="nil"/>
              <w:bottom w:val="single" w:sz="4" w:space="0" w:color="auto"/>
              <w:right w:val="single" w:sz="4" w:space="0" w:color="auto"/>
            </w:tcBorders>
            <w:hideMark/>
          </w:tcPr>
          <w:p w14:paraId="7B32824E"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-16.890,23</w:t>
            </w:r>
          </w:p>
        </w:tc>
        <w:tc>
          <w:tcPr>
            <w:tcW w:w="871" w:type="dxa"/>
            <w:tcBorders>
              <w:top w:val="nil"/>
              <w:left w:val="nil"/>
              <w:bottom w:val="single" w:sz="4" w:space="0" w:color="auto"/>
              <w:right w:val="single" w:sz="4" w:space="0" w:color="auto"/>
            </w:tcBorders>
            <w:hideMark/>
          </w:tcPr>
          <w:p w14:paraId="5BBDF3D4"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31" w:type="dxa"/>
            <w:tcBorders>
              <w:top w:val="nil"/>
              <w:left w:val="nil"/>
              <w:bottom w:val="single" w:sz="4" w:space="0" w:color="auto"/>
              <w:right w:val="single" w:sz="4" w:space="0" w:color="auto"/>
            </w:tcBorders>
            <w:hideMark/>
          </w:tcPr>
          <w:p w14:paraId="213FFD62"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965" w:type="dxa"/>
            <w:tcBorders>
              <w:top w:val="single" w:sz="4" w:space="0" w:color="auto"/>
              <w:left w:val="nil"/>
              <w:bottom w:val="single" w:sz="4" w:space="0" w:color="auto"/>
              <w:right w:val="single" w:sz="4" w:space="0" w:color="auto"/>
            </w:tcBorders>
            <w:hideMark/>
          </w:tcPr>
          <w:p w14:paraId="2EE86BA0"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31" w:type="dxa"/>
            <w:tcBorders>
              <w:top w:val="single" w:sz="4" w:space="0" w:color="auto"/>
              <w:left w:val="nil"/>
              <w:bottom w:val="single" w:sz="4" w:space="0" w:color="auto"/>
              <w:right w:val="single" w:sz="4" w:space="0" w:color="auto"/>
            </w:tcBorders>
            <w:hideMark/>
          </w:tcPr>
          <w:p w14:paraId="2575967E"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31" w:type="dxa"/>
            <w:tcBorders>
              <w:top w:val="nil"/>
              <w:left w:val="nil"/>
              <w:bottom w:val="single" w:sz="4" w:space="0" w:color="auto"/>
              <w:right w:val="single" w:sz="4" w:space="0" w:color="auto"/>
            </w:tcBorders>
            <w:hideMark/>
          </w:tcPr>
          <w:p w14:paraId="2B1B308C"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-16.890,23</w:t>
            </w:r>
          </w:p>
        </w:tc>
        <w:tc>
          <w:tcPr>
            <w:tcW w:w="1040" w:type="dxa"/>
            <w:tcBorders>
              <w:top w:val="nil"/>
              <w:left w:val="nil"/>
              <w:bottom w:val="single" w:sz="4" w:space="0" w:color="auto"/>
              <w:right w:val="single" w:sz="4" w:space="0" w:color="auto"/>
            </w:tcBorders>
            <w:noWrap/>
            <w:hideMark/>
          </w:tcPr>
          <w:p w14:paraId="4D223D5B" w14:textId="77777777" w:rsidR="00134DD6" w:rsidRPr="00134DD6" w:rsidRDefault="00134DD6" w:rsidP="00134DD6">
            <w:pPr>
              <w:spacing w:after="0" w:line="240" w:lineRule="auto"/>
              <w:jc w:val="right"/>
              <w:rPr>
                <w:rFonts w:ascii="Arial" w:eastAsia="Times New Roman" w:hAnsi="Arial" w:cs="Arial"/>
                <w:sz w:val="16"/>
                <w:szCs w:val="16"/>
                <w:lang w:eastAsia="hr-HR"/>
              </w:rPr>
            </w:pPr>
            <w:r w:rsidRPr="00134DD6">
              <w:rPr>
                <w:rFonts w:ascii="Arial" w:eastAsia="Times New Roman" w:hAnsi="Arial" w:cs="Arial"/>
                <w:sz w:val="16"/>
                <w:szCs w:val="16"/>
                <w:lang w:eastAsia="hr-HR"/>
              </w:rPr>
              <w:t>0,00</w:t>
            </w:r>
          </w:p>
        </w:tc>
      </w:tr>
      <w:tr w:rsidR="00134DD6" w:rsidRPr="00134DD6" w14:paraId="7C59865E" w14:textId="77777777" w:rsidTr="00134DD6">
        <w:trPr>
          <w:trHeight w:val="332"/>
        </w:trPr>
        <w:tc>
          <w:tcPr>
            <w:tcW w:w="2838" w:type="dxa"/>
            <w:tcBorders>
              <w:top w:val="single" w:sz="4" w:space="0" w:color="auto"/>
              <w:left w:val="single" w:sz="4" w:space="0" w:color="auto"/>
              <w:bottom w:val="single" w:sz="4" w:space="0" w:color="auto"/>
              <w:right w:val="single" w:sz="4" w:space="0" w:color="auto"/>
            </w:tcBorders>
            <w:hideMark/>
          </w:tcPr>
          <w:p w14:paraId="3C0D1B22" w14:textId="77777777" w:rsidR="00134DD6" w:rsidRPr="00134DD6" w:rsidRDefault="00134DD6" w:rsidP="00134DD6">
            <w:pPr>
              <w:spacing w:after="0" w:line="240" w:lineRule="auto"/>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 xml:space="preserve"> Naknada:  NKN - Komunalna naknada</w:t>
            </w:r>
          </w:p>
        </w:tc>
        <w:tc>
          <w:tcPr>
            <w:tcW w:w="1031" w:type="dxa"/>
            <w:tcBorders>
              <w:top w:val="nil"/>
              <w:left w:val="nil"/>
              <w:bottom w:val="single" w:sz="4" w:space="0" w:color="auto"/>
              <w:right w:val="single" w:sz="4" w:space="0" w:color="auto"/>
            </w:tcBorders>
            <w:hideMark/>
          </w:tcPr>
          <w:p w14:paraId="5DD6B739"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132.704,83</w:t>
            </w:r>
          </w:p>
        </w:tc>
        <w:tc>
          <w:tcPr>
            <w:tcW w:w="965" w:type="dxa"/>
            <w:tcBorders>
              <w:top w:val="nil"/>
              <w:left w:val="nil"/>
              <w:bottom w:val="single" w:sz="4" w:space="0" w:color="auto"/>
              <w:right w:val="single" w:sz="4" w:space="0" w:color="auto"/>
            </w:tcBorders>
            <w:hideMark/>
          </w:tcPr>
          <w:p w14:paraId="113FF7AD"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2.617,54</w:t>
            </w:r>
          </w:p>
        </w:tc>
        <w:tc>
          <w:tcPr>
            <w:tcW w:w="1031" w:type="dxa"/>
            <w:tcBorders>
              <w:top w:val="nil"/>
              <w:left w:val="nil"/>
              <w:bottom w:val="single" w:sz="4" w:space="0" w:color="auto"/>
              <w:right w:val="single" w:sz="4" w:space="0" w:color="auto"/>
            </w:tcBorders>
            <w:hideMark/>
          </w:tcPr>
          <w:p w14:paraId="5E0D65E3"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130.087,29</w:t>
            </w:r>
          </w:p>
        </w:tc>
        <w:tc>
          <w:tcPr>
            <w:tcW w:w="871" w:type="dxa"/>
            <w:tcBorders>
              <w:top w:val="nil"/>
              <w:left w:val="nil"/>
              <w:bottom w:val="single" w:sz="4" w:space="0" w:color="auto"/>
              <w:right w:val="single" w:sz="4" w:space="0" w:color="auto"/>
            </w:tcBorders>
            <w:hideMark/>
          </w:tcPr>
          <w:p w14:paraId="430A9E97"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31" w:type="dxa"/>
            <w:tcBorders>
              <w:top w:val="nil"/>
              <w:left w:val="nil"/>
              <w:bottom w:val="single" w:sz="4" w:space="0" w:color="auto"/>
              <w:right w:val="single" w:sz="4" w:space="0" w:color="auto"/>
            </w:tcBorders>
            <w:hideMark/>
          </w:tcPr>
          <w:p w14:paraId="0972DAA1"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394.656,96</w:t>
            </w:r>
          </w:p>
        </w:tc>
        <w:tc>
          <w:tcPr>
            <w:tcW w:w="965" w:type="dxa"/>
            <w:tcBorders>
              <w:top w:val="single" w:sz="4" w:space="0" w:color="auto"/>
              <w:left w:val="nil"/>
              <w:bottom w:val="single" w:sz="4" w:space="0" w:color="auto"/>
              <w:right w:val="single" w:sz="4" w:space="0" w:color="auto"/>
            </w:tcBorders>
            <w:hideMark/>
          </w:tcPr>
          <w:p w14:paraId="163A08D0"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31" w:type="dxa"/>
            <w:tcBorders>
              <w:top w:val="single" w:sz="4" w:space="0" w:color="auto"/>
              <w:left w:val="nil"/>
              <w:bottom w:val="single" w:sz="4" w:space="0" w:color="auto"/>
              <w:right w:val="single" w:sz="4" w:space="0" w:color="auto"/>
            </w:tcBorders>
            <w:hideMark/>
          </w:tcPr>
          <w:p w14:paraId="4B70E17D"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394.656,96</w:t>
            </w:r>
          </w:p>
        </w:tc>
        <w:tc>
          <w:tcPr>
            <w:tcW w:w="1031" w:type="dxa"/>
            <w:tcBorders>
              <w:top w:val="nil"/>
              <w:left w:val="nil"/>
              <w:bottom w:val="single" w:sz="4" w:space="0" w:color="auto"/>
              <w:right w:val="single" w:sz="4" w:space="0" w:color="auto"/>
            </w:tcBorders>
            <w:hideMark/>
          </w:tcPr>
          <w:p w14:paraId="44874EA7"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524.744,25</w:t>
            </w:r>
          </w:p>
        </w:tc>
        <w:tc>
          <w:tcPr>
            <w:tcW w:w="1040" w:type="dxa"/>
            <w:tcBorders>
              <w:top w:val="nil"/>
              <w:left w:val="nil"/>
              <w:bottom w:val="single" w:sz="4" w:space="0" w:color="auto"/>
              <w:right w:val="single" w:sz="4" w:space="0" w:color="auto"/>
            </w:tcBorders>
            <w:noWrap/>
            <w:hideMark/>
          </w:tcPr>
          <w:p w14:paraId="15E13922" w14:textId="77777777" w:rsidR="00134DD6" w:rsidRPr="00134DD6" w:rsidRDefault="00134DD6" w:rsidP="00134DD6">
            <w:pPr>
              <w:spacing w:after="0" w:line="240" w:lineRule="auto"/>
              <w:jc w:val="right"/>
              <w:rPr>
                <w:rFonts w:ascii="Arial" w:eastAsia="Times New Roman" w:hAnsi="Arial" w:cs="Arial"/>
                <w:sz w:val="16"/>
                <w:szCs w:val="16"/>
                <w:lang w:eastAsia="hr-HR"/>
              </w:rPr>
            </w:pPr>
            <w:r w:rsidRPr="00134DD6">
              <w:rPr>
                <w:rFonts w:ascii="Arial" w:eastAsia="Times New Roman" w:hAnsi="Arial" w:cs="Arial"/>
                <w:sz w:val="16"/>
                <w:szCs w:val="16"/>
                <w:lang w:eastAsia="hr-HR"/>
              </w:rPr>
              <w:t>104.368,18</w:t>
            </w:r>
          </w:p>
        </w:tc>
      </w:tr>
      <w:tr w:rsidR="00134DD6" w:rsidRPr="00134DD6" w14:paraId="6EF98FDF" w14:textId="77777777" w:rsidTr="00134DD6">
        <w:trPr>
          <w:trHeight w:val="332"/>
        </w:trPr>
        <w:tc>
          <w:tcPr>
            <w:tcW w:w="2838" w:type="dxa"/>
            <w:tcBorders>
              <w:top w:val="single" w:sz="4" w:space="0" w:color="auto"/>
              <w:left w:val="single" w:sz="4" w:space="0" w:color="auto"/>
              <w:bottom w:val="single" w:sz="4" w:space="0" w:color="auto"/>
              <w:right w:val="single" w:sz="4" w:space="0" w:color="auto"/>
            </w:tcBorders>
            <w:hideMark/>
          </w:tcPr>
          <w:p w14:paraId="1184CD1F" w14:textId="77777777" w:rsidR="00134DD6" w:rsidRPr="00134DD6" w:rsidRDefault="00134DD6" w:rsidP="00134DD6">
            <w:pPr>
              <w:spacing w:after="0" w:line="240" w:lineRule="auto"/>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 xml:space="preserve"> Naknada:  NKP - 6742-NOVČANE KAZNE PREK.SUDA</w:t>
            </w:r>
          </w:p>
        </w:tc>
        <w:tc>
          <w:tcPr>
            <w:tcW w:w="1031" w:type="dxa"/>
            <w:tcBorders>
              <w:top w:val="nil"/>
              <w:left w:val="nil"/>
              <w:bottom w:val="single" w:sz="4" w:space="0" w:color="auto"/>
              <w:right w:val="single" w:sz="4" w:space="0" w:color="auto"/>
            </w:tcBorders>
            <w:hideMark/>
          </w:tcPr>
          <w:p w14:paraId="2EBDD33D"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285,36</w:t>
            </w:r>
          </w:p>
        </w:tc>
        <w:tc>
          <w:tcPr>
            <w:tcW w:w="965" w:type="dxa"/>
            <w:tcBorders>
              <w:top w:val="nil"/>
              <w:left w:val="nil"/>
              <w:bottom w:val="single" w:sz="4" w:space="0" w:color="auto"/>
              <w:right w:val="single" w:sz="4" w:space="0" w:color="auto"/>
            </w:tcBorders>
            <w:hideMark/>
          </w:tcPr>
          <w:p w14:paraId="435D8EBF"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31" w:type="dxa"/>
            <w:tcBorders>
              <w:top w:val="nil"/>
              <w:left w:val="nil"/>
              <w:bottom w:val="single" w:sz="4" w:space="0" w:color="auto"/>
              <w:right w:val="single" w:sz="4" w:space="0" w:color="auto"/>
            </w:tcBorders>
            <w:hideMark/>
          </w:tcPr>
          <w:p w14:paraId="773A0914"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285,36</w:t>
            </w:r>
          </w:p>
        </w:tc>
        <w:tc>
          <w:tcPr>
            <w:tcW w:w="871" w:type="dxa"/>
            <w:tcBorders>
              <w:top w:val="nil"/>
              <w:left w:val="nil"/>
              <w:bottom w:val="single" w:sz="4" w:space="0" w:color="auto"/>
              <w:right w:val="single" w:sz="4" w:space="0" w:color="auto"/>
            </w:tcBorders>
            <w:hideMark/>
          </w:tcPr>
          <w:p w14:paraId="087B405A"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31" w:type="dxa"/>
            <w:tcBorders>
              <w:top w:val="nil"/>
              <w:left w:val="nil"/>
              <w:bottom w:val="single" w:sz="4" w:space="0" w:color="auto"/>
              <w:right w:val="single" w:sz="4" w:space="0" w:color="auto"/>
            </w:tcBorders>
            <w:hideMark/>
          </w:tcPr>
          <w:p w14:paraId="7B606860"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965" w:type="dxa"/>
            <w:tcBorders>
              <w:top w:val="single" w:sz="4" w:space="0" w:color="auto"/>
              <w:left w:val="nil"/>
              <w:bottom w:val="single" w:sz="4" w:space="0" w:color="auto"/>
              <w:right w:val="single" w:sz="4" w:space="0" w:color="auto"/>
            </w:tcBorders>
            <w:hideMark/>
          </w:tcPr>
          <w:p w14:paraId="3C91271B"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31" w:type="dxa"/>
            <w:tcBorders>
              <w:top w:val="single" w:sz="4" w:space="0" w:color="auto"/>
              <w:left w:val="nil"/>
              <w:bottom w:val="single" w:sz="4" w:space="0" w:color="auto"/>
              <w:right w:val="single" w:sz="4" w:space="0" w:color="auto"/>
            </w:tcBorders>
            <w:hideMark/>
          </w:tcPr>
          <w:p w14:paraId="279616F2"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31" w:type="dxa"/>
            <w:tcBorders>
              <w:top w:val="nil"/>
              <w:left w:val="nil"/>
              <w:bottom w:val="single" w:sz="4" w:space="0" w:color="auto"/>
              <w:right w:val="single" w:sz="4" w:space="0" w:color="auto"/>
            </w:tcBorders>
            <w:hideMark/>
          </w:tcPr>
          <w:p w14:paraId="43FAF71D"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285,36</w:t>
            </w:r>
          </w:p>
        </w:tc>
        <w:tc>
          <w:tcPr>
            <w:tcW w:w="1040" w:type="dxa"/>
            <w:tcBorders>
              <w:top w:val="nil"/>
              <w:left w:val="nil"/>
              <w:bottom w:val="single" w:sz="4" w:space="0" w:color="auto"/>
              <w:right w:val="single" w:sz="4" w:space="0" w:color="auto"/>
            </w:tcBorders>
            <w:noWrap/>
            <w:hideMark/>
          </w:tcPr>
          <w:p w14:paraId="0DE6EC07" w14:textId="77777777" w:rsidR="00134DD6" w:rsidRPr="00134DD6" w:rsidRDefault="00134DD6" w:rsidP="00134DD6">
            <w:pPr>
              <w:spacing w:after="0" w:line="240" w:lineRule="auto"/>
              <w:jc w:val="right"/>
              <w:rPr>
                <w:rFonts w:ascii="Arial" w:eastAsia="Times New Roman" w:hAnsi="Arial" w:cs="Arial"/>
                <w:sz w:val="16"/>
                <w:szCs w:val="16"/>
                <w:lang w:eastAsia="hr-HR"/>
              </w:rPr>
            </w:pPr>
            <w:r w:rsidRPr="00134DD6">
              <w:rPr>
                <w:rFonts w:ascii="Arial" w:eastAsia="Times New Roman" w:hAnsi="Arial" w:cs="Arial"/>
                <w:sz w:val="16"/>
                <w:szCs w:val="16"/>
                <w:lang w:eastAsia="hr-HR"/>
              </w:rPr>
              <w:t>0,00</w:t>
            </w:r>
          </w:p>
        </w:tc>
      </w:tr>
      <w:tr w:rsidR="00134DD6" w:rsidRPr="00134DD6" w14:paraId="168F77A7" w14:textId="77777777" w:rsidTr="00134DD6">
        <w:trPr>
          <w:trHeight w:val="332"/>
        </w:trPr>
        <w:tc>
          <w:tcPr>
            <w:tcW w:w="2838" w:type="dxa"/>
            <w:tcBorders>
              <w:top w:val="single" w:sz="4" w:space="0" w:color="auto"/>
              <w:left w:val="single" w:sz="4" w:space="0" w:color="auto"/>
              <w:bottom w:val="single" w:sz="4" w:space="0" w:color="auto"/>
              <w:right w:val="single" w:sz="4" w:space="0" w:color="auto"/>
            </w:tcBorders>
            <w:hideMark/>
          </w:tcPr>
          <w:p w14:paraId="77115B37" w14:textId="77777777" w:rsidR="00134DD6" w:rsidRPr="00134DD6" w:rsidRDefault="00134DD6" w:rsidP="00134DD6">
            <w:pPr>
              <w:spacing w:after="0" w:line="240" w:lineRule="auto"/>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 xml:space="preserve"> Naknada:  NKR - 6700 NOVČANE KAZNE KOM.REDARA</w:t>
            </w:r>
          </w:p>
        </w:tc>
        <w:tc>
          <w:tcPr>
            <w:tcW w:w="1031" w:type="dxa"/>
            <w:tcBorders>
              <w:top w:val="nil"/>
              <w:left w:val="nil"/>
              <w:bottom w:val="single" w:sz="4" w:space="0" w:color="auto"/>
              <w:right w:val="single" w:sz="4" w:space="0" w:color="auto"/>
            </w:tcBorders>
            <w:hideMark/>
          </w:tcPr>
          <w:p w14:paraId="6FE53AE6"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13,27</w:t>
            </w:r>
          </w:p>
        </w:tc>
        <w:tc>
          <w:tcPr>
            <w:tcW w:w="965" w:type="dxa"/>
            <w:tcBorders>
              <w:top w:val="nil"/>
              <w:left w:val="nil"/>
              <w:bottom w:val="single" w:sz="4" w:space="0" w:color="auto"/>
              <w:right w:val="single" w:sz="4" w:space="0" w:color="auto"/>
            </w:tcBorders>
            <w:hideMark/>
          </w:tcPr>
          <w:p w14:paraId="48117560"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1.978,77</w:t>
            </w:r>
          </w:p>
        </w:tc>
        <w:tc>
          <w:tcPr>
            <w:tcW w:w="1031" w:type="dxa"/>
            <w:tcBorders>
              <w:top w:val="nil"/>
              <w:left w:val="nil"/>
              <w:bottom w:val="single" w:sz="4" w:space="0" w:color="auto"/>
              <w:right w:val="single" w:sz="4" w:space="0" w:color="auto"/>
            </w:tcBorders>
            <w:hideMark/>
          </w:tcPr>
          <w:p w14:paraId="60D0CC66"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-1.965,50</w:t>
            </w:r>
          </w:p>
        </w:tc>
        <w:tc>
          <w:tcPr>
            <w:tcW w:w="871" w:type="dxa"/>
            <w:tcBorders>
              <w:top w:val="nil"/>
              <w:left w:val="nil"/>
              <w:bottom w:val="single" w:sz="4" w:space="0" w:color="auto"/>
              <w:right w:val="single" w:sz="4" w:space="0" w:color="auto"/>
            </w:tcBorders>
            <w:hideMark/>
          </w:tcPr>
          <w:p w14:paraId="453E4DCE"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31" w:type="dxa"/>
            <w:tcBorders>
              <w:top w:val="nil"/>
              <w:left w:val="nil"/>
              <w:bottom w:val="single" w:sz="4" w:space="0" w:color="auto"/>
              <w:right w:val="single" w:sz="4" w:space="0" w:color="auto"/>
            </w:tcBorders>
            <w:hideMark/>
          </w:tcPr>
          <w:p w14:paraId="023BAF22"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965" w:type="dxa"/>
            <w:tcBorders>
              <w:top w:val="single" w:sz="4" w:space="0" w:color="auto"/>
              <w:left w:val="nil"/>
              <w:bottom w:val="single" w:sz="4" w:space="0" w:color="auto"/>
              <w:right w:val="single" w:sz="4" w:space="0" w:color="auto"/>
            </w:tcBorders>
            <w:hideMark/>
          </w:tcPr>
          <w:p w14:paraId="46BA4FEB"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31" w:type="dxa"/>
            <w:tcBorders>
              <w:top w:val="single" w:sz="4" w:space="0" w:color="auto"/>
              <w:left w:val="nil"/>
              <w:bottom w:val="single" w:sz="4" w:space="0" w:color="auto"/>
              <w:right w:val="single" w:sz="4" w:space="0" w:color="auto"/>
            </w:tcBorders>
            <w:hideMark/>
          </w:tcPr>
          <w:p w14:paraId="7498B66C"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31" w:type="dxa"/>
            <w:tcBorders>
              <w:top w:val="nil"/>
              <w:left w:val="nil"/>
              <w:bottom w:val="single" w:sz="4" w:space="0" w:color="auto"/>
              <w:right w:val="single" w:sz="4" w:space="0" w:color="auto"/>
            </w:tcBorders>
            <w:hideMark/>
          </w:tcPr>
          <w:p w14:paraId="219B4C17"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-1.965,50</w:t>
            </w:r>
          </w:p>
        </w:tc>
        <w:tc>
          <w:tcPr>
            <w:tcW w:w="1040" w:type="dxa"/>
            <w:tcBorders>
              <w:top w:val="nil"/>
              <w:left w:val="nil"/>
              <w:bottom w:val="single" w:sz="4" w:space="0" w:color="auto"/>
              <w:right w:val="single" w:sz="4" w:space="0" w:color="auto"/>
            </w:tcBorders>
            <w:noWrap/>
            <w:hideMark/>
          </w:tcPr>
          <w:p w14:paraId="5DC2D5C3" w14:textId="77777777" w:rsidR="00134DD6" w:rsidRPr="00134DD6" w:rsidRDefault="00134DD6" w:rsidP="00134DD6">
            <w:pPr>
              <w:spacing w:after="0" w:line="240" w:lineRule="auto"/>
              <w:jc w:val="right"/>
              <w:rPr>
                <w:rFonts w:ascii="Arial" w:eastAsia="Times New Roman" w:hAnsi="Arial" w:cs="Arial"/>
                <w:sz w:val="16"/>
                <w:szCs w:val="16"/>
                <w:lang w:eastAsia="hr-HR"/>
              </w:rPr>
            </w:pPr>
            <w:r w:rsidRPr="00134DD6">
              <w:rPr>
                <w:rFonts w:ascii="Arial" w:eastAsia="Times New Roman" w:hAnsi="Arial" w:cs="Arial"/>
                <w:sz w:val="16"/>
                <w:szCs w:val="16"/>
                <w:lang w:eastAsia="hr-HR"/>
              </w:rPr>
              <w:t>0,00</w:t>
            </w:r>
          </w:p>
        </w:tc>
      </w:tr>
      <w:tr w:rsidR="00134DD6" w:rsidRPr="00134DD6" w14:paraId="387C6F3B" w14:textId="77777777" w:rsidTr="00134DD6">
        <w:trPr>
          <w:trHeight w:val="332"/>
        </w:trPr>
        <w:tc>
          <w:tcPr>
            <w:tcW w:w="2838" w:type="dxa"/>
            <w:tcBorders>
              <w:top w:val="single" w:sz="4" w:space="0" w:color="auto"/>
              <w:left w:val="single" w:sz="4" w:space="0" w:color="auto"/>
              <w:bottom w:val="single" w:sz="4" w:space="0" w:color="auto"/>
              <w:right w:val="single" w:sz="4" w:space="0" w:color="auto"/>
            </w:tcBorders>
            <w:hideMark/>
          </w:tcPr>
          <w:p w14:paraId="18EE0508" w14:textId="77777777" w:rsidR="00134DD6" w:rsidRPr="00134DD6" w:rsidRDefault="00134DD6" w:rsidP="00134DD6">
            <w:pPr>
              <w:spacing w:after="0" w:line="240" w:lineRule="auto"/>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 xml:space="preserve"> Naknada:  NLT - JPP - ŠTEKATI</w:t>
            </w:r>
          </w:p>
        </w:tc>
        <w:tc>
          <w:tcPr>
            <w:tcW w:w="1031" w:type="dxa"/>
            <w:tcBorders>
              <w:top w:val="nil"/>
              <w:left w:val="nil"/>
              <w:bottom w:val="single" w:sz="4" w:space="0" w:color="auto"/>
              <w:right w:val="single" w:sz="4" w:space="0" w:color="auto"/>
            </w:tcBorders>
            <w:hideMark/>
          </w:tcPr>
          <w:p w14:paraId="7E43C2B1"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26.871,11</w:t>
            </w:r>
          </w:p>
        </w:tc>
        <w:tc>
          <w:tcPr>
            <w:tcW w:w="965" w:type="dxa"/>
            <w:tcBorders>
              <w:top w:val="nil"/>
              <w:left w:val="nil"/>
              <w:bottom w:val="single" w:sz="4" w:space="0" w:color="auto"/>
              <w:right w:val="single" w:sz="4" w:space="0" w:color="auto"/>
            </w:tcBorders>
            <w:hideMark/>
          </w:tcPr>
          <w:p w14:paraId="089108C0"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8.882,81</w:t>
            </w:r>
          </w:p>
        </w:tc>
        <w:tc>
          <w:tcPr>
            <w:tcW w:w="1031" w:type="dxa"/>
            <w:tcBorders>
              <w:top w:val="nil"/>
              <w:left w:val="nil"/>
              <w:bottom w:val="single" w:sz="4" w:space="0" w:color="auto"/>
              <w:right w:val="single" w:sz="4" w:space="0" w:color="auto"/>
            </w:tcBorders>
            <w:hideMark/>
          </w:tcPr>
          <w:p w14:paraId="3F095862"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17.988,30</w:t>
            </w:r>
          </w:p>
        </w:tc>
        <w:tc>
          <w:tcPr>
            <w:tcW w:w="871" w:type="dxa"/>
            <w:tcBorders>
              <w:top w:val="nil"/>
              <w:left w:val="nil"/>
              <w:bottom w:val="single" w:sz="4" w:space="0" w:color="auto"/>
              <w:right w:val="single" w:sz="4" w:space="0" w:color="auto"/>
            </w:tcBorders>
            <w:hideMark/>
          </w:tcPr>
          <w:p w14:paraId="64908F00"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31" w:type="dxa"/>
            <w:tcBorders>
              <w:top w:val="nil"/>
              <w:left w:val="nil"/>
              <w:bottom w:val="single" w:sz="4" w:space="0" w:color="auto"/>
              <w:right w:val="single" w:sz="4" w:space="0" w:color="auto"/>
            </w:tcBorders>
            <w:hideMark/>
          </w:tcPr>
          <w:p w14:paraId="18CAE651"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33.767,39</w:t>
            </w:r>
          </w:p>
        </w:tc>
        <w:tc>
          <w:tcPr>
            <w:tcW w:w="965" w:type="dxa"/>
            <w:tcBorders>
              <w:top w:val="single" w:sz="4" w:space="0" w:color="auto"/>
              <w:left w:val="nil"/>
              <w:bottom w:val="single" w:sz="4" w:space="0" w:color="auto"/>
              <w:right w:val="single" w:sz="4" w:space="0" w:color="auto"/>
            </w:tcBorders>
            <w:hideMark/>
          </w:tcPr>
          <w:p w14:paraId="3AF279CF"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31" w:type="dxa"/>
            <w:tcBorders>
              <w:top w:val="single" w:sz="4" w:space="0" w:color="auto"/>
              <w:left w:val="nil"/>
              <w:bottom w:val="single" w:sz="4" w:space="0" w:color="auto"/>
              <w:right w:val="single" w:sz="4" w:space="0" w:color="auto"/>
            </w:tcBorders>
            <w:hideMark/>
          </w:tcPr>
          <w:p w14:paraId="0337BF83"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33.767,39</w:t>
            </w:r>
          </w:p>
        </w:tc>
        <w:tc>
          <w:tcPr>
            <w:tcW w:w="1031" w:type="dxa"/>
            <w:tcBorders>
              <w:top w:val="nil"/>
              <w:left w:val="nil"/>
              <w:bottom w:val="single" w:sz="4" w:space="0" w:color="auto"/>
              <w:right w:val="single" w:sz="4" w:space="0" w:color="auto"/>
            </w:tcBorders>
            <w:hideMark/>
          </w:tcPr>
          <w:p w14:paraId="0CBAB8BE"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51.755,69</w:t>
            </w:r>
          </w:p>
        </w:tc>
        <w:tc>
          <w:tcPr>
            <w:tcW w:w="1040" w:type="dxa"/>
            <w:tcBorders>
              <w:top w:val="nil"/>
              <w:left w:val="nil"/>
              <w:bottom w:val="single" w:sz="4" w:space="0" w:color="auto"/>
              <w:right w:val="single" w:sz="4" w:space="0" w:color="auto"/>
            </w:tcBorders>
            <w:noWrap/>
            <w:hideMark/>
          </w:tcPr>
          <w:p w14:paraId="724E14AF" w14:textId="77777777" w:rsidR="00134DD6" w:rsidRPr="00134DD6" w:rsidRDefault="00134DD6" w:rsidP="00134DD6">
            <w:pPr>
              <w:spacing w:after="0" w:line="240" w:lineRule="auto"/>
              <w:jc w:val="right"/>
              <w:rPr>
                <w:rFonts w:ascii="Arial" w:eastAsia="Times New Roman" w:hAnsi="Arial" w:cs="Arial"/>
                <w:sz w:val="16"/>
                <w:szCs w:val="16"/>
                <w:lang w:eastAsia="hr-HR"/>
              </w:rPr>
            </w:pPr>
            <w:r w:rsidRPr="00134DD6">
              <w:rPr>
                <w:rFonts w:ascii="Arial" w:eastAsia="Times New Roman" w:hAnsi="Arial" w:cs="Arial"/>
                <w:sz w:val="16"/>
                <w:szCs w:val="16"/>
                <w:lang w:eastAsia="hr-HR"/>
              </w:rPr>
              <w:t>0,00</w:t>
            </w:r>
          </w:p>
        </w:tc>
      </w:tr>
      <w:tr w:rsidR="00134DD6" w:rsidRPr="00134DD6" w14:paraId="1D98EC3B" w14:textId="77777777" w:rsidTr="00134DD6">
        <w:trPr>
          <w:trHeight w:val="332"/>
        </w:trPr>
        <w:tc>
          <w:tcPr>
            <w:tcW w:w="2838" w:type="dxa"/>
            <w:tcBorders>
              <w:top w:val="single" w:sz="4" w:space="0" w:color="auto"/>
              <w:left w:val="single" w:sz="4" w:space="0" w:color="auto"/>
              <w:bottom w:val="single" w:sz="4" w:space="0" w:color="auto"/>
              <w:right w:val="single" w:sz="4" w:space="0" w:color="auto"/>
            </w:tcBorders>
            <w:hideMark/>
          </w:tcPr>
          <w:p w14:paraId="18C40A1F" w14:textId="77777777" w:rsidR="00134DD6" w:rsidRPr="00134DD6" w:rsidRDefault="00134DD6" w:rsidP="00134DD6">
            <w:pPr>
              <w:spacing w:after="0" w:line="240" w:lineRule="auto"/>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 xml:space="preserve"> Naknada:  NOS - DEPONIJ</w:t>
            </w:r>
          </w:p>
        </w:tc>
        <w:tc>
          <w:tcPr>
            <w:tcW w:w="1031" w:type="dxa"/>
            <w:tcBorders>
              <w:top w:val="nil"/>
              <w:left w:val="nil"/>
              <w:bottom w:val="single" w:sz="4" w:space="0" w:color="auto"/>
              <w:right w:val="single" w:sz="4" w:space="0" w:color="auto"/>
            </w:tcBorders>
            <w:hideMark/>
          </w:tcPr>
          <w:p w14:paraId="33C4F904"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189,71</w:t>
            </w:r>
          </w:p>
        </w:tc>
        <w:tc>
          <w:tcPr>
            <w:tcW w:w="965" w:type="dxa"/>
            <w:tcBorders>
              <w:top w:val="nil"/>
              <w:left w:val="nil"/>
              <w:bottom w:val="single" w:sz="4" w:space="0" w:color="auto"/>
              <w:right w:val="single" w:sz="4" w:space="0" w:color="auto"/>
            </w:tcBorders>
            <w:hideMark/>
          </w:tcPr>
          <w:p w14:paraId="2691D94F"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31" w:type="dxa"/>
            <w:tcBorders>
              <w:top w:val="nil"/>
              <w:left w:val="nil"/>
              <w:bottom w:val="single" w:sz="4" w:space="0" w:color="auto"/>
              <w:right w:val="single" w:sz="4" w:space="0" w:color="auto"/>
            </w:tcBorders>
            <w:hideMark/>
          </w:tcPr>
          <w:p w14:paraId="444A70C8"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189,71</w:t>
            </w:r>
          </w:p>
        </w:tc>
        <w:tc>
          <w:tcPr>
            <w:tcW w:w="871" w:type="dxa"/>
            <w:tcBorders>
              <w:top w:val="nil"/>
              <w:left w:val="nil"/>
              <w:bottom w:val="single" w:sz="4" w:space="0" w:color="auto"/>
              <w:right w:val="single" w:sz="4" w:space="0" w:color="auto"/>
            </w:tcBorders>
            <w:hideMark/>
          </w:tcPr>
          <w:p w14:paraId="76D594A0"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31" w:type="dxa"/>
            <w:tcBorders>
              <w:top w:val="nil"/>
              <w:left w:val="nil"/>
              <w:bottom w:val="single" w:sz="4" w:space="0" w:color="auto"/>
              <w:right w:val="single" w:sz="4" w:space="0" w:color="auto"/>
            </w:tcBorders>
            <w:hideMark/>
          </w:tcPr>
          <w:p w14:paraId="7AB3B482"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965" w:type="dxa"/>
            <w:tcBorders>
              <w:top w:val="single" w:sz="4" w:space="0" w:color="auto"/>
              <w:left w:val="nil"/>
              <w:bottom w:val="single" w:sz="4" w:space="0" w:color="auto"/>
              <w:right w:val="single" w:sz="4" w:space="0" w:color="auto"/>
            </w:tcBorders>
            <w:hideMark/>
          </w:tcPr>
          <w:p w14:paraId="5B20DF21"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31" w:type="dxa"/>
            <w:tcBorders>
              <w:top w:val="single" w:sz="4" w:space="0" w:color="auto"/>
              <w:left w:val="nil"/>
              <w:bottom w:val="single" w:sz="4" w:space="0" w:color="auto"/>
              <w:right w:val="single" w:sz="4" w:space="0" w:color="auto"/>
            </w:tcBorders>
            <w:hideMark/>
          </w:tcPr>
          <w:p w14:paraId="171CD13A"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31" w:type="dxa"/>
            <w:tcBorders>
              <w:top w:val="nil"/>
              <w:left w:val="nil"/>
              <w:bottom w:val="single" w:sz="4" w:space="0" w:color="auto"/>
              <w:right w:val="single" w:sz="4" w:space="0" w:color="auto"/>
            </w:tcBorders>
            <w:hideMark/>
          </w:tcPr>
          <w:p w14:paraId="4793688D"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189,71</w:t>
            </w:r>
          </w:p>
        </w:tc>
        <w:tc>
          <w:tcPr>
            <w:tcW w:w="1040" w:type="dxa"/>
            <w:tcBorders>
              <w:top w:val="nil"/>
              <w:left w:val="nil"/>
              <w:bottom w:val="single" w:sz="4" w:space="0" w:color="auto"/>
              <w:right w:val="single" w:sz="4" w:space="0" w:color="auto"/>
            </w:tcBorders>
            <w:noWrap/>
            <w:hideMark/>
          </w:tcPr>
          <w:p w14:paraId="7D1EB1D3" w14:textId="77777777" w:rsidR="00134DD6" w:rsidRPr="00134DD6" w:rsidRDefault="00134DD6" w:rsidP="00134DD6">
            <w:pPr>
              <w:spacing w:after="0" w:line="240" w:lineRule="auto"/>
              <w:jc w:val="right"/>
              <w:rPr>
                <w:rFonts w:ascii="Arial" w:eastAsia="Times New Roman" w:hAnsi="Arial" w:cs="Arial"/>
                <w:sz w:val="16"/>
                <w:szCs w:val="16"/>
                <w:lang w:eastAsia="hr-HR"/>
              </w:rPr>
            </w:pPr>
            <w:r w:rsidRPr="00134DD6">
              <w:rPr>
                <w:rFonts w:ascii="Arial" w:eastAsia="Times New Roman" w:hAnsi="Arial" w:cs="Arial"/>
                <w:sz w:val="16"/>
                <w:szCs w:val="16"/>
                <w:lang w:eastAsia="hr-HR"/>
              </w:rPr>
              <w:t>2.482,55</w:t>
            </w:r>
          </w:p>
        </w:tc>
      </w:tr>
      <w:tr w:rsidR="00134DD6" w:rsidRPr="00134DD6" w14:paraId="21F251BE" w14:textId="77777777" w:rsidTr="00134DD6">
        <w:trPr>
          <w:trHeight w:val="332"/>
        </w:trPr>
        <w:tc>
          <w:tcPr>
            <w:tcW w:w="2838" w:type="dxa"/>
            <w:tcBorders>
              <w:top w:val="single" w:sz="4" w:space="0" w:color="auto"/>
              <w:left w:val="single" w:sz="4" w:space="0" w:color="auto"/>
              <w:bottom w:val="single" w:sz="4" w:space="0" w:color="auto"/>
              <w:right w:val="single" w:sz="4" w:space="0" w:color="auto"/>
            </w:tcBorders>
            <w:hideMark/>
          </w:tcPr>
          <w:p w14:paraId="0EAB6196" w14:textId="77777777" w:rsidR="00134DD6" w:rsidRPr="00134DD6" w:rsidRDefault="00134DD6" w:rsidP="00134DD6">
            <w:pPr>
              <w:spacing w:after="0" w:line="240" w:lineRule="auto"/>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 xml:space="preserve"> Naknada:  NST - JPP - ŠTANDOVI</w:t>
            </w:r>
          </w:p>
        </w:tc>
        <w:tc>
          <w:tcPr>
            <w:tcW w:w="1031" w:type="dxa"/>
            <w:tcBorders>
              <w:top w:val="nil"/>
              <w:left w:val="nil"/>
              <w:bottom w:val="single" w:sz="4" w:space="0" w:color="auto"/>
              <w:right w:val="single" w:sz="4" w:space="0" w:color="auto"/>
            </w:tcBorders>
            <w:hideMark/>
          </w:tcPr>
          <w:p w14:paraId="5FCB7C46"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0,10</w:t>
            </w:r>
          </w:p>
        </w:tc>
        <w:tc>
          <w:tcPr>
            <w:tcW w:w="965" w:type="dxa"/>
            <w:tcBorders>
              <w:top w:val="nil"/>
              <w:left w:val="nil"/>
              <w:bottom w:val="single" w:sz="4" w:space="0" w:color="auto"/>
              <w:right w:val="single" w:sz="4" w:space="0" w:color="auto"/>
            </w:tcBorders>
            <w:hideMark/>
          </w:tcPr>
          <w:p w14:paraId="1C6B7FE5"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0,10</w:t>
            </w:r>
          </w:p>
        </w:tc>
        <w:tc>
          <w:tcPr>
            <w:tcW w:w="1031" w:type="dxa"/>
            <w:tcBorders>
              <w:top w:val="nil"/>
              <w:left w:val="nil"/>
              <w:bottom w:val="single" w:sz="4" w:space="0" w:color="auto"/>
              <w:right w:val="single" w:sz="4" w:space="0" w:color="auto"/>
            </w:tcBorders>
            <w:hideMark/>
          </w:tcPr>
          <w:p w14:paraId="63162E55"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871" w:type="dxa"/>
            <w:tcBorders>
              <w:top w:val="nil"/>
              <w:left w:val="nil"/>
              <w:bottom w:val="single" w:sz="4" w:space="0" w:color="auto"/>
              <w:right w:val="single" w:sz="4" w:space="0" w:color="auto"/>
            </w:tcBorders>
            <w:hideMark/>
          </w:tcPr>
          <w:p w14:paraId="64FC7148"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31" w:type="dxa"/>
            <w:tcBorders>
              <w:top w:val="nil"/>
              <w:left w:val="nil"/>
              <w:bottom w:val="single" w:sz="4" w:space="0" w:color="auto"/>
              <w:right w:val="single" w:sz="4" w:space="0" w:color="auto"/>
            </w:tcBorders>
            <w:hideMark/>
          </w:tcPr>
          <w:p w14:paraId="4392C168"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965" w:type="dxa"/>
            <w:tcBorders>
              <w:top w:val="single" w:sz="4" w:space="0" w:color="auto"/>
              <w:left w:val="nil"/>
              <w:bottom w:val="single" w:sz="4" w:space="0" w:color="auto"/>
              <w:right w:val="single" w:sz="4" w:space="0" w:color="auto"/>
            </w:tcBorders>
            <w:hideMark/>
          </w:tcPr>
          <w:p w14:paraId="70127BFC"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31" w:type="dxa"/>
            <w:tcBorders>
              <w:top w:val="single" w:sz="4" w:space="0" w:color="auto"/>
              <w:left w:val="nil"/>
              <w:bottom w:val="single" w:sz="4" w:space="0" w:color="auto"/>
              <w:right w:val="single" w:sz="4" w:space="0" w:color="auto"/>
            </w:tcBorders>
            <w:hideMark/>
          </w:tcPr>
          <w:p w14:paraId="102B5E26"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31" w:type="dxa"/>
            <w:tcBorders>
              <w:top w:val="nil"/>
              <w:left w:val="nil"/>
              <w:bottom w:val="single" w:sz="4" w:space="0" w:color="auto"/>
              <w:right w:val="single" w:sz="4" w:space="0" w:color="auto"/>
            </w:tcBorders>
            <w:hideMark/>
          </w:tcPr>
          <w:p w14:paraId="6AC784FC"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40" w:type="dxa"/>
            <w:tcBorders>
              <w:top w:val="nil"/>
              <w:left w:val="nil"/>
              <w:bottom w:val="single" w:sz="4" w:space="0" w:color="auto"/>
              <w:right w:val="single" w:sz="4" w:space="0" w:color="auto"/>
            </w:tcBorders>
            <w:noWrap/>
            <w:hideMark/>
          </w:tcPr>
          <w:p w14:paraId="0345A5B2" w14:textId="77777777" w:rsidR="00134DD6" w:rsidRPr="00134DD6" w:rsidRDefault="00134DD6" w:rsidP="00134DD6">
            <w:pPr>
              <w:spacing w:after="0" w:line="240" w:lineRule="auto"/>
              <w:jc w:val="right"/>
              <w:rPr>
                <w:rFonts w:ascii="Arial" w:eastAsia="Times New Roman" w:hAnsi="Arial" w:cs="Arial"/>
                <w:sz w:val="16"/>
                <w:szCs w:val="16"/>
                <w:lang w:eastAsia="hr-HR"/>
              </w:rPr>
            </w:pPr>
            <w:r w:rsidRPr="00134DD6">
              <w:rPr>
                <w:rFonts w:ascii="Arial" w:eastAsia="Times New Roman" w:hAnsi="Arial" w:cs="Arial"/>
                <w:sz w:val="16"/>
                <w:szCs w:val="16"/>
                <w:lang w:eastAsia="hr-HR"/>
              </w:rPr>
              <w:t>0,00</w:t>
            </w:r>
          </w:p>
        </w:tc>
      </w:tr>
      <w:tr w:rsidR="00134DD6" w:rsidRPr="00134DD6" w14:paraId="1D9936CA" w14:textId="77777777" w:rsidTr="00134DD6">
        <w:trPr>
          <w:trHeight w:val="332"/>
        </w:trPr>
        <w:tc>
          <w:tcPr>
            <w:tcW w:w="2838" w:type="dxa"/>
            <w:tcBorders>
              <w:top w:val="single" w:sz="4" w:space="0" w:color="auto"/>
              <w:left w:val="single" w:sz="4" w:space="0" w:color="auto"/>
              <w:bottom w:val="single" w:sz="4" w:space="0" w:color="auto"/>
              <w:right w:val="single" w:sz="4" w:space="0" w:color="auto"/>
            </w:tcBorders>
            <w:hideMark/>
          </w:tcPr>
          <w:p w14:paraId="6836A2B7" w14:textId="77777777" w:rsidR="00134DD6" w:rsidRPr="00134DD6" w:rsidRDefault="00134DD6" w:rsidP="00134DD6">
            <w:pPr>
              <w:spacing w:after="0" w:line="240" w:lineRule="auto"/>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 xml:space="preserve"> Naknada:  NUV - Naknada za uređenje voda</w:t>
            </w:r>
          </w:p>
        </w:tc>
        <w:tc>
          <w:tcPr>
            <w:tcW w:w="1031" w:type="dxa"/>
            <w:tcBorders>
              <w:top w:val="nil"/>
              <w:left w:val="nil"/>
              <w:bottom w:val="single" w:sz="4" w:space="0" w:color="auto"/>
              <w:right w:val="single" w:sz="4" w:space="0" w:color="auto"/>
            </w:tcBorders>
            <w:hideMark/>
          </w:tcPr>
          <w:p w14:paraId="130D3C45"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40.976,80</w:t>
            </w:r>
          </w:p>
        </w:tc>
        <w:tc>
          <w:tcPr>
            <w:tcW w:w="965" w:type="dxa"/>
            <w:tcBorders>
              <w:top w:val="nil"/>
              <w:left w:val="nil"/>
              <w:bottom w:val="single" w:sz="4" w:space="0" w:color="auto"/>
              <w:right w:val="single" w:sz="4" w:space="0" w:color="auto"/>
            </w:tcBorders>
            <w:hideMark/>
          </w:tcPr>
          <w:p w14:paraId="7DCDEB38"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666,18</w:t>
            </w:r>
          </w:p>
        </w:tc>
        <w:tc>
          <w:tcPr>
            <w:tcW w:w="1031" w:type="dxa"/>
            <w:tcBorders>
              <w:top w:val="nil"/>
              <w:left w:val="nil"/>
              <w:bottom w:val="single" w:sz="4" w:space="0" w:color="auto"/>
              <w:right w:val="single" w:sz="4" w:space="0" w:color="auto"/>
            </w:tcBorders>
            <w:hideMark/>
          </w:tcPr>
          <w:p w14:paraId="5FC5C079"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40.310,62</w:t>
            </w:r>
          </w:p>
        </w:tc>
        <w:tc>
          <w:tcPr>
            <w:tcW w:w="871" w:type="dxa"/>
            <w:tcBorders>
              <w:top w:val="nil"/>
              <w:left w:val="nil"/>
              <w:bottom w:val="single" w:sz="4" w:space="0" w:color="auto"/>
              <w:right w:val="single" w:sz="4" w:space="0" w:color="auto"/>
            </w:tcBorders>
            <w:hideMark/>
          </w:tcPr>
          <w:p w14:paraId="4075C8FC"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31" w:type="dxa"/>
            <w:tcBorders>
              <w:top w:val="nil"/>
              <w:left w:val="nil"/>
              <w:bottom w:val="single" w:sz="4" w:space="0" w:color="auto"/>
              <w:right w:val="single" w:sz="4" w:space="0" w:color="auto"/>
            </w:tcBorders>
            <w:hideMark/>
          </w:tcPr>
          <w:p w14:paraId="01AC3C06"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86.850,70</w:t>
            </w:r>
          </w:p>
        </w:tc>
        <w:tc>
          <w:tcPr>
            <w:tcW w:w="965" w:type="dxa"/>
            <w:tcBorders>
              <w:top w:val="single" w:sz="4" w:space="0" w:color="auto"/>
              <w:left w:val="nil"/>
              <w:bottom w:val="single" w:sz="4" w:space="0" w:color="auto"/>
              <w:right w:val="single" w:sz="4" w:space="0" w:color="auto"/>
            </w:tcBorders>
            <w:hideMark/>
          </w:tcPr>
          <w:p w14:paraId="478768CD"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31" w:type="dxa"/>
            <w:tcBorders>
              <w:top w:val="single" w:sz="4" w:space="0" w:color="auto"/>
              <w:left w:val="nil"/>
              <w:bottom w:val="single" w:sz="4" w:space="0" w:color="auto"/>
              <w:right w:val="single" w:sz="4" w:space="0" w:color="auto"/>
            </w:tcBorders>
            <w:hideMark/>
          </w:tcPr>
          <w:p w14:paraId="30CC6A46"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86.850,70</w:t>
            </w:r>
          </w:p>
        </w:tc>
        <w:tc>
          <w:tcPr>
            <w:tcW w:w="1031" w:type="dxa"/>
            <w:tcBorders>
              <w:top w:val="nil"/>
              <w:left w:val="nil"/>
              <w:bottom w:val="single" w:sz="4" w:space="0" w:color="auto"/>
              <w:right w:val="single" w:sz="4" w:space="0" w:color="auto"/>
            </w:tcBorders>
            <w:hideMark/>
          </w:tcPr>
          <w:p w14:paraId="2D15DC31"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127.161,32</w:t>
            </w:r>
          </w:p>
        </w:tc>
        <w:tc>
          <w:tcPr>
            <w:tcW w:w="1040" w:type="dxa"/>
            <w:tcBorders>
              <w:top w:val="nil"/>
              <w:left w:val="nil"/>
              <w:bottom w:val="single" w:sz="4" w:space="0" w:color="auto"/>
              <w:right w:val="single" w:sz="4" w:space="0" w:color="auto"/>
            </w:tcBorders>
            <w:noWrap/>
            <w:hideMark/>
          </w:tcPr>
          <w:p w14:paraId="3AAD18B2" w14:textId="77777777" w:rsidR="00134DD6" w:rsidRPr="00134DD6" w:rsidRDefault="00134DD6" w:rsidP="00134DD6">
            <w:pPr>
              <w:spacing w:after="0" w:line="240" w:lineRule="auto"/>
              <w:jc w:val="right"/>
              <w:rPr>
                <w:rFonts w:ascii="Arial" w:eastAsia="Times New Roman" w:hAnsi="Arial" w:cs="Arial"/>
                <w:sz w:val="16"/>
                <w:szCs w:val="16"/>
                <w:lang w:eastAsia="hr-HR"/>
              </w:rPr>
            </w:pPr>
            <w:r w:rsidRPr="00134DD6">
              <w:rPr>
                <w:rFonts w:ascii="Arial" w:eastAsia="Times New Roman" w:hAnsi="Arial" w:cs="Arial"/>
                <w:sz w:val="16"/>
                <w:szCs w:val="16"/>
                <w:lang w:eastAsia="hr-HR"/>
              </w:rPr>
              <w:t>15.546,10</w:t>
            </w:r>
          </w:p>
        </w:tc>
      </w:tr>
      <w:tr w:rsidR="00134DD6" w:rsidRPr="00134DD6" w14:paraId="5BF8943D" w14:textId="77777777" w:rsidTr="00134DD6">
        <w:trPr>
          <w:trHeight w:val="332"/>
        </w:trPr>
        <w:tc>
          <w:tcPr>
            <w:tcW w:w="2838" w:type="dxa"/>
            <w:tcBorders>
              <w:top w:val="single" w:sz="4" w:space="0" w:color="auto"/>
              <w:left w:val="single" w:sz="4" w:space="0" w:color="auto"/>
              <w:bottom w:val="single" w:sz="4" w:space="0" w:color="auto"/>
              <w:right w:val="single" w:sz="4" w:space="0" w:color="auto"/>
            </w:tcBorders>
            <w:hideMark/>
          </w:tcPr>
          <w:p w14:paraId="19D799DC" w14:textId="77777777" w:rsidR="00134DD6" w:rsidRPr="00134DD6" w:rsidRDefault="00134DD6" w:rsidP="00134DD6">
            <w:pPr>
              <w:spacing w:after="0" w:line="240" w:lineRule="auto"/>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 xml:space="preserve"> Naknada:  NVN - SLIVNA VODNA NAKNADA</w:t>
            </w:r>
          </w:p>
        </w:tc>
        <w:tc>
          <w:tcPr>
            <w:tcW w:w="1031" w:type="dxa"/>
            <w:tcBorders>
              <w:top w:val="nil"/>
              <w:left w:val="nil"/>
              <w:bottom w:val="single" w:sz="4" w:space="0" w:color="auto"/>
              <w:right w:val="single" w:sz="4" w:space="0" w:color="auto"/>
            </w:tcBorders>
            <w:hideMark/>
          </w:tcPr>
          <w:p w14:paraId="7F36426B"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1.772,20</w:t>
            </w:r>
          </w:p>
        </w:tc>
        <w:tc>
          <w:tcPr>
            <w:tcW w:w="965" w:type="dxa"/>
            <w:tcBorders>
              <w:top w:val="nil"/>
              <w:left w:val="nil"/>
              <w:bottom w:val="single" w:sz="4" w:space="0" w:color="auto"/>
              <w:right w:val="single" w:sz="4" w:space="0" w:color="auto"/>
            </w:tcBorders>
            <w:hideMark/>
          </w:tcPr>
          <w:p w14:paraId="5F9EF73C"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31" w:type="dxa"/>
            <w:tcBorders>
              <w:top w:val="nil"/>
              <w:left w:val="nil"/>
              <w:bottom w:val="single" w:sz="4" w:space="0" w:color="auto"/>
              <w:right w:val="single" w:sz="4" w:space="0" w:color="auto"/>
            </w:tcBorders>
            <w:hideMark/>
          </w:tcPr>
          <w:p w14:paraId="707F9614"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1.772,20</w:t>
            </w:r>
          </w:p>
        </w:tc>
        <w:tc>
          <w:tcPr>
            <w:tcW w:w="871" w:type="dxa"/>
            <w:tcBorders>
              <w:top w:val="nil"/>
              <w:left w:val="nil"/>
              <w:bottom w:val="single" w:sz="4" w:space="0" w:color="auto"/>
              <w:right w:val="single" w:sz="4" w:space="0" w:color="auto"/>
            </w:tcBorders>
            <w:hideMark/>
          </w:tcPr>
          <w:p w14:paraId="69AD82EF"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31" w:type="dxa"/>
            <w:tcBorders>
              <w:top w:val="nil"/>
              <w:left w:val="nil"/>
              <w:bottom w:val="single" w:sz="4" w:space="0" w:color="auto"/>
              <w:right w:val="single" w:sz="4" w:space="0" w:color="auto"/>
            </w:tcBorders>
            <w:hideMark/>
          </w:tcPr>
          <w:p w14:paraId="40850CD3"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965" w:type="dxa"/>
            <w:tcBorders>
              <w:top w:val="single" w:sz="4" w:space="0" w:color="auto"/>
              <w:left w:val="nil"/>
              <w:bottom w:val="single" w:sz="4" w:space="0" w:color="auto"/>
              <w:right w:val="single" w:sz="4" w:space="0" w:color="auto"/>
            </w:tcBorders>
            <w:hideMark/>
          </w:tcPr>
          <w:p w14:paraId="4B49DA1C"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31" w:type="dxa"/>
            <w:tcBorders>
              <w:top w:val="single" w:sz="4" w:space="0" w:color="auto"/>
              <w:left w:val="nil"/>
              <w:bottom w:val="single" w:sz="4" w:space="0" w:color="auto"/>
              <w:right w:val="single" w:sz="4" w:space="0" w:color="auto"/>
            </w:tcBorders>
            <w:hideMark/>
          </w:tcPr>
          <w:p w14:paraId="6B414DBE"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31" w:type="dxa"/>
            <w:tcBorders>
              <w:top w:val="nil"/>
              <w:left w:val="nil"/>
              <w:bottom w:val="single" w:sz="4" w:space="0" w:color="auto"/>
              <w:right w:val="single" w:sz="4" w:space="0" w:color="auto"/>
            </w:tcBorders>
            <w:hideMark/>
          </w:tcPr>
          <w:p w14:paraId="43506F9A"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1.772,20</w:t>
            </w:r>
          </w:p>
        </w:tc>
        <w:tc>
          <w:tcPr>
            <w:tcW w:w="1040" w:type="dxa"/>
            <w:tcBorders>
              <w:top w:val="nil"/>
              <w:left w:val="nil"/>
              <w:bottom w:val="single" w:sz="4" w:space="0" w:color="auto"/>
              <w:right w:val="single" w:sz="4" w:space="0" w:color="auto"/>
            </w:tcBorders>
            <w:noWrap/>
            <w:hideMark/>
          </w:tcPr>
          <w:p w14:paraId="7FD65144" w14:textId="77777777" w:rsidR="00134DD6" w:rsidRPr="00134DD6" w:rsidRDefault="00134DD6" w:rsidP="00134DD6">
            <w:pPr>
              <w:spacing w:after="0" w:line="240" w:lineRule="auto"/>
              <w:jc w:val="right"/>
              <w:rPr>
                <w:rFonts w:ascii="Arial" w:eastAsia="Times New Roman" w:hAnsi="Arial" w:cs="Arial"/>
                <w:sz w:val="16"/>
                <w:szCs w:val="16"/>
                <w:lang w:eastAsia="hr-HR"/>
              </w:rPr>
            </w:pPr>
            <w:r w:rsidRPr="00134DD6">
              <w:rPr>
                <w:rFonts w:ascii="Arial" w:eastAsia="Times New Roman" w:hAnsi="Arial" w:cs="Arial"/>
                <w:sz w:val="16"/>
                <w:szCs w:val="16"/>
                <w:lang w:eastAsia="hr-HR"/>
              </w:rPr>
              <w:t>0,00</w:t>
            </w:r>
          </w:p>
        </w:tc>
      </w:tr>
      <w:tr w:rsidR="00134DD6" w:rsidRPr="00134DD6" w14:paraId="7253D5F7" w14:textId="77777777" w:rsidTr="00134DD6">
        <w:trPr>
          <w:trHeight w:val="332"/>
        </w:trPr>
        <w:tc>
          <w:tcPr>
            <w:tcW w:w="2838" w:type="dxa"/>
            <w:tcBorders>
              <w:top w:val="single" w:sz="4" w:space="0" w:color="auto"/>
              <w:left w:val="single" w:sz="4" w:space="0" w:color="auto"/>
              <w:bottom w:val="single" w:sz="4" w:space="0" w:color="auto"/>
              <w:right w:val="single" w:sz="4" w:space="0" w:color="auto"/>
            </w:tcBorders>
            <w:hideMark/>
          </w:tcPr>
          <w:p w14:paraId="6A5BCFC9" w14:textId="77777777" w:rsidR="00134DD6" w:rsidRPr="00134DD6" w:rsidRDefault="00134DD6" w:rsidP="00134DD6">
            <w:pPr>
              <w:spacing w:after="0" w:line="240" w:lineRule="auto"/>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 xml:space="preserve"> Naknada:  SRE - SPOMENIČKA RENTA</w:t>
            </w:r>
          </w:p>
        </w:tc>
        <w:tc>
          <w:tcPr>
            <w:tcW w:w="1031" w:type="dxa"/>
            <w:tcBorders>
              <w:top w:val="nil"/>
              <w:left w:val="nil"/>
              <w:bottom w:val="single" w:sz="4" w:space="0" w:color="auto"/>
              <w:right w:val="single" w:sz="4" w:space="0" w:color="auto"/>
            </w:tcBorders>
            <w:hideMark/>
          </w:tcPr>
          <w:p w14:paraId="5F3F33E0"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1.724,40</w:t>
            </w:r>
          </w:p>
        </w:tc>
        <w:tc>
          <w:tcPr>
            <w:tcW w:w="965" w:type="dxa"/>
            <w:tcBorders>
              <w:top w:val="nil"/>
              <w:left w:val="nil"/>
              <w:bottom w:val="single" w:sz="4" w:space="0" w:color="auto"/>
              <w:right w:val="single" w:sz="4" w:space="0" w:color="auto"/>
            </w:tcBorders>
            <w:hideMark/>
          </w:tcPr>
          <w:p w14:paraId="16B5FAC2"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485,55</w:t>
            </w:r>
          </w:p>
        </w:tc>
        <w:tc>
          <w:tcPr>
            <w:tcW w:w="1031" w:type="dxa"/>
            <w:tcBorders>
              <w:top w:val="nil"/>
              <w:left w:val="nil"/>
              <w:bottom w:val="single" w:sz="4" w:space="0" w:color="auto"/>
              <w:right w:val="single" w:sz="4" w:space="0" w:color="auto"/>
            </w:tcBorders>
            <w:hideMark/>
          </w:tcPr>
          <w:p w14:paraId="5E61AAE8"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1.238,85</w:t>
            </w:r>
          </w:p>
        </w:tc>
        <w:tc>
          <w:tcPr>
            <w:tcW w:w="871" w:type="dxa"/>
            <w:tcBorders>
              <w:top w:val="nil"/>
              <w:left w:val="nil"/>
              <w:bottom w:val="single" w:sz="4" w:space="0" w:color="auto"/>
              <w:right w:val="single" w:sz="4" w:space="0" w:color="auto"/>
            </w:tcBorders>
            <w:hideMark/>
          </w:tcPr>
          <w:p w14:paraId="63E67C97"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31" w:type="dxa"/>
            <w:tcBorders>
              <w:top w:val="nil"/>
              <w:left w:val="nil"/>
              <w:bottom w:val="single" w:sz="4" w:space="0" w:color="auto"/>
              <w:right w:val="single" w:sz="4" w:space="0" w:color="auto"/>
            </w:tcBorders>
            <w:hideMark/>
          </w:tcPr>
          <w:p w14:paraId="1C46A5CB"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7.019,36</w:t>
            </w:r>
          </w:p>
        </w:tc>
        <w:tc>
          <w:tcPr>
            <w:tcW w:w="965" w:type="dxa"/>
            <w:tcBorders>
              <w:top w:val="single" w:sz="4" w:space="0" w:color="auto"/>
              <w:left w:val="nil"/>
              <w:bottom w:val="single" w:sz="4" w:space="0" w:color="auto"/>
              <w:right w:val="single" w:sz="4" w:space="0" w:color="auto"/>
            </w:tcBorders>
            <w:hideMark/>
          </w:tcPr>
          <w:p w14:paraId="5D5316AA"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31" w:type="dxa"/>
            <w:tcBorders>
              <w:top w:val="single" w:sz="4" w:space="0" w:color="auto"/>
              <w:left w:val="nil"/>
              <w:bottom w:val="single" w:sz="4" w:space="0" w:color="auto"/>
              <w:right w:val="single" w:sz="4" w:space="0" w:color="auto"/>
            </w:tcBorders>
            <w:hideMark/>
          </w:tcPr>
          <w:p w14:paraId="57996141"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7.019,36</w:t>
            </w:r>
          </w:p>
        </w:tc>
        <w:tc>
          <w:tcPr>
            <w:tcW w:w="1031" w:type="dxa"/>
            <w:tcBorders>
              <w:top w:val="nil"/>
              <w:left w:val="nil"/>
              <w:bottom w:val="single" w:sz="4" w:space="0" w:color="auto"/>
              <w:right w:val="single" w:sz="4" w:space="0" w:color="auto"/>
            </w:tcBorders>
            <w:hideMark/>
          </w:tcPr>
          <w:p w14:paraId="3234F13A"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8.258,21</w:t>
            </w:r>
          </w:p>
        </w:tc>
        <w:tc>
          <w:tcPr>
            <w:tcW w:w="1040" w:type="dxa"/>
            <w:tcBorders>
              <w:top w:val="nil"/>
              <w:left w:val="nil"/>
              <w:bottom w:val="single" w:sz="4" w:space="0" w:color="auto"/>
              <w:right w:val="single" w:sz="4" w:space="0" w:color="auto"/>
            </w:tcBorders>
            <w:noWrap/>
            <w:hideMark/>
          </w:tcPr>
          <w:p w14:paraId="34170627" w14:textId="77777777" w:rsidR="00134DD6" w:rsidRPr="00134DD6" w:rsidRDefault="00134DD6" w:rsidP="00134DD6">
            <w:pPr>
              <w:spacing w:after="0" w:line="240" w:lineRule="auto"/>
              <w:jc w:val="right"/>
              <w:rPr>
                <w:rFonts w:ascii="Arial" w:eastAsia="Times New Roman" w:hAnsi="Arial" w:cs="Arial"/>
                <w:sz w:val="16"/>
                <w:szCs w:val="16"/>
                <w:lang w:eastAsia="hr-HR"/>
              </w:rPr>
            </w:pPr>
            <w:r w:rsidRPr="00134DD6">
              <w:rPr>
                <w:rFonts w:ascii="Arial" w:eastAsia="Times New Roman" w:hAnsi="Arial" w:cs="Arial"/>
                <w:sz w:val="16"/>
                <w:szCs w:val="16"/>
                <w:lang w:eastAsia="hr-HR"/>
              </w:rPr>
              <w:t>0,00</w:t>
            </w:r>
          </w:p>
        </w:tc>
      </w:tr>
      <w:tr w:rsidR="00134DD6" w:rsidRPr="00134DD6" w14:paraId="199008CA" w14:textId="77777777" w:rsidTr="00134DD6">
        <w:trPr>
          <w:trHeight w:val="332"/>
        </w:trPr>
        <w:tc>
          <w:tcPr>
            <w:tcW w:w="2838" w:type="dxa"/>
            <w:tcBorders>
              <w:top w:val="single" w:sz="4" w:space="0" w:color="auto"/>
              <w:left w:val="single" w:sz="4" w:space="0" w:color="auto"/>
              <w:bottom w:val="single" w:sz="4" w:space="0" w:color="auto"/>
              <w:right w:val="single" w:sz="4" w:space="0" w:color="auto"/>
            </w:tcBorders>
            <w:hideMark/>
          </w:tcPr>
          <w:p w14:paraId="15444FBB" w14:textId="77777777" w:rsidR="00134DD6" w:rsidRPr="00134DD6" w:rsidRDefault="00134DD6" w:rsidP="00134DD6">
            <w:pPr>
              <w:spacing w:after="0" w:line="240" w:lineRule="auto"/>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 xml:space="preserve"> Naknada:  ZAK - ZAKUPNINA</w:t>
            </w:r>
          </w:p>
        </w:tc>
        <w:tc>
          <w:tcPr>
            <w:tcW w:w="1031" w:type="dxa"/>
            <w:tcBorders>
              <w:top w:val="nil"/>
              <w:left w:val="nil"/>
              <w:bottom w:val="single" w:sz="4" w:space="0" w:color="auto"/>
              <w:right w:val="single" w:sz="4" w:space="0" w:color="auto"/>
            </w:tcBorders>
            <w:hideMark/>
          </w:tcPr>
          <w:p w14:paraId="78B37B18"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5.036,65</w:t>
            </w:r>
          </w:p>
        </w:tc>
        <w:tc>
          <w:tcPr>
            <w:tcW w:w="965" w:type="dxa"/>
            <w:tcBorders>
              <w:top w:val="nil"/>
              <w:left w:val="nil"/>
              <w:bottom w:val="single" w:sz="4" w:space="0" w:color="auto"/>
              <w:right w:val="single" w:sz="4" w:space="0" w:color="auto"/>
            </w:tcBorders>
            <w:hideMark/>
          </w:tcPr>
          <w:p w14:paraId="18863079"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2,93</w:t>
            </w:r>
          </w:p>
        </w:tc>
        <w:tc>
          <w:tcPr>
            <w:tcW w:w="1031" w:type="dxa"/>
            <w:tcBorders>
              <w:top w:val="nil"/>
              <w:left w:val="nil"/>
              <w:bottom w:val="single" w:sz="4" w:space="0" w:color="auto"/>
              <w:right w:val="single" w:sz="4" w:space="0" w:color="auto"/>
            </w:tcBorders>
            <w:hideMark/>
          </w:tcPr>
          <w:p w14:paraId="6EFE4308"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5.033,72</w:t>
            </w:r>
          </w:p>
        </w:tc>
        <w:tc>
          <w:tcPr>
            <w:tcW w:w="871" w:type="dxa"/>
            <w:tcBorders>
              <w:top w:val="nil"/>
              <w:left w:val="nil"/>
              <w:bottom w:val="single" w:sz="4" w:space="0" w:color="auto"/>
              <w:right w:val="single" w:sz="4" w:space="0" w:color="auto"/>
            </w:tcBorders>
            <w:hideMark/>
          </w:tcPr>
          <w:p w14:paraId="2B5E8923"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31" w:type="dxa"/>
            <w:tcBorders>
              <w:top w:val="nil"/>
              <w:left w:val="nil"/>
              <w:bottom w:val="single" w:sz="4" w:space="0" w:color="auto"/>
              <w:right w:val="single" w:sz="4" w:space="0" w:color="auto"/>
            </w:tcBorders>
            <w:hideMark/>
          </w:tcPr>
          <w:p w14:paraId="64BFC7AC"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84.573,58</w:t>
            </w:r>
          </w:p>
        </w:tc>
        <w:tc>
          <w:tcPr>
            <w:tcW w:w="965" w:type="dxa"/>
            <w:tcBorders>
              <w:top w:val="single" w:sz="4" w:space="0" w:color="auto"/>
              <w:left w:val="nil"/>
              <w:bottom w:val="single" w:sz="4" w:space="0" w:color="auto"/>
              <w:right w:val="single" w:sz="4" w:space="0" w:color="auto"/>
            </w:tcBorders>
            <w:hideMark/>
          </w:tcPr>
          <w:p w14:paraId="2C5C0806"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31" w:type="dxa"/>
            <w:tcBorders>
              <w:top w:val="single" w:sz="4" w:space="0" w:color="auto"/>
              <w:left w:val="nil"/>
              <w:bottom w:val="single" w:sz="4" w:space="0" w:color="auto"/>
              <w:right w:val="single" w:sz="4" w:space="0" w:color="auto"/>
            </w:tcBorders>
            <w:hideMark/>
          </w:tcPr>
          <w:p w14:paraId="61AC8F4A"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84.573,58</w:t>
            </w:r>
          </w:p>
        </w:tc>
        <w:tc>
          <w:tcPr>
            <w:tcW w:w="1031" w:type="dxa"/>
            <w:tcBorders>
              <w:top w:val="nil"/>
              <w:left w:val="nil"/>
              <w:bottom w:val="single" w:sz="4" w:space="0" w:color="auto"/>
              <w:right w:val="single" w:sz="4" w:space="0" w:color="auto"/>
            </w:tcBorders>
            <w:hideMark/>
          </w:tcPr>
          <w:p w14:paraId="3402042B"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89.607,30</w:t>
            </w:r>
          </w:p>
        </w:tc>
        <w:tc>
          <w:tcPr>
            <w:tcW w:w="1040" w:type="dxa"/>
            <w:tcBorders>
              <w:top w:val="nil"/>
              <w:left w:val="nil"/>
              <w:bottom w:val="single" w:sz="4" w:space="0" w:color="auto"/>
              <w:right w:val="single" w:sz="4" w:space="0" w:color="auto"/>
            </w:tcBorders>
            <w:noWrap/>
            <w:hideMark/>
          </w:tcPr>
          <w:p w14:paraId="4C66A9E1" w14:textId="77777777" w:rsidR="00134DD6" w:rsidRPr="00134DD6" w:rsidRDefault="00134DD6" w:rsidP="00134DD6">
            <w:pPr>
              <w:spacing w:after="0" w:line="240" w:lineRule="auto"/>
              <w:jc w:val="right"/>
              <w:rPr>
                <w:rFonts w:ascii="Arial" w:eastAsia="Times New Roman" w:hAnsi="Arial" w:cs="Arial"/>
                <w:sz w:val="16"/>
                <w:szCs w:val="16"/>
                <w:lang w:eastAsia="hr-HR"/>
              </w:rPr>
            </w:pPr>
            <w:r w:rsidRPr="00134DD6">
              <w:rPr>
                <w:rFonts w:ascii="Arial" w:eastAsia="Times New Roman" w:hAnsi="Arial" w:cs="Arial"/>
                <w:sz w:val="16"/>
                <w:szCs w:val="16"/>
                <w:lang w:eastAsia="hr-HR"/>
              </w:rPr>
              <w:t>0,00</w:t>
            </w:r>
          </w:p>
        </w:tc>
      </w:tr>
      <w:tr w:rsidR="00134DD6" w:rsidRPr="00134DD6" w14:paraId="30D71F46" w14:textId="77777777" w:rsidTr="00134DD6">
        <w:trPr>
          <w:trHeight w:val="549"/>
        </w:trPr>
        <w:tc>
          <w:tcPr>
            <w:tcW w:w="2838" w:type="dxa"/>
            <w:tcBorders>
              <w:top w:val="single" w:sz="4" w:space="0" w:color="auto"/>
              <w:left w:val="single" w:sz="4" w:space="0" w:color="auto"/>
              <w:bottom w:val="single" w:sz="4" w:space="0" w:color="auto"/>
              <w:right w:val="single" w:sz="4" w:space="0" w:color="auto"/>
            </w:tcBorders>
            <w:hideMark/>
          </w:tcPr>
          <w:p w14:paraId="45ADDE03" w14:textId="77777777" w:rsidR="00134DD6" w:rsidRPr="00134DD6" w:rsidRDefault="00134DD6" w:rsidP="00134DD6">
            <w:pPr>
              <w:spacing w:after="0" w:line="240" w:lineRule="auto"/>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 xml:space="preserve"> Naknada:  ZGR - ZADRŽAVANJE NEZAKO.IZGRAĐE.ZGR</w:t>
            </w:r>
          </w:p>
        </w:tc>
        <w:tc>
          <w:tcPr>
            <w:tcW w:w="1031" w:type="dxa"/>
            <w:tcBorders>
              <w:top w:val="nil"/>
              <w:left w:val="nil"/>
              <w:bottom w:val="single" w:sz="4" w:space="0" w:color="auto"/>
              <w:right w:val="single" w:sz="4" w:space="0" w:color="auto"/>
            </w:tcBorders>
            <w:hideMark/>
          </w:tcPr>
          <w:p w14:paraId="3A2AEE82"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8.711,36</w:t>
            </w:r>
          </w:p>
        </w:tc>
        <w:tc>
          <w:tcPr>
            <w:tcW w:w="965" w:type="dxa"/>
            <w:tcBorders>
              <w:top w:val="nil"/>
              <w:left w:val="nil"/>
              <w:bottom w:val="single" w:sz="4" w:space="0" w:color="auto"/>
              <w:right w:val="single" w:sz="4" w:space="0" w:color="auto"/>
            </w:tcBorders>
            <w:hideMark/>
          </w:tcPr>
          <w:p w14:paraId="1C0CCDC4"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31" w:type="dxa"/>
            <w:tcBorders>
              <w:top w:val="nil"/>
              <w:left w:val="nil"/>
              <w:bottom w:val="single" w:sz="4" w:space="0" w:color="auto"/>
              <w:right w:val="single" w:sz="4" w:space="0" w:color="auto"/>
            </w:tcBorders>
            <w:hideMark/>
          </w:tcPr>
          <w:p w14:paraId="323E9831"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8.711,36</w:t>
            </w:r>
          </w:p>
        </w:tc>
        <w:tc>
          <w:tcPr>
            <w:tcW w:w="871" w:type="dxa"/>
            <w:tcBorders>
              <w:top w:val="nil"/>
              <w:left w:val="nil"/>
              <w:bottom w:val="single" w:sz="4" w:space="0" w:color="auto"/>
              <w:right w:val="single" w:sz="4" w:space="0" w:color="auto"/>
            </w:tcBorders>
            <w:hideMark/>
          </w:tcPr>
          <w:p w14:paraId="26616E4A"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31" w:type="dxa"/>
            <w:tcBorders>
              <w:top w:val="nil"/>
              <w:left w:val="nil"/>
              <w:bottom w:val="single" w:sz="4" w:space="0" w:color="auto"/>
              <w:right w:val="single" w:sz="4" w:space="0" w:color="auto"/>
            </w:tcBorders>
            <w:hideMark/>
          </w:tcPr>
          <w:p w14:paraId="02D0C23C"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965" w:type="dxa"/>
            <w:tcBorders>
              <w:top w:val="single" w:sz="4" w:space="0" w:color="auto"/>
              <w:left w:val="nil"/>
              <w:bottom w:val="single" w:sz="4" w:space="0" w:color="auto"/>
              <w:right w:val="single" w:sz="4" w:space="0" w:color="auto"/>
            </w:tcBorders>
            <w:hideMark/>
          </w:tcPr>
          <w:p w14:paraId="1DB837DD"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31" w:type="dxa"/>
            <w:tcBorders>
              <w:top w:val="single" w:sz="4" w:space="0" w:color="auto"/>
              <w:left w:val="nil"/>
              <w:bottom w:val="single" w:sz="4" w:space="0" w:color="auto"/>
              <w:right w:val="single" w:sz="4" w:space="0" w:color="auto"/>
            </w:tcBorders>
            <w:hideMark/>
          </w:tcPr>
          <w:p w14:paraId="3F43D861"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0,00</w:t>
            </w:r>
          </w:p>
        </w:tc>
        <w:tc>
          <w:tcPr>
            <w:tcW w:w="1031" w:type="dxa"/>
            <w:tcBorders>
              <w:top w:val="nil"/>
              <w:left w:val="nil"/>
              <w:bottom w:val="single" w:sz="4" w:space="0" w:color="auto"/>
              <w:right w:val="single" w:sz="4" w:space="0" w:color="auto"/>
            </w:tcBorders>
            <w:hideMark/>
          </w:tcPr>
          <w:p w14:paraId="28D0C979" w14:textId="77777777" w:rsidR="00134DD6" w:rsidRPr="00134DD6" w:rsidRDefault="00134DD6" w:rsidP="00134DD6">
            <w:pPr>
              <w:spacing w:after="0" w:line="240" w:lineRule="auto"/>
              <w:jc w:val="right"/>
              <w:rPr>
                <w:rFonts w:ascii="Arial" w:eastAsia="Times New Roman" w:hAnsi="Arial" w:cs="Arial"/>
                <w:color w:val="000000"/>
                <w:sz w:val="16"/>
                <w:szCs w:val="16"/>
                <w:lang w:eastAsia="hr-HR"/>
              </w:rPr>
            </w:pPr>
            <w:r w:rsidRPr="00134DD6">
              <w:rPr>
                <w:rFonts w:ascii="Arial" w:eastAsia="Times New Roman" w:hAnsi="Arial" w:cs="Arial"/>
                <w:color w:val="000000"/>
                <w:sz w:val="16"/>
                <w:szCs w:val="16"/>
                <w:lang w:eastAsia="hr-HR"/>
              </w:rPr>
              <w:t>8.711,36</w:t>
            </w:r>
          </w:p>
        </w:tc>
        <w:tc>
          <w:tcPr>
            <w:tcW w:w="1040" w:type="dxa"/>
            <w:tcBorders>
              <w:top w:val="nil"/>
              <w:left w:val="nil"/>
              <w:bottom w:val="single" w:sz="4" w:space="0" w:color="auto"/>
              <w:right w:val="single" w:sz="4" w:space="0" w:color="auto"/>
            </w:tcBorders>
            <w:noWrap/>
            <w:hideMark/>
          </w:tcPr>
          <w:p w14:paraId="6CCDDE54" w14:textId="77777777" w:rsidR="00134DD6" w:rsidRPr="00134DD6" w:rsidRDefault="00134DD6" w:rsidP="00134DD6">
            <w:pPr>
              <w:spacing w:after="0" w:line="240" w:lineRule="auto"/>
              <w:jc w:val="right"/>
              <w:rPr>
                <w:rFonts w:ascii="Arial" w:eastAsia="Times New Roman" w:hAnsi="Arial" w:cs="Arial"/>
                <w:sz w:val="16"/>
                <w:szCs w:val="16"/>
                <w:lang w:eastAsia="hr-HR"/>
              </w:rPr>
            </w:pPr>
            <w:r w:rsidRPr="00134DD6">
              <w:rPr>
                <w:rFonts w:ascii="Arial" w:eastAsia="Times New Roman" w:hAnsi="Arial" w:cs="Arial"/>
                <w:sz w:val="16"/>
                <w:szCs w:val="16"/>
                <w:lang w:eastAsia="hr-HR"/>
              </w:rPr>
              <w:t>0,00</w:t>
            </w:r>
          </w:p>
        </w:tc>
      </w:tr>
      <w:tr w:rsidR="00134DD6" w:rsidRPr="00134DD6" w14:paraId="5A7F5E45" w14:textId="77777777" w:rsidTr="00134DD6">
        <w:trPr>
          <w:trHeight w:val="332"/>
        </w:trPr>
        <w:tc>
          <w:tcPr>
            <w:tcW w:w="2838" w:type="dxa"/>
            <w:tcBorders>
              <w:top w:val="single" w:sz="4" w:space="0" w:color="auto"/>
              <w:left w:val="single" w:sz="4" w:space="0" w:color="auto"/>
              <w:bottom w:val="single" w:sz="4" w:space="0" w:color="auto"/>
              <w:right w:val="single" w:sz="4" w:space="0" w:color="auto"/>
            </w:tcBorders>
            <w:hideMark/>
          </w:tcPr>
          <w:p w14:paraId="47D7837E" w14:textId="77777777" w:rsidR="00134DD6" w:rsidRPr="00134DD6" w:rsidRDefault="00134DD6" w:rsidP="00134DD6">
            <w:pPr>
              <w:spacing w:after="0" w:line="240" w:lineRule="auto"/>
              <w:jc w:val="center"/>
              <w:rPr>
                <w:rFonts w:ascii="Arial" w:eastAsia="Times New Roman" w:hAnsi="Arial" w:cs="Arial"/>
                <w:b/>
                <w:bCs/>
                <w:color w:val="000000"/>
                <w:sz w:val="16"/>
                <w:szCs w:val="16"/>
                <w:lang w:eastAsia="hr-HR"/>
              </w:rPr>
            </w:pPr>
            <w:r w:rsidRPr="00134DD6">
              <w:rPr>
                <w:rFonts w:ascii="Arial" w:eastAsia="Times New Roman" w:hAnsi="Arial" w:cs="Arial"/>
                <w:b/>
                <w:bCs/>
                <w:color w:val="000000"/>
                <w:sz w:val="16"/>
                <w:szCs w:val="16"/>
                <w:lang w:eastAsia="hr-HR"/>
              </w:rPr>
              <w:t> </w:t>
            </w:r>
          </w:p>
        </w:tc>
        <w:tc>
          <w:tcPr>
            <w:tcW w:w="1031" w:type="dxa"/>
            <w:tcBorders>
              <w:top w:val="nil"/>
              <w:left w:val="nil"/>
              <w:bottom w:val="single" w:sz="4" w:space="0" w:color="auto"/>
              <w:right w:val="single" w:sz="4" w:space="0" w:color="auto"/>
            </w:tcBorders>
            <w:hideMark/>
          </w:tcPr>
          <w:p w14:paraId="31DC420E" w14:textId="77777777" w:rsidR="00134DD6" w:rsidRPr="00134DD6" w:rsidRDefault="00134DD6" w:rsidP="00134DD6">
            <w:pPr>
              <w:spacing w:after="0" w:line="240" w:lineRule="auto"/>
              <w:jc w:val="right"/>
              <w:rPr>
                <w:rFonts w:ascii="Arial" w:eastAsia="Times New Roman" w:hAnsi="Arial" w:cs="Arial"/>
                <w:b/>
                <w:bCs/>
                <w:color w:val="000000"/>
                <w:sz w:val="16"/>
                <w:szCs w:val="16"/>
                <w:lang w:eastAsia="hr-HR"/>
              </w:rPr>
            </w:pPr>
            <w:r w:rsidRPr="00134DD6">
              <w:rPr>
                <w:rFonts w:ascii="Arial" w:eastAsia="Times New Roman" w:hAnsi="Arial" w:cs="Arial"/>
                <w:b/>
                <w:bCs/>
                <w:color w:val="000000"/>
                <w:sz w:val="16"/>
                <w:szCs w:val="16"/>
                <w:lang w:eastAsia="hr-HR"/>
              </w:rPr>
              <w:t>229.025,69</w:t>
            </w:r>
          </w:p>
        </w:tc>
        <w:tc>
          <w:tcPr>
            <w:tcW w:w="965" w:type="dxa"/>
            <w:tcBorders>
              <w:top w:val="nil"/>
              <w:left w:val="nil"/>
              <w:bottom w:val="single" w:sz="4" w:space="0" w:color="auto"/>
              <w:right w:val="single" w:sz="4" w:space="0" w:color="auto"/>
            </w:tcBorders>
            <w:hideMark/>
          </w:tcPr>
          <w:p w14:paraId="69DEDF49" w14:textId="77777777" w:rsidR="00134DD6" w:rsidRPr="00134DD6" w:rsidRDefault="00134DD6" w:rsidP="00134DD6">
            <w:pPr>
              <w:spacing w:after="0" w:line="240" w:lineRule="auto"/>
              <w:jc w:val="right"/>
              <w:rPr>
                <w:rFonts w:ascii="Arial" w:eastAsia="Times New Roman" w:hAnsi="Arial" w:cs="Arial"/>
                <w:b/>
                <w:bCs/>
                <w:color w:val="000000"/>
                <w:sz w:val="16"/>
                <w:szCs w:val="16"/>
                <w:lang w:eastAsia="hr-HR"/>
              </w:rPr>
            </w:pPr>
            <w:r w:rsidRPr="00134DD6">
              <w:rPr>
                <w:rFonts w:ascii="Arial" w:eastAsia="Times New Roman" w:hAnsi="Arial" w:cs="Arial"/>
                <w:b/>
                <w:bCs/>
                <w:color w:val="000000"/>
                <w:sz w:val="16"/>
                <w:szCs w:val="16"/>
                <w:lang w:eastAsia="hr-HR"/>
              </w:rPr>
              <w:t>33.895,18</w:t>
            </w:r>
          </w:p>
        </w:tc>
        <w:tc>
          <w:tcPr>
            <w:tcW w:w="1031" w:type="dxa"/>
            <w:tcBorders>
              <w:top w:val="nil"/>
              <w:left w:val="nil"/>
              <w:bottom w:val="single" w:sz="4" w:space="0" w:color="auto"/>
              <w:right w:val="single" w:sz="4" w:space="0" w:color="auto"/>
            </w:tcBorders>
            <w:hideMark/>
          </w:tcPr>
          <w:p w14:paraId="2628E94F" w14:textId="77777777" w:rsidR="00134DD6" w:rsidRPr="00134DD6" w:rsidRDefault="00134DD6" w:rsidP="00134DD6">
            <w:pPr>
              <w:spacing w:after="0" w:line="240" w:lineRule="auto"/>
              <w:jc w:val="right"/>
              <w:rPr>
                <w:rFonts w:ascii="Arial" w:eastAsia="Times New Roman" w:hAnsi="Arial" w:cs="Arial"/>
                <w:b/>
                <w:bCs/>
                <w:color w:val="000000"/>
                <w:sz w:val="16"/>
                <w:szCs w:val="16"/>
                <w:lang w:eastAsia="hr-HR"/>
              </w:rPr>
            </w:pPr>
            <w:r w:rsidRPr="00134DD6">
              <w:rPr>
                <w:rFonts w:ascii="Arial" w:eastAsia="Times New Roman" w:hAnsi="Arial" w:cs="Arial"/>
                <w:b/>
                <w:bCs/>
                <w:color w:val="000000"/>
                <w:sz w:val="16"/>
                <w:szCs w:val="16"/>
                <w:lang w:eastAsia="hr-HR"/>
              </w:rPr>
              <w:t>195.130,51</w:t>
            </w:r>
          </w:p>
        </w:tc>
        <w:tc>
          <w:tcPr>
            <w:tcW w:w="871" w:type="dxa"/>
            <w:tcBorders>
              <w:top w:val="nil"/>
              <w:left w:val="nil"/>
              <w:bottom w:val="single" w:sz="4" w:space="0" w:color="auto"/>
              <w:right w:val="single" w:sz="4" w:space="0" w:color="auto"/>
            </w:tcBorders>
            <w:hideMark/>
          </w:tcPr>
          <w:p w14:paraId="0A8B43DC" w14:textId="77777777" w:rsidR="00134DD6" w:rsidRPr="00134DD6" w:rsidRDefault="00134DD6" w:rsidP="00134DD6">
            <w:pPr>
              <w:spacing w:after="0" w:line="240" w:lineRule="auto"/>
              <w:jc w:val="right"/>
              <w:rPr>
                <w:rFonts w:ascii="Arial" w:eastAsia="Times New Roman" w:hAnsi="Arial" w:cs="Arial"/>
                <w:b/>
                <w:bCs/>
                <w:color w:val="000000"/>
                <w:sz w:val="16"/>
                <w:szCs w:val="16"/>
                <w:lang w:eastAsia="hr-HR"/>
              </w:rPr>
            </w:pPr>
            <w:r w:rsidRPr="00134DD6">
              <w:rPr>
                <w:rFonts w:ascii="Arial" w:eastAsia="Times New Roman" w:hAnsi="Arial" w:cs="Arial"/>
                <w:b/>
                <w:bCs/>
                <w:color w:val="000000"/>
                <w:sz w:val="16"/>
                <w:szCs w:val="16"/>
                <w:lang w:eastAsia="hr-HR"/>
              </w:rPr>
              <w:t>0,00</w:t>
            </w:r>
          </w:p>
        </w:tc>
        <w:tc>
          <w:tcPr>
            <w:tcW w:w="1031" w:type="dxa"/>
            <w:tcBorders>
              <w:top w:val="nil"/>
              <w:left w:val="nil"/>
              <w:bottom w:val="single" w:sz="4" w:space="0" w:color="auto"/>
              <w:right w:val="single" w:sz="4" w:space="0" w:color="auto"/>
            </w:tcBorders>
            <w:hideMark/>
          </w:tcPr>
          <w:p w14:paraId="1BB6FF54" w14:textId="77777777" w:rsidR="00134DD6" w:rsidRPr="00134DD6" w:rsidRDefault="00134DD6" w:rsidP="00134DD6">
            <w:pPr>
              <w:spacing w:after="0" w:line="240" w:lineRule="auto"/>
              <w:jc w:val="right"/>
              <w:rPr>
                <w:rFonts w:ascii="Arial" w:eastAsia="Times New Roman" w:hAnsi="Arial" w:cs="Arial"/>
                <w:b/>
                <w:bCs/>
                <w:color w:val="000000"/>
                <w:sz w:val="16"/>
                <w:szCs w:val="16"/>
                <w:lang w:eastAsia="hr-HR"/>
              </w:rPr>
            </w:pPr>
            <w:r w:rsidRPr="00134DD6">
              <w:rPr>
                <w:rFonts w:ascii="Arial" w:eastAsia="Times New Roman" w:hAnsi="Arial" w:cs="Arial"/>
                <w:b/>
                <w:bCs/>
                <w:color w:val="000000"/>
                <w:sz w:val="16"/>
                <w:szCs w:val="16"/>
                <w:lang w:eastAsia="hr-HR"/>
              </w:rPr>
              <w:t>626.027,81</w:t>
            </w:r>
          </w:p>
        </w:tc>
        <w:tc>
          <w:tcPr>
            <w:tcW w:w="965" w:type="dxa"/>
            <w:tcBorders>
              <w:top w:val="single" w:sz="4" w:space="0" w:color="auto"/>
              <w:left w:val="nil"/>
              <w:bottom w:val="single" w:sz="4" w:space="0" w:color="auto"/>
              <w:right w:val="single" w:sz="4" w:space="0" w:color="auto"/>
            </w:tcBorders>
            <w:hideMark/>
          </w:tcPr>
          <w:p w14:paraId="566DFA07" w14:textId="77777777" w:rsidR="00134DD6" w:rsidRPr="00134DD6" w:rsidRDefault="00134DD6" w:rsidP="00134DD6">
            <w:pPr>
              <w:spacing w:after="0" w:line="240" w:lineRule="auto"/>
              <w:jc w:val="right"/>
              <w:rPr>
                <w:rFonts w:ascii="Arial" w:eastAsia="Times New Roman" w:hAnsi="Arial" w:cs="Arial"/>
                <w:b/>
                <w:bCs/>
                <w:color w:val="000000"/>
                <w:sz w:val="16"/>
                <w:szCs w:val="16"/>
                <w:lang w:eastAsia="hr-HR"/>
              </w:rPr>
            </w:pPr>
            <w:r w:rsidRPr="00134DD6">
              <w:rPr>
                <w:rFonts w:ascii="Arial" w:eastAsia="Times New Roman" w:hAnsi="Arial" w:cs="Arial"/>
                <w:b/>
                <w:bCs/>
                <w:color w:val="000000"/>
                <w:sz w:val="16"/>
                <w:szCs w:val="16"/>
                <w:lang w:eastAsia="hr-HR"/>
              </w:rPr>
              <w:t>0,00</w:t>
            </w:r>
          </w:p>
        </w:tc>
        <w:tc>
          <w:tcPr>
            <w:tcW w:w="1031" w:type="dxa"/>
            <w:tcBorders>
              <w:top w:val="single" w:sz="4" w:space="0" w:color="auto"/>
              <w:left w:val="nil"/>
              <w:bottom w:val="single" w:sz="4" w:space="0" w:color="auto"/>
              <w:right w:val="single" w:sz="4" w:space="0" w:color="auto"/>
            </w:tcBorders>
            <w:hideMark/>
          </w:tcPr>
          <w:p w14:paraId="541DC771" w14:textId="77777777" w:rsidR="00134DD6" w:rsidRPr="00134DD6" w:rsidRDefault="00134DD6" w:rsidP="00134DD6">
            <w:pPr>
              <w:spacing w:after="0" w:line="240" w:lineRule="auto"/>
              <w:jc w:val="right"/>
              <w:rPr>
                <w:rFonts w:ascii="Arial" w:eastAsia="Times New Roman" w:hAnsi="Arial" w:cs="Arial"/>
                <w:b/>
                <w:bCs/>
                <w:color w:val="000000"/>
                <w:sz w:val="16"/>
                <w:szCs w:val="16"/>
                <w:lang w:eastAsia="hr-HR"/>
              </w:rPr>
            </w:pPr>
            <w:r w:rsidRPr="00134DD6">
              <w:rPr>
                <w:rFonts w:ascii="Arial" w:eastAsia="Times New Roman" w:hAnsi="Arial" w:cs="Arial"/>
                <w:b/>
                <w:bCs/>
                <w:color w:val="000000"/>
                <w:sz w:val="16"/>
                <w:szCs w:val="16"/>
                <w:lang w:eastAsia="hr-HR"/>
              </w:rPr>
              <w:t>626.027,81</w:t>
            </w:r>
          </w:p>
        </w:tc>
        <w:tc>
          <w:tcPr>
            <w:tcW w:w="1031" w:type="dxa"/>
            <w:tcBorders>
              <w:top w:val="nil"/>
              <w:left w:val="nil"/>
              <w:bottom w:val="single" w:sz="4" w:space="0" w:color="auto"/>
              <w:right w:val="single" w:sz="4" w:space="0" w:color="auto"/>
            </w:tcBorders>
            <w:hideMark/>
          </w:tcPr>
          <w:p w14:paraId="15791F48" w14:textId="77777777" w:rsidR="00134DD6" w:rsidRPr="00134DD6" w:rsidRDefault="00134DD6" w:rsidP="00134DD6">
            <w:pPr>
              <w:spacing w:after="0" w:line="240" w:lineRule="auto"/>
              <w:jc w:val="right"/>
              <w:rPr>
                <w:rFonts w:ascii="Arial" w:eastAsia="Times New Roman" w:hAnsi="Arial" w:cs="Arial"/>
                <w:b/>
                <w:bCs/>
                <w:color w:val="000000"/>
                <w:sz w:val="16"/>
                <w:szCs w:val="16"/>
                <w:lang w:eastAsia="hr-HR"/>
              </w:rPr>
            </w:pPr>
            <w:r w:rsidRPr="00134DD6">
              <w:rPr>
                <w:rFonts w:ascii="Arial" w:eastAsia="Times New Roman" w:hAnsi="Arial" w:cs="Arial"/>
                <w:b/>
                <w:bCs/>
                <w:color w:val="000000"/>
                <w:sz w:val="16"/>
                <w:szCs w:val="16"/>
                <w:lang w:eastAsia="hr-HR"/>
              </w:rPr>
              <w:t>821.158,32</w:t>
            </w:r>
          </w:p>
        </w:tc>
        <w:tc>
          <w:tcPr>
            <w:tcW w:w="1040" w:type="dxa"/>
            <w:tcBorders>
              <w:top w:val="nil"/>
              <w:left w:val="nil"/>
              <w:bottom w:val="single" w:sz="4" w:space="0" w:color="auto"/>
              <w:right w:val="single" w:sz="4" w:space="0" w:color="auto"/>
            </w:tcBorders>
            <w:hideMark/>
          </w:tcPr>
          <w:p w14:paraId="62B1CFD7" w14:textId="77777777" w:rsidR="00134DD6" w:rsidRPr="00134DD6" w:rsidRDefault="00134DD6" w:rsidP="00134DD6">
            <w:pPr>
              <w:spacing w:after="0" w:line="240" w:lineRule="auto"/>
              <w:jc w:val="right"/>
              <w:rPr>
                <w:rFonts w:ascii="Arial" w:eastAsia="Times New Roman" w:hAnsi="Arial" w:cs="Arial"/>
                <w:b/>
                <w:bCs/>
                <w:sz w:val="16"/>
                <w:szCs w:val="16"/>
                <w:lang w:eastAsia="hr-HR"/>
              </w:rPr>
            </w:pPr>
            <w:r w:rsidRPr="00134DD6">
              <w:rPr>
                <w:rFonts w:ascii="Arial" w:eastAsia="Times New Roman" w:hAnsi="Arial" w:cs="Arial"/>
                <w:b/>
                <w:bCs/>
                <w:sz w:val="16"/>
                <w:szCs w:val="16"/>
                <w:lang w:eastAsia="hr-HR"/>
              </w:rPr>
              <w:t>272.172,14</w:t>
            </w:r>
          </w:p>
        </w:tc>
      </w:tr>
    </w:tbl>
    <w:p w14:paraId="74464B53" w14:textId="77777777" w:rsidR="00134DD6" w:rsidRDefault="00134DD6" w:rsidP="00820F2B">
      <w:pPr>
        <w:jc w:val="both"/>
        <w:rPr>
          <w:rFonts w:cstheme="minorHAnsi"/>
          <w:sz w:val="24"/>
          <w:szCs w:val="24"/>
        </w:rPr>
      </w:pPr>
    </w:p>
    <w:p w14:paraId="62D4BAB5" w14:textId="62E70405" w:rsidR="00267E67" w:rsidRDefault="00F97BA3" w:rsidP="00F97BA3">
      <w:pPr>
        <w:spacing w:after="0" w:line="240" w:lineRule="auto"/>
        <w:jc w:val="both"/>
        <w:rPr>
          <w:rFonts w:eastAsia="Times New Roman" w:cstheme="minorHAnsi"/>
          <w:color w:val="000000"/>
          <w:sz w:val="24"/>
          <w:szCs w:val="24"/>
          <w:lang w:eastAsia="hr-HR"/>
        </w:rPr>
      </w:pPr>
      <w:r w:rsidRPr="00DD361D">
        <w:rPr>
          <w:rFonts w:eastAsia="Times New Roman" w:cstheme="minorHAnsi"/>
          <w:b/>
          <w:bCs/>
          <w:color w:val="000000"/>
          <w:sz w:val="24"/>
          <w:szCs w:val="24"/>
          <w:lang w:eastAsia="hr-HR"/>
        </w:rPr>
        <w:t>Tablica 1</w:t>
      </w:r>
      <w:r w:rsidR="005F5D64">
        <w:rPr>
          <w:rFonts w:eastAsia="Times New Roman" w:cstheme="minorHAnsi"/>
          <w:b/>
          <w:bCs/>
          <w:color w:val="000000"/>
          <w:sz w:val="24"/>
          <w:szCs w:val="24"/>
          <w:lang w:eastAsia="hr-HR"/>
        </w:rPr>
        <w:t>3</w:t>
      </w:r>
      <w:r w:rsidRPr="00F97BA3">
        <w:rPr>
          <w:rFonts w:eastAsia="Times New Roman" w:cstheme="minorHAnsi"/>
          <w:color w:val="000000"/>
          <w:sz w:val="24"/>
          <w:szCs w:val="24"/>
          <w:lang w:eastAsia="hr-HR"/>
        </w:rPr>
        <w:t xml:space="preserve">. Stanje </w:t>
      </w:r>
      <w:r w:rsidR="00BB4142" w:rsidRPr="00101594">
        <w:rPr>
          <w:rFonts w:cstheme="minorHAnsi"/>
          <w:sz w:val="24"/>
          <w:szCs w:val="24"/>
        </w:rPr>
        <w:t>dospjelih i nedospjel</w:t>
      </w:r>
      <w:r w:rsidR="00842FF1" w:rsidRPr="00101594">
        <w:rPr>
          <w:rFonts w:cstheme="minorHAnsi"/>
          <w:sz w:val="24"/>
          <w:szCs w:val="24"/>
        </w:rPr>
        <w:t>ih</w:t>
      </w:r>
      <w:r w:rsidRPr="00101594">
        <w:rPr>
          <w:rFonts w:eastAsia="Times New Roman" w:cstheme="minorHAnsi"/>
          <w:sz w:val="24"/>
          <w:szCs w:val="24"/>
          <w:lang w:eastAsia="hr-HR"/>
        </w:rPr>
        <w:t xml:space="preserve"> potraživanja</w:t>
      </w:r>
      <w:r w:rsidR="00BB7558" w:rsidRPr="00101594">
        <w:rPr>
          <w:rFonts w:eastAsia="Times New Roman" w:cstheme="minorHAnsi"/>
          <w:sz w:val="24"/>
          <w:szCs w:val="24"/>
          <w:lang w:eastAsia="hr-HR"/>
        </w:rPr>
        <w:t xml:space="preserve"> za gradske naknade</w:t>
      </w:r>
      <w:r w:rsidRPr="00101594">
        <w:rPr>
          <w:rFonts w:eastAsia="Times New Roman" w:cstheme="minorHAnsi"/>
          <w:sz w:val="24"/>
          <w:szCs w:val="24"/>
          <w:lang w:eastAsia="hr-HR"/>
        </w:rPr>
        <w:t xml:space="preserve"> za fizičke osobe na </w:t>
      </w:r>
      <w:r w:rsidRPr="00F97BA3">
        <w:rPr>
          <w:rFonts w:eastAsia="Times New Roman" w:cstheme="minorHAnsi"/>
          <w:color w:val="000000"/>
          <w:sz w:val="24"/>
          <w:szCs w:val="24"/>
          <w:lang w:eastAsia="hr-HR"/>
        </w:rPr>
        <w:t>dan 31.12.202</w:t>
      </w:r>
      <w:r w:rsidR="00F7643F">
        <w:rPr>
          <w:rFonts w:eastAsia="Times New Roman" w:cstheme="minorHAnsi"/>
          <w:color w:val="000000"/>
          <w:sz w:val="24"/>
          <w:szCs w:val="24"/>
          <w:lang w:eastAsia="hr-HR"/>
        </w:rPr>
        <w:t>5</w:t>
      </w:r>
      <w:r w:rsidR="00C54C59">
        <w:rPr>
          <w:rFonts w:eastAsia="Times New Roman" w:cstheme="minorHAnsi"/>
          <w:color w:val="000000"/>
          <w:sz w:val="24"/>
          <w:szCs w:val="24"/>
          <w:lang w:eastAsia="hr-HR"/>
        </w:rPr>
        <w:t>.</w:t>
      </w:r>
    </w:p>
    <w:p w14:paraId="4EC5A2C0" w14:textId="77777777" w:rsidR="00943207" w:rsidRDefault="00943207" w:rsidP="00F97BA3">
      <w:pPr>
        <w:spacing w:after="0" w:line="240" w:lineRule="auto"/>
        <w:jc w:val="both"/>
        <w:rPr>
          <w:rFonts w:eastAsia="Times New Roman" w:cstheme="minorHAnsi"/>
          <w:color w:val="000000"/>
          <w:sz w:val="24"/>
          <w:szCs w:val="24"/>
          <w:lang w:eastAsia="hr-HR"/>
        </w:rPr>
      </w:pPr>
    </w:p>
    <w:tbl>
      <w:tblPr>
        <w:tblW w:w="11786" w:type="dxa"/>
        <w:tblInd w:w="-1422" w:type="dxa"/>
        <w:tblLook w:val="04A0" w:firstRow="1" w:lastRow="0" w:firstColumn="1" w:lastColumn="0" w:noHBand="0" w:noVBand="1"/>
      </w:tblPr>
      <w:tblGrid>
        <w:gridCol w:w="2819"/>
        <w:gridCol w:w="1017"/>
        <w:gridCol w:w="985"/>
        <w:gridCol w:w="1017"/>
        <w:gridCol w:w="900"/>
        <w:gridCol w:w="1017"/>
        <w:gridCol w:w="928"/>
        <w:gridCol w:w="1017"/>
        <w:gridCol w:w="1060"/>
        <w:gridCol w:w="1026"/>
      </w:tblGrid>
      <w:tr w:rsidR="00D468B1" w:rsidRPr="00D468B1" w14:paraId="6DAF73F6" w14:textId="77777777" w:rsidTr="00D468B1">
        <w:trPr>
          <w:trHeight w:val="497"/>
        </w:trPr>
        <w:tc>
          <w:tcPr>
            <w:tcW w:w="3033" w:type="dxa"/>
            <w:tcBorders>
              <w:top w:val="single" w:sz="4" w:space="0" w:color="auto"/>
              <w:left w:val="single" w:sz="4" w:space="0" w:color="auto"/>
              <w:bottom w:val="single" w:sz="4" w:space="0" w:color="auto"/>
              <w:right w:val="single" w:sz="4" w:space="0" w:color="auto"/>
            </w:tcBorders>
            <w:hideMark/>
          </w:tcPr>
          <w:p w14:paraId="1CE71D22" w14:textId="77777777" w:rsidR="00D468B1" w:rsidRPr="00D468B1" w:rsidRDefault="00D468B1" w:rsidP="00D468B1">
            <w:pPr>
              <w:spacing w:after="0" w:line="240" w:lineRule="auto"/>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 </w:t>
            </w:r>
          </w:p>
        </w:tc>
        <w:tc>
          <w:tcPr>
            <w:tcW w:w="1003" w:type="dxa"/>
            <w:tcBorders>
              <w:top w:val="single" w:sz="4" w:space="0" w:color="auto"/>
              <w:left w:val="nil"/>
              <w:bottom w:val="single" w:sz="4" w:space="0" w:color="auto"/>
              <w:right w:val="single" w:sz="4" w:space="0" w:color="auto"/>
            </w:tcBorders>
            <w:hideMark/>
          </w:tcPr>
          <w:p w14:paraId="69556ADB" w14:textId="77777777" w:rsidR="00D468B1" w:rsidRPr="00D468B1" w:rsidRDefault="00D468B1" w:rsidP="00D468B1">
            <w:pPr>
              <w:spacing w:after="0" w:line="240" w:lineRule="auto"/>
              <w:jc w:val="right"/>
              <w:rPr>
                <w:rFonts w:ascii="Arial" w:eastAsia="Times New Roman" w:hAnsi="Arial" w:cs="Arial"/>
                <w:b/>
                <w:bCs/>
                <w:color w:val="000000"/>
                <w:sz w:val="16"/>
                <w:szCs w:val="16"/>
                <w:lang w:eastAsia="hr-HR"/>
              </w:rPr>
            </w:pPr>
            <w:r w:rsidRPr="00D468B1">
              <w:rPr>
                <w:rFonts w:ascii="Arial" w:eastAsia="Times New Roman" w:hAnsi="Arial" w:cs="Arial"/>
                <w:b/>
                <w:bCs/>
                <w:color w:val="000000"/>
                <w:sz w:val="16"/>
                <w:szCs w:val="16"/>
                <w:lang w:eastAsia="hr-HR"/>
              </w:rPr>
              <w:t>Redovno duguje</w:t>
            </w:r>
          </w:p>
        </w:tc>
        <w:tc>
          <w:tcPr>
            <w:tcW w:w="1000" w:type="dxa"/>
            <w:tcBorders>
              <w:top w:val="single" w:sz="4" w:space="0" w:color="auto"/>
              <w:left w:val="nil"/>
              <w:bottom w:val="single" w:sz="4" w:space="0" w:color="auto"/>
              <w:right w:val="single" w:sz="4" w:space="0" w:color="auto"/>
            </w:tcBorders>
            <w:hideMark/>
          </w:tcPr>
          <w:p w14:paraId="0CF134AB" w14:textId="77777777" w:rsidR="00D468B1" w:rsidRPr="00D468B1" w:rsidRDefault="00D468B1" w:rsidP="00D468B1">
            <w:pPr>
              <w:spacing w:after="0" w:line="240" w:lineRule="auto"/>
              <w:jc w:val="right"/>
              <w:rPr>
                <w:rFonts w:ascii="Arial" w:eastAsia="Times New Roman" w:hAnsi="Arial" w:cs="Arial"/>
                <w:b/>
                <w:bCs/>
                <w:color w:val="000000"/>
                <w:sz w:val="16"/>
                <w:szCs w:val="16"/>
                <w:lang w:eastAsia="hr-HR"/>
              </w:rPr>
            </w:pPr>
            <w:r w:rsidRPr="00D468B1">
              <w:rPr>
                <w:rFonts w:ascii="Arial" w:eastAsia="Times New Roman" w:hAnsi="Arial" w:cs="Arial"/>
                <w:b/>
                <w:bCs/>
                <w:color w:val="000000"/>
                <w:sz w:val="16"/>
                <w:szCs w:val="16"/>
                <w:lang w:eastAsia="hr-HR"/>
              </w:rPr>
              <w:t>Redovno potražuje</w:t>
            </w:r>
          </w:p>
        </w:tc>
        <w:tc>
          <w:tcPr>
            <w:tcW w:w="1003" w:type="dxa"/>
            <w:tcBorders>
              <w:top w:val="single" w:sz="4" w:space="0" w:color="auto"/>
              <w:left w:val="nil"/>
              <w:bottom w:val="single" w:sz="4" w:space="0" w:color="auto"/>
              <w:right w:val="single" w:sz="4" w:space="0" w:color="auto"/>
            </w:tcBorders>
            <w:hideMark/>
          </w:tcPr>
          <w:p w14:paraId="1C7E472F" w14:textId="77777777" w:rsidR="00D468B1" w:rsidRPr="00D468B1" w:rsidRDefault="00D468B1" w:rsidP="00D468B1">
            <w:pPr>
              <w:spacing w:after="0" w:line="240" w:lineRule="auto"/>
              <w:jc w:val="right"/>
              <w:rPr>
                <w:rFonts w:ascii="Arial" w:eastAsia="Times New Roman" w:hAnsi="Arial" w:cs="Arial"/>
                <w:b/>
                <w:bCs/>
                <w:color w:val="000000"/>
                <w:sz w:val="16"/>
                <w:szCs w:val="16"/>
                <w:lang w:eastAsia="hr-HR"/>
              </w:rPr>
            </w:pPr>
            <w:r w:rsidRPr="00D468B1">
              <w:rPr>
                <w:rFonts w:ascii="Arial" w:eastAsia="Times New Roman" w:hAnsi="Arial" w:cs="Arial"/>
                <w:b/>
                <w:bCs/>
                <w:color w:val="000000"/>
                <w:sz w:val="16"/>
                <w:szCs w:val="16"/>
                <w:lang w:eastAsia="hr-HR"/>
              </w:rPr>
              <w:t>Redovno saldo</w:t>
            </w:r>
          </w:p>
        </w:tc>
        <w:tc>
          <w:tcPr>
            <w:tcW w:w="984" w:type="dxa"/>
            <w:tcBorders>
              <w:top w:val="single" w:sz="4" w:space="0" w:color="auto"/>
              <w:left w:val="nil"/>
              <w:bottom w:val="single" w:sz="4" w:space="0" w:color="auto"/>
              <w:right w:val="single" w:sz="4" w:space="0" w:color="auto"/>
            </w:tcBorders>
            <w:hideMark/>
          </w:tcPr>
          <w:p w14:paraId="337D9F5B" w14:textId="77777777" w:rsidR="00D468B1" w:rsidRPr="00D468B1" w:rsidRDefault="00D468B1" w:rsidP="00D468B1">
            <w:pPr>
              <w:spacing w:after="0" w:line="240" w:lineRule="auto"/>
              <w:jc w:val="right"/>
              <w:rPr>
                <w:rFonts w:ascii="Arial" w:eastAsia="Times New Roman" w:hAnsi="Arial" w:cs="Arial"/>
                <w:b/>
                <w:bCs/>
                <w:color w:val="000000"/>
                <w:sz w:val="16"/>
                <w:szCs w:val="16"/>
                <w:lang w:eastAsia="hr-HR"/>
              </w:rPr>
            </w:pPr>
            <w:r w:rsidRPr="00D468B1">
              <w:rPr>
                <w:rFonts w:ascii="Arial" w:eastAsia="Times New Roman" w:hAnsi="Arial" w:cs="Arial"/>
                <w:b/>
                <w:bCs/>
                <w:color w:val="000000"/>
                <w:sz w:val="16"/>
                <w:szCs w:val="16"/>
                <w:lang w:eastAsia="hr-HR"/>
              </w:rPr>
              <w:t>SISP</w:t>
            </w:r>
          </w:p>
        </w:tc>
        <w:tc>
          <w:tcPr>
            <w:tcW w:w="1003" w:type="dxa"/>
            <w:tcBorders>
              <w:top w:val="single" w:sz="4" w:space="0" w:color="auto"/>
              <w:left w:val="nil"/>
              <w:bottom w:val="single" w:sz="4" w:space="0" w:color="auto"/>
              <w:right w:val="single" w:sz="4" w:space="0" w:color="auto"/>
            </w:tcBorders>
            <w:hideMark/>
          </w:tcPr>
          <w:p w14:paraId="75573242" w14:textId="77777777" w:rsidR="00D468B1" w:rsidRPr="00D468B1" w:rsidRDefault="00D468B1" w:rsidP="00D468B1">
            <w:pPr>
              <w:spacing w:after="0" w:line="240" w:lineRule="auto"/>
              <w:jc w:val="right"/>
              <w:rPr>
                <w:rFonts w:ascii="Arial" w:eastAsia="Times New Roman" w:hAnsi="Arial" w:cs="Arial"/>
                <w:b/>
                <w:bCs/>
                <w:color w:val="000000"/>
                <w:sz w:val="16"/>
                <w:szCs w:val="16"/>
                <w:lang w:eastAsia="hr-HR"/>
              </w:rPr>
            </w:pPr>
            <w:r w:rsidRPr="00D468B1">
              <w:rPr>
                <w:rFonts w:ascii="Arial" w:eastAsia="Times New Roman" w:hAnsi="Arial" w:cs="Arial"/>
                <w:b/>
                <w:bCs/>
                <w:color w:val="000000"/>
                <w:sz w:val="16"/>
                <w:szCs w:val="16"/>
                <w:lang w:eastAsia="hr-HR"/>
              </w:rPr>
              <w:t>Utuženo duguje</w:t>
            </w:r>
          </w:p>
        </w:tc>
        <w:tc>
          <w:tcPr>
            <w:tcW w:w="881" w:type="dxa"/>
            <w:tcBorders>
              <w:top w:val="single" w:sz="4" w:space="0" w:color="auto"/>
              <w:left w:val="nil"/>
              <w:bottom w:val="single" w:sz="4" w:space="0" w:color="auto"/>
              <w:right w:val="single" w:sz="4" w:space="0" w:color="auto"/>
            </w:tcBorders>
            <w:hideMark/>
          </w:tcPr>
          <w:p w14:paraId="2D3003C4" w14:textId="77777777" w:rsidR="00D468B1" w:rsidRPr="00D468B1" w:rsidRDefault="00D468B1" w:rsidP="00D468B1">
            <w:pPr>
              <w:spacing w:after="0" w:line="240" w:lineRule="auto"/>
              <w:jc w:val="right"/>
              <w:rPr>
                <w:rFonts w:ascii="Arial" w:eastAsia="Times New Roman" w:hAnsi="Arial" w:cs="Arial"/>
                <w:b/>
                <w:bCs/>
                <w:color w:val="000000"/>
                <w:sz w:val="16"/>
                <w:szCs w:val="16"/>
                <w:lang w:eastAsia="hr-HR"/>
              </w:rPr>
            </w:pPr>
            <w:r w:rsidRPr="00D468B1">
              <w:rPr>
                <w:rFonts w:ascii="Arial" w:eastAsia="Times New Roman" w:hAnsi="Arial" w:cs="Arial"/>
                <w:b/>
                <w:bCs/>
                <w:color w:val="000000"/>
                <w:sz w:val="16"/>
                <w:szCs w:val="16"/>
                <w:lang w:eastAsia="hr-HR"/>
              </w:rPr>
              <w:t>Utuženo potražuje</w:t>
            </w:r>
          </w:p>
        </w:tc>
        <w:tc>
          <w:tcPr>
            <w:tcW w:w="900" w:type="dxa"/>
            <w:tcBorders>
              <w:top w:val="single" w:sz="4" w:space="0" w:color="auto"/>
              <w:left w:val="nil"/>
              <w:bottom w:val="single" w:sz="4" w:space="0" w:color="auto"/>
              <w:right w:val="nil"/>
            </w:tcBorders>
            <w:hideMark/>
          </w:tcPr>
          <w:p w14:paraId="260D3E5C" w14:textId="77777777" w:rsidR="00D468B1" w:rsidRPr="00D468B1" w:rsidRDefault="00D468B1" w:rsidP="00D468B1">
            <w:pPr>
              <w:spacing w:after="0" w:line="240" w:lineRule="auto"/>
              <w:jc w:val="right"/>
              <w:rPr>
                <w:rFonts w:ascii="Arial" w:eastAsia="Times New Roman" w:hAnsi="Arial" w:cs="Arial"/>
                <w:b/>
                <w:bCs/>
                <w:color w:val="000000"/>
                <w:sz w:val="16"/>
                <w:szCs w:val="16"/>
                <w:lang w:eastAsia="hr-HR"/>
              </w:rPr>
            </w:pPr>
            <w:r w:rsidRPr="00D468B1">
              <w:rPr>
                <w:rFonts w:ascii="Arial" w:eastAsia="Times New Roman" w:hAnsi="Arial" w:cs="Arial"/>
                <w:b/>
                <w:bCs/>
                <w:color w:val="000000"/>
                <w:sz w:val="16"/>
                <w:szCs w:val="16"/>
                <w:lang w:eastAsia="hr-HR"/>
              </w:rPr>
              <w:t>Utuženo saldo</w:t>
            </w:r>
          </w:p>
        </w:tc>
        <w:tc>
          <w:tcPr>
            <w:tcW w:w="1071" w:type="dxa"/>
            <w:tcBorders>
              <w:top w:val="single" w:sz="4" w:space="0" w:color="auto"/>
              <w:left w:val="single" w:sz="4" w:space="0" w:color="auto"/>
              <w:bottom w:val="single" w:sz="4" w:space="0" w:color="auto"/>
              <w:right w:val="single" w:sz="4" w:space="0" w:color="auto"/>
            </w:tcBorders>
            <w:hideMark/>
          </w:tcPr>
          <w:p w14:paraId="651E2630" w14:textId="77777777" w:rsidR="00D468B1" w:rsidRPr="00D468B1" w:rsidRDefault="00D468B1" w:rsidP="00D468B1">
            <w:pPr>
              <w:spacing w:after="0" w:line="240" w:lineRule="auto"/>
              <w:jc w:val="right"/>
              <w:rPr>
                <w:rFonts w:ascii="Arial" w:eastAsia="Times New Roman" w:hAnsi="Arial" w:cs="Arial"/>
                <w:b/>
                <w:bCs/>
                <w:color w:val="000000"/>
                <w:sz w:val="16"/>
                <w:szCs w:val="16"/>
                <w:lang w:eastAsia="hr-HR"/>
              </w:rPr>
            </w:pPr>
            <w:r w:rsidRPr="00D468B1">
              <w:rPr>
                <w:rFonts w:ascii="Arial" w:eastAsia="Times New Roman" w:hAnsi="Arial" w:cs="Arial"/>
                <w:b/>
                <w:bCs/>
                <w:color w:val="000000"/>
                <w:sz w:val="16"/>
                <w:szCs w:val="16"/>
                <w:lang w:eastAsia="hr-HR"/>
              </w:rPr>
              <w:t>Dospjeli saldo</w:t>
            </w:r>
          </w:p>
        </w:tc>
        <w:tc>
          <w:tcPr>
            <w:tcW w:w="908" w:type="dxa"/>
            <w:tcBorders>
              <w:top w:val="single" w:sz="4" w:space="0" w:color="auto"/>
              <w:left w:val="nil"/>
              <w:bottom w:val="single" w:sz="4" w:space="0" w:color="auto"/>
              <w:right w:val="single" w:sz="4" w:space="0" w:color="auto"/>
            </w:tcBorders>
            <w:hideMark/>
          </w:tcPr>
          <w:p w14:paraId="50ABE650" w14:textId="77777777" w:rsidR="00D468B1" w:rsidRPr="00D468B1" w:rsidRDefault="00D468B1" w:rsidP="00D468B1">
            <w:pPr>
              <w:spacing w:after="0" w:line="240" w:lineRule="auto"/>
              <w:jc w:val="right"/>
              <w:rPr>
                <w:rFonts w:ascii="Arial" w:eastAsia="Times New Roman" w:hAnsi="Arial" w:cs="Arial"/>
                <w:b/>
                <w:bCs/>
                <w:color w:val="000000"/>
                <w:sz w:val="16"/>
                <w:szCs w:val="16"/>
                <w:lang w:eastAsia="hr-HR"/>
              </w:rPr>
            </w:pPr>
            <w:r w:rsidRPr="00D468B1">
              <w:rPr>
                <w:rFonts w:ascii="Arial" w:eastAsia="Times New Roman" w:hAnsi="Arial" w:cs="Arial"/>
                <w:b/>
                <w:bCs/>
                <w:color w:val="000000"/>
                <w:sz w:val="16"/>
                <w:szCs w:val="16"/>
                <w:lang w:eastAsia="hr-HR"/>
              </w:rPr>
              <w:t>Nedospjeli saldo</w:t>
            </w:r>
          </w:p>
        </w:tc>
      </w:tr>
      <w:tr w:rsidR="00D468B1" w:rsidRPr="00D468B1" w14:paraId="40D0E8C8" w14:textId="77777777" w:rsidTr="00D468B1">
        <w:trPr>
          <w:trHeight w:val="331"/>
        </w:trPr>
        <w:tc>
          <w:tcPr>
            <w:tcW w:w="3033" w:type="dxa"/>
            <w:tcBorders>
              <w:top w:val="single" w:sz="4" w:space="0" w:color="auto"/>
              <w:left w:val="single" w:sz="4" w:space="0" w:color="auto"/>
              <w:bottom w:val="single" w:sz="4" w:space="0" w:color="auto"/>
              <w:right w:val="single" w:sz="4" w:space="0" w:color="auto"/>
            </w:tcBorders>
            <w:hideMark/>
          </w:tcPr>
          <w:p w14:paraId="7F008997" w14:textId="77777777" w:rsidR="00D468B1" w:rsidRPr="00D468B1" w:rsidRDefault="00D468B1" w:rsidP="00D468B1">
            <w:pPr>
              <w:spacing w:after="0" w:line="240" w:lineRule="auto"/>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 xml:space="preserve"> Naknada:  DKN - KOMUNALNI DOPRINOS</w:t>
            </w:r>
          </w:p>
        </w:tc>
        <w:tc>
          <w:tcPr>
            <w:tcW w:w="1003" w:type="dxa"/>
            <w:tcBorders>
              <w:top w:val="nil"/>
              <w:left w:val="nil"/>
              <w:bottom w:val="single" w:sz="4" w:space="0" w:color="auto"/>
              <w:right w:val="single" w:sz="4" w:space="0" w:color="auto"/>
            </w:tcBorders>
            <w:hideMark/>
          </w:tcPr>
          <w:p w14:paraId="52AB7558"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15.392,62</w:t>
            </w:r>
          </w:p>
        </w:tc>
        <w:tc>
          <w:tcPr>
            <w:tcW w:w="1000" w:type="dxa"/>
            <w:tcBorders>
              <w:top w:val="nil"/>
              <w:left w:val="nil"/>
              <w:bottom w:val="single" w:sz="4" w:space="0" w:color="auto"/>
              <w:right w:val="single" w:sz="4" w:space="0" w:color="auto"/>
            </w:tcBorders>
            <w:hideMark/>
          </w:tcPr>
          <w:p w14:paraId="16C184D1"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2.518,07</w:t>
            </w:r>
          </w:p>
        </w:tc>
        <w:tc>
          <w:tcPr>
            <w:tcW w:w="1003" w:type="dxa"/>
            <w:tcBorders>
              <w:top w:val="nil"/>
              <w:left w:val="nil"/>
              <w:bottom w:val="single" w:sz="4" w:space="0" w:color="auto"/>
              <w:right w:val="single" w:sz="4" w:space="0" w:color="auto"/>
            </w:tcBorders>
            <w:hideMark/>
          </w:tcPr>
          <w:p w14:paraId="19110338"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12.874,55</w:t>
            </w:r>
          </w:p>
        </w:tc>
        <w:tc>
          <w:tcPr>
            <w:tcW w:w="984" w:type="dxa"/>
            <w:tcBorders>
              <w:top w:val="nil"/>
              <w:left w:val="nil"/>
              <w:bottom w:val="single" w:sz="4" w:space="0" w:color="auto"/>
              <w:right w:val="single" w:sz="4" w:space="0" w:color="auto"/>
            </w:tcBorders>
            <w:hideMark/>
          </w:tcPr>
          <w:p w14:paraId="3CB54526"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1003" w:type="dxa"/>
            <w:tcBorders>
              <w:top w:val="nil"/>
              <w:left w:val="nil"/>
              <w:bottom w:val="single" w:sz="4" w:space="0" w:color="auto"/>
              <w:right w:val="single" w:sz="4" w:space="0" w:color="auto"/>
            </w:tcBorders>
            <w:hideMark/>
          </w:tcPr>
          <w:p w14:paraId="112A996D"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137.024,88</w:t>
            </w:r>
          </w:p>
        </w:tc>
        <w:tc>
          <w:tcPr>
            <w:tcW w:w="881" w:type="dxa"/>
            <w:tcBorders>
              <w:top w:val="nil"/>
              <w:left w:val="nil"/>
              <w:bottom w:val="single" w:sz="4" w:space="0" w:color="auto"/>
              <w:right w:val="single" w:sz="4" w:space="0" w:color="auto"/>
            </w:tcBorders>
            <w:hideMark/>
          </w:tcPr>
          <w:p w14:paraId="2A4C9D2D"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900" w:type="dxa"/>
            <w:tcBorders>
              <w:top w:val="nil"/>
              <w:left w:val="nil"/>
              <w:bottom w:val="single" w:sz="4" w:space="0" w:color="auto"/>
              <w:right w:val="nil"/>
            </w:tcBorders>
            <w:hideMark/>
          </w:tcPr>
          <w:p w14:paraId="58369220"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137.024,88</w:t>
            </w:r>
          </w:p>
        </w:tc>
        <w:tc>
          <w:tcPr>
            <w:tcW w:w="1071" w:type="dxa"/>
            <w:tcBorders>
              <w:top w:val="nil"/>
              <w:left w:val="single" w:sz="4" w:space="0" w:color="auto"/>
              <w:bottom w:val="single" w:sz="4" w:space="0" w:color="auto"/>
              <w:right w:val="single" w:sz="4" w:space="0" w:color="auto"/>
            </w:tcBorders>
            <w:hideMark/>
          </w:tcPr>
          <w:p w14:paraId="4090BA1B"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149.899,43</w:t>
            </w:r>
          </w:p>
        </w:tc>
        <w:tc>
          <w:tcPr>
            <w:tcW w:w="908" w:type="dxa"/>
            <w:tcBorders>
              <w:top w:val="nil"/>
              <w:left w:val="nil"/>
              <w:bottom w:val="single" w:sz="4" w:space="0" w:color="auto"/>
              <w:right w:val="single" w:sz="4" w:space="0" w:color="auto"/>
            </w:tcBorders>
            <w:noWrap/>
            <w:hideMark/>
          </w:tcPr>
          <w:p w14:paraId="0B40678B" w14:textId="77777777" w:rsidR="00D468B1" w:rsidRPr="00D468B1" w:rsidRDefault="00D468B1" w:rsidP="00D468B1">
            <w:pPr>
              <w:spacing w:after="0" w:line="240" w:lineRule="auto"/>
              <w:jc w:val="right"/>
              <w:rPr>
                <w:rFonts w:ascii="Arial" w:eastAsia="Times New Roman" w:hAnsi="Arial" w:cs="Arial"/>
                <w:sz w:val="16"/>
                <w:szCs w:val="16"/>
                <w:lang w:eastAsia="hr-HR"/>
              </w:rPr>
            </w:pPr>
            <w:r w:rsidRPr="00D468B1">
              <w:rPr>
                <w:rFonts w:ascii="Arial" w:eastAsia="Times New Roman" w:hAnsi="Arial" w:cs="Arial"/>
                <w:sz w:val="16"/>
                <w:szCs w:val="16"/>
                <w:lang w:eastAsia="hr-HR"/>
              </w:rPr>
              <w:t>53.938,51</w:t>
            </w:r>
          </w:p>
        </w:tc>
      </w:tr>
      <w:tr w:rsidR="00D468B1" w:rsidRPr="00D468B1" w14:paraId="21F3A944" w14:textId="77777777" w:rsidTr="00D468B1">
        <w:trPr>
          <w:trHeight w:val="331"/>
        </w:trPr>
        <w:tc>
          <w:tcPr>
            <w:tcW w:w="3033" w:type="dxa"/>
            <w:tcBorders>
              <w:top w:val="single" w:sz="4" w:space="0" w:color="auto"/>
              <w:left w:val="single" w:sz="4" w:space="0" w:color="auto"/>
              <w:bottom w:val="single" w:sz="4" w:space="0" w:color="auto"/>
              <w:right w:val="single" w:sz="4" w:space="0" w:color="auto"/>
            </w:tcBorders>
            <w:hideMark/>
          </w:tcPr>
          <w:p w14:paraId="297F1DB8" w14:textId="77777777" w:rsidR="00D468B1" w:rsidRPr="00D468B1" w:rsidRDefault="00D468B1" w:rsidP="00D468B1">
            <w:pPr>
              <w:spacing w:after="0" w:line="240" w:lineRule="auto"/>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 xml:space="preserve"> Naknada:  INA - NAJAMNINA </w:t>
            </w:r>
          </w:p>
        </w:tc>
        <w:tc>
          <w:tcPr>
            <w:tcW w:w="1003" w:type="dxa"/>
            <w:tcBorders>
              <w:top w:val="nil"/>
              <w:left w:val="nil"/>
              <w:bottom w:val="single" w:sz="4" w:space="0" w:color="auto"/>
              <w:right w:val="single" w:sz="4" w:space="0" w:color="auto"/>
            </w:tcBorders>
            <w:hideMark/>
          </w:tcPr>
          <w:p w14:paraId="0CA3E640"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2.938,76</w:t>
            </w:r>
          </w:p>
        </w:tc>
        <w:tc>
          <w:tcPr>
            <w:tcW w:w="1000" w:type="dxa"/>
            <w:tcBorders>
              <w:top w:val="nil"/>
              <w:left w:val="nil"/>
              <w:bottom w:val="single" w:sz="4" w:space="0" w:color="auto"/>
              <w:right w:val="single" w:sz="4" w:space="0" w:color="auto"/>
            </w:tcBorders>
            <w:hideMark/>
          </w:tcPr>
          <w:p w14:paraId="06C4E6E4"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1.237,45</w:t>
            </w:r>
          </w:p>
        </w:tc>
        <w:tc>
          <w:tcPr>
            <w:tcW w:w="1003" w:type="dxa"/>
            <w:tcBorders>
              <w:top w:val="nil"/>
              <w:left w:val="nil"/>
              <w:bottom w:val="single" w:sz="4" w:space="0" w:color="auto"/>
              <w:right w:val="single" w:sz="4" w:space="0" w:color="auto"/>
            </w:tcBorders>
            <w:hideMark/>
          </w:tcPr>
          <w:p w14:paraId="4ADA70CD"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1.701,31</w:t>
            </w:r>
          </w:p>
        </w:tc>
        <w:tc>
          <w:tcPr>
            <w:tcW w:w="984" w:type="dxa"/>
            <w:tcBorders>
              <w:top w:val="nil"/>
              <w:left w:val="nil"/>
              <w:bottom w:val="single" w:sz="4" w:space="0" w:color="auto"/>
              <w:right w:val="single" w:sz="4" w:space="0" w:color="auto"/>
            </w:tcBorders>
            <w:hideMark/>
          </w:tcPr>
          <w:p w14:paraId="39263640"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1003" w:type="dxa"/>
            <w:tcBorders>
              <w:top w:val="nil"/>
              <w:left w:val="nil"/>
              <w:bottom w:val="single" w:sz="4" w:space="0" w:color="auto"/>
              <w:right w:val="single" w:sz="4" w:space="0" w:color="auto"/>
            </w:tcBorders>
            <w:hideMark/>
          </w:tcPr>
          <w:p w14:paraId="09FBFD8F"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881" w:type="dxa"/>
            <w:tcBorders>
              <w:top w:val="nil"/>
              <w:left w:val="nil"/>
              <w:bottom w:val="single" w:sz="4" w:space="0" w:color="auto"/>
              <w:right w:val="single" w:sz="4" w:space="0" w:color="auto"/>
            </w:tcBorders>
            <w:hideMark/>
          </w:tcPr>
          <w:p w14:paraId="233B154B"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900" w:type="dxa"/>
            <w:tcBorders>
              <w:top w:val="nil"/>
              <w:left w:val="nil"/>
              <w:bottom w:val="single" w:sz="4" w:space="0" w:color="auto"/>
              <w:right w:val="nil"/>
            </w:tcBorders>
            <w:hideMark/>
          </w:tcPr>
          <w:p w14:paraId="2CAC9685"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1071" w:type="dxa"/>
            <w:tcBorders>
              <w:top w:val="nil"/>
              <w:left w:val="single" w:sz="4" w:space="0" w:color="auto"/>
              <w:bottom w:val="single" w:sz="4" w:space="0" w:color="auto"/>
              <w:right w:val="single" w:sz="4" w:space="0" w:color="auto"/>
            </w:tcBorders>
            <w:hideMark/>
          </w:tcPr>
          <w:p w14:paraId="74172F99"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1.701,31</w:t>
            </w:r>
          </w:p>
        </w:tc>
        <w:tc>
          <w:tcPr>
            <w:tcW w:w="908" w:type="dxa"/>
            <w:tcBorders>
              <w:top w:val="nil"/>
              <w:left w:val="nil"/>
              <w:bottom w:val="single" w:sz="4" w:space="0" w:color="auto"/>
              <w:right w:val="single" w:sz="4" w:space="0" w:color="auto"/>
            </w:tcBorders>
            <w:noWrap/>
            <w:hideMark/>
          </w:tcPr>
          <w:p w14:paraId="388A0522" w14:textId="77777777" w:rsidR="00D468B1" w:rsidRPr="00D468B1" w:rsidRDefault="00D468B1" w:rsidP="00D468B1">
            <w:pPr>
              <w:spacing w:after="0" w:line="240" w:lineRule="auto"/>
              <w:jc w:val="right"/>
              <w:rPr>
                <w:rFonts w:ascii="Arial" w:eastAsia="Times New Roman" w:hAnsi="Arial" w:cs="Arial"/>
                <w:sz w:val="16"/>
                <w:szCs w:val="16"/>
                <w:lang w:eastAsia="hr-HR"/>
              </w:rPr>
            </w:pPr>
            <w:r w:rsidRPr="00D468B1">
              <w:rPr>
                <w:rFonts w:ascii="Arial" w:eastAsia="Times New Roman" w:hAnsi="Arial" w:cs="Arial"/>
                <w:sz w:val="16"/>
                <w:szCs w:val="16"/>
                <w:lang w:eastAsia="hr-HR"/>
              </w:rPr>
              <w:t>0,00</w:t>
            </w:r>
          </w:p>
        </w:tc>
      </w:tr>
      <w:tr w:rsidR="00D468B1" w:rsidRPr="00D468B1" w14:paraId="6FF60B33" w14:textId="77777777" w:rsidTr="00D468B1">
        <w:trPr>
          <w:trHeight w:val="613"/>
        </w:trPr>
        <w:tc>
          <w:tcPr>
            <w:tcW w:w="3033" w:type="dxa"/>
            <w:tcBorders>
              <w:top w:val="single" w:sz="4" w:space="0" w:color="auto"/>
              <w:left w:val="single" w:sz="4" w:space="0" w:color="auto"/>
              <w:bottom w:val="single" w:sz="4" w:space="0" w:color="auto"/>
              <w:right w:val="single" w:sz="4" w:space="0" w:color="auto"/>
            </w:tcBorders>
            <w:hideMark/>
          </w:tcPr>
          <w:p w14:paraId="1BB16D39" w14:textId="77777777" w:rsidR="00D468B1" w:rsidRPr="00D468B1" w:rsidRDefault="00D468B1" w:rsidP="00D468B1">
            <w:pPr>
              <w:spacing w:after="0" w:line="240" w:lineRule="auto"/>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 xml:space="preserve"> Naknada:  KPO - 6742-NOVČANE KAZNE PREK.SUDA </w:t>
            </w:r>
          </w:p>
        </w:tc>
        <w:tc>
          <w:tcPr>
            <w:tcW w:w="1003" w:type="dxa"/>
            <w:tcBorders>
              <w:top w:val="nil"/>
              <w:left w:val="nil"/>
              <w:bottom w:val="single" w:sz="4" w:space="0" w:color="auto"/>
              <w:right w:val="single" w:sz="4" w:space="0" w:color="auto"/>
            </w:tcBorders>
            <w:hideMark/>
          </w:tcPr>
          <w:p w14:paraId="00B7DD2E"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39,82</w:t>
            </w:r>
          </w:p>
        </w:tc>
        <w:tc>
          <w:tcPr>
            <w:tcW w:w="1000" w:type="dxa"/>
            <w:tcBorders>
              <w:top w:val="nil"/>
              <w:left w:val="nil"/>
              <w:bottom w:val="single" w:sz="4" w:space="0" w:color="auto"/>
              <w:right w:val="single" w:sz="4" w:space="0" w:color="auto"/>
            </w:tcBorders>
            <w:hideMark/>
          </w:tcPr>
          <w:p w14:paraId="28ACED67"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1003" w:type="dxa"/>
            <w:tcBorders>
              <w:top w:val="nil"/>
              <w:left w:val="nil"/>
              <w:bottom w:val="single" w:sz="4" w:space="0" w:color="auto"/>
              <w:right w:val="single" w:sz="4" w:space="0" w:color="auto"/>
            </w:tcBorders>
            <w:hideMark/>
          </w:tcPr>
          <w:p w14:paraId="0D1C4B09"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39,82</w:t>
            </w:r>
          </w:p>
        </w:tc>
        <w:tc>
          <w:tcPr>
            <w:tcW w:w="984" w:type="dxa"/>
            <w:tcBorders>
              <w:top w:val="nil"/>
              <w:left w:val="nil"/>
              <w:bottom w:val="single" w:sz="4" w:space="0" w:color="auto"/>
              <w:right w:val="single" w:sz="4" w:space="0" w:color="auto"/>
            </w:tcBorders>
            <w:hideMark/>
          </w:tcPr>
          <w:p w14:paraId="1177433E"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1003" w:type="dxa"/>
            <w:tcBorders>
              <w:top w:val="nil"/>
              <w:left w:val="nil"/>
              <w:bottom w:val="single" w:sz="4" w:space="0" w:color="auto"/>
              <w:right w:val="single" w:sz="4" w:space="0" w:color="auto"/>
            </w:tcBorders>
            <w:hideMark/>
          </w:tcPr>
          <w:p w14:paraId="275B6EBD"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881" w:type="dxa"/>
            <w:tcBorders>
              <w:top w:val="nil"/>
              <w:left w:val="nil"/>
              <w:bottom w:val="single" w:sz="4" w:space="0" w:color="auto"/>
              <w:right w:val="single" w:sz="4" w:space="0" w:color="auto"/>
            </w:tcBorders>
            <w:hideMark/>
          </w:tcPr>
          <w:p w14:paraId="79B4163F"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900" w:type="dxa"/>
            <w:tcBorders>
              <w:top w:val="nil"/>
              <w:left w:val="nil"/>
              <w:bottom w:val="single" w:sz="4" w:space="0" w:color="auto"/>
              <w:right w:val="nil"/>
            </w:tcBorders>
            <w:hideMark/>
          </w:tcPr>
          <w:p w14:paraId="0CC65F52"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1071" w:type="dxa"/>
            <w:tcBorders>
              <w:top w:val="nil"/>
              <w:left w:val="single" w:sz="4" w:space="0" w:color="auto"/>
              <w:bottom w:val="single" w:sz="4" w:space="0" w:color="auto"/>
              <w:right w:val="single" w:sz="4" w:space="0" w:color="auto"/>
            </w:tcBorders>
            <w:hideMark/>
          </w:tcPr>
          <w:p w14:paraId="3143825D"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39,82</w:t>
            </w:r>
          </w:p>
        </w:tc>
        <w:tc>
          <w:tcPr>
            <w:tcW w:w="908" w:type="dxa"/>
            <w:tcBorders>
              <w:top w:val="nil"/>
              <w:left w:val="nil"/>
              <w:bottom w:val="single" w:sz="4" w:space="0" w:color="auto"/>
              <w:right w:val="single" w:sz="4" w:space="0" w:color="auto"/>
            </w:tcBorders>
            <w:noWrap/>
            <w:hideMark/>
          </w:tcPr>
          <w:p w14:paraId="05ECFEC2" w14:textId="77777777" w:rsidR="00D468B1" w:rsidRPr="00D468B1" w:rsidRDefault="00D468B1" w:rsidP="00D468B1">
            <w:pPr>
              <w:spacing w:after="0" w:line="240" w:lineRule="auto"/>
              <w:jc w:val="right"/>
              <w:rPr>
                <w:rFonts w:ascii="Arial" w:eastAsia="Times New Roman" w:hAnsi="Arial" w:cs="Arial"/>
                <w:sz w:val="16"/>
                <w:szCs w:val="16"/>
                <w:lang w:eastAsia="hr-HR"/>
              </w:rPr>
            </w:pPr>
            <w:r w:rsidRPr="00D468B1">
              <w:rPr>
                <w:rFonts w:ascii="Arial" w:eastAsia="Times New Roman" w:hAnsi="Arial" w:cs="Arial"/>
                <w:sz w:val="16"/>
                <w:szCs w:val="16"/>
                <w:lang w:eastAsia="hr-HR"/>
              </w:rPr>
              <w:t>0,00</w:t>
            </w:r>
          </w:p>
        </w:tc>
      </w:tr>
      <w:tr w:rsidR="00D468B1" w:rsidRPr="00D468B1" w14:paraId="7DCF93CF" w14:textId="77777777" w:rsidTr="00D468B1">
        <w:trPr>
          <w:trHeight w:val="331"/>
        </w:trPr>
        <w:tc>
          <w:tcPr>
            <w:tcW w:w="3033" w:type="dxa"/>
            <w:tcBorders>
              <w:top w:val="single" w:sz="4" w:space="0" w:color="auto"/>
              <w:left w:val="single" w:sz="4" w:space="0" w:color="auto"/>
              <w:bottom w:val="single" w:sz="4" w:space="0" w:color="auto"/>
              <w:right w:val="single" w:sz="4" w:space="0" w:color="auto"/>
            </w:tcBorders>
            <w:hideMark/>
          </w:tcPr>
          <w:p w14:paraId="4D18A29B" w14:textId="77777777" w:rsidR="00D468B1" w:rsidRPr="00D468B1" w:rsidRDefault="00D468B1" w:rsidP="00D468B1">
            <w:pPr>
              <w:spacing w:after="0" w:line="240" w:lineRule="auto"/>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 xml:space="preserve"> Naknada:  NKI - JPP - KIOSCI</w:t>
            </w:r>
          </w:p>
        </w:tc>
        <w:tc>
          <w:tcPr>
            <w:tcW w:w="1003" w:type="dxa"/>
            <w:tcBorders>
              <w:top w:val="nil"/>
              <w:left w:val="nil"/>
              <w:bottom w:val="single" w:sz="4" w:space="0" w:color="auto"/>
              <w:right w:val="single" w:sz="4" w:space="0" w:color="auto"/>
            </w:tcBorders>
            <w:hideMark/>
          </w:tcPr>
          <w:p w14:paraId="4522F08C"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169,74</w:t>
            </w:r>
          </w:p>
        </w:tc>
        <w:tc>
          <w:tcPr>
            <w:tcW w:w="1000" w:type="dxa"/>
            <w:tcBorders>
              <w:top w:val="nil"/>
              <w:left w:val="nil"/>
              <w:bottom w:val="single" w:sz="4" w:space="0" w:color="auto"/>
              <w:right w:val="single" w:sz="4" w:space="0" w:color="auto"/>
            </w:tcBorders>
            <w:hideMark/>
          </w:tcPr>
          <w:p w14:paraId="6872F556"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77,75</w:t>
            </w:r>
          </w:p>
        </w:tc>
        <w:tc>
          <w:tcPr>
            <w:tcW w:w="1003" w:type="dxa"/>
            <w:tcBorders>
              <w:top w:val="nil"/>
              <w:left w:val="nil"/>
              <w:bottom w:val="single" w:sz="4" w:space="0" w:color="auto"/>
              <w:right w:val="single" w:sz="4" w:space="0" w:color="auto"/>
            </w:tcBorders>
            <w:hideMark/>
          </w:tcPr>
          <w:p w14:paraId="1D3AD337"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91,99</w:t>
            </w:r>
          </w:p>
        </w:tc>
        <w:tc>
          <w:tcPr>
            <w:tcW w:w="984" w:type="dxa"/>
            <w:tcBorders>
              <w:top w:val="nil"/>
              <w:left w:val="nil"/>
              <w:bottom w:val="single" w:sz="4" w:space="0" w:color="auto"/>
              <w:right w:val="single" w:sz="4" w:space="0" w:color="auto"/>
            </w:tcBorders>
            <w:hideMark/>
          </w:tcPr>
          <w:p w14:paraId="74C598D4"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1003" w:type="dxa"/>
            <w:tcBorders>
              <w:top w:val="nil"/>
              <w:left w:val="nil"/>
              <w:bottom w:val="single" w:sz="4" w:space="0" w:color="auto"/>
              <w:right w:val="single" w:sz="4" w:space="0" w:color="auto"/>
            </w:tcBorders>
            <w:hideMark/>
          </w:tcPr>
          <w:p w14:paraId="5B84F187"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881" w:type="dxa"/>
            <w:tcBorders>
              <w:top w:val="nil"/>
              <w:left w:val="nil"/>
              <w:bottom w:val="single" w:sz="4" w:space="0" w:color="auto"/>
              <w:right w:val="single" w:sz="4" w:space="0" w:color="auto"/>
            </w:tcBorders>
            <w:hideMark/>
          </w:tcPr>
          <w:p w14:paraId="1632B345"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900" w:type="dxa"/>
            <w:tcBorders>
              <w:top w:val="nil"/>
              <w:left w:val="nil"/>
              <w:bottom w:val="single" w:sz="4" w:space="0" w:color="auto"/>
              <w:right w:val="nil"/>
            </w:tcBorders>
            <w:hideMark/>
          </w:tcPr>
          <w:p w14:paraId="32140EC5"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1071" w:type="dxa"/>
            <w:tcBorders>
              <w:top w:val="nil"/>
              <w:left w:val="single" w:sz="4" w:space="0" w:color="auto"/>
              <w:bottom w:val="single" w:sz="4" w:space="0" w:color="auto"/>
              <w:right w:val="single" w:sz="4" w:space="0" w:color="auto"/>
            </w:tcBorders>
            <w:hideMark/>
          </w:tcPr>
          <w:p w14:paraId="468777F4"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91,99</w:t>
            </w:r>
          </w:p>
        </w:tc>
        <w:tc>
          <w:tcPr>
            <w:tcW w:w="908" w:type="dxa"/>
            <w:tcBorders>
              <w:top w:val="nil"/>
              <w:left w:val="nil"/>
              <w:bottom w:val="single" w:sz="4" w:space="0" w:color="auto"/>
              <w:right w:val="single" w:sz="4" w:space="0" w:color="auto"/>
            </w:tcBorders>
            <w:noWrap/>
            <w:hideMark/>
          </w:tcPr>
          <w:p w14:paraId="5611A40E" w14:textId="77777777" w:rsidR="00D468B1" w:rsidRPr="00D468B1" w:rsidRDefault="00D468B1" w:rsidP="00D468B1">
            <w:pPr>
              <w:spacing w:after="0" w:line="240" w:lineRule="auto"/>
              <w:jc w:val="right"/>
              <w:rPr>
                <w:rFonts w:ascii="Arial" w:eastAsia="Times New Roman" w:hAnsi="Arial" w:cs="Arial"/>
                <w:sz w:val="16"/>
                <w:szCs w:val="16"/>
                <w:lang w:eastAsia="hr-HR"/>
              </w:rPr>
            </w:pPr>
            <w:r w:rsidRPr="00D468B1">
              <w:rPr>
                <w:rFonts w:ascii="Arial" w:eastAsia="Times New Roman" w:hAnsi="Arial" w:cs="Arial"/>
                <w:sz w:val="16"/>
                <w:szCs w:val="16"/>
                <w:lang w:eastAsia="hr-HR"/>
              </w:rPr>
              <w:t>1.643,40</w:t>
            </w:r>
          </w:p>
        </w:tc>
      </w:tr>
      <w:tr w:rsidR="00D468B1" w:rsidRPr="00D468B1" w14:paraId="03821649" w14:textId="77777777" w:rsidTr="00D468B1">
        <w:trPr>
          <w:trHeight w:val="580"/>
        </w:trPr>
        <w:tc>
          <w:tcPr>
            <w:tcW w:w="3033" w:type="dxa"/>
            <w:tcBorders>
              <w:top w:val="single" w:sz="4" w:space="0" w:color="auto"/>
              <w:left w:val="single" w:sz="4" w:space="0" w:color="auto"/>
              <w:bottom w:val="single" w:sz="4" w:space="0" w:color="auto"/>
              <w:right w:val="single" w:sz="4" w:space="0" w:color="auto"/>
            </w:tcBorders>
            <w:hideMark/>
          </w:tcPr>
          <w:p w14:paraId="1F666D87" w14:textId="77777777" w:rsidR="00D468B1" w:rsidRPr="00D468B1" w:rsidRDefault="00D468B1" w:rsidP="00D468B1">
            <w:pPr>
              <w:spacing w:after="0" w:line="240" w:lineRule="auto"/>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 xml:space="preserve"> Naknada:  KPR - 6700 KAZNE PROMETNIH REDARA</w:t>
            </w:r>
          </w:p>
        </w:tc>
        <w:tc>
          <w:tcPr>
            <w:tcW w:w="1003" w:type="dxa"/>
            <w:tcBorders>
              <w:top w:val="nil"/>
              <w:left w:val="nil"/>
              <w:bottom w:val="single" w:sz="4" w:space="0" w:color="auto"/>
              <w:right w:val="single" w:sz="4" w:space="0" w:color="auto"/>
            </w:tcBorders>
            <w:hideMark/>
          </w:tcPr>
          <w:p w14:paraId="37849B4D"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7.406,72</w:t>
            </w:r>
          </w:p>
        </w:tc>
        <w:tc>
          <w:tcPr>
            <w:tcW w:w="1000" w:type="dxa"/>
            <w:tcBorders>
              <w:top w:val="nil"/>
              <w:left w:val="nil"/>
              <w:bottom w:val="single" w:sz="4" w:space="0" w:color="auto"/>
              <w:right w:val="single" w:sz="4" w:space="0" w:color="auto"/>
            </w:tcBorders>
            <w:hideMark/>
          </w:tcPr>
          <w:p w14:paraId="7546A8D8"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21.519,74</w:t>
            </w:r>
          </w:p>
        </w:tc>
        <w:tc>
          <w:tcPr>
            <w:tcW w:w="1003" w:type="dxa"/>
            <w:tcBorders>
              <w:top w:val="nil"/>
              <w:left w:val="nil"/>
              <w:bottom w:val="single" w:sz="4" w:space="0" w:color="auto"/>
              <w:right w:val="single" w:sz="4" w:space="0" w:color="auto"/>
            </w:tcBorders>
            <w:hideMark/>
          </w:tcPr>
          <w:p w14:paraId="32C85870"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-14.113,02</w:t>
            </w:r>
          </w:p>
        </w:tc>
        <w:tc>
          <w:tcPr>
            <w:tcW w:w="984" w:type="dxa"/>
            <w:tcBorders>
              <w:top w:val="nil"/>
              <w:left w:val="nil"/>
              <w:bottom w:val="single" w:sz="4" w:space="0" w:color="auto"/>
              <w:right w:val="single" w:sz="4" w:space="0" w:color="auto"/>
            </w:tcBorders>
            <w:hideMark/>
          </w:tcPr>
          <w:p w14:paraId="4AF57ECD"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1003" w:type="dxa"/>
            <w:tcBorders>
              <w:top w:val="nil"/>
              <w:left w:val="nil"/>
              <w:bottom w:val="single" w:sz="4" w:space="0" w:color="auto"/>
              <w:right w:val="single" w:sz="4" w:space="0" w:color="auto"/>
            </w:tcBorders>
            <w:hideMark/>
          </w:tcPr>
          <w:p w14:paraId="470E6E91"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47,92</w:t>
            </w:r>
          </w:p>
        </w:tc>
        <w:tc>
          <w:tcPr>
            <w:tcW w:w="881" w:type="dxa"/>
            <w:tcBorders>
              <w:top w:val="nil"/>
              <w:left w:val="nil"/>
              <w:bottom w:val="single" w:sz="4" w:space="0" w:color="auto"/>
              <w:right w:val="single" w:sz="4" w:space="0" w:color="auto"/>
            </w:tcBorders>
            <w:hideMark/>
          </w:tcPr>
          <w:p w14:paraId="0FB48054"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900" w:type="dxa"/>
            <w:tcBorders>
              <w:top w:val="nil"/>
              <w:left w:val="nil"/>
              <w:bottom w:val="single" w:sz="4" w:space="0" w:color="auto"/>
              <w:right w:val="nil"/>
            </w:tcBorders>
            <w:hideMark/>
          </w:tcPr>
          <w:p w14:paraId="1AABCD37"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47,92</w:t>
            </w:r>
          </w:p>
        </w:tc>
        <w:tc>
          <w:tcPr>
            <w:tcW w:w="1071" w:type="dxa"/>
            <w:tcBorders>
              <w:top w:val="nil"/>
              <w:left w:val="single" w:sz="4" w:space="0" w:color="auto"/>
              <w:bottom w:val="single" w:sz="4" w:space="0" w:color="auto"/>
              <w:right w:val="single" w:sz="4" w:space="0" w:color="auto"/>
            </w:tcBorders>
            <w:hideMark/>
          </w:tcPr>
          <w:p w14:paraId="4BEC8162"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-14.065,10</w:t>
            </w:r>
          </w:p>
        </w:tc>
        <w:tc>
          <w:tcPr>
            <w:tcW w:w="908" w:type="dxa"/>
            <w:tcBorders>
              <w:top w:val="nil"/>
              <w:left w:val="nil"/>
              <w:bottom w:val="single" w:sz="4" w:space="0" w:color="auto"/>
              <w:right w:val="single" w:sz="4" w:space="0" w:color="auto"/>
            </w:tcBorders>
            <w:noWrap/>
            <w:vAlign w:val="bottom"/>
            <w:hideMark/>
          </w:tcPr>
          <w:p w14:paraId="4B2C749A" w14:textId="77777777" w:rsidR="00D468B1" w:rsidRPr="00D468B1" w:rsidRDefault="00D468B1" w:rsidP="00D468B1">
            <w:pPr>
              <w:spacing w:after="0" w:line="240" w:lineRule="auto"/>
              <w:jc w:val="right"/>
              <w:rPr>
                <w:rFonts w:ascii="Arial" w:eastAsia="Times New Roman" w:hAnsi="Arial" w:cs="Arial"/>
                <w:sz w:val="16"/>
                <w:szCs w:val="16"/>
                <w:lang w:eastAsia="hr-HR"/>
              </w:rPr>
            </w:pPr>
            <w:r w:rsidRPr="00D468B1">
              <w:rPr>
                <w:rFonts w:ascii="Arial" w:eastAsia="Times New Roman" w:hAnsi="Arial" w:cs="Arial"/>
                <w:sz w:val="16"/>
                <w:szCs w:val="16"/>
                <w:lang w:eastAsia="hr-HR"/>
              </w:rPr>
              <w:t>87.980,67</w:t>
            </w:r>
          </w:p>
        </w:tc>
      </w:tr>
      <w:tr w:rsidR="00D468B1" w:rsidRPr="00D468B1" w14:paraId="2D733954" w14:textId="77777777" w:rsidTr="00D468B1">
        <w:trPr>
          <w:trHeight w:val="331"/>
        </w:trPr>
        <w:tc>
          <w:tcPr>
            <w:tcW w:w="3033" w:type="dxa"/>
            <w:tcBorders>
              <w:top w:val="single" w:sz="4" w:space="0" w:color="auto"/>
              <w:left w:val="single" w:sz="4" w:space="0" w:color="auto"/>
              <w:bottom w:val="single" w:sz="4" w:space="0" w:color="auto"/>
              <w:right w:val="single" w:sz="4" w:space="0" w:color="auto"/>
            </w:tcBorders>
            <w:hideMark/>
          </w:tcPr>
          <w:p w14:paraId="309D95EF" w14:textId="77777777" w:rsidR="00D468B1" w:rsidRPr="00D468B1" w:rsidRDefault="00D468B1" w:rsidP="00D468B1">
            <w:pPr>
              <w:spacing w:after="0" w:line="240" w:lineRule="auto"/>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 xml:space="preserve"> Naknada:  NKN - Komunalna naknada</w:t>
            </w:r>
          </w:p>
        </w:tc>
        <w:tc>
          <w:tcPr>
            <w:tcW w:w="1003" w:type="dxa"/>
            <w:tcBorders>
              <w:top w:val="nil"/>
              <w:left w:val="nil"/>
              <w:bottom w:val="single" w:sz="4" w:space="0" w:color="auto"/>
              <w:right w:val="single" w:sz="4" w:space="0" w:color="auto"/>
            </w:tcBorders>
            <w:hideMark/>
          </w:tcPr>
          <w:p w14:paraId="288DBA22"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160.597,62</w:t>
            </w:r>
          </w:p>
        </w:tc>
        <w:tc>
          <w:tcPr>
            <w:tcW w:w="1000" w:type="dxa"/>
            <w:tcBorders>
              <w:top w:val="nil"/>
              <w:left w:val="nil"/>
              <w:bottom w:val="single" w:sz="4" w:space="0" w:color="auto"/>
              <w:right w:val="single" w:sz="4" w:space="0" w:color="auto"/>
            </w:tcBorders>
            <w:hideMark/>
          </w:tcPr>
          <w:p w14:paraId="602A68B1"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14.938,75</w:t>
            </w:r>
          </w:p>
        </w:tc>
        <w:tc>
          <w:tcPr>
            <w:tcW w:w="1003" w:type="dxa"/>
            <w:tcBorders>
              <w:top w:val="nil"/>
              <w:left w:val="nil"/>
              <w:bottom w:val="single" w:sz="4" w:space="0" w:color="auto"/>
              <w:right w:val="single" w:sz="4" w:space="0" w:color="auto"/>
            </w:tcBorders>
            <w:hideMark/>
          </w:tcPr>
          <w:p w14:paraId="55FF2CEF"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145.658,87</w:t>
            </w:r>
          </w:p>
        </w:tc>
        <w:tc>
          <w:tcPr>
            <w:tcW w:w="984" w:type="dxa"/>
            <w:tcBorders>
              <w:top w:val="nil"/>
              <w:left w:val="nil"/>
              <w:bottom w:val="single" w:sz="4" w:space="0" w:color="auto"/>
              <w:right w:val="single" w:sz="4" w:space="0" w:color="auto"/>
            </w:tcBorders>
            <w:hideMark/>
          </w:tcPr>
          <w:p w14:paraId="396BB679"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1003" w:type="dxa"/>
            <w:tcBorders>
              <w:top w:val="nil"/>
              <w:left w:val="nil"/>
              <w:bottom w:val="single" w:sz="4" w:space="0" w:color="auto"/>
              <w:right w:val="single" w:sz="4" w:space="0" w:color="auto"/>
            </w:tcBorders>
            <w:hideMark/>
          </w:tcPr>
          <w:p w14:paraId="74441E24"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236.050,15</w:t>
            </w:r>
          </w:p>
        </w:tc>
        <w:tc>
          <w:tcPr>
            <w:tcW w:w="881" w:type="dxa"/>
            <w:tcBorders>
              <w:top w:val="nil"/>
              <w:left w:val="nil"/>
              <w:bottom w:val="single" w:sz="4" w:space="0" w:color="auto"/>
              <w:right w:val="single" w:sz="4" w:space="0" w:color="auto"/>
            </w:tcBorders>
            <w:hideMark/>
          </w:tcPr>
          <w:p w14:paraId="74453147"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900" w:type="dxa"/>
            <w:tcBorders>
              <w:top w:val="nil"/>
              <w:left w:val="nil"/>
              <w:bottom w:val="single" w:sz="4" w:space="0" w:color="auto"/>
              <w:right w:val="nil"/>
            </w:tcBorders>
            <w:hideMark/>
          </w:tcPr>
          <w:p w14:paraId="1D8067B5"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236.050,15</w:t>
            </w:r>
          </w:p>
        </w:tc>
        <w:tc>
          <w:tcPr>
            <w:tcW w:w="1071" w:type="dxa"/>
            <w:tcBorders>
              <w:top w:val="nil"/>
              <w:left w:val="single" w:sz="4" w:space="0" w:color="auto"/>
              <w:bottom w:val="single" w:sz="4" w:space="0" w:color="auto"/>
              <w:right w:val="single" w:sz="4" w:space="0" w:color="auto"/>
            </w:tcBorders>
            <w:hideMark/>
          </w:tcPr>
          <w:p w14:paraId="6217486B"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381.709,02</w:t>
            </w:r>
          </w:p>
        </w:tc>
        <w:tc>
          <w:tcPr>
            <w:tcW w:w="908" w:type="dxa"/>
            <w:tcBorders>
              <w:top w:val="nil"/>
              <w:left w:val="nil"/>
              <w:bottom w:val="single" w:sz="4" w:space="0" w:color="auto"/>
              <w:right w:val="single" w:sz="4" w:space="0" w:color="auto"/>
            </w:tcBorders>
            <w:noWrap/>
            <w:hideMark/>
          </w:tcPr>
          <w:p w14:paraId="32421D85" w14:textId="77777777" w:rsidR="00D468B1" w:rsidRPr="00D468B1" w:rsidRDefault="00D468B1" w:rsidP="00D468B1">
            <w:pPr>
              <w:spacing w:after="0" w:line="240" w:lineRule="auto"/>
              <w:jc w:val="right"/>
              <w:rPr>
                <w:rFonts w:ascii="Arial" w:eastAsia="Times New Roman" w:hAnsi="Arial" w:cs="Arial"/>
                <w:sz w:val="16"/>
                <w:szCs w:val="16"/>
                <w:lang w:eastAsia="hr-HR"/>
              </w:rPr>
            </w:pPr>
            <w:r w:rsidRPr="00D468B1">
              <w:rPr>
                <w:rFonts w:ascii="Arial" w:eastAsia="Times New Roman" w:hAnsi="Arial" w:cs="Arial"/>
                <w:sz w:val="16"/>
                <w:szCs w:val="16"/>
                <w:lang w:eastAsia="hr-HR"/>
              </w:rPr>
              <w:t>32.475,42</w:t>
            </w:r>
          </w:p>
        </w:tc>
      </w:tr>
      <w:tr w:rsidR="00D468B1" w:rsidRPr="00D468B1" w14:paraId="67C3096E" w14:textId="77777777" w:rsidTr="00D468B1">
        <w:trPr>
          <w:trHeight w:val="662"/>
        </w:trPr>
        <w:tc>
          <w:tcPr>
            <w:tcW w:w="3033" w:type="dxa"/>
            <w:tcBorders>
              <w:top w:val="single" w:sz="4" w:space="0" w:color="auto"/>
              <w:left w:val="single" w:sz="4" w:space="0" w:color="auto"/>
              <w:bottom w:val="single" w:sz="4" w:space="0" w:color="auto"/>
              <w:right w:val="single" w:sz="4" w:space="0" w:color="auto"/>
            </w:tcBorders>
            <w:hideMark/>
          </w:tcPr>
          <w:p w14:paraId="386B2654" w14:textId="77777777" w:rsidR="00D468B1" w:rsidRPr="00D468B1" w:rsidRDefault="00D468B1" w:rsidP="00D468B1">
            <w:pPr>
              <w:spacing w:after="0" w:line="240" w:lineRule="auto"/>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 xml:space="preserve"> Naknada:  NKP - 6742-NOVČANE KAZNE PREK.SUDA</w:t>
            </w:r>
          </w:p>
        </w:tc>
        <w:tc>
          <w:tcPr>
            <w:tcW w:w="1003" w:type="dxa"/>
            <w:tcBorders>
              <w:top w:val="nil"/>
              <w:left w:val="nil"/>
              <w:bottom w:val="single" w:sz="4" w:space="0" w:color="auto"/>
              <w:right w:val="single" w:sz="4" w:space="0" w:color="auto"/>
            </w:tcBorders>
            <w:hideMark/>
          </w:tcPr>
          <w:p w14:paraId="01AA440E"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623,82</w:t>
            </w:r>
          </w:p>
        </w:tc>
        <w:tc>
          <w:tcPr>
            <w:tcW w:w="1000" w:type="dxa"/>
            <w:tcBorders>
              <w:top w:val="nil"/>
              <w:left w:val="nil"/>
              <w:bottom w:val="single" w:sz="4" w:space="0" w:color="auto"/>
              <w:right w:val="single" w:sz="4" w:space="0" w:color="auto"/>
            </w:tcBorders>
            <w:hideMark/>
          </w:tcPr>
          <w:p w14:paraId="7C0170E6"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35,00</w:t>
            </w:r>
          </w:p>
        </w:tc>
        <w:tc>
          <w:tcPr>
            <w:tcW w:w="1003" w:type="dxa"/>
            <w:tcBorders>
              <w:top w:val="nil"/>
              <w:left w:val="nil"/>
              <w:bottom w:val="single" w:sz="4" w:space="0" w:color="auto"/>
              <w:right w:val="single" w:sz="4" w:space="0" w:color="auto"/>
            </w:tcBorders>
            <w:hideMark/>
          </w:tcPr>
          <w:p w14:paraId="5E552103"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588,82</w:t>
            </w:r>
          </w:p>
        </w:tc>
        <w:tc>
          <w:tcPr>
            <w:tcW w:w="984" w:type="dxa"/>
            <w:tcBorders>
              <w:top w:val="nil"/>
              <w:left w:val="nil"/>
              <w:bottom w:val="single" w:sz="4" w:space="0" w:color="auto"/>
              <w:right w:val="single" w:sz="4" w:space="0" w:color="auto"/>
            </w:tcBorders>
            <w:hideMark/>
          </w:tcPr>
          <w:p w14:paraId="02E06668"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1003" w:type="dxa"/>
            <w:tcBorders>
              <w:top w:val="nil"/>
              <w:left w:val="nil"/>
              <w:bottom w:val="single" w:sz="4" w:space="0" w:color="auto"/>
              <w:right w:val="single" w:sz="4" w:space="0" w:color="auto"/>
            </w:tcBorders>
            <w:hideMark/>
          </w:tcPr>
          <w:p w14:paraId="75C54FFC"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881" w:type="dxa"/>
            <w:tcBorders>
              <w:top w:val="nil"/>
              <w:left w:val="nil"/>
              <w:bottom w:val="single" w:sz="4" w:space="0" w:color="auto"/>
              <w:right w:val="single" w:sz="4" w:space="0" w:color="auto"/>
            </w:tcBorders>
            <w:hideMark/>
          </w:tcPr>
          <w:p w14:paraId="2D9A7D32"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900" w:type="dxa"/>
            <w:tcBorders>
              <w:top w:val="nil"/>
              <w:left w:val="nil"/>
              <w:bottom w:val="single" w:sz="4" w:space="0" w:color="auto"/>
              <w:right w:val="nil"/>
            </w:tcBorders>
            <w:hideMark/>
          </w:tcPr>
          <w:p w14:paraId="1AC1C14E"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1071" w:type="dxa"/>
            <w:tcBorders>
              <w:top w:val="nil"/>
              <w:left w:val="single" w:sz="4" w:space="0" w:color="auto"/>
              <w:bottom w:val="single" w:sz="4" w:space="0" w:color="auto"/>
              <w:right w:val="single" w:sz="4" w:space="0" w:color="auto"/>
            </w:tcBorders>
            <w:hideMark/>
          </w:tcPr>
          <w:p w14:paraId="16219485"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588,82</w:t>
            </w:r>
          </w:p>
        </w:tc>
        <w:tc>
          <w:tcPr>
            <w:tcW w:w="908" w:type="dxa"/>
            <w:tcBorders>
              <w:top w:val="nil"/>
              <w:left w:val="nil"/>
              <w:bottom w:val="single" w:sz="4" w:space="0" w:color="auto"/>
              <w:right w:val="single" w:sz="4" w:space="0" w:color="auto"/>
            </w:tcBorders>
            <w:noWrap/>
            <w:hideMark/>
          </w:tcPr>
          <w:p w14:paraId="214B7B39" w14:textId="77777777" w:rsidR="00D468B1" w:rsidRPr="00D468B1" w:rsidRDefault="00D468B1" w:rsidP="00D468B1">
            <w:pPr>
              <w:spacing w:after="0" w:line="240" w:lineRule="auto"/>
              <w:jc w:val="right"/>
              <w:rPr>
                <w:rFonts w:ascii="Arial" w:eastAsia="Times New Roman" w:hAnsi="Arial" w:cs="Arial"/>
                <w:sz w:val="16"/>
                <w:szCs w:val="16"/>
                <w:lang w:eastAsia="hr-HR"/>
              </w:rPr>
            </w:pPr>
            <w:r w:rsidRPr="00D468B1">
              <w:rPr>
                <w:rFonts w:ascii="Arial" w:eastAsia="Times New Roman" w:hAnsi="Arial" w:cs="Arial"/>
                <w:sz w:val="16"/>
                <w:szCs w:val="16"/>
                <w:lang w:eastAsia="hr-HR"/>
              </w:rPr>
              <w:t>0,00</w:t>
            </w:r>
          </w:p>
        </w:tc>
      </w:tr>
      <w:tr w:rsidR="00D468B1" w:rsidRPr="00D468B1" w14:paraId="797755AC" w14:textId="77777777" w:rsidTr="00D468B1">
        <w:trPr>
          <w:trHeight w:val="613"/>
        </w:trPr>
        <w:tc>
          <w:tcPr>
            <w:tcW w:w="3033" w:type="dxa"/>
            <w:tcBorders>
              <w:top w:val="single" w:sz="4" w:space="0" w:color="auto"/>
              <w:left w:val="single" w:sz="4" w:space="0" w:color="auto"/>
              <w:bottom w:val="single" w:sz="4" w:space="0" w:color="auto"/>
              <w:right w:val="single" w:sz="4" w:space="0" w:color="auto"/>
            </w:tcBorders>
            <w:hideMark/>
          </w:tcPr>
          <w:p w14:paraId="404DA4FE" w14:textId="77777777" w:rsidR="00D468B1" w:rsidRPr="00D468B1" w:rsidRDefault="00D468B1" w:rsidP="00D468B1">
            <w:pPr>
              <w:spacing w:after="0" w:line="240" w:lineRule="auto"/>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 xml:space="preserve"> Naknada:  NKR - 6700 NOVČANE KAZNE KOM.REDARA</w:t>
            </w:r>
          </w:p>
        </w:tc>
        <w:tc>
          <w:tcPr>
            <w:tcW w:w="1003" w:type="dxa"/>
            <w:tcBorders>
              <w:top w:val="nil"/>
              <w:left w:val="nil"/>
              <w:bottom w:val="single" w:sz="4" w:space="0" w:color="auto"/>
              <w:right w:val="single" w:sz="4" w:space="0" w:color="auto"/>
            </w:tcBorders>
            <w:hideMark/>
          </w:tcPr>
          <w:p w14:paraId="7DBF6A8E"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2.336,14</w:t>
            </w:r>
          </w:p>
        </w:tc>
        <w:tc>
          <w:tcPr>
            <w:tcW w:w="1000" w:type="dxa"/>
            <w:tcBorders>
              <w:top w:val="nil"/>
              <w:left w:val="nil"/>
              <w:bottom w:val="single" w:sz="4" w:space="0" w:color="auto"/>
              <w:right w:val="single" w:sz="4" w:space="0" w:color="auto"/>
            </w:tcBorders>
            <w:hideMark/>
          </w:tcPr>
          <w:p w14:paraId="3367B1F6"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1.504,22</w:t>
            </w:r>
          </w:p>
        </w:tc>
        <w:tc>
          <w:tcPr>
            <w:tcW w:w="1003" w:type="dxa"/>
            <w:tcBorders>
              <w:top w:val="nil"/>
              <w:left w:val="nil"/>
              <w:bottom w:val="single" w:sz="4" w:space="0" w:color="auto"/>
              <w:right w:val="single" w:sz="4" w:space="0" w:color="auto"/>
            </w:tcBorders>
            <w:hideMark/>
          </w:tcPr>
          <w:p w14:paraId="2C230542"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831,92</w:t>
            </w:r>
          </w:p>
        </w:tc>
        <w:tc>
          <w:tcPr>
            <w:tcW w:w="984" w:type="dxa"/>
            <w:tcBorders>
              <w:top w:val="nil"/>
              <w:left w:val="nil"/>
              <w:bottom w:val="single" w:sz="4" w:space="0" w:color="auto"/>
              <w:right w:val="single" w:sz="4" w:space="0" w:color="auto"/>
            </w:tcBorders>
            <w:hideMark/>
          </w:tcPr>
          <w:p w14:paraId="568D751D"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1003" w:type="dxa"/>
            <w:tcBorders>
              <w:top w:val="nil"/>
              <w:left w:val="nil"/>
              <w:bottom w:val="single" w:sz="4" w:space="0" w:color="auto"/>
              <w:right w:val="single" w:sz="4" w:space="0" w:color="auto"/>
            </w:tcBorders>
            <w:hideMark/>
          </w:tcPr>
          <w:p w14:paraId="0BD2C5F6"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6.030,25</w:t>
            </w:r>
          </w:p>
        </w:tc>
        <w:tc>
          <w:tcPr>
            <w:tcW w:w="881" w:type="dxa"/>
            <w:tcBorders>
              <w:top w:val="nil"/>
              <w:left w:val="nil"/>
              <w:bottom w:val="single" w:sz="4" w:space="0" w:color="auto"/>
              <w:right w:val="single" w:sz="4" w:space="0" w:color="auto"/>
            </w:tcBorders>
            <w:hideMark/>
          </w:tcPr>
          <w:p w14:paraId="30011B7A"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900" w:type="dxa"/>
            <w:tcBorders>
              <w:top w:val="nil"/>
              <w:left w:val="nil"/>
              <w:bottom w:val="single" w:sz="4" w:space="0" w:color="auto"/>
              <w:right w:val="nil"/>
            </w:tcBorders>
            <w:hideMark/>
          </w:tcPr>
          <w:p w14:paraId="3587D822"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6.030,25</w:t>
            </w:r>
          </w:p>
        </w:tc>
        <w:tc>
          <w:tcPr>
            <w:tcW w:w="1071" w:type="dxa"/>
            <w:tcBorders>
              <w:top w:val="nil"/>
              <w:left w:val="single" w:sz="4" w:space="0" w:color="auto"/>
              <w:bottom w:val="single" w:sz="4" w:space="0" w:color="auto"/>
              <w:right w:val="single" w:sz="4" w:space="0" w:color="auto"/>
            </w:tcBorders>
            <w:hideMark/>
          </w:tcPr>
          <w:p w14:paraId="377B6EC3"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6.862,17</w:t>
            </w:r>
          </w:p>
        </w:tc>
        <w:tc>
          <w:tcPr>
            <w:tcW w:w="908" w:type="dxa"/>
            <w:tcBorders>
              <w:top w:val="nil"/>
              <w:left w:val="nil"/>
              <w:bottom w:val="single" w:sz="4" w:space="0" w:color="auto"/>
              <w:right w:val="single" w:sz="4" w:space="0" w:color="auto"/>
            </w:tcBorders>
            <w:noWrap/>
            <w:hideMark/>
          </w:tcPr>
          <w:p w14:paraId="15550396" w14:textId="77777777" w:rsidR="00D468B1" w:rsidRPr="00D468B1" w:rsidRDefault="00D468B1" w:rsidP="00D468B1">
            <w:pPr>
              <w:spacing w:after="0" w:line="240" w:lineRule="auto"/>
              <w:jc w:val="right"/>
              <w:rPr>
                <w:rFonts w:ascii="Arial" w:eastAsia="Times New Roman" w:hAnsi="Arial" w:cs="Arial"/>
                <w:sz w:val="16"/>
                <w:szCs w:val="16"/>
                <w:lang w:eastAsia="hr-HR"/>
              </w:rPr>
            </w:pPr>
            <w:r w:rsidRPr="00D468B1">
              <w:rPr>
                <w:rFonts w:ascii="Arial" w:eastAsia="Times New Roman" w:hAnsi="Arial" w:cs="Arial"/>
                <w:sz w:val="16"/>
                <w:szCs w:val="16"/>
                <w:lang w:eastAsia="hr-HR"/>
              </w:rPr>
              <w:t>0,00</w:t>
            </w:r>
          </w:p>
        </w:tc>
      </w:tr>
      <w:tr w:rsidR="00D468B1" w:rsidRPr="00D468B1" w14:paraId="5933DB17" w14:textId="77777777" w:rsidTr="00D468B1">
        <w:trPr>
          <w:trHeight w:val="331"/>
        </w:trPr>
        <w:tc>
          <w:tcPr>
            <w:tcW w:w="3033" w:type="dxa"/>
            <w:tcBorders>
              <w:top w:val="single" w:sz="4" w:space="0" w:color="auto"/>
              <w:left w:val="single" w:sz="4" w:space="0" w:color="auto"/>
              <w:bottom w:val="single" w:sz="4" w:space="0" w:color="auto"/>
              <w:right w:val="single" w:sz="4" w:space="0" w:color="auto"/>
            </w:tcBorders>
            <w:hideMark/>
          </w:tcPr>
          <w:p w14:paraId="721EB2EC" w14:textId="77777777" w:rsidR="00D468B1" w:rsidRPr="00D468B1" w:rsidRDefault="00D468B1" w:rsidP="00D468B1">
            <w:pPr>
              <w:spacing w:after="0" w:line="240" w:lineRule="auto"/>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 xml:space="preserve"> Naknada:  NLT - JPP - ŠTEKATI</w:t>
            </w:r>
          </w:p>
        </w:tc>
        <w:tc>
          <w:tcPr>
            <w:tcW w:w="1003" w:type="dxa"/>
            <w:tcBorders>
              <w:top w:val="nil"/>
              <w:left w:val="nil"/>
              <w:bottom w:val="single" w:sz="4" w:space="0" w:color="auto"/>
              <w:right w:val="single" w:sz="4" w:space="0" w:color="auto"/>
            </w:tcBorders>
            <w:hideMark/>
          </w:tcPr>
          <w:p w14:paraId="1EC3094A"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23.589,71</w:t>
            </w:r>
          </w:p>
        </w:tc>
        <w:tc>
          <w:tcPr>
            <w:tcW w:w="1000" w:type="dxa"/>
            <w:tcBorders>
              <w:top w:val="nil"/>
              <w:left w:val="nil"/>
              <w:bottom w:val="single" w:sz="4" w:space="0" w:color="auto"/>
              <w:right w:val="single" w:sz="4" w:space="0" w:color="auto"/>
            </w:tcBorders>
            <w:hideMark/>
          </w:tcPr>
          <w:p w14:paraId="3B48119B"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30.266,12</w:t>
            </w:r>
          </w:p>
        </w:tc>
        <w:tc>
          <w:tcPr>
            <w:tcW w:w="1003" w:type="dxa"/>
            <w:tcBorders>
              <w:top w:val="nil"/>
              <w:left w:val="nil"/>
              <w:bottom w:val="single" w:sz="4" w:space="0" w:color="auto"/>
              <w:right w:val="single" w:sz="4" w:space="0" w:color="auto"/>
            </w:tcBorders>
            <w:hideMark/>
          </w:tcPr>
          <w:p w14:paraId="56D84A36"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-6.676,41</w:t>
            </w:r>
          </w:p>
        </w:tc>
        <w:tc>
          <w:tcPr>
            <w:tcW w:w="984" w:type="dxa"/>
            <w:tcBorders>
              <w:top w:val="nil"/>
              <w:left w:val="nil"/>
              <w:bottom w:val="single" w:sz="4" w:space="0" w:color="auto"/>
              <w:right w:val="single" w:sz="4" w:space="0" w:color="auto"/>
            </w:tcBorders>
            <w:hideMark/>
          </w:tcPr>
          <w:p w14:paraId="42A3F0D4"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1003" w:type="dxa"/>
            <w:tcBorders>
              <w:top w:val="nil"/>
              <w:left w:val="nil"/>
              <w:bottom w:val="single" w:sz="4" w:space="0" w:color="auto"/>
              <w:right w:val="single" w:sz="4" w:space="0" w:color="auto"/>
            </w:tcBorders>
            <w:hideMark/>
          </w:tcPr>
          <w:p w14:paraId="265ACE7B"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42.685,63</w:t>
            </w:r>
          </w:p>
        </w:tc>
        <w:tc>
          <w:tcPr>
            <w:tcW w:w="881" w:type="dxa"/>
            <w:tcBorders>
              <w:top w:val="nil"/>
              <w:left w:val="nil"/>
              <w:bottom w:val="single" w:sz="4" w:space="0" w:color="auto"/>
              <w:right w:val="single" w:sz="4" w:space="0" w:color="auto"/>
            </w:tcBorders>
            <w:hideMark/>
          </w:tcPr>
          <w:p w14:paraId="04B019E2"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900" w:type="dxa"/>
            <w:tcBorders>
              <w:top w:val="nil"/>
              <w:left w:val="nil"/>
              <w:bottom w:val="single" w:sz="4" w:space="0" w:color="auto"/>
              <w:right w:val="nil"/>
            </w:tcBorders>
            <w:hideMark/>
          </w:tcPr>
          <w:p w14:paraId="72DD945E"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42.685,63</w:t>
            </w:r>
          </w:p>
        </w:tc>
        <w:tc>
          <w:tcPr>
            <w:tcW w:w="1071" w:type="dxa"/>
            <w:tcBorders>
              <w:top w:val="nil"/>
              <w:left w:val="single" w:sz="4" w:space="0" w:color="auto"/>
              <w:bottom w:val="single" w:sz="4" w:space="0" w:color="auto"/>
              <w:right w:val="single" w:sz="4" w:space="0" w:color="auto"/>
            </w:tcBorders>
            <w:hideMark/>
          </w:tcPr>
          <w:p w14:paraId="3991CCDD"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36.009,22</w:t>
            </w:r>
          </w:p>
        </w:tc>
        <w:tc>
          <w:tcPr>
            <w:tcW w:w="908" w:type="dxa"/>
            <w:tcBorders>
              <w:top w:val="nil"/>
              <w:left w:val="nil"/>
              <w:bottom w:val="single" w:sz="4" w:space="0" w:color="auto"/>
              <w:right w:val="single" w:sz="4" w:space="0" w:color="auto"/>
            </w:tcBorders>
            <w:noWrap/>
            <w:hideMark/>
          </w:tcPr>
          <w:p w14:paraId="296D17B9" w14:textId="77777777" w:rsidR="00D468B1" w:rsidRPr="00D468B1" w:rsidRDefault="00D468B1" w:rsidP="00D468B1">
            <w:pPr>
              <w:spacing w:after="0" w:line="240" w:lineRule="auto"/>
              <w:jc w:val="right"/>
              <w:rPr>
                <w:rFonts w:ascii="Arial" w:eastAsia="Times New Roman" w:hAnsi="Arial" w:cs="Arial"/>
                <w:sz w:val="16"/>
                <w:szCs w:val="16"/>
                <w:lang w:eastAsia="hr-HR"/>
              </w:rPr>
            </w:pPr>
            <w:r w:rsidRPr="00D468B1">
              <w:rPr>
                <w:rFonts w:ascii="Arial" w:eastAsia="Times New Roman" w:hAnsi="Arial" w:cs="Arial"/>
                <w:sz w:val="16"/>
                <w:szCs w:val="16"/>
                <w:lang w:eastAsia="hr-HR"/>
              </w:rPr>
              <w:t>0,00</w:t>
            </w:r>
          </w:p>
        </w:tc>
      </w:tr>
      <w:tr w:rsidR="00D468B1" w:rsidRPr="00D468B1" w14:paraId="61B57577" w14:textId="77777777" w:rsidTr="00D468B1">
        <w:trPr>
          <w:trHeight w:val="331"/>
        </w:trPr>
        <w:tc>
          <w:tcPr>
            <w:tcW w:w="3033" w:type="dxa"/>
            <w:tcBorders>
              <w:top w:val="single" w:sz="4" w:space="0" w:color="auto"/>
              <w:left w:val="single" w:sz="4" w:space="0" w:color="auto"/>
              <w:bottom w:val="single" w:sz="4" w:space="0" w:color="auto"/>
              <w:right w:val="single" w:sz="4" w:space="0" w:color="auto"/>
            </w:tcBorders>
            <w:hideMark/>
          </w:tcPr>
          <w:p w14:paraId="3568D4C0" w14:textId="77777777" w:rsidR="00D468B1" w:rsidRPr="00D468B1" w:rsidRDefault="00D468B1" w:rsidP="00D468B1">
            <w:pPr>
              <w:spacing w:after="0" w:line="240" w:lineRule="auto"/>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 xml:space="preserve"> Naknada:  NOS-DEPONIJ</w:t>
            </w:r>
          </w:p>
        </w:tc>
        <w:tc>
          <w:tcPr>
            <w:tcW w:w="1003" w:type="dxa"/>
            <w:tcBorders>
              <w:top w:val="nil"/>
              <w:left w:val="nil"/>
              <w:bottom w:val="single" w:sz="4" w:space="0" w:color="auto"/>
              <w:right w:val="single" w:sz="4" w:space="0" w:color="auto"/>
            </w:tcBorders>
            <w:hideMark/>
          </w:tcPr>
          <w:p w14:paraId="11B6A9F6"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1000" w:type="dxa"/>
            <w:tcBorders>
              <w:top w:val="nil"/>
              <w:left w:val="nil"/>
              <w:bottom w:val="single" w:sz="4" w:space="0" w:color="auto"/>
              <w:right w:val="single" w:sz="4" w:space="0" w:color="auto"/>
            </w:tcBorders>
            <w:hideMark/>
          </w:tcPr>
          <w:p w14:paraId="27A2FE89"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1003" w:type="dxa"/>
            <w:tcBorders>
              <w:top w:val="nil"/>
              <w:left w:val="nil"/>
              <w:bottom w:val="single" w:sz="4" w:space="0" w:color="auto"/>
              <w:right w:val="single" w:sz="4" w:space="0" w:color="auto"/>
            </w:tcBorders>
            <w:hideMark/>
          </w:tcPr>
          <w:p w14:paraId="330BA224"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984" w:type="dxa"/>
            <w:tcBorders>
              <w:top w:val="nil"/>
              <w:left w:val="nil"/>
              <w:bottom w:val="single" w:sz="4" w:space="0" w:color="auto"/>
              <w:right w:val="single" w:sz="4" w:space="0" w:color="auto"/>
            </w:tcBorders>
            <w:hideMark/>
          </w:tcPr>
          <w:p w14:paraId="605806C8"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1003" w:type="dxa"/>
            <w:tcBorders>
              <w:top w:val="nil"/>
              <w:left w:val="nil"/>
              <w:bottom w:val="single" w:sz="4" w:space="0" w:color="auto"/>
              <w:right w:val="single" w:sz="4" w:space="0" w:color="auto"/>
            </w:tcBorders>
            <w:hideMark/>
          </w:tcPr>
          <w:p w14:paraId="2C092057"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881" w:type="dxa"/>
            <w:tcBorders>
              <w:top w:val="nil"/>
              <w:left w:val="nil"/>
              <w:bottom w:val="single" w:sz="4" w:space="0" w:color="auto"/>
              <w:right w:val="single" w:sz="4" w:space="0" w:color="auto"/>
            </w:tcBorders>
            <w:hideMark/>
          </w:tcPr>
          <w:p w14:paraId="752A82D8"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900" w:type="dxa"/>
            <w:tcBorders>
              <w:top w:val="nil"/>
              <w:left w:val="nil"/>
              <w:bottom w:val="single" w:sz="4" w:space="0" w:color="auto"/>
              <w:right w:val="single" w:sz="4" w:space="0" w:color="auto"/>
            </w:tcBorders>
            <w:hideMark/>
          </w:tcPr>
          <w:p w14:paraId="7AEA7F1E"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 </w:t>
            </w:r>
          </w:p>
        </w:tc>
        <w:tc>
          <w:tcPr>
            <w:tcW w:w="1071" w:type="dxa"/>
            <w:tcBorders>
              <w:top w:val="nil"/>
              <w:left w:val="nil"/>
              <w:bottom w:val="single" w:sz="4" w:space="0" w:color="auto"/>
              <w:right w:val="single" w:sz="4" w:space="0" w:color="auto"/>
            </w:tcBorders>
            <w:hideMark/>
          </w:tcPr>
          <w:p w14:paraId="111B9C69"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908" w:type="dxa"/>
            <w:tcBorders>
              <w:top w:val="nil"/>
              <w:left w:val="nil"/>
              <w:bottom w:val="single" w:sz="4" w:space="0" w:color="auto"/>
              <w:right w:val="single" w:sz="4" w:space="0" w:color="auto"/>
            </w:tcBorders>
            <w:noWrap/>
            <w:hideMark/>
          </w:tcPr>
          <w:p w14:paraId="6B4C1B05" w14:textId="77777777" w:rsidR="00D468B1" w:rsidRPr="00D468B1" w:rsidRDefault="00D468B1" w:rsidP="00D468B1">
            <w:pPr>
              <w:spacing w:after="0" w:line="240" w:lineRule="auto"/>
              <w:jc w:val="right"/>
              <w:rPr>
                <w:rFonts w:ascii="Arial" w:eastAsia="Times New Roman" w:hAnsi="Arial" w:cs="Arial"/>
                <w:sz w:val="16"/>
                <w:szCs w:val="16"/>
                <w:lang w:eastAsia="hr-HR"/>
              </w:rPr>
            </w:pPr>
            <w:r w:rsidRPr="00D468B1">
              <w:rPr>
                <w:rFonts w:ascii="Arial" w:eastAsia="Times New Roman" w:hAnsi="Arial" w:cs="Arial"/>
                <w:sz w:val="16"/>
                <w:szCs w:val="16"/>
                <w:lang w:eastAsia="hr-HR"/>
              </w:rPr>
              <w:t>287,69</w:t>
            </w:r>
          </w:p>
        </w:tc>
      </w:tr>
      <w:tr w:rsidR="00D468B1" w:rsidRPr="00D468B1" w14:paraId="63190E04" w14:textId="77777777" w:rsidTr="00D468B1">
        <w:trPr>
          <w:trHeight w:val="331"/>
        </w:trPr>
        <w:tc>
          <w:tcPr>
            <w:tcW w:w="3033" w:type="dxa"/>
            <w:tcBorders>
              <w:top w:val="single" w:sz="4" w:space="0" w:color="auto"/>
              <w:left w:val="single" w:sz="4" w:space="0" w:color="auto"/>
              <w:bottom w:val="single" w:sz="4" w:space="0" w:color="auto"/>
              <w:right w:val="single" w:sz="4" w:space="0" w:color="auto"/>
            </w:tcBorders>
            <w:hideMark/>
          </w:tcPr>
          <w:p w14:paraId="096850BE" w14:textId="77777777" w:rsidR="00D468B1" w:rsidRPr="00D468B1" w:rsidRDefault="00D468B1" w:rsidP="00D468B1">
            <w:pPr>
              <w:spacing w:after="0" w:line="240" w:lineRule="auto"/>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 xml:space="preserve"> Naknada:  NST - JPP - ŠTANDOVI</w:t>
            </w:r>
          </w:p>
        </w:tc>
        <w:tc>
          <w:tcPr>
            <w:tcW w:w="1003" w:type="dxa"/>
            <w:tcBorders>
              <w:top w:val="nil"/>
              <w:left w:val="nil"/>
              <w:bottom w:val="single" w:sz="4" w:space="0" w:color="auto"/>
              <w:right w:val="single" w:sz="4" w:space="0" w:color="auto"/>
            </w:tcBorders>
            <w:hideMark/>
          </w:tcPr>
          <w:p w14:paraId="01EE3BD4"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1000" w:type="dxa"/>
            <w:tcBorders>
              <w:top w:val="nil"/>
              <w:left w:val="nil"/>
              <w:bottom w:val="single" w:sz="4" w:space="0" w:color="auto"/>
              <w:right w:val="single" w:sz="4" w:space="0" w:color="auto"/>
            </w:tcBorders>
            <w:hideMark/>
          </w:tcPr>
          <w:p w14:paraId="2B79ED56"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1003" w:type="dxa"/>
            <w:tcBorders>
              <w:top w:val="nil"/>
              <w:left w:val="nil"/>
              <w:bottom w:val="single" w:sz="4" w:space="0" w:color="auto"/>
              <w:right w:val="single" w:sz="4" w:space="0" w:color="auto"/>
            </w:tcBorders>
            <w:hideMark/>
          </w:tcPr>
          <w:p w14:paraId="7F92D45B"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984" w:type="dxa"/>
            <w:tcBorders>
              <w:top w:val="nil"/>
              <w:left w:val="nil"/>
              <w:bottom w:val="single" w:sz="4" w:space="0" w:color="auto"/>
              <w:right w:val="single" w:sz="4" w:space="0" w:color="auto"/>
            </w:tcBorders>
            <w:hideMark/>
          </w:tcPr>
          <w:p w14:paraId="3EE9AF47"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1003" w:type="dxa"/>
            <w:tcBorders>
              <w:top w:val="nil"/>
              <w:left w:val="nil"/>
              <w:bottom w:val="single" w:sz="4" w:space="0" w:color="auto"/>
              <w:right w:val="single" w:sz="4" w:space="0" w:color="auto"/>
            </w:tcBorders>
            <w:hideMark/>
          </w:tcPr>
          <w:p w14:paraId="25F61953"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2.235,21</w:t>
            </w:r>
          </w:p>
        </w:tc>
        <w:tc>
          <w:tcPr>
            <w:tcW w:w="881" w:type="dxa"/>
            <w:tcBorders>
              <w:top w:val="nil"/>
              <w:left w:val="nil"/>
              <w:bottom w:val="single" w:sz="4" w:space="0" w:color="auto"/>
              <w:right w:val="single" w:sz="4" w:space="0" w:color="auto"/>
            </w:tcBorders>
            <w:hideMark/>
          </w:tcPr>
          <w:p w14:paraId="6D365985"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900" w:type="dxa"/>
            <w:tcBorders>
              <w:top w:val="nil"/>
              <w:left w:val="nil"/>
              <w:bottom w:val="single" w:sz="4" w:space="0" w:color="auto"/>
              <w:right w:val="nil"/>
            </w:tcBorders>
            <w:hideMark/>
          </w:tcPr>
          <w:p w14:paraId="59153163"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2.235,21</w:t>
            </w:r>
          </w:p>
        </w:tc>
        <w:tc>
          <w:tcPr>
            <w:tcW w:w="1071" w:type="dxa"/>
            <w:tcBorders>
              <w:top w:val="nil"/>
              <w:left w:val="single" w:sz="4" w:space="0" w:color="auto"/>
              <w:bottom w:val="single" w:sz="4" w:space="0" w:color="auto"/>
              <w:right w:val="single" w:sz="4" w:space="0" w:color="auto"/>
            </w:tcBorders>
            <w:hideMark/>
          </w:tcPr>
          <w:p w14:paraId="1D14765D"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2.235,21</w:t>
            </w:r>
          </w:p>
        </w:tc>
        <w:tc>
          <w:tcPr>
            <w:tcW w:w="908" w:type="dxa"/>
            <w:tcBorders>
              <w:top w:val="nil"/>
              <w:left w:val="nil"/>
              <w:bottom w:val="single" w:sz="4" w:space="0" w:color="auto"/>
              <w:right w:val="single" w:sz="4" w:space="0" w:color="auto"/>
            </w:tcBorders>
            <w:noWrap/>
            <w:hideMark/>
          </w:tcPr>
          <w:p w14:paraId="350D87A1" w14:textId="77777777" w:rsidR="00D468B1" w:rsidRPr="00D468B1" w:rsidRDefault="00D468B1" w:rsidP="00D468B1">
            <w:pPr>
              <w:spacing w:after="0" w:line="240" w:lineRule="auto"/>
              <w:jc w:val="right"/>
              <w:rPr>
                <w:rFonts w:ascii="Arial" w:eastAsia="Times New Roman" w:hAnsi="Arial" w:cs="Arial"/>
                <w:sz w:val="16"/>
                <w:szCs w:val="16"/>
                <w:lang w:eastAsia="hr-HR"/>
              </w:rPr>
            </w:pPr>
            <w:r w:rsidRPr="00D468B1">
              <w:rPr>
                <w:rFonts w:ascii="Arial" w:eastAsia="Times New Roman" w:hAnsi="Arial" w:cs="Arial"/>
                <w:sz w:val="16"/>
                <w:szCs w:val="16"/>
                <w:lang w:eastAsia="hr-HR"/>
              </w:rPr>
              <w:t>0,00</w:t>
            </w:r>
          </w:p>
        </w:tc>
      </w:tr>
      <w:tr w:rsidR="00D468B1" w:rsidRPr="00D468B1" w14:paraId="5DFC2D09" w14:textId="77777777" w:rsidTr="00D468B1">
        <w:trPr>
          <w:trHeight w:val="331"/>
        </w:trPr>
        <w:tc>
          <w:tcPr>
            <w:tcW w:w="3033" w:type="dxa"/>
            <w:tcBorders>
              <w:top w:val="single" w:sz="4" w:space="0" w:color="auto"/>
              <w:left w:val="single" w:sz="4" w:space="0" w:color="auto"/>
              <w:bottom w:val="single" w:sz="4" w:space="0" w:color="auto"/>
              <w:right w:val="single" w:sz="4" w:space="0" w:color="auto"/>
            </w:tcBorders>
            <w:hideMark/>
          </w:tcPr>
          <w:p w14:paraId="533BAA2F" w14:textId="77777777" w:rsidR="00D468B1" w:rsidRPr="00D468B1" w:rsidRDefault="00D468B1" w:rsidP="00D468B1">
            <w:pPr>
              <w:spacing w:after="0" w:line="240" w:lineRule="auto"/>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 xml:space="preserve"> Naknada:  NUV - Naknada za uređenje voda</w:t>
            </w:r>
          </w:p>
        </w:tc>
        <w:tc>
          <w:tcPr>
            <w:tcW w:w="1003" w:type="dxa"/>
            <w:tcBorders>
              <w:top w:val="nil"/>
              <w:left w:val="nil"/>
              <w:bottom w:val="single" w:sz="4" w:space="0" w:color="auto"/>
              <w:right w:val="single" w:sz="4" w:space="0" w:color="auto"/>
            </w:tcBorders>
            <w:hideMark/>
          </w:tcPr>
          <w:p w14:paraId="32FCBB25"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43.281,62</w:t>
            </w:r>
          </w:p>
        </w:tc>
        <w:tc>
          <w:tcPr>
            <w:tcW w:w="1000" w:type="dxa"/>
            <w:tcBorders>
              <w:top w:val="nil"/>
              <w:left w:val="nil"/>
              <w:bottom w:val="single" w:sz="4" w:space="0" w:color="auto"/>
              <w:right w:val="single" w:sz="4" w:space="0" w:color="auto"/>
            </w:tcBorders>
            <w:hideMark/>
          </w:tcPr>
          <w:p w14:paraId="24A44DC3"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3.887,84</w:t>
            </w:r>
          </w:p>
        </w:tc>
        <w:tc>
          <w:tcPr>
            <w:tcW w:w="1003" w:type="dxa"/>
            <w:tcBorders>
              <w:top w:val="nil"/>
              <w:left w:val="nil"/>
              <w:bottom w:val="single" w:sz="4" w:space="0" w:color="auto"/>
              <w:right w:val="single" w:sz="4" w:space="0" w:color="auto"/>
            </w:tcBorders>
            <w:hideMark/>
          </w:tcPr>
          <w:p w14:paraId="4E480B14"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39.393,78</w:t>
            </w:r>
          </w:p>
        </w:tc>
        <w:tc>
          <w:tcPr>
            <w:tcW w:w="984" w:type="dxa"/>
            <w:tcBorders>
              <w:top w:val="nil"/>
              <w:left w:val="nil"/>
              <w:bottom w:val="single" w:sz="4" w:space="0" w:color="auto"/>
              <w:right w:val="single" w:sz="4" w:space="0" w:color="auto"/>
            </w:tcBorders>
            <w:hideMark/>
          </w:tcPr>
          <w:p w14:paraId="3CDDE4EB"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1003" w:type="dxa"/>
            <w:tcBorders>
              <w:top w:val="nil"/>
              <w:left w:val="nil"/>
              <w:bottom w:val="single" w:sz="4" w:space="0" w:color="auto"/>
              <w:right w:val="single" w:sz="4" w:space="0" w:color="auto"/>
            </w:tcBorders>
            <w:hideMark/>
          </w:tcPr>
          <w:p w14:paraId="27A3DF5E"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80.830,77</w:t>
            </w:r>
          </w:p>
        </w:tc>
        <w:tc>
          <w:tcPr>
            <w:tcW w:w="881" w:type="dxa"/>
            <w:tcBorders>
              <w:top w:val="nil"/>
              <w:left w:val="nil"/>
              <w:bottom w:val="single" w:sz="4" w:space="0" w:color="auto"/>
              <w:right w:val="single" w:sz="4" w:space="0" w:color="auto"/>
            </w:tcBorders>
            <w:hideMark/>
          </w:tcPr>
          <w:p w14:paraId="54BCE460"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900" w:type="dxa"/>
            <w:tcBorders>
              <w:top w:val="nil"/>
              <w:left w:val="nil"/>
              <w:bottom w:val="single" w:sz="4" w:space="0" w:color="auto"/>
              <w:right w:val="nil"/>
            </w:tcBorders>
            <w:hideMark/>
          </w:tcPr>
          <w:p w14:paraId="6D921ECC"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80.830,77</w:t>
            </w:r>
          </w:p>
        </w:tc>
        <w:tc>
          <w:tcPr>
            <w:tcW w:w="1071" w:type="dxa"/>
            <w:tcBorders>
              <w:top w:val="nil"/>
              <w:left w:val="single" w:sz="4" w:space="0" w:color="auto"/>
              <w:bottom w:val="single" w:sz="4" w:space="0" w:color="auto"/>
              <w:right w:val="single" w:sz="4" w:space="0" w:color="auto"/>
            </w:tcBorders>
            <w:hideMark/>
          </w:tcPr>
          <w:p w14:paraId="19B475D7"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120.224,55</w:t>
            </w:r>
          </w:p>
        </w:tc>
        <w:tc>
          <w:tcPr>
            <w:tcW w:w="908" w:type="dxa"/>
            <w:tcBorders>
              <w:top w:val="nil"/>
              <w:left w:val="nil"/>
              <w:bottom w:val="single" w:sz="4" w:space="0" w:color="auto"/>
              <w:right w:val="single" w:sz="4" w:space="0" w:color="auto"/>
            </w:tcBorders>
            <w:noWrap/>
            <w:hideMark/>
          </w:tcPr>
          <w:p w14:paraId="3B198B27" w14:textId="77777777" w:rsidR="00D468B1" w:rsidRPr="00D468B1" w:rsidRDefault="00D468B1" w:rsidP="00D468B1">
            <w:pPr>
              <w:spacing w:after="0" w:line="240" w:lineRule="auto"/>
              <w:jc w:val="right"/>
              <w:rPr>
                <w:rFonts w:ascii="Arial" w:eastAsia="Times New Roman" w:hAnsi="Arial" w:cs="Arial"/>
                <w:sz w:val="16"/>
                <w:szCs w:val="16"/>
                <w:lang w:eastAsia="hr-HR"/>
              </w:rPr>
            </w:pPr>
            <w:r w:rsidRPr="00D468B1">
              <w:rPr>
                <w:rFonts w:ascii="Arial" w:eastAsia="Times New Roman" w:hAnsi="Arial" w:cs="Arial"/>
                <w:sz w:val="16"/>
                <w:szCs w:val="16"/>
                <w:lang w:eastAsia="hr-HR"/>
              </w:rPr>
              <w:t>12.388,12</w:t>
            </w:r>
          </w:p>
        </w:tc>
      </w:tr>
      <w:tr w:rsidR="00D468B1" w:rsidRPr="00D468B1" w14:paraId="7BB806DC" w14:textId="77777777" w:rsidTr="00D468B1">
        <w:trPr>
          <w:trHeight w:val="331"/>
        </w:trPr>
        <w:tc>
          <w:tcPr>
            <w:tcW w:w="3033" w:type="dxa"/>
            <w:tcBorders>
              <w:top w:val="single" w:sz="4" w:space="0" w:color="auto"/>
              <w:left w:val="single" w:sz="4" w:space="0" w:color="auto"/>
              <w:bottom w:val="single" w:sz="4" w:space="0" w:color="auto"/>
              <w:right w:val="single" w:sz="4" w:space="0" w:color="auto"/>
            </w:tcBorders>
            <w:hideMark/>
          </w:tcPr>
          <w:p w14:paraId="2E589241" w14:textId="77777777" w:rsidR="00D468B1" w:rsidRPr="00D468B1" w:rsidRDefault="00D468B1" w:rsidP="00D468B1">
            <w:pPr>
              <w:spacing w:after="0" w:line="240" w:lineRule="auto"/>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 xml:space="preserve"> Naknada:  OTK - OTKUP STANOVA</w:t>
            </w:r>
          </w:p>
        </w:tc>
        <w:tc>
          <w:tcPr>
            <w:tcW w:w="1003" w:type="dxa"/>
            <w:tcBorders>
              <w:top w:val="nil"/>
              <w:left w:val="nil"/>
              <w:bottom w:val="single" w:sz="4" w:space="0" w:color="auto"/>
              <w:right w:val="single" w:sz="4" w:space="0" w:color="auto"/>
            </w:tcBorders>
            <w:hideMark/>
          </w:tcPr>
          <w:p w14:paraId="16EF953E"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5.653,00</w:t>
            </w:r>
          </w:p>
        </w:tc>
        <w:tc>
          <w:tcPr>
            <w:tcW w:w="1000" w:type="dxa"/>
            <w:tcBorders>
              <w:top w:val="nil"/>
              <w:left w:val="nil"/>
              <w:bottom w:val="single" w:sz="4" w:space="0" w:color="auto"/>
              <w:right w:val="single" w:sz="4" w:space="0" w:color="auto"/>
            </w:tcBorders>
            <w:hideMark/>
          </w:tcPr>
          <w:p w14:paraId="003D25E6"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2.324,00</w:t>
            </w:r>
          </w:p>
        </w:tc>
        <w:tc>
          <w:tcPr>
            <w:tcW w:w="1003" w:type="dxa"/>
            <w:tcBorders>
              <w:top w:val="nil"/>
              <w:left w:val="nil"/>
              <w:bottom w:val="single" w:sz="4" w:space="0" w:color="auto"/>
              <w:right w:val="single" w:sz="4" w:space="0" w:color="auto"/>
            </w:tcBorders>
            <w:hideMark/>
          </w:tcPr>
          <w:p w14:paraId="44E388C6"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3.329,00</w:t>
            </w:r>
          </w:p>
        </w:tc>
        <w:tc>
          <w:tcPr>
            <w:tcW w:w="984" w:type="dxa"/>
            <w:tcBorders>
              <w:top w:val="nil"/>
              <w:left w:val="nil"/>
              <w:bottom w:val="single" w:sz="4" w:space="0" w:color="auto"/>
              <w:right w:val="single" w:sz="4" w:space="0" w:color="auto"/>
            </w:tcBorders>
            <w:hideMark/>
          </w:tcPr>
          <w:p w14:paraId="6802F1D0"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1003" w:type="dxa"/>
            <w:tcBorders>
              <w:top w:val="nil"/>
              <w:left w:val="nil"/>
              <w:bottom w:val="single" w:sz="4" w:space="0" w:color="auto"/>
              <w:right w:val="single" w:sz="4" w:space="0" w:color="auto"/>
            </w:tcBorders>
            <w:hideMark/>
          </w:tcPr>
          <w:p w14:paraId="5403B7A4"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881" w:type="dxa"/>
            <w:tcBorders>
              <w:top w:val="nil"/>
              <w:left w:val="nil"/>
              <w:bottom w:val="single" w:sz="4" w:space="0" w:color="auto"/>
              <w:right w:val="single" w:sz="4" w:space="0" w:color="auto"/>
            </w:tcBorders>
            <w:hideMark/>
          </w:tcPr>
          <w:p w14:paraId="2DA8EAD1"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900" w:type="dxa"/>
            <w:tcBorders>
              <w:top w:val="nil"/>
              <w:left w:val="nil"/>
              <w:bottom w:val="single" w:sz="4" w:space="0" w:color="auto"/>
              <w:right w:val="nil"/>
            </w:tcBorders>
            <w:hideMark/>
          </w:tcPr>
          <w:p w14:paraId="44451E68"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1071" w:type="dxa"/>
            <w:tcBorders>
              <w:top w:val="nil"/>
              <w:left w:val="single" w:sz="4" w:space="0" w:color="auto"/>
              <w:bottom w:val="single" w:sz="4" w:space="0" w:color="auto"/>
              <w:right w:val="single" w:sz="4" w:space="0" w:color="auto"/>
            </w:tcBorders>
            <w:hideMark/>
          </w:tcPr>
          <w:p w14:paraId="2AAC4463"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3.329,00</w:t>
            </w:r>
          </w:p>
        </w:tc>
        <w:tc>
          <w:tcPr>
            <w:tcW w:w="908" w:type="dxa"/>
            <w:tcBorders>
              <w:top w:val="nil"/>
              <w:left w:val="nil"/>
              <w:bottom w:val="single" w:sz="4" w:space="0" w:color="auto"/>
              <w:right w:val="single" w:sz="4" w:space="0" w:color="auto"/>
            </w:tcBorders>
            <w:noWrap/>
            <w:hideMark/>
          </w:tcPr>
          <w:p w14:paraId="2DC8642E" w14:textId="77777777" w:rsidR="00D468B1" w:rsidRPr="00D468B1" w:rsidRDefault="00D468B1" w:rsidP="00D468B1">
            <w:pPr>
              <w:spacing w:after="0" w:line="240" w:lineRule="auto"/>
              <w:jc w:val="right"/>
              <w:rPr>
                <w:rFonts w:ascii="Arial" w:eastAsia="Times New Roman" w:hAnsi="Arial" w:cs="Arial"/>
                <w:sz w:val="16"/>
                <w:szCs w:val="16"/>
                <w:lang w:eastAsia="hr-HR"/>
              </w:rPr>
            </w:pPr>
            <w:r w:rsidRPr="00D468B1">
              <w:rPr>
                <w:rFonts w:ascii="Arial" w:eastAsia="Times New Roman" w:hAnsi="Arial" w:cs="Arial"/>
                <w:sz w:val="16"/>
                <w:szCs w:val="16"/>
                <w:lang w:eastAsia="hr-HR"/>
              </w:rPr>
              <w:t>0,00</w:t>
            </w:r>
          </w:p>
        </w:tc>
      </w:tr>
      <w:tr w:rsidR="00D468B1" w:rsidRPr="00D468B1" w14:paraId="25ABC820" w14:textId="77777777" w:rsidTr="00D468B1">
        <w:trPr>
          <w:trHeight w:val="331"/>
        </w:trPr>
        <w:tc>
          <w:tcPr>
            <w:tcW w:w="3033" w:type="dxa"/>
            <w:tcBorders>
              <w:top w:val="single" w:sz="4" w:space="0" w:color="auto"/>
              <w:left w:val="single" w:sz="4" w:space="0" w:color="auto"/>
              <w:bottom w:val="single" w:sz="4" w:space="0" w:color="auto"/>
              <w:right w:val="single" w:sz="4" w:space="0" w:color="auto"/>
            </w:tcBorders>
            <w:hideMark/>
          </w:tcPr>
          <w:p w14:paraId="5DEC1111" w14:textId="77777777" w:rsidR="00D468B1" w:rsidRPr="00D468B1" w:rsidRDefault="00D468B1" w:rsidP="00D468B1">
            <w:pPr>
              <w:spacing w:after="0" w:line="240" w:lineRule="auto"/>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 xml:space="preserve"> Naknada:  SRE - SPOMENIČKA RENTA</w:t>
            </w:r>
          </w:p>
        </w:tc>
        <w:tc>
          <w:tcPr>
            <w:tcW w:w="1003" w:type="dxa"/>
            <w:tcBorders>
              <w:top w:val="nil"/>
              <w:left w:val="nil"/>
              <w:bottom w:val="single" w:sz="4" w:space="0" w:color="auto"/>
              <w:right w:val="single" w:sz="4" w:space="0" w:color="auto"/>
            </w:tcBorders>
            <w:hideMark/>
          </w:tcPr>
          <w:p w14:paraId="4457AFCA"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928,83</w:t>
            </w:r>
          </w:p>
        </w:tc>
        <w:tc>
          <w:tcPr>
            <w:tcW w:w="1000" w:type="dxa"/>
            <w:tcBorders>
              <w:top w:val="nil"/>
              <w:left w:val="nil"/>
              <w:bottom w:val="single" w:sz="4" w:space="0" w:color="auto"/>
              <w:right w:val="single" w:sz="4" w:space="0" w:color="auto"/>
            </w:tcBorders>
            <w:hideMark/>
          </w:tcPr>
          <w:p w14:paraId="72FFA076"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1.791,45</w:t>
            </w:r>
          </w:p>
        </w:tc>
        <w:tc>
          <w:tcPr>
            <w:tcW w:w="1003" w:type="dxa"/>
            <w:tcBorders>
              <w:top w:val="nil"/>
              <w:left w:val="nil"/>
              <w:bottom w:val="single" w:sz="4" w:space="0" w:color="auto"/>
              <w:right w:val="single" w:sz="4" w:space="0" w:color="auto"/>
            </w:tcBorders>
            <w:hideMark/>
          </w:tcPr>
          <w:p w14:paraId="53BBC507"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-862,62</w:t>
            </w:r>
          </w:p>
        </w:tc>
        <w:tc>
          <w:tcPr>
            <w:tcW w:w="984" w:type="dxa"/>
            <w:tcBorders>
              <w:top w:val="nil"/>
              <w:left w:val="nil"/>
              <w:bottom w:val="single" w:sz="4" w:space="0" w:color="auto"/>
              <w:right w:val="single" w:sz="4" w:space="0" w:color="auto"/>
            </w:tcBorders>
            <w:hideMark/>
          </w:tcPr>
          <w:p w14:paraId="6582889D"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1003" w:type="dxa"/>
            <w:tcBorders>
              <w:top w:val="nil"/>
              <w:left w:val="nil"/>
              <w:bottom w:val="single" w:sz="4" w:space="0" w:color="auto"/>
              <w:right w:val="single" w:sz="4" w:space="0" w:color="auto"/>
            </w:tcBorders>
            <w:hideMark/>
          </w:tcPr>
          <w:p w14:paraId="5BBFDE87"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3.494,18</w:t>
            </w:r>
          </w:p>
        </w:tc>
        <w:tc>
          <w:tcPr>
            <w:tcW w:w="881" w:type="dxa"/>
            <w:tcBorders>
              <w:top w:val="nil"/>
              <w:left w:val="nil"/>
              <w:bottom w:val="single" w:sz="4" w:space="0" w:color="auto"/>
              <w:right w:val="single" w:sz="4" w:space="0" w:color="auto"/>
            </w:tcBorders>
            <w:hideMark/>
          </w:tcPr>
          <w:p w14:paraId="6AC8C5AB"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900" w:type="dxa"/>
            <w:tcBorders>
              <w:top w:val="nil"/>
              <w:left w:val="nil"/>
              <w:bottom w:val="single" w:sz="4" w:space="0" w:color="auto"/>
              <w:right w:val="nil"/>
            </w:tcBorders>
            <w:hideMark/>
          </w:tcPr>
          <w:p w14:paraId="33542F27"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3.494,18</w:t>
            </w:r>
          </w:p>
        </w:tc>
        <w:tc>
          <w:tcPr>
            <w:tcW w:w="1071" w:type="dxa"/>
            <w:tcBorders>
              <w:top w:val="nil"/>
              <w:left w:val="single" w:sz="4" w:space="0" w:color="auto"/>
              <w:bottom w:val="single" w:sz="4" w:space="0" w:color="auto"/>
              <w:right w:val="single" w:sz="4" w:space="0" w:color="auto"/>
            </w:tcBorders>
            <w:hideMark/>
          </w:tcPr>
          <w:p w14:paraId="3FA1B2BA"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2.631,56</w:t>
            </w:r>
          </w:p>
        </w:tc>
        <w:tc>
          <w:tcPr>
            <w:tcW w:w="908" w:type="dxa"/>
            <w:tcBorders>
              <w:top w:val="nil"/>
              <w:left w:val="nil"/>
              <w:bottom w:val="single" w:sz="4" w:space="0" w:color="auto"/>
              <w:right w:val="single" w:sz="4" w:space="0" w:color="auto"/>
            </w:tcBorders>
            <w:noWrap/>
            <w:hideMark/>
          </w:tcPr>
          <w:p w14:paraId="39524EF4" w14:textId="77777777" w:rsidR="00D468B1" w:rsidRPr="00D468B1" w:rsidRDefault="00D468B1" w:rsidP="00D468B1">
            <w:pPr>
              <w:spacing w:after="0" w:line="240" w:lineRule="auto"/>
              <w:jc w:val="right"/>
              <w:rPr>
                <w:rFonts w:ascii="Arial" w:eastAsia="Times New Roman" w:hAnsi="Arial" w:cs="Arial"/>
                <w:sz w:val="16"/>
                <w:szCs w:val="16"/>
                <w:lang w:eastAsia="hr-HR"/>
              </w:rPr>
            </w:pPr>
            <w:r w:rsidRPr="00D468B1">
              <w:rPr>
                <w:rFonts w:ascii="Arial" w:eastAsia="Times New Roman" w:hAnsi="Arial" w:cs="Arial"/>
                <w:sz w:val="16"/>
                <w:szCs w:val="16"/>
                <w:lang w:eastAsia="hr-HR"/>
              </w:rPr>
              <w:t>0,00</w:t>
            </w:r>
          </w:p>
        </w:tc>
      </w:tr>
      <w:tr w:rsidR="00D468B1" w:rsidRPr="00D468B1" w14:paraId="0FDDBF4C" w14:textId="77777777" w:rsidTr="00D468B1">
        <w:trPr>
          <w:trHeight w:val="331"/>
        </w:trPr>
        <w:tc>
          <w:tcPr>
            <w:tcW w:w="3033" w:type="dxa"/>
            <w:tcBorders>
              <w:top w:val="single" w:sz="4" w:space="0" w:color="auto"/>
              <w:left w:val="single" w:sz="4" w:space="0" w:color="auto"/>
              <w:bottom w:val="single" w:sz="4" w:space="0" w:color="auto"/>
              <w:right w:val="single" w:sz="4" w:space="0" w:color="auto"/>
            </w:tcBorders>
            <w:hideMark/>
          </w:tcPr>
          <w:p w14:paraId="4A29332A" w14:textId="77777777" w:rsidR="00D468B1" w:rsidRPr="00D468B1" w:rsidRDefault="00D468B1" w:rsidP="00D468B1">
            <w:pPr>
              <w:spacing w:after="0" w:line="240" w:lineRule="auto"/>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 xml:space="preserve"> Naknada:  ZAK - ZAKUPNINA</w:t>
            </w:r>
          </w:p>
        </w:tc>
        <w:tc>
          <w:tcPr>
            <w:tcW w:w="1003" w:type="dxa"/>
            <w:tcBorders>
              <w:top w:val="nil"/>
              <w:left w:val="nil"/>
              <w:bottom w:val="single" w:sz="4" w:space="0" w:color="auto"/>
              <w:right w:val="single" w:sz="4" w:space="0" w:color="auto"/>
            </w:tcBorders>
            <w:hideMark/>
          </w:tcPr>
          <w:p w14:paraId="299CAD4C"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7.023,76</w:t>
            </w:r>
          </w:p>
        </w:tc>
        <w:tc>
          <w:tcPr>
            <w:tcW w:w="1000" w:type="dxa"/>
            <w:tcBorders>
              <w:top w:val="nil"/>
              <w:left w:val="nil"/>
              <w:bottom w:val="single" w:sz="4" w:space="0" w:color="auto"/>
              <w:right w:val="single" w:sz="4" w:space="0" w:color="auto"/>
            </w:tcBorders>
            <w:hideMark/>
          </w:tcPr>
          <w:p w14:paraId="7AB10AAE"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1003" w:type="dxa"/>
            <w:tcBorders>
              <w:top w:val="nil"/>
              <w:left w:val="nil"/>
              <w:bottom w:val="single" w:sz="4" w:space="0" w:color="auto"/>
              <w:right w:val="single" w:sz="4" w:space="0" w:color="auto"/>
            </w:tcBorders>
            <w:hideMark/>
          </w:tcPr>
          <w:p w14:paraId="74F3BFC0"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7.023,76</w:t>
            </w:r>
          </w:p>
        </w:tc>
        <w:tc>
          <w:tcPr>
            <w:tcW w:w="984" w:type="dxa"/>
            <w:tcBorders>
              <w:top w:val="nil"/>
              <w:left w:val="nil"/>
              <w:bottom w:val="single" w:sz="4" w:space="0" w:color="auto"/>
              <w:right w:val="single" w:sz="4" w:space="0" w:color="auto"/>
            </w:tcBorders>
            <w:hideMark/>
          </w:tcPr>
          <w:p w14:paraId="46102368"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1003" w:type="dxa"/>
            <w:tcBorders>
              <w:top w:val="nil"/>
              <w:left w:val="nil"/>
              <w:bottom w:val="single" w:sz="4" w:space="0" w:color="auto"/>
              <w:right w:val="single" w:sz="4" w:space="0" w:color="auto"/>
            </w:tcBorders>
            <w:hideMark/>
          </w:tcPr>
          <w:p w14:paraId="742B33F4"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104.325,35</w:t>
            </w:r>
          </w:p>
        </w:tc>
        <w:tc>
          <w:tcPr>
            <w:tcW w:w="881" w:type="dxa"/>
            <w:tcBorders>
              <w:top w:val="nil"/>
              <w:left w:val="nil"/>
              <w:bottom w:val="single" w:sz="4" w:space="0" w:color="auto"/>
              <w:right w:val="single" w:sz="4" w:space="0" w:color="auto"/>
            </w:tcBorders>
            <w:hideMark/>
          </w:tcPr>
          <w:p w14:paraId="38751C6A"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900" w:type="dxa"/>
            <w:tcBorders>
              <w:top w:val="nil"/>
              <w:left w:val="nil"/>
              <w:bottom w:val="single" w:sz="4" w:space="0" w:color="auto"/>
              <w:right w:val="nil"/>
            </w:tcBorders>
            <w:hideMark/>
          </w:tcPr>
          <w:p w14:paraId="7FCFE340"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104.325,35</w:t>
            </w:r>
          </w:p>
        </w:tc>
        <w:tc>
          <w:tcPr>
            <w:tcW w:w="1071" w:type="dxa"/>
            <w:tcBorders>
              <w:top w:val="nil"/>
              <w:left w:val="single" w:sz="4" w:space="0" w:color="auto"/>
              <w:bottom w:val="single" w:sz="4" w:space="0" w:color="auto"/>
              <w:right w:val="single" w:sz="4" w:space="0" w:color="auto"/>
            </w:tcBorders>
            <w:hideMark/>
          </w:tcPr>
          <w:p w14:paraId="654DF8CC"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111.349,11</w:t>
            </w:r>
          </w:p>
        </w:tc>
        <w:tc>
          <w:tcPr>
            <w:tcW w:w="908" w:type="dxa"/>
            <w:tcBorders>
              <w:top w:val="nil"/>
              <w:left w:val="nil"/>
              <w:bottom w:val="single" w:sz="4" w:space="0" w:color="auto"/>
              <w:right w:val="single" w:sz="4" w:space="0" w:color="auto"/>
            </w:tcBorders>
            <w:noWrap/>
            <w:hideMark/>
          </w:tcPr>
          <w:p w14:paraId="7B4E8F56" w14:textId="77777777" w:rsidR="00D468B1" w:rsidRPr="00D468B1" w:rsidRDefault="00D468B1" w:rsidP="00D468B1">
            <w:pPr>
              <w:spacing w:after="0" w:line="240" w:lineRule="auto"/>
              <w:jc w:val="right"/>
              <w:rPr>
                <w:rFonts w:ascii="Arial" w:eastAsia="Times New Roman" w:hAnsi="Arial" w:cs="Arial"/>
                <w:sz w:val="16"/>
                <w:szCs w:val="16"/>
                <w:lang w:eastAsia="hr-HR"/>
              </w:rPr>
            </w:pPr>
            <w:r w:rsidRPr="00D468B1">
              <w:rPr>
                <w:rFonts w:ascii="Arial" w:eastAsia="Times New Roman" w:hAnsi="Arial" w:cs="Arial"/>
                <w:sz w:val="16"/>
                <w:szCs w:val="16"/>
                <w:lang w:eastAsia="hr-HR"/>
              </w:rPr>
              <w:t>0,00</w:t>
            </w:r>
          </w:p>
        </w:tc>
      </w:tr>
      <w:tr w:rsidR="00D468B1" w:rsidRPr="00D468B1" w14:paraId="224872F5" w14:textId="77777777" w:rsidTr="00D468B1">
        <w:trPr>
          <w:trHeight w:val="596"/>
        </w:trPr>
        <w:tc>
          <w:tcPr>
            <w:tcW w:w="3033" w:type="dxa"/>
            <w:tcBorders>
              <w:top w:val="single" w:sz="4" w:space="0" w:color="auto"/>
              <w:left w:val="single" w:sz="4" w:space="0" w:color="auto"/>
              <w:bottom w:val="single" w:sz="4" w:space="0" w:color="auto"/>
              <w:right w:val="single" w:sz="4" w:space="0" w:color="auto"/>
            </w:tcBorders>
            <w:hideMark/>
          </w:tcPr>
          <w:p w14:paraId="49006D32" w14:textId="77777777" w:rsidR="00D468B1" w:rsidRPr="00D468B1" w:rsidRDefault="00D468B1" w:rsidP="00D468B1">
            <w:pPr>
              <w:spacing w:after="0" w:line="240" w:lineRule="auto"/>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lastRenderedPageBreak/>
              <w:t xml:space="preserve"> Naknada:  ZGR - ZADRŽAVANJE NEZAKO.IZGRAĐE.ZGR</w:t>
            </w:r>
          </w:p>
        </w:tc>
        <w:tc>
          <w:tcPr>
            <w:tcW w:w="1003" w:type="dxa"/>
            <w:tcBorders>
              <w:top w:val="nil"/>
              <w:left w:val="nil"/>
              <w:bottom w:val="single" w:sz="4" w:space="0" w:color="auto"/>
              <w:right w:val="single" w:sz="4" w:space="0" w:color="auto"/>
            </w:tcBorders>
            <w:hideMark/>
          </w:tcPr>
          <w:p w14:paraId="306A05E9"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2.085,03</w:t>
            </w:r>
          </w:p>
        </w:tc>
        <w:tc>
          <w:tcPr>
            <w:tcW w:w="1000" w:type="dxa"/>
            <w:tcBorders>
              <w:top w:val="nil"/>
              <w:left w:val="nil"/>
              <w:bottom w:val="single" w:sz="4" w:space="0" w:color="auto"/>
              <w:right w:val="single" w:sz="4" w:space="0" w:color="auto"/>
            </w:tcBorders>
            <w:hideMark/>
          </w:tcPr>
          <w:p w14:paraId="6E7180F3"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66,36</w:t>
            </w:r>
          </w:p>
        </w:tc>
        <w:tc>
          <w:tcPr>
            <w:tcW w:w="1003" w:type="dxa"/>
            <w:tcBorders>
              <w:top w:val="nil"/>
              <w:left w:val="nil"/>
              <w:bottom w:val="single" w:sz="4" w:space="0" w:color="auto"/>
              <w:right w:val="single" w:sz="4" w:space="0" w:color="auto"/>
            </w:tcBorders>
            <w:hideMark/>
          </w:tcPr>
          <w:p w14:paraId="136CEB28"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2.018,67</w:t>
            </w:r>
          </w:p>
        </w:tc>
        <w:tc>
          <w:tcPr>
            <w:tcW w:w="984" w:type="dxa"/>
            <w:tcBorders>
              <w:top w:val="nil"/>
              <w:left w:val="nil"/>
              <w:bottom w:val="single" w:sz="4" w:space="0" w:color="auto"/>
              <w:right w:val="single" w:sz="4" w:space="0" w:color="auto"/>
            </w:tcBorders>
            <w:hideMark/>
          </w:tcPr>
          <w:p w14:paraId="54862131"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1003" w:type="dxa"/>
            <w:tcBorders>
              <w:top w:val="nil"/>
              <w:left w:val="nil"/>
              <w:bottom w:val="single" w:sz="4" w:space="0" w:color="auto"/>
              <w:right w:val="single" w:sz="4" w:space="0" w:color="auto"/>
            </w:tcBorders>
            <w:hideMark/>
          </w:tcPr>
          <w:p w14:paraId="38B42F77"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37.565,41</w:t>
            </w:r>
          </w:p>
        </w:tc>
        <w:tc>
          <w:tcPr>
            <w:tcW w:w="881" w:type="dxa"/>
            <w:tcBorders>
              <w:top w:val="nil"/>
              <w:left w:val="nil"/>
              <w:bottom w:val="single" w:sz="4" w:space="0" w:color="auto"/>
              <w:right w:val="single" w:sz="4" w:space="0" w:color="auto"/>
            </w:tcBorders>
            <w:hideMark/>
          </w:tcPr>
          <w:p w14:paraId="738DB9D3"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0,00</w:t>
            </w:r>
          </w:p>
        </w:tc>
        <w:tc>
          <w:tcPr>
            <w:tcW w:w="900" w:type="dxa"/>
            <w:tcBorders>
              <w:top w:val="nil"/>
              <w:left w:val="nil"/>
              <w:bottom w:val="single" w:sz="4" w:space="0" w:color="auto"/>
              <w:right w:val="nil"/>
            </w:tcBorders>
            <w:hideMark/>
          </w:tcPr>
          <w:p w14:paraId="1F1ECC70"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37.565,41</w:t>
            </w:r>
          </w:p>
        </w:tc>
        <w:tc>
          <w:tcPr>
            <w:tcW w:w="1071" w:type="dxa"/>
            <w:tcBorders>
              <w:top w:val="nil"/>
              <w:left w:val="single" w:sz="4" w:space="0" w:color="auto"/>
              <w:bottom w:val="single" w:sz="4" w:space="0" w:color="auto"/>
              <w:right w:val="single" w:sz="4" w:space="0" w:color="auto"/>
            </w:tcBorders>
            <w:hideMark/>
          </w:tcPr>
          <w:p w14:paraId="7B95B708" w14:textId="77777777" w:rsidR="00D468B1" w:rsidRPr="00D468B1" w:rsidRDefault="00D468B1" w:rsidP="00D468B1">
            <w:pPr>
              <w:spacing w:after="0" w:line="240" w:lineRule="auto"/>
              <w:jc w:val="right"/>
              <w:rPr>
                <w:rFonts w:ascii="Arial" w:eastAsia="Times New Roman" w:hAnsi="Arial" w:cs="Arial"/>
                <w:color w:val="000000"/>
                <w:sz w:val="16"/>
                <w:szCs w:val="16"/>
                <w:lang w:eastAsia="hr-HR"/>
              </w:rPr>
            </w:pPr>
            <w:r w:rsidRPr="00D468B1">
              <w:rPr>
                <w:rFonts w:ascii="Arial" w:eastAsia="Times New Roman" w:hAnsi="Arial" w:cs="Arial"/>
                <w:color w:val="000000"/>
                <w:sz w:val="16"/>
                <w:szCs w:val="16"/>
                <w:lang w:eastAsia="hr-HR"/>
              </w:rPr>
              <w:t>39.584,08</w:t>
            </w:r>
          </w:p>
        </w:tc>
        <w:tc>
          <w:tcPr>
            <w:tcW w:w="908" w:type="dxa"/>
            <w:tcBorders>
              <w:top w:val="nil"/>
              <w:left w:val="nil"/>
              <w:bottom w:val="single" w:sz="4" w:space="0" w:color="auto"/>
              <w:right w:val="single" w:sz="4" w:space="0" w:color="auto"/>
            </w:tcBorders>
            <w:noWrap/>
            <w:hideMark/>
          </w:tcPr>
          <w:p w14:paraId="399B9FA6" w14:textId="77777777" w:rsidR="00D468B1" w:rsidRPr="00D468B1" w:rsidRDefault="00D468B1" w:rsidP="00D468B1">
            <w:pPr>
              <w:spacing w:after="0" w:line="240" w:lineRule="auto"/>
              <w:jc w:val="right"/>
              <w:rPr>
                <w:rFonts w:ascii="Arial" w:eastAsia="Times New Roman" w:hAnsi="Arial" w:cs="Arial"/>
                <w:sz w:val="16"/>
                <w:szCs w:val="16"/>
                <w:lang w:eastAsia="hr-HR"/>
              </w:rPr>
            </w:pPr>
            <w:r w:rsidRPr="00D468B1">
              <w:rPr>
                <w:rFonts w:ascii="Arial" w:eastAsia="Times New Roman" w:hAnsi="Arial" w:cs="Arial"/>
                <w:sz w:val="16"/>
                <w:szCs w:val="16"/>
                <w:lang w:eastAsia="hr-HR"/>
              </w:rPr>
              <w:t>1.371,28</w:t>
            </w:r>
          </w:p>
        </w:tc>
      </w:tr>
      <w:tr w:rsidR="00D468B1" w:rsidRPr="00D468B1" w14:paraId="4A3DAB5D" w14:textId="77777777" w:rsidTr="00D468B1">
        <w:trPr>
          <w:trHeight w:val="331"/>
        </w:trPr>
        <w:tc>
          <w:tcPr>
            <w:tcW w:w="3033" w:type="dxa"/>
            <w:tcBorders>
              <w:top w:val="single" w:sz="4" w:space="0" w:color="auto"/>
              <w:left w:val="single" w:sz="4" w:space="0" w:color="auto"/>
              <w:bottom w:val="single" w:sz="4" w:space="0" w:color="auto"/>
              <w:right w:val="single" w:sz="4" w:space="0" w:color="000000"/>
            </w:tcBorders>
            <w:hideMark/>
          </w:tcPr>
          <w:p w14:paraId="506ED7B3" w14:textId="77777777" w:rsidR="00D468B1" w:rsidRPr="00D468B1" w:rsidRDefault="00D468B1" w:rsidP="00D468B1">
            <w:pPr>
              <w:spacing w:after="0" w:line="240" w:lineRule="auto"/>
              <w:rPr>
                <w:rFonts w:ascii="Arial" w:eastAsia="Times New Roman" w:hAnsi="Arial" w:cs="Arial"/>
                <w:b/>
                <w:bCs/>
                <w:color w:val="000000"/>
                <w:sz w:val="16"/>
                <w:szCs w:val="16"/>
                <w:lang w:eastAsia="hr-HR"/>
              </w:rPr>
            </w:pPr>
            <w:r w:rsidRPr="00D468B1">
              <w:rPr>
                <w:rFonts w:ascii="Arial" w:eastAsia="Times New Roman" w:hAnsi="Arial" w:cs="Arial"/>
                <w:b/>
                <w:bCs/>
                <w:color w:val="000000"/>
                <w:sz w:val="16"/>
                <w:szCs w:val="16"/>
                <w:lang w:eastAsia="hr-HR"/>
              </w:rPr>
              <w:t>UKUPNO</w:t>
            </w:r>
          </w:p>
        </w:tc>
        <w:tc>
          <w:tcPr>
            <w:tcW w:w="1003" w:type="dxa"/>
            <w:tcBorders>
              <w:top w:val="nil"/>
              <w:left w:val="nil"/>
              <w:bottom w:val="single" w:sz="4" w:space="0" w:color="auto"/>
              <w:right w:val="single" w:sz="4" w:space="0" w:color="auto"/>
            </w:tcBorders>
            <w:hideMark/>
          </w:tcPr>
          <w:p w14:paraId="4755DECB" w14:textId="77777777" w:rsidR="00D468B1" w:rsidRPr="00D468B1" w:rsidRDefault="00D468B1" w:rsidP="00D468B1">
            <w:pPr>
              <w:spacing w:after="0" w:line="240" w:lineRule="auto"/>
              <w:jc w:val="right"/>
              <w:rPr>
                <w:rFonts w:ascii="Arial" w:eastAsia="Times New Roman" w:hAnsi="Arial" w:cs="Arial"/>
                <w:b/>
                <w:bCs/>
                <w:color w:val="000000"/>
                <w:sz w:val="16"/>
                <w:szCs w:val="16"/>
                <w:lang w:eastAsia="hr-HR"/>
              </w:rPr>
            </w:pPr>
            <w:r w:rsidRPr="00D468B1">
              <w:rPr>
                <w:rFonts w:ascii="Arial" w:eastAsia="Times New Roman" w:hAnsi="Arial" w:cs="Arial"/>
                <w:b/>
                <w:bCs/>
                <w:color w:val="000000"/>
                <w:sz w:val="16"/>
                <w:szCs w:val="16"/>
                <w:lang w:eastAsia="hr-HR"/>
              </w:rPr>
              <w:t>272.067,19</w:t>
            </w:r>
          </w:p>
        </w:tc>
        <w:tc>
          <w:tcPr>
            <w:tcW w:w="1000" w:type="dxa"/>
            <w:tcBorders>
              <w:top w:val="nil"/>
              <w:left w:val="nil"/>
              <w:bottom w:val="single" w:sz="4" w:space="0" w:color="auto"/>
              <w:right w:val="single" w:sz="4" w:space="0" w:color="auto"/>
            </w:tcBorders>
            <w:hideMark/>
          </w:tcPr>
          <w:p w14:paraId="4450F9BF" w14:textId="77777777" w:rsidR="00D468B1" w:rsidRPr="00D468B1" w:rsidRDefault="00D468B1" w:rsidP="00D468B1">
            <w:pPr>
              <w:spacing w:after="0" w:line="240" w:lineRule="auto"/>
              <w:jc w:val="right"/>
              <w:rPr>
                <w:rFonts w:ascii="Arial" w:eastAsia="Times New Roman" w:hAnsi="Arial" w:cs="Arial"/>
                <w:b/>
                <w:bCs/>
                <w:color w:val="000000"/>
                <w:sz w:val="16"/>
                <w:szCs w:val="16"/>
                <w:lang w:eastAsia="hr-HR"/>
              </w:rPr>
            </w:pPr>
            <w:r w:rsidRPr="00D468B1">
              <w:rPr>
                <w:rFonts w:ascii="Arial" w:eastAsia="Times New Roman" w:hAnsi="Arial" w:cs="Arial"/>
                <w:b/>
                <w:bCs/>
                <w:color w:val="000000"/>
                <w:sz w:val="16"/>
                <w:szCs w:val="16"/>
                <w:lang w:eastAsia="hr-HR"/>
              </w:rPr>
              <w:t>80.166,75</w:t>
            </w:r>
          </w:p>
        </w:tc>
        <w:tc>
          <w:tcPr>
            <w:tcW w:w="1003" w:type="dxa"/>
            <w:tcBorders>
              <w:top w:val="nil"/>
              <w:left w:val="nil"/>
              <w:bottom w:val="single" w:sz="4" w:space="0" w:color="auto"/>
              <w:right w:val="single" w:sz="4" w:space="0" w:color="auto"/>
            </w:tcBorders>
            <w:hideMark/>
          </w:tcPr>
          <w:p w14:paraId="7189F2B8" w14:textId="77777777" w:rsidR="00D468B1" w:rsidRPr="00D468B1" w:rsidRDefault="00D468B1" w:rsidP="00D468B1">
            <w:pPr>
              <w:spacing w:after="0" w:line="240" w:lineRule="auto"/>
              <w:jc w:val="right"/>
              <w:rPr>
                <w:rFonts w:ascii="Arial" w:eastAsia="Times New Roman" w:hAnsi="Arial" w:cs="Arial"/>
                <w:b/>
                <w:bCs/>
                <w:color w:val="000000"/>
                <w:sz w:val="16"/>
                <w:szCs w:val="16"/>
                <w:lang w:eastAsia="hr-HR"/>
              </w:rPr>
            </w:pPr>
            <w:r w:rsidRPr="00D468B1">
              <w:rPr>
                <w:rFonts w:ascii="Arial" w:eastAsia="Times New Roman" w:hAnsi="Arial" w:cs="Arial"/>
                <w:b/>
                <w:bCs/>
                <w:color w:val="000000"/>
                <w:sz w:val="16"/>
                <w:szCs w:val="16"/>
                <w:lang w:eastAsia="hr-HR"/>
              </w:rPr>
              <w:t>191.900,44</w:t>
            </w:r>
          </w:p>
        </w:tc>
        <w:tc>
          <w:tcPr>
            <w:tcW w:w="984" w:type="dxa"/>
            <w:tcBorders>
              <w:top w:val="nil"/>
              <w:left w:val="nil"/>
              <w:bottom w:val="single" w:sz="4" w:space="0" w:color="auto"/>
              <w:right w:val="single" w:sz="4" w:space="0" w:color="auto"/>
            </w:tcBorders>
            <w:hideMark/>
          </w:tcPr>
          <w:p w14:paraId="543170FB" w14:textId="77777777" w:rsidR="00D468B1" w:rsidRPr="00D468B1" w:rsidRDefault="00D468B1" w:rsidP="00D468B1">
            <w:pPr>
              <w:spacing w:after="0" w:line="240" w:lineRule="auto"/>
              <w:jc w:val="right"/>
              <w:rPr>
                <w:rFonts w:ascii="Arial" w:eastAsia="Times New Roman" w:hAnsi="Arial" w:cs="Arial"/>
                <w:b/>
                <w:bCs/>
                <w:color w:val="000000"/>
                <w:sz w:val="16"/>
                <w:szCs w:val="16"/>
                <w:lang w:eastAsia="hr-HR"/>
              </w:rPr>
            </w:pPr>
            <w:r w:rsidRPr="00D468B1">
              <w:rPr>
                <w:rFonts w:ascii="Arial" w:eastAsia="Times New Roman" w:hAnsi="Arial" w:cs="Arial"/>
                <w:b/>
                <w:bCs/>
                <w:color w:val="000000"/>
                <w:sz w:val="16"/>
                <w:szCs w:val="16"/>
                <w:lang w:eastAsia="hr-HR"/>
              </w:rPr>
              <w:t>0,00</w:t>
            </w:r>
          </w:p>
        </w:tc>
        <w:tc>
          <w:tcPr>
            <w:tcW w:w="1003" w:type="dxa"/>
            <w:tcBorders>
              <w:top w:val="nil"/>
              <w:left w:val="nil"/>
              <w:bottom w:val="single" w:sz="4" w:space="0" w:color="auto"/>
              <w:right w:val="single" w:sz="4" w:space="0" w:color="auto"/>
            </w:tcBorders>
            <w:hideMark/>
          </w:tcPr>
          <w:p w14:paraId="07C83C02" w14:textId="77777777" w:rsidR="00D468B1" w:rsidRPr="00D468B1" w:rsidRDefault="00D468B1" w:rsidP="00D468B1">
            <w:pPr>
              <w:spacing w:after="0" w:line="240" w:lineRule="auto"/>
              <w:jc w:val="right"/>
              <w:rPr>
                <w:rFonts w:ascii="Arial" w:eastAsia="Times New Roman" w:hAnsi="Arial" w:cs="Arial"/>
                <w:b/>
                <w:bCs/>
                <w:color w:val="000000"/>
                <w:sz w:val="16"/>
                <w:szCs w:val="16"/>
                <w:lang w:eastAsia="hr-HR"/>
              </w:rPr>
            </w:pPr>
            <w:r w:rsidRPr="00D468B1">
              <w:rPr>
                <w:rFonts w:ascii="Arial" w:eastAsia="Times New Roman" w:hAnsi="Arial" w:cs="Arial"/>
                <w:b/>
                <w:bCs/>
                <w:color w:val="000000"/>
                <w:sz w:val="16"/>
                <w:szCs w:val="16"/>
                <w:lang w:eastAsia="hr-HR"/>
              </w:rPr>
              <w:t>650.289,75</w:t>
            </w:r>
          </w:p>
        </w:tc>
        <w:tc>
          <w:tcPr>
            <w:tcW w:w="881" w:type="dxa"/>
            <w:tcBorders>
              <w:top w:val="nil"/>
              <w:left w:val="nil"/>
              <w:bottom w:val="single" w:sz="4" w:space="0" w:color="auto"/>
              <w:right w:val="single" w:sz="4" w:space="0" w:color="auto"/>
            </w:tcBorders>
            <w:hideMark/>
          </w:tcPr>
          <w:p w14:paraId="27B2BEA4" w14:textId="77777777" w:rsidR="00D468B1" w:rsidRPr="00D468B1" w:rsidRDefault="00D468B1" w:rsidP="00D468B1">
            <w:pPr>
              <w:spacing w:after="0" w:line="240" w:lineRule="auto"/>
              <w:jc w:val="right"/>
              <w:rPr>
                <w:rFonts w:ascii="Arial" w:eastAsia="Times New Roman" w:hAnsi="Arial" w:cs="Arial"/>
                <w:b/>
                <w:bCs/>
                <w:color w:val="000000"/>
                <w:sz w:val="16"/>
                <w:szCs w:val="16"/>
                <w:lang w:eastAsia="hr-HR"/>
              </w:rPr>
            </w:pPr>
            <w:r w:rsidRPr="00D468B1">
              <w:rPr>
                <w:rFonts w:ascii="Arial" w:eastAsia="Times New Roman" w:hAnsi="Arial" w:cs="Arial"/>
                <w:b/>
                <w:bCs/>
                <w:color w:val="000000"/>
                <w:sz w:val="16"/>
                <w:szCs w:val="16"/>
                <w:lang w:eastAsia="hr-HR"/>
              </w:rPr>
              <w:t>0,00</w:t>
            </w:r>
          </w:p>
        </w:tc>
        <w:tc>
          <w:tcPr>
            <w:tcW w:w="900" w:type="dxa"/>
            <w:tcBorders>
              <w:top w:val="nil"/>
              <w:left w:val="nil"/>
              <w:bottom w:val="single" w:sz="4" w:space="0" w:color="auto"/>
              <w:right w:val="nil"/>
            </w:tcBorders>
            <w:hideMark/>
          </w:tcPr>
          <w:p w14:paraId="0F486FF9" w14:textId="77777777" w:rsidR="00D468B1" w:rsidRPr="00D468B1" w:rsidRDefault="00D468B1" w:rsidP="00D468B1">
            <w:pPr>
              <w:spacing w:after="0" w:line="240" w:lineRule="auto"/>
              <w:jc w:val="right"/>
              <w:rPr>
                <w:rFonts w:ascii="Arial" w:eastAsia="Times New Roman" w:hAnsi="Arial" w:cs="Arial"/>
                <w:b/>
                <w:bCs/>
                <w:color w:val="000000"/>
                <w:sz w:val="16"/>
                <w:szCs w:val="16"/>
                <w:lang w:eastAsia="hr-HR"/>
              </w:rPr>
            </w:pPr>
            <w:r w:rsidRPr="00D468B1">
              <w:rPr>
                <w:rFonts w:ascii="Arial" w:eastAsia="Times New Roman" w:hAnsi="Arial" w:cs="Arial"/>
                <w:b/>
                <w:bCs/>
                <w:color w:val="000000"/>
                <w:sz w:val="16"/>
                <w:szCs w:val="16"/>
                <w:lang w:eastAsia="hr-HR"/>
              </w:rPr>
              <w:t>650.289,75</w:t>
            </w:r>
          </w:p>
        </w:tc>
        <w:tc>
          <w:tcPr>
            <w:tcW w:w="1071" w:type="dxa"/>
            <w:tcBorders>
              <w:top w:val="nil"/>
              <w:left w:val="single" w:sz="4" w:space="0" w:color="auto"/>
              <w:bottom w:val="single" w:sz="4" w:space="0" w:color="auto"/>
              <w:right w:val="single" w:sz="4" w:space="0" w:color="auto"/>
            </w:tcBorders>
            <w:hideMark/>
          </w:tcPr>
          <w:p w14:paraId="68FC677D" w14:textId="77777777" w:rsidR="00D468B1" w:rsidRPr="00D468B1" w:rsidRDefault="00D468B1" w:rsidP="00D468B1">
            <w:pPr>
              <w:spacing w:after="0" w:line="240" w:lineRule="auto"/>
              <w:jc w:val="right"/>
              <w:rPr>
                <w:rFonts w:ascii="Arial" w:eastAsia="Times New Roman" w:hAnsi="Arial" w:cs="Arial"/>
                <w:b/>
                <w:bCs/>
                <w:color w:val="000000"/>
                <w:sz w:val="16"/>
                <w:szCs w:val="16"/>
                <w:lang w:eastAsia="hr-HR"/>
              </w:rPr>
            </w:pPr>
            <w:r w:rsidRPr="00D468B1">
              <w:rPr>
                <w:rFonts w:ascii="Arial" w:eastAsia="Times New Roman" w:hAnsi="Arial" w:cs="Arial"/>
                <w:b/>
                <w:bCs/>
                <w:color w:val="000000"/>
                <w:sz w:val="16"/>
                <w:szCs w:val="16"/>
                <w:lang w:eastAsia="hr-HR"/>
              </w:rPr>
              <w:t>842.190,19</w:t>
            </w:r>
          </w:p>
        </w:tc>
        <w:tc>
          <w:tcPr>
            <w:tcW w:w="908" w:type="dxa"/>
            <w:tcBorders>
              <w:top w:val="nil"/>
              <w:left w:val="nil"/>
              <w:bottom w:val="single" w:sz="4" w:space="0" w:color="auto"/>
              <w:right w:val="single" w:sz="4" w:space="0" w:color="auto"/>
            </w:tcBorders>
            <w:noWrap/>
            <w:hideMark/>
          </w:tcPr>
          <w:p w14:paraId="361B23EA" w14:textId="77777777" w:rsidR="00D468B1" w:rsidRPr="00D468B1" w:rsidRDefault="00D468B1" w:rsidP="00D468B1">
            <w:pPr>
              <w:spacing w:after="0" w:line="240" w:lineRule="auto"/>
              <w:jc w:val="right"/>
              <w:rPr>
                <w:rFonts w:ascii="Arial" w:eastAsia="Times New Roman" w:hAnsi="Arial" w:cs="Arial"/>
                <w:b/>
                <w:bCs/>
                <w:sz w:val="16"/>
                <w:szCs w:val="16"/>
                <w:lang w:eastAsia="hr-HR"/>
              </w:rPr>
            </w:pPr>
            <w:r w:rsidRPr="00D468B1">
              <w:rPr>
                <w:rFonts w:ascii="Arial" w:eastAsia="Times New Roman" w:hAnsi="Arial" w:cs="Arial"/>
                <w:b/>
                <w:bCs/>
                <w:sz w:val="16"/>
                <w:szCs w:val="16"/>
                <w:lang w:eastAsia="hr-HR"/>
              </w:rPr>
              <w:t>190.085,09</w:t>
            </w:r>
          </w:p>
        </w:tc>
      </w:tr>
    </w:tbl>
    <w:p w14:paraId="7E1E9DF8" w14:textId="77777777" w:rsidR="00DD20C6" w:rsidRDefault="00DD20C6" w:rsidP="00820F2B">
      <w:pPr>
        <w:jc w:val="both"/>
        <w:rPr>
          <w:rFonts w:cstheme="minorHAnsi"/>
          <w:sz w:val="24"/>
          <w:szCs w:val="24"/>
        </w:rPr>
      </w:pPr>
    </w:p>
    <w:p w14:paraId="4F9BD2A4" w14:textId="66DCCF47" w:rsidR="00A97CF5" w:rsidRPr="00101594" w:rsidRDefault="00820F2B" w:rsidP="00A97CF5">
      <w:pPr>
        <w:jc w:val="both"/>
        <w:rPr>
          <w:rFonts w:cstheme="minorHAnsi"/>
          <w:sz w:val="24"/>
          <w:szCs w:val="24"/>
        </w:rPr>
      </w:pPr>
      <w:r w:rsidRPr="00206F30">
        <w:rPr>
          <w:rFonts w:cstheme="minorHAnsi"/>
          <w:sz w:val="24"/>
          <w:szCs w:val="24"/>
        </w:rPr>
        <w:t xml:space="preserve">Stanje </w:t>
      </w:r>
      <w:r>
        <w:rPr>
          <w:rFonts w:cstheme="minorHAnsi"/>
          <w:sz w:val="24"/>
          <w:szCs w:val="24"/>
        </w:rPr>
        <w:t>ukupnih nenaplaćenih potraživanja Grada i proračunskih korisnika za prihode poslovanja na dan 31.12.202</w:t>
      </w:r>
      <w:r w:rsidR="00D033FB">
        <w:rPr>
          <w:rFonts w:cstheme="minorHAnsi"/>
          <w:sz w:val="24"/>
          <w:szCs w:val="24"/>
        </w:rPr>
        <w:t>5</w:t>
      </w:r>
      <w:r>
        <w:rPr>
          <w:rFonts w:cstheme="minorHAnsi"/>
          <w:sz w:val="24"/>
          <w:szCs w:val="24"/>
        </w:rPr>
        <w:t xml:space="preserve">. godine iznosi </w:t>
      </w:r>
      <w:r w:rsidR="00952CFF">
        <w:rPr>
          <w:rFonts w:cstheme="minorHAnsi"/>
          <w:sz w:val="24"/>
          <w:szCs w:val="24"/>
        </w:rPr>
        <w:t>2.266.025,55</w:t>
      </w:r>
      <w:r w:rsidR="009724CF">
        <w:rPr>
          <w:rFonts w:cstheme="minorHAnsi"/>
          <w:sz w:val="24"/>
          <w:szCs w:val="24"/>
        </w:rPr>
        <w:t xml:space="preserve"> </w:t>
      </w:r>
      <w:r>
        <w:rPr>
          <w:rFonts w:cstheme="minorHAnsi"/>
          <w:sz w:val="24"/>
          <w:szCs w:val="24"/>
        </w:rPr>
        <w:t>eura.</w:t>
      </w:r>
      <w:r w:rsidR="00B110DA">
        <w:rPr>
          <w:rFonts w:cstheme="minorHAnsi"/>
          <w:sz w:val="24"/>
          <w:szCs w:val="24"/>
        </w:rPr>
        <w:t xml:space="preserve"> </w:t>
      </w:r>
      <w:r>
        <w:rPr>
          <w:rFonts w:cstheme="minorHAnsi"/>
          <w:sz w:val="24"/>
          <w:szCs w:val="24"/>
        </w:rPr>
        <w:t>U odnosu na 31.12.202</w:t>
      </w:r>
      <w:r w:rsidR="00952CFF">
        <w:rPr>
          <w:rFonts w:cstheme="minorHAnsi"/>
          <w:sz w:val="24"/>
          <w:szCs w:val="24"/>
        </w:rPr>
        <w:t>4</w:t>
      </w:r>
      <w:r>
        <w:rPr>
          <w:rFonts w:cstheme="minorHAnsi"/>
          <w:sz w:val="24"/>
          <w:szCs w:val="24"/>
        </w:rPr>
        <w:t xml:space="preserve">.godine ukupna potraživanja Grada i proračunskih korisnika za skupine računskog plana 16 ostvarena su </w:t>
      </w:r>
      <w:r w:rsidR="00952CFF">
        <w:rPr>
          <w:rFonts w:cstheme="minorHAnsi"/>
          <w:sz w:val="24"/>
          <w:szCs w:val="24"/>
        </w:rPr>
        <w:t>za 43,7% više</w:t>
      </w:r>
      <w:r w:rsidR="00136A2C">
        <w:rPr>
          <w:rFonts w:cstheme="minorHAnsi"/>
          <w:sz w:val="24"/>
          <w:szCs w:val="24"/>
        </w:rPr>
        <w:t>.</w:t>
      </w:r>
      <w:r w:rsidR="00A97CF5" w:rsidRPr="00A97CF5">
        <w:rPr>
          <w:rFonts w:cstheme="minorHAnsi"/>
          <w:sz w:val="24"/>
          <w:szCs w:val="24"/>
        </w:rPr>
        <w:t xml:space="preserve"> </w:t>
      </w:r>
      <w:r w:rsidR="00A97CF5" w:rsidRPr="00101594">
        <w:rPr>
          <w:rFonts w:cstheme="minorHAnsi"/>
          <w:sz w:val="24"/>
          <w:szCs w:val="24"/>
        </w:rPr>
        <w:t>Podaci uključuju iznos umanjenja za proveden ispravak vrijednosti potraživanja.</w:t>
      </w:r>
    </w:p>
    <w:p w14:paraId="58CADA47" w14:textId="3018B804" w:rsidR="00ED0384" w:rsidRPr="00ED0384" w:rsidRDefault="00A42D79" w:rsidP="00ED0384">
      <w:pPr>
        <w:jc w:val="both"/>
        <w:rPr>
          <w:sz w:val="24"/>
          <w:szCs w:val="24"/>
        </w:rPr>
      </w:pPr>
      <w:r w:rsidRPr="00A42D79">
        <w:rPr>
          <w:color w:val="000000"/>
          <w:sz w:val="24"/>
          <w:szCs w:val="24"/>
        </w:rPr>
        <w:t>Stanje potraživanja za prihode poslovanja dospjele za Grad</w:t>
      </w:r>
      <w:r w:rsidR="00ED0384">
        <w:rPr>
          <w:color w:val="000000"/>
          <w:sz w:val="24"/>
          <w:szCs w:val="24"/>
        </w:rPr>
        <w:t xml:space="preserve"> iznosi 2.857.280,22 eura i</w:t>
      </w:r>
      <w:r w:rsidRPr="00A42D79">
        <w:rPr>
          <w:color w:val="000000"/>
          <w:sz w:val="24"/>
          <w:szCs w:val="24"/>
        </w:rPr>
        <w:t xml:space="preserve"> bilježi </w:t>
      </w:r>
      <w:r w:rsidR="00952CFF">
        <w:rPr>
          <w:color w:val="000000"/>
          <w:sz w:val="24"/>
          <w:szCs w:val="24"/>
        </w:rPr>
        <w:t>povećanje</w:t>
      </w:r>
      <w:r w:rsidRPr="00A42D79">
        <w:rPr>
          <w:color w:val="000000"/>
          <w:sz w:val="24"/>
          <w:szCs w:val="24"/>
        </w:rPr>
        <w:t xml:space="preserve"> od </w:t>
      </w:r>
      <w:r w:rsidR="00952CFF">
        <w:rPr>
          <w:color w:val="000000"/>
          <w:sz w:val="24"/>
          <w:szCs w:val="24"/>
        </w:rPr>
        <w:t>32,8</w:t>
      </w:r>
      <w:r w:rsidRPr="00A42D79">
        <w:rPr>
          <w:color w:val="000000"/>
          <w:sz w:val="24"/>
          <w:szCs w:val="24"/>
        </w:rPr>
        <w:t xml:space="preserve">%, </w:t>
      </w:r>
      <w:r w:rsidR="00ED0384">
        <w:rPr>
          <w:color w:val="000000"/>
          <w:sz w:val="24"/>
          <w:szCs w:val="24"/>
        </w:rPr>
        <w:t xml:space="preserve">odnosno 705.188,48 eura više, </w:t>
      </w:r>
      <w:r w:rsidRPr="00A42D79">
        <w:rPr>
          <w:color w:val="000000"/>
          <w:sz w:val="24"/>
          <w:szCs w:val="24"/>
        </w:rPr>
        <w:t xml:space="preserve">a </w:t>
      </w:r>
      <w:r w:rsidRPr="00A42D79">
        <w:rPr>
          <w:rFonts w:eastAsia="Times New Roman"/>
          <w:color w:val="000000"/>
          <w:sz w:val="24"/>
          <w:szCs w:val="24"/>
          <w:lang w:eastAsia="hr-HR"/>
        </w:rPr>
        <w:t xml:space="preserve">na koje je najznačajnije utjecala provedba </w:t>
      </w:r>
      <w:r w:rsidR="00ED0384" w:rsidRPr="00ED0384">
        <w:rPr>
          <w:sz w:val="24"/>
          <w:szCs w:val="24"/>
        </w:rPr>
        <w:t>novog načina evidencije od 527.128,93 eura sukladno pravilima iz Pravilnika o korištenju sredstava Europske unije i Upute Ministarstva financija da Potraživanja i obračunati prihodi za pomoći od EU trebaju odgovarati podnesenim zahtjevima za nadoknadom sredstava, ali i sukladno novom pravilu evidentiranja pomoći od općih subjekata (pomoći od županijskog i drugih proračuna)</w:t>
      </w:r>
      <w:r w:rsidR="00ED0384">
        <w:rPr>
          <w:sz w:val="24"/>
          <w:szCs w:val="24"/>
        </w:rPr>
        <w:t>.</w:t>
      </w:r>
    </w:p>
    <w:p w14:paraId="0B3E9C39" w14:textId="78799A23" w:rsidR="00820F2B" w:rsidRDefault="00820F2B" w:rsidP="00820F2B">
      <w:pPr>
        <w:jc w:val="both"/>
        <w:rPr>
          <w:rFonts w:cstheme="minorHAnsi"/>
          <w:sz w:val="24"/>
          <w:szCs w:val="24"/>
        </w:rPr>
      </w:pPr>
      <w:r>
        <w:rPr>
          <w:rFonts w:cstheme="minorHAnsi"/>
          <w:sz w:val="24"/>
          <w:szCs w:val="24"/>
        </w:rPr>
        <w:t xml:space="preserve">Dospjela potraživanja Grada za skupinu 16 iznose </w:t>
      </w:r>
      <w:r w:rsidR="00952CFF">
        <w:rPr>
          <w:rFonts w:cstheme="minorHAnsi"/>
          <w:sz w:val="24"/>
          <w:szCs w:val="24"/>
        </w:rPr>
        <w:t>2.857.280,22</w:t>
      </w:r>
      <w:r>
        <w:rPr>
          <w:rFonts w:cstheme="minorHAnsi"/>
          <w:sz w:val="24"/>
          <w:szCs w:val="24"/>
        </w:rPr>
        <w:t xml:space="preserve"> eura što je </w:t>
      </w:r>
      <w:r w:rsidR="00952CFF">
        <w:rPr>
          <w:rFonts w:cstheme="minorHAnsi"/>
          <w:sz w:val="24"/>
          <w:szCs w:val="24"/>
        </w:rPr>
        <w:t>32,8</w:t>
      </w:r>
      <w:r>
        <w:rPr>
          <w:rFonts w:cstheme="minorHAnsi"/>
          <w:sz w:val="24"/>
          <w:szCs w:val="24"/>
        </w:rPr>
        <w:t xml:space="preserve">% </w:t>
      </w:r>
      <w:r w:rsidR="00952CFF">
        <w:rPr>
          <w:rFonts w:cstheme="minorHAnsi"/>
          <w:sz w:val="24"/>
          <w:szCs w:val="24"/>
        </w:rPr>
        <w:t>više</w:t>
      </w:r>
      <w:r>
        <w:rPr>
          <w:rFonts w:cstheme="minorHAnsi"/>
          <w:sz w:val="24"/>
          <w:szCs w:val="24"/>
        </w:rPr>
        <w:t xml:space="preserve"> u odnosu na 202</w:t>
      </w:r>
      <w:r w:rsidR="00952CFF">
        <w:rPr>
          <w:rFonts w:cstheme="minorHAnsi"/>
          <w:sz w:val="24"/>
          <w:szCs w:val="24"/>
        </w:rPr>
        <w:t>4</w:t>
      </w:r>
      <w:r>
        <w:rPr>
          <w:rFonts w:cstheme="minorHAnsi"/>
          <w:sz w:val="24"/>
          <w:szCs w:val="24"/>
        </w:rPr>
        <w:t xml:space="preserve">. godinu, nedospjela iznose </w:t>
      </w:r>
      <w:r w:rsidR="00952CFF">
        <w:rPr>
          <w:rFonts w:cstheme="minorHAnsi"/>
          <w:sz w:val="24"/>
          <w:szCs w:val="24"/>
        </w:rPr>
        <w:t>474.097,68</w:t>
      </w:r>
      <w:r>
        <w:rPr>
          <w:rFonts w:cstheme="minorHAnsi"/>
          <w:sz w:val="24"/>
          <w:szCs w:val="24"/>
        </w:rPr>
        <w:t xml:space="preserve"> eura. Podaci ne uključuju iznos umanjenja za proveden ispravak vrijednosti potraživanja.</w:t>
      </w:r>
    </w:p>
    <w:p w14:paraId="2981D847" w14:textId="4099352C" w:rsidR="00A42D79" w:rsidRPr="00A42D79" w:rsidRDefault="005C47E6" w:rsidP="00A42D79">
      <w:pPr>
        <w:jc w:val="both"/>
        <w:rPr>
          <w:sz w:val="24"/>
          <w:szCs w:val="24"/>
        </w:rPr>
      </w:pPr>
      <w:r w:rsidRPr="001415AD">
        <w:rPr>
          <w:rFonts w:cstheme="minorHAnsi"/>
          <w:sz w:val="24"/>
          <w:szCs w:val="24"/>
        </w:rPr>
        <w:t>Stanje ukupnih nenaplaćenih potraživanja Grada i proračunskih korisnika od prodaje nefinancijske imovine na dan 31.12.202</w:t>
      </w:r>
      <w:r w:rsidR="00952CFF">
        <w:rPr>
          <w:rFonts w:cstheme="minorHAnsi"/>
          <w:sz w:val="24"/>
          <w:szCs w:val="24"/>
        </w:rPr>
        <w:t>5</w:t>
      </w:r>
      <w:r w:rsidRPr="001415AD">
        <w:rPr>
          <w:rFonts w:cstheme="minorHAnsi"/>
          <w:sz w:val="24"/>
          <w:szCs w:val="24"/>
        </w:rPr>
        <w:t xml:space="preserve">. godine iznosi </w:t>
      </w:r>
      <w:r w:rsidR="00952CFF">
        <w:rPr>
          <w:rFonts w:cstheme="minorHAnsi"/>
          <w:sz w:val="24"/>
          <w:szCs w:val="24"/>
        </w:rPr>
        <w:t>30.118,87</w:t>
      </w:r>
      <w:r w:rsidRPr="001415AD">
        <w:rPr>
          <w:rFonts w:cstheme="minorHAnsi"/>
          <w:sz w:val="24"/>
          <w:szCs w:val="24"/>
        </w:rPr>
        <w:t xml:space="preserve"> eura</w:t>
      </w:r>
      <w:r>
        <w:rPr>
          <w:rFonts w:cstheme="minorHAnsi"/>
          <w:sz w:val="24"/>
          <w:szCs w:val="24"/>
        </w:rPr>
        <w:t xml:space="preserve"> od kojeg iznosa je </w:t>
      </w:r>
      <w:r w:rsidR="00952CFF">
        <w:rPr>
          <w:rFonts w:cstheme="minorHAnsi"/>
          <w:sz w:val="24"/>
          <w:szCs w:val="24"/>
        </w:rPr>
        <w:t>26.789,87</w:t>
      </w:r>
      <w:r>
        <w:rPr>
          <w:rFonts w:cstheme="minorHAnsi"/>
          <w:sz w:val="24"/>
          <w:szCs w:val="24"/>
        </w:rPr>
        <w:t xml:space="preserve"> eura nedospjelo</w:t>
      </w:r>
      <w:r w:rsidRPr="001415AD">
        <w:rPr>
          <w:rFonts w:cstheme="minorHAnsi"/>
          <w:sz w:val="24"/>
          <w:szCs w:val="24"/>
        </w:rPr>
        <w:t>. U odnosu na 31.12.202</w:t>
      </w:r>
      <w:r w:rsidR="00952CFF">
        <w:rPr>
          <w:rFonts w:cstheme="minorHAnsi"/>
          <w:sz w:val="24"/>
          <w:szCs w:val="24"/>
        </w:rPr>
        <w:t>4</w:t>
      </w:r>
      <w:r w:rsidRPr="001415AD">
        <w:rPr>
          <w:rFonts w:cstheme="minorHAnsi"/>
          <w:sz w:val="24"/>
          <w:szCs w:val="24"/>
        </w:rPr>
        <w:t xml:space="preserve">.godine ukupna potraživanja Grada i proračunskih korisnika za skupine računskog plana 17 ostvarena su u iznosu od </w:t>
      </w:r>
      <w:r w:rsidR="00952CFF">
        <w:rPr>
          <w:rFonts w:cstheme="minorHAnsi"/>
          <w:sz w:val="24"/>
          <w:szCs w:val="24"/>
        </w:rPr>
        <w:t>6</w:t>
      </w:r>
      <w:r w:rsidRPr="001415AD">
        <w:rPr>
          <w:rFonts w:cstheme="minorHAnsi"/>
          <w:sz w:val="24"/>
          <w:szCs w:val="24"/>
        </w:rPr>
        <w:t xml:space="preserve">% manje. Odnose se </w:t>
      </w:r>
      <w:r w:rsidRPr="001415AD">
        <w:rPr>
          <w:color w:val="FF0000"/>
          <w:sz w:val="24"/>
          <w:szCs w:val="24"/>
        </w:rPr>
        <w:t xml:space="preserve"> </w:t>
      </w:r>
      <w:r w:rsidRPr="001415AD">
        <w:rPr>
          <w:color w:val="000000" w:themeColor="text1"/>
          <w:sz w:val="24"/>
          <w:szCs w:val="24"/>
        </w:rPr>
        <w:t xml:space="preserve">uglavnom na nedospjele rate za kupnju društvenih stanova koji se otkupljuju od strane građana sukladno Zakonu o prodaji stanova na kojima postoji stanarsko </w:t>
      </w:r>
      <w:r w:rsidRPr="001415AD">
        <w:rPr>
          <w:sz w:val="24"/>
          <w:szCs w:val="24"/>
        </w:rPr>
        <w:t>pravo i od čije uplate 55 % pripada državnom proračunu dok od ostalih 45 % Gradu Trogiru pripada 59 %.</w:t>
      </w:r>
    </w:p>
    <w:p w14:paraId="7E1C9967" w14:textId="77777777" w:rsidR="00C11181" w:rsidRDefault="00C11181" w:rsidP="00C11181">
      <w:pPr>
        <w:jc w:val="both"/>
      </w:pPr>
      <w:r w:rsidRPr="00C11181">
        <w:rPr>
          <w:sz w:val="24"/>
          <w:szCs w:val="24"/>
        </w:rPr>
        <w:t>Ispravak vrijednosti potraživanja bilježi ostvarenje od 1.083.858,89 eura što je 2,1% manje u odnosu na lani,  a na koje smanjenje je utjecalo podmirenje dospjelih dugovanja te otpis dospjelih potraživanja za koje je izvršen ispravak vrijednosti potraživanja u prethodnom izvještajnom razdoblju.</w:t>
      </w:r>
      <w:r w:rsidRPr="00C11181">
        <w:t xml:space="preserve"> </w:t>
      </w:r>
    </w:p>
    <w:p w14:paraId="20533EF0" w14:textId="5290B5B2" w:rsidR="00C11181" w:rsidRDefault="00C11181" w:rsidP="00C11181">
      <w:pPr>
        <w:jc w:val="both"/>
        <w:rPr>
          <w:sz w:val="24"/>
          <w:szCs w:val="24"/>
        </w:rPr>
      </w:pPr>
      <w:r w:rsidRPr="00C11181">
        <w:rPr>
          <w:sz w:val="24"/>
          <w:szCs w:val="24"/>
        </w:rPr>
        <w:t>U ovom izvještajnom razdoblju je</w:t>
      </w:r>
      <w:r>
        <w:rPr>
          <w:sz w:val="24"/>
          <w:szCs w:val="24"/>
        </w:rPr>
        <w:t xml:space="preserve"> u</w:t>
      </w:r>
      <w:r w:rsidRPr="00C11181">
        <w:rPr>
          <w:sz w:val="24"/>
          <w:szCs w:val="24"/>
        </w:rPr>
        <w:t xml:space="preserve"> iznosu od 100 % proveden ispravak vrijednosti potraživanja za dug stariji od 2 godine za gradske naknade dok je za  gradske poreze proveden ispravak u iznosu od 100% za dug stariji od 3 godine, a temeljem podataka dostav</w:t>
      </w:r>
      <w:r>
        <w:rPr>
          <w:sz w:val="24"/>
          <w:szCs w:val="24"/>
        </w:rPr>
        <w:t>l</w:t>
      </w:r>
      <w:r w:rsidRPr="00C11181">
        <w:rPr>
          <w:sz w:val="24"/>
          <w:szCs w:val="24"/>
        </w:rPr>
        <w:t>jenih od strane PU o starosti duga o gradskim porezima o kojima sukladno Odluci brigu i evidenciju vodi Porezna uprava ( Porezna uprava se očitovala da ne raspolaže izvještajima o potraživanjima za dug od 1-2 godine i iznad 2 godine s dodatnim obrazloženjem da su u procesu provedbe projekta digitalizacije)</w:t>
      </w:r>
      <w:r>
        <w:rPr>
          <w:sz w:val="24"/>
          <w:szCs w:val="24"/>
        </w:rPr>
        <w:t>.</w:t>
      </w:r>
    </w:p>
    <w:p w14:paraId="25FAA543" w14:textId="26FFE23D" w:rsidR="00C11181" w:rsidRPr="008B7A0C" w:rsidRDefault="00285345" w:rsidP="008B7A0C">
      <w:pPr>
        <w:jc w:val="both"/>
        <w:rPr>
          <w:rFonts w:eastAsia="Times New Roman"/>
          <w:color w:val="000000"/>
          <w:sz w:val="24"/>
          <w:szCs w:val="24"/>
          <w:lang w:eastAsia="hr-HR"/>
        </w:rPr>
      </w:pPr>
      <w:r w:rsidRPr="00BF36A9">
        <w:rPr>
          <w:rFonts w:eastAsia="Times New Roman"/>
          <w:b/>
          <w:bCs/>
          <w:color w:val="000000"/>
          <w:sz w:val="24"/>
          <w:szCs w:val="24"/>
          <w:lang w:eastAsia="hr-HR"/>
        </w:rPr>
        <w:t xml:space="preserve">Tablica </w:t>
      </w:r>
      <w:r>
        <w:rPr>
          <w:rFonts w:eastAsia="Times New Roman"/>
          <w:b/>
          <w:bCs/>
          <w:color w:val="000000"/>
          <w:sz w:val="24"/>
          <w:szCs w:val="24"/>
          <w:lang w:eastAsia="hr-HR"/>
        </w:rPr>
        <w:t>1</w:t>
      </w:r>
      <w:r w:rsidR="005F5D64">
        <w:rPr>
          <w:rFonts w:eastAsia="Times New Roman"/>
          <w:b/>
          <w:bCs/>
          <w:color w:val="000000"/>
          <w:sz w:val="24"/>
          <w:szCs w:val="24"/>
          <w:lang w:eastAsia="hr-HR"/>
        </w:rPr>
        <w:t>4</w:t>
      </w:r>
      <w:r w:rsidRPr="00BF36A9">
        <w:rPr>
          <w:rFonts w:eastAsia="Times New Roman"/>
          <w:color w:val="000000"/>
          <w:sz w:val="24"/>
          <w:szCs w:val="24"/>
          <w:lang w:eastAsia="hr-HR"/>
        </w:rPr>
        <w:t>. Ispravak vrijednosti potraživanja stanje na dan 31.12.202</w:t>
      </w:r>
      <w:r>
        <w:rPr>
          <w:rFonts w:eastAsia="Times New Roman"/>
          <w:color w:val="000000"/>
          <w:sz w:val="24"/>
          <w:szCs w:val="24"/>
          <w:lang w:eastAsia="hr-HR"/>
        </w:rPr>
        <w:t>5.</w:t>
      </w:r>
      <w:r w:rsidR="00D86B71">
        <w:rPr>
          <w:rFonts w:eastAsia="Times New Roman"/>
          <w:color w:val="000000"/>
          <w:sz w:val="24"/>
          <w:szCs w:val="24"/>
          <w:lang w:eastAsia="hr-HR"/>
        </w:rPr>
        <w:t>(Grad Trogir)</w:t>
      </w:r>
    </w:p>
    <w:tbl>
      <w:tblPr>
        <w:tblpPr w:leftFromText="180" w:rightFromText="180" w:horzAnchor="margin" w:tblpXSpec="center" w:tblpY="285"/>
        <w:tblW w:w="10055" w:type="dxa"/>
        <w:tblLook w:val="04A0" w:firstRow="1" w:lastRow="0" w:firstColumn="1" w:lastColumn="0" w:noHBand="0" w:noVBand="1"/>
      </w:tblPr>
      <w:tblGrid>
        <w:gridCol w:w="1840"/>
        <w:gridCol w:w="5246"/>
        <w:gridCol w:w="1480"/>
        <w:gridCol w:w="1489"/>
      </w:tblGrid>
      <w:tr w:rsidR="00C11181" w:rsidRPr="00BF0367" w14:paraId="48991FF5" w14:textId="77777777" w:rsidTr="00C11181">
        <w:trPr>
          <w:trHeight w:val="300"/>
        </w:trPr>
        <w:tc>
          <w:tcPr>
            <w:tcW w:w="1840" w:type="dxa"/>
            <w:vMerge w:val="restart"/>
            <w:tcBorders>
              <w:top w:val="single" w:sz="8" w:space="0" w:color="auto"/>
              <w:left w:val="single" w:sz="8" w:space="0" w:color="auto"/>
              <w:bottom w:val="single" w:sz="8" w:space="0" w:color="000000"/>
              <w:right w:val="single" w:sz="8" w:space="0" w:color="auto"/>
            </w:tcBorders>
            <w:noWrap/>
            <w:vAlign w:val="center"/>
            <w:hideMark/>
          </w:tcPr>
          <w:p w14:paraId="1BA2CB24" w14:textId="77777777" w:rsidR="00C11181" w:rsidRPr="00BF0367" w:rsidRDefault="00C11181" w:rsidP="00C11181">
            <w:pPr>
              <w:spacing w:after="0" w:line="240" w:lineRule="auto"/>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lastRenderedPageBreak/>
              <w:t> </w:t>
            </w:r>
          </w:p>
        </w:tc>
        <w:tc>
          <w:tcPr>
            <w:tcW w:w="5246" w:type="dxa"/>
            <w:vMerge w:val="restart"/>
            <w:tcBorders>
              <w:top w:val="single" w:sz="8" w:space="0" w:color="auto"/>
              <w:left w:val="single" w:sz="8" w:space="0" w:color="auto"/>
              <w:bottom w:val="single" w:sz="8" w:space="0" w:color="000000"/>
              <w:right w:val="single" w:sz="8" w:space="0" w:color="auto"/>
            </w:tcBorders>
            <w:noWrap/>
            <w:vAlign w:val="center"/>
            <w:hideMark/>
          </w:tcPr>
          <w:p w14:paraId="4F57E8B6" w14:textId="77777777" w:rsidR="00C11181" w:rsidRPr="00BF0367" w:rsidRDefault="00C11181" w:rsidP="00C11181">
            <w:pPr>
              <w:spacing w:after="0" w:line="240" w:lineRule="auto"/>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 </w:t>
            </w:r>
          </w:p>
        </w:tc>
        <w:tc>
          <w:tcPr>
            <w:tcW w:w="1480" w:type="dxa"/>
            <w:vMerge w:val="restart"/>
            <w:tcBorders>
              <w:top w:val="single" w:sz="8" w:space="0" w:color="auto"/>
              <w:left w:val="single" w:sz="8" w:space="0" w:color="auto"/>
              <w:bottom w:val="single" w:sz="8" w:space="0" w:color="000000"/>
              <w:right w:val="single" w:sz="8" w:space="0" w:color="auto"/>
            </w:tcBorders>
            <w:noWrap/>
            <w:vAlign w:val="center"/>
            <w:hideMark/>
          </w:tcPr>
          <w:p w14:paraId="7A8776A4" w14:textId="77777777" w:rsidR="00C11181" w:rsidRPr="00BF0367" w:rsidRDefault="00C11181" w:rsidP="00C11181">
            <w:pPr>
              <w:spacing w:after="0" w:line="240" w:lineRule="auto"/>
              <w:jc w:val="right"/>
              <w:rPr>
                <w:rFonts w:ascii="Calibri" w:eastAsia="Times New Roman" w:hAnsi="Calibri" w:cs="Calibri"/>
                <w:b/>
                <w:bCs/>
                <w:color w:val="000000"/>
                <w:sz w:val="20"/>
                <w:szCs w:val="20"/>
                <w:lang w:eastAsia="hr-HR"/>
              </w:rPr>
            </w:pPr>
            <w:r w:rsidRPr="00BF0367">
              <w:rPr>
                <w:rFonts w:ascii="Calibri" w:eastAsia="Times New Roman" w:hAnsi="Calibri" w:cs="Calibri"/>
                <w:b/>
                <w:bCs/>
                <w:color w:val="000000"/>
                <w:sz w:val="20"/>
                <w:szCs w:val="20"/>
                <w:lang w:eastAsia="hr-HR"/>
              </w:rPr>
              <w:t>POČ.STANJE</w:t>
            </w:r>
          </w:p>
        </w:tc>
        <w:tc>
          <w:tcPr>
            <w:tcW w:w="1489" w:type="dxa"/>
            <w:tcBorders>
              <w:top w:val="single" w:sz="8" w:space="0" w:color="auto"/>
              <w:left w:val="nil"/>
              <w:bottom w:val="nil"/>
              <w:right w:val="single" w:sz="8" w:space="0" w:color="auto"/>
            </w:tcBorders>
            <w:noWrap/>
            <w:vAlign w:val="center"/>
            <w:hideMark/>
          </w:tcPr>
          <w:p w14:paraId="39DF5A54" w14:textId="77777777" w:rsidR="00C11181" w:rsidRPr="00BF0367" w:rsidRDefault="00C11181" w:rsidP="00C11181">
            <w:pPr>
              <w:spacing w:after="0" w:line="240" w:lineRule="auto"/>
              <w:jc w:val="right"/>
              <w:rPr>
                <w:rFonts w:ascii="Calibri" w:eastAsia="Times New Roman" w:hAnsi="Calibri" w:cs="Calibri"/>
                <w:b/>
                <w:bCs/>
                <w:color w:val="000000"/>
                <w:sz w:val="20"/>
                <w:szCs w:val="20"/>
                <w:lang w:eastAsia="hr-HR"/>
              </w:rPr>
            </w:pPr>
            <w:r w:rsidRPr="00BF0367">
              <w:rPr>
                <w:rFonts w:ascii="Calibri" w:eastAsia="Times New Roman" w:hAnsi="Calibri" w:cs="Calibri"/>
                <w:b/>
                <w:bCs/>
                <w:color w:val="000000"/>
                <w:sz w:val="20"/>
                <w:szCs w:val="20"/>
                <w:lang w:eastAsia="hr-HR"/>
              </w:rPr>
              <w:t>SALDO</w:t>
            </w:r>
          </w:p>
        </w:tc>
      </w:tr>
      <w:tr w:rsidR="00C11181" w:rsidRPr="00BF0367" w14:paraId="706D3A3E" w14:textId="77777777" w:rsidTr="00C11181">
        <w:trPr>
          <w:trHeight w:val="315"/>
        </w:trPr>
        <w:tc>
          <w:tcPr>
            <w:tcW w:w="1840" w:type="dxa"/>
            <w:vMerge/>
            <w:tcBorders>
              <w:top w:val="single" w:sz="8" w:space="0" w:color="auto"/>
              <w:left w:val="single" w:sz="8" w:space="0" w:color="auto"/>
              <w:bottom w:val="single" w:sz="8" w:space="0" w:color="000000"/>
              <w:right w:val="single" w:sz="8" w:space="0" w:color="auto"/>
            </w:tcBorders>
            <w:vAlign w:val="center"/>
            <w:hideMark/>
          </w:tcPr>
          <w:p w14:paraId="356BD2DF" w14:textId="77777777" w:rsidR="00C11181" w:rsidRPr="00BF0367" w:rsidRDefault="00C11181" w:rsidP="00C11181">
            <w:pPr>
              <w:spacing w:after="0" w:line="240" w:lineRule="auto"/>
              <w:rPr>
                <w:rFonts w:ascii="Calibri" w:eastAsia="Times New Roman" w:hAnsi="Calibri" w:cs="Calibri"/>
                <w:color w:val="000000"/>
                <w:sz w:val="20"/>
                <w:szCs w:val="20"/>
                <w:lang w:eastAsia="hr-HR"/>
              </w:rPr>
            </w:pPr>
          </w:p>
        </w:tc>
        <w:tc>
          <w:tcPr>
            <w:tcW w:w="5246" w:type="dxa"/>
            <w:vMerge/>
            <w:tcBorders>
              <w:top w:val="single" w:sz="8" w:space="0" w:color="auto"/>
              <w:left w:val="single" w:sz="8" w:space="0" w:color="auto"/>
              <w:bottom w:val="single" w:sz="8" w:space="0" w:color="000000"/>
              <w:right w:val="single" w:sz="8" w:space="0" w:color="auto"/>
            </w:tcBorders>
            <w:vAlign w:val="center"/>
            <w:hideMark/>
          </w:tcPr>
          <w:p w14:paraId="048578D3" w14:textId="77777777" w:rsidR="00C11181" w:rsidRPr="00BF0367" w:rsidRDefault="00C11181" w:rsidP="00C11181">
            <w:pPr>
              <w:spacing w:after="0" w:line="240" w:lineRule="auto"/>
              <w:rPr>
                <w:rFonts w:ascii="Calibri" w:eastAsia="Times New Roman" w:hAnsi="Calibri" w:cs="Calibri"/>
                <w:color w:val="000000"/>
                <w:sz w:val="20"/>
                <w:szCs w:val="20"/>
                <w:lang w:eastAsia="hr-HR"/>
              </w:rPr>
            </w:pPr>
          </w:p>
        </w:tc>
        <w:tc>
          <w:tcPr>
            <w:tcW w:w="1480" w:type="dxa"/>
            <w:vMerge/>
            <w:tcBorders>
              <w:top w:val="single" w:sz="8" w:space="0" w:color="auto"/>
              <w:left w:val="single" w:sz="8" w:space="0" w:color="auto"/>
              <w:bottom w:val="single" w:sz="8" w:space="0" w:color="000000"/>
              <w:right w:val="single" w:sz="8" w:space="0" w:color="auto"/>
            </w:tcBorders>
            <w:vAlign w:val="center"/>
            <w:hideMark/>
          </w:tcPr>
          <w:p w14:paraId="0F78F8E4" w14:textId="77777777" w:rsidR="00C11181" w:rsidRPr="00BF0367" w:rsidRDefault="00C11181" w:rsidP="00C11181">
            <w:pPr>
              <w:spacing w:after="0" w:line="240" w:lineRule="auto"/>
              <w:rPr>
                <w:rFonts w:ascii="Calibri" w:eastAsia="Times New Roman" w:hAnsi="Calibri" w:cs="Calibri"/>
                <w:b/>
                <w:bCs/>
                <w:color w:val="000000"/>
                <w:sz w:val="20"/>
                <w:szCs w:val="20"/>
                <w:lang w:eastAsia="hr-HR"/>
              </w:rPr>
            </w:pPr>
          </w:p>
        </w:tc>
        <w:tc>
          <w:tcPr>
            <w:tcW w:w="1489" w:type="dxa"/>
            <w:tcBorders>
              <w:top w:val="nil"/>
              <w:left w:val="nil"/>
              <w:bottom w:val="single" w:sz="8" w:space="0" w:color="auto"/>
              <w:right w:val="single" w:sz="8" w:space="0" w:color="auto"/>
            </w:tcBorders>
            <w:noWrap/>
            <w:vAlign w:val="center"/>
            <w:hideMark/>
          </w:tcPr>
          <w:p w14:paraId="2EF10C2F" w14:textId="77777777" w:rsidR="00C11181" w:rsidRPr="00BF0367" w:rsidRDefault="00C11181" w:rsidP="00C11181">
            <w:pPr>
              <w:spacing w:after="0" w:line="240" w:lineRule="auto"/>
              <w:jc w:val="right"/>
              <w:rPr>
                <w:rFonts w:ascii="Calibri" w:eastAsia="Times New Roman" w:hAnsi="Calibri" w:cs="Calibri"/>
                <w:b/>
                <w:bCs/>
                <w:color w:val="000000"/>
                <w:sz w:val="20"/>
                <w:szCs w:val="20"/>
                <w:lang w:eastAsia="hr-HR"/>
              </w:rPr>
            </w:pPr>
            <w:r w:rsidRPr="00BF0367">
              <w:rPr>
                <w:rFonts w:ascii="Calibri" w:eastAsia="Times New Roman" w:hAnsi="Calibri" w:cs="Calibri"/>
                <w:b/>
                <w:bCs/>
                <w:color w:val="000000"/>
                <w:sz w:val="20"/>
                <w:szCs w:val="20"/>
                <w:lang w:eastAsia="hr-HR"/>
              </w:rPr>
              <w:t>POTRAŽUJE</w:t>
            </w:r>
          </w:p>
        </w:tc>
      </w:tr>
      <w:tr w:rsidR="00C11181" w:rsidRPr="00BF0367" w14:paraId="0EF7F32C" w14:textId="77777777" w:rsidTr="00C11181">
        <w:trPr>
          <w:trHeight w:val="315"/>
        </w:trPr>
        <w:tc>
          <w:tcPr>
            <w:tcW w:w="1840" w:type="dxa"/>
            <w:tcBorders>
              <w:top w:val="nil"/>
              <w:left w:val="single" w:sz="8" w:space="0" w:color="auto"/>
              <w:bottom w:val="single" w:sz="8" w:space="0" w:color="auto"/>
              <w:right w:val="single" w:sz="8" w:space="0" w:color="auto"/>
            </w:tcBorders>
            <w:noWrap/>
            <w:vAlign w:val="center"/>
            <w:hideMark/>
          </w:tcPr>
          <w:p w14:paraId="29604E31" w14:textId="77777777" w:rsidR="00C11181" w:rsidRPr="00BF0367" w:rsidRDefault="00C11181" w:rsidP="00C11181">
            <w:pPr>
              <w:spacing w:after="0" w:line="240" w:lineRule="auto"/>
              <w:jc w:val="right"/>
              <w:rPr>
                <w:rFonts w:ascii="Calibri" w:eastAsia="Times New Roman" w:hAnsi="Calibri" w:cs="Calibri"/>
                <w:b/>
                <w:bCs/>
                <w:color w:val="000000"/>
                <w:sz w:val="20"/>
                <w:szCs w:val="20"/>
                <w:lang w:eastAsia="hr-HR"/>
              </w:rPr>
            </w:pPr>
            <w:r w:rsidRPr="00BF0367">
              <w:rPr>
                <w:rFonts w:ascii="Calibri" w:eastAsia="Times New Roman" w:hAnsi="Calibri" w:cs="Calibri"/>
                <w:b/>
                <w:bCs/>
                <w:color w:val="000000"/>
                <w:sz w:val="20"/>
                <w:szCs w:val="20"/>
                <w:lang w:eastAsia="hr-HR"/>
              </w:rPr>
              <w:t>169</w:t>
            </w:r>
          </w:p>
        </w:tc>
        <w:tc>
          <w:tcPr>
            <w:tcW w:w="5246" w:type="dxa"/>
            <w:tcBorders>
              <w:top w:val="nil"/>
              <w:left w:val="nil"/>
              <w:bottom w:val="single" w:sz="8" w:space="0" w:color="auto"/>
              <w:right w:val="single" w:sz="8" w:space="0" w:color="auto"/>
            </w:tcBorders>
            <w:noWrap/>
            <w:vAlign w:val="center"/>
            <w:hideMark/>
          </w:tcPr>
          <w:p w14:paraId="6EA47667" w14:textId="78A996A0" w:rsidR="00C11181" w:rsidRPr="00BF0367" w:rsidRDefault="00C11181" w:rsidP="00C11181">
            <w:pPr>
              <w:spacing w:after="0" w:line="240" w:lineRule="auto"/>
              <w:rPr>
                <w:rFonts w:ascii="Calibri" w:eastAsia="Times New Roman" w:hAnsi="Calibri" w:cs="Calibri"/>
                <w:b/>
                <w:bCs/>
                <w:color w:val="000000"/>
                <w:sz w:val="20"/>
                <w:szCs w:val="20"/>
                <w:lang w:eastAsia="hr-HR"/>
              </w:rPr>
            </w:pPr>
            <w:r w:rsidRPr="00BF0367">
              <w:rPr>
                <w:rFonts w:ascii="Calibri" w:eastAsia="Times New Roman" w:hAnsi="Calibri" w:cs="Calibri"/>
                <w:b/>
                <w:bCs/>
                <w:color w:val="000000"/>
                <w:sz w:val="20"/>
                <w:szCs w:val="20"/>
                <w:lang w:eastAsia="hr-HR"/>
              </w:rPr>
              <w:t>Ispravak vrijednosti potraživanja</w:t>
            </w:r>
          </w:p>
        </w:tc>
        <w:tc>
          <w:tcPr>
            <w:tcW w:w="1480" w:type="dxa"/>
            <w:tcBorders>
              <w:top w:val="nil"/>
              <w:left w:val="nil"/>
              <w:bottom w:val="single" w:sz="8" w:space="0" w:color="auto"/>
              <w:right w:val="single" w:sz="8" w:space="0" w:color="auto"/>
            </w:tcBorders>
            <w:noWrap/>
            <w:vAlign w:val="center"/>
            <w:hideMark/>
          </w:tcPr>
          <w:p w14:paraId="365F4DFF" w14:textId="77777777" w:rsidR="00C11181" w:rsidRPr="00BF0367" w:rsidRDefault="00C11181" w:rsidP="00C11181">
            <w:pPr>
              <w:spacing w:after="0" w:line="240" w:lineRule="auto"/>
              <w:jc w:val="right"/>
              <w:rPr>
                <w:rFonts w:ascii="Calibri" w:eastAsia="Times New Roman" w:hAnsi="Calibri" w:cs="Calibri"/>
                <w:b/>
                <w:bCs/>
                <w:color w:val="000000"/>
                <w:sz w:val="20"/>
                <w:szCs w:val="20"/>
                <w:lang w:eastAsia="hr-HR"/>
              </w:rPr>
            </w:pPr>
            <w:r w:rsidRPr="00BF0367">
              <w:rPr>
                <w:rFonts w:ascii="Calibri" w:eastAsia="Times New Roman" w:hAnsi="Calibri" w:cs="Calibri"/>
                <w:b/>
                <w:bCs/>
                <w:color w:val="000000"/>
                <w:sz w:val="20"/>
                <w:szCs w:val="20"/>
                <w:lang w:eastAsia="hr-HR"/>
              </w:rPr>
              <w:t>1.106.761,07 €</w:t>
            </w:r>
          </w:p>
        </w:tc>
        <w:tc>
          <w:tcPr>
            <w:tcW w:w="1489" w:type="dxa"/>
            <w:tcBorders>
              <w:top w:val="nil"/>
              <w:left w:val="nil"/>
              <w:bottom w:val="single" w:sz="8" w:space="0" w:color="auto"/>
              <w:right w:val="single" w:sz="8" w:space="0" w:color="auto"/>
            </w:tcBorders>
            <w:noWrap/>
            <w:vAlign w:val="center"/>
            <w:hideMark/>
          </w:tcPr>
          <w:p w14:paraId="013FFDCB" w14:textId="77777777" w:rsidR="00C11181" w:rsidRPr="00BF0367" w:rsidRDefault="00C11181" w:rsidP="00C11181">
            <w:pPr>
              <w:spacing w:after="0" w:line="240" w:lineRule="auto"/>
              <w:jc w:val="right"/>
              <w:rPr>
                <w:rFonts w:ascii="Calibri" w:eastAsia="Times New Roman" w:hAnsi="Calibri" w:cs="Calibri"/>
                <w:b/>
                <w:bCs/>
                <w:color w:val="000000"/>
                <w:sz w:val="20"/>
                <w:szCs w:val="20"/>
                <w:lang w:eastAsia="hr-HR"/>
              </w:rPr>
            </w:pPr>
            <w:r w:rsidRPr="00BF0367">
              <w:rPr>
                <w:rFonts w:ascii="Calibri" w:eastAsia="Times New Roman" w:hAnsi="Calibri" w:cs="Calibri"/>
                <w:b/>
                <w:bCs/>
                <w:color w:val="000000"/>
                <w:sz w:val="20"/>
                <w:szCs w:val="20"/>
                <w:lang w:eastAsia="hr-HR"/>
              </w:rPr>
              <w:t>1.083.858,89 €</w:t>
            </w:r>
          </w:p>
        </w:tc>
      </w:tr>
      <w:tr w:rsidR="00C11181" w:rsidRPr="00BF0367" w14:paraId="79A2DF3E" w14:textId="77777777" w:rsidTr="00C11181">
        <w:trPr>
          <w:trHeight w:val="315"/>
        </w:trPr>
        <w:tc>
          <w:tcPr>
            <w:tcW w:w="1840" w:type="dxa"/>
            <w:tcBorders>
              <w:top w:val="nil"/>
              <w:left w:val="single" w:sz="8" w:space="0" w:color="auto"/>
              <w:bottom w:val="single" w:sz="8" w:space="0" w:color="auto"/>
              <w:right w:val="single" w:sz="8" w:space="0" w:color="auto"/>
            </w:tcBorders>
            <w:noWrap/>
            <w:vAlign w:val="center"/>
            <w:hideMark/>
          </w:tcPr>
          <w:p w14:paraId="593888B8"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1691101</w:t>
            </w:r>
          </w:p>
        </w:tc>
        <w:tc>
          <w:tcPr>
            <w:tcW w:w="5246" w:type="dxa"/>
            <w:tcBorders>
              <w:top w:val="nil"/>
              <w:left w:val="nil"/>
              <w:bottom w:val="single" w:sz="8" w:space="0" w:color="auto"/>
              <w:right w:val="single" w:sz="8" w:space="0" w:color="auto"/>
            </w:tcBorders>
            <w:noWrap/>
            <w:vAlign w:val="center"/>
            <w:hideMark/>
          </w:tcPr>
          <w:p w14:paraId="68E1E6DA" w14:textId="77777777" w:rsidR="00C11181" w:rsidRPr="00BF0367" w:rsidRDefault="00C11181" w:rsidP="00C11181">
            <w:pPr>
              <w:spacing w:after="0" w:line="240" w:lineRule="auto"/>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Ispravak vrijednosti potraživanja- JPP</w:t>
            </w:r>
          </w:p>
        </w:tc>
        <w:tc>
          <w:tcPr>
            <w:tcW w:w="1480" w:type="dxa"/>
            <w:tcBorders>
              <w:top w:val="nil"/>
              <w:left w:val="nil"/>
              <w:bottom w:val="single" w:sz="8" w:space="0" w:color="auto"/>
              <w:right w:val="single" w:sz="8" w:space="0" w:color="auto"/>
            </w:tcBorders>
            <w:noWrap/>
            <w:vAlign w:val="center"/>
            <w:hideMark/>
          </w:tcPr>
          <w:p w14:paraId="3D621FD9"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46.185,15</w:t>
            </w:r>
          </w:p>
        </w:tc>
        <w:tc>
          <w:tcPr>
            <w:tcW w:w="1489" w:type="dxa"/>
            <w:tcBorders>
              <w:top w:val="nil"/>
              <w:left w:val="nil"/>
              <w:bottom w:val="single" w:sz="8" w:space="0" w:color="auto"/>
              <w:right w:val="single" w:sz="8" w:space="0" w:color="auto"/>
            </w:tcBorders>
            <w:noWrap/>
            <w:vAlign w:val="center"/>
            <w:hideMark/>
          </w:tcPr>
          <w:p w14:paraId="786C9BD3"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41.617,94</w:t>
            </w:r>
          </w:p>
        </w:tc>
      </w:tr>
      <w:tr w:rsidR="00C11181" w:rsidRPr="00BF0367" w14:paraId="3166C017" w14:textId="77777777" w:rsidTr="00C11181">
        <w:trPr>
          <w:trHeight w:val="315"/>
        </w:trPr>
        <w:tc>
          <w:tcPr>
            <w:tcW w:w="1840" w:type="dxa"/>
            <w:tcBorders>
              <w:top w:val="nil"/>
              <w:left w:val="single" w:sz="8" w:space="0" w:color="auto"/>
              <w:bottom w:val="single" w:sz="8" w:space="0" w:color="auto"/>
              <w:right w:val="single" w:sz="8" w:space="0" w:color="auto"/>
            </w:tcBorders>
            <w:noWrap/>
            <w:vAlign w:val="center"/>
            <w:hideMark/>
          </w:tcPr>
          <w:p w14:paraId="785B3572"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1691102</w:t>
            </w:r>
          </w:p>
        </w:tc>
        <w:tc>
          <w:tcPr>
            <w:tcW w:w="5246" w:type="dxa"/>
            <w:tcBorders>
              <w:top w:val="nil"/>
              <w:left w:val="nil"/>
              <w:bottom w:val="single" w:sz="8" w:space="0" w:color="auto"/>
              <w:right w:val="single" w:sz="8" w:space="0" w:color="auto"/>
            </w:tcBorders>
            <w:noWrap/>
            <w:vAlign w:val="center"/>
            <w:hideMark/>
          </w:tcPr>
          <w:p w14:paraId="5E1E5438" w14:textId="77777777" w:rsidR="00C11181" w:rsidRPr="00BF0367" w:rsidRDefault="00C11181" w:rsidP="00C11181">
            <w:pPr>
              <w:spacing w:after="0" w:line="240" w:lineRule="auto"/>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Ispravak vrijednosti potraživanja najamnina</w:t>
            </w:r>
          </w:p>
        </w:tc>
        <w:tc>
          <w:tcPr>
            <w:tcW w:w="1480" w:type="dxa"/>
            <w:tcBorders>
              <w:top w:val="nil"/>
              <w:left w:val="nil"/>
              <w:bottom w:val="single" w:sz="8" w:space="0" w:color="auto"/>
              <w:right w:val="single" w:sz="8" w:space="0" w:color="auto"/>
            </w:tcBorders>
            <w:noWrap/>
            <w:vAlign w:val="center"/>
            <w:hideMark/>
          </w:tcPr>
          <w:p w14:paraId="4C91C148"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1.711,42</w:t>
            </w:r>
          </w:p>
        </w:tc>
        <w:tc>
          <w:tcPr>
            <w:tcW w:w="1489" w:type="dxa"/>
            <w:tcBorders>
              <w:top w:val="nil"/>
              <w:left w:val="nil"/>
              <w:bottom w:val="single" w:sz="8" w:space="0" w:color="auto"/>
              <w:right w:val="single" w:sz="8" w:space="0" w:color="auto"/>
            </w:tcBorders>
            <w:noWrap/>
            <w:vAlign w:val="center"/>
            <w:hideMark/>
          </w:tcPr>
          <w:p w14:paraId="0EB0D84D"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1.654,91</w:t>
            </w:r>
          </w:p>
        </w:tc>
      </w:tr>
      <w:tr w:rsidR="00C11181" w:rsidRPr="00BF0367" w14:paraId="3695812F" w14:textId="77777777" w:rsidTr="00C11181">
        <w:trPr>
          <w:trHeight w:val="315"/>
        </w:trPr>
        <w:tc>
          <w:tcPr>
            <w:tcW w:w="1840" w:type="dxa"/>
            <w:tcBorders>
              <w:top w:val="nil"/>
              <w:left w:val="single" w:sz="8" w:space="0" w:color="auto"/>
              <w:bottom w:val="single" w:sz="8" w:space="0" w:color="auto"/>
              <w:right w:val="single" w:sz="8" w:space="0" w:color="auto"/>
            </w:tcBorders>
            <w:noWrap/>
            <w:vAlign w:val="center"/>
            <w:hideMark/>
          </w:tcPr>
          <w:p w14:paraId="4DE3FC16"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1691103</w:t>
            </w:r>
          </w:p>
        </w:tc>
        <w:tc>
          <w:tcPr>
            <w:tcW w:w="5246" w:type="dxa"/>
            <w:tcBorders>
              <w:top w:val="nil"/>
              <w:left w:val="nil"/>
              <w:bottom w:val="single" w:sz="8" w:space="0" w:color="auto"/>
              <w:right w:val="single" w:sz="8" w:space="0" w:color="auto"/>
            </w:tcBorders>
            <w:noWrap/>
            <w:vAlign w:val="center"/>
            <w:hideMark/>
          </w:tcPr>
          <w:p w14:paraId="3E4AA7A4" w14:textId="77777777" w:rsidR="00C11181" w:rsidRPr="00BF0367" w:rsidRDefault="00C11181" w:rsidP="00C11181">
            <w:pPr>
              <w:spacing w:after="0" w:line="240" w:lineRule="auto"/>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Ispravak vrijednosti potraživanja- NUV</w:t>
            </w:r>
          </w:p>
        </w:tc>
        <w:tc>
          <w:tcPr>
            <w:tcW w:w="1480" w:type="dxa"/>
            <w:tcBorders>
              <w:top w:val="nil"/>
              <w:left w:val="nil"/>
              <w:bottom w:val="single" w:sz="8" w:space="0" w:color="auto"/>
              <w:right w:val="single" w:sz="8" w:space="0" w:color="auto"/>
            </w:tcBorders>
            <w:noWrap/>
            <w:vAlign w:val="center"/>
            <w:hideMark/>
          </w:tcPr>
          <w:p w14:paraId="510E1BA3"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146.443,03</w:t>
            </w:r>
          </w:p>
        </w:tc>
        <w:tc>
          <w:tcPr>
            <w:tcW w:w="1489" w:type="dxa"/>
            <w:tcBorders>
              <w:top w:val="nil"/>
              <w:left w:val="nil"/>
              <w:bottom w:val="single" w:sz="8" w:space="0" w:color="auto"/>
              <w:right w:val="single" w:sz="8" w:space="0" w:color="auto"/>
            </w:tcBorders>
            <w:noWrap/>
            <w:vAlign w:val="center"/>
            <w:hideMark/>
          </w:tcPr>
          <w:p w14:paraId="25472CFC"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146.438,40</w:t>
            </w:r>
          </w:p>
        </w:tc>
      </w:tr>
      <w:tr w:rsidR="00C11181" w:rsidRPr="00BF0367" w14:paraId="4DC33EE0" w14:textId="77777777" w:rsidTr="00C11181">
        <w:trPr>
          <w:trHeight w:val="315"/>
        </w:trPr>
        <w:tc>
          <w:tcPr>
            <w:tcW w:w="1840" w:type="dxa"/>
            <w:tcBorders>
              <w:top w:val="nil"/>
              <w:left w:val="single" w:sz="8" w:space="0" w:color="auto"/>
              <w:bottom w:val="single" w:sz="8" w:space="0" w:color="auto"/>
              <w:right w:val="single" w:sz="8" w:space="0" w:color="auto"/>
            </w:tcBorders>
            <w:noWrap/>
            <w:vAlign w:val="center"/>
            <w:hideMark/>
          </w:tcPr>
          <w:p w14:paraId="2089C669"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1691104</w:t>
            </w:r>
          </w:p>
        </w:tc>
        <w:tc>
          <w:tcPr>
            <w:tcW w:w="5246" w:type="dxa"/>
            <w:tcBorders>
              <w:top w:val="nil"/>
              <w:left w:val="nil"/>
              <w:bottom w:val="single" w:sz="8" w:space="0" w:color="auto"/>
              <w:right w:val="single" w:sz="8" w:space="0" w:color="auto"/>
            </w:tcBorders>
            <w:noWrap/>
            <w:vAlign w:val="center"/>
            <w:hideMark/>
          </w:tcPr>
          <w:p w14:paraId="608D77EB" w14:textId="77777777" w:rsidR="00C11181" w:rsidRPr="00BF0367" w:rsidRDefault="00C11181" w:rsidP="00C11181">
            <w:pPr>
              <w:spacing w:after="0" w:line="240" w:lineRule="auto"/>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Ispravak vrijednosti potraživanja- komunalni doprinos</w:t>
            </w:r>
          </w:p>
        </w:tc>
        <w:tc>
          <w:tcPr>
            <w:tcW w:w="1480" w:type="dxa"/>
            <w:tcBorders>
              <w:top w:val="nil"/>
              <w:left w:val="nil"/>
              <w:bottom w:val="single" w:sz="8" w:space="0" w:color="auto"/>
              <w:right w:val="single" w:sz="8" w:space="0" w:color="auto"/>
            </w:tcBorders>
            <w:noWrap/>
            <w:vAlign w:val="center"/>
            <w:hideMark/>
          </w:tcPr>
          <w:p w14:paraId="2E3E610B"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145.458,81</w:t>
            </w:r>
          </w:p>
        </w:tc>
        <w:tc>
          <w:tcPr>
            <w:tcW w:w="1489" w:type="dxa"/>
            <w:tcBorders>
              <w:top w:val="nil"/>
              <w:left w:val="nil"/>
              <w:bottom w:val="single" w:sz="8" w:space="0" w:color="auto"/>
              <w:right w:val="single" w:sz="8" w:space="0" w:color="auto"/>
            </w:tcBorders>
            <w:noWrap/>
            <w:vAlign w:val="center"/>
            <w:hideMark/>
          </w:tcPr>
          <w:p w14:paraId="2A1DA157"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129.453,80</w:t>
            </w:r>
          </w:p>
        </w:tc>
      </w:tr>
      <w:tr w:rsidR="00C11181" w:rsidRPr="00BF0367" w14:paraId="2296E076" w14:textId="77777777" w:rsidTr="00C11181">
        <w:trPr>
          <w:trHeight w:val="315"/>
        </w:trPr>
        <w:tc>
          <w:tcPr>
            <w:tcW w:w="1840" w:type="dxa"/>
            <w:tcBorders>
              <w:top w:val="nil"/>
              <w:left w:val="single" w:sz="8" w:space="0" w:color="auto"/>
              <w:bottom w:val="single" w:sz="8" w:space="0" w:color="auto"/>
              <w:right w:val="single" w:sz="8" w:space="0" w:color="auto"/>
            </w:tcBorders>
            <w:noWrap/>
            <w:vAlign w:val="center"/>
            <w:hideMark/>
          </w:tcPr>
          <w:p w14:paraId="56500106"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1691105</w:t>
            </w:r>
          </w:p>
        </w:tc>
        <w:tc>
          <w:tcPr>
            <w:tcW w:w="5246" w:type="dxa"/>
            <w:tcBorders>
              <w:top w:val="nil"/>
              <w:left w:val="nil"/>
              <w:bottom w:val="single" w:sz="8" w:space="0" w:color="auto"/>
              <w:right w:val="single" w:sz="8" w:space="0" w:color="auto"/>
            </w:tcBorders>
            <w:noWrap/>
            <w:vAlign w:val="center"/>
            <w:hideMark/>
          </w:tcPr>
          <w:p w14:paraId="5644215D" w14:textId="77777777" w:rsidR="00C11181" w:rsidRPr="00BF0367" w:rsidRDefault="00C11181" w:rsidP="00C11181">
            <w:pPr>
              <w:spacing w:after="0" w:line="240" w:lineRule="auto"/>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Ispravak vrijednosti potraživanja- NKN</w:t>
            </w:r>
          </w:p>
        </w:tc>
        <w:tc>
          <w:tcPr>
            <w:tcW w:w="1480" w:type="dxa"/>
            <w:tcBorders>
              <w:top w:val="nil"/>
              <w:left w:val="nil"/>
              <w:bottom w:val="single" w:sz="8" w:space="0" w:color="auto"/>
              <w:right w:val="single" w:sz="8" w:space="0" w:color="auto"/>
            </w:tcBorders>
            <w:noWrap/>
            <w:vAlign w:val="center"/>
            <w:hideMark/>
          </w:tcPr>
          <w:p w14:paraId="0EC0D2FE"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389.835,08</w:t>
            </w:r>
          </w:p>
        </w:tc>
        <w:tc>
          <w:tcPr>
            <w:tcW w:w="1489" w:type="dxa"/>
            <w:tcBorders>
              <w:top w:val="nil"/>
              <w:left w:val="nil"/>
              <w:bottom w:val="single" w:sz="8" w:space="0" w:color="auto"/>
              <w:right w:val="single" w:sz="8" w:space="0" w:color="auto"/>
            </w:tcBorders>
            <w:noWrap/>
            <w:vAlign w:val="center"/>
            <w:hideMark/>
          </w:tcPr>
          <w:p w14:paraId="166B0476"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415.294,44</w:t>
            </w:r>
          </w:p>
        </w:tc>
      </w:tr>
      <w:tr w:rsidR="00C11181" w:rsidRPr="00BF0367" w14:paraId="5E264CD7" w14:textId="77777777" w:rsidTr="00C11181">
        <w:trPr>
          <w:trHeight w:val="315"/>
        </w:trPr>
        <w:tc>
          <w:tcPr>
            <w:tcW w:w="1840" w:type="dxa"/>
            <w:tcBorders>
              <w:top w:val="nil"/>
              <w:left w:val="single" w:sz="8" w:space="0" w:color="auto"/>
              <w:bottom w:val="single" w:sz="8" w:space="0" w:color="auto"/>
              <w:right w:val="single" w:sz="8" w:space="0" w:color="auto"/>
            </w:tcBorders>
            <w:noWrap/>
            <w:vAlign w:val="center"/>
            <w:hideMark/>
          </w:tcPr>
          <w:p w14:paraId="112DCE2F"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1691107</w:t>
            </w:r>
          </w:p>
        </w:tc>
        <w:tc>
          <w:tcPr>
            <w:tcW w:w="5246" w:type="dxa"/>
            <w:tcBorders>
              <w:top w:val="nil"/>
              <w:left w:val="nil"/>
              <w:bottom w:val="single" w:sz="8" w:space="0" w:color="auto"/>
              <w:right w:val="single" w:sz="8" w:space="0" w:color="auto"/>
            </w:tcBorders>
            <w:noWrap/>
            <w:vAlign w:val="center"/>
            <w:hideMark/>
          </w:tcPr>
          <w:p w14:paraId="254BA736" w14:textId="77777777" w:rsidR="00C11181" w:rsidRPr="00BF0367" w:rsidRDefault="00C11181" w:rsidP="00C11181">
            <w:pPr>
              <w:spacing w:after="0" w:line="240" w:lineRule="auto"/>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Ispravak vrijednosti potraživanja- kazne komunalnih redara</w:t>
            </w:r>
          </w:p>
        </w:tc>
        <w:tc>
          <w:tcPr>
            <w:tcW w:w="1480" w:type="dxa"/>
            <w:tcBorders>
              <w:top w:val="nil"/>
              <w:left w:val="nil"/>
              <w:bottom w:val="single" w:sz="8" w:space="0" w:color="auto"/>
              <w:right w:val="single" w:sz="8" w:space="0" w:color="auto"/>
            </w:tcBorders>
            <w:noWrap/>
            <w:vAlign w:val="center"/>
            <w:hideMark/>
          </w:tcPr>
          <w:p w14:paraId="625A76B1"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9.861,25</w:t>
            </w:r>
          </w:p>
        </w:tc>
        <w:tc>
          <w:tcPr>
            <w:tcW w:w="1489" w:type="dxa"/>
            <w:tcBorders>
              <w:top w:val="nil"/>
              <w:left w:val="nil"/>
              <w:bottom w:val="single" w:sz="8" w:space="0" w:color="auto"/>
              <w:right w:val="single" w:sz="8" w:space="0" w:color="auto"/>
            </w:tcBorders>
            <w:noWrap/>
            <w:vAlign w:val="center"/>
            <w:hideMark/>
          </w:tcPr>
          <w:p w14:paraId="4388475B"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8.944,80</w:t>
            </w:r>
          </w:p>
        </w:tc>
      </w:tr>
      <w:tr w:rsidR="00C11181" w:rsidRPr="00BF0367" w14:paraId="009116CE" w14:textId="77777777" w:rsidTr="00C11181">
        <w:trPr>
          <w:trHeight w:val="315"/>
        </w:trPr>
        <w:tc>
          <w:tcPr>
            <w:tcW w:w="1840" w:type="dxa"/>
            <w:tcBorders>
              <w:top w:val="nil"/>
              <w:left w:val="single" w:sz="8" w:space="0" w:color="auto"/>
              <w:bottom w:val="single" w:sz="8" w:space="0" w:color="auto"/>
              <w:right w:val="single" w:sz="8" w:space="0" w:color="auto"/>
            </w:tcBorders>
            <w:noWrap/>
            <w:vAlign w:val="center"/>
            <w:hideMark/>
          </w:tcPr>
          <w:p w14:paraId="7E5ECBB0"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1691108</w:t>
            </w:r>
          </w:p>
        </w:tc>
        <w:tc>
          <w:tcPr>
            <w:tcW w:w="5246" w:type="dxa"/>
            <w:tcBorders>
              <w:top w:val="nil"/>
              <w:left w:val="nil"/>
              <w:bottom w:val="single" w:sz="8" w:space="0" w:color="auto"/>
              <w:right w:val="single" w:sz="8" w:space="0" w:color="auto"/>
            </w:tcBorders>
            <w:noWrap/>
            <w:vAlign w:val="center"/>
            <w:hideMark/>
          </w:tcPr>
          <w:p w14:paraId="15B91B3F" w14:textId="77777777" w:rsidR="00C11181" w:rsidRPr="00BF0367" w:rsidRDefault="00C11181" w:rsidP="00C11181">
            <w:pPr>
              <w:spacing w:after="0" w:line="240" w:lineRule="auto"/>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Ispravak vrijednosti potraživanja- zakup poslovnih prostora</w:t>
            </w:r>
          </w:p>
        </w:tc>
        <w:tc>
          <w:tcPr>
            <w:tcW w:w="1480" w:type="dxa"/>
            <w:tcBorders>
              <w:top w:val="nil"/>
              <w:left w:val="nil"/>
              <w:bottom w:val="single" w:sz="8" w:space="0" w:color="auto"/>
              <w:right w:val="single" w:sz="8" w:space="0" w:color="auto"/>
            </w:tcBorders>
            <w:noWrap/>
            <w:vAlign w:val="center"/>
            <w:hideMark/>
          </w:tcPr>
          <w:p w14:paraId="7957008C"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160.766,12</w:t>
            </w:r>
          </w:p>
        </w:tc>
        <w:tc>
          <w:tcPr>
            <w:tcW w:w="1489" w:type="dxa"/>
            <w:tcBorders>
              <w:top w:val="nil"/>
              <w:left w:val="nil"/>
              <w:bottom w:val="single" w:sz="8" w:space="0" w:color="auto"/>
              <w:right w:val="single" w:sz="8" w:space="0" w:color="auto"/>
            </w:tcBorders>
            <w:noWrap/>
            <w:vAlign w:val="center"/>
            <w:hideMark/>
          </w:tcPr>
          <w:p w14:paraId="19BCF1B3"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160.766,12</w:t>
            </w:r>
          </w:p>
        </w:tc>
      </w:tr>
      <w:tr w:rsidR="00C11181" w:rsidRPr="00BF0367" w14:paraId="4A548896" w14:textId="77777777" w:rsidTr="00C11181">
        <w:trPr>
          <w:trHeight w:val="315"/>
        </w:trPr>
        <w:tc>
          <w:tcPr>
            <w:tcW w:w="1840" w:type="dxa"/>
            <w:tcBorders>
              <w:top w:val="nil"/>
              <w:left w:val="single" w:sz="8" w:space="0" w:color="auto"/>
              <w:bottom w:val="single" w:sz="8" w:space="0" w:color="auto"/>
              <w:right w:val="single" w:sz="8" w:space="0" w:color="auto"/>
            </w:tcBorders>
            <w:noWrap/>
            <w:vAlign w:val="center"/>
            <w:hideMark/>
          </w:tcPr>
          <w:p w14:paraId="592487D8"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1691109</w:t>
            </w:r>
          </w:p>
        </w:tc>
        <w:tc>
          <w:tcPr>
            <w:tcW w:w="5246" w:type="dxa"/>
            <w:tcBorders>
              <w:top w:val="nil"/>
              <w:left w:val="nil"/>
              <w:bottom w:val="single" w:sz="8" w:space="0" w:color="auto"/>
              <w:right w:val="single" w:sz="8" w:space="0" w:color="auto"/>
            </w:tcBorders>
            <w:noWrap/>
            <w:vAlign w:val="center"/>
            <w:hideMark/>
          </w:tcPr>
          <w:p w14:paraId="697C4D59" w14:textId="77777777" w:rsidR="00C11181" w:rsidRPr="00BF0367" w:rsidRDefault="00C11181" w:rsidP="00C11181">
            <w:pPr>
              <w:spacing w:after="0" w:line="240" w:lineRule="auto"/>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Ispravak vrijednosti potraživanja-kazne prometnih redara</w:t>
            </w:r>
          </w:p>
        </w:tc>
        <w:tc>
          <w:tcPr>
            <w:tcW w:w="1480" w:type="dxa"/>
            <w:tcBorders>
              <w:top w:val="nil"/>
              <w:left w:val="nil"/>
              <w:bottom w:val="single" w:sz="8" w:space="0" w:color="auto"/>
              <w:right w:val="single" w:sz="8" w:space="0" w:color="auto"/>
            </w:tcBorders>
            <w:noWrap/>
            <w:vAlign w:val="center"/>
            <w:hideMark/>
          </w:tcPr>
          <w:p w14:paraId="60B03981"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69,69</w:t>
            </w:r>
          </w:p>
        </w:tc>
        <w:tc>
          <w:tcPr>
            <w:tcW w:w="1489" w:type="dxa"/>
            <w:tcBorders>
              <w:top w:val="nil"/>
              <w:left w:val="nil"/>
              <w:bottom w:val="single" w:sz="8" w:space="0" w:color="auto"/>
              <w:right w:val="single" w:sz="8" w:space="0" w:color="auto"/>
            </w:tcBorders>
            <w:noWrap/>
            <w:vAlign w:val="center"/>
            <w:hideMark/>
          </w:tcPr>
          <w:p w14:paraId="639AF276"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109,64</w:t>
            </w:r>
          </w:p>
        </w:tc>
      </w:tr>
      <w:tr w:rsidR="00C11181" w:rsidRPr="00BF0367" w14:paraId="32716341" w14:textId="77777777" w:rsidTr="00C11181">
        <w:trPr>
          <w:trHeight w:val="315"/>
        </w:trPr>
        <w:tc>
          <w:tcPr>
            <w:tcW w:w="1840" w:type="dxa"/>
            <w:tcBorders>
              <w:top w:val="nil"/>
              <w:left w:val="single" w:sz="8" w:space="0" w:color="auto"/>
              <w:bottom w:val="single" w:sz="8" w:space="0" w:color="auto"/>
              <w:right w:val="single" w:sz="8" w:space="0" w:color="auto"/>
            </w:tcBorders>
            <w:noWrap/>
            <w:vAlign w:val="center"/>
            <w:hideMark/>
          </w:tcPr>
          <w:p w14:paraId="2808B5AA"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1691140</w:t>
            </w:r>
          </w:p>
        </w:tc>
        <w:tc>
          <w:tcPr>
            <w:tcW w:w="5246" w:type="dxa"/>
            <w:tcBorders>
              <w:top w:val="nil"/>
              <w:left w:val="nil"/>
              <w:bottom w:val="single" w:sz="8" w:space="0" w:color="auto"/>
              <w:right w:val="single" w:sz="8" w:space="0" w:color="auto"/>
            </w:tcBorders>
            <w:noWrap/>
            <w:vAlign w:val="center"/>
            <w:hideMark/>
          </w:tcPr>
          <w:p w14:paraId="712E060F" w14:textId="77777777" w:rsidR="00C11181" w:rsidRPr="00BF0367" w:rsidRDefault="00C11181" w:rsidP="00C11181">
            <w:pPr>
              <w:spacing w:after="0" w:line="240" w:lineRule="auto"/>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Ispravak vrijednosti potraživanja-deponij kamate</w:t>
            </w:r>
          </w:p>
        </w:tc>
        <w:tc>
          <w:tcPr>
            <w:tcW w:w="1480" w:type="dxa"/>
            <w:tcBorders>
              <w:top w:val="nil"/>
              <w:left w:val="nil"/>
              <w:bottom w:val="single" w:sz="8" w:space="0" w:color="auto"/>
              <w:right w:val="single" w:sz="8" w:space="0" w:color="auto"/>
            </w:tcBorders>
            <w:noWrap/>
            <w:vAlign w:val="center"/>
            <w:hideMark/>
          </w:tcPr>
          <w:p w14:paraId="0DAB5C59"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189,71</w:t>
            </w:r>
          </w:p>
        </w:tc>
        <w:tc>
          <w:tcPr>
            <w:tcW w:w="1489" w:type="dxa"/>
            <w:tcBorders>
              <w:top w:val="nil"/>
              <w:left w:val="nil"/>
              <w:bottom w:val="single" w:sz="8" w:space="0" w:color="auto"/>
              <w:right w:val="single" w:sz="8" w:space="0" w:color="auto"/>
            </w:tcBorders>
            <w:noWrap/>
            <w:vAlign w:val="center"/>
            <w:hideMark/>
          </w:tcPr>
          <w:p w14:paraId="02026F38"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189,71</w:t>
            </w:r>
          </w:p>
        </w:tc>
      </w:tr>
      <w:tr w:rsidR="00C11181" w:rsidRPr="00BF0367" w14:paraId="2BBB99DC" w14:textId="77777777" w:rsidTr="00C11181">
        <w:trPr>
          <w:trHeight w:val="315"/>
        </w:trPr>
        <w:tc>
          <w:tcPr>
            <w:tcW w:w="1840" w:type="dxa"/>
            <w:tcBorders>
              <w:top w:val="nil"/>
              <w:left w:val="single" w:sz="8" w:space="0" w:color="auto"/>
              <w:bottom w:val="single" w:sz="8" w:space="0" w:color="auto"/>
              <w:right w:val="single" w:sz="8" w:space="0" w:color="auto"/>
            </w:tcBorders>
            <w:noWrap/>
            <w:vAlign w:val="center"/>
            <w:hideMark/>
          </w:tcPr>
          <w:p w14:paraId="42F97906"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1691141</w:t>
            </w:r>
          </w:p>
        </w:tc>
        <w:tc>
          <w:tcPr>
            <w:tcW w:w="5246" w:type="dxa"/>
            <w:tcBorders>
              <w:top w:val="nil"/>
              <w:left w:val="nil"/>
              <w:bottom w:val="single" w:sz="8" w:space="0" w:color="auto"/>
              <w:right w:val="single" w:sz="8" w:space="0" w:color="auto"/>
            </w:tcBorders>
            <w:noWrap/>
            <w:vAlign w:val="center"/>
            <w:hideMark/>
          </w:tcPr>
          <w:p w14:paraId="77A4C5CD" w14:textId="77777777" w:rsidR="00C11181" w:rsidRPr="00BF0367" w:rsidRDefault="00C11181" w:rsidP="00C11181">
            <w:pPr>
              <w:spacing w:after="0" w:line="240" w:lineRule="auto"/>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Ispravak vrijednosti potraživanja-JPP kamate</w:t>
            </w:r>
          </w:p>
        </w:tc>
        <w:tc>
          <w:tcPr>
            <w:tcW w:w="1480" w:type="dxa"/>
            <w:tcBorders>
              <w:top w:val="nil"/>
              <w:left w:val="nil"/>
              <w:bottom w:val="single" w:sz="8" w:space="0" w:color="auto"/>
              <w:right w:val="single" w:sz="8" w:space="0" w:color="auto"/>
            </w:tcBorders>
            <w:noWrap/>
            <w:vAlign w:val="center"/>
            <w:hideMark/>
          </w:tcPr>
          <w:p w14:paraId="07453586"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3.326,03</w:t>
            </w:r>
          </w:p>
        </w:tc>
        <w:tc>
          <w:tcPr>
            <w:tcW w:w="1489" w:type="dxa"/>
            <w:tcBorders>
              <w:top w:val="nil"/>
              <w:left w:val="nil"/>
              <w:bottom w:val="single" w:sz="8" w:space="0" w:color="auto"/>
              <w:right w:val="single" w:sz="8" w:space="0" w:color="auto"/>
            </w:tcBorders>
            <w:noWrap/>
            <w:vAlign w:val="center"/>
            <w:hideMark/>
          </w:tcPr>
          <w:p w14:paraId="05230676"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1.743,16</w:t>
            </w:r>
          </w:p>
        </w:tc>
      </w:tr>
      <w:tr w:rsidR="00C11181" w:rsidRPr="00BF0367" w14:paraId="768C67BD" w14:textId="77777777" w:rsidTr="00C11181">
        <w:trPr>
          <w:trHeight w:val="315"/>
        </w:trPr>
        <w:tc>
          <w:tcPr>
            <w:tcW w:w="1840" w:type="dxa"/>
            <w:tcBorders>
              <w:top w:val="nil"/>
              <w:left w:val="single" w:sz="8" w:space="0" w:color="auto"/>
              <w:bottom w:val="single" w:sz="8" w:space="0" w:color="auto"/>
              <w:right w:val="single" w:sz="8" w:space="0" w:color="auto"/>
            </w:tcBorders>
            <w:noWrap/>
            <w:vAlign w:val="center"/>
            <w:hideMark/>
          </w:tcPr>
          <w:p w14:paraId="570A6137"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1691143</w:t>
            </w:r>
          </w:p>
        </w:tc>
        <w:tc>
          <w:tcPr>
            <w:tcW w:w="5246" w:type="dxa"/>
            <w:tcBorders>
              <w:top w:val="nil"/>
              <w:left w:val="nil"/>
              <w:bottom w:val="single" w:sz="8" w:space="0" w:color="auto"/>
              <w:right w:val="single" w:sz="8" w:space="0" w:color="auto"/>
            </w:tcBorders>
            <w:noWrap/>
            <w:vAlign w:val="center"/>
            <w:hideMark/>
          </w:tcPr>
          <w:p w14:paraId="44406215" w14:textId="77777777" w:rsidR="00C11181" w:rsidRPr="00BF0367" w:rsidRDefault="00C11181" w:rsidP="00C11181">
            <w:pPr>
              <w:spacing w:after="0" w:line="240" w:lineRule="auto"/>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Ispravak vrijednosti potraživanja-NUV kamate</w:t>
            </w:r>
          </w:p>
        </w:tc>
        <w:tc>
          <w:tcPr>
            <w:tcW w:w="1480" w:type="dxa"/>
            <w:tcBorders>
              <w:top w:val="nil"/>
              <w:left w:val="nil"/>
              <w:bottom w:val="single" w:sz="8" w:space="0" w:color="auto"/>
              <w:right w:val="single" w:sz="8" w:space="0" w:color="auto"/>
            </w:tcBorders>
            <w:noWrap/>
            <w:vAlign w:val="center"/>
            <w:hideMark/>
          </w:tcPr>
          <w:p w14:paraId="74FF9711"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13.829,50</w:t>
            </w:r>
          </w:p>
        </w:tc>
        <w:tc>
          <w:tcPr>
            <w:tcW w:w="1489" w:type="dxa"/>
            <w:tcBorders>
              <w:top w:val="nil"/>
              <w:left w:val="nil"/>
              <w:bottom w:val="single" w:sz="8" w:space="0" w:color="auto"/>
              <w:right w:val="single" w:sz="8" w:space="0" w:color="auto"/>
            </w:tcBorders>
            <w:noWrap/>
            <w:vAlign w:val="center"/>
            <w:hideMark/>
          </w:tcPr>
          <w:p w14:paraId="0C536668"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14.303,12</w:t>
            </w:r>
          </w:p>
        </w:tc>
      </w:tr>
      <w:tr w:rsidR="00C11181" w:rsidRPr="00BF0367" w14:paraId="7CB354ED" w14:textId="77777777" w:rsidTr="00C11181">
        <w:trPr>
          <w:trHeight w:val="315"/>
        </w:trPr>
        <w:tc>
          <w:tcPr>
            <w:tcW w:w="1840" w:type="dxa"/>
            <w:tcBorders>
              <w:top w:val="nil"/>
              <w:left w:val="single" w:sz="8" w:space="0" w:color="auto"/>
              <w:bottom w:val="single" w:sz="8" w:space="0" w:color="auto"/>
              <w:right w:val="single" w:sz="8" w:space="0" w:color="auto"/>
            </w:tcBorders>
            <w:noWrap/>
            <w:vAlign w:val="center"/>
            <w:hideMark/>
          </w:tcPr>
          <w:p w14:paraId="0374B433"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1691144</w:t>
            </w:r>
          </w:p>
        </w:tc>
        <w:tc>
          <w:tcPr>
            <w:tcW w:w="5246" w:type="dxa"/>
            <w:tcBorders>
              <w:top w:val="nil"/>
              <w:left w:val="nil"/>
              <w:bottom w:val="single" w:sz="8" w:space="0" w:color="auto"/>
              <w:right w:val="single" w:sz="8" w:space="0" w:color="auto"/>
            </w:tcBorders>
            <w:noWrap/>
            <w:vAlign w:val="center"/>
            <w:hideMark/>
          </w:tcPr>
          <w:p w14:paraId="2F31C9CB" w14:textId="77777777" w:rsidR="00C11181" w:rsidRPr="00BF0367" w:rsidRDefault="00C11181" w:rsidP="00C11181">
            <w:pPr>
              <w:spacing w:after="0" w:line="240" w:lineRule="auto"/>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Ispravak vrijednosti potraživanja—</w:t>
            </w:r>
            <w:proofErr w:type="spellStart"/>
            <w:r w:rsidRPr="00BF0367">
              <w:rPr>
                <w:rFonts w:ascii="Calibri" w:eastAsia="Times New Roman" w:hAnsi="Calibri" w:cs="Calibri"/>
                <w:color w:val="000000"/>
                <w:sz w:val="20"/>
                <w:szCs w:val="20"/>
                <w:lang w:eastAsia="hr-HR"/>
              </w:rPr>
              <w:t>kom.doprinos</w:t>
            </w:r>
            <w:proofErr w:type="spellEnd"/>
            <w:r w:rsidRPr="00BF0367">
              <w:rPr>
                <w:rFonts w:ascii="Calibri" w:eastAsia="Times New Roman" w:hAnsi="Calibri" w:cs="Calibri"/>
                <w:color w:val="000000"/>
                <w:sz w:val="20"/>
                <w:szCs w:val="20"/>
                <w:lang w:eastAsia="hr-HR"/>
              </w:rPr>
              <w:t xml:space="preserve"> kamate</w:t>
            </w:r>
          </w:p>
        </w:tc>
        <w:tc>
          <w:tcPr>
            <w:tcW w:w="1480" w:type="dxa"/>
            <w:tcBorders>
              <w:top w:val="nil"/>
              <w:left w:val="nil"/>
              <w:bottom w:val="single" w:sz="8" w:space="0" w:color="auto"/>
              <w:right w:val="single" w:sz="8" w:space="0" w:color="auto"/>
            </w:tcBorders>
            <w:noWrap/>
            <w:vAlign w:val="center"/>
            <w:hideMark/>
          </w:tcPr>
          <w:p w14:paraId="24172C3E"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4.321,68</w:t>
            </w:r>
          </w:p>
        </w:tc>
        <w:tc>
          <w:tcPr>
            <w:tcW w:w="1489" w:type="dxa"/>
            <w:tcBorders>
              <w:top w:val="nil"/>
              <w:left w:val="nil"/>
              <w:bottom w:val="single" w:sz="8" w:space="0" w:color="auto"/>
              <w:right w:val="single" w:sz="8" w:space="0" w:color="auto"/>
            </w:tcBorders>
            <w:noWrap/>
            <w:vAlign w:val="center"/>
            <w:hideMark/>
          </w:tcPr>
          <w:p w14:paraId="2809028B"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4.550,85</w:t>
            </w:r>
          </w:p>
        </w:tc>
      </w:tr>
      <w:tr w:rsidR="00C11181" w:rsidRPr="00BF0367" w14:paraId="145D540F" w14:textId="77777777" w:rsidTr="00C11181">
        <w:trPr>
          <w:trHeight w:val="315"/>
        </w:trPr>
        <w:tc>
          <w:tcPr>
            <w:tcW w:w="1840" w:type="dxa"/>
            <w:tcBorders>
              <w:top w:val="nil"/>
              <w:left w:val="single" w:sz="8" w:space="0" w:color="auto"/>
              <w:bottom w:val="single" w:sz="8" w:space="0" w:color="auto"/>
              <w:right w:val="single" w:sz="8" w:space="0" w:color="auto"/>
            </w:tcBorders>
            <w:noWrap/>
            <w:vAlign w:val="center"/>
            <w:hideMark/>
          </w:tcPr>
          <w:p w14:paraId="06CDFE6A"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1691145</w:t>
            </w:r>
          </w:p>
        </w:tc>
        <w:tc>
          <w:tcPr>
            <w:tcW w:w="5246" w:type="dxa"/>
            <w:tcBorders>
              <w:top w:val="nil"/>
              <w:left w:val="nil"/>
              <w:bottom w:val="single" w:sz="8" w:space="0" w:color="auto"/>
              <w:right w:val="single" w:sz="8" w:space="0" w:color="auto"/>
            </w:tcBorders>
            <w:noWrap/>
            <w:vAlign w:val="center"/>
            <w:hideMark/>
          </w:tcPr>
          <w:p w14:paraId="27A5D4CB" w14:textId="77777777" w:rsidR="00C11181" w:rsidRPr="00BF0367" w:rsidRDefault="00C11181" w:rsidP="00C11181">
            <w:pPr>
              <w:spacing w:after="0" w:line="240" w:lineRule="auto"/>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Ispravak vrijednosti potraživanja-NKN kamate</w:t>
            </w:r>
          </w:p>
        </w:tc>
        <w:tc>
          <w:tcPr>
            <w:tcW w:w="1480" w:type="dxa"/>
            <w:tcBorders>
              <w:top w:val="nil"/>
              <w:left w:val="nil"/>
              <w:bottom w:val="single" w:sz="8" w:space="0" w:color="auto"/>
              <w:right w:val="single" w:sz="8" w:space="0" w:color="auto"/>
            </w:tcBorders>
            <w:noWrap/>
            <w:vAlign w:val="center"/>
            <w:hideMark/>
          </w:tcPr>
          <w:p w14:paraId="1FE130A3"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39.748,18</w:t>
            </w:r>
          </w:p>
        </w:tc>
        <w:tc>
          <w:tcPr>
            <w:tcW w:w="1489" w:type="dxa"/>
            <w:tcBorders>
              <w:top w:val="nil"/>
              <w:left w:val="nil"/>
              <w:bottom w:val="single" w:sz="8" w:space="0" w:color="auto"/>
              <w:right w:val="single" w:sz="8" w:space="0" w:color="auto"/>
            </w:tcBorders>
            <w:noWrap/>
            <w:vAlign w:val="center"/>
            <w:hideMark/>
          </w:tcPr>
          <w:p w14:paraId="1D139C3B"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48.985,52</w:t>
            </w:r>
          </w:p>
        </w:tc>
      </w:tr>
      <w:tr w:rsidR="00C11181" w:rsidRPr="00BF0367" w14:paraId="2ABC9152" w14:textId="77777777" w:rsidTr="00C11181">
        <w:trPr>
          <w:trHeight w:val="315"/>
        </w:trPr>
        <w:tc>
          <w:tcPr>
            <w:tcW w:w="1840" w:type="dxa"/>
            <w:tcBorders>
              <w:top w:val="nil"/>
              <w:left w:val="single" w:sz="8" w:space="0" w:color="auto"/>
              <w:bottom w:val="single" w:sz="8" w:space="0" w:color="auto"/>
              <w:right w:val="single" w:sz="8" w:space="0" w:color="auto"/>
            </w:tcBorders>
            <w:noWrap/>
            <w:vAlign w:val="center"/>
            <w:hideMark/>
          </w:tcPr>
          <w:p w14:paraId="5B6E8802"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1691147</w:t>
            </w:r>
          </w:p>
        </w:tc>
        <w:tc>
          <w:tcPr>
            <w:tcW w:w="5246" w:type="dxa"/>
            <w:tcBorders>
              <w:top w:val="nil"/>
              <w:left w:val="nil"/>
              <w:bottom w:val="single" w:sz="8" w:space="0" w:color="auto"/>
              <w:right w:val="single" w:sz="8" w:space="0" w:color="auto"/>
            </w:tcBorders>
            <w:noWrap/>
            <w:vAlign w:val="center"/>
            <w:hideMark/>
          </w:tcPr>
          <w:p w14:paraId="3A649649" w14:textId="77777777" w:rsidR="00C11181" w:rsidRPr="00BF0367" w:rsidRDefault="00C11181" w:rsidP="00C11181">
            <w:pPr>
              <w:spacing w:after="0" w:line="240" w:lineRule="auto"/>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 xml:space="preserve">Ispravak vrijednosti potraživanja-kazne </w:t>
            </w:r>
            <w:proofErr w:type="spellStart"/>
            <w:r w:rsidRPr="00BF0367">
              <w:rPr>
                <w:rFonts w:ascii="Calibri" w:eastAsia="Times New Roman" w:hAnsi="Calibri" w:cs="Calibri"/>
                <w:color w:val="000000"/>
                <w:sz w:val="20"/>
                <w:szCs w:val="20"/>
                <w:lang w:eastAsia="hr-HR"/>
              </w:rPr>
              <w:t>kom.redara</w:t>
            </w:r>
            <w:proofErr w:type="spellEnd"/>
            <w:r w:rsidRPr="00BF0367">
              <w:rPr>
                <w:rFonts w:ascii="Calibri" w:eastAsia="Times New Roman" w:hAnsi="Calibri" w:cs="Calibri"/>
                <w:color w:val="000000"/>
                <w:sz w:val="20"/>
                <w:szCs w:val="20"/>
                <w:lang w:eastAsia="hr-HR"/>
              </w:rPr>
              <w:t xml:space="preserve"> kamate</w:t>
            </w:r>
          </w:p>
        </w:tc>
        <w:tc>
          <w:tcPr>
            <w:tcW w:w="1480" w:type="dxa"/>
            <w:tcBorders>
              <w:top w:val="nil"/>
              <w:left w:val="nil"/>
              <w:bottom w:val="single" w:sz="8" w:space="0" w:color="auto"/>
              <w:right w:val="single" w:sz="8" w:space="0" w:color="auto"/>
            </w:tcBorders>
            <w:noWrap/>
            <w:vAlign w:val="center"/>
            <w:hideMark/>
          </w:tcPr>
          <w:p w14:paraId="3FE63507"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261,84</w:t>
            </w:r>
          </w:p>
        </w:tc>
        <w:tc>
          <w:tcPr>
            <w:tcW w:w="1489" w:type="dxa"/>
            <w:tcBorders>
              <w:top w:val="nil"/>
              <w:left w:val="nil"/>
              <w:bottom w:val="single" w:sz="8" w:space="0" w:color="auto"/>
              <w:right w:val="single" w:sz="8" w:space="0" w:color="auto"/>
            </w:tcBorders>
            <w:noWrap/>
            <w:vAlign w:val="center"/>
            <w:hideMark/>
          </w:tcPr>
          <w:p w14:paraId="7D8D2475"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172,10</w:t>
            </w:r>
          </w:p>
        </w:tc>
      </w:tr>
      <w:tr w:rsidR="00C11181" w:rsidRPr="00BF0367" w14:paraId="72FD1229" w14:textId="77777777" w:rsidTr="00C11181">
        <w:trPr>
          <w:trHeight w:val="315"/>
        </w:trPr>
        <w:tc>
          <w:tcPr>
            <w:tcW w:w="1840" w:type="dxa"/>
            <w:tcBorders>
              <w:top w:val="nil"/>
              <w:left w:val="single" w:sz="8" w:space="0" w:color="auto"/>
              <w:bottom w:val="single" w:sz="8" w:space="0" w:color="auto"/>
              <w:right w:val="single" w:sz="8" w:space="0" w:color="auto"/>
            </w:tcBorders>
            <w:noWrap/>
            <w:vAlign w:val="center"/>
            <w:hideMark/>
          </w:tcPr>
          <w:p w14:paraId="1F1FB129"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1691149</w:t>
            </w:r>
          </w:p>
        </w:tc>
        <w:tc>
          <w:tcPr>
            <w:tcW w:w="5246" w:type="dxa"/>
            <w:tcBorders>
              <w:top w:val="nil"/>
              <w:left w:val="nil"/>
              <w:bottom w:val="single" w:sz="8" w:space="0" w:color="auto"/>
              <w:right w:val="single" w:sz="8" w:space="0" w:color="auto"/>
            </w:tcBorders>
            <w:noWrap/>
            <w:vAlign w:val="center"/>
            <w:hideMark/>
          </w:tcPr>
          <w:p w14:paraId="1DDC387B" w14:textId="77777777" w:rsidR="00C11181" w:rsidRPr="00BF0367" w:rsidRDefault="00C11181" w:rsidP="00C11181">
            <w:pPr>
              <w:spacing w:after="0" w:line="240" w:lineRule="auto"/>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 xml:space="preserve">Ispravak vrijednosti potraživanja-kazne </w:t>
            </w:r>
            <w:proofErr w:type="spellStart"/>
            <w:r w:rsidRPr="00BF0367">
              <w:rPr>
                <w:rFonts w:ascii="Calibri" w:eastAsia="Times New Roman" w:hAnsi="Calibri" w:cs="Calibri"/>
                <w:color w:val="000000"/>
                <w:sz w:val="20"/>
                <w:szCs w:val="20"/>
                <w:lang w:eastAsia="hr-HR"/>
              </w:rPr>
              <w:t>prom.redara</w:t>
            </w:r>
            <w:proofErr w:type="spellEnd"/>
            <w:r w:rsidRPr="00BF0367">
              <w:rPr>
                <w:rFonts w:ascii="Calibri" w:eastAsia="Times New Roman" w:hAnsi="Calibri" w:cs="Calibri"/>
                <w:color w:val="000000"/>
                <w:sz w:val="20"/>
                <w:szCs w:val="20"/>
                <w:lang w:eastAsia="hr-HR"/>
              </w:rPr>
              <w:t xml:space="preserve"> kamate</w:t>
            </w:r>
          </w:p>
        </w:tc>
        <w:tc>
          <w:tcPr>
            <w:tcW w:w="1480" w:type="dxa"/>
            <w:tcBorders>
              <w:top w:val="nil"/>
              <w:left w:val="nil"/>
              <w:bottom w:val="single" w:sz="8" w:space="0" w:color="auto"/>
              <w:right w:val="single" w:sz="8" w:space="0" w:color="auto"/>
            </w:tcBorders>
            <w:noWrap/>
            <w:vAlign w:val="center"/>
            <w:hideMark/>
          </w:tcPr>
          <w:p w14:paraId="246F7E35"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8,1</w:t>
            </w:r>
          </w:p>
        </w:tc>
        <w:tc>
          <w:tcPr>
            <w:tcW w:w="1489" w:type="dxa"/>
            <w:tcBorders>
              <w:top w:val="nil"/>
              <w:left w:val="nil"/>
              <w:bottom w:val="single" w:sz="8" w:space="0" w:color="auto"/>
              <w:right w:val="single" w:sz="8" w:space="0" w:color="auto"/>
            </w:tcBorders>
            <w:noWrap/>
            <w:vAlign w:val="center"/>
            <w:hideMark/>
          </w:tcPr>
          <w:p w14:paraId="64498195"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8,10</w:t>
            </w:r>
          </w:p>
        </w:tc>
      </w:tr>
      <w:tr w:rsidR="00C11181" w:rsidRPr="00BF0367" w14:paraId="2D755DEA" w14:textId="77777777" w:rsidTr="00C11181">
        <w:trPr>
          <w:trHeight w:val="315"/>
        </w:trPr>
        <w:tc>
          <w:tcPr>
            <w:tcW w:w="1840" w:type="dxa"/>
            <w:tcBorders>
              <w:top w:val="nil"/>
              <w:left w:val="single" w:sz="8" w:space="0" w:color="auto"/>
              <w:bottom w:val="single" w:sz="8" w:space="0" w:color="auto"/>
              <w:right w:val="single" w:sz="8" w:space="0" w:color="auto"/>
            </w:tcBorders>
            <w:noWrap/>
            <w:vAlign w:val="center"/>
            <w:hideMark/>
          </w:tcPr>
          <w:p w14:paraId="71AE9159"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1691183</w:t>
            </w:r>
          </w:p>
        </w:tc>
        <w:tc>
          <w:tcPr>
            <w:tcW w:w="5246" w:type="dxa"/>
            <w:tcBorders>
              <w:top w:val="nil"/>
              <w:left w:val="nil"/>
              <w:bottom w:val="single" w:sz="8" w:space="0" w:color="auto"/>
              <w:right w:val="single" w:sz="8" w:space="0" w:color="auto"/>
            </w:tcBorders>
            <w:noWrap/>
            <w:vAlign w:val="center"/>
            <w:hideMark/>
          </w:tcPr>
          <w:p w14:paraId="510AF73F" w14:textId="77777777" w:rsidR="00C11181" w:rsidRPr="00BF0367" w:rsidRDefault="00C11181" w:rsidP="00C11181">
            <w:pPr>
              <w:spacing w:after="0" w:line="240" w:lineRule="auto"/>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Ispravak vrijednosti potraživanja-NUV trošak ovrhe</w:t>
            </w:r>
          </w:p>
        </w:tc>
        <w:tc>
          <w:tcPr>
            <w:tcW w:w="1480" w:type="dxa"/>
            <w:tcBorders>
              <w:top w:val="nil"/>
              <w:left w:val="nil"/>
              <w:bottom w:val="single" w:sz="8" w:space="0" w:color="auto"/>
              <w:right w:val="single" w:sz="8" w:space="0" w:color="auto"/>
            </w:tcBorders>
            <w:noWrap/>
            <w:vAlign w:val="center"/>
            <w:hideMark/>
          </w:tcPr>
          <w:p w14:paraId="2CBC05BA"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6.683,36</w:t>
            </w:r>
          </w:p>
        </w:tc>
        <w:tc>
          <w:tcPr>
            <w:tcW w:w="1489" w:type="dxa"/>
            <w:tcBorders>
              <w:top w:val="nil"/>
              <w:left w:val="nil"/>
              <w:bottom w:val="single" w:sz="8" w:space="0" w:color="auto"/>
              <w:right w:val="single" w:sz="8" w:space="0" w:color="auto"/>
            </w:tcBorders>
            <w:noWrap/>
            <w:vAlign w:val="center"/>
            <w:hideMark/>
          </w:tcPr>
          <w:p w14:paraId="4434823E"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6.824,02</w:t>
            </w:r>
          </w:p>
        </w:tc>
      </w:tr>
      <w:tr w:rsidR="00C11181" w:rsidRPr="00BF0367" w14:paraId="32210BBD" w14:textId="77777777" w:rsidTr="00C11181">
        <w:trPr>
          <w:trHeight w:val="315"/>
        </w:trPr>
        <w:tc>
          <w:tcPr>
            <w:tcW w:w="1840" w:type="dxa"/>
            <w:tcBorders>
              <w:top w:val="nil"/>
              <w:left w:val="single" w:sz="8" w:space="0" w:color="auto"/>
              <w:bottom w:val="single" w:sz="8" w:space="0" w:color="auto"/>
              <w:right w:val="single" w:sz="8" w:space="0" w:color="auto"/>
            </w:tcBorders>
            <w:noWrap/>
            <w:vAlign w:val="center"/>
            <w:hideMark/>
          </w:tcPr>
          <w:p w14:paraId="0AA0A83D"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1691184</w:t>
            </w:r>
          </w:p>
        </w:tc>
        <w:tc>
          <w:tcPr>
            <w:tcW w:w="5246" w:type="dxa"/>
            <w:tcBorders>
              <w:top w:val="nil"/>
              <w:left w:val="nil"/>
              <w:bottom w:val="single" w:sz="8" w:space="0" w:color="auto"/>
              <w:right w:val="single" w:sz="8" w:space="0" w:color="auto"/>
            </w:tcBorders>
            <w:noWrap/>
            <w:vAlign w:val="center"/>
            <w:hideMark/>
          </w:tcPr>
          <w:p w14:paraId="5062D18C" w14:textId="77777777" w:rsidR="00C11181" w:rsidRPr="00BF0367" w:rsidRDefault="00C11181" w:rsidP="00C11181">
            <w:pPr>
              <w:spacing w:after="0" w:line="240" w:lineRule="auto"/>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Ispravak vrijednosti potraživanja-</w:t>
            </w:r>
            <w:proofErr w:type="spellStart"/>
            <w:r w:rsidRPr="00BF0367">
              <w:rPr>
                <w:rFonts w:ascii="Calibri" w:eastAsia="Times New Roman" w:hAnsi="Calibri" w:cs="Calibri"/>
                <w:color w:val="000000"/>
                <w:sz w:val="20"/>
                <w:szCs w:val="20"/>
                <w:lang w:eastAsia="hr-HR"/>
              </w:rPr>
              <w:t>kom.doprinos</w:t>
            </w:r>
            <w:proofErr w:type="spellEnd"/>
            <w:r w:rsidRPr="00BF0367">
              <w:rPr>
                <w:rFonts w:ascii="Calibri" w:eastAsia="Times New Roman" w:hAnsi="Calibri" w:cs="Calibri"/>
                <w:color w:val="000000"/>
                <w:sz w:val="20"/>
                <w:szCs w:val="20"/>
                <w:lang w:eastAsia="hr-HR"/>
              </w:rPr>
              <w:t xml:space="preserve"> </w:t>
            </w:r>
            <w:proofErr w:type="spellStart"/>
            <w:r w:rsidRPr="00BF0367">
              <w:rPr>
                <w:rFonts w:ascii="Calibri" w:eastAsia="Times New Roman" w:hAnsi="Calibri" w:cs="Calibri"/>
                <w:color w:val="000000"/>
                <w:sz w:val="20"/>
                <w:szCs w:val="20"/>
                <w:lang w:eastAsia="hr-HR"/>
              </w:rPr>
              <w:t>tr.ovrhe</w:t>
            </w:r>
            <w:proofErr w:type="spellEnd"/>
          </w:p>
        </w:tc>
        <w:tc>
          <w:tcPr>
            <w:tcW w:w="1480" w:type="dxa"/>
            <w:tcBorders>
              <w:top w:val="nil"/>
              <w:left w:val="nil"/>
              <w:bottom w:val="single" w:sz="8" w:space="0" w:color="auto"/>
              <w:right w:val="single" w:sz="8" w:space="0" w:color="auto"/>
            </w:tcBorders>
            <w:noWrap/>
            <w:vAlign w:val="center"/>
            <w:hideMark/>
          </w:tcPr>
          <w:p w14:paraId="7A0DDA32"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305,21</w:t>
            </w:r>
          </w:p>
        </w:tc>
        <w:tc>
          <w:tcPr>
            <w:tcW w:w="1489" w:type="dxa"/>
            <w:tcBorders>
              <w:top w:val="nil"/>
              <w:left w:val="nil"/>
              <w:bottom w:val="single" w:sz="8" w:space="0" w:color="auto"/>
              <w:right w:val="single" w:sz="8" w:space="0" w:color="auto"/>
            </w:tcBorders>
            <w:noWrap/>
            <w:vAlign w:val="center"/>
            <w:hideMark/>
          </w:tcPr>
          <w:p w14:paraId="0078B76A"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736,36</w:t>
            </w:r>
          </w:p>
        </w:tc>
      </w:tr>
      <w:tr w:rsidR="00C11181" w:rsidRPr="00BF0367" w14:paraId="3B28BEEC" w14:textId="77777777" w:rsidTr="00C11181">
        <w:trPr>
          <w:trHeight w:val="315"/>
        </w:trPr>
        <w:tc>
          <w:tcPr>
            <w:tcW w:w="1840" w:type="dxa"/>
            <w:tcBorders>
              <w:top w:val="nil"/>
              <w:left w:val="single" w:sz="8" w:space="0" w:color="auto"/>
              <w:bottom w:val="single" w:sz="8" w:space="0" w:color="auto"/>
              <w:right w:val="single" w:sz="8" w:space="0" w:color="auto"/>
            </w:tcBorders>
            <w:noWrap/>
            <w:vAlign w:val="center"/>
            <w:hideMark/>
          </w:tcPr>
          <w:p w14:paraId="38CC2E46"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1691185</w:t>
            </w:r>
          </w:p>
        </w:tc>
        <w:tc>
          <w:tcPr>
            <w:tcW w:w="5246" w:type="dxa"/>
            <w:tcBorders>
              <w:top w:val="nil"/>
              <w:left w:val="nil"/>
              <w:bottom w:val="single" w:sz="8" w:space="0" w:color="auto"/>
              <w:right w:val="single" w:sz="8" w:space="0" w:color="auto"/>
            </w:tcBorders>
            <w:noWrap/>
            <w:vAlign w:val="center"/>
            <w:hideMark/>
          </w:tcPr>
          <w:p w14:paraId="0C1805E4" w14:textId="77777777" w:rsidR="00C11181" w:rsidRPr="00BF0367" w:rsidRDefault="00C11181" w:rsidP="00C11181">
            <w:pPr>
              <w:spacing w:after="0" w:line="240" w:lineRule="auto"/>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 xml:space="preserve">Ispravak vrijednosti potraživanja-NKN </w:t>
            </w:r>
            <w:proofErr w:type="spellStart"/>
            <w:r w:rsidRPr="00BF0367">
              <w:rPr>
                <w:rFonts w:ascii="Calibri" w:eastAsia="Times New Roman" w:hAnsi="Calibri" w:cs="Calibri"/>
                <w:color w:val="000000"/>
                <w:sz w:val="20"/>
                <w:szCs w:val="20"/>
                <w:lang w:eastAsia="hr-HR"/>
              </w:rPr>
              <w:t>tr.ovrhe</w:t>
            </w:r>
            <w:proofErr w:type="spellEnd"/>
          </w:p>
        </w:tc>
        <w:tc>
          <w:tcPr>
            <w:tcW w:w="1480" w:type="dxa"/>
            <w:tcBorders>
              <w:top w:val="nil"/>
              <w:left w:val="nil"/>
              <w:bottom w:val="single" w:sz="8" w:space="0" w:color="auto"/>
              <w:right w:val="single" w:sz="8" w:space="0" w:color="auto"/>
            </w:tcBorders>
            <w:noWrap/>
            <w:vAlign w:val="center"/>
            <w:hideMark/>
          </w:tcPr>
          <w:p w14:paraId="10A6BE84"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7.754,09</w:t>
            </w:r>
          </w:p>
        </w:tc>
        <w:tc>
          <w:tcPr>
            <w:tcW w:w="1489" w:type="dxa"/>
            <w:tcBorders>
              <w:top w:val="nil"/>
              <w:left w:val="nil"/>
              <w:bottom w:val="single" w:sz="8" w:space="0" w:color="auto"/>
              <w:right w:val="single" w:sz="8" w:space="0" w:color="auto"/>
            </w:tcBorders>
            <w:noWrap/>
            <w:vAlign w:val="center"/>
            <w:hideMark/>
          </w:tcPr>
          <w:p w14:paraId="67E79AC1"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7.891,28</w:t>
            </w:r>
          </w:p>
        </w:tc>
      </w:tr>
      <w:tr w:rsidR="00C11181" w:rsidRPr="00BF0367" w14:paraId="5226A010" w14:textId="77777777" w:rsidTr="00C11181">
        <w:trPr>
          <w:trHeight w:val="315"/>
        </w:trPr>
        <w:tc>
          <w:tcPr>
            <w:tcW w:w="1840" w:type="dxa"/>
            <w:tcBorders>
              <w:top w:val="nil"/>
              <w:left w:val="single" w:sz="8" w:space="0" w:color="auto"/>
              <w:bottom w:val="single" w:sz="8" w:space="0" w:color="auto"/>
              <w:right w:val="single" w:sz="8" w:space="0" w:color="auto"/>
            </w:tcBorders>
            <w:noWrap/>
            <w:vAlign w:val="center"/>
            <w:hideMark/>
          </w:tcPr>
          <w:p w14:paraId="2531314A"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1691187</w:t>
            </w:r>
          </w:p>
        </w:tc>
        <w:tc>
          <w:tcPr>
            <w:tcW w:w="5246" w:type="dxa"/>
            <w:tcBorders>
              <w:top w:val="nil"/>
              <w:left w:val="nil"/>
              <w:bottom w:val="single" w:sz="8" w:space="0" w:color="auto"/>
              <w:right w:val="single" w:sz="8" w:space="0" w:color="auto"/>
            </w:tcBorders>
            <w:noWrap/>
            <w:vAlign w:val="center"/>
            <w:hideMark/>
          </w:tcPr>
          <w:p w14:paraId="6B3C9748" w14:textId="77777777" w:rsidR="00C11181" w:rsidRPr="00BF0367" w:rsidRDefault="00C11181" w:rsidP="00C11181">
            <w:pPr>
              <w:spacing w:after="0" w:line="240" w:lineRule="auto"/>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 xml:space="preserve">Ispravak vrijednosti potraživanja-kazne </w:t>
            </w:r>
            <w:proofErr w:type="spellStart"/>
            <w:r w:rsidRPr="00BF0367">
              <w:rPr>
                <w:rFonts w:ascii="Calibri" w:eastAsia="Times New Roman" w:hAnsi="Calibri" w:cs="Calibri"/>
                <w:color w:val="000000"/>
                <w:sz w:val="20"/>
                <w:szCs w:val="20"/>
                <w:lang w:eastAsia="hr-HR"/>
              </w:rPr>
              <w:t>kom.red.tr.ovrhe</w:t>
            </w:r>
            <w:proofErr w:type="spellEnd"/>
          </w:p>
        </w:tc>
        <w:tc>
          <w:tcPr>
            <w:tcW w:w="1480" w:type="dxa"/>
            <w:tcBorders>
              <w:top w:val="nil"/>
              <w:left w:val="nil"/>
              <w:bottom w:val="single" w:sz="8" w:space="0" w:color="auto"/>
              <w:right w:val="single" w:sz="8" w:space="0" w:color="auto"/>
            </w:tcBorders>
            <w:noWrap/>
            <w:vAlign w:val="center"/>
            <w:hideMark/>
          </w:tcPr>
          <w:p w14:paraId="0E84963A"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13,8</w:t>
            </w:r>
          </w:p>
        </w:tc>
        <w:tc>
          <w:tcPr>
            <w:tcW w:w="1489" w:type="dxa"/>
            <w:tcBorders>
              <w:top w:val="nil"/>
              <w:left w:val="nil"/>
              <w:bottom w:val="single" w:sz="8" w:space="0" w:color="auto"/>
              <w:right w:val="single" w:sz="8" w:space="0" w:color="auto"/>
            </w:tcBorders>
            <w:noWrap/>
            <w:vAlign w:val="center"/>
            <w:hideMark/>
          </w:tcPr>
          <w:p w14:paraId="0F83E64C"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6,90</w:t>
            </w:r>
          </w:p>
        </w:tc>
      </w:tr>
      <w:tr w:rsidR="00C11181" w:rsidRPr="00BF0367" w14:paraId="248F6FA4" w14:textId="77777777" w:rsidTr="00C11181">
        <w:trPr>
          <w:trHeight w:val="315"/>
        </w:trPr>
        <w:tc>
          <w:tcPr>
            <w:tcW w:w="1840" w:type="dxa"/>
            <w:tcBorders>
              <w:top w:val="nil"/>
              <w:left w:val="single" w:sz="8" w:space="0" w:color="auto"/>
              <w:bottom w:val="single" w:sz="8" w:space="0" w:color="auto"/>
              <w:right w:val="single" w:sz="8" w:space="0" w:color="auto"/>
            </w:tcBorders>
            <w:noWrap/>
            <w:vAlign w:val="center"/>
            <w:hideMark/>
          </w:tcPr>
          <w:p w14:paraId="2ED77755"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1691189</w:t>
            </w:r>
          </w:p>
        </w:tc>
        <w:tc>
          <w:tcPr>
            <w:tcW w:w="5246" w:type="dxa"/>
            <w:tcBorders>
              <w:top w:val="nil"/>
              <w:left w:val="nil"/>
              <w:bottom w:val="single" w:sz="8" w:space="0" w:color="auto"/>
              <w:right w:val="single" w:sz="8" w:space="0" w:color="auto"/>
            </w:tcBorders>
            <w:noWrap/>
            <w:vAlign w:val="center"/>
            <w:hideMark/>
          </w:tcPr>
          <w:p w14:paraId="1B09B27A" w14:textId="77777777" w:rsidR="00C11181" w:rsidRPr="00BF0367" w:rsidRDefault="00C11181" w:rsidP="00C11181">
            <w:pPr>
              <w:spacing w:after="0" w:line="240" w:lineRule="auto"/>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Ispravak vrijednosti potraživanja porez na potrošnju</w:t>
            </w:r>
          </w:p>
        </w:tc>
        <w:tc>
          <w:tcPr>
            <w:tcW w:w="1480" w:type="dxa"/>
            <w:tcBorders>
              <w:top w:val="nil"/>
              <w:left w:val="nil"/>
              <w:bottom w:val="single" w:sz="8" w:space="0" w:color="auto"/>
              <w:right w:val="single" w:sz="8" w:space="0" w:color="auto"/>
            </w:tcBorders>
            <w:noWrap/>
            <w:vAlign w:val="center"/>
            <w:hideMark/>
          </w:tcPr>
          <w:p w14:paraId="5E10A771"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6.715,00</w:t>
            </w:r>
          </w:p>
        </w:tc>
        <w:tc>
          <w:tcPr>
            <w:tcW w:w="1489" w:type="dxa"/>
            <w:tcBorders>
              <w:top w:val="nil"/>
              <w:left w:val="nil"/>
              <w:bottom w:val="single" w:sz="8" w:space="0" w:color="auto"/>
              <w:right w:val="single" w:sz="8" w:space="0" w:color="auto"/>
            </w:tcBorders>
            <w:noWrap/>
            <w:vAlign w:val="center"/>
            <w:hideMark/>
          </w:tcPr>
          <w:p w14:paraId="3FF491F0"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4.054,71</w:t>
            </w:r>
          </w:p>
        </w:tc>
      </w:tr>
      <w:tr w:rsidR="00C11181" w:rsidRPr="00BF0367" w14:paraId="39D09773" w14:textId="77777777" w:rsidTr="00C11181">
        <w:trPr>
          <w:trHeight w:val="315"/>
        </w:trPr>
        <w:tc>
          <w:tcPr>
            <w:tcW w:w="1840" w:type="dxa"/>
            <w:tcBorders>
              <w:top w:val="nil"/>
              <w:left w:val="single" w:sz="8" w:space="0" w:color="auto"/>
              <w:bottom w:val="single" w:sz="8" w:space="0" w:color="auto"/>
              <w:right w:val="single" w:sz="8" w:space="0" w:color="auto"/>
            </w:tcBorders>
            <w:noWrap/>
            <w:vAlign w:val="center"/>
            <w:hideMark/>
          </w:tcPr>
          <w:p w14:paraId="2DBABD0C"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1691190</w:t>
            </w:r>
          </w:p>
        </w:tc>
        <w:tc>
          <w:tcPr>
            <w:tcW w:w="5246" w:type="dxa"/>
            <w:tcBorders>
              <w:top w:val="nil"/>
              <w:left w:val="nil"/>
              <w:bottom w:val="single" w:sz="8" w:space="0" w:color="auto"/>
              <w:right w:val="single" w:sz="8" w:space="0" w:color="auto"/>
            </w:tcBorders>
            <w:noWrap/>
            <w:vAlign w:val="center"/>
            <w:hideMark/>
          </w:tcPr>
          <w:p w14:paraId="6FF3405C" w14:textId="77777777" w:rsidR="00C11181" w:rsidRPr="00BF0367" w:rsidRDefault="00C11181" w:rsidP="00C11181">
            <w:pPr>
              <w:spacing w:after="0" w:line="240" w:lineRule="auto"/>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Ispravak vrijednosti potraživanja porez na kuće za odmor</w:t>
            </w:r>
          </w:p>
        </w:tc>
        <w:tc>
          <w:tcPr>
            <w:tcW w:w="1480" w:type="dxa"/>
            <w:tcBorders>
              <w:top w:val="nil"/>
              <w:left w:val="nil"/>
              <w:bottom w:val="single" w:sz="8" w:space="0" w:color="auto"/>
              <w:right w:val="single" w:sz="8" w:space="0" w:color="auto"/>
            </w:tcBorders>
            <w:noWrap/>
            <w:vAlign w:val="center"/>
            <w:hideMark/>
          </w:tcPr>
          <w:p w14:paraId="61F902CE"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4.069,61</w:t>
            </w:r>
          </w:p>
        </w:tc>
        <w:tc>
          <w:tcPr>
            <w:tcW w:w="1489" w:type="dxa"/>
            <w:tcBorders>
              <w:top w:val="nil"/>
              <w:left w:val="nil"/>
              <w:bottom w:val="single" w:sz="8" w:space="0" w:color="auto"/>
              <w:right w:val="single" w:sz="8" w:space="0" w:color="auto"/>
            </w:tcBorders>
            <w:noWrap/>
            <w:vAlign w:val="center"/>
            <w:hideMark/>
          </w:tcPr>
          <w:p w14:paraId="28ED7C91"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2.136,18</w:t>
            </w:r>
          </w:p>
        </w:tc>
      </w:tr>
      <w:tr w:rsidR="00C11181" w:rsidRPr="00BF0367" w14:paraId="7EC6BF65" w14:textId="77777777" w:rsidTr="00C11181">
        <w:trPr>
          <w:trHeight w:val="315"/>
        </w:trPr>
        <w:tc>
          <w:tcPr>
            <w:tcW w:w="1840" w:type="dxa"/>
            <w:tcBorders>
              <w:top w:val="nil"/>
              <w:left w:val="single" w:sz="8" w:space="0" w:color="auto"/>
              <w:bottom w:val="single" w:sz="8" w:space="0" w:color="auto"/>
              <w:right w:val="single" w:sz="8" w:space="0" w:color="auto"/>
            </w:tcBorders>
            <w:noWrap/>
            <w:vAlign w:val="center"/>
            <w:hideMark/>
          </w:tcPr>
          <w:p w14:paraId="124EE947"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1691191</w:t>
            </w:r>
          </w:p>
        </w:tc>
        <w:tc>
          <w:tcPr>
            <w:tcW w:w="5246" w:type="dxa"/>
            <w:tcBorders>
              <w:top w:val="nil"/>
              <w:left w:val="nil"/>
              <w:bottom w:val="single" w:sz="8" w:space="0" w:color="auto"/>
              <w:right w:val="single" w:sz="8" w:space="0" w:color="auto"/>
            </w:tcBorders>
            <w:noWrap/>
            <w:vAlign w:val="center"/>
            <w:hideMark/>
          </w:tcPr>
          <w:p w14:paraId="7857FBBE" w14:textId="77777777" w:rsidR="00C11181" w:rsidRPr="00BF0367" w:rsidRDefault="00C11181" w:rsidP="00C11181">
            <w:pPr>
              <w:spacing w:after="0" w:line="240" w:lineRule="auto"/>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Ispravak vrijednosti potraživanja porez na tvrtku</w:t>
            </w:r>
          </w:p>
        </w:tc>
        <w:tc>
          <w:tcPr>
            <w:tcW w:w="1480" w:type="dxa"/>
            <w:tcBorders>
              <w:top w:val="nil"/>
              <w:left w:val="nil"/>
              <w:bottom w:val="single" w:sz="8" w:space="0" w:color="auto"/>
              <w:right w:val="single" w:sz="8" w:space="0" w:color="auto"/>
            </w:tcBorders>
            <w:noWrap/>
            <w:vAlign w:val="center"/>
            <w:hideMark/>
          </w:tcPr>
          <w:p w14:paraId="626195A4"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8.551,33</w:t>
            </w:r>
          </w:p>
        </w:tc>
        <w:tc>
          <w:tcPr>
            <w:tcW w:w="1489" w:type="dxa"/>
            <w:tcBorders>
              <w:top w:val="nil"/>
              <w:left w:val="nil"/>
              <w:bottom w:val="single" w:sz="8" w:space="0" w:color="auto"/>
              <w:right w:val="single" w:sz="8" w:space="0" w:color="auto"/>
            </w:tcBorders>
            <w:noWrap/>
            <w:vAlign w:val="center"/>
            <w:hideMark/>
          </w:tcPr>
          <w:p w14:paraId="54B6AAE4"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5.934,24</w:t>
            </w:r>
          </w:p>
        </w:tc>
      </w:tr>
      <w:tr w:rsidR="00C11181" w:rsidRPr="00BF0367" w14:paraId="3D0E6B97" w14:textId="77777777" w:rsidTr="00C11181">
        <w:trPr>
          <w:trHeight w:val="315"/>
        </w:trPr>
        <w:tc>
          <w:tcPr>
            <w:tcW w:w="1840" w:type="dxa"/>
            <w:tcBorders>
              <w:top w:val="nil"/>
              <w:left w:val="single" w:sz="8" w:space="0" w:color="auto"/>
              <w:bottom w:val="single" w:sz="8" w:space="0" w:color="auto"/>
              <w:right w:val="single" w:sz="8" w:space="0" w:color="auto"/>
            </w:tcBorders>
            <w:noWrap/>
            <w:vAlign w:val="center"/>
            <w:hideMark/>
          </w:tcPr>
          <w:p w14:paraId="29A98C57"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1691192</w:t>
            </w:r>
          </w:p>
        </w:tc>
        <w:tc>
          <w:tcPr>
            <w:tcW w:w="5246" w:type="dxa"/>
            <w:tcBorders>
              <w:top w:val="nil"/>
              <w:left w:val="nil"/>
              <w:bottom w:val="single" w:sz="8" w:space="0" w:color="auto"/>
              <w:right w:val="single" w:sz="8" w:space="0" w:color="auto"/>
            </w:tcBorders>
            <w:noWrap/>
            <w:vAlign w:val="center"/>
            <w:hideMark/>
          </w:tcPr>
          <w:p w14:paraId="6879A8D0" w14:textId="77777777" w:rsidR="00C11181" w:rsidRPr="00BF0367" w:rsidRDefault="00C11181" w:rsidP="00C11181">
            <w:pPr>
              <w:spacing w:after="0" w:line="240" w:lineRule="auto"/>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Ispravak vrijednosti potraživanja porez na korištenje JPP</w:t>
            </w:r>
          </w:p>
        </w:tc>
        <w:tc>
          <w:tcPr>
            <w:tcW w:w="1480" w:type="dxa"/>
            <w:tcBorders>
              <w:top w:val="nil"/>
              <w:left w:val="nil"/>
              <w:bottom w:val="single" w:sz="8" w:space="0" w:color="auto"/>
              <w:right w:val="single" w:sz="8" w:space="0" w:color="auto"/>
            </w:tcBorders>
            <w:noWrap/>
            <w:vAlign w:val="center"/>
            <w:hideMark/>
          </w:tcPr>
          <w:p w14:paraId="1E4E3125"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1.946,10</w:t>
            </w:r>
          </w:p>
        </w:tc>
        <w:tc>
          <w:tcPr>
            <w:tcW w:w="1489" w:type="dxa"/>
            <w:tcBorders>
              <w:top w:val="nil"/>
              <w:left w:val="nil"/>
              <w:bottom w:val="single" w:sz="8" w:space="0" w:color="auto"/>
              <w:right w:val="single" w:sz="8" w:space="0" w:color="auto"/>
            </w:tcBorders>
            <w:noWrap/>
            <w:vAlign w:val="center"/>
            <w:hideMark/>
          </w:tcPr>
          <w:p w14:paraId="38C01C67"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608,58</w:t>
            </w:r>
          </w:p>
        </w:tc>
      </w:tr>
      <w:tr w:rsidR="00C11181" w:rsidRPr="00BF0367" w14:paraId="7B2F442C" w14:textId="77777777" w:rsidTr="00C11181">
        <w:trPr>
          <w:trHeight w:val="315"/>
        </w:trPr>
        <w:tc>
          <w:tcPr>
            <w:tcW w:w="1840" w:type="dxa"/>
            <w:tcBorders>
              <w:top w:val="nil"/>
              <w:left w:val="single" w:sz="8" w:space="0" w:color="auto"/>
              <w:bottom w:val="single" w:sz="8" w:space="0" w:color="auto"/>
              <w:right w:val="single" w:sz="8" w:space="0" w:color="auto"/>
            </w:tcBorders>
            <w:noWrap/>
            <w:vAlign w:val="center"/>
            <w:hideMark/>
          </w:tcPr>
          <w:p w14:paraId="6D426754"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1691193</w:t>
            </w:r>
          </w:p>
        </w:tc>
        <w:tc>
          <w:tcPr>
            <w:tcW w:w="5246" w:type="dxa"/>
            <w:tcBorders>
              <w:top w:val="nil"/>
              <w:left w:val="nil"/>
              <w:bottom w:val="single" w:sz="8" w:space="0" w:color="auto"/>
              <w:right w:val="single" w:sz="8" w:space="0" w:color="auto"/>
            </w:tcBorders>
            <w:noWrap/>
            <w:vAlign w:val="center"/>
            <w:hideMark/>
          </w:tcPr>
          <w:p w14:paraId="2782FBCD" w14:textId="77777777" w:rsidR="00C11181" w:rsidRPr="00BF0367" w:rsidRDefault="00C11181" w:rsidP="00C11181">
            <w:pPr>
              <w:spacing w:after="0" w:line="240" w:lineRule="auto"/>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Ispravak vrijednosti potraživanja porez na promet nekretninama</w:t>
            </w:r>
          </w:p>
        </w:tc>
        <w:tc>
          <w:tcPr>
            <w:tcW w:w="1480" w:type="dxa"/>
            <w:tcBorders>
              <w:top w:val="nil"/>
              <w:left w:val="nil"/>
              <w:bottom w:val="single" w:sz="8" w:space="0" w:color="auto"/>
              <w:right w:val="single" w:sz="8" w:space="0" w:color="auto"/>
            </w:tcBorders>
            <w:noWrap/>
            <w:vAlign w:val="center"/>
            <w:hideMark/>
          </w:tcPr>
          <w:p w14:paraId="6702ABBB"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108.002,04</w:t>
            </w:r>
          </w:p>
        </w:tc>
        <w:tc>
          <w:tcPr>
            <w:tcW w:w="1489" w:type="dxa"/>
            <w:tcBorders>
              <w:top w:val="nil"/>
              <w:left w:val="nil"/>
              <w:bottom w:val="single" w:sz="8" w:space="0" w:color="auto"/>
              <w:right w:val="single" w:sz="8" w:space="0" w:color="auto"/>
            </w:tcBorders>
            <w:noWrap/>
            <w:vAlign w:val="center"/>
            <w:hideMark/>
          </w:tcPr>
          <w:p w14:paraId="6C8310FA"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81.162,02</w:t>
            </w:r>
          </w:p>
        </w:tc>
      </w:tr>
      <w:tr w:rsidR="00C11181" w:rsidRPr="00BF0367" w14:paraId="371C56C3" w14:textId="77777777" w:rsidTr="00C11181">
        <w:trPr>
          <w:trHeight w:val="315"/>
        </w:trPr>
        <w:tc>
          <w:tcPr>
            <w:tcW w:w="1840" w:type="dxa"/>
            <w:tcBorders>
              <w:top w:val="nil"/>
              <w:left w:val="single" w:sz="8" w:space="0" w:color="auto"/>
              <w:bottom w:val="single" w:sz="8" w:space="0" w:color="auto"/>
              <w:right w:val="single" w:sz="8" w:space="0" w:color="auto"/>
            </w:tcBorders>
            <w:noWrap/>
            <w:vAlign w:val="center"/>
            <w:hideMark/>
          </w:tcPr>
          <w:p w14:paraId="5F5747D7"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1691194</w:t>
            </w:r>
          </w:p>
        </w:tc>
        <w:tc>
          <w:tcPr>
            <w:tcW w:w="5246" w:type="dxa"/>
            <w:tcBorders>
              <w:top w:val="nil"/>
              <w:left w:val="nil"/>
              <w:bottom w:val="single" w:sz="8" w:space="0" w:color="auto"/>
              <w:right w:val="single" w:sz="8" w:space="0" w:color="auto"/>
            </w:tcBorders>
            <w:noWrap/>
            <w:vAlign w:val="center"/>
            <w:hideMark/>
          </w:tcPr>
          <w:p w14:paraId="326BE6B0" w14:textId="77777777" w:rsidR="00C11181" w:rsidRPr="00BF0367" w:rsidRDefault="00C11181" w:rsidP="00C11181">
            <w:pPr>
              <w:spacing w:after="0" w:line="240" w:lineRule="auto"/>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 xml:space="preserve">Ispravak vrijednosti potraživanja JPP </w:t>
            </w:r>
            <w:proofErr w:type="spellStart"/>
            <w:r w:rsidRPr="00BF0367">
              <w:rPr>
                <w:rFonts w:ascii="Calibri" w:eastAsia="Times New Roman" w:hAnsi="Calibri" w:cs="Calibri"/>
                <w:color w:val="000000"/>
                <w:sz w:val="20"/>
                <w:szCs w:val="20"/>
                <w:lang w:eastAsia="hr-HR"/>
              </w:rPr>
              <w:t>tr.ovrhe</w:t>
            </w:r>
            <w:proofErr w:type="spellEnd"/>
          </w:p>
        </w:tc>
        <w:tc>
          <w:tcPr>
            <w:tcW w:w="1480" w:type="dxa"/>
            <w:tcBorders>
              <w:top w:val="nil"/>
              <w:left w:val="nil"/>
              <w:bottom w:val="single" w:sz="8" w:space="0" w:color="auto"/>
              <w:right w:val="single" w:sz="8" w:space="0" w:color="auto"/>
            </w:tcBorders>
            <w:noWrap/>
            <w:vAlign w:val="center"/>
            <w:hideMark/>
          </w:tcPr>
          <w:p w14:paraId="707DB0C5"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107,21</w:t>
            </w:r>
          </w:p>
        </w:tc>
        <w:tc>
          <w:tcPr>
            <w:tcW w:w="1489" w:type="dxa"/>
            <w:tcBorders>
              <w:top w:val="nil"/>
              <w:left w:val="nil"/>
              <w:bottom w:val="single" w:sz="8" w:space="0" w:color="auto"/>
              <w:right w:val="single" w:sz="8" w:space="0" w:color="auto"/>
            </w:tcBorders>
            <w:noWrap/>
            <w:vAlign w:val="center"/>
            <w:hideMark/>
          </w:tcPr>
          <w:p w14:paraId="20F376AC"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107,21</w:t>
            </w:r>
          </w:p>
        </w:tc>
      </w:tr>
      <w:tr w:rsidR="00C11181" w:rsidRPr="00BF0367" w14:paraId="6C01DD3E" w14:textId="77777777" w:rsidTr="00C11181">
        <w:trPr>
          <w:trHeight w:val="315"/>
        </w:trPr>
        <w:tc>
          <w:tcPr>
            <w:tcW w:w="1840" w:type="dxa"/>
            <w:tcBorders>
              <w:top w:val="nil"/>
              <w:left w:val="single" w:sz="8" w:space="0" w:color="auto"/>
              <w:bottom w:val="single" w:sz="8" w:space="0" w:color="auto"/>
              <w:right w:val="single" w:sz="8" w:space="0" w:color="auto"/>
            </w:tcBorders>
            <w:noWrap/>
            <w:vAlign w:val="center"/>
            <w:hideMark/>
          </w:tcPr>
          <w:p w14:paraId="55394C1B"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1691195</w:t>
            </w:r>
          </w:p>
        </w:tc>
        <w:tc>
          <w:tcPr>
            <w:tcW w:w="5246" w:type="dxa"/>
            <w:tcBorders>
              <w:top w:val="nil"/>
              <w:left w:val="nil"/>
              <w:bottom w:val="single" w:sz="8" w:space="0" w:color="auto"/>
              <w:right w:val="single" w:sz="8" w:space="0" w:color="auto"/>
            </w:tcBorders>
            <w:noWrap/>
            <w:vAlign w:val="center"/>
            <w:hideMark/>
          </w:tcPr>
          <w:p w14:paraId="12299CC6" w14:textId="77777777" w:rsidR="00C11181" w:rsidRPr="00BF0367" w:rsidRDefault="00C11181" w:rsidP="00C11181">
            <w:pPr>
              <w:spacing w:after="0" w:line="240" w:lineRule="auto"/>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 xml:space="preserve">Ispravak vrijednosti potraživanja koncesija </w:t>
            </w:r>
            <w:proofErr w:type="spellStart"/>
            <w:r w:rsidRPr="00BF0367">
              <w:rPr>
                <w:rFonts w:ascii="Calibri" w:eastAsia="Times New Roman" w:hAnsi="Calibri" w:cs="Calibri"/>
                <w:color w:val="000000"/>
                <w:sz w:val="20"/>
                <w:szCs w:val="20"/>
                <w:lang w:eastAsia="hr-HR"/>
              </w:rPr>
              <w:t>pom.dobro</w:t>
            </w:r>
            <w:proofErr w:type="spellEnd"/>
          </w:p>
        </w:tc>
        <w:tc>
          <w:tcPr>
            <w:tcW w:w="1480" w:type="dxa"/>
            <w:tcBorders>
              <w:top w:val="nil"/>
              <w:left w:val="nil"/>
              <w:bottom w:val="single" w:sz="8" w:space="0" w:color="auto"/>
              <w:right w:val="single" w:sz="8" w:space="0" w:color="auto"/>
            </w:tcBorders>
            <w:noWrap/>
            <w:vAlign w:val="center"/>
            <w:hideMark/>
          </w:tcPr>
          <w:p w14:paraId="61702029"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331,81</w:t>
            </w:r>
          </w:p>
        </w:tc>
        <w:tc>
          <w:tcPr>
            <w:tcW w:w="1489" w:type="dxa"/>
            <w:tcBorders>
              <w:top w:val="nil"/>
              <w:left w:val="nil"/>
              <w:bottom w:val="single" w:sz="8" w:space="0" w:color="auto"/>
              <w:right w:val="single" w:sz="8" w:space="0" w:color="auto"/>
            </w:tcBorders>
            <w:noWrap/>
            <w:vAlign w:val="center"/>
            <w:hideMark/>
          </w:tcPr>
          <w:p w14:paraId="258EA2A2"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0,00</w:t>
            </w:r>
          </w:p>
        </w:tc>
      </w:tr>
      <w:tr w:rsidR="00C11181" w:rsidRPr="00BF0367" w14:paraId="02E8A0D8" w14:textId="77777777" w:rsidTr="00C11181">
        <w:trPr>
          <w:trHeight w:val="315"/>
        </w:trPr>
        <w:tc>
          <w:tcPr>
            <w:tcW w:w="1840" w:type="dxa"/>
            <w:tcBorders>
              <w:top w:val="nil"/>
              <w:left w:val="single" w:sz="8" w:space="0" w:color="auto"/>
              <w:bottom w:val="single" w:sz="8" w:space="0" w:color="auto"/>
              <w:right w:val="single" w:sz="8" w:space="0" w:color="auto"/>
            </w:tcBorders>
            <w:noWrap/>
            <w:vAlign w:val="center"/>
            <w:hideMark/>
          </w:tcPr>
          <w:p w14:paraId="1E917CCD"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1691197</w:t>
            </w:r>
          </w:p>
        </w:tc>
        <w:tc>
          <w:tcPr>
            <w:tcW w:w="5246" w:type="dxa"/>
            <w:tcBorders>
              <w:top w:val="nil"/>
              <w:left w:val="nil"/>
              <w:bottom w:val="single" w:sz="8" w:space="0" w:color="auto"/>
              <w:right w:val="single" w:sz="8" w:space="0" w:color="auto"/>
            </w:tcBorders>
            <w:noWrap/>
            <w:vAlign w:val="center"/>
            <w:hideMark/>
          </w:tcPr>
          <w:p w14:paraId="4E6D7FE4" w14:textId="77777777" w:rsidR="00C11181" w:rsidRPr="00BF0367" w:rsidRDefault="00C11181" w:rsidP="00C11181">
            <w:pPr>
              <w:spacing w:after="0" w:line="240" w:lineRule="auto"/>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 xml:space="preserve">Ispravak vrijednosti potraživanja </w:t>
            </w:r>
            <w:proofErr w:type="spellStart"/>
            <w:r w:rsidRPr="00BF0367">
              <w:rPr>
                <w:rFonts w:ascii="Calibri" w:eastAsia="Times New Roman" w:hAnsi="Calibri" w:cs="Calibri"/>
                <w:color w:val="000000"/>
                <w:sz w:val="20"/>
                <w:szCs w:val="20"/>
                <w:lang w:eastAsia="hr-HR"/>
              </w:rPr>
              <w:t>tr.JB</w:t>
            </w:r>
            <w:proofErr w:type="spellEnd"/>
            <w:r w:rsidRPr="00BF0367">
              <w:rPr>
                <w:rFonts w:ascii="Calibri" w:eastAsia="Times New Roman" w:hAnsi="Calibri" w:cs="Calibri"/>
                <w:color w:val="000000"/>
                <w:sz w:val="20"/>
                <w:szCs w:val="20"/>
                <w:lang w:eastAsia="hr-HR"/>
              </w:rPr>
              <w:t xml:space="preserve"> kazne </w:t>
            </w:r>
            <w:proofErr w:type="spellStart"/>
            <w:r w:rsidRPr="00BF0367">
              <w:rPr>
                <w:rFonts w:ascii="Calibri" w:eastAsia="Times New Roman" w:hAnsi="Calibri" w:cs="Calibri"/>
                <w:color w:val="000000"/>
                <w:sz w:val="20"/>
                <w:szCs w:val="20"/>
                <w:lang w:eastAsia="hr-HR"/>
              </w:rPr>
              <w:t>kom.redara</w:t>
            </w:r>
            <w:proofErr w:type="spellEnd"/>
          </w:p>
        </w:tc>
        <w:tc>
          <w:tcPr>
            <w:tcW w:w="1480" w:type="dxa"/>
            <w:tcBorders>
              <w:top w:val="nil"/>
              <w:left w:val="nil"/>
              <w:bottom w:val="single" w:sz="8" w:space="0" w:color="auto"/>
              <w:right w:val="single" w:sz="8" w:space="0" w:color="auto"/>
            </w:tcBorders>
            <w:noWrap/>
            <w:vAlign w:val="center"/>
            <w:hideMark/>
          </w:tcPr>
          <w:p w14:paraId="59D0293D"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265,92</w:t>
            </w:r>
          </w:p>
        </w:tc>
        <w:tc>
          <w:tcPr>
            <w:tcW w:w="1489" w:type="dxa"/>
            <w:tcBorders>
              <w:top w:val="nil"/>
              <w:left w:val="nil"/>
              <w:bottom w:val="single" w:sz="8" w:space="0" w:color="auto"/>
              <w:right w:val="single" w:sz="8" w:space="0" w:color="auto"/>
            </w:tcBorders>
            <w:noWrap/>
            <w:vAlign w:val="center"/>
            <w:hideMark/>
          </w:tcPr>
          <w:p w14:paraId="21CAFA14"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r w:rsidRPr="00BF0367">
              <w:rPr>
                <w:rFonts w:ascii="Calibri" w:eastAsia="Times New Roman" w:hAnsi="Calibri" w:cs="Calibri"/>
                <w:color w:val="000000"/>
                <w:sz w:val="20"/>
                <w:szCs w:val="20"/>
                <w:lang w:eastAsia="hr-HR"/>
              </w:rPr>
              <w:t>164,78</w:t>
            </w:r>
          </w:p>
        </w:tc>
      </w:tr>
      <w:tr w:rsidR="00C11181" w:rsidRPr="00BF0367" w14:paraId="137B5F41" w14:textId="77777777" w:rsidTr="00C11181">
        <w:trPr>
          <w:trHeight w:val="300"/>
        </w:trPr>
        <w:tc>
          <w:tcPr>
            <w:tcW w:w="1840" w:type="dxa"/>
            <w:tcBorders>
              <w:top w:val="nil"/>
              <w:left w:val="nil"/>
              <w:bottom w:val="nil"/>
              <w:right w:val="nil"/>
            </w:tcBorders>
            <w:noWrap/>
            <w:vAlign w:val="bottom"/>
          </w:tcPr>
          <w:p w14:paraId="316F2E33" w14:textId="77777777" w:rsidR="00C11181" w:rsidRPr="00BF0367" w:rsidRDefault="00C11181" w:rsidP="00C11181">
            <w:pPr>
              <w:spacing w:after="0" w:line="240" w:lineRule="auto"/>
              <w:jc w:val="right"/>
              <w:rPr>
                <w:rFonts w:ascii="Calibri" w:eastAsia="Times New Roman" w:hAnsi="Calibri" w:cs="Calibri"/>
                <w:color w:val="000000"/>
                <w:sz w:val="20"/>
                <w:szCs w:val="20"/>
                <w:lang w:eastAsia="hr-HR"/>
              </w:rPr>
            </w:pPr>
          </w:p>
        </w:tc>
        <w:tc>
          <w:tcPr>
            <w:tcW w:w="5246" w:type="dxa"/>
            <w:tcBorders>
              <w:top w:val="nil"/>
              <w:left w:val="nil"/>
              <w:bottom w:val="nil"/>
              <w:right w:val="nil"/>
            </w:tcBorders>
            <w:noWrap/>
            <w:vAlign w:val="bottom"/>
          </w:tcPr>
          <w:p w14:paraId="114C290F" w14:textId="77777777" w:rsidR="00C11181" w:rsidRPr="00BF0367" w:rsidRDefault="00C11181" w:rsidP="00C11181">
            <w:pPr>
              <w:spacing w:after="0" w:line="240" w:lineRule="auto"/>
              <w:rPr>
                <w:rFonts w:ascii="Times New Roman" w:eastAsia="Times New Roman" w:hAnsi="Times New Roman" w:cs="Times New Roman"/>
                <w:sz w:val="20"/>
                <w:szCs w:val="20"/>
                <w:lang w:eastAsia="hr-HR"/>
              </w:rPr>
            </w:pPr>
          </w:p>
        </w:tc>
        <w:tc>
          <w:tcPr>
            <w:tcW w:w="1480" w:type="dxa"/>
            <w:tcBorders>
              <w:top w:val="nil"/>
              <w:left w:val="nil"/>
              <w:bottom w:val="nil"/>
              <w:right w:val="nil"/>
            </w:tcBorders>
            <w:noWrap/>
            <w:vAlign w:val="bottom"/>
            <w:hideMark/>
          </w:tcPr>
          <w:p w14:paraId="31CFD65A" w14:textId="77777777" w:rsidR="00C11181" w:rsidRPr="00BF0367" w:rsidRDefault="00C11181" w:rsidP="00C11181">
            <w:pPr>
              <w:spacing w:after="0" w:line="240" w:lineRule="auto"/>
              <w:rPr>
                <w:rFonts w:ascii="Times New Roman" w:eastAsia="Times New Roman" w:hAnsi="Times New Roman" w:cs="Times New Roman"/>
                <w:sz w:val="20"/>
                <w:szCs w:val="20"/>
                <w:lang w:eastAsia="hr-HR"/>
              </w:rPr>
            </w:pPr>
          </w:p>
        </w:tc>
        <w:tc>
          <w:tcPr>
            <w:tcW w:w="1489" w:type="dxa"/>
            <w:tcBorders>
              <w:top w:val="nil"/>
              <w:left w:val="nil"/>
              <w:bottom w:val="nil"/>
              <w:right w:val="nil"/>
            </w:tcBorders>
            <w:noWrap/>
            <w:vAlign w:val="bottom"/>
            <w:hideMark/>
          </w:tcPr>
          <w:p w14:paraId="0D5F137D" w14:textId="77777777" w:rsidR="00C11181" w:rsidRPr="00BF0367" w:rsidRDefault="00C11181" w:rsidP="00C11181">
            <w:pPr>
              <w:spacing w:after="0" w:line="240" w:lineRule="auto"/>
              <w:rPr>
                <w:rFonts w:ascii="Times New Roman" w:eastAsia="Times New Roman" w:hAnsi="Times New Roman" w:cs="Times New Roman"/>
                <w:sz w:val="20"/>
                <w:szCs w:val="20"/>
                <w:lang w:eastAsia="hr-HR"/>
              </w:rPr>
            </w:pPr>
          </w:p>
        </w:tc>
      </w:tr>
    </w:tbl>
    <w:p w14:paraId="51CD22B4" w14:textId="77777777" w:rsidR="005F5D64" w:rsidRDefault="005F5D64" w:rsidP="003413FD">
      <w:pPr>
        <w:pStyle w:val="Bezproreda"/>
        <w:jc w:val="both"/>
        <w:rPr>
          <w:rFonts w:eastAsia="Times New Roman" w:cs="Calibri"/>
          <w:color w:val="000000"/>
          <w:sz w:val="24"/>
          <w:szCs w:val="24"/>
          <w:lang w:eastAsia="hr-HR"/>
        </w:rPr>
      </w:pPr>
    </w:p>
    <w:p w14:paraId="5A722804" w14:textId="5F1C0A89" w:rsidR="00B7386F" w:rsidRPr="003413FD" w:rsidRDefault="00820F2B" w:rsidP="003413FD">
      <w:pPr>
        <w:pStyle w:val="Bezproreda"/>
        <w:jc w:val="both"/>
        <w:rPr>
          <w:rFonts w:eastAsia="Times New Roman" w:cs="Calibri"/>
          <w:color w:val="000000"/>
          <w:sz w:val="24"/>
          <w:szCs w:val="24"/>
          <w:lang w:eastAsia="hr-HR"/>
        </w:rPr>
      </w:pPr>
      <w:r>
        <w:rPr>
          <w:rFonts w:eastAsia="Times New Roman" w:cs="Calibri"/>
          <w:color w:val="000000"/>
          <w:sz w:val="24"/>
          <w:szCs w:val="24"/>
          <w:lang w:eastAsia="hr-HR"/>
        </w:rPr>
        <w:t xml:space="preserve">Preostali iznos od </w:t>
      </w:r>
      <w:r w:rsidR="008B315A">
        <w:rPr>
          <w:rFonts w:eastAsia="Times New Roman" w:cs="Calibri"/>
          <w:color w:val="000000"/>
          <w:sz w:val="24"/>
          <w:szCs w:val="24"/>
          <w:lang w:eastAsia="hr-HR"/>
        </w:rPr>
        <w:t>1.646,57</w:t>
      </w:r>
      <w:r>
        <w:rPr>
          <w:rFonts w:eastAsia="Times New Roman" w:cs="Calibri"/>
          <w:color w:val="000000"/>
          <w:sz w:val="24"/>
          <w:szCs w:val="24"/>
          <w:lang w:eastAsia="hr-HR"/>
        </w:rPr>
        <w:t xml:space="preserve"> eura odnosi se na ispravak vrijednosti potraživanja</w:t>
      </w:r>
      <w:r w:rsidR="001512B1">
        <w:rPr>
          <w:rFonts w:eastAsia="Times New Roman" w:cs="Calibri"/>
          <w:color w:val="000000"/>
          <w:sz w:val="24"/>
          <w:szCs w:val="24"/>
          <w:lang w:eastAsia="hr-HR"/>
        </w:rPr>
        <w:t xml:space="preserve"> za pristojbe po posebnim propisima</w:t>
      </w:r>
      <w:r>
        <w:rPr>
          <w:rFonts w:eastAsia="Times New Roman" w:cs="Calibri"/>
          <w:color w:val="000000"/>
          <w:sz w:val="24"/>
          <w:szCs w:val="24"/>
          <w:lang w:eastAsia="hr-HR"/>
        </w:rPr>
        <w:t xml:space="preserve"> kod dječjeg vrtića Trogir</w:t>
      </w:r>
      <w:r w:rsidR="008F6D71">
        <w:rPr>
          <w:rFonts w:eastAsia="Times New Roman" w:cs="Calibri"/>
          <w:color w:val="000000"/>
          <w:sz w:val="24"/>
          <w:szCs w:val="24"/>
          <w:lang w:eastAsia="hr-HR"/>
        </w:rPr>
        <w:t xml:space="preserve"> po stopi od 100% za potraživanja koja kasne u naplati više od dvije godine u iznosu od 544,56 eura. Temeljem odluke Upravnog vijeća, a na prijedlog povjerenstva za inventuru napravljen je otpis potraživanja u iznosu od 442,36 eura, te ukupan iznos ispravka vrijednosti potraživanja iznosi 1.646,57 eura što je za 6,6% više u odnosu na prethodno </w:t>
      </w:r>
      <w:r w:rsidR="003D756F">
        <w:rPr>
          <w:rFonts w:eastAsia="Times New Roman" w:cs="Calibri"/>
          <w:color w:val="000000"/>
          <w:sz w:val="24"/>
          <w:szCs w:val="24"/>
          <w:lang w:eastAsia="hr-HR"/>
        </w:rPr>
        <w:t>razdoblje</w:t>
      </w:r>
      <w:r w:rsidR="008F6D71">
        <w:rPr>
          <w:rFonts w:eastAsia="Times New Roman" w:cs="Calibri"/>
          <w:color w:val="000000"/>
          <w:sz w:val="24"/>
          <w:szCs w:val="24"/>
          <w:lang w:eastAsia="hr-HR"/>
        </w:rPr>
        <w:t>,</w:t>
      </w:r>
      <w:r w:rsidR="007B5FF7">
        <w:rPr>
          <w:rFonts w:eastAsia="Times New Roman" w:cs="Calibri"/>
          <w:color w:val="000000"/>
          <w:sz w:val="24"/>
          <w:szCs w:val="24"/>
          <w:lang w:eastAsia="hr-HR"/>
        </w:rPr>
        <w:t xml:space="preserve"> </w:t>
      </w:r>
      <w:r>
        <w:rPr>
          <w:rFonts w:eastAsia="Times New Roman" w:cs="Calibri"/>
          <w:color w:val="000000"/>
          <w:sz w:val="24"/>
          <w:szCs w:val="24"/>
          <w:lang w:eastAsia="hr-HR"/>
        </w:rPr>
        <w:t>dok se kod ostalih proračunskih korisnika ne bilježi ostvarenje ispravka vrijednosti potraživanja</w:t>
      </w:r>
      <w:r w:rsidR="001512B1">
        <w:rPr>
          <w:rFonts w:eastAsia="Times New Roman" w:cs="Calibri"/>
          <w:color w:val="000000"/>
          <w:sz w:val="24"/>
          <w:szCs w:val="24"/>
          <w:lang w:eastAsia="hr-HR"/>
        </w:rPr>
        <w:t>.</w:t>
      </w:r>
    </w:p>
    <w:p w14:paraId="1C4F6BC3" w14:textId="77777777" w:rsidR="004B583C" w:rsidRDefault="004B583C" w:rsidP="00820F2B">
      <w:pPr>
        <w:rPr>
          <w:rFonts w:cstheme="minorHAnsi"/>
          <w:sz w:val="24"/>
          <w:szCs w:val="24"/>
        </w:rPr>
      </w:pPr>
    </w:p>
    <w:p w14:paraId="04DBEF02" w14:textId="77777777" w:rsidR="006D17CC" w:rsidRDefault="006D17CC" w:rsidP="00820F2B">
      <w:pPr>
        <w:rPr>
          <w:rFonts w:cstheme="minorHAnsi"/>
          <w:sz w:val="24"/>
          <w:szCs w:val="24"/>
        </w:rPr>
      </w:pPr>
    </w:p>
    <w:p w14:paraId="76469270" w14:textId="1079661F" w:rsidR="00820F2B" w:rsidRDefault="00C364F9" w:rsidP="00820F2B">
      <w:pPr>
        <w:rPr>
          <w:rFonts w:cstheme="minorHAnsi"/>
          <w:b/>
          <w:sz w:val="24"/>
          <w:szCs w:val="24"/>
        </w:rPr>
      </w:pPr>
      <w:r>
        <w:rPr>
          <w:rFonts w:cstheme="minorHAnsi"/>
          <w:b/>
          <w:sz w:val="24"/>
          <w:szCs w:val="24"/>
        </w:rPr>
        <w:lastRenderedPageBreak/>
        <w:t>5.5</w:t>
      </w:r>
      <w:r w:rsidR="00820F2B" w:rsidRPr="004B25EC">
        <w:rPr>
          <w:rFonts w:cstheme="minorHAnsi"/>
          <w:b/>
          <w:sz w:val="24"/>
          <w:szCs w:val="24"/>
        </w:rPr>
        <w:t>.2. STANJE NEPODMIRENIH DOSPJELIH OBVEZA JLP</w:t>
      </w:r>
      <w:r w:rsidR="00820F2B">
        <w:rPr>
          <w:rFonts w:cstheme="minorHAnsi"/>
          <w:b/>
          <w:sz w:val="24"/>
          <w:szCs w:val="24"/>
        </w:rPr>
        <w:t>(R)</w:t>
      </w:r>
      <w:r w:rsidR="00820F2B" w:rsidRPr="004B25EC">
        <w:rPr>
          <w:rFonts w:cstheme="minorHAnsi"/>
          <w:b/>
          <w:sz w:val="24"/>
          <w:szCs w:val="24"/>
        </w:rPr>
        <w:t>S I NJIHOVIH PRORAČUNSKIH KORISNIKA</w:t>
      </w:r>
    </w:p>
    <w:p w14:paraId="05F94EA6" w14:textId="5CA09B9D" w:rsidR="00DF02C2" w:rsidRDefault="00820F2B" w:rsidP="00820F2B">
      <w:pPr>
        <w:jc w:val="both"/>
        <w:rPr>
          <w:rFonts w:cstheme="minorHAnsi"/>
          <w:bCs/>
          <w:sz w:val="24"/>
          <w:szCs w:val="24"/>
        </w:rPr>
      </w:pPr>
      <w:r w:rsidRPr="00E12A37">
        <w:rPr>
          <w:rFonts w:cstheme="minorHAnsi"/>
          <w:bCs/>
          <w:sz w:val="24"/>
          <w:szCs w:val="24"/>
        </w:rPr>
        <w:t>Stanje obveza na kraju izvještajnog razdoblja</w:t>
      </w:r>
      <w:r>
        <w:rPr>
          <w:rFonts w:cstheme="minorHAnsi"/>
          <w:bCs/>
          <w:sz w:val="24"/>
          <w:szCs w:val="24"/>
        </w:rPr>
        <w:t xml:space="preserve"> </w:t>
      </w:r>
      <w:r w:rsidRPr="00E12A37">
        <w:rPr>
          <w:rFonts w:cstheme="minorHAnsi"/>
          <w:bCs/>
          <w:sz w:val="24"/>
          <w:szCs w:val="24"/>
        </w:rPr>
        <w:t>Grada i njegovih proračunskih korisnika</w:t>
      </w:r>
      <w:r>
        <w:rPr>
          <w:rFonts w:cstheme="minorHAnsi"/>
          <w:bCs/>
          <w:sz w:val="24"/>
          <w:szCs w:val="24"/>
        </w:rPr>
        <w:t>, odnosno na dan 31. prosinca 202</w:t>
      </w:r>
      <w:r w:rsidR="00B40C08">
        <w:rPr>
          <w:rFonts w:cstheme="minorHAnsi"/>
          <w:bCs/>
          <w:sz w:val="24"/>
          <w:szCs w:val="24"/>
        </w:rPr>
        <w:t>5</w:t>
      </w:r>
      <w:r>
        <w:rPr>
          <w:rFonts w:cstheme="minorHAnsi"/>
          <w:bCs/>
          <w:sz w:val="24"/>
          <w:szCs w:val="24"/>
        </w:rPr>
        <w:t>. godine</w:t>
      </w:r>
      <w:r w:rsidRPr="00E12A37">
        <w:rPr>
          <w:rFonts w:cstheme="minorHAnsi"/>
          <w:bCs/>
          <w:sz w:val="24"/>
          <w:szCs w:val="24"/>
        </w:rPr>
        <w:t xml:space="preserve"> iznosi </w:t>
      </w:r>
      <w:r w:rsidR="00B40C08">
        <w:rPr>
          <w:rFonts w:cstheme="minorHAnsi"/>
          <w:bCs/>
          <w:sz w:val="24"/>
          <w:szCs w:val="24"/>
        </w:rPr>
        <w:t>3.687.476,68</w:t>
      </w:r>
      <w:r w:rsidRPr="00E12A37">
        <w:rPr>
          <w:rFonts w:cstheme="minorHAnsi"/>
          <w:bCs/>
          <w:sz w:val="24"/>
          <w:szCs w:val="24"/>
        </w:rPr>
        <w:t xml:space="preserve"> eura</w:t>
      </w:r>
      <w:r>
        <w:rPr>
          <w:rFonts w:cstheme="minorHAnsi"/>
          <w:bCs/>
          <w:sz w:val="24"/>
          <w:szCs w:val="24"/>
        </w:rPr>
        <w:t xml:space="preserve"> dok je stanje obveza na dan 1. siječnja iznosilo </w:t>
      </w:r>
      <w:r w:rsidR="00B40C08">
        <w:rPr>
          <w:rFonts w:cstheme="minorHAnsi"/>
          <w:bCs/>
          <w:sz w:val="24"/>
          <w:szCs w:val="24"/>
        </w:rPr>
        <w:t>3.554.481,73</w:t>
      </w:r>
      <w:r>
        <w:rPr>
          <w:rFonts w:cstheme="minorHAnsi"/>
          <w:bCs/>
          <w:sz w:val="24"/>
          <w:szCs w:val="24"/>
        </w:rPr>
        <w:t xml:space="preserve"> eura.</w:t>
      </w:r>
    </w:p>
    <w:tbl>
      <w:tblPr>
        <w:tblW w:w="9629" w:type="dxa"/>
        <w:tblLook w:val="04A0" w:firstRow="1" w:lastRow="0" w:firstColumn="1" w:lastColumn="0" w:noHBand="0" w:noVBand="1"/>
      </w:tblPr>
      <w:tblGrid>
        <w:gridCol w:w="2390"/>
        <w:gridCol w:w="1905"/>
        <w:gridCol w:w="1821"/>
        <w:gridCol w:w="1821"/>
        <w:gridCol w:w="1692"/>
      </w:tblGrid>
      <w:tr w:rsidR="00820F2B" w:rsidRPr="0070607B" w14:paraId="3FBCE5EC" w14:textId="77777777" w:rsidTr="00CC318D">
        <w:trPr>
          <w:trHeight w:val="295"/>
        </w:trPr>
        <w:tc>
          <w:tcPr>
            <w:tcW w:w="9629" w:type="dxa"/>
            <w:gridSpan w:val="5"/>
            <w:tcBorders>
              <w:top w:val="nil"/>
              <w:left w:val="nil"/>
              <w:bottom w:val="nil"/>
              <w:right w:val="nil"/>
            </w:tcBorders>
            <w:vAlign w:val="bottom"/>
            <w:hideMark/>
          </w:tcPr>
          <w:p w14:paraId="08894645" w14:textId="6D0036FB" w:rsidR="00820F2B" w:rsidRDefault="00820F2B" w:rsidP="00A86D03">
            <w:pPr>
              <w:spacing w:after="0" w:line="240" w:lineRule="auto"/>
              <w:rPr>
                <w:rFonts w:ascii="Calibri" w:eastAsia="Times New Roman" w:hAnsi="Calibri" w:cs="Calibri"/>
                <w:color w:val="000000"/>
                <w:sz w:val="24"/>
                <w:szCs w:val="24"/>
                <w:lang w:eastAsia="hr-HR"/>
              </w:rPr>
            </w:pPr>
            <w:r w:rsidRPr="0070607B">
              <w:rPr>
                <w:rFonts w:ascii="Calibri" w:eastAsia="Times New Roman" w:hAnsi="Calibri" w:cs="Calibri"/>
                <w:b/>
                <w:bCs/>
                <w:color w:val="000000"/>
                <w:sz w:val="24"/>
                <w:szCs w:val="24"/>
                <w:lang w:eastAsia="hr-HR"/>
              </w:rPr>
              <w:t xml:space="preserve">Tablica br. </w:t>
            </w:r>
            <w:r w:rsidR="00DD361D">
              <w:rPr>
                <w:rFonts w:ascii="Calibri" w:eastAsia="Times New Roman" w:hAnsi="Calibri" w:cs="Calibri"/>
                <w:b/>
                <w:bCs/>
                <w:color w:val="000000"/>
                <w:sz w:val="24"/>
                <w:szCs w:val="24"/>
                <w:lang w:eastAsia="hr-HR"/>
              </w:rPr>
              <w:t>1</w:t>
            </w:r>
            <w:r w:rsidR="005F5D64">
              <w:rPr>
                <w:rFonts w:ascii="Calibri" w:eastAsia="Times New Roman" w:hAnsi="Calibri" w:cs="Calibri"/>
                <w:b/>
                <w:bCs/>
                <w:color w:val="000000"/>
                <w:sz w:val="24"/>
                <w:szCs w:val="24"/>
                <w:lang w:eastAsia="hr-HR"/>
              </w:rPr>
              <w:t>5</w:t>
            </w:r>
            <w:r w:rsidR="0094632E">
              <w:rPr>
                <w:rFonts w:ascii="Calibri" w:eastAsia="Times New Roman" w:hAnsi="Calibri" w:cs="Calibri"/>
                <w:b/>
                <w:bCs/>
                <w:color w:val="000000"/>
                <w:sz w:val="24"/>
                <w:szCs w:val="24"/>
                <w:lang w:eastAsia="hr-HR"/>
              </w:rPr>
              <w:t>.</w:t>
            </w:r>
            <w:r w:rsidRPr="0070607B">
              <w:rPr>
                <w:rFonts w:ascii="Calibri" w:eastAsia="Times New Roman" w:hAnsi="Calibri" w:cs="Calibri"/>
                <w:color w:val="000000"/>
                <w:sz w:val="24"/>
                <w:szCs w:val="24"/>
                <w:lang w:eastAsia="hr-HR"/>
              </w:rPr>
              <w:t xml:space="preserve"> </w:t>
            </w:r>
            <w:r>
              <w:rPr>
                <w:rFonts w:ascii="Calibri" w:eastAsia="Times New Roman" w:hAnsi="Calibri" w:cs="Calibri"/>
                <w:color w:val="000000"/>
                <w:sz w:val="24"/>
                <w:szCs w:val="24"/>
                <w:lang w:eastAsia="hr-HR"/>
              </w:rPr>
              <w:t>S</w:t>
            </w:r>
            <w:r w:rsidRPr="0070607B">
              <w:rPr>
                <w:rFonts w:ascii="Calibri" w:eastAsia="Times New Roman" w:hAnsi="Calibri" w:cs="Calibri"/>
                <w:color w:val="000000"/>
                <w:sz w:val="24"/>
                <w:szCs w:val="24"/>
                <w:lang w:eastAsia="hr-HR"/>
              </w:rPr>
              <w:t xml:space="preserve">tanje dospjelih i nedospjelih obveza Grada Trogira i proračunskih korisnika </w:t>
            </w:r>
            <w:r>
              <w:rPr>
                <w:rFonts w:ascii="Calibri" w:eastAsia="Times New Roman" w:hAnsi="Calibri" w:cs="Calibri"/>
                <w:color w:val="000000"/>
                <w:sz w:val="24"/>
                <w:szCs w:val="24"/>
                <w:lang w:eastAsia="hr-HR"/>
              </w:rPr>
              <w:t xml:space="preserve">na </w:t>
            </w:r>
            <w:r w:rsidRPr="0070607B">
              <w:rPr>
                <w:rFonts w:ascii="Calibri" w:eastAsia="Times New Roman" w:hAnsi="Calibri" w:cs="Calibri"/>
                <w:color w:val="000000"/>
                <w:sz w:val="24"/>
                <w:szCs w:val="24"/>
                <w:lang w:eastAsia="hr-HR"/>
              </w:rPr>
              <w:t>dan 01.01. i 31.12.202</w:t>
            </w:r>
            <w:r w:rsidR="005663D5">
              <w:rPr>
                <w:rFonts w:ascii="Calibri" w:eastAsia="Times New Roman" w:hAnsi="Calibri" w:cs="Calibri"/>
                <w:color w:val="000000"/>
                <w:sz w:val="24"/>
                <w:szCs w:val="24"/>
                <w:lang w:eastAsia="hr-HR"/>
              </w:rPr>
              <w:t>5</w:t>
            </w:r>
            <w:r w:rsidRPr="0070607B">
              <w:rPr>
                <w:rFonts w:ascii="Calibri" w:eastAsia="Times New Roman" w:hAnsi="Calibri" w:cs="Calibri"/>
                <w:color w:val="000000"/>
                <w:sz w:val="24"/>
                <w:szCs w:val="24"/>
                <w:lang w:eastAsia="hr-HR"/>
              </w:rPr>
              <w:t>. godine</w:t>
            </w:r>
          </w:p>
          <w:p w14:paraId="155982E3" w14:textId="77777777" w:rsidR="00820F2B" w:rsidRDefault="00820F2B" w:rsidP="00A86D03">
            <w:pPr>
              <w:spacing w:after="0" w:line="240" w:lineRule="auto"/>
              <w:rPr>
                <w:rFonts w:ascii="Calibri" w:eastAsia="Times New Roman" w:hAnsi="Calibri" w:cs="Calibri"/>
                <w:color w:val="000000"/>
                <w:sz w:val="24"/>
                <w:szCs w:val="24"/>
                <w:lang w:eastAsia="hr-HR"/>
              </w:rPr>
            </w:pPr>
          </w:p>
          <w:p w14:paraId="25FEEC53" w14:textId="77777777" w:rsidR="00820F2B" w:rsidRPr="0070607B" w:rsidRDefault="00820F2B" w:rsidP="00A86D03">
            <w:pPr>
              <w:spacing w:after="0" w:line="240" w:lineRule="auto"/>
              <w:rPr>
                <w:rFonts w:ascii="Calibri" w:eastAsia="Times New Roman" w:hAnsi="Calibri" w:cs="Calibri"/>
                <w:color w:val="000000"/>
                <w:sz w:val="24"/>
                <w:szCs w:val="24"/>
                <w:lang w:eastAsia="hr-HR"/>
              </w:rPr>
            </w:pPr>
          </w:p>
        </w:tc>
      </w:tr>
      <w:tr w:rsidR="00820F2B" w:rsidRPr="0070607B" w14:paraId="386BBBF2" w14:textId="77777777" w:rsidTr="00CC318D">
        <w:trPr>
          <w:trHeight w:val="1805"/>
        </w:trPr>
        <w:tc>
          <w:tcPr>
            <w:tcW w:w="239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4CCD6A4C" w14:textId="77777777" w:rsidR="00820F2B" w:rsidRPr="0070607B" w:rsidRDefault="00820F2B" w:rsidP="00A86D03">
            <w:pPr>
              <w:spacing w:after="0" w:line="240" w:lineRule="auto"/>
              <w:rPr>
                <w:rFonts w:ascii="Calibri" w:eastAsia="Times New Roman" w:hAnsi="Calibri" w:cs="Calibri"/>
                <w:b/>
                <w:bCs/>
                <w:color w:val="000000"/>
                <w:sz w:val="20"/>
                <w:szCs w:val="20"/>
                <w:lang w:eastAsia="hr-HR"/>
              </w:rPr>
            </w:pPr>
            <w:r w:rsidRPr="0070607B">
              <w:rPr>
                <w:rFonts w:ascii="Calibri" w:eastAsia="Times New Roman" w:hAnsi="Calibri" w:cs="Calibri"/>
                <w:b/>
                <w:bCs/>
                <w:color w:val="000000"/>
                <w:sz w:val="20"/>
                <w:szCs w:val="20"/>
                <w:lang w:eastAsia="hr-HR"/>
              </w:rPr>
              <w:t>Naziv ustanove</w:t>
            </w:r>
          </w:p>
        </w:tc>
        <w:tc>
          <w:tcPr>
            <w:tcW w:w="1905" w:type="dxa"/>
            <w:tcBorders>
              <w:top w:val="single" w:sz="4" w:space="0" w:color="auto"/>
              <w:left w:val="nil"/>
              <w:bottom w:val="single" w:sz="4" w:space="0" w:color="auto"/>
              <w:right w:val="single" w:sz="4" w:space="0" w:color="auto"/>
            </w:tcBorders>
            <w:shd w:val="clear" w:color="000000" w:fill="D9D9D9"/>
            <w:vAlign w:val="bottom"/>
            <w:hideMark/>
          </w:tcPr>
          <w:p w14:paraId="7F73BE19" w14:textId="4598C9C0" w:rsidR="00820F2B" w:rsidRPr="0070607B" w:rsidRDefault="00820F2B" w:rsidP="00A86D03">
            <w:pPr>
              <w:spacing w:after="0" w:line="240" w:lineRule="auto"/>
              <w:rPr>
                <w:rFonts w:ascii="Calibri" w:eastAsia="Times New Roman" w:hAnsi="Calibri" w:cs="Calibri"/>
                <w:b/>
                <w:bCs/>
                <w:color w:val="000000"/>
                <w:sz w:val="20"/>
                <w:szCs w:val="20"/>
                <w:lang w:eastAsia="hr-HR"/>
              </w:rPr>
            </w:pPr>
            <w:r w:rsidRPr="0070607B">
              <w:rPr>
                <w:rFonts w:ascii="Calibri" w:eastAsia="Times New Roman" w:hAnsi="Calibri" w:cs="Calibri"/>
                <w:b/>
                <w:bCs/>
                <w:color w:val="000000"/>
                <w:sz w:val="20"/>
                <w:szCs w:val="20"/>
                <w:lang w:eastAsia="hr-HR"/>
              </w:rPr>
              <w:t>Stanje nepodmirenih dospjelih obveza Grada Trogira i proračunskih korisnika na 31.12.202</w:t>
            </w:r>
            <w:r w:rsidR="005663D5">
              <w:rPr>
                <w:rFonts w:ascii="Calibri" w:eastAsia="Times New Roman" w:hAnsi="Calibri" w:cs="Calibri"/>
                <w:b/>
                <w:bCs/>
                <w:color w:val="000000"/>
                <w:sz w:val="20"/>
                <w:szCs w:val="20"/>
                <w:lang w:eastAsia="hr-HR"/>
              </w:rPr>
              <w:t>5</w:t>
            </w:r>
            <w:r w:rsidRPr="0070607B">
              <w:rPr>
                <w:rFonts w:ascii="Calibri" w:eastAsia="Times New Roman" w:hAnsi="Calibri" w:cs="Calibri"/>
                <w:b/>
                <w:bCs/>
                <w:color w:val="000000"/>
                <w:sz w:val="20"/>
                <w:szCs w:val="20"/>
                <w:lang w:eastAsia="hr-HR"/>
              </w:rPr>
              <w:t>.</w:t>
            </w:r>
          </w:p>
        </w:tc>
        <w:tc>
          <w:tcPr>
            <w:tcW w:w="1821" w:type="dxa"/>
            <w:tcBorders>
              <w:top w:val="single" w:sz="4" w:space="0" w:color="auto"/>
              <w:left w:val="nil"/>
              <w:bottom w:val="single" w:sz="4" w:space="0" w:color="auto"/>
              <w:right w:val="single" w:sz="4" w:space="0" w:color="auto"/>
            </w:tcBorders>
            <w:shd w:val="clear" w:color="000000" w:fill="D9D9D9"/>
            <w:vAlign w:val="bottom"/>
            <w:hideMark/>
          </w:tcPr>
          <w:p w14:paraId="1650B2C8" w14:textId="113F4F1F" w:rsidR="00820F2B" w:rsidRPr="0070607B" w:rsidRDefault="00820F2B" w:rsidP="00A86D03">
            <w:pPr>
              <w:spacing w:after="0" w:line="240" w:lineRule="auto"/>
              <w:rPr>
                <w:rFonts w:ascii="Calibri" w:eastAsia="Times New Roman" w:hAnsi="Calibri" w:cs="Calibri"/>
                <w:b/>
                <w:bCs/>
                <w:color w:val="000000"/>
                <w:sz w:val="20"/>
                <w:szCs w:val="20"/>
                <w:lang w:eastAsia="hr-HR"/>
              </w:rPr>
            </w:pPr>
            <w:r w:rsidRPr="0070607B">
              <w:rPr>
                <w:rFonts w:ascii="Calibri" w:eastAsia="Times New Roman" w:hAnsi="Calibri" w:cs="Calibri"/>
                <w:b/>
                <w:bCs/>
                <w:color w:val="000000"/>
                <w:sz w:val="20"/>
                <w:szCs w:val="20"/>
                <w:lang w:eastAsia="hr-HR"/>
              </w:rPr>
              <w:t>Stanje nedospjelih obveza Grada Trogira i proračunskih korisnika na 31.12.202</w:t>
            </w:r>
            <w:r w:rsidR="005663D5">
              <w:rPr>
                <w:rFonts w:ascii="Calibri" w:eastAsia="Times New Roman" w:hAnsi="Calibri" w:cs="Calibri"/>
                <w:b/>
                <w:bCs/>
                <w:color w:val="000000"/>
                <w:sz w:val="20"/>
                <w:szCs w:val="20"/>
                <w:lang w:eastAsia="hr-HR"/>
              </w:rPr>
              <w:t>5</w:t>
            </w:r>
            <w:r w:rsidRPr="0070607B">
              <w:rPr>
                <w:rFonts w:ascii="Calibri" w:eastAsia="Times New Roman" w:hAnsi="Calibri" w:cs="Calibri"/>
                <w:b/>
                <w:bCs/>
                <w:color w:val="000000"/>
                <w:sz w:val="20"/>
                <w:szCs w:val="20"/>
                <w:lang w:eastAsia="hr-HR"/>
              </w:rPr>
              <w:t>.</w:t>
            </w:r>
          </w:p>
        </w:tc>
        <w:tc>
          <w:tcPr>
            <w:tcW w:w="1821" w:type="dxa"/>
            <w:tcBorders>
              <w:top w:val="single" w:sz="4" w:space="0" w:color="auto"/>
              <w:left w:val="nil"/>
              <w:bottom w:val="single" w:sz="4" w:space="0" w:color="auto"/>
              <w:right w:val="single" w:sz="4" w:space="0" w:color="auto"/>
            </w:tcBorders>
            <w:shd w:val="clear" w:color="000000" w:fill="D9D9D9"/>
            <w:vAlign w:val="bottom"/>
            <w:hideMark/>
          </w:tcPr>
          <w:p w14:paraId="30E75323" w14:textId="3FB01F40" w:rsidR="00820F2B" w:rsidRPr="0070607B" w:rsidRDefault="00820F2B" w:rsidP="00A86D03">
            <w:pPr>
              <w:spacing w:after="0" w:line="240" w:lineRule="auto"/>
              <w:rPr>
                <w:rFonts w:ascii="Calibri" w:eastAsia="Times New Roman" w:hAnsi="Calibri" w:cs="Calibri"/>
                <w:b/>
                <w:bCs/>
                <w:color w:val="000000"/>
                <w:sz w:val="20"/>
                <w:szCs w:val="20"/>
                <w:lang w:eastAsia="hr-HR"/>
              </w:rPr>
            </w:pPr>
            <w:r w:rsidRPr="0070607B">
              <w:rPr>
                <w:rFonts w:ascii="Calibri" w:eastAsia="Times New Roman" w:hAnsi="Calibri" w:cs="Calibri"/>
                <w:b/>
                <w:bCs/>
                <w:color w:val="000000"/>
                <w:sz w:val="20"/>
                <w:szCs w:val="20"/>
                <w:lang w:eastAsia="hr-HR"/>
              </w:rPr>
              <w:t>Stanje obveza Grada Trogira i proračunskih korisnika na 01.01.202</w:t>
            </w:r>
            <w:r w:rsidR="005663D5">
              <w:rPr>
                <w:rFonts w:ascii="Calibri" w:eastAsia="Times New Roman" w:hAnsi="Calibri" w:cs="Calibri"/>
                <w:b/>
                <w:bCs/>
                <w:color w:val="000000"/>
                <w:sz w:val="20"/>
                <w:szCs w:val="20"/>
                <w:lang w:eastAsia="hr-HR"/>
              </w:rPr>
              <w:t>5</w:t>
            </w:r>
            <w:r w:rsidRPr="0070607B">
              <w:rPr>
                <w:rFonts w:ascii="Calibri" w:eastAsia="Times New Roman" w:hAnsi="Calibri" w:cs="Calibri"/>
                <w:b/>
                <w:bCs/>
                <w:color w:val="000000"/>
                <w:sz w:val="20"/>
                <w:szCs w:val="20"/>
                <w:lang w:eastAsia="hr-HR"/>
              </w:rPr>
              <w:t>.</w:t>
            </w:r>
          </w:p>
        </w:tc>
        <w:tc>
          <w:tcPr>
            <w:tcW w:w="1691" w:type="dxa"/>
            <w:tcBorders>
              <w:top w:val="single" w:sz="4" w:space="0" w:color="auto"/>
              <w:left w:val="nil"/>
              <w:bottom w:val="single" w:sz="4" w:space="0" w:color="auto"/>
              <w:right w:val="single" w:sz="4" w:space="0" w:color="auto"/>
            </w:tcBorders>
            <w:shd w:val="clear" w:color="000000" w:fill="D9D9D9"/>
            <w:vAlign w:val="bottom"/>
            <w:hideMark/>
          </w:tcPr>
          <w:p w14:paraId="356D2D33" w14:textId="704286DC" w:rsidR="00820F2B" w:rsidRPr="0070607B" w:rsidRDefault="00820F2B" w:rsidP="00A86D03">
            <w:pPr>
              <w:spacing w:after="0" w:line="240" w:lineRule="auto"/>
              <w:rPr>
                <w:rFonts w:ascii="Calibri" w:eastAsia="Times New Roman" w:hAnsi="Calibri" w:cs="Calibri"/>
                <w:b/>
                <w:bCs/>
                <w:color w:val="000000"/>
                <w:sz w:val="20"/>
                <w:szCs w:val="20"/>
                <w:lang w:eastAsia="hr-HR"/>
              </w:rPr>
            </w:pPr>
            <w:r w:rsidRPr="0070607B">
              <w:rPr>
                <w:rFonts w:ascii="Calibri" w:eastAsia="Times New Roman" w:hAnsi="Calibri" w:cs="Calibri"/>
                <w:b/>
                <w:bCs/>
                <w:color w:val="000000"/>
                <w:sz w:val="20"/>
                <w:szCs w:val="20"/>
                <w:lang w:eastAsia="hr-HR"/>
              </w:rPr>
              <w:t>Stanje obveza Grada Trogira i proračunskih korisnika na 31.12.202</w:t>
            </w:r>
            <w:r w:rsidR="005663D5">
              <w:rPr>
                <w:rFonts w:ascii="Calibri" w:eastAsia="Times New Roman" w:hAnsi="Calibri" w:cs="Calibri"/>
                <w:b/>
                <w:bCs/>
                <w:color w:val="000000"/>
                <w:sz w:val="20"/>
                <w:szCs w:val="20"/>
                <w:lang w:eastAsia="hr-HR"/>
              </w:rPr>
              <w:t>5</w:t>
            </w:r>
            <w:r w:rsidRPr="0070607B">
              <w:rPr>
                <w:rFonts w:ascii="Calibri" w:eastAsia="Times New Roman" w:hAnsi="Calibri" w:cs="Calibri"/>
                <w:b/>
                <w:bCs/>
                <w:color w:val="000000"/>
                <w:sz w:val="20"/>
                <w:szCs w:val="20"/>
                <w:lang w:eastAsia="hr-HR"/>
              </w:rPr>
              <w:t>.</w:t>
            </w:r>
          </w:p>
        </w:tc>
      </w:tr>
      <w:tr w:rsidR="00820F2B" w:rsidRPr="0070607B" w14:paraId="2182B7E5" w14:textId="77777777" w:rsidTr="00CC318D">
        <w:trPr>
          <w:trHeight w:val="295"/>
        </w:trPr>
        <w:tc>
          <w:tcPr>
            <w:tcW w:w="2390" w:type="dxa"/>
            <w:tcBorders>
              <w:top w:val="nil"/>
              <w:left w:val="single" w:sz="4" w:space="0" w:color="auto"/>
              <w:bottom w:val="single" w:sz="4" w:space="0" w:color="auto"/>
              <w:right w:val="single" w:sz="4" w:space="0" w:color="auto"/>
            </w:tcBorders>
            <w:noWrap/>
            <w:vAlign w:val="bottom"/>
            <w:hideMark/>
          </w:tcPr>
          <w:p w14:paraId="1815F228" w14:textId="77777777" w:rsidR="00820F2B" w:rsidRPr="00A91AEF" w:rsidRDefault="00820F2B" w:rsidP="00A86D03">
            <w:pPr>
              <w:spacing w:after="0" w:line="240" w:lineRule="auto"/>
              <w:jc w:val="center"/>
              <w:rPr>
                <w:rFonts w:ascii="Calibri" w:eastAsia="Times New Roman" w:hAnsi="Calibri" w:cs="Calibri"/>
                <w:color w:val="000000"/>
                <w:sz w:val="18"/>
                <w:szCs w:val="18"/>
                <w:lang w:eastAsia="hr-HR"/>
              </w:rPr>
            </w:pPr>
            <w:r w:rsidRPr="00A91AEF">
              <w:rPr>
                <w:rFonts w:ascii="Calibri" w:eastAsia="Times New Roman" w:hAnsi="Calibri" w:cs="Calibri"/>
                <w:color w:val="000000"/>
                <w:sz w:val="18"/>
                <w:szCs w:val="18"/>
                <w:lang w:eastAsia="hr-HR"/>
              </w:rPr>
              <w:t>1.</w:t>
            </w:r>
          </w:p>
        </w:tc>
        <w:tc>
          <w:tcPr>
            <w:tcW w:w="1905" w:type="dxa"/>
            <w:tcBorders>
              <w:top w:val="nil"/>
              <w:left w:val="nil"/>
              <w:bottom w:val="single" w:sz="4" w:space="0" w:color="auto"/>
              <w:right w:val="single" w:sz="4" w:space="0" w:color="auto"/>
            </w:tcBorders>
            <w:noWrap/>
            <w:vAlign w:val="bottom"/>
            <w:hideMark/>
          </w:tcPr>
          <w:p w14:paraId="1CF7A7B3" w14:textId="77777777" w:rsidR="00820F2B" w:rsidRPr="00A91AEF" w:rsidRDefault="00820F2B" w:rsidP="00A86D03">
            <w:pPr>
              <w:spacing w:after="0" w:line="240" w:lineRule="auto"/>
              <w:jc w:val="center"/>
              <w:rPr>
                <w:rFonts w:ascii="Calibri" w:eastAsia="Times New Roman" w:hAnsi="Calibri" w:cs="Calibri"/>
                <w:color w:val="000000"/>
                <w:sz w:val="18"/>
                <w:szCs w:val="18"/>
                <w:lang w:eastAsia="hr-HR"/>
              </w:rPr>
            </w:pPr>
            <w:r w:rsidRPr="00A91AEF">
              <w:rPr>
                <w:rFonts w:ascii="Calibri" w:eastAsia="Times New Roman" w:hAnsi="Calibri" w:cs="Calibri"/>
                <w:color w:val="000000"/>
                <w:sz w:val="18"/>
                <w:szCs w:val="18"/>
                <w:lang w:eastAsia="hr-HR"/>
              </w:rPr>
              <w:t>2.</w:t>
            </w:r>
          </w:p>
        </w:tc>
        <w:tc>
          <w:tcPr>
            <w:tcW w:w="1821" w:type="dxa"/>
            <w:tcBorders>
              <w:top w:val="nil"/>
              <w:left w:val="nil"/>
              <w:bottom w:val="single" w:sz="4" w:space="0" w:color="auto"/>
              <w:right w:val="single" w:sz="4" w:space="0" w:color="auto"/>
            </w:tcBorders>
            <w:noWrap/>
            <w:vAlign w:val="bottom"/>
            <w:hideMark/>
          </w:tcPr>
          <w:p w14:paraId="63E93639" w14:textId="77777777" w:rsidR="00820F2B" w:rsidRPr="00A91AEF" w:rsidRDefault="00820F2B" w:rsidP="00A86D03">
            <w:pPr>
              <w:spacing w:after="0" w:line="240" w:lineRule="auto"/>
              <w:jc w:val="center"/>
              <w:rPr>
                <w:rFonts w:ascii="Calibri" w:eastAsia="Times New Roman" w:hAnsi="Calibri" w:cs="Calibri"/>
                <w:color w:val="000000"/>
                <w:sz w:val="18"/>
                <w:szCs w:val="18"/>
                <w:lang w:eastAsia="hr-HR"/>
              </w:rPr>
            </w:pPr>
            <w:r w:rsidRPr="00A91AEF">
              <w:rPr>
                <w:rFonts w:ascii="Calibri" w:eastAsia="Times New Roman" w:hAnsi="Calibri" w:cs="Calibri"/>
                <w:color w:val="000000"/>
                <w:sz w:val="18"/>
                <w:szCs w:val="18"/>
                <w:lang w:eastAsia="hr-HR"/>
              </w:rPr>
              <w:t>3.</w:t>
            </w:r>
          </w:p>
        </w:tc>
        <w:tc>
          <w:tcPr>
            <w:tcW w:w="1821" w:type="dxa"/>
            <w:tcBorders>
              <w:top w:val="nil"/>
              <w:left w:val="nil"/>
              <w:bottom w:val="single" w:sz="4" w:space="0" w:color="auto"/>
              <w:right w:val="single" w:sz="4" w:space="0" w:color="auto"/>
            </w:tcBorders>
            <w:noWrap/>
            <w:vAlign w:val="bottom"/>
            <w:hideMark/>
          </w:tcPr>
          <w:p w14:paraId="04D20B64" w14:textId="77777777" w:rsidR="00820F2B" w:rsidRPr="00A91AEF" w:rsidRDefault="00820F2B" w:rsidP="00A86D03">
            <w:pPr>
              <w:spacing w:after="0" w:line="240" w:lineRule="auto"/>
              <w:jc w:val="center"/>
              <w:rPr>
                <w:rFonts w:ascii="Calibri" w:eastAsia="Times New Roman" w:hAnsi="Calibri" w:cs="Calibri"/>
                <w:color w:val="000000"/>
                <w:sz w:val="18"/>
                <w:szCs w:val="18"/>
                <w:lang w:eastAsia="hr-HR"/>
              </w:rPr>
            </w:pPr>
            <w:r w:rsidRPr="00A91AEF">
              <w:rPr>
                <w:rFonts w:ascii="Calibri" w:eastAsia="Times New Roman" w:hAnsi="Calibri" w:cs="Calibri"/>
                <w:color w:val="000000"/>
                <w:sz w:val="18"/>
                <w:szCs w:val="18"/>
                <w:lang w:eastAsia="hr-HR"/>
              </w:rPr>
              <w:t>4. </w:t>
            </w:r>
          </w:p>
        </w:tc>
        <w:tc>
          <w:tcPr>
            <w:tcW w:w="1691" w:type="dxa"/>
            <w:tcBorders>
              <w:top w:val="nil"/>
              <w:left w:val="nil"/>
              <w:bottom w:val="single" w:sz="4" w:space="0" w:color="auto"/>
              <w:right w:val="single" w:sz="4" w:space="0" w:color="auto"/>
            </w:tcBorders>
            <w:noWrap/>
            <w:vAlign w:val="bottom"/>
            <w:hideMark/>
          </w:tcPr>
          <w:p w14:paraId="090BB746" w14:textId="77777777" w:rsidR="00820F2B" w:rsidRPr="00A91AEF" w:rsidRDefault="00820F2B" w:rsidP="00A86D03">
            <w:pPr>
              <w:spacing w:after="0" w:line="240" w:lineRule="auto"/>
              <w:jc w:val="center"/>
              <w:rPr>
                <w:rFonts w:ascii="Calibri" w:eastAsia="Times New Roman" w:hAnsi="Calibri" w:cs="Calibri"/>
                <w:color w:val="000000"/>
                <w:sz w:val="18"/>
                <w:szCs w:val="18"/>
                <w:lang w:eastAsia="hr-HR"/>
              </w:rPr>
            </w:pPr>
            <w:r w:rsidRPr="00A91AEF">
              <w:rPr>
                <w:rFonts w:ascii="Calibri" w:eastAsia="Times New Roman" w:hAnsi="Calibri" w:cs="Calibri"/>
                <w:color w:val="000000"/>
                <w:sz w:val="18"/>
                <w:szCs w:val="18"/>
                <w:lang w:eastAsia="hr-HR"/>
              </w:rPr>
              <w:t>5.</w:t>
            </w:r>
          </w:p>
        </w:tc>
      </w:tr>
      <w:tr w:rsidR="00820F2B" w:rsidRPr="0070607B" w14:paraId="39C26A9E" w14:textId="77777777" w:rsidTr="00CC318D">
        <w:trPr>
          <w:trHeight w:val="295"/>
        </w:trPr>
        <w:tc>
          <w:tcPr>
            <w:tcW w:w="2390" w:type="dxa"/>
            <w:tcBorders>
              <w:top w:val="nil"/>
              <w:left w:val="single" w:sz="4" w:space="0" w:color="auto"/>
              <w:bottom w:val="single" w:sz="4" w:space="0" w:color="auto"/>
              <w:right w:val="single" w:sz="4" w:space="0" w:color="auto"/>
            </w:tcBorders>
            <w:shd w:val="clear" w:color="000000" w:fill="F2F2F2"/>
            <w:noWrap/>
            <w:vAlign w:val="bottom"/>
            <w:hideMark/>
          </w:tcPr>
          <w:p w14:paraId="2ED5A043" w14:textId="77777777" w:rsidR="00820F2B" w:rsidRPr="00A91AEF" w:rsidRDefault="00820F2B" w:rsidP="00A86D03">
            <w:pPr>
              <w:spacing w:after="0" w:line="240" w:lineRule="auto"/>
              <w:rPr>
                <w:rFonts w:ascii="Calibri" w:eastAsia="Times New Roman" w:hAnsi="Calibri" w:cs="Calibri"/>
                <w:color w:val="000000"/>
                <w:sz w:val="18"/>
                <w:szCs w:val="18"/>
                <w:lang w:eastAsia="hr-HR"/>
              </w:rPr>
            </w:pPr>
            <w:r w:rsidRPr="00A91AEF">
              <w:rPr>
                <w:rFonts w:ascii="Calibri" w:eastAsia="Times New Roman" w:hAnsi="Calibri" w:cs="Calibri"/>
                <w:color w:val="000000"/>
                <w:sz w:val="18"/>
                <w:szCs w:val="18"/>
                <w:lang w:eastAsia="hr-HR"/>
              </w:rPr>
              <w:t>Grad Trogir</w:t>
            </w:r>
          </w:p>
        </w:tc>
        <w:tc>
          <w:tcPr>
            <w:tcW w:w="1905" w:type="dxa"/>
            <w:tcBorders>
              <w:top w:val="nil"/>
              <w:left w:val="nil"/>
              <w:bottom w:val="single" w:sz="4" w:space="0" w:color="auto"/>
              <w:right w:val="single" w:sz="4" w:space="0" w:color="auto"/>
            </w:tcBorders>
            <w:shd w:val="clear" w:color="000000" w:fill="F2F2F2"/>
            <w:noWrap/>
            <w:vAlign w:val="bottom"/>
            <w:hideMark/>
          </w:tcPr>
          <w:p w14:paraId="5471FC89" w14:textId="7DFA958B" w:rsidR="00820F2B" w:rsidRPr="00A91AEF" w:rsidRDefault="008B0017" w:rsidP="00A86D03">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322.813,81</w:t>
            </w:r>
          </w:p>
        </w:tc>
        <w:tc>
          <w:tcPr>
            <w:tcW w:w="1821" w:type="dxa"/>
            <w:tcBorders>
              <w:top w:val="nil"/>
              <w:left w:val="nil"/>
              <w:bottom w:val="single" w:sz="4" w:space="0" w:color="auto"/>
              <w:right w:val="single" w:sz="4" w:space="0" w:color="auto"/>
            </w:tcBorders>
            <w:shd w:val="clear" w:color="000000" w:fill="F2F2F2"/>
            <w:noWrap/>
            <w:vAlign w:val="bottom"/>
            <w:hideMark/>
          </w:tcPr>
          <w:p w14:paraId="33F1F793" w14:textId="5E4218F0" w:rsidR="00820F2B" w:rsidRPr="00A91AEF" w:rsidRDefault="00F54A3A" w:rsidP="00A86D03">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2.768.003,72</w:t>
            </w:r>
          </w:p>
        </w:tc>
        <w:tc>
          <w:tcPr>
            <w:tcW w:w="1821" w:type="dxa"/>
            <w:tcBorders>
              <w:top w:val="nil"/>
              <w:left w:val="nil"/>
              <w:bottom w:val="single" w:sz="4" w:space="0" w:color="auto"/>
              <w:right w:val="single" w:sz="4" w:space="0" w:color="auto"/>
            </w:tcBorders>
            <w:shd w:val="clear" w:color="000000" w:fill="F2F2F2"/>
            <w:noWrap/>
            <w:vAlign w:val="bottom"/>
            <w:hideMark/>
          </w:tcPr>
          <w:p w14:paraId="64B39A24" w14:textId="78AC2D23" w:rsidR="00820F2B" w:rsidRPr="00A91AEF" w:rsidRDefault="008B0017" w:rsidP="00A86D03">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3.137.029,40</w:t>
            </w:r>
          </w:p>
        </w:tc>
        <w:tc>
          <w:tcPr>
            <w:tcW w:w="1691" w:type="dxa"/>
            <w:tcBorders>
              <w:top w:val="nil"/>
              <w:left w:val="nil"/>
              <w:bottom w:val="single" w:sz="4" w:space="0" w:color="auto"/>
              <w:right w:val="single" w:sz="4" w:space="0" w:color="auto"/>
            </w:tcBorders>
            <w:shd w:val="clear" w:color="000000" w:fill="F2F2F2"/>
            <w:noWrap/>
            <w:vAlign w:val="bottom"/>
            <w:hideMark/>
          </w:tcPr>
          <w:p w14:paraId="592D4BD1" w14:textId="6AA78CA0" w:rsidR="00820F2B" w:rsidRPr="00A91AEF" w:rsidRDefault="00F54A3A" w:rsidP="00A86D03">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3.090.817,53</w:t>
            </w:r>
          </w:p>
        </w:tc>
      </w:tr>
      <w:tr w:rsidR="00820F2B" w:rsidRPr="0070607B" w14:paraId="7B858547" w14:textId="77777777" w:rsidTr="00991F8C">
        <w:trPr>
          <w:trHeight w:val="295"/>
        </w:trPr>
        <w:tc>
          <w:tcPr>
            <w:tcW w:w="2390" w:type="dxa"/>
            <w:tcBorders>
              <w:top w:val="nil"/>
              <w:left w:val="single" w:sz="4" w:space="0" w:color="auto"/>
              <w:bottom w:val="single" w:sz="4" w:space="0" w:color="auto"/>
              <w:right w:val="single" w:sz="4" w:space="0" w:color="auto"/>
            </w:tcBorders>
            <w:noWrap/>
            <w:vAlign w:val="bottom"/>
            <w:hideMark/>
          </w:tcPr>
          <w:p w14:paraId="7280F321" w14:textId="77777777" w:rsidR="00820F2B" w:rsidRPr="00A91AEF" w:rsidRDefault="00820F2B" w:rsidP="00A86D03">
            <w:pPr>
              <w:spacing w:after="0" w:line="240" w:lineRule="auto"/>
              <w:rPr>
                <w:rFonts w:ascii="Calibri" w:eastAsia="Times New Roman" w:hAnsi="Calibri" w:cs="Calibri"/>
                <w:color w:val="000000"/>
                <w:sz w:val="18"/>
                <w:szCs w:val="18"/>
                <w:lang w:eastAsia="hr-HR"/>
              </w:rPr>
            </w:pPr>
            <w:r w:rsidRPr="00A91AEF">
              <w:rPr>
                <w:rFonts w:ascii="Calibri" w:eastAsia="Times New Roman" w:hAnsi="Calibri" w:cs="Calibri"/>
                <w:color w:val="000000"/>
                <w:sz w:val="18"/>
                <w:szCs w:val="18"/>
                <w:lang w:eastAsia="hr-HR"/>
              </w:rPr>
              <w:t>Dječji vrtić Trogir</w:t>
            </w:r>
          </w:p>
        </w:tc>
        <w:tc>
          <w:tcPr>
            <w:tcW w:w="1905" w:type="dxa"/>
            <w:tcBorders>
              <w:top w:val="nil"/>
              <w:left w:val="nil"/>
              <w:bottom w:val="single" w:sz="4" w:space="0" w:color="auto"/>
              <w:right w:val="single" w:sz="4" w:space="0" w:color="auto"/>
            </w:tcBorders>
            <w:noWrap/>
            <w:vAlign w:val="bottom"/>
            <w:hideMark/>
          </w:tcPr>
          <w:p w14:paraId="57FC40FB" w14:textId="2DE0E954" w:rsidR="00820F2B" w:rsidRPr="00A91AEF" w:rsidRDefault="00967935" w:rsidP="00A86D03">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14.274,50</w:t>
            </w:r>
          </w:p>
        </w:tc>
        <w:tc>
          <w:tcPr>
            <w:tcW w:w="1821" w:type="dxa"/>
            <w:tcBorders>
              <w:top w:val="nil"/>
              <w:left w:val="nil"/>
              <w:bottom w:val="single" w:sz="4" w:space="0" w:color="auto"/>
              <w:right w:val="single" w:sz="4" w:space="0" w:color="auto"/>
            </w:tcBorders>
            <w:noWrap/>
            <w:vAlign w:val="bottom"/>
            <w:hideMark/>
          </w:tcPr>
          <w:p w14:paraId="0355D11A" w14:textId="2E6B2B6A" w:rsidR="00820F2B" w:rsidRPr="00A91AEF" w:rsidRDefault="00967935" w:rsidP="00A86D03">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198.155,82</w:t>
            </w:r>
          </w:p>
        </w:tc>
        <w:tc>
          <w:tcPr>
            <w:tcW w:w="1821" w:type="dxa"/>
            <w:tcBorders>
              <w:top w:val="nil"/>
              <w:left w:val="nil"/>
              <w:bottom w:val="single" w:sz="4" w:space="0" w:color="auto"/>
              <w:right w:val="single" w:sz="4" w:space="0" w:color="auto"/>
            </w:tcBorders>
            <w:noWrap/>
            <w:vAlign w:val="bottom"/>
            <w:hideMark/>
          </w:tcPr>
          <w:p w14:paraId="0E4385D9" w14:textId="09A8C3D2" w:rsidR="00820F2B" w:rsidRPr="00A91AEF" w:rsidRDefault="00967935" w:rsidP="00A86D03">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148.583,07</w:t>
            </w:r>
          </w:p>
        </w:tc>
        <w:tc>
          <w:tcPr>
            <w:tcW w:w="1691" w:type="dxa"/>
            <w:tcBorders>
              <w:top w:val="nil"/>
              <w:left w:val="nil"/>
              <w:bottom w:val="single" w:sz="4" w:space="0" w:color="auto"/>
              <w:right w:val="single" w:sz="4" w:space="0" w:color="auto"/>
            </w:tcBorders>
            <w:shd w:val="clear" w:color="000000" w:fill="F2F2F2"/>
            <w:noWrap/>
            <w:vAlign w:val="bottom"/>
          </w:tcPr>
          <w:p w14:paraId="4F72A089" w14:textId="523200DA" w:rsidR="00820F2B" w:rsidRPr="00A91AEF" w:rsidRDefault="00967935" w:rsidP="00A86D03">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212.430,32</w:t>
            </w:r>
          </w:p>
        </w:tc>
      </w:tr>
      <w:tr w:rsidR="00820F2B" w:rsidRPr="0070607B" w14:paraId="70D10F6A" w14:textId="77777777" w:rsidTr="00991F8C">
        <w:trPr>
          <w:trHeight w:val="295"/>
        </w:trPr>
        <w:tc>
          <w:tcPr>
            <w:tcW w:w="2390" w:type="dxa"/>
            <w:tcBorders>
              <w:top w:val="nil"/>
              <w:left w:val="single" w:sz="4" w:space="0" w:color="auto"/>
              <w:bottom w:val="single" w:sz="4" w:space="0" w:color="auto"/>
              <w:right w:val="single" w:sz="4" w:space="0" w:color="auto"/>
            </w:tcBorders>
            <w:noWrap/>
            <w:vAlign w:val="bottom"/>
            <w:hideMark/>
          </w:tcPr>
          <w:p w14:paraId="4C56E902" w14:textId="77777777" w:rsidR="00820F2B" w:rsidRPr="00A91AEF" w:rsidRDefault="00820F2B" w:rsidP="00A86D03">
            <w:pPr>
              <w:spacing w:after="0" w:line="240" w:lineRule="auto"/>
              <w:rPr>
                <w:rFonts w:ascii="Calibri" w:eastAsia="Times New Roman" w:hAnsi="Calibri" w:cs="Calibri"/>
                <w:color w:val="000000"/>
                <w:sz w:val="18"/>
                <w:szCs w:val="18"/>
                <w:lang w:eastAsia="hr-HR"/>
              </w:rPr>
            </w:pPr>
            <w:r w:rsidRPr="00A91AEF">
              <w:rPr>
                <w:rFonts w:ascii="Calibri" w:eastAsia="Times New Roman" w:hAnsi="Calibri" w:cs="Calibri"/>
                <w:color w:val="000000"/>
                <w:sz w:val="18"/>
                <w:szCs w:val="18"/>
                <w:lang w:eastAsia="hr-HR"/>
              </w:rPr>
              <w:t>Gradska knjižnica Trogir</w:t>
            </w:r>
          </w:p>
        </w:tc>
        <w:tc>
          <w:tcPr>
            <w:tcW w:w="1905" w:type="dxa"/>
            <w:tcBorders>
              <w:top w:val="nil"/>
              <w:left w:val="nil"/>
              <w:bottom w:val="single" w:sz="4" w:space="0" w:color="auto"/>
              <w:right w:val="single" w:sz="4" w:space="0" w:color="auto"/>
            </w:tcBorders>
            <w:noWrap/>
            <w:vAlign w:val="bottom"/>
            <w:hideMark/>
          </w:tcPr>
          <w:p w14:paraId="3D35C113" w14:textId="099931C0" w:rsidR="00820F2B" w:rsidRPr="00A91AEF" w:rsidRDefault="0045786B" w:rsidP="00A86D03">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4.550,42</w:t>
            </w:r>
          </w:p>
        </w:tc>
        <w:tc>
          <w:tcPr>
            <w:tcW w:w="1821" w:type="dxa"/>
            <w:tcBorders>
              <w:top w:val="nil"/>
              <w:left w:val="nil"/>
              <w:bottom w:val="single" w:sz="4" w:space="0" w:color="auto"/>
              <w:right w:val="single" w:sz="4" w:space="0" w:color="auto"/>
            </w:tcBorders>
            <w:noWrap/>
            <w:vAlign w:val="bottom"/>
            <w:hideMark/>
          </w:tcPr>
          <w:p w14:paraId="523CDD74" w14:textId="05D21674" w:rsidR="00820F2B" w:rsidRPr="00A91AEF" w:rsidRDefault="0045786B" w:rsidP="00A86D03">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14.708,99</w:t>
            </w:r>
          </w:p>
        </w:tc>
        <w:tc>
          <w:tcPr>
            <w:tcW w:w="1821" w:type="dxa"/>
            <w:tcBorders>
              <w:top w:val="nil"/>
              <w:left w:val="nil"/>
              <w:bottom w:val="single" w:sz="4" w:space="0" w:color="auto"/>
              <w:right w:val="single" w:sz="4" w:space="0" w:color="auto"/>
            </w:tcBorders>
            <w:noWrap/>
            <w:vAlign w:val="bottom"/>
            <w:hideMark/>
          </w:tcPr>
          <w:p w14:paraId="04088608" w14:textId="743DA42D" w:rsidR="00820F2B" w:rsidRPr="00A91AEF" w:rsidRDefault="0045786B" w:rsidP="00A86D03">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12.659,94</w:t>
            </w:r>
          </w:p>
        </w:tc>
        <w:tc>
          <w:tcPr>
            <w:tcW w:w="1691" w:type="dxa"/>
            <w:tcBorders>
              <w:top w:val="nil"/>
              <w:left w:val="nil"/>
              <w:bottom w:val="single" w:sz="4" w:space="0" w:color="auto"/>
              <w:right w:val="single" w:sz="4" w:space="0" w:color="auto"/>
            </w:tcBorders>
            <w:shd w:val="clear" w:color="000000" w:fill="F2F2F2"/>
            <w:noWrap/>
            <w:vAlign w:val="bottom"/>
          </w:tcPr>
          <w:p w14:paraId="560AA10B" w14:textId="2499940B" w:rsidR="00820F2B" w:rsidRPr="00A91AEF" w:rsidRDefault="0045786B" w:rsidP="00A86D03">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19.259,41</w:t>
            </w:r>
          </w:p>
        </w:tc>
      </w:tr>
      <w:tr w:rsidR="00820F2B" w:rsidRPr="0070607B" w14:paraId="2A364E0F" w14:textId="77777777" w:rsidTr="00991F8C">
        <w:trPr>
          <w:trHeight w:val="295"/>
        </w:trPr>
        <w:tc>
          <w:tcPr>
            <w:tcW w:w="2390" w:type="dxa"/>
            <w:tcBorders>
              <w:top w:val="nil"/>
              <w:left w:val="single" w:sz="4" w:space="0" w:color="auto"/>
              <w:bottom w:val="single" w:sz="4" w:space="0" w:color="auto"/>
              <w:right w:val="single" w:sz="4" w:space="0" w:color="auto"/>
            </w:tcBorders>
            <w:noWrap/>
            <w:vAlign w:val="bottom"/>
            <w:hideMark/>
          </w:tcPr>
          <w:p w14:paraId="1F494F58" w14:textId="77777777" w:rsidR="00820F2B" w:rsidRPr="00A91AEF" w:rsidRDefault="00820F2B" w:rsidP="00A86D03">
            <w:pPr>
              <w:spacing w:after="0" w:line="240" w:lineRule="auto"/>
              <w:rPr>
                <w:rFonts w:ascii="Calibri" w:eastAsia="Times New Roman" w:hAnsi="Calibri" w:cs="Calibri"/>
                <w:color w:val="000000"/>
                <w:sz w:val="18"/>
                <w:szCs w:val="18"/>
                <w:lang w:eastAsia="hr-HR"/>
              </w:rPr>
            </w:pPr>
            <w:r w:rsidRPr="00A91AEF">
              <w:rPr>
                <w:rFonts w:ascii="Calibri" w:eastAsia="Times New Roman" w:hAnsi="Calibri" w:cs="Calibri"/>
                <w:color w:val="000000"/>
                <w:sz w:val="18"/>
                <w:szCs w:val="18"/>
                <w:lang w:eastAsia="hr-HR"/>
              </w:rPr>
              <w:t>Muzej Grada Trogira</w:t>
            </w:r>
          </w:p>
        </w:tc>
        <w:tc>
          <w:tcPr>
            <w:tcW w:w="1905" w:type="dxa"/>
            <w:tcBorders>
              <w:top w:val="nil"/>
              <w:left w:val="nil"/>
              <w:bottom w:val="single" w:sz="4" w:space="0" w:color="auto"/>
              <w:right w:val="single" w:sz="4" w:space="0" w:color="auto"/>
            </w:tcBorders>
            <w:noWrap/>
            <w:vAlign w:val="bottom"/>
            <w:hideMark/>
          </w:tcPr>
          <w:p w14:paraId="5A75A3EE" w14:textId="6AFCDB30" w:rsidR="00820F2B" w:rsidRPr="00A91AEF" w:rsidRDefault="00967935" w:rsidP="00A86D03">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4.478,35</w:t>
            </w:r>
          </w:p>
        </w:tc>
        <w:tc>
          <w:tcPr>
            <w:tcW w:w="1821" w:type="dxa"/>
            <w:tcBorders>
              <w:top w:val="nil"/>
              <w:left w:val="nil"/>
              <w:bottom w:val="single" w:sz="4" w:space="0" w:color="auto"/>
              <w:right w:val="single" w:sz="4" w:space="0" w:color="auto"/>
            </w:tcBorders>
            <w:noWrap/>
            <w:vAlign w:val="bottom"/>
            <w:hideMark/>
          </w:tcPr>
          <w:p w14:paraId="6E1ECDCE" w14:textId="27A25534" w:rsidR="00820F2B" w:rsidRPr="00A91AEF" w:rsidRDefault="00967935" w:rsidP="00A86D03">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20.600,49</w:t>
            </w:r>
          </w:p>
        </w:tc>
        <w:tc>
          <w:tcPr>
            <w:tcW w:w="1821" w:type="dxa"/>
            <w:tcBorders>
              <w:top w:val="nil"/>
              <w:left w:val="nil"/>
              <w:bottom w:val="single" w:sz="4" w:space="0" w:color="auto"/>
              <w:right w:val="single" w:sz="4" w:space="0" w:color="auto"/>
            </w:tcBorders>
            <w:noWrap/>
            <w:vAlign w:val="bottom"/>
            <w:hideMark/>
          </w:tcPr>
          <w:p w14:paraId="2ECA4AB4" w14:textId="35A186B8" w:rsidR="00967935" w:rsidRPr="00A91AEF" w:rsidRDefault="00967935" w:rsidP="00967935">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32.099,42</w:t>
            </w:r>
          </w:p>
        </w:tc>
        <w:tc>
          <w:tcPr>
            <w:tcW w:w="1691" w:type="dxa"/>
            <w:tcBorders>
              <w:top w:val="nil"/>
              <w:left w:val="nil"/>
              <w:bottom w:val="single" w:sz="4" w:space="0" w:color="auto"/>
              <w:right w:val="single" w:sz="4" w:space="0" w:color="auto"/>
            </w:tcBorders>
            <w:shd w:val="clear" w:color="000000" w:fill="F2F2F2"/>
            <w:noWrap/>
            <w:vAlign w:val="bottom"/>
          </w:tcPr>
          <w:p w14:paraId="21A0A067" w14:textId="47A21D2D" w:rsidR="00820F2B" w:rsidRPr="00A91AEF" w:rsidRDefault="00967935" w:rsidP="00A86D03">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25.078,84</w:t>
            </w:r>
          </w:p>
        </w:tc>
      </w:tr>
      <w:tr w:rsidR="00820F2B" w:rsidRPr="0070607B" w14:paraId="5AC50020" w14:textId="77777777" w:rsidTr="00967935">
        <w:trPr>
          <w:trHeight w:val="295"/>
        </w:trPr>
        <w:tc>
          <w:tcPr>
            <w:tcW w:w="2390" w:type="dxa"/>
            <w:tcBorders>
              <w:top w:val="nil"/>
              <w:left w:val="single" w:sz="4" w:space="0" w:color="auto"/>
              <w:bottom w:val="single" w:sz="4" w:space="0" w:color="auto"/>
              <w:right w:val="single" w:sz="4" w:space="0" w:color="auto"/>
            </w:tcBorders>
            <w:noWrap/>
            <w:vAlign w:val="bottom"/>
            <w:hideMark/>
          </w:tcPr>
          <w:p w14:paraId="005D6999" w14:textId="77777777" w:rsidR="00820F2B" w:rsidRPr="00A91AEF" w:rsidRDefault="00820F2B" w:rsidP="00A86D03">
            <w:pPr>
              <w:spacing w:after="0" w:line="240" w:lineRule="auto"/>
              <w:rPr>
                <w:rFonts w:ascii="Calibri" w:eastAsia="Times New Roman" w:hAnsi="Calibri" w:cs="Calibri"/>
                <w:color w:val="000000"/>
                <w:sz w:val="18"/>
                <w:szCs w:val="18"/>
                <w:lang w:eastAsia="hr-HR"/>
              </w:rPr>
            </w:pPr>
            <w:r w:rsidRPr="00A91AEF">
              <w:rPr>
                <w:rFonts w:ascii="Calibri" w:eastAsia="Times New Roman" w:hAnsi="Calibri" w:cs="Calibri"/>
                <w:color w:val="000000"/>
                <w:sz w:val="18"/>
                <w:szCs w:val="18"/>
                <w:lang w:eastAsia="hr-HR"/>
              </w:rPr>
              <w:t>Javna ustanova Sportski objekti</w:t>
            </w:r>
          </w:p>
        </w:tc>
        <w:tc>
          <w:tcPr>
            <w:tcW w:w="1905" w:type="dxa"/>
            <w:tcBorders>
              <w:top w:val="nil"/>
              <w:left w:val="nil"/>
              <w:bottom w:val="single" w:sz="4" w:space="0" w:color="auto"/>
              <w:right w:val="single" w:sz="4" w:space="0" w:color="auto"/>
            </w:tcBorders>
            <w:noWrap/>
            <w:vAlign w:val="bottom"/>
          </w:tcPr>
          <w:p w14:paraId="1AA8C563" w14:textId="42CEF792" w:rsidR="00820F2B" w:rsidRPr="00A91AEF" w:rsidRDefault="00967935" w:rsidP="00A86D03">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0,00</w:t>
            </w:r>
          </w:p>
        </w:tc>
        <w:tc>
          <w:tcPr>
            <w:tcW w:w="1821" w:type="dxa"/>
            <w:tcBorders>
              <w:top w:val="nil"/>
              <w:left w:val="nil"/>
              <w:bottom w:val="single" w:sz="4" w:space="0" w:color="auto"/>
              <w:right w:val="single" w:sz="4" w:space="0" w:color="auto"/>
            </w:tcBorders>
            <w:noWrap/>
            <w:vAlign w:val="bottom"/>
          </w:tcPr>
          <w:p w14:paraId="57A92049" w14:textId="3CB078F4" w:rsidR="00820F2B" w:rsidRPr="00A91AEF" w:rsidRDefault="00967935" w:rsidP="00A86D03">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170.035,37</w:t>
            </w:r>
          </w:p>
        </w:tc>
        <w:tc>
          <w:tcPr>
            <w:tcW w:w="1821" w:type="dxa"/>
            <w:tcBorders>
              <w:top w:val="nil"/>
              <w:left w:val="nil"/>
              <w:bottom w:val="single" w:sz="4" w:space="0" w:color="auto"/>
              <w:right w:val="single" w:sz="4" w:space="0" w:color="auto"/>
            </w:tcBorders>
            <w:noWrap/>
            <w:vAlign w:val="bottom"/>
          </w:tcPr>
          <w:p w14:paraId="0E487702" w14:textId="247B5221" w:rsidR="00820F2B" w:rsidRPr="00A91AEF" w:rsidRDefault="00967935" w:rsidP="00A86D03">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37.744,39</w:t>
            </w:r>
          </w:p>
        </w:tc>
        <w:tc>
          <w:tcPr>
            <w:tcW w:w="1691" w:type="dxa"/>
            <w:tcBorders>
              <w:top w:val="nil"/>
              <w:left w:val="nil"/>
              <w:bottom w:val="single" w:sz="4" w:space="0" w:color="auto"/>
              <w:right w:val="single" w:sz="4" w:space="0" w:color="auto"/>
            </w:tcBorders>
            <w:shd w:val="clear" w:color="000000" w:fill="F2F2F2"/>
            <w:noWrap/>
            <w:vAlign w:val="bottom"/>
          </w:tcPr>
          <w:p w14:paraId="0D0A2F4B" w14:textId="49DAC418" w:rsidR="00820F2B" w:rsidRPr="00A91AEF" w:rsidRDefault="0070076A" w:rsidP="00A86D03">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170.035,37</w:t>
            </w:r>
          </w:p>
        </w:tc>
      </w:tr>
      <w:tr w:rsidR="00820F2B" w:rsidRPr="0070607B" w14:paraId="634FAE0C" w14:textId="77777777" w:rsidTr="00991F8C">
        <w:trPr>
          <w:trHeight w:val="295"/>
        </w:trPr>
        <w:tc>
          <w:tcPr>
            <w:tcW w:w="2390" w:type="dxa"/>
            <w:tcBorders>
              <w:top w:val="nil"/>
              <w:left w:val="single" w:sz="4" w:space="0" w:color="auto"/>
              <w:bottom w:val="single" w:sz="4" w:space="0" w:color="auto"/>
              <w:right w:val="single" w:sz="4" w:space="0" w:color="auto"/>
            </w:tcBorders>
            <w:noWrap/>
            <w:vAlign w:val="bottom"/>
            <w:hideMark/>
          </w:tcPr>
          <w:p w14:paraId="52A2A816" w14:textId="77777777" w:rsidR="00820F2B" w:rsidRPr="00A91AEF" w:rsidRDefault="00820F2B" w:rsidP="00A86D03">
            <w:pPr>
              <w:spacing w:after="0" w:line="240" w:lineRule="auto"/>
              <w:rPr>
                <w:rFonts w:ascii="Calibri" w:eastAsia="Times New Roman" w:hAnsi="Calibri" w:cs="Calibri"/>
                <w:color w:val="000000"/>
                <w:sz w:val="18"/>
                <w:szCs w:val="18"/>
                <w:lang w:eastAsia="hr-HR"/>
              </w:rPr>
            </w:pPr>
            <w:r w:rsidRPr="00A91AEF">
              <w:rPr>
                <w:rFonts w:ascii="Calibri" w:eastAsia="Times New Roman" w:hAnsi="Calibri" w:cs="Calibri"/>
                <w:color w:val="000000"/>
                <w:sz w:val="18"/>
                <w:szCs w:val="18"/>
                <w:lang w:eastAsia="hr-HR"/>
              </w:rPr>
              <w:t>JVP Grada Trogira</w:t>
            </w:r>
          </w:p>
        </w:tc>
        <w:tc>
          <w:tcPr>
            <w:tcW w:w="1905" w:type="dxa"/>
            <w:tcBorders>
              <w:top w:val="nil"/>
              <w:left w:val="nil"/>
              <w:bottom w:val="single" w:sz="4" w:space="0" w:color="auto"/>
              <w:right w:val="single" w:sz="4" w:space="0" w:color="auto"/>
            </w:tcBorders>
            <w:noWrap/>
            <w:vAlign w:val="bottom"/>
            <w:hideMark/>
          </w:tcPr>
          <w:p w14:paraId="45173360" w14:textId="2331305C" w:rsidR="00820F2B" w:rsidRPr="00A91AEF" w:rsidRDefault="0070076A" w:rsidP="00A86D03">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1.257,80</w:t>
            </w:r>
          </w:p>
        </w:tc>
        <w:tc>
          <w:tcPr>
            <w:tcW w:w="1821" w:type="dxa"/>
            <w:tcBorders>
              <w:top w:val="nil"/>
              <w:left w:val="nil"/>
              <w:bottom w:val="single" w:sz="4" w:space="0" w:color="auto"/>
              <w:right w:val="single" w:sz="4" w:space="0" w:color="auto"/>
            </w:tcBorders>
            <w:noWrap/>
            <w:vAlign w:val="bottom"/>
            <w:hideMark/>
          </w:tcPr>
          <w:p w14:paraId="261ACC7C" w14:textId="6A8AA542" w:rsidR="00820F2B" w:rsidRPr="00A91AEF" w:rsidRDefault="0070076A" w:rsidP="00A86D03">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168.597,41</w:t>
            </w:r>
          </w:p>
        </w:tc>
        <w:tc>
          <w:tcPr>
            <w:tcW w:w="1821" w:type="dxa"/>
            <w:tcBorders>
              <w:top w:val="nil"/>
              <w:left w:val="nil"/>
              <w:bottom w:val="single" w:sz="4" w:space="0" w:color="auto"/>
              <w:right w:val="single" w:sz="4" w:space="0" w:color="auto"/>
            </w:tcBorders>
            <w:noWrap/>
            <w:vAlign w:val="bottom"/>
            <w:hideMark/>
          </w:tcPr>
          <w:p w14:paraId="6D236605" w14:textId="716CB387" w:rsidR="00820F2B" w:rsidRPr="00A91AEF" w:rsidRDefault="0070076A" w:rsidP="00A86D03">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186.365,51</w:t>
            </w:r>
          </w:p>
        </w:tc>
        <w:tc>
          <w:tcPr>
            <w:tcW w:w="1691" w:type="dxa"/>
            <w:tcBorders>
              <w:top w:val="nil"/>
              <w:left w:val="nil"/>
              <w:bottom w:val="single" w:sz="4" w:space="0" w:color="auto"/>
              <w:right w:val="single" w:sz="4" w:space="0" w:color="auto"/>
            </w:tcBorders>
            <w:shd w:val="clear" w:color="000000" w:fill="F2F2F2"/>
            <w:noWrap/>
            <w:vAlign w:val="bottom"/>
          </w:tcPr>
          <w:p w14:paraId="020DB7C5" w14:textId="025EF619" w:rsidR="00820F2B" w:rsidRPr="00A91AEF" w:rsidRDefault="0070076A" w:rsidP="00A86D03">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169.855,21</w:t>
            </w:r>
          </w:p>
        </w:tc>
      </w:tr>
      <w:tr w:rsidR="00820F2B" w:rsidRPr="0070607B" w14:paraId="2975A38D" w14:textId="77777777" w:rsidTr="00991F8C">
        <w:trPr>
          <w:trHeight w:val="295"/>
        </w:trPr>
        <w:tc>
          <w:tcPr>
            <w:tcW w:w="2390" w:type="dxa"/>
            <w:tcBorders>
              <w:top w:val="nil"/>
              <w:left w:val="single" w:sz="4" w:space="0" w:color="auto"/>
              <w:bottom w:val="single" w:sz="4" w:space="0" w:color="auto"/>
              <w:right w:val="single" w:sz="4" w:space="0" w:color="auto"/>
            </w:tcBorders>
            <w:shd w:val="clear" w:color="000000" w:fill="F2F2F2"/>
            <w:noWrap/>
            <w:vAlign w:val="bottom"/>
            <w:hideMark/>
          </w:tcPr>
          <w:p w14:paraId="02D4E605" w14:textId="77777777" w:rsidR="00820F2B" w:rsidRPr="00A91AEF" w:rsidRDefault="00820F2B" w:rsidP="00A86D03">
            <w:pPr>
              <w:spacing w:after="0" w:line="240" w:lineRule="auto"/>
              <w:rPr>
                <w:rFonts w:ascii="Calibri" w:eastAsia="Times New Roman" w:hAnsi="Calibri" w:cs="Calibri"/>
                <w:color w:val="000000"/>
                <w:sz w:val="18"/>
                <w:szCs w:val="18"/>
                <w:lang w:eastAsia="hr-HR"/>
              </w:rPr>
            </w:pPr>
            <w:r w:rsidRPr="00A91AEF">
              <w:rPr>
                <w:rFonts w:ascii="Calibri" w:eastAsia="Times New Roman" w:hAnsi="Calibri" w:cs="Calibri"/>
                <w:color w:val="000000"/>
                <w:sz w:val="18"/>
                <w:szCs w:val="18"/>
                <w:lang w:eastAsia="hr-HR"/>
              </w:rPr>
              <w:t>Ukupno proračunski korisnici</w:t>
            </w:r>
          </w:p>
        </w:tc>
        <w:tc>
          <w:tcPr>
            <w:tcW w:w="1905" w:type="dxa"/>
            <w:tcBorders>
              <w:top w:val="nil"/>
              <w:left w:val="nil"/>
              <w:bottom w:val="single" w:sz="4" w:space="0" w:color="auto"/>
              <w:right w:val="single" w:sz="4" w:space="0" w:color="auto"/>
            </w:tcBorders>
            <w:shd w:val="clear" w:color="000000" w:fill="F2F2F2"/>
            <w:noWrap/>
            <w:vAlign w:val="bottom"/>
            <w:hideMark/>
          </w:tcPr>
          <w:p w14:paraId="3C890843" w14:textId="7DB21A5C" w:rsidR="00820F2B" w:rsidRPr="00A91AEF" w:rsidRDefault="0045786B" w:rsidP="00A86D03">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24.561,07</w:t>
            </w:r>
          </w:p>
        </w:tc>
        <w:tc>
          <w:tcPr>
            <w:tcW w:w="1821" w:type="dxa"/>
            <w:tcBorders>
              <w:top w:val="nil"/>
              <w:left w:val="nil"/>
              <w:bottom w:val="single" w:sz="4" w:space="0" w:color="auto"/>
              <w:right w:val="single" w:sz="4" w:space="0" w:color="auto"/>
            </w:tcBorders>
            <w:shd w:val="clear" w:color="000000" w:fill="F2F2F2"/>
            <w:noWrap/>
            <w:vAlign w:val="bottom"/>
            <w:hideMark/>
          </w:tcPr>
          <w:p w14:paraId="700EBFE4" w14:textId="7F5EE4E4" w:rsidR="00820F2B" w:rsidRPr="00A91AEF" w:rsidRDefault="0045786B" w:rsidP="00A86D03">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572.098,08</w:t>
            </w:r>
          </w:p>
        </w:tc>
        <w:tc>
          <w:tcPr>
            <w:tcW w:w="1821" w:type="dxa"/>
            <w:tcBorders>
              <w:top w:val="nil"/>
              <w:left w:val="nil"/>
              <w:bottom w:val="single" w:sz="4" w:space="0" w:color="auto"/>
              <w:right w:val="single" w:sz="4" w:space="0" w:color="auto"/>
            </w:tcBorders>
            <w:shd w:val="clear" w:color="000000" w:fill="F2F2F2"/>
            <w:noWrap/>
            <w:vAlign w:val="bottom"/>
            <w:hideMark/>
          </w:tcPr>
          <w:p w14:paraId="00E47E99" w14:textId="38D31023" w:rsidR="00820F2B" w:rsidRPr="00A91AEF" w:rsidRDefault="004F69C2" w:rsidP="00A86D03">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417.452,33</w:t>
            </w:r>
          </w:p>
        </w:tc>
        <w:tc>
          <w:tcPr>
            <w:tcW w:w="1691" w:type="dxa"/>
            <w:tcBorders>
              <w:top w:val="nil"/>
              <w:left w:val="nil"/>
              <w:bottom w:val="single" w:sz="4" w:space="0" w:color="auto"/>
              <w:right w:val="single" w:sz="4" w:space="0" w:color="auto"/>
            </w:tcBorders>
            <w:shd w:val="clear" w:color="000000" w:fill="F2F2F2"/>
            <w:noWrap/>
            <w:vAlign w:val="bottom"/>
          </w:tcPr>
          <w:p w14:paraId="58D9754B" w14:textId="2204C607" w:rsidR="00820F2B" w:rsidRPr="00A91AEF" w:rsidRDefault="004F69C2" w:rsidP="00A86D03">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596.659,15</w:t>
            </w:r>
          </w:p>
        </w:tc>
      </w:tr>
      <w:tr w:rsidR="00820F2B" w:rsidRPr="0070607B" w14:paraId="23D396B7" w14:textId="77777777" w:rsidTr="00CC318D">
        <w:trPr>
          <w:trHeight w:val="295"/>
        </w:trPr>
        <w:tc>
          <w:tcPr>
            <w:tcW w:w="2390" w:type="dxa"/>
            <w:tcBorders>
              <w:top w:val="nil"/>
              <w:left w:val="single" w:sz="4" w:space="0" w:color="auto"/>
              <w:bottom w:val="single" w:sz="4" w:space="0" w:color="auto"/>
              <w:right w:val="single" w:sz="4" w:space="0" w:color="auto"/>
            </w:tcBorders>
            <w:shd w:val="clear" w:color="000000" w:fill="D9D9D9"/>
            <w:noWrap/>
            <w:vAlign w:val="bottom"/>
            <w:hideMark/>
          </w:tcPr>
          <w:p w14:paraId="21102D58" w14:textId="77777777" w:rsidR="00820F2B" w:rsidRPr="0070607B" w:rsidRDefault="00820F2B" w:rsidP="00A86D03">
            <w:pPr>
              <w:spacing w:after="0" w:line="240" w:lineRule="auto"/>
              <w:rPr>
                <w:rFonts w:ascii="Calibri" w:eastAsia="Times New Roman" w:hAnsi="Calibri" w:cs="Calibri"/>
                <w:b/>
                <w:bCs/>
                <w:color w:val="000000"/>
                <w:sz w:val="20"/>
                <w:szCs w:val="20"/>
                <w:lang w:eastAsia="hr-HR"/>
              </w:rPr>
            </w:pPr>
            <w:r w:rsidRPr="0070607B">
              <w:rPr>
                <w:rFonts w:ascii="Calibri" w:eastAsia="Times New Roman" w:hAnsi="Calibri" w:cs="Calibri"/>
                <w:b/>
                <w:bCs/>
                <w:color w:val="000000"/>
                <w:sz w:val="20"/>
                <w:szCs w:val="20"/>
                <w:lang w:eastAsia="hr-HR"/>
              </w:rPr>
              <w:t xml:space="preserve">SVEUKUPNO </w:t>
            </w:r>
          </w:p>
        </w:tc>
        <w:tc>
          <w:tcPr>
            <w:tcW w:w="1905" w:type="dxa"/>
            <w:tcBorders>
              <w:top w:val="nil"/>
              <w:left w:val="nil"/>
              <w:bottom w:val="single" w:sz="4" w:space="0" w:color="auto"/>
              <w:right w:val="single" w:sz="4" w:space="0" w:color="auto"/>
            </w:tcBorders>
            <w:shd w:val="clear" w:color="000000" w:fill="D9D9D9"/>
            <w:noWrap/>
            <w:vAlign w:val="bottom"/>
            <w:hideMark/>
          </w:tcPr>
          <w:p w14:paraId="04A849A3" w14:textId="555E4A7C" w:rsidR="00820F2B" w:rsidRPr="0070607B" w:rsidRDefault="00DF02C2" w:rsidP="00A86D03">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347.374,88</w:t>
            </w:r>
          </w:p>
        </w:tc>
        <w:tc>
          <w:tcPr>
            <w:tcW w:w="1821" w:type="dxa"/>
            <w:tcBorders>
              <w:top w:val="nil"/>
              <w:left w:val="nil"/>
              <w:bottom w:val="single" w:sz="4" w:space="0" w:color="auto"/>
              <w:right w:val="single" w:sz="4" w:space="0" w:color="auto"/>
            </w:tcBorders>
            <w:shd w:val="clear" w:color="000000" w:fill="D9D9D9"/>
            <w:noWrap/>
            <w:vAlign w:val="bottom"/>
            <w:hideMark/>
          </w:tcPr>
          <w:p w14:paraId="471D9C53" w14:textId="7CEA3299" w:rsidR="00820F2B" w:rsidRPr="0070607B" w:rsidRDefault="00DF02C2" w:rsidP="00A86D03">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3.340.101,80</w:t>
            </w:r>
          </w:p>
        </w:tc>
        <w:tc>
          <w:tcPr>
            <w:tcW w:w="1821" w:type="dxa"/>
            <w:tcBorders>
              <w:top w:val="nil"/>
              <w:left w:val="nil"/>
              <w:bottom w:val="single" w:sz="4" w:space="0" w:color="auto"/>
              <w:right w:val="single" w:sz="4" w:space="0" w:color="auto"/>
            </w:tcBorders>
            <w:shd w:val="clear" w:color="000000" w:fill="D9D9D9"/>
            <w:noWrap/>
            <w:vAlign w:val="bottom"/>
            <w:hideMark/>
          </w:tcPr>
          <w:p w14:paraId="5602F923" w14:textId="34E2F870" w:rsidR="00820F2B" w:rsidRPr="0070607B" w:rsidRDefault="00DF02C2" w:rsidP="00A86D03">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3.554.481,73</w:t>
            </w:r>
          </w:p>
        </w:tc>
        <w:tc>
          <w:tcPr>
            <w:tcW w:w="1691" w:type="dxa"/>
            <w:tcBorders>
              <w:top w:val="nil"/>
              <w:left w:val="nil"/>
              <w:bottom w:val="single" w:sz="4" w:space="0" w:color="auto"/>
              <w:right w:val="single" w:sz="4" w:space="0" w:color="auto"/>
            </w:tcBorders>
            <w:shd w:val="clear" w:color="000000" w:fill="D9D9D9"/>
            <w:noWrap/>
            <w:vAlign w:val="bottom"/>
            <w:hideMark/>
          </w:tcPr>
          <w:p w14:paraId="4B1C9D83" w14:textId="402AB677" w:rsidR="00820F2B" w:rsidRPr="0070607B" w:rsidRDefault="00DF02C2" w:rsidP="00A86D03">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3.687.476,68</w:t>
            </w:r>
          </w:p>
        </w:tc>
      </w:tr>
    </w:tbl>
    <w:p w14:paraId="508F3DA8" w14:textId="77777777" w:rsidR="00C364F9" w:rsidRDefault="00C364F9" w:rsidP="00820F2B">
      <w:pPr>
        <w:jc w:val="both"/>
        <w:rPr>
          <w:rFonts w:cstheme="minorHAnsi"/>
          <w:sz w:val="24"/>
          <w:szCs w:val="24"/>
        </w:rPr>
      </w:pPr>
    </w:p>
    <w:p w14:paraId="2EDBAA90" w14:textId="78885DD1" w:rsidR="00820F2B" w:rsidRPr="00B94B26" w:rsidRDefault="00820F2B" w:rsidP="00820F2B">
      <w:pPr>
        <w:jc w:val="both"/>
        <w:rPr>
          <w:rFonts w:cstheme="minorHAnsi"/>
          <w:sz w:val="24"/>
          <w:szCs w:val="24"/>
        </w:rPr>
      </w:pPr>
      <w:r>
        <w:rPr>
          <w:rFonts w:cstheme="minorHAnsi"/>
          <w:sz w:val="24"/>
          <w:szCs w:val="24"/>
        </w:rPr>
        <w:t>Ukupno stanje dospjelih nepodmirenih obveza Grada i svih proračunskih korisnika na 31.12.202</w:t>
      </w:r>
      <w:r w:rsidR="00B40C08">
        <w:rPr>
          <w:rFonts w:cstheme="minorHAnsi"/>
          <w:sz w:val="24"/>
          <w:szCs w:val="24"/>
        </w:rPr>
        <w:t>5</w:t>
      </w:r>
      <w:r>
        <w:rPr>
          <w:rFonts w:cstheme="minorHAnsi"/>
          <w:sz w:val="24"/>
          <w:szCs w:val="24"/>
        </w:rPr>
        <w:t xml:space="preserve">. godine iznosi </w:t>
      </w:r>
      <w:r w:rsidR="00B40C08">
        <w:rPr>
          <w:rFonts w:cstheme="minorHAnsi"/>
          <w:sz w:val="24"/>
          <w:szCs w:val="24"/>
        </w:rPr>
        <w:t>347.374,88</w:t>
      </w:r>
      <w:r>
        <w:rPr>
          <w:rFonts w:cstheme="minorHAnsi"/>
          <w:sz w:val="24"/>
          <w:szCs w:val="24"/>
        </w:rPr>
        <w:t xml:space="preserve"> eura i u odnosu na </w:t>
      </w:r>
      <w:r w:rsidR="00F6145C">
        <w:rPr>
          <w:rFonts w:cstheme="minorHAnsi"/>
          <w:sz w:val="24"/>
          <w:szCs w:val="24"/>
        </w:rPr>
        <w:t>31.12.</w:t>
      </w:r>
      <w:r>
        <w:rPr>
          <w:rFonts w:cstheme="minorHAnsi"/>
          <w:sz w:val="24"/>
          <w:szCs w:val="24"/>
        </w:rPr>
        <w:t>202</w:t>
      </w:r>
      <w:r w:rsidR="00B40C08">
        <w:rPr>
          <w:rFonts w:cstheme="minorHAnsi"/>
          <w:sz w:val="24"/>
          <w:szCs w:val="24"/>
        </w:rPr>
        <w:t>4</w:t>
      </w:r>
      <w:r>
        <w:rPr>
          <w:rFonts w:cstheme="minorHAnsi"/>
          <w:sz w:val="24"/>
          <w:szCs w:val="24"/>
        </w:rPr>
        <w:t>. godinu</w:t>
      </w:r>
      <w:r w:rsidR="00F6145C">
        <w:rPr>
          <w:rFonts w:cstheme="minorHAnsi"/>
          <w:sz w:val="24"/>
          <w:szCs w:val="24"/>
        </w:rPr>
        <w:t xml:space="preserve"> veće su za </w:t>
      </w:r>
      <w:r w:rsidR="00F54A3A">
        <w:rPr>
          <w:rFonts w:cstheme="minorHAnsi"/>
          <w:sz w:val="24"/>
          <w:szCs w:val="24"/>
        </w:rPr>
        <w:t>7,13</w:t>
      </w:r>
      <w:r w:rsidR="00F6145C">
        <w:rPr>
          <w:rFonts w:cstheme="minorHAnsi"/>
          <w:sz w:val="24"/>
          <w:szCs w:val="24"/>
        </w:rPr>
        <w:t>%.</w:t>
      </w:r>
    </w:p>
    <w:p w14:paraId="3C2B3339" w14:textId="09799169" w:rsidR="00820F2B" w:rsidRDefault="00820F2B" w:rsidP="00820F2B">
      <w:pPr>
        <w:jc w:val="both"/>
        <w:rPr>
          <w:rFonts w:cstheme="minorHAnsi"/>
          <w:sz w:val="24"/>
          <w:szCs w:val="24"/>
        </w:rPr>
      </w:pPr>
      <w:r>
        <w:rPr>
          <w:rFonts w:cstheme="minorHAnsi"/>
          <w:sz w:val="24"/>
          <w:szCs w:val="24"/>
        </w:rPr>
        <w:t>Stanje ukupnih nepodmirenih dospjelih obveza Grada Trogira na dan 31.12.202</w:t>
      </w:r>
      <w:r w:rsidR="00B40C08">
        <w:rPr>
          <w:rFonts w:cstheme="minorHAnsi"/>
          <w:sz w:val="24"/>
          <w:szCs w:val="24"/>
        </w:rPr>
        <w:t>5</w:t>
      </w:r>
      <w:r>
        <w:rPr>
          <w:rFonts w:cstheme="minorHAnsi"/>
          <w:sz w:val="24"/>
          <w:szCs w:val="24"/>
        </w:rPr>
        <w:t xml:space="preserve">. godine iznosi </w:t>
      </w:r>
      <w:r w:rsidR="00D20071">
        <w:rPr>
          <w:rFonts w:cstheme="minorHAnsi"/>
          <w:sz w:val="24"/>
          <w:szCs w:val="24"/>
        </w:rPr>
        <w:t>322.813,81</w:t>
      </w:r>
      <w:r>
        <w:rPr>
          <w:rFonts w:cstheme="minorHAnsi"/>
          <w:sz w:val="24"/>
          <w:szCs w:val="24"/>
        </w:rPr>
        <w:t xml:space="preserve"> eura. U odnosu na prethodnu godinu</w:t>
      </w:r>
      <w:r w:rsidR="00B01EE2">
        <w:rPr>
          <w:rFonts w:cstheme="minorHAnsi"/>
          <w:sz w:val="24"/>
          <w:szCs w:val="24"/>
        </w:rPr>
        <w:t xml:space="preserve"> (295.732,82 eura)</w:t>
      </w:r>
      <w:r>
        <w:rPr>
          <w:rFonts w:cstheme="minorHAnsi"/>
          <w:sz w:val="24"/>
          <w:szCs w:val="24"/>
        </w:rPr>
        <w:t xml:space="preserve"> dospjele nepodmirene obveze </w:t>
      </w:r>
      <w:r w:rsidR="00D20071">
        <w:rPr>
          <w:rFonts w:cstheme="minorHAnsi"/>
          <w:sz w:val="24"/>
          <w:szCs w:val="24"/>
        </w:rPr>
        <w:t>veće</w:t>
      </w:r>
      <w:r>
        <w:rPr>
          <w:rFonts w:cstheme="minorHAnsi"/>
          <w:sz w:val="24"/>
          <w:szCs w:val="24"/>
        </w:rPr>
        <w:t xml:space="preserve"> su za </w:t>
      </w:r>
      <w:r w:rsidR="00D20071">
        <w:rPr>
          <w:rFonts w:cstheme="minorHAnsi"/>
          <w:sz w:val="24"/>
          <w:szCs w:val="24"/>
        </w:rPr>
        <w:t>25.080,99</w:t>
      </w:r>
      <w:r>
        <w:rPr>
          <w:rFonts w:cstheme="minorHAnsi"/>
          <w:sz w:val="24"/>
          <w:szCs w:val="24"/>
        </w:rPr>
        <w:t xml:space="preserve"> eura ili </w:t>
      </w:r>
      <w:r w:rsidR="00D20071">
        <w:rPr>
          <w:rFonts w:cstheme="minorHAnsi"/>
          <w:sz w:val="24"/>
          <w:szCs w:val="24"/>
        </w:rPr>
        <w:t>9,16</w:t>
      </w:r>
      <w:r>
        <w:rPr>
          <w:rFonts w:cstheme="minorHAnsi"/>
          <w:sz w:val="24"/>
          <w:szCs w:val="24"/>
        </w:rPr>
        <w:t xml:space="preserve">%. </w:t>
      </w:r>
    </w:p>
    <w:p w14:paraId="1E6917B4" w14:textId="61FA480E" w:rsidR="00B40C08" w:rsidRPr="009C0ED8" w:rsidRDefault="00820F2B" w:rsidP="00820F2B">
      <w:pPr>
        <w:jc w:val="both"/>
        <w:rPr>
          <w:rFonts w:cstheme="minorHAnsi"/>
          <w:sz w:val="24"/>
          <w:szCs w:val="24"/>
        </w:rPr>
      </w:pPr>
      <w:r>
        <w:rPr>
          <w:rFonts w:cstheme="minorHAnsi"/>
          <w:sz w:val="24"/>
          <w:szCs w:val="24"/>
        </w:rPr>
        <w:t>Stanje dospjelih nepodmirenih obveza na kraju 202</w:t>
      </w:r>
      <w:r w:rsidR="00D20071">
        <w:rPr>
          <w:rFonts w:cstheme="minorHAnsi"/>
          <w:sz w:val="24"/>
          <w:szCs w:val="24"/>
        </w:rPr>
        <w:t>5</w:t>
      </w:r>
      <w:r>
        <w:rPr>
          <w:rFonts w:cstheme="minorHAnsi"/>
          <w:sz w:val="24"/>
          <w:szCs w:val="24"/>
        </w:rPr>
        <w:t xml:space="preserve">. godine, ukupno kod svih proračunskih korisnika iznosi </w:t>
      </w:r>
      <w:r w:rsidR="00D20071">
        <w:rPr>
          <w:rFonts w:cstheme="minorHAnsi"/>
          <w:sz w:val="24"/>
          <w:szCs w:val="24"/>
        </w:rPr>
        <w:t>24.561,07</w:t>
      </w:r>
      <w:r>
        <w:rPr>
          <w:rFonts w:cstheme="minorHAnsi"/>
          <w:sz w:val="24"/>
          <w:szCs w:val="24"/>
        </w:rPr>
        <w:t xml:space="preserve"> eura, što je u odnosu na 202</w:t>
      </w:r>
      <w:r w:rsidR="00D20071">
        <w:rPr>
          <w:rFonts w:cstheme="minorHAnsi"/>
          <w:sz w:val="24"/>
          <w:szCs w:val="24"/>
        </w:rPr>
        <w:t>4</w:t>
      </w:r>
      <w:r>
        <w:rPr>
          <w:rFonts w:cstheme="minorHAnsi"/>
          <w:sz w:val="24"/>
          <w:szCs w:val="24"/>
        </w:rPr>
        <w:t>.godinu</w:t>
      </w:r>
      <w:r w:rsidR="002C589E">
        <w:rPr>
          <w:rFonts w:cstheme="minorHAnsi"/>
          <w:sz w:val="24"/>
          <w:szCs w:val="24"/>
        </w:rPr>
        <w:t xml:space="preserve"> (28.507,26 eura)</w:t>
      </w:r>
      <w:r>
        <w:rPr>
          <w:rFonts w:cstheme="minorHAnsi"/>
          <w:sz w:val="24"/>
          <w:szCs w:val="24"/>
        </w:rPr>
        <w:t xml:space="preserve"> </w:t>
      </w:r>
      <w:r w:rsidR="002C589E">
        <w:rPr>
          <w:rFonts w:cstheme="minorHAnsi"/>
          <w:sz w:val="24"/>
          <w:szCs w:val="24"/>
        </w:rPr>
        <w:t>smanjenje</w:t>
      </w:r>
      <w:r>
        <w:rPr>
          <w:rFonts w:cstheme="minorHAnsi"/>
          <w:sz w:val="24"/>
          <w:szCs w:val="24"/>
        </w:rPr>
        <w:t xml:space="preserve"> od </w:t>
      </w:r>
      <w:r w:rsidR="002C589E">
        <w:rPr>
          <w:rFonts w:cstheme="minorHAnsi"/>
          <w:sz w:val="24"/>
          <w:szCs w:val="24"/>
        </w:rPr>
        <w:t>3.946,19</w:t>
      </w:r>
      <w:r>
        <w:rPr>
          <w:rFonts w:cstheme="minorHAnsi"/>
          <w:sz w:val="24"/>
          <w:szCs w:val="24"/>
        </w:rPr>
        <w:t xml:space="preserve"> eura</w:t>
      </w:r>
      <w:r w:rsidR="002C589E">
        <w:rPr>
          <w:rFonts w:cstheme="minorHAnsi"/>
          <w:sz w:val="24"/>
          <w:szCs w:val="24"/>
        </w:rPr>
        <w:t>. Smanjenje</w:t>
      </w:r>
      <w:r>
        <w:rPr>
          <w:rFonts w:cstheme="minorHAnsi"/>
          <w:sz w:val="24"/>
          <w:szCs w:val="24"/>
        </w:rPr>
        <w:t xml:space="preserve"> stanja obveza kod proračunskih korisnika se odnosi na</w:t>
      </w:r>
      <w:r w:rsidR="003102BE">
        <w:rPr>
          <w:rFonts w:cstheme="minorHAnsi"/>
          <w:sz w:val="24"/>
          <w:szCs w:val="24"/>
        </w:rPr>
        <w:t xml:space="preserve"> </w:t>
      </w:r>
      <w:r>
        <w:rPr>
          <w:rFonts w:cstheme="minorHAnsi"/>
          <w:sz w:val="24"/>
          <w:szCs w:val="24"/>
        </w:rPr>
        <w:t>Muzej Grada Trogira i JVP Grada Trogira</w:t>
      </w:r>
      <w:r w:rsidR="003102BE">
        <w:rPr>
          <w:rFonts w:cstheme="minorHAnsi"/>
          <w:sz w:val="24"/>
          <w:szCs w:val="24"/>
        </w:rPr>
        <w:t>, dok Dječji vrtić Trogir bilježi povećanje svojih obveza.</w:t>
      </w:r>
    </w:p>
    <w:p w14:paraId="3E49664E" w14:textId="73415603" w:rsidR="009724CF" w:rsidRDefault="00820F2B" w:rsidP="00820F2B">
      <w:pPr>
        <w:jc w:val="both"/>
        <w:rPr>
          <w:rFonts w:cstheme="minorHAnsi"/>
          <w:sz w:val="24"/>
          <w:szCs w:val="24"/>
        </w:rPr>
      </w:pPr>
      <w:r>
        <w:rPr>
          <w:rFonts w:cstheme="minorHAnsi"/>
          <w:sz w:val="24"/>
          <w:szCs w:val="24"/>
        </w:rPr>
        <w:t xml:space="preserve">U nastavku prikaz stanja </w:t>
      </w:r>
      <w:r w:rsidR="006E4E46">
        <w:rPr>
          <w:rFonts w:cstheme="minorHAnsi"/>
          <w:sz w:val="24"/>
          <w:szCs w:val="24"/>
        </w:rPr>
        <w:t>konsolidiranih obveza</w:t>
      </w:r>
      <w:r>
        <w:rPr>
          <w:rFonts w:cstheme="minorHAnsi"/>
          <w:sz w:val="24"/>
          <w:szCs w:val="24"/>
        </w:rPr>
        <w:t xml:space="preserve"> po vrsti i danima kašnjenja za dospjele obveze</w:t>
      </w:r>
      <w:r w:rsidR="00C503F2">
        <w:rPr>
          <w:rFonts w:cstheme="minorHAnsi"/>
          <w:sz w:val="24"/>
          <w:szCs w:val="24"/>
        </w:rPr>
        <w:t>:</w:t>
      </w:r>
    </w:p>
    <w:p w14:paraId="637676F1" w14:textId="05652745" w:rsidR="004B583C" w:rsidRDefault="004B583C" w:rsidP="004B583C">
      <w:pPr>
        <w:jc w:val="both"/>
        <w:rPr>
          <w:rFonts w:cstheme="minorHAnsi"/>
          <w:sz w:val="24"/>
          <w:szCs w:val="24"/>
        </w:rPr>
      </w:pPr>
      <w:r w:rsidRPr="00D57B90">
        <w:rPr>
          <w:rFonts w:cstheme="minorHAnsi"/>
          <w:b/>
          <w:bCs/>
          <w:sz w:val="24"/>
          <w:szCs w:val="24"/>
        </w:rPr>
        <w:t>Tablica br.</w:t>
      </w:r>
      <w:r>
        <w:rPr>
          <w:rFonts w:cstheme="minorHAnsi"/>
          <w:b/>
          <w:bCs/>
          <w:sz w:val="24"/>
          <w:szCs w:val="24"/>
        </w:rPr>
        <w:t>1</w:t>
      </w:r>
      <w:r w:rsidR="005F5D64">
        <w:rPr>
          <w:rFonts w:cstheme="minorHAnsi"/>
          <w:b/>
          <w:bCs/>
          <w:sz w:val="24"/>
          <w:szCs w:val="24"/>
        </w:rPr>
        <w:t>6</w:t>
      </w:r>
      <w:r>
        <w:rPr>
          <w:rFonts w:cstheme="minorHAnsi"/>
          <w:b/>
          <w:bCs/>
          <w:sz w:val="24"/>
          <w:szCs w:val="24"/>
        </w:rPr>
        <w:t>.</w:t>
      </w:r>
      <w:r>
        <w:rPr>
          <w:rFonts w:cstheme="minorHAnsi"/>
          <w:sz w:val="24"/>
          <w:szCs w:val="24"/>
        </w:rPr>
        <w:t xml:space="preserve"> Stanje obveza Grada Trogira i proračunskih korisnika po vrsti i danima kašnjenja</w:t>
      </w:r>
    </w:p>
    <w:p w14:paraId="4B07ABB9" w14:textId="77777777" w:rsidR="00B40C08" w:rsidRDefault="00B40C08" w:rsidP="00820F2B">
      <w:pPr>
        <w:jc w:val="both"/>
        <w:rPr>
          <w:rFonts w:cstheme="minorHAnsi"/>
          <w:sz w:val="24"/>
          <w:szCs w:val="24"/>
        </w:rPr>
      </w:pPr>
    </w:p>
    <w:p w14:paraId="4653A508" w14:textId="77777777" w:rsidR="0028156F" w:rsidRDefault="0028156F" w:rsidP="00820F2B">
      <w:pPr>
        <w:jc w:val="both"/>
        <w:rPr>
          <w:rFonts w:cstheme="minorHAnsi"/>
          <w:sz w:val="24"/>
          <w:szCs w:val="24"/>
        </w:rPr>
      </w:pPr>
    </w:p>
    <w:tbl>
      <w:tblPr>
        <w:tblpPr w:leftFromText="180" w:rightFromText="180" w:horzAnchor="margin" w:tblpXSpec="center" w:tblpY="330"/>
        <w:tblW w:w="10134" w:type="dxa"/>
        <w:tblLook w:val="04A0" w:firstRow="1" w:lastRow="0" w:firstColumn="1" w:lastColumn="0" w:noHBand="0" w:noVBand="1"/>
      </w:tblPr>
      <w:tblGrid>
        <w:gridCol w:w="1405"/>
        <w:gridCol w:w="1232"/>
        <w:gridCol w:w="1122"/>
        <w:gridCol w:w="1095"/>
        <w:gridCol w:w="1232"/>
        <w:gridCol w:w="1232"/>
        <w:gridCol w:w="1416"/>
        <w:gridCol w:w="1400"/>
      </w:tblGrid>
      <w:tr w:rsidR="00820F2B" w:rsidRPr="002C2421" w14:paraId="07E79AE2" w14:textId="77777777" w:rsidTr="0028156F">
        <w:trPr>
          <w:trHeight w:val="328"/>
        </w:trPr>
        <w:tc>
          <w:tcPr>
            <w:tcW w:w="1405"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55CBB53" w14:textId="77777777" w:rsidR="00820F2B" w:rsidRPr="002C2421" w:rsidRDefault="00820F2B" w:rsidP="0028156F">
            <w:pPr>
              <w:spacing w:after="0" w:line="240" w:lineRule="auto"/>
              <w:jc w:val="center"/>
              <w:rPr>
                <w:rFonts w:ascii="Calibri" w:eastAsia="Times New Roman" w:hAnsi="Calibri" w:cs="Calibri"/>
                <w:b/>
                <w:bCs/>
                <w:color w:val="000000"/>
                <w:sz w:val="20"/>
                <w:szCs w:val="20"/>
                <w:lang w:eastAsia="hr-HR"/>
              </w:rPr>
            </w:pPr>
            <w:r w:rsidRPr="002C2421">
              <w:rPr>
                <w:rFonts w:ascii="Calibri" w:eastAsia="Times New Roman" w:hAnsi="Calibri" w:cs="Calibri"/>
                <w:b/>
                <w:bCs/>
                <w:color w:val="000000"/>
                <w:sz w:val="20"/>
                <w:szCs w:val="20"/>
                <w:lang w:eastAsia="hr-HR"/>
              </w:rPr>
              <w:lastRenderedPageBreak/>
              <w:t>Vrsta obveze</w:t>
            </w:r>
          </w:p>
        </w:tc>
        <w:tc>
          <w:tcPr>
            <w:tcW w:w="4681"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018B43A3" w14:textId="77777777" w:rsidR="00820F2B" w:rsidRPr="002C2421" w:rsidRDefault="00820F2B" w:rsidP="0028156F">
            <w:pPr>
              <w:spacing w:after="0" w:line="240" w:lineRule="auto"/>
              <w:jc w:val="center"/>
              <w:rPr>
                <w:rFonts w:ascii="Calibri" w:eastAsia="Times New Roman" w:hAnsi="Calibri" w:cs="Calibri"/>
                <w:b/>
                <w:bCs/>
                <w:color w:val="000000"/>
                <w:sz w:val="20"/>
                <w:szCs w:val="20"/>
                <w:lang w:eastAsia="hr-HR"/>
              </w:rPr>
            </w:pPr>
            <w:r w:rsidRPr="002C2421">
              <w:rPr>
                <w:rFonts w:ascii="Calibri" w:eastAsia="Times New Roman" w:hAnsi="Calibri" w:cs="Calibri"/>
                <w:b/>
                <w:bCs/>
                <w:color w:val="000000"/>
                <w:sz w:val="20"/>
                <w:szCs w:val="20"/>
                <w:lang w:eastAsia="hr-HR"/>
              </w:rPr>
              <w:t>Dospjelo</w:t>
            </w:r>
          </w:p>
        </w:tc>
        <w:tc>
          <w:tcPr>
            <w:tcW w:w="1232" w:type="dxa"/>
            <w:tcBorders>
              <w:top w:val="single" w:sz="4" w:space="0" w:color="auto"/>
              <w:left w:val="nil"/>
              <w:bottom w:val="nil"/>
              <w:right w:val="single" w:sz="4" w:space="0" w:color="auto"/>
            </w:tcBorders>
            <w:shd w:val="clear" w:color="000000" w:fill="BFBFBF"/>
            <w:noWrap/>
            <w:vAlign w:val="bottom"/>
            <w:hideMark/>
          </w:tcPr>
          <w:p w14:paraId="56AE67A8" w14:textId="77777777" w:rsidR="00820F2B" w:rsidRPr="002C2421" w:rsidRDefault="00820F2B" w:rsidP="0028156F">
            <w:pPr>
              <w:spacing w:after="0" w:line="240" w:lineRule="auto"/>
              <w:jc w:val="center"/>
              <w:rPr>
                <w:rFonts w:ascii="Calibri" w:eastAsia="Times New Roman" w:hAnsi="Calibri" w:cs="Calibri"/>
                <w:b/>
                <w:bCs/>
                <w:color w:val="000000"/>
                <w:sz w:val="20"/>
                <w:szCs w:val="20"/>
                <w:lang w:eastAsia="hr-HR"/>
              </w:rPr>
            </w:pPr>
            <w:r w:rsidRPr="002C2421">
              <w:rPr>
                <w:rFonts w:ascii="Calibri" w:eastAsia="Times New Roman" w:hAnsi="Calibri" w:cs="Calibri"/>
                <w:b/>
                <w:bCs/>
                <w:color w:val="000000"/>
                <w:sz w:val="20"/>
                <w:szCs w:val="20"/>
                <w:lang w:eastAsia="hr-HR"/>
              </w:rPr>
              <w:t>Ukupno</w:t>
            </w:r>
          </w:p>
        </w:tc>
        <w:tc>
          <w:tcPr>
            <w:tcW w:w="1416" w:type="dxa"/>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7BCB6EA5" w14:textId="77777777" w:rsidR="00820F2B" w:rsidRPr="002C2421" w:rsidRDefault="00820F2B" w:rsidP="0028156F">
            <w:pPr>
              <w:spacing w:after="0" w:line="240" w:lineRule="auto"/>
              <w:jc w:val="center"/>
              <w:rPr>
                <w:rFonts w:ascii="Calibri" w:eastAsia="Times New Roman" w:hAnsi="Calibri" w:cs="Calibri"/>
                <w:b/>
                <w:bCs/>
                <w:color w:val="000000"/>
                <w:sz w:val="20"/>
                <w:szCs w:val="20"/>
                <w:lang w:eastAsia="hr-HR"/>
              </w:rPr>
            </w:pPr>
            <w:r w:rsidRPr="002C2421">
              <w:rPr>
                <w:rFonts w:ascii="Calibri" w:eastAsia="Times New Roman" w:hAnsi="Calibri" w:cs="Calibri"/>
                <w:b/>
                <w:bCs/>
                <w:color w:val="000000"/>
                <w:sz w:val="20"/>
                <w:szCs w:val="20"/>
                <w:lang w:eastAsia="hr-HR"/>
              </w:rPr>
              <w:t>Nedospjelo</w:t>
            </w:r>
          </w:p>
        </w:tc>
        <w:tc>
          <w:tcPr>
            <w:tcW w:w="1400" w:type="dxa"/>
            <w:tcBorders>
              <w:top w:val="single" w:sz="4" w:space="0" w:color="auto"/>
              <w:left w:val="nil"/>
              <w:bottom w:val="nil"/>
              <w:right w:val="single" w:sz="4" w:space="0" w:color="auto"/>
            </w:tcBorders>
            <w:shd w:val="clear" w:color="000000" w:fill="BFBFBF"/>
            <w:noWrap/>
            <w:vAlign w:val="bottom"/>
            <w:hideMark/>
          </w:tcPr>
          <w:p w14:paraId="4660BAB5" w14:textId="77777777" w:rsidR="00820F2B" w:rsidRPr="002C2421" w:rsidRDefault="00820F2B" w:rsidP="0028156F">
            <w:pPr>
              <w:spacing w:after="0" w:line="240" w:lineRule="auto"/>
              <w:jc w:val="center"/>
              <w:rPr>
                <w:rFonts w:ascii="Calibri" w:eastAsia="Times New Roman" w:hAnsi="Calibri" w:cs="Calibri"/>
                <w:b/>
                <w:bCs/>
                <w:color w:val="000000"/>
                <w:sz w:val="20"/>
                <w:szCs w:val="20"/>
                <w:lang w:eastAsia="hr-HR"/>
              </w:rPr>
            </w:pPr>
            <w:r w:rsidRPr="002C2421">
              <w:rPr>
                <w:rFonts w:ascii="Calibri" w:eastAsia="Times New Roman" w:hAnsi="Calibri" w:cs="Calibri"/>
                <w:b/>
                <w:bCs/>
                <w:color w:val="000000"/>
                <w:sz w:val="20"/>
                <w:szCs w:val="20"/>
                <w:lang w:eastAsia="hr-HR"/>
              </w:rPr>
              <w:t>Ukupno</w:t>
            </w:r>
          </w:p>
        </w:tc>
      </w:tr>
      <w:tr w:rsidR="00820F2B" w:rsidRPr="002C2421" w14:paraId="21BEAEE1" w14:textId="77777777" w:rsidTr="0028156F">
        <w:trPr>
          <w:trHeight w:val="328"/>
        </w:trPr>
        <w:tc>
          <w:tcPr>
            <w:tcW w:w="1405" w:type="dxa"/>
            <w:vMerge/>
            <w:tcBorders>
              <w:top w:val="single" w:sz="4" w:space="0" w:color="auto"/>
              <w:left w:val="single" w:sz="4" w:space="0" w:color="auto"/>
              <w:bottom w:val="single" w:sz="4" w:space="0" w:color="auto"/>
              <w:right w:val="single" w:sz="4" w:space="0" w:color="auto"/>
            </w:tcBorders>
            <w:vAlign w:val="center"/>
            <w:hideMark/>
          </w:tcPr>
          <w:p w14:paraId="5B2D7D82" w14:textId="77777777" w:rsidR="00820F2B" w:rsidRPr="002C2421" w:rsidRDefault="00820F2B" w:rsidP="0028156F">
            <w:pPr>
              <w:spacing w:after="0" w:line="240" w:lineRule="auto"/>
              <w:rPr>
                <w:rFonts w:ascii="Calibri" w:eastAsia="Times New Roman" w:hAnsi="Calibri" w:cs="Calibri"/>
                <w:b/>
                <w:bCs/>
                <w:color w:val="000000"/>
                <w:sz w:val="20"/>
                <w:szCs w:val="20"/>
                <w:lang w:eastAsia="hr-HR"/>
              </w:rPr>
            </w:pPr>
          </w:p>
        </w:tc>
        <w:tc>
          <w:tcPr>
            <w:tcW w:w="1232" w:type="dxa"/>
            <w:tcBorders>
              <w:top w:val="nil"/>
              <w:left w:val="nil"/>
              <w:bottom w:val="single" w:sz="4" w:space="0" w:color="auto"/>
              <w:right w:val="single" w:sz="4" w:space="0" w:color="auto"/>
            </w:tcBorders>
            <w:shd w:val="clear" w:color="000000" w:fill="BFBFBF"/>
            <w:noWrap/>
            <w:vAlign w:val="bottom"/>
            <w:hideMark/>
          </w:tcPr>
          <w:p w14:paraId="7B34C0E9" w14:textId="77777777" w:rsidR="00820F2B" w:rsidRPr="002C2421" w:rsidRDefault="00820F2B" w:rsidP="0028156F">
            <w:pPr>
              <w:spacing w:after="0" w:line="240" w:lineRule="auto"/>
              <w:jc w:val="center"/>
              <w:rPr>
                <w:rFonts w:ascii="Calibri" w:eastAsia="Times New Roman" w:hAnsi="Calibri" w:cs="Calibri"/>
                <w:b/>
                <w:bCs/>
                <w:color w:val="000000"/>
                <w:sz w:val="20"/>
                <w:szCs w:val="20"/>
                <w:lang w:eastAsia="hr-HR"/>
              </w:rPr>
            </w:pPr>
            <w:r w:rsidRPr="002C2421">
              <w:rPr>
                <w:rFonts w:ascii="Calibri" w:eastAsia="Times New Roman" w:hAnsi="Calibri" w:cs="Calibri"/>
                <w:b/>
                <w:bCs/>
                <w:color w:val="000000"/>
                <w:sz w:val="20"/>
                <w:szCs w:val="20"/>
                <w:lang w:eastAsia="hr-HR"/>
              </w:rPr>
              <w:t xml:space="preserve"> 01-60</w:t>
            </w:r>
          </w:p>
        </w:tc>
        <w:tc>
          <w:tcPr>
            <w:tcW w:w="1122" w:type="dxa"/>
            <w:tcBorders>
              <w:top w:val="nil"/>
              <w:left w:val="nil"/>
              <w:bottom w:val="single" w:sz="4" w:space="0" w:color="auto"/>
              <w:right w:val="single" w:sz="4" w:space="0" w:color="auto"/>
            </w:tcBorders>
            <w:shd w:val="clear" w:color="000000" w:fill="BFBFBF"/>
            <w:noWrap/>
            <w:vAlign w:val="bottom"/>
            <w:hideMark/>
          </w:tcPr>
          <w:p w14:paraId="31D99EEF" w14:textId="77777777" w:rsidR="00820F2B" w:rsidRPr="002C2421" w:rsidRDefault="00820F2B" w:rsidP="0028156F">
            <w:pPr>
              <w:spacing w:after="0" w:line="240" w:lineRule="auto"/>
              <w:jc w:val="center"/>
              <w:rPr>
                <w:rFonts w:ascii="Calibri" w:eastAsia="Times New Roman" w:hAnsi="Calibri" w:cs="Calibri"/>
                <w:b/>
                <w:bCs/>
                <w:color w:val="000000"/>
                <w:sz w:val="20"/>
                <w:szCs w:val="20"/>
                <w:lang w:eastAsia="hr-HR"/>
              </w:rPr>
            </w:pPr>
            <w:r w:rsidRPr="002C2421">
              <w:rPr>
                <w:rFonts w:ascii="Calibri" w:eastAsia="Times New Roman" w:hAnsi="Calibri" w:cs="Calibri"/>
                <w:b/>
                <w:bCs/>
                <w:color w:val="000000"/>
                <w:sz w:val="20"/>
                <w:szCs w:val="20"/>
                <w:lang w:eastAsia="hr-HR"/>
              </w:rPr>
              <w:t>61-180</w:t>
            </w:r>
          </w:p>
        </w:tc>
        <w:tc>
          <w:tcPr>
            <w:tcW w:w="1095" w:type="dxa"/>
            <w:tcBorders>
              <w:top w:val="nil"/>
              <w:left w:val="nil"/>
              <w:bottom w:val="single" w:sz="4" w:space="0" w:color="auto"/>
              <w:right w:val="single" w:sz="4" w:space="0" w:color="auto"/>
            </w:tcBorders>
            <w:shd w:val="clear" w:color="000000" w:fill="BFBFBF"/>
            <w:noWrap/>
            <w:vAlign w:val="bottom"/>
            <w:hideMark/>
          </w:tcPr>
          <w:p w14:paraId="04B30D12" w14:textId="77777777" w:rsidR="00820F2B" w:rsidRPr="002C2421" w:rsidRDefault="00820F2B" w:rsidP="0028156F">
            <w:pPr>
              <w:spacing w:after="0" w:line="240" w:lineRule="auto"/>
              <w:jc w:val="center"/>
              <w:rPr>
                <w:rFonts w:ascii="Calibri" w:eastAsia="Times New Roman" w:hAnsi="Calibri" w:cs="Calibri"/>
                <w:b/>
                <w:bCs/>
                <w:color w:val="000000"/>
                <w:sz w:val="20"/>
                <w:szCs w:val="20"/>
                <w:lang w:eastAsia="hr-HR"/>
              </w:rPr>
            </w:pPr>
            <w:r w:rsidRPr="002C2421">
              <w:rPr>
                <w:rFonts w:ascii="Calibri" w:eastAsia="Times New Roman" w:hAnsi="Calibri" w:cs="Calibri"/>
                <w:b/>
                <w:bCs/>
                <w:color w:val="000000"/>
                <w:sz w:val="20"/>
                <w:szCs w:val="20"/>
                <w:lang w:eastAsia="hr-HR"/>
              </w:rPr>
              <w:t>181-360</w:t>
            </w:r>
          </w:p>
        </w:tc>
        <w:tc>
          <w:tcPr>
            <w:tcW w:w="1232" w:type="dxa"/>
            <w:tcBorders>
              <w:top w:val="nil"/>
              <w:left w:val="nil"/>
              <w:bottom w:val="single" w:sz="4" w:space="0" w:color="auto"/>
              <w:right w:val="nil"/>
            </w:tcBorders>
            <w:shd w:val="clear" w:color="000000" w:fill="BFBFBF"/>
            <w:noWrap/>
            <w:vAlign w:val="bottom"/>
            <w:hideMark/>
          </w:tcPr>
          <w:p w14:paraId="640921A3" w14:textId="77777777" w:rsidR="00820F2B" w:rsidRPr="002C2421" w:rsidRDefault="00820F2B" w:rsidP="0028156F">
            <w:pPr>
              <w:spacing w:after="0" w:line="240" w:lineRule="auto"/>
              <w:jc w:val="center"/>
              <w:rPr>
                <w:rFonts w:ascii="Calibri" w:eastAsia="Times New Roman" w:hAnsi="Calibri" w:cs="Calibri"/>
                <w:b/>
                <w:bCs/>
                <w:color w:val="000000"/>
                <w:sz w:val="20"/>
                <w:szCs w:val="20"/>
                <w:lang w:eastAsia="hr-HR"/>
              </w:rPr>
            </w:pPr>
            <w:r w:rsidRPr="002C2421">
              <w:rPr>
                <w:rFonts w:ascii="Calibri" w:eastAsia="Times New Roman" w:hAnsi="Calibri" w:cs="Calibri"/>
                <w:b/>
                <w:bCs/>
                <w:color w:val="000000"/>
                <w:sz w:val="20"/>
                <w:szCs w:val="20"/>
                <w:lang w:eastAsia="hr-HR"/>
              </w:rPr>
              <w:t>Preko 360</w:t>
            </w:r>
          </w:p>
        </w:tc>
        <w:tc>
          <w:tcPr>
            <w:tcW w:w="1232" w:type="dxa"/>
            <w:tcBorders>
              <w:top w:val="nil"/>
              <w:left w:val="single" w:sz="4" w:space="0" w:color="auto"/>
              <w:bottom w:val="single" w:sz="4" w:space="0" w:color="auto"/>
              <w:right w:val="single" w:sz="4" w:space="0" w:color="auto"/>
            </w:tcBorders>
            <w:shd w:val="clear" w:color="000000" w:fill="BFBFBF"/>
            <w:noWrap/>
            <w:vAlign w:val="bottom"/>
            <w:hideMark/>
          </w:tcPr>
          <w:p w14:paraId="4D5C4999" w14:textId="7FC3BFB4" w:rsidR="00820F2B" w:rsidRPr="002C2421" w:rsidRDefault="00820F2B" w:rsidP="0028156F">
            <w:pPr>
              <w:spacing w:after="0" w:line="240" w:lineRule="auto"/>
              <w:jc w:val="center"/>
              <w:rPr>
                <w:rFonts w:ascii="Calibri" w:eastAsia="Times New Roman" w:hAnsi="Calibri" w:cs="Calibri"/>
                <w:b/>
                <w:bCs/>
                <w:color w:val="000000"/>
                <w:sz w:val="20"/>
                <w:szCs w:val="20"/>
                <w:lang w:eastAsia="hr-HR"/>
              </w:rPr>
            </w:pPr>
            <w:r w:rsidRPr="002C2421">
              <w:rPr>
                <w:rFonts w:ascii="Calibri" w:eastAsia="Times New Roman" w:hAnsi="Calibri" w:cs="Calibri"/>
                <w:b/>
                <w:bCs/>
                <w:color w:val="000000"/>
                <w:sz w:val="20"/>
                <w:szCs w:val="20"/>
                <w:lang w:eastAsia="hr-HR"/>
              </w:rPr>
              <w:t>dospjelo</w:t>
            </w:r>
          </w:p>
        </w:tc>
        <w:tc>
          <w:tcPr>
            <w:tcW w:w="1416" w:type="dxa"/>
            <w:vMerge/>
            <w:tcBorders>
              <w:top w:val="single" w:sz="4" w:space="0" w:color="auto"/>
              <w:left w:val="single" w:sz="4" w:space="0" w:color="auto"/>
              <w:bottom w:val="single" w:sz="4" w:space="0" w:color="000000"/>
              <w:right w:val="single" w:sz="4" w:space="0" w:color="auto"/>
            </w:tcBorders>
            <w:vAlign w:val="center"/>
            <w:hideMark/>
          </w:tcPr>
          <w:p w14:paraId="6880552F" w14:textId="77777777" w:rsidR="00820F2B" w:rsidRPr="002C2421" w:rsidRDefault="00820F2B" w:rsidP="0028156F">
            <w:pPr>
              <w:spacing w:after="0" w:line="240" w:lineRule="auto"/>
              <w:rPr>
                <w:rFonts w:ascii="Calibri" w:eastAsia="Times New Roman" w:hAnsi="Calibri" w:cs="Calibri"/>
                <w:b/>
                <w:bCs/>
                <w:color w:val="000000"/>
                <w:sz w:val="20"/>
                <w:szCs w:val="20"/>
                <w:lang w:eastAsia="hr-HR"/>
              </w:rPr>
            </w:pPr>
          </w:p>
        </w:tc>
        <w:tc>
          <w:tcPr>
            <w:tcW w:w="1400" w:type="dxa"/>
            <w:tcBorders>
              <w:top w:val="nil"/>
              <w:left w:val="nil"/>
              <w:bottom w:val="single" w:sz="4" w:space="0" w:color="auto"/>
              <w:right w:val="single" w:sz="4" w:space="0" w:color="auto"/>
            </w:tcBorders>
            <w:shd w:val="clear" w:color="000000" w:fill="BFBFBF"/>
            <w:noWrap/>
            <w:vAlign w:val="bottom"/>
            <w:hideMark/>
          </w:tcPr>
          <w:p w14:paraId="1E50EDC7" w14:textId="2D9133AE" w:rsidR="00820F2B" w:rsidRPr="002C2421" w:rsidRDefault="0028156F" w:rsidP="0028156F">
            <w:pPr>
              <w:spacing w:after="0" w:line="240" w:lineRule="auto"/>
              <w:jc w:val="center"/>
              <w:rPr>
                <w:rFonts w:ascii="Calibri" w:eastAsia="Times New Roman" w:hAnsi="Calibri" w:cs="Calibri"/>
                <w:b/>
                <w:bCs/>
                <w:color w:val="000000"/>
                <w:sz w:val="20"/>
                <w:szCs w:val="20"/>
                <w:lang w:eastAsia="hr-HR"/>
              </w:rPr>
            </w:pPr>
            <w:r w:rsidRPr="002C2421">
              <w:rPr>
                <w:rFonts w:ascii="Calibri" w:eastAsia="Times New Roman" w:hAnsi="Calibri" w:cs="Calibri"/>
                <w:b/>
                <w:bCs/>
                <w:color w:val="000000"/>
                <w:sz w:val="20"/>
                <w:szCs w:val="20"/>
                <w:lang w:eastAsia="hr-HR"/>
              </w:rPr>
              <w:t>dos</w:t>
            </w:r>
            <w:r>
              <w:rPr>
                <w:rFonts w:ascii="Calibri" w:eastAsia="Times New Roman" w:hAnsi="Calibri" w:cs="Calibri"/>
                <w:b/>
                <w:bCs/>
                <w:color w:val="000000"/>
                <w:sz w:val="20"/>
                <w:szCs w:val="20"/>
                <w:lang w:eastAsia="hr-HR"/>
              </w:rPr>
              <w:t>pjelo</w:t>
            </w:r>
            <w:r w:rsidRPr="002C2421">
              <w:rPr>
                <w:rFonts w:ascii="Calibri" w:eastAsia="Times New Roman" w:hAnsi="Calibri" w:cs="Calibri"/>
                <w:b/>
                <w:bCs/>
                <w:color w:val="000000"/>
                <w:sz w:val="20"/>
                <w:szCs w:val="20"/>
                <w:lang w:eastAsia="hr-HR"/>
              </w:rPr>
              <w:t xml:space="preserve"> </w:t>
            </w:r>
            <w:r>
              <w:rPr>
                <w:rFonts w:ascii="Calibri" w:eastAsia="Times New Roman" w:hAnsi="Calibri" w:cs="Calibri"/>
                <w:b/>
                <w:bCs/>
                <w:color w:val="000000"/>
                <w:sz w:val="20"/>
                <w:szCs w:val="20"/>
                <w:lang w:eastAsia="hr-HR"/>
              </w:rPr>
              <w:t xml:space="preserve">+ </w:t>
            </w:r>
            <w:r w:rsidRPr="002C2421">
              <w:rPr>
                <w:rFonts w:ascii="Calibri" w:eastAsia="Times New Roman" w:hAnsi="Calibri" w:cs="Calibri"/>
                <w:b/>
                <w:bCs/>
                <w:color w:val="000000"/>
                <w:sz w:val="20"/>
                <w:szCs w:val="20"/>
                <w:lang w:eastAsia="hr-HR"/>
              </w:rPr>
              <w:t>nedos</w:t>
            </w:r>
            <w:r>
              <w:rPr>
                <w:rFonts w:ascii="Calibri" w:eastAsia="Times New Roman" w:hAnsi="Calibri" w:cs="Calibri"/>
                <w:b/>
                <w:bCs/>
                <w:color w:val="000000"/>
                <w:sz w:val="20"/>
                <w:szCs w:val="20"/>
                <w:lang w:eastAsia="hr-HR"/>
              </w:rPr>
              <w:t>pjelo</w:t>
            </w:r>
          </w:p>
        </w:tc>
      </w:tr>
      <w:tr w:rsidR="00820F2B" w:rsidRPr="002C2421" w14:paraId="7FACD00F" w14:textId="77777777" w:rsidTr="0028156F">
        <w:trPr>
          <w:trHeight w:val="328"/>
        </w:trPr>
        <w:tc>
          <w:tcPr>
            <w:tcW w:w="1405" w:type="dxa"/>
            <w:tcBorders>
              <w:top w:val="nil"/>
              <w:left w:val="single" w:sz="4" w:space="0" w:color="auto"/>
              <w:bottom w:val="single" w:sz="4" w:space="0" w:color="auto"/>
              <w:right w:val="single" w:sz="4" w:space="0" w:color="auto"/>
            </w:tcBorders>
            <w:noWrap/>
            <w:vAlign w:val="bottom"/>
            <w:hideMark/>
          </w:tcPr>
          <w:p w14:paraId="2B47C16F" w14:textId="77777777" w:rsidR="00820F2B" w:rsidRPr="002C2421" w:rsidRDefault="00820F2B" w:rsidP="0028156F">
            <w:pPr>
              <w:spacing w:after="0" w:line="240" w:lineRule="auto"/>
              <w:rPr>
                <w:rFonts w:ascii="Calibri" w:eastAsia="Times New Roman" w:hAnsi="Calibri" w:cs="Calibri"/>
                <w:color w:val="000000"/>
                <w:sz w:val="18"/>
                <w:szCs w:val="18"/>
                <w:lang w:eastAsia="hr-HR"/>
              </w:rPr>
            </w:pPr>
            <w:r w:rsidRPr="002C2421">
              <w:rPr>
                <w:rFonts w:ascii="Calibri" w:eastAsia="Times New Roman" w:hAnsi="Calibri" w:cs="Calibri"/>
                <w:color w:val="000000"/>
                <w:sz w:val="18"/>
                <w:szCs w:val="18"/>
                <w:lang w:eastAsia="hr-HR"/>
              </w:rPr>
              <w:t>231 Obveze za zaposlene</w:t>
            </w:r>
          </w:p>
        </w:tc>
        <w:tc>
          <w:tcPr>
            <w:tcW w:w="1232" w:type="dxa"/>
            <w:tcBorders>
              <w:top w:val="nil"/>
              <w:left w:val="nil"/>
              <w:bottom w:val="single" w:sz="4" w:space="0" w:color="auto"/>
              <w:right w:val="single" w:sz="4" w:space="0" w:color="auto"/>
            </w:tcBorders>
            <w:noWrap/>
            <w:vAlign w:val="bottom"/>
            <w:hideMark/>
          </w:tcPr>
          <w:p w14:paraId="7AD4950A" w14:textId="1D08E3F5" w:rsidR="00820F2B" w:rsidRPr="002C2421" w:rsidRDefault="004032F1"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72,85</w:t>
            </w:r>
          </w:p>
        </w:tc>
        <w:tc>
          <w:tcPr>
            <w:tcW w:w="1122" w:type="dxa"/>
            <w:tcBorders>
              <w:top w:val="nil"/>
              <w:left w:val="nil"/>
              <w:bottom w:val="single" w:sz="4" w:space="0" w:color="auto"/>
              <w:right w:val="single" w:sz="4" w:space="0" w:color="auto"/>
            </w:tcBorders>
            <w:noWrap/>
            <w:vAlign w:val="bottom"/>
            <w:hideMark/>
          </w:tcPr>
          <w:p w14:paraId="4866990B" w14:textId="77777777" w:rsidR="00820F2B" w:rsidRPr="002C2421" w:rsidRDefault="00820F2B" w:rsidP="0028156F">
            <w:pPr>
              <w:spacing w:after="0" w:line="240" w:lineRule="auto"/>
              <w:jc w:val="right"/>
              <w:rPr>
                <w:rFonts w:ascii="Calibri" w:eastAsia="Times New Roman" w:hAnsi="Calibri" w:cs="Calibri"/>
                <w:color w:val="000000"/>
                <w:sz w:val="18"/>
                <w:szCs w:val="18"/>
                <w:lang w:eastAsia="hr-HR"/>
              </w:rPr>
            </w:pPr>
            <w:r w:rsidRPr="002C2421">
              <w:rPr>
                <w:rFonts w:ascii="Calibri" w:eastAsia="Times New Roman" w:hAnsi="Calibri" w:cs="Calibri"/>
                <w:color w:val="000000"/>
                <w:sz w:val="18"/>
                <w:szCs w:val="18"/>
                <w:lang w:eastAsia="hr-HR"/>
              </w:rPr>
              <w:t>0,00</w:t>
            </w:r>
          </w:p>
        </w:tc>
        <w:tc>
          <w:tcPr>
            <w:tcW w:w="1095" w:type="dxa"/>
            <w:tcBorders>
              <w:top w:val="nil"/>
              <w:left w:val="nil"/>
              <w:bottom w:val="single" w:sz="4" w:space="0" w:color="auto"/>
              <w:right w:val="single" w:sz="4" w:space="0" w:color="auto"/>
            </w:tcBorders>
            <w:noWrap/>
            <w:vAlign w:val="bottom"/>
            <w:hideMark/>
          </w:tcPr>
          <w:p w14:paraId="230A10F1" w14:textId="77777777" w:rsidR="00820F2B" w:rsidRPr="002C2421" w:rsidRDefault="00820F2B" w:rsidP="0028156F">
            <w:pPr>
              <w:spacing w:after="0" w:line="240" w:lineRule="auto"/>
              <w:jc w:val="right"/>
              <w:rPr>
                <w:rFonts w:ascii="Calibri" w:eastAsia="Times New Roman" w:hAnsi="Calibri" w:cs="Calibri"/>
                <w:color w:val="000000"/>
                <w:sz w:val="18"/>
                <w:szCs w:val="18"/>
                <w:lang w:eastAsia="hr-HR"/>
              </w:rPr>
            </w:pPr>
            <w:r w:rsidRPr="002C2421">
              <w:rPr>
                <w:rFonts w:ascii="Calibri" w:eastAsia="Times New Roman" w:hAnsi="Calibri" w:cs="Calibri"/>
                <w:color w:val="000000"/>
                <w:sz w:val="18"/>
                <w:szCs w:val="18"/>
                <w:lang w:eastAsia="hr-HR"/>
              </w:rPr>
              <w:t>0,00</w:t>
            </w:r>
          </w:p>
        </w:tc>
        <w:tc>
          <w:tcPr>
            <w:tcW w:w="1232" w:type="dxa"/>
            <w:tcBorders>
              <w:top w:val="nil"/>
              <w:left w:val="nil"/>
              <w:bottom w:val="single" w:sz="4" w:space="0" w:color="auto"/>
              <w:right w:val="single" w:sz="4" w:space="0" w:color="auto"/>
            </w:tcBorders>
            <w:noWrap/>
            <w:vAlign w:val="bottom"/>
            <w:hideMark/>
          </w:tcPr>
          <w:p w14:paraId="5438AE23" w14:textId="77777777" w:rsidR="00820F2B" w:rsidRPr="002C2421" w:rsidRDefault="00820F2B" w:rsidP="0028156F">
            <w:pPr>
              <w:spacing w:after="0" w:line="240" w:lineRule="auto"/>
              <w:jc w:val="right"/>
              <w:rPr>
                <w:rFonts w:ascii="Calibri" w:eastAsia="Times New Roman" w:hAnsi="Calibri" w:cs="Calibri"/>
                <w:color w:val="000000"/>
                <w:sz w:val="18"/>
                <w:szCs w:val="18"/>
                <w:lang w:eastAsia="hr-HR"/>
              </w:rPr>
            </w:pPr>
            <w:r w:rsidRPr="002C2421">
              <w:rPr>
                <w:rFonts w:ascii="Calibri" w:eastAsia="Times New Roman" w:hAnsi="Calibri" w:cs="Calibri"/>
                <w:color w:val="000000"/>
                <w:sz w:val="18"/>
                <w:szCs w:val="18"/>
                <w:lang w:eastAsia="hr-HR"/>
              </w:rPr>
              <w:t>0,00</w:t>
            </w:r>
          </w:p>
        </w:tc>
        <w:tc>
          <w:tcPr>
            <w:tcW w:w="1232" w:type="dxa"/>
            <w:tcBorders>
              <w:top w:val="nil"/>
              <w:left w:val="nil"/>
              <w:bottom w:val="single" w:sz="4" w:space="0" w:color="auto"/>
              <w:right w:val="single" w:sz="4" w:space="0" w:color="auto"/>
            </w:tcBorders>
            <w:noWrap/>
            <w:vAlign w:val="bottom"/>
            <w:hideMark/>
          </w:tcPr>
          <w:p w14:paraId="1D7D6496" w14:textId="1F8BEDCE" w:rsidR="00820F2B" w:rsidRPr="002C2421" w:rsidRDefault="004032F1"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72,85</w:t>
            </w:r>
          </w:p>
        </w:tc>
        <w:tc>
          <w:tcPr>
            <w:tcW w:w="1416" w:type="dxa"/>
            <w:tcBorders>
              <w:top w:val="nil"/>
              <w:left w:val="nil"/>
              <w:bottom w:val="single" w:sz="4" w:space="0" w:color="auto"/>
              <w:right w:val="single" w:sz="4" w:space="0" w:color="auto"/>
            </w:tcBorders>
            <w:noWrap/>
            <w:vAlign w:val="bottom"/>
            <w:hideMark/>
          </w:tcPr>
          <w:p w14:paraId="6E88893C" w14:textId="77777777" w:rsidR="00820F2B" w:rsidRPr="002C2421" w:rsidRDefault="00820F2B" w:rsidP="0028156F">
            <w:pPr>
              <w:spacing w:after="0" w:line="240" w:lineRule="auto"/>
              <w:jc w:val="right"/>
              <w:rPr>
                <w:rFonts w:ascii="Calibri" w:eastAsia="Times New Roman" w:hAnsi="Calibri" w:cs="Calibri"/>
                <w:color w:val="000000"/>
                <w:sz w:val="18"/>
                <w:szCs w:val="18"/>
                <w:lang w:eastAsia="hr-HR"/>
              </w:rPr>
            </w:pPr>
            <w:r w:rsidRPr="002C2421">
              <w:rPr>
                <w:rFonts w:ascii="Calibri" w:eastAsia="Times New Roman" w:hAnsi="Calibri" w:cs="Calibri"/>
                <w:color w:val="000000"/>
                <w:sz w:val="18"/>
                <w:szCs w:val="18"/>
                <w:lang w:eastAsia="hr-HR"/>
              </w:rPr>
              <w:t>0,00</w:t>
            </w:r>
          </w:p>
        </w:tc>
        <w:tc>
          <w:tcPr>
            <w:tcW w:w="1400" w:type="dxa"/>
            <w:tcBorders>
              <w:top w:val="nil"/>
              <w:left w:val="nil"/>
              <w:bottom w:val="single" w:sz="4" w:space="0" w:color="auto"/>
              <w:right w:val="single" w:sz="4" w:space="0" w:color="auto"/>
            </w:tcBorders>
            <w:noWrap/>
            <w:vAlign w:val="bottom"/>
            <w:hideMark/>
          </w:tcPr>
          <w:p w14:paraId="0705AC3A" w14:textId="0C9E079E" w:rsidR="00820F2B" w:rsidRPr="002C2421" w:rsidRDefault="004032F1"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72,85</w:t>
            </w:r>
          </w:p>
        </w:tc>
      </w:tr>
      <w:tr w:rsidR="00820F2B" w:rsidRPr="002C2421" w14:paraId="19612456" w14:textId="77777777" w:rsidTr="0028156F">
        <w:trPr>
          <w:trHeight w:val="328"/>
        </w:trPr>
        <w:tc>
          <w:tcPr>
            <w:tcW w:w="1405" w:type="dxa"/>
            <w:tcBorders>
              <w:top w:val="nil"/>
              <w:left w:val="single" w:sz="4" w:space="0" w:color="auto"/>
              <w:bottom w:val="single" w:sz="4" w:space="0" w:color="auto"/>
              <w:right w:val="single" w:sz="4" w:space="0" w:color="auto"/>
            </w:tcBorders>
            <w:noWrap/>
            <w:vAlign w:val="bottom"/>
            <w:hideMark/>
          </w:tcPr>
          <w:p w14:paraId="23B6C8FC" w14:textId="77777777" w:rsidR="00820F2B" w:rsidRPr="002C2421" w:rsidRDefault="00820F2B" w:rsidP="0028156F">
            <w:pPr>
              <w:spacing w:after="0" w:line="240" w:lineRule="auto"/>
              <w:rPr>
                <w:rFonts w:ascii="Calibri" w:eastAsia="Times New Roman" w:hAnsi="Calibri" w:cs="Calibri"/>
                <w:color w:val="000000"/>
                <w:sz w:val="18"/>
                <w:szCs w:val="18"/>
                <w:lang w:eastAsia="hr-HR"/>
              </w:rPr>
            </w:pPr>
            <w:r w:rsidRPr="002C2421">
              <w:rPr>
                <w:rFonts w:ascii="Calibri" w:eastAsia="Times New Roman" w:hAnsi="Calibri" w:cs="Calibri"/>
                <w:color w:val="000000"/>
                <w:sz w:val="18"/>
                <w:szCs w:val="18"/>
                <w:lang w:eastAsia="hr-HR"/>
              </w:rPr>
              <w:t>232 Obveze za materijalne rashode</w:t>
            </w:r>
          </w:p>
        </w:tc>
        <w:tc>
          <w:tcPr>
            <w:tcW w:w="1232" w:type="dxa"/>
            <w:tcBorders>
              <w:top w:val="nil"/>
              <w:left w:val="nil"/>
              <w:bottom w:val="single" w:sz="4" w:space="0" w:color="auto"/>
              <w:right w:val="single" w:sz="4" w:space="0" w:color="auto"/>
            </w:tcBorders>
            <w:noWrap/>
            <w:vAlign w:val="bottom"/>
            <w:hideMark/>
          </w:tcPr>
          <w:p w14:paraId="36493700" w14:textId="0932D91D" w:rsidR="00820F2B" w:rsidRPr="002C2421" w:rsidRDefault="004032F1"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150.836,65</w:t>
            </w:r>
          </w:p>
        </w:tc>
        <w:tc>
          <w:tcPr>
            <w:tcW w:w="1122" w:type="dxa"/>
            <w:tcBorders>
              <w:top w:val="nil"/>
              <w:left w:val="nil"/>
              <w:bottom w:val="single" w:sz="4" w:space="0" w:color="auto"/>
              <w:right w:val="single" w:sz="4" w:space="0" w:color="auto"/>
            </w:tcBorders>
            <w:noWrap/>
            <w:vAlign w:val="bottom"/>
            <w:hideMark/>
          </w:tcPr>
          <w:p w14:paraId="31CFD178" w14:textId="6266166E" w:rsidR="00820F2B" w:rsidRPr="002C2421" w:rsidRDefault="004032F1"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1.582,13</w:t>
            </w:r>
          </w:p>
        </w:tc>
        <w:tc>
          <w:tcPr>
            <w:tcW w:w="1095" w:type="dxa"/>
            <w:tcBorders>
              <w:top w:val="nil"/>
              <w:left w:val="nil"/>
              <w:bottom w:val="single" w:sz="4" w:space="0" w:color="auto"/>
              <w:right w:val="single" w:sz="4" w:space="0" w:color="auto"/>
            </w:tcBorders>
            <w:noWrap/>
            <w:vAlign w:val="bottom"/>
            <w:hideMark/>
          </w:tcPr>
          <w:p w14:paraId="0CA3B39A" w14:textId="23404FE4" w:rsidR="00820F2B" w:rsidRPr="002C2421" w:rsidRDefault="004032F1"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5.497,58</w:t>
            </w:r>
          </w:p>
        </w:tc>
        <w:tc>
          <w:tcPr>
            <w:tcW w:w="1232" w:type="dxa"/>
            <w:tcBorders>
              <w:top w:val="nil"/>
              <w:left w:val="nil"/>
              <w:bottom w:val="single" w:sz="4" w:space="0" w:color="auto"/>
              <w:right w:val="single" w:sz="4" w:space="0" w:color="auto"/>
            </w:tcBorders>
            <w:noWrap/>
            <w:vAlign w:val="bottom"/>
            <w:hideMark/>
          </w:tcPr>
          <w:p w14:paraId="7F2DC799" w14:textId="3959CA0B" w:rsidR="00820F2B" w:rsidRPr="002C2421" w:rsidRDefault="004032F1"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1.853,68</w:t>
            </w:r>
          </w:p>
        </w:tc>
        <w:tc>
          <w:tcPr>
            <w:tcW w:w="1232" w:type="dxa"/>
            <w:tcBorders>
              <w:top w:val="nil"/>
              <w:left w:val="nil"/>
              <w:bottom w:val="single" w:sz="4" w:space="0" w:color="auto"/>
              <w:right w:val="single" w:sz="4" w:space="0" w:color="auto"/>
            </w:tcBorders>
            <w:noWrap/>
            <w:vAlign w:val="bottom"/>
            <w:hideMark/>
          </w:tcPr>
          <w:p w14:paraId="1A4F42AD" w14:textId="0899B6AD" w:rsidR="00820F2B" w:rsidRPr="002C2421" w:rsidRDefault="004032F1"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159.770,04</w:t>
            </w:r>
          </w:p>
        </w:tc>
        <w:tc>
          <w:tcPr>
            <w:tcW w:w="1416" w:type="dxa"/>
            <w:tcBorders>
              <w:top w:val="nil"/>
              <w:left w:val="nil"/>
              <w:bottom w:val="single" w:sz="4" w:space="0" w:color="auto"/>
              <w:right w:val="single" w:sz="4" w:space="0" w:color="auto"/>
            </w:tcBorders>
            <w:noWrap/>
            <w:vAlign w:val="bottom"/>
            <w:hideMark/>
          </w:tcPr>
          <w:p w14:paraId="6DBDB7B1" w14:textId="77777777" w:rsidR="00820F2B" w:rsidRPr="002C2421" w:rsidRDefault="00820F2B" w:rsidP="0028156F">
            <w:pPr>
              <w:spacing w:after="0" w:line="240" w:lineRule="auto"/>
              <w:jc w:val="right"/>
              <w:rPr>
                <w:rFonts w:ascii="Calibri" w:eastAsia="Times New Roman" w:hAnsi="Calibri" w:cs="Calibri"/>
                <w:color w:val="000000"/>
                <w:sz w:val="18"/>
                <w:szCs w:val="18"/>
                <w:lang w:eastAsia="hr-HR"/>
              </w:rPr>
            </w:pPr>
            <w:r w:rsidRPr="002C2421">
              <w:rPr>
                <w:rFonts w:ascii="Calibri" w:eastAsia="Times New Roman" w:hAnsi="Calibri" w:cs="Calibri"/>
                <w:color w:val="000000"/>
                <w:sz w:val="18"/>
                <w:szCs w:val="18"/>
                <w:lang w:eastAsia="hr-HR"/>
              </w:rPr>
              <w:t>0,00</w:t>
            </w:r>
          </w:p>
        </w:tc>
        <w:tc>
          <w:tcPr>
            <w:tcW w:w="1400" w:type="dxa"/>
            <w:tcBorders>
              <w:top w:val="nil"/>
              <w:left w:val="nil"/>
              <w:bottom w:val="single" w:sz="4" w:space="0" w:color="auto"/>
              <w:right w:val="single" w:sz="4" w:space="0" w:color="auto"/>
            </w:tcBorders>
            <w:noWrap/>
            <w:vAlign w:val="bottom"/>
            <w:hideMark/>
          </w:tcPr>
          <w:p w14:paraId="223D0121" w14:textId="3FDE4A58" w:rsidR="00820F2B" w:rsidRPr="002C2421" w:rsidRDefault="004032F1"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159.770,04</w:t>
            </w:r>
          </w:p>
        </w:tc>
      </w:tr>
      <w:tr w:rsidR="00820F2B" w:rsidRPr="002C2421" w14:paraId="6F6537AA" w14:textId="77777777" w:rsidTr="0028156F">
        <w:trPr>
          <w:trHeight w:val="328"/>
        </w:trPr>
        <w:tc>
          <w:tcPr>
            <w:tcW w:w="1405" w:type="dxa"/>
            <w:tcBorders>
              <w:top w:val="nil"/>
              <w:left w:val="single" w:sz="4" w:space="0" w:color="auto"/>
              <w:bottom w:val="single" w:sz="4" w:space="0" w:color="auto"/>
              <w:right w:val="single" w:sz="4" w:space="0" w:color="auto"/>
            </w:tcBorders>
            <w:noWrap/>
            <w:vAlign w:val="bottom"/>
            <w:hideMark/>
          </w:tcPr>
          <w:p w14:paraId="3EBBA673" w14:textId="77777777" w:rsidR="00820F2B" w:rsidRPr="002C2421" w:rsidRDefault="00820F2B" w:rsidP="0028156F">
            <w:pPr>
              <w:spacing w:after="0" w:line="240" w:lineRule="auto"/>
              <w:rPr>
                <w:rFonts w:ascii="Calibri" w:eastAsia="Times New Roman" w:hAnsi="Calibri" w:cs="Calibri"/>
                <w:color w:val="000000"/>
                <w:sz w:val="18"/>
                <w:szCs w:val="18"/>
                <w:lang w:eastAsia="hr-HR"/>
              </w:rPr>
            </w:pPr>
            <w:r w:rsidRPr="002C2421">
              <w:rPr>
                <w:rFonts w:ascii="Calibri" w:eastAsia="Times New Roman" w:hAnsi="Calibri" w:cs="Calibri"/>
                <w:color w:val="000000"/>
                <w:sz w:val="18"/>
                <w:szCs w:val="18"/>
                <w:lang w:eastAsia="hr-HR"/>
              </w:rPr>
              <w:t>234 Obveze za financijske rashode</w:t>
            </w:r>
          </w:p>
        </w:tc>
        <w:tc>
          <w:tcPr>
            <w:tcW w:w="1232" w:type="dxa"/>
            <w:tcBorders>
              <w:top w:val="nil"/>
              <w:left w:val="nil"/>
              <w:bottom w:val="single" w:sz="4" w:space="0" w:color="auto"/>
              <w:right w:val="single" w:sz="4" w:space="0" w:color="auto"/>
            </w:tcBorders>
            <w:noWrap/>
            <w:vAlign w:val="bottom"/>
          </w:tcPr>
          <w:p w14:paraId="3FED4DE3" w14:textId="433CFA61" w:rsidR="00820F2B" w:rsidRPr="002C2421" w:rsidRDefault="004032F1"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2.479,67</w:t>
            </w:r>
          </w:p>
        </w:tc>
        <w:tc>
          <w:tcPr>
            <w:tcW w:w="1122" w:type="dxa"/>
            <w:tcBorders>
              <w:top w:val="nil"/>
              <w:left w:val="nil"/>
              <w:bottom w:val="single" w:sz="4" w:space="0" w:color="auto"/>
              <w:right w:val="single" w:sz="4" w:space="0" w:color="auto"/>
            </w:tcBorders>
            <w:noWrap/>
            <w:vAlign w:val="bottom"/>
          </w:tcPr>
          <w:p w14:paraId="0DD1DB94" w14:textId="29831DF8" w:rsidR="00820F2B" w:rsidRPr="002C2421" w:rsidRDefault="004032F1"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0,00</w:t>
            </w:r>
          </w:p>
        </w:tc>
        <w:tc>
          <w:tcPr>
            <w:tcW w:w="1095" w:type="dxa"/>
            <w:tcBorders>
              <w:top w:val="nil"/>
              <w:left w:val="nil"/>
              <w:bottom w:val="single" w:sz="4" w:space="0" w:color="auto"/>
              <w:right w:val="single" w:sz="4" w:space="0" w:color="auto"/>
            </w:tcBorders>
            <w:noWrap/>
            <w:vAlign w:val="bottom"/>
          </w:tcPr>
          <w:p w14:paraId="46E175A3" w14:textId="311CEC8D" w:rsidR="00820F2B" w:rsidRPr="002C2421" w:rsidRDefault="004032F1"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0,00</w:t>
            </w:r>
          </w:p>
        </w:tc>
        <w:tc>
          <w:tcPr>
            <w:tcW w:w="1232" w:type="dxa"/>
            <w:tcBorders>
              <w:top w:val="nil"/>
              <w:left w:val="nil"/>
              <w:bottom w:val="single" w:sz="4" w:space="0" w:color="auto"/>
              <w:right w:val="single" w:sz="4" w:space="0" w:color="auto"/>
            </w:tcBorders>
            <w:noWrap/>
            <w:vAlign w:val="bottom"/>
          </w:tcPr>
          <w:p w14:paraId="526AC2E2" w14:textId="1807EAAC" w:rsidR="00820F2B" w:rsidRPr="002C2421" w:rsidRDefault="00411212"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0,00</w:t>
            </w:r>
          </w:p>
        </w:tc>
        <w:tc>
          <w:tcPr>
            <w:tcW w:w="1232" w:type="dxa"/>
            <w:tcBorders>
              <w:top w:val="nil"/>
              <w:left w:val="nil"/>
              <w:bottom w:val="single" w:sz="4" w:space="0" w:color="auto"/>
              <w:right w:val="single" w:sz="4" w:space="0" w:color="auto"/>
            </w:tcBorders>
            <w:noWrap/>
            <w:vAlign w:val="bottom"/>
          </w:tcPr>
          <w:p w14:paraId="64C33BAE" w14:textId="1DF987B7" w:rsidR="00820F2B" w:rsidRPr="002C2421" w:rsidRDefault="004032F1"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2.479,67</w:t>
            </w:r>
          </w:p>
        </w:tc>
        <w:tc>
          <w:tcPr>
            <w:tcW w:w="1416" w:type="dxa"/>
            <w:tcBorders>
              <w:top w:val="nil"/>
              <w:left w:val="nil"/>
              <w:bottom w:val="single" w:sz="4" w:space="0" w:color="auto"/>
              <w:right w:val="single" w:sz="4" w:space="0" w:color="auto"/>
            </w:tcBorders>
            <w:noWrap/>
            <w:vAlign w:val="bottom"/>
          </w:tcPr>
          <w:p w14:paraId="30D56B69" w14:textId="5D273C62" w:rsidR="00820F2B" w:rsidRPr="002C2421" w:rsidRDefault="00411212"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0,00</w:t>
            </w:r>
          </w:p>
        </w:tc>
        <w:tc>
          <w:tcPr>
            <w:tcW w:w="1400" w:type="dxa"/>
            <w:tcBorders>
              <w:top w:val="nil"/>
              <w:left w:val="nil"/>
              <w:bottom w:val="single" w:sz="4" w:space="0" w:color="auto"/>
              <w:right w:val="single" w:sz="4" w:space="0" w:color="auto"/>
            </w:tcBorders>
            <w:noWrap/>
            <w:vAlign w:val="bottom"/>
          </w:tcPr>
          <w:p w14:paraId="068675E3" w14:textId="423BE41D" w:rsidR="00820F2B" w:rsidRPr="002C2421" w:rsidRDefault="004032F1"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2.479,67</w:t>
            </w:r>
          </w:p>
        </w:tc>
      </w:tr>
      <w:tr w:rsidR="00820F2B" w:rsidRPr="002C2421" w14:paraId="5ACB5D7D" w14:textId="77777777" w:rsidTr="0028156F">
        <w:trPr>
          <w:trHeight w:val="328"/>
        </w:trPr>
        <w:tc>
          <w:tcPr>
            <w:tcW w:w="1405" w:type="dxa"/>
            <w:tcBorders>
              <w:top w:val="nil"/>
              <w:left w:val="single" w:sz="4" w:space="0" w:color="auto"/>
              <w:bottom w:val="single" w:sz="4" w:space="0" w:color="auto"/>
              <w:right w:val="single" w:sz="4" w:space="0" w:color="auto"/>
            </w:tcBorders>
            <w:noWrap/>
            <w:vAlign w:val="bottom"/>
            <w:hideMark/>
          </w:tcPr>
          <w:p w14:paraId="1915696D" w14:textId="77777777" w:rsidR="00820F2B" w:rsidRPr="002C2421" w:rsidRDefault="00820F2B" w:rsidP="0028156F">
            <w:pPr>
              <w:spacing w:after="0" w:line="240" w:lineRule="auto"/>
              <w:rPr>
                <w:rFonts w:ascii="Calibri" w:eastAsia="Times New Roman" w:hAnsi="Calibri" w:cs="Calibri"/>
                <w:color w:val="000000"/>
                <w:sz w:val="18"/>
                <w:szCs w:val="18"/>
                <w:lang w:eastAsia="hr-HR"/>
              </w:rPr>
            </w:pPr>
            <w:r w:rsidRPr="002C2421">
              <w:rPr>
                <w:rFonts w:ascii="Calibri" w:eastAsia="Times New Roman" w:hAnsi="Calibri" w:cs="Calibri"/>
                <w:color w:val="000000"/>
                <w:sz w:val="18"/>
                <w:szCs w:val="18"/>
                <w:lang w:eastAsia="hr-HR"/>
              </w:rPr>
              <w:t>235 Obveze za subvencije</w:t>
            </w:r>
          </w:p>
        </w:tc>
        <w:tc>
          <w:tcPr>
            <w:tcW w:w="1232" w:type="dxa"/>
            <w:tcBorders>
              <w:top w:val="nil"/>
              <w:left w:val="nil"/>
              <w:bottom w:val="single" w:sz="4" w:space="0" w:color="auto"/>
              <w:right w:val="single" w:sz="4" w:space="0" w:color="auto"/>
            </w:tcBorders>
            <w:noWrap/>
            <w:vAlign w:val="bottom"/>
            <w:hideMark/>
          </w:tcPr>
          <w:p w14:paraId="657A2707" w14:textId="77777777" w:rsidR="00820F2B" w:rsidRPr="002C2421" w:rsidRDefault="00820F2B" w:rsidP="0028156F">
            <w:pPr>
              <w:spacing w:after="0" w:line="240" w:lineRule="auto"/>
              <w:jc w:val="right"/>
              <w:rPr>
                <w:rFonts w:ascii="Calibri" w:eastAsia="Times New Roman" w:hAnsi="Calibri" w:cs="Calibri"/>
                <w:color w:val="000000"/>
                <w:sz w:val="18"/>
                <w:szCs w:val="18"/>
                <w:lang w:eastAsia="hr-HR"/>
              </w:rPr>
            </w:pPr>
            <w:r w:rsidRPr="002C2421">
              <w:rPr>
                <w:rFonts w:ascii="Calibri" w:eastAsia="Times New Roman" w:hAnsi="Calibri" w:cs="Calibri"/>
                <w:color w:val="000000"/>
                <w:sz w:val="18"/>
                <w:szCs w:val="18"/>
                <w:lang w:eastAsia="hr-HR"/>
              </w:rPr>
              <w:t>0,00</w:t>
            </w:r>
          </w:p>
        </w:tc>
        <w:tc>
          <w:tcPr>
            <w:tcW w:w="1122" w:type="dxa"/>
            <w:tcBorders>
              <w:top w:val="nil"/>
              <w:left w:val="nil"/>
              <w:bottom w:val="single" w:sz="4" w:space="0" w:color="auto"/>
              <w:right w:val="single" w:sz="4" w:space="0" w:color="auto"/>
            </w:tcBorders>
            <w:noWrap/>
            <w:vAlign w:val="bottom"/>
            <w:hideMark/>
          </w:tcPr>
          <w:p w14:paraId="1A382CBC" w14:textId="77777777" w:rsidR="00820F2B" w:rsidRPr="002C2421" w:rsidRDefault="00820F2B" w:rsidP="0028156F">
            <w:pPr>
              <w:spacing w:after="0" w:line="240" w:lineRule="auto"/>
              <w:jc w:val="right"/>
              <w:rPr>
                <w:rFonts w:ascii="Calibri" w:eastAsia="Times New Roman" w:hAnsi="Calibri" w:cs="Calibri"/>
                <w:color w:val="000000"/>
                <w:sz w:val="18"/>
                <w:szCs w:val="18"/>
                <w:lang w:eastAsia="hr-HR"/>
              </w:rPr>
            </w:pPr>
            <w:r w:rsidRPr="002C2421">
              <w:rPr>
                <w:rFonts w:ascii="Calibri" w:eastAsia="Times New Roman" w:hAnsi="Calibri" w:cs="Calibri"/>
                <w:color w:val="000000"/>
                <w:sz w:val="18"/>
                <w:szCs w:val="18"/>
                <w:lang w:eastAsia="hr-HR"/>
              </w:rPr>
              <w:t>0,00</w:t>
            </w:r>
          </w:p>
        </w:tc>
        <w:tc>
          <w:tcPr>
            <w:tcW w:w="1095" w:type="dxa"/>
            <w:tcBorders>
              <w:top w:val="nil"/>
              <w:left w:val="nil"/>
              <w:bottom w:val="single" w:sz="4" w:space="0" w:color="auto"/>
              <w:right w:val="single" w:sz="4" w:space="0" w:color="auto"/>
            </w:tcBorders>
            <w:noWrap/>
            <w:vAlign w:val="bottom"/>
            <w:hideMark/>
          </w:tcPr>
          <w:p w14:paraId="7818DF11" w14:textId="77777777" w:rsidR="00820F2B" w:rsidRPr="002C2421" w:rsidRDefault="00820F2B" w:rsidP="0028156F">
            <w:pPr>
              <w:spacing w:after="0" w:line="240" w:lineRule="auto"/>
              <w:jc w:val="right"/>
              <w:rPr>
                <w:rFonts w:ascii="Calibri" w:eastAsia="Times New Roman" w:hAnsi="Calibri" w:cs="Calibri"/>
                <w:color w:val="000000"/>
                <w:sz w:val="18"/>
                <w:szCs w:val="18"/>
                <w:lang w:eastAsia="hr-HR"/>
              </w:rPr>
            </w:pPr>
            <w:r w:rsidRPr="002C2421">
              <w:rPr>
                <w:rFonts w:ascii="Calibri" w:eastAsia="Times New Roman" w:hAnsi="Calibri" w:cs="Calibri"/>
                <w:color w:val="000000"/>
                <w:sz w:val="18"/>
                <w:szCs w:val="18"/>
                <w:lang w:eastAsia="hr-HR"/>
              </w:rPr>
              <w:t>0,00</w:t>
            </w:r>
          </w:p>
        </w:tc>
        <w:tc>
          <w:tcPr>
            <w:tcW w:w="1232" w:type="dxa"/>
            <w:tcBorders>
              <w:top w:val="nil"/>
              <w:left w:val="nil"/>
              <w:bottom w:val="single" w:sz="4" w:space="0" w:color="auto"/>
              <w:right w:val="single" w:sz="4" w:space="0" w:color="auto"/>
            </w:tcBorders>
            <w:noWrap/>
            <w:vAlign w:val="bottom"/>
            <w:hideMark/>
          </w:tcPr>
          <w:p w14:paraId="6D3286E9" w14:textId="77777777" w:rsidR="00820F2B" w:rsidRPr="002C2421" w:rsidRDefault="00820F2B" w:rsidP="0028156F">
            <w:pPr>
              <w:spacing w:after="0" w:line="240" w:lineRule="auto"/>
              <w:jc w:val="right"/>
              <w:rPr>
                <w:rFonts w:ascii="Calibri" w:eastAsia="Times New Roman" w:hAnsi="Calibri" w:cs="Calibri"/>
                <w:color w:val="000000"/>
                <w:sz w:val="18"/>
                <w:szCs w:val="18"/>
                <w:lang w:eastAsia="hr-HR"/>
              </w:rPr>
            </w:pPr>
            <w:r w:rsidRPr="002C2421">
              <w:rPr>
                <w:rFonts w:ascii="Calibri" w:eastAsia="Times New Roman" w:hAnsi="Calibri" w:cs="Calibri"/>
                <w:color w:val="000000"/>
                <w:sz w:val="18"/>
                <w:szCs w:val="18"/>
                <w:lang w:eastAsia="hr-HR"/>
              </w:rPr>
              <w:t>0,00</w:t>
            </w:r>
          </w:p>
        </w:tc>
        <w:tc>
          <w:tcPr>
            <w:tcW w:w="1232" w:type="dxa"/>
            <w:tcBorders>
              <w:top w:val="nil"/>
              <w:left w:val="nil"/>
              <w:bottom w:val="single" w:sz="4" w:space="0" w:color="auto"/>
              <w:right w:val="single" w:sz="4" w:space="0" w:color="auto"/>
            </w:tcBorders>
            <w:noWrap/>
            <w:vAlign w:val="bottom"/>
            <w:hideMark/>
          </w:tcPr>
          <w:p w14:paraId="466E7CAC" w14:textId="77777777" w:rsidR="00820F2B" w:rsidRPr="002C2421" w:rsidRDefault="00820F2B" w:rsidP="0028156F">
            <w:pPr>
              <w:spacing w:after="0" w:line="240" w:lineRule="auto"/>
              <w:jc w:val="right"/>
              <w:rPr>
                <w:rFonts w:ascii="Calibri" w:eastAsia="Times New Roman" w:hAnsi="Calibri" w:cs="Calibri"/>
                <w:color w:val="000000"/>
                <w:sz w:val="18"/>
                <w:szCs w:val="18"/>
                <w:lang w:eastAsia="hr-HR"/>
              </w:rPr>
            </w:pPr>
            <w:r w:rsidRPr="002C2421">
              <w:rPr>
                <w:rFonts w:ascii="Calibri" w:eastAsia="Times New Roman" w:hAnsi="Calibri" w:cs="Calibri"/>
                <w:color w:val="000000"/>
                <w:sz w:val="18"/>
                <w:szCs w:val="18"/>
                <w:lang w:eastAsia="hr-HR"/>
              </w:rPr>
              <w:t>0,00</w:t>
            </w:r>
          </w:p>
        </w:tc>
        <w:tc>
          <w:tcPr>
            <w:tcW w:w="1416" w:type="dxa"/>
            <w:tcBorders>
              <w:top w:val="nil"/>
              <w:left w:val="nil"/>
              <w:bottom w:val="single" w:sz="4" w:space="0" w:color="auto"/>
              <w:right w:val="single" w:sz="4" w:space="0" w:color="auto"/>
            </w:tcBorders>
            <w:noWrap/>
            <w:vAlign w:val="bottom"/>
            <w:hideMark/>
          </w:tcPr>
          <w:p w14:paraId="17B1BF35" w14:textId="77777777" w:rsidR="00820F2B" w:rsidRPr="002C2421" w:rsidRDefault="00820F2B" w:rsidP="0028156F">
            <w:pPr>
              <w:spacing w:after="0" w:line="240" w:lineRule="auto"/>
              <w:jc w:val="right"/>
              <w:rPr>
                <w:rFonts w:ascii="Calibri" w:eastAsia="Times New Roman" w:hAnsi="Calibri" w:cs="Calibri"/>
                <w:color w:val="000000"/>
                <w:sz w:val="18"/>
                <w:szCs w:val="18"/>
                <w:lang w:eastAsia="hr-HR"/>
              </w:rPr>
            </w:pPr>
            <w:r w:rsidRPr="002C2421">
              <w:rPr>
                <w:rFonts w:ascii="Calibri" w:eastAsia="Times New Roman" w:hAnsi="Calibri" w:cs="Calibri"/>
                <w:color w:val="000000"/>
                <w:sz w:val="18"/>
                <w:szCs w:val="18"/>
                <w:lang w:eastAsia="hr-HR"/>
              </w:rPr>
              <w:t>0,00</w:t>
            </w:r>
          </w:p>
        </w:tc>
        <w:tc>
          <w:tcPr>
            <w:tcW w:w="1400" w:type="dxa"/>
            <w:tcBorders>
              <w:top w:val="nil"/>
              <w:left w:val="nil"/>
              <w:bottom w:val="single" w:sz="4" w:space="0" w:color="auto"/>
              <w:right w:val="single" w:sz="4" w:space="0" w:color="auto"/>
            </w:tcBorders>
            <w:noWrap/>
            <w:vAlign w:val="bottom"/>
            <w:hideMark/>
          </w:tcPr>
          <w:p w14:paraId="19011D3D" w14:textId="77777777" w:rsidR="00820F2B" w:rsidRPr="002C2421" w:rsidRDefault="00820F2B" w:rsidP="0028156F">
            <w:pPr>
              <w:spacing w:after="0" w:line="240" w:lineRule="auto"/>
              <w:jc w:val="right"/>
              <w:rPr>
                <w:rFonts w:ascii="Calibri" w:eastAsia="Times New Roman" w:hAnsi="Calibri" w:cs="Calibri"/>
                <w:color w:val="000000"/>
                <w:sz w:val="18"/>
                <w:szCs w:val="18"/>
                <w:lang w:eastAsia="hr-HR"/>
              </w:rPr>
            </w:pPr>
            <w:r w:rsidRPr="002C2421">
              <w:rPr>
                <w:rFonts w:ascii="Calibri" w:eastAsia="Times New Roman" w:hAnsi="Calibri" w:cs="Calibri"/>
                <w:color w:val="000000"/>
                <w:sz w:val="18"/>
                <w:szCs w:val="18"/>
                <w:lang w:eastAsia="hr-HR"/>
              </w:rPr>
              <w:t>0,00</w:t>
            </w:r>
          </w:p>
        </w:tc>
      </w:tr>
      <w:tr w:rsidR="00820F2B" w:rsidRPr="002C2421" w14:paraId="4E11B000" w14:textId="77777777" w:rsidTr="0028156F">
        <w:trPr>
          <w:trHeight w:val="798"/>
        </w:trPr>
        <w:tc>
          <w:tcPr>
            <w:tcW w:w="1405" w:type="dxa"/>
            <w:tcBorders>
              <w:top w:val="nil"/>
              <w:left w:val="single" w:sz="4" w:space="0" w:color="auto"/>
              <w:bottom w:val="single" w:sz="4" w:space="0" w:color="auto"/>
              <w:right w:val="single" w:sz="4" w:space="0" w:color="auto"/>
            </w:tcBorders>
            <w:vAlign w:val="bottom"/>
            <w:hideMark/>
          </w:tcPr>
          <w:p w14:paraId="46CE6451" w14:textId="77777777" w:rsidR="00820F2B" w:rsidRPr="002C2421" w:rsidRDefault="00820F2B" w:rsidP="0028156F">
            <w:pPr>
              <w:spacing w:after="0" w:line="240" w:lineRule="auto"/>
              <w:rPr>
                <w:rFonts w:ascii="Calibri" w:eastAsia="Times New Roman" w:hAnsi="Calibri" w:cs="Calibri"/>
                <w:color w:val="000000"/>
                <w:sz w:val="18"/>
                <w:szCs w:val="18"/>
                <w:lang w:eastAsia="hr-HR"/>
              </w:rPr>
            </w:pPr>
            <w:r w:rsidRPr="002C2421">
              <w:rPr>
                <w:rFonts w:ascii="Calibri" w:eastAsia="Times New Roman" w:hAnsi="Calibri" w:cs="Calibri"/>
                <w:color w:val="000000"/>
                <w:sz w:val="18"/>
                <w:szCs w:val="18"/>
                <w:lang w:eastAsia="hr-HR"/>
              </w:rPr>
              <w:t>237 Obveze za naknade građanima i kućanstvima</w:t>
            </w:r>
          </w:p>
        </w:tc>
        <w:tc>
          <w:tcPr>
            <w:tcW w:w="1232" w:type="dxa"/>
            <w:tcBorders>
              <w:top w:val="nil"/>
              <w:left w:val="nil"/>
              <w:bottom w:val="single" w:sz="4" w:space="0" w:color="auto"/>
              <w:right w:val="single" w:sz="4" w:space="0" w:color="auto"/>
            </w:tcBorders>
            <w:noWrap/>
            <w:vAlign w:val="bottom"/>
          </w:tcPr>
          <w:p w14:paraId="76EB6472" w14:textId="437F576D" w:rsidR="00820F2B" w:rsidRPr="002C2421" w:rsidRDefault="004032F1"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0,00</w:t>
            </w:r>
          </w:p>
        </w:tc>
        <w:tc>
          <w:tcPr>
            <w:tcW w:w="1122" w:type="dxa"/>
            <w:tcBorders>
              <w:top w:val="nil"/>
              <w:left w:val="nil"/>
              <w:bottom w:val="single" w:sz="4" w:space="0" w:color="auto"/>
              <w:right w:val="single" w:sz="4" w:space="0" w:color="auto"/>
            </w:tcBorders>
            <w:noWrap/>
            <w:vAlign w:val="bottom"/>
          </w:tcPr>
          <w:p w14:paraId="3F794E45" w14:textId="5DEE1540" w:rsidR="00820F2B" w:rsidRPr="002C2421" w:rsidRDefault="002630F2"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0,00</w:t>
            </w:r>
          </w:p>
        </w:tc>
        <w:tc>
          <w:tcPr>
            <w:tcW w:w="1095" w:type="dxa"/>
            <w:tcBorders>
              <w:top w:val="nil"/>
              <w:left w:val="nil"/>
              <w:bottom w:val="single" w:sz="4" w:space="0" w:color="auto"/>
              <w:right w:val="single" w:sz="4" w:space="0" w:color="auto"/>
            </w:tcBorders>
            <w:noWrap/>
            <w:vAlign w:val="bottom"/>
          </w:tcPr>
          <w:p w14:paraId="2BBC736D" w14:textId="6BFA1FF7" w:rsidR="00820F2B" w:rsidRPr="002C2421" w:rsidRDefault="002630F2"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0,00</w:t>
            </w:r>
          </w:p>
        </w:tc>
        <w:tc>
          <w:tcPr>
            <w:tcW w:w="1232" w:type="dxa"/>
            <w:tcBorders>
              <w:top w:val="nil"/>
              <w:left w:val="nil"/>
              <w:bottom w:val="single" w:sz="4" w:space="0" w:color="auto"/>
              <w:right w:val="single" w:sz="4" w:space="0" w:color="auto"/>
            </w:tcBorders>
            <w:noWrap/>
            <w:vAlign w:val="bottom"/>
          </w:tcPr>
          <w:p w14:paraId="77A4E593" w14:textId="5F75B04B" w:rsidR="00820F2B" w:rsidRPr="002C2421" w:rsidRDefault="004032F1"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537,53</w:t>
            </w:r>
          </w:p>
        </w:tc>
        <w:tc>
          <w:tcPr>
            <w:tcW w:w="1232" w:type="dxa"/>
            <w:tcBorders>
              <w:top w:val="nil"/>
              <w:left w:val="nil"/>
              <w:bottom w:val="single" w:sz="4" w:space="0" w:color="auto"/>
              <w:right w:val="single" w:sz="4" w:space="0" w:color="auto"/>
            </w:tcBorders>
            <w:noWrap/>
            <w:vAlign w:val="bottom"/>
          </w:tcPr>
          <w:p w14:paraId="0C083576" w14:textId="02ABC1C3" w:rsidR="00820F2B" w:rsidRPr="002C2421" w:rsidRDefault="004032F1"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537,53</w:t>
            </w:r>
          </w:p>
        </w:tc>
        <w:tc>
          <w:tcPr>
            <w:tcW w:w="1416" w:type="dxa"/>
            <w:tcBorders>
              <w:top w:val="nil"/>
              <w:left w:val="nil"/>
              <w:bottom w:val="single" w:sz="4" w:space="0" w:color="auto"/>
              <w:right w:val="single" w:sz="4" w:space="0" w:color="auto"/>
            </w:tcBorders>
            <w:noWrap/>
            <w:vAlign w:val="bottom"/>
          </w:tcPr>
          <w:p w14:paraId="31F7A97D" w14:textId="55258E48" w:rsidR="00820F2B" w:rsidRPr="002C2421" w:rsidRDefault="00411212"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0,00</w:t>
            </w:r>
          </w:p>
        </w:tc>
        <w:tc>
          <w:tcPr>
            <w:tcW w:w="1400" w:type="dxa"/>
            <w:tcBorders>
              <w:top w:val="nil"/>
              <w:left w:val="nil"/>
              <w:bottom w:val="single" w:sz="4" w:space="0" w:color="auto"/>
              <w:right w:val="single" w:sz="4" w:space="0" w:color="auto"/>
            </w:tcBorders>
            <w:noWrap/>
            <w:vAlign w:val="bottom"/>
          </w:tcPr>
          <w:p w14:paraId="052DEE0A" w14:textId="07C88231" w:rsidR="00820F2B" w:rsidRPr="002C2421" w:rsidRDefault="004032F1"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537,53</w:t>
            </w:r>
          </w:p>
        </w:tc>
      </w:tr>
      <w:tr w:rsidR="00820F2B" w:rsidRPr="002C2421" w14:paraId="01580317" w14:textId="77777777" w:rsidTr="0028156F">
        <w:trPr>
          <w:trHeight w:val="812"/>
        </w:trPr>
        <w:tc>
          <w:tcPr>
            <w:tcW w:w="1405" w:type="dxa"/>
            <w:tcBorders>
              <w:top w:val="nil"/>
              <w:left w:val="single" w:sz="4" w:space="0" w:color="auto"/>
              <w:bottom w:val="single" w:sz="4" w:space="0" w:color="auto"/>
              <w:right w:val="single" w:sz="4" w:space="0" w:color="auto"/>
            </w:tcBorders>
            <w:vAlign w:val="bottom"/>
            <w:hideMark/>
          </w:tcPr>
          <w:p w14:paraId="1799DCF3" w14:textId="77777777" w:rsidR="00820F2B" w:rsidRPr="002C2421" w:rsidRDefault="00820F2B" w:rsidP="0028156F">
            <w:pPr>
              <w:spacing w:after="0" w:line="240" w:lineRule="auto"/>
              <w:rPr>
                <w:rFonts w:ascii="Calibri" w:eastAsia="Times New Roman" w:hAnsi="Calibri" w:cs="Calibri"/>
                <w:color w:val="000000"/>
                <w:sz w:val="18"/>
                <w:szCs w:val="18"/>
                <w:lang w:eastAsia="hr-HR"/>
              </w:rPr>
            </w:pPr>
            <w:r w:rsidRPr="002C2421">
              <w:rPr>
                <w:rFonts w:ascii="Calibri" w:eastAsia="Times New Roman" w:hAnsi="Calibri" w:cs="Calibri"/>
                <w:color w:val="000000"/>
                <w:sz w:val="18"/>
                <w:szCs w:val="18"/>
                <w:lang w:eastAsia="hr-HR"/>
              </w:rPr>
              <w:t>238 Obveze za kazne, naknade šteta i kapitalne pomoći</w:t>
            </w:r>
          </w:p>
        </w:tc>
        <w:tc>
          <w:tcPr>
            <w:tcW w:w="1232" w:type="dxa"/>
            <w:tcBorders>
              <w:top w:val="nil"/>
              <w:left w:val="nil"/>
              <w:bottom w:val="single" w:sz="4" w:space="0" w:color="auto"/>
              <w:right w:val="single" w:sz="4" w:space="0" w:color="auto"/>
            </w:tcBorders>
            <w:noWrap/>
            <w:vAlign w:val="bottom"/>
            <w:hideMark/>
          </w:tcPr>
          <w:p w14:paraId="04BE0DCE" w14:textId="77777777" w:rsidR="00820F2B" w:rsidRPr="002C2421" w:rsidRDefault="00820F2B" w:rsidP="0028156F">
            <w:pPr>
              <w:spacing w:after="0" w:line="240" w:lineRule="auto"/>
              <w:jc w:val="right"/>
              <w:rPr>
                <w:rFonts w:ascii="Calibri" w:eastAsia="Times New Roman" w:hAnsi="Calibri" w:cs="Calibri"/>
                <w:color w:val="000000"/>
                <w:sz w:val="18"/>
                <w:szCs w:val="18"/>
                <w:lang w:eastAsia="hr-HR"/>
              </w:rPr>
            </w:pPr>
            <w:r w:rsidRPr="002C2421">
              <w:rPr>
                <w:rFonts w:ascii="Calibri" w:eastAsia="Times New Roman" w:hAnsi="Calibri" w:cs="Calibri"/>
                <w:color w:val="000000"/>
                <w:sz w:val="18"/>
                <w:szCs w:val="18"/>
                <w:lang w:eastAsia="hr-HR"/>
              </w:rPr>
              <w:t>0,00</w:t>
            </w:r>
          </w:p>
        </w:tc>
        <w:tc>
          <w:tcPr>
            <w:tcW w:w="1122" w:type="dxa"/>
            <w:tcBorders>
              <w:top w:val="nil"/>
              <w:left w:val="nil"/>
              <w:bottom w:val="single" w:sz="4" w:space="0" w:color="auto"/>
              <w:right w:val="single" w:sz="4" w:space="0" w:color="auto"/>
            </w:tcBorders>
            <w:noWrap/>
            <w:vAlign w:val="bottom"/>
            <w:hideMark/>
          </w:tcPr>
          <w:p w14:paraId="0A243BCE" w14:textId="77777777" w:rsidR="00820F2B" w:rsidRPr="002C2421" w:rsidRDefault="00820F2B" w:rsidP="0028156F">
            <w:pPr>
              <w:spacing w:after="0" w:line="240" w:lineRule="auto"/>
              <w:jc w:val="right"/>
              <w:rPr>
                <w:rFonts w:ascii="Calibri" w:eastAsia="Times New Roman" w:hAnsi="Calibri" w:cs="Calibri"/>
                <w:color w:val="000000"/>
                <w:sz w:val="18"/>
                <w:szCs w:val="18"/>
                <w:lang w:eastAsia="hr-HR"/>
              </w:rPr>
            </w:pPr>
            <w:r w:rsidRPr="002C2421">
              <w:rPr>
                <w:rFonts w:ascii="Calibri" w:eastAsia="Times New Roman" w:hAnsi="Calibri" w:cs="Calibri"/>
                <w:color w:val="000000"/>
                <w:sz w:val="18"/>
                <w:szCs w:val="18"/>
                <w:lang w:eastAsia="hr-HR"/>
              </w:rPr>
              <w:t>0,00</w:t>
            </w:r>
          </w:p>
        </w:tc>
        <w:tc>
          <w:tcPr>
            <w:tcW w:w="1095" w:type="dxa"/>
            <w:tcBorders>
              <w:top w:val="nil"/>
              <w:left w:val="nil"/>
              <w:bottom w:val="single" w:sz="4" w:space="0" w:color="auto"/>
              <w:right w:val="single" w:sz="4" w:space="0" w:color="auto"/>
            </w:tcBorders>
            <w:noWrap/>
            <w:vAlign w:val="bottom"/>
            <w:hideMark/>
          </w:tcPr>
          <w:p w14:paraId="2B170882" w14:textId="77777777" w:rsidR="00820F2B" w:rsidRPr="002C2421" w:rsidRDefault="00820F2B" w:rsidP="0028156F">
            <w:pPr>
              <w:spacing w:after="0" w:line="240" w:lineRule="auto"/>
              <w:jc w:val="right"/>
              <w:rPr>
                <w:rFonts w:ascii="Calibri" w:eastAsia="Times New Roman" w:hAnsi="Calibri" w:cs="Calibri"/>
                <w:color w:val="000000"/>
                <w:sz w:val="18"/>
                <w:szCs w:val="18"/>
                <w:lang w:eastAsia="hr-HR"/>
              </w:rPr>
            </w:pPr>
            <w:r w:rsidRPr="002C2421">
              <w:rPr>
                <w:rFonts w:ascii="Calibri" w:eastAsia="Times New Roman" w:hAnsi="Calibri" w:cs="Calibri"/>
                <w:color w:val="000000"/>
                <w:sz w:val="18"/>
                <w:szCs w:val="18"/>
                <w:lang w:eastAsia="hr-HR"/>
              </w:rPr>
              <w:t>0,00</w:t>
            </w:r>
          </w:p>
        </w:tc>
        <w:tc>
          <w:tcPr>
            <w:tcW w:w="1232" w:type="dxa"/>
            <w:tcBorders>
              <w:top w:val="nil"/>
              <w:left w:val="nil"/>
              <w:bottom w:val="single" w:sz="4" w:space="0" w:color="auto"/>
              <w:right w:val="single" w:sz="4" w:space="0" w:color="auto"/>
            </w:tcBorders>
            <w:noWrap/>
            <w:vAlign w:val="bottom"/>
            <w:hideMark/>
          </w:tcPr>
          <w:p w14:paraId="2DAE1F52" w14:textId="77777777" w:rsidR="00820F2B" w:rsidRPr="002C2421" w:rsidRDefault="00820F2B" w:rsidP="0028156F">
            <w:pPr>
              <w:spacing w:after="0" w:line="240" w:lineRule="auto"/>
              <w:jc w:val="right"/>
              <w:rPr>
                <w:rFonts w:ascii="Calibri" w:eastAsia="Times New Roman" w:hAnsi="Calibri" w:cs="Calibri"/>
                <w:color w:val="000000"/>
                <w:sz w:val="18"/>
                <w:szCs w:val="18"/>
                <w:lang w:eastAsia="hr-HR"/>
              </w:rPr>
            </w:pPr>
            <w:r w:rsidRPr="002C2421">
              <w:rPr>
                <w:rFonts w:ascii="Calibri" w:eastAsia="Times New Roman" w:hAnsi="Calibri" w:cs="Calibri"/>
                <w:color w:val="000000"/>
                <w:sz w:val="18"/>
                <w:szCs w:val="18"/>
                <w:lang w:eastAsia="hr-HR"/>
              </w:rPr>
              <w:t>0,00</w:t>
            </w:r>
          </w:p>
        </w:tc>
        <w:tc>
          <w:tcPr>
            <w:tcW w:w="1232" w:type="dxa"/>
            <w:tcBorders>
              <w:top w:val="nil"/>
              <w:left w:val="nil"/>
              <w:bottom w:val="single" w:sz="4" w:space="0" w:color="auto"/>
              <w:right w:val="single" w:sz="4" w:space="0" w:color="auto"/>
            </w:tcBorders>
            <w:noWrap/>
            <w:vAlign w:val="bottom"/>
            <w:hideMark/>
          </w:tcPr>
          <w:p w14:paraId="0BF45A32" w14:textId="77777777" w:rsidR="00820F2B" w:rsidRPr="002C2421" w:rsidRDefault="00820F2B" w:rsidP="0028156F">
            <w:pPr>
              <w:spacing w:after="0" w:line="240" w:lineRule="auto"/>
              <w:jc w:val="right"/>
              <w:rPr>
                <w:rFonts w:ascii="Calibri" w:eastAsia="Times New Roman" w:hAnsi="Calibri" w:cs="Calibri"/>
                <w:color w:val="000000"/>
                <w:sz w:val="18"/>
                <w:szCs w:val="18"/>
                <w:lang w:eastAsia="hr-HR"/>
              </w:rPr>
            </w:pPr>
            <w:r w:rsidRPr="002C2421">
              <w:rPr>
                <w:rFonts w:ascii="Calibri" w:eastAsia="Times New Roman" w:hAnsi="Calibri" w:cs="Calibri"/>
                <w:color w:val="000000"/>
                <w:sz w:val="18"/>
                <w:szCs w:val="18"/>
                <w:lang w:eastAsia="hr-HR"/>
              </w:rPr>
              <w:t>0,00</w:t>
            </w:r>
          </w:p>
        </w:tc>
        <w:tc>
          <w:tcPr>
            <w:tcW w:w="1416" w:type="dxa"/>
            <w:tcBorders>
              <w:top w:val="nil"/>
              <w:left w:val="nil"/>
              <w:bottom w:val="single" w:sz="4" w:space="0" w:color="auto"/>
              <w:right w:val="single" w:sz="4" w:space="0" w:color="auto"/>
            </w:tcBorders>
            <w:noWrap/>
            <w:vAlign w:val="bottom"/>
            <w:hideMark/>
          </w:tcPr>
          <w:p w14:paraId="3834D5A1" w14:textId="77777777" w:rsidR="00820F2B" w:rsidRPr="002C2421" w:rsidRDefault="00820F2B" w:rsidP="0028156F">
            <w:pPr>
              <w:spacing w:after="0" w:line="240" w:lineRule="auto"/>
              <w:jc w:val="right"/>
              <w:rPr>
                <w:rFonts w:ascii="Calibri" w:eastAsia="Times New Roman" w:hAnsi="Calibri" w:cs="Calibri"/>
                <w:color w:val="000000"/>
                <w:sz w:val="18"/>
                <w:szCs w:val="18"/>
                <w:lang w:eastAsia="hr-HR"/>
              </w:rPr>
            </w:pPr>
            <w:r w:rsidRPr="002C2421">
              <w:rPr>
                <w:rFonts w:ascii="Calibri" w:eastAsia="Times New Roman" w:hAnsi="Calibri" w:cs="Calibri"/>
                <w:color w:val="000000"/>
                <w:sz w:val="18"/>
                <w:szCs w:val="18"/>
                <w:lang w:eastAsia="hr-HR"/>
              </w:rPr>
              <w:t>0,00</w:t>
            </w:r>
          </w:p>
        </w:tc>
        <w:tc>
          <w:tcPr>
            <w:tcW w:w="1400" w:type="dxa"/>
            <w:tcBorders>
              <w:top w:val="nil"/>
              <w:left w:val="nil"/>
              <w:bottom w:val="single" w:sz="4" w:space="0" w:color="auto"/>
              <w:right w:val="single" w:sz="4" w:space="0" w:color="auto"/>
            </w:tcBorders>
            <w:noWrap/>
            <w:vAlign w:val="bottom"/>
            <w:hideMark/>
          </w:tcPr>
          <w:p w14:paraId="5DF4546F" w14:textId="77777777" w:rsidR="00820F2B" w:rsidRPr="002C2421" w:rsidRDefault="00820F2B" w:rsidP="0028156F">
            <w:pPr>
              <w:spacing w:after="0" w:line="240" w:lineRule="auto"/>
              <w:jc w:val="right"/>
              <w:rPr>
                <w:rFonts w:ascii="Calibri" w:eastAsia="Times New Roman" w:hAnsi="Calibri" w:cs="Calibri"/>
                <w:color w:val="000000"/>
                <w:sz w:val="18"/>
                <w:szCs w:val="18"/>
                <w:lang w:eastAsia="hr-HR"/>
              </w:rPr>
            </w:pPr>
            <w:r w:rsidRPr="002C2421">
              <w:rPr>
                <w:rFonts w:ascii="Calibri" w:eastAsia="Times New Roman" w:hAnsi="Calibri" w:cs="Calibri"/>
                <w:color w:val="000000"/>
                <w:sz w:val="18"/>
                <w:szCs w:val="18"/>
                <w:lang w:eastAsia="hr-HR"/>
              </w:rPr>
              <w:t>0,00</w:t>
            </w:r>
          </w:p>
        </w:tc>
      </w:tr>
      <w:tr w:rsidR="00820F2B" w:rsidRPr="002C2421" w14:paraId="519A4BC0" w14:textId="77777777" w:rsidTr="0028156F">
        <w:trPr>
          <w:trHeight w:val="328"/>
        </w:trPr>
        <w:tc>
          <w:tcPr>
            <w:tcW w:w="1405" w:type="dxa"/>
            <w:tcBorders>
              <w:top w:val="nil"/>
              <w:left w:val="single" w:sz="4" w:space="0" w:color="auto"/>
              <w:bottom w:val="single" w:sz="4" w:space="0" w:color="auto"/>
              <w:right w:val="single" w:sz="4" w:space="0" w:color="auto"/>
            </w:tcBorders>
            <w:noWrap/>
            <w:vAlign w:val="bottom"/>
            <w:hideMark/>
          </w:tcPr>
          <w:p w14:paraId="287B37E3" w14:textId="77777777" w:rsidR="00820F2B" w:rsidRPr="002C2421" w:rsidRDefault="00820F2B" w:rsidP="0028156F">
            <w:pPr>
              <w:spacing w:after="0" w:line="240" w:lineRule="auto"/>
              <w:rPr>
                <w:rFonts w:ascii="Calibri" w:eastAsia="Times New Roman" w:hAnsi="Calibri" w:cs="Calibri"/>
                <w:color w:val="000000"/>
                <w:sz w:val="18"/>
                <w:szCs w:val="18"/>
                <w:lang w:eastAsia="hr-HR"/>
              </w:rPr>
            </w:pPr>
            <w:r w:rsidRPr="002C2421">
              <w:rPr>
                <w:rFonts w:ascii="Calibri" w:eastAsia="Times New Roman" w:hAnsi="Calibri" w:cs="Calibri"/>
                <w:color w:val="000000"/>
                <w:sz w:val="18"/>
                <w:szCs w:val="18"/>
                <w:lang w:eastAsia="hr-HR"/>
              </w:rPr>
              <w:t>239 Ostale tekuće obveze</w:t>
            </w:r>
          </w:p>
        </w:tc>
        <w:tc>
          <w:tcPr>
            <w:tcW w:w="1232" w:type="dxa"/>
            <w:tcBorders>
              <w:top w:val="nil"/>
              <w:left w:val="nil"/>
              <w:bottom w:val="single" w:sz="4" w:space="0" w:color="auto"/>
              <w:right w:val="single" w:sz="4" w:space="0" w:color="auto"/>
            </w:tcBorders>
            <w:noWrap/>
            <w:vAlign w:val="bottom"/>
          </w:tcPr>
          <w:p w14:paraId="1A1BD197" w14:textId="2BBC0839" w:rsidR="00820F2B" w:rsidRPr="002C2421" w:rsidRDefault="004032F1"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0,00</w:t>
            </w:r>
          </w:p>
        </w:tc>
        <w:tc>
          <w:tcPr>
            <w:tcW w:w="1122" w:type="dxa"/>
            <w:tcBorders>
              <w:top w:val="nil"/>
              <w:left w:val="nil"/>
              <w:bottom w:val="single" w:sz="4" w:space="0" w:color="auto"/>
              <w:right w:val="single" w:sz="4" w:space="0" w:color="auto"/>
            </w:tcBorders>
            <w:noWrap/>
            <w:vAlign w:val="bottom"/>
          </w:tcPr>
          <w:p w14:paraId="38444FD5" w14:textId="781A51ED" w:rsidR="00820F2B" w:rsidRPr="002C2421" w:rsidRDefault="00411212"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0,00</w:t>
            </w:r>
          </w:p>
        </w:tc>
        <w:tc>
          <w:tcPr>
            <w:tcW w:w="1095" w:type="dxa"/>
            <w:tcBorders>
              <w:top w:val="nil"/>
              <w:left w:val="nil"/>
              <w:bottom w:val="single" w:sz="4" w:space="0" w:color="auto"/>
              <w:right w:val="single" w:sz="4" w:space="0" w:color="auto"/>
            </w:tcBorders>
            <w:noWrap/>
            <w:vAlign w:val="bottom"/>
          </w:tcPr>
          <w:p w14:paraId="2FB76287" w14:textId="2334A163" w:rsidR="00820F2B" w:rsidRPr="002C2421" w:rsidRDefault="00411212"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0,00</w:t>
            </w:r>
          </w:p>
        </w:tc>
        <w:tc>
          <w:tcPr>
            <w:tcW w:w="1232" w:type="dxa"/>
            <w:tcBorders>
              <w:top w:val="nil"/>
              <w:left w:val="nil"/>
              <w:bottom w:val="single" w:sz="4" w:space="0" w:color="auto"/>
              <w:right w:val="single" w:sz="4" w:space="0" w:color="auto"/>
            </w:tcBorders>
            <w:noWrap/>
            <w:vAlign w:val="bottom"/>
          </w:tcPr>
          <w:p w14:paraId="294BA36B" w14:textId="1DA2C61C" w:rsidR="00820F2B" w:rsidRPr="002C2421" w:rsidRDefault="004032F1"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3.981,68</w:t>
            </w:r>
          </w:p>
        </w:tc>
        <w:tc>
          <w:tcPr>
            <w:tcW w:w="1232" w:type="dxa"/>
            <w:tcBorders>
              <w:top w:val="nil"/>
              <w:left w:val="nil"/>
              <w:bottom w:val="single" w:sz="4" w:space="0" w:color="auto"/>
              <w:right w:val="single" w:sz="4" w:space="0" w:color="auto"/>
            </w:tcBorders>
            <w:noWrap/>
            <w:vAlign w:val="bottom"/>
          </w:tcPr>
          <w:p w14:paraId="55C9198F" w14:textId="1AAF81B3" w:rsidR="00820F2B" w:rsidRPr="002C2421" w:rsidRDefault="004032F1"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3.981,68</w:t>
            </w:r>
          </w:p>
        </w:tc>
        <w:tc>
          <w:tcPr>
            <w:tcW w:w="1416" w:type="dxa"/>
            <w:tcBorders>
              <w:top w:val="nil"/>
              <w:left w:val="nil"/>
              <w:bottom w:val="single" w:sz="4" w:space="0" w:color="auto"/>
              <w:right w:val="single" w:sz="4" w:space="0" w:color="auto"/>
            </w:tcBorders>
            <w:noWrap/>
            <w:vAlign w:val="bottom"/>
          </w:tcPr>
          <w:p w14:paraId="1EE66D0D" w14:textId="48A2BBB1" w:rsidR="00820F2B" w:rsidRPr="002C2421" w:rsidRDefault="00411212"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0,00</w:t>
            </w:r>
          </w:p>
        </w:tc>
        <w:tc>
          <w:tcPr>
            <w:tcW w:w="1400" w:type="dxa"/>
            <w:tcBorders>
              <w:top w:val="nil"/>
              <w:left w:val="nil"/>
              <w:bottom w:val="single" w:sz="4" w:space="0" w:color="auto"/>
              <w:right w:val="single" w:sz="4" w:space="0" w:color="auto"/>
            </w:tcBorders>
            <w:noWrap/>
            <w:vAlign w:val="bottom"/>
          </w:tcPr>
          <w:p w14:paraId="08F246FF" w14:textId="5218D76C" w:rsidR="00820F2B" w:rsidRPr="002C2421" w:rsidRDefault="004032F1"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3.981,68</w:t>
            </w:r>
          </w:p>
        </w:tc>
      </w:tr>
      <w:tr w:rsidR="00820F2B" w:rsidRPr="002C2421" w14:paraId="6220C88B" w14:textId="77777777" w:rsidTr="0028156F">
        <w:trPr>
          <w:trHeight w:val="660"/>
        </w:trPr>
        <w:tc>
          <w:tcPr>
            <w:tcW w:w="1405" w:type="dxa"/>
            <w:tcBorders>
              <w:top w:val="nil"/>
              <w:left w:val="single" w:sz="4" w:space="0" w:color="auto"/>
              <w:bottom w:val="single" w:sz="4" w:space="0" w:color="auto"/>
              <w:right w:val="single" w:sz="4" w:space="0" w:color="auto"/>
            </w:tcBorders>
            <w:vAlign w:val="bottom"/>
            <w:hideMark/>
          </w:tcPr>
          <w:p w14:paraId="2758D78C" w14:textId="77777777" w:rsidR="00820F2B" w:rsidRPr="002C2421" w:rsidRDefault="00820F2B" w:rsidP="0028156F">
            <w:pPr>
              <w:spacing w:after="0" w:line="240" w:lineRule="auto"/>
              <w:rPr>
                <w:rFonts w:ascii="Calibri" w:eastAsia="Times New Roman" w:hAnsi="Calibri" w:cs="Calibri"/>
                <w:color w:val="000000"/>
                <w:sz w:val="18"/>
                <w:szCs w:val="18"/>
                <w:lang w:eastAsia="hr-HR"/>
              </w:rPr>
            </w:pPr>
            <w:r w:rsidRPr="002C2421">
              <w:rPr>
                <w:rFonts w:ascii="Calibri" w:eastAsia="Times New Roman" w:hAnsi="Calibri" w:cs="Calibri"/>
                <w:color w:val="000000"/>
                <w:sz w:val="18"/>
                <w:szCs w:val="18"/>
                <w:lang w:eastAsia="hr-HR"/>
              </w:rPr>
              <w:t>Međusobne obveze subjekata općeg proračuna</w:t>
            </w:r>
          </w:p>
        </w:tc>
        <w:tc>
          <w:tcPr>
            <w:tcW w:w="1232" w:type="dxa"/>
            <w:tcBorders>
              <w:top w:val="nil"/>
              <w:left w:val="nil"/>
              <w:bottom w:val="single" w:sz="4" w:space="0" w:color="auto"/>
              <w:right w:val="single" w:sz="4" w:space="0" w:color="auto"/>
            </w:tcBorders>
            <w:noWrap/>
            <w:vAlign w:val="bottom"/>
            <w:hideMark/>
          </w:tcPr>
          <w:p w14:paraId="1651E4B0" w14:textId="6B26BF03" w:rsidR="00820F2B" w:rsidRPr="002C2421" w:rsidRDefault="00E51300" w:rsidP="0028156F">
            <w:pPr>
              <w:spacing w:after="0" w:line="240" w:lineRule="auto"/>
              <w:jc w:val="center"/>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302,36</w:t>
            </w:r>
          </w:p>
        </w:tc>
        <w:tc>
          <w:tcPr>
            <w:tcW w:w="1122" w:type="dxa"/>
            <w:tcBorders>
              <w:top w:val="nil"/>
              <w:left w:val="nil"/>
              <w:bottom w:val="single" w:sz="4" w:space="0" w:color="auto"/>
              <w:right w:val="single" w:sz="4" w:space="0" w:color="auto"/>
            </w:tcBorders>
            <w:noWrap/>
            <w:vAlign w:val="bottom"/>
            <w:hideMark/>
          </w:tcPr>
          <w:p w14:paraId="5EBEEAB5" w14:textId="72BBAA8B" w:rsidR="00820F2B" w:rsidRPr="002C2421" w:rsidRDefault="00900155" w:rsidP="0028156F">
            <w:pPr>
              <w:spacing w:after="0" w:line="240" w:lineRule="auto"/>
              <w:jc w:val="center"/>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0,00</w:t>
            </w:r>
          </w:p>
        </w:tc>
        <w:tc>
          <w:tcPr>
            <w:tcW w:w="1095" w:type="dxa"/>
            <w:tcBorders>
              <w:top w:val="nil"/>
              <w:left w:val="nil"/>
              <w:bottom w:val="single" w:sz="4" w:space="0" w:color="auto"/>
              <w:right w:val="single" w:sz="4" w:space="0" w:color="auto"/>
            </w:tcBorders>
            <w:noWrap/>
            <w:vAlign w:val="bottom"/>
            <w:hideMark/>
          </w:tcPr>
          <w:p w14:paraId="5D3F197D" w14:textId="4C6CB490" w:rsidR="00820F2B" w:rsidRPr="002C2421" w:rsidRDefault="00900155"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0,00</w:t>
            </w:r>
          </w:p>
        </w:tc>
        <w:tc>
          <w:tcPr>
            <w:tcW w:w="1232" w:type="dxa"/>
            <w:tcBorders>
              <w:top w:val="nil"/>
              <w:left w:val="nil"/>
              <w:bottom w:val="single" w:sz="4" w:space="0" w:color="auto"/>
              <w:right w:val="single" w:sz="4" w:space="0" w:color="auto"/>
            </w:tcBorders>
            <w:noWrap/>
            <w:vAlign w:val="bottom"/>
            <w:hideMark/>
          </w:tcPr>
          <w:p w14:paraId="58C1B44A" w14:textId="248A9CEB" w:rsidR="00820F2B" w:rsidRPr="002C2421" w:rsidRDefault="00900155" w:rsidP="0028156F">
            <w:pPr>
              <w:spacing w:after="0" w:line="240" w:lineRule="auto"/>
              <w:jc w:val="center"/>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0,00</w:t>
            </w:r>
          </w:p>
        </w:tc>
        <w:tc>
          <w:tcPr>
            <w:tcW w:w="1232" w:type="dxa"/>
            <w:tcBorders>
              <w:top w:val="nil"/>
              <w:left w:val="nil"/>
              <w:bottom w:val="single" w:sz="4" w:space="0" w:color="auto"/>
              <w:right w:val="single" w:sz="4" w:space="0" w:color="auto"/>
            </w:tcBorders>
            <w:noWrap/>
            <w:vAlign w:val="bottom"/>
            <w:hideMark/>
          </w:tcPr>
          <w:p w14:paraId="1A2E5998" w14:textId="3D2405E1" w:rsidR="00820F2B" w:rsidRPr="002C2421" w:rsidRDefault="00E51300" w:rsidP="0028156F">
            <w:pPr>
              <w:spacing w:after="0" w:line="240" w:lineRule="auto"/>
              <w:jc w:val="center"/>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302,36</w:t>
            </w:r>
          </w:p>
        </w:tc>
        <w:tc>
          <w:tcPr>
            <w:tcW w:w="1416" w:type="dxa"/>
            <w:tcBorders>
              <w:top w:val="nil"/>
              <w:left w:val="nil"/>
              <w:bottom w:val="single" w:sz="4" w:space="0" w:color="auto"/>
              <w:right w:val="single" w:sz="4" w:space="0" w:color="auto"/>
            </w:tcBorders>
            <w:noWrap/>
            <w:vAlign w:val="bottom"/>
          </w:tcPr>
          <w:p w14:paraId="7F2FE678" w14:textId="150FDCED" w:rsidR="00820F2B" w:rsidRPr="002C2421" w:rsidRDefault="00E51300"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175.082,49</w:t>
            </w:r>
          </w:p>
        </w:tc>
        <w:tc>
          <w:tcPr>
            <w:tcW w:w="1400" w:type="dxa"/>
            <w:tcBorders>
              <w:top w:val="nil"/>
              <w:left w:val="nil"/>
              <w:bottom w:val="single" w:sz="4" w:space="0" w:color="auto"/>
              <w:right w:val="single" w:sz="4" w:space="0" w:color="auto"/>
            </w:tcBorders>
            <w:noWrap/>
            <w:vAlign w:val="bottom"/>
          </w:tcPr>
          <w:p w14:paraId="6BA98A05" w14:textId="01541802" w:rsidR="00820F2B" w:rsidRPr="002C2421" w:rsidRDefault="0094727D"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175.384,85</w:t>
            </w:r>
          </w:p>
        </w:tc>
      </w:tr>
      <w:tr w:rsidR="00820F2B" w:rsidRPr="002C2421" w14:paraId="362E402F" w14:textId="77777777" w:rsidTr="0028156F">
        <w:trPr>
          <w:trHeight w:val="328"/>
        </w:trPr>
        <w:tc>
          <w:tcPr>
            <w:tcW w:w="1405" w:type="dxa"/>
            <w:tcBorders>
              <w:top w:val="nil"/>
              <w:left w:val="single" w:sz="4" w:space="0" w:color="auto"/>
              <w:bottom w:val="single" w:sz="4" w:space="0" w:color="auto"/>
              <w:right w:val="single" w:sz="4" w:space="0" w:color="auto"/>
            </w:tcBorders>
            <w:shd w:val="clear" w:color="000000" w:fill="F2F2F2"/>
            <w:noWrap/>
            <w:vAlign w:val="bottom"/>
            <w:hideMark/>
          </w:tcPr>
          <w:p w14:paraId="1EBA5789" w14:textId="77777777" w:rsidR="00820F2B" w:rsidRPr="002C2421" w:rsidRDefault="00820F2B" w:rsidP="0028156F">
            <w:pPr>
              <w:spacing w:after="0" w:line="240" w:lineRule="auto"/>
              <w:rPr>
                <w:rFonts w:ascii="Calibri" w:eastAsia="Times New Roman" w:hAnsi="Calibri" w:cs="Calibri"/>
                <w:color w:val="000000"/>
                <w:sz w:val="18"/>
                <w:szCs w:val="18"/>
                <w:lang w:eastAsia="hr-HR"/>
              </w:rPr>
            </w:pPr>
            <w:r w:rsidRPr="002C2421">
              <w:rPr>
                <w:rFonts w:ascii="Calibri" w:eastAsia="Times New Roman" w:hAnsi="Calibri" w:cs="Calibri"/>
                <w:color w:val="000000"/>
                <w:sz w:val="18"/>
                <w:szCs w:val="18"/>
                <w:lang w:eastAsia="hr-HR"/>
              </w:rPr>
              <w:t>23 Obveze za rashode poslovanja</w:t>
            </w:r>
          </w:p>
        </w:tc>
        <w:tc>
          <w:tcPr>
            <w:tcW w:w="1232" w:type="dxa"/>
            <w:tcBorders>
              <w:top w:val="nil"/>
              <w:left w:val="nil"/>
              <w:bottom w:val="single" w:sz="4" w:space="0" w:color="auto"/>
              <w:right w:val="single" w:sz="4" w:space="0" w:color="auto"/>
            </w:tcBorders>
            <w:shd w:val="clear" w:color="000000" w:fill="F2F2F2"/>
            <w:noWrap/>
            <w:vAlign w:val="bottom"/>
          </w:tcPr>
          <w:p w14:paraId="6DBCF0D8" w14:textId="5B943818" w:rsidR="00820F2B" w:rsidRPr="002C2421" w:rsidRDefault="0094092B" w:rsidP="0028156F">
            <w:pPr>
              <w:spacing w:after="0" w:line="240" w:lineRule="auto"/>
              <w:jc w:val="center"/>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0,00</w:t>
            </w:r>
          </w:p>
        </w:tc>
        <w:tc>
          <w:tcPr>
            <w:tcW w:w="1122" w:type="dxa"/>
            <w:tcBorders>
              <w:top w:val="nil"/>
              <w:left w:val="nil"/>
              <w:bottom w:val="single" w:sz="4" w:space="0" w:color="auto"/>
              <w:right w:val="single" w:sz="4" w:space="0" w:color="auto"/>
            </w:tcBorders>
            <w:shd w:val="clear" w:color="000000" w:fill="F2F2F2"/>
            <w:noWrap/>
            <w:vAlign w:val="bottom"/>
          </w:tcPr>
          <w:p w14:paraId="047072A7" w14:textId="02520B55" w:rsidR="00820F2B" w:rsidRPr="002C2421" w:rsidRDefault="0094092B" w:rsidP="0028156F">
            <w:pPr>
              <w:spacing w:after="0" w:line="240" w:lineRule="auto"/>
              <w:jc w:val="center"/>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0,00</w:t>
            </w:r>
          </w:p>
        </w:tc>
        <w:tc>
          <w:tcPr>
            <w:tcW w:w="1095" w:type="dxa"/>
            <w:tcBorders>
              <w:top w:val="nil"/>
              <w:left w:val="nil"/>
              <w:bottom w:val="single" w:sz="4" w:space="0" w:color="auto"/>
              <w:right w:val="single" w:sz="4" w:space="0" w:color="auto"/>
            </w:tcBorders>
            <w:shd w:val="clear" w:color="000000" w:fill="F2F2F2"/>
            <w:noWrap/>
            <w:vAlign w:val="bottom"/>
          </w:tcPr>
          <w:p w14:paraId="68EB1E99" w14:textId="69D33D78" w:rsidR="00820F2B" w:rsidRPr="002C2421" w:rsidRDefault="0094092B" w:rsidP="0028156F">
            <w:pPr>
              <w:spacing w:after="0" w:line="240" w:lineRule="auto"/>
              <w:jc w:val="center"/>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0,00</w:t>
            </w:r>
          </w:p>
        </w:tc>
        <w:tc>
          <w:tcPr>
            <w:tcW w:w="1232" w:type="dxa"/>
            <w:tcBorders>
              <w:top w:val="nil"/>
              <w:left w:val="nil"/>
              <w:bottom w:val="single" w:sz="4" w:space="0" w:color="auto"/>
              <w:right w:val="single" w:sz="4" w:space="0" w:color="auto"/>
            </w:tcBorders>
            <w:shd w:val="clear" w:color="000000" w:fill="F2F2F2"/>
            <w:noWrap/>
            <w:vAlign w:val="bottom"/>
          </w:tcPr>
          <w:p w14:paraId="1F01BAB0" w14:textId="55ED4F6F" w:rsidR="00820F2B" w:rsidRPr="002C2421" w:rsidRDefault="0094092B" w:rsidP="0028156F">
            <w:pPr>
              <w:spacing w:after="0" w:line="240" w:lineRule="auto"/>
              <w:jc w:val="center"/>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0,00</w:t>
            </w:r>
          </w:p>
        </w:tc>
        <w:tc>
          <w:tcPr>
            <w:tcW w:w="1232" w:type="dxa"/>
            <w:tcBorders>
              <w:top w:val="nil"/>
              <w:left w:val="nil"/>
              <w:bottom w:val="single" w:sz="4" w:space="0" w:color="auto"/>
              <w:right w:val="single" w:sz="4" w:space="0" w:color="auto"/>
            </w:tcBorders>
            <w:shd w:val="clear" w:color="000000" w:fill="F2F2F2"/>
            <w:noWrap/>
            <w:vAlign w:val="bottom"/>
          </w:tcPr>
          <w:p w14:paraId="2063A305" w14:textId="22CC8D61" w:rsidR="00820F2B" w:rsidRPr="002C2421" w:rsidRDefault="0094092B" w:rsidP="0028156F">
            <w:pPr>
              <w:spacing w:after="0" w:line="240" w:lineRule="auto"/>
              <w:jc w:val="center"/>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0,00</w:t>
            </w:r>
          </w:p>
        </w:tc>
        <w:tc>
          <w:tcPr>
            <w:tcW w:w="1416" w:type="dxa"/>
            <w:tcBorders>
              <w:top w:val="nil"/>
              <w:left w:val="nil"/>
              <w:bottom w:val="single" w:sz="4" w:space="0" w:color="auto"/>
              <w:right w:val="single" w:sz="4" w:space="0" w:color="auto"/>
            </w:tcBorders>
            <w:shd w:val="clear" w:color="000000" w:fill="F2F2F2"/>
            <w:noWrap/>
            <w:vAlign w:val="bottom"/>
          </w:tcPr>
          <w:p w14:paraId="2971A952" w14:textId="44900CF4" w:rsidR="00820F2B" w:rsidRPr="002C2421" w:rsidRDefault="004032F1"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1.110.714,56</w:t>
            </w:r>
          </w:p>
        </w:tc>
        <w:tc>
          <w:tcPr>
            <w:tcW w:w="1400" w:type="dxa"/>
            <w:tcBorders>
              <w:top w:val="nil"/>
              <w:left w:val="nil"/>
              <w:bottom w:val="single" w:sz="4" w:space="0" w:color="auto"/>
              <w:right w:val="single" w:sz="4" w:space="0" w:color="auto"/>
            </w:tcBorders>
            <w:shd w:val="clear" w:color="000000" w:fill="F2F2F2"/>
            <w:noWrap/>
            <w:vAlign w:val="bottom"/>
          </w:tcPr>
          <w:p w14:paraId="0879729A" w14:textId="2A92859D" w:rsidR="00820F2B" w:rsidRPr="002C2421" w:rsidRDefault="0094092B"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1.110.714,56</w:t>
            </w:r>
          </w:p>
        </w:tc>
      </w:tr>
      <w:tr w:rsidR="00820F2B" w:rsidRPr="002C2421" w14:paraId="64CFCFEF" w14:textId="77777777" w:rsidTr="0028156F">
        <w:trPr>
          <w:trHeight w:val="660"/>
        </w:trPr>
        <w:tc>
          <w:tcPr>
            <w:tcW w:w="1405" w:type="dxa"/>
            <w:tcBorders>
              <w:top w:val="nil"/>
              <w:left w:val="single" w:sz="4" w:space="0" w:color="auto"/>
              <w:bottom w:val="single" w:sz="4" w:space="0" w:color="auto"/>
              <w:right w:val="single" w:sz="4" w:space="0" w:color="auto"/>
            </w:tcBorders>
            <w:shd w:val="clear" w:color="000000" w:fill="F2F2F2"/>
            <w:vAlign w:val="bottom"/>
            <w:hideMark/>
          </w:tcPr>
          <w:p w14:paraId="2761146E" w14:textId="77777777" w:rsidR="00820F2B" w:rsidRPr="002C2421" w:rsidRDefault="00820F2B" w:rsidP="0028156F">
            <w:pPr>
              <w:spacing w:after="0" w:line="240" w:lineRule="auto"/>
              <w:rPr>
                <w:rFonts w:ascii="Calibri" w:eastAsia="Times New Roman" w:hAnsi="Calibri" w:cs="Calibri"/>
                <w:color w:val="000000"/>
                <w:sz w:val="18"/>
                <w:szCs w:val="18"/>
                <w:lang w:eastAsia="hr-HR"/>
              </w:rPr>
            </w:pPr>
            <w:r w:rsidRPr="002C2421">
              <w:rPr>
                <w:rFonts w:ascii="Calibri" w:eastAsia="Times New Roman" w:hAnsi="Calibri" w:cs="Calibri"/>
                <w:color w:val="000000"/>
                <w:sz w:val="18"/>
                <w:szCs w:val="18"/>
                <w:lang w:eastAsia="hr-HR"/>
              </w:rPr>
              <w:t>24 Obveze za nabavu nefinancijske imovine</w:t>
            </w:r>
          </w:p>
        </w:tc>
        <w:tc>
          <w:tcPr>
            <w:tcW w:w="1232" w:type="dxa"/>
            <w:tcBorders>
              <w:top w:val="nil"/>
              <w:left w:val="nil"/>
              <w:bottom w:val="single" w:sz="4" w:space="0" w:color="auto"/>
              <w:right w:val="single" w:sz="4" w:space="0" w:color="auto"/>
            </w:tcBorders>
            <w:shd w:val="clear" w:color="000000" w:fill="F2F2F2"/>
            <w:noWrap/>
            <w:vAlign w:val="bottom"/>
            <w:hideMark/>
          </w:tcPr>
          <w:p w14:paraId="52599321" w14:textId="0DE73F76" w:rsidR="00820F2B" w:rsidRPr="002C2421" w:rsidRDefault="0094092B"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48.065,94</w:t>
            </w:r>
          </w:p>
        </w:tc>
        <w:tc>
          <w:tcPr>
            <w:tcW w:w="1122" w:type="dxa"/>
            <w:tcBorders>
              <w:top w:val="nil"/>
              <w:left w:val="nil"/>
              <w:bottom w:val="single" w:sz="4" w:space="0" w:color="auto"/>
              <w:right w:val="single" w:sz="4" w:space="0" w:color="auto"/>
            </w:tcBorders>
            <w:shd w:val="clear" w:color="000000" w:fill="F2F2F2"/>
            <w:noWrap/>
            <w:vAlign w:val="bottom"/>
            <w:hideMark/>
          </w:tcPr>
          <w:p w14:paraId="516E4AA7" w14:textId="00CFF3EE" w:rsidR="00820F2B" w:rsidRPr="002C2421" w:rsidRDefault="0094092B"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10.712,50</w:t>
            </w:r>
          </w:p>
        </w:tc>
        <w:tc>
          <w:tcPr>
            <w:tcW w:w="1095" w:type="dxa"/>
            <w:tcBorders>
              <w:top w:val="nil"/>
              <w:left w:val="nil"/>
              <w:bottom w:val="single" w:sz="4" w:space="0" w:color="auto"/>
              <w:right w:val="single" w:sz="4" w:space="0" w:color="auto"/>
            </w:tcBorders>
            <w:shd w:val="clear" w:color="000000" w:fill="F2F2F2"/>
            <w:noWrap/>
            <w:vAlign w:val="bottom"/>
            <w:hideMark/>
          </w:tcPr>
          <w:p w14:paraId="0F32D791" w14:textId="02066D58" w:rsidR="00820F2B" w:rsidRPr="002C2421" w:rsidRDefault="0094092B"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3.540,00</w:t>
            </w:r>
          </w:p>
        </w:tc>
        <w:tc>
          <w:tcPr>
            <w:tcW w:w="1232" w:type="dxa"/>
            <w:tcBorders>
              <w:top w:val="nil"/>
              <w:left w:val="nil"/>
              <w:bottom w:val="single" w:sz="4" w:space="0" w:color="auto"/>
              <w:right w:val="single" w:sz="4" w:space="0" w:color="auto"/>
            </w:tcBorders>
            <w:shd w:val="clear" w:color="000000" w:fill="F2F2F2"/>
            <w:noWrap/>
            <w:vAlign w:val="bottom"/>
            <w:hideMark/>
          </w:tcPr>
          <w:p w14:paraId="2C84828F" w14:textId="0922EA1D" w:rsidR="00820F2B" w:rsidRPr="002C2421" w:rsidRDefault="0094092B"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113.361,89</w:t>
            </w:r>
          </w:p>
        </w:tc>
        <w:tc>
          <w:tcPr>
            <w:tcW w:w="1232" w:type="dxa"/>
            <w:tcBorders>
              <w:top w:val="nil"/>
              <w:left w:val="nil"/>
              <w:bottom w:val="single" w:sz="4" w:space="0" w:color="auto"/>
              <w:right w:val="single" w:sz="4" w:space="0" w:color="auto"/>
            </w:tcBorders>
            <w:shd w:val="clear" w:color="000000" w:fill="F2F2F2"/>
            <w:noWrap/>
            <w:vAlign w:val="bottom"/>
          </w:tcPr>
          <w:p w14:paraId="72917A38" w14:textId="78F97957" w:rsidR="00820F2B" w:rsidRPr="002C2421" w:rsidRDefault="0094092B"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175.680,33</w:t>
            </w:r>
          </w:p>
        </w:tc>
        <w:tc>
          <w:tcPr>
            <w:tcW w:w="1416" w:type="dxa"/>
            <w:tcBorders>
              <w:top w:val="nil"/>
              <w:left w:val="nil"/>
              <w:bottom w:val="single" w:sz="4" w:space="0" w:color="auto"/>
              <w:right w:val="single" w:sz="4" w:space="0" w:color="auto"/>
            </w:tcBorders>
            <w:shd w:val="clear" w:color="000000" w:fill="F2F2F2"/>
            <w:noWrap/>
            <w:vAlign w:val="bottom"/>
          </w:tcPr>
          <w:p w14:paraId="520AA11E" w14:textId="380BDBBA" w:rsidR="00820F2B" w:rsidRPr="002C2421" w:rsidRDefault="004032F1"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325.952,62</w:t>
            </w:r>
          </w:p>
        </w:tc>
        <w:tc>
          <w:tcPr>
            <w:tcW w:w="1400" w:type="dxa"/>
            <w:tcBorders>
              <w:top w:val="nil"/>
              <w:left w:val="nil"/>
              <w:bottom w:val="single" w:sz="4" w:space="0" w:color="auto"/>
              <w:right w:val="single" w:sz="4" w:space="0" w:color="auto"/>
            </w:tcBorders>
            <w:shd w:val="clear" w:color="000000" w:fill="F2F2F2"/>
            <w:noWrap/>
            <w:vAlign w:val="bottom"/>
          </w:tcPr>
          <w:p w14:paraId="7CD3CF97" w14:textId="0A257359" w:rsidR="00820F2B" w:rsidRPr="002C2421" w:rsidRDefault="0094092B"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501.632,95</w:t>
            </w:r>
          </w:p>
        </w:tc>
      </w:tr>
      <w:tr w:rsidR="00820F2B" w:rsidRPr="002C2421" w14:paraId="182DD9DB" w14:textId="77777777" w:rsidTr="0028156F">
        <w:trPr>
          <w:trHeight w:val="328"/>
        </w:trPr>
        <w:tc>
          <w:tcPr>
            <w:tcW w:w="1405" w:type="dxa"/>
            <w:tcBorders>
              <w:top w:val="nil"/>
              <w:left w:val="single" w:sz="4" w:space="0" w:color="auto"/>
              <w:bottom w:val="single" w:sz="4" w:space="0" w:color="auto"/>
              <w:right w:val="single" w:sz="4" w:space="0" w:color="auto"/>
            </w:tcBorders>
            <w:shd w:val="clear" w:color="000000" w:fill="F2F2F2"/>
            <w:noWrap/>
            <w:vAlign w:val="bottom"/>
            <w:hideMark/>
          </w:tcPr>
          <w:p w14:paraId="1368FC3D" w14:textId="77777777" w:rsidR="00820F2B" w:rsidRPr="002C2421" w:rsidRDefault="00820F2B" w:rsidP="0028156F">
            <w:pPr>
              <w:spacing w:after="0" w:line="240" w:lineRule="auto"/>
              <w:rPr>
                <w:rFonts w:ascii="Calibri" w:eastAsia="Times New Roman" w:hAnsi="Calibri" w:cs="Calibri"/>
                <w:color w:val="000000"/>
                <w:sz w:val="18"/>
                <w:szCs w:val="18"/>
                <w:lang w:eastAsia="hr-HR"/>
              </w:rPr>
            </w:pPr>
            <w:r w:rsidRPr="002C2421">
              <w:rPr>
                <w:rFonts w:ascii="Calibri" w:eastAsia="Times New Roman" w:hAnsi="Calibri" w:cs="Calibri"/>
                <w:color w:val="000000"/>
                <w:sz w:val="18"/>
                <w:szCs w:val="18"/>
                <w:lang w:eastAsia="hr-HR"/>
              </w:rPr>
              <w:t>26 Obveze za financijsku imovinu</w:t>
            </w:r>
          </w:p>
        </w:tc>
        <w:tc>
          <w:tcPr>
            <w:tcW w:w="1232" w:type="dxa"/>
            <w:tcBorders>
              <w:top w:val="nil"/>
              <w:left w:val="nil"/>
              <w:bottom w:val="single" w:sz="4" w:space="0" w:color="auto"/>
              <w:right w:val="single" w:sz="4" w:space="0" w:color="auto"/>
            </w:tcBorders>
            <w:shd w:val="clear" w:color="000000" w:fill="F2F2F2"/>
            <w:noWrap/>
            <w:vAlign w:val="bottom"/>
            <w:hideMark/>
          </w:tcPr>
          <w:p w14:paraId="3DA15FAA" w14:textId="77777777" w:rsidR="00820F2B" w:rsidRPr="002C2421" w:rsidRDefault="00820F2B" w:rsidP="0028156F">
            <w:pPr>
              <w:spacing w:after="0" w:line="240" w:lineRule="auto"/>
              <w:jc w:val="right"/>
              <w:rPr>
                <w:rFonts w:ascii="Calibri" w:eastAsia="Times New Roman" w:hAnsi="Calibri" w:cs="Calibri"/>
                <w:color w:val="000000"/>
                <w:sz w:val="18"/>
                <w:szCs w:val="18"/>
                <w:lang w:eastAsia="hr-HR"/>
              </w:rPr>
            </w:pPr>
            <w:r w:rsidRPr="002C2421">
              <w:rPr>
                <w:rFonts w:ascii="Calibri" w:eastAsia="Times New Roman" w:hAnsi="Calibri" w:cs="Calibri"/>
                <w:color w:val="000000"/>
                <w:sz w:val="18"/>
                <w:szCs w:val="18"/>
                <w:lang w:eastAsia="hr-HR"/>
              </w:rPr>
              <w:t>0,00</w:t>
            </w:r>
          </w:p>
        </w:tc>
        <w:tc>
          <w:tcPr>
            <w:tcW w:w="1122" w:type="dxa"/>
            <w:tcBorders>
              <w:top w:val="nil"/>
              <w:left w:val="nil"/>
              <w:bottom w:val="single" w:sz="4" w:space="0" w:color="auto"/>
              <w:right w:val="single" w:sz="4" w:space="0" w:color="auto"/>
            </w:tcBorders>
            <w:shd w:val="clear" w:color="000000" w:fill="F2F2F2"/>
            <w:noWrap/>
            <w:vAlign w:val="bottom"/>
            <w:hideMark/>
          </w:tcPr>
          <w:p w14:paraId="72DFDCBD" w14:textId="77777777" w:rsidR="00820F2B" w:rsidRPr="002C2421" w:rsidRDefault="00820F2B" w:rsidP="0028156F">
            <w:pPr>
              <w:spacing w:after="0" w:line="240" w:lineRule="auto"/>
              <w:jc w:val="right"/>
              <w:rPr>
                <w:rFonts w:ascii="Calibri" w:eastAsia="Times New Roman" w:hAnsi="Calibri" w:cs="Calibri"/>
                <w:color w:val="000000"/>
                <w:sz w:val="18"/>
                <w:szCs w:val="18"/>
                <w:lang w:eastAsia="hr-HR"/>
              </w:rPr>
            </w:pPr>
            <w:r w:rsidRPr="002C2421">
              <w:rPr>
                <w:rFonts w:ascii="Calibri" w:eastAsia="Times New Roman" w:hAnsi="Calibri" w:cs="Calibri"/>
                <w:color w:val="000000"/>
                <w:sz w:val="18"/>
                <w:szCs w:val="18"/>
                <w:lang w:eastAsia="hr-HR"/>
              </w:rPr>
              <w:t>0,00</w:t>
            </w:r>
          </w:p>
        </w:tc>
        <w:tc>
          <w:tcPr>
            <w:tcW w:w="1095" w:type="dxa"/>
            <w:tcBorders>
              <w:top w:val="nil"/>
              <w:left w:val="nil"/>
              <w:bottom w:val="single" w:sz="4" w:space="0" w:color="auto"/>
              <w:right w:val="single" w:sz="4" w:space="0" w:color="auto"/>
            </w:tcBorders>
            <w:shd w:val="clear" w:color="000000" w:fill="F2F2F2"/>
            <w:noWrap/>
            <w:vAlign w:val="bottom"/>
            <w:hideMark/>
          </w:tcPr>
          <w:p w14:paraId="112432A7" w14:textId="77777777" w:rsidR="00820F2B" w:rsidRPr="002C2421" w:rsidRDefault="00820F2B" w:rsidP="0028156F">
            <w:pPr>
              <w:spacing w:after="0" w:line="240" w:lineRule="auto"/>
              <w:jc w:val="right"/>
              <w:rPr>
                <w:rFonts w:ascii="Calibri" w:eastAsia="Times New Roman" w:hAnsi="Calibri" w:cs="Calibri"/>
                <w:color w:val="000000"/>
                <w:sz w:val="18"/>
                <w:szCs w:val="18"/>
                <w:lang w:eastAsia="hr-HR"/>
              </w:rPr>
            </w:pPr>
            <w:r w:rsidRPr="002C2421">
              <w:rPr>
                <w:rFonts w:ascii="Calibri" w:eastAsia="Times New Roman" w:hAnsi="Calibri" w:cs="Calibri"/>
                <w:color w:val="000000"/>
                <w:sz w:val="18"/>
                <w:szCs w:val="18"/>
                <w:lang w:eastAsia="hr-HR"/>
              </w:rPr>
              <w:t>0,00</w:t>
            </w:r>
          </w:p>
        </w:tc>
        <w:tc>
          <w:tcPr>
            <w:tcW w:w="1232" w:type="dxa"/>
            <w:tcBorders>
              <w:top w:val="nil"/>
              <w:left w:val="nil"/>
              <w:bottom w:val="single" w:sz="4" w:space="0" w:color="auto"/>
              <w:right w:val="single" w:sz="4" w:space="0" w:color="auto"/>
            </w:tcBorders>
            <w:shd w:val="clear" w:color="000000" w:fill="F2F2F2"/>
            <w:noWrap/>
            <w:vAlign w:val="bottom"/>
            <w:hideMark/>
          </w:tcPr>
          <w:p w14:paraId="34B7EB0A" w14:textId="77777777" w:rsidR="00820F2B" w:rsidRPr="002C2421" w:rsidRDefault="00820F2B" w:rsidP="0028156F">
            <w:pPr>
              <w:spacing w:after="0" w:line="240" w:lineRule="auto"/>
              <w:jc w:val="right"/>
              <w:rPr>
                <w:rFonts w:ascii="Calibri" w:eastAsia="Times New Roman" w:hAnsi="Calibri" w:cs="Calibri"/>
                <w:color w:val="000000"/>
                <w:sz w:val="18"/>
                <w:szCs w:val="18"/>
                <w:lang w:eastAsia="hr-HR"/>
              </w:rPr>
            </w:pPr>
            <w:r w:rsidRPr="002C2421">
              <w:rPr>
                <w:rFonts w:ascii="Calibri" w:eastAsia="Times New Roman" w:hAnsi="Calibri" w:cs="Calibri"/>
                <w:color w:val="000000"/>
                <w:sz w:val="18"/>
                <w:szCs w:val="18"/>
                <w:lang w:eastAsia="hr-HR"/>
              </w:rPr>
              <w:t>0,00</w:t>
            </w:r>
          </w:p>
        </w:tc>
        <w:tc>
          <w:tcPr>
            <w:tcW w:w="1232" w:type="dxa"/>
            <w:tcBorders>
              <w:top w:val="nil"/>
              <w:left w:val="nil"/>
              <w:bottom w:val="single" w:sz="4" w:space="0" w:color="auto"/>
              <w:right w:val="single" w:sz="4" w:space="0" w:color="auto"/>
            </w:tcBorders>
            <w:shd w:val="clear" w:color="000000" w:fill="F2F2F2"/>
            <w:noWrap/>
            <w:vAlign w:val="bottom"/>
            <w:hideMark/>
          </w:tcPr>
          <w:p w14:paraId="0EC0A538" w14:textId="77777777" w:rsidR="00820F2B" w:rsidRPr="002C2421" w:rsidRDefault="00820F2B" w:rsidP="0028156F">
            <w:pPr>
              <w:spacing w:after="0" w:line="240" w:lineRule="auto"/>
              <w:jc w:val="right"/>
              <w:rPr>
                <w:rFonts w:ascii="Calibri" w:eastAsia="Times New Roman" w:hAnsi="Calibri" w:cs="Calibri"/>
                <w:color w:val="000000"/>
                <w:sz w:val="18"/>
                <w:szCs w:val="18"/>
                <w:lang w:eastAsia="hr-HR"/>
              </w:rPr>
            </w:pPr>
            <w:r w:rsidRPr="002C2421">
              <w:rPr>
                <w:rFonts w:ascii="Calibri" w:eastAsia="Times New Roman" w:hAnsi="Calibri" w:cs="Calibri"/>
                <w:color w:val="000000"/>
                <w:sz w:val="18"/>
                <w:szCs w:val="18"/>
                <w:lang w:eastAsia="hr-HR"/>
              </w:rPr>
              <w:t>0,00</w:t>
            </w:r>
          </w:p>
        </w:tc>
        <w:tc>
          <w:tcPr>
            <w:tcW w:w="1416" w:type="dxa"/>
            <w:tcBorders>
              <w:top w:val="nil"/>
              <w:left w:val="nil"/>
              <w:bottom w:val="single" w:sz="4" w:space="0" w:color="auto"/>
              <w:right w:val="single" w:sz="4" w:space="0" w:color="auto"/>
            </w:tcBorders>
            <w:shd w:val="clear" w:color="000000" w:fill="F2F2F2"/>
            <w:noWrap/>
            <w:vAlign w:val="bottom"/>
            <w:hideMark/>
          </w:tcPr>
          <w:p w14:paraId="0F8F0CDE" w14:textId="7EF7D92F" w:rsidR="00820F2B" w:rsidRPr="002C2421" w:rsidRDefault="004032F1"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1.472.660,40</w:t>
            </w:r>
          </w:p>
        </w:tc>
        <w:tc>
          <w:tcPr>
            <w:tcW w:w="1400" w:type="dxa"/>
            <w:tcBorders>
              <w:top w:val="nil"/>
              <w:left w:val="nil"/>
              <w:bottom w:val="single" w:sz="4" w:space="0" w:color="auto"/>
              <w:right w:val="single" w:sz="4" w:space="0" w:color="auto"/>
            </w:tcBorders>
            <w:shd w:val="clear" w:color="000000" w:fill="F2F2F2"/>
            <w:noWrap/>
            <w:vAlign w:val="bottom"/>
            <w:hideMark/>
          </w:tcPr>
          <w:p w14:paraId="7DED6AF9" w14:textId="08E9132A" w:rsidR="00820F2B" w:rsidRPr="002C2421" w:rsidRDefault="0094727D"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1.472.660,40</w:t>
            </w:r>
          </w:p>
        </w:tc>
      </w:tr>
      <w:tr w:rsidR="004032F1" w:rsidRPr="002C2421" w14:paraId="7AA08CAF" w14:textId="77777777" w:rsidTr="0028156F">
        <w:trPr>
          <w:trHeight w:val="328"/>
        </w:trPr>
        <w:tc>
          <w:tcPr>
            <w:tcW w:w="1405" w:type="dxa"/>
            <w:tcBorders>
              <w:top w:val="nil"/>
              <w:left w:val="single" w:sz="4" w:space="0" w:color="auto"/>
              <w:bottom w:val="single" w:sz="4" w:space="0" w:color="auto"/>
              <w:right w:val="single" w:sz="4" w:space="0" w:color="auto"/>
            </w:tcBorders>
            <w:shd w:val="clear" w:color="000000" w:fill="F2F2F2"/>
            <w:noWrap/>
            <w:vAlign w:val="bottom"/>
          </w:tcPr>
          <w:p w14:paraId="2C04211F" w14:textId="4181A6E9" w:rsidR="004032F1" w:rsidRPr="002C2421" w:rsidRDefault="004032F1" w:rsidP="0028156F">
            <w:pPr>
              <w:spacing w:after="0" w:line="240" w:lineRule="auto"/>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 xml:space="preserve">27 Obveze za predujmove, depozite, </w:t>
            </w:r>
            <w:proofErr w:type="spellStart"/>
            <w:r>
              <w:rPr>
                <w:rFonts w:ascii="Calibri" w:eastAsia="Times New Roman" w:hAnsi="Calibri" w:cs="Calibri"/>
                <w:color w:val="000000"/>
                <w:sz w:val="18"/>
                <w:szCs w:val="18"/>
                <w:lang w:eastAsia="hr-HR"/>
              </w:rPr>
              <w:t>jamčevne</w:t>
            </w:r>
            <w:proofErr w:type="spellEnd"/>
            <w:r>
              <w:rPr>
                <w:rFonts w:ascii="Calibri" w:eastAsia="Times New Roman" w:hAnsi="Calibri" w:cs="Calibri"/>
                <w:color w:val="000000"/>
                <w:sz w:val="18"/>
                <w:szCs w:val="18"/>
                <w:lang w:eastAsia="hr-HR"/>
              </w:rPr>
              <w:t xml:space="preserve"> </w:t>
            </w:r>
            <w:proofErr w:type="spellStart"/>
            <w:r>
              <w:rPr>
                <w:rFonts w:ascii="Calibri" w:eastAsia="Times New Roman" w:hAnsi="Calibri" w:cs="Calibri"/>
                <w:color w:val="000000"/>
                <w:sz w:val="18"/>
                <w:szCs w:val="18"/>
                <w:lang w:eastAsia="hr-HR"/>
              </w:rPr>
              <w:t>pologe</w:t>
            </w:r>
            <w:proofErr w:type="spellEnd"/>
            <w:r>
              <w:rPr>
                <w:rFonts w:ascii="Calibri" w:eastAsia="Times New Roman" w:hAnsi="Calibri" w:cs="Calibri"/>
                <w:color w:val="000000"/>
                <w:sz w:val="18"/>
                <w:szCs w:val="18"/>
                <w:lang w:eastAsia="hr-HR"/>
              </w:rPr>
              <w:t xml:space="preserve"> i tuđe prihode </w:t>
            </w:r>
          </w:p>
        </w:tc>
        <w:tc>
          <w:tcPr>
            <w:tcW w:w="1232" w:type="dxa"/>
            <w:tcBorders>
              <w:top w:val="nil"/>
              <w:left w:val="nil"/>
              <w:bottom w:val="single" w:sz="4" w:space="0" w:color="auto"/>
              <w:right w:val="single" w:sz="4" w:space="0" w:color="auto"/>
            </w:tcBorders>
            <w:shd w:val="clear" w:color="000000" w:fill="F2F2F2"/>
            <w:noWrap/>
            <w:vAlign w:val="bottom"/>
          </w:tcPr>
          <w:p w14:paraId="35776F5D" w14:textId="7CE71E57" w:rsidR="004032F1" w:rsidRPr="002C2421" w:rsidRDefault="0094092B"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0,00</w:t>
            </w:r>
          </w:p>
        </w:tc>
        <w:tc>
          <w:tcPr>
            <w:tcW w:w="1122" w:type="dxa"/>
            <w:tcBorders>
              <w:top w:val="nil"/>
              <w:left w:val="nil"/>
              <w:bottom w:val="single" w:sz="4" w:space="0" w:color="auto"/>
              <w:right w:val="single" w:sz="4" w:space="0" w:color="auto"/>
            </w:tcBorders>
            <w:shd w:val="clear" w:color="000000" w:fill="F2F2F2"/>
            <w:noWrap/>
            <w:vAlign w:val="bottom"/>
          </w:tcPr>
          <w:p w14:paraId="41F8191A" w14:textId="41E59A9F" w:rsidR="004032F1" w:rsidRPr="002C2421" w:rsidRDefault="004032F1"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0,00</w:t>
            </w:r>
          </w:p>
        </w:tc>
        <w:tc>
          <w:tcPr>
            <w:tcW w:w="1095" w:type="dxa"/>
            <w:tcBorders>
              <w:top w:val="nil"/>
              <w:left w:val="nil"/>
              <w:bottom w:val="single" w:sz="4" w:space="0" w:color="auto"/>
              <w:right w:val="single" w:sz="4" w:space="0" w:color="auto"/>
            </w:tcBorders>
            <w:shd w:val="clear" w:color="000000" w:fill="F2F2F2"/>
            <w:noWrap/>
            <w:vAlign w:val="bottom"/>
          </w:tcPr>
          <w:p w14:paraId="65E7DDE0" w14:textId="319E8869" w:rsidR="004032F1" w:rsidRPr="002C2421" w:rsidRDefault="004032F1"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0,00</w:t>
            </w:r>
          </w:p>
        </w:tc>
        <w:tc>
          <w:tcPr>
            <w:tcW w:w="1232" w:type="dxa"/>
            <w:tcBorders>
              <w:top w:val="nil"/>
              <w:left w:val="nil"/>
              <w:bottom w:val="single" w:sz="4" w:space="0" w:color="auto"/>
              <w:right w:val="single" w:sz="4" w:space="0" w:color="auto"/>
            </w:tcBorders>
            <w:shd w:val="clear" w:color="000000" w:fill="F2F2F2"/>
            <w:noWrap/>
            <w:vAlign w:val="bottom"/>
          </w:tcPr>
          <w:p w14:paraId="0B37B5A4" w14:textId="79531A6C" w:rsidR="004032F1" w:rsidRPr="002C2421" w:rsidRDefault="004032F1"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0,00</w:t>
            </w:r>
          </w:p>
        </w:tc>
        <w:tc>
          <w:tcPr>
            <w:tcW w:w="1232" w:type="dxa"/>
            <w:tcBorders>
              <w:top w:val="nil"/>
              <w:left w:val="nil"/>
              <w:bottom w:val="single" w:sz="4" w:space="0" w:color="auto"/>
              <w:right w:val="single" w:sz="4" w:space="0" w:color="auto"/>
            </w:tcBorders>
            <w:shd w:val="clear" w:color="000000" w:fill="F2F2F2"/>
            <w:noWrap/>
            <w:vAlign w:val="bottom"/>
          </w:tcPr>
          <w:p w14:paraId="73401131" w14:textId="12705E98" w:rsidR="004032F1" w:rsidRPr="002C2421" w:rsidRDefault="0094092B"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4.550,42</w:t>
            </w:r>
          </w:p>
        </w:tc>
        <w:tc>
          <w:tcPr>
            <w:tcW w:w="1416" w:type="dxa"/>
            <w:tcBorders>
              <w:top w:val="nil"/>
              <w:left w:val="nil"/>
              <w:bottom w:val="single" w:sz="4" w:space="0" w:color="auto"/>
              <w:right w:val="single" w:sz="4" w:space="0" w:color="auto"/>
            </w:tcBorders>
            <w:shd w:val="clear" w:color="000000" w:fill="F2F2F2"/>
            <w:noWrap/>
            <w:vAlign w:val="bottom"/>
          </w:tcPr>
          <w:p w14:paraId="7BE082FA" w14:textId="4E13EB4C" w:rsidR="004032F1" w:rsidRDefault="00C22DEE"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255.691,73</w:t>
            </w:r>
          </w:p>
        </w:tc>
        <w:tc>
          <w:tcPr>
            <w:tcW w:w="1400" w:type="dxa"/>
            <w:tcBorders>
              <w:top w:val="nil"/>
              <w:left w:val="nil"/>
              <w:bottom w:val="single" w:sz="4" w:space="0" w:color="auto"/>
              <w:right w:val="single" w:sz="4" w:space="0" w:color="auto"/>
            </w:tcBorders>
            <w:shd w:val="clear" w:color="000000" w:fill="F2F2F2"/>
            <w:noWrap/>
            <w:vAlign w:val="bottom"/>
          </w:tcPr>
          <w:p w14:paraId="6F0DAC86" w14:textId="410F02C2" w:rsidR="004032F1" w:rsidRDefault="0094727D" w:rsidP="0028156F">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260.242,15</w:t>
            </w:r>
          </w:p>
        </w:tc>
      </w:tr>
      <w:tr w:rsidR="00820F2B" w:rsidRPr="002C2421" w14:paraId="31C55F8A" w14:textId="77777777" w:rsidTr="0028156F">
        <w:trPr>
          <w:trHeight w:val="328"/>
        </w:trPr>
        <w:tc>
          <w:tcPr>
            <w:tcW w:w="1405" w:type="dxa"/>
            <w:tcBorders>
              <w:top w:val="nil"/>
              <w:left w:val="single" w:sz="4" w:space="0" w:color="auto"/>
              <w:bottom w:val="single" w:sz="4" w:space="0" w:color="auto"/>
              <w:right w:val="single" w:sz="4" w:space="0" w:color="auto"/>
            </w:tcBorders>
            <w:shd w:val="clear" w:color="000000" w:fill="BFBFBF"/>
            <w:noWrap/>
            <w:vAlign w:val="bottom"/>
            <w:hideMark/>
          </w:tcPr>
          <w:p w14:paraId="320B62BA" w14:textId="77777777" w:rsidR="00820F2B" w:rsidRPr="002C2421" w:rsidRDefault="00820F2B" w:rsidP="0028156F">
            <w:pPr>
              <w:spacing w:after="0" w:line="240" w:lineRule="auto"/>
              <w:jc w:val="center"/>
              <w:rPr>
                <w:rFonts w:ascii="Calibri" w:eastAsia="Times New Roman" w:hAnsi="Calibri" w:cs="Calibri"/>
                <w:b/>
                <w:bCs/>
                <w:color w:val="000000"/>
                <w:sz w:val="20"/>
                <w:szCs w:val="20"/>
                <w:lang w:eastAsia="hr-HR"/>
              </w:rPr>
            </w:pPr>
            <w:r w:rsidRPr="002C2421">
              <w:rPr>
                <w:rFonts w:ascii="Calibri" w:eastAsia="Times New Roman" w:hAnsi="Calibri" w:cs="Calibri"/>
                <w:b/>
                <w:bCs/>
                <w:color w:val="000000"/>
                <w:sz w:val="20"/>
                <w:szCs w:val="20"/>
                <w:lang w:eastAsia="hr-HR"/>
              </w:rPr>
              <w:t>SVEUKUPNO</w:t>
            </w:r>
          </w:p>
        </w:tc>
        <w:tc>
          <w:tcPr>
            <w:tcW w:w="1232" w:type="dxa"/>
            <w:tcBorders>
              <w:top w:val="nil"/>
              <w:left w:val="nil"/>
              <w:bottom w:val="single" w:sz="4" w:space="0" w:color="auto"/>
              <w:right w:val="single" w:sz="4" w:space="0" w:color="auto"/>
            </w:tcBorders>
            <w:shd w:val="clear" w:color="000000" w:fill="BFBFBF"/>
            <w:noWrap/>
            <w:vAlign w:val="bottom"/>
            <w:hideMark/>
          </w:tcPr>
          <w:p w14:paraId="79D74DF0" w14:textId="6E4BDB34" w:rsidR="00820F2B" w:rsidRPr="002C2421" w:rsidRDefault="0094092B" w:rsidP="0028156F">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201.757,47</w:t>
            </w:r>
          </w:p>
        </w:tc>
        <w:tc>
          <w:tcPr>
            <w:tcW w:w="1122" w:type="dxa"/>
            <w:tcBorders>
              <w:top w:val="nil"/>
              <w:left w:val="nil"/>
              <w:bottom w:val="single" w:sz="4" w:space="0" w:color="auto"/>
              <w:right w:val="single" w:sz="4" w:space="0" w:color="auto"/>
            </w:tcBorders>
            <w:shd w:val="clear" w:color="000000" w:fill="BFBFBF"/>
            <w:noWrap/>
            <w:vAlign w:val="bottom"/>
            <w:hideMark/>
          </w:tcPr>
          <w:p w14:paraId="53D5DE42" w14:textId="22783387" w:rsidR="00820F2B" w:rsidRPr="002C2421" w:rsidRDefault="0094727D" w:rsidP="0028156F">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12.294,63</w:t>
            </w:r>
          </w:p>
        </w:tc>
        <w:tc>
          <w:tcPr>
            <w:tcW w:w="1095" w:type="dxa"/>
            <w:tcBorders>
              <w:top w:val="nil"/>
              <w:left w:val="nil"/>
              <w:bottom w:val="single" w:sz="4" w:space="0" w:color="auto"/>
              <w:right w:val="single" w:sz="4" w:space="0" w:color="auto"/>
            </w:tcBorders>
            <w:shd w:val="clear" w:color="000000" w:fill="BFBFBF"/>
            <w:noWrap/>
            <w:vAlign w:val="bottom"/>
            <w:hideMark/>
          </w:tcPr>
          <w:p w14:paraId="4EBC5D5F" w14:textId="10E5C365" w:rsidR="00820F2B" w:rsidRPr="002C2421" w:rsidRDefault="0094727D" w:rsidP="0028156F">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9.037,58</w:t>
            </w:r>
          </w:p>
        </w:tc>
        <w:tc>
          <w:tcPr>
            <w:tcW w:w="1232" w:type="dxa"/>
            <w:tcBorders>
              <w:top w:val="nil"/>
              <w:left w:val="nil"/>
              <w:bottom w:val="single" w:sz="4" w:space="0" w:color="auto"/>
              <w:right w:val="single" w:sz="4" w:space="0" w:color="auto"/>
            </w:tcBorders>
            <w:shd w:val="clear" w:color="000000" w:fill="BFBFBF"/>
            <w:noWrap/>
            <w:vAlign w:val="bottom"/>
            <w:hideMark/>
          </w:tcPr>
          <w:p w14:paraId="2B56E5B9" w14:textId="0358B72E" w:rsidR="00820F2B" w:rsidRPr="002C2421" w:rsidRDefault="0094727D" w:rsidP="0028156F">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119.734,78</w:t>
            </w:r>
          </w:p>
        </w:tc>
        <w:tc>
          <w:tcPr>
            <w:tcW w:w="1232" w:type="dxa"/>
            <w:tcBorders>
              <w:top w:val="nil"/>
              <w:left w:val="nil"/>
              <w:bottom w:val="single" w:sz="4" w:space="0" w:color="auto"/>
              <w:right w:val="single" w:sz="4" w:space="0" w:color="auto"/>
            </w:tcBorders>
            <w:shd w:val="clear" w:color="000000" w:fill="BFBFBF"/>
            <w:noWrap/>
            <w:vAlign w:val="bottom"/>
            <w:hideMark/>
          </w:tcPr>
          <w:p w14:paraId="3FB7A660" w14:textId="49F19150" w:rsidR="00820F2B" w:rsidRPr="002C2421" w:rsidRDefault="0094727D" w:rsidP="0028156F">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347.374,88</w:t>
            </w:r>
          </w:p>
        </w:tc>
        <w:tc>
          <w:tcPr>
            <w:tcW w:w="1416" w:type="dxa"/>
            <w:tcBorders>
              <w:top w:val="nil"/>
              <w:left w:val="nil"/>
              <w:bottom w:val="single" w:sz="4" w:space="0" w:color="auto"/>
              <w:right w:val="single" w:sz="4" w:space="0" w:color="auto"/>
            </w:tcBorders>
            <w:shd w:val="clear" w:color="000000" w:fill="BFBFBF"/>
            <w:noWrap/>
            <w:vAlign w:val="bottom"/>
            <w:hideMark/>
          </w:tcPr>
          <w:p w14:paraId="03768540" w14:textId="67E36F06" w:rsidR="00820F2B" w:rsidRPr="002C2421" w:rsidRDefault="0094727D" w:rsidP="0028156F">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3.340.101,80</w:t>
            </w:r>
          </w:p>
        </w:tc>
        <w:tc>
          <w:tcPr>
            <w:tcW w:w="1400" w:type="dxa"/>
            <w:tcBorders>
              <w:top w:val="nil"/>
              <w:left w:val="nil"/>
              <w:bottom w:val="single" w:sz="4" w:space="0" w:color="auto"/>
              <w:right w:val="single" w:sz="4" w:space="0" w:color="auto"/>
            </w:tcBorders>
            <w:shd w:val="clear" w:color="000000" w:fill="BFBFBF"/>
            <w:noWrap/>
            <w:vAlign w:val="bottom"/>
            <w:hideMark/>
          </w:tcPr>
          <w:p w14:paraId="74E28997" w14:textId="3C4B39B6" w:rsidR="00820F2B" w:rsidRPr="002C2421" w:rsidRDefault="0094727D" w:rsidP="0028156F">
            <w:pPr>
              <w:spacing w:after="0" w:line="240" w:lineRule="auto"/>
              <w:jc w:val="right"/>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3.687.476,68</w:t>
            </w:r>
          </w:p>
        </w:tc>
      </w:tr>
    </w:tbl>
    <w:p w14:paraId="10326D59" w14:textId="77777777" w:rsidR="00D56EA7" w:rsidRDefault="00D56EA7" w:rsidP="00782B5B">
      <w:pPr>
        <w:spacing w:after="0"/>
        <w:jc w:val="both"/>
        <w:rPr>
          <w:rFonts w:ascii="Calibri" w:hAnsi="Calibri" w:cs="Calibri"/>
          <w:sz w:val="24"/>
          <w:szCs w:val="24"/>
        </w:rPr>
      </w:pPr>
    </w:p>
    <w:p w14:paraId="1591D62D" w14:textId="77777777" w:rsidR="00D56EA7" w:rsidRDefault="00D56EA7" w:rsidP="00782B5B">
      <w:pPr>
        <w:spacing w:after="0"/>
        <w:jc w:val="both"/>
        <w:rPr>
          <w:rFonts w:ascii="Calibri" w:hAnsi="Calibri" w:cs="Calibri"/>
          <w:sz w:val="24"/>
          <w:szCs w:val="24"/>
        </w:rPr>
      </w:pPr>
    </w:p>
    <w:p w14:paraId="1AC62934" w14:textId="77777777" w:rsidR="00D56EA7" w:rsidRDefault="00D56EA7" w:rsidP="00782B5B">
      <w:pPr>
        <w:spacing w:after="0"/>
        <w:jc w:val="both"/>
        <w:rPr>
          <w:rFonts w:ascii="Calibri" w:hAnsi="Calibri" w:cs="Calibri"/>
          <w:sz w:val="24"/>
          <w:szCs w:val="24"/>
        </w:rPr>
      </w:pPr>
    </w:p>
    <w:p w14:paraId="32FDE0AD" w14:textId="16D23EF6" w:rsidR="003A1954" w:rsidRPr="00441957" w:rsidRDefault="003A1954" w:rsidP="00782B5B">
      <w:pPr>
        <w:spacing w:after="0"/>
        <w:jc w:val="both"/>
        <w:rPr>
          <w:rFonts w:ascii="Calibri" w:hAnsi="Calibri" w:cs="Calibri"/>
          <w:sz w:val="24"/>
          <w:szCs w:val="24"/>
        </w:rPr>
      </w:pPr>
      <w:r w:rsidRPr="00441957">
        <w:rPr>
          <w:rFonts w:ascii="Calibri" w:hAnsi="Calibri" w:cs="Calibri"/>
          <w:sz w:val="24"/>
          <w:szCs w:val="24"/>
        </w:rPr>
        <w:t xml:space="preserve">Stanje dospjelih obveza Grada Trogira i proračunskih korisnika </w:t>
      </w:r>
      <w:r w:rsidR="00441957" w:rsidRPr="00441957">
        <w:rPr>
          <w:rFonts w:ascii="Calibri" w:hAnsi="Calibri" w:cs="Calibri"/>
          <w:sz w:val="24"/>
          <w:szCs w:val="24"/>
        </w:rPr>
        <w:t>na kraju izvještajnog razdoblja iznose 347.374,88 eura.</w:t>
      </w:r>
    </w:p>
    <w:p w14:paraId="555AC0B1" w14:textId="002C57AA" w:rsidR="003A1954" w:rsidRPr="00441957" w:rsidRDefault="003A1954" w:rsidP="003A1954">
      <w:pPr>
        <w:spacing w:line="240" w:lineRule="auto"/>
        <w:jc w:val="both"/>
        <w:rPr>
          <w:rFonts w:cstheme="minorHAnsi"/>
          <w:sz w:val="24"/>
          <w:szCs w:val="24"/>
        </w:rPr>
      </w:pPr>
      <w:r w:rsidRPr="00441957">
        <w:rPr>
          <w:sz w:val="24"/>
          <w:szCs w:val="24"/>
        </w:rPr>
        <w:t xml:space="preserve">Stanje dospjelih obveza bilježi značajan iznos u kašnjenju od 1 do 60 dana te preko 360 dana obveza za nefinancijsku imovinu koje se odnose uglavnom na zadržane iznose i zaračunate penale kod obračunskih situacija za radove te na osporavane račune </w:t>
      </w:r>
      <w:r w:rsidR="00441957">
        <w:rPr>
          <w:sz w:val="24"/>
          <w:szCs w:val="24"/>
        </w:rPr>
        <w:t>za koje obveze se vode sudski sporovi</w:t>
      </w:r>
      <w:r w:rsidRPr="00441957">
        <w:rPr>
          <w:sz w:val="24"/>
          <w:szCs w:val="24"/>
        </w:rPr>
        <w:t xml:space="preserve"> te</w:t>
      </w:r>
      <w:r w:rsidR="00441957">
        <w:rPr>
          <w:sz w:val="24"/>
          <w:szCs w:val="24"/>
        </w:rPr>
        <w:t xml:space="preserve"> šifra </w:t>
      </w:r>
      <w:r w:rsidRPr="00441957">
        <w:rPr>
          <w:sz w:val="24"/>
          <w:szCs w:val="24"/>
        </w:rPr>
        <w:t>274 Obveze proračuna za naplaćena sredstva proračunskog korisnika koji se odnosi na početak rada na jedinstveni račun za tri proračunska korisnika Dječji vrtić Trogir, Muzeja Grada T</w:t>
      </w:r>
      <w:r w:rsidR="00441957">
        <w:rPr>
          <w:sz w:val="24"/>
          <w:szCs w:val="24"/>
        </w:rPr>
        <w:t>r</w:t>
      </w:r>
      <w:r w:rsidRPr="00441957">
        <w:rPr>
          <w:sz w:val="24"/>
          <w:szCs w:val="24"/>
        </w:rPr>
        <w:t xml:space="preserve">ogira te Javna vatrogasna postrojba Trogir, odnosno početak rada u </w:t>
      </w:r>
      <w:r w:rsidRPr="00441957">
        <w:rPr>
          <w:sz w:val="24"/>
          <w:szCs w:val="24"/>
        </w:rPr>
        <w:lastRenderedPageBreak/>
        <w:t xml:space="preserve">Lokalnoj riznici za ova tri korisnika te se sukladno tome evidencija njihovih prihoda uplaćenih na jedinstveni račun evidentira na </w:t>
      </w:r>
      <w:r w:rsidR="00441957">
        <w:rPr>
          <w:sz w:val="24"/>
          <w:szCs w:val="24"/>
        </w:rPr>
        <w:t xml:space="preserve">šifri </w:t>
      </w:r>
      <w:r w:rsidRPr="00441957">
        <w:rPr>
          <w:sz w:val="24"/>
          <w:szCs w:val="24"/>
        </w:rPr>
        <w:t>274 što utječe na povećanje obveza između subjekata.</w:t>
      </w:r>
    </w:p>
    <w:p w14:paraId="3CE1E154" w14:textId="32803709" w:rsidR="00441957" w:rsidRPr="005F73E9" w:rsidRDefault="00441957" w:rsidP="00441957">
      <w:pPr>
        <w:spacing w:line="240" w:lineRule="auto"/>
        <w:jc w:val="both"/>
        <w:rPr>
          <w:rFonts w:cstheme="minorHAnsi"/>
          <w:sz w:val="24"/>
          <w:szCs w:val="24"/>
        </w:rPr>
      </w:pPr>
      <w:r w:rsidRPr="00F61924">
        <w:rPr>
          <w:rFonts w:cstheme="minorHAnsi"/>
          <w:sz w:val="24"/>
          <w:szCs w:val="24"/>
        </w:rPr>
        <w:t>Stanje nedospjelih obveza na kraju izvještajnog razdoblja iznos</w:t>
      </w:r>
      <w:r>
        <w:rPr>
          <w:rFonts w:cstheme="minorHAnsi"/>
          <w:sz w:val="24"/>
          <w:szCs w:val="24"/>
        </w:rPr>
        <w:t>e</w:t>
      </w:r>
      <w:r w:rsidRPr="00F61924">
        <w:rPr>
          <w:rFonts w:cstheme="minorHAnsi"/>
          <w:sz w:val="24"/>
          <w:szCs w:val="24"/>
        </w:rPr>
        <w:t xml:space="preserve"> </w:t>
      </w:r>
      <w:r>
        <w:rPr>
          <w:rFonts w:cstheme="minorHAnsi"/>
          <w:sz w:val="24"/>
          <w:szCs w:val="24"/>
        </w:rPr>
        <w:t>3.340.101,80</w:t>
      </w:r>
      <w:r w:rsidRPr="005F73E9">
        <w:rPr>
          <w:rFonts w:cstheme="minorHAnsi"/>
          <w:sz w:val="24"/>
          <w:szCs w:val="24"/>
        </w:rPr>
        <w:t xml:space="preserve"> eura. Nedospjele obveze odnose se između ostalog na:</w:t>
      </w:r>
    </w:p>
    <w:p w14:paraId="408E2663" w14:textId="77777777" w:rsidR="00441957" w:rsidRPr="005F73E9" w:rsidRDefault="00441957">
      <w:pPr>
        <w:pStyle w:val="Odlomakpopisa"/>
        <w:numPr>
          <w:ilvl w:val="0"/>
          <w:numId w:val="34"/>
        </w:numPr>
        <w:spacing w:line="240" w:lineRule="auto"/>
        <w:jc w:val="both"/>
        <w:rPr>
          <w:rFonts w:cstheme="minorHAnsi"/>
          <w:sz w:val="24"/>
          <w:szCs w:val="24"/>
        </w:rPr>
      </w:pPr>
      <w:r w:rsidRPr="005F73E9">
        <w:rPr>
          <w:rFonts w:cstheme="minorHAnsi"/>
          <w:sz w:val="24"/>
          <w:szCs w:val="24"/>
        </w:rPr>
        <w:t>Rashode za zaposlene odnosno za djelatnike grada za nedospjelu plaću za prosinac za 202</w:t>
      </w:r>
      <w:r>
        <w:rPr>
          <w:rFonts w:cstheme="minorHAnsi"/>
          <w:sz w:val="24"/>
          <w:szCs w:val="24"/>
        </w:rPr>
        <w:t>5</w:t>
      </w:r>
      <w:r w:rsidRPr="005F73E9">
        <w:rPr>
          <w:rFonts w:cstheme="minorHAnsi"/>
          <w:sz w:val="24"/>
          <w:szCs w:val="24"/>
        </w:rPr>
        <w:t xml:space="preserve">. godinu </w:t>
      </w:r>
    </w:p>
    <w:p w14:paraId="286379C2" w14:textId="77777777" w:rsidR="00441957" w:rsidRDefault="00441957">
      <w:pPr>
        <w:pStyle w:val="Odlomakpopisa"/>
        <w:numPr>
          <w:ilvl w:val="0"/>
          <w:numId w:val="34"/>
        </w:numPr>
        <w:spacing w:line="240" w:lineRule="auto"/>
        <w:jc w:val="both"/>
        <w:rPr>
          <w:rFonts w:cstheme="minorHAnsi"/>
          <w:sz w:val="24"/>
          <w:szCs w:val="24"/>
        </w:rPr>
      </w:pPr>
      <w:r w:rsidRPr="005F73E9">
        <w:rPr>
          <w:rFonts w:cstheme="minorHAnsi"/>
          <w:sz w:val="24"/>
          <w:szCs w:val="24"/>
        </w:rPr>
        <w:t>Na obveze po obračunu za PDV za prosinac</w:t>
      </w:r>
    </w:p>
    <w:p w14:paraId="0B42E07F" w14:textId="77777777" w:rsidR="00441957" w:rsidRPr="005F73E9" w:rsidRDefault="00441957">
      <w:pPr>
        <w:pStyle w:val="Odlomakpopisa"/>
        <w:numPr>
          <w:ilvl w:val="0"/>
          <w:numId w:val="34"/>
        </w:numPr>
        <w:spacing w:line="240" w:lineRule="auto"/>
        <w:jc w:val="both"/>
        <w:rPr>
          <w:rFonts w:cstheme="minorHAnsi"/>
          <w:sz w:val="24"/>
          <w:szCs w:val="24"/>
        </w:rPr>
      </w:pPr>
      <w:r>
        <w:rPr>
          <w:rFonts w:cstheme="minorHAnsi"/>
          <w:sz w:val="24"/>
          <w:szCs w:val="24"/>
        </w:rPr>
        <w:t xml:space="preserve">Obveza za kapitalne pomoći proračunskim korisnicima drugih proračuna (APN za POS) </w:t>
      </w:r>
    </w:p>
    <w:p w14:paraId="1FAB1386" w14:textId="77777777" w:rsidR="00441957" w:rsidRPr="002A18B0" w:rsidRDefault="00441957">
      <w:pPr>
        <w:pStyle w:val="Odlomakpopisa"/>
        <w:numPr>
          <w:ilvl w:val="0"/>
          <w:numId w:val="34"/>
        </w:numPr>
        <w:spacing w:line="240" w:lineRule="auto"/>
        <w:jc w:val="both"/>
        <w:rPr>
          <w:rFonts w:cstheme="minorHAnsi"/>
          <w:sz w:val="24"/>
          <w:szCs w:val="24"/>
        </w:rPr>
      </w:pPr>
      <w:r w:rsidRPr="005F73E9">
        <w:rPr>
          <w:rFonts w:cstheme="minorHAnsi"/>
          <w:sz w:val="24"/>
          <w:szCs w:val="24"/>
        </w:rPr>
        <w:t>Evidentiranje predujmova za uplate za koje se nije dostavila dokumentacija za zaduženje tijekom kalendarske godine</w:t>
      </w:r>
      <w:r>
        <w:rPr>
          <w:rFonts w:cstheme="minorHAnsi"/>
          <w:sz w:val="24"/>
          <w:szCs w:val="24"/>
        </w:rPr>
        <w:t xml:space="preserve">, obveze za EU predujmove te </w:t>
      </w:r>
      <w:r w:rsidRPr="002A18B0">
        <w:rPr>
          <w:sz w:val="24"/>
          <w:szCs w:val="24"/>
        </w:rPr>
        <w:t xml:space="preserve">obveza Grada za naplaćene prihode proračunskih korisnika </w:t>
      </w:r>
      <w:r>
        <w:rPr>
          <w:sz w:val="24"/>
          <w:szCs w:val="24"/>
        </w:rPr>
        <w:t xml:space="preserve">koja </w:t>
      </w:r>
      <w:r w:rsidRPr="002A18B0">
        <w:rPr>
          <w:sz w:val="24"/>
          <w:szCs w:val="24"/>
        </w:rPr>
        <w:t>iznosi ukupno 203.291,03 eura:</w:t>
      </w:r>
    </w:p>
    <w:p w14:paraId="2BFE77F4" w14:textId="03B09388" w:rsidR="00441957" w:rsidRPr="00441957" w:rsidRDefault="00441957">
      <w:pPr>
        <w:pStyle w:val="Odlomakpopisa"/>
        <w:numPr>
          <w:ilvl w:val="0"/>
          <w:numId w:val="34"/>
        </w:numPr>
        <w:spacing w:line="240" w:lineRule="auto"/>
        <w:jc w:val="both"/>
        <w:rPr>
          <w:rFonts w:cstheme="minorHAnsi"/>
          <w:sz w:val="24"/>
          <w:szCs w:val="24"/>
        </w:rPr>
      </w:pPr>
      <w:r>
        <w:rPr>
          <w:rFonts w:cstheme="minorHAnsi"/>
          <w:sz w:val="24"/>
          <w:szCs w:val="24"/>
        </w:rPr>
        <w:t>Kao i</w:t>
      </w:r>
      <w:r w:rsidRPr="005F73E9">
        <w:rPr>
          <w:rFonts w:cstheme="minorHAnsi"/>
          <w:sz w:val="24"/>
          <w:szCs w:val="24"/>
        </w:rPr>
        <w:t xml:space="preserve"> ostale obveze prema dobavljačima za nefinancijsku imovinu te za redovno poslovanje </w:t>
      </w:r>
      <w:r w:rsidRPr="00441957">
        <w:rPr>
          <w:rFonts w:cstheme="minorHAnsi"/>
          <w:sz w:val="24"/>
          <w:szCs w:val="24"/>
        </w:rPr>
        <w:t>( obveze za materijalne rashode)</w:t>
      </w:r>
    </w:p>
    <w:p w14:paraId="056BA99B" w14:textId="6484F653" w:rsidR="008F624B" w:rsidRDefault="00441957" w:rsidP="008F624B">
      <w:pPr>
        <w:spacing w:line="240" w:lineRule="auto"/>
        <w:ind w:left="360"/>
        <w:jc w:val="both"/>
        <w:rPr>
          <w:rFonts w:cstheme="minorHAnsi"/>
          <w:sz w:val="24"/>
          <w:szCs w:val="24"/>
        </w:rPr>
      </w:pPr>
      <w:r w:rsidRPr="00441957">
        <w:rPr>
          <w:rFonts w:cstheme="minorHAnsi"/>
          <w:sz w:val="24"/>
          <w:szCs w:val="24"/>
        </w:rPr>
        <w:t xml:space="preserve">Dok se u najvećem dijelu odnose na obveze za kredite i zajmove u </w:t>
      </w:r>
      <w:r w:rsidR="008F624B">
        <w:rPr>
          <w:rFonts w:cstheme="minorHAnsi"/>
          <w:sz w:val="24"/>
          <w:szCs w:val="24"/>
        </w:rPr>
        <w:t xml:space="preserve">ukupnom </w:t>
      </w:r>
      <w:r w:rsidRPr="00441957">
        <w:rPr>
          <w:rFonts w:cstheme="minorHAnsi"/>
          <w:sz w:val="24"/>
          <w:szCs w:val="24"/>
        </w:rPr>
        <w:t xml:space="preserve">iznosu od </w:t>
      </w:r>
      <w:r>
        <w:rPr>
          <w:rFonts w:cstheme="minorHAnsi"/>
          <w:sz w:val="24"/>
          <w:szCs w:val="24"/>
        </w:rPr>
        <w:t>1.472.660,40</w:t>
      </w:r>
      <w:r w:rsidRPr="00441957">
        <w:rPr>
          <w:rFonts w:cstheme="minorHAnsi"/>
          <w:sz w:val="24"/>
          <w:szCs w:val="24"/>
        </w:rPr>
        <w:t xml:space="preserve"> eura, </w:t>
      </w:r>
      <w:r w:rsidR="008F624B">
        <w:rPr>
          <w:rFonts w:cstheme="minorHAnsi"/>
          <w:sz w:val="24"/>
          <w:szCs w:val="24"/>
        </w:rPr>
        <w:t xml:space="preserve">od kojeg iznosa na Grad Trogir ide 1.322.660,40 eura i to </w:t>
      </w:r>
      <w:r w:rsidR="0055416F">
        <w:rPr>
          <w:rFonts w:cstheme="minorHAnsi"/>
          <w:sz w:val="24"/>
          <w:szCs w:val="24"/>
        </w:rPr>
        <w:t>n</w:t>
      </w:r>
      <w:r w:rsidR="008F624B">
        <w:rPr>
          <w:rFonts w:cstheme="minorHAnsi"/>
          <w:sz w:val="24"/>
          <w:szCs w:val="24"/>
        </w:rPr>
        <w:t>a:</w:t>
      </w:r>
    </w:p>
    <w:p w14:paraId="7657FAC4" w14:textId="39D6EDC0" w:rsidR="00441957" w:rsidRDefault="00441957">
      <w:pPr>
        <w:pStyle w:val="Odlomakpopisa"/>
        <w:numPr>
          <w:ilvl w:val="0"/>
          <w:numId w:val="35"/>
        </w:numPr>
        <w:spacing w:line="240" w:lineRule="auto"/>
        <w:jc w:val="both"/>
        <w:rPr>
          <w:rFonts w:cstheme="minorHAnsi"/>
          <w:sz w:val="24"/>
          <w:szCs w:val="24"/>
        </w:rPr>
      </w:pPr>
      <w:r w:rsidRPr="008F624B">
        <w:rPr>
          <w:rFonts w:cstheme="minorHAnsi"/>
          <w:sz w:val="24"/>
          <w:szCs w:val="24"/>
        </w:rPr>
        <w:t>Ministarstvo financija za obveze za zajmove dugoročne u iznosu od ukupno 274.293,80 eura</w:t>
      </w:r>
    </w:p>
    <w:p w14:paraId="283C15D5" w14:textId="41AEBC16" w:rsidR="00441957" w:rsidRDefault="00441957">
      <w:pPr>
        <w:pStyle w:val="Odlomakpopisa"/>
        <w:numPr>
          <w:ilvl w:val="0"/>
          <w:numId w:val="35"/>
        </w:numPr>
        <w:spacing w:line="240" w:lineRule="auto"/>
        <w:jc w:val="both"/>
        <w:rPr>
          <w:rFonts w:cstheme="minorHAnsi"/>
          <w:sz w:val="24"/>
          <w:szCs w:val="24"/>
        </w:rPr>
      </w:pPr>
      <w:r w:rsidRPr="008F624B">
        <w:rPr>
          <w:rFonts w:cstheme="minorHAnsi"/>
          <w:sz w:val="24"/>
          <w:szCs w:val="24"/>
        </w:rPr>
        <w:t xml:space="preserve">Ministarstvu financija za beskamatni zajam za obveze za zajmove kratkoročne u iznosu od ukupno 65.906,34  eura (otplatu iznosa za odgođeno podmirenje obveznika PNDOH-a vrši Ministarstvo financija </w:t>
      </w:r>
      <w:proofErr w:type="spellStart"/>
      <w:r w:rsidRPr="008F624B">
        <w:rPr>
          <w:rFonts w:cstheme="minorHAnsi"/>
          <w:sz w:val="24"/>
          <w:szCs w:val="24"/>
        </w:rPr>
        <w:t>ustegom</w:t>
      </w:r>
      <w:proofErr w:type="spellEnd"/>
      <w:r w:rsidRPr="008F624B">
        <w:rPr>
          <w:rFonts w:cstheme="minorHAnsi"/>
          <w:sz w:val="24"/>
          <w:szCs w:val="24"/>
        </w:rPr>
        <w:t xml:space="preserve"> rasporeda prihoda od PNDOH-a te i s obzirom da je će se naplata vršiti i u idućem izvještajnom razdoblju obveza je prikazana kao nedospjela)</w:t>
      </w:r>
    </w:p>
    <w:p w14:paraId="241E641F" w14:textId="77777777" w:rsidR="00441957" w:rsidRPr="008F624B" w:rsidRDefault="00441957">
      <w:pPr>
        <w:pStyle w:val="Odlomakpopisa"/>
        <w:numPr>
          <w:ilvl w:val="0"/>
          <w:numId w:val="35"/>
        </w:numPr>
        <w:spacing w:line="240" w:lineRule="auto"/>
        <w:jc w:val="both"/>
        <w:rPr>
          <w:rFonts w:cstheme="minorHAnsi"/>
          <w:sz w:val="24"/>
          <w:szCs w:val="24"/>
        </w:rPr>
      </w:pPr>
      <w:proofErr w:type="spellStart"/>
      <w:r w:rsidRPr="008F624B">
        <w:rPr>
          <w:rFonts w:cstheme="minorHAnsi"/>
          <w:sz w:val="24"/>
          <w:szCs w:val="24"/>
        </w:rPr>
        <w:t>Raiffeisenbank</w:t>
      </w:r>
      <w:proofErr w:type="spellEnd"/>
      <w:r w:rsidRPr="008F624B">
        <w:rPr>
          <w:rFonts w:cstheme="minorHAnsi"/>
          <w:sz w:val="24"/>
          <w:szCs w:val="24"/>
        </w:rPr>
        <w:t xml:space="preserve">  </w:t>
      </w:r>
      <w:proofErr w:type="spellStart"/>
      <w:r w:rsidRPr="008F624B">
        <w:rPr>
          <w:rFonts w:cstheme="minorHAnsi"/>
          <w:sz w:val="24"/>
          <w:szCs w:val="24"/>
        </w:rPr>
        <w:t>Austria</w:t>
      </w:r>
      <w:proofErr w:type="spellEnd"/>
      <w:r w:rsidRPr="008F624B">
        <w:rPr>
          <w:rFonts w:cstheme="minorHAnsi"/>
          <w:sz w:val="24"/>
          <w:szCs w:val="24"/>
        </w:rPr>
        <w:t xml:space="preserve">  za obveze za primljene kredite br.19418010059, 19418010061 i 19418010062 dugoročne u ukupnom iznosu od 982.460,26 eura</w:t>
      </w:r>
    </w:p>
    <w:p w14:paraId="3D054BEE" w14:textId="57FDCD89" w:rsidR="003A1954" w:rsidRDefault="00A660AE" w:rsidP="004A38B6">
      <w:pPr>
        <w:spacing w:after="0"/>
        <w:jc w:val="both"/>
        <w:rPr>
          <w:rFonts w:ascii="Calibri" w:hAnsi="Calibri" w:cs="Calibri"/>
          <w:sz w:val="24"/>
          <w:szCs w:val="24"/>
        </w:rPr>
      </w:pPr>
      <w:r>
        <w:rPr>
          <w:rFonts w:ascii="Calibri" w:hAnsi="Calibri" w:cs="Calibri"/>
          <w:sz w:val="24"/>
          <w:szCs w:val="24"/>
        </w:rPr>
        <w:t>Stanje nedospjelih obveza na dan 31.12.2025.godine kod proračunskih korisnika iznose:</w:t>
      </w:r>
    </w:p>
    <w:p w14:paraId="573A8276" w14:textId="4CF28D84" w:rsidR="00A660AE" w:rsidRDefault="00A660AE" w:rsidP="004A38B6">
      <w:pPr>
        <w:spacing w:after="0"/>
        <w:jc w:val="both"/>
        <w:rPr>
          <w:rFonts w:ascii="Calibri" w:hAnsi="Calibri" w:cs="Calibri"/>
          <w:sz w:val="24"/>
          <w:szCs w:val="24"/>
        </w:rPr>
      </w:pPr>
      <w:r>
        <w:rPr>
          <w:rFonts w:ascii="Calibri" w:hAnsi="Calibri" w:cs="Calibri"/>
          <w:sz w:val="24"/>
          <w:szCs w:val="24"/>
        </w:rPr>
        <w:t xml:space="preserve">Dječji vrtić Trogir -198.155,82 eura, odnose se na troškove prema dobavljačima </w:t>
      </w:r>
      <w:r w:rsidR="004A38B6">
        <w:rPr>
          <w:rFonts w:ascii="Calibri" w:hAnsi="Calibri" w:cs="Calibri"/>
          <w:sz w:val="24"/>
          <w:szCs w:val="24"/>
        </w:rPr>
        <w:t>i na troškove plaća za prosinac 2025.godine,</w:t>
      </w:r>
    </w:p>
    <w:p w14:paraId="018EFA6B" w14:textId="16590C97" w:rsidR="004A38B6" w:rsidRDefault="004A38B6" w:rsidP="004A38B6">
      <w:pPr>
        <w:jc w:val="both"/>
        <w:rPr>
          <w:rFonts w:cstheme="minorHAnsi"/>
          <w:sz w:val="24"/>
          <w:szCs w:val="24"/>
        </w:rPr>
      </w:pPr>
      <w:r w:rsidRPr="004A38B6">
        <w:rPr>
          <w:rFonts w:cstheme="minorHAnsi"/>
          <w:sz w:val="24"/>
          <w:szCs w:val="24"/>
        </w:rPr>
        <w:t>Muzej Grada Trogira – 20.600,49 eura, iskazano stanje odnosi se na neplaćene obveze i rashode iz 2025. a koji nisu pristigli do kraja 2025. godine, jer su tada i nastali te će biti podmireni početkom 2026. godine.</w:t>
      </w:r>
    </w:p>
    <w:p w14:paraId="20E5B7CD" w14:textId="30D2BF5D" w:rsidR="004A38B6" w:rsidRDefault="004A38B6" w:rsidP="004A38B6">
      <w:pPr>
        <w:jc w:val="both"/>
        <w:rPr>
          <w:rFonts w:cstheme="minorHAnsi"/>
          <w:sz w:val="24"/>
          <w:szCs w:val="24"/>
        </w:rPr>
      </w:pPr>
      <w:r>
        <w:rPr>
          <w:rFonts w:cstheme="minorHAnsi"/>
          <w:sz w:val="24"/>
          <w:szCs w:val="24"/>
        </w:rPr>
        <w:t>Gradska knjižnica Trogir-14.708,99 eura, odnosi se na neplaćene obveze koje će biti podmirene početkom 2026.godine</w:t>
      </w:r>
    </w:p>
    <w:p w14:paraId="28027C41" w14:textId="49997785" w:rsidR="00A660AE" w:rsidRPr="004A38B6" w:rsidRDefault="004A38B6" w:rsidP="004A38B6">
      <w:pPr>
        <w:jc w:val="both"/>
        <w:rPr>
          <w:rFonts w:cstheme="minorHAnsi"/>
          <w:sz w:val="24"/>
          <w:szCs w:val="24"/>
        </w:rPr>
      </w:pPr>
      <w:r w:rsidRPr="004A38B6">
        <w:rPr>
          <w:rFonts w:cstheme="minorHAnsi"/>
          <w:sz w:val="24"/>
          <w:szCs w:val="24"/>
        </w:rPr>
        <w:t>Javna vatrogasna postrojba Grada Trogira- 168.597,41 eura,</w:t>
      </w:r>
      <w:r w:rsidR="00A660AE" w:rsidRPr="004A38B6">
        <w:rPr>
          <w:rFonts w:eastAsia="Times New Roman" w:cstheme="minorHAnsi"/>
          <w:color w:val="000000"/>
          <w:sz w:val="24"/>
          <w:szCs w:val="24"/>
          <w:lang w:eastAsia="hr-HR"/>
        </w:rPr>
        <w:t xml:space="preserve"> odnosi </w:t>
      </w:r>
      <w:r w:rsidRPr="004A38B6">
        <w:rPr>
          <w:rFonts w:eastAsia="Times New Roman" w:cstheme="minorHAnsi"/>
          <w:color w:val="000000"/>
          <w:sz w:val="24"/>
          <w:szCs w:val="24"/>
          <w:lang w:eastAsia="hr-HR"/>
        </w:rPr>
        <w:t xml:space="preserve">se </w:t>
      </w:r>
      <w:r w:rsidR="00A660AE" w:rsidRPr="004A38B6">
        <w:rPr>
          <w:rFonts w:eastAsia="Times New Roman" w:cstheme="minorHAnsi"/>
          <w:color w:val="000000"/>
          <w:sz w:val="24"/>
          <w:szCs w:val="24"/>
          <w:lang w:eastAsia="hr-HR"/>
        </w:rPr>
        <w:t>na troškove prema dobavljačima i na troškove plaća koji će biti podmireni u siječnju te obuhvaća i ukupan iznos preostale glavnice kredita za otplatu.</w:t>
      </w:r>
    </w:p>
    <w:p w14:paraId="3AFF1013" w14:textId="46E3DF89" w:rsidR="00B249F1" w:rsidRDefault="004A38B6" w:rsidP="004A38B6">
      <w:pPr>
        <w:spacing w:after="0"/>
        <w:jc w:val="both"/>
        <w:rPr>
          <w:rFonts w:ascii="Calibri" w:hAnsi="Calibri" w:cs="Calibri"/>
          <w:sz w:val="24"/>
          <w:szCs w:val="24"/>
        </w:rPr>
      </w:pPr>
      <w:r>
        <w:rPr>
          <w:rFonts w:ascii="Calibri" w:hAnsi="Calibri" w:cs="Calibri"/>
          <w:sz w:val="24"/>
          <w:szCs w:val="24"/>
        </w:rPr>
        <w:t>JU Sportski objekti Trogir- 170.035,37 eura, odnosi se na troškove prema dobavljačima i iznos od 150.000,00 eura obveza za povrat glavnice primljenog kredita.</w:t>
      </w:r>
    </w:p>
    <w:p w14:paraId="477B9060" w14:textId="77777777" w:rsidR="003A1954" w:rsidRDefault="003A1954" w:rsidP="00782B5B">
      <w:pPr>
        <w:spacing w:after="0"/>
        <w:jc w:val="both"/>
        <w:rPr>
          <w:rFonts w:ascii="Calibri" w:hAnsi="Calibri" w:cs="Calibri"/>
          <w:sz w:val="24"/>
          <w:szCs w:val="24"/>
        </w:rPr>
      </w:pPr>
    </w:p>
    <w:p w14:paraId="66C54BAE" w14:textId="77777777" w:rsidR="00D56EA7" w:rsidRDefault="00D56EA7" w:rsidP="00782B5B">
      <w:pPr>
        <w:spacing w:after="0"/>
        <w:jc w:val="both"/>
        <w:rPr>
          <w:rFonts w:ascii="Calibri" w:hAnsi="Calibri" w:cs="Calibri"/>
          <w:sz w:val="24"/>
          <w:szCs w:val="24"/>
        </w:rPr>
      </w:pPr>
    </w:p>
    <w:p w14:paraId="0E2BFA73" w14:textId="77777777" w:rsidR="00D56EA7" w:rsidRDefault="00D56EA7" w:rsidP="00782B5B">
      <w:pPr>
        <w:spacing w:after="0"/>
        <w:jc w:val="both"/>
        <w:rPr>
          <w:rFonts w:ascii="Calibri" w:hAnsi="Calibri" w:cs="Calibri"/>
          <w:sz w:val="24"/>
          <w:szCs w:val="24"/>
        </w:rPr>
      </w:pPr>
    </w:p>
    <w:p w14:paraId="3C0E7E4D" w14:textId="344708CD" w:rsidR="00820F2B" w:rsidRPr="00F53C79" w:rsidRDefault="00C364F9" w:rsidP="00F53C79">
      <w:pPr>
        <w:spacing w:line="240" w:lineRule="auto"/>
        <w:rPr>
          <w:rFonts w:cstheme="minorHAnsi"/>
          <w:sz w:val="24"/>
          <w:szCs w:val="24"/>
        </w:rPr>
      </w:pPr>
      <w:r>
        <w:rPr>
          <w:rFonts w:cstheme="minorHAnsi"/>
          <w:b/>
          <w:sz w:val="24"/>
          <w:szCs w:val="24"/>
        </w:rPr>
        <w:lastRenderedPageBreak/>
        <w:t>5.5</w:t>
      </w:r>
      <w:r w:rsidR="00820F2B">
        <w:rPr>
          <w:rFonts w:cstheme="minorHAnsi"/>
          <w:b/>
          <w:sz w:val="24"/>
          <w:szCs w:val="24"/>
        </w:rPr>
        <w:t>.3</w:t>
      </w:r>
      <w:r w:rsidR="00820F2B" w:rsidRPr="00DA7D7E">
        <w:rPr>
          <w:rFonts w:cstheme="minorHAnsi"/>
          <w:b/>
          <w:sz w:val="24"/>
          <w:szCs w:val="24"/>
        </w:rPr>
        <w:t>. STANJE POTENCIJALNIH OBVEZA PO OSN</w:t>
      </w:r>
      <w:r w:rsidR="00820F2B">
        <w:rPr>
          <w:rFonts w:cstheme="minorHAnsi"/>
          <w:b/>
          <w:sz w:val="24"/>
          <w:szCs w:val="24"/>
        </w:rPr>
        <w:t xml:space="preserve">OVI SUDSKIH POSTUPAKA JLP(R)S I NJIHOVIH PRORAČUNSKIH KORISNIKA </w:t>
      </w:r>
    </w:p>
    <w:p w14:paraId="038EB066" w14:textId="77777777" w:rsidR="005024A5" w:rsidRDefault="00820F2B" w:rsidP="00820F2B">
      <w:pPr>
        <w:spacing w:after="0" w:line="240" w:lineRule="auto"/>
        <w:jc w:val="both"/>
        <w:rPr>
          <w:rFonts w:ascii="Calibri" w:eastAsia="Times New Roman" w:hAnsi="Calibri" w:cs="Times New Roman"/>
          <w:color w:val="000000"/>
          <w:sz w:val="24"/>
          <w:szCs w:val="24"/>
          <w:lang w:eastAsia="hr-HR"/>
        </w:rPr>
      </w:pPr>
      <w:r w:rsidRPr="00D64139">
        <w:rPr>
          <w:rFonts w:ascii="Calibri" w:eastAsia="Times New Roman" w:hAnsi="Calibri" w:cs="Times New Roman"/>
          <w:color w:val="000000"/>
          <w:sz w:val="24"/>
          <w:szCs w:val="24"/>
          <w:lang w:eastAsia="hr-HR"/>
        </w:rPr>
        <w:t xml:space="preserve">Sukladno podacima koji su utvrđeni u Popisu sudskih sporova Grada Trogira na </w:t>
      </w:r>
      <w:r w:rsidRPr="00AB5BA6">
        <w:rPr>
          <w:rFonts w:ascii="Calibri" w:eastAsia="Times New Roman" w:hAnsi="Calibri" w:cs="Times New Roman"/>
          <w:color w:val="000000"/>
          <w:sz w:val="24"/>
          <w:szCs w:val="24"/>
          <w:lang w:eastAsia="hr-HR"/>
        </w:rPr>
        <w:t xml:space="preserve"> dan 31. prosinca 202</w:t>
      </w:r>
      <w:r w:rsidR="002B55DF">
        <w:rPr>
          <w:rFonts w:ascii="Calibri" w:eastAsia="Times New Roman" w:hAnsi="Calibri" w:cs="Times New Roman"/>
          <w:color w:val="000000"/>
          <w:sz w:val="24"/>
          <w:szCs w:val="24"/>
          <w:lang w:eastAsia="hr-HR"/>
        </w:rPr>
        <w:t>5</w:t>
      </w:r>
      <w:r w:rsidRPr="00AB5BA6">
        <w:rPr>
          <w:rFonts w:ascii="Calibri" w:eastAsia="Times New Roman" w:hAnsi="Calibri" w:cs="Times New Roman"/>
          <w:color w:val="000000"/>
          <w:sz w:val="24"/>
          <w:szCs w:val="24"/>
          <w:lang w:eastAsia="hr-HR"/>
        </w:rPr>
        <w:t>. godine Grad</w:t>
      </w:r>
      <w:r w:rsidRPr="00D64139">
        <w:rPr>
          <w:rFonts w:ascii="Calibri" w:eastAsia="Times New Roman" w:hAnsi="Calibri" w:cs="Times New Roman"/>
          <w:color w:val="000000"/>
          <w:sz w:val="24"/>
          <w:szCs w:val="24"/>
          <w:lang w:eastAsia="hr-HR"/>
        </w:rPr>
        <w:t xml:space="preserve">, podaci ne uključuju proračunske korisnike, </w:t>
      </w:r>
      <w:r w:rsidRPr="00AB5BA6">
        <w:rPr>
          <w:rFonts w:ascii="Calibri" w:eastAsia="Times New Roman" w:hAnsi="Calibri" w:cs="Times New Roman"/>
          <w:color w:val="000000"/>
          <w:sz w:val="24"/>
          <w:szCs w:val="24"/>
          <w:lang w:eastAsia="hr-HR"/>
        </w:rPr>
        <w:t xml:space="preserve"> ima sveukupno </w:t>
      </w:r>
      <w:r w:rsidR="002B55DF">
        <w:rPr>
          <w:rFonts w:ascii="Calibri" w:eastAsia="Times New Roman" w:hAnsi="Calibri" w:cs="Times New Roman"/>
          <w:color w:val="000000"/>
          <w:sz w:val="24"/>
          <w:szCs w:val="24"/>
          <w:lang w:eastAsia="hr-HR"/>
        </w:rPr>
        <w:t>82</w:t>
      </w:r>
      <w:r w:rsidRPr="00AB5BA6">
        <w:rPr>
          <w:rFonts w:ascii="Calibri" w:eastAsia="Times New Roman" w:hAnsi="Calibri" w:cs="Times New Roman"/>
          <w:color w:val="000000"/>
          <w:sz w:val="24"/>
          <w:szCs w:val="24"/>
          <w:lang w:eastAsia="hr-HR"/>
        </w:rPr>
        <w:t xml:space="preserve"> predmeta koji se vode kao sporovi i koji imaju status sporova na sudu (lani je sveukupno </w:t>
      </w:r>
      <w:r w:rsidR="002B55DF">
        <w:rPr>
          <w:rFonts w:ascii="Calibri" w:eastAsia="Times New Roman" w:hAnsi="Calibri" w:cs="Times New Roman"/>
          <w:color w:val="000000"/>
          <w:sz w:val="24"/>
          <w:szCs w:val="24"/>
          <w:lang w:eastAsia="hr-HR"/>
        </w:rPr>
        <w:t>70</w:t>
      </w:r>
      <w:r w:rsidRPr="00AB5BA6">
        <w:rPr>
          <w:rFonts w:ascii="Calibri" w:eastAsia="Times New Roman" w:hAnsi="Calibri" w:cs="Times New Roman"/>
          <w:color w:val="000000"/>
          <w:sz w:val="24"/>
          <w:szCs w:val="24"/>
          <w:lang w:eastAsia="hr-HR"/>
        </w:rPr>
        <w:t xml:space="preserve"> sporova). Grad Trogir je u </w:t>
      </w:r>
      <w:r w:rsidR="002B55DF">
        <w:rPr>
          <w:rFonts w:ascii="Calibri" w:eastAsia="Times New Roman" w:hAnsi="Calibri" w:cs="Times New Roman"/>
          <w:color w:val="000000"/>
          <w:sz w:val="24"/>
          <w:szCs w:val="24"/>
          <w:lang w:eastAsia="hr-HR"/>
        </w:rPr>
        <w:t>40</w:t>
      </w:r>
      <w:r w:rsidRPr="00AB5BA6">
        <w:rPr>
          <w:rFonts w:ascii="Calibri" w:eastAsia="Times New Roman" w:hAnsi="Calibri" w:cs="Times New Roman"/>
          <w:color w:val="000000"/>
          <w:sz w:val="24"/>
          <w:szCs w:val="24"/>
          <w:lang w:eastAsia="hr-HR"/>
        </w:rPr>
        <w:t xml:space="preserve"> sudska predmeta u statusu tuženika (lani </w:t>
      </w:r>
      <w:r w:rsidR="002B55DF">
        <w:rPr>
          <w:rFonts w:ascii="Calibri" w:eastAsia="Times New Roman" w:hAnsi="Calibri" w:cs="Times New Roman"/>
          <w:color w:val="000000"/>
          <w:sz w:val="24"/>
          <w:szCs w:val="24"/>
          <w:lang w:eastAsia="hr-HR"/>
        </w:rPr>
        <w:t>39</w:t>
      </w:r>
      <w:r w:rsidRPr="00AB5BA6">
        <w:rPr>
          <w:rFonts w:ascii="Calibri" w:eastAsia="Times New Roman" w:hAnsi="Calibri" w:cs="Times New Roman"/>
          <w:color w:val="000000"/>
          <w:sz w:val="24"/>
          <w:szCs w:val="24"/>
          <w:lang w:eastAsia="hr-HR"/>
        </w:rPr>
        <w:t xml:space="preserve">) </w:t>
      </w:r>
      <w:r w:rsidR="005024A5">
        <w:rPr>
          <w:rFonts w:ascii="Calibri" w:eastAsia="Times New Roman" w:hAnsi="Calibri" w:cs="Times New Roman"/>
          <w:color w:val="000000"/>
          <w:sz w:val="24"/>
          <w:szCs w:val="24"/>
          <w:lang w:eastAsia="hr-HR"/>
        </w:rPr>
        <w:t>te</w:t>
      </w:r>
      <w:r w:rsidRPr="00AB5BA6">
        <w:rPr>
          <w:rFonts w:ascii="Calibri" w:eastAsia="Times New Roman" w:hAnsi="Calibri" w:cs="Times New Roman"/>
          <w:color w:val="000000"/>
          <w:sz w:val="24"/>
          <w:szCs w:val="24"/>
          <w:lang w:eastAsia="hr-HR"/>
        </w:rPr>
        <w:t xml:space="preserve"> je u</w:t>
      </w:r>
      <w:r w:rsidR="002B55DF">
        <w:rPr>
          <w:rFonts w:ascii="Calibri" w:eastAsia="Times New Roman" w:hAnsi="Calibri" w:cs="Times New Roman"/>
          <w:color w:val="000000"/>
          <w:sz w:val="24"/>
          <w:szCs w:val="24"/>
          <w:lang w:eastAsia="hr-HR"/>
        </w:rPr>
        <w:t xml:space="preserve"> 32</w:t>
      </w:r>
      <w:r w:rsidRPr="00AB5BA6">
        <w:rPr>
          <w:rFonts w:ascii="Calibri" w:eastAsia="Times New Roman" w:hAnsi="Calibri" w:cs="Times New Roman"/>
          <w:color w:val="000000"/>
          <w:sz w:val="24"/>
          <w:szCs w:val="24"/>
          <w:lang w:eastAsia="hr-HR"/>
        </w:rPr>
        <w:t xml:space="preserve"> predmeta u statusu tužitelja (</w:t>
      </w:r>
      <w:r w:rsidR="00C92BAE">
        <w:rPr>
          <w:rFonts w:ascii="Calibri" w:eastAsia="Times New Roman" w:hAnsi="Calibri" w:cs="Times New Roman"/>
          <w:color w:val="000000"/>
          <w:sz w:val="24"/>
          <w:szCs w:val="24"/>
          <w:lang w:eastAsia="hr-HR"/>
        </w:rPr>
        <w:t xml:space="preserve">lani </w:t>
      </w:r>
      <w:r w:rsidR="002B55DF">
        <w:rPr>
          <w:rFonts w:ascii="Calibri" w:eastAsia="Times New Roman" w:hAnsi="Calibri" w:cs="Times New Roman"/>
          <w:color w:val="000000"/>
          <w:sz w:val="24"/>
          <w:szCs w:val="24"/>
          <w:lang w:eastAsia="hr-HR"/>
        </w:rPr>
        <w:t>30</w:t>
      </w:r>
      <w:r w:rsidRPr="00AB5BA6">
        <w:rPr>
          <w:rFonts w:ascii="Calibri" w:eastAsia="Times New Roman" w:hAnsi="Calibri" w:cs="Times New Roman"/>
          <w:color w:val="000000"/>
          <w:sz w:val="24"/>
          <w:szCs w:val="24"/>
          <w:lang w:eastAsia="hr-HR"/>
        </w:rPr>
        <w:t>)</w:t>
      </w:r>
      <w:r w:rsidR="002B55DF">
        <w:rPr>
          <w:rFonts w:ascii="Calibri" w:eastAsia="Times New Roman" w:hAnsi="Calibri" w:cs="Times New Roman"/>
          <w:color w:val="000000"/>
          <w:sz w:val="24"/>
          <w:szCs w:val="24"/>
          <w:lang w:eastAsia="hr-HR"/>
        </w:rPr>
        <w:t>,</w:t>
      </w:r>
      <w:r w:rsidR="002B55DF" w:rsidRPr="002B55DF">
        <w:t xml:space="preserve"> </w:t>
      </w:r>
      <w:r w:rsidR="002B55DF" w:rsidRPr="002B55DF">
        <w:rPr>
          <w:sz w:val="24"/>
          <w:szCs w:val="24"/>
        </w:rPr>
        <w:t>dok je u 9 predmeta predlagatelj osiguranja i u 1 predmetu protivnik osiguranja</w:t>
      </w:r>
      <w:r w:rsidR="002B55DF">
        <w:rPr>
          <w:sz w:val="24"/>
          <w:szCs w:val="24"/>
        </w:rPr>
        <w:t>.</w:t>
      </w:r>
      <w:r w:rsidR="002B55DF">
        <w:rPr>
          <w:rFonts w:ascii="Calibri" w:eastAsia="Times New Roman" w:hAnsi="Calibri" w:cs="Times New Roman"/>
          <w:color w:val="000000"/>
          <w:sz w:val="24"/>
          <w:szCs w:val="24"/>
          <w:lang w:eastAsia="hr-HR"/>
        </w:rPr>
        <w:t xml:space="preserve"> </w:t>
      </w:r>
      <w:r w:rsidRPr="00D64139">
        <w:rPr>
          <w:rFonts w:ascii="Calibri" w:eastAsia="Times New Roman" w:hAnsi="Calibri" w:cs="Times New Roman"/>
          <w:color w:val="000000"/>
          <w:sz w:val="24"/>
          <w:szCs w:val="24"/>
          <w:lang w:eastAsia="hr-HR"/>
        </w:rPr>
        <w:t xml:space="preserve"> </w:t>
      </w:r>
    </w:p>
    <w:p w14:paraId="0E184353" w14:textId="10E8F5A7" w:rsidR="005024A5" w:rsidRDefault="00820F2B" w:rsidP="00820F2B">
      <w:pPr>
        <w:spacing w:after="0" w:line="240" w:lineRule="auto"/>
        <w:jc w:val="both"/>
        <w:rPr>
          <w:rFonts w:eastAsia="Times New Roman"/>
          <w:color w:val="000000"/>
          <w:sz w:val="24"/>
          <w:szCs w:val="24"/>
          <w:lang w:eastAsia="hr-HR"/>
        </w:rPr>
      </w:pPr>
      <w:r w:rsidRPr="00B84EC3">
        <w:rPr>
          <w:rFonts w:eastAsia="Times New Roman"/>
          <w:color w:val="000000"/>
          <w:sz w:val="24"/>
          <w:szCs w:val="24"/>
          <w:lang w:eastAsia="hr-HR"/>
        </w:rPr>
        <w:t>Predmeti se nalaze u odvjetničkim uredima koji zastupaju Grad te kod djelatnika nadležnih upravnih odjela  koji zastupaju grad u određenim sudskim predmetima. Izvješće o radu po sudskim predmetima odvjetničkih ureda koji su zaduženi za zastupanje Grada u sudskim predmetima je sastavni dio Popisa sudskih predmeta s navedenim vrijednostima spora te je utvrđen konačan popis vrijednosti glavnice(VPS) potencijalnih obveza i potraživanj</w:t>
      </w:r>
      <w:r w:rsidR="005024A5">
        <w:rPr>
          <w:rFonts w:eastAsia="Times New Roman"/>
          <w:color w:val="000000"/>
          <w:sz w:val="24"/>
          <w:szCs w:val="24"/>
          <w:lang w:eastAsia="hr-HR"/>
        </w:rPr>
        <w:t>a.</w:t>
      </w:r>
    </w:p>
    <w:p w14:paraId="6E1562C0" w14:textId="0EBD454D" w:rsidR="00820F2B" w:rsidRPr="00F6145C" w:rsidRDefault="00820F2B" w:rsidP="00820F2B">
      <w:pPr>
        <w:spacing w:after="0" w:line="240" w:lineRule="auto"/>
        <w:jc w:val="both"/>
        <w:rPr>
          <w:rFonts w:eastAsia="Times New Roman"/>
          <w:color w:val="000000"/>
          <w:sz w:val="24"/>
          <w:szCs w:val="24"/>
          <w:lang w:eastAsia="hr-HR"/>
        </w:rPr>
      </w:pPr>
      <w:r w:rsidRPr="00AB5BA6">
        <w:rPr>
          <w:rFonts w:ascii="Calibri" w:eastAsia="Times New Roman" w:hAnsi="Calibri" w:cs="Times New Roman"/>
          <w:color w:val="000000"/>
          <w:sz w:val="24"/>
          <w:szCs w:val="24"/>
          <w:lang w:eastAsia="hr-HR"/>
        </w:rPr>
        <w:t xml:space="preserve">U poslovnim knjigama grada se uspostavila </w:t>
      </w:r>
      <w:proofErr w:type="spellStart"/>
      <w:r w:rsidRPr="00AB5BA6">
        <w:rPr>
          <w:rFonts w:ascii="Calibri" w:eastAsia="Times New Roman" w:hAnsi="Calibri" w:cs="Times New Roman"/>
          <w:color w:val="000000"/>
          <w:sz w:val="24"/>
          <w:szCs w:val="24"/>
          <w:lang w:eastAsia="hr-HR"/>
        </w:rPr>
        <w:t>izvanbilančna</w:t>
      </w:r>
      <w:proofErr w:type="spellEnd"/>
      <w:r w:rsidRPr="00AB5BA6">
        <w:rPr>
          <w:rFonts w:ascii="Calibri" w:eastAsia="Times New Roman" w:hAnsi="Calibri" w:cs="Times New Roman"/>
          <w:color w:val="000000"/>
          <w:sz w:val="24"/>
          <w:szCs w:val="24"/>
          <w:lang w:eastAsia="hr-HR"/>
        </w:rPr>
        <w:t xml:space="preserve"> evidencija sudskih sporova u tijeku za ukupni iznos glavnice (vrijednost spora) te na dan 31.12.202</w:t>
      </w:r>
      <w:r w:rsidR="002B55DF">
        <w:rPr>
          <w:rFonts w:ascii="Calibri" w:eastAsia="Times New Roman" w:hAnsi="Calibri" w:cs="Times New Roman"/>
          <w:color w:val="000000"/>
          <w:sz w:val="24"/>
          <w:szCs w:val="24"/>
          <w:lang w:eastAsia="hr-HR"/>
        </w:rPr>
        <w:t>5</w:t>
      </w:r>
      <w:r w:rsidRPr="00AB5BA6">
        <w:rPr>
          <w:rFonts w:ascii="Calibri" w:eastAsia="Times New Roman" w:hAnsi="Calibri" w:cs="Times New Roman"/>
          <w:color w:val="000000"/>
          <w:sz w:val="24"/>
          <w:szCs w:val="24"/>
          <w:lang w:eastAsia="hr-HR"/>
        </w:rPr>
        <w:t>.g.</w:t>
      </w:r>
      <w:r>
        <w:rPr>
          <w:rFonts w:ascii="Calibri" w:eastAsia="Times New Roman" w:hAnsi="Calibri" w:cs="Times New Roman"/>
          <w:color w:val="000000"/>
          <w:sz w:val="24"/>
          <w:szCs w:val="24"/>
          <w:lang w:eastAsia="hr-HR"/>
        </w:rPr>
        <w:t>:</w:t>
      </w:r>
    </w:p>
    <w:p w14:paraId="457A49A0" w14:textId="0A53898D" w:rsidR="00820F2B" w:rsidRDefault="00820F2B">
      <w:pPr>
        <w:pStyle w:val="Odlomakpopisa"/>
        <w:numPr>
          <w:ilvl w:val="0"/>
          <w:numId w:val="23"/>
        </w:numPr>
        <w:spacing w:after="0" w:line="240" w:lineRule="auto"/>
        <w:jc w:val="both"/>
        <w:rPr>
          <w:rFonts w:eastAsia="Times New Roman"/>
          <w:color w:val="000000"/>
          <w:sz w:val="24"/>
          <w:szCs w:val="24"/>
          <w:lang w:eastAsia="hr-HR"/>
        </w:rPr>
      </w:pPr>
      <w:r w:rsidRPr="006B0074">
        <w:rPr>
          <w:rFonts w:eastAsia="Times New Roman"/>
          <w:color w:val="000000"/>
          <w:sz w:val="24"/>
          <w:szCs w:val="24"/>
          <w:lang w:eastAsia="hr-HR"/>
        </w:rPr>
        <w:t xml:space="preserve">za potencijalne obveze iznos glavnice (vrijednost spora) ukupno iznosi </w:t>
      </w:r>
      <w:r w:rsidR="005024A5">
        <w:rPr>
          <w:rFonts w:eastAsia="Times New Roman"/>
          <w:color w:val="000000"/>
          <w:sz w:val="24"/>
          <w:szCs w:val="24"/>
          <w:lang w:eastAsia="hr-HR"/>
        </w:rPr>
        <w:t>14.212.108,56</w:t>
      </w:r>
      <w:r w:rsidRPr="006B0074">
        <w:rPr>
          <w:rFonts w:eastAsia="Times New Roman"/>
          <w:color w:val="000000"/>
          <w:sz w:val="24"/>
          <w:szCs w:val="24"/>
          <w:lang w:eastAsia="hr-HR"/>
        </w:rPr>
        <w:t xml:space="preserve"> eura ( lani </w:t>
      </w:r>
      <w:r w:rsidR="005024A5">
        <w:rPr>
          <w:rFonts w:eastAsia="Times New Roman"/>
          <w:color w:val="000000"/>
          <w:sz w:val="24"/>
          <w:szCs w:val="24"/>
          <w:lang w:eastAsia="hr-HR"/>
        </w:rPr>
        <w:t>14.423.655,75</w:t>
      </w:r>
      <w:r w:rsidRPr="006B0074">
        <w:rPr>
          <w:rFonts w:eastAsia="Times New Roman"/>
          <w:color w:val="000000"/>
          <w:sz w:val="24"/>
          <w:szCs w:val="24"/>
          <w:lang w:eastAsia="hr-HR"/>
        </w:rPr>
        <w:t xml:space="preserve"> eura)</w:t>
      </w:r>
      <w:r w:rsidR="00C92BAE">
        <w:rPr>
          <w:rFonts w:eastAsia="Times New Roman"/>
          <w:color w:val="000000"/>
          <w:sz w:val="24"/>
          <w:szCs w:val="24"/>
          <w:lang w:eastAsia="hr-HR"/>
        </w:rPr>
        <w:t>.</w:t>
      </w:r>
    </w:p>
    <w:p w14:paraId="7F674BEC" w14:textId="21D994FE" w:rsidR="00820F2B" w:rsidRDefault="00820F2B">
      <w:pPr>
        <w:pStyle w:val="Odlomakpopisa"/>
        <w:numPr>
          <w:ilvl w:val="0"/>
          <w:numId w:val="23"/>
        </w:numPr>
        <w:spacing w:after="0" w:line="240" w:lineRule="auto"/>
        <w:jc w:val="both"/>
        <w:rPr>
          <w:rFonts w:eastAsia="Times New Roman"/>
          <w:color w:val="000000"/>
          <w:sz w:val="24"/>
          <w:szCs w:val="24"/>
          <w:lang w:eastAsia="hr-HR"/>
        </w:rPr>
      </w:pPr>
      <w:r>
        <w:rPr>
          <w:rFonts w:eastAsia="Times New Roman"/>
          <w:color w:val="000000"/>
          <w:sz w:val="24"/>
          <w:szCs w:val="24"/>
          <w:lang w:eastAsia="hr-HR"/>
        </w:rPr>
        <w:t>za potencijalna potraživanja</w:t>
      </w:r>
      <w:r w:rsidRPr="006B0074">
        <w:rPr>
          <w:rFonts w:eastAsia="Times New Roman"/>
          <w:color w:val="000000"/>
          <w:sz w:val="24"/>
          <w:szCs w:val="24"/>
          <w:lang w:eastAsia="hr-HR"/>
        </w:rPr>
        <w:t xml:space="preserve"> ukupni iznos glavnice iznosi </w:t>
      </w:r>
      <w:r w:rsidR="00C92BAE">
        <w:rPr>
          <w:rFonts w:eastAsia="Times New Roman"/>
          <w:color w:val="000000"/>
          <w:sz w:val="24"/>
          <w:szCs w:val="24"/>
          <w:lang w:eastAsia="hr-HR"/>
        </w:rPr>
        <w:t>351.679,04</w:t>
      </w:r>
      <w:r w:rsidRPr="006B0074">
        <w:rPr>
          <w:rFonts w:eastAsia="Times New Roman"/>
          <w:color w:val="000000"/>
          <w:sz w:val="24"/>
          <w:szCs w:val="24"/>
          <w:lang w:eastAsia="hr-HR"/>
        </w:rPr>
        <w:t xml:space="preserve"> eura (lani </w:t>
      </w:r>
      <w:r w:rsidR="005024A5">
        <w:rPr>
          <w:rFonts w:eastAsia="Times New Roman"/>
          <w:color w:val="000000"/>
          <w:sz w:val="24"/>
          <w:szCs w:val="24"/>
          <w:lang w:eastAsia="hr-HR"/>
        </w:rPr>
        <w:t>351.679,04</w:t>
      </w:r>
      <w:r w:rsidRPr="006B0074">
        <w:rPr>
          <w:rFonts w:eastAsia="Times New Roman"/>
          <w:color w:val="000000"/>
          <w:sz w:val="24"/>
          <w:szCs w:val="24"/>
          <w:lang w:eastAsia="hr-HR"/>
        </w:rPr>
        <w:t xml:space="preserve"> eura)</w:t>
      </w:r>
    </w:p>
    <w:p w14:paraId="09212E37" w14:textId="77777777" w:rsidR="00C92BAE" w:rsidRDefault="00C92BAE" w:rsidP="00820F2B">
      <w:pPr>
        <w:spacing w:after="0" w:line="240" w:lineRule="auto"/>
        <w:jc w:val="both"/>
        <w:rPr>
          <w:rFonts w:eastAsia="Times New Roman"/>
          <w:color w:val="000000"/>
          <w:sz w:val="24"/>
          <w:szCs w:val="24"/>
          <w:lang w:eastAsia="hr-HR"/>
        </w:rPr>
      </w:pPr>
    </w:p>
    <w:p w14:paraId="38D8A3E8" w14:textId="0BD168D4" w:rsidR="00820F2B" w:rsidRPr="00B84EC3" w:rsidRDefault="00820F2B" w:rsidP="00820F2B">
      <w:pPr>
        <w:spacing w:after="0" w:line="240" w:lineRule="auto"/>
        <w:jc w:val="both"/>
        <w:rPr>
          <w:rFonts w:eastAsia="Times New Roman"/>
          <w:color w:val="000000"/>
          <w:sz w:val="24"/>
          <w:szCs w:val="24"/>
          <w:lang w:eastAsia="hr-HR"/>
        </w:rPr>
      </w:pPr>
      <w:r w:rsidRPr="00B84EC3">
        <w:rPr>
          <w:rFonts w:eastAsia="Times New Roman"/>
          <w:color w:val="000000"/>
          <w:sz w:val="24"/>
          <w:szCs w:val="24"/>
          <w:lang w:eastAsia="hr-HR"/>
        </w:rPr>
        <w:t>Popis sudskih sporova čini sastavni dio financijskih izvještaja Grada za 202</w:t>
      </w:r>
      <w:r w:rsidR="002B55DF">
        <w:rPr>
          <w:rFonts w:eastAsia="Times New Roman"/>
          <w:color w:val="000000"/>
          <w:sz w:val="24"/>
          <w:szCs w:val="24"/>
          <w:lang w:eastAsia="hr-HR"/>
        </w:rPr>
        <w:t>5</w:t>
      </w:r>
      <w:r w:rsidRPr="00B84EC3">
        <w:rPr>
          <w:rFonts w:eastAsia="Times New Roman"/>
          <w:color w:val="000000"/>
          <w:sz w:val="24"/>
          <w:szCs w:val="24"/>
          <w:lang w:eastAsia="hr-HR"/>
        </w:rPr>
        <w:t>.godinu, a koji je objavljen, sukladno propisima, na službenoj mrežnoj stranici Grada.</w:t>
      </w:r>
    </w:p>
    <w:p w14:paraId="220FE087" w14:textId="77777777" w:rsidR="00C92BAE" w:rsidRDefault="00C92BAE" w:rsidP="00C92B3C">
      <w:pPr>
        <w:pStyle w:val="Bezproreda"/>
        <w:jc w:val="both"/>
        <w:rPr>
          <w:rFonts w:cs="Calibri"/>
          <w:sz w:val="24"/>
          <w:szCs w:val="24"/>
        </w:rPr>
      </w:pPr>
    </w:p>
    <w:p w14:paraId="4B5C86AC" w14:textId="6D45303A" w:rsidR="005024A5" w:rsidRDefault="005024A5" w:rsidP="0029516D">
      <w:r w:rsidRPr="005024A5">
        <w:rPr>
          <w:rFonts w:cstheme="minorHAnsi"/>
          <w:bCs/>
          <w:sz w:val="24"/>
          <w:szCs w:val="24"/>
        </w:rPr>
        <w:t>Kod proračunsk</w:t>
      </w:r>
      <w:r>
        <w:rPr>
          <w:rFonts w:cstheme="minorHAnsi"/>
          <w:bCs/>
          <w:sz w:val="24"/>
          <w:szCs w:val="24"/>
        </w:rPr>
        <w:t xml:space="preserve">og korisnika Javne vatrogasne postrojbe Grada Trogira imamo radni spor u ukupnom iznosu od 19.055,48 eura. </w:t>
      </w:r>
    </w:p>
    <w:p w14:paraId="1639AF03" w14:textId="5ADABE2F" w:rsidR="0029516D" w:rsidRDefault="0029516D" w:rsidP="0029516D">
      <w:pPr>
        <w:spacing w:after="0" w:line="240" w:lineRule="auto"/>
        <w:rPr>
          <w:rFonts w:eastAsia="Times New Roman"/>
          <w:b/>
          <w:color w:val="000000"/>
          <w:lang w:eastAsia="hr-HR"/>
        </w:rPr>
      </w:pPr>
      <w:r w:rsidRPr="006430C4">
        <w:rPr>
          <w:rFonts w:eastAsia="Times New Roman"/>
          <w:b/>
          <w:color w:val="000000"/>
          <w:lang w:eastAsia="hr-HR"/>
        </w:rPr>
        <w:t>5.5.4. PRIKAZ EVIDENCIJE DANIH INSTRUMENATA OSIGURANJA PO JAMSTVIMA/ DUGOROČNIM ZADUŽENJIMA/ SUFINANCIRANJIMA GRADA TROGIRA SA STANJEM NA DAN 31. PROSINCA 2025.G.</w:t>
      </w:r>
    </w:p>
    <w:p w14:paraId="0043BC3C" w14:textId="77777777" w:rsidR="0029516D" w:rsidRPr="00E70398" w:rsidRDefault="0029516D" w:rsidP="0029516D">
      <w:pPr>
        <w:spacing w:after="0" w:line="240" w:lineRule="auto"/>
        <w:jc w:val="both"/>
        <w:rPr>
          <w:rFonts w:eastAsia="Times New Roman"/>
          <w:color w:val="000000"/>
          <w:lang w:eastAsia="hr-HR"/>
        </w:rPr>
      </w:pPr>
    </w:p>
    <w:p w14:paraId="41990358" w14:textId="0A284235" w:rsidR="0029516D" w:rsidRDefault="0029516D" w:rsidP="0029516D">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eastAsia="Times New Roman" w:cs="Calibri"/>
          <w:bCs/>
          <w:color w:val="000000"/>
          <w:lang w:eastAsia="hr-HR"/>
        </w:rPr>
      </w:pPr>
      <w:r w:rsidRPr="005F5D64">
        <w:rPr>
          <w:rFonts w:eastAsia="Times New Roman" w:cs="Calibri"/>
          <w:b/>
          <w:color w:val="000000"/>
          <w:lang w:eastAsia="hr-HR"/>
        </w:rPr>
        <w:t>Tab</w:t>
      </w:r>
      <w:r w:rsidR="005F5D64" w:rsidRPr="005F5D64">
        <w:rPr>
          <w:rFonts w:eastAsia="Times New Roman" w:cs="Calibri"/>
          <w:b/>
          <w:color w:val="000000"/>
          <w:lang w:eastAsia="hr-HR"/>
        </w:rPr>
        <w:t>lica</w:t>
      </w:r>
      <w:r w:rsidRPr="005F5D64">
        <w:rPr>
          <w:rFonts w:eastAsia="Times New Roman" w:cs="Calibri"/>
          <w:b/>
          <w:color w:val="000000"/>
          <w:lang w:eastAsia="hr-HR"/>
        </w:rPr>
        <w:t xml:space="preserve"> </w:t>
      </w:r>
      <w:r w:rsidR="005F5D64" w:rsidRPr="005F5D64">
        <w:rPr>
          <w:rFonts w:eastAsia="Times New Roman" w:cs="Calibri"/>
          <w:b/>
          <w:color w:val="000000"/>
          <w:lang w:eastAsia="hr-HR"/>
        </w:rPr>
        <w:t>17</w:t>
      </w:r>
      <w:r w:rsidRPr="005F5D64">
        <w:rPr>
          <w:rFonts w:eastAsia="Times New Roman" w:cs="Calibri"/>
          <w:b/>
          <w:color w:val="000000"/>
          <w:lang w:eastAsia="hr-HR"/>
        </w:rPr>
        <w:t>:</w:t>
      </w:r>
      <w:r>
        <w:rPr>
          <w:rFonts w:eastAsia="Times New Roman" w:cs="Calibri"/>
          <w:bCs/>
          <w:color w:val="000000"/>
          <w:lang w:eastAsia="hr-HR"/>
        </w:rPr>
        <w:t xml:space="preserve"> Prikaz</w:t>
      </w:r>
      <w:r w:rsidRPr="00475BF3">
        <w:rPr>
          <w:rFonts w:eastAsia="Times New Roman" w:cs="Calibri"/>
          <w:bCs/>
          <w:color w:val="000000"/>
          <w:lang w:eastAsia="hr-HR"/>
        </w:rPr>
        <w:t xml:space="preserve"> danih instrumenata osiguranja za preuzete</w:t>
      </w:r>
      <w:r w:rsidRPr="00893B8F">
        <w:rPr>
          <w:rFonts w:eastAsia="Times New Roman" w:cs="Calibri"/>
          <w:bCs/>
          <w:color w:val="000000"/>
          <w:lang w:eastAsia="hr-HR"/>
        </w:rPr>
        <w:t xml:space="preserve"> obvez</w:t>
      </w:r>
      <w:r w:rsidRPr="00475BF3">
        <w:rPr>
          <w:rFonts w:eastAsia="Times New Roman" w:cs="Calibri"/>
          <w:bCs/>
          <w:color w:val="000000"/>
          <w:lang w:eastAsia="hr-HR"/>
        </w:rPr>
        <w:t>e</w:t>
      </w:r>
      <w:r w:rsidRPr="00893B8F">
        <w:rPr>
          <w:rFonts w:eastAsia="Times New Roman" w:cs="Calibri"/>
          <w:bCs/>
          <w:color w:val="000000"/>
          <w:lang w:eastAsia="hr-HR"/>
        </w:rPr>
        <w:t xml:space="preserve"> s </w:t>
      </w:r>
      <w:r w:rsidRPr="00475BF3">
        <w:rPr>
          <w:rFonts w:eastAsia="Times New Roman" w:cs="Calibri"/>
          <w:bCs/>
          <w:color w:val="000000"/>
          <w:lang w:eastAsia="hr-HR"/>
        </w:rPr>
        <w:t>osnova</w:t>
      </w:r>
      <w:r w:rsidRPr="00893B8F">
        <w:rPr>
          <w:rFonts w:eastAsia="Times New Roman" w:cs="Calibri"/>
          <w:bCs/>
          <w:color w:val="000000"/>
          <w:lang w:eastAsia="hr-HR"/>
        </w:rPr>
        <w:t xml:space="preserve"> danih jamstva</w:t>
      </w:r>
      <w:r>
        <w:rPr>
          <w:rFonts w:eastAsia="Times New Roman" w:cs="Calibri"/>
          <w:bCs/>
          <w:color w:val="000000"/>
          <w:lang w:eastAsia="hr-HR"/>
        </w:rPr>
        <w:t xml:space="preserve"> Grada Trogira</w:t>
      </w:r>
    </w:p>
    <w:p w14:paraId="26220DA1" w14:textId="77777777" w:rsidR="0029516D" w:rsidRDefault="0029516D" w:rsidP="0029516D">
      <w:pPr>
        <w:spacing w:after="0" w:line="240" w:lineRule="auto"/>
        <w:jc w:val="both"/>
        <w:rPr>
          <w:rFonts w:eastAsia="Times New Roman" w:cs="Calibri"/>
          <w:bCs/>
          <w:color w:val="000000"/>
          <w:lang w:eastAsia="hr-HR"/>
        </w:rPr>
      </w:pPr>
    </w:p>
    <w:tbl>
      <w:tblPr>
        <w:tblW w:w="9280" w:type="dxa"/>
        <w:tblInd w:w="-147" w:type="dxa"/>
        <w:tblLook w:val="04A0" w:firstRow="1" w:lastRow="0" w:firstColumn="1" w:lastColumn="0" w:noHBand="0" w:noVBand="1"/>
      </w:tblPr>
      <w:tblGrid>
        <w:gridCol w:w="1130"/>
        <w:gridCol w:w="2257"/>
        <w:gridCol w:w="3136"/>
        <w:gridCol w:w="1128"/>
        <w:gridCol w:w="1629"/>
      </w:tblGrid>
      <w:tr w:rsidR="0029516D" w:rsidRPr="00E70398" w14:paraId="574D72F4" w14:textId="77777777" w:rsidTr="005F5D64">
        <w:trPr>
          <w:trHeight w:val="288"/>
        </w:trPr>
        <w:tc>
          <w:tcPr>
            <w:tcW w:w="113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371A65E" w14:textId="77777777" w:rsidR="0029516D" w:rsidRPr="00952FDB" w:rsidRDefault="0029516D" w:rsidP="006A3EDA">
            <w:pPr>
              <w:spacing w:after="0" w:line="240" w:lineRule="auto"/>
              <w:rPr>
                <w:rFonts w:eastAsia="Times New Roman" w:cs="Calibri"/>
                <w:color w:val="000000"/>
                <w:sz w:val="18"/>
                <w:szCs w:val="18"/>
                <w:lang w:eastAsia="hr-HR"/>
              </w:rPr>
            </w:pPr>
            <w:r w:rsidRPr="00952FDB">
              <w:rPr>
                <w:rFonts w:eastAsia="Times New Roman" w:cs="Calibri"/>
                <w:color w:val="000000"/>
                <w:sz w:val="18"/>
                <w:szCs w:val="18"/>
                <w:lang w:eastAsia="hr-HR"/>
              </w:rPr>
              <w:t>Korisnik kredita</w:t>
            </w:r>
          </w:p>
        </w:tc>
        <w:tc>
          <w:tcPr>
            <w:tcW w:w="2257"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A082590" w14:textId="77777777" w:rsidR="0029516D" w:rsidRPr="00952FDB" w:rsidRDefault="0029516D" w:rsidP="006A3EDA">
            <w:pPr>
              <w:spacing w:after="0" w:line="240" w:lineRule="auto"/>
              <w:rPr>
                <w:rFonts w:eastAsia="Times New Roman" w:cs="Calibri"/>
                <w:color w:val="000000"/>
                <w:sz w:val="18"/>
                <w:szCs w:val="18"/>
                <w:lang w:eastAsia="hr-HR"/>
              </w:rPr>
            </w:pPr>
            <w:r w:rsidRPr="00952FDB">
              <w:rPr>
                <w:rFonts w:eastAsia="Times New Roman" w:cs="Calibri"/>
                <w:color w:val="000000"/>
                <w:sz w:val="18"/>
                <w:szCs w:val="18"/>
                <w:lang w:eastAsia="hr-HR"/>
              </w:rPr>
              <w:t>Vrsta obveze Grada</w:t>
            </w:r>
          </w:p>
        </w:tc>
        <w:tc>
          <w:tcPr>
            <w:tcW w:w="3136"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595CEBE" w14:textId="77777777" w:rsidR="0029516D" w:rsidRPr="00952FDB" w:rsidRDefault="0029516D" w:rsidP="006A3EDA">
            <w:pPr>
              <w:spacing w:after="0" w:line="240" w:lineRule="auto"/>
              <w:rPr>
                <w:rFonts w:eastAsia="Times New Roman" w:cs="Calibri"/>
                <w:color w:val="000000"/>
                <w:sz w:val="18"/>
                <w:szCs w:val="18"/>
                <w:lang w:eastAsia="hr-HR"/>
              </w:rPr>
            </w:pPr>
            <w:r w:rsidRPr="00952FDB">
              <w:rPr>
                <w:rFonts w:eastAsia="Times New Roman" w:cs="Calibri"/>
                <w:color w:val="000000"/>
                <w:sz w:val="18"/>
                <w:szCs w:val="18"/>
                <w:lang w:eastAsia="hr-HR"/>
              </w:rPr>
              <w:t>Vrsta instrumenta osiguranja izdani od Grada</w:t>
            </w:r>
          </w:p>
        </w:tc>
        <w:tc>
          <w:tcPr>
            <w:tcW w:w="112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F29292A" w14:textId="77777777" w:rsidR="0029516D" w:rsidRPr="00952FDB" w:rsidRDefault="0029516D" w:rsidP="006A3EDA">
            <w:pPr>
              <w:spacing w:after="0" w:line="240" w:lineRule="auto"/>
              <w:jc w:val="center"/>
              <w:rPr>
                <w:rFonts w:eastAsia="Times New Roman" w:cs="Calibri"/>
                <w:color w:val="000000"/>
                <w:sz w:val="18"/>
                <w:szCs w:val="18"/>
                <w:lang w:eastAsia="hr-HR"/>
              </w:rPr>
            </w:pPr>
            <w:r w:rsidRPr="00952FDB">
              <w:rPr>
                <w:rFonts w:eastAsia="Times New Roman" w:cs="Calibri"/>
                <w:color w:val="000000"/>
                <w:sz w:val="18"/>
                <w:szCs w:val="18"/>
                <w:lang w:eastAsia="hr-HR"/>
              </w:rPr>
              <w:t>Davatelj kredita</w:t>
            </w:r>
          </w:p>
        </w:tc>
        <w:tc>
          <w:tcPr>
            <w:tcW w:w="1629"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91CF771" w14:textId="77777777" w:rsidR="0029516D" w:rsidRPr="00952FDB" w:rsidRDefault="0029516D" w:rsidP="006A3EDA">
            <w:pPr>
              <w:spacing w:after="0" w:line="240" w:lineRule="auto"/>
              <w:jc w:val="center"/>
              <w:rPr>
                <w:rFonts w:eastAsia="Times New Roman" w:cs="Calibri"/>
                <w:color w:val="000000"/>
                <w:sz w:val="18"/>
                <w:szCs w:val="18"/>
                <w:lang w:eastAsia="hr-HR"/>
              </w:rPr>
            </w:pPr>
            <w:r w:rsidRPr="00952FDB">
              <w:rPr>
                <w:rFonts w:eastAsia="Times New Roman" w:cs="Calibri"/>
                <w:color w:val="000000"/>
                <w:sz w:val="18"/>
                <w:szCs w:val="18"/>
                <w:lang w:eastAsia="hr-HR"/>
              </w:rPr>
              <w:t>Iznos zaduženja</w:t>
            </w:r>
          </w:p>
        </w:tc>
      </w:tr>
      <w:tr w:rsidR="0029516D" w:rsidRPr="00E70398" w14:paraId="3AB0869B" w14:textId="77777777" w:rsidTr="005F5D64">
        <w:trPr>
          <w:trHeight w:val="288"/>
        </w:trPr>
        <w:tc>
          <w:tcPr>
            <w:tcW w:w="1130" w:type="dxa"/>
            <w:tcBorders>
              <w:top w:val="single" w:sz="4" w:space="0" w:color="auto"/>
              <w:left w:val="single" w:sz="4" w:space="0" w:color="auto"/>
              <w:bottom w:val="single" w:sz="4" w:space="0" w:color="auto"/>
              <w:right w:val="single" w:sz="4" w:space="0" w:color="auto"/>
            </w:tcBorders>
            <w:noWrap/>
            <w:vAlign w:val="bottom"/>
          </w:tcPr>
          <w:p w14:paraId="513FF0BA" w14:textId="77777777" w:rsidR="0029516D" w:rsidRPr="00952FDB" w:rsidRDefault="0029516D" w:rsidP="006A3EDA">
            <w:pPr>
              <w:spacing w:after="0" w:line="240" w:lineRule="auto"/>
              <w:rPr>
                <w:rFonts w:eastAsia="Times New Roman" w:cs="Calibri"/>
                <w:color w:val="000000"/>
                <w:sz w:val="18"/>
                <w:szCs w:val="18"/>
                <w:lang w:eastAsia="hr-HR"/>
              </w:rPr>
            </w:pPr>
          </w:p>
        </w:tc>
        <w:tc>
          <w:tcPr>
            <w:tcW w:w="2257" w:type="dxa"/>
            <w:tcBorders>
              <w:top w:val="single" w:sz="4" w:space="0" w:color="auto"/>
              <w:left w:val="single" w:sz="4" w:space="0" w:color="auto"/>
              <w:bottom w:val="single" w:sz="4" w:space="0" w:color="auto"/>
              <w:right w:val="single" w:sz="4" w:space="0" w:color="auto"/>
            </w:tcBorders>
            <w:noWrap/>
            <w:vAlign w:val="bottom"/>
          </w:tcPr>
          <w:p w14:paraId="1D02F39A" w14:textId="77777777" w:rsidR="0029516D" w:rsidRPr="00952FDB" w:rsidRDefault="0029516D" w:rsidP="006A3EDA">
            <w:pPr>
              <w:spacing w:after="0" w:line="240" w:lineRule="auto"/>
              <w:rPr>
                <w:rFonts w:eastAsia="Times New Roman" w:cs="Calibri"/>
                <w:color w:val="000000"/>
                <w:sz w:val="18"/>
                <w:szCs w:val="18"/>
                <w:lang w:eastAsia="hr-HR"/>
              </w:rPr>
            </w:pPr>
          </w:p>
        </w:tc>
        <w:tc>
          <w:tcPr>
            <w:tcW w:w="3136" w:type="dxa"/>
            <w:tcBorders>
              <w:top w:val="single" w:sz="4" w:space="0" w:color="auto"/>
              <w:left w:val="single" w:sz="4" w:space="0" w:color="auto"/>
              <w:bottom w:val="single" w:sz="4" w:space="0" w:color="auto"/>
              <w:right w:val="single" w:sz="4" w:space="0" w:color="auto"/>
            </w:tcBorders>
            <w:noWrap/>
            <w:vAlign w:val="bottom"/>
          </w:tcPr>
          <w:p w14:paraId="1548213B" w14:textId="77777777" w:rsidR="0029516D" w:rsidRPr="00952FDB" w:rsidRDefault="0029516D" w:rsidP="006A3EDA">
            <w:pPr>
              <w:spacing w:after="0" w:line="240" w:lineRule="auto"/>
              <w:rPr>
                <w:rFonts w:eastAsia="Times New Roman" w:cs="Calibri"/>
                <w:color w:val="000000"/>
                <w:sz w:val="18"/>
                <w:szCs w:val="18"/>
                <w:lang w:eastAsia="hr-HR"/>
              </w:rPr>
            </w:pPr>
          </w:p>
        </w:tc>
        <w:tc>
          <w:tcPr>
            <w:tcW w:w="1128" w:type="dxa"/>
            <w:tcBorders>
              <w:top w:val="single" w:sz="4" w:space="0" w:color="auto"/>
              <w:left w:val="single" w:sz="4" w:space="0" w:color="auto"/>
              <w:bottom w:val="single" w:sz="4" w:space="0" w:color="auto"/>
              <w:right w:val="single" w:sz="4" w:space="0" w:color="auto"/>
            </w:tcBorders>
            <w:noWrap/>
            <w:vAlign w:val="bottom"/>
          </w:tcPr>
          <w:p w14:paraId="0B2F9673" w14:textId="77777777" w:rsidR="0029516D" w:rsidRPr="00952FDB" w:rsidRDefault="0029516D" w:rsidP="006A3EDA">
            <w:pPr>
              <w:spacing w:after="0" w:line="240" w:lineRule="auto"/>
              <w:jc w:val="center"/>
              <w:rPr>
                <w:rFonts w:eastAsia="Times New Roman" w:cs="Calibri"/>
                <w:color w:val="000000"/>
                <w:sz w:val="18"/>
                <w:szCs w:val="18"/>
                <w:lang w:eastAsia="hr-HR"/>
              </w:rPr>
            </w:pPr>
          </w:p>
        </w:tc>
        <w:tc>
          <w:tcPr>
            <w:tcW w:w="1629" w:type="dxa"/>
            <w:tcBorders>
              <w:top w:val="single" w:sz="4" w:space="0" w:color="auto"/>
              <w:left w:val="single" w:sz="4" w:space="0" w:color="auto"/>
              <w:bottom w:val="single" w:sz="4" w:space="0" w:color="auto"/>
              <w:right w:val="single" w:sz="4" w:space="0" w:color="auto"/>
            </w:tcBorders>
            <w:noWrap/>
            <w:vAlign w:val="bottom"/>
          </w:tcPr>
          <w:p w14:paraId="3BAB6E3A" w14:textId="77777777" w:rsidR="0029516D" w:rsidRPr="00952FDB" w:rsidRDefault="0029516D" w:rsidP="006A3EDA">
            <w:pPr>
              <w:spacing w:after="0" w:line="240" w:lineRule="auto"/>
              <w:jc w:val="center"/>
              <w:rPr>
                <w:rFonts w:eastAsia="Times New Roman" w:cs="Calibri"/>
                <w:color w:val="000000"/>
                <w:sz w:val="18"/>
                <w:szCs w:val="18"/>
                <w:lang w:eastAsia="hr-HR"/>
              </w:rPr>
            </w:pPr>
          </w:p>
        </w:tc>
      </w:tr>
    </w:tbl>
    <w:p w14:paraId="5C248C55" w14:textId="77777777" w:rsidR="005F5D64" w:rsidRDefault="005F5D64" w:rsidP="005F5D64">
      <w:pPr>
        <w:spacing w:after="0" w:line="240" w:lineRule="auto"/>
        <w:ind w:left="720"/>
        <w:jc w:val="both"/>
        <w:rPr>
          <w:rFonts w:eastAsia="Times New Roman" w:cs="Calibri"/>
          <w:bCs/>
          <w:color w:val="000000"/>
          <w:lang w:eastAsia="hr-HR"/>
        </w:rPr>
      </w:pPr>
    </w:p>
    <w:p w14:paraId="2128B27D" w14:textId="5984F129" w:rsidR="0029516D" w:rsidRDefault="0029516D" w:rsidP="0029516D">
      <w:pPr>
        <w:numPr>
          <w:ilvl w:val="0"/>
          <w:numId w:val="44"/>
        </w:numPr>
        <w:spacing w:after="0" w:line="240" w:lineRule="auto"/>
        <w:jc w:val="both"/>
        <w:rPr>
          <w:rFonts w:eastAsia="Times New Roman" w:cs="Calibri"/>
          <w:bCs/>
          <w:color w:val="000000"/>
          <w:lang w:eastAsia="hr-HR"/>
        </w:rPr>
      </w:pPr>
      <w:r>
        <w:rPr>
          <w:rFonts w:eastAsia="Times New Roman" w:cs="Calibri"/>
          <w:bCs/>
          <w:color w:val="000000"/>
          <w:lang w:eastAsia="hr-HR"/>
        </w:rPr>
        <w:t>na dan 31.12.2025.g. Grad Trogir nema danih instrumenata osiguranja za preuzete obveze s osnova danih jamstava.</w:t>
      </w:r>
    </w:p>
    <w:p w14:paraId="07089791" w14:textId="77777777" w:rsidR="0029516D" w:rsidRPr="00E70398" w:rsidRDefault="0029516D" w:rsidP="0029516D">
      <w:pPr>
        <w:spacing w:after="0" w:line="240" w:lineRule="auto"/>
        <w:jc w:val="both"/>
        <w:rPr>
          <w:rFonts w:eastAsia="Times New Roman" w:cs="Calibri"/>
          <w:color w:val="000000"/>
          <w:sz w:val="20"/>
          <w:szCs w:val="20"/>
          <w:lang w:eastAsia="hr-HR"/>
        </w:rPr>
      </w:pPr>
    </w:p>
    <w:p w14:paraId="6FAB3BF6" w14:textId="6CF22F4D" w:rsidR="0029516D" w:rsidRPr="00E70398" w:rsidRDefault="0029516D" w:rsidP="0029516D">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eastAsia="Times New Roman" w:cs="Calibri"/>
          <w:color w:val="000000"/>
          <w:lang w:eastAsia="hr-HR"/>
        </w:rPr>
      </w:pPr>
      <w:r w:rsidRPr="005F5D64">
        <w:rPr>
          <w:rFonts w:eastAsia="Times New Roman" w:cs="Calibri"/>
          <w:b/>
          <w:bCs/>
          <w:color w:val="000000"/>
          <w:lang w:eastAsia="hr-HR"/>
        </w:rPr>
        <w:t>Tab</w:t>
      </w:r>
      <w:r w:rsidR="005F5D64" w:rsidRPr="005F5D64">
        <w:rPr>
          <w:rFonts w:eastAsia="Times New Roman" w:cs="Calibri"/>
          <w:b/>
          <w:bCs/>
          <w:color w:val="000000"/>
          <w:lang w:eastAsia="hr-HR"/>
        </w:rPr>
        <w:t>lica 18</w:t>
      </w:r>
      <w:r w:rsidRPr="009B135A">
        <w:rPr>
          <w:rFonts w:eastAsia="Times New Roman" w:cs="Calibri"/>
          <w:color w:val="000000"/>
          <w:lang w:eastAsia="hr-HR"/>
        </w:rPr>
        <w:t>:</w:t>
      </w:r>
      <w:r w:rsidRPr="00E70398">
        <w:rPr>
          <w:rFonts w:eastAsia="Times New Roman" w:cs="Calibri"/>
          <w:color w:val="000000"/>
          <w:lang w:eastAsia="hr-HR"/>
        </w:rPr>
        <w:t xml:space="preserve"> Prikaz danih instrumenata osiguranja  s osnova dugoročnih zaduživanja Grada Trogira- </w:t>
      </w:r>
    </w:p>
    <w:p w14:paraId="1728459B" w14:textId="77777777" w:rsidR="0029516D" w:rsidRDefault="0029516D" w:rsidP="0029516D">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eastAsia="Times New Roman" w:cs="Calibri"/>
          <w:color w:val="000000"/>
          <w:lang w:eastAsia="hr-HR"/>
        </w:rPr>
      </w:pPr>
      <w:r>
        <w:rPr>
          <w:rFonts w:eastAsia="Times New Roman" w:cs="Calibri"/>
          <w:color w:val="000000"/>
          <w:lang w:eastAsia="hr-HR"/>
        </w:rPr>
        <w:t>stanje na dan 31.prosinca 2025.</w:t>
      </w:r>
    </w:p>
    <w:p w14:paraId="7F02FAE2" w14:textId="77777777" w:rsidR="0029516D" w:rsidRPr="00E70398" w:rsidRDefault="0029516D" w:rsidP="0029516D">
      <w:pPr>
        <w:spacing w:after="0" w:line="240" w:lineRule="auto"/>
        <w:jc w:val="both"/>
        <w:rPr>
          <w:rFonts w:eastAsia="Times New Roman" w:cs="Calibri"/>
          <w:color w:val="000000"/>
          <w:lang w:eastAsia="hr-HR"/>
        </w:rPr>
      </w:pPr>
    </w:p>
    <w:tbl>
      <w:tblPr>
        <w:tblW w:w="9345" w:type="dxa"/>
        <w:tblInd w:w="-147" w:type="dxa"/>
        <w:tblLook w:val="04A0" w:firstRow="1" w:lastRow="0" w:firstColumn="1" w:lastColumn="0" w:noHBand="0" w:noVBand="1"/>
      </w:tblPr>
      <w:tblGrid>
        <w:gridCol w:w="1138"/>
        <w:gridCol w:w="2272"/>
        <w:gridCol w:w="3158"/>
        <w:gridCol w:w="1136"/>
        <w:gridCol w:w="1641"/>
      </w:tblGrid>
      <w:tr w:rsidR="0029516D" w:rsidRPr="00E70398" w14:paraId="1998E095" w14:textId="77777777" w:rsidTr="005F5D64">
        <w:trPr>
          <w:trHeight w:val="752"/>
        </w:trPr>
        <w:tc>
          <w:tcPr>
            <w:tcW w:w="113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05FBD6B" w14:textId="77777777" w:rsidR="0029516D" w:rsidRPr="00952FDB" w:rsidRDefault="0029516D" w:rsidP="006A3EDA">
            <w:pPr>
              <w:spacing w:after="0" w:line="240" w:lineRule="auto"/>
              <w:rPr>
                <w:rFonts w:eastAsia="Times New Roman" w:cs="Calibri"/>
                <w:color w:val="000000"/>
                <w:sz w:val="18"/>
                <w:szCs w:val="18"/>
                <w:lang w:eastAsia="hr-HR"/>
              </w:rPr>
            </w:pPr>
            <w:r w:rsidRPr="00952FDB">
              <w:rPr>
                <w:rFonts w:eastAsia="Times New Roman" w:cs="Calibri"/>
                <w:color w:val="000000"/>
                <w:sz w:val="18"/>
                <w:szCs w:val="18"/>
                <w:lang w:eastAsia="hr-HR"/>
              </w:rPr>
              <w:t>Korisnik kredita</w:t>
            </w:r>
          </w:p>
        </w:tc>
        <w:tc>
          <w:tcPr>
            <w:tcW w:w="2272"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3F27B86" w14:textId="77777777" w:rsidR="0029516D" w:rsidRPr="00952FDB" w:rsidRDefault="0029516D" w:rsidP="006A3EDA">
            <w:pPr>
              <w:spacing w:after="0" w:line="240" w:lineRule="auto"/>
              <w:rPr>
                <w:rFonts w:eastAsia="Times New Roman" w:cs="Calibri"/>
                <w:color w:val="000000"/>
                <w:sz w:val="18"/>
                <w:szCs w:val="18"/>
                <w:lang w:eastAsia="hr-HR"/>
              </w:rPr>
            </w:pPr>
            <w:r w:rsidRPr="00952FDB">
              <w:rPr>
                <w:rFonts w:eastAsia="Times New Roman" w:cs="Calibri"/>
                <w:color w:val="000000"/>
                <w:sz w:val="18"/>
                <w:szCs w:val="18"/>
                <w:lang w:eastAsia="hr-HR"/>
              </w:rPr>
              <w:t>Vrsta obveze Grada</w:t>
            </w:r>
          </w:p>
        </w:tc>
        <w:tc>
          <w:tcPr>
            <w:tcW w:w="315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879B2B9" w14:textId="77777777" w:rsidR="0029516D" w:rsidRPr="00952FDB" w:rsidRDefault="0029516D" w:rsidP="006A3EDA">
            <w:pPr>
              <w:spacing w:after="0" w:line="240" w:lineRule="auto"/>
              <w:rPr>
                <w:rFonts w:eastAsia="Times New Roman" w:cs="Calibri"/>
                <w:color w:val="000000"/>
                <w:sz w:val="18"/>
                <w:szCs w:val="18"/>
                <w:lang w:eastAsia="hr-HR"/>
              </w:rPr>
            </w:pPr>
            <w:r w:rsidRPr="00952FDB">
              <w:rPr>
                <w:rFonts w:eastAsia="Times New Roman" w:cs="Calibri"/>
                <w:color w:val="000000"/>
                <w:sz w:val="18"/>
                <w:szCs w:val="18"/>
                <w:lang w:eastAsia="hr-HR"/>
              </w:rPr>
              <w:t>Vrsta instrumenta osiguranja izdani od Grada</w:t>
            </w:r>
          </w:p>
        </w:tc>
        <w:tc>
          <w:tcPr>
            <w:tcW w:w="1136"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FCA4464" w14:textId="77777777" w:rsidR="0029516D" w:rsidRPr="00952FDB" w:rsidRDefault="0029516D" w:rsidP="006A3EDA">
            <w:pPr>
              <w:spacing w:after="0" w:line="240" w:lineRule="auto"/>
              <w:jc w:val="center"/>
              <w:rPr>
                <w:rFonts w:eastAsia="Times New Roman" w:cs="Calibri"/>
                <w:color w:val="000000"/>
                <w:sz w:val="18"/>
                <w:szCs w:val="18"/>
                <w:lang w:eastAsia="hr-HR"/>
              </w:rPr>
            </w:pPr>
            <w:r w:rsidRPr="00952FDB">
              <w:rPr>
                <w:rFonts w:eastAsia="Times New Roman" w:cs="Calibri"/>
                <w:color w:val="000000"/>
                <w:sz w:val="18"/>
                <w:szCs w:val="18"/>
                <w:lang w:eastAsia="hr-HR"/>
              </w:rPr>
              <w:t>Davatelj kredita</w:t>
            </w:r>
          </w:p>
        </w:tc>
        <w:tc>
          <w:tcPr>
            <w:tcW w:w="164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DAE7A5C" w14:textId="77777777" w:rsidR="0029516D" w:rsidRPr="00952FDB" w:rsidRDefault="0029516D" w:rsidP="006A3EDA">
            <w:pPr>
              <w:spacing w:after="0" w:line="240" w:lineRule="auto"/>
              <w:jc w:val="center"/>
              <w:rPr>
                <w:rFonts w:eastAsia="Times New Roman" w:cs="Calibri"/>
                <w:color w:val="000000"/>
                <w:sz w:val="18"/>
                <w:szCs w:val="18"/>
                <w:lang w:eastAsia="hr-HR"/>
              </w:rPr>
            </w:pPr>
            <w:r w:rsidRPr="00952FDB">
              <w:rPr>
                <w:rFonts w:eastAsia="Times New Roman" w:cs="Calibri"/>
                <w:color w:val="000000"/>
                <w:sz w:val="18"/>
                <w:szCs w:val="18"/>
                <w:lang w:eastAsia="hr-HR"/>
              </w:rPr>
              <w:t>Iznos zaduženja</w:t>
            </w:r>
          </w:p>
        </w:tc>
      </w:tr>
      <w:tr w:rsidR="0029516D" w:rsidRPr="00E70398" w14:paraId="0FDD9F25" w14:textId="77777777" w:rsidTr="005F5D64">
        <w:trPr>
          <w:trHeight w:val="752"/>
        </w:trPr>
        <w:tc>
          <w:tcPr>
            <w:tcW w:w="1138" w:type="dxa"/>
            <w:tcBorders>
              <w:top w:val="single" w:sz="4" w:space="0" w:color="auto"/>
              <w:left w:val="single" w:sz="4" w:space="0" w:color="auto"/>
              <w:bottom w:val="single" w:sz="4" w:space="0" w:color="auto"/>
              <w:right w:val="single" w:sz="4" w:space="0" w:color="auto"/>
            </w:tcBorders>
            <w:noWrap/>
            <w:vAlign w:val="bottom"/>
            <w:hideMark/>
          </w:tcPr>
          <w:p w14:paraId="18EC80B5" w14:textId="77777777" w:rsidR="0029516D" w:rsidRPr="00952FDB" w:rsidRDefault="0029516D" w:rsidP="006A3EDA">
            <w:pPr>
              <w:spacing w:after="0" w:line="240" w:lineRule="auto"/>
              <w:rPr>
                <w:rFonts w:eastAsia="Times New Roman" w:cs="Calibri"/>
                <w:color w:val="000000"/>
                <w:sz w:val="18"/>
                <w:szCs w:val="18"/>
                <w:lang w:eastAsia="hr-HR"/>
              </w:rPr>
            </w:pPr>
            <w:r w:rsidRPr="00952FDB">
              <w:rPr>
                <w:rFonts w:eastAsia="Times New Roman" w:cs="Calibri"/>
                <w:color w:val="000000"/>
                <w:sz w:val="18"/>
                <w:szCs w:val="18"/>
                <w:lang w:eastAsia="hr-HR"/>
              </w:rPr>
              <w:t>GRAD TROGIR</w:t>
            </w:r>
          </w:p>
        </w:tc>
        <w:tc>
          <w:tcPr>
            <w:tcW w:w="2272" w:type="dxa"/>
            <w:tcBorders>
              <w:top w:val="single" w:sz="4" w:space="0" w:color="auto"/>
              <w:left w:val="single" w:sz="4" w:space="0" w:color="auto"/>
              <w:bottom w:val="single" w:sz="4" w:space="0" w:color="auto"/>
              <w:right w:val="single" w:sz="4" w:space="0" w:color="auto"/>
            </w:tcBorders>
            <w:noWrap/>
            <w:vAlign w:val="bottom"/>
            <w:hideMark/>
          </w:tcPr>
          <w:p w14:paraId="44126BA8" w14:textId="77777777" w:rsidR="0029516D" w:rsidRPr="00952FDB" w:rsidRDefault="0029516D" w:rsidP="006A3EDA">
            <w:pPr>
              <w:spacing w:after="0" w:line="240" w:lineRule="auto"/>
              <w:rPr>
                <w:rFonts w:eastAsia="Times New Roman" w:cs="Calibri"/>
                <w:color w:val="000000"/>
                <w:sz w:val="18"/>
                <w:szCs w:val="18"/>
                <w:lang w:eastAsia="hr-HR"/>
              </w:rPr>
            </w:pPr>
            <w:r w:rsidRPr="00952FDB">
              <w:rPr>
                <w:rFonts w:eastAsia="Times New Roman" w:cs="Calibri"/>
                <w:color w:val="000000"/>
                <w:sz w:val="18"/>
                <w:szCs w:val="18"/>
                <w:lang w:eastAsia="hr-HR"/>
              </w:rPr>
              <w:t>DUGOROČNO ZADUŽENJE UG.BR.194108010059 ZA IZGRADNJA JAVNE RASVJETE I SANACIJA DEPONIJA U PLANOME</w:t>
            </w:r>
          </w:p>
        </w:tc>
        <w:tc>
          <w:tcPr>
            <w:tcW w:w="3158" w:type="dxa"/>
            <w:tcBorders>
              <w:top w:val="single" w:sz="4" w:space="0" w:color="auto"/>
              <w:left w:val="single" w:sz="4" w:space="0" w:color="auto"/>
              <w:bottom w:val="single" w:sz="4" w:space="0" w:color="auto"/>
              <w:right w:val="single" w:sz="4" w:space="0" w:color="auto"/>
            </w:tcBorders>
            <w:noWrap/>
            <w:vAlign w:val="bottom"/>
            <w:hideMark/>
          </w:tcPr>
          <w:p w14:paraId="11B8E5F3" w14:textId="77777777" w:rsidR="0029516D" w:rsidRPr="00952FDB" w:rsidRDefault="0029516D" w:rsidP="006A3EDA">
            <w:pPr>
              <w:spacing w:after="0" w:line="240" w:lineRule="auto"/>
              <w:rPr>
                <w:rFonts w:eastAsia="Times New Roman" w:cs="Calibri"/>
                <w:color w:val="000000"/>
                <w:sz w:val="18"/>
                <w:szCs w:val="18"/>
                <w:lang w:eastAsia="hr-HR"/>
              </w:rPr>
            </w:pPr>
            <w:r w:rsidRPr="00952FDB">
              <w:rPr>
                <w:rFonts w:eastAsia="Times New Roman" w:cs="Calibri"/>
                <w:color w:val="000000"/>
                <w:sz w:val="18"/>
                <w:szCs w:val="18"/>
                <w:lang w:eastAsia="hr-HR"/>
              </w:rPr>
              <w:t>1 VLASTITA MJENICA BEZ PROTESTA</w:t>
            </w:r>
          </w:p>
          <w:p w14:paraId="7D5A4D8D" w14:textId="77777777" w:rsidR="0029516D" w:rsidRPr="00952FDB" w:rsidRDefault="0029516D" w:rsidP="006A3EDA">
            <w:pPr>
              <w:spacing w:after="0" w:line="240" w:lineRule="auto"/>
              <w:rPr>
                <w:rFonts w:eastAsia="Times New Roman" w:cs="Calibri"/>
                <w:color w:val="000000"/>
                <w:sz w:val="18"/>
                <w:szCs w:val="18"/>
                <w:lang w:eastAsia="hr-HR"/>
              </w:rPr>
            </w:pPr>
            <w:r w:rsidRPr="00952FDB">
              <w:rPr>
                <w:rFonts w:eastAsia="Times New Roman" w:cs="Calibri"/>
                <w:color w:val="000000"/>
                <w:sz w:val="18"/>
                <w:szCs w:val="18"/>
                <w:lang w:eastAsia="hr-HR"/>
              </w:rPr>
              <w:t>1VLASTITA MJENICA BEZ PROTESTA</w:t>
            </w:r>
          </w:p>
          <w:p w14:paraId="0C5E15DC" w14:textId="77777777" w:rsidR="0029516D" w:rsidRPr="00952FDB" w:rsidRDefault="0029516D" w:rsidP="006A3EDA">
            <w:pPr>
              <w:spacing w:after="0" w:line="240" w:lineRule="auto"/>
              <w:rPr>
                <w:rFonts w:eastAsia="Times New Roman" w:cs="Calibri"/>
                <w:color w:val="000000"/>
                <w:sz w:val="18"/>
                <w:szCs w:val="18"/>
                <w:lang w:eastAsia="hr-HR"/>
              </w:rPr>
            </w:pPr>
            <w:r w:rsidRPr="00952FDB">
              <w:rPr>
                <w:rFonts w:eastAsia="Times New Roman" w:cs="Calibri"/>
                <w:color w:val="000000"/>
                <w:sz w:val="18"/>
                <w:szCs w:val="18"/>
                <w:lang w:eastAsia="hr-HR"/>
              </w:rPr>
              <w:t>1 OBIČNA ZADUŽNICA NA IZNOS KREDITA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10794150" w14:textId="77777777" w:rsidR="0029516D" w:rsidRPr="00952FDB" w:rsidRDefault="0029516D" w:rsidP="006A3EDA">
            <w:pPr>
              <w:spacing w:after="0" w:line="240" w:lineRule="auto"/>
              <w:jc w:val="center"/>
              <w:rPr>
                <w:rFonts w:eastAsia="Times New Roman" w:cs="Calibri"/>
                <w:color w:val="000000"/>
                <w:sz w:val="18"/>
                <w:szCs w:val="18"/>
                <w:lang w:eastAsia="hr-HR"/>
              </w:rPr>
            </w:pPr>
            <w:r w:rsidRPr="00952FDB">
              <w:rPr>
                <w:rFonts w:eastAsia="Times New Roman" w:cs="Calibri"/>
                <w:color w:val="000000"/>
                <w:sz w:val="18"/>
                <w:szCs w:val="18"/>
                <w:lang w:eastAsia="hr-HR"/>
              </w:rPr>
              <w:t>RAIFFEISEN BANK</w:t>
            </w:r>
          </w:p>
        </w:tc>
        <w:tc>
          <w:tcPr>
            <w:tcW w:w="1641" w:type="dxa"/>
            <w:tcBorders>
              <w:top w:val="single" w:sz="4" w:space="0" w:color="auto"/>
              <w:left w:val="single" w:sz="4" w:space="0" w:color="auto"/>
              <w:bottom w:val="single" w:sz="4" w:space="0" w:color="auto"/>
              <w:right w:val="single" w:sz="4" w:space="0" w:color="auto"/>
            </w:tcBorders>
            <w:noWrap/>
            <w:vAlign w:val="bottom"/>
            <w:hideMark/>
          </w:tcPr>
          <w:p w14:paraId="16CB49DF" w14:textId="77777777" w:rsidR="0029516D" w:rsidRPr="00952FDB" w:rsidRDefault="0029516D" w:rsidP="006A3EDA">
            <w:pPr>
              <w:spacing w:after="0" w:line="240" w:lineRule="auto"/>
              <w:jc w:val="center"/>
              <w:rPr>
                <w:rFonts w:eastAsia="Times New Roman" w:cs="Calibri"/>
                <w:color w:val="000000"/>
                <w:sz w:val="18"/>
                <w:szCs w:val="18"/>
                <w:lang w:eastAsia="hr-HR"/>
              </w:rPr>
            </w:pPr>
            <w:r>
              <w:rPr>
                <w:rFonts w:eastAsia="Times New Roman" w:cs="Calibri"/>
                <w:color w:val="000000"/>
                <w:sz w:val="18"/>
                <w:szCs w:val="18"/>
                <w:lang w:eastAsia="hr-HR"/>
              </w:rPr>
              <w:t>510.982,81</w:t>
            </w:r>
          </w:p>
        </w:tc>
      </w:tr>
      <w:tr w:rsidR="0029516D" w:rsidRPr="00E70398" w14:paraId="5EC8FDE9" w14:textId="77777777" w:rsidTr="005F5D64">
        <w:trPr>
          <w:trHeight w:val="752"/>
        </w:trPr>
        <w:tc>
          <w:tcPr>
            <w:tcW w:w="1138" w:type="dxa"/>
            <w:tcBorders>
              <w:top w:val="single" w:sz="4" w:space="0" w:color="auto"/>
              <w:left w:val="single" w:sz="4" w:space="0" w:color="auto"/>
              <w:bottom w:val="single" w:sz="4" w:space="0" w:color="auto"/>
              <w:right w:val="single" w:sz="4" w:space="0" w:color="auto"/>
            </w:tcBorders>
            <w:noWrap/>
            <w:vAlign w:val="bottom"/>
            <w:hideMark/>
          </w:tcPr>
          <w:p w14:paraId="442F0B95" w14:textId="77777777" w:rsidR="0029516D" w:rsidRPr="00952FDB" w:rsidRDefault="0029516D" w:rsidP="006A3EDA">
            <w:pPr>
              <w:spacing w:after="0" w:line="240" w:lineRule="auto"/>
              <w:rPr>
                <w:rFonts w:eastAsia="Times New Roman" w:cs="Calibri"/>
                <w:color w:val="000000"/>
                <w:sz w:val="18"/>
                <w:szCs w:val="18"/>
                <w:lang w:eastAsia="hr-HR"/>
              </w:rPr>
            </w:pPr>
            <w:r w:rsidRPr="00952FDB">
              <w:rPr>
                <w:rFonts w:eastAsia="Times New Roman" w:cs="Calibri"/>
                <w:color w:val="000000"/>
                <w:sz w:val="18"/>
                <w:szCs w:val="18"/>
                <w:lang w:eastAsia="hr-HR"/>
              </w:rPr>
              <w:lastRenderedPageBreak/>
              <w:t>GRAD TROGIR</w:t>
            </w:r>
          </w:p>
        </w:tc>
        <w:tc>
          <w:tcPr>
            <w:tcW w:w="2272" w:type="dxa"/>
            <w:tcBorders>
              <w:top w:val="single" w:sz="4" w:space="0" w:color="auto"/>
              <w:left w:val="single" w:sz="4" w:space="0" w:color="auto"/>
              <w:bottom w:val="single" w:sz="4" w:space="0" w:color="auto"/>
              <w:right w:val="single" w:sz="4" w:space="0" w:color="auto"/>
            </w:tcBorders>
            <w:noWrap/>
            <w:vAlign w:val="bottom"/>
            <w:hideMark/>
          </w:tcPr>
          <w:p w14:paraId="5BDC355C" w14:textId="77777777" w:rsidR="0029516D" w:rsidRPr="00952FDB" w:rsidRDefault="0029516D" w:rsidP="006A3EDA">
            <w:pPr>
              <w:spacing w:after="0" w:line="240" w:lineRule="auto"/>
              <w:rPr>
                <w:rFonts w:eastAsia="Times New Roman" w:cs="Calibri"/>
                <w:color w:val="000000"/>
                <w:sz w:val="18"/>
                <w:szCs w:val="18"/>
                <w:lang w:eastAsia="hr-HR"/>
              </w:rPr>
            </w:pPr>
            <w:r w:rsidRPr="00952FDB">
              <w:rPr>
                <w:rFonts w:eastAsia="Times New Roman" w:cs="Calibri"/>
                <w:color w:val="000000"/>
                <w:sz w:val="18"/>
                <w:szCs w:val="18"/>
                <w:lang w:eastAsia="hr-HR"/>
              </w:rPr>
              <w:t>DUGOROČNO ZADUŽENJE UG.BR.194108010061 ZA NABAVA DJ.VRTIĆA I UREĐENJE TRGA KOD RIBARNICE</w:t>
            </w:r>
          </w:p>
        </w:tc>
        <w:tc>
          <w:tcPr>
            <w:tcW w:w="3158" w:type="dxa"/>
            <w:tcBorders>
              <w:top w:val="single" w:sz="4" w:space="0" w:color="auto"/>
              <w:left w:val="single" w:sz="4" w:space="0" w:color="auto"/>
              <w:bottom w:val="single" w:sz="4" w:space="0" w:color="auto"/>
              <w:right w:val="single" w:sz="4" w:space="0" w:color="auto"/>
            </w:tcBorders>
            <w:noWrap/>
            <w:vAlign w:val="bottom"/>
            <w:hideMark/>
          </w:tcPr>
          <w:p w14:paraId="29F7E948" w14:textId="77777777" w:rsidR="0029516D" w:rsidRPr="00952FDB" w:rsidRDefault="0029516D" w:rsidP="006A3EDA">
            <w:pPr>
              <w:spacing w:after="0" w:line="240" w:lineRule="auto"/>
              <w:rPr>
                <w:rFonts w:eastAsia="Times New Roman" w:cs="Calibri"/>
                <w:color w:val="000000"/>
                <w:sz w:val="18"/>
                <w:szCs w:val="18"/>
                <w:lang w:eastAsia="hr-HR"/>
              </w:rPr>
            </w:pPr>
            <w:r w:rsidRPr="00952FDB">
              <w:rPr>
                <w:rFonts w:eastAsia="Times New Roman" w:cs="Calibri"/>
                <w:color w:val="000000"/>
                <w:sz w:val="18"/>
                <w:szCs w:val="18"/>
                <w:lang w:eastAsia="hr-HR"/>
              </w:rPr>
              <w:t>1 VLASTITA MJENICA BEZ PROTESTA</w:t>
            </w:r>
          </w:p>
          <w:p w14:paraId="26BD4759" w14:textId="77777777" w:rsidR="0029516D" w:rsidRPr="00952FDB" w:rsidRDefault="0029516D" w:rsidP="006A3EDA">
            <w:pPr>
              <w:spacing w:after="0" w:line="240" w:lineRule="auto"/>
              <w:rPr>
                <w:rFonts w:eastAsia="Times New Roman" w:cs="Calibri"/>
                <w:color w:val="000000"/>
                <w:sz w:val="18"/>
                <w:szCs w:val="18"/>
                <w:lang w:eastAsia="hr-HR"/>
              </w:rPr>
            </w:pPr>
            <w:r w:rsidRPr="00952FDB">
              <w:rPr>
                <w:rFonts w:eastAsia="Times New Roman" w:cs="Calibri"/>
                <w:color w:val="000000"/>
                <w:sz w:val="18"/>
                <w:szCs w:val="18"/>
                <w:lang w:eastAsia="hr-HR"/>
              </w:rPr>
              <w:t>1VLASTITA MJENICA BEZ PROTESTA</w:t>
            </w:r>
          </w:p>
          <w:p w14:paraId="4666F327" w14:textId="77777777" w:rsidR="0029516D" w:rsidRPr="00952FDB" w:rsidRDefault="0029516D" w:rsidP="006A3EDA">
            <w:pPr>
              <w:spacing w:after="0" w:line="240" w:lineRule="auto"/>
              <w:rPr>
                <w:rFonts w:eastAsia="Times New Roman" w:cs="Calibri"/>
                <w:color w:val="000000"/>
                <w:sz w:val="18"/>
                <w:szCs w:val="18"/>
                <w:lang w:eastAsia="hr-HR"/>
              </w:rPr>
            </w:pPr>
            <w:r w:rsidRPr="00952FDB">
              <w:rPr>
                <w:rFonts w:eastAsia="Times New Roman" w:cs="Calibri"/>
                <w:color w:val="000000"/>
                <w:sz w:val="18"/>
                <w:szCs w:val="18"/>
                <w:lang w:eastAsia="hr-HR"/>
              </w:rPr>
              <w:t>1 OBIČNA ZADUŽNICA NA IZNOS KREDITA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768B067E" w14:textId="77777777" w:rsidR="0029516D" w:rsidRPr="00952FDB" w:rsidRDefault="0029516D" w:rsidP="006A3EDA">
            <w:pPr>
              <w:spacing w:after="0" w:line="240" w:lineRule="auto"/>
              <w:jc w:val="center"/>
              <w:rPr>
                <w:rFonts w:eastAsia="Times New Roman" w:cs="Calibri"/>
                <w:color w:val="000000"/>
                <w:sz w:val="18"/>
                <w:szCs w:val="18"/>
                <w:lang w:eastAsia="hr-HR"/>
              </w:rPr>
            </w:pPr>
            <w:r w:rsidRPr="00952FDB">
              <w:rPr>
                <w:rFonts w:eastAsia="Times New Roman" w:cs="Calibri"/>
                <w:color w:val="000000"/>
                <w:sz w:val="18"/>
                <w:szCs w:val="18"/>
                <w:lang w:eastAsia="hr-HR"/>
              </w:rPr>
              <w:t>RAIFFEISEN BANK</w:t>
            </w:r>
          </w:p>
        </w:tc>
        <w:tc>
          <w:tcPr>
            <w:tcW w:w="1641" w:type="dxa"/>
            <w:tcBorders>
              <w:top w:val="single" w:sz="4" w:space="0" w:color="auto"/>
              <w:left w:val="single" w:sz="4" w:space="0" w:color="auto"/>
              <w:bottom w:val="single" w:sz="4" w:space="0" w:color="auto"/>
              <w:right w:val="single" w:sz="4" w:space="0" w:color="auto"/>
            </w:tcBorders>
            <w:noWrap/>
            <w:vAlign w:val="bottom"/>
            <w:hideMark/>
          </w:tcPr>
          <w:p w14:paraId="4E84FC1F" w14:textId="77777777" w:rsidR="0029516D" w:rsidRPr="00952FDB" w:rsidRDefault="0029516D" w:rsidP="006A3EDA">
            <w:pPr>
              <w:spacing w:after="0" w:line="240" w:lineRule="auto"/>
              <w:jc w:val="center"/>
              <w:rPr>
                <w:rFonts w:eastAsia="Times New Roman" w:cs="Calibri"/>
                <w:color w:val="000000"/>
                <w:sz w:val="18"/>
                <w:szCs w:val="18"/>
                <w:lang w:eastAsia="hr-HR"/>
              </w:rPr>
            </w:pPr>
            <w:r>
              <w:rPr>
                <w:rFonts w:eastAsia="Times New Roman" w:cs="Calibri"/>
                <w:color w:val="000000"/>
                <w:sz w:val="18"/>
                <w:szCs w:val="18"/>
                <w:lang w:eastAsia="hr-HR"/>
              </w:rPr>
              <w:t>683.522,46</w:t>
            </w:r>
          </w:p>
        </w:tc>
      </w:tr>
      <w:tr w:rsidR="0029516D" w:rsidRPr="00E70398" w14:paraId="6E04B35B" w14:textId="77777777" w:rsidTr="005F5D64">
        <w:trPr>
          <w:trHeight w:val="752"/>
        </w:trPr>
        <w:tc>
          <w:tcPr>
            <w:tcW w:w="1138" w:type="dxa"/>
            <w:tcBorders>
              <w:top w:val="single" w:sz="4" w:space="0" w:color="auto"/>
              <w:left w:val="single" w:sz="4" w:space="0" w:color="auto"/>
              <w:bottom w:val="single" w:sz="4" w:space="0" w:color="auto"/>
              <w:right w:val="single" w:sz="4" w:space="0" w:color="auto"/>
            </w:tcBorders>
            <w:noWrap/>
            <w:vAlign w:val="bottom"/>
            <w:hideMark/>
          </w:tcPr>
          <w:p w14:paraId="5FC1CCE0" w14:textId="77777777" w:rsidR="0029516D" w:rsidRPr="00952FDB" w:rsidRDefault="0029516D" w:rsidP="006A3EDA">
            <w:pPr>
              <w:spacing w:after="0" w:line="240" w:lineRule="auto"/>
              <w:rPr>
                <w:rFonts w:eastAsia="Times New Roman" w:cs="Calibri"/>
                <w:color w:val="000000"/>
                <w:sz w:val="18"/>
                <w:szCs w:val="18"/>
                <w:lang w:eastAsia="hr-HR"/>
              </w:rPr>
            </w:pPr>
            <w:r w:rsidRPr="00952FDB">
              <w:rPr>
                <w:rFonts w:eastAsia="Times New Roman" w:cs="Calibri"/>
                <w:color w:val="000000"/>
                <w:sz w:val="18"/>
                <w:szCs w:val="18"/>
                <w:lang w:eastAsia="hr-HR"/>
              </w:rPr>
              <w:t>GRAD TROGIR</w:t>
            </w:r>
          </w:p>
        </w:tc>
        <w:tc>
          <w:tcPr>
            <w:tcW w:w="2272" w:type="dxa"/>
            <w:tcBorders>
              <w:top w:val="single" w:sz="4" w:space="0" w:color="auto"/>
              <w:left w:val="single" w:sz="4" w:space="0" w:color="auto"/>
              <w:bottom w:val="single" w:sz="4" w:space="0" w:color="auto"/>
              <w:right w:val="single" w:sz="4" w:space="0" w:color="auto"/>
            </w:tcBorders>
            <w:noWrap/>
            <w:vAlign w:val="bottom"/>
            <w:hideMark/>
          </w:tcPr>
          <w:p w14:paraId="28DDA988" w14:textId="77777777" w:rsidR="0029516D" w:rsidRPr="00952FDB" w:rsidRDefault="0029516D" w:rsidP="006A3EDA">
            <w:pPr>
              <w:spacing w:after="0" w:line="240" w:lineRule="auto"/>
              <w:rPr>
                <w:rFonts w:eastAsia="Times New Roman" w:cs="Calibri"/>
                <w:color w:val="000000"/>
                <w:sz w:val="18"/>
                <w:szCs w:val="18"/>
                <w:lang w:eastAsia="hr-HR"/>
              </w:rPr>
            </w:pPr>
            <w:r w:rsidRPr="00952FDB">
              <w:rPr>
                <w:rFonts w:eastAsia="Times New Roman" w:cs="Calibri"/>
                <w:color w:val="000000"/>
                <w:sz w:val="18"/>
                <w:szCs w:val="18"/>
                <w:lang w:eastAsia="hr-HR"/>
              </w:rPr>
              <w:t>DUGOROČNO ZADUŽENJE UG.BR.194108010062 ZA REKONSTRUKCIJA PUT DRAGULINA I IZGRADNJA OBALNOG POJASA BRIGI LOKVICE</w:t>
            </w:r>
          </w:p>
        </w:tc>
        <w:tc>
          <w:tcPr>
            <w:tcW w:w="3158" w:type="dxa"/>
            <w:tcBorders>
              <w:top w:val="single" w:sz="4" w:space="0" w:color="auto"/>
              <w:left w:val="single" w:sz="4" w:space="0" w:color="auto"/>
              <w:bottom w:val="single" w:sz="4" w:space="0" w:color="auto"/>
              <w:right w:val="single" w:sz="4" w:space="0" w:color="auto"/>
            </w:tcBorders>
            <w:noWrap/>
            <w:vAlign w:val="bottom"/>
            <w:hideMark/>
          </w:tcPr>
          <w:p w14:paraId="5ABD9F6B" w14:textId="77777777" w:rsidR="0029516D" w:rsidRPr="00952FDB" w:rsidRDefault="0029516D" w:rsidP="006A3EDA">
            <w:pPr>
              <w:spacing w:after="0" w:line="240" w:lineRule="auto"/>
              <w:rPr>
                <w:rFonts w:eastAsia="Times New Roman" w:cs="Calibri"/>
                <w:color w:val="000000"/>
                <w:sz w:val="18"/>
                <w:szCs w:val="18"/>
                <w:lang w:eastAsia="hr-HR"/>
              </w:rPr>
            </w:pPr>
            <w:r w:rsidRPr="00952FDB">
              <w:rPr>
                <w:rFonts w:eastAsia="Times New Roman" w:cs="Calibri"/>
                <w:color w:val="000000"/>
                <w:sz w:val="18"/>
                <w:szCs w:val="18"/>
                <w:lang w:eastAsia="hr-HR"/>
              </w:rPr>
              <w:t>1 VLASTITA MJENICA BEZ PROTESTA</w:t>
            </w:r>
          </w:p>
          <w:p w14:paraId="3799C3FB" w14:textId="77777777" w:rsidR="0029516D" w:rsidRPr="00952FDB" w:rsidRDefault="0029516D" w:rsidP="006A3EDA">
            <w:pPr>
              <w:spacing w:after="0" w:line="240" w:lineRule="auto"/>
              <w:rPr>
                <w:rFonts w:eastAsia="Times New Roman" w:cs="Calibri"/>
                <w:color w:val="000000"/>
                <w:sz w:val="18"/>
                <w:szCs w:val="18"/>
                <w:lang w:eastAsia="hr-HR"/>
              </w:rPr>
            </w:pPr>
            <w:r w:rsidRPr="00952FDB">
              <w:rPr>
                <w:rFonts w:eastAsia="Times New Roman" w:cs="Calibri"/>
                <w:color w:val="000000"/>
                <w:sz w:val="18"/>
                <w:szCs w:val="18"/>
                <w:lang w:eastAsia="hr-HR"/>
              </w:rPr>
              <w:t>1VLASTITA MJENICA BEZ PROTESTA</w:t>
            </w:r>
          </w:p>
          <w:p w14:paraId="2100548B" w14:textId="77777777" w:rsidR="0029516D" w:rsidRPr="00952FDB" w:rsidRDefault="0029516D" w:rsidP="006A3EDA">
            <w:pPr>
              <w:spacing w:after="0" w:line="240" w:lineRule="auto"/>
              <w:rPr>
                <w:rFonts w:eastAsia="Times New Roman" w:cs="Calibri"/>
                <w:color w:val="000000"/>
                <w:sz w:val="18"/>
                <w:szCs w:val="18"/>
                <w:lang w:eastAsia="hr-HR"/>
              </w:rPr>
            </w:pPr>
            <w:r w:rsidRPr="00952FDB">
              <w:rPr>
                <w:rFonts w:eastAsia="Times New Roman" w:cs="Calibri"/>
                <w:color w:val="000000"/>
                <w:sz w:val="18"/>
                <w:szCs w:val="18"/>
                <w:lang w:eastAsia="hr-HR"/>
              </w:rPr>
              <w:t>1 OBIČNA ZADUŽNICA NA IZNOS KREDITA</w:t>
            </w:r>
          </w:p>
        </w:tc>
        <w:tc>
          <w:tcPr>
            <w:tcW w:w="1136" w:type="dxa"/>
            <w:tcBorders>
              <w:top w:val="single" w:sz="4" w:space="0" w:color="auto"/>
              <w:left w:val="single" w:sz="4" w:space="0" w:color="auto"/>
              <w:bottom w:val="single" w:sz="4" w:space="0" w:color="auto"/>
              <w:right w:val="single" w:sz="4" w:space="0" w:color="auto"/>
            </w:tcBorders>
            <w:noWrap/>
            <w:vAlign w:val="bottom"/>
            <w:hideMark/>
          </w:tcPr>
          <w:p w14:paraId="24B8229A" w14:textId="77777777" w:rsidR="0029516D" w:rsidRPr="00952FDB" w:rsidRDefault="0029516D" w:rsidP="006A3EDA">
            <w:pPr>
              <w:spacing w:after="0" w:line="240" w:lineRule="auto"/>
              <w:jc w:val="center"/>
              <w:rPr>
                <w:rFonts w:eastAsia="Times New Roman" w:cs="Calibri"/>
                <w:color w:val="000000"/>
                <w:sz w:val="18"/>
                <w:szCs w:val="18"/>
                <w:lang w:eastAsia="hr-HR"/>
              </w:rPr>
            </w:pPr>
            <w:r w:rsidRPr="00952FDB">
              <w:rPr>
                <w:rFonts w:eastAsia="Times New Roman" w:cs="Calibri"/>
                <w:color w:val="000000"/>
                <w:sz w:val="18"/>
                <w:szCs w:val="18"/>
                <w:lang w:eastAsia="hr-HR"/>
              </w:rPr>
              <w:t>RAIFFEISEN BANK</w:t>
            </w:r>
          </w:p>
        </w:tc>
        <w:tc>
          <w:tcPr>
            <w:tcW w:w="1641" w:type="dxa"/>
            <w:tcBorders>
              <w:top w:val="single" w:sz="4" w:space="0" w:color="auto"/>
              <w:left w:val="single" w:sz="4" w:space="0" w:color="auto"/>
              <w:bottom w:val="single" w:sz="4" w:space="0" w:color="auto"/>
              <w:right w:val="single" w:sz="4" w:space="0" w:color="auto"/>
            </w:tcBorders>
            <w:noWrap/>
            <w:vAlign w:val="bottom"/>
            <w:hideMark/>
          </w:tcPr>
          <w:p w14:paraId="47143A13" w14:textId="77777777" w:rsidR="0029516D" w:rsidRPr="00952FDB" w:rsidRDefault="0029516D" w:rsidP="006A3EDA">
            <w:pPr>
              <w:spacing w:after="0" w:line="240" w:lineRule="auto"/>
              <w:jc w:val="center"/>
              <w:rPr>
                <w:rFonts w:eastAsia="Times New Roman" w:cs="Calibri"/>
                <w:color w:val="000000"/>
                <w:sz w:val="18"/>
                <w:szCs w:val="18"/>
                <w:lang w:eastAsia="hr-HR"/>
              </w:rPr>
            </w:pPr>
            <w:r>
              <w:rPr>
                <w:rFonts w:eastAsia="Times New Roman" w:cs="Calibri"/>
                <w:color w:val="000000"/>
                <w:sz w:val="18"/>
                <w:szCs w:val="18"/>
                <w:lang w:eastAsia="hr-HR"/>
              </w:rPr>
              <w:t>623.797,20</w:t>
            </w:r>
          </w:p>
        </w:tc>
      </w:tr>
    </w:tbl>
    <w:p w14:paraId="45619CB3" w14:textId="77777777" w:rsidR="0029516D" w:rsidRDefault="0029516D" w:rsidP="0029516D">
      <w:pPr>
        <w:spacing w:after="0" w:line="240" w:lineRule="auto"/>
        <w:jc w:val="both"/>
        <w:rPr>
          <w:rFonts w:eastAsia="Times New Roman" w:cs="Calibri"/>
          <w:bCs/>
          <w:color w:val="000000"/>
          <w:sz w:val="20"/>
          <w:szCs w:val="20"/>
          <w:lang w:eastAsia="hr-HR"/>
        </w:rPr>
      </w:pPr>
    </w:p>
    <w:p w14:paraId="22E100BE" w14:textId="133F4370" w:rsidR="0029516D" w:rsidRDefault="0029516D" w:rsidP="0029516D">
      <w:pPr>
        <w:pBdr>
          <w:top w:val="single" w:sz="4" w:space="1" w:color="auto"/>
          <w:left w:val="single" w:sz="4" w:space="4" w:color="auto"/>
          <w:bottom w:val="single" w:sz="4" w:space="1" w:color="auto"/>
          <w:right w:val="single" w:sz="4" w:space="4" w:color="auto"/>
        </w:pBdr>
        <w:shd w:val="clear" w:color="auto" w:fill="A6A6A6"/>
        <w:spacing w:after="0" w:line="240" w:lineRule="auto"/>
        <w:jc w:val="both"/>
        <w:rPr>
          <w:rFonts w:eastAsia="Times New Roman" w:cs="Calibri"/>
          <w:bCs/>
          <w:color w:val="000000"/>
          <w:lang w:eastAsia="hr-HR"/>
        </w:rPr>
      </w:pPr>
      <w:r w:rsidRPr="005F5D64">
        <w:rPr>
          <w:rFonts w:eastAsia="Times New Roman" w:cs="Calibri"/>
          <w:b/>
          <w:color w:val="000000"/>
          <w:lang w:eastAsia="hr-HR"/>
        </w:rPr>
        <w:t>Tab</w:t>
      </w:r>
      <w:r w:rsidR="005F5D64" w:rsidRPr="005F5D64">
        <w:rPr>
          <w:rFonts w:eastAsia="Times New Roman" w:cs="Calibri"/>
          <w:b/>
          <w:color w:val="000000"/>
          <w:lang w:eastAsia="hr-HR"/>
        </w:rPr>
        <w:t>lica 19</w:t>
      </w:r>
      <w:r w:rsidRPr="00952FDB">
        <w:rPr>
          <w:rFonts w:eastAsia="Times New Roman" w:cs="Calibri"/>
          <w:bCs/>
          <w:color w:val="000000"/>
          <w:lang w:eastAsia="hr-HR"/>
        </w:rPr>
        <w:t>:</w:t>
      </w:r>
      <w:r w:rsidRPr="00E70398">
        <w:rPr>
          <w:rFonts w:eastAsia="Times New Roman" w:cs="Calibri"/>
          <w:bCs/>
          <w:color w:val="000000"/>
          <w:lang w:eastAsia="hr-HR"/>
        </w:rPr>
        <w:t xml:space="preserve"> Prikaz danih instrumenata osiguranja po osnovi sufinanciranja nadležnih ministarstva za projekte financirane iz EU sredstava- stanje na dan 31.prosinca 20</w:t>
      </w:r>
      <w:r>
        <w:rPr>
          <w:rFonts w:eastAsia="Times New Roman" w:cs="Calibri"/>
          <w:bCs/>
          <w:color w:val="000000"/>
          <w:lang w:eastAsia="hr-HR"/>
        </w:rPr>
        <w:t>25</w:t>
      </w:r>
      <w:r w:rsidRPr="00E70398">
        <w:rPr>
          <w:rFonts w:eastAsia="Times New Roman" w:cs="Calibri"/>
          <w:bCs/>
          <w:color w:val="000000"/>
          <w:lang w:eastAsia="hr-HR"/>
        </w:rPr>
        <w:t>.</w:t>
      </w:r>
    </w:p>
    <w:p w14:paraId="2CE64CDF" w14:textId="77777777" w:rsidR="0029516D" w:rsidRDefault="0029516D" w:rsidP="0029516D">
      <w:pPr>
        <w:spacing w:after="0" w:line="240" w:lineRule="auto"/>
        <w:jc w:val="both"/>
        <w:rPr>
          <w:rFonts w:eastAsia="Times New Roman" w:cs="Calibri"/>
          <w:color w:val="000000"/>
          <w:lang w:eastAsia="hr-HR"/>
        </w:rPr>
      </w:pPr>
    </w:p>
    <w:tbl>
      <w:tblPr>
        <w:tblW w:w="9978" w:type="dxa"/>
        <w:tblInd w:w="-344" w:type="dxa"/>
        <w:tblLook w:val="04A0" w:firstRow="1" w:lastRow="0" w:firstColumn="1" w:lastColumn="0" w:noHBand="0" w:noVBand="1"/>
      </w:tblPr>
      <w:tblGrid>
        <w:gridCol w:w="2044"/>
        <w:gridCol w:w="1352"/>
        <w:gridCol w:w="2164"/>
        <w:gridCol w:w="2435"/>
        <w:gridCol w:w="1983"/>
      </w:tblGrid>
      <w:tr w:rsidR="0029516D" w:rsidRPr="00E70398" w14:paraId="63F9A378" w14:textId="77777777" w:rsidTr="005F5D64">
        <w:trPr>
          <w:trHeight w:val="394"/>
        </w:trPr>
        <w:tc>
          <w:tcPr>
            <w:tcW w:w="2044" w:type="dxa"/>
            <w:tcBorders>
              <w:top w:val="single" w:sz="4" w:space="0" w:color="auto"/>
              <w:left w:val="single" w:sz="4" w:space="0" w:color="auto"/>
              <w:bottom w:val="single" w:sz="4" w:space="0" w:color="auto"/>
              <w:right w:val="single" w:sz="4" w:space="0" w:color="auto"/>
            </w:tcBorders>
            <w:shd w:val="clear" w:color="auto" w:fill="D9D9D9"/>
            <w:vAlign w:val="bottom"/>
          </w:tcPr>
          <w:p w14:paraId="1A1FC44E" w14:textId="77777777" w:rsidR="0029516D" w:rsidRPr="00952FDB" w:rsidRDefault="0029516D" w:rsidP="006A3EDA">
            <w:pPr>
              <w:spacing w:after="0" w:line="240" w:lineRule="auto"/>
              <w:rPr>
                <w:rFonts w:eastAsia="Times New Roman" w:cs="Calibri"/>
                <w:color w:val="000000"/>
                <w:sz w:val="18"/>
                <w:szCs w:val="18"/>
                <w:lang w:eastAsia="hr-HR"/>
              </w:rPr>
            </w:pPr>
            <w:r w:rsidRPr="00952FDB">
              <w:rPr>
                <w:rFonts w:eastAsia="Times New Roman" w:cs="Calibri"/>
                <w:color w:val="000000"/>
                <w:sz w:val="18"/>
                <w:szCs w:val="18"/>
                <w:lang w:eastAsia="hr-HR"/>
              </w:rPr>
              <w:t>Vrsta instrumenta osiguranja izdanog od Grada</w:t>
            </w:r>
          </w:p>
        </w:tc>
        <w:tc>
          <w:tcPr>
            <w:tcW w:w="1352" w:type="dxa"/>
            <w:tcBorders>
              <w:top w:val="single" w:sz="4" w:space="0" w:color="auto"/>
              <w:left w:val="single" w:sz="4" w:space="0" w:color="auto"/>
              <w:bottom w:val="single" w:sz="4" w:space="0" w:color="auto"/>
              <w:right w:val="single" w:sz="4" w:space="0" w:color="auto"/>
            </w:tcBorders>
            <w:shd w:val="clear" w:color="auto" w:fill="D9D9D9"/>
            <w:vAlign w:val="bottom"/>
          </w:tcPr>
          <w:p w14:paraId="4FBAAE24" w14:textId="77777777" w:rsidR="0029516D" w:rsidRPr="00952FDB" w:rsidRDefault="0029516D" w:rsidP="006A3EDA">
            <w:pPr>
              <w:spacing w:after="0" w:line="240" w:lineRule="auto"/>
              <w:rPr>
                <w:rFonts w:eastAsia="Times New Roman" w:cs="Calibri"/>
                <w:color w:val="000000"/>
                <w:sz w:val="18"/>
                <w:szCs w:val="18"/>
                <w:lang w:eastAsia="hr-HR"/>
              </w:rPr>
            </w:pPr>
            <w:r w:rsidRPr="00952FDB">
              <w:rPr>
                <w:rFonts w:eastAsia="Times New Roman" w:cs="Calibri"/>
                <w:color w:val="000000"/>
                <w:sz w:val="18"/>
                <w:szCs w:val="18"/>
                <w:lang w:eastAsia="hr-HR"/>
              </w:rPr>
              <w:t>Iznos danog instrumenta osiguranja</w:t>
            </w:r>
          </w:p>
        </w:tc>
        <w:tc>
          <w:tcPr>
            <w:tcW w:w="2164" w:type="dxa"/>
            <w:tcBorders>
              <w:top w:val="single" w:sz="4" w:space="0" w:color="auto"/>
              <w:left w:val="single" w:sz="4" w:space="0" w:color="auto"/>
              <w:bottom w:val="single" w:sz="4" w:space="0" w:color="auto"/>
              <w:right w:val="single" w:sz="4" w:space="0" w:color="auto"/>
            </w:tcBorders>
            <w:shd w:val="clear" w:color="auto" w:fill="D9D9D9"/>
            <w:vAlign w:val="bottom"/>
          </w:tcPr>
          <w:p w14:paraId="47B771B2" w14:textId="77777777" w:rsidR="0029516D" w:rsidRPr="00952FDB" w:rsidRDefault="0029516D" w:rsidP="006A3EDA">
            <w:pPr>
              <w:spacing w:after="0" w:line="240" w:lineRule="auto"/>
              <w:jc w:val="center"/>
              <w:rPr>
                <w:rFonts w:eastAsia="Times New Roman" w:cs="Calibri"/>
                <w:color w:val="000000"/>
                <w:sz w:val="18"/>
                <w:szCs w:val="18"/>
                <w:lang w:eastAsia="hr-HR"/>
              </w:rPr>
            </w:pPr>
            <w:r w:rsidRPr="00952FDB">
              <w:rPr>
                <w:rFonts w:eastAsia="Times New Roman" w:cs="Calibri"/>
                <w:color w:val="000000"/>
                <w:sz w:val="18"/>
                <w:szCs w:val="18"/>
                <w:lang w:eastAsia="hr-HR"/>
              </w:rPr>
              <w:t xml:space="preserve">Primatelj danog instrumenta osiguranja </w:t>
            </w:r>
          </w:p>
        </w:tc>
        <w:tc>
          <w:tcPr>
            <w:tcW w:w="2435" w:type="dxa"/>
            <w:tcBorders>
              <w:top w:val="single" w:sz="4" w:space="0" w:color="auto"/>
              <w:left w:val="single" w:sz="4" w:space="0" w:color="auto"/>
              <w:bottom w:val="single" w:sz="4" w:space="0" w:color="auto"/>
              <w:right w:val="single" w:sz="4" w:space="0" w:color="auto"/>
            </w:tcBorders>
            <w:shd w:val="clear" w:color="auto" w:fill="D9D9D9"/>
            <w:vAlign w:val="bottom"/>
          </w:tcPr>
          <w:p w14:paraId="6391929A" w14:textId="77777777" w:rsidR="0029516D" w:rsidRPr="00952FDB" w:rsidRDefault="0029516D" w:rsidP="006A3EDA">
            <w:pPr>
              <w:spacing w:after="0" w:line="240" w:lineRule="auto"/>
              <w:jc w:val="center"/>
              <w:rPr>
                <w:rFonts w:eastAsia="Times New Roman" w:cs="Calibri"/>
                <w:color w:val="000000"/>
                <w:sz w:val="18"/>
                <w:szCs w:val="18"/>
                <w:lang w:eastAsia="hr-HR"/>
              </w:rPr>
            </w:pPr>
            <w:r w:rsidRPr="00952FDB">
              <w:rPr>
                <w:rFonts w:eastAsia="Times New Roman" w:cs="Calibri"/>
                <w:color w:val="000000"/>
                <w:sz w:val="18"/>
                <w:szCs w:val="18"/>
                <w:lang w:eastAsia="hr-HR"/>
              </w:rPr>
              <w:t>Namjena</w:t>
            </w:r>
          </w:p>
        </w:tc>
        <w:tc>
          <w:tcPr>
            <w:tcW w:w="1983" w:type="dxa"/>
            <w:tcBorders>
              <w:top w:val="single" w:sz="4" w:space="0" w:color="auto"/>
              <w:left w:val="single" w:sz="4" w:space="0" w:color="auto"/>
              <w:bottom w:val="single" w:sz="4" w:space="0" w:color="auto"/>
              <w:right w:val="single" w:sz="4" w:space="0" w:color="auto"/>
            </w:tcBorders>
            <w:shd w:val="clear" w:color="auto" w:fill="D9D9D9"/>
            <w:vAlign w:val="bottom"/>
          </w:tcPr>
          <w:p w14:paraId="62B20F16" w14:textId="77777777" w:rsidR="0029516D" w:rsidRPr="00952FDB" w:rsidRDefault="0029516D" w:rsidP="006A3EDA">
            <w:pPr>
              <w:spacing w:after="0" w:line="240" w:lineRule="auto"/>
              <w:rPr>
                <w:rFonts w:eastAsia="Times New Roman" w:cs="Calibri"/>
                <w:color w:val="000000"/>
                <w:sz w:val="18"/>
                <w:szCs w:val="18"/>
                <w:lang w:eastAsia="hr-HR"/>
              </w:rPr>
            </w:pPr>
            <w:r w:rsidRPr="00952FDB">
              <w:rPr>
                <w:rFonts w:eastAsia="Times New Roman" w:cs="Calibri"/>
                <w:color w:val="000000"/>
                <w:sz w:val="18"/>
                <w:szCs w:val="18"/>
                <w:lang w:eastAsia="hr-HR"/>
              </w:rPr>
              <w:t>Temelj za izdavanje</w:t>
            </w:r>
          </w:p>
        </w:tc>
      </w:tr>
      <w:tr w:rsidR="0029516D" w:rsidRPr="00E70398" w14:paraId="7709DB3F" w14:textId="77777777" w:rsidTr="005F5D64">
        <w:trPr>
          <w:trHeight w:val="1085"/>
        </w:trPr>
        <w:tc>
          <w:tcPr>
            <w:tcW w:w="2044" w:type="dxa"/>
            <w:tcBorders>
              <w:top w:val="single" w:sz="4" w:space="0" w:color="auto"/>
              <w:left w:val="single" w:sz="4" w:space="0" w:color="auto"/>
              <w:bottom w:val="single" w:sz="4" w:space="0" w:color="auto"/>
              <w:right w:val="single" w:sz="4" w:space="0" w:color="auto"/>
            </w:tcBorders>
            <w:vAlign w:val="bottom"/>
            <w:hideMark/>
          </w:tcPr>
          <w:p w14:paraId="7B0122AF" w14:textId="77777777" w:rsidR="0029516D" w:rsidRPr="00952FDB" w:rsidRDefault="0029516D" w:rsidP="006A3EDA">
            <w:pPr>
              <w:spacing w:after="0" w:line="240" w:lineRule="auto"/>
              <w:rPr>
                <w:rFonts w:eastAsia="Times New Roman" w:cs="Calibri"/>
                <w:color w:val="000000"/>
                <w:sz w:val="18"/>
                <w:szCs w:val="18"/>
                <w:lang w:eastAsia="hr-HR"/>
              </w:rPr>
            </w:pPr>
            <w:r w:rsidRPr="00952FDB">
              <w:rPr>
                <w:rFonts w:eastAsia="Times New Roman" w:cs="Calibri"/>
                <w:color w:val="000000"/>
                <w:sz w:val="18"/>
                <w:szCs w:val="18"/>
                <w:lang w:eastAsia="hr-HR"/>
              </w:rPr>
              <w:t>1 BJANKO ZADUŽNICA</w:t>
            </w:r>
          </w:p>
          <w:p w14:paraId="759C8995" w14:textId="77777777" w:rsidR="0029516D" w:rsidRPr="00952FDB" w:rsidRDefault="0029516D" w:rsidP="006A3EDA">
            <w:pPr>
              <w:spacing w:after="0" w:line="240" w:lineRule="auto"/>
              <w:rPr>
                <w:rFonts w:eastAsia="Times New Roman" w:cs="Calibri"/>
                <w:color w:val="000000"/>
                <w:sz w:val="18"/>
                <w:szCs w:val="18"/>
                <w:lang w:eastAsia="hr-HR"/>
              </w:rPr>
            </w:pPr>
            <w:r w:rsidRPr="00952FDB">
              <w:rPr>
                <w:rFonts w:eastAsia="Times New Roman" w:cs="Calibri"/>
                <w:color w:val="000000"/>
                <w:sz w:val="18"/>
                <w:szCs w:val="18"/>
                <w:lang w:eastAsia="hr-HR"/>
              </w:rPr>
              <w:t xml:space="preserve">1 BJANKO ZADUŽNICA            1 BJANKO </w:t>
            </w:r>
            <w:r>
              <w:rPr>
                <w:rFonts w:eastAsia="Times New Roman" w:cs="Calibri"/>
                <w:color w:val="000000"/>
                <w:sz w:val="18"/>
                <w:szCs w:val="18"/>
                <w:lang w:eastAsia="hr-HR"/>
              </w:rPr>
              <w:t>ZADUŽNICA</w:t>
            </w:r>
          </w:p>
          <w:p w14:paraId="11571CA2" w14:textId="77777777" w:rsidR="0029516D" w:rsidRPr="00952FDB" w:rsidRDefault="0029516D" w:rsidP="006A3EDA">
            <w:pPr>
              <w:spacing w:after="0" w:line="240" w:lineRule="auto"/>
              <w:rPr>
                <w:rFonts w:eastAsia="Times New Roman" w:cs="Calibri"/>
                <w:color w:val="000000"/>
                <w:sz w:val="18"/>
                <w:szCs w:val="18"/>
                <w:lang w:eastAsia="hr-HR"/>
              </w:rPr>
            </w:pPr>
            <w:r w:rsidRPr="00952FDB">
              <w:rPr>
                <w:rFonts w:eastAsia="Times New Roman" w:cs="Calibri"/>
                <w:color w:val="000000"/>
                <w:sz w:val="18"/>
                <w:szCs w:val="18"/>
                <w:lang w:eastAsia="hr-HR"/>
              </w:rPr>
              <w:t xml:space="preserve">1 BJANKO ZADUŽNICA </w:t>
            </w:r>
          </w:p>
        </w:tc>
        <w:tc>
          <w:tcPr>
            <w:tcW w:w="1352" w:type="dxa"/>
            <w:tcBorders>
              <w:top w:val="single" w:sz="4" w:space="0" w:color="auto"/>
              <w:left w:val="single" w:sz="4" w:space="0" w:color="auto"/>
              <w:bottom w:val="single" w:sz="4" w:space="0" w:color="auto"/>
              <w:right w:val="single" w:sz="4" w:space="0" w:color="auto"/>
            </w:tcBorders>
            <w:vAlign w:val="bottom"/>
            <w:hideMark/>
          </w:tcPr>
          <w:p w14:paraId="55F21DEF" w14:textId="77777777" w:rsidR="0029516D" w:rsidRDefault="0029516D" w:rsidP="006A3EDA">
            <w:pPr>
              <w:spacing w:after="0" w:line="240" w:lineRule="auto"/>
              <w:rPr>
                <w:rFonts w:eastAsia="Times New Roman" w:cs="Calibri"/>
                <w:color w:val="000000"/>
                <w:sz w:val="18"/>
                <w:szCs w:val="18"/>
                <w:lang w:eastAsia="hr-HR"/>
              </w:rPr>
            </w:pPr>
            <w:r w:rsidRPr="00952FDB">
              <w:rPr>
                <w:rFonts w:eastAsia="Times New Roman" w:cs="Calibri"/>
                <w:color w:val="000000"/>
                <w:sz w:val="18"/>
                <w:szCs w:val="18"/>
                <w:lang w:eastAsia="hr-HR"/>
              </w:rPr>
              <w:t>1.000.000</w:t>
            </w:r>
            <w:r>
              <w:rPr>
                <w:rFonts w:eastAsia="Times New Roman" w:cs="Calibri"/>
                <w:color w:val="000000"/>
                <w:sz w:val="18"/>
                <w:szCs w:val="18"/>
                <w:lang w:eastAsia="hr-HR"/>
              </w:rPr>
              <w:t xml:space="preserve"> (kuna)</w:t>
            </w:r>
            <w:r w:rsidRPr="00952FDB">
              <w:rPr>
                <w:rFonts w:eastAsia="Times New Roman" w:cs="Calibri"/>
                <w:color w:val="000000"/>
                <w:sz w:val="18"/>
                <w:szCs w:val="18"/>
                <w:lang w:eastAsia="hr-HR"/>
              </w:rPr>
              <w:t xml:space="preserve">                                       100.000   </w:t>
            </w:r>
            <w:r>
              <w:rPr>
                <w:rFonts w:eastAsia="Times New Roman" w:cs="Calibri"/>
                <w:color w:val="000000"/>
                <w:sz w:val="18"/>
                <w:szCs w:val="18"/>
                <w:lang w:eastAsia="hr-HR"/>
              </w:rPr>
              <w:t>(kuna)</w:t>
            </w:r>
            <w:r w:rsidRPr="00952FDB">
              <w:rPr>
                <w:rFonts w:eastAsia="Times New Roman" w:cs="Calibri"/>
                <w:color w:val="000000"/>
                <w:sz w:val="18"/>
                <w:szCs w:val="18"/>
                <w:lang w:eastAsia="hr-HR"/>
              </w:rPr>
              <w:t xml:space="preserve">                                        100.000    </w:t>
            </w:r>
            <w:r>
              <w:rPr>
                <w:rFonts w:eastAsia="Times New Roman" w:cs="Calibri"/>
                <w:color w:val="000000"/>
                <w:sz w:val="18"/>
                <w:szCs w:val="18"/>
                <w:lang w:eastAsia="hr-HR"/>
              </w:rPr>
              <w:t>(kuna)</w:t>
            </w:r>
            <w:r w:rsidRPr="00952FDB">
              <w:rPr>
                <w:rFonts w:eastAsia="Times New Roman" w:cs="Calibri"/>
                <w:color w:val="000000"/>
                <w:sz w:val="18"/>
                <w:szCs w:val="18"/>
                <w:lang w:eastAsia="hr-HR"/>
              </w:rPr>
              <w:t xml:space="preserve">                                      50.000</w:t>
            </w:r>
            <w:r>
              <w:rPr>
                <w:rFonts w:eastAsia="Times New Roman" w:cs="Calibri"/>
                <w:color w:val="000000"/>
                <w:sz w:val="18"/>
                <w:szCs w:val="18"/>
                <w:lang w:eastAsia="hr-HR"/>
              </w:rPr>
              <w:t xml:space="preserve"> (kuna)</w:t>
            </w:r>
          </w:p>
          <w:p w14:paraId="447344AC" w14:textId="77777777" w:rsidR="0029516D" w:rsidRPr="00952FDB" w:rsidRDefault="0029516D" w:rsidP="006A3EDA">
            <w:pPr>
              <w:spacing w:after="0" w:line="240" w:lineRule="auto"/>
              <w:rPr>
                <w:rFonts w:eastAsia="Times New Roman" w:cs="Calibri"/>
                <w:color w:val="000000"/>
                <w:sz w:val="18"/>
                <w:szCs w:val="18"/>
                <w:lang w:eastAsia="hr-HR"/>
              </w:rPr>
            </w:pPr>
            <w:r>
              <w:rPr>
                <w:rFonts w:eastAsia="Times New Roman" w:cs="Calibri"/>
                <w:color w:val="000000"/>
                <w:sz w:val="18"/>
                <w:szCs w:val="18"/>
                <w:lang w:eastAsia="hr-HR"/>
              </w:rPr>
              <w:t>Ukupno: 165.903,51 EUR</w:t>
            </w:r>
          </w:p>
        </w:tc>
        <w:tc>
          <w:tcPr>
            <w:tcW w:w="2164" w:type="dxa"/>
            <w:tcBorders>
              <w:top w:val="single" w:sz="4" w:space="0" w:color="auto"/>
              <w:left w:val="single" w:sz="4" w:space="0" w:color="auto"/>
              <w:bottom w:val="single" w:sz="4" w:space="0" w:color="auto"/>
              <w:right w:val="single" w:sz="4" w:space="0" w:color="auto"/>
            </w:tcBorders>
            <w:vAlign w:val="bottom"/>
            <w:hideMark/>
          </w:tcPr>
          <w:p w14:paraId="151E5513" w14:textId="77777777" w:rsidR="0029516D" w:rsidRPr="00952FDB" w:rsidRDefault="0029516D" w:rsidP="006A3EDA">
            <w:pPr>
              <w:spacing w:after="0" w:line="240" w:lineRule="auto"/>
              <w:jc w:val="center"/>
              <w:rPr>
                <w:rFonts w:eastAsia="Times New Roman" w:cs="Calibri"/>
                <w:color w:val="000000"/>
                <w:sz w:val="18"/>
                <w:szCs w:val="18"/>
                <w:lang w:eastAsia="hr-HR"/>
              </w:rPr>
            </w:pPr>
            <w:r w:rsidRPr="00952FDB">
              <w:rPr>
                <w:rFonts w:eastAsia="Times New Roman" w:cs="Calibri"/>
                <w:color w:val="000000"/>
                <w:sz w:val="18"/>
                <w:szCs w:val="18"/>
                <w:lang w:eastAsia="hr-HR"/>
              </w:rPr>
              <w:t>FOND ZA ZAŠTITU OKOLIŠA I ENERGETSKU UČINKOVITOST</w:t>
            </w:r>
          </w:p>
        </w:tc>
        <w:tc>
          <w:tcPr>
            <w:tcW w:w="2435" w:type="dxa"/>
            <w:tcBorders>
              <w:top w:val="single" w:sz="4" w:space="0" w:color="auto"/>
              <w:left w:val="single" w:sz="4" w:space="0" w:color="auto"/>
              <w:bottom w:val="single" w:sz="4" w:space="0" w:color="auto"/>
              <w:right w:val="single" w:sz="4" w:space="0" w:color="auto"/>
            </w:tcBorders>
            <w:vAlign w:val="bottom"/>
            <w:hideMark/>
          </w:tcPr>
          <w:p w14:paraId="47B28488" w14:textId="77777777" w:rsidR="0029516D" w:rsidRPr="00952FDB" w:rsidRDefault="0029516D" w:rsidP="006A3EDA">
            <w:pPr>
              <w:spacing w:after="0" w:line="240" w:lineRule="auto"/>
              <w:jc w:val="center"/>
              <w:rPr>
                <w:rFonts w:eastAsia="Times New Roman" w:cs="Calibri"/>
                <w:color w:val="000000"/>
                <w:sz w:val="18"/>
                <w:szCs w:val="18"/>
                <w:lang w:eastAsia="hr-HR"/>
              </w:rPr>
            </w:pPr>
            <w:r w:rsidRPr="00952FDB">
              <w:rPr>
                <w:rFonts w:eastAsia="Times New Roman" w:cs="Calibri"/>
                <w:color w:val="000000"/>
                <w:sz w:val="18"/>
                <w:szCs w:val="18"/>
                <w:lang w:eastAsia="hr-HR"/>
              </w:rPr>
              <w:t>POKRIVANJE 40% OD UKUPNO PROCJENJENE VRIJEDNOSTI U FINANCIRANJU NABAVE SPREMNIKA ZA ODVOJENO PRIKUPLJANJE OTPADA</w:t>
            </w:r>
          </w:p>
        </w:tc>
        <w:tc>
          <w:tcPr>
            <w:tcW w:w="1983" w:type="dxa"/>
            <w:tcBorders>
              <w:top w:val="single" w:sz="4" w:space="0" w:color="auto"/>
              <w:left w:val="single" w:sz="4" w:space="0" w:color="auto"/>
              <w:bottom w:val="single" w:sz="4" w:space="0" w:color="auto"/>
              <w:right w:val="single" w:sz="4" w:space="0" w:color="auto"/>
            </w:tcBorders>
            <w:vAlign w:val="bottom"/>
            <w:hideMark/>
          </w:tcPr>
          <w:p w14:paraId="26932BF3" w14:textId="77777777" w:rsidR="0029516D" w:rsidRPr="00952FDB" w:rsidRDefault="0029516D" w:rsidP="006A3EDA">
            <w:pPr>
              <w:spacing w:after="0" w:line="240" w:lineRule="auto"/>
              <w:rPr>
                <w:rFonts w:eastAsia="Times New Roman" w:cs="Calibri"/>
                <w:color w:val="000000"/>
                <w:sz w:val="18"/>
                <w:szCs w:val="18"/>
                <w:lang w:eastAsia="hr-HR"/>
              </w:rPr>
            </w:pPr>
            <w:r w:rsidRPr="00952FDB">
              <w:rPr>
                <w:rFonts w:eastAsia="Times New Roman" w:cs="Calibri"/>
                <w:color w:val="000000"/>
                <w:sz w:val="18"/>
                <w:szCs w:val="18"/>
                <w:lang w:eastAsia="hr-HR"/>
              </w:rPr>
              <w:t>UGOVOR BR.2018/001271</w:t>
            </w:r>
          </w:p>
        </w:tc>
      </w:tr>
      <w:tr w:rsidR="0029516D" w:rsidRPr="00E70398" w14:paraId="097ED955" w14:textId="77777777" w:rsidTr="005F5D64">
        <w:trPr>
          <w:trHeight w:val="966"/>
        </w:trPr>
        <w:tc>
          <w:tcPr>
            <w:tcW w:w="2044" w:type="dxa"/>
            <w:tcBorders>
              <w:top w:val="single" w:sz="4" w:space="0" w:color="auto"/>
              <w:left w:val="single" w:sz="4" w:space="0" w:color="auto"/>
              <w:bottom w:val="single" w:sz="4" w:space="0" w:color="auto"/>
              <w:right w:val="single" w:sz="4" w:space="0" w:color="auto"/>
            </w:tcBorders>
            <w:vAlign w:val="bottom"/>
          </w:tcPr>
          <w:p w14:paraId="502CF526" w14:textId="77777777" w:rsidR="0029516D" w:rsidRPr="00952FDB" w:rsidRDefault="0029516D" w:rsidP="006A3EDA">
            <w:pPr>
              <w:spacing w:after="0" w:line="240" w:lineRule="auto"/>
              <w:rPr>
                <w:rFonts w:eastAsia="Times New Roman" w:cs="Calibri"/>
                <w:color w:val="000000"/>
                <w:sz w:val="18"/>
                <w:szCs w:val="18"/>
                <w:lang w:eastAsia="hr-HR"/>
              </w:rPr>
            </w:pPr>
            <w:r w:rsidRPr="00952FDB">
              <w:rPr>
                <w:rFonts w:eastAsia="Times New Roman" w:cs="Calibri"/>
                <w:color w:val="000000"/>
                <w:sz w:val="18"/>
                <w:szCs w:val="18"/>
                <w:lang w:eastAsia="hr-HR"/>
              </w:rPr>
              <w:t>1 BJANKO ZADUŽNICA</w:t>
            </w:r>
          </w:p>
          <w:p w14:paraId="67C596FB" w14:textId="77777777" w:rsidR="0029516D" w:rsidRPr="00952FDB" w:rsidRDefault="0029516D" w:rsidP="006A3EDA">
            <w:pPr>
              <w:spacing w:after="0" w:line="240" w:lineRule="auto"/>
              <w:rPr>
                <w:rFonts w:eastAsia="Times New Roman" w:cs="Calibri"/>
                <w:color w:val="000000"/>
                <w:sz w:val="18"/>
                <w:szCs w:val="18"/>
                <w:lang w:eastAsia="hr-HR"/>
              </w:rPr>
            </w:pPr>
            <w:r w:rsidRPr="00952FDB">
              <w:rPr>
                <w:rFonts w:eastAsia="Times New Roman" w:cs="Calibri"/>
                <w:color w:val="000000"/>
                <w:sz w:val="18"/>
                <w:szCs w:val="18"/>
                <w:lang w:eastAsia="hr-HR"/>
              </w:rPr>
              <w:t xml:space="preserve">1 BJANKO ZADUŽNICA            1 BJANKO </w:t>
            </w:r>
            <w:r>
              <w:rPr>
                <w:rFonts w:eastAsia="Times New Roman" w:cs="Calibri"/>
                <w:color w:val="000000"/>
                <w:sz w:val="18"/>
                <w:szCs w:val="18"/>
                <w:lang w:eastAsia="hr-HR"/>
              </w:rPr>
              <w:t>ZADUŽNICA</w:t>
            </w:r>
          </w:p>
          <w:p w14:paraId="223E15C5" w14:textId="77777777" w:rsidR="0029516D" w:rsidRPr="00952FDB" w:rsidRDefault="0029516D" w:rsidP="006A3EDA">
            <w:pPr>
              <w:spacing w:after="0" w:line="240" w:lineRule="auto"/>
              <w:rPr>
                <w:rFonts w:eastAsia="Times New Roman" w:cs="Calibri"/>
                <w:color w:val="000000"/>
                <w:sz w:val="18"/>
                <w:szCs w:val="18"/>
                <w:lang w:eastAsia="hr-HR"/>
              </w:rPr>
            </w:pPr>
          </w:p>
        </w:tc>
        <w:tc>
          <w:tcPr>
            <w:tcW w:w="1352" w:type="dxa"/>
            <w:tcBorders>
              <w:top w:val="single" w:sz="4" w:space="0" w:color="auto"/>
              <w:left w:val="single" w:sz="4" w:space="0" w:color="auto"/>
              <w:bottom w:val="single" w:sz="4" w:space="0" w:color="auto"/>
              <w:right w:val="single" w:sz="4" w:space="0" w:color="auto"/>
            </w:tcBorders>
            <w:vAlign w:val="bottom"/>
          </w:tcPr>
          <w:p w14:paraId="42D5E056" w14:textId="77777777" w:rsidR="0029516D" w:rsidRDefault="0029516D" w:rsidP="006A3EDA">
            <w:pPr>
              <w:spacing w:after="0" w:line="240" w:lineRule="auto"/>
              <w:rPr>
                <w:rFonts w:eastAsia="Times New Roman" w:cs="Calibri"/>
                <w:color w:val="000000"/>
                <w:sz w:val="18"/>
                <w:szCs w:val="18"/>
                <w:lang w:eastAsia="hr-HR"/>
              </w:rPr>
            </w:pPr>
            <w:r>
              <w:rPr>
                <w:rFonts w:eastAsia="Times New Roman" w:cs="Calibri"/>
                <w:color w:val="000000"/>
                <w:sz w:val="18"/>
                <w:szCs w:val="18"/>
                <w:lang w:eastAsia="hr-HR"/>
              </w:rPr>
              <w:t>10.000,00 EUR 20.000,00 EUR 2.000,00 EUR</w:t>
            </w:r>
          </w:p>
          <w:p w14:paraId="220C1ECF" w14:textId="77777777" w:rsidR="0029516D" w:rsidRDefault="0029516D" w:rsidP="006A3EDA">
            <w:pPr>
              <w:spacing w:after="0" w:line="240" w:lineRule="auto"/>
              <w:rPr>
                <w:rFonts w:eastAsia="Times New Roman" w:cs="Calibri"/>
                <w:color w:val="000000"/>
                <w:sz w:val="18"/>
                <w:szCs w:val="18"/>
                <w:lang w:eastAsia="hr-HR"/>
              </w:rPr>
            </w:pPr>
            <w:r>
              <w:rPr>
                <w:rFonts w:eastAsia="Times New Roman" w:cs="Calibri"/>
                <w:color w:val="000000"/>
                <w:sz w:val="18"/>
                <w:szCs w:val="18"/>
                <w:lang w:eastAsia="hr-HR"/>
              </w:rPr>
              <w:t>Ukupno: 32.000,00 EUR</w:t>
            </w:r>
          </w:p>
        </w:tc>
        <w:tc>
          <w:tcPr>
            <w:tcW w:w="2164" w:type="dxa"/>
            <w:tcBorders>
              <w:top w:val="single" w:sz="4" w:space="0" w:color="auto"/>
              <w:left w:val="single" w:sz="4" w:space="0" w:color="auto"/>
              <w:bottom w:val="single" w:sz="4" w:space="0" w:color="auto"/>
              <w:right w:val="single" w:sz="4" w:space="0" w:color="auto"/>
            </w:tcBorders>
            <w:vAlign w:val="bottom"/>
          </w:tcPr>
          <w:p w14:paraId="46069D54" w14:textId="77777777" w:rsidR="0029516D" w:rsidRPr="00952FDB" w:rsidRDefault="0029516D" w:rsidP="006A3EDA">
            <w:pPr>
              <w:spacing w:after="0" w:line="240" w:lineRule="auto"/>
              <w:jc w:val="center"/>
              <w:rPr>
                <w:rFonts w:eastAsia="Times New Roman" w:cs="Calibri"/>
                <w:color w:val="000000"/>
                <w:sz w:val="18"/>
                <w:szCs w:val="18"/>
                <w:lang w:eastAsia="hr-HR"/>
              </w:rPr>
            </w:pPr>
            <w:r>
              <w:rPr>
                <w:rFonts w:eastAsia="Times New Roman" w:cs="Calibri"/>
                <w:color w:val="000000"/>
                <w:sz w:val="18"/>
                <w:szCs w:val="18"/>
                <w:lang w:eastAsia="hr-HR"/>
              </w:rPr>
              <w:t>SREDIŠNJI URED ZA DEMOGRAFIJU I MLADE</w:t>
            </w:r>
          </w:p>
        </w:tc>
        <w:tc>
          <w:tcPr>
            <w:tcW w:w="2435" w:type="dxa"/>
            <w:tcBorders>
              <w:top w:val="single" w:sz="4" w:space="0" w:color="auto"/>
              <w:left w:val="single" w:sz="4" w:space="0" w:color="auto"/>
              <w:bottom w:val="single" w:sz="4" w:space="0" w:color="auto"/>
              <w:right w:val="single" w:sz="4" w:space="0" w:color="auto"/>
            </w:tcBorders>
            <w:vAlign w:val="bottom"/>
          </w:tcPr>
          <w:p w14:paraId="06CE66DA" w14:textId="77777777" w:rsidR="0029516D" w:rsidRPr="00952FDB" w:rsidRDefault="0029516D" w:rsidP="006A3EDA">
            <w:pPr>
              <w:spacing w:after="0" w:line="240" w:lineRule="auto"/>
              <w:jc w:val="center"/>
              <w:rPr>
                <w:rFonts w:eastAsia="Times New Roman" w:cs="Calibri"/>
                <w:color w:val="000000"/>
                <w:sz w:val="18"/>
                <w:szCs w:val="18"/>
                <w:lang w:eastAsia="hr-HR"/>
              </w:rPr>
            </w:pPr>
            <w:r>
              <w:rPr>
                <w:rFonts w:eastAsia="Times New Roman" w:cs="Calibri"/>
                <w:color w:val="000000"/>
                <w:sz w:val="18"/>
                <w:szCs w:val="18"/>
                <w:lang w:eastAsia="hr-HR"/>
              </w:rPr>
              <w:t>PROJEKT ULAGANJA U OBJEKT DJEČJEG VRTIĆA (IGRALIŠTE DV LEPTIRIĆ)</w:t>
            </w:r>
          </w:p>
        </w:tc>
        <w:tc>
          <w:tcPr>
            <w:tcW w:w="1983" w:type="dxa"/>
            <w:tcBorders>
              <w:top w:val="single" w:sz="4" w:space="0" w:color="auto"/>
              <w:left w:val="single" w:sz="4" w:space="0" w:color="auto"/>
              <w:bottom w:val="single" w:sz="4" w:space="0" w:color="auto"/>
              <w:right w:val="single" w:sz="4" w:space="0" w:color="auto"/>
            </w:tcBorders>
            <w:vAlign w:val="bottom"/>
          </w:tcPr>
          <w:p w14:paraId="374C69AD" w14:textId="77777777" w:rsidR="0029516D" w:rsidRPr="00952FDB" w:rsidRDefault="0029516D" w:rsidP="006A3EDA">
            <w:pPr>
              <w:spacing w:after="0" w:line="240" w:lineRule="auto"/>
              <w:rPr>
                <w:rFonts w:eastAsia="Times New Roman" w:cs="Calibri"/>
                <w:color w:val="000000"/>
                <w:sz w:val="18"/>
                <w:szCs w:val="18"/>
                <w:lang w:eastAsia="hr-HR"/>
              </w:rPr>
            </w:pPr>
            <w:r w:rsidRPr="00952FDB">
              <w:rPr>
                <w:rFonts w:eastAsia="Times New Roman" w:cs="Calibri"/>
                <w:color w:val="000000"/>
                <w:sz w:val="18"/>
                <w:szCs w:val="18"/>
                <w:lang w:eastAsia="hr-HR"/>
              </w:rPr>
              <w:t xml:space="preserve">UGOVOR O FINANCIRANJU </w:t>
            </w:r>
            <w:r>
              <w:rPr>
                <w:rFonts w:eastAsia="Times New Roman" w:cs="Calibri"/>
                <w:color w:val="000000"/>
                <w:sz w:val="18"/>
                <w:szCs w:val="18"/>
                <w:lang w:eastAsia="hr-HR"/>
              </w:rPr>
              <w:t>KL:402-02/24-02/4</w:t>
            </w:r>
          </w:p>
        </w:tc>
      </w:tr>
      <w:tr w:rsidR="0029516D" w:rsidRPr="00E70398" w14:paraId="204B2698" w14:textId="77777777" w:rsidTr="005F5D64">
        <w:trPr>
          <w:trHeight w:val="966"/>
        </w:trPr>
        <w:tc>
          <w:tcPr>
            <w:tcW w:w="2044" w:type="dxa"/>
            <w:tcBorders>
              <w:top w:val="single" w:sz="4" w:space="0" w:color="auto"/>
              <w:left w:val="single" w:sz="4" w:space="0" w:color="auto"/>
              <w:bottom w:val="single" w:sz="4" w:space="0" w:color="auto"/>
              <w:right w:val="single" w:sz="4" w:space="0" w:color="auto"/>
            </w:tcBorders>
            <w:vAlign w:val="bottom"/>
          </w:tcPr>
          <w:p w14:paraId="6264504B" w14:textId="77777777" w:rsidR="0029516D" w:rsidRPr="002508AB" w:rsidRDefault="0029516D" w:rsidP="006A3EDA">
            <w:pPr>
              <w:spacing w:after="0" w:line="240" w:lineRule="auto"/>
              <w:rPr>
                <w:rFonts w:eastAsia="Times New Roman" w:cs="Calibri"/>
                <w:color w:val="000000"/>
                <w:sz w:val="18"/>
                <w:szCs w:val="18"/>
                <w:lang w:eastAsia="hr-HR"/>
              </w:rPr>
            </w:pPr>
            <w:r w:rsidRPr="002508AB">
              <w:rPr>
                <w:rFonts w:cs="Calibri"/>
                <w:color w:val="000000"/>
                <w:sz w:val="18"/>
                <w:szCs w:val="18"/>
              </w:rPr>
              <w:t xml:space="preserve">  1 BJANKO ZADUŽNICA </w:t>
            </w:r>
          </w:p>
        </w:tc>
        <w:tc>
          <w:tcPr>
            <w:tcW w:w="1352" w:type="dxa"/>
            <w:tcBorders>
              <w:top w:val="single" w:sz="4" w:space="0" w:color="auto"/>
              <w:left w:val="single" w:sz="4" w:space="0" w:color="auto"/>
              <w:bottom w:val="single" w:sz="4" w:space="0" w:color="auto"/>
              <w:right w:val="single" w:sz="4" w:space="0" w:color="auto"/>
            </w:tcBorders>
            <w:vAlign w:val="bottom"/>
          </w:tcPr>
          <w:p w14:paraId="3D6932D9" w14:textId="77777777" w:rsidR="0029516D" w:rsidRPr="002508AB" w:rsidRDefault="0029516D" w:rsidP="006A3EDA">
            <w:pPr>
              <w:spacing w:after="0" w:line="240" w:lineRule="auto"/>
              <w:rPr>
                <w:rFonts w:eastAsia="Times New Roman" w:cs="Calibri"/>
                <w:color w:val="000000"/>
                <w:sz w:val="18"/>
                <w:szCs w:val="18"/>
                <w:lang w:eastAsia="hr-HR"/>
              </w:rPr>
            </w:pPr>
            <w:r w:rsidRPr="002508AB">
              <w:rPr>
                <w:rFonts w:cs="Calibri"/>
                <w:color w:val="000000"/>
                <w:sz w:val="18"/>
                <w:szCs w:val="18"/>
              </w:rPr>
              <w:t>40.000,00</w:t>
            </w:r>
          </w:p>
        </w:tc>
        <w:tc>
          <w:tcPr>
            <w:tcW w:w="2164" w:type="dxa"/>
            <w:tcBorders>
              <w:top w:val="single" w:sz="4" w:space="0" w:color="auto"/>
              <w:left w:val="single" w:sz="4" w:space="0" w:color="auto"/>
              <w:bottom w:val="single" w:sz="4" w:space="0" w:color="auto"/>
              <w:right w:val="single" w:sz="4" w:space="0" w:color="auto"/>
            </w:tcBorders>
            <w:vAlign w:val="bottom"/>
          </w:tcPr>
          <w:p w14:paraId="07D0945D" w14:textId="77777777" w:rsidR="0029516D" w:rsidRPr="002508AB" w:rsidRDefault="0029516D" w:rsidP="006A3EDA">
            <w:pPr>
              <w:spacing w:after="0" w:line="240" w:lineRule="auto"/>
              <w:jc w:val="center"/>
              <w:rPr>
                <w:rFonts w:eastAsia="Times New Roman" w:cs="Calibri"/>
                <w:color w:val="000000"/>
                <w:sz w:val="18"/>
                <w:szCs w:val="18"/>
                <w:lang w:eastAsia="hr-HR"/>
              </w:rPr>
            </w:pPr>
            <w:r w:rsidRPr="002508AB">
              <w:rPr>
                <w:rFonts w:cs="Calibri"/>
                <w:color w:val="000000"/>
                <w:sz w:val="18"/>
                <w:szCs w:val="18"/>
              </w:rPr>
              <w:t>MINISTARSTVO DEMOGRAFIJE I USELJENIŠTVA</w:t>
            </w:r>
          </w:p>
        </w:tc>
        <w:tc>
          <w:tcPr>
            <w:tcW w:w="2435" w:type="dxa"/>
            <w:tcBorders>
              <w:top w:val="single" w:sz="4" w:space="0" w:color="auto"/>
              <w:left w:val="single" w:sz="4" w:space="0" w:color="auto"/>
              <w:bottom w:val="single" w:sz="4" w:space="0" w:color="auto"/>
              <w:right w:val="single" w:sz="4" w:space="0" w:color="auto"/>
            </w:tcBorders>
            <w:vAlign w:val="bottom"/>
          </w:tcPr>
          <w:p w14:paraId="67D86BFB" w14:textId="77777777" w:rsidR="0029516D" w:rsidRPr="002508AB" w:rsidRDefault="0029516D" w:rsidP="006A3EDA">
            <w:pPr>
              <w:spacing w:after="0" w:line="240" w:lineRule="auto"/>
              <w:jc w:val="center"/>
              <w:rPr>
                <w:rFonts w:eastAsia="Times New Roman" w:cs="Calibri"/>
                <w:color w:val="000000"/>
                <w:sz w:val="18"/>
                <w:szCs w:val="18"/>
                <w:lang w:eastAsia="hr-HR"/>
              </w:rPr>
            </w:pPr>
            <w:r w:rsidRPr="002508AB">
              <w:rPr>
                <w:rFonts w:cs="Calibri"/>
                <w:color w:val="000000"/>
                <w:sz w:val="18"/>
                <w:szCs w:val="18"/>
              </w:rPr>
              <w:t>UREĐENJE DVORIŠTA I OPREMANJE DJEČJEG VRTIĆA TRORGIR, PODRUČNI OBJEKT MORE</w:t>
            </w:r>
          </w:p>
        </w:tc>
        <w:tc>
          <w:tcPr>
            <w:tcW w:w="1983" w:type="dxa"/>
            <w:tcBorders>
              <w:top w:val="single" w:sz="4" w:space="0" w:color="auto"/>
              <w:left w:val="single" w:sz="4" w:space="0" w:color="auto"/>
              <w:bottom w:val="single" w:sz="4" w:space="0" w:color="auto"/>
              <w:right w:val="single" w:sz="4" w:space="0" w:color="auto"/>
            </w:tcBorders>
            <w:vAlign w:val="bottom"/>
          </w:tcPr>
          <w:p w14:paraId="74B35EDC" w14:textId="77777777" w:rsidR="0029516D" w:rsidRPr="002508AB" w:rsidRDefault="0029516D" w:rsidP="006A3EDA">
            <w:pPr>
              <w:spacing w:after="0" w:line="240" w:lineRule="auto"/>
              <w:rPr>
                <w:rFonts w:eastAsia="Times New Roman" w:cs="Calibri"/>
                <w:color w:val="000000"/>
                <w:sz w:val="18"/>
                <w:szCs w:val="18"/>
                <w:lang w:eastAsia="hr-HR"/>
              </w:rPr>
            </w:pPr>
            <w:r w:rsidRPr="002508AB">
              <w:rPr>
                <w:rFonts w:cs="Calibri"/>
                <w:color w:val="000000"/>
                <w:sz w:val="18"/>
                <w:szCs w:val="18"/>
              </w:rPr>
              <w:t>ODLUKA O FINANCIRANJU PROJEKTNOG PRIJEDLOGA KL: 011-02/25-02/10; URBROJ: 519-02-01-01/2-25-1</w:t>
            </w:r>
          </w:p>
        </w:tc>
      </w:tr>
      <w:tr w:rsidR="0029516D" w:rsidRPr="00E70398" w14:paraId="4B4DB511" w14:textId="77777777" w:rsidTr="005F5D64">
        <w:trPr>
          <w:trHeight w:val="966"/>
        </w:trPr>
        <w:tc>
          <w:tcPr>
            <w:tcW w:w="2044" w:type="dxa"/>
            <w:tcBorders>
              <w:top w:val="single" w:sz="4" w:space="0" w:color="auto"/>
              <w:left w:val="single" w:sz="4" w:space="0" w:color="auto"/>
              <w:bottom w:val="single" w:sz="4" w:space="0" w:color="auto"/>
              <w:right w:val="single" w:sz="4" w:space="0" w:color="auto"/>
            </w:tcBorders>
            <w:vAlign w:val="bottom"/>
          </w:tcPr>
          <w:p w14:paraId="7E1454AE" w14:textId="77777777" w:rsidR="0029516D" w:rsidRPr="002508AB" w:rsidRDefault="0029516D" w:rsidP="006A3EDA">
            <w:pPr>
              <w:spacing w:after="0" w:line="240" w:lineRule="auto"/>
              <w:rPr>
                <w:rFonts w:eastAsia="Times New Roman" w:cs="Calibri"/>
                <w:color w:val="000000"/>
                <w:sz w:val="18"/>
                <w:szCs w:val="18"/>
                <w:lang w:eastAsia="hr-HR"/>
              </w:rPr>
            </w:pPr>
            <w:r w:rsidRPr="002508AB">
              <w:rPr>
                <w:rFonts w:cs="Calibri"/>
                <w:color w:val="000000"/>
                <w:sz w:val="18"/>
                <w:szCs w:val="18"/>
              </w:rPr>
              <w:t xml:space="preserve">  1 OBIČNA ZADUŽNICA </w:t>
            </w:r>
          </w:p>
        </w:tc>
        <w:tc>
          <w:tcPr>
            <w:tcW w:w="1352" w:type="dxa"/>
            <w:tcBorders>
              <w:top w:val="single" w:sz="4" w:space="0" w:color="auto"/>
              <w:left w:val="single" w:sz="4" w:space="0" w:color="auto"/>
              <w:bottom w:val="single" w:sz="4" w:space="0" w:color="auto"/>
              <w:right w:val="single" w:sz="4" w:space="0" w:color="auto"/>
            </w:tcBorders>
            <w:vAlign w:val="bottom"/>
          </w:tcPr>
          <w:p w14:paraId="6D0191A4" w14:textId="77777777" w:rsidR="0029516D" w:rsidRPr="002508AB" w:rsidRDefault="0029516D" w:rsidP="006A3EDA">
            <w:pPr>
              <w:spacing w:after="0" w:line="240" w:lineRule="auto"/>
              <w:rPr>
                <w:rFonts w:eastAsia="Times New Roman" w:cs="Calibri"/>
                <w:color w:val="000000"/>
                <w:sz w:val="18"/>
                <w:szCs w:val="18"/>
                <w:lang w:eastAsia="hr-HR"/>
              </w:rPr>
            </w:pPr>
            <w:r w:rsidRPr="002508AB">
              <w:rPr>
                <w:rFonts w:cs="Calibri"/>
                <w:color w:val="000000"/>
                <w:sz w:val="18"/>
                <w:szCs w:val="18"/>
              </w:rPr>
              <w:t>90.000,00</w:t>
            </w:r>
          </w:p>
        </w:tc>
        <w:tc>
          <w:tcPr>
            <w:tcW w:w="2164" w:type="dxa"/>
            <w:tcBorders>
              <w:top w:val="single" w:sz="4" w:space="0" w:color="auto"/>
              <w:left w:val="single" w:sz="4" w:space="0" w:color="auto"/>
              <w:bottom w:val="single" w:sz="4" w:space="0" w:color="auto"/>
              <w:right w:val="single" w:sz="4" w:space="0" w:color="auto"/>
            </w:tcBorders>
            <w:vAlign w:val="bottom"/>
          </w:tcPr>
          <w:p w14:paraId="703D3949" w14:textId="77777777" w:rsidR="0029516D" w:rsidRPr="002508AB" w:rsidRDefault="0029516D" w:rsidP="006A3EDA">
            <w:pPr>
              <w:spacing w:after="0" w:line="240" w:lineRule="auto"/>
              <w:jc w:val="center"/>
              <w:rPr>
                <w:rFonts w:eastAsia="Times New Roman" w:cs="Calibri"/>
                <w:color w:val="000000"/>
                <w:sz w:val="18"/>
                <w:szCs w:val="18"/>
                <w:lang w:eastAsia="hr-HR"/>
              </w:rPr>
            </w:pPr>
            <w:r w:rsidRPr="002508AB">
              <w:rPr>
                <w:rFonts w:cs="Calibri"/>
                <w:color w:val="000000"/>
                <w:sz w:val="18"/>
                <w:szCs w:val="18"/>
              </w:rPr>
              <w:t>MINISTARSTVO REGIONALNOG RAZVOJA I FONDOVA EU</w:t>
            </w:r>
          </w:p>
        </w:tc>
        <w:tc>
          <w:tcPr>
            <w:tcW w:w="2435" w:type="dxa"/>
            <w:tcBorders>
              <w:top w:val="single" w:sz="4" w:space="0" w:color="auto"/>
              <w:left w:val="single" w:sz="4" w:space="0" w:color="auto"/>
              <w:bottom w:val="single" w:sz="4" w:space="0" w:color="auto"/>
              <w:right w:val="single" w:sz="4" w:space="0" w:color="auto"/>
            </w:tcBorders>
            <w:vAlign w:val="bottom"/>
          </w:tcPr>
          <w:p w14:paraId="77CB9755" w14:textId="77777777" w:rsidR="0029516D" w:rsidRPr="002508AB" w:rsidRDefault="0029516D" w:rsidP="006A3EDA">
            <w:pPr>
              <w:spacing w:after="0" w:line="240" w:lineRule="auto"/>
              <w:jc w:val="center"/>
              <w:rPr>
                <w:rFonts w:eastAsia="Times New Roman" w:cs="Calibri"/>
                <w:color w:val="000000"/>
                <w:sz w:val="18"/>
                <w:szCs w:val="18"/>
                <w:lang w:eastAsia="hr-HR"/>
              </w:rPr>
            </w:pPr>
            <w:r w:rsidRPr="002508AB">
              <w:rPr>
                <w:rFonts w:cs="Calibri"/>
                <w:color w:val="000000"/>
                <w:sz w:val="18"/>
                <w:szCs w:val="18"/>
              </w:rPr>
              <w:t>UREĐENJE TRGA RUDINE NA DRVENIKU MALOM- I.FAZA</w:t>
            </w:r>
          </w:p>
        </w:tc>
        <w:tc>
          <w:tcPr>
            <w:tcW w:w="1983" w:type="dxa"/>
            <w:tcBorders>
              <w:top w:val="single" w:sz="4" w:space="0" w:color="auto"/>
              <w:left w:val="single" w:sz="4" w:space="0" w:color="auto"/>
              <w:bottom w:val="single" w:sz="4" w:space="0" w:color="auto"/>
              <w:right w:val="single" w:sz="4" w:space="0" w:color="auto"/>
            </w:tcBorders>
            <w:vAlign w:val="bottom"/>
          </w:tcPr>
          <w:p w14:paraId="587994C9" w14:textId="77777777" w:rsidR="0029516D" w:rsidRPr="002508AB" w:rsidRDefault="0029516D" w:rsidP="006A3EDA">
            <w:pPr>
              <w:spacing w:after="0" w:line="240" w:lineRule="auto"/>
              <w:rPr>
                <w:rFonts w:eastAsia="Times New Roman" w:cs="Calibri"/>
                <w:color w:val="000000"/>
                <w:sz w:val="18"/>
                <w:szCs w:val="18"/>
                <w:lang w:eastAsia="hr-HR"/>
              </w:rPr>
            </w:pPr>
            <w:r w:rsidRPr="002508AB">
              <w:rPr>
                <w:rFonts w:cs="Calibri"/>
                <w:color w:val="000000"/>
                <w:sz w:val="18"/>
                <w:szCs w:val="18"/>
              </w:rPr>
              <w:t>UGOVOR O FINANCIRANJU BR.08-FI-E-0123/25-17</w:t>
            </w:r>
          </w:p>
        </w:tc>
      </w:tr>
      <w:tr w:rsidR="0029516D" w:rsidRPr="00E70398" w14:paraId="210779DF" w14:textId="77777777" w:rsidTr="005F5D64">
        <w:trPr>
          <w:trHeight w:val="1299"/>
        </w:trPr>
        <w:tc>
          <w:tcPr>
            <w:tcW w:w="2044" w:type="dxa"/>
            <w:tcBorders>
              <w:top w:val="single" w:sz="4" w:space="0" w:color="auto"/>
              <w:left w:val="single" w:sz="4" w:space="0" w:color="auto"/>
              <w:bottom w:val="single" w:sz="4" w:space="0" w:color="auto"/>
              <w:right w:val="single" w:sz="4" w:space="0" w:color="auto"/>
            </w:tcBorders>
            <w:vAlign w:val="bottom"/>
          </w:tcPr>
          <w:p w14:paraId="7F28230A" w14:textId="77777777" w:rsidR="0029516D" w:rsidRPr="002508AB" w:rsidRDefault="0029516D" w:rsidP="006A3EDA">
            <w:pPr>
              <w:spacing w:after="0" w:line="240" w:lineRule="auto"/>
              <w:rPr>
                <w:rFonts w:eastAsia="Times New Roman" w:cs="Calibri"/>
                <w:color w:val="000000"/>
                <w:sz w:val="18"/>
                <w:szCs w:val="18"/>
                <w:lang w:eastAsia="hr-HR"/>
              </w:rPr>
            </w:pPr>
            <w:r w:rsidRPr="002508AB">
              <w:rPr>
                <w:rFonts w:cs="Calibri"/>
                <w:color w:val="000000"/>
                <w:sz w:val="18"/>
                <w:szCs w:val="18"/>
              </w:rPr>
              <w:t xml:space="preserve">  1 OBIČNA ZADUŽNICA </w:t>
            </w:r>
          </w:p>
        </w:tc>
        <w:tc>
          <w:tcPr>
            <w:tcW w:w="1352" w:type="dxa"/>
            <w:tcBorders>
              <w:top w:val="single" w:sz="4" w:space="0" w:color="auto"/>
              <w:left w:val="single" w:sz="4" w:space="0" w:color="auto"/>
              <w:bottom w:val="single" w:sz="4" w:space="0" w:color="auto"/>
              <w:right w:val="single" w:sz="4" w:space="0" w:color="auto"/>
            </w:tcBorders>
            <w:vAlign w:val="bottom"/>
          </w:tcPr>
          <w:p w14:paraId="41D53CFB" w14:textId="77777777" w:rsidR="0029516D" w:rsidRPr="002508AB" w:rsidRDefault="0029516D" w:rsidP="006A3EDA">
            <w:pPr>
              <w:spacing w:after="0" w:line="240" w:lineRule="auto"/>
              <w:rPr>
                <w:rFonts w:eastAsia="Times New Roman" w:cs="Calibri"/>
                <w:color w:val="000000"/>
                <w:sz w:val="18"/>
                <w:szCs w:val="18"/>
                <w:lang w:eastAsia="hr-HR"/>
              </w:rPr>
            </w:pPr>
            <w:r w:rsidRPr="002508AB">
              <w:rPr>
                <w:rFonts w:cs="Calibri"/>
                <w:color w:val="000000"/>
                <w:sz w:val="18"/>
                <w:szCs w:val="18"/>
              </w:rPr>
              <w:t>36.000,00</w:t>
            </w:r>
          </w:p>
        </w:tc>
        <w:tc>
          <w:tcPr>
            <w:tcW w:w="2164" w:type="dxa"/>
            <w:tcBorders>
              <w:top w:val="single" w:sz="4" w:space="0" w:color="auto"/>
              <w:left w:val="single" w:sz="4" w:space="0" w:color="auto"/>
              <w:bottom w:val="single" w:sz="4" w:space="0" w:color="auto"/>
              <w:right w:val="single" w:sz="4" w:space="0" w:color="auto"/>
            </w:tcBorders>
            <w:vAlign w:val="bottom"/>
          </w:tcPr>
          <w:p w14:paraId="2C9136E3" w14:textId="77777777" w:rsidR="0029516D" w:rsidRPr="002508AB" w:rsidRDefault="0029516D" w:rsidP="006A3EDA">
            <w:pPr>
              <w:spacing w:after="0" w:line="240" w:lineRule="auto"/>
              <w:jc w:val="center"/>
              <w:rPr>
                <w:rFonts w:eastAsia="Times New Roman" w:cs="Calibri"/>
                <w:color w:val="000000"/>
                <w:sz w:val="18"/>
                <w:szCs w:val="18"/>
                <w:lang w:eastAsia="hr-HR"/>
              </w:rPr>
            </w:pPr>
            <w:r w:rsidRPr="002508AB">
              <w:rPr>
                <w:rFonts w:cs="Calibri"/>
                <w:color w:val="000000"/>
                <w:sz w:val="18"/>
                <w:szCs w:val="18"/>
              </w:rPr>
              <w:t>MINISTARSTVO REGIONALNOG RAZVOJA I FONDOVA EU</w:t>
            </w:r>
          </w:p>
        </w:tc>
        <w:tc>
          <w:tcPr>
            <w:tcW w:w="2435" w:type="dxa"/>
            <w:tcBorders>
              <w:top w:val="single" w:sz="4" w:space="0" w:color="auto"/>
              <w:left w:val="single" w:sz="4" w:space="0" w:color="auto"/>
              <w:bottom w:val="single" w:sz="4" w:space="0" w:color="auto"/>
              <w:right w:val="single" w:sz="4" w:space="0" w:color="auto"/>
            </w:tcBorders>
            <w:vAlign w:val="bottom"/>
          </w:tcPr>
          <w:p w14:paraId="59F363CD" w14:textId="77777777" w:rsidR="0029516D" w:rsidRPr="002508AB" w:rsidRDefault="0029516D" w:rsidP="006A3EDA">
            <w:pPr>
              <w:spacing w:after="0" w:line="240" w:lineRule="auto"/>
              <w:jc w:val="center"/>
              <w:rPr>
                <w:rFonts w:eastAsia="Times New Roman" w:cs="Calibri"/>
                <w:color w:val="000000"/>
                <w:sz w:val="18"/>
                <w:szCs w:val="18"/>
                <w:lang w:eastAsia="hr-HR"/>
              </w:rPr>
            </w:pPr>
            <w:r w:rsidRPr="002508AB">
              <w:rPr>
                <w:rFonts w:cs="Calibri"/>
                <w:color w:val="000000"/>
                <w:sz w:val="18"/>
                <w:szCs w:val="18"/>
              </w:rPr>
              <w:t>OPREMANJE DJ.IGRALIŠTA TE OSIGURANJE PRISTUPAČNOSTI PLAŽE I MORA OSOBAMA S INV.I SMANJENE POKRETLJIVOSTI NA PLAŽI SALDUN</w:t>
            </w:r>
          </w:p>
        </w:tc>
        <w:tc>
          <w:tcPr>
            <w:tcW w:w="1983" w:type="dxa"/>
            <w:tcBorders>
              <w:top w:val="single" w:sz="4" w:space="0" w:color="auto"/>
              <w:left w:val="single" w:sz="4" w:space="0" w:color="auto"/>
              <w:bottom w:val="single" w:sz="4" w:space="0" w:color="auto"/>
              <w:right w:val="single" w:sz="4" w:space="0" w:color="auto"/>
            </w:tcBorders>
            <w:vAlign w:val="bottom"/>
          </w:tcPr>
          <w:p w14:paraId="6948984C" w14:textId="77777777" w:rsidR="0029516D" w:rsidRPr="002508AB" w:rsidRDefault="0029516D" w:rsidP="006A3EDA">
            <w:pPr>
              <w:spacing w:after="0" w:line="240" w:lineRule="auto"/>
              <w:rPr>
                <w:rFonts w:eastAsia="Times New Roman" w:cs="Calibri"/>
                <w:color w:val="000000"/>
                <w:sz w:val="18"/>
                <w:szCs w:val="18"/>
                <w:lang w:eastAsia="hr-HR"/>
              </w:rPr>
            </w:pPr>
            <w:r w:rsidRPr="002508AB">
              <w:rPr>
                <w:rFonts w:cs="Calibri"/>
                <w:color w:val="000000"/>
                <w:sz w:val="18"/>
                <w:szCs w:val="18"/>
              </w:rPr>
              <w:t>UGOVOR O FINANCIRANJU BR.08-FI-E-0122/25-17</w:t>
            </w:r>
          </w:p>
        </w:tc>
      </w:tr>
      <w:tr w:rsidR="0029516D" w:rsidRPr="00E70398" w14:paraId="65928D41" w14:textId="77777777" w:rsidTr="005F5D64">
        <w:trPr>
          <w:trHeight w:val="708"/>
        </w:trPr>
        <w:tc>
          <w:tcPr>
            <w:tcW w:w="2044" w:type="dxa"/>
            <w:tcBorders>
              <w:top w:val="single" w:sz="4" w:space="0" w:color="auto"/>
              <w:left w:val="single" w:sz="4" w:space="0" w:color="auto"/>
              <w:bottom w:val="single" w:sz="4" w:space="0" w:color="auto"/>
              <w:right w:val="single" w:sz="4" w:space="0" w:color="auto"/>
            </w:tcBorders>
            <w:vAlign w:val="bottom"/>
          </w:tcPr>
          <w:p w14:paraId="36DB26D2" w14:textId="77777777" w:rsidR="0029516D" w:rsidRPr="00952FDB" w:rsidRDefault="0029516D" w:rsidP="006A3EDA">
            <w:pPr>
              <w:spacing w:after="0" w:line="240" w:lineRule="auto"/>
              <w:rPr>
                <w:rFonts w:eastAsia="Times New Roman" w:cs="Calibri"/>
                <w:color w:val="000000"/>
                <w:sz w:val="18"/>
                <w:szCs w:val="18"/>
                <w:lang w:eastAsia="hr-HR"/>
              </w:rPr>
            </w:pPr>
            <w:r>
              <w:rPr>
                <w:rFonts w:eastAsia="Times New Roman" w:cs="Calibri"/>
                <w:color w:val="000000"/>
                <w:sz w:val="18"/>
                <w:szCs w:val="18"/>
                <w:lang w:eastAsia="hr-HR"/>
              </w:rPr>
              <w:t>1</w:t>
            </w:r>
            <w:r w:rsidRPr="00952FDB">
              <w:rPr>
                <w:rFonts w:eastAsia="Times New Roman" w:cs="Calibri"/>
                <w:color w:val="000000"/>
                <w:sz w:val="18"/>
                <w:szCs w:val="18"/>
                <w:lang w:eastAsia="hr-HR"/>
              </w:rPr>
              <w:t xml:space="preserve"> BJANKO ZADUŽNICA</w:t>
            </w:r>
          </w:p>
          <w:p w14:paraId="106D12B8" w14:textId="77777777" w:rsidR="0029516D" w:rsidRPr="00952FDB" w:rsidRDefault="0029516D" w:rsidP="006A3EDA">
            <w:pPr>
              <w:spacing w:after="0" w:line="240" w:lineRule="auto"/>
              <w:rPr>
                <w:rFonts w:eastAsia="Times New Roman" w:cs="Calibri"/>
                <w:color w:val="000000"/>
                <w:sz w:val="18"/>
                <w:szCs w:val="18"/>
                <w:lang w:eastAsia="hr-HR"/>
              </w:rPr>
            </w:pPr>
            <w:r w:rsidRPr="00952FDB">
              <w:rPr>
                <w:rFonts w:eastAsia="Times New Roman" w:cs="Calibri"/>
                <w:color w:val="000000"/>
                <w:sz w:val="18"/>
                <w:szCs w:val="18"/>
                <w:lang w:eastAsia="hr-HR"/>
              </w:rPr>
              <w:t xml:space="preserve">1 BJANKO ZADUŽNICA            1 BJANKO </w:t>
            </w:r>
            <w:r>
              <w:rPr>
                <w:rFonts w:eastAsia="Times New Roman" w:cs="Calibri"/>
                <w:color w:val="000000"/>
                <w:sz w:val="18"/>
                <w:szCs w:val="18"/>
                <w:lang w:eastAsia="hr-HR"/>
              </w:rPr>
              <w:t>ZADUŽNICA</w:t>
            </w:r>
          </w:p>
          <w:p w14:paraId="4373DACF" w14:textId="77777777" w:rsidR="0029516D" w:rsidRPr="002508AB" w:rsidRDefault="0029516D" w:rsidP="006A3EDA">
            <w:pPr>
              <w:spacing w:after="0" w:line="240" w:lineRule="auto"/>
              <w:rPr>
                <w:rFonts w:eastAsia="Times New Roman" w:cs="Calibri"/>
                <w:color w:val="000000"/>
                <w:sz w:val="18"/>
                <w:szCs w:val="18"/>
                <w:lang w:eastAsia="hr-HR"/>
              </w:rPr>
            </w:pPr>
            <w:r w:rsidRPr="00952FDB">
              <w:rPr>
                <w:rFonts w:eastAsia="Times New Roman" w:cs="Calibri"/>
                <w:color w:val="000000"/>
                <w:sz w:val="18"/>
                <w:szCs w:val="18"/>
                <w:lang w:eastAsia="hr-HR"/>
              </w:rPr>
              <w:t>1 BJANKO ZADUŽNICA</w:t>
            </w:r>
          </w:p>
        </w:tc>
        <w:tc>
          <w:tcPr>
            <w:tcW w:w="1352" w:type="dxa"/>
            <w:tcBorders>
              <w:top w:val="single" w:sz="4" w:space="0" w:color="auto"/>
              <w:left w:val="single" w:sz="4" w:space="0" w:color="auto"/>
              <w:bottom w:val="single" w:sz="4" w:space="0" w:color="auto"/>
              <w:right w:val="single" w:sz="4" w:space="0" w:color="auto"/>
            </w:tcBorders>
            <w:vAlign w:val="bottom"/>
          </w:tcPr>
          <w:p w14:paraId="21B366D2" w14:textId="7EA4DFD8" w:rsidR="005F5D64" w:rsidRDefault="0029516D" w:rsidP="006A3EDA">
            <w:pPr>
              <w:spacing w:after="0" w:line="240" w:lineRule="auto"/>
              <w:rPr>
                <w:rFonts w:eastAsia="Times New Roman" w:cs="Calibri"/>
                <w:color w:val="000000"/>
                <w:sz w:val="18"/>
                <w:szCs w:val="18"/>
                <w:lang w:eastAsia="hr-HR"/>
              </w:rPr>
            </w:pPr>
            <w:r>
              <w:rPr>
                <w:rFonts w:eastAsia="Times New Roman" w:cs="Calibri"/>
                <w:color w:val="000000"/>
                <w:sz w:val="18"/>
                <w:szCs w:val="18"/>
                <w:lang w:eastAsia="hr-HR"/>
              </w:rPr>
              <w:t>150.000,00</w:t>
            </w:r>
            <w:r w:rsidR="005F5D64">
              <w:rPr>
                <w:rFonts w:eastAsia="Times New Roman" w:cs="Calibri"/>
                <w:color w:val="000000"/>
                <w:sz w:val="18"/>
                <w:szCs w:val="18"/>
                <w:lang w:eastAsia="hr-HR"/>
              </w:rPr>
              <w:t xml:space="preserve"> €</w:t>
            </w:r>
          </w:p>
          <w:p w14:paraId="48918D0C" w14:textId="77777777" w:rsidR="005F5D64" w:rsidRDefault="0029516D" w:rsidP="006A3EDA">
            <w:pPr>
              <w:spacing w:after="0" w:line="240" w:lineRule="auto"/>
              <w:rPr>
                <w:rFonts w:eastAsia="Times New Roman" w:cs="Calibri"/>
                <w:color w:val="000000"/>
                <w:sz w:val="18"/>
                <w:szCs w:val="18"/>
                <w:lang w:eastAsia="hr-HR"/>
              </w:rPr>
            </w:pPr>
            <w:r>
              <w:rPr>
                <w:rFonts w:eastAsia="Times New Roman" w:cs="Calibri"/>
                <w:color w:val="000000"/>
                <w:sz w:val="18"/>
                <w:szCs w:val="18"/>
                <w:lang w:eastAsia="hr-HR"/>
              </w:rPr>
              <w:t>150.000,00</w:t>
            </w:r>
            <w:r w:rsidR="005F5D64">
              <w:rPr>
                <w:rFonts w:eastAsia="Times New Roman" w:cs="Calibri"/>
                <w:color w:val="000000"/>
                <w:sz w:val="18"/>
                <w:szCs w:val="18"/>
                <w:lang w:eastAsia="hr-HR"/>
              </w:rPr>
              <w:t>€</w:t>
            </w:r>
          </w:p>
          <w:p w14:paraId="4E9E195B" w14:textId="12DCE9C4" w:rsidR="0029516D" w:rsidRDefault="0029516D" w:rsidP="006A3EDA">
            <w:pPr>
              <w:spacing w:after="0" w:line="240" w:lineRule="auto"/>
              <w:rPr>
                <w:rFonts w:eastAsia="Times New Roman" w:cs="Calibri"/>
                <w:color w:val="000000"/>
                <w:sz w:val="18"/>
                <w:szCs w:val="18"/>
                <w:lang w:eastAsia="hr-HR"/>
              </w:rPr>
            </w:pPr>
            <w:r>
              <w:rPr>
                <w:rFonts w:eastAsia="Times New Roman" w:cs="Calibri"/>
                <w:color w:val="000000"/>
                <w:sz w:val="18"/>
                <w:szCs w:val="18"/>
                <w:lang w:eastAsia="hr-HR"/>
              </w:rPr>
              <w:t xml:space="preserve">150.000,00 </w:t>
            </w:r>
            <w:r w:rsidR="005F5D64">
              <w:rPr>
                <w:rFonts w:eastAsia="Times New Roman" w:cs="Calibri"/>
                <w:color w:val="000000"/>
                <w:sz w:val="18"/>
                <w:szCs w:val="18"/>
                <w:lang w:eastAsia="hr-HR"/>
              </w:rPr>
              <w:t>€</w:t>
            </w:r>
          </w:p>
          <w:p w14:paraId="223F8FF4" w14:textId="52EAAB70" w:rsidR="0029516D" w:rsidRDefault="0029516D" w:rsidP="006A3EDA">
            <w:pPr>
              <w:spacing w:after="0" w:line="240" w:lineRule="auto"/>
              <w:rPr>
                <w:rFonts w:eastAsia="Times New Roman" w:cs="Calibri"/>
                <w:color w:val="000000"/>
                <w:sz w:val="18"/>
                <w:szCs w:val="18"/>
                <w:lang w:eastAsia="hr-HR"/>
              </w:rPr>
            </w:pPr>
            <w:r>
              <w:rPr>
                <w:rFonts w:eastAsia="Times New Roman" w:cs="Calibri"/>
                <w:color w:val="000000"/>
                <w:sz w:val="18"/>
                <w:szCs w:val="18"/>
                <w:lang w:eastAsia="hr-HR"/>
              </w:rPr>
              <w:t xml:space="preserve">150.000,00 </w:t>
            </w:r>
            <w:r w:rsidR="005F5D64">
              <w:rPr>
                <w:rFonts w:eastAsia="Times New Roman" w:cs="Calibri"/>
                <w:color w:val="000000"/>
                <w:sz w:val="18"/>
                <w:szCs w:val="18"/>
                <w:lang w:eastAsia="hr-HR"/>
              </w:rPr>
              <w:t>€</w:t>
            </w:r>
          </w:p>
          <w:p w14:paraId="7B823996" w14:textId="7B6875D8" w:rsidR="0029516D" w:rsidRPr="002508AB" w:rsidRDefault="0029516D" w:rsidP="006A3EDA">
            <w:pPr>
              <w:spacing w:after="0" w:line="240" w:lineRule="auto"/>
              <w:rPr>
                <w:rFonts w:eastAsia="Times New Roman" w:cs="Calibri"/>
                <w:color w:val="000000"/>
                <w:sz w:val="18"/>
                <w:szCs w:val="18"/>
                <w:lang w:eastAsia="hr-HR"/>
              </w:rPr>
            </w:pPr>
            <w:r>
              <w:rPr>
                <w:rFonts w:eastAsia="Times New Roman" w:cs="Calibri"/>
                <w:color w:val="000000"/>
                <w:sz w:val="18"/>
                <w:szCs w:val="18"/>
                <w:lang w:eastAsia="hr-HR"/>
              </w:rPr>
              <w:t xml:space="preserve">Ukupno: 600.000,00 </w:t>
            </w:r>
            <w:r w:rsidR="00917137">
              <w:rPr>
                <w:rFonts w:eastAsia="Times New Roman" w:cs="Calibri"/>
                <w:color w:val="000000"/>
                <w:sz w:val="18"/>
                <w:szCs w:val="18"/>
                <w:lang w:eastAsia="hr-HR"/>
              </w:rPr>
              <w:t>€</w:t>
            </w:r>
          </w:p>
        </w:tc>
        <w:tc>
          <w:tcPr>
            <w:tcW w:w="2164" w:type="dxa"/>
            <w:tcBorders>
              <w:top w:val="single" w:sz="4" w:space="0" w:color="auto"/>
              <w:left w:val="single" w:sz="4" w:space="0" w:color="auto"/>
              <w:bottom w:val="single" w:sz="4" w:space="0" w:color="auto"/>
              <w:right w:val="single" w:sz="4" w:space="0" w:color="auto"/>
            </w:tcBorders>
            <w:vAlign w:val="bottom"/>
          </w:tcPr>
          <w:p w14:paraId="4DE8274D" w14:textId="77777777" w:rsidR="0029516D" w:rsidRPr="002508AB" w:rsidRDefault="0029516D" w:rsidP="006A3EDA">
            <w:pPr>
              <w:spacing w:after="0" w:line="240" w:lineRule="auto"/>
              <w:jc w:val="center"/>
              <w:rPr>
                <w:rFonts w:eastAsia="Times New Roman" w:cs="Calibri"/>
                <w:color w:val="000000"/>
                <w:sz w:val="18"/>
                <w:szCs w:val="18"/>
                <w:lang w:eastAsia="hr-HR"/>
              </w:rPr>
            </w:pPr>
            <w:r w:rsidRPr="002508AB">
              <w:rPr>
                <w:rFonts w:cs="Calibri"/>
                <w:color w:val="000000"/>
                <w:sz w:val="18"/>
                <w:szCs w:val="18"/>
              </w:rPr>
              <w:t>MINISTARSTVO REGIONALNOG RAZVOJA I FONDOVA EU</w:t>
            </w:r>
          </w:p>
        </w:tc>
        <w:tc>
          <w:tcPr>
            <w:tcW w:w="2435" w:type="dxa"/>
            <w:tcBorders>
              <w:top w:val="single" w:sz="4" w:space="0" w:color="auto"/>
              <w:left w:val="single" w:sz="4" w:space="0" w:color="auto"/>
              <w:bottom w:val="single" w:sz="4" w:space="0" w:color="auto"/>
              <w:right w:val="single" w:sz="4" w:space="0" w:color="auto"/>
            </w:tcBorders>
            <w:vAlign w:val="bottom"/>
          </w:tcPr>
          <w:p w14:paraId="5E389FE5" w14:textId="77777777" w:rsidR="0029516D" w:rsidRPr="002508AB" w:rsidRDefault="0029516D" w:rsidP="005F5D64">
            <w:pPr>
              <w:spacing w:after="0" w:line="240" w:lineRule="auto"/>
              <w:rPr>
                <w:rFonts w:eastAsia="Times New Roman" w:cs="Calibri"/>
                <w:color w:val="000000"/>
                <w:sz w:val="18"/>
                <w:szCs w:val="18"/>
                <w:lang w:eastAsia="hr-HR"/>
              </w:rPr>
            </w:pPr>
            <w:r w:rsidRPr="002508AB">
              <w:rPr>
                <w:rFonts w:cs="Calibri"/>
                <w:color w:val="000000"/>
                <w:sz w:val="18"/>
                <w:szCs w:val="18"/>
              </w:rPr>
              <w:t>UREĐENJE OBALNOG POJASA BRIGI- LOKVICE CJELINA 1 ŠETNICA OD LUKOBRANA PŠU LOKVICE DO ZAPADNOG DIJELA PASTROALNOG CENTRA</w:t>
            </w:r>
          </w:p>
        </w:tc>
        <w:tc>
          <w:tcPr>
            <w:tcW w:w="1983" w:type="dxa"/>
            <w:tcBorders>
              <w:top w:val="single" w:sz="4" w:space="0" w:color="auto"/>
              <w:left w:val="single" w:sz="4" w:space="0" w:color="auto"/>
              <w:bottom w:val="single" w:sz="4" w:space="0" w:color="auto"/>
              <w:right w:val="single" w:sz="4" w:space="0" w:color="auto"/>
            </w:tcBorders>
            <w:vAlign w:val="bottom"/>
          </w:tcPr>
          <w:p w14:paraId="3D5AF5C0" w14:textId="77777777" w:rsidR="0029516D" w:rsidRPr="002508AB" w:rsidRDefault="0029516D" w:rsidP="006A3EDA">
            <w:pPr>
              <w:spacing w:after="0" w:line="240" w:lineRule="auto"/>
              <w:rPr>
                <w:rFonts w:eastAsia="Times New Roman" w:cs="Calibri"/>
                <w:color w:val="000000"/>
                <w:sz w:val="18"/>
                <w:szCs w:val="18"/>
                <w:lang w:eastAsia="hr-HR"/>
              </w:rPr>
            </w:pPr>
            <w:r w:rsidRPr="002508AB">
              <w:rPr>
                <w:rFonts w:cs="Calibri"/>
                <w:color w:val="000000"/>
                <w:sz w:val="18"/>
                <w:szCs w:val="18"/>
              </w:rPr>
              <w:t>UGOVOR O FINANCIRANJU BR.JPF.2025.-2.036</w:t>
            </w:r>
          </w:p>
        </w:tc>
      </w:tr>
    </w:tbl>
    <w:p w14:paraId="22904CBA" w14:textId="77777777" w:rsidR="005F5D64" w:rsidRDefault="005F5D64" w:rsidP="00177DFD">
      <w:pPr>
        <w:jc w:val="center"/>
        <w:rPr>
          <w:rFonts w:cstheme="minorHAnsi"/>
          <w:b/>
          <w:sz w:val="28"/>
          <w:szCs w:val="28"/>
        </w:rPr>
      </w:pPr>
    </w:p>
    <w:p w14:paraId="3CA68AF1" w14:textId="153438AE" w:rsidR="0005560C" w:rsidRPr="002A764E" w:rsidRDefault="0005560C" w:rsidP="00177DFD">
      <w:pPr>
        <w:jc w:val="center"/>
        <w:rPr>
          <w:rFonts w:cstheme="minorHAnsi"/>
          <w:sz w:val="28"/>
          <w:szCs w:val="28"/>
        </w:rPr>
      </w:pPr>
      <w:r w:rsidRPr="002A764E">
        <w:rPr>
          <w:rFonts w:cstheme="minorHAnsi"/>
          <w:b/>
          <w:sz w:val="28"/>
          <w:szCs w:val="28"/>
        </w:rPr>
        <w:lastRenderedPageBreak/>
        <w:t xml:space="preserve">OBRAZLOŽENJE </w:t>
      </w:r>
      <w:r w:rsidR="00EC3BED">
        <w:rPr>
          <w:rFonts w:cstheme="minorHAnsi"/>
          <w:b/>
          <w:sz w:val="28"/>
          <w:szCs w:val="28"/>
        </w:rPr>
        <w:t>IZVRŠENJA FINANCIJSKIH PLANOVA UPRAVNIH ODJELA</w:t>
      </w:r>
      <w:r w:rsidR="007212AD">
        <w:rPr>
          <w:rFonts w:cstheme="minorHAnsi"/>
          <w:b/>
          <w:sz w:val="28"/>
          <w:szCs w:val="28"/>
        </w:rPr>
        <w:t xml:space="preserve"> GRADA TROGIRA</w:t>
      </w:r>
      <w:r w:rsidR="00192E22">
        <w:rPr>
          <w:rFonts w:cstheme="minorHAnsi"/>
          <w:b/>
          <w:sz w:val="28"/>
          <w:szCs w:val="28"/>
        </w:rPr>
        <w:t xml:space="preserve"> I PRORAČUNSKIH KORISNIKA</w:t>
      </w:r>
      <w:r w:rsidR="007212AD">
        <w:rPr>
          <w:rFonts w:cstheme="minorHAnsi"/>
          <w:b/>
          <w:sz w:val="28"/>
          <w:szCs w:val="28"/>
        </w:rPr>
        <w:t xml:space="preserve"> ZA</w:t>
      </w:r>
      <w:r w:rsidR="0084140B">
        <w:rPr>
          <w:rFonts w:cstheme="minorHAnsi"/>
          <w:b/>
          <w:sz w:val="28"/>
          <w:szCs w:val="28"/>
        </w:rPr>
        <w:t xml:space="preserve"> IZVJEŠTAJNO</w:t>
      </w:r>
      <w:r w:rsidR="007212AD">
        <w:rPr>
          <w:rFonts w:cstheme="minorHAnsi"/>
          <w:b/>
          <w:sz w:val="28"/>
          <w:szCs w:val="28"/>
        </w:rPr>
        <w:t xml:space="preserve"> </w:t>
      </w:r>
      <w:r w:rsidR="002B23D8">
        <w:rPr>
          <w:rFonts w:cstheme="minorHAnsi"/>
          <w:b/>
          <w:sz w:val="28"/>
          <w:szCs w:val="28"/>
        </w:rPr>
        <w:t>RAZDOBLJE</w:t>
      </w:r>
      <w:r w:rsidR="0084140B">
        <w:rPr>
          <w:rFonts w:cstheme="minorHAnsi"/>
          <w:b/>
          <w:sz w:val="28"/>
          <w:szCs w:val="28"/>
        </w:rPr>
        <w:t xml:space="preserve"> </w:t>
      </w:r>
      <w:r w:rsidR="005621BB">
        <w:rPr>
          <w:rFonts w:cstheme="minorHAnsi"/>
          <w:b/>
          <w:sz w:val="28"/>
          <w:szCs w:val="28"/>
        </w:rPr>
        <w:t>202</w:t>
      </w:r>
      <w:r w:rsidR="00547D17">
        <w:rPr>
          <w:rFonts w:cstheme="minorHAnsi"/>
          <w:b/>
          <w:sz w:val="28"/>
          <w:szCs w:val="28"/>
        </w:rPr>
        <w:t>5</w:t>
      </w:r>
      <w:r w:rsidR="007212AD">
        <w:rPr>
          <w:rFonts w:cstheme="minorHAnsi"/>
          <w:b/>
          <w:sz w:val="28"/>
          <w:szCs w:val="28"/>
        </w:rPr>
        <w:t>. GODINE</w:t>
      </w:r>
    </w:p>
    <w:p w14:paraId="5C2D175E" w14:textId="77777777" w:rsidR="0005560C" w:rsidRPr="0046053E" w:rsidRDefault="0005560C" w:rsidP="0005560C">
      <w:pPr>
        <w:spacing w:after="0"/>
        <w:jc w:val="both"/>
        <w:rPr>
          <w:rFonts w:cstheme="minorHAnsi"/>
          <w:sz w:val="24"/>
          <w:szCs w:val="24"/>
        </w:rPr>
      </w:pPr>
      <w:r w:rsidRPr="0046053E">
        <w:rPr>
          <w:rFonts w:cstheme="minorHAnsi"/>
          <w:sz w:val="24"/>
          <w:szCs w:val="24"/>
        </w:rPr>
        <w:t xml:space="preserve">Rashodi su u Posebnom dijelu proračuna podijeljeni po organizacijskoj klasifikaciji, odnosno po odijelima gradske uprave – UO za </w:t>
      </w:r>
      <w:r w:rsidR="007C2A4B">
        <w:rPr>
          <w:rFonts w:cstheme="minorHAnsi"/>
          <w:sz w:val="24"/>
          <w:szCs w:val="24"/>
        </w:rPr>
        <w:t xml:space="preserve">lokalnu </w:t>
      </w:r>
      <w:r w:rsidR="00891191">
        <w:rPr>
          <w:rFonts w:cstheme="minorHAnsi"/>
          <w:sz w:val="24"/>
          <w:szCs w:val="24"/>
        </w:rPr>
        <w:t>samoupravu</w:t>
      </w:r>
      <w:r w:rsidR="007C2A4B">
        <w:rPr>
          <w:rFonts w:cstheme="minorHAnsi"/>
          <w:sz w:val="24"/>
          <w:szCs w:val="24"/>
        </w:rPr>
        <w:t xml:space="preserve"> i imovinu Grada</w:t>
      </w:r>
      <w:r w:rsidR="00366353" w:rsidRPr="0046053E">
        <w:rPr>
          <w:rFonts w:cstheme="minorHAnsi"/>
          <w:sz w:val="24"/>
          <w:szCs w:val="24"/>
        </w:rPr>
        <w:t xml:space="preserve">, </w:t>
      </w:r>
      <w:r w:rsidR="007C2A4B">
        <w:rPr>
          <w:rFonts w:cstheme="minorHAnsi"/>
          <w:sz w:val="24"/>
          <w:szCs w:val="24"/>
        </w:rPr>
        <w:t xml:space="preserve">UO za društvene djelatnosti, </w:t>
      </w:r>
      <w:r w:rsidR="00366353" w:rsidRPr="0046053E">
        <w:rPr>
          <w:rFonts w:cstheme="minorHAnsi"/>
          <w:sz w:val="24"/>
          <w:szCs w:val="24"/>
        </w:rPr>
        <w:t>UO za financije, proračun i naplatu potraživanja</w:t>
      </w:r>
      <w:r w:rsidRPr="0046053E">
        <w:rPr>
          <w:rFonts w:cstheme="minorHAnsi"/>
          <w:sz w:val="24"/>
          <w:szCs w:val="24"/>
        </w:rPr>
        <w:t>, UO za komunalno gospodarstvo</w:t>
      </w:r>
      <w:r w:rsidR="00366353" w:rsidRPr="0046053E">
        <w:rPr>
          <w:rFonts w:cstheme="minorHAnsi"/>
          <w:sz w:val="24"/>
          <w:szCs w:val="24"/>
        </w:rPr>
        <w:t xml:space="preserve"> i investicije i </w:t>
      </w:r>
      <w:r w:rsidRPr="0046053E">
        <w:rPr>
          <w:rFonts w:cstheme="minorHAnsi"/>
          <w:sz w:val="24"/>
          <w:szCs w:val="24"/>
        </w:rPr>
        <w:t>UO za</w:t>
      </w:r>
      <w:r w:rsidR="00891191">
        <w:rPr>
          <w:rFonts w:cstheme="minorHAnsi"/>
          <w:sz w:val="24"/>
          <w:szCs w:val="24"/>
        </w:rPr>
        <w:t xml:space="preserve"> </w:t>
      </w:r>
      <w:r w:rsidR="00366353" w:rsidRPr="0046053E">
        <w:rPr>
          <w:rFonts w:cstheme="minorHAnsi"/>
          <w:sz w:val="24"/>
          <w:szCs w:val="24"/>
        </w:rPr>
        <w:t>urbanizam i prostorno uređenje</w:t>
      </w:r>
      <w:r w:rsidRPr="0046053E">
        <w:rPr>
          <w:rFonts w:cstheme="minorHAnsi"/>
          <w:sz w:val="24"/>
          <w:szCs w:val="24"/>
        </w:rPr>
        <w:t>, te po glavnim programima.</w:t>
      </w:r>
    </w:p>
    <w:p w14:paraId="04CEA92F" w14:textId="073D334A" w:rsidR="00D56EA7" w:rsidRDefault="0005560C" w:rsidP="00192E22">
      <w:pPr>
        <w:spacing w:after="0"/>
        <w:jc w:val="both"/>
        <w:rPr>
          <w:rFonts w:cstheme="minorHAnsi"/>
          <w:sz w:val="24"/>
          <w:szCs w:val="24"/>
        </w:rPr>
      </w:pPr>
      <w:r w:rsidRPr="0046053E">
        <w:rPr>
          <w:rFonts w:cstheme="minorHAnsi"/>
          <w:sz w:val="24"/>
          <w:szCs w:val="24"/>
        </w:rPr>
        <w:t xml:space="preserve"> Pregled ostvarenih rashoda i</w:t>
      </w:r>
      <w:r w:rsidR="00366353" w:rsidRPr="0046053E">
        <w:rPr>
          <w:rFonts w:cstheme="minorHAnsi"/>
          <w:sz w:val="24"/>
          <w:szCs w:val="24"/>
        </w:rPr>
        <w:t xml:space="preserve"> izdataka po upravnim odijelima, odnosno po mjestu troška,</w:t>
      </w:r>
      <w:r w:rsidRPr="0046053E">
        <w:rPr>
          <w:rFonts w:cstheme="minorHAnsi"/>
          <w:sz w:val="24"/>
          <w:szCs w:val="24"/>
        </w:rPr>
        <w:t xml:space="preserve"> te indeks njihovog ostvarenja</w:t>
      </w:r>
      <w:r w:rsidR="00192E22">
        <w:rPr>
          <w:rFonts w:cstheme="minorHAnsi"/>
          <w:sz w:val="24"/>
          <w:szCs w:val="24"/>
        </w:rPr>
        <w:t xml:space="preserve"> u </w:t>
      </w:r>
      <w:r w:rsidR="00AD117D">
        <w:rPr>
          <w:rFonts w:cstheme="minorHAnsi"/>
          <w:sz w:val="24"/>
          <w:szCs w:val="24"/>
        </w:rPr>
        <w:t>izvještajnom razdoblju</w:t>
      </w:r>
      <w:r w:rsidR="00192E22">
        <w:rPr>
          <w:rFonts w:cstheme="minorHAnsi"/>
          <w:sz w:val="24"/>
          <w:szCs w:val="24"/>
        </w:rPr>
        <w:t xml:space="preserve"> 202</w:t>
      </w:r>
      <w:r w:rsidR="00547D17">
        <w:rPr>
          <w:rFonts w:cstheme="minorHAnsi"/>
          <w:sz w:val="24"/>
          <w:szCs w:val="24"/>
        </w:rPr>
        <w:t>5</w:t>
      </w:r>
      <w:r w:rsidR="00192E22">
        <w:rPr>
          <w:rFonts w:cstheme="minorHAnsi"/>
          <w:sz w:val="24"/>
          <w:szCs w:val="24"/>
        </w:rPr>
        <w:t xml:space="preserve">.godine </w:t>
      </w:r>
      <w:r w:rsidRPr="0046053E">
        <w:rPr>
          <w:rFonts w:cstheme="minorHAnsi"/>
          <w:sz w:val="24"/>
          <w:szCs w:val="24"/>
        </w:rPr>
        <w:t>u odnosu na planirane iznose p</w:t>
      </w:r>
      <w:r w:rsidR="00F259B4" w:rsidRPr="0046053E">
        <w:rPr>
          <w:rFonts w:cstheme="minorHAnsi"/>
          <w:sz w:val="24"/>
          <w:szCs w:val="24"/>
        </w:rPr>
        <w:t>rikazan je u sljedećoj tablici.</w:t>
      </w:r>
    </w:p>
    <w:p w14:paraId="56E6326E" w14:textId="77777777" w:rsidR="00AE2A28" w:rsidRDefault="00AE2A28" w:rsidP="00192E22">
      <w:pPr>
        <w:spacing w:after="0"/>
        <w:jc w:val="both"/>
        <w:rPr>
          <w:rFonts w:cstheme="minorHAnsi"/>
          <w:sz w:val="24"/>
          <w:szCs w:val="24"/>
        </w:rPr>
      </w:pPr>
    </w:p>
    <w:p w14:paraId="51719CB9" w14:textId="05D369B5" w:rsidR="00F71F1F" w:rsidRPr="00AD117D" w:rsidRDefault="00352AE9" w:rsidP="00AD117D">
      <w:pPr>
        <w:rPr>
          <w:rFonts w:cstheme="minorHAnsi"/>
          <w:sz w:val="24"/>
          <w:szCs w:val="24"/>
        </w:rPr>
      </w:pPr>
      <w:r>
        <w:rPr>
          <w:rFonts w:cstheme="minorHAnsi"/>
          <w:b/>
          <w:sz w:val="24"/>
          <w:szCs w:val="24"/>
        </w:rPr>
        <w:t xml:space="preserve">Tablica </w:t>
      </w:r>
      <w:r w:rsidR="005F5D64">
        <w:rPr>
          <w:rFonts w:cstheme="minorHAnsi"/>
          <w:b/>
          <w:sz w:val="24"/>
          <w:szCs w:val="24"/>
        </w:rPr>
        <w:t>20</w:t>
      </w:r>
      <w:r w:rsidR="002D7685" w:rsidRPr="002B23D8">
        <w:rPr>
          <w:rFonts w:cstheme="minorHAnsi"/>
          <w:i/>
          <w:sz w:val="24"/>
          <w:szCs w:val="24"/>
        </w:rPr>
        <w:t xml:space="preserve">. </w:t>
      </w:r>
      <w:r w:rsidR="002D7685" w:rsidRPr="002B23D8">
        <w:rPr>
          <w:rFonts w:cstheme="minorHAnsi"/>
          <w:sz w:val="24"/>
          <w:szCs w:val="24"/>
        </w:rPr>
        <w:t>Rashodi i izdaci po razdjelima i glava</w:t>
      </w:r>
      <w:r w:rsidR="0086193B">
        <w:rPr>
          <w:rFonts w:cstheme="minorHAnsi"/>
          <w:sz w:val="24"/>
          <w:szCs w:val="24"/>
        </w:rPr>
        <w:t>ma za I.</w:t>
      </w:r>
      <w:r w:rsidR="006F4E62">
        <w:rPr>
          <w:rFonts w:cstheme="minorHAnsi"/>
          <w:sz w:val="24"/>
          <w:szCs w:val="24"/>
        </w:rPr>
        <w:t>-XI</w:t>
      </w:r>
      <w:r w:rsidR="0086193B">
        <w:rPr>
          <w:rFonts w:cstheme="minorHAnsi"/>
          <w:sz w:val="24"/>
          <w:szCs w:val="24"/>
        </w:rPr>
        <w:t>I. 202</w:t>
      </w:r>
      <w:r w:rsidR="00547D17">
        <w:rPr>
          <w:rFonts w:cstheme="minorHAnsi"/>
          <w:sz w:val="24"/>
          <w:szCs w:val="24"/>
        </w:rPr>
        <w:t>5</w:t>
      </w:r>
      <w:r w:rsidR="00200F1F" w:rsidRPr="002B23D8">
        <w:rPr>
          <w:rFonts w:cstheme="minorHAnsi"/>
          <w:sz w:val="24"/>
          <w:szCs w:val="24"/>
        </w:rPr>
        <w:t>.</w:t>
      </w:r>
      <w:r w:rsidR="002D7685" w:rsidRPr="002B23D8">
        <w:rPr>
          <w:rFonts w:cstheme="minorHAnsi"/>
          <w:sz w:val="24"/>
          <w:szCs w:val="24"/>
        </w:rPr>
        <w:t>godine</w:t>
      </w:r>
    </w:p>
    <w:tbl>
      <w:tblPr>
        <w:tblW w:w="11419" w:type="dxa"/>
        <w:jc w:val="center"/>
        <w:tblBorders>
          <w:top w:val="single" w:sz="4" w:space="0" w:color="000000"/>
          <w:bottom w:val="single" w:sz="4" w:space="0" w:color="000000"/>
          <w:insideH w:val="single" w:sz="4" w:space="0" w:color="000000"/>
        </w:tblBorders>
        <w:tblLook w:val="00A0" w:firstRow="1" w:lastRow="0" w:firstColumn="1" w:lastColumn="0" w:noHBand="0" w:noVBand="0"/>
      </w:tblPr>
      <w:tblGrid>
        <w:gridCol w:w="1640"/>
        <w:gridCol w:w="4210"/>
        <w:gridCol w:w="1757"/>
        <w:gridCol w:w="1435"/>
        <w:gridCol w:w="1435"/>
        <w:gridCol w:w="942"/>
      </w:tblGrid>
      <w:tr w:rsidR="001E0331" w:rsidRPr="000A5F83" w14:paraId="4E44203B" w14:textId="77777777" w:rsidTr="00670C1A">
        <w:trPr>
          <w:trHeight w:val="542"/>
          <w:jc w:val="center"/>
        </w:trPr>
        <w:tc>
          <w:tcPr>
            <w:tcW w:w="1647" w:type="dxa"/>
            <w:shd w:val="clear" w:color="auto" w:fill="DBE5F1"/>
            <w:vAlign w:val="center"/>
          </w:tcPr>
          <w:p w14:paraId="41F79B19" w14:textId="77777777" w:rsidR="001E0331" w:rsidRPr="000A5F83" w:rsidRDefault="001E0331" w:rsidP="00A86D03">
            <w:pPr>
              <w:rPr>
                <w:rFonts w:ascii="Arial" w:hAnsi="Arial" w:cs="Arial"/>
                <w:b/>
                <w:color w:val="000000"/>
                <w:sz w:val="18"/>
                <w:szCs w:val="18"/>
                <w:lang w:eastAsia="hr-HR"/>
              </w:rPr>
            </w:pPr>
          </w:p>
        </w:tc>
        <w:tc>
          <w:tcPr>
            <w:tcW w:w="4227" w:type="dxa"/>
            <w:shd w:val="clear" w:color="auto" w:fill="DBE5F1"/>
            <w:vAlign w:val="center"/>
          </w:tcPr>
          <w:p w14:paraId="5305E36D" w14:textId="77777777" w:rsidR="001E0331" w:rsidRPr="000A5F83" w:rsidRDefault="001E0331" w:rsidP="00A86D03">
            <w:pPr>
              <w:rPr>
                <w:rFonts w:ascii="Arial" w:hAnsi="Arial" w:cs="Arial"/>
                <w:b/>
                <w:color w:val="000000"/>
                <w:sz w:val="18"/>
                <w:szCs w:val="18"/>
                <w:lang w:eastAsia="hr-HR"/>
              </w:rPr>
            </w:pPr>
            <w:r w:rsidRPr="000A5F83">
              <w:rPr>
                <w:rFonts w:ascii="Arial" w:hAnsi="Arial" w:cs="Arial"/>
                <w:b/>
                <w:color w:val="000000"/>
                <w:sz w:val="18"/>
                <w:szCs w:val="18"/>
                <w:lang w:eastAsia="hr-HR"/>
              </w:rPr>
              <w:t>VRSTA RASHODA / IZDATKA</w:t>
            </w:r>
          </w:p>
        </w:tc>
        <w:tc>
          <w:tcPr>
            <w:tcW w:w="1733" w:type="dxa"/>
            <w:shd w:val="clear" w:color="auto" w:fill="DBE5F1"/>
            <w:vAlign w:val="center"/>
          </w:tcPr>
          <w:p w14:paraId="23F2A22B" w14:textId="12F7DE44" w:rsidR="001E0331" w:rsidRPr="000A5F83" w:rsidRDefault="001E0331" w:rsidP="00A86D03">
            <w:pPr>
              <w:jc w:val="center"/>
              <w:rPr>
                <w:rFonts w:ascii="Arial" w:hAnsi="Arial" w:cs="Arial"/>
                <w:b/>
                <w:color w:val="000000"/>
                <w:sz w:val="18"/>
                <w:szCs w:val="18"/>
                <w:lang w:eastAsia="hr-HR"/>
              </w:rPr>
            </w:pPr>
            <w:r>
              <w:rPr>
                <w:rFonts w:ascii="Arial" w:hAnsi="Arial" w:cs="Arial"/>
                <w:b/>
                <w:color w:val="000000"/>
                <w:sz w:val="18"/>
                <w:szCs w:val="18"/>
                <w:lang w:eastAsia="hr-HR"/>
              </w:rPr>
              <w:t xml:space="preserve"> IZVORNI PLAN/REBALANS 202</w:t>
            </w:r>
            <w:r w:rsidR="00F7643F">
              <w:rPr>
                <w:rFonts w:ascii="Arial" w:hAnsi="Arial" w:cs="Arial"/>
                <w:b/>
                <w:color w:val="000000"/>
                <w:sz w:val="18"/>
                <w:szCs w:val="18"/>
                <w:lang w:eastAsia="hr-HR"/>
              </w:rPr>
              <w:t>5</w:t>
            </w:r>
            <w:r w:rsidRPr="000A5F83">
              <w:rPr>
                <w:rFonts w:ascii="Arial" w:hAnsi="Arial" w:cs="Arial"/>
                <w:b/>
                <w:color w:val="000000"/>
                <w:sz w:val="18"/>
                <w:szCs w:val="18"/>
                <w:lang w:eastAsia="hr-HR"/>
              </w:rPr>
              <w:t>.</w:t>
            </w:r>
            <w:r>
              <w:rPr>
                <w:rFonts w:ascii="Arial" w:hAnsi="Arial" w:cs="Arial"/>
                <w:b/>
                <w:color w:val="000000"/>
                <w:sz w:val="18"/>
                <w:szCs w:val="18"/>
                <w:lang w:eastAsia="hr-HR"/>
              </w:rPr>
              <w:t xml:space="preserve"> (€)        </w:t>
            </w:r>
          </w:p>
        </w:tc>
        <w:tc>
          <w:tcPr>
            <w:tcW w:w="1435" w:type="dxa"/>
            <w:shd w:val="clear" w:color="auto" w:fill="DBE5F1"/>
            <w:vAlign w:val="center"/>
          </w:tcPr>
          <w:p w14:paraId="324C44FC" w14:textId="5ED3CBF7" w:rsidR="001E0331" w:rsidRDefault="001E0331" w:rsidP="00A86D03">
            <w:pPr>
              <w:jc w:val="center"/>
              <w:rPr>
                <w:rFonts w:ascii="Arial" w:hAnsi="Arial" w:cs="Arial"/>
                <w:b/>
                <w:color w:val="000000"/>
                <w:sz w:val="18"/>
                <w:szCs w:val="18"/>
                <w:lang w:eastAsia="hr-HR"/>
              </w:rPr>
            </w:pPr>
            <w:r>
              <w:rPr>
                <w:rFonts w:ascii="Arial" w:hAnsi="Arial" w:cs="Arial"/>
                <w:b/>
                <w:color w:val="000000"/>
                <w:sz w:val="18"/>
                <w:szCs w:val="18"/>
                <w:lang w:eastAsia="hr-HR"/>
              </w:rPr>
              <w:t>TEKUĆI PLAN 202</w:t>
            </w:r>
            <w:r w:rsidR="00F7643F">
              <w:rPr>
                <w:rFonts w:ascii="Arial" w:hAnsi="Arial" w:cs="Arial"/>
                <w:b/>
                <w:color w:val="000000"/>
                <w:sz w:val="18"/>
                <w:szCs w:val="18"/>
                <w:lang w:eastAsia="hr-HR"/>
              </w:rPr>
              <w:t>5</w:t>
            </w:r>
            <w:r>
              <w:rPr>
                <w:rFonts w:ascii="Arial" w:hAnsi="Arial" w:cs="Arial"/>
                <w:b/>
                <w:color w:val="000000"/>
                <w:sz w:val="18"/>
                <w:szCs w:val="18"/>
                <w:lang w:eastAsia="hr-HR"/>
              </w:rPr>
              <w:t>. (€)</w:t>
            </w:r>
          </w:p>
        </w:tc>
        <w:tc>
          <w:tcPr>
            <w:tcW w:w="1435" w:type="dxa"/>
            <w:shd w:val="clear" w:color="auto" w:fill="DBE5F1"/>
            <w:vAlign w:val="center"/>
          </w:tcPr>
          <w:p w14:paraId="2E440FBB" w14:textId="2D19F1F7" w:rsidR="001E0331" w:rsidRPr="000A5F83" w:rsidRDefault="001E0331" w:rsidP="00A86D03">
            <w:pPr>
              <w:jc w:val="center"/>
              <w:rPr>
                <w:rFonts w:ascii="Arial" w:hAnsi="Arial" w:cs="Arial"/>
                <w:b/>
                <w:color w:val="000000"/>
                <w:sz w:val="18"/>
                <w:szCs w:val="18"/>
                <w:lang w:eastAsia="hr-HR"/>
              </w:rPr>
            </w:pPr>
            <w:r>
              <w:rPr>
                <w:rFonts w:ascii="Arial" w:hAnsi="Arial" w:cs="Arial"/>
                <w:b/>
                <w:color w:val="000000"/>
                <w:sz w:val="18"/>
                <w:szCs w:val="18"/>
                <w:lang w:eastAsia="hr-HR"/>
              </w:rPr>
              <w:t>IZVRŠENJE  I.-XII.202</w:t>
            </w:r>
            <w:r w:rsidR="00F7643F">
              <w:rPr>
                <w:rFonts w:ascii="Arial" w:hAnsi="Arial" w:cs="Arial"/>
                <w:b/>
                <w:color w:val="000000"/>
                <w:sz w:val="18"/>
                <w:szCs w:val="18"/>
                <w:lang w:eastAsia="hr-HR"/>
              </w:rPr>
              <w:t>5</w:t>
            </w:r>
            <w:r w:rsidRPr="000A5F83">
              <w:rPr>
                <w:rFonts w:ascii="Arial" w:hAnsi="Arial" w:cs="Arial"/>
                <w:b/>
                <w:color w:val="000000"/>
                <w:sz w:val="18"/>
                <w:szCs w:val="18"/>
                <w:lang w:eastAsia="hr-HR"/>
              </w:rPr>
              <w:t>.</w:t>
            </w:r>
            <w:r>
              <w:rPr>
                <w:rFonts w:ascii="Arial" w:hAnsi="Arial" w:cs="Arial"/>
                <w:b/>
                <w:color w:val="000000"/>
                <w:sz w:val="18"/>
                <w:szCs w:val="18"/>
                <w:lang w:eastAsia="hr-HR"/>
              </w:rPr>
              <w:t>(€)</w:t>
            </w:r>
          </w:p>
        </w:tc>
        <w:tc>
          <w:tcPr>
            <w:tcW w:w="942" w:type="dxa"/>
            <w:shd w:val="clear" w:color="auto" w:fill="DBE5F1"/>
            <w:vAlign w:val="center"/>
          </w:tcPr>
          <w:p w14:paraId="041C570C" w14:textId="2A91BF70" w:rsidR="001E0331" w:rsidRPr="000A5F83" w:rsidRDefault="001E0331" w:rsidP="00A86D03">
            <w:pPr>
              <w:jc w:val="center"/>
              <w:rPr>
                <w:rFonts w:ascii="Arial" w:hAnsi="Arial" w:cs="Arial"/>
                <w:b/>
                <w:color w:val="000000"/>
                <w:sz w:val="18"/>
                <w:szCs w:val="18"/>
                <w:lang w:eastAsia="hr-HR"/>
              </w:rPr>
            </w:pPr>
            <w:r w:rsidRPr="000A5F83">
              <w:rPr>
                <w:rFonts w:ascii="Arial" w:hAnsi="Arial" w:cs="Arial"/>
                <w:b/>
                <w:color w:val="000000"/>
                <w:sz w:val="18"/>
                <w:szCs w:val="18"/>
                <w:lang w:eastAsia="hr-HR"/>
              </w:rPr>
              <w:t>INDEKS</w:t>
            </w:r>
            <w:r>
              <w:rPr>
                <w:rFonts w:ascii="Arial" w:hAnsi="Arial" w:cs="Arial"/>
                <w:b/>
                <w:color w:val="000000"/>
                <w:sz w:val="18"/>
                <w:szCs w:val="18"/>
                <w:lang w:eastAsia="hr-HR"/>
              </w:rPr>
              <w:t xml:space="preserve"> (3/2)</w:t>
            </w:r>
          </w:p>
        </w:tc>
      </w:tr>
      <w:tr w:rsidR="001E0331" w:rsidRPr="000A5F83" w14:paraId="3D4B9244" w14:textId="77777777" w:rsidTr="0039249D">
        <w:trPr>
          <w:trHeight w:val="98"/>
          <w:jc w:val="center"/>
        </w:trPr>
        <w:tc>
          <w:tcPr>
            <w:tcW w:w="1647" w:type="dxa"/>
            <w:shd w:val="clear" w:color="auto" w:fill="DBE5F1"/>
            <w:vAlign w:val="center"/>
          </w:tcPr>
          <w:p w14:paraId="26954C1B" w14:textId="77777777" w:rsidR="001E0331" w:rsidRPr="000A5F83" w:rsidRDefault="001E0331" w:rsidP="00A86D03">
            <w:pPr>
              <w:rPr>
                <w:rFonts w:ascii="Arial" w:hAnsi="Arial" w:cs="Arial"/>
                <w:b/>
                <w:color w:val="000000"/>
                <w:sz w:val="18"/>
                <w:szCs w:val="18"/>
                <w:lang w:eastAsia="hr-HR"/>
              </w:rPr>
            </w:pPr>
          </w:p>
        </w:tc>
        <w:tc>
          <w:tcPr>
            <w:tcW w:w="4227" w:type="dxa"/>
            <w:shd w:val="clear" w:color="auto" w:fill="DBE5F1"/>
            <w:vAlign w:val="center"/>
          </w:tcPr>
          <w:p w14:paraId="48956506" w14:textId="77777777" w:rsidR="001E0331" w:rsidRPr="000A5F83" w:rsidRDefault="001E0331" w:rsidP="00A86D03">
            <w:pPr>
              <w:rPr>
                <w:rFonts w:ascii="Arial" w:hAnsi="Arial" w:cs="Arial"/>
                <w:b/>
                <w:color w:val="000000"/>
                <w:sz w:val="18"/>
                <w:szCs w:val="18"/>
                <w:lang w:eastAsia="hr-HR"/>
              </w:rPr>
            </w:pPr>
          </w:p>
        </w:tc>
        <w:tc>
          <w:tcPr>
            <w:tcW w:w="1733" w:type="dxa"/>
            <w:shd w:val="clear" w:color="auto" w:fill="DBE5F1"/>
            <w:vAlign w:val="center"/>
          </w:tcPr>
          <w:p w14:paraId="26518062" w14:textId="77777777" w:rsidR="001E0331" w:rsidRDefault="001E0331" w:rsidP="00A86D03">
            <w:pPr>
              <w:jc w:val="center"/>
              <w:rPr>
                <w:rFonts w:ascii="Arial" w:hAnsi="Arial" w:cs="Arial"/>
                <w:b/>
                <w:color w:val="000000"/>
                <w:sz w:val="18"/>
                <w:szCs w:val="18"/>
                <w:lang w:eastAsia="hr-HR"/>
              </w:rPr>
            </w:pPr>
            <w:r>
              <w:rPr>
                <w:rFonts w:ascii="Arial" w:hAnsi="Arial" w:cs="Arial"/>
                <w:b/>
                <w:color w:val="000000"/>
                <w:sz w:val="18"/>
                <w:szCs w:val="18"/>
                <w:lang w:eastAsia="hr-HR"/>
              </w:rPr>
              <w:t>(1)</w:t>
            </w:r>
          </w:p>
        </w:tc>
        <w:tc>
          <w:tcPr>
            <w:tcW w:w="1435" w:type="dxa"/>
            <w:shd w:val="clear" w:color="auto" w:fill="DBE5F1"/>
          </w:tcPr>
          <w:p w14:paraId="08608EF3" w14:textId="4D14F88E" w:rsidR="001E0331" w:rsidRDefault="001E0331" w:rsidP="00A86D03">
            <w:pPr>
              <w:jc w:val="center"/>
              <w:rPr>
                <w:rFonts w:ascii="Arial" w:hAnsi="Arial" w:cs="Arial"/>
                <w:b/>
                <w:color w:val="000000"/>
                <w:sz w:val="18"/>
                <w:szCs w:val="18"/>
                <w:lang w:eastAsia="hr-HR"/>
              </w:rPr>
            </w:pPr>
            <w:r>
              <w:rPr>
                <w:rFonts w:ascii="Arial" w:hAnsi="Arial" w:cs="Arial"/>
                <w:b/>
                <w:color w:val="000000"/>
                <w:sz w:val="18"/>
                <w:szCs w:val="18"/>
                <w:lang w:eastAsia="hr-HR"/>
              </w:rPr>
              <w:t>(2)</w:t>
            </w:r>
          </w:p>
        </w:tc>
        <w:tc>
          <w:tcPr>
            <w:tcW w:w="1435" w:type="dxa"/>
            <w:shd w:val="clear" w:color="auto" w:fill="DBE5F1"/>
            <w:vAlign w:val="center"/>
          </w:tcPr>
          <w:p w14:paraId="1FB6E3FB" w14:textId="2ACC2404" w:rsidR="001E0331" w:rsidRPr="000A5F83" w:rsidRDefault="001E0331" w:rsidP="00A86D03">
            <w:pPr>
              <w:jc w:val="center"/>
              <w:rPr>
                <w:rFonts w:ascii="Arial" w:hAnsi="Arial" w:cs="Arial"/>
                <w:b/>
                <w:color w:val="000000"/>
                <w:sz w:val="18"/>
                <w:szCs w:val="18"/>
                <w:lang w:eastAsia="hr-HR"/>
              </w:rPr>
            </w:pPr>
            <w:r>
              <w:rPr>
                <w:rFonts w:ascii="Arial" w:hAnsi="Arial" w:cs="Arial"/>
                <w:b/>
                <w:color w:val="000000"/>
                <w:sz w:val="18"/>
                <w:szCs w:val="18"/>
                <w:lang w:eastAsia="hr-HR"/>
              </w:rPr>
              <w:t>(3)</w:t>
            </w:r>
          </w:p>
        </w:tc>
        <w:tc>
          <w:tcPr>
            <w:tcW w:w="942" w:type="dxa"/>
            <w:shd w:val="clear" w:color="auto" w:fill="DBE5F1"/>
            <w:vAlign w:val="center"/>
          </w:tcPr>
          <w:p w14:paraId="4654C663" w14:textId="0F4E43E7" w:rsidR="001E0331" w:rsidRPr="000A5F83" w:rsidRDefault="001E0331" w:rsidP="00A86D03">
            <w:pPr>
              <w:jc w:val="center"/>
              <w:rPr>
                <w:rFonts w:ascii="Arial" w:hAnsi="Arial" w:cs="Arial"/>
                <w:b/>
                <w:color w:val="000000"/>
                <w:sz w:val="18"/>
                <w:szCs w:val="18"/>
                <w:lang w:eastAsia="hr-HR"/>
              </w:rPr>
            </w:pPr>
            <w:r>
              <w:rPr>
                <w:rFonts w:ascii="Arial" w:hAnsi="Arial" w:cs="Arial"/>
                <w:b/>
                <w:color w:val="000000"/>
                <w:sz w:val="18"/>
                <w:szCs w:val="18"/>
                <w:lang w:eastAsia="hr-HR"/>
              </w:rPr>
              <w:t>(4)</w:t>
            </w:r>
          </w:p>
        </w:tc>
      </w:tr>
      <w:tr w:rsidR="001E0331" w:rsidRPr="000A5F83" w14:paraId="31F73994" w14:textId="77777777" w:rsidTr="0039249D">
        <w:trPr>
          <w:trHeight w:val="188"/>
          <w:jc w:val="center"/>
        </w:trPr>
        <w:tc>
          <w:tcPr>
            <w:tcW w:w="1647" w:type="dxa"/>
            <w:shd w:val="clear" w:color="auto" w:fill="FDE9D9"/>
            <w:vAlign w:val="center"/>
          </w:tcPr>
          <w:p w14:paraId="17370D6D" w14:textId="77777777" w:rsidR="001E0331" w:rsidRPr="000A5F83" w:rsidRDefault="001E0331" w:rsidP="00A86D03">
            <w:pPr>
              <w:rPr>
                <w:rFonts w:ascii="Arial" w:hAnsi="Arial" w:cs="Arial"/>
                <w:b/>
                <w:bCs/>
                <w:sz w:val="18"/>
                <w:szCs w:val="18"/>
                <w:lang w:eastAsia="hr-HR"/>
              </w:rPr>
            </w:pPr>
          </w:p>
        </w:tc>
        <w:tc>
          <w:tcPr>
            <w:tcW w:w="4227" w:type="dxa"/>
            <w:shd w:val="clear" w:color="auto" w:fill="FDE9D9"/>
            <w:vAlign w:val="center"/>
          </w:tcPr>
          <w:p w14:paraId="360AD674" w14:textId="77777777" w:rsidR="001E0331" w:rsidRPr="00A42A4E" w:rsidRDefault="001E0331" w:rsidP="00A86D03">
            <w:pPr>
              <w:rPr>
                <w:rFonts w:ascii="Arial" w:hAnsi="Arial" w:cs="Arial"/>
                <w:b/>
                <w:bCs/>
                <w:sz w:val="18"/>
                <w:szCs w:val="18"/>
                <w:lang w:eastAsia="hr-HR"/>
              </w:rPr>
            </w:pPr>
            <w:r w:rsidRPr="00A42A4E">
              <w:rPr>
                <w:rFonts w:ascii="Arial" w:hAnsi="Arial" w:cs="Arial"/>
                <w:b/>
                <w:bCs/>
                <w:sz w:val="18"/>
                <w:szCs w:val="18"/>
                <w:lang w:eastAsia="hr-HR"/>
              </w:rPr>
              <w:t>SVEUKUPNO RASHODI / IZDACI</w:t>
            </w:r>
          </w:p>
        </w:tc>
        <w:tc>
          <w:tcPr>
            <w:tcW w:w="1733" w:type="dxa"/>
            <w:shd w:val="clear" w:color="auto" w:fill="FDE9D9"/>
            <w:vAlign w:val="center"/>
          </w:tcPr>
          <w:p w14:paraId="58D20165" w14:textId="42DB653E" w:rsidR="001E0331" w:rsidRPr="00A42A4E" w:rsidRDefault="00CA1AB2" w:rsidP="00996718">
            <w:pPr>
              <w:jc w:val="center"/>
              <w:rPr>
                <w:rFonts w:ascii="Arial" w:hAnsi="Arial" w:cs="Arial"/>
                <w:b/>
                <w:bCs/>
                <w:sz w:val="18"/>
                <w:szCs w:val="18"/>
              </w:rPr>
            </w:pPr>
            <w:r>
              <w:rPr>
                <w:rFonts w:ascii="Arial" w:hAnsi="Arial" w:cs="Arial"/>
                <w:b/>
                <w:bCs/>
                <w:sz w:val="18"/>
                <w:szCs w:val="18"/>
              </w:rPr>
              <w:t>25.461.515,09</w:t>
            </w:r>
          </w:p>
        </w:tc>
        <w:tc>
          <w:tcPr>
            <w:tcW w:w="1435" w:type="dxa"/>
            <w:shd w:val="clear" w:color="auto" w:fill="FDE9D9"/>
          </w:tcPr>
          <w:p w14:paraId="1675F375" w14:textId="7FE90128" w:rsidR="001E0331" w:rsidRDefault="00CA1AB2" w:rsidP="00996718">
            <w:pPr>
              <w:jc w:val="center"/>
              <w:rPr>
                <w:rFonts w:ascii="Arial" w:hAnsi="Arial" w:cs="Arial"/>
                <w:b/>
                <w:bCs/>
                <w:sz w:val="18"/>
                <w:szCs w:val="18"/>
              </w:rPr>
            </w:pPr>
            <w:r>
              <w:rPr>
                <w:rFonts w:ascii="Arial" w:hAnsi="Arial" w:cs="Arial"/>
                <w:b/>
                <w:bCs/>
                <w:sz w:val="18"/>
                <w:szCs w:val="18"/>
              </w:rPr>
              <w:t>25.461.515,09</w:t>
            </w:r>
          </w:p>
        </w:tc>
        <w:tc>
          <w:tcPr>
            <w:tcW w:w="1435" w:type="dxa"/>
            <w:shd w:val="clear" w:color="auto" w:fill="FDE9D9"/>
            <w:vAlign w:val="center"/>
          </w:tcPr>
          <w:p w14:paraId="0B8C770E" w14:textId="4837B40D" w:rsidR="001E0331" w:rsidRPr="00A42A4E" w:rsidRDefault="00CA1AB2" w:rsidP="00996718">
            <w:pPr>
              <w:jc w:val="center"/>
              <w:rPr>
                <w:rFonts w:ascii="Arial" w:hAnsi="Arial" w:cs="Arial"/>
                <w:b/>
                <w:bCs/>
                <w:sz w:val="18"/>
                <w:szCs w:val="18"/>
              </w:rPr>
            </w:pPr>
            <w:r>
              <w:rPr>
                <w:rFonts w:ascii="Arial" w:hAnsi="Arial" w:cs="Arial"/>
                <w:b/>
                <w:bCs/>
                <w:sz w:val="18"/>
                <w:szCs w:val="18"/>
              </w:rPr>
              <w:t>19.932.543,62</w:t>
            </w:r>
          </w:p>
        </w:tc>
        <w:tc>
          <w:tcPr>
            <w:tcW w:w="942" w:type="dxa"/>
            <w:shd w:val="clear" w:color="auto" w:fill="FDE9D9"/>
            <w:vAlign w:val="center"/>
          </w:tcPr>
          <w:p w14:paraId="26C01520" w14:textId="4D5220F5" w:rsidR="001E0331" w:rsidRPr="00A42A4E" w:rsidRDefault="00CA1AB2" w:rsidP="00996718">
            <w:pPr>
              <w:jc w:val="center"/>
              <w:rPr>
                <w:rFonts w:ascii="Arial" w:hAnsi="Arial" w:cs="Arial"/>
                <w:b/>
                <w:bCs/>
                <w:sz w:val="18"/>
                <w:szCs w:val="18"/>
              </w:rPr>
            </w:pPr>
            <w:r>
              <w:rPr>
                <w:rFonts w:ascii="Arial" w:hAnsi="Arial" w:cs="Arial"/>
                <w:b/>
                <w:bCs/>
                <w:sz w:val="18"/>
                <w:szCs w:val="18"/>
              </w:rPr>
              <w:t>78,28</w:t>
            </w:r>
            <w:r w:rsidR="00996718">
              <w:rPr>
                <w:rFonts w:ascii="Arial" w:hAnsi="Arial" w:cs="Arial"/>
                <w:b/>
                <w:bCs/>
                <w:sz w:val="18"/>
                <w:szCs w:val="18"/>
              </w:rPr>
              <w:t>%</w:t>
            </w:r>
          </w:p>
        </w:tc>
      </w:tr>
      <w:tr w:rsidR="001E0331" w:rsidRPr="000A5F83" w14:paraId="25B11944" w14:textId="77777777" w:rsidTr="0039249D">
        <w:trPr>
          <w:trHeight w:val="188"/>
          <w:jc w:val="center"/>
        </w:trPr>
        <w:tc>
          <w:tcPr>
            <w:tcW w:w="1647" w:type="dxa"/>
            <w:shd w:val="clear" w:color="auto" w:fill="DBE5F1"/>
            <w:vAlign w:val="center"/>
          </w:tcPr>
          <w:p w14:paraId="7468AB25" w14:textId="77777777" w:rsidR="001E0331" w:rsidRPr="000A5F83" w:rsidRDefault="001E0331" w:rsidP="00A86D03">
            <w:pPr>
              <w:rPr>
                <w:rFonts w:ascii="Arial" w:hAnsi="Arial" w:cs="Arial"/>
                <w:b/>
                <w:bCs/>
                <w:sz w:val="18"/>
                <w:szCs w:val="18"/>
                <w:lang w:eastAsia="hr-HR"/>
              </w:rPr>
            </w:pPr>
            <w:r>
              <w:rPr>
                <w:rFonts w:ascii="Arial" w:hAnsi="Arial" w:cs="Arial"/>
                <w:b/>
                <w:bCs/>
                <w:sz w:val="18"/>
                <w:szCs w:val="18"/>
                <w:lang w:eastAsia="hr-HR"/>
              </w:rPr>
              <w:t>Razdjel  020</w:t>
            </w:r>
          </w:p>
        </w:tc>
        <w:tc>
          <w:tcPr>
            <w:tcW w:w="4227" w:type="dxa"/>
            <w:shd w:val="clear" w:color="auto" w:fill="DBE5F1"/>
            <w:vAlign w:val="center"/>
          </w:tcPr>
          <w:p w14:paraId="6E7A961C" w14:textId="77777777" w:rsidR="001E0331" w:rsidRPr="000A5F83" w:rsidRDefault="001E0331" w:rsidP="00A86D03">
            <w:pPr>
              <w:rPr>
                <w:rFonts w:ascii="Arial" w:hAnsi="Arial" w:cs="Arial"/>
                <w:b/>
                <w:bCs/>
                <w:sz w:val="18"/>
                <w:szCs w:val="18"/>
                <w:lang w:eastAsia="hr-HR"/>
              </w:rPr>
            </w:pPr>
            <w:r>
              <w:rPr>
                <w:rFonts w:ascii="Arial" w:hAnsi="Arial" w:cs="Arial"/>
                <w:b/>
                <w:bCs/>
                <w:sz w:val="18"/>
                <w:szCs w:val="18"/>
                <w:lang w:eastAsia="hr-HR"/>
              </w:rPr>
              <w:t xml:space="preserve">UPRAVNI ODJEL ZA LOKALNU SAMOUPRAVU I IMOVINU GRADA </w:t>
            </w:r>
          </w:p>
        </w:tc>
        <w:tc>
          <w:tcPr>
            <w:tcW w:w="1733" w:type="dxa"/>
            <w:shd w:val="clear" w:color="auto" w:fill="DBE5F1"/>
            <w:vAlign w:val="center"/>
          </w:tcPr>
          <w:p w14:paraId="6FDDB11F" w14:textId="4450CF74" w:rsidR="001E0331" w:rsidRPr="00A42A4E" w:rsidRDefault="00CA1AB2" w:rsidP="00996718">
            <w:pPr>
              <w:jc w:val="center"/>
              <w:rPr>
                <w:rFonts w:ascii="Arial" w:hAnsi="Arial" w:cs="Arial"/>
                <w:b/>
                <w:bCs/>
                <w:sz w:val="18"/>
                <w:szCs w:val="18"/>
              </w:rPr>
            </w:pPr>
            <w:r>
              <w:rPr>
                <w:rFonts w:ascii="Arial" w:hAnsi="Arial" w:cs="Arial"/>
                <w:b/>
                <w:bCs/>
                <w:sz w:val="18"/>
                <w:szCs w:val="18"/>
              </w:rPr>
              <w:t>3.906.865,00</w:t>
            </w:r>
          </w:p>
        </w:tc>
        <w:tc>
          <w:tcPr>
            <w:tcW w:w="1435" w:type="dxa"/>
            <w:shd w:val="clear" w:color="auto" w:fill="DBE5F1"/>
            <w:vAlign w:val="center"/>
          </w:tcPr>
          <w:p w14:paraId="795C818A" w14:textId="7D266FEF" w:rsidR="001E0331" w:rsidRDefault="00CA1AB2" w:rsidP="00996718">
            <w:pPr>
              <w:jc w:val="center"/>
              <w:rPr>
                <w:rFonts w:ascii="Arial" w:hAnsi="Arial" w:cs="Arial"/>
                <w:b/>
                <w:bCs/>
                <w:sz w:val="18"/>
                <w:szCs w:val="18"/>
              </w:rPr>
            </w:pPr>
            <w:r>
              <w:rPr>
                <w:rFonts w:ascii="Arial" w:hAnsi="Arial" w:cs="Arial"/>
                <w:b/>
                <w:bCs/>
                <w:sz w:val="18"/>
                <w:szCs w:val="18"/>
              </w:rPr>
              <w:t>3.916.865,00</w:t>
            </w:r>
          </w:p>
        </w:tc>
        <w:tc>
          <w:tcPr>
            <w:tcW w:w="1435" w:type="dxa"/>
            <w:shd w:val="clear" w:color="auto" w:fill="DBE5F1"/>
            <w:vAlign w:val="center"/>
          </w:tcPr>
          <w:p w14:paraId="26E0E355" w14:textId="575207E7" w:rsidR="001E0331" w:rsidRPr="00A42A4E" w:rsidRDefault="00CA1AB2" w:rsidP="00996718">
            <w:pPr>
              <w:jc w:val="center"/>
              <w:rPr>
                <w:rFonts w:ascii="Arial" w:hAnsi="Arial" w:cs="Arial"/>
                <w:b/>
                <w:bCs/>
                <w:sz w:val="18"/>
                <w:szCs w:val="18"/>
              </w:rPr>
            </w:pPr>
            <w:r>
              <w:rPr>
                <w:rFonts w:ascii="Arial" w:hAnsi="Arial" w:cs="Arial"/>
                <w:b/>
                <w:bCs/>
                <w:sz w:val="18"/>
                <w:szCs w:val="18"/>
              </w:rPr>
              <w:t>3.286.573,84</w:t>
            </w:r>
          </w:p>
        </w:tc>
        <w:tc>
          <w:tcPr>
            <w:tcW w:w="942" w:type="dxa"/>
            <w:shd w:val="clear" w:color="auto" w:fill="DBE5F1"/>
            <w:vAlign w:val="center"/>
          </w:tcPr>
          <w:p w14:paraId="1C7DEB1B" w14:textId="6BB52011" w:rsidR="001E0331" w:rsidRPr="00A42A4E" w:rsidRDefault="00CA1AB2" w:rsidP="00996718">
            <w:pPr>
              <w:jc w:val="center"/>
              <w:rPr>
                <w:rFonts w:ascii="Arial" w:hAnsi="Arial" w:cs="Arial"/>
                <w:b/>
                <w:bCs/>
                <w:sz w:val="18"/>
                <w:szCs w:val="18"/>
              </w:rPr>
            </w:pPr>
            <w:r>
              <w:rPr>
                <w:rFonts w:ascii="Arial" w:hAnsi="Arial" w:cs="Arial"/>
                <w:b/>
                <w:bCs/>
                <w:sz w:val="18"/>
                <w:szCs w:val="18"/>
              </w:rPr>
              <w:t>83,91</w:t>
            </w:r>
            <w:r w:rsidR="00996718">
              <w:rPr>
                <w:rFonts w:ascii="Arial" w:hAnsi="Arial" w:cs="Arial"/>
                <w:b/>
                <w:bCs/>
                <w:sz w:val="18"/>
                <w:szCs w:val="18"/>
              </w:rPr>
              <w:t>%</w:t>
            </w:r>
          </w:p>
        </w:tc>
      </w:tr>
      <w:tr w:rsidR="001E0331" w:rsidRPr="000A5F83" w14:paraId="74390306" w14:textId="77777777" w:rsidTr="0039249D">
        <w:trPr>
          <w:trHeight w:val="188"/>
          <w:jc w:val="center"/>
        </w:trPr>
        <w:tc>
          <w:tcPr>
            <w:tcW w:w="1647" w:type="dxa"/>
            <w:shd w:val="clear" w:color="auto" w:fill="DBE5F1"/>
            <w:vAlign w:val="center"/>
          </w:tcPr>
          <w:p w14:paraId="162310DC" w14:textId="77777777" w:rsidR="001E0331" w:rsidRPr="00893470" w:rsidRDefault="001E0331" w:rsidP="00A86D03">
            <w:pPr>
              <w:rPr>
                <w:rFonts w:ascii="Arial" w:hAnsi="Arial" w:cs="Arial"/>
                <w:bCs/>
                <w:sz w:val="18"/>
                <w:szCs w:val="18"/>
                <w:lang w:eastAsia="hr-HR"/>
              </w:rPr>
            </w:pPr>
            <w:r>
              <w:rPr>
                <w:rFonts w:ascii="Arial" w:hAnsi="Arial" w:cs="Arial"/>
                <w:bCs/>
                <w:sz w:val="18"/>
                <w:szCs w:val="18"/>
                <w:lang w:eastAsia="hr-HR"/>
              </w:rPr>
              <w:t>Glava 02001</w:t>
            </w:r>
          </w:p>
        </w:tc>
        <w:tc>
          <w:tcPr>
            <w:tcW w:w="4227" w:type="dxa"/>
            <w:shd w:val="clear" w:color="auto" w:fill="DBE5F1"/>
            <w:vAlign w:val="center"/>
          </w:tcPr>
          <w:p w14:paraId="5A4A8284" w14:textId="77777777" w:rsidR="001E0331" w:rsidRPr="00893470" w:rsidRDefault="001E0331" w:rsidP="00A86D03">
            <w:pPr>
              <w:rPr>
                <w:rFonts w:ascii="Arial" w:hAnsi="Arial" w:cs="Arial"/>
                <w:bCs/>
                <w:sz w:val="18"/>
                <w:szCs w:val="18"/>
                <w:lang w:eastAsia="hr-HR"/>
              </w:rPr>
            </w:pPr>
            <w:r w:rsidRPr="00893470">
              <w:rPr>
                <w:rFonts w:ascii="Arial" w:hAnsi="Arial" w:cs="Arial"/>
                <w:bCs/>
                <w:sz w:val="18"/>
                <w:szCs w:val="18"/>
                <w:lang w:eastAsia="hr-HR"/>
              </w:rPr>
              <w:t xml:space="preserve">UPRAVNI ODJEL ZA </w:t>
            </w:r>
            <w:r>
              <w:rPr>
                <w:rFonts w:ascii="Arial" w:hAnsi="Arial" w:cs="Arial"/>
                <w:bCs/>
                <w:sz w:val="18"/>
                <w:szCs w:val="18"/>
                <w:lang w:eastAsia="hr-HR"/>
              </w:rPr>
              <w:t xml:space="preserve"> LOKALNU SAMOUPRAVU I IMOVINU GRADA</w:t>
            </w:r>
            <w:r w:rsidRPr="00893470">
              <w:rPr>
                <w:rFonts w:ascii="Arial" w:hAnsi="Arial" w:cs="Arial"/>
                <w:bCs/>
                <w:sz w:val="18"/>
                <w:szCs w:val="18"/>
                <w:lang w:eastAsia="hr-HR"/>
              </w:rPr>
              <w:t xml:space="preserve"> </w:t>
            </w:r>
          </w:p>
        </w:tc>
        <w:tc>
          <w:tcPr>
            <w:tcW w:w="1733" w:type="dxa"/>
            <w:shd w:val="clear" w:color="auto" w:fill="DBE5F1"/>
            <w:vAlign w:val="center"/>
          </w:tcPr>
          <w:p w14:paraId="777DDD70" w14:textId="5CFCD97E" w:rsidR="001E0331" w:rsidRPr="00893470" w:rsidRDefault="00CA1AB2" w:rsidP="00996718">
            <w:pPr>
              <w:jc w:val="center"/>
              <w:rPr>
                <w:rFonts w:ascii="Arial" w:hAnsi="Arial" w:cs="Arial"/>
                <w:bCs/>
                <w:sz w:val="18"/>
                <w:szCs w:val="18"/>
              </w:rPr>
            </w:pPr>
            <w:r>
              <w:rPr>
                <w:rFonts w:ascii="Arial" w:hAnsi="Arial" w:cs="Arial"/>
                <w:bCs/>
                <w:sz w:val="18"/>
                <w:szCs w:val="18"/>
              </w:rPr>
              <w:t>3.906.865,00</w:t>
            </w:r>
          </w:p>
        </w:tc>
        <w:tc>
          <w:tcPr>
            <w:tcW w:w="1435" w:type="dxa"/>
            <w:shd w:val="clear" w:color="auto" w:fill="DBE5F1"/>
            <w:vAlign w:val="center"/>
          </w:tcPr>
          <w:p w14:paraId="46312038" w14:textId="2C160E76" w:rsidR="001E0331" w:rsidRDefault="00CA1AB2" w:rsidP="00996718">
            <w:pPr>
              <w:jc w:val="center"/>
              <w:rPr>
                <w:rFonts w:ascii="Arial" w:hAnsi="Arial" w:cs="Arial"/>
                <w:bCs/>
                <w:sz w:val="18"/>
                <w:szCs w:val="18"/>
              </w:rPr>
            </w:pPr>
            <w:r>
              <w:rPr>
                <w:rFonts w:ascii="Arial" w:hAnsi="Arial" w:cs="Arial"/>
                <w:bCs/>
                <w:sz w:val="18"/>
                <w:szCs w:val="18"/>
              </w:rPr>
              <w:t>3.916.865,00</w:t>
            </w:r>
          </w:p>
        </w:tc>
        <w:tc>
          <w:tcPr>
            <w:tcW w:w="1435" w:type="dxa"/>
            <w:shd w:val="clear" w:color="auto" w:fill="DBE5F1"/>
            <w:vAlign w:val="center"/>
          </w:tcPr>
          <w:p w14:paraId="32A50993" w14:textId="668EE52A" w:rsidR="001E0331" w:rsidRPr="00893470" w:rsidRDefault="00CA1AB2" w:rsidP="00996718">
            <w:pPr>
              <w:jc w:val="center"/>
              <w:rPr>
                <w:rFonts w:ascii="Arial" w:hAnsi="Arial" w:cs="Arial"/>
                <w:bCs/>
                <w:sz w:val="18"/>
                <w:szCs w:val="18"/>
              </w:rPr>
            </w:pPr>
            <w:r>
              <w:rPr>
                <w:rFonts w:ascii="Arial" w:hAnsi="Arial" w:cs="Arial"/>
                <w:bCs/>
                <w:sz w:val="18"/>
                <w:szCs w:val="18"/>
              </w:rPr>
              <w:t>3.286.573,84</w:t>
            </w:r>
          </w:p>
        </w:tc>
        <w:tc>
          <w:tcPr>
            <w:tcW w:w="942" w:type="dxa"/>
            <w:shd w:val="clear" w:color="auto" w:fill="DBE5F1"/>
            <w:vAlign w:val="center"/>
          </w:tcPr>
          <w:p w14:paraId="006D17DC" w14:textId="0163799C" w:rsidR="001E0331" w:rsidRPr="00893470" w:rsidRDefault="00CA1AB2" w:rsidP="00996718">
            <w:pPr>
              <w:jc w:val="center"/>
              <w:rPr>
                <w:rFonts w:ascii="Arial" w:hAnsi="Arial" w:cs="Arial"/>
                <w:bCs/>
                <w:sz w:val="18"/>
                <w:szCs w:val="18"/>
              </w:rPr>
            </w:pPr>
            <w:r>
              <w:rPr>
                <w:rFonts w:ascii="Arial" w:hAnsi="Arial" w:cs="Arial"/>
                <w:bCs/>
                <w:sz w:val="18"/>
                <w:szCs w:val="18"/>
              </w:rPr>
              <w:t>83,91</w:t>
            </w:r>
            <w:r w:rsidR="00996718">
              <w:rPr>
                <w:rFonts w:ascii="Arial" w:hAnsi="Arial" w:cs="Arial"/>
                <w:bCs/>
                <w:sz w:val="18"/>
                <w:szCs w:val="18"/>
              </w:rPr>
              <w:t>%</w:t>
            </w:r>
          </w:p>
        </w:tc>
      </w:tr>
      <w:tr w:rsidR="001E0331" w:rsidRPr="00D96F8A" w14:paraId="56522773" w14:textId="77777777" w:rsidTr="0039249D">
        <w:trPr>
          <w:trHeight w:val="188"/>
          <w:jc w:val="center"/>
        </w:trPr>
        <w:tc>
          <w:tcPr>
            <w:tcW w:w="1647" w:type="dxa"/>
            <w:shd w:val="clear" w:color="auto" w:fill="DBE5F1"/>
            <w:vAlign w:val="center"/>
          </w:tcPr>
          <w:p w14:paraId="4A35EE8C" w14:textId="77777777" w:rsidR="001E0331" w:rsidRPr="00D96F8A" w:rsidRDefault="001E0331" w:rsidP="00A86D03">
            <w:pPr>
              <w:rPr>
                <w:rFonts w:ascii="Arial" w:hAnsi="Arial" w:cs="Arial"/>
                <w:b/>
                <w:bCs/>
                <w:sz w:val="18"/>
                <w:szCs w:val="18"/>
                <w:lang w:eastAsia="hr-HR"/>
              </w:rPr>
            </w:pPr>
            <w:r w:rsidRPr="00D96F8A">
              <w:rPr>
                <w:rFonts w:ascii="Arial" w:hAnsi="Arial" w:cs="Arial"/>
                <w:b/>
                <w:bCs/>
                <w:sz w:val="18"/>
                <w:szCs w:val="18"/>
                <w:lang w:eastAsia="hr-HR"/>
              </w:rPr>
              <w:t>Razdjel 021</w:t>
            </w:r>
          </w:p>
        </w:tc>
        <w:tc>
          <w:tcPr>
            <w:tcW w:w="4227" w:type="dxa"/>
            <w:shd w:val="clear" w:color="auto" w:fill="DBE5F1"/>
            <w:vAlign w:val="center"/>
          </w:tcPr>
          <w:p w14:paraId="120D4F7F" w14:textId="77777777" w:rsidR="001E0331" w:rsidRPr="00D96F8A" w:rsidRDefault="001E0331" w:rsidP="00A86D03">
            <w:pPr>
              <w:rPr>
                <w:rFonts w:ascii="Arial" w:hAnsi="Arial" w:cs="Arial"/>
                <w:b/>
                <w:bCs/>
                <w:sz w:val="18"/>
                <w:szCs w:val="18"/>
                <w:lang w:eastAsia="hr-HR"/>
              </w:rPr>
            </w:pPr>
            <w:r>
              <w:rPr>
                <w:rFonts w:ascii="Arial" w:hAnsi="Arial" w:cs="Arial"/>
                <w:b/>
                <w:bCs/>
                <w:sz w:val="18"/>
                <w:szCs w:val="18"/>
                <w:lang w:eastAsia="hr-HR"/>
              </w:rPr>
              <w:t>UPRAVNI ODJEL ZA DRUŠTVENE DJELATNOSTI</w:t>
            </w:r>
          </w:p>
        </w:tc>
        <w:tc>
          <w:tcPr>
            <w:tcW w:w="1733" w:type="dxa"/>
            <w:shd w:val="clear" w:color="auto" w:fill="DBE5F1"/>
            <w:vAlign w:val="center"/>
          </w:tcPr>
          <w:p w14:paraId="23AF7E6D" w14:textId="3D93EB6A" w:rsidR="001E0331" w:rsidRPr="00D96F8A" w:rsidRDefault="00CA1AB2" w:rsidP="00996718">
            <w:pPr>
              <w:jc w:val="center"/>
              <w:rPr>
                <w:rFonts w:ascii="Arial" w:hAnsi="Arial" w:cs="Arial"/>
                <w:b/>
                <w:bCs/>
                <w:sz w:val="18"/>
                <w:szCs w:val="18"/>
              </w:rPr>
            </w:pPr>
            <w:r>
              <w:rPr>
                <w:rFonts w:ascii="Arial" w:hAnsi="Arial" w:cs="Arial"/>
                <w:b/>
                <w:bCs/>
                <w:sz w:val="18"/>
                <w:szCs w:val="18"/>
              </w:rPr>
              <w:t>9.589.015,00</w:t>
            </w:r>
          </w:p>
        </w:tc>
        <w:tc>
          <w:tcPr>
            <w:tcW w:w="1435" w:type="dxa"/>
            <w:shd w:val="clear" w:color="auto" w:fill="DBE5F1"/>
            <w:vAlign w:val="center"/>
          </w:tcPr>
          <w:p w14:paraId="59AD48B2" w14:textId="27D9D419" w:rsidR="001E0331" w:rsidRDefault="00CA1AB2" w:rsidP="00996718">
            <w:pPr>
              <w:jc w:val="center"/>
              <w:rPr>
                <w:rFonts w:ascii="Arial" w:hAnsi="Arial" w:cs="Arial"/>
                <w:b/>
                <w:bCs/>
                <w:sz w:val="18"/>
                <w:szCs w:val="18"/>
              </w:rPr>
            </w:pPr>
            <w:r>
              <w:rPr>
                <w:rFonts w:ascii="Arial" w:hAnsi="Arial" w:cs="Arial"/>
                <w:b/>
                <w:bCs/>
                <w:sz w:val="18"/>
                <w:szCs w:val="18"/>
              </w:rPr>
              <w:t>9.688.374,00</w:t>
            </w:r>
          </w:p>
        </w:tc>
        <w:tc>
          <w:tcPr>
            <w:tcW w:w="1435" w:type="dxa"/>
            <w:shd w:val="clear" w:color="auto" w:fill="DBE5F1"/>
            <w:vAlign w:val="center"/>
          </w:tcPr>
          <w:p w14:paraId="1E91D36C" w14:textId="2C34C401" w:rsidR="001E0331" w:rsidRPr="00D96F8A" w:rsidRDefault="00CA1AB2" w:rsidP="00996718">
            <w:pPr>
              <w:jc w:val="center"/>
              <w:rPr>
                <w:rFonts w:ascii="Arial" w:hAnsi="Arial" w:cs="Arial"/>
                <w:b/>
                <w:bCs/>
                <w:sz w:val="18"/>
                <w:szCs w:val="18"/>
              </w:rPr>
            </w:pPr>
            <w:r>
              <w:rPr>
                <w:rFonts w:ascii="Arial" w:hAnsi="Arial" w:cs="Arial"/>
                <w:b/>
                <w:bCs/>
                <w:sz w:val="18"/>
                <w:szCs w:val="18"/>
              </w:rPr>
              <w:t>8.049.710,67</w:t>
            </w:r>
          </w:p>
        </w:tc>
        <w:tc>
          <w:tcPr>
            <w:tcW w:w="942" w:type="dxa"/>
            <w:shd w:val="clear" w:color="auto" w:fill="DBE5F1"/>
            <w:vAlign w:val="center"/>
          </w:tcPr>
          <w:p w14:paraId="5B689612" w14:textId="013E0528" w:rsidR="001E0331" w:rsidRPr="00D96F8A" w:rsidRDefault="00CA1AB2" w:rsidP="00996718">
            <w:pPr>
              <w:jc w:val="center"/>
              <w:rPr>
                <w:rFonts w:ascii="Arial" w:hAnsi="Arial" w:cs="Arial"/>
                <w:b/>
                <w:bCs/>
                <w:sz w:val="18"/>
                <w:szCs w:val="18"/>
              </w:rPr>
            </w:pPr>
            <w:r>
              <w:rPr>
                <w:rFonts w:ascii="Arial" w:hAnsi="Arial" w:cs="Arial"/>
                <w:b/>
                <w:bCs/>
                <w:sz w:val="18"/>
                <w:szCs w:val="18"/>
              </w:rPr>
              <w:t>83,09</w:t>
            </w:r>
            <w:r w:rsidR="00996718">
              <w:rPr>
                <w:rFonts w:ascii="Arial" w:hAnsi="Arial" w:cs="Arial"/>
                <w:b/>
                <w:bCs/>
                <w:sz w:val="18"/>
                <w:szCs w:val="18"/>
              </w:rPr>
              <w:t>%</w:t>
            </w:r>
          </w:p>
        </w:tc>
      </w:tr>
      <w:tr w:rsidR="001E0331" w:rsidRPr="00D96F8A" w14:paraId="7E1D17A5" w14:textId="77777777" w:rsidTr="0039249D">
        <w:trPr>
          <w:trHeight w:val="188"/>
          <w:jc w:val="center"/>
        </w:trPr>
        <w:tc>
          <w:tcPr>
            <w:tcW w:w="1647" w:type="dxa"/>
            <w:shd w:val="clear" w:color="auto" w:fill="DBE5F1"/>
            <w:vAlign w:val="center"/>
          </w:tcPr>
          <w:p w14:paraId="28C04ABC" w14:textId="77777777" w:rsidR="001E0331" w:rsidRPr="00D96F8A" w:rsidRDefault="001E0331" w:rsidP="00A86D03">
            <w:pPr>
              <w:rPr>
                <w:rFonts w:ascii="Arial" w:hAnsi="Arial" w:cs="Arial"/>
                <w:bCs/>
                <w:sz w:val="18"/>
                <w:szCs w:val="18"/>
                <w:lang w:eastAsia="hr-HR"/>
              </w:rPr>
            </w:pPr>
            <w:r>
              <w:rPr>
                <w:rFonts w:ascii="Arial" w:hAnsi="Arial" w:cs="Arial"/>
                <w:bCs/>
                <w:sz w:val="18"/>
                <w:szCs w:val="18"/>
                <w:lang w:eastAsia="hr-HR"/>
              </w:rPr>
              <w:t>Glava 02110</w:t>
            </w:r>
          </w:p>
        </w:tc>
        <w:tc>
          <w:tcPr>
            <w:tcW w:w="4227" w:type="dxa"/>
            <w:shd w:val="clear" w:color="auto" w:fill="DBE5F1"/>
            <w:vAlign w:val="center"/>
          </w:tcPr>
          <w:p w14:paraId="73FFCD9C" w14:textId="77777777" w:rsidR="001E0331" w:rsidRPr="00D96F8A" w:rsidRDefault="001E0331" w:rsidP="00A86D03">
            <w:pPr>
              <w:rPr>
                <w:rFonts w:ascii="Arial" w:hAnsi="Arial" w:cs="Arial"/>
                <w:bCs/>
                <w:sz w:val="18"/>
                <w:szCs w:val="18"/>
                <w:lang w:eastAsia="hr-HR"/>
              </w:rPr>
            </w:pPr>
            <w:r w:rsidRPr="00D96F8A">
              <w:rPr>
                <w:rFonts w:ascii="Arial" w:hAnsi="Arial" w:cs="Arial"/>
                <w:bCs/>
                <w:sz w:val="18"/>
                <w:szCs w:val="18"/>
                <w:lang w:eastAsia="hr-HR"/>
              </w:rPr>
              <w:t xml:space="preserve">UPRAVNI ODJEL ZA DRUŠTVENE DJELATNOSTI </w:t>
            </w:r>
          </w:p>
        </w:tc>
        <w:tc>
          <w:tcPr>
            <w:tcW w:w="1733" w:type="dxa"/>
            <w:shd w:val="clear" w:color="auto" w:fill="DBE5F1"/>
            <w:vAlign w:val="center"/>
          </w:tcPr>
          <w:p w14:paraId="377FC62B" w14:textId="7E95ADF7" w:rsidR="001E0331" w:rsidRPr="00D96F8A" w:rsidRDefault="00CA1AB2" w:rsidP="00996718">
            <w:pPr>
              <w:jc w:val="center"/>
              <w:rPr>
                <w:rFonts w:ascii="Arial" w:hAnsi="Arial" w:cs="Arial"/>
                <w:bCs/>
                <w:sz w:val="18"/>
                <w:szCs w:val="18"/>
              </w:rPr>
            </w:pPr>
            <w:r>
              <w:rPr>
                <w:rFonts w:ascii="Arial" w:hAnsi="Arial" w:cs="Arial"/>
                <w:bCs/>
                <w:sz w:val="18"/>
                <w:szCs w:val="18"/>
              </w:rPr>
              <w:t>2.964.100,00</w:t>
            </w:r>
          </w:p>
        </w:tc>
        <w:tc>
          <w:tcPr>
            <w:tcW w:w="1435" w:type="dxa"/>
            <w:shd w:val="clear" w:color="auto" w:fill="DBE5F1"/>
            <w:vAlign w:val="center"/>
          </w:tcPr>
          <w:p w14:paraId="652DE130" w14:textId="59115CEF" w:rsidR="001E0331" w:rsidRDefault="00CA1AB2" w:rsidP="00996718">
            <w:pPr>
              <w:jc w:val="center"/>
              <w:rPr>
                <w:rFonts w:ascii="Arial" w:hAnsi="Arial" w:cs="Arial"/>
                <w:bCs/>
                <w:sz w:val="18"/>
                <w:szCs w:val="18"/>
              </w:rPr>
            </w:pPr>
            <w:r>
              <w:rPr>
                <w:rFonts w:ascii="Arial" w:hAnsi="Arial" w:cs="Arial"/>
                <w:bCs/>
                <w:sz w:val="18"/>
                <w:szCs w:val="18"/>
              </w:rPr>
              <w:t>3.036.109,00</w:t>
            </w:r>
          </w:p>
        </w:tc>
        <w:tc>
          <w:tcPr>
            <w:tcW w:w="1435" w:type="dxa"/>
            <w:shd w:val="clear" w:color="auto" w:fill="DBE5F1"/>
            <w:vAlign w:val="center"/>
          </w:tcPr>
          <w:p w14:paraId="3BE23A0F" w14:textId="376A7FA0" w:rsidR="001E0331" w:rsidRPr="00D96F8A" w:rsidRDefault="00CA1AB2" w:rsidP="00996718">
            <w:pPr>
              <w:jc w:val="center"/>
              <w:rPr>
                <w:rFonts w:ascii="Arial" w:hAnsi="Arial" w:cs="Arial"/>
                <w:bCs/>
                <w:sz w:val="18"/>
                <w:szCs w:val="18"/>
              </w:rPr>
            </w:pPr>
            <w:r>
              <w:rPr>
                <w:rFonts w:ascii="Arial" w:hAnsi="Arial" w:cs="Arial"/>
                <w:bCs/>
                <w:sz w:val="18"/>
                <w:szCs w:val="18"/>
              </w:rPr>
              <w:t>2.739.233,53</w:t>
            </w:r>
          </w:p>
        </w:tc>
        <w:tc>
          <w:tcPr>
            <w:tcW w:w="942" w:type="dxa"/>
            <w:shd w:val="clear" w:color="auto" w:fill="DBE5F1"/>
            <w:vAlign w:val="center"/>
          </w:tcPr>
          <w:p w14:paraId="70DA3480" w14:textId="14ACDC1D" w:rsidR="001E0331" w:rsidRPr="00D96F8A" w:rsidRDefault="00CA1AB2" w:rsidP="00996718">
            <w:pPr>
              <w:jc w:val="center"/>
              <w:rPr>
                <w:rFonts w:ascii="Arial" w:hAnsi="Arial" w:cs="Arial"/>
                <w:bCs/>
                <w:sz w:val="18"/>
                <w:szCs w:val="18"/>
              </w:rPr>
            </w:pPr>
            <w:r>
              <w:rPr>
                <w:rFonts w:ascii="Arial" w:hAnsi="Arial" w:cs="Arial"/>
                <w:bCs/>
                <w:sz w:val="18"/>
                <w:szCs w:val="18"/>
              </w:rPr>
              <w:t>90,22</w:t>
            </w:r>
            <w:r w:rsidR="00996718">
              <w:rPr>
                <w:rFonts w:ascii="Arial" w:hAnsi="Arial" w:cs="Arial"/>
                <w:bCs/>
                <w:sz w:val="18"/>
                <w:szCs w:val="18"/>
              </w:rPr>
              <w:t>%</w:t>
            </w:r>
          </w:p>
        </w:tc>
      </w:tr>
      <w:tr w:rsidR="001E0331" w:rsidRPr="000A5F83" w14:paraId="4DC0C04B" w14:textId="77777777" w:rsidTr="0039249D">
        <w:trPr>
          <w:trHeight w:val="188"/>
          <w:jc w:val="center"/>
        </w:trPr>
        <w:tc>
          <w:tcPr>
            <w:tcW w:w="1647" w:type="dxa"/>
            <w:vAlign w:val="center"/>
          </w:tcPr>
          <w:p w14:paraId="3D210C9A" w14:textId="77777777" w:rsidR="001E0331" w:rsidRPr="000A5F83" w:rsidRDefault="001E0331" w:rsidP="00A86D03">
            <w:pPr>
              <w:rPr>
                <w:rFonts w:ascii="Arial" w:hAnsi="Arial" w:cs="Arial"/>
                <w:sz w:val="18"/>
                <w:szCs w:val="18"/>
                <w:lang w:eastAsia="hr-HR"/>
              </w:rPr>
            </w:pPr>
            <w:r>
              <w:rPr>
                <w:rFonts w:ascii="Arial" w:hAnsi="Arial" w:cs="Arial"/>
                <w:sz w:val="18"/>
                <w:szCs w:val="18"/>
                <w:lang w:eastAsia="hr-HR"/>
              </w:rPr>
              <w:t>Glava 02111</w:t>
            </w:r>
          </w:p>
        </w:tc>
        <w:tc>
          <w:tcPr>
            <w:tcW w:w="4227" w:type="dxa"/>
            <w:vAlign w:val="center"/>
          </w:tcPr>
          <w:p w14:paraId="37ED4CEF" w14:textId="77777777" w:rsidR="001E0331" w:rsidRPr="000A5F83" w:rsidRDefault="001E0331" w:rsidP="00A86D03">
            <w:pPr>
              <w:rPr>
                <w:rFonts w:ascii="Arial" w:hAnsi="Arial" w:cs="Arial"/>
                <w:sz w:val="18"/>
                <w:szCs w:val="18"/>
                <w:lang w:eastAsia="hr-HR"/>
              </w:rPr>
            </w:pPr>
            <w:r>
              <w:rPr>
                <w:rFonts w:ascii="Arial" w:hAnsi="Arial" w:cs="Arial"/>
                <w:sz w:val="18"/>
                <w:szCs w:val="18"/>
                <w:lang w:eastAsia="hr-HR"/>
              </w:rPr>
              <w:t xml:space="preserve">DJEČJI VRTIĆ TROGIR </w:t>
            </w:r>
          </w:p>
        </w:tc>
        <w:tc>
          <w:tcPr>
            <w:tcW w:w="1733" w:type="dxa"/>
            <w:vAlign w:val="bottom"/>
          </w:tcPr>
          <w:p w14:paraId="25AD3043" w14:textId="37E10995" w:rsidR="001E0331" w:rsidRPr="00A42A4E" w:rsidRDefault="00CA1AB2" w:rsidP="00996718">
            <w:pPr>
              <w:jc w:val="center"/>
              <w:rPr>
                <w:rFonts w:ascii="Arial" w:hAnsi="Arial" w:cs="Arial"/>
                <w:bCs/>
                <w:sz w:val="18"/>
                <w:szCs w:val="18"/>
              </w:rPr>
            </w:pPr>
            <w:r>
              <w:rPr>
                <w:rFonts w:ascii="Arial" w:hAnsi="Arial" w:cs="Arial"/>
                <w:bCs/>
                <w:sz w:val="18"/>
                <w:szCs w:val="18"/>
              </w:rPr>
              <w:t>2.740.300,00</w:t>
            </w:r>
          </w:p>
        </w:tc>
        <w:tc>
          <w:tcPr>
            <w:tcW w:w="1435" w:type="dxa"/>
          </w:tcPr>
          <w:p w14:paraId="1F0F24D3" w14:textId="46BFA5C7" w:rsidR="001E0331" w:rsidRDefault="00CA1AB2" w:rsidP="00996718">
            <w:pPr>
              <w:jc w:val="center"/>
              <w:rPr>
                <w:rFonts w:ascii="Arial" w:hAnsi="Arial" w:cs="Arial"/>
                <w:bCs/>
                <w:sz w:val="18"/>
                <w:szCs w:val="18"/>
              </w:rPr>
            </w:pPr>
            <w:r>
              <w:rPr>
                <w:rFonts w:ascii="Arial" w:hAnsi="Arial" w:cs="Arial"/>
                <w:bCs/>
                <w:sz w:val="18"/>
                <w:szCs w:val="18"/>
              </w:rPr>
              <w:t>2.740.300,00</w:t>
            </w:r>
          </w:p>
        </w:tc>
        <w:tc>
          <w:tcPr>
            <w:tcW w:w="1435" w:type="dxa"/>
            <w:vAlign w:val="bottom"/>
          </w:tcPr>
          <w:p w14:paraId="0021401A" w14:textId="6EC06140" w:rsidR="001E0331" w:rsidRPr="00A42A4E" w:rsidRDefault="00CA1AB2" w:rsidP="00996718">
            <w:pPr>
              <w:jc w:val="center"/>
              <w:rPr>
                <w:rFonts w:ascii="Arial" w:hAnsi="Arial" w:cs="Arial"/>
                <w:bCs/>
                <w:sz w:val="18"/>
                <w:szCs w:val="18"/>
              </w:rPr>
            </w:pPr>
            <w:r>
              <w:rPr>
                <w:rFonts w:ascii="Arial" w:hAnsi="Arial" w:cs="Arial"/>
                <w:bCs/>
                <w:sz w:val="18"/>
                <w:szCs w:val="18"/>
              </w:rPr>
              <w:t>2.551.841,23</w:t>
            </w:r>
          </w:p>
        </w:tc>
        <w:tc>
          <w:tcPr>
            <w:tcW w:w="942" w:type="dxa"/>
            <w:vAlign w:val="bottom"/>
          </w:tcPr>
          <w:p w14:paraId="16A4DD0C" w14:textId="4273010A" w:rsidR="001E0331" w:rsidRPr="00A42A4E" w:rsidRDefault="00CA1AB2" w:rsidP="00996718">
            <w:pPr>
              <w:jc w:val="center"/>
              <w:rPr>
                <w:rFonts w:ascii="Arial" w:hAnsi="Arial" w:cs="Arial"/>
                <w:bCs/>
                <w:sz w:val="18"/>
                <w:szCs w:val="18"/>
              </w:rPr>
            </w:pPr>
            <w:r>
              <w:rPr>
                <w:rFonts w:ascii="Arial" w:hAnsi="Arial" w:cs="Arial"/>
                <w:bCs/>
                <w:sz w:val="18"/>
                <w:szCs w:val="18"/>
              </w:rPr>
              <w:t>93,12</w:t>
            </w:r>
            <w:r w:rsidR="00996718">
              <w:rPr>
                <w:rFonts w:ascii="Arial" w:hAnsi="Arial" w:cs="Arial"/>
                <w:bCs/>
                <w:sz w:val="18"/>
                <w:szCs w:val="18"/>
              </w:rPr>
              <w:t>%</w:t>
            </w:r>
          </w:p>
        </w:tc>
      </w:tr>
      <w:tr w:rsidR="001E0331" w:rsidRPr="000A5F83" w14:paraId="3305C6B0" w14:textId="77777777" w:rsidTr="0039249D">
        <w:trPr>
          <w:trHeight w:val="188"/>
          <w:jc w:val="center"/>
        </w:trPr>
        <w:tc>
          <w:tcPr>
            <w:tcW w:w="1647" w:type="dxa"/>
            <w:vAlign w:val="center"/>
          </w:tcPr>
          <w:p w14:paraId="769DE886" w14:textId="77777777" w:rsidR="001E0331" w:rsidRDefault="001E0331" w:rsidP="00A86D03">
            <w:pPr>
              <w:rPr>
                <w:rFonts w:ascii="Arial" w:hAnsi="Arial" w:cs="Arial"/>
                <w:sz w:val="18"/>
                <w:szCs w:val="18"/>
                <w:lang w:eastAsia="hr-HR"/>
              </w:rPr>
            </w:pPr>
            <w:r>
              <w:rPr>
                <w:rFonts w:ascii="Arial" w:hAnsi="Arial" w:cs="Arial"/>
                <w:sz w:val="18"/>
                <w:szCs w:val="18"/>
                <w:lang w:eastAsia="hr-HR"/>
              </w:rPr>
              <w:t>Glava 02112</w:t>
            </w:r>
          </w:p>
        </w:tc>
        <w:tc>
          <w:tcPr>
            <w:tcW w:w="4227" w:type="dxa"/>
            <w:vAlign w:val="center"/>
          </w:tcPr>
          <w:p w14:paraId="22EE4296" w14:textId="77777777" w:rsidR="001E0331" w:rsidRDefault="001E0331" w:rsidP="00A86D03">
            <w:pPr>
              <w:rPr>
                <w:rFonts w:ascii="Arial" w:hAnsi="Arial" w:cs="Arial"/>
                <w:sz w:val="18"/>
                <w:szCs w:val="18"/>
                <w:lang w:eastAsia="hr-HR"/>
              </w:rPr>
            </w:pPr>
            <w:r>
              <w:rPr>
                <w:rFonts w:ascii="Arial" w:hAnsi="Arial" w:cs="Arial"/>
                <w:sz w:val="18"/>
                <w:szCs w:val="18"/>
                <w:lang w:eastAsia="hr-HR"/>
              </w:rPr>
              <w:t>GRADSKA KNJIŽNICA TROGIR</w:t>
            </w:r>
          </w:p>
        </w:tc>
        <w:tc>
          <w:tcPr>
            <w:tcW w:w="1733" w:type="dxa"/>
            <w:vAlign w:val="center"/>
          </w:tcPr>
          <w:p w14:paraId="297D292B" w14:textId="41E877A2" w:rsidR="001E0331" w:rsidRDefault="00CA1AB2" w:rsidP="00996718">
            <w:pPr>
              <w:jc w:val="center"/>
              <w:rPr>
                <w:rFonts w:ascii="Arial" w:hAnsi="Arial" w:cs="Arial"/>
                <w:bCs/>
                <w:sz w:val="18"/>
                <w:szCs w:val="18"/>
              </w:rPr>
            </w:pPr>
            <w:r>
              <w:rPr>
                <w:rFonts w:ascii="Arial" w:hAnsi="Arial" w:cs="Arial"/>
                <w:bCs/>
                <w:sz w:val="18"/>
                <w:szCs w:val="18"/>
              </w:rPr>
              <w:t>204.544,00</w:t>
            </w:r>
          </w:p>
        </w:tc>
        <w:tc>
          <w:tcPr>
            <w:tcW w:w="1435" w:type="dxa"/>
          </w:tcPr>
          <w:p w14:paraId="7A72D5CC" w14:textId="3508A4EC" w:rsidR="001E0331" w:rsidRDefault="00CA1AB2" w:rsidP="00996718">
            <w:pPr>
              <w:jc w:val="center"/>
              <w:rPr>
                <w:rFonts w:ascii="Arial" w:hAnsi="Arial" w:cs="Arial"/>
                <w:bCs/>
                <w:sz w:val="18"/>
                <w:szCs w:val="18"/>
              </w:rPr>
            </w:pPr>
            <w:r>
              <w:rPr>
                <w:rFonts w:ascii="Arial" w:hAnsi="Arial" w:cs="Arial"/>
                <w:bCs/>
                <w:sz w:val="18"/>
                <w:szCs w:val="18"/>
              </w:rPr>
              <w:t>204.544,00</w:t>
            </w:r>
          </w:p>
        </w:tc>
        <w:tc>
          <w:tcPr>
            <w:tcW w:w="1435" w:type="dxa"/>
            <w:vAlign w:val="center"/>
          </w:tcPr>
          <w:p w14:paraId="41A124B2" w14:textId="7C4CBCDC" w:rsidR="001E0331" w:rsidRDefault="00CA1AB2" w:rsidP="00996718">
            <w:pPr>
              <w:jc w:val="center"/>
              <w:rPr>
                <w:rFonts w:ascii="Arial" w:hAnsi="Arial" w:cs="Arial"/>
                <w:bCs/>
                <w:sz w:val="18"/>
                <w:szCs w:val="18"/>
              </w:rPr>
            </w:pPr>
            <w:r>
              <w:rPr>
                <w:rFonts w:ascii="Arial" w:hAnsi="Arial" w:cs="Arial"/>
                <w:bCs/>
                <w:sz w:val="18"/>
                <w:szCs w:val="18"/>
              </w:rPr>
              <w:t>195.627,61</w:t>
            </w:r>
          </w:p>
        </w:tc>
        <w:tc>
          <w:tcPr>
            <w:tcW w:w="942" w:type="dxa"/>
            <w:vAlign w:val="center"/>
          </w:tcPr>
          <w:p w14:paraId="5E09A4D7" w14:textId="2A94D27E" w:rsidR="001E0331" w:rsidRPr="00A42A4E" w:rsidRDefault="00CA1AB2" w:rsidP="00996718">
            <w:pPr>
              <w:jc w:val="center"/>
              <w:rPr>
                <w:rFonts w:ascii="Arial" w:hAnsi="Arial" w:cs="Arial"/>
                <w:bCs/>
                <w:sz w:val="18"/>
                <w:szCs w:val="18"/>
              </w:rPr>
            </w:pPr>
            <w:r>
              <w:rPr>
                <w:rFonts w:ascii="Arial" w:hAnsi="Arial" w:cs="Arial"/>
                <w:bCs/>
                <w:sz w:val="18"/>
                <w:szCs w:val="18"/>
              </w:rPr>
              <w:t>95,64</w:t>
            </w:r>
            <w:r w:rsidR="00996718">
              <w:rPr>
                <w:rFonts w:ascii="Arial" w:hAnsi="Arial" w:cs="Arial"/>
                <w:bCs/>
                <w:sz w:val="18"/>
                <w:szCs w:val="18"/>
              </w:rPr>
              <w:t>%</w:t>
            </w:r>
          </w:p>
        </w:tc>
      </w:tr>
      <w:tr w:rsidR="001E0331" w:rsidRPr="000A5F83" w14:paraId="6DF94085" w14:textId="77777777" w:rsidTr="0039249D">
        <w:trPr>
          <w:trHeight w:val="188"/>
          <w:jc w:val="center"/>
        </w:trPr>
        <w:tc>
          <w:tcPr>
            <w:tcW w:w="1647" w:type="dxa"/>
            <w:vAlign w:val="center"/>
          </w:tcPr>
          <w:p w14:paraId="7FA42E11" w14:textId="77777777" w:rsidR="001E0331" w:rsidRDefault="001E0331" w:rsidP="00A86D03">
            <w:pPr>
              <w:rPr>
                <w:rFonts w:ascii="Arial" w:hAnsi="Arial" w:cs="Arial"/>
                <w:sz w:val="18"/>
                <w:szCs w:val="18"/>
                <w:lang w:eastAsia="hr-HR"/>
              </w:rPr>
            </w:pPr>
            <w:r>
              <w:rPr>
                <w:rFonts w:ascii="Arial" w:hAnsi="Arial" w:cs="Arial"/>
                <w:sz w:val="18"/>
                <w:szCs w:val="18"/>
                <w:lang w:eastAsia="hr-HR"/>
              </w:rPr>
              <w:t>Glava 02113</w:t>
            </w:r>
          </w:p>
        </w:tc>
        <w:tc>
          <w:tcPr>
            <w:tcW w:w="4227" w:type="dxa"/>
            <w:vAlign w:val="center"/>
          </w:tcPr>
          <w:p w14:paraId="5888441A" w14:textId="77777777" w:rsidR="001E0331" w:rsidRDefault="001E0331" w:rsidP="00A86D03">
            <w:pPr>
              <w:rPr>
                <w:rFonts w:ascii="Arial" w:hAnsi="Arial" w:cs="Arial"/>
                <w:sz w:val="18"/>
                <w:szCs w:val="18"/>
                <w:lang w:eastAsia="hr-HR"/>
              </w:rPr>
            </w:pPr>
            <w:r>
              <w:rPr>
                <w:rFonts w:ascii="Arial" w:hAnsi="Arial" w:cs="Arial"/>
                <w:sz w:val="18"/>
                <w:szCs w:val="18"/>
                <w:lang w:eastAsia="hr-HR"/>
              </w:rPr>
              <w:t>MUZEJ GRADA TROGIRA</w:t>
            </w:r>
          </w:p>
        </w:tc>
        <w:tc>
          <w:tcPr>
            <w:tcW w:w="1733" w:type="dxa"/>
            <w:vAlign w:val="center"/>
          </w:tcPr>
          <w:p w14:paraId="7EA97215" w14:textId="6421934F" w:rsidR="001E0331" w:rsidRDefault="00CA1AB2" w:rsidP="00996718">
            <w:pPr>
              <w:jc w:val="center"/>
              <w:rPr>
                <w:rFonts w:ascii="Arial" w:hAnsi="Arial" w:cs="Arial"/>
                <w:bCs/>
                <w:sz w:val="18"/>
                <w:szCs w:val="18"/>
              </w:rPr>
            </w:pPr>
            <w:r>
              <w:rPr>
                <w:rFonts w:ascii="Arial" w:hAnsi="Arial" w:cs="Arial"/>
                <w:bCs/>
                <w:sz w:val="18"/>
                <w:szCs w:val="18"/>
              </w:rPr>
              <w:t>566.852,00</w:t>
            </w:r>
          </w:p>
        </w:tc>
        <w:tc>
          <w:tcPr>
            <w:tcW w:w="1435" w:type="dxa"/>
          </w:tcPr>
          <w:p w14:paraId="44B5FBD5" w14:textId="34FF9EA7" w:rsidR="001E0331" w:rsidRDefault="00CA1AB2" w:rsidP="00996718">
            <w:pPr>
              <w:jc w:val="center"/>
              <w:rPr>
                <w:rFonts w:ascii="Arial" w:hAnsi="Arial" w:cs="Arial"/>
                <w:bCs/>
                <w:sz w:val="18"/>
                <w:szCs w:val="18"/>
              </w:rPr>
            </w:pPr>
            <w:r>
              <w:rPr>
                <w:rFonts w:ascii="Arial" w:hAnsi="Arial" w:cs="Arial"/>
                <w:bCs/>
                <w:sz w:val="18"/>
                <w:szCs w:val="18"/>
              </w:rPr>
              <w:t>566.852,00</w:t>
            </w:r>
          </w:p>
        </w:tc>
        <w:tc>
          <w:tcPr>
            <w:tcW w:w="1435" w:type="dxa"/>
            <w:vAlign w:val="center"/>
          </w:tcPr>
          <w:p w14:paraId="458A8B43" w14:textId="3FD0C924" w:rsidR="001E0331" w:rsidRDefault="00CA1AB2" w:rsidP="00996718">
            <w:pPr>
              <w:jc w:val="center"/>
              <w:rPr>
                <w:rFonts w:ascii="Arial" w:hAnsi="Arial" w:cs="Arial"/>
                <w:bCs/>
                <w:sz w:val="18"/>
                <w:szCs w:val="18"/>
              </w:rPr>
            </w:pPr>
            <w:r>
              <w:rPr>
                <w:rFonts w:ascii="Arial" w:hAnsi="Arial" w:cs="Arial"/>
                <w:bCs/>
                <w:sz w:val="18"/>
                <w:szCs w:val="18"/>
              </w:rPr>
              <w:t>442.051,25</w:t>
            </w:r>
          </w:p>
        </w:tc>
        <w:tc>
          <w:tcPr>
            <w:tcW w:w="942" w:type="dxa"/>
            <w:vAlign w:val="center"/>
          </w:tcPr>
          <w:p w14:paraId="6F0D5816" w14:textId="35DFA3C5" w:rsidR="001E0331" w:rsidRPr="00A42A4E" w:rsidRDefault="00CA1AB2" w:rsidP="00996718">
            <w:pPr>
              <w:jc w:val="center"/>
              <w:rPr>
                <w:rFonts w:ascii="Arial" w:hAnsi="Arial" w:cs="Arial"/>
                <w:bCs/>
                <w:sz w:val="18"/>
                <w:szCs w:val="18"/>
              </w:rPr>
            </w:pPr>
            <w:r>
              <w:rPr>
                <w:rFonts w:ascii="Arial" w:hAnsi="Arial" w:cs="Arial"/>
                <w:bCs/>
                <w:sz w:val="18"/>
                <w:szCs w:val="18"/>
              </w:rPr>
              <w:t>77,98</w:t>
            </w:r>
            <w:r w:rsidR="00996718">
              <w:rPr>
                <w:rFonts w:ascii="Arial" w:hAnsi="Arial" w:cs="Arial"/>
                <w:bCs/>
                <w:sz w:val="18"/>
                <w:szCs w:val="18"/>
              </w:rPr>
              <w:t>%</w:t>
            </w:r>
          </w:p>
        </w:tc>
      </w:tr>
      <w:tr w:rsidR="001E0331" w:rsidRPr="000A5F83" w14:paraId="1B8EC607" w14:textId="77777777" w:rsidTr="0039249D">
        <w:trPr>
          <w:trHeight w:val="188"/>
          <w:jc w:val="center"/>
        </w:trPr>
        <w:tc>
          <w:tcPr>
            <w:tcW w:w="1647" w:type="dxa"/>
            <w:vAlign w:val="center"/>
          </w:tcPr>
          <w:p w14:paraId="0E2D2A53" w14:textId="77777777" w:rsidR="001E0331" w:rsidRDefault="001E0331" w:rsidP="00A86D03">
            <w:pPr>
              <w:rPr>
                <w:rFonts w:ascii="Arial" w:hAnsi="Arial" w:cs="Arial"/>
                <w:sz w:val="18"/>
                <w:szCs w:val="18"/>
                <w:lang w:eastAsia="hr-HR"/>
              </w:rPr>
            </w:pPr>
            <w:r>
              <w:rPr>
                <w:rFonts w:ascii="Arial" w:hAnsi="Arial" w:cs="Arial"/>
                <w:sz w:val="18"/>
                <w:szCs w:val="18"/>
                <w:lang w:eastAsia="hr-HR"/>
              </w:rPr>
              <w:t>Glava 02114</w:t>
            </w:r>
          </w:p>
        </w:tc>
        <w:tc>
          <w:tcPr>
            <w:tcW w:w="4227" w:type="dxa"/>
            <w:vAlign w:val="center"/>
          </w:tcPr>
          <w:p w14:paraId="75BD7D4D" w14:textId="77777777" w:rsidR="001E0331" w:rsidRDefault="001E0331" w:rsidP="00A86D03">
            <w:pPr>
              <w:rPr>
                <w:rFonts w:ascii="Arial" w:hAnsi="Arial" w:cs="Arial"/>
                <w:sz w:val="18"/>
                <w:szCs w:val="18"/>
                <w:lang w:eastAsia="hr-HR"/>
              </w:rPr>
            </w:pPr>
            <w:r>
              <w:rPr>
                <w:rFonts w:ascii="Arial" w:hAnsi="Arial" w:cs="Arial"/>
                <w:sz w:val="18"/>
                <w:szCs w:val="18"/>
                <w:lang w:eastAsia="hr-HR"/>
              </w:rPr>
              <w:t xml:space="preserve">ŠPORTSKI OBJEKTI TROGIR </w:t>
            </w:r>
          </w:p>
        </w:tc>
        <w:tc>
          <w:tcPr>
            <w:tcW w:w="1733" w:type="dxa"/>
            <w:vAlign w:val="center"/>
          </w:tcPr>
          <w:p w14:paraId="017CFA4C" w14:textId="0F42C597" w:rsidR="001E0331" w:rsidRDefault="00CA1AB2" w:rsidP="00996718">
            <w:pPr>
              <w:jc w:val="center"/>
              <w:rPr>
                <w:rFonts w:ascii="Arial" w:hAnsi="Arial" w:cs="Arial"/>
                <w:bCs/>
                <w:sz w:val="18"/>
                <w:szCs w:val="18"/>
              </w:rPr>
            </w:pPr>
            <w:r>
              <w:rPr>
                <w:rFonts w:ascii="Arial" w:hAnsi="Arial" w:cs="Arial"/>
                <w:bCs/>
                <w:sz w:val="18"/>
                <w:szCs w:val="18"/>
              </w:rPr>
              <w:t>789.500,00</w:t>
            </w:r>
          </w:p>
        </w:tc>
        <w:tc>
          <w:tcPr>
            <w:tcW w:w="1435" w:type="dxa"/>
          </w:tcPr>
          <w:p w14:paraId="305ACA71" w14:textId="78BB4281" w:rsidR="001E0331" w:rsidRDefault="00CA1AB2" w:rsidP="00996718">
            <w:pPr>
              <w:jc w:val="center"/>
              <w:rPr>
                <w:rFonts w:ascii="Arial" w:hAnsi="Arial" w:cs="Arial"/>
                <w:bCs/>
                <w:sz w:val="18"/>
                <w:szCs w:val="18"/>
              </w:rPr>
            </w:pPr>
            <w:r>
              <w:rPr>
                <w:rFonts w:ascii="Arial" w:hAnsi="Arial" w:cs="Arial"/>
                <w:bCs/>
                <w:sz w:val="18"/>
                <w:szCs w:val="18"/>
              </w:rPr>
              <w:t>816.850,00</w:t>
            </w:r>
          </w:p>
        </w:tc>
        <w:tc>
          <w:tcPr>
            <w:tcW w:w="1435" w:type="dxa"/>
            <w:vAlign w:val="center"/>
          </w:tcPr>
          <w:p w14:paraId="329AEAE2" w14:textId="32ADB7D7" w:rsidR="001E0331" w:rsidRDefault="00CA1AB2" w:rsidP="00996718">
            <w:pPr>
              <w:jc w:val="center"/>
              <w:rPr>
                <w:rFonts w:ascii="Arial" w:hAnsi="Arial" w:cs="Arial"/>
                <w:bCs/>
                <w:sz w:val="18"/>
                <w:szCs w:val="18"/>
              </w:rPr>
            </w:pPr>
            <w:r>
              <w:rPr>
                <w:rFonts w:ascii="Arial" w:hAnsi="Arial" w:cs="Arial"/>
                <w:bCs/>
                <w:sz w:val="18"/>
                <w:szCs w:val="18"/>
              </w:rPr>
              <w:t>658.878,11</w:t>
            </w:r>
          </w:p>
        </w:tc>
        <w:tc>
          <w:tcPr>
            <w:tcW w:w="942" w:type="dxa"/>
            <w:vAlign w:val="center"/>
          </w:tcPr>
          <w:p w14:paraId="7C31BF8F" w14:textId="45654A01" w:rsidR="001E0331" w:rsidRPr="00A42A4E" w:rsidRDefault="00CA1AB2" w:rsidP="00996718">
            <w:pPr>
              <w:jc w:val="center"/>
              <w:rPr>
                <w:rFonts w:ascii="Arial" w:hAnsi="Arial" w:cs="Arial"/>
                <w:bCs/>
                <w:sz w:val="18"/>
                <w:szCs w:val="18"/>
              </w:rPr>
            </w:pPr>
            <w:r>
              <w:rPr>
                <w:rFonts w:ascii="Arial" w:hAnsi="Arial" w:cs="Arial"/>
                <w:bCs/>
                <w:sz w:val="18"/>
                <w:szCs w:val="18"/>
              </w:rPr>
              <w:t>80,66</w:t>
            </w:r>
            <w:r w:rsidR="00996718">
              <w:rPr>
                <w:rFonts w:ascii="Arial" w:hAnsi="Arial" w:cs="Arial"/>
                <w:bCs/>
                <w:sz w:val="18"/>
                <w:szCs w:val="18"/>
              </w:rPr>
              <w:t>%</w:t>
            </w:r>
          </w:p>
        </w:tc>
      </w:tr>
      <w:tr w:rsidR="001E0331" w:rsidRPr="000A5F83" w14:paraId="2B08127B" w14:textId="77777777" w:rsidTr="0039249D">
        <w:trPr>
          <w:trHeight w:val="188"/>
          <w:jc w:val="center"/>
        </w:trPr>
        <w:tc>
          <w:tcPr>
            <w:tcW w:w="1647" w:type="dxa"/>
            <w:vAlign w:val="center"/>
          </w:tcPr>
          <w:p w14:paraId="4F4FBA28" w14:textId="77777777" w:rsidR="001E0331" w:rsidRDefault="001E0331" w:rsidP="00A86D03">
            <w:pPr>
              <w:rPr>
                <w:rFonts w:ascii="Arial" w:hAnsi="Arial" w:cs="Arial"/>
                <w:sz w:val="18"/>
                <w:szCs w:val="18"/>
                <w:lang w:eastAsia="hr-HR"/>
              </w:rPr>
            </w:pPr>
            <w:r>
              <w:rPr>
                <w:rFonts w:ascii="Arial" w:hAnsi="Arial" w:cs="Arial"/>
                <w:sz w:val="18"/>
                <w:szCs w:val="18"/>
                <w:lang w:eastAsia="hr-HR"/>
              </w:rPr>
              <w:t>Glava 02115</w:t>
            </w:r>
          </w:p>
        </w:tc>
        <w:tc>
          <w:tcPr>
            <w:tcW w:w="4227" w:type="dxa"/>
            <w:vAlign w:val="center"/>
          </w:tcPr>
          <w:p w14:paraId="40A5728A" w14:textId="77777777" w:rsidR="001E0331" w:rsidRDefault="001E0331" w:rsidP="00A86D03">
            <w:pPr>
              <w:rPr>
                <w:rFonts w:ascii="Arial" w:hAnsi="Arial" w:cs="Arial"/>
                <w:sz w:val="18"/>
                <w:szCs w:val="18"/>
                <w:lang w:eastAsia="hr-HR"/>
              </w:rPr>
            </w:pPr>
            <w:r>
              <w:rPr>
                <w:rFonts w:ascii="Arial" w:hAnsi="Arial" w:cs="Arial"/>
                <w:sz w:val="18"/>
                <w:szCs w:val="18"/>
                <w:lang w:eastAsia="hr-HR"/>
              </w:rPr>
              <w:t>JAVNA VATROGASNA POSTROJBA TROGIR</w:t>
            </w:r>
          </w:p>
        </w:tc>
        <w:tc>
          <w:tcPr>
            <w:tcW w:w="1733" w:type="dxa"/>
            <w:vAlign w:val="center"/>
          </w:tcPr>
          <w:p w14:paraId="2627E217" w14:textId="01D8C956" w:rsidR="001E0331" w:rsidRDefault="00CA1AB2" w:rsidP="00996718">
            <w:pPr>
              <w:jc w:val="center"/>
              <w:rPr>
                <w:rFonts w:ascii="Arial" w:hAnsi="Arial" w:cs="Arial"/>
                <w:bCs/>
                <w:sz w:val="18"/>
                <w:szCs w:val="18"/>
              </w:rPr>
            </w:pPr>
            <w:r>
              <w:rPr>
                <w:rFonts w:ascii="Arial" w:hAnsi="Arial" w:cs="Arial"/>
                <w:bCs/>
                <w:sz w:val="18"/>
                <w:szCs w:val="18"/>
              </w:rPr>
              <w:t>2.323.719,00</w:t>
            </w:r>
          </w:p>
        </w:tc>
        <w:tc>
          <w:tcPr>
            <w:tcW w:w="1435" w:type="dxa"/>
          </w:tcPr>
          <w:p w14:paraId="12FBF6F2" w14:textId="0D021681" w:rsidR="001E0331" w:rsidRDefault="00CA1AB2" w:rsidP="00996718">
            <w:pPr>
              <w:jc w:val="center"/>
              <w:rPr>
                <w:rFonts w:ascii="Arial" w:hAnsi="Arial" w:cs="Arial"/>
                <w:bCs/>
                <w:sz w:val="18"/>
                <w:szCs w:val="18"/>
              </w:rPr>
            </w:pPr>
            <w:r>
              <w:rPr>
                <w:rFonts w:ascii="Arial" w:hAnsi="Arial" w:cs="Arial"/>
                <w:bCs/>
                <w:sz w:val="18"/>
                <w:szCs w:val="18"/>
              </w:rPr>
              <w:t>2.323.719,00</w:t>
            </w:r>
          </w:p>
        </w:tc>
        <w:tc>
          <w:tcPr>
            <w:tcW w:w="1435" w:type="dxa"/>
            <w:vAlign w:val="center"/>
          </w:tcPr>
          <w:p w14:paraId="63194A8B" w14:textId="67B19C98" w:rsidR="001E0331" w:rsidRDefault="00CA1AB2" w:rsidP="00996718">
            <w:pPr>
              <w:jc w:val="center"/>
              <w:rPr>
                <w:rFonts w:ascii="Arial" w:hAnsi="Arial" w:cs="Arial"/>
                <w:bCs/>
                <w:sz w:val="18"/>
                <w:szCs w:val="18"/>
              </w:rPr>
            </w:pPr>
            <w:r>
              <w:rPr>
                <w:rFonts w:ascii="Arial" w:hAnsi="Arial" w:cs="Arial"/>
                <w:bCs/>
                <w:sz w:val="18"/>
                <w:szCs w:val="18"/>
              </w:rPr>
              <w:t>1.462.078,94</w:t>
            </w:r>
          </w:p>
        </w:tc>
        <w:tc>
          <w:tcPr>
            <w:tcW w:w="942" w:type="dxa"/>
            <w:vAlign w:val="center"/>
          </w:tcPr>
          <w:p w14:paraId="5C4DAD8E" w14:textId="18955AB8" w:rsidR="001E0331" w:rsidRPr="00A42A4E" w:rsidRDefault="00CA1AB2" w:rsidP="00996718">
            <w:pPr>
              <w:jc w:val="center"/>
              <w:rPr>
                <w:rFonts w:ascii="Arial" w:hAnsi="Arial" w:cs="Arial"/>
                <w:bCs/>
                <w:sz w:val="18"/>
                <w:szCs w:val="18"/>
              </w:rPr>
            </w:pPr>
            <w:r>
              <w:rPr>
                <w:rFonts w:ascii="Arial" w:hAnsi="Arial" w:cs="Arial"/>
                <w:bCs/>
                <w:sz w:val="18"/>
                <w:szCs w:val="18"/>
              </w:rPr>
              <w:t>62,92</w:t>
            </w:r>
            <w:r w:rsidR="00996718">
              <w:rPr>
                <w:rFonts w:ascii="Arial" w:hAnsi="Arial" w:cs="Arial"/>
                <w:bCs/>
                <w:sz w:val="18"/>
                <w:szCs w:val="18"/>
              </w:rPr>
              <w:t>%</w:t>
            </w:r>
          </w:p>
        </w:tc>
      </w:tr>
      <w:tr w:rsidR="001E0331" w:rsidRPr="000A5F83" w14:paraId="2D519EE1" w14:textId="77777777" w:rsidTr="0039249D">
        <w:trPr>
          <w:trHeight w:val="330"/>
          <w:jc w:val="center"/>
        </w:trPr>
        <w:tc>
          <w:tcPr>
            <w:tcW w:w="1647" w:type="dxa"/>
            <w:shd w:val="clear" w:color="auto" w:fill="DBE5F1"/>
            <w:vAlign w:val="center"/>
          </w:tcPr>
          <w:p w14:paraId="6FB9AFC1" w14:textId="77777777" w:rsidR="001E0331" w:rsidRPr="000A5F83" w:rsidRDefault="001E0331" w:rsidP="00A86D03">
            <w:pPr>
              <w:rPr>
                <w:rFonts w:ascii="Arial" w:hAnsi="Arial" w:cs="Arial"/>
                <w:b/>
                <w:bCs/>
                <w:sz w:val="18"/>
                <w:szCs w:val="18"/>
                <w:lang w:eastAsia="hr-HR"/>
              </w:rPr>
            </w:pPr>
            <w:r>
              <w:rPr>
                <w:rFonts w:ascii="Arial" w:hAnsi="Arial" w:cs="Arial"/>
                <w:b/>
                <w:bCs/>
                <w:sz w:val="18"/>
                <w:szCs w:val="18"/>
                <w:lang w:eastAsia="hr-HR"/>
              </w:rPr>
              <w:t>Razdjel  022</w:t>
            </w:r>
          </w:p>
        </w:tc>
        <w:tc>
          <w:tcPr>
            <w:tcW w:w="4227" w:type="dxa"/>
            <w:shd w:val="clear" w:color="auto" w:fill="DBE5F1"/>
            <w:vAlign w:val="center"/>
          </w:tcPr>
          <w:p w14:paraId="41986C5C" w14:textId="77777777" w:rsidR="001E0331" w:rsidRPr="000A5F83" w:rsidRDefault="001E0331" w:rsidP="00A86D03">
            <w:pPr>
              <w:rPr>
                <w:rFonts w:ascii="Arial" w:hAnsi="Arial" w:cs="Arial"/>
                <w:b/>
                <w:bCs/>
                <w:sz w:val="18"/>
                <w:szCs w:val="18"/>
                <w:lang w:eastAsia="hr-HR"/>
              </w:rPr>
            </w:pPr>
            <w:r>
              <w:rPr>
                <w:rFonts w:ascii="Arial" w:hAnsi="Arial" w:cs="Arial"/>
                <w:b/>
                <w:bCs/>
                <w:sz w:val="18"/>
                <w:szCs w:val="18"/>
                <w:lang w:eastAsia="hr-HR"/>
              </w:rPr>
              <w:t>UPRAVNI ODJEL ZA FINANCIJE, PRORAČUN I NAPLATU POTRAŽIVANJA</w:t>
            </w:r>
          </w:p>
        </w:tc>
        <w:tc>
          <w:tcPr>
            <w:tcW w:w="1733" w:type="dxa"/>
            <w:shd w:val="clear" w:color="auto" w:fill="DBE5F1"/>
            <w:vAlign w:val="center"/>
          </w:tcPr>
          <w:p w14:paraId="0F81D8F8" w14:textId="5BFA52CD" w:rsidR="001E0331" w:rsidRPr="00A42A4E" w:rsidRDefault="00CA1AB2" w:rsidP="00996718">
            <w:pPr>
              <w:jc w:val="center"/>
              <w:rPr>
                <w:rFonts w:ascii="Arial" w:hAnsi="Arial" w:cs="Arial"/>
                <w:b/>
                <w:bCs/>
                <w:sz w:val="18"/>
                <w:szCs w:val="18"/>
              </w:rPr>
            </w:pPr>
            <w:r>
              <w:rPr>
                <w:rFonts w:ascii="Arial" w:hAnsi="Arial" w:cs="Arial"/>
                <w:b/>
                <w:bCs/>
                <w:sz w:val="18"/>
                <w:szCs w:val="18"/>
              </w:rPr>
              <w:t>609.200,00</w:t>
            </w:r>
          </w:p>
        </w:tc>
        <w:tc>
          <w:tcPr>
            <w:tcW w:w="1435" w:type="dxa"/>
            <w:shd w:val="clear" w:color="auto" w:fill="DBE5F1"/>
            <w:vAlign w:val="center"/>
          </w:tcPr>
          <w:p w14:paraId="38ADFBBB" w14:textId="6A11ED7C" w:rsidR="001E0331" w:rsidRDefault="00CA1AB2" w:rsidP="00996718">
            <w:pPr>
              <w:jc w:val="center"/>
              <w:rPr>
                <w:rFonts w:ascii="Arial" w:hAnsi="Arial" w:cs="Arial"/>
                <w:b/>
                <w:bCs/>
                <w:sz w:val="18"/>
                <w:szCs w:val="18"/>
              </w:rPr>
            </w:pPr>
            <w:r>
              <w:rPr>
                <w:rFonts w:ascii="Arial" w:hAnsi="Arial" w:cs="Arial"/>
                <w:b/>
                <w:bCs/>
                <w:sz w:val="18"/>
                <w:szCs w:val="18"/>
              </w:rPr>
              <w:t>602.700,00</w:t>
            </w:r>
          </w:p>
        </w:tc>
        <w:tc>
          <w:tcPr>
            <w:tcW w:w="1435" w:type="dxa"/>
            <w:shd w:val="clear" w:color="auto" w:fill="DBE5F1"/>
            <w:vAlign w:val="center"/>
          </w:tcPr>
          <w:p w14:paraId="036D69E1" w14:textId="46BF0BBA" w:rsidR="001E0331" w:rsidRPr="00A42A4E" w:rsidRDefault="00CA1AB2" w:rsidP="00996718">
            <w:pPr>
              <w:jc w:val="center"/>
              <w:rPr>
                <w:rFonts w:ascii="Arial" w:hAnsi="Arial" w:cs="Arial"/>
                <w:b/>
                <w:bCs/>
                <w:sz w:val="18"/>
                <w:szCs w:val="18"/>
              </w:rPr>
            </w:pPr>
            <w:r>
              <w:rPr>
                <w:rFonts w:ascii="Arial" w:hAnsi="Arial" w:cs="Arial"/>
                <w:b/>
                <w:bCs/>
                <w:sz w:val="18"/>
                <w:szCs w:val="18"/>
              </w:rPr>
              <w:t>504.509,77</w:t>
            </w:r>
          </w:p>
        </w:tc>
        <w:tc>
          <w:tcPr>
            <w:tcW w:w="942" w:type="dxa"/>
            <w:shd w:val="clear" w:color="auto" w:fill="DBE5F1"/>
            <w:vAlign w:val="center"/>
          </w:tcPr>
          <w:p w14:paraId="178390AB" w14:textId="15E3BE1F" w:rsidR="001E0331" w:rsidRPr="00A42A4E" w:rsidRDefault="00CA1AB2" w:rsidP="00996718">
            <w:pPr>
              <w:jc w:val="center"/>
              <w:rPr>
                <w:rFonts w:ascii="Arial" w:hAnsi="Arial" w:cs="Arial"/>
                <w:b/>
                <w:bCs/>
                <w:sz w:val="18"/>
                <w:szCs w:val="18"/>
              </w:rPr>
            </w:pPr>
            <w:r>
              <w:rPr>
                <w:rFonts w:ascii="Arial" w:hAnsi="Arial" w:cs="Arial"/>
                <w:b/>
                <w:bCs/>
                <w:sz w:val="18"/>
                <w:szCs w:val="18"/>
              </w:rPr>
              <w:t>83,71</w:t>
            </w:r>
            <w:r w:rsidR="00996718">
              <w:rPr>
                <w:rFonts w:ascii="Arial" w:hAnsi="Arial" w:cs="Arial"/>
                <w:b/>
                <w:bCs/>
                <w:sz w:val="18"/>
                <w:szCs w:val="18"/>
              </w:rPr>
              <w:t>%</w:t>
            </w:r>
          </w:p>
        </w:tc>
      </w:tr>
      <w:tr w:rsidR="001E0331" w:rsidRPr="000A5F83" w14:paraId="0E1A0889" w14:textId="77777777" w:rsidTr="0039249D">
        <w:trPr>
          <w:trHeight w:val="293"/>
          <w:jc w:val="center"/>
        </w:trPr>
        <w:tc>
          <w:tcPr>
            <w:tcW w:w="1647" w:type="dxa"/>
            <w:shd w:val="clear" w:color="auto" w:fill="DBE5F1"/>
            <w:vAlign w:val="center"/>
          </w:tcPr>
          <w:p w14:paraId="2F48DE67" w14:textId="77777777" w:rsidR="001E0331" w:rsidRPr="00893470" w:rsidRDefault="001E0331" w:rsidP="00A86D03">
            <w:pPr>
              <w:rPr>
                <w:rFonts w:ascii="Arial" w:hAnsi="Arial" w:cs="Arial"/>
                <w:bCs/>
                <w:sz w:val="18"/>
                <w:szCs w:val="18"/>
                <w:lang w:eastAsia="hr-HR"/>
              </w:rPr>
            </w:pPr>
            <w:r w:rsidRPr="00893470">
              <w:rPr>
                <w:rFonts w:ascii="Arial" w:hAnsi="Arial" w:cs="Arial"/>
                <w:bCs/>
                <w:sz w:val="18"/>
                <w:szCs w:val="18"/>
                <w:lang w:eastAsia="hr-HR"/>
              </w:rPr>
              <w:t>Glava 02201</w:t>
            </w:r>
          </w:p>
        </w:tc>
        <w:tc>
          <w:tcPr>
            <w:tcW w:w="4227" w:type="dxa"/>
            <w:shd w:val="clear" w:color="auto" w:fill="DBE5F1"/>
            <w:vAlign w:val="center"/>
          </w:tcPr>
          <w:p w14:paraId="1988E5E5" w14:textId="77777777" w:rsidR="001E0331" w:rsidRPr="00893470" w:rsidRDefault="001E0331" w:rsidP="00A86D03">
            <w:pPr>
              <w:rPr>
                <w:rFonts w:ascii="Arial" w:hAnsi="Arial" w:cs="Arial"/>
                <w:bCs/>
                <w:sz w:val="18"/>
                <w:szCs w:val="18"/>
                <w:lang w:eastAsia="hr-HR"/>
              </w:rPr>
            </w:pPr>
            <w:r>
              <w:rPr>
                <w:rFonts w:ascii="Arial" w:hAnsi="Arial" w:cs="Arial"/>
                <w:bCs/>
                <w:sz w:val="18"/>
                <w:szCs w:val="18"/>
                <w:lang w:eastAsia="hr-HR"/>
              </w:rPr>
              <w:t>UPRAVNI ODJEL ZA FINANCIJE, PRORAČUN I NAPLATU POTRAŽIVANJA</w:t>
            </w:r>
          </w:p>
        </w:tc>
        <w:tc>
          <w:tcPr>
            <w:tcW w:w="1733" w:type="dxa"/>
            <w:shd w:val="clear" w:color="auto" w:fill="DBE5F1"/>
            <w:vAlign w:val="center"/>
          </w:tcPr>
          <w:p w14:paraId="33E838D1" w14:textId="2DAD3D7E" w:rsidR="001E0331" w:rsidRPr="00893470" w:rsidRDefault="00CA1AB2" w:rsidP="00996718">
            <w:pPr>
              <w:jc w:val="center"/>
              <w:rPr>
                <w:rFonts w:ascii="Arial" w:hAnsi="Arial" w:cs="Arial"/>
                <w:bCs/>
                <w:sz w:val="18"/>
                <w:szCs w:val="18"/>
              </w:rPr>
            </w:pPr>
            <w:r>
              <w:rPr>
                <w:rFonts w:ascii="Arial" w:hAnsi="Arial" w:cs="Arial"/>
                <w:bCs/>
                <w:sz w:val="18"/>
                <w:szCs w:val="18"/>
              </w:rPr>
              <w:t>609.200,00</w:t>
            </w:r>
          </w:p>
        </w:tc>
        <w:tc>
          <w:tcPr>
            <w:tcW w:w="1435" w:type="dxa"/>
            <w:shd w:val="clear" w:color="auto" w:fill="DBE5F1"/>
            <w:vAlign w:val="center"/>
          </w:tcPr>
          <w:p w14:paraId="41ECB4C4" w14:textId="4452214F" w:rsidR="001E0331" w:rsidRDefault="00CA1AB2" w:rsidP="00996718">
            <w:pPr>
              <w:jc w:val="center"/>
              <w:rPr>
                <w:rFonts w:ascii="Arial" w:hAnsi="Arial" w:cs="Arial"/>
                <w:bCs/>
                <w:sz w:val="18"/>
                <w:szCs w:val="18"/>
              </w:rPr>
            </w:pPr>
            <w:r>
              <w:rPr>
                <w:rFonts w:ascii="Arial" w:hAnsi="Arial" w:cs="Arial"/>
                <w:bCs/>
                <w:sz w:val="18"/>
                <w:szCs w:val="18"/>
              </w:rPr>
              <w:t>602.700,00</w:t>
            </w:r>
          </w:p>
        </w:tc>
        <w:tc>
          <w:tcPr>
            <w:tcW w:w="1435" w:type="dxa"/>
            <w:shd w:val="clear" w:color="auto" w:fill="DBE5F1"/>
            <w:vAlign w:val="center"/>
          </w:tcPr>
          <w:p w14:paraId="6ED86D5C" w14:textId="2D355DF2" w:rsidR="001E0331" w:rsidRPr="00893470" w:rsidRDefault="00CA1AB2" w:rsidP="00996718">
            <w:pPr>
              <w:jc w:val="center"/>
              <w:rPr>
                <w:rFonts w:ascii="Arial" w:hAnsi="Arial" w:cs="Arial"/>
                <w:bCs/>
                <w:sz w:val="18"/>
                <w:szCs w:val="18"/>
              </w:rPr>
            </w:pPr>
            <w:r>
              <w:rPr>
                <w:rFonts w:ascii="Arial" w:hAnsi="Arial" w:cs="Arial"/>
                <w:bCs/>
                <w:sz w:val="18"/>
                <w:szCs w:val="18"/>
              </w:rPr>
              <w:t>504.509,77</w:t>
            </w:r>
          </w:p>
        </w:tc>
        <w:tc>
          <w:tcPr>
            <w:tcW w:w="942" w:type="dxa"/>
            <w:shd w:val="clear" w:color="auto" w:fill="DBE5F1"/>
            <w:vAlign w:val="center"/>
          </w:tcPr>
          <w:p w14:paraId="7FE84E8A" w14:textId="292C8217" w:rsidR="001E0331" w:rsidRPr="00893470" w:rsidRDefault="00CA1AB2" w:rsidP="00996718">
            <w:pPr>
              <w:jc w:val="center"/>
              <w:rPr>
                <w:rFonts w:ascii="Arial" w:hAnsi="Arial" w:cs="Arial"/>
                <w:bCs/>
                <w:sz w:val="18"/>
                <w:szCs w:val="18"/>
              </w:rPr>
            </w:pPr>
            <w:r>
              <w:rPr>
                <w:rFonts w:ascii="Arial" w:hAnsi="Arial" w:cs="Arial"/>
                <w:bCs/>
                <w:sz w:val="18"/>
                <w:szCs w:val="18"/>
              </w:rPr>
              <w:t>83,71</w:t>
            </w:r>
            <w:r w:rsidR="00996718">
              <w:rPr>
                <w:rFonts w:ascii="Arial" w:hAnsi="Arial" w:cs="Arial"/>
                <w:bCs/>
                <w:sz w:val="18"/>
                <w:szCs w:val="18"/>
              </w:rPr>
              <w:t>%</w:t>
            </w:r>
          </w:p>
        </w:tc>
      </w:tr>
      <w:tr w:rsidR="001E0331" w:rsidRPr="000A5F83" w14:paraId="2D81A034" w14:textId="77777777" w:rsidTr="0039249D">
        <w:trPr>
          <w:trHeight w:val="366"/>
          <w:jc w:val="center"/>
        </w:trPr>
        <w:tc>
          <w:tcPr>
            <w:tcW w:w="1647" w:type="dxa"/>
            <w:shd w:val="clear" w:color="auto" w:fill="DBE5F1"/>
            <w:vAlign w:val="center"/>
          </w:tcPr>
          <w:p w14:paraId="17C621C0" w14:textId="77777777" w:rsidR="001E0331" w:rsidRPr="000A5F83" w:rsidRDefault="001E0331" w:rsidP="00A86D03">
            <w:pPr>
              <w:rPr>
                <w:rFonts w:ascii="Arial" w:hAnsi="Arial" w:cs="Arial"/>
                <w:b/>
                <w:bCs/>
                <w:sz w:val="18"/>
                <w:szCs w:val="18"/>
                <w:lang w:eastAsia="hr-HR"/>
              </w:rPr>
            </w:pPr>
            <w:r>
              <w:rPr>
                <w:rFonts w:ascii="Arial" w:hAnsi="Arial" w:cs="Arial"/>
                <w:b/>
                <w:bCs/>
                <w:sz w:val="18"/>
                <w:szCs w:val="18"/>
                <w:lang w:eastAsia="hr-HR"/>
              </w:rPr>
              <w:t>Razdjel  023</w:t>
            </w:r>
          </w:p>
        </w:tc>
        <w:tc>
          <w:tcPr>
            <w:tcW w:w="4227" w:type="dxa"/>
            <w:shd w:val="clear" w:color="auto" w:fill="DBE5F1"/>
            <w:vAlign w:val="center"/>
          </w:tcPr>
          <w:p w14:paraId="27097C26" w14:textId="77777777" w:rsidR="001E0331" w:rsidRPr="000A5F83" w:rsidRDefault="001E0331" w:rsidP="00A86D03">
            <w:pPr>
              <w:rPr>
                <w:rFonts w:ascii="Arial" w:hAnsi="Arial" w:cs="Arial"/>
                <w:b/>
                <w:bCs/>
                <w:sz w:val="18"/>
                <w:szCs w:val="18"/>
                <w:lang w:eastAsia="hr-HR"/>
              </w:rPr>
            </w:pPr>
            <w:r>
              <w:rPr>
                <w:rFonts w:ascii="Arial" w:hAnsi="Arial" w:cs="Arial"/>
                <w:b/>
                <w:bCs/>
                <w:sz w:val="18"/>
                <w:szCs w:val="18"/>
                <w:lang w:eastAsia="hr-HR"/>
              </w:rPr>
              <w:t xml:space="preserve">UPRAVNI ODJEL ZA KOMUNALNO GOSPODARSTVO I INVESTICIJE </w:t>
            </w:r>
          </w:p>
        </w:tc>
        <w:tc>
          <w:tcPr>
            <w:tcW w:w="1733" w:type="dxa"/>
            <w:shd w:val="clear" w:color="auto" w:fill="DBE5F1"/>
            <w:vAlign w:val="center"/>
          </w:tcPr>
          <w:p w14:paraId="31EC7687" w14:textId="58328F11" w:rsidR="001E0331" w:rsidRPr="00A42A4E" w:rsidRDefault="00CA1AB2" w:rsidP="00996718">
            <w:pPr>
              <w:jc w:val="center"/>
              <w:rPr>
                <w:rFonts w:ascii="Arial" w:hAnsi="Arial" w:cs="Arial"/>
                <w:b/>
                <w:bCs/>
                <w:sz w:val="18"/>
                <w:szCs w:val="18"/>
              </w:rPr>
            </w:pPr>
            <w:r>
              <w:rPr>
                <w:rFonts w:ascii="Arial" w:hAnsi="Arial" w:cs="Arial"/>
                <w:b/>
                <w:bCs/>
                <w:sz w:val="18"/>
                <w:szCs w:val="18"/>
              </w:rPr>
              <w:t>11.078.135,09</w:t>
            </w:r>
          </w:p>
        </w:tc>
        <w:tc>
          <w:tcPr>
            <w:tcW w:w="1435" w:type="dxa"/>
            <w:shd w:val="clear" w:color="auto" w:fill="DBE5F1"/>
            <w:vAlign w:val="center"/>
          </w:tcPr>
          <w:p w14:paraId="0D5663A5" w14:textId="5BE6D14B" w:rsidR="001E0331" w:rsidRDefault="00CA1AB2" w:rsidP="00996718">
            <w:pPr>
              <w:jc w:val="center"/>
              <w:rPr>
                <w:rFonts w:ascii="Arial" w:hAnsi="Arial" w:cs="Arial"/>
                <w:b/>
                <w:bCs/>
                <w:sz w:val="18"/>
                <w:szCs w:val="18"/>
              </w:rPr>
            </w:pPr>
            <w:r>
              <w:rPr>
                <w:rFonts w:ascii="Arial" w:hAnsi="Arial" w:cs="Arial"/>
                <w:b/>
                <w:bCs/>
                <w:sz w:val="18"/>
                <w:szCs w:val="18"/>
              </w:rPr>
              <w:t>10.981.181,09</w:t>
            </w:r>
          </w:p>
        </w:tc>
        <w:tc>
          <w:tcPr>
            <w:tcW w:w="1435" w:type="dxa"/>
            <w:shd w:val="clear" w:color="auto" w:fill="DBE5F1"/>
            <w:vAlign w:val="center"/>
          </w:tcPr>
          <w:p w14:paraId="578BDFC6" w14:textId="7528A1F8" w:rsidR="001E0331" w:rsidRPr="00A42A4E" w:rsidRDefault="00CA1AB2" w:rsidP="00996718">
            <w:pPr>
              <w:jc w:val="center"/>
              <w:rPr>
                <w:rFonts w:ascii="Arial" w:hAnsi="Arial" w:cs="Arial"/>
                <w:b/>
                <w:bCs/>
                <w:sz w:val="18"/>
                <w:szCs w:val="18"/>
              </w:rPr>
            </w:pPr>
            <w:r>
              <w:rPr>
                <w:rFonts w:ascii="Arial" w:hAnsi="Arial" w:cs="Arial"/>
                <w:b/>
                <w:bCs/>
                <w:sz w:val="18"/>
                <w:szCs w:val="18"/>
              </w:rPr>
              <w:t>8.008.315,52</w:t>
            </w:r>
          </w:p>
        </w:tc>
        <w:tc>
          <w:tcPr>
            <w:tcW w:w="942" w:type="dxa"/>
            <w:shd w:val="clear" w:color="auto" w:fill="DBE5F1"/>
            <w:vAlign w:val="center"/>
          </w:tcPr>
          <w:p w14:paraId="2C149AC1" w14:textId="64346104" w:rsidR="001E0331" w:rsidRPr="00A42A4E" w:rsidRDefault="00CA1AB2" w:rsidP="00996718">
            <w:pPr>
              <w:jc w:val="center"/>
              <w:rPr>
                <w:rFonts w:ascii="Arial" w:hAnsi="Arial" w:cs="Arial"/>
                <w:b/>
                <w:bCs/>
                <w:sz w:val="18"/>
                <w:szCs w:val="18"/>
              </w:rPr>
            </w:pPr>
            <w:r>
              <w:rPr>
                <w:rFonts w:ascii="Arial" w:hAnsi="Arial" w:cs="Arial"/>
                <w:b/>
                <w:bCs/>
                <w:sz w:val="18"/>
                <w:szCs w:val="18"/>
              </w:rPr>
              <w:t>72,93</w:t>
            </w:r>
            <w:r w:rsidR="00996718">
              <w:rPr>
                <w:rFonts w:ascii="Arial" w:hAnsi="Arial" w:cs="Arial"/>
                <w:b/>
                <w:bCs/>
                <w:sz w:val="18"/>
                <w:szCs w:val="18"/>
              </w:rPr>
              <w:t>%</w:t>
            </w:r>
          </w:p>
        </w:tc>
      </w:tr>
      <w:tr w:rsidR="001E0331" w:rsidRPr="000A5F83" w14:paraId="1C064E1D" w14:textId="77777777" w:rsidTr="0039249D">
        <w:trPr>
          <w:trHeight w:val="301"/>
          <w:jc w:val="center"/>
        </w:trPr>
        <w:tc>
          <w:tcPr>
            <w:tcW w:w="1647" w:type="dxa"/>
            <w:shd w:val="clear" w:color="auto" w:fill="DBE5F1"/>
            <w:vAlign w:val="center"/>
          </w:tcPr>
          <w:p w14:paraId="60EBA64F" w14:textId="77777777" w:rsidR="001E0331" w:rsidRPr="00891191" w:rsidRDefault="001E0331" w:rsidP="00A86D03">
            <w:pPr>
              <w:rPr>
                <w:rFonts w:ascii="Arial" w:hAnsi="Arial" w:cs="Arial"/>
                <w:bCs/>
                <w:sz w:val="18"/>
                <w:szCs w:val="18"/>
                <w:lang w:eastAsia="hr-HR"/>
              </w:rPr>
            </w:pPr>
            <w:r w:rsidRPr="00891191">
              <w:rPr>
                <w:rFonts w:ascii="Arial" w:hAnsi="Arial" w:cs="Arial"/>
                <w:bCs/>
                <w:sz w:val="18"/>
                <w:szCs w:val="18"/>
                <w:lang w:eastAsia="hr-HR"/>
              </w:rPr>
              <w:t>Glava 02301</w:t>
            </w:r>
          </w:p>
        </w:tc>
        <w:tc>
          <w:tcPr>
            <w:tcW w:w="4227" w:type="dxa"/>
            <w:shd w:val="clear" w:color="auto" w:fill="DBE5F1"/>
            <w:vAlign w:val="center"/>
          </w:tcPr>
          <w:p w14:paraId="4B58001D" w14:textId="77777777" w:rsidR="001E0331" w:rsidRPr="00891191" w:rsidRDefault="001E0331" w:rsidP="00A86D03">
            <w:pPr>
              <w:rPr>
                <w:rFonts w:ascii="Arial" w:hAnsi="Arial" w:cs="Arial"/>
                <w:bCs/>
                <w:sz w:val="18"/>
                <w:szCs w:val="18"/>
                <w:lang w:eastAsia="hr-HR"/>
              </w:rPr>
            </w:pPr>
            <w:r w:rsidRPr="00891191">
              <w:rPr>
                <w:rFonts w:ascii="Arial" w:hAnsi="Arial" w:cs="Arial"/>
                <w:bCs/>
                <w:sz w:val="18"/>
                <w:szCs w:val="18"/>
                <w:lang w:eastAsia="hr-HR"/>
              </w:rPr>
              <w:t xml:space="preserve">UPRAVNI ODJEL ZA KOMUNALNO GOPODARSTVO I INVESTICIJE </w:t>
            </w:r>
          </w:p>
        </w:tc>
        <w:tc>
          <w:tcPr>
            <w:tcW w:w="1733" w:type="dxa"/>
            <w:shd w:val="clear" w:color="auto" w:fill="DBE5F1"/>
            <w:vAlign w:val="center"/>
          </w:tcPr>
          <w:p w14:paraId="0A092318" w14:textId="315079C7" w:rsidR="001E0331" w:rsidRPr="00891191" w:rsidRDefault="00CA1AB2" w:rsidP="00CA1AB2">
            <w:pPr>
              <w:jc w:val="center"/>
              <w:rPr>
                <w:rFonts w:ascii="Arial" w:hAnsi="Arial" w:cs="Arial"/>
                <w:bCs/>
                <w:sz w:val="18"/>
                <w:szCs w:val="18"/>
              </w:rPr>
            </w:pPr>
            <w:r>
              <w:rPr>
                <w:rFonts w:ascii="Arial" w:hAnsi="Arial" w:cs="Arial"/>
                <w:bCs/>
                <w:sz w:val="18"/>
                <w:szCs w:val="18"/>
              </w:rPr>
              <w:t>11.078.135,09</w:t>
            </w:r>
          </w:p>
        </w:tc>
        <w:tc>
          <w:tcPr>
            <w:tcW w:w="1435" w:type="dxa"/>
            <w:shd w:val="clear" w:color="auto" w:fill="DBE5F1"/>
            <w:vAlign w:val="center"/>
          </w:tcPr>
          <w:p w14:paraId="2571B027" w14:textId="6E789F58" w:rsidR="001E0331" w:rsidRDefault="00CA1AB2" w:rsidP="00CA1AB2">
            <w:pPr>
              <w:jc w:val="center"/>
              <w:rPr>
                <w:rFonts w:ascii="Arial" w:hAnsi="Arial" w:cs="Arial"/>
                <w:bCs/>
                <w:sz w:val="18"/>
                <w:szCs w:val="18"/>
              </w:rPr>
            </w:pPr>
            <w:r>
              <w:rPr>
                <w:rFonts w:ascii="Arial" w:hAnsi="Arial" w:cs="Arial"/>
                <w:bCs/>
                <w:sz w:val="18"/>
                <w:szCs w:val="18"/>
              </w:rPr>
              <w:t>10.981.181,09</w:t>
            </w:r>
          </w:p>
        </w:tc>
        <w:tc>
          <w:tcPr>
            <w:tcW w:w="1435" w:type="dxa"/>
            <w:shd w:val="clear" w:color="auto" w:fill="DBE5F1"/>
            <w:vAlign w:val="center"/>
          </w:tcPr>
          <w:p w14:paraId="1B93F8EF" w14:textId="1C99A482" w:rsidR="001E0331" w:rsidRPr="00891191" w:rsidRDefault="00CA1AB2" w:rsidP="00CA1AB2">
            <w:pPr>
              <w:jc w:val="center"/>
              <w:rPr>
                <w:rFonts w:ascii="Arial" w:hAnsi="Arial" w:cs="Arial"/>
                <w:bCs/>
                <w:sz w:val="18"/>
                <w:szCs w:val="18"/>
              </w:rPr>
            </w:pPr>
            <w:r>
              <w:rPr>
                <w:rFonts w:ascii="Arial" w:hAnsi="Arial" w:cs="Arial"/>
                <w:bCs/>
                <w:sz w:val="18"/>
                <w:szCs w:val="18"/>
              </w:rPr>
              <w:t>8.008.315,52</w:t>
            </w:r>
          </w:p>
        </w:tc>
        <w:tc>
          <w:tcPr>
            <w:tcW w:w="942" w:type="dxa"/>
            <w:shd w:val="clear" w:color="auto" w:fill="DBE5F1"/>
            <w:vAlign w:val="center"/>
          </w:tcPr>
          <w:p w14:paraId="16C1988E" w14:textId="139CA644" w:rsidR="001E0331" w:rsidRPr="00891191" w:rsidRDefault="00CA1AB2" w:rsidP="00CA1AB2">
            <w:pPr>
              <w:jc w:val="center"/>
              <w:rPr>
                <w:rFonts w:ascii="Arial" w:hAnsi="Arial" w:cs="Arial"/>
                <w:bCs/>
                <w:sz w:val="18"/>
                <w:szCs w:val="18"/>
              </w:rPr>
            </w:pPr>
            <w:r>
              <w:rPr>
                <w:rFonts w:ascii="Arial" w:hAnsi="Arial" w:cs="Arial"/>
                <w:bCs/>
                <w:sz w:val="18"/>
                <w:szCs w:val="18"/>
              </w:rPr>
              <w:t>72,93</w:t>
            </w:r>
            <w:r w:rsidR="00996718">
              <w:rPr>
                <w:rFonts w:ascii="Arial" w:hAnsi="Arial" w:cs="Arial"/>
                <w:bCs/>
                <w:sz w:val="18"/>
                <w:szCs w:val="18"/>
              </w:rPr>
              <w:t>%</w:t>
            </w:r>
          </w:p>
        </w:tc>
      </w:tr>
      <w:tr w:rsidR="001E0331" w:rsidRPr="000A5F83" w14:paraId="497DFC91" w14:textId="77777777" w:rsidTr="0039249D">
        <w:trPr>
          <w:trHeight w:val="301"/>
          <w:jc w:val="center"/>
        </w:trPr>
        <w:tc>
          <w:tcPr>
            <w:tcW w:w="1647" w:type="dxa"/>
            <w:shd w:val="clear" w:color="auto" w:fill="DBE5F1"/>
            <w:vAlign w:val="center"/>
          </w:tcPr>
          <w:p w14:paraId="38EF6FCC" w14:textId="77777777" w:rsidR="001E0331" w:rsidRPr="000A5F83" w:rsidRDefault="001E0331" w:rsidP="00A86D03">
            <w:pPr>
              <w:rPr>
                <w:rFonts w:ascii="Arial" w:hAnsi="Arial" w:cs="Arial"/>
                <w:b/>
                <w:bCs/>
                <w:sz w:val="18"/>
                <w:szCs w:val="18"/>
                <w:lang w:eastAsia="hr-HR"/>
              </w:rPr>
            </w:pPr>
            <w:r>
              <w:rPr>
                <w:rFonts w:ascii="Arial" w:hAnsi="Arial" w:cs="Arial"/>
                <w:b/>
                <w:bCs/>
                <w:sz w:val="18"/>
                <w:szCs w:val="18"/>
                <w:lang w:eastAsia="hr-HR"/>
              </w:rPr>
              <w:t>Razdjel  024</w:t>
            </w:r>
          </w:p>
        </w:tc>
        <w:tc>
          <w:tcPr>
            <w:tcW w:w="4227" w:type="dxa"/>
            <w:shd w:val="clear" w:color="auto" w:fill="DBE5F1"/>
            <w:vAlign w:val="center"/>
          </w:tcPr>
          <w:p w14:paraId="54A0C6F7" w14:textId="77777777" w:rsidR="001E0331" w:rsidRPr="000A5F83" w:rsidRDefault="001E0331" w:rsidP="00A86D03">
            <w:pPr>
              <w:rPr>
                <w:rFonts w:ascii="Arial" w:hAnsi="Arial" w:cs="Arial"/>
                <w:b/>
                <w:bCs/>
                <w:sz w:val="18"/>
                <w:szCs w:val="18"/>
                <w:lang w:eastAsia="hr-HR"/>
              </w:rPr>
            </w:pPr>
            <w:r w:rsidRPr="000A5F83">
              <w:rPr>
                <w:rFonts w:ascii="Arial" w:hAnsi="Arial" w:cs="Arial"/>
                <w:b/>
                <w:bCs/>
                <w:sz w:val="18"/>
                <w:szCs w:val="18"/>
                <w:lang w:eastAsia="hr-HR"/>
              </w:rPr>
              <w:t>UPRAV</w:t>
            </w:r>
            <w:r>
              <w:rPr>
                <w:rFonts w:ascii="Arial" w:hAnsi="Arial" w:cs="Arial"/>
                <w:b/>
                <w:bCs/>
                <w:sz w:val="18"/>
                <w:szCs w:val="18"/>
                <w:lang w:eastAsia="hr-HR"/>
              </w:rPr>
              <w:t>NI ODJEL ZA URBANIZAM I PROSTORNO UREĐENJE</w:t>
            </w:r>
          </w:p>
        </w:tc>
        <w:tc>
          <w:tcPr>
            <w:tcW w:w="1733" w:type="dxa"/>
            <w:shd w:val="clear" w:color="auto" w:fill="DBE5F1"/>
            <w:vAlign w:val="center"/>
          </w:tcPr>
          <w:p w14:paraId="36FDD41D" w14:textId="5E85B2C1" w:rsidR="001E0331" w:rsidRPr="00A42A4E" w:rsidRDefault="00CA1AB2" w:rsidP="00CA1AB2">
            <w:pPr>
              <w:jc w:val="center"/>
              <w:rPr>
                <w:rFonts w:ascii="Arial" w:hAnsi="Arial" w:cs="Arial"/>
                <w:b/>
                <w:bCs/>
                <w:sz w:val="18"/>
                <w:szCs w:val="18"/>
              </w:rPr>
            </w:pPr>
            <w:r>
              <w:rPr>
                <w:rFonts w:ascii="Arial" w:hAnsi="Arial" w:cs="Arial"/>
                <w:b/>
                <w:bCs/>
                <w:sz w:val="18"/>
                <w:szCs w:val="18"/>
              </w:rPr>
              <w:t>278.300,00</w:t>
            </w:r>
          </w:p>
        </w:tc>
        <w:tc>
          <w:tcPr>
            <w:tcW w:w="1435" w:type="dxa"/>
            <w:shd w:val="clear" w:color="auto" w:fill="DBE5F1"/>
            <w:vAlign w:val="center"/>
          </w:tcPr>
          <w:p w14:paraId="5AFE6957" w14:textId="53B1A95D" w:rsidR="001E0331" w:rsidRDefault="00CA1AB2" w:rsidP="00CA1AB2">
            <w:pPr>
              <w:jc w:val="center"/>
              <w:rPr>
                <w:rFonts w:ascii="Arial" w:hAnsi="Arial" w:cs="Arial"/>
                <w:b/>
                <w:bCs/>
                <w:sz w:val="18"/>
                <w:szCs w:val="18"/>
              </w:rPr>
            </w:pPr>
            <w:r>
              <w:rPr>
                <w:rFonts w:ascii="Arial" w:hAnsi="Arial" w:cs="Arial"/>
                <w:b/>
                <w:bCs/>
                <w:sz w:val="18"/>
                <w:szCs w:val="18"/>
              </w:rPr>
              <w:t>272.395,00</w:t>
            </w:r>
          </w:p>
        </w:tc>
        <w:tc>
          <w:tcPr>
            <w:tcW w:w="1435" w:type="dxa"/>
            <w:shd w:val="clear" w:color="auto" w:fill="DBE5F1"/>
            <w:vAlign w:val="center"/>
          </w:tcPr>
          <w:p w14:paraId="42BF22F8" w14:textId="7A5CF3B2" w:rsidR="001E0331" w:rsidRPr="00A42A4E" w:rsidRDefault="00CA1AB2" w:rsidP="00CA1AB2">
            <w:pPr>
              <w:jc w:val="center"/>
              <w:rPr>
                <w:rFonts w:ascii="Arial" w:hAnsi="Arial" w:cs="Arial"/>
                <w:b/>
                <w:bCs/>
                <w:sz w:val="18"/>
                <w:szCs w:val="18"/>
              </w:rPr>
            </w:pPr>
            <w:r>
              <w:rPr>
                <w:rFonts w:ascii="Arial" w:hAnsi="Arial" w:cs="Arial"/>
                <w:b/>
                <w:bCs/>
                <w:sz w:val="18"/>
                <w:szCs w:val="18"/>
              </w:rPr>
              <w:t>83.433,82</w:t>
            </w:r>
          </w:p>
        </w:tc>
        <w:tc>
          <w:tcPr>
            <w:tcW w:w="942" w:type="dxa"/>
            <w:shd w:val="clear" w:color="auto" w:fill="DBE5F1"/>
            <w:vAlign w:val="center"/>
          </w:tcPr>
          <w:p w14:paraId="39AD540B" w14:textId="23530844" w:rsidR="001E0331" w:rsidRPr="00A42A4E" w:rsidRDefault="00CA1AB2" w:rsidP="00A86D03">
            <w:pPr>
              <w:jc w:val="right"/>
              <w:rPr>
                <w:rFonts w:ascii="Arial" w:hAnsi="Arial" w:cs="Arial"/>
                <w:b/>
                <w:bCs/>
                <w:sz w:val="18"/>
                <w:szCs w:val="18"/>
              </w:rPr>
            </w:pPr>
            <w:r>
              <w:rPr>
                <w:rFonts w:ascii="Arial" w:hAnsi="Arial" w:cs="Arial"/>
                <w:b/>
                <w:bCs/>
                <w:sz w:val="18"/>
                <w:szCs w:val="18"/>
              </w:rPr>
              <w:t>30,63</w:t>
            </w:r>
            <w:r w:rsidR="00996718">
              <w:rPr>
                <w:rFonts w:ascii="Arial" w:hAnsi="Arial" w:cs="Arial"/>
                <w:b/>
                <w:bCs/>
                <w:sz w:val="18"/>
                <w:szCs w:val="18"/>
              </w:rPr>
              <w:t>%</w:t>
            </w:r>
          </w:p>
        </w:tc>
      </w:tr>
      <w:tr w:rsidR="001E0331" w:rsidRPr="006F4123" w14:paraId="07A5C270" w14:textId="77777777" w:rsidTr="0039249D">
        <w:trPr>
          <w:trHeight w:val="53"/>
          <w:jc w:val="center"/>
        </w:trPr>
        <w:tc>
          <w:tcPr>
            <w:tcW w:w="1647" w:type="dxa"/>
            <w:shd w:val="clear" w:color="auto" w:fill="DBE5F1"/>
            <w:vAlign w:val="center"/>
          </w:tcPr>
          <w:p w14:paraId="014F26F6" w14:textId="77777777" w:rsidR="001E0331" w:rsidRPr="006F4123" w:rsidRDefault="001E0331" w:rsidP="00A86D03">
            <w:pPr>
              <w:rPr>
                <w:rFonts w:ascii="Arial" w:hAnsi="Arial" w:cs="Arial"/>
                <w:bCs/>
                <w:sz w:val="18"/>
                <w:szCs w:val="18"/>
                <w:lang w:eastAsia="hr-HR"/>
              </w:rPr>
            </w:pPr>
            <w:r w:rsidRPr="006F4123">
              <w:rPr>
                <w:rFonts w:ascii="Arial" w:hAnsi="Arial" w:cs="Arial"/>
                <w:bCs/>
                <w:sz w:val="18"/>
                <w:szCs w:val="18"/>
                <w:lang w:eastAsia="hr-HR"/>
              </w:rPr>
              <w:lastRenderedPageBreak/>
              <w:t>Glava 02401</w:t>
            </w:r>
          </w:p>
        </w:tc>
        <w:tc>
          <w:tcPr>
            <w:tcW w:w="4227" w:type="dxa"/>
            <w:shd w:val="clear" w:color="auto" w:fill="DBE5F1"/>
            <w:vAlign w:val="center"/>
          </w:tcPr>
          <w:p w14:paraId="54966E81" w14:textId="77777777" w:rsidR="001E0331" w:rsidRPr="006F4123" w:rsidRDefault="001E0331" w:rsidP="00A86D03">
            <w:pPr>
              <w:rPr>
                <w:rFonts w:ascii="Arial" w:hAnsi="Arial" w:cs="Arial"/>
                <w:bCs/>
                <w:sz w:val="18"/>
                <w:szCs w:val="18"/>
                <w:lang w:eastAsia="hr-HR"/>
              </w:rPr>
            </w:pPr>
            <w:r w:rsidRPr="006F4123">
              <w:rPr>
                <w:rFonts w:ascii="Arial" w:hAnsi="Arial" w:cs="Arial"/>
                <w:bCs/>
                <w:sz w:val="18"/>
                <w:szCs w:val="18"/>
                <w:lang w:eastAsia="hr-HR"/>
              </w:rPr>
              <w:t xml:space="preserve">UPRAVNI ODJEL ZA URBANIZAM I PROSTORNO UREĐENJE </w:t>
            </w:r>
          </w:p>
        </w:tc>
        <w:tc>
          <w:tcPr>
            <w:tcW w:w="1733" w:type="dxa"/>
            <w:shd w:val="clear" w:color="auto" w:fill="DBE5F1"/>
            <w:vAlign w:val="center"/>
          </w:tcPr>
          <w:p w14:paraId="2A1A1B1D" w14:textId="3704FE0C" w:rsidR="001E0331" w:rsidRPr="006F4123" w:rsidRDefault="00CA1AB2" w:rsidP="00CA1AB2">
            <w:pPr>
              <w:jc w:val="center"/>
              <w:rPr>
                <w:rFonts w:ascii="Arial" w:hAnsi="Arial" w:cs="Arial"/>
                <w:bCs/>
                <w:sz w:val="18"/>
                <w:szCs w:val="18"/>
              </w:rPr>
            </w:pPr>
            <w:r>
              <w:rPr>
                <w:rFonts w:ascii="Arial" w:hAnsi="Arial" w:cs="Arial"/>
                <w:bCs/>
                <w:sz w:val="18"/>
                <w:szCs w:val="18"/>
              </w:rPr>
              <w:t>278.300,00</w:t>
            </w:r>
          </w:p>
        </w:tc>
        <w:tc>
          <w:tcPr>
            <w:tcW w:w="1435" w:type="dxa"/>
            <w:shd w:val="clear" w:color="auto" w:fill="DBE5F1"/>
            <w:vAlign w:val="center"/>
          </w:tcPr>
          <w:p w14:paraId="67D5EB13" w14:textId="17D29DDF" w:rsidR="001E0331" w:rsidRDefault="00CA1AB2" w:rsidP="00CA1AB2">
            <w:pPr>
              <w:jc w:val="center"/>
              <w:rPr>
                <w:rFonts w:ascii="Arial" w:hAnsi="Arial" w:cs="Arial"/>
                <w:bCs/>
                <w:sz w:val="18"/>
                <w:szCs w:val="18"/>
              </w:rPr>
            </w:pPr>
            <w:r>
              <w:rPr>
                <w:rFonts w:ascii="Arial" w:hAnsi="Arial" w:cs="Arial"/>
                <w:bCs/>
                <w:sz w:val="18"/>
                <w:szCs w:val="18"/>
              </w:rPr>
              <w:t>272.395,00</w:t>
            </w:r>
          </w:p>
        </w:tc>
        <w:tc>
          <w:tcPr>
            <w:tcW w:w="1435" w:type="dxa"/>
            <w:shd w:val="clear" w:color="auto" w:fill="DBE5F1"/>
            <w:vAlign w:val="center"/>
          </w:tcPr>
          <w:p w14:paraId="468EFB15" w14:textId="265563C2" w:rsidR="001E0331" w:rsidRPr="006F4123" w:rsidRDefault="00CA1AB2" w:rsidP="00CA1AB2">
            <w:pPr>
              <w:jc w:val="center"/>
              <w:rPr>
                <w:rFonts w:ascii="Arial" w:hAnsi="Arial" w:cs="Arial"/>
                <w:bCs/>
                <w:sz w:val="18"/>
                <w:szCs w:val="18"/>
              </w:rPr>
            </w:pPr>
            <w:r>
              <w:rPr>
                <w:rFonts w:ascii="Arial" w:hAnsi="Arial" w:cs="Arial"/>
                <w:bCs/>
                <w:sz w:val="18"/>
                <w:szCs w:val="18"/>
              </w:rPr>
              <w:t>83.433,82</w:t>
            </w:r>
          </w:p>
        </w:tc>
        <w:tc>
          <w:tcPr>
            <w:tcW w:w="942" w:type="dxa"/>
            <w:shd w:val="clear" w:color="auto" w:fill="DBE5F1"/>
            <w:vAlign w:val="center"/>
          </w:tcPr>
          <w:p w14:paraId="76431C68" w14:textId="6E310869" w:rsidR="001E0331" w:rsidRPr="006F4123" w:rsidRDefault="00CA1AB2" w:rsidP="00A86D03">
            <w:pPr>
              <w:jc w:val="right"/>
              <w:rPr>
                <w:rFonts w:ascii="Arial" w:hAnsi="Arial" w:cs="Arial"/>
                <w:bCs/>
                <w:sz w:val="18"/>
                <w:szCs w:val="18"/>
              </w:rPr>
            </w:pPr>
            <w:r>
              <w:rPr>
                <w:rFonts w:ascii="Arial" w:hAnsi="Arial" w:cs="Arial"/>
                <w:bCs/>
                <w:sz w:val="18"/>
                <w:szCs w:val="18"/>
              </w:rPr>
              <w:t>30,63</w:t>
            </w:r>
            <w:r w:rsidR="00996718">
              <w:rPr>
                <w:rFonts w:ascii="Arial" w:hAnsi="Arial" w:cs="Arial"/>
                <w:bCs/>
                <w:sz w:val="18"/>
                <w:szCs w:val="18"/>
              </w:rPr>
              <w:t>%</w:t>
            </w:r>
          </w:p>
        </w:tc>
      </w:tr>
    </w:tbl>
    <w:p w14:paraId="55A8D4C8" w14:textId="77777777" w:rsidR="00563912" w:rsidRDefault="00563912" w:rsidP="004303FA">
      <w:pPr>
        <w:spacing w:after="0" w:line="240" w:lineRule="auto"/>
        <w:rPr>
          <w:rFonts w:cstheme="minorHAnsi"/>
          <w:b/>
          <w:sz w:val="24"/>
          <w:szCs w:val="24"/>
        </w:rPr>
      </w:pPr>
    </w:p>
    <w:p w14:paraId="0E963B4E" w14:textId="77777777" w:rsidR="007B26FB" w:rsidRPr="0046053E" w:rsidRDefault="003A31D3" w:rsidP="00E55DB7">
      <w:pPr>
        <w:spacing w:after="0" w:line="240" w:lineRule="auto"/>
        <w:jc w:val="center"/>
        <w:rPr>
          <w:rFonts w:cstheme="minorHAnsi"/>
          <w:b/>
          <w:sz w:val="24"/>
          <w:szCs w:val="24"/>
        </w:rPr>
      </w:pPr>
      <w:r w:rsidRPr="0046053E">
        <w:rPr>
          <w:rFonts w:cstheme="minorHAnsi"/>
          <w:b/>
          <w:sz w:val="24"/>
          <w:szCs w:val="24"/>
        </w:rPr>
        <w:t>RA</w:t>
      </w:r>
      <w:r w:rsidR="00F01515" w:rsidRPr="0046053E">
        <w:rPr>
          <w:rFonts w:cstheme="minorHAnsi"/>
          <w:b/>
          <w:sz w:val="24"/>
          <w:szCs w:val="24"/>
        </w:rPr>
        <w:t>ZDJEL</w:t>
      </w:r>
      <w:r w:rsidR="002249BD">
        <w:rPr>
          <w:rFonts w:cstheme="minorHAnsi"/>
          <w:b/>
          <w:sz w:val="24"/>
          <w:szCs w:val="24"/>
        </w:rPr>
        <w:t xml:space="preserve"> 020</w:t>
      </w:r>
      <w:r w:rsidR="007B26FB" w:rsidRPr="0046053E">
        <w:rPr>
          <w:rFonts w:cstheme="minorHAnsi"/>
          <w:b/>
          <w:sz w:val="24"/>
          <w:szCs w:val="24"/>
        </w:rPr>
        <w:t xml:space="preserve"> UPRAVNI ODJEL ZA </w:t>
      </w:r>
      <w:r w:rsidR="00EC3BED">
        <w:rPr>
          <w:rFonts w:cstheme="minorHAnsi"/>
          <w:b/>
          <w:sz w:val="24"/>
          <w:szCs w:val="24"/>
        </w:rPr>
        <w:t xml:space="preserve">LOKALNU SAMOUPRAVU I IMOVINU GRADA </w:t>
      </w:r>
    </w:p>
    <w:p w14:paraId="346DC780" w14:textId="77777777" w:rsidR="00AE3BF7" w:rsidRPr="0046053E" w:rsidRDefault="00AE3BF7" w:rsidP="00E55DB7">
      <w:pPr>
        <w:spacing w:after="0" w:line="240" w:lineRule="auto"/>
        <w:jc w:val="center"/>
        <w:rPr>
          <w:rFonts w:cstheme="minorHAnsi"/>
          <w:b/>
          <w:sz w:val="24"/>
          <w:szCs w:val="24"/>
        </w:rPr>
      </w:pPr>
    </w:p>
    <w:p w14:paraId="414F9E4E" w14:textId="77777777" w:rsidR="006A5421" w:rsidRPr="006A5421" w:rsidRDefault="006A5421" w:rsidP="006A5421">
      <w:pPr>
        <w:spacing w:after="0"/>
        <w:jc w:val="both"/>
        <w:rPr>
          <w:rFonts w:cstheme="minorHAnsi"/>
          <w:sz w:val="24"/>
          <w:szCs w:val="24"/>
        </w:rPr>
      </w:pPr>
      <w:r w:rsidRPr="006A5421">
        <w:rPr>
          <w:rFonts w:cstheme="minorHAnsi"/>
          <w:sz w:val="24"/>
          <w:szCs w:val="24"/>
        </w:rPr>
        <w:t xml:space="preserve">Nadležnost Upravnog odjela je određena člankom 5. stavkom 1. i 2. Odluku o ustrojstvu i djelokrugu upravnih tijela Grada Trogira („Službeni glasnik Grada Trogir,“ broj 26/21. i  30/23.): </w:t>
      </w:r>
    </w:p>
    <w:p w14:paraId="2678DF78" w14:textId="77777777" w:rsidR="006A5421" w:rsidRPr="00AE590C" w:rsidRDefault="006A5421" w:rsidP="006A5421">
      <w:pPr>
        <w:spacing w:after="0"/>
        <w:ind w:left="166"/>
        <w:jc w:val="both"/>
        <w:rPr>
          <w:rFonts w:ascii="Times New Roman" w:hAnsi="Times New Roman" w:cs="Times New Roman"/>
        </w:rPr>
      </w:pPr>
    </w:p>
    <w:p w14:paraId="0621BCDD" w14:textId="77777777" w:rsidR="006A5421" w:rsidRPr="00AE590C" w:rsidRDefault="006A5421" w:rsidP="006A5421">
      <w:pPr>
        <w:spacing w:after="0"/>
        <w:ind w:left="166"/>
        <w:jc w:val="both"/>
        <w:rPr>
          <w:rFonts w:ascii="Times New Roman" w:hAnsi="Times New Roman" w:cs="Times New Roman"/>
        </w:rPr>
      </w:pPr>
      <w:r w:rsidRPr="00AE590C">
        <w:rPr>
          <w:rFonts w:ascii="Times New Roman" w:hAnsi="Times New Roman" w:cs="Times New Roman"/>
          <w:i/>
          <w:iCs/>
        </w:rPr>
        <w:t xml:space="preserve">(1) Upravni odjel za lokalnu samoupravu i imovinu grada obavlja pravne, savjetodavne i stručno administrativne poslove u vezi s djelokrugom rada gradonačelnika i zamjenika gradonačelnika, gradskog vijeća i njegovih radnih i savjetodavnih tijela te tijela mjesne samouprave. </w:t>
      </w:r>
    </w:p>
    <w:p w14:paraId="57571B96" w14:textId="77777777" w:rsidR="006A5421" w:rsidRPr="00AE590C" w:rsidRDefault="006A5421" w:rsidP="006A5421">
      <w:pPr>
        <w:spacing w:after="0"/>
        <w:ind w:left="166"/>
        <w:rPr>
          <w:rFonts w:ascii="Times New Roman" w:hAnsi="Times New Roman" w:cs="Times New Roman"/>
        </w:rPr>
      </w:pPr>
    </w:p>
    <w:p w14:paraId="38B910C2" w14:textId="2EC4B473" w:rsidR="006A5421" w:rsidRDefault="006A5421" w:rsidP="006A5421">
      <w:pPr>
        <w:spacing w:after="0"/>
        <w:ind w:left="166"/>
        <w:jc w:val="both"/>
        <w:rPr>
          <w:rFonts w:cstheme="minorHAnsi"/>
          <w:i/>
          <w:iCs/>
        </w:rPr>
      </w:pPr>
      <w:r w:rsidRPr="00AE590C">
        <w:rPr>
          <w:rFonts w:ascii="Times New Roman" w:hAnsi="Times New Roman" w:cs="Times New Roman"/>
          <w:i/>
          <w:iCs/>
        </w:rPr>
        <w:t>(2) Upravni odjel za lokalnu samoupravu i imovinu grada obavlja i poslove zastupanja i u vezi zastupanja Grada, ostvarivanje prava na pristup informacijama, službeničke odnose, poslove pisarnice, informatičke poslove</w:t>
      </w:r>
      <w:r w:rsidRPr="00AE590C">
        <w:rPr>
          <w:rFonts w:ascii="Times New Roman" w:hAnsi="Times New Roman" w:cs="Times New Roman"/>
          <w:b/>
          <w:bCs/>
          <w:i/>
          <w:iCs/>
        </w:rPr>
        <w:t xml:space="preserve">, </w:t>
      </w:r>
      <w:r w:rsidRPr="00AE590C">
        <w:rPr>
          <w:rFonts w:ascii="Times New Roman" w:hAnsi="Times New Roman" w:cs="Times New Roman"/>
          <w:i/>
          <w:iCs/>
        </w:rPr>
        <w:t xml:space="preserve">ustrojavanje evidencije i svrhovito upravljanje gradskim nekretninama, pomoćno - tehničke poslove i opće poslove za potrebe upravnih tijela Grada, </w:t>
      </w:r>
      <w:r w:rsidRPr="006A5421">
        <w:rPr>
          <w:rFonts w:cstheme="minorHAnsi"/>
          <w:i/>
          <w:iCs/>
        </w:rPr>
        <w:t>koji se odnose na:</w:t>
      </w:r>
    </w:p>
    <w:p w14:paraId="27E1C6F4" w14:textId="77777777" w:rsidR="006A5421" w:rsidRDefault="006A5421" w:rsidP="006A5421">
      <w:pPr>
        <w:spacing w:after="0"/>
        <w:ind w:left="166"/>
        <w:jc w:val="both"/>
        <w:rPr>
          <w:rFonts w:cstheme="minorHAnsi"/>
          <w:i/>
          <w:iCs/>
        </w:rPr>
      </w:pPr>
    </w:p>
    <w:p w14:paraId="1BF03055" w14:textId="77777777" w:rsidR="006A5421" w:rsidRPr="006A5421" w:rsidRDefault="006A5421" w:rsidP="006A5421">
      <w:pPr>
        <w:pStyle w:val="Bezproreda"/>
        <w:ind w:left="176"/>
        <w:rPr>
          <w:sz w:val="24"/>
          <w:szCs w:val="24"/>
        </w:rPr>
      </w:pPr>
      <w:r w:rsidRPr="006A5421">
        <w:rPr>
          <w:sz w:val="24"/>
          <w:szCs w:val="24"/>
        </w:rPr>
        <w:t xml:space="preserve">1. stručne i administrativno - tehničke poslove za potrebe gradonačelnika, zamjenika gradonačelnika Gradskog vijeća, a posebice poslove u svezi sa sazivanjem i održavanjem sjednica Gradskog vijeća, njegovih radnih i savjetodavnih tijela, klubova vijećnika, izradu prijedloga akata, zaključaka, zapisnika, stručnu obradu materijala, pružanje stručne administrativne i tehničke pomoći vijećnicima, te čuvanje izvornika dokumentacije, </w:t>
      </w:r>
    </w:p>
    <w:p w14:paraId="687ADDA8" w14:textId="77777777" w:rsidR="006A5421" w:rsidRPr="006A5421" w:rsidRDefault="006A5421" w:rsidP="006A5421">
      <w:pPr>
        <w:pStyle w:val="Bezproreda"/>
        <w:ind w:left="176"/>
        <w:rPr>
          <w:sz w:val="24"/>
          <w:szCs w:val="24"/>
        </w:rPr>
      </w:pPr>
      <w:r w:rsidRPr="006A5421">
        <w:rPr>
          <w:sz w:val="24"/>
          <w:szCs w:val="24"/>
        </w:rPr>
        <w:t xml:space="preserve">2. poslovi u svezi izrade nacrta i prijedloga akata iz nadležnosti upravnog tijela, </w:t>
      </w:r>
    </w:p>
    <w:p w14:paraId="4C965963" w14:textId="77777777" w:rsidR="006A5421" w:rsidRPr="006A5421" w:rsidRDefault="006A5421" w:rsidP="006A5421">
      <w:pPr>
        <w:pStyle w:val="Bezproreda"/>
        <w:ind w:left="176"/>
        <w:rPr>
          <w:sz w:val="24"/>
          <w:szCs w:val="24"/>
        </w:rPr>
      </w:pPr>
      <w:r w:rsidRPr="006A5421">
        <w:rPr>
          <w:sz w:val="24"/>
          <w:szCs w:val="24"/>
        </w:rPr>
        <w:t xml:space="preserve">3. poslovi provedbe izbora za mjesnu samoupravu, </w:t>
      </w:r>
    </w:p>
    <w:p w14:paraId="3EEFFF42" w14:textId="77777777" w:rsidR="006A5421" w:rsidRPr="006A5421" w:rsidRDefault="006A5421" w:rsidP="006A5421">
      <w:pPr>
        <w:pStyle w:val="Bezproreda"/>
        <w:ind w:left="176"/>
        <w:rPr>
          <w:sz w:val="24"/>
          <w:szCs w:val="24"/>
        </w:rPr>
      </w:pPr>
      <w:r w:rsidRPr="006A5421">
        <w:rPr>
          <w:sz w:val="24"/>
          <w:szCs w:val="24"/>
        </w:rPr>
        <w:t xml:space="preserve">4. praćenje i koordiniranje rada mjesnih odbora te druge poslove u vezi razvoja mjesne samouprave, te nadzor nad zakonitošću rada tijela mjesne samouprave, </w:t>
      </w:r>
    </w:p>
    <w:p w14:paraId="18206E15" w14:textId="77777777" w:rsidR="006A5421" w:rsidRPr="006A5421" w:rsidRDefault="006A5421" w:rsidP="006A5421">
      <w:pPr>
        <w:pStyle w:val="Bezproreda"/>
        <w:ind w:left="176"/>
        <w:rPr>
          <w:sz w:val="24"/>
          <w:szCs w:val="24"/>
        </w:rPr>
      </w:pPr>
      <w:r w:rsidRPr="006A5421">
        <w:rPr>
          <w:sz w:val="24"/>
          <w:szCs w:val="24"/>
        </w:rPr>
        <w:t>5. izradu planova i izvješća o radu mjesnih odbora te suradnju tijela mjesne samouprave s tijelima Grada,</w:t>
      </w:r>
    </w:p>
    <w:p w14:paraId="2F2BCCB5" w14:textId="77777777" w:rsidR="006A5421" w:rsidRPr="006A5421" w:rsidRDefault="006A5421" w:rsidP="006A5421">
      <w:pPr>
        <w:pStyle w:val="Bezproreda"/>
        <w:ind w:left="176"/>
        <w:rPr>
          <w:sz w:val="24"/>
          <w:szCs w:val="24"/>
        </w:rPr>
      </w:pPr>
      <w:r w:rsidRPr="006A5421">
        <w:rPr>
          <w:sz w:val="24"/>
          <w:szCs w:val="24"/>
        </w:rPr>
        <w:t>6. poslove u svezi ostvarivanja prava građana na pristup informacijama,</w:t>
      </w:r>
    </w:p>
    <w:p w14:paraId="3E59149F" w14:textId="77777777" w:rsidR="006A5421" w:rsidRPr="006A5421" w:rsidRDefault="006A5421" w:rsidP="006A5421">
      <w:pPr>
        <w:pStyle w:val="Bezproreda"/>
        <w:ind w:left="176"/>
        <w:rPr>
          <w:sz w:val="24"/>
          <w:szCs w:val="24"/>
        </w:rPr>
      </w:pPr>
      <w:r w:rsidRPr="006A5421">
        <w:rPr>
          <w:sz w:val="24"/>
          <w:szCs w:val="24"/>
        </w:rPr>
        <w:t>7. poslove u svezi razmatranja predstavki i pritužbi građana na rad gradske uprave, vođenje brige o povratnom informiranju na upite građana te pravovremenom postupanju i njihovom rješavanju poslova u vezi rada i organizacije Savjeta mladih,</w:t>
      </w:r>
    </w:p>
    <w:p w14:paraId="7A78DB92" w14:textId="77777777" w:rsidR="006A5421" w:rsidRPr="006A5421" w:rsidRDefault="006A5421" w:rsidP="006A5421">
      <w:pPr>
        <w:pStyle w:val="Bezproreda"/>
        <w:ind w:left="176"/>
        <w:rPr>
          <w:sz w:val="24"/>
          <w:szCs w:val="24"/>
        </w:rPr>
      </w:pPr>
      <w:r w:rsidRPr="006A5421">
        <w:rPr>
          <w:sz w:val="24"/>
          <w:szCs w:val="24"/>
        </w:rPr>
        <w:t xml:space="preserve">8. zastupanje Grada po punomoći gradonačelnika, u parničnim, izvanparničnim i upravnim postupcima pred nadležnim pravosudnim tijelima, javnim bilježnicima, nadležnim upravnim tijelima i tijelima s javnim ovlastima, a u svezi s djelokrugom rada gradonačelnika, zamjenika gradonačelnika i upravnih tijela te Gradskog vijeća i njegovih radnih tijela, </w:t>
      </w:r>
    </w:p>
    <w:p w14:paraId="098C58A5" w14:textId="77777777" w:rsidR="006A5421" w:rsidRPr="006A5421" w:rsidRDefault="006A5421" w:rsidP="006A5421">
      <w:pPr>
        <w:pStyle w:val="Bezproreda"/>
        <w:ind w:left="176"/>
        <w:rPr>
          <w:sz w:val="24"/>
          <w:szCs w:val="24"/>
        </w:rPr>
      </w:pPr>
      <w:r w:rsidRPr="006A5421">
        <w:rPr>
          <w:sz w:val="24"/>
          <w:szCs w:val="24"/>
        </w:rPr>
        <w:t xml:space="preserve">9. suradnja s nadležnim upravnim tijelima Grada i odvjetnikom Grada u vidu pripreme i očitovanja na tužbe i dostave potrebne dokumentacije za predmete koje vodi odvjetnik u ime Grada u parničnim, izvanparničnim i upravnim postupcima pred nadležnim pravosudnim tijelima, javnim bilježnicima, nadležnim upravnim tijelima i tijelima s javnim ovlastima, </w:t>
      </w:r>
    </w:p>
    <w:p w14:paraId="683154EE" w14:textId="77777777" w:rsidR="006A5421" w:rsidRPr="006A5421" w:rsidRDefault="006A5421" w:rsidP="006A5421">
      <w:pPr>
        <w:pStyle w:val="Bezproreda"/>
        <w:ind w:left="176"/>
        <w:rPr>
          <w:sz w:val="24"/>
          <w:szCs w:val="24"/>
        </w:rPr>
      </w:pPr>
      <w:r w:rsidRPr="006A5421">
        <w:rPr>
          <w:sz w:val="24"/>
          <w:szCs w:val="24"/>
        </w:rPr>
        <w:t xml:space="preserve">10. imovinsko - pravne poslove u vezi evidentiranja, raspolaganja i ekonomičnog korištenja, pravnog prometa i upravljanja gradskom imovinom – stanovima, poslovnim prostorima i zemljištem, kao i raspolaganje poljoprivrednim zemljištem u vlasništvu države, </w:t>
      </w:r>
    </w:p>
    <w:p w14:paraId="479427FF" w14:textId="77777777" w:rsidR="006A5421" w:rsidRPr="006A5421" w:rsidRDefault="006A5421" w:rsidP="006A5421">
      <w:pPr>
        <w:pStyle w:val="Bezproreda"/>
        <w:ind w:left="176"/>
        <w:rPr>
          <w:sz w:val="24"/>
          <w:szCs w:val="24"/>
        </w:rPr>
      </w:pPr>
      <w:r w:rsidRPr="006A5421">
        <w:rPr>
          <w:sz w:val="24"/>
          <w:szCs w:val="24"/>
        </w:rPr>
        <w:t xml:space="preserve">11. imovinsko - pravne poslove u vezi raspolaganja odnosno upravljanja poslovnim prostorima u vlasništvu Grada koji su bili u društvenom vlasništvu s pravom korištenja </w:t>
      </w:r>
      <w:r w:rsidRPr="006A5421">
        <w:rPr>
          <w:sz w:val="24"/>
          <w:szCs w:val="24"/>
        </w:rPr>
        <w:lastRenderedPageBreak/>
        <w:t xml:space="preserve">Grada, a za koje se vode postupci na temelju Zakona o naknadi za imovinu oduzetu za vrijeme jugoslavenske komunističke vladavine, </w:t>
      </w:r>
    </w:p>
    <w:p w14:paraId="19CF2CF1" w14:textId="77777777" w:rsidR="006A5421" w:rsidRPr="006A5421" w:rsidRDefault="006A5421" w:rsidP="006A5421">
      <w:pPr>
        <w:pStyle w:val="Bezproreda"/>
        <w:ind w:left="176"/>
        <w:rPr>
          <w:sz w:val="24"/>
          <w:szCs w:val="24"/>
        </w:rPr>
      </w:pPr>
      <w:r w:rsidRPr="006A5421">
        <w:rPr>
          <w:sz w:val="24"/>
          <w:szCs w:val="24"/>
        </w:rPr>
        <w:t xml:space="preserve">12. prikupljanje dokumentacije i provedbu radnji oko upisa nekretnina u vlasništvu Grada u zemljišne knjige, </w:t>
      </w:r>
    </w:p>
    <w:p w14:paraId="3BFBE215" w14:textId="77777777" w:rsidR="006A5421" w:rsidRPr="006A5421" w:rsidRDefault="006A5421" w:rsidP="006A5421">
      <w:pPr>
        <w:pStyle w:val="Bezproreda"/>
        <w:ind w:left="176"/>
        <w:rPr>
          <w:sz w:val="24"/>
          <w:szCs w:val="24"/>
        </w:rPr>
      </w:pPr>
      <w:r w:rsidRPr="006A5421">
        <w:rPr>
          <w:sz w:val="24"/>
          <w:szCs w:val="24"/>
        </w:rPr>
        <w:t xml:space="preserve">13. vođenje brige o nekretninama u vlasništvu Grada i nekretninama s pravom korištenja Grada, te poslove u svezi prvokupa kulturnog dobra Grada, </w:t>
      </w:r>
    </w:p>
    <w:p w14:paraId="491D12E0" w14:textId="77777777" w:rsidR="006A5421" w:rsidRPr="006A5421" w:rsidRDefault="006A5421" w:rsidP="006A5421">
      <w:pPr>
        <w:pStyle w:val="Bezproreda"/>
        <w:ind w:left="176"/>
        <w:rPr>
          <w:sz w:val="24"/>
          <w:szCs w:val="24"/>
        </w:rPr>
      </w:pPr>
      <w:r w:rsidRPr="006A5421">
        <w:rPr>
          <w:sz w:val="24"/>
          <w:szCs w:val="24"/>
        </w:rPr>
        <w:t>14. izradu općih i pojedinačnih akata koji se odnose na zakup poslovnih prostora i provedbu natječajnih postupaka u skladu sa Zakonom te upravljanje tim poslovnim prostorima,</w:t>
      </w:r>
    </w:p>
    <w:p w14:paraId="7B69EDA5" w14:textId="77777777" w:rsidR="006A5421" w:rsidRPr="006A5421" w:rsidRDefault="006A5421" w:rsidP="006A5421">
      <w:pPr>
        <w:pStyle w:val="Bezproreda"/>
        <w:ind w:left="176"/>
        <w:rPr>
          <w:sz w:val="24"/>
          <w:szCs w:val="24"/>
        </w:rPr>
      </w:pPr>
      <w:r w:rsidRPr="006A5421">
        <w:rPr>
          <w:sz w:val="24"/>
          <w:szCs w:val="24"/>
        </w:rPr>
        <w:t xml:space="preserve">15. poslove pripreme, objavljivanja, dostave i trajnog čuvanja „Službenog glasnika grada </w:t>
      </w:r>
    </w:p>
    <w:p w14:paraId="29CEBDB7" w14:textId="77777777" w:rsidR="006A5421" w:rsidRPr="006A5421" w:rsidRDefault="006A5421" w:rsidP="006A5421">
      <w:pPr>
        <w:pStyle w:val="Bezproreda"/>
        <w:ind w:left="176"/>
        <w:rPr>
          <w:sz w:val="24"/>
          <w:szCs w:val="24"/>
        </w:rPr>
      </w:pPr>
      <w:r w:rsidRPr="006A5421">
        <w:rPr>
          <w:sz w:val="24"/>
          <w:szCs w:val="24"/>
        </w:rPr>
        <w:t xml:space="preserve">Trogira,“ sukladno zakonskim propisima i odlukama Gradskog vijeća i gradonačelnika, </w:t>
      </w:r>
    </w:p>
    <w:p w14:paraId="7B50E92C" w14:textId="77777777" w:rsidR="006A5421" w:rsidRPr="006A5421" w:rsidRDefault="006A5421" w:rsidP="006A5421">
      <w:pPr>
        <w:pStyle w:val="Bezproreda"/>
        <w:ind w:left="176"/>
        <w:rPr>
          <w:sz w:val="24"/>
          <w:szCs w:val="24"/>
        </w:rPr>
      </w:pPr>
      <w:r w:rsidRPr="006A5421">
        <w:rPr>
          <w:sz w:val="24"/>
          <w:szCs w:val="24"/>
        </w:rPr>
        <w:t xml:space="preserve">16. poslove u svezi s radnim odnosima službenika i namještenika u upravnim tijelima, te službenika </w:t>
      </w:r>
    </w:p>
    <w:p w14:paraId="6A0E3910" w14:textId="77777777" w:rsidR="006A5421" w:rsidRPr="006A5421" w:rsidRDefault="006A5421" w:rsidP="006A5421">
      <w:pPr>
        <w:pStyle w:val="Bezproreda"/>
        <w:ind w:left="176"/>
        <w:rPr>
          <w:sz w:val="24"/>
          <w:szCs w:val="24"/>
        </w:rPr>
      </w:pPr>
      <w:r w:rsidRPr="006A5421">
        <w:rPr>
          <w:sz w:val="24"/>
          <w:szCs w:val="24"/>
        </w:rPr>
        <w:t xml:space="preserve">za unutarnju reviziju, </w:t>
      </w:r>
    </w:p>
    <w:p w14:paraId="3EB01339" w14:textId="12580A0C" w:rsidR="006A5421" w:rsidRPr="006A5421" w:rsidRDefault="006A5421" w:rsidP="006A5421">
      <w:pPr>
        <w:pStyle w:val="Bezproreda"/>
        <w:ind w:left="176"/>
        <w:rPr>
          <w:sz w:val="24"/>
          <w:szCs w:val="24"/>
        </w:rPr>
      </w:pPr>
      <w:r w:rsidRPr="006A5421">
        <w:rPr>
          <w:sz w:val="24"/>
          <w:szCs w:val="24"/>
        </w:rPr>
        <w:t>17. izradu prijedloga općih i pojedinačnih upravnih i drugih akata radno</w:t>
      </w:r>
      <w:r w:rsidR="0029516D">
        <w:rPr>
          <w:sz w:val="24"/>
          <w:szCs w:val="24"/>
        </w:rPr>
        <w:t xml:space="preserve"> </w:t>
      </w:r>
      <w:r w:rsidRPr="006A5421">
        <w:rPr>
          <w:sz w:val="24"/>
          <w:szCs w:val="24"/>
        </w:rPr>
        <w:t xml:space="preserve">pravne naravi za sve </w:t>
      </w:r>
    </w:p>
    <w:p w14:paraId="03DE4794" w14:textId="77777777" w:rsidR="006A5421" w:rsidRPr="006A5421" w:rsidRDefault="006A5421" w:rsidP="006A5421">
      <w:pPr>
        <w:pStyle w:val="Bezproreda"/>
        <w:ind w:left="176"/>
        <w:rPr>
          <w:sz w:val="24"/>
          <w:szCs w:val="24"/>
        </w:rPr>
      </w:pPr>
      <w:r w:rsidRPr="006A5421">
        <w:rPr>
          <w:sz w:val="24"/>
          <w:szCs w:val="24"/>
        </w:rPr>
        <w:t xml:space="preserve">službenike, namještenike, vježbenika i dužnosnike Grada, </w:t>
      </w:r>
    </w:p>
    <w:p w14:paraId="016CB264" w14:textId="77777777" w:rsidR="006A5421" w:rsidRPr="006A5421" w:rsidRDefault="006A5421" w:rsidP="006A5421">
      <w:pPr>
        <w:pStyle w:val="Bezproreda"/>
        <w:ind w:left="176"/>
        <w:rPr>
          <w:sz w:val="24"/>
          <w:szCs w:val="24"/>
        </w:rPr>
      </w:pPr>
      <w:r w:rsidRPr="006A5421">
        <w:rPr>
          <w:sz w:val="24"/>
          <w:szCs w:val="24"/>
        </w:rPr>
        <w:t xml:space="preserve">18.vođenje personalne evidencije i čuvanje evidencije o radnom vremenu, </w:t>
      </w:r>
    </w:p>
    <w:p w14:paraId="42044D97" w14:textId="77777777" w:rsidR="006A5421" w:rsidRPr="006A5421" w:rsidRDefault="006A5421" w:rsidP="006A5421">
      <w:pPr>
        <w:pStyle w:val="Bezproreda"/>
        <w:ind w:left="176"/>
        <w:rPr>
          <w:sz w:val="24"/>
          <w:szCs w:val="24"/>
        </w:rPr>
      </w:pPr>
      <w:r w:rsidRPr="006A5421">
        <w:rPr>
          <w:sz w:val="24"/>
          <w:szCs w:val="24"/>
        </w:rPr>
        <w:t xml:space="preserve">19. vođenje brige i poduzimanje mjera za stručno osposobljavanje službenika i namještenika, u </w:t>
      </w:r>
    </w:p>
    <w:p w14:paraId="3A217A97" w14:textId="77777777" w:rsidR="006A5421" w:rsidRPr="006A5421" w:rsidRDefault="006A5421" w:rsidP="006A5421">
      <w:pPr>
        <w:pStyle w:val="Bezproreda"/>
        <w:ind w:left="176"/>
        <w:rPr>
          <w:sz w:val="24"/>
          <w:szCs w:val="24"/>
        </w:rPr>
      </w:pPr>
      <w:r w:rsidRPr="006A5421">
        <w:rPr>
          <w:sz w:val="24"/>
          <w:szCs w:val="24"/>
        </w:rPr>
        <w:t xml:space="preserve">skladu sa zakonom, te razvijanje socijalnog partnerstva Grada i sindikata koji djeluju u </w:t>
      </w:r>
    </w:p>
    <w:p w14:paraId="3168C4E7" w14:textId="77777777" w:rsidR="006A5421" w:rsidRPr="006A5421" w:rsidRDefault="006A5421" w:rsidP="006A5421">
      <w:pPr>
        <w:pStyle w:val="Bezproreda"/>
        <w:ind w:left="176"/>
        <w:rPr>
          <w:sz w:val="24"/>
          <w:szCs w:val="24"/>
        </w:rPr>
      </w:pPr>
      <w:r w:rsidRPr="006A5421">
        <w:rPr>
          <w:sz w:val="24"/>
          <w:szCs w:val="24"/>
        </w:rPr>
        <w:t xml:space="preserve">gradskoj upravi, </w:t>
      </w:r>
    </w:p>
    <w:p w14:paraId="1B56A7CA" w14:textId="77777777" w:rsidR="006A5421" w:rsidRPr="006A5421" w:rsidRDefault="006A5421" w:rsidP="006A5421">
      <w:pPr>
        <w:pStyle w:val="Bezproreda"/>
        <w:ind w:left="176"/>
        <w:rPr>
          <w:sz w:val="24"/>
          <w:szCs w:val="24"/>
        </w:rPr>
      </w:pPr>
      <w:r w:rsidRPr="006A5421">
        <w:rPr>
          <w:sz w:val="24"/>
          <w:szCs w:val="24"/>
        </w:rPr>
        <w:t>20. obavljanje poslova uredskog poslovanja, upisivanje u evidencije, administrativno -</w:t>
      </w:r>
    </w:p>
    <w:p w14:paraId="666FAA00" w14:textId="77777777" w:rsidR="006A5421" w:rsidRPr="006A5421" w:rsidRDefault="006A5421" w:rsidP="006A5421">
      <w:pPr>
        <w:pStyle w:val="Bezproreda"/>
        <w:ind w:left="176"/>
        <w:rPr>
          <w:sz w:val="24"/>
          <w:szCs w:val="24"/>
        </w:rPr>
      </w:pPr>
      <w:r w:rsidRPr="006A5421">
        <w:rPr>
          <w:sz w:val="24"/>
          <w:szCs w:val="24"/>
        </w:rPr>
        <w:t xml:space="preserve">tehnička obrada akata, otpreme pošte, poslove arhive te poslovi vozača dostavljača, </w:t>
      </w:r>
    </w:p>
    <w:p w14:paraId="64D9B5FD" w14:textId="77777777" w:rsidR="006A5421" w:rsidRPr="006A5421" w:rsidRDefault="006A5421" w:rsidP="006A5421">
      <w:pPr>
        <w:pStyle w:val="Bezproreda"/>
        <w:ind w:left="176"/>
        <w:rPr>
          <w:sz w:val="24"/>
          <w:szCs w:val="24"/>
        </w:rPr>
      </w:pPr>
      <w:r w:rsidRPr="006A5421">
        <w:rPr>
          <w:sz w:val="24"/>
          <w:szCs w:val="24"/>
        </w:rPr>
        <w:t>21. evidenciju o upotrebi službenih pečata i žigova te brigu o pravilnom čuvanju i zaduženjima za iste, zaštitu i osiguranje objekata, opreme, službenika i namještenika upravnih tijela Grada, te poslove u vezi likvidacije polica i naplate odštetnih zahtjeva, te</w:t>
      </w:r>
    </w:p>
    <w:p w14:paraId="0F278BA5" w14:textId="77777777" w:rsidR="006A5421" w:rsidRPr="006A5421" w:rsidRDefault="006A5421" w:rsidP="006A5421">
      <w:pPr>
        <w:pStyle w:val="Bezproreda"/>
        <w:ind w:left="176"/>
        <w:rPr>
          <w:sz w:val="24"/>
          <w:szCs w:val="24"/>
        </w:rPr>
      </w:pPr>
      <w:r w:rsidRPr="006A5421">
        <w:rPr>
          <w:sz w:val="24"/>
          <w:szCs w:val="24"/>
        </w:rPr>
        <w:t xml:space="preserve">22.vođenje evidencije o korištenju službenih mobitela i vozila Grada te evidencije o </w:t>
      </w:r>
    </w:p>
    <w:p w14:paraId="7B24FF85" w14:textId="77777777" w:rsidR="006A5421" w:rsidRPr="006A5421" w:rsidRDefault="006A5421" w:rsidP="006A5421">
      <w:pPr>
        <w:pStyle w:val="Bezproreda"/>
        <w:ind w:left="176"/>
        <w:rPr>
          <w:sz w:val="24"/>
          <w:szCs w:val="24"/>
        </w:rPr>
      </w:pPr>
      <w:r w:rsidRPr="006A5421">
        <w:rPr>
          <w:sz w:val="24"/>
          <w:szCs w:val="24"/>
        </w:rPr>
        <w:t>službenim putovanjima dužnosnika, službenika i namještenika Grada,</w:t>
      </w:r>
    </w:p>
    <w:p w14:paraId="1B55A615" w14:textId="705026CF" w:rsidR="006A5421" w:rsidRPr="006A5421" w:rsidRDefault="006A5421" w:rsidP="006A5421">
      <w:pPr>
        <w:pStyle w:val="Bezproreda"/>
        <w:ind w:left="176"/>
        <w:rPr>
          <w:sz w:val="24"/>
          <w:szCs w:val="24"/>
        </w:rPr>
      </w:pPr>
      <w:r w:rsidRPr="006A5421">
        <w:rPr>
          <w:sz w:val="24"/>
          <w:szCs w:val="24"/>
        </w:rPr>
        <w:t>23. vođenje brige o poslovnim prostorima, instalacijama, postrojenjima, opremi i uređajima neophodnim za rad gradske uprave i mjesne samouprave, te održavanje čistoće u internim prostorima Grada,</w:t>
      </w:r>
    </w:p>
    <w:p w14:paraId="3FD13544" w14:textId="77777777" w:rsidR="006A5421" w:rsidRPr="006A5421" w:rsidRDefault="006A5421" w:rsidP="006A5421">
      <w:pPr>
        <w:pStyle w:val="Bezproreda"/>
        <w:ind w:left="176"/>
        <w:rPr>
          <w:sz w:val="24"/>
          <w:szCs w:val="24"/>
        </w:rPr>
      </w:pPr>
      <w:r w:rsidRPr="006A5421">
        <w:rPr>
          <w:sz w:val="24"/>
          <w:szCs w:val="24"/>
        </w:rPr>
        <w:t xml:space="preserve">24. osnivanje trgovačkih društva i drugih pravnih osoba od strane Grada, </w:t>
      </w:r>
    </w:p>
    <w:p w14:paraId="570DE52D" w14:textId="77777777" w:rsidR="006A5421" w:rsidRDefault="006A5421" w:rsidP="006A5421">
      <w:pPr>
        <w:pStyle w:val="Bezproreda"/>
        <w:ind w:left="176"/>
        <w:rPr>
          <w:sz w:val="24"/>
          <w:szCs w:val="24"/>
        </w:rPr>
      </w:pPr>
      <w:r w:rsidRPr="006A5421">
        <w:rPr>
          <w:sz w:val="24"/>
          <w:szCs w:val="24"/>
        </w:rPr>
        <w:t>25. praćenje stanja i analizu izvješća pravnih osoba osnovanih u područjima iz nadležnosti Upravnog odjela, čija osnivačka prava, udjele odnosno dionice ima Grad.</w:t>
      </w:r>
    </w:p>
    <w:p w14:paraId="13B1FB29" w14:textId="77777777" w:rsidR="006A5421" w:rsidRDefault="006A5421" w:rsidP="006A5421">
      <w:pPr>
        <w:spacing w:after="0"/>
        <w:ind w:left="166"/>
        <w:jc w:val="both"/>
        <w:rPr>
          <w:rFonts w:cstheme="minorHAnsi"/>
          <w:i/>
          <w:iCs/>
          <w:sz w:val="24"/>
          <w:szCs w:val="24"/>
        </w:rPr>
      </w:pPr>
    </w:p>
    <w:p w14:paraId="747BF5BD" w14:textId="77777777" w:rsidR="006A5421" w:rsidRPr="006A5421" w:rsidRDefault="006A5421" w:rsidP="006A5421">
      <w:pPr>
        <w:pStyle w:val="Bezproreda"/>
        <w:jc w:val="both"/>
        <w:rPr>
          <w:i/>
          <w:iCs/>
        </w:rPr>
      </w:pPr>
      <w:r w:rsidRPr="006A5421">
        <w:rPr>
          <w:i/>
          <w:iCs/>
        </w:rPr>
        <w:t>(3) Upravni odjel za lokalnu samoupravu i imovinu grada prati realizaciju ugovora i zaključaka iz svoje nadležnosti, te obavlja i druge poslove temeljem zakonskih propisa, odluka gradonačelnika i Gradskog vijeća koji spadaju u djelokrug rada ovog Upravnog tijela.</w:t>
      </w:r>
    </w:p>
    <w:p w14:paraId="40861FBA" w14:textId="77777777" w:rsidR="006A5421" w:rsidRPr="006A5421" w:rsidRDefault="006A5421" w:rsidP="006A5421">
      <w:pPr>
        <w:spacing w:after="0"/>
        <w:ind w:left="166"/>
        <w:jc w:val="both"/>
        <w:rPr>
          <w:rFonts w:cstheme="minorHAnsi"/>
          <w:i/>
          <w:iCs/>
          <w:sz w:val="24"/>
          <w:szCs w:val="24"/>
        </w:rPr>
      </w:pPr>
    </w:p>
    <w:p w14:paraId="1AD072CD" w14:textId="731875A3" w:rsidR="009540AB" w:rsidRDefault="009540AB" w:rsidP="009540AB">
      <w:pPr>
        <w:jc w:val="both"/>
        <w:rPr>
          <w:rFonts w:cstheme="minorHAnsi"/>
          <w:sz w:val="24"/>
          <w:szCs w:val="24"/>
        </w:rPr>
      </w:pPr>
      <w:r w:rsidRPr="0046053E">
        <w:rPr>
          <w:rFonts w:cstheme="minorHAnsi"/>
          <w:sz w:val="24"/>
          <w:szCs w:val="24"/>
        </w:rPr>
        <w:t xml:space="preserve">Za ostvarenje programa unutar ovog UO </w:t>
      </w:r>
      <w:r>
        <w:rPr>
          <w:rFonts w:cstheme="minorHAnsi"/>
          <w:sz w:val="24"/>
          <w:szCs w:val="24"/>
        </w:rPr>
        <w:t>u Proračunu za 202</w:t>
      </w:r>
      <w:r w:rsidR="009A083C">
        <w:rPr>
          <w:rFonts w:cstheme="minorHAnsi"/>
          <w:sz w:val="24"/>
          <w:szCs w:val="24"/>
        </w:rPr>
        <w:t>5</w:t>
      </w:r>
      <w:r w:rsidRPr="0046053E">
        <w:rPr>
          <w:rFonts w:cstheme="minorHAnsi"/>
          <w:sz w:val="24"/>
          <w:szCs w:val="24"/>
        </w:rPr>
        <w:t xml:space="preserve">. godinu planirana su sredstva u iznosu od </w:t>
      </w:r>
      <w:r w:rsidR="00E354CB">
        <w:rPr>
          <w:rFonts w:cstheme="minorHAnsi"/>
          <w:sz w:val="24"/>
          <w:szCs w:val="24"/>
        </w:rPr>
        <w:t>3.916.865,00</w:t>
      </w:r>
      <w:r>
        <w:rPr>
          <w:rFonts w:cstheme="minorHAnsi"/>
          <w:sz w:val="24"/>
          <w:szCs w:val="24"/>
        </w:rPr>
        <w:t xml:space="preserve"> eura,</w:t>
      </w:r>
      <w:r w:rsidRPr="0046053E">
        <w:rPr>
          <w:rFonts w:cstheme="minorHAnsi"/>
          <w:sz w:val="24"/>
          <w:szCs w:val="24"/>
        </w:rPr>
        <w:t xml:space="preserve"> a utrošeno je </w:t>
      </w:r>
      <w:r w:rsidR="00E354CB">
        <w:rPr>
          <w:rFonts w:cstheme="minorHAnsi"/>
          <w:sz w:val="24"/>
          <w:szCs w:val="24"/>
        </w:rPr>
        <w:t>3.286.573,84</w:t>
      </w:r>
      <w:r>
        <w:rPr>
          <w:rFonts w:cstheme="minorHAnsi"/>
          <w:sz w:val="24"/>
          <w:szCs w:val="24"/>
        </w:rPr>
        <w:t xml:space="preserve"> eura</w:t>
      </w:r>
      <w:r w:rsidRPr="0046053E">
        <w:rPr>
          <w:rFonts w:cstheme="minorHAnsi"/>
          <w:sz w:val="24"/>
          <w:szCs w:val="24"/>
        </w:rPr>
        <w:t xml:space="preserve">, odnosno </w:t>
      </w:r>
      <w:r w:rsidR="00E354CB">
        <w:rPr>
          <w:rFonts w:cstheme="minorHAnsi"/>
          <w:sz w:val="24"/>
          <w:szCs w:val="24"/>
        </w:rPr>
        <w:t>83,91</w:t>
      </w:r>
      <w:r w:rsidRPr="0046053E">
        <w:rPr>
          <w:rFonts w:cstheme="minorHAnsi"/>
          <w:sz w:val="24"/>
          <w:szCs w:val="24"/>
        </w:rPr>
        <w:t>% planiranog godišnjeg iznosa. Sredstva su utrošena za provedbu sljedećih programa:</w:t>
      </w:r>
    </w:p>
    <w:p w14:paraId="6D2636C8" w14:textId="77777777" w:rsidR="00E354CB" w:rsidRDefault="00E354CB" w:rsidP="009540AB">
      <w:pPr>
        <w:jc w:val="both"/>
        <w:rPr>
          <w:rFonts w:cstheme="minorHAnsi"/>
          <w:sz w:val="24"/>
          <w:szCs w:val="24"/>
        </w:rPr>
      </w:pPr>
    </w:p>
    <w:p w14:paraId="0BF4390E" w14:textId="77777777" w:rsidR="00E354CB" w:rsidRPr="00E26233" w:rsidRDefault="00E354CB" w:rsidP="009540AB">
      <w:pPr>
        <w:jc w:val="both"/>
        <w:rPr>
          <w:rFonts w:cstheme="minorHAnsi"/>
          <w:sz w:val="24"/>
          <w:szCs w:val="24"/>
          <w:shd w:val="clear" w:color="auto" w:fill="FFFFFF"/>
        </w:rPr>
      </w:pPr>
    </w:p>
    <w:p w14:paraId="38718B32" w14:textId="77777777" w:rsidR="007B26FB" w:rsidRDefault="007B26FB" w:rsidP="007B26FB">
      <w:pPr>
        <w:spacing w:after="0" w:line="240" w:lineRule="auto"/>
        <w:jc w:val="both"/>
        <w:rPr>
          <w:rFonts w:ascii="Times New Roman" w:hAnsi="Times New Roman" w:cs="Times New Roman"/>
        </w:rPr>
      </w:pPr>
    </w:p>
    <w:p w14:paraId="550DE743" w14:textId="77777777" w:rsidR="00AE66F0" w:rsidRDefault="00AE66F0" w:rsidP="007B26FB">
      <w:pPr>
        <w:spacing w:after="0" w:line="240" w:lineRule="auto"/>
        <w:jc w:val="both"/>
        <w:rPr>
          <w:rFonts w:ascii="Times New Roman" w:hAnsi="Times New Roman" w:cs="Times New Roman"/>
        </w:rPr>
      </w:pPr>
    </w:p>
    <w:tbl>
      <w:tblPr>
        <w:tblW w:w="10817" w:type="dxa"/>
        <w:tblInd w:w="-827" w:type="dxa"/>
        <w:tblBorders>
          <w:top w:val="single" w:sz="4" w:space="0" w:color="7F7F7F"/>
          <w:bottom w:val="single" w:sz="4" w:space="0" w:color="7F7F7F"/>
          <w:insideH w:val="single" w:sz="4" w:space="0" w:color="7F7F7F"/>
        </w:tblBorders>
        <w:tblLayout w:type="fixed"/>
        <w:tblLook w:val="00A0" w:firstRow="1" w:lastRow="0" w:firstColumn="1" w:lastColumn="0" w:noHBand="0" w:noVBand="0"/>
      </w:tblPr>
      <w:tblGrid>
        <w:gridCol w:w="1022"/>
        <w:gridCol w:w="740"/>
        <w:gridCol w:w="3252"/>
        <w:gridCol w:w="1951"/>
        <w:gridCol w:w="1411"/>
        <w:gridCol w:w="1411"/>
        <w:gridCol w:w="1030"/>
      </w:tblGrid>
      <w:tr w:rsidR="005528C4" w:rsidRPr="0092464A" w14:paraId="2B933D78" w14:textId="77777777" w:rsidTr="00491DCE">
        <w:trPr>
          <w:trHeight w:val="190"/>
        </w:trPr>
        <w:tc>
          <w:tcPr>
            <w:tcW w:w="5014" w:type="dxa"/>
            <w:gridSpan w:val="3"/>
            <w:shd w:val="clear" w:color="auto" w:fill="C6D9F1"/>
            <w:vAlign w:val="center"/>
          </w:tcPr>
          <w:p w14:paraId="76F5D188" w14:textId="77777777" w:rsidR="005528C4" w:rsidRPr="00580385" w:rsidRDefault="005528C4" w:rsidP="00162757">
            <w:pPr>
              <w:spacing w:line="276" w:lineRule="auto"/>
              <w:jc w:val="center"/>
              <w:rPr>
                <w:rFonts w:ascii="Arial" w:hAnsi="Arial" w:cs="Arial"/>
                <w:b/>
                <w:sz w:val="18"/>
                <w:szCs w:val="18"/>
              </w:rPr>
            </w:pPr>
            <w:r>
              <w:rPr>
                <w:rFonts w:ascii="Arial" w:hAnsi="Arial" w:cs="Arial"/>
                <w:b/>
                <w:sz w:val="18"/>
                <w:szCs w:val="18"/>
              </w:rPr>
              <w:t>PROGRAMI</w:t>
            </w:r>
          </w:p>
        </w:tc>
        <w:tc>
          <w:tcPr>
            <w:tcW w:w="1951" w:type="dxa"/>
            <w:shd w:val="clear" w:color="auto" w:fill="C6D9F1"/>
            <w:vAlign w:val="center"/>
          </w:tcPr>
          <w:p w14:paraId="4F743C7A" w14:textId="5AE6FC0A" w:rsidR="005528C4" w:rsidRPr="00580385" w:rsidRDefault="005528C4" w:rsidP="00162757">
            <w:pPr>
              <w:autoSpaceDE w:val="0"/>
              <w:autoSpaceDN w:val="0"/>
              <w:adjustRightInd w:val="0"/>
              <w:jc w:val="center"/>
              <w:rPr>
                <w:rFonts w:ascii="Arial" w:hAnsi="Arial" w:cs="Arial"/>
                <w:b/>
                <w:sz w:val="18"/>
                <w:szCs w:val="18"/>
              </w:rPr>
            </w:pPr>
            <w:r>
              <w:rPr>
                <w:rFonts w:ascii="Arial" w:hAnsi="Arial" w:cs="Arial"/>
                <w:b/>
                <w:sz w:val="18"/>
                <w:szCs w:val="18"/>
              </w:rPr>
              <w:t xml:space="preserve">IZVORNI </w:t>
            </w:r>
            <w:r w:rsidRPr="00580385">
              <w:rPr>
                <w:rFonts w:ascii="Arial" w:hAnsi="Arial" w:cs="Arial"/>
                <w:b/>
                <w:sz w:val="18"/>
                <w:szCs w:val="18"/>
              </w:rPr>
              <w:t>PLAN</w:t>
            </w:r>
            <w:r>
              <w:rPr>
                <w:rFonts w:ascii="Arial" w:hAnsi="Arial" w:cs="Arial"/>
                <w:b/>
                <w:sz w:val="18"/>
                <w:szCs w:val="18"/>
              </w:rPr>
              <w:t xml:space="preserve"> 202</w:t>
            </w:r>
            <w:r w:rsidR="009A083C">
              <w:rPr>
                <w:rFonts w:ascii="Arial" w:hAnsi="Arial" w:cs="Arial"/>
                <w:b/>
                <w:sz w:val="18"/>
                <w:szCs w:val="18"/>
              </w:rPr>
              <w:t>5</w:t>
            </w:r>
            <w:r w:rsidRPr="00580385">
              <w:rPr>
                <w:rFonts w:ascii="Arial" w:hAnsi="Arial" w:cs="Arial"/>
                <w:b/>
                <w:sz w:val="18"/>
                <w:szCs w:val="18"/>
              </w:rPr>
              <w:t xml:space="preserve">. </w:t>
            </w:r>
          </w:p>
        </w:tc>
        <w:tc>
          <w:tcPr>
            <w:tcW w:w="1411" w:type="dxa"/>
            <w:shd w:val="clear" w:color="auto" w:fill="C6D9F1"/>
          </w:tcPr>
          <w:p w14:paraId="5758456C" w14:textId="139C3F18" w:rsidR="005528C4" w:rsidRDefault="005528C4" w:rsidP="005420C7">
            <w:pPr>
              <w:autoSpaceDE w:val="0"/>
              <w:autoSpaceDN w:val="0"/>
              <w:adjustRightInd w:val="0"/>
              <w:jc w:val="center"/>
              <w:rPr>
                <w:rFonts w:ascii="Arial" w:hAnsi="Arial" w:cs="Arial"/>
                <w:b/>
                <w:sz w:val="18"/>
                <w:szCs w:val="18"/>
              </w:rPr>
            </w:pPr>
            <w:r>
              <w:rPr>
                <w:rFonts w:ascii="Arial" w:hAnsi="Arial" w:cs="Arial"/>
                <w:b/>
                <w:sz w:val="18"/>
                <w:szCs w:val="18"/>
              </w:rPr>
              <w:t>TEKUĆI PLAN 202</w:t>
            </w:r>
            <w:r w:rsidR="009A083C">
              <w:rPr>
                <w:rFonts w:ascii="Arial" w:hAnsi="Arial" w:cs="Arial"/>
                <w:b/>
                <w:sz w:val="18"/>
                <w:szCs w:val="18"/>
              </w:rPr>
              <w:t>5</w:t>
            </w:r>
            <w:r>
              <w:rPr>
                <w:rFonts w:ascii="Arial" w:hAnsi="Arial" w:cs="Arial"/>
                <w:b/>
                <w:sz w:val="18"/>
                <w:szCs w:val="18"/>
              </w:rPr>
              <w:t>.</w:t>
            </w:r>
          </w:p>
        </w:tc>
        <w:tc>
          <w:tcPr>
            <w:tcW w:w="1411" w:type="dxa"/>
            <w:shd w:val="clear" w:color="auto" w:fill="C6D9F1"/>
            <w:vAlign w:val="center"/>
          </w:tcPr>
          <w:p w14:paraId="3940E7B7" w14:textId="17A93431" w:rsidR="005528C4" w:rsidRPr="00580385" w:rsidRDefault="005528C4" w:rsidP="005420C7">
            <w:pPr>
              <w:autoSpaceDE w:val="0"/>
              <w:autoSpaceDN w:val="0"/>
              <w:adjustRightInd w:val="0"/>
              <w:jc w:val="center"/>
              <w:rPr>
                <w:rFonts w:ascii="Arial" w:hAnsi="Arial" w:cs="Arial"/>
                <w:b/>
                <w:sz w:val="18"/>
                <w:szCs w:val="18"/>
              </w:rPr>
            </w:pPr>
            <w:r>
              <w:rPr>
                <w:rFonts w:ascii="Arial" w:hAnsi="Arial" w:cs="Arial"/>
                <w:b/>
                <w:sz w:val="18"/>
                <w:szCs w:val="18"/>
              </w:rPr>
              <w:t>IZVRŠENJE       202</w:t>
            </w:r>
            <w:r w:rsidR="009A083C">
              <w:rPr>
                <w:rFonts w:ascii="Arial" w:hAnsi="Arial" w:cs="Arial"/>
                <w:b/>
                <w:sz w:val="18"/>
                <w:szCs w:val="18"/>
              </w:rPr>
              <w:t>5</w:t>
            </w:r>
            <w:r>
              <w:rPr>
                <w:rFonts w:ascii="Arial" w:hAnsi="Arial" w:cs="Arial"/>
                <w:b/>
                <w:sz w:val="18"/>
                <w:szCs w:val="18"/>
              </w:rPr>
              <w:t xml:space="preserve">. </w:t>
            </w:r>
          </w:p>
        </w:tc>
        <w:tc>
          <w:tcPr>
            <w:tcW w:w="1030" w:type="dxa"/>
            <w:shd w:val="clear" w:color="auto" w:fill="C6D9F1"/>
            <w:vAlign w:val="center"/>
          </w:tcPr>
          <w:p w14:paraId="0A0637B1" w14:textId="50B2D175" w:rsidR="005528C4" w:rsidRPr="00580385" w:rsidRDefault="005528C4" w:rsidP="00245350">
            <w:pPr>
              <w:autoSpaceDE w:val="0"/>
              <w:autoSpaceDN w:val="0"/>
              <w:adjustRightInd w:val="0"/>
              <w:jc w:val="center"/>
              <w:rPr>
                <w:rFonts w:ascii="Arial" w:hAnsi="Arial" w:cs="Arial"/>
                <w:b/>
                <w:sz w:val="18"/>
                <w:szCs w:val="18"/>
              </w:rPr>
            </w:pPr>
            <w:r>
              <w:rPr>
                <w:rFonts w:ascii="Arial" w:hAnsi="Arial" w:cs="Arial"/>
                <w:b/>
                <w:sz w:val="18"/>
                <w:szCs w:val="18"/>
              </w:rPr>
              <w:t>INDEK</w:t>
            </w:r>
            <w:r w:rsidRPr="00580385">
              <w:rPr>
                <w:rFonts w:ascii="Arial" w:hAnsi="Arial" w:cs="Arial"/>
                <w:b/>
                <w:sz w:val="18"/>
                <w:szCs w:val="18"/>
              </w:rPr>
              <w:t>S</w:t>
            </w:r>
            <w:r>
              <w:rPr>
                <w:rFonts w:ascii="Arial" w:hAnsi="Arial" w:cs="Arial"/>
                <w:b/>
                <w:sz w:val="18"/>
                <w:szCs w:val="18"/>
              </w:rPr>
              <w:t xml:space="preserve"> (3/2)</w:t>
            </w:r>
          </w:p>
        </w:tc>
      </w:tr>
      <w:tr w:rsidR="005528C4" w:rsidRPr="0092464A" w14:paraId="03FE4663" w14:textId="77777777" w:rsidTr="00491DCE">
        <w:trPr>
          <w:trHeight w:val="190"/>
        </w:trPr>
        <w:tc>
          <w:tcPr>
            <w:tcW w:w="5014" w:type="dxa"/>
            <w:gridSpan w:val="3"/>
            <w:shd w:val="clear" w:color="auto" w:fill="C6D9F1"/>
            <w:vAlign w:val="center"/>
          </w:tcPr>
          <w:p w14:paraId="4AA9F8F6" w14:textId="77777777" w:rsidR="005528C4" w:rsidRDefault="005528C4" w:rsidP="00162757">
            <w:pPr>
              <w:spacing w:line="276" w:lineRule="auto"/>
              <w:jc w:val="center"/>
              <w:rPr>
                <w:rFonts w:ascii="Arial" w:hAnsi="Arial" w:cs="Arial"/>
                <w:b/>
                <w:sz w:val="18"/>
                <w:szCs w:val="18"/>
              </w:rPr>
            </w:pPr>
          </w:p>
        </w:tc>
        <w:tc>
          <w:tcPr>
            <w:tcW w:w="1951" w:type="dxa"/>
            <w:shd w:val="clear" w:color="auto" w:fill="C6D9F1"/>
            <w:vAlign w:val="center"/>
          </w:tcPr>
          <w:p w14:paraId="75C0E36F" w14:textId="77777777" w:rsidR="005528C4" w:rsidRDefault="005528C4" w:rsidP="00162757">
            <w:pPr>
              <w:autoSpaceDE w:val="0"/>
              <w:autoSpaceDN w:val="0"/>
              <w:adjustRightInd w:val="0"/>
              <w:jc w:val="center"/>
              <w:rPr>
                <w:rFonts w:ascii="Arial" w:hAnsi="Arial" w:cs="Arial"/>
                <w:b/>
                <w:sz w:val="18"/>
                <w:szCs w:val="18"/>
              </w:rPr>
            </w:pPr>
            <w:r>
              <w:rPr>
                <w:rFonts w:ascii="Arial" w:hAnsi="Arial" w:cs="Arial"/>
                <w:b/>
                <w:sz w:val="18"/>
                <w:szCs w:val="18"/>
              </w:rPr>
              <w:t>(1)</w:t>
            </w:r>
          </w:p>
        </w:tc>
        <w:tc>
          <w:tcPr>
            <w:tcW w:w="1411" w:type="dxa"/>
            <w:shd w:val="clear" w:color="auto" w:fill="C6D9F1"/>
          </w:tcPr>
          <w:p w14:paraId="7D6505C1" w14:textId="1ED930A5" w:rsidR="005528C4" w:rsidRDefault="005528C4" w:rsidP="005420C7">
            <w:pPr>
              <w:autoSpaceDE w:val="0"/>
              <w:autoSpaceDN w:val="0"/>
              <w:adjustRightInd w:val="0"/>
              <w:jc w:val="center"/>
              <w:rPr>
                <w:rFonts w:ascii="Arial" w:hAnsi="Arial" w:cs="Arial"/>
                <w:b/>
                <w:sz w:val="18"/>
                <w:szCs w:val="18"/>
              </w:rPr>
            </w:pPr>
            <w:r>
              <w:rPr>
                <w:rFonts w:ascii="Arial" w:hAnsi="Arial" w:cs="Arial"/>
                <w:b/>
                <w:sz w:val="18"/>
                <w:szCs w:val="18"/>
              </w:rPr>
              <w:t>(2)</w:t>
            </w:r>
          </w:p>
        </w:tc>
        <w:tc>
          <w:tcPr>
            <w:tcW w:w="1411" w:type="dxa"/>
            <w:shd w:val="clear" w:color="auto" w:fill="C6D9F1"/>
            <w:vAlign w:val="center"/>
          </w:tcPr>
          <w:p w14:paraId="03E21303" w14:textId="68DCAC64" w:rsidR="005528C4" w:rsidRDefault="005528C4" w:rsidP="005420C7">
            <w:pPr>
              <w:autoSpaceDE w:val="0"/>
              <w:autoSpaceDN w:val="0"/>
              <w:adjustRightInd w:val="0"/>
              <w:jc w:val="center"/>
              <w:rPr>
                <w:rFonts w:ascii="Arial" w:hAnsi="Arial" w:cs="Arial"/>
                <w:b/>
                <w:sz w:val="18"/>
                <w:szCs w:val="18"/>
              </w:rPr>
            </w:pPr>
            <w:r>
              <w:rPr>
                <w:rFonts w:ascii="Arial" w:hAnsi="Arial" w:cs="Arial"/>
                <w:b/>
                <w:sz w:val="18"/>
                <w:szCs w:val="18"/>
              </w:rPr>
              <w:t>(3)</w:t>
            </w:r>
          </w:p>
        </w:tc>
        <w:tc>
          <w:tcPr>
            <w:tcW w:w="1030" w:type="dxa"/>
            <w:shd w:val="clear" w:color="auto" w:fill="C6D9F1"/>
            <w:vAlign w:val="center"/>
          </w:tcPr>
          <w:p w14:paraId="13000CF8" w14:textId="2E913AFD" w:rsidR="005528C4" w:rsidRPr="00580385" w:rsidRDefault="005528C4" w:rsidP="00162757">
            <w:pPr>
              <w:autoSpaceDE w:val="0"/>
              <w:autoSpaceDN w:val="0"/>
              <w:adjustRightInd w:val="0"/>
              <w:jc w:val="center"/>
              <w:rPr>
                <w:rFonts w:ascii="Arial" w:hAnsi="Arial" w:cs="Arial"/>
                <w:b/>
                <w:sz w:val="18"/>
                <w:szCs w:val="18"/>
              </w:rPr>
            </w:pPr>
            <w:r>
              <w:rPr>
                <w:rFonts w:ascii="Arial" w:hAnsi="Arial" w:cs="Arial"/>
                <w:b/>
                <w:sz w:val="18"/>
                <w:szCs w:val="18"/>
              </w:rPr>
              <w:t>(4)</w:t>
            </w:r>
          </w:p>
        </w:tc>
      </w:tr>
      <w:tr w:rsidR="005528C4" w:rsidRPr="0092464A" w14:paraId="7007763B" w14:textId="77777777" w:rsidTr="00491DCE">
        <w:trPr>
          <w:trHeight w:val="190"/>
        </w:trPr>
        <w:tc>
          <w:tcPr>
            <w:tcW w:w="1022" w:type="dxa"/>
            <w:shd w:val="clear" w:color="000080" w:fill="FFFFFF"/>
            <w:vAlign w:val="center"/>
          </w:tcPr>
          <w:p w14:paraId="4CDEF199" w14:textId="77777777" w:rsidR="005528C4" w:rsidRPr="0092464A" w:rsidRDefault="005528C4" w:rsidP="00162757">
            <w:pPr>
              <w:rPr>
                <w:rFonts w:ascii="Arial" w:hAnsi="Arial" w:cs="Arial"/>
                <w:b/>
                <w:bCs/>
                <w:sz w:val="18"/>
                <w:szCs w:val="18"/>
                <w:lang w:eastAsia="hr-HR"/>
              </w:rPr>
            </w:pPr>
            <w:r w:rsidRPr="0092464A">
              <w:rPr>
                <w:rFonts w:ascii="Arial" w:hAnsi="Arial" w:cs="Arial"/>
                <w:b/>
                <w:bCs/>
                <w:sz w:val="18"/>
                <w:szCs w:val="18"/>
                <w:lang w:eastAsia="hr-HR"/>
              </w:rPr>
              <w:t>Razdjel</w:t>
            </w:r>
          </w:p>
        </w:tc>
        <w:tc>
          <w:tcPr>
            <w:tcW w:w="740" w:type="dxa"/>
            <w:shd w:val="clear" w:color="000080" w:fill="FFFFFF"/>
            <w:vAlign w:val="center"/>
          </w:tcPr>
          <w:p w14:paraId="1FE745D0" w14:textId="77777777" w:rsidR="005528C4" w:rsidRPr="0092464A" w:rsidRDefault="005528C4" w:rsidP="00162757">
            <w:pPr>
              <w:rPr>
                <w:rFonts w:ascii="Arial" w:hAnsi="Arial" w:cs="Arial"/>
                <w:b/>
                <w:bCs/>
                <w:sz w:val="18"/>
                <w:szCs w:val="18"/>
                <w:lang w:eastAsia="hr-HR"/>
              </w:rPr>
            </w:pPr>
            <w:r>
              <w:rPr>
                <w:rFonts w:ascii="Arial" w:hAnsi="Arial" w:cs="Arial"/>
                <w:b/>
                <w:bCs/>
                <w:sz w:val="18"/>
                <w:szCs w:val="18"/>
                <w:lang w:eastAsia="hr-HR"/>
              </w:rPr>
              <w:t>020</w:t>
            </w:r>
          </w:p>
        </w:tc>
        <w:tc>
          <w:tcPr>
            <w:tcW w:w="3252" w:type="dxa"/>
            <w:shd w:val="clear" w:color="000080" w:fill="FFFFFF"/>
            <w:vAlign w:val="center"/>
          </w:tcPr>
          <w:p w14:paraId="066DFE21" w14:textId="77777777" w:rsidR="005528C4" w:rsidRPr="00A42A4E" w:rsidRDefault="005528C4" w:rsidP="00162757">
            <w:pPr>
              <w:rPr>
                <w:rFonts w:ascii="Arial" w:hAnsi="Arial" w:cs="Arial"/>
                <w:b/>
                <w:bCs/>
                <w:sz w:val="18"/>
                <w:szCs w:val="18"/>
                <w:lang w:eastAsia="hr-HR"/>
              </w:rPr>
            </w:pPr>
            <w:r>
              <w:rPr>
                <w:rFonts w:ascii="Arial" w:hAnsi="Arial" w:cs="Arial"/>
                <w:b/>
                <w:bCs/>
                <w:sz w:val="18"/>
                <w:szCs w:val="18"/>
                <w:lang w:eastAsia="hr-HR"/>
              </w:rPr>
              <w:t xml:space="preserve">UPRAVNI ODJEL ZA LOKALNU SAMOUPRAVU I IMOVINU GRADA </w:t>
            </w:r>
          </w:p>
        </w:tc>
        <w:tc>
          <w:tcPr>
            <w:tcW w:w="1951" w:type="dxa"/>
            <w:shd w:val="clear" w:color="000080" w:fill="FFFFFF"/>
            <w:vAlign w:val="bottom"/>
          </w:tcPr>
          <w:p w14:paraId="44BAE8FE" w14:textId="4ED7788A" w:rsidR="005528C4" w:rsidRPr="00A42A4E" w:rsidRDefault="00E354CB" w:rsidP="005420C7">
            <w:pPr>
              <w:jc w:val="center"/>
              <w:rPr>
                <w:rFonts w:ascii="Arial" w:hAnsi="Arial" w:cs="Arial"/>
                <w:b/>
                <w:bCs/>
                <w:sz w:val="18"/>
                <w:szCs w:val="18"/>
              </w:rPr>
            </w:pPr>
            <w:r>
              <w:rPr>
                <w:rFonts w:ascii="Arial" w:hAnsi="Arial" w:cs="Arial"/>
                <w:b/>
                <w:bCs/>
                <w:sz w:val="18"/>
                <w:szCs w:val="18"/>
              </w:rPr>
              <w:t>3.906.865,00</w:t>
            </w:r>
          </w:p>
        </w:tc>
        <w:tc>
          <w:tcPr>
            <w:tcW w:w="1411" w:type="dxa"/>
            <w:shd w:val="clear" w:color="000080" w:fill="FFFFFF"/>
            <w:vAlign w:val="bottom"/>
          </w:tcPr>
          <w:p w14:paraId="742A3784" w14:textId="58B838DD" w:rsidR="005528C4" w:rsidRDefault="00E354CB" w:rsidP="005420C7">
            <w:pPr>
              <w:jc w:val="center"/>
              <w:rPr>
                <w:rFonts w:ascii="Arial" w:hAnsi="Arial" w:cs="Arial"/>
                <w:b/>
                <w:bCs/>
                <w:sz w:val="18"/>
                <w:szCs w:val="18"/>
              </w:rPr>
            </w:pPr>
            <w:r>
              <w:rPr>
                <w:rFonts w:ascii="Arial" w:hAnsi="Arial" w:cs="Arial"/>
                <w:b/>
                <w:bCs/>
                <w:sz w:val="18"/>
                <w:szCs w:val="18"/>
              </w:rPr>
              <w:t>3.916.865,00</w:t>
            </w:r>
          </w:p>
        </w:tc>
        <w:tc>
          <w:tcPr>
            <w:tcW w:w="1411" w:type="dxa"/>
            <w:shd w:val="clear" w:color="000080" w:fill="FFFFFF"/>
            <w:vAlign w:val="bottom"/>
          </w:tcPr>
          <w:p w14:paraId="51892A2B" w14:textId="312F9B9A" w:rsidR="005528C4" w:rsidRPr="00A42A4E" w:rsidRDefault="00E354CB" w:rsidP="005420C7">
            <w:pPr>
              <w:jc w:val="center"/>
              <w:rPr>
                <w:rFonts w:ascii="Arial" w:hAnsi="Arial" w:cs="Arial"/>
                <w:b/>
                <w:bCs/>
                <w:sz w:val="18"/>
                <w:szCs w:val="18"/>
              </w:rPr>
            </w:pPr>
            <w:r>
              <w:rPr>
                <w:rFonts w:ascii="Arial" w:hAnsi="Arial" w:cs="Arial"/>
                <w:b/>
                <w:bCs/>
                <w:sz w:val="18"/>
                <w:szCs w:val="18"/>
              </w:rPr>
              <w:t>3.286.573,84</w:t>
            </w:r>
          </w:p>
        </w:tc>
        <w:tc>
          <w:tcPr>
            <w:tcW w:w="1030" w:type="dxa"/>
            <w:shd w:val="clear" w:color="000080" w:fill="FFFFFF"/>
            <w:vAlign w:val="bottom"/>
          </w:tcPr>
          <w:p w14:paraId="1623A1EB" w14:textId="46F8FD83" w:rsidR="005528C4" w:rsidRPr="00A42A4E" w:rsidRDefault="00E354CB" w:rsidP="005420C7">
            <w:pPr>
              <w:jc w:val="center"/>
              <w:rPr>
                <w:rFonts w:ascii="Arial" w:hAnsi="Arial" w:cs="Arial"/>
                <w:b/>
                <w:bCs/>
                <w:sz w:val="18"/>
                <w:szCs w:val="18"/>
              </w:rPr>
            </w:pPr>
            <w:r>
              <w:rPr>
                <w:rFonts w:ascii="Arial" w:hAnsi="Arial" w:cs="Arial"/>
                <w:b/>
                <w:bCs/>
                <w:sz w:val="18"/>
                <w:szCs w:val="18"/>
              </w:rPr>
              <w:t>83,91%</w:t>
            </w:r>
          </w:p>
        </w:tc>
      </w:tr>
      <w:tr w:rsidR="005528C4" w:rsidRPr="00311030" w14:paraId="5DA5E041" w14:textId="77777777" w:rsidTr="00491DCE">
        <w:trPr>
          <w:trHeight w:val="190"/>
        </w:trPr>
        <w:tc>
          <w:tcPr>
            <w:tcW w:w="1022" w:type="dxa"/>
            <w:shd w:val="clear" w:color="000080" w:fill="FFFFFF"/>
            <w:vAlign w:val="center"/>
          </w:tcPr>
          <w:p w14:paraId="694FA8AC" w14:textId="77777777" w:rsidR="005528C4" w:rsidRPr="00311030" w:rsidRDefault="005528C4" w:rsidP="00162757">
            <w:pPr>
              <w:rPr>
                <w:rFonts w:ascii="Arial" w:hAnsi="Arial" w:cs="Arial"/>
                <w:bCs/>
                <w:sz w:val="18"/>
                <w:szCs w:val="18"/>
                <w:lang w:eastAsia="hr-HR"/>
              </w:rPr>
            </w:pPr>
            <w:r w:rsidRPr="00311030">
              <w:rPr>
                <w:rFonts w:ascii="Arial" w:hAnsi="Arial" w:cs="Arial"/>
                <w:bCs/>
                <w:sz w:val="18"/>
                <w:szCs w:val="18"/>
                <w:lang w:eastAsia="hr-HR"/>
              </w:rPr>
              <w:t xml:space="preserve">Glava </w:t>
            </w:r>
          </w:p>
        </w:tc>
        <w:tc>
          <w:tcPr>
            <w:tcW w:w="740" w:type="dxa"/>
            <w:shd w:val="clear" w:color="000080" w:fill="FFFFFF"/>
            <w:vAlign w:val="center"/>
          </w:tcPr>
          <w:p w14:paraId="3006B669" w14:textId="77777777" w:rsidR="005528C4" w:rsidRPr="00311030" w:rsidRDefault="005528C4" w:rsidP="00162757">
            <w:pPr>
              <w:rPr>
                <w:rFonts w:ascii="Arial" w:hAnsi="Arial" w:cs="Arial"/>
                <w:bCs/>
                <w:sz w:val="18"/>
                <w:szCs w:val="18"/>
                <w:lang w:eastAsia="hr-HR"/>
              </w:rPr>
            </w:pPr>
            <w:r>
              <w:rPr>
                <w:rFonts w:ascii="Arial" w:hAnsi="Arial" w:cs="Arial"/>
                <w:bCs/>
                <w:sz w:val="18"/>
                <w:szCs w:val="18"/>
                <w:lang w:eastAsia="hr-HR"/>
              </w:rPr>
              <w:t>02001</w:t>
            </w:r>
          </w:p>
        </w:tc>
        <w:tc>
          <w:tcPr>
            <w:tcW w:w="3252" w:type="dxa"/>
            <w:shd w:val="clear" w:color="000080" w:fill="FFFFFF"/>
            <w:vAlign w:val="center"/>
          </w:tcPr>
          <w:p w14:paraId="0C90B184" w14:textId="77777777" w:rsidR="005528C4" w:rsidRPr="00311030" w:rsidRDefault="005528C4" w:rsidP="00162757">
            <w:pPr>
              <w:rPr>
                <w:rFonts w:ascii="Arial" w:hAnsi="Arial" w:cs="Arial"/>
                <w:bCs/>
                <w:sz w:val="18"/>
                <w:szCs w:val="18"/>
                <w:lang w:eastAsia="hr-HR"/>
              </w:rPr>
            </w:pPr>
            <w:r w:rsidRPr="00311030">
              <w:rPr>
                <w:rFonts w:ascii="Arial" w:hAnsi="Arial" w:cs="Arial"/>
                <w:bCs/>
                <w:sz w:val="18"/>
                <w:szCs w:val="18"/>
                <w:lang w:eastAsia="hr-HR"/>
              </w:rPr>
              <w:t xml:space="preserve">UPRAVNI ODJEL ZA </w:t>
            </w:r>
            <w:r>
              <w:rPr>
                <w:rFonts w:ascii="Arial" w:hAnsi="Arial" w:cs="Arial"/>
                <w:bCs/>
                <w:sz w:val="18"/>
                <w:szCs w:val="18"/>
                <w:lang w:eastAsia="hr-HR"/>
              </w:rPr>
              <w:t>LOKALNU SAMOUPRAVU I IMOVINU GRADA</w:t>
            </w:r>
          </w:p>
        </w:tc>
        <w:tc>
          <w:tcPr>
            <w:tcW w:w="1951" w:type="dxa"/>
            <w:shd w:val="clear" w:color="000080" w:fill="FFFFFF"/>
            <w:vAlign w:val="bottom"/>
          </w:tcPr>
          <w:p w14:paraId="25F6C07D" w14:textId="4DFA3291" w:rsidR="005528C4" w:rsidRPr="00311030" w:rsidRDefault="00E354CB" w:rsidP="005420C7">
            <w:pPr>
              <w:jc w:val="center"/>
              <w:rPr>
                <w:rFonts w:ascii="Arial" w:hAnsi="Arial" w:cs="Arial"/>
                <w:bCs/>
                <w:sz w:val="18"/>
                <w:szCs w:val="18"/>
              </w:rPr>
            </w:pPr>
            <w:r>
              <w:rPr>
                <w:rFonts w:ascii="Arial" w:hAnsi="Arial" w:cs="Arial"/>
                <w:bCs/>
                <w:sz w:val="18"/>
                <w:szCs w:val="18"/>
              </w:rPr>
              <w:t>3.906.865,00</w:t>
            </w:r>
          </w:p>
        </w:tc>
        <w:tc>
          <w:tcPr>
            <w:tcW w:w="1411" w:type="dxa"/>
            <w:shd w:val="clear" w:color="000080" w:fill="FFFFFF"/>
            <w:vAlign w:val="bottom"/>
          </w:tcPr>
          <w:p w14:paraId="3DB6387B" w14:textId="5858C5CB" w:rsidR="005528C4" w:rsidRDefault="00E354CB" w:rsidP="005420C7">
            <w:pPr>
              <w:jc w:val="center"/>
              <w:rPr>
                <w:rFonts w:ascii="Arial" w:hAnsi="Arial" w:cs="Arial"/>
                <w:bCs/>
                <w:sz w:val="18"/>
                <w:szCs w:val="18"/>
              </w:rPr>
            </w:pPr>
            <w:r>
              <w:rPr>
                <w:rFonts w:ascii="Arial" w:hAnsi="Arial" w:cs="Arial"/>
                <w:bCs/>
                <w:sz w:val="18"/>
                <w:szCs w:val="18"/>
              </w:rPr>
              <w:t>3.916.865,00</w:t>
            </w:r>
          </w:p>
        </w:tc>
        <w:tc>
          <w:tcPr>
            <w:tcW w:w="1411" w:type="dxa"/>
            <w:shd w:val="clear" w:color="000080" w:fill="FFFFFF"/>
            <w:vAlign w:val="bottom"/>
          </w:tcPr>
          <w:p w14:paraId="06434358" w14:textId="60FFB050" w:rsidR="005528C4" w:rsidRPr="00311030" w:rsidRDefault="00E354CB" w:rsidP="005420C7">
            <w:pPr>
              <w:jc w:val="center"/>
              <w:rPr>
                <w:rFonts w:ascii="Arial" w:hAnsi="Arial" w:cs="Arial"/>
                <w:bCs/>
                <w:sz w:val="18"/>
                <w:szCs w:val="18"/>
              </w:rPr>
            </w:pPr>
            <w:r>
              <w:rPr>
                <w:rFonts w:ascii="Arial" w:hAnsi="Arial" w:cs="Arial"/>
                <w:bCs/>
                <w:sz w:val="18"/>
                <w:szCs w:val="18"/>
              </w:rPr>
              <w:t>3.286.573,84</w:t>
            </w:r>
          </w:p>
        </w:tc>
        <w:tc>
          <w:tcPr>
            <w:tcW w:w="1030" w:type="dxa"/>
            <w:shd w:val="clear" w:color="000080" w:fill="FFFFFF"/>
            <w:vAlign w:val="bottom"/>
          </w:tcPr>
          <w:p w14:paraId="5D7B48D4" w14:textId="584562AB" w:rsidR="005528C4" w:rsidRPr="00311030" w:rsidRDefault="00E354CB" w:rsidP="005420C7">
            <w:pPr>
              <w:jc w:val="center"/>
              <w:rPr>
                <w:rFonts w:ascii="Arial" w:hAnsi="Arial" w:cs="Arial"/>
                <w:bCs/>
                <w:sz w:val="18"/>
                <w:szCs w:val="18"/>
              </w:rPr>
            </w:pPr>
            <w:r>
              <w:rPr>
                <w:rFonts w:ascii="Arial" w:hAnsi="Arial" w:cs="Arial"/>
                <w:bCs/>
                <w:sz w:val="18"/>
                <w:szCs w:val="18"/>
              </w:rPr>
              <w:t>83,91%</w:t>
            </w:r>
          </w:p>
        </w:tc>
      </w:tr>
      <w:tr w:rsidR="005528C4" w:rsidRPr="0092464A" w14:paraId="1A755F95" w14:textId="77777777" w:rsidTr="00491DCE">
        <w:trPr>
          <w:trHeight w:val="190"/>
        </w:trPr>
        <w:tc>
          <w:tcPr>
            <w:tcW w:w="1022" w:type="dxa"/>
            <w:shd w:val="clear" w:color="C6CEF4" w:fill="FFFFFF"/>
            <w:vAlign w:val="center"/>
          </w:tcPr>
          <w:p w14:paraId="3F990564" w14:textId="77777777" w:rsidR="005528C4" w:rsidRPr="0092464A" w:rsidRDefault="005528C4" w:rsidP="00162757">
            <w:pPr>
              <w:rPr>
                <w:rFonts w:ascii="Arial" w:hAnsi="Arial" w:cs="Arial"/>
                <w:sz w:val="18"/>
                <w:szCs w:val="18"/>
                <w:lang w:eastAsia="hr-HR"/>
              </w:rPr>
            </w:pPr>
            <w:r w:rsidRPr="0092464A">
              <w:rPr>
                <w:rFonts w:ascii="Arial" w:hAnsi="Arial" w:cs="Arial"/>
                <w:sz w:val="18"/>
                <w:szCs w:val="18"/>
                <w:lang w:eastAsia="hr-HR"/>
              </w:rPr>
              <w:t>Program</w:t>
            </w:r>
          </w:p>
        </w:tc>
        <w:tc>
          <w:tcPr>
            <w:tcW w:w="740" w:type="dxa"/>
            <w:shd w:val="clear" w:color="C6CEF4" w:fill="FFFFFF"/>
            <w:vAlign w:val="center"/>
          </w:tcPr>
          <w:p w14:paraId="6C7096C1" w14:textId="77777777" w:rsidR="005528C4" w:rsidRPr="0092464A" w:rsidRDefault="005528C4" w:rsidP="00162757">
            <w:pPr>
              <w:rPr>
                <w:rFonts w:ascii="Arial" w:hAnsi="Arial" w:cs="Arial"/>
                <w:sz w:val="18"/>
                <w:szCs w:val="18"/>
                <w:lang w:eastAsia="hr-HR"/>
              </w:rPr>
            </w:pPr>
            <w:r>
              <w:rPr>
                <w:rFonts w:ascii="Arial" w:hAnsi="Arial" w:cs="Arial"/>
                <w:sz w:val="18"/>
                <w:szCs w:val="18"/>
                <w:lang w:eastAsia="hr-HR"/>
              </w:rPr>
              <w:t>11</w:t>
            </w:r>
            <w:r w:rsidRPr="0092464A">
              <w:rPr>
                <w:rFonts w:ascii="Arial" w:hAnsi="Arial" w:cs="Arial"/>
                <w:sz w:val="18"/>
                <w:szCs w:val="18"/>
                <w:lang w:eastAsia="hr-HR"/>
              </w:rPr>
              <w:t>01</w:t>
            </w:r>
          </w:p>
        </w:tc>
        <w:tc>
          <w:tcPr>
            <w:tcW w:w="3252" w:type="dxa"/>
            <w:shd w:val="clear" w:color="C6CEF4" w:fill="FFFFFF"/>
            <w:vAlign w:val="center"/>
          </w:tcPr>
          <w:p w14:paraId="36546A9E" w14:textId="77777777" w:rsidR="005528C4" w:rsidRPr="00A42A4E" w:rsidRDefault="005528C4" w:rsidP="00162757">
            <w:pPr>
              <w:rPr>
                <w:rFonts w:ascii="Arial" w:hAnsi="Arial" w:cs="Arial"/>
                <w:bCs/>
                <w:sz w:val="18"/>
                <w:szCs w:val="18"/>
              </w:rPr>
            </w:pPr>
            <w:r>
              <w:rPr>
                <w:rFonts w:ascii="Arial" w:hAnsi="Arial" w:cs="Arial"/>
                <w:bCs/>
                <w:sz w:val="18"/>
                <w:szCs w:val="18"/>
              </w:rPr>
              <w:t>JAVNA UPRAVA I ADMINISTRACIJA</w:t>
            </w:r>
          </w:p>
        </w:tc>
        <w:tc>
          <w:tcPr>
            <w:tcW w:w="1951" w:type="dxa"/>
            <w:shd w:val="clear" w:color="C6CEF4" w:fill="FFFFFF"/>
            <w:vAlign w:val="bottom"/>
          </w:tcPr>
          <w:p w14:paraId="5F8AF6A7" w14:textId="209AC97B" w:rsidR="005528C4" w:rsidRPr="00A42A4E" w:rsidRDefault="00E354CB" w:rsidP="005420C7">
            <w:pPr>
              <w:jc w:val="center"/>
              <w:rPr>
                <w:rFonts w:ascii="Arial" w:hAnsi="Arial" w:cs="Arial"/>
                <w:bCs/>
                <w:sz w:val="18"/>
                <w:szCs w:val="18"/>
              </w:rPr>
            </w:pPr>
            <w:r>
              <w:rPr>
                <w:rFonts w:ascii="Arial" w:hAnsi="Arial" w:cs="Arial"/>
                <w:bCs/>
                <w:sz w:val="18"/>
                <w:szCs w:val="18"/>
              </w:rPr>
              <w:t>3.172.375,00</w:t>
            </w:r>
          </w:p>
        </w:tc>
        <w:tc>
          <w:tcPr>
            <w:tcW w:w="1411" w:type="dxa"/>
            <w:shd w:val="clear" w:color="C6CEF4" w:fill="FFFFFF"/>
            <w:vAlign w:val="bottom"/>
          </w:tcPr>
          <w:p w14:paraId="5D95267B" w14:textId="613BA707" w:rsidR="005528C4" w:rsidRDefault="00E354CB" w:rsidP="005420C7">
            <w:pPr>
              <w:jc w:val="center"/>
              <w:rPr>
                <w:rFonts w:ascii="Arial" w:hAnsi="Arial" w:cs="Arial"/>
                <w:bCs/>
                <w:sz w:val="18"/>
                <w:szCs w:val="18"/>
              </w:rPr>
            </w:pPr>
            <w:r>
              <w:rPr>
                <w:rFonts w:ascii="Arial" w:hAnsi="Arial" w:cs="Arial"/>
                <w:bCs/>
                <w:sz w:val="18"/>
                <w:szCs w:val="18"/>
              </w:rPr>
              <w:t>3.073.999,00</w:t>
            </w:r>
          </w:p>
        </w:tc>
        <w:tc>
          <w:tcPr>
            <w:tcW w:w="1411" w:type="dxa"/>
            <w:shd w:val="clear" w:color="C6CEF4" w:fill="FFFFFF"/>
            <w:vAlign w:val="bottom"/>
          </w:tcPr>
          <w:p w14:paraId="71255AE7" w14:textId="5046A14D" w:rsidR="005528C4" w:rsidRPr="00A42A4E" w:rsidRDefault="00E354CB" w:rsidP="005420C7">
            <w:pPr>
              <w:jc w:val="center"/>
              <w:rPr>
                <w:rFonts w:ascii="Arial" w:hAnsi="Arial" w:cs="Arial"/>
                <w:bCs/>
                <w:sz w:val="18"/>
                <w:szCs w:val="18"/>
              </w:rPr>
            </w:pPr>
            <w:r>
              <w:rPr>
                <w:rFonts w:ascii="Arial" w:hAnsi="Arial" w:cs="Arial"/>
                <w:bCs/>
                <w:sz w:val="18"/>
                <w:szCs w:val="18"/>
              </w:rPr>
              <w:t>2.693.420,72</w:t>
            </w:r>
          </w:p>
        </w:tc>
        <w:tc>
          <w:tcPr>
            <w:tcW w:w="1030" w:type="dxa"/>
            <w:shd w:val="clear" w:color="C6CEF4" w:fill="FFFFFF"/>
            <w:vAlign w:val="bottom"/>
          </w:tcPr>
          <w:p w14:paraId="411D41E2" w14:textId="09DBEF70" w:rsidR="005528C4" w:rsidRPr="00A42A4E" w:rsidRDefault="00E354CB" w:rsidP="005420C7">
            <w:pPr>
              <w:jc w:val="center"/>
              <w:rPr>
                <w:rFonts w:ascii="Arial" w:hAnsi="Arial" w:cs="Arial"/>
                <w:bCs/>
                <w:sz w:val="18"/>
                <w:szCs w:val="18"/>
              </w:rPr>
            </w:pPr>
            <w:r>
              <w:rPr>
                <w:rFonts w:ascii="Arial" w:hAnsi="Arial" w:cs="Arial"/>
                <w:bCs/>
                <w:sz w:val="18"/>
                <w:szCs w:val="18"/>
              </w:rPr>
              <w:t>87,62%</w:t>
            </w:r>
          </w:p>
        </w:tc>
      </w:tr>
      <w:tr w:rsidR="005528C4" w:rsidRPr="0092464A" w14:paraId="75910FA9" w14:textId="77777777" w:rsidTr="00491DCE">
        <w:trPr>
          <w:trHeight w:val="243"/>
        </w:trPr>
        <w:tc>
          <w:tcPr>
            <w:tcW w:w="1022" w:type="dxa"/>
            <w:shd w:val="clear" w:color="C6CEF4" w:fill="FFFFFF"/>
            <w:vAlign w:val="center"/>
          </w:tcPr>
          <w:p w14:paraId="23E0A0DC" w14:textId="77777777" w:rsidR="005528C4" w:rsidRPr="0092464A" w:rsidRDefault="005528C4" w:rsidP="00162757">
            <w:pPr>
              <w:rPr>
                <w:rFonts w:ascii="Arial" w:hAnsi="Arial" w:cs="Arial"/>
                <w:sz w:val="18"/>
                <w:szCs w:val="18"/>
                <w:lang w:eastAsia="hr-HR"/>
              </w:rPr>
            </w:pPr>
            <w:r w:rsidRPr="0092464A">
              <w:rPr>
                <w:rFonts w:ascii="Arial" w:hAnsi="Arial" w:cs="Arial"/>
                <w:sz w:val="18"/>
                <w:szCs w:val="18"/>
                <w:lang w:eastAsia="hr-HR"/>
              </w:rPr>
              <w:t>Program</w:t>
            </w:r>
          </w:p>
        </w:tc>
        <w:tc>
          <w:tcPr>
            <w:tcW w:w="740" w:type="dxa"/>
            <w:shd w:val="clear" w:color="C6CEF4" w:fill="FFFFFF"/>
            <w:vAlign w:val="center"/>
          </w:tcPr>
          <w:p w14:paraId="7B87E791" w14:textId="77777777" w:rsidR="005528C4" w:rsidRPr="0092464A" w:rsidRDefault="005528C4" w:rsidP="00162757">
            <w:pPr>
              <w:rPr>
                <w:rFonts w:ascii="Arial" w:hAnsi="Arial" w:cs="Arial"/>
                <w:sz w:val="18"/>
                <w:szCs w:val="18"/>
                <w:lang w:eastAsia="hr-HR"/>
              </w:rPr>
            </w:pPr>
            <w:r>
              <w:rPr>
                <w:rFonts w:ascii="Arial" w:hAnsi="Arial" w:cs="Arial"/>
                <w:sz w:val="18"/>
                <w:szCs w:val="18"/>
                <w:lang w:eastAsia="hr-HR"/>
              </w:rPr>
              <w:t>1102</w:t>
            </w:r>
          </w:p>
        </w:tc>
        <w:tc>
          <w:tcPr>
            <w:tcW w:w="3252" w:type="dxa"/>
            <w:shd w:val="clear" w:color="C6CEF4" w:fill="FFFFFF"/>
            <w:vAlign w:val="center"/>
          </w:tcPr>
          <w:p w14:paraId="27CBA91A" w14:textId="77777777" w:rsidR="005528C4" w:rsidRPr="00A42A4E" w:rsidRDefault="005528C4" w:rsidP="00162757">
            <w:pPr>
              <w:rPr>
                <w:rFonts w:ascii="Arial" w:hAnsi="Arial" w:cs="Arial"/>
                <w:bCs/>
                <w:sz w:val="18"/>
                <w:szCs w:val="18"/>
              </w:rPr>
            </w:pPr>
            <w:r>
              <w:rPr>
                <w:rFonts w:ascii="Arial" w:hAnsi="Arial" w:cs="Arial"/>
                <w:bCs/>
                <w:sz w:val="18"/>
                <w:szCs w:val="18"/>
              </w:rPr>
              <w:t xml:space="preserve">MJESNA SAMOUPRAVA </w:t>
            </w:r>
          </w:p>
        </w:tc>
        <w:tc>
          <w:tcPr>
            <w:tcW w:w="1951" w:type="dxa"/>
            <w:shd w:val="clear" w:color="C6CEF4" w:fill="FFFFFF"/>
            <w:vAlign w:val="center"/>
          </w:tcPr>
          <w:p w14:paraId="4B231500" w14:textId="3F284C85" w:rsidR="005528C4" w:rsidRPr="00A42A4E" w:rsidRDefault="00E354CB" w:rsidP="005420C7">
            <w:pPr>
              <w:jc w:val="center"/>
              <w:rPr>
                <w:rFonts w:ascii="Arial" w:hAnsi="Arial" w:cs="Arial"/>
                <w:bCs/>
                <w:sz w:val="18"/>
                <w:szCs w:val="18"/>
              </w:rPr>
            </w:pPr>
            <w:r>
              <w:rPr>
                <w:rFonts w:ascii="Arial" w:hAnsi="Arial" w:cs="Arial"/>
                <w:bCs/>
                <w:sz w:val="18"/>
                <w:szCs w:val="18"/>
              </w:rPr>
              <w:t>32.300,00</w:t>
            </w:r>
          </w:p>
        </w:tc>
        <w:tc>
          <w:tcPr>
            <w:tcW w:w="1411" w:type="dxa"/>
            <w:shd w:val="clear" w:color="C6CEF4" w:fill="FFFFFF"/>
            <w:vAlign w:val="center"/>
          </w:tcPr>
          <w:p w14:paraId="0BE3BE05" w14:textId="65D7B571" w:rsidR="005528C4" w:rsidRDefault="00E354CB" w:rsidP="005420C7">
            <w:pPr>
              <w:jc w:val="center"/>
              <w:rPr>
                <w:rFonts w:ascii="Arial" w:hAnsi="Arial" w:cs="Arial"/>
                <w:bCs/>
                <w:sz w:val="18"/>
                <w:szCs w:val="18"/>
              </w:rPr>
            </w:pPr>
            <w:r>
              <w:rPr>
                <w:rFonts w:ascii="Arial" w:hAnsi="Arial" w:cs="Arial"/>
                <w:bCs/>
                <w:sz w:val="18"/>
                <w:szCs w:val="18"/>
              </w:rPr>
              <w:t>32.300,00</w:t>
            </w:r>
          </w:p>
        </w:tc>
        <w:tc>
          <w:tcPr>
            <w:tcW w:w="1411" w:type="dxa"/>
            <w:shd w:val="clear" w:color="C6CEF4" w:fill="FFFFFF"/>
            <w:vAlign w:val="center"/>
          </w:tcPr>
          <w:p w14:paraId="1BE97094" w14:textId="282DBC1D" w:rsidR="005528C4" w:rsidRPr="00A42A4E" w:rsidRDefault="00E354CB" w:rsidP="005420C7">
            <w:pPr>
              <w:jc w:val="center"/>
              <w:rPr>
                <w:rFonts w:ascii="Arial" w:hAnsi="Arial" w:cs="Arial"/>
                <w:bCs/>
                <w:sz w:val="18"/>
                <w:szCs w:val="18"/>
              </w:rPr>
            </w:pPr>
            <w:r>
              <w:rPr>
                <w:rFonts w:ascii="Arial" w:hAnsi="Arial" w:cs="Arial"/>
                <w:bCs/>
                <w:sz w:val="18"/>
                <w:szCs w:val="18"/>
              </w:rPr>
              <w:t>14.527,40</w:t>
            </w:r>
          </w:p>
        </w:tc>
        <w:tc>
          <w:tcPr>
            <w:tcW w:w="1030" w:type="dxa"/>
            <w:shd w:val="clear" w:color="C6CEF4" w:fill="FFFFFF"/>
            <w:vAlign w:val="bottom"/>
          </w:tcPr>
          <w:p w14:paraId="65908D7E" w14:textId="75E7D2A9" w:rsidR="005528C4" w:rsidRPr="00A42A4E" w:rsidRDefault="00E354CB" w:rsidP="005420C7">
            <w:pPr>
              <w:jc w:val="center"/>
              <w:rPr>
                <w:rFonts w:ascii="Arial" w:hAnsi="Arial" w:cs="Arial"/>
                <w:bCs/>
                <w:sz w:val="18"/>
                <w:szCs w:val="18"/>
              </w:rPr>
            </w:pPr>
            <w:r>
              <w:rPr>
                <w:rFonts w:ascii="Arial" w:hAnsi="Arial" w:cs="Arial"/>
                <w:bCs/>
                <w:sz w:val="18"/>
                <w:szCs w:val="18"/>
              </w:rPr>
              <w:t>44,98%</w:t>
            </w:r>
          </w:p>
        </w:tc>
      </w:tr>
      <w:tr w:rsidR="005528C4" w:rsidRPr="0092464A" w14:paraId="1D5C640A" w14:textId="77777777" w:rsidTr="00491DCE">
        <w:trPr>
          <w:trHeight w:val="190"/>
        </w:trPr>
        <w:tc>
          <w:tcPr>
            <w:tcW w:w="1022" w:type="dxa"/>
            <w:shd w:val="clear" w:color="C6CEF4" w:fill="FFFFFF"/>
            <w:vAlign w:val="center"/>
          </w:tcPr>
          <w:p w14:paraId="5BD3EEDF" w14:textId="77777777" w:rsidR="005528C4" w:rsidRPr="0092464A" w:rsidRDefault="005528C4" w:rsidP="00162757">
            <w:pPr>
              <w:rPr>
                <w:rFonts w:ascii="Arial" w:hAnsi="Arial" w:cs="Arial"/>
                <w:sz w:val="18"/>
                <w:szCs w:val="18"/>
                <w:lang w:eastAsia="hr-HR"/>
              </w:rPr>
            </w:pPr>
            <w:r>
              <w:rPr>
                <w:rFonts w:ascii="Arial" w:hAnsi="Arial" w:cs="Arial"/>
                <w:sz w:val="18"/>
                <w:szCs w:val="18"/>
                <w:lang w:eastAsia="hr-HR"/>
              </w:rPr>
              <w:t xml:space="preserve">Program </w:t>
            </w:r>
          </w:p>
        </w:tc>
        <w:tc>
          <w:tcPr>
            <w:tcW w:w="740" w:type="dxa"/>
            <w:shd w:val="clear" w:color="C6CEF4" w:fill="FFFFFF"/>
            <w:vAlign w:val="center"/>
          </w:tcPr>
          <w:p w14:paraId="6C7FCA22" w14:textId="77777777" w:rsidR="005528C4" w:rsidRDefault="005528C4" w:rsidP="00162757">
            <w:pPr>
              <w:rPr>
                <w:rFonts w:ascii="Arial" w:hAnsi="Arial" w:cs="Arial"/>
                <w:sz w:val="18"/>
                <w:szCs w:val="18"/>
                <w:lang w:eastAsia="hr-HR"/>
              </w:rPr>
            </w:pPr>
            <w:r>
              <w:rPr>
                <w:rFonts w:ascii="Arial" w:hAnsi="Arial" w:cs="Arial"/>
                <w:sz w:val="18"/>
                <w:szCs w:val="18"/>
                <w:lang w:eastAsia="hr-HR"/>
              </w:rPr>
              <w:t>1601</w:t>
            </w:r>
          </w:p>
        </w:tc>
        <w:tc>
          <w:tcPr>
            <w:tcW w:w="3252" w:type="dxa"/>
            <w:shd w:val="clear" w:color="C6CEF4" w:fill="FFFFFF"/>
            <w:vAlign w:val="center"/>
          </w:tcPr>
          <w:p w14:paraId="7D7A747B" w14:textId="77777777" w:rsidR="005528C4" w:rsidRDefault="005528C4" w:rsidP="00162757">
            <w:pPr>
              <w:rPr>
                <w:rFonts w:ascii="Arial" w:hAnsi="Arial" w:cs="Arial"/>
                <w:bCs/>
                <w:sz w:val="18"/>
                <w:szCs w:val="18"/>
              </w:rPr>
            </w:pPr>
            <w:r>
              <w:rPr>
                <w:rFonts w:ascii="Arial" w:hAnsi="Arial" w:cs="Arial"/>
                <w:bCs/>
                <w:sz w:val="18"/>
                <w:szCs w:val="18"/>
              </w:rPr>
              <w:t xml:space="preserve">ODRŽAVANJE PROSTORA U VLASNIŠTVU I SUVLASNIŠTVU GRADA  </w:t>
            </w:r>
          </w:p>
        </w:tc>
        <w:tc>
          <w:tcPr>
            <w:tcW w:w="1951" w:type="dxa"/>
            <w:shd w:val="clear" w:color="C6CEF4" w:fill="FFFFFF"/>
            <w:vAlign w:val="bottom"/>
          </w:tcPr>
          <w:p w14:paraId="5DD395E2" w14:textId="5849FD80" w:rsidR="005528C4" w:rsidRPr="00A42A4E" w:rsidRDefault="00E354CB" w:rsidP="005420C7">
            <w:pPr>
              <w:jc w:val="center"/>
              <w:rPr>
                <w:rFonts w:ascii="Arial" w:hAnsi="Arial" w:cs="Arial"/>
                <w:bCs/>
                <w:sz w:val="18"/>
                <w:szCs w:val="18"/>
              </w:rPr>
            </w:pPr>
            <w:r>
              <w:rPr>
                <w:rFonts w:ascii="Arial" w:hAnsi="Arial" w:cs="Arial"/>
                <w:bCs/>
                <w:sz w:val="18"/>
                <w:szCs w:val="18"/>
              </w:rPr>
              <w:t>27.000,00</w:t>
            </w:r>
          </w:p>
        </w:tc>
        <w:tc>
          <w:tcPr>
            <w:tcW w:w="1411" w:type="dxa"/>
            <w:shd w:val="clear" w:color="C6CEF4" w:fill="FFFFFF"/>
            <w:vAlign w:val="bottom"/>
          </w:tcPr>
          <w:p w14:paraId="3ABF90A2" w14:textId="15ACFB7B" w:rsidR="005528C4" w:rsidRDefault="00E354CB" w:rsidP="005420C7">
            <w:pPr>
              <w:jc w:val="center"/>
              <w:rPr>
                <w:rFonts w:ascii="Arial" w:hAnsi="Arial" w:cs="Arial"/>
                <w:bCs/>
                <w:sz w:val="18"/>
                <w:szCs w:val="18"/>
              </w:rPr>
            </w:pPr>
            <w:r>
              <w:rPr>
                <w:rFonts w:ascii="Arial" w:hAnsi="Arial" w:cs="Arial"/>
                <w:bCs/>
                <w:sz w:val="18"/>
                <w:szCs w:val="18"/>
              </w:rPr>
              <w:t>27.000,00</w:t>
            </w:r>
          </w:p>
        </w:tc>
        <w:tc>
          <w:tcPr>
            <w:tcW w:w="1411" w:type="dxa"/>
            <w:shd w:val="clear" w:color="C6CEF4" w:fill="FFFFFF"/>
            <w:vAlign w:val="bottom"/>
          </w:tcPr>
          <w:p w14:paraId="1929DB0B" w14:textId="073042BB" w:rsidR="005528C4" w:rsidRPr="00A42A4E" w:rsidRDefault="00E354CB" w:rsidP="005420C7">
            <w:pPr>
              <w:jc w:val="center"/>
              <w:rPr>
                <w:rFonts w:ascii="Arial" w:hAnsi="Arial" w:cs="Arial"/>
                <w:bCs/>
                <w:sz w:val="18"/>
                <w:szCs w:val="18"/>
              </w:rPr>
            </w:pPr>
            <w:r>
              <w:rPr>
                <w:rFonts w:ascii="Arial" w:hAnsi="Arial" w:cs="Arial"/>
                <w:bCs/>
                <w:sz w:val="18"/>
                <w:szCs w:val="18"/>
              </w:rPr>
              <w:t>0,00</w:t>
            </w:r>
          </w:p>
        </w:tc>
        <w:tc>
          <w:tcPr>
            <w:tcW w:w="1030" w:type="dxa"/>
            <w:shd w:val="clear" w:color="C6CEF4" w:fill="FFFFFF"/>
            <w:vAlign w:val="bottom"/>
          </w:tcPr>
          <w:p w14:paraId="75C4E399" w14:textId="617CC324" w:rsidR="005528C4" w:rsidRPr="00A42A4E" w:rsidRDefault="00E354CB" w:rsidP="005420C7">
            <w:pPr>
              <w:jc w:val="center"/>
              <w:rPr>
                <w:rFonts w:ascii="Arial" w:hAnsi="Arial" w:cs="Arial"/>
                <w:bCs/>
                <w:sz w:val="18"/>
                <w:szCs w:val="18"/>
              </w:rPr>
            </w:pPr>
            <w:r>
              <w:rPr>
                <w:rFonts w:ascii="Arial" w:hAnsi="Arial" w:cs="Arial"/>
                <w:bCs/>
                <w:sz w:val="18"/>
                <w:szCs w:val="18"/>
              </w:rPr>
              <w:t>-</w:t>
            </w:r>
          </w:p>
        </w:tc>
      </w:tr>
      <w:tr w:rsidR="00E354CB" w:rsidRPr="0092464A" w14:paraId="64C1834F" w14:textId="77777777" w:rsidTr="00491DCE">
        <w:trPr>
          <w:trHeight w:val="190"/>
        </w:trPr>
        <w:tc>
          <w:tcPr>
            <w:tcW w:w="1022" w:type="dxa"/>
            <w:shd w:val="clear" w:color="C6CEF4" w:fill="FFFFFF"/>
            <w:vAlign w:val="center"/>
          </w:tcPr>
          <w:p w14:paraId="078DB302" w14:textId="50F6B29F" w:rsidR="00E354CB" w:rsidRDefault="00E354CB" w:rsidP="00162757">
            <w:pPr>
              <w:rPr>
                <w:rFonts w:ascii="Arial" w:hAnsi="Arial" w:cs="Arial"/>
                <w:sz w:val="18"/>
                <w:szCs w:val="18"/>
                <w:lang w:eastAsia="hr-HR"/>
              </w:rPr>
            </w:pPr>
            <w:r>
              <w:rPr>
                <w:rFonts w:ascii="Arial" w:hAnsi="Arial" w:cs="Arial"/>
                <w:sz w:val="18"/>
                <w:szCs w:val="18"/>
                <w:lang w:eastAsia="hr-HR"/>
              </w:rPr>
              <w:t>Program</w:t>
            </w:r>
          </w:p>
        </w:tc>
        <w:tc>
          <w:tcPr>
            <w:tcW w:w="740" w:type="dxa"/>
            <w:shd w:val="clear" w:color="C6CEF4" w:fill="FFFFFF"/>
            <w:vAlign w:val="center"/>
          </w:tcPr>
          <w:p w14:paraId="621902DB" w14:textId="13D4EAFE" w:rsidR="00E354CB" w:rsidRDefault="00E354CB" w:rsidP="00162757">
            <w:pPr>
              <w:rPr>
                <w:rFonts w:ascii="Arial" w:hAnsi="Arial" w:cs="Arial"/>
                <w:sz w:val="18"/>
                <w:szCs w:val="18"/>
                <w:lang w:eastAsia="hr-HR"/>
              </w:rPr>
            </w:pPr>
            <w:r>
              <w:rPr>
                <w:rFonts w:ascii="Arial" w:hAnsi="Arial" w:cs="Arial"/>
                <w:sz w:val="18"/>
                <w:szCs w:val="18"/>
                <w:lang w:eastAsia="hr-HR"/>
              </w:rPr>
              <w:t>1605</w:t>
            </w:r>
          </w:p>
        </w:tc>
        <w:tc>
          <w:tcPr>
            <w:tcW w:w="3252" w:type="dxa"/>
            <w:shd w:val="clear" w:color="C6CEF4" w:fill="FFFFFF"/>
            <w:vAlign w:val="center"/>
          </w:tcPr>
          <w:p w14:paraId="748F6F0F" w14:textId="6F4F5FF3" w:rsidR="00E354CB" w:rsidRDefault="00E354CB" w:rsidP="00162757">
            <w:pPr>
              <w:rPr>
                <w:rFonts w:ascii="Arial" w:hAnsi="Arial" w:cs="Arial"/>
                <w:bCs/>
                <w:sz w:val="18"/>
                <w:szCs w:val="18"/>
              </w:rPr>
            </w:pPr>
            <w:r>
              <w:rPr>
                <w:rFonts w:ascii="Arial" w:hAnsi="Arial" w:cs="Arial"/>
                <w:bCs/>
                <w:sz w:val="18"/>
                <w:szCs w:val="18"/>
              </w:rPr>
              <w:t>INVESTICIJE NA OBJEKTIMA OD JAVNOG INTERESA</w:t>
            </w:r>
          </w:p>
        </w:tc>
        <w:tc>
          <w:tcPr>
            <w:tcW w:w="1951" w:type="dxa"/>
            <w:shd w:val="clear" w:color="C6CEF4" w:fill="FFFFFF"/>
            <w:vAlign w:val="bottom"/>
          </w:tcPr>
          <w:p w14:paraId="3DA49B0B" w14:textId="1A1D000E" w:rsidR="00E354CB" w:rsidRDefault="00E354CB" w:rsidP="005420C7">
            <w:pPr>
              <w:jc w:val="center"/>
              <w:rPr>
                <w:rFonts w:ascii="Arial" w:hAnsi="Arial" w:cs="Arial"/>
                <w:bCs/>
                <w:sz w:val="18"/>
                <w:szCs w:val="18"/>
              </w:rPr>
            </w:pPr>
            <w:r>
              <w:rPr>
                <w:rFonts w:ascii="Arial" w:hAnsi="Arial" w:cs="Arial"/>
                <w:bCs/>
                <w:sz w:val="18"/>
                <w:szCs w:val="18"/>
              </w:rPr>
              <w:t>175.000,00</w:t>
            </w:r>
          </w:p>
        </w:tc>
        <w:tc>
          <w:tcPr>
            <w:tcW w:w="1411" w:type="dxa"/>
            <w:shd w:val="clear" w:color="C6CEF4" w:fill="FFFFFF"/>
            <w:vAlign w:val="bottom"/>
          </w:tcPr>
          <w:p w14:paraId="6EDCD3ED" w14:textId="7EFCA043" w:rsidR="00E354CB" w:rsidRDefault="00E354CB" w:rsidP="005420C7">
            <w:pPr>
              <w:jc w:val="center"/>
              <w:rPr>
                <w:rFonts w:ascii="Arial" w:hAnsi="Arial" w:cs="Arial"/>
                <w:bCs/>
                <w:sz w:val="18"/>
                <w:szCs w:val="18"/>
              </w:rPr>
            </w:pPr>
            <w:r>
              <w:rPr>
                <w:rFonts w:ascii="Arial" w:hAnsi="Arial" w:cs="Arial"/>
                <w:bCs/>
                <w:sz w:val="18"/>
                <w:szCs w:val="18"/>
              </w:rPr>
              <w:t>166.940,00</w:t>
            </w:r>
          </w:p>
        </w:tc>
        <w:tc>
          <w:tcPr>
            <w:tcW w:w="1411" w:type="dxa"/>
            <w:shd w:val="clear" w:color="C6CEF4" w:fill="FFFFFF"/>
            <w:vAlign w:val="bottom"/>
          </w:tcPr>
          <w:p w14:paraId="28BB309F" w14:textId="302CB7AA" w:rsidR="00E354CB" w:rsidRDefault="00E354CB" w:rsidP="005420C7">
            <w:pPr>
              <w:jc w:val="center"/>
              <w:rPr>
                <w:rFonts w:ascii="Arial" w:hAnsi="Arial" w:cs="Arial"/>
                <w:bCs/>
                <w:sz w:val="18"/>
                <w:szCs w:val="18"/>
              </w:rPr>
            </w:pPr>
            <w:r>
              <w:rPr>
                <w:rFonts w:ascii="Arial" w:hAnsi="Arial" w:cs="Arial"/>
                <w:bCs/>
                <w:sz w:val="18"/>
                <w:szCs w:val="18"/>
              </w:rPr>
              <w:t>0,00</w:t>
            </w:r>
          </w:p>
        </w:tc>
        <w:tc>
          <w:tcPr>
            <w:tcW w:w="1030" w:type="dxa"/>
            <w:shd w:val="clear" w:color="C6CEF4" w:fill="FFFFFF"/>
            <w:vAlign w:val="bottom"/>
          </w:tcPr>
          <w:p w14:paraId="3045119D" w14:textId="3E8ED305" w:rsidR="00E354CB" w:rsidRDefault="00E354CB" w:rsidP="005420C7">
            <w:pPr>
              <w:jc w:val="center"/>
              <w:rPr>
                <w:rFonts w:ascii="Arial" w:hAnsi="Arial" w:cs="Arial"/>
                <w:bCs/>
                <w:sz w:val="18"/>
                <w:szCs w:val="18"/>
              </w:rPr>
            </w:pPr>
            <w:r>
              <w:rPr>
                <w:rFonts w:ascii="Arial" w:hAnsi="Arial" w:cs="Arial"/>
                <w:bCs/>
                <w:sz w:val="18"/>
                <w:szCs w:val="18"/>
              </w:rPr>
              <w:t>-</w:t>
            </w:r>
          </w:p>
        </w:tc>
      </w:tr>
      <w:tr w:rsidR="005528C4" w:rsidRPr="0092464A" w14:paraId="4BD01F27" w14:textId="77777777" w:rsidTr="00491DCE">
        <w:trPr>
          <w:trHeight w:val="691"/>
        </w:trPr>
        <w:tc>
          <w:tcPr>
            <w:tcW w:w="1022" w:type="dxa"/>
            <w:shd w:val="clear" w:color="C6CEF4" w:fill="FFFFFF"/>
            <w:vAlign w:val="center"/>
          </w:tcPr>
          <w:p w14:paraId="128CDB7B" w14:textId="77777777" w:rsidR="005528C4" w:rsidRDefault="005528C4" w:rsidP="00162757">
            <w:pPr>
              <w:rPr>
                <w:rFonts w:ascii="Arial" w:hAnsi="Arial" w:cs="Arial"/>
                <w:sz w:val="18"/>
                <w:szCs w:val="18"/>
                <w:lang w:eastAsia="hr-HR"/>
              </w:rPr>
            </w:pPr>
            <w:r>
              <w:rPr>
                <w:rFonts w:ascii="Arial" w:hAnsi="Arial" w:cs="Arial"/>
                <w:sz w:val="18"/>
                <w:szCs w:val="18"/>
                <w:lang w:eastAsia="hr-HR"/>
              </w:rPr>
              <w:t xml:space="preserve">Program </w:t>
            </w:r>
          </w:p>
        </w:tc>
        <w:tc>
          <w:tcPr>
            <w:tcW w:w="740" w:type="dxa"/>
            <w:shd w:val="clear" w:color="C6CEF4" w:fill="FFFFFF"/>
            <w:vAlign w:val="center"/>
          </w:tcPr>
          <w:p w14:paraId="40CCB668" w14:textId="77777777" w:rsidR="005528C4" w:rsidRDefault="005528C4" w:rsidP="00162757">
            <w:pPr>
              <w:rPr>
                <w:rFonts w:ascii="Arial" w:hAnsi="Arial" w:cs="Arial"/>
                <w:sz w:val="18"/>
                <w:szCs w:val="18"/>
                <w:lang w:eastAsia="hr-HR"/>
              </w:rPr>
            </w:pPr>
            <w:r>
              <w:rPr>
                <w:rFonts w:ascii="Arial" w:hAnsi="Arial" w:cs="Arial"/>
                <w:sz w:val="18"/>
                <w:szCs w:val="18"/>
                <w:lang w:eastAsia="hr-HR"/>
              </w:rPr>
              <w:t>1609</w:t>
            </w:r>
          </w:p>
        </w:tc>
        <w:tc>
          <w:tcPr>
            <w:tcW w:w="3252" w:type="dxa"/>
            <w:shd w:val="clear" w:color="C6CEF4" w:fill="FFFFFF"/>
            <w:vAlign w:val="center"/>
          </w:tcPr>
          <w:p w14:paraId="087E7A84" w14:textId="77777777" w:rsidR="005528C4" w:rsidRDefault="005528C4" w:rsidP="00162757">
            <w:pPr>
              <w:rPr>
                <w:rFonts w:ascii="Arial" w:hAnsi="Arial" w:cs="Arial"/>
                <w:bCs/>
                <w:sz w:val="18"/>
                <w:szCs w:val="18"/>
              </w:rPr>
            </w:pPr>
            <w:r>
              <w:rPr>
                <w:rFonts w:ascii="Arial" w:hAnsi="Arial" w:cs="Arial"/>
                <w:bCs/>
                <w:sz w:val="18"/>
                <w:szCs w:val="18"/>
              </w:rPr>
              <w:t xml:space="preserve">UPRAVLJANJE IMOVINOM </w:t>
            </w:r>
          </w:p>
        </w:tc>
        <w:tc>
          <w:tcPr>
            <w:tcW w:w="1951" w:type="dxa"/>
            <w:shd w:val="clear" w:color="C6CEF4" w:fill="FFFFFF"/>
            <w:vAlign w:val="center"/>
          </w:tcPr>
          <w:p w14:paraId="772EDF69" w14:textId="2113861C" w:rsidR="005528C4" w:rsidRPr="00A42A4E" w:rsidRDefault="00E354CB" w:rsidP="005420C7">
            <w:pPr>
              <w:jc w:val="center"/>
              <w:rPr>
                <w:rFonts w:ascii="Arial" w:hAnsi="Arial" w:cs="Arial"/>
                <w:bCs/>
                <w:sz w:val="18"/>
                <w:szCs w:val="18"/>
              </w:rPr>
            </w:pPr>
            <w:r>
              <w:rPr>
                <w:rFonts w:ascii="Arial" w:hAnsi="Arial" w:cs="Arial"/>
                <w:bCs/>
                <w:sz w:val="18"/>
                <w:szCs w:val="18"/>
              </w:rPr>
              <w:t>500.190,00</w:t>
            </w:r>
          </w:p>
        </w:tc>
        <w:tc>
          <w:tcPr>
            <w:tcW w:w="1411" w:type="dxa"/>
            <w:shd w:val="clear" w:color="C6CEF4" w:fill="FFFFFF"/>
            <w:vAlign w:val="center"/>
          </w:tcPr>
          <w:p w14:paraId="18CF0BC4" w14:textId="5CBE4DDE" w:rsidR="005528C4" w:rsidRDefault="00E354CB" w:rsidP="005420C7">
            <w:pPr>
              <w:jc w:val="center"/>
              <w:rPr>
                <w:rFonts w:ascii="Arial" w:hAnsi="Arial" w:cs="Arial"/>
                <w:bCs/>
                <w:sz w:val="18"/>
                <w:szCs w:val="18"/>
              </w:rPr>
            </w:pPr>
            <w:r>
              <w:rPr>
                <w:rFonts w:ascii="Arial" w:hAnsi="Arial" w:cs="Arial"/>
                <w:bCs/>
                <w:sz w:val="18"/>
                <w:szCs w:val="18"/>
              </w:rPr>
              <w:t>616.626,00</w:t>
            </w:r>
          </w:p>
        </w:tc>
        <w:tc>
          <w:tcPr>
            <w:tcW w:w="1411" w:type="dxa"/>
            <w:shd w:val="clear" w:color="C6CEF4" w:fill="FFFFFF"/>
            <w:vAlign w:val="center"/>
          </w:tcPr>
          <w:p w14:paraId="5C3DA798" w14:textId="04B89DAA" w:rsidR="005528C4" w:rsidRPr="00A42A4E" w:rsidRDefault="00E354CB" w:rsidP="005420C7">
            <w:pPr>
              <w:jc w:val="center"/>
              <w:rPr>
                <w:rFonts w:ascii="Arial" w:hAnsi="Arial" w:cs="Arial"/>
                <w:bCs/>
                <w:sz w:val="18"/>
                <w:szCs w:val="18"/>
              </w:rPr>
            </w:pPr>
            <w:r>
              <w:rPr>
                <w:rFonts w:ascii="Arial" w:hAnsi="Arial" w:cs="Arial"/>
                <w:bCs/>
                <w:sz w:val="18"/>
                <w:szCs w:val="18"/>
              </w:rPr>
              <w:t>578.625,72</w:t>
            </w:r>
          </w:p>
        </w:tc>
        <w:tc>
          <w:tcPr>
            <w:tcW w:w="1030" w:type="dxa"/>
            <w:shd w:val="clear" w:color="C6CEF4" w:fill="FFFFFF"/>
            <w:vAlign w:val="center"/>
          </w:tcPr>
          <w:p w14:paraId="44535426" w14:textId="7EFAA2B7" w:rsidR="00491DCE" w:rsidRPr="00A42A4E" w:rsidRDefault="00E354CB" w:rsidP="009D4769">
            <w:pPr>
              <w:jc w:val="center"/>
              <w:rPr>
                <w:rFonts w:ascii="Arial" w:hAnsi="Arial" w:cs="Arial"/>
                <w:bCs/>
                <w:sz w:val="18"/>
                <w:szCs w:val="18"/>
              </w:rPr>
            </w:pPr>
            <w:r>
              <w:rPr>
                <w:rFonts w:ascii="Arial" w:hAnsi="Arial" w:cs="Arial"/>
                <w:bCs/>
                <w:sz w:val="18"/>
                <w:szCs w:val="18"/>
              </w:rPr>
              <w:t>93,84%</w:t>
            </w:r>
          </w:p>
        </w:tc>
      </w:tr>
    </w:tbl>
    <w:p w14:paraId="0A4803D9" w14:textId="77777777" w:rsidR="005B469A" w:rsidRDefault="005B469A" w:rsidP="007B26FB">
      <w:pPr>
        <w:spacing w:after="0" w:line="240" w:lineRule="auto"/>
        <w:jc w:val="both"/>
        <w:rPr>
          <w:rFonts w:cstheme="minorHAnsi"/>
          <w:sz w:val="24"/>
          <w:szCs w:val="24"/>
          <w:u w:val="single"/>
        </w:rPr>
      </w:pPr>
    </w:p>
    <w:p w14:paraId="404712DB" w14:textId="01AB3FBE" w:rsidR="00025C46" w:rsidRDefault="007B26FB" w:rsidP="007B26FB">
      <w:pPr>
        <w:spacing w:after="0" w:line="240" w:lineRule="auto"/>
        <w:jc w:val="both"/>
        <w:rPr>
          <w:rFonts w:cstheme="minorHAnsi"/>
          <w:sz w:val="24"/>
          <w:szCs w:val="24"/>
          <w:u w:val="single"/>
        </w:rPr>
      </w:pPr>
      <w:r w:rsidRPr="0046053E">
        <w:rPr>
          <w:rFonts w:cstheme="minorHAnsi"/>
          <w:sz w:val="24"/>
          <w:szCs w:val="24"/>
          <w:u w:val="single"/>
        </w:rPr>
        <w:t xml:space="preserve">Program 1101 Javna uprava i administracija </w:t>
      </w:r>
    </w:p>
    <w:p w14:paraId="0017A99D" w14:textId="77777777" w:rsidR="00491DCE" w:rsidRPr="007916D4" w:rsidRDefault="00491DCE" w:rsidP="00491DCE">
      <w:pPr>
        <w:spacing w:after="0" w:line="240" w:lineRule="auto"/>
        <w:jc w:val="both"/>
        <w:rPr>
          <w:rFonts w:cstheme="minorHAnsi"/>
          <w:sz w:val="24"/>
          <w:szCs w:val="24"/>
        </w:rPr>
      </w:pPr>
      <w:r w:rsidRPr="007916D4">
        <w:rPr>
          <w:rFonts w:cstheme="minorHAnsi"/>
          <w:bCs/>
          <w:sz w:val="24"/>
          <w:szCs w:val="24"/>
        </w:rPr>
        <w:t>U okviru ovog programa obavljaju se poslovi koji obuhvaćaju financiranje rashoda koji se odnose na redovan rad službenika odjela, a odnosi se na rashode za službena putovanja, stručno usavršavanje zaposlenika te uredski materijal i ostale materijalne rashode</w:t>
      </w:r>
      <w:r>
        <w:rPr>
          <w:rFonts w:cstheme="minorHAnsi"/>
          <w:bCs/>
          <w:sz w:val="24"/>
          <w:szCs w:val="24"/>
        </w:rPr>
        <w:t>.</w:t>
      </w:r>
    </w:p>
    <w:p w14:paraId="26D299BE" w14:textId="77777777" w:rsidR="00491DCE" w:rsidRPr="007916D4" w:rsidRDefault="00491DCE" w:rsidP="00491DCE">
      <w:pPr>
        <w:spacing w:after="0"/>
        <w:jc w:val="both"/>
        <w:rPr>
          <w:rFonts w:eastAsia="Times New Roman" w:cstheme="minorHAnsi"/>
          <w:color w:val="000000"/>
          <w:sz w:val="24"/>
          <w:szCs w:val="24"/>
          <w:lang w:eastAsia="hr-HR"/>
        </w:rPr>
      </w:pPr>
      <w:r w:rsidRPr="007916D4">
        <w:rPr>
          <w:rFonts w:eastAsia="Times New Roman" w:cstheme="minorHAnsi"/>
          <w:color w:val="000000"/>
          <w:sz w:val="24"/>
          <w:szCs w:val="24"/>
          <w:lang w:eastAsia="hr-HR"/>
        </w:rPr>
        <w:t xml:space="preserve">Ciljevi programa su financiranje troškova rada ovog upravnog odjela u okviru zadanih proračunskih veličina po načelu ekonomičnosti, u skladu s propisima u internim aktima koji uređuju mjerila i način korištenja proračunskih sredstava za obavljanje djelatnosti. Financiranje potreba kojima se osiguravaju primjereni uvjeti rada zaposlenika. </w:t>
      </w:r>
    </w:p>
    <w:p w14:paraId="7860E038" w14:textId="77777777" w:rsidR="00491DCE" w:rsidRDefault="00491DCE" w:rsidP="00491DCE">
      <w:pPr>
        <w:spacing w:after="0" w:line="240" w:lineRule="auto"/>
        <w:jc w:val="both"/>
        <w:rPr>
          <w:rFonts w:cstheme="minorHAnsi"/>
          <w:sz w:val="24"/>
          <w:szCs w:val="24"/>
        </w:rPr>
      </w:pPr>
      <w:r>
        <w:rPr>
          <w:rFonts w:cstheme="minorHAnsi"/>
          <w:sz w:val="24"/>
          <w:szCs w:val="24"/>
        </w:rPr>
        <w:t xml:space="preserve">Unutar navedenog programa imamo 5 aktivnosti, 2 kapitalna projekta i 1 tekući projekt: </w:t>
      </w:r>
    </w:p>
    <w:p w14:paraId="3786B5C9" w14:textId="77777777" w:rsidR="00491DCE" w:rsidRPr="00163698" w:rsidRDefault="00491DCE" w:rsidP="00491DCE">
      <w:pPr>
        <w:spacing w:after="0" w:line="240" w:lineRule="auto"/>
        <w:jc w:val="both"/>
        <w:rPr>
          <w:rFonts w:ascii="Calibri" w:hAnsi="Calibri" w:cs="Calibri"/>
          <w:sz w:val="24"/>
          <w:szCs w:val="24"/>
          <w:u w:val="single"/>
        </w:rPr>
      </w:pPr>
      <w:r w:rsidRPr="00163698">
        <w:rPr>
          <w:rFonts w:ascii="Calibri" w:eastAsia="Times New Roman" w:hAnsi="Calibri" w:cs="Calibri"/>
          <w:color w:val="000000"/>
          <w:sz w:val="24"/>
          <w:szCs w:val="24"/>
          <w:lang w:eastAsia="hr-HR"/>
        </w:rPr>
        <w:t>A100001 Financiranje tekućih rashoda</w:t>
      </w:r>
    </w:p>
    <w:p w14:paraId="45F8BA29" w14:textId="77777777" w:rsidR="00491DCE" w:rsidRDefault="00491DCE" w:rsidP="00491DCE">
      <w:pPr>
        <w:spacing w:after="0" w:line="240" w:lineRule="auto"/>
        <w:jc w:val="both"/>
        <w:rPr>
          <w:rFonts w:cstheme="minorHAnsi"/>
          <w:sz w:val="24"/>
          <w:szCs w:val="24"/>
        </w:rPr>
      </w:pPr>
      <w:r w:rsidRPr="00163698">
        <w:rPr>
          <w:rFonts w:cstheme="minorHAnsi"/>
          <w:sz w:val="24"/>
          <w:szCs w:val="24"/>
        </w:rPr>
        <w:t>A</w:t>
      </w:r>
      <w:r>
        <w:rPr>
          <w:rFonts w:cstheme="minorHAnsi"/>
          <w:sz w:val="24"/>
          <w:szCs w:val="24"/>
        </w:rPr>
        <w:t xml:space="preserve">100004 Zaštita imovine i prava građana </w:t>
      </w:r>
    </w:p>
    <w:p w14:paraId="720A7E13" w14:textId="77777777" w:rsidR="00491DCE" w:rsidRDefault="00491DCE" w:rsidP="00491DCE">
      <w:pPr>
        <w:spacing w:after="0" w:line="240" w:lineRule="auto"/>
        <w:jc w:val="both"/>
        <w:rPr>
          <w:rFonts w:cstheme="minorHAnsi"/>
          <w:sz w:val="24"/>
          <w:szCs w:val="24"/>
        </w:rPr>
      </w:pPr>
      <w:r>
        <w:rPr>
          <w:rFonts w:cstheme="minorHAnsi"/>
          <w:sz w:val="24"/>
          <w:szCs w:val="24"/>
        </w:rPr>
        <w:t>A100012 Savjet mladih</w:t>
      </w:r>
    </w:p>
    <w:p w14:paraId="12C1FDC9" w14:textId="77777777" w:rsidR="00491DCE" w:rsidRDefault="00491DCE" w:rsidP="00491DCE">
      <w:pPr>
        <w:spacing w:after="0" w:line="240" w:lineRule="auto"/>
        <w:jc w:val="both"/>
        <w:rPr>
          <w:rFonts w:cstheme="minorHAnsi"/>
          <w:sz w:val="24"/>
          <w:szCs w:val="24"/>
        </w:rPr>
      </w:pPr>
      <w:r>
        <w:rPr>
          <w:rFonts w:cstheme="minorHAnsi"/>
          <w:sz w:val="24"/>
          <w:szCs w:val="24"/>
        </w:rPr>
        <w:t>A100023 Digitalizacija uprave</w:t>
      </w:r>
    </w:p>
    <w:p w14:paraId="3731CCA8" w14:textId="77777777" w:rsidR="00491DCE" w:rsidRDefault="00491DCE" w:rsidP="00491DCE">
      <w:pPr>
        <w:spacing w:after="0" w:line="240" w:lineRule="auto"/>
        <w:jc w:val="both"/>
        <w:rPr>
          <w:rFonts w:cstheme="minorHAnsi"/>
          <w:sz w:val="24"/>
          <w:szCs w:val="24"/>
        </w:rPr>
      </w:pPr>
      <w:r>
        <w:rPr>
          <w:rFonts w:cstheme="minorHAnsi"/>
          <w:sz w:val="24"/>
          <w:szCs w:val="24"/>
        </w:rPr>
        <w:t xml:space="preserve">A100026 Opremanje gradske uprave </w:t>
      </w:r>
    </w:p>
    <w:p w14:paraId="0C850B32" w14:textId="77777777" w:rsidR="00491DCE" w:rsidRDefault="00491DCE" w:rsidP="00491DCE">
      <w:pPr>
        <w:spacing w:after="0" w:line="240" w:lineRule="auto"/>
        <w:jc w:val="both"/>
        <w:rPr>
          <w:rFonts w:cstheme="minorHAnsi"/>
          <w:sz w:val="24"/>
          <w:szCs w:val="24"/>
        </w:rPr>
      </w:pPr>
      <w:r>
        <w:rPr>
          <w:rFonts w:cstheme="minorHAnsi"/>
          <w:sz w:val="24"/>
          <w:szCs w:val="24"/>
        </w:rPr>
        <w:t xml:space="preserve">K100018 Izgradnja bežične infrastrukture Grada Trogira (e- </w:t>
      </w:r>
      <w:proofErr w:type="spellStart"/>
      <w:r>
        <w:rPr>
          <w:rFonts w:cstheme="minorHAnsi"/>
          <w:sz w:val="24"/>
          <w:szCs w:val="24"/>
        </w:rPr>
        <w:t>trogir</w:t>
      </w:r>
      <w:proofErr w:type="spellEnd"/>
      <w:r>
        <w:rPr>
          <w:rFonts w:cstheme="minorHAnsi"/>
          <w:sz w:val="24"/>
          <w:szCs w:val="24"/>
        </w:rPr>
        <w:t>)</w:t>
      </w:r>
    </w:p>
    <w:p w14:paraId="670B3F8C" w14:textId="77777777" w:rsidR="00491DCE" w:rsidRDefault="00491DCE" w:rsidP="00491DCE">
      <w:pPr>
        <w:spacing w:after="0" w:line="240" w:lineRule="auto"/>
        <w:jc w:val="both"/>
        <w:rPr>
          <w:rFonts w:cstheme="minorHAnsi"/>
          <w:sz w:val="24"/>
          <w:szCs w:val="24"/>
        </w:rPr>
      </w:pPr>
      <w:r>
        <w:rPr>
          <w:rFonts w:cstheme="minorHAnsi"/>
          <w:sz w:val="24"/>
          <w:szCs w:val="24"/>
        </w:rPr>
        <w:t>K100024 Web GIS</w:t>
      </w:r>
    </w:p>
    <w:p w14:paraId="1AF859F6" w14:textId="731D5CD3" w:rsidR="00025C46" w:rsidRDefault="00025C46" w:rsidP="00491DCE">
      <w:pPr>
        <w:spacing w:after="0" w:line="240" w:lineRule="auto"/>
        <w:jc w:val="both"/>
        <w:rPr>
          <w:rFonts w:cstheme="minorHAnsi"/>
          <w:sz w:val="24"/>
          <w:szCs w:val="24"/>
        </w:rPr>
      </w:pPr>
      <w:r>
        <w:rPr>
          <w:rFonts w:cstheme="minorHAnsi"/>
          <w:sz w:val="24"/>
          <w:szCs w:val="24"/>
        </w:rPr>
        <w:t xml:space="preserve">K100025 WEB Platforma Trogir </w:t>
      </w:r>
      <w:proofErr w:type="spellStart"/>
      <w:r>
        <w:rPr>
          <w:rFonts w:cstheme="minorHAnsi"/>
          <w:sz w:val="24"/>
          <w:szCs w:val="24"/>
        </w:rPr>
        <w:t>digital</w:t>
      </w:r>
      <w:proofErr w:type="spellEnd"/>
    </w:p>
    <w:p w14:paraId="2AE43E6E" w14:textId="7A9C71E8" w:rsidR="00B128AF" w:rsidRDefault="00B128AF" w:rsidP="00491DCE">
      <w:pPr>
        <w:spacing w:after="0" w:line="240" w:lineRule="auto"/>
        <w:jc w:val="both"/>
        <w:rPr>
          <w:rFonts w:cstheme="minorHAnsi"/>
          <w:sz w:val="24"/>
          <w:szCs w:val="24"/>
        </w:rPr>
      </w:pPr>
      <w:r>
        <w:rPr>
          <w:rFonts w:cstheme="minorHAnsi"/>
          <w:sz w:val="24"/>
          <w:szCs w:val="24"/>
        </w:rPr>
        <w:t>T100011 Neposredni izbori za lokalnu i regionalnu samoupravu</w:t>
      </w:r>
    </w:p>
    <w:p w14:paraId="15F29360" w14:textId="77777777" w:rsidR="00B128AF" w:rsidRDefault="00B128AF" w:rsidP="00491DCE">
      <w:pPr>
        <w:spacing w:after="0" w:line="240" w:lineRule="auto"/>
        <w:jc w:val="both"/>
        <w:rPr>
          <w:rFonts w:cstheme="minorHAnsi"/>
          <w:sz w:val="24"/>
          <w:szCs w:val="24"/>
        </w:rPr>
      </w:pPr>
    </w:p>
    <w:p w14:paraId="6EE3A727" w14:textId="4A84C5A5" w:rsidR="00491DCE" w:rsidRDefault="00491DCE" w:rsidP="00491DCE">
      <w:pPr>
        <w:spacing w:after="0" w:line="240" w:lineRule="auto"/>
        <w:jc w:val="both"/>
        <w:rPr>
          <w:rFonts w:cstheme="minorHAnsi"/>
          <w:sz w:val="24"/>
          <w:szCs w:val="24"/>
        </w:rPr>
      </w:pPr>
      <w:r w:rsidRPr="0046053E">
        <w:rPr>
          <w:rFonts w:cstheme="minorHAnsi"/>
          <w:sz w:val="24"/>
          <w:szCs w:val="24"/>
        </w:rPr>
        <w:t>U okviru ovog programa evidentirani su iznosi koji se odnose na rashode poslovanja i nabavu dugotrajne imovi</w:t>
      </w:r>
      <w:r>
        <w:rPr>
          <w:rFonts w:cstheme="minorHAnsi"/>
          <w:sz w:val="24"/>
          <w:szCs w:val="24"/>
        </w:rPr>
        <w:t>ne za sve upravne odjele za 202</w:t>
      </w:r>
      <w:r w:rsidR="00B128AF">
        <w:rPr>
          <w:rFonts w:cstheme="minorHAnsi"/>
          <w:sz w:val="24"/>
          <w:szCs w:val="24"/>
        </w:rPr>
        <w:t>5</w:t>
      </w:r>
      <w:r w:rsidRPr="0046053E">
        <w:rPr>
          <w:rFonts w:cstheme="minorHAnsi"/>
          <w:sz w:val="24"/>
          <w:szCs w:val="24"/>
        </w:rPr>
        <w:t xml:space="preserve">. godinu. U </w:t>
      </w:r>
      <w:r>
        <w:rPr>
          <w:rFonts w:cstheme="minorHAnsi"/>
          <w:sz w:val="24"/>
          <w:szCs w:val="24"/>
        </w:rPr>
        <w:t>202</w:t>
      </w:r>
      <w:r w:rsidR="00B128AF">
        <w:rPr>
          <w:rFonts w:cstheme="minorHAnsi"/>
          <w:sz w:val="24"/>
          <w:szCs w:val="24"/>
        </w:rPr>
        <w:t>5</w:t>
      </w:r>
      <w:r>
        <w:rPr>
          <w:rFonts w:cstheme="minorHAnsi"/>
          <w:sz w:val="24"/>
          <w:szCs w:val="24"/>
        </w:rPr>
        <w:t>.godin</w:t>
      </w:r>
      <w:r w:rsidR="00E8167E">
        <w:rPr>
          <w:rFonts w:cstheme="minorHAnsi"/>
          <w:sz w:val="24"/>
          <w:szCs w:val="24"/>
        </w:rPr>
        <w:t>i</w:t>
      </w:r>
      <w:r w:rsidRPr="0046053E">
        <w:rPr>
          <w:rFonts w:cstheme="minorHAnsi"/>
          <w:sz w:val="24"/>
          <w:szCs w:val="24"/>
        </w:rPr>
        <w:t xml:space="preserve"> isti su realizirani </w:t>
      </w:r>
      <w:r w:rsidR="00E8167E">
        <w:rPr>
          <w:rFonts w:cstheme="minorHAnsi"/>
          <w:sz w:val="24"/>
          <w:szCs w:val="24"/>
        </w:rPr>
        <w:t>u iznosu od</w:t>
      </w:r>
      <w:r>
        <w:rPr>
          <w:rFonts w:cstheme="minorHAnsi"/>
          <w:sz w:val="24"/>
          <w:szCs w:val="24"/>
        </w:rPr>
        <w:t xml:space="preserve"> </w:t>
      </w:r>
      <w:r w:rsidR="00025C46">
        <w:rPr>
          <w:rFonts w:cstheme="minorHAnsi"/>
          <w:sz w:val="24"/>
          <w:szCs w:val="24"/>
        </w:rPr>
        <w:t>2.693.420,72</w:t>
      </w:r>
      <w:r>
        <w:rPr>
          <w:rFonts w:cstheme="minorHAnsi"/>
          <w:sz w:val="24"/>
          <w:szCs w:val="24"/>
        </w:rPr>
        <w:t xml:space="preserve"> eura</w:t>
      </w:r>
      <w:r w:rsidR="00E8167E">
        <w:rPr>
          <w:rFonts w:cstheme="minorHAnsi"/>
          <w:sz w:val="24"/>
          <w:szCs w:val="24"/>
        </w:rPr>
        <w:t xml:space="preserve"> ili </w:t>
      </w:r>
      <w:r w:rsidR="00025C46">
        <w:rPr>
          <w:rFonts w:cstheme="minorHAnsi"/>
          <w:sz w:val="24"/>
          <w:szCs w:val="24"/>
        </w:rPr>
        <w:t>87,62</w:t>
      </w:r>
      <w:r w:rsidR="00E8167E">
        <w:rPr>
          <w:rFonts w:cstheme="minorHAnsi"/>
          <w:sz w:val="24"/>
          <w:szCs w:val="24"/>
        </w:rPr>
        <w:t>% plana.</w:t>
      </w:r>
      <w:r w:rsidRPr="0046053E">
        <w:rPr>
          <w:rFonts w:cstheme="minorHAnsi"/>
          <w:sz w:val="24"/>
          <w:szCs w:val="24"/>
        </w:rPr>
        <w:t xml:space="preserve"> </w:t>
      </w:r>
    </w:p>
    <w:p w14:paraId="0F4E5582" w14:textId="77777777" w:rsidR="00E8167E" w:rsidRDefault="00E8167E" w:rsidP="00491DCE">
      <w:pPr>
        <w:spacing w:after="0" w:line="240" w:lineRule="auto"/>
        <w:jc w:val="both"/>
        <w:rPr>
          <w:rFonts w:cstheme="minorHAnsi"/>
          <w:sz w:val="24"/>
          <w:szCs w:val="24"/>
        </w:rPr>
      </w:pPr>
    </w:p>
    <w:p w14:paraId="52BCDCDF" w14:textId="0B167CAE" w:rsidR="00025C46" w:rsidRDefault="00025C46" w:rsidP="00025C46">
      <w:pPr>
        <w:spacing w:after="0" w:line="240" w:lineRule="auto"/>
        <w:jc w:val="both"/>
        <w:rPr>
          <w:rFonts w:cstheme="minorHAnsi"/>
          <w:sz w:val="24"/>
          <w:szCs w:val="24"/>
        </w:rPr>
      </w:pPr>
      <w:r w:rsidRPr="0046053E">
        <w:rPr>
          <w:rFonts w:cstheme="minorHAnsi"/>
          <w:sz w:val="24"/>
          <w:szCs w:val="24"/>
        </w:rPr>
        <w:t xml:space="preserve">Rashodi ovog programa odnose se na financiranje tekućih rashoda gradske uprave radi redovnog izvršavanja osnovnih zadataka kao što su rashodi za zaposlene, dio materijalnih rashoda cijele gradske </w:t>
      </w:r>
      <w:r>
        <w:rPr>
          <w:rFonts w:cstheme="minorHAnsi"/>
          <w:sz w:val="24"/>
          <w:szCs w:val="24"/>
        </w:rPr>
        <w:t>uprave</w:t>
      </w:r>
      <w:r w:rsidRPr="0046053E">
        <w:rPr>
          <w:rFonts w:cstheme="minorHAnsi"/>
          <w:sz w:val="24"/>
          <w:szCs w:val="24"/>
        </w:rPr>
        <w:t xml:space="preserve">, aktivnosti zaštite imovine i prava građana (odvjetničke usluge), </w:t>
      </w:r>
      <w:r w:rsidRPr="0046053E">
        <w:rPr>
          <w:rFonts w:cstheme="minorHAnsi"/>
          <w:sz w:val="24"/>
          <w:szCs w:val="24"/>
        </w:rPr>
        <w:lastRenderedPageBreak/>
        <w:t>aktivnosti Savjeta mladih kojim se financiraju troškovi Savjeta mladih savjetodavnog tijela Grada Trogira sukladno Financijskom planu za ostvarenje aktivnosti iz programa Savjeta mladih u proračunu Grada Trogira, nabava dugotrajne imovine za gradsku upravu, digitalizacija uprave koja ima za cilj poboljšanje učinkovitosti lokalne samouprave kroz daljnji raz</w:t>
      </w:r>
      <w:r>
        <w:rPr>
          <w:rFonts w:cstheme="minorHAnsi"/>
          <w:sz w:val="24"/>
          <w:szCs w:val="24"/>
        </w:rPr>
        <w:t xml:space="preserve">voj informacijskih tehnologija, </w:t>
      </w:r>
      <w:r w:rsidRPr="0046053E">
        <w:rPr>
          <w:rFonts w:cstheme="minorHAnsi"/>
          <w:sz w:val="24"/>
          <w:szCs w:val="24"/>
        </w:rPr>
        <w:t>izgradnja bežične infrastrukture</w:t>
      </w:r>
      <w:r>
        <w:rPr>
          <w:rFonts w:cstheme="minorHAnsi"/>
          <w:sz w:val="24"/>
          <w:szCs w:val="24"/>
        </w:rPr>
        <w:t xml:space="preserve"> </w:t>
      </w:r>
      <w:r w:rsidRPr="0046053E">
        <w:rPr>
          <w:rFonts w:cstheme="minorHAnsi"/>
          <w:sz w:val="24"/>
          <w:szCs w:val="24"/>
        </w:rPr>
        <w:t>(e-</w:t>
      </w:r>
      <w:proofErr w:type="spellStart"/>
      <w:r w:rsidRPr="0046053E">
        <w:rPr>
          <w:rFonts w:cstheme="minorHAnsi"/>
          <w:sz w:val="24"/>
          <w:szCs w:val="24"/>
        </w:rPr>
        <w:t>trogir</w:t>
      </w:r>
      <w:proofErr w:type="spellEnd"/>
      <w:r w:rsidRPr="0046053E">
        <w:rPr>
          <w:rFonts w:cstheme="minorHAnsi"/>
          <w:sz w:val="24"/>
          <w:szCs w:val="24"/>
        </w:rPr>
        <w:t>)</w:t>
      </w:r>
      <w:r>
        <w:rPr>
          <w:rFonts w:cstheme="minorHAnsi"/>
          <w:sz w:val="24"/>
          <w:szCs w:val="24"/>
        </w:rPr>
        <w:t xml:space="preserve">, Web GIS, WEB Platforma Trogir </w:t>
      </w:r>
      <w:proofErr w:type="spellStart"/>
      <w:r>
        <w:rPr>
          <w:rFonts w:cstheme="minorHAnsi"/>
          <w:sz w:val="24"/>
          <w:szCs w:val="24"/>
        </w:rPr>
        <w:t>digital</w:t>
      </w:r>
      <w:proofErr w:type="spellEnd"/>
      <w:r>
        <w:rPr>
          <w:rFonts w:cstheme="minorHAnsi"/>
          <w:sz w:val="24"/>
          <w:szCs w:val="24"/>
        </w:rPr>
        <w:t xml:space="preserve"> te tekući projekt „Neposredni izbori za lokalnu i regionalnu samoupravu“.</w:t>
      </w:r>
    </w:p>
    <w:p w14:paraId="315B2037" w14:textId="77777777" w:rsidR="0052525F" w:rsidRDefault="0052525F" w:rsidP="0052525F">
      <w:pPr>
        <w:spacing w:after="0" w:line="240" w:lineRule="auto"/>
        <w:jc w:val="both"/>
        <w:rPr>
          <w:rFonts w:cstheme="minorHAnsi"/>
          <w:sz w:val="24"/>
          <w:szCs w:val="24"/>
        </w:rPr>
      </w:pPr>
    </w:p>
    <w:p w14:paraId="3665F780" w14:textId="002CC7E9" w:rsidR="0052525F" w:rsidRPr="00E51A0A" w:rsidRDefault="0052525F" w:rsidP="0052525F">
      <w:pPr>
        <w:spacing w:after="0" w:line="240" w:lineRule="auto"/>
        <w:jc w:val="both"/>
        <w:rPr>
          <w:rFonts w:cstheme="minorHAnsi"/>
          <w:sz w:val="24"/>
          <w:szCs w:val="24"/>
          <w:u w:val="single"/>
        </w:rPr>
      </w:pPr>
      <w:r w:rsidRPr="00057E15">
        <w:rPr>
          <w:rFonts w:cstheme="minorHAnsi"/>
          <w:sz w:val="24"/>
          <w:szCs w:val="24"/>
          <w:u w:val="single"/>
        </w:rPr>
        <w:t xml:space="preserve">Aktivnost Financiranje tekućih rashoda </w:t>
      </w:r>
      <w:r w:rsidRPr="007916D4">
        <w:rPr>
          <w:rFonts w:cstheme="minorHAnsi"/>
          <w:sz w:val="24"/>
          <w:szCs w:val="24"/>
        </w:rPr>
        <w:t>se osiguravaju sredstva za redovno izvršavanje osnovnih zadaća iz djelokruga rada kojima se osiguravaju sredstva za redovno financiranje prava zaposlenika iz radnog odnosa, uključujući vježbenike za sve odjele gradske uprave. Cilj ove aktivnosti je dugoročno provoditi politiku plaća i drugih materijalnih prava zaposlenika Grada sukladno Smjernicama Ministarstva financija Republike Hrvatske i proračunskim mogućnostima. Cilj aktivnosti za podmirivanje materijalnih rashoda koji uključuju naknade za prijevoz zaposlenika, dnevnice i putne troškove, troškove stručnog usavršavanja i stručnih ispita je nesmetano obavljanje upravnih, stručnih i ostalih poslova u odjelima gradske uprave,  rashoda za materijal i energiju zatim rashodi za usluge telefona, pošte i mobitela, usluge tekućeg i investicijskog održavanja, komunalne usluge, zakupnine i najamnine, pristojbe, naknade i članarine, ostale nespomenute rashode poslovanja, ostale naknade šteta pravnim i fizičkim osobama.</w:t>
      </w:r>
    </w:p>
    <w:p w14:paraId="00D4BFE6" w14:textId="419D2AA7" w:rsidR="0052525F" w:rsidRDefault="0052525F" w:rsidP="0052525F">
      <w:pPr>
        <w:spacing w:after="0"/>
        <w:jc w:val="both"/>
        <w:rPr>
          <w:rFonts w:cstheme="minorHAnsi"/>
          <w:sz w:val="24"/>
          <w:szCs w:val="24"/>
        </w:rPr>
      </w:pPr>
      <w:r w:rsidRPr="0046053E">
        <w:rPr>
          <w:rFonts w:cstheme="minorHAnsi"/>
          <w:sz w:val="24"/>
          <w:szCs w:val="24"/>
        </w:rPr>
        <w:t>Za financiranje tekućih rashoda koji se odnose na plaće zaposlenih i dio materijalnih rashoda u</w:t>
      </w:r>
      <w:r>
        <w:rPr>
          <w:rFonts w:cstheme="minorHAnsi"/>
          <w:sz w:val="24"/>
          <w:szCs w:val="24"/>
        </w:rPr>
        <w:t xml:space="preserve">  2025.godini </w:t>
      </w:r>
      <w:r w:rsidRPr="0046053E">
        <w:rPr>
          <w:rFonts w:cstheme="minorHAnsi"/>
          <w:sz w:val="24"/>
          <w:szCs w:val="24"/>
        </w:rPr>
        <w:t xml:space="preserve">je utrošeno </w:t>
      </w:r>
      <w:r>
        <w:rPr>
          <w:rFonts w:cstheme="minorHAnsi"/>
          <w:sz w:val="24"/>
          <w:szCs w:val="24"/>
        </w:rPr>
        <w:t>2.456.706,94 eura ili 93,91% plana.</w:t>
      </w:r>
    </w:p>
    <w:p w14:paraId="552C1D9A" w14:textId="77777777" w:rsidR="00670C1A" w:rsidRDefault="00670C1A" w:rsidP="00307A8F">
      <w:pPr>
        <w:jc w:val="both"/>
        <w:rPr>
          <w:rFonts w:cstheme="minorHAnsi"/>
          <w:b/>
          <w:bCs/>
        </w:rPr>
      </w:pPr>
    </w:p>
    <w:p w14:paraId="4986BCBF" w14:textId="06285AB2" w:rsidR="00307A8F" w:rsidRDefault="00307A8F" w:rsidP="00307A8F">
      <w:pPr>
        <w:jc w:val="both"/>
        <w:rPr>
          <w:rFonts w:cstheme="minorHAnsi"/>
          <w:sz w:val="24"/>
          <w:szCs w:val="24"/>
        </w:rPr>
      </w:pPr>
      <w:r w:rsidRPr="00057E15">
        <w:rPr>
          <w:rFonts w:cstheme="minorHAnsi"/>
          <w:sz w:val="24"/>
          <w:szCs w:val="24"/>
          <w:u w:val="single"/>
        </w:rPr>
        <w:t>Aktivnost  Zaštita imovine i prava građana</w:t>
      </w:r>
      <w:r w:rsidRPr="00057E15">
        <w:rPr>
          <w:rFonts w:cstheme="minorHAnsi"/>
          <w:b/>
          <w:sz w:val="24"/>
          <w:szCs w:val="24"/>
        </w:rPr>
        <w:t xml:space="preserve"> </w:t>
      </w:r>
      <w:r w:rsidRPr="00057E15">
        <w:rPr>
          <w:rFonts w:cstheme="minorHAnsi"/>
          <w:sz w:val="24"/>
          <w:szCs w:val="24"/>
        </w:rPr>
        <w:t>kojim se financiraju usluge odvjetnika,</w:t>
      </w:r>
      <w:r>
        <w:rPr>
          <w:rFonts w:cstheme="minorHAnsi"/>
          <w:sz w:val="24"/>
          <w:szCs w:val="24"/>
        </w:rPr>
        <w:t xml:space="preserve"> </w:t>
      </w:r>
      <w:r w:rsidRPr="00057E15">
        <w:rPr>
          <w:rFonts w:cstheme="minorHAnsi"/>
          <w:sz w:val="24"/>
          <w:szCs w:val="24"/>
        </w:rPr>
        <w:t>odvjetničkih usluga, te troškova sudskih postupaka, kao i troškovi osiguranja imovine Grada Trogira.  Planirana sredstva za ovu aktivnost u 202</w:t>
      </w:r>
      <w:r w:rsidR="0052525F">
        <w:rPr>
          <w:rFonts w:cstheme="minorHAnsi"/>
          <w:sz w:val="24"/>
          <w:szCs w:val="24"/>
        </w:rPr>
        <w:t>5</w:t>
      </w:r>
      <w:r w:rsidRPr="00057E15">
        <w:rPr>
          <w:rFonts w:cstheme="minorHAnsi"/>
          <w:sz w:val="24"/>
          <w:szCs w:val="24"/>
        </w:rPr>
        <w:t xml:space="preserve">.g. iznose </w:t>
      </w:r>
      <w:r w:rsidR="0052525F">
        <w:rPr>
          <w:rFonts w:cstheme="minorHAnsi"/>
          <w:sz w:val="24"/>
          <w:szCs w:val="24"/>
        </w:rPr>
        <w:t xml:space="preserve">124.624,00 eura, </w:t>
      </w:r>
      <w:r>
        <w:rPr>
          <w:rFonts w:cstheme="minorHAnsi"/>
          <w:sz w:val="24"/>
          <w:szCs w:val="24"/>
        </w:rPr>
        <w:t>a</w:t>
      </w:r>
      <w:r w:rsidR="0052525F">
        <w:rPr>
          <w:rFonts w:cstheme="minorHAnsi"/>
          <w:sz w:val="24"/>
          <w:szCs w:val="24"/>
        </w:rPr>
        <w:t xml:space="preserve"> u izvještajnom razdoblju je</w:t>
      </w:r>
      <w:r w:rsidR="007D4EE1">
        <w:rPr>
          <w:rFonts w:cstheme="minorHAnsi"/>
          <w:sz w:val="24"/>
          <w:szCs w:val="24"/>
        </w:rPr>
        <w:t xml:space="preserve"> utrošeno</w:t>
      </w:r>
      <w:r>
        <w:rPr>
          <w:rFonts w:cstheme="minorHAnsi"/>
          <w:sz w:val="24"/>
          <w:szCs w:val="24"/>
        </w:rPr>
        <w:t xml:space="preserve"> </w:t>
      </w:r>
      <w:r w:rsidR="0052525F">
        <w:rPr>
          <w:rFonts w:cstheme="minorHAnsi"/>
          <w:sz w:val="24"/>
          <w:szCs w:val="24"/>
        </w:rPr>
        <w:t>78.155,37</w:t>
      </w:r>
      <w:r>
        <w:rPr>
          <w:rFonts w:cstheme="minorHAnsi"/>
          <w:sz w:val="24"/>
          <w:szCs w:val="24"/>
        </w:rPr>
        <w:t xml:space="preserve"> eura ili </w:t>
      </w:r>
      <w:r w:rsidR="0052525F">
        <w:rPr>
          <w:rFonts w:cstheme="minorHAnsi"/>
          <w:sz w:val="24"/>
          <w:szCs w:val="24"/>
        </w:rPr>
        <w:t>62,71</w:t>
      </w:r>
      <w:r>
        <w:rPr>
          <w:rFonts w:cstheme="minorHAnsi"/>
          <w:sz w:val="24"/>
          <w:szCs w:val="24"/>
        </w:rPr>
        <w:t>%</w:t>
      </w:r>
      <w:r w:rsidR="007D4EE1">
        <w:rPr>
          <w:rFonts w:cstheme="minorHAnsi"/>
          <w:sz w:val="24"/>
          <w:szCs w:val="24"/>
        </w:rPr>
        <w:t xml:space="preserve"> plana</w:t>
      </w:r>
      <w:r w:rsidR="00615725">
        <w:rPr>
          <w:rFonts w:cstheme="minorHAnsi"/>
          <w:sz w:val="24"/>
          <w:szCs w:val="24"/>
        </w:rPr>
        <w:t xml:space="preserve"> i to najvećim dijelom na financiranje usluga odvjetnika.</w:t>
      </w:r>
    </w:p>
    <w:p w14:paraId="570D1C97" w14:textId="207B1EE9" w:rsidR="00307A8F" w:rsidRPr="00B25E1E" w:rsidRDefault="00307A8F" w:rsidP="00307A8F">
      <w:pPr>
        <w:jc w:val="both"/>
        <w:rPr>
          <w:rFonts w:cstheme="minorHAnsi"/>
          <w:sz w:val="24"/>
          <w:szCs w:val="24"/>
        </w:rPr>
      </w:pPr>
      <w:r w:rsidRPr="00B25E1E">
        <w:rPr>
          <w:rFonts w:cstheme="minorHAnsi"/>
          <w:sz w:val="24"/>
          <w:szCs w:val="24"/>
          <w:u w:val="single"/>
        </w:rPr>
        <w:t>Aktivnost</w:t>
      </w:r>
      <w:r>
        <w:rPr>
          <w:rFonts w:cstheme="minorHAnsi"/>
          <w:sz w:val="24"/>
          <w:szCs w:val="24"/>
          <w:u w:val="single"/>
        </w:rPr>
        <w:t xml:space="preserve"> </w:t>
      </w:r>
      <w:r w:rsidRPr="00B25E1E">
        <w:rPr>
          <w:rFonts w:cstheme="minorHAnsi"/>
          <w:sz w:val="24"/>
          <w:szCs w:val="24"/>
          <w:u w:val="single"/>
        </w:rPr>
        <w:t>Savjet mladih</w:t>
      </w:r>
      <w:r w:rsidRPr="00B25E1E">
        <w:rPr>
          <w:rFonts w:cstheme="minorHAnsi"/>
          <w:sz w:val="24"/>
          <w:szCs w:val="24"/>
        </w:rPr>
        <w:t xml:space="preserve"> kojim se financiraju troškovi Savjeta mladih savjetodavnog tijela Grada Trogira, sukladno Financijskom planu za ostvarenje aktivnosti iz programa Savjeta mladih u proračunu Grada Trogira.</w:t>
      </w:r>
      <w:r>
        <w:rPr>
          <w:rFonts w:cstheme="minorHAnsi"/>
          <w:sz w:val="24"/>
          <w:szCs w:val="24"/>
        </w:rPr>
        <w:t xml:space="preserve"> </w:t>
      </w:r>
      <w:r w:rsidRPr="00B25E1E">
        <w:rPr>
          <w:rFonts w:cstheme="minorHAnsi"/>
          <w:sz w:val="24"/>
          <w:szCs w:val="24"/>
        </w:rPr>
        <w:t>Planirana sredstva za ovu aktivnost u 202</w:t>
      </w:r>
      <w:r w:rsidR="000B07CC">
        <w:rPr>
          <w:rFonts w:cstheme="minorHAnsi"/>
          <w:sz w:val="24"/>
          <w:szCs w:val="24"/>
        </w:rPr>
        <w:t>5</w:t>
      </w:r>
      <w:r w:rsidRPr="00B25E1E">
        <w:rPr>
          <w:rFonts w:cstheme="minorHAnsi"/>
          <w:sz w:val="24"/>
          <w:szCs w:val="24"/>
        </w:rPr>
        <w:t>.g</w:t>
      </w:r>
      <w:r w:rsidR="000B07CC">
        <w:rPr>
          <w:rFonts w:cstheme="minorHAnsi"/>
          <w:sz w:val="24"/>
          <w:szCs w:val="24"/>
        </w:rPr>
        <w:t>odini</w:t>
      </w:r>
      <w:r w:rsidRPr="00B25E1E">
        <w:rPr>
          <w:rFonts w:cstheme="minorHAnsi"/>
          <w:sz w:val="24"/>
          <w:szCs w:val="24"/>
        </w:rPr>
        <w:t xml:space="preserve"> iznose 6.700,00 </w:t>
      </w:r>
      <w:r w:rsidR="007D4EE1">
        <w:rPr>
          <w:rFonts w:cstheme="minorHAnsi"/>
          <w:sz w:val="24"/>
          <w:szCs w:val="24"/>
        </w:rPr>
        <w:t>eura</w:t>
      </w:r>
      <w:r w:rsidRPr="00B25E1E">
        <w:rPr>
          <w:rFonts w:cstheme="minorHAnsi"/>
          <w:sz w:val="24"/>
          <w:szCs w:val="24"/>
        </w:rPr>
        <w:t>, bez realizacije u izvještajnom razdoblju.</w:t>
      </w:r>
    </w:p>
    <w:p w14:paraId="5C5C4170" w14:textId="77777777" w:rsidR="000B07CC" w:rsidRDefault="00307A8F" w:rsidP="000B07CC">
      <w:pPr>
        <w:jc w:val="both"/>
        <w:rPr>
          <w:rFonts w:cstheme="minorHAnsi"/>
          <w:sz w:val="24"/>
          <w:szCs w:val="24"/>
        </w:rPr>
      </w:pPr>
      <w:r w:rsidRPr="00B25E1E">
        <w:rPr>
          <w:rFonts w:cstheme="minorHAnsi"/>
          <w:sz w:val="24"/>
          <w:szCs w:val="24"/>
          <w:u w:val="single"/>
        </w:rPr>
        <w:t>Kapitalni projekt „Digitalizacija uprave“</w:t>
      </w:r>
      <w:r>
        <w:rPr>
          <w:rFonts w:cstheme="minorHAnsi"/>
          <w:sz w:val="24"/>
          <w:szCs w:val="24"/>
        </w:rPr>
        <w:t xml:space="preserve"> ima za cilj nastavak </w:t>
      </w:r>
      <w:r w:rsidRPr="0042012D">
        <w:rPr>
          <w:rFonts w:cstheme="minorHAnsi"/>
          <w:sz w:val="24"/>
          <w:szCs w:val="24"/>
        </w:rPr>
        <w:t>poboljšanj</w:t>
      </w:r>
      <w:r>
        <w:rPr>
          <w:rFonts w:cstheme="minorHAnsi"/>
          <w:sz w:val="24"/>
          <w:szCs w:val="24"/>
        </w:rPr>
        <w:t>a</w:t>
      </w:r>
      <w:r w:rsidRPr="0042012D">
        <w:rPr>
          <w:rFonts w:cstheme="minorHAnsi"/>
          <w:sz w:val="24"/>
          <w:szCs w:val="24"/>
        </w:rPr>
        <w:t xml:space="preserve"> učinkovitosti lokalne samouprave kroz daljnji razvoj informacijskih tehnologija, modernizaciju računalne i komunikacijske infrastrukture, razvoj/unaprjeđenje e-uprave (digitalne interakcije između javne uprave i građana, poduzeća, zaposlenika, drugih tijela uprave/vladinih organizacija), uvođenje e-Uredskog poslovanja </w:t>
      </w:r>
      <w:r w:rsidRPr="0042012D">
        <w:rPr>
          <w:rFonts w:cstheme="minorHAnsi"/>
          <w:sz w:val="24"/>
          <w:szCs w:val="24"/>
          <w:shd w:val="clear" w:color="auto" w:fill="FFFFFF"/>
        </w:rPr>
        <w:t>koji elektronički prati životni vijek svakog dokumenta koji se zaprima u gradskoj upravi i koji se u njoj stvara.</w:t>
      </w:r>
      <w:r w:rsidRPr="00F75FE3">
        <w:rPr>
          <w:rFonts w:ascii="Times New Roman" w:hAnsi="Times New Roman"/>
          <w:shd w:val="clear" w:color="auto" w:fill="FFFFFF"/>
        </w:rPr>
        <w:t xml:space="preserve"> </w:t>
      </w:r>
      <w:r w:rsidRPr="00B25E1E">
        <w:rPr>
          <w:rFonts w:cstheme="minorHAnsi"/>
          <w:sz w:val="24"/>
          <w:szCs w:val="24"/>
        </w:rPr>
        <w:t>Za realizaciju projekta Digitalizacije uprave planirani su rashodi za mrežne opreme, backup sustava, računala, računalne opreme, licenci, održavanje računalnih baza, razvoj računalnog softvera, računalne usluga instalacije i implementacije sustava, izrade plana digitalizacije uprave.</w:t>
      </w:r>
      <w:r>
        <w:rPr>
          <w:rFonts w:cstheme="minorHAnsi"/>
          <w:sz w:val="24"/>
          <w:szCs w:val="24"/>
        </w:rPr>
        <w:t xml:space="preserve"> </w:t>
      </w:r>
      <w:r w:rsidRPr="00B25E1E">
        <w:rPr>
          <w:rFonts w:cstheme="minorHAnsi"/>
          <w:sz w:val="24"/>
          <w:szCs w:val="24"/>
        </w:rPr>
        <w:t xml:space="preserve">Za instalaciju i rad kako servera tako i korisničkih računala nužna je nabava i licenci i softvera koji se nalazi na serveru i klijentskim računalima i zajedno omogućavaju rad cijelog informacijskog sustava kao cjeline. U tu svrhu koriste se usluge razvoja softvera, korištenje licenci programa u poslovanju (operativni sustavi, </w:t>
      </w:r>
      <w:r w:rsidRPr="00B25E1E">
        <w:rPr>
          <w:rFonts w:cstheme="minorHAnsi"/>
          <w:sz w:val="24"/>
          <w:szCs w:val="24"/>
        </w:rPr>
        <w:lastRenderedPageBreak/>
        <w:t>uredski programi, antivirusni programi, …) i ostale računalne usluge koje obuhvaćaju  usluge održavanja programske podrške, sistemske podrške i održavanje informatičke opreme</w:t>
      </w:r>
      <w:r>
        <w:rPr>
          <w:rFonts w:cstheme="minorHAnsi"/>
          <w:sz w:val="24"/>
          <w:szCs w:val="24"/>
        </w:rPr>
        <w:t>.</w:t>
      </w:r>
      <w:r w:rsidR="000B07CC" w:rsidRPr="000B07CC">
        <w:rPr>
          <w:rFonts w:ascii="Times New Roman" w:hAnsi="Times New Roman" w:cs="Times New Roman"/>
        </w:rPr>
        <w:t xml:space="preserve"> </w:t>
      </w:r>
      <w:r w:rsidR="000B07CC" w:rsidRPr="000B07CC">
        <w:rPr>
          <w:rFonts w:cstheme="minorHAnsi"/>
          <w:sz w:val="24"/>
          <w:szCs w:val="24"/>
        </w:rPr>
        <w:t xml:space="preserve">Nabava godišnjih i višegodišnjih licenci za rad antivirusnih i </w:t>
      </w:r>
      <w:proofErr w:type="spellStart"/>
      <w:r w:rsidR="000B07CC" w:rsidRPr="000B07CC">
        <w:rPr>
          <w:rFonts w:cstheme="minorHAnsi"/>
          <w:sz w:val="24"/>
          <w:szCs w:val="24"/>
        </w:rPr>
        <w:t>antispam</w:t>
      </w:r>
      <w:proofErr w:type="spellEnd"/>
      <w:r w:rsidR="000B07CC" w:rsidRPr="000B07CC">
        <w:rPr>
          <w:rFonts w:cstheme="minorHAnsi"/>
          <w:sz w:val="24"/>
          <w:szCs w:val="24"/>
        </w:rPr>
        <w:t xml:space="preserve"> programa za servere, </w:t>
      </w:r>
      <w:proofErr w:type="spellStart"/>
      <w:r w:rsidR="000B07CC" w:rsidRPr="000B07CC">
        <w:rPr>
          <w:rFonts w:cstheme="minorHAnsi"/>
          <w:sz w:val="24"/>
          <w:szCs w:val="24"/>
        </w:rPr>
        <w:t>vatrozid</w:t>
      </w:r>
      <w:proofErr w:type="spellEnd"/>
      <w:r w:rsidR="000B07CC" w:rsidRPr="000B07CC">
        <w:rPr>
          <w:rFonts w:cstheme="minorHAnsi"/>
          <w:sz w:val="24"/>
          <w:szCs w:val="24"/>
        </w:rPr>
        <w:t xml:space="preserve"> i  klijentska računala za sve korisnike. Dokup novih licenci i/ili nadogradnja postojećih na nove verzije softvera. Nabava i implementacija sustava softverskih rješenja koji bi objedinili upravljanje dokumentima, financijama, proračunom i ostalim aktivnostima iz nadležnosti Grada. Nabava klijentskih računala sa pripadajućim licencama, printera, skenera i ostale računalne opreme potrebne za rad službenika. Nabava ostale informatičke opreme potrebne za redovan rad informatičke infrastrukture.</w:t>
      </w:r>
    </w:p>
    <w:p w14:paraId="2F4F1F49" w14:textId="27F58F26" w:rsidR="000B07CC" w:rsidRDefault="000B07CC" w:rsidP="00307A8F">
      <w:pPr>
        <w:jc w:val="both"/>
        <w:rPr>
          <w:rFonts w:cstheme="minorHAnsi"/>
          <w:sz w:val="24"/>
          <w:szCs w:val="24"/>
        </w:rPr>
      </w:pPr>
      <w:r>
        <w:rPr>
          <w:rFonts w:cstheme="minorHAnsi"/>
          <w:sz w:val="24"/>
          <w:szCs w:val="24"/>
        </w:rPr>
        <w:t xml:space="preserve">Proračunom Grada za 2025.godinu planirala su se sredstva u iznosu od 100.000,00 eura, I. izmjenama i dopunama proračuna za 2025.godinu predložilo se povećanje navedene aktivnosti na iznos od 114.000,00 eura i to u svrhu nabave tableta za vijećnike i druge opreme za računala i servere. </w:t>
      </w:r>
    </w:p>
    <w:p w14:paraId="2E56F661" w14:textId="1160A5EF" w:rsidR="00307A8F" w:rsidRDefault="00307A8F" w:rsidP="00307A8F">
      <w:pPr>
        <w:jc w:val="both"/>
        <w:rPr>
          <w:rFonts w:cstheme="minorHAnsi"/>
          <w:sz w:val="24"/>
          <w:szCs w:val="24"/>
        </w:rPr>
      </w:pPr>
      <w:r w:rsidRPr="00A64313">
        <w:rPr>
          <w:rFonts w:cstheme="minorHAnsi"/>
          <w:sz w:val="24"/>
          <w:szCs w:val="24"/>
        </w:rPr>
        <w:t xml:space="preserve">Za realizaciju </w:t>
      </w:r>
      <w:r>
        <w:rPr>
          <w:rFonts w:cstheme="minorHAnsi"/>
          <w:sz w:val="24"/>
          <w:szCs w:val="24"/>
        </w:rPr>
        <w:t>naveden</w:t>
      </w:r>
      <w:r w:rsidR="000B07CC">
        <w:rPr>
          <w:rFonts w:cstheme="minorHAnsi"/>
          <w:sz w:val="24"/>
          <w:szCs w:val="24"/>
        </w:rPr>
        <w:t>e aktivnosti</w:t>
      </w:r>
      <w:r w:rsidRPr="00A64313">
        <w:rPr>
          <w:rFonts w:cstheme="minorHAnsi"/>
          <w:sz w:val="24"/>
          <w:szCs w:val="24"/>
        </w:rPr>
        <w:t xml:space="preserve"> planirani su rashodi u iznosu od </w:t>
      </w:r>
      <w:r w:rsidR="000B07CC">
        <w:rPr>
          <w:rFonts w:cstheme="minorHAnsi"/>
          <w:sz w:val="24"/>
          <w:szCs w:val="24"/>
        </w:rPr>
        <w:t>114</w:t>
      </w:r>
      <w:r>
        <w:rPr>
          <w:rFonts w:cstheme="minorHAnsi"/>
          <w:sz w:val="24"/>
          <w:szCs w:val="24"/>
        </w:rPr>
        <w:t>.000,00 eura</w:t>
      </w:r>
      <w:r w:rsidRPr="00A64313">
        <w:rPr>
          <w:rFonts w:cstheme="minorHAnsi"/>
          <w:sz w:val="24"/>
          <w:szCs w:val="24"/>
        </w:rPr>
        <w:t xml:space="preserve">, </w:t>
      </w:r>
      <w:r>
        <w:rPr>
          <w:rFonts w:cstheme="minorHAnsi"/>
          <w:sz w:val="24"/>
          <w:szCs w:val="24"/>
        </w:rPr>
        <w:t xml:space="preserve">a </w:t>
      </w:r>
      <w:r w:rsidR="000B07CC">
        <w:rPr>
          <w:rFonts w:cstheme="minorHAnsi"/>
          <w:sz w:val="24"/>
          <w:szCs w:val="24"/>
        </w:rPr>
        <w:t xml:space="preserve">u izvještajnom razdoblju 2025.godine </w:t>
      </w:r>
      <w:r>
        <w:rPr>
          <w:rFonts w:cstheme="minorHAnsi"/>
          <w:sz w:val="24"/>
          <w:szCs w:val="24"/>
        </w:rPr>
        <w:t xml:space="preserve">realizirano je </w:t>
      </w:r>
      <w:r w:rsidR="000B07CC">
        <w:rPr>
          <w:rFonts w:cstheme="minorHAnsi"/>
          <w:sz w:val="24"/>
          <w:szCs w:val="24"/>
        </w:rPr>
        <w:t>45.468,88</w:t>
      </w:r>
      <w:r>
        <w:rPr>
          <w:rFonts w:cstheme="minorHAnsi"/>
          <w:sz w:val="24"/>
          <w:szCs w:val="24"/>
        </w:rPr>
        <w:t xml:space="preserve"> eura</w:t>
      </w:r>
      <w:r w:rsidR="007D4EE1">
        <w:rPr>
          <w:rFonts w:cstheme="minorHAnsi"/>
          <w:sz w:val="24"/>
          <w:szCs w:val="24"/>
        </w:rPr>
        <w:t xml:space="preserve"> ili </w:t>
      </w:r>
      <w:r w:rsidR="000B07CC">
        <w:rPr>
          <w:rFonts w:cstheme="minorHAnsi"/>
          <w:sz w:val="24"/>
          <w:szCs w:val="24"/>
        </w:rPr>
        <w:t>39,88</w:t>
      </w:r>
      <w:r w:rsidR="007D4EE1">
        <w:rPr>
          <w:rFonts w:cstheme="minorHAnsi"/>
          <w:sz w:val="24"/>
          <w:szCs w:val="24"/>
        </w:rPr>
        <w:t>% plana.</w:t>
      </w:r>
      <w:r>
        <w:rPr>
          <w:rFonts w:cstheme="minorHAnsi"/>
          <w:sz w:val="24"/>
          <w:szCs w:val="24"/>
        </w:rPr>
        <w:t xml:space="preserve"> </w:t>
      </w:r>
    </w:p>
    <w:p w14:paraId="335A2412" w14:textId="4166D9C1" w:rsidR="00307A8F" w:rsidRPr="00B25E1E" w:rsidRDefault="00307A8F" w:rsidP="00307A8F">
      <w:pPr>
        <w:jc w:val="both"/>
        <w:rPr>
          <w:rFonts w:ascii="Calibri" w:hAnsi="Calibri" w:cs="Calibri"/>
          <w:sz w:val="24"/>
          <w:szCs w:val="24"/>
        </w:rPr>
      </w:pPr>
      <w:r w:rsidRPr="00B25E1E">
        <w:rPr>
          <w:rFonts w:cstheme="minorHAnsi"/>
          <w:bCs/>
          <w:sz w:val="24"/>
          <w:szCs w:val="24"/>
          <w:u w:val="single"/>
        </w:rPr>
        <w:t>Aktivnost</w:t>
      </w:r>
      <w:r>
        <w:rPr>
          <w:rFonts w:cstheme="minorHAnsi"/>
          <w:bCs/>
          <w:sz w:val="24"/>
          <w:szCs w:val="24"/>
          <w:u w:val="single"/>
        </w:rPr>
        <w:t xml:space="preserve"> </w:t>
      </w:r>
      <w:r w:rsidRPr="00B25E1E">
        <w:rPr>
          <w:rFonts w:cstheme="minorHAnsi"/>
          <w:bCs/>
          <w:sz w:val="24"/>
          <w:szCs w:val="24"/>
          <w:u w:val="single"/>
        </w:rPr>
        <w:t>Opremanje gradske uprave</w:t>
      </w:r>
      <w:r>
        <w:rPr>
          <w:rFonts w:ascii="Times New Roman" w:hAnsi="Times New Roman" w:cs="Times New Roman"/>
        </w:rPr>
        <w:t xml:space="preserve"> </w:t>
      </w:r>
      <w:r>
        <w:rPr>
          <w:rFonts w:ascii="Calibri" w:hAnsi="Calibri" w:cs="Calibri"/>
          <w:kern w:val="2"/>
          <w:sz w:val="24"/>
          <w:szCs w:val="24"/>
        </w:rPr>
        <w:t>i</w:t>
      </w:r>
      <w:r w:rsidRPr="00B25E1E">
        <w:rPr>
          <w:rFonts w:ascii="Calibri" w:hAnsi="Calibri" w:cs="Calibri"/>
          <w:kern w:val="2"/>
          <w:sz w:val="24"/>
          <w:szCs w:val="24"/>
        </w:rPr>
        <w:t>ma za cilj podmiriti troškove uredske opreme i namještaja za potrebe Grada, te druge opreme nužne za rad u uredskim prostorima.</w:t>
      </w:r>
      <w:r>
        <w:rPr>
          <w:rFonts w:ascii="Calibri" w:hAnsi="Calibri" w:cs="Calibri"/>
          <w:kern w:val="2"/>
          <w:sz w:val="24"/>
          <w:szCs w:val="24"/>
        </w:rPr>
        <w:t xml:space="preserve"> </w:t>
      </w:r>
      <w:r w:rsidRPr="00B25E1E">
        <w:rPr>
          <w:rFonts w:ascii="Calibri" w:hAnsi="Calibri" w:cs="Calibri"/>
          <w:sz w:val="24"/>
          <w:szCs w:val="24"/>
        </w:rPr>
        <w:t>Planirana sredstva za o</w:t>
      </w:r>
      <w:r>
        <w:rPr>
          <w:rFonts w:ascii="Calibri" w:hAnsi="Calibri" w:cs="Calibri"/>
          <w:sz w:val="24"/>
          <w:szCs w:val="24"/>
        </w:rPr>
        <w:t>vu aktivnost</w:t>
      </w:r>
      <w:r w:rsidRPr="00B25E1E">
        <w:rPr>
          <w:rFonts w:ascii="Calibri" w:hAnsi="Calibri" w:cs="Calibri"/>
          <w:sz w:val="24"/>
          <w:szCs w:val="24"/>
        </w:rPr>
        <w:t xml:space="preserve"> u 202</w:t>
      </w:r>
      <w:r w:rsidR="0055182E">
        <w:rPr>
          <w:rFonts w:ascii="Calibri" w:hAnsi="Calibri" w:cs="Calibri"/>
          <w:sz w:val="24"/>
          <w:szCs w:val="24"/>
        </w:rPr>
        <w:t>5</w:t>
      </w:r>
      <w:r w:rsidRPr="00B25E1E">
        <w:rPr>
          <w:rFonts w:ascii="Calibri" w:hAnsi="Calibri" w:cs="Calibri"/>
          <w:sz w:val="24"/>
          <w:szCs w:val="24"/>
        </w:rPr>
        <w:t>.g</w:t>
      </w:r>
      <w:r w:rsidR="008632F2">
        <w:rPr>
          <w:rFonts w:ascii="Calibri" w:hAnsi="Calibri" w:cs="Calibri"/>
          <w:sz w:val="24"/>
          <w:szCs w:val="24"/>
        </w:rPr>
        <w:t>odini</w:t>
      </w:r>
      <w:r w:rsidRPr="00B25E1E">
        <w:rPr>
          <w:rFonts w:ascii="Calibri" w:hAnsi="Calibri" w:cs="Calibri"/>
          <w:sz w:val="24"/>
          <w:szCs w:val="24"/>
        </w:rPr>
        <w:t xml:space="preserve"> iznose </w:t>
      </w:r>
      <w:r w:rsidR="0055182E">
        <w:rPr>
          <w:rFonts w:ascii="Calibri" w:hAnsi="Calibri" w:cs="Calibri"/>
          <w:sz w:val="24"/>
          <w:szCs w:val="24"/>
        </w:rPr>
        <w:t>59</w:t>
      </w:r>
      <w:r>
        <w:rPr>
          <w:rFonts w:ascii="Calibri" w:hAnsi="Calibri" w:cs="Calibri"/>
          <w:sz w:val="24"/>
          <w:szCs w:val="24"/>
        </w:rPr>
        <w:t>.000,00</w:t>
      </w:r>
      <w:r w:rsidRPr="00B25E1E">
        <w:rPr>
          <w:rFonts w:ascii="Calibri" w:hAnsi="Calibri" w:cs="Calibri"/>
          <w:sz w:val="24"/>
          <w:szCs w:val="24"/>
        </w:rPr>
        <w:t xml:space="preserve"> </w:t>
      </w:r>
      <w:r>
        <w:rPr>
          <w:rFonts w:ascii="Calibri" w:hAnsi="Calibri" w:cs="Calibri"/>
          <w:sz w:val="24"/>
          <w:szCs w:val="24"/>
        </w:rPr>
        <w:t>eura</w:t>
      </w:r>
      <w:r w:rsidRPr="00B25E1E">
        <w:rPr>
          <w:rFonts w:ascii="Calibri" w:hAnsi="Calibri" w:cs="Calibri"/>
          <w:sz w:val="24"/>
          <w:szCs w:val="24"/>
        </w:rPr>
        <w:t xml:space="preserve">, </w:t>
      </w:r>
      <w:r>
        <w:rPr>
          <w:rFonts w:ascii="Calibri" w:hAnsi="Calibri" w:cs="Calibri"/>
          <w:sz w:val="24"/>
          <w:szCs w:val="24"/>
        </w:rPr>
        <w:t xml:space="preserve">a realizirano je </w:t>
      </w:r>
      <w:r w:rsidR="0055182E">
        <w:rPr>
          <w:rFonts w:ascii="Calibri" w:hAnsi="Calibri" w:cs="Calibri"/>
          <w:sz w:val="24"/>
          <w:szCs w:val="24"/>
        </w:rPr>
        <w:t>12.454,87</w:t>
      </w:r>
      <w:r>
        <w:rPr>
          <w:rFonts w:ascii="Calibri" w:hAnsi="Calibri" w:cs="Calibri"/>
          <w:sz w:val="24"/>
          <w:szCs w:val="24"/>
        </w:rPr>
        <w:t xml:space="preserve"> eura ili </w:t>
      </w:r>
      <w:r w:rsidR="0055182E">
        <w:rPr>
          <w:rFonts w:ascii="Calibri" w:hAnsi="Calibri" w:cs="Calibri"/>
          <w:sz w:val="24"/>
          <w:szCs w:val="24"/>
        </w:rPr>
        <w:t>21,11</w:t>
      </w:r>
      <w:r>
        <w:rPr>
          <w:rFonts w:ascii="Calibri" w:hAnsi="Calibri" w:cs="Calibri"/>
          <w:sz w:val="24"/>
          <w:szCs w:val="24"/>
        </w:rPr>
        <w:t>% plana.</w:t>
      </w:r>
    </w:p>
    <w:p w14:paraId="33A7DC39" w14:textId="7840A223" w:rsidR="00307A8F" w:rsidRPr="00B25E1E" w:rsidRDefault="00307A8F" w:rsidP="00307A8F">
      <w:pPr>
        <w:jc w:val="both"/>
        <w:rPr>
          <w:rFonts w:ascii="Calibri" w:hAnsi="Calibri" w:cs="Calibri"/>
          <w:sz w:val="24"/>
          <w:szCs w:val="24"/>
        </w:rPr>
      </w:pPr>
      <w:r w:rsidRPr="00B25E1E">
        <w:rPr>
          <w:rFonts w:cstheme="minorHAnsi"/>
          <w:bCs/>
          <w:sz w:val="24"/>
          <w:szCs w:val="24"/>
          <w:u w:val="single"/>
        </w:rPr>
        <w:t>Kapitalni projekt I</w:t>
      </w:r>
      <w:r w:rsidR="00CD6A25">
        <w:rPr>
          <w:rFonts w:cstheme="minorHAnsi"/>
          <w:bCs/>
          <w:sz w:val="24"/>
          <w:szCs w:val="24"/>
          <w:u w:val="single"/>
        </w:rPr>
        <w:t>zgradnja bežične infrastrukture</w:t>
      </w:r>
      <w:r w:rsidRPr="00B25E1E">
        <w:rPr>
          <w:rFonts w:cstheme="minorHAnsi"/>
          <w:bCs/>
          <w:sz w:val="24"/>
          <w:szCs w:val="24"/>
          <w:u w:val="single"/>
        </w:rPr>
        <w:t xml:space="preserve"> (e-</w:t>
      </w:r>
      <w:proofErr w:type="spellStart"/>
      <w:r w:rsidRPr="00B25E1E">
        <w:rPr>
          <w:rFonts w:cstheme="minorHAnsi"/>
          <w:bCs/>
          <w:sz w:val="24"/>
          <w:szCs w:val="24"/>
          <w:u w:val="single"/>
        </w:rPr>
        <w:t>trogir</w:t>
      </w:r>
      <w:proofErr w:type="spellEnd"/>
      <w:r w:rsidRPr="00B25E1E">
        <w:rPr>
          <w:rFonts w:cstheme="minorHAnsi"/>
          <w:bCs/>
          <w:sz w:val="24"/>
          <w:szCs w:val="24"/>
          <w:u w:val="single"/>
        </w:rPr>
        <w:t>)</w:t>
      </w:r>
      <w:r>
        <w:rPr>
          <w:rFonts w:cstheme="minorHAnsi"/>
          <w:bCs/>
          <w:sz w:val="24"/>
          <w:szCs w:val="24"/>
        </w:rPr>
        <w:t xml:space="preserve"> </w:t>
      </w:r>
      <w:r>
        <w:rPr>
          <w:rFonts w:cstheme="minorHAnsi"/>
          <w:sz w:val="24"/>
          <w:szCs w:val="24"/>
        </w:rPr>
        <w:t>i</w:t>
      </w:r>
      <w:r w:rsidRPr="00B25E1E">
        <w:rPr>
          <w:rFonts w:cstheme="minorHAnsi"/>
          <w:sz w:val="24"/>
          <w:szCs w:val="24"/>
        </w:rPr>
        <w:t xml:space="preserve">ma za cilj izgradnju, implementaciju i održavanje bežične mrežne infrastrukture Grada Trogira. </w:t>
      </w:r>
      <w:r w:rsidRPr="00B25E1E">
        <w:rPr>
          <w:rFonts w:ascii="Calibri" w:hAnsi="Calibri" w:cs="Calibri"/>
          <w:sz w:val="24"/>
          <w:szCs w:val="24"/>
        </w:rPr>
        <w:t>Planirana sredstva za ovaj projekt u 202</w:t>
      </w:r>
      <w:r w:rsidR="005A2B53">
        <w:rPr>
          <w:rFonts w:ascii="Calibri" w:hAnsi="Calibri" w:cs="Calibri"/>
          <w:sz w:val="24"/>
          <w:szCs w:val="24"/>
        </w:rPr>
        <w:t>5</w:t>
      </w:r>
      <w:r w:rsidRPr="00B25E1E">
        <w:rPr>
          <w:rFonts w:ascii="Calibri" w:hAnsi="Calibri" w:cs="Calibri"/>
          <w:sz w:val="24"/>
          <w:szCs w:val="24"/>
        </w:rPr>
        <w:t>.g</w:t>
      </w:r>
      <w:r w:rsidR="005A2B53">
        <w:rPr>
          <w:rFonts w:ascii="Calibri" w:hAnsi="Calibri" w:cs="Calibri"/>
          <w:sz w:val="24"/>
          <w:szCs w:val="24"/>
        </w:rPr>
        <w:t>odini</w:t>
      </w:r>
      <w:r w:rsidRPr="00B25E1E">
        <w:rPr>
          <w:rFonts w:ascii="Calibri" w:hAnsi="Calibri" w:cs="Calibri"/>
          <w:sz w:val="24"/>
          <w:szCs w:val="24"/>
        </w:rPr>
        <w:t xml:space="preserve"> iznose </w:t>
      </w:r>
      <w:r w:rsidR="005A2B53">
        <w:rPr>
          <w:rFonts w:ascii="Calibri" w:hAnsi="Calibri" w:cs="Calibri"/>
          <w:sz w:val="24"/>
          <w:szCs w:val="24"/>
        </w:rPr>
        <w:t>12</w:t>
      </w:r>
      <w:r>
        <w:rPr>
          <w:rFonts w:ascii="Calibri" w:hAnsi="Calibri" w:cs="Calibri"/>
          <w:sz w:val="24"/>
          <w:szCs w:val="24"/>
        </w:rPr>
        <w:t>.000,00</w:t>
      </w:r>
      <w:r w:rsidRPr="00B25E1E">
        <w:rPr>
          <w:rFonts w:ascii="Calibri" w:hAnsi="Calibri" w:cs="Calibri"/>
          <w:sz w:val="24"/>
          <w:szCs w:val="24"/>
        </w:rPr>
        <w:t xml:space="preserve"> </w:t>
      </w:r>
      <w:r>
        <w:rPr>
          <w:rFonts w:ascii="Calibri" w:hAnsi="Calibri" w:cs="Calibri"/>
          <w:sz w:val="24"/>
          <w:szCs w:val="24"/>
        </w:rPr>
        <w:t>eura</w:t>
      </w:r>
      <w:r w:rsidRPr="00B25E1E">
        <w:rPr>
          <w:rFonts w:ascii="Calibri" w:hAnsi="Calibri" w:cs="Calibri"/>
          <w:sz w:val="24"/>
          <w:szCs w:val="24"/>
        </w:rPr>
        <w:t xml:space="preserve">, </w:t>
      </w:r>
      <w:r>
        <w:rPr>
          <w:rFonts w:ascii="Calibri" w:hAnsi="Calibri" w:cs="Calibri"/>
          <w:sz w:val="24"/>
          <w:szCs w:val="24"/>
        </w:rPr>
        <w:t xml:space="preserve">a realizirano je </w:t>
      </w:r>
      <w:r w:rsidR="005A2B53">
        <w:rPr>
          <w:rFonts w:ascii="Calibri" w:hAnsi="Calibri" w:cs="Calibri"/>
          <w:sz w:val="24"/>
          <w:szCs w:val="24"/>
        </w:rPr>
        <w:t>11.937,50</w:t>
      </w:r>
      <w:r>
        <w:rPr>
          <w:rFonts w:ascii="Calibri" w:hAnsi="Calibri" w:cs="Calibri"/>
          <w:sz w:val="24"/>
          <w:szCs w:val="24"/>
        </w:rPr>
        <w:t xml:space="preserve"> eura</w:t>
      </w:r>
      <w:r w:rsidR="005C1E36">
        <w:rPr>
          <w:rFonts w:ascii="Calibri" w:hAnsi="Calibri" w:cs="Calibri"/>
          <w:sz w:val="24"/>
          <w:szCs w:val="24"/>
        </w:rPr>
        <w:t xml:space="preserve"> ili </w:t>
      </w:r>
      <w:r w:rsidR="005A2B53">
        <w:rPr>
          <w:rFonts w:ascii="Calibri" w:hAnsi="Calibri" w:cs="Calibri"/>
          <w:sz w:val="24"/>
          <w:szCs w:val="24"/>
        </w:rPr>
        <w:t>99,48</w:t>
      </w:r>
      <w:r w:rsidR="005C1E36">
        <w:rPr>
          <w:rFonts w:ascii="Calibri" w:hAnsi="Calibri" w:cs="Calibri"/>
          <w:sz w:val="24"/>
          <w:szCs w:val="24"/>
        </w:rPr>
        <w:t>% plana</w:t>
      </w:r>
      <w:r w:rsidR="005A2B53">
        <w:rPr>
          <w:rFonts w:ascii="Calibri" w:hAnsi="Calibri" w:cs="Calibri"/>
          <w:sz w:val="24"/>
          <w:szCs w:val="24"/>
        </w:rPr>
        <w:t xml:space="preserve"> i to za nadogradnju i konfiguraciju optičke infrastrukture Grada Trogira (kino-Put Mulina-ribarnica-drveni most -kameni most).</w:t>
      </w:r>
    </w:p>
    <w:p w14:paraId="66BFA522" w14:textId="73D299A8" w:rsidR="005C1E36" w:rsidRDefault="00307A8F" w:rsidP="00307A8F">
      <w:pPr>
        <w:jc w:val="both"/>
        <w:rPr>
          <w:rFonts w:cstheme="minorHAnsi"/>
          <w:sz w:val="24"/>
          <w:szCs w:val="24"/>
        </w:rPr>
      </w:pPr>
      <w:r w:rsidRPr="00B25E1E">
        <w:rPr>
          <w:rFonts w:cstheme="minorHAnsi"/>
          <w:sz w:val="24"/>
          <w:szCs w:val="24"/>
          <w:u w:val="single"/>
        </w:rPr>
        <w:t>Kapitalni projekt  WEB GIS</w:t>
      </w:r>
      <w:r w:rsidRPr="00B25E1E">
        <w:rPr>
          <w:rFonts w:cstheme="minorHAnsi"/>
          <w:sz w:val="24"/>
          <w:szCs w:val="24"/>
        </w:rPr>
        <w:t xml:space="preserve"> </w:t>
      </w:r>
      <w:r w:rsidRPr="00A411D9">
        <w:rPr>
          <w:rFonts w:cstheme="minorHAnsi"/>
          <w:sz w:val="24"/>
          <w:szCs w:val="24"/>
        </w:rPr>
        <w:t xml:space="preserve">kojim se planira razvoj i implementacija </w:t>
      </w:r>
      <w:proofErr w:type="spellStart"/>
      <w:r w:rsidRPr="00B25E1E">
        <w:rPr>
          <w:rFonts w:cstheme="minorHAnsi"/>
          <w:sz w:val="24"/>
          <w:szCs w:val="24"/>
        </w:rPr>
        <w:t>webGIS</w:t>
      </w:r>
      <w:proofErr w:type="spellEnd"/>
      <w:r w:rsidRPr="00B25E1E">
        <w:rPr>
          <w:rFonts w:cstheme="minorHAnsi"/>
          <w:sz w:val="24"/>
          <w:szCs w:val="24"/>
        </w:rPr>
        <w:t xml:space="preserve"> aplikacijskog sustava Grada Trogira – DIGITALIZACIJA EVIDENCIJE PROSTORNIH PODATAKA koji je prijavljen na natječaj Fonda za zaštitu okoliša i energetsku učinkovitost.</w:t>
      </w:r>
      <w:r w:rsidRPr="00A411D9">
        <w:rPr>
          <w:rFonts w:cstheme="minorHAnsi"/>
          <w:sz w:val="24"/>
          <w:szCs w:val="24"/>
        </w:rPr>
        <w:t xml:space="preserve"> Planirana sredstva za navedeni projekt iznose </w:t>
      </w:r>
      <w:r w:rsidR="0063343D">
        <w:rPr>
          <w:rFonts w:cstheme="minorHAnsi"/>
          <w:sz w:val="24"/>
          <w:szCs w:val="24"/>
        </w:rPr>
        <w:t>19</w:t>
      </w:r>
      <w:r w:rsidRPr="00A411D9">
        <w:rPr>
          <w:rFonts w:cstheme="minorHAnsi"/>
          <w:sz w:val="24"/>
          <w:szCs w:val="24"/>
        </w:rPr>
        <w:t>.000,00 eura</w:t>
      </w:r>
      <w:r w:rsidR="005C1E36">
        <w:rPr>
          <w:rFonts w:cstheme="minorHAnsi"/>
          <w:sz w:val="24"/>
          <w:szCs w:val="24"/>
        </w:rPr>
        <w:t xml:space="preserve">, a realizirano je </w:t>
      </w:r>
      <w:r w:rsidR="0063343D">
        <w:rPr>
          <w:rFonts w:cstheme="minorHAnsi"/>
          <w:sz w:val="24"/>
          <w:szCs w:val="24"/>
        </w:rPr>
        <w:t>6.659,52</w:t>
      </w:r>
      <w:r w:rsidR="005C1E36">
        <w:rPr>
          <w:rFonts w:cstheme="minorHAnsi"/>
          <w:sz w:val="24"/>
          <w:szCs w:val="24"/>
        </w:rPr>
        <w:t xml:space="preserve"> eura</w:t>
      </w:r>
      <w:r w:rsidR="00CD6A25">
        <w:rPr>
          <w:rFonts w:cstheme="minorHAnsi"/>
          <w:sz w:val="24"/>
          <w:szCs w:val="24"/>
        </w:rPr>
        <w:t xml:space="preserve"> ili </w:t>
      </w:r>
      <w:r w:rsidR="0063343D">
        <w:rPr>
          <w:rFonts w:cstheme="minorHAnsi"/>
          <w:sz w:val="24"/>
          <w:szCs w:val="24"/>
        </w:rPr>
        <w:t>35,05</w:t>
      </w:r>
      <w:r w:rsidR="00CD6A25">
        <w:rPr>
          <w:rFonts w:cstheme="minorHAnsi"/>
          <w:sz w:val="24"/>
          <w:szCs w:val="24"/>
        </w:rPr>
        <w:t>% plana</w:t>
      </w:r>
      <w:r w:rsidR="0063343D">
        <w:rPr>
          <w:rFonts w:cstheme="minorHAnsi"/>
          <w:sz w:val="24"/>
          <w:szCs w:val="24"/>
        </w:rPr>
        <w:t xml:space="preserve"> i to za održavanje </w:t>
      </w:r>
      <w:proofErr w:type="spellStart"/>
      <w:r w:rsidR="0063343D">
        <w:rPr>
          <w:rFonts w:cstheme="minorHAnsi"/>
          <w:sz w:val="24"/>
          <w:szCs w:val="24"/>
        </w:rPr>
        <w:t>pipGIS</w:t>
      </w:r>
      <w:proofErr w:type="spellEnd"/>
      <w:r w:rsidR="0063343D">
        <w:rPr>
          <w:rFonts w:cstheme="minorHAnsi"/>
          <w:sz w:val="24"/>
          <w:szCs w:val="24"/>
        </w:rPr>
        <w:t xml:space="preserve"> programa.</w:t>
      </w:r>
    </w:p>
    <w:p w14:paraId="0BE17BAD" w14:textId="4934083E" w:rsidR="0063343D" w:rsidRPr="0063343D" w:rsidRDefault="0063343D" w:rsidP="0063343D">
      <w:pPr>
        <w:jc w:val="both"/>
        <w:rPr>
          <w:rFonts w:cstheme="minorHAnsi"/>
          <w:sz w:val="24"/>
          <w:szCs w:val="24"/>
        </w:rPr>
      </w:pPr>
      <w:r w:rsidRPr="0063343D">
        <w:rPr>
          <w:rFonts w:cstheme="minorHAnsi"/>
          <w:sz w:val="24"/>
          <w:szCs w:val="24"/>
          <w:u w:val="single"/>
        </w:rPr>
        <w:t xml:space="preserve">Kapitalni projekt WEB Platforma Trogir </w:t>
      </w:r>
      <w:proofErr w:type="spellStart"/>
      <w:r w:rsidRPr="0063343D">
        <w:rPr>
          <w:rFonts w:cstheme="minorHAnsi"/>
          <w:sz w:val="24"/>
          <w:szCs w:val="24"/>
          <w:u w:val="single"/>
        </w:rPr>
        <w:t>digital</w:t>
      </w:r>
      <w:proofErr w:type="spellEnd"/>
      <w:r w:rsidRPr="0063343D">
        <w:rPr>
          <w:rFonts w:cstheme="minorHAnsi"/>
          <w:sz w:val="24"/>
          <w:szCs w:val="24"/>
        </w:rPr>
        <w:t xml:space="preserve"> kojim se planira izrada </w:t>
      </w:r>
      <w:r w:rsidRPr="0063343D">
        <w:rPr>
          <w:rStyle w:val="fontstyle01"/>
          <w:rFonts w:asciiTheme="minorHAnsi" w:hAnsiTheme="minorHAnsi" w:cstheme="minorHAnsi"/>
          <w:sz w:val="24"/>
          <w:szCs w:val="24"/>
        </w:rPr>
        <w:t>interaktivne 3D platforme za prikaz razvoja projekta na području grada, te uključuje izradu</w:t>
      </w:r>
      <w:r w:rsidRPr="0063343D">
        <w:rPr>
          <w:rStyle w:val="fontstyle01"/>
          <w:rFonts w:asciiTheme="minorHAnsi" w:hAnsiTheme="minorHAnsi" w:cstheme="minorHAnsi"/>
          <w:b/>
          <w:bCs/>
          <w:sz w:val="24"/>
          <w:szCs w:val="24"/>
        </w:rPr>
        <w:t xml:space="preserve"> </w:t>
      </w:r>
      <w:r w:rsidRPr="0063343D">
        <w:rPr>
          <w:rStyle w:val="fontstyle21"/>
          <w:rFonts w:asciiTheme="minorHAnsi" w:hAnsiTheme="minorHAnsi" w:cstheme="minorHAnsi"/>
          <w:b w:val="0"/>
          <w:bCs w:val="0"/>
          <w:sz w:val="24"/>
          <w:szCs w:val="24"/>
        </w:rPr>
        <w:t xml:space="preserve">3D modela, izradu jednostavnih 3D modela, programiranje i dizajn, serverski prostor u trajanju od godine dana. Predmetni projekt je također prijavljen na natječaj </w:t>
      </w:r>
      <w:r w:rsidRPr="0063343D">
        <w:rPr>
          <w:rFonts w:cstheme="minorHAnsi"/>
          <w:sz w:val="24"/>
          <w:szCs w:val="24"/>
        </w:rPr>
        <w:t xml:space="preserve">Fonda za zaštitu okoliša i energetsku učinkovitost. Planirana sredstva za navedeni projekt iznose </w:t>
      </w:r>
      <w:r>
        <w:rPr>
          <w:rFonts w:cstheme="minorHAnsi"/>
          <w:sz w:val="24"/>
          <w:szCs w:val="24"/>
        </w:rPr>
        <w:t>26.000,00</w:t>
      </w:r>
      <w:r w:rsidRPr="0063343D">
        <w:rPr>
          <w:rFonts w:cstheme="minorHAnsi"/>
          <w:sz w:val="24"/>
          <w:szCs w:val="24"/>
        </w:rPr>
        <w:t xml:space="preserve"> eura, a realizirano je </w:t>
      </w:r>
      <w:r>
        <w:rPr>
          <w:rFonts w:cstheme="minorHAnsi"/>
          <w:sz w:val="24"/>
          <w:szCs w:val="24"/>
        </w:rPr>
        <w:t>21.067,50</w:t>
      </w:r>
      <w:r w:rsidRPr="0063343D">
        <w:rPr>
          <w:rFonts w:cstheme="minorHAnsi"/>
          <w:sz w:val="24"/>
          <w:szCs w:val="24"/>
        </w:rPr>
        <w:t xml:space="preserve"> eura ili </w:t>
      </w:r>
      <w:r>
        <w:rPr>
          <w:rFonts w:cstheme="minorHAnsi"/>
          <w:sz w:val="24"/>
          <w:szCs w:val="24"/>
        </w:rPr>
        <w:t>81,03</w:t>
      </w:r>
      <w:r w:rsidRPr="0063343D">
        <w:rPr>
          <w:rFonts w:cstheme="minorHAnsi"/>
          <w:sz w:val="24"/>
          <w:szCs w:val="24"/>
        </w:rPr>
        <w:t xml:space="preserve">% plana i to za </w:t>
      </w:r>
      <w:r>
        <w:rPr>
          <w:rFonts w:cstheme="minorHAnsi"/>
          <w:sz w:val="24"/>
          <w:szCs w:val="24"/>
        </w:rPr>
        <w:t>izradu informativne web platforme za građane.</w:t>
      </w:r>
    </w:p>
    <w:p w14:paraId="23EAC8B6" w14:textId="27A557F7" w:rsidR="0063343D" w:rsidRPr="0063343D" w:rsidRDefault="0063343D" w:rsidP="0063343D">
      <w:pPr>
        <w:jc w:val="both"/>
        <w:rPr>
          <w:rFonts w:cstheme="minorHAnsi"/>
          <w:sz w:val="24"/>
          <w:szCs w:val="24"/>
          <w:u w:val="single"/>
        </w:rPr>
      </w:pPr>
      <w:r w:rsidRPr="0063343D">
        <w:rPr>
          <w:rFonts w:cstheme="minorHAnsi"/>
          <w:sz w:val="24"/>
          <w:szCs w:val="24"/>
          <w:u w:val="single"/>
        </w:rPr>
        <w:t>Tekući projekt  NEPOSREDNI IZBORI ZA LOKALNU I REG. SAMOUPRAVU</w:t>
      </w:r>
    </w:p>
    <w:p w14:paraId="2E13170A" w14:textId="6AF55228" w:rsidR="0063343D" w:rsidRPr="0063343D" w:rsidRDefault="0063343D" w:rsidP="0063343D">
      <w:pPr>
        <w:jc w:val="both"/>
        <w:rPr>
          <w:rFonts w:cstheme="minorHAnsi"/>
          <w:sz w:val="24"/>
          <w:szCs w:val="24"/>
        </w:rPr>
      </w:pPr>
      <w:r w:rsidRPr="0063343D">
        <w:rPr>
          <w:rFonts w:cstheme="minorHAnsi"/>
          <w:sz w:val="24"/>
          <w:szCs w:val="24"/>
        </w:rPr>
        <w:t xml:space="preserve">U 2025. godini su održani lokalni izbori za što su planirana sredstava u proračunu u ukupnom iznosu od 103.000,00 eura sukladno izvršenju plana od prije četiri godine uzimajući u obzir opći rast cijena. Najveći dio sredstava se odnosi na rad biračkih odbora, a koja jednim dijelom financira jedinica regionalne samouprave, tim više što je 2. krug izbora održan samo za potrebe </w:t>
      </w:r>
      <w:r w:rsidRPr="0063343D">
        <w:rPr>
          <w:rFonts w:cstheme="minorHAnsi"/>
          <w:sz w:val="24"/>
          <w:szCs w:val="24"/>
        </w:rPr>
        <w:lastRenderedPageBreak/>
        <w:t xml:space="preserve">regionalne, a ne i lokalne samouprave. U međuvremenu je već došlo do uplate predmetnih sredstava koje je potrebno posebno planirati kao izvor pomoći. </w:t>
      </w:r>
    </w:p>
    <w:p w14:paraId="2D67AC15" w14:textId="77777777" w:rsidR="0063343D" w:rsidRPr="0063343D" w:rsidRDefault="0063343D" w:rsidP="0063343D">
      <w:pPr>
        <w:jc w:val="both"/>
        <w:rPr>
          <w:rFonts w:cstheme="minorHAnsi"/>
          <w:sz w:val="24"/>
          <w:szCs w:val="24"/>
        </w:rPr>
      </w:pPr>
      <w:r w:rsidRPr="0063343D">
        <w:rPr>
          <w:rFonts w:cstheme="minorHAnsi"/>
          <w:sz w:val="24"/>
          <w:szCs w:val="24"/>
        </w:rPr>
        <w:t xml:space="preserve">Nakon donošenja proračuna donesena je </w:t>
      </w:r>
      <w:r w:rsidRPr="0063343D">
        <w:rPr>
          <w:rFonts w:cstheme="minorHAnsi"/>
          <w:i/>
          <w:iCs/>
          <w:sz w:val="24"/>
          <w:szCs w:val="24"/>
        </w:rPr>
        <w:t>Odluka o visini naknade troškova izborne promidžbe za izbor općinskih načelnika, gradonačelnika i župana te njihovih zamjenika i za izbor zamjenika općinskih načelnika, gradonačelnika i župana iz reda pripadnika nacionalnih manjina, odnosno iz reda pripadnika hrvatskog naroda NN 69/2025 (14.4.2025.),</w:t>
      </w:r>
      <w:r w:rsidRPr="0063343D">
        <w:rPr>
          <w:rFonts w:cstheme="minorHAnsi"/>
          <w:sz w:val="24"/>
          <w:szCs w:val="24"/>
        </w:rPr>
        <w:t xml:space="preserve"> po kojoj pravo na naknadu troškova izborne promidžbe iz točke I. ove Odluke imaju kandidati koji na izborima za općinskog načelnika, gradonačelnika i župana te njihove zamjenike dobiju najmanje 10 % važećih glasova birača od ukupnog broja birača koji su izašli na izbore.</w:t>
      </w:r>
    </w:p>
    <w:p w14:paraId="61A27D34" w14:textId="3A5BCE46" w:rsidR="0063343D" w:rsidRPr="0063343D" w:rsidRDefault="0063343D" w:rsidP="00FF284E">
      <w:pPr>
        <w:spacing w:after="0"/>
        <w:jc w:val="both"/>
        <w:rPr>
          <w:rFonts w:cstheme="minorHAnsi"/>
          <w:sz w:val="24"/>
          <w:szCs w:val="24"/>
        </w:rPr>
      </w:pPr>
      <w:r w:rsidRPr="0063343D">
        <w:rPr>
          <w:rFonts w:cstheme="minorHAnsi"/>
          <w:sz w:val="24"/>
          <w:szCs w:val="24"/>
        </w:rPr>
        <w:t>Naknada troškova izborne promidžbe isplatit će se iz proračuna jedinice lokalne i područne (regionalne) samouprave u kojoj se izbori provode, u roku od 15 dana od dana objave izvješća Državnog izbornog povjerenstva Republike Hrvatske o nadzoru poštivanja odredbi Zakona o financiranju političkih aktivnosti, izborne promidžbe i referenduma (»Narodne novine«, br. 29/19., 98/19. i 126/21. – Odluka Ustavnog suda Republike Hrvatske) koje se odnose na izbornu promidžbu, iz članka 61. toga Zakona.</w:t>
      </w:r>
      <w:r>
        <w:rPr>
          <w:rFonts w:cstheme="minorHAnsi"/>
          <w:sz w:val="24"/>
          <w:szCs w:val="24"/>
        </w:rPr>
        <w:t xml:space="preserve"> </w:t>
      </w:r>
      <w:r w:rsidRPr="0063343D">
        <w:rPr>
          <w:rFonts w:cstheme="minorHAnsi"/>
          <w:sz w:val="24"/>
          <w:szCs w:val="24"/>
        </w:rPr>
        <w:t>Naknada troškova izborne promidžbe isplaćuje se političkim strankama na poseban račun političke stranke otvoren za financiranje troškova izborne promidžbe.</w:t>
      </w:r>
      <w:r>
        <w:rPr>
          <w:rFonts w:cstheme="minorHAnsi"/>
          <w:sz w:val="24"/>
          <w:szCs w:val="24"/>
        </w:rPr>
        <w:t xml:space="preserve"> </w:t>
      </w:r>
      <w:r w:rsidRPr="0063343D">
        <w:rPr>
          <w:rFonts w:cstheme="minorHAnsi"/>
          <w:sz w:val="24"/>
          <w:szCs w:val="24"/>
        </w:rPr>
        <w:t>Naknada troškova izborne promidžbe listama grupe birača isplaćuje se na poseban račun nositelja liste grupe birača, otvoren za financiranje troškova izborne promidžbe.</w:t>
      </w:r>
    </w:p>
    <w:p w14:paraId="67756738" w14:textId="34B10351" w:rsidR="0063343D" w:rsidRDefault="0063343D" w:rsidP="00FF284E">
      <w:pPr>
        <w:spacing w:after="0"/>
        <w:jc w:val="both"/>
        <w:rPr>
          <w:rFonts w:cstheme="minorHAnsi"/>
          <w:sz w:val="24"/>
          <w:szCs w:val="24"/>
        </w:rPr>
      </w:pPr>
      <w:r w:rsidRPr="0063343D">
        <w:rPr>
          <w:rFonts w:cstheme="minorHAnsi"/>
          <w:sz w:val="24"/>
          <w:szCs w:val="24"/>
        </w:rPr>
        <w:t xml:space="preserve">Za predmetnu aktivnost su planirana sredstava u proračunu Grada Trogira za 2025. u iznosu od </w:t>
      </w:r>
      <w:r w:rsidR="00FF284E">
        <w:rPr>
          <w:rFonts w:cstheme="minorHAnsi"/>
          <w:sz w:val="24"/>
          <w:szCs w:val="24"/>
        </w:rPr>
        <w:t>96.675,00</w:t>
      </w:r>
      <w:r w:rsidRPr="0063343D">
        <w:rPr>
          <w:rFonts w:cstheme="minorHAnsi"/>
          <w:sz w:val="24"/>
          <w:szCs w:val="24"/>
        </w:rPr>
        <w:t xml:space="preserve"> eura, </w:t>
      </w:r>
      <w:r w:rsidR="00FF284E">
        <w:rPr>
          <w:rFonts w:cstheme="minorHAnsi"/>
          <w:sz w:val="24"/>
          <w:szCs w:val="24"/>
        </w:rPr>
        <w:t>a realizirano je 60.970,14 eura ili 63,07% plana.</w:t>
      </w:r>
    </w:p>
    <w:p w14:paraId="131BBA35" w14:textId="77777777" w:rsidR="00FF284E" w:rsidRPr="0063343D" w:rsidRDefault="00FF284E" w:rsidP="00FF284E">
      <w:pPr>
        <w:spacing w:after="0"/>
        <w:jc w:val="both"/>
        <w:rPr>
          <w:rFonts w:cstheme="minorHAnsi"/>
          <w:sz w:val="24"/>
          <w:szCs w:val="24"/>
        </w:rPr>
      </w:pPr>
    </w:p>
    <w:p w14:paraId="4E82A775" w14:textId="77777777" w:rsidR="007B26FB" w:rsidRDefault="007B26FB" w:rsidP="007B26FB">
      <w:pPr>
        <w:spacing w:after="0"/>
        <w:jc w:val="both"/>
        <w:rPr>
          <w:rFonts w:cstheme="minorHAnsi"/>
          <w:sz w:val="24"/>
          <w:szCs w:val="24"/>
          <w:u w:val="single"/>
        </w:rPr>
      </w:pPr>
      <w:r w:rsidRPr="0046053E">
        <w:rPr>
          <w:rFonts w:cstheme="minorHAnsi"/>
          <w:sz w:val="24"/>
          <w:szCs w:val="24"/>
          <w:u w:val="single"/>
        </w:rPr>
        <w:t xml:space="preserve">Program 1102 Mjesna samouprava </w:t>
      </w:r>
    </w:p>
    <w:p w14:paraId="12F64922" w14:textId="5E723597" w:rsidR="003B33E7" w:rsidRPr="00D361F6" w:rsidRDefault="00E33636" w:rsidP="003B33E7">
      <w:pPr>
        <w:spacing w:after="0"/>
        <w:jc w:val="both"/>
        <w:rPr>
          <w:rFonts w:cstheme="minorHAnsi"/>
        </w:rPr>
      </w:pPr>
      <w:r>
        <w:rPr>
          <w:rFonts w:cstheme="minorHAnsi"/>
          <w:sz w:val="24"/>
          <w:szCs w:val="24"/>
        </w:rPr>
        <w:t>Ima</w:t>
      </w:r>
      <w:r w:rsidRPr="00E33636">
        <w:rPr>
          <w:rFonts w:cstheme="minorHAnsi"/>
          <w:sz w:val="24"/>
          <w:szCs w:val="24"/>
        </w:rPr>
        <w:t xml:space="preserve"> za cilj osiguranje sredstava za aktivnosti koje provode mjesni odbori kao pretpostavku razvoja mjesne samouprave. Najvažniji dio aktivnosti predstavlja rashode za materijal i energiju, rashode za sitan inventar, usluge promidžbe i informiranja, reprezentacije za proslave dana mjesnih odbora.</w:t>
      </w:r>
      <w:r>
        <w:rPr>
          <w:rFonts w:cstheme="minorHAnsi"/>
          <w:sz w:val="24"/>
          <w:szCs w:val="24"/>
        </w:rPr>
        <w:t xml:space="preserve"> </w:t>
      </w:r>
    </w:p>
    <w:p w14:paraId="78C2E524" w14:textId="027433BC" w:rsidR="0053772D" w:rsidRDefault="0053772D" w:rsidP="0053772D">
      <w:pPr>
        <w:spacing w:after="0" w:line="240" w:lineRule="auto"/>
        <w:jc w:val="both"/>
        <w:rPr>
          <w:rFonts w:cstheme="minorHAnsi"/>
          <w:sz w:val="24"/>
          <w:szCs w:val="24"/>
        </w:rPr>
      </w:pPr>
      <w:r>
        <w:rPr>
          <w:rFonts w:cstheme="minorHAnsi"/>
          <w:sz w:val="24"/>
          <w:szCs w:val="24"/>
        </w:rPr>
        <w:t xml:space="preserve">Unutar navedenog programa imamo  1 aktivnost: </w:t>
      </w:r>
    </w:p>
    <w:p w14:paraId="67DD989A" w14:textId="5200A532" w:rsidR="0053772D" w:rsidRPr="00163698" w:rsidRDefault="0053772D" w:rsidP="0053772D">
      <w:pPr>
        <w:spacing w:after="0" w:line="240" w:lineRule="auto"/>
        <w:jc w:val="both"/>
        <w:rPr>
          <w:rFonts w:ascii="Calibri" w:hAnsi="Calibri" w:cs="Calibri"/>
          <w:sz w:val="24"/>
          <w:szCs w:val="24"/>
          <w:u w:val="single"/>
        </w:rPr>
      </w:pPr>
      <w:r>
        <w:rPr>
          <w:rFonts w:ascii="Calibri" w:eastAsia="Times New Roman" w:hAnsi="Calibri" w:cs="Calibri"/>
          <w:color w:val="000000"/>
          <w:sz w:val="24"/>
          <w:szCs w:val="24"/>
          <w:lang w:eastAsia="hr-HR"/>
        </w:rPr>
        <w:t xml:space="preserve"> </w:t>
      </w:r>
      <w:r w:rsidRPr="00163698">
        <w:rPr>
          <w:rFonts w:ascii="Calibri" w:eastAsia="Times New Roman" w:hAnsi="Calibri" w:cs="Calibri"/>
          <w:color w:val="000000"/>
          <w:sz w:val="24"/>
          <w:szCs w:val="24"/>
          <w:lang w:eastAsia="hr-HR"/>
        </w:rPr>
        <w:t>A10000</w:t>
      </w:r>
      <w:r>
        <w:rPr>
          <w:rFonts w:ascii="Calibri" w:eastAsia="Times New Roman" w:hAnsi="Calibri" w:cs="Calibri"/>
          <w:color w:val="000000"/>
          <w:sz w:val="24"/>
          <w:szCs w:val="24"/>
          <w:lang w:eastAsia="hr-HR"/>
        </w:rPr>
        <w:t>8</w:t>
      </w:r>
      <w:r w:rsidRPr="00163698">
        <w:rPr>
          <w:rFonts w:ascii="Calibri" w:eastAsia="Times New Roman" w:hAnsi="Calibri" w:cs="Calibri"/>
          <w:color w:val="000000"/>
          <w:sz w:val="24"/>
          <w:szCs w:val="24"/>
          <w:lang w:eastAsia="hr-HR"/>
        </w:rPr>
        <w:t xml:space="preserve"> </w:t>
      </w:r>
      <w:r>
        <w:rPr>
          <w:rFonts w:ascii="Calibri" w:eastAsia="Times New Roman" w:hAnsi="Calibri" w:cs="Calibri"/>
          <w:color w:val="000000"/>
          <w:sz w:val="24"/>
          <w:szCs w:val="24"/>
          <w:lang w:eastAsia="hr-HR"/>
        </w:rPr>
        <w:t xml:space="preserve">Mjesna samouprava </w:t>
      </w:r>
    </w:p>
    <w:p w14:paraId="71210F63" w14:textId="4BB10F3D" w:rsidR="00F35414" w:rsidRDefault="0053772D" w:rsidP="007B26FB">
      <w:pPr>
        <w:spacing w:after="0"/>
        <w:jc w:val="both"/>
        <w:rPr>
          <w:rFonts w:cstheme="minorHAnsi"/>
          <w:sz w:val="24"/>
          <w:szCs w:val="24"/>
        </w:rPr>
      </w:pPr>
      <w:r>
        <w:rPr>
          <w:rFonts w:cstheme="minorHAnsi"/>
          <w:sz w:val="24"/>
          <w:szCs w:val="24"/>
        </w:rPr>
        <w:t xml:space="preserve"> </w:t>
      </w:r>
      <w:r w:rsidR="007B26FB" w:rsidRPr="0046053E">
        <w:rPr>
          <w:rFonts w:cstheme="minorHAnsi"/>
          <w:sz w:val="24"/>
          <w:szCs w:val="24"/>
        </w:rPr>
        <w:t>Na rashode koji se odnose na rad mjesne samouprave</w:t>
      </w:r>
      <w:r w:rsidR="00CF17C9">
        <w:rPr>
          <w:rFonts w:cstheme="minorHAnsi"/>
          <w:sz w:val="24"/>
          <w:szCs w:val="24"/>
        </w:rPr>
        <w:t xml:space="preserve"> u </w:t>
      </w:r>
      <w:r w:rsidR="0020042D">
        <w:rPr>
          <w:rFonts w:cstheme="minorHAnsi"/>
          <w:sz w:val="24"/>
          <w:szCs w:val="24"/>
        </w:rPr>
        <w:t xml:space="preserve"> 202</w:t>
      </w:r>
      <w:r w:rsidR="00FF284E">
        <w:rPr>
          <w:rFonts w:cstheme="minorHAnsi"/>
          <w:sz w:val="24"/>
          <w:szCs w:val="24"/>
        </w:rPr>
        <w:t>5</w:t>
      </w:r>
      <w:r w:rsidR="00A936E0" w:rsidRPr="0046053E">
        <w:rPr>
          <w:rFonts w:cstheme="minorHAnsi"/>
          <w:sz w:val="24"/>
          <w:szCs w:val="24"/>
        </w:rPr>
        <w:t>.</w:t>
      </w:r>
      <w:r w:rsidR="00791284" w:rsidRPr="0046053E">
        <w:rPr>
          <w:rFonts w:cstheme="minorHAnsi"/>
          <w:sz w:val="24"/>
          <w:szCs w:val="24"/>
        </w:rPr>
        <w:t xml:space="preserve"> </w:t>
      </w:r>
      <w:r w:rsidR="0020042D">
        <w:rPr>
          <w:rFonts w:cstheme="minorHAnsi"/>
          <w:sz w:val="24"/>
          <w:szCs w:val="24"/>
        </w:rPr>
        <w:t>godin</w:t>
      </w:r>
      <w:r w:rsidR="006613A4">
        <w:rPr>
          <w:rFonts w:cstheme="minorHAnsi"/>
          <w:sz w:val="24"/>
          <w:szCs w:val="24"/>
        </w:rPr>
        <w:t>i</w:t>
      </w:r>
      <w:r w:rsidR="007B26FB" w:rsidRPr="0046053E">
        <w:rPr>
          <w:rFonts w:cstheme="minorHAnsi"/>
          <w:sz w:val="24"/>
          <w:szCs w:val="24"/>
        </w:rPr>
        <w:t xml:space="preserve"> utrošeno je ukupno </w:t>
      </w:r>
      <w:r w:rsidR="00FF284E">
        <w:rPr>
          <w:rFonts w:cstheme="minorHAnsi"/>
          <w:sz w:val="24"/>
          <w:szCs w:val="24"/>
        </w:rPr>
        <w:t>14.527,40</w:t>
      </w:r>
      <w:r w:rsidR="0020042D">
        <w:rPr>
          <w:rFonts w:cstheme="minorHAnsi"/>
          <w:sz w:val="24"/>
          <w:szCs w:val="24"/>
        </w:rPr>
        <w:t xml:space="preserve"> eura</w:t>
      </w:r>
      <w:r w:rsidR="006613A4">
        <w:rPr>
          <w:rFonts w:cstheme="minorHAnsi"/>
          <w:sz w:val="24"/>
          <w:szCs w:val="24"/>
        </w:rPr>
        <w:t xml:space="preserve"> ili </w:t>
      </w:r>
      <w:r w:rsidR="00FF284E">
        <w:rPr>
          <w:rFonts w:cstheme="minorHAnsi"/>
          <w:sz w:val="24"/>
          <w:szCs w:val="24"/>
        </w:rPr>
        <w:t>44,98</w:t>
      </w:r>
      <w:r w:rsidR="006613A4">
        <w:rPr>
          <w:rFonts w:cstheme="minorHAnsi"/>
          <w:sz w:val="24"/>
          <w:szCs w:val="24"/>
        </w:rPr>
        <w:t>% plana.</w:t>
      </w:r>
      <w:r w:rsidR="00FF284E">
        <w:rPr>
          <w:rFonts w:cstheme="minorHAnsi"/>
          <w:sz w:val="24"/>
          <w:szCs w:val="24"/>
        </w:rPr>
        <w:t xml:space="preserve"> </w:t>
      </w:r>
      <w:r w:rsidR="007B26FB" w:rsidRPr="0046053E">
        <w:rPr>
          <w:rFonts w:cstheme="minorHAnsi"/>
          <w:sz w:val="24"/>
          <w:szCs w:val="24"/>
        </w:rPr>
        <w:t xml:space="preserve">Gore spomenuti rashodi odnose se na </w:t>
      </w:r>
      <w:r w:rsidR="001D0E33">
        <w:rPr>
          <w:rFonts w:cstheme="minorHAnsi"/>
          <w:sz w:val="24"/>
          <w:szCs w:val="24"/>
        </w:rPr>
        <w:t xml:space="preserve">troškove za </w:t>
      </w:r>
      <w:r w:rsidR="00A936E0" w:rsidRPr="0046053E">
        <w:rPr>
          <w:rFonts w:cstheme="minorHAnsi"/>
          <w:sz w:val="24"/>
          <w:szCs w:val="24"/>
        </w:rPr>
        <w:t>energiju,</w:t>
      </w:r>
      <w:r w:rsidR="007B26FB" w:rsidRPr="0046053E">
        <w:rPr>
          <w:rFonts w:cstheme="minorHAnsi"/>
          <w:sz w:val="24"/>
          <w:szCs w:val="24"/>
        </w:rPr>
        <w:t xml:space="preserve"> usluge telefona i pošte</w:t>
      </w:r>
      <w:r w:rsidR="001D0E33">
        <w:rPr>
          <w:rFonts w:cstheme="minorHAnsi"/>
          <w:sz w:val="24"/>
          <w:szCs w:val="24"/>
        </w:rPr>
        <w:t>, tekućeg i investicijskog održavanja</w:t>
      </w:r>
      <w:r w:rsidR="00791284" w:rsidRPr="0046053E">
        <w:rPr>
          <w:rFonts w:cstheme="minorHAnsi"/>
          <w:sz w:val="24"/>
          <w:szCs w:val="24"/>
        </w:rPr>
        <w:t>,</w:t>
      </w:r>
      <w:r w:rsidR="007B26FB" w:rsidRPr="0046053E">
        <w:rPr>
          <w:rFonts w:cstheme="minorHAnsi"/>
          <w:sz w:val="24"/>
          <w:szCs w:val="24"/>
        </w:rPr>
        <w:t xml:space="preserve"> komunalne usluge</w:t>
      </w:r>
      <w:r w:rsidR="0020042D">
        <w:rPr>
          <w:rFonts w:cstheme="minorHAnsi"/>
          <w:sz w:val="24"/>
          <w:szCs w:val="24"/>
        </w:rPr>
        <w:t xml:space="preserve"> </w:t>
      </w:r>
      <w:r w:rsidR="002B4E6D">
        <w:rPr>
          <w:rFonts w:cstheme="minorHAnsi"/>
          <w:sz w:val="24"/>
          <w:szCs w:val="24"/>
        </w:rPr>
        <w:t>kao i troškove reprezentacije za proslavu dana M</w:t>
      </w:r>
      <w:r w:rsidR="003B33E7">
        <w:rPr>
          <w:rFonts w:cstheme="minorHAnsi"/>
          <w:sz w:val="24"/>
          <w:szCs w:val="24"/>
        </w:rPr>
        <w:t>O.</w:t>
      </w:r>
      <w:r w:rsidR="003B33E7" w:rsidRPr="003B33E7">
        <w:rPr>
          <w:rFonts w:cstheme="minorHAnsi"/>
        </w:rPr>
        <w:t xml:space="preserve"> </w:t>
      </w:r>
      <w:r w:rsidR="003B33E7" w:rsidRPr="003B33E7">
        <w:rPr>
          <w:rFonts w:cstheme="minorHAnsi"/>
          <w:sz w:val="24"/>
          <w:szCs w:val="24"/>
        </w:rPr>
        <w:t>Tijekom godine u posljednjem tromjesečju, zaključen je ugovor o donaciji privatnih tvrtki povezanih s otokom Drvenik Veliki, radi nabave prijenosnog računala (</w:t>
      </w:r>
      <w:proofErr w:type="spellStart"/>
      <w:r w:rsidR="003B33E7" w:rsidRPr="003B33E7">
        <w:rPr>
          <w:rFonts w:cstheme="minorHAnsi"/>
          <w:sz w:val="24"/>
          <w:szCs w:val="24"/>
        </w:rPr>
        <w:t>notebook</w:t>
      </w:r>
      <w:proofErr w:type="spellEnd"/>
      <w:r w:rsidR="003B33E7" w:rsidRPr="003B33E7">
        <w:rPr>
          <w:rFonts w:cstheme="minorHAnsi"/>
          <w:sz w:val="24"/>
          <w:szCs w:val="24"/>
        </w:rPr>
        <w:t>-a), projektora i platna, za što će donatori osigurati financijska sredstva uplatom na račun Grada Trogira u svrhu iste nabave</w:t>
      </w:r>
      <w:r w:rsidR="003B33E7">
        <w:rPr>
          <w:rFonts w:cstheme="minorHAnsi"/>
          <w:sz w:val="24"/>
          <w:szCs w:val="24"/>
        </w:rPr>
        <w:t>, što je i realizirano.</w:t>
      </w:r>
    </w:p>
    <w:p w14:paraId="0C742313" w14:textId="77777777" w:rsidR="00E71D2F" w:rsidRDefault="00E71D2F" w:rsidP="007B26FB">
      <w:pPr>
        <w:spacing w:after="0"/>
        <w:jc w:val="both"/>
        <w:rPr>
          <w:rFonts w:cstheme="minorHAnsi"/>
          <w:sz w:val="24"/>
          <w:szCs w:val="24"/>
        </w:rPr>
      </w:pPr>
    </w:p>
    <w:p w14:paraId="1C5832D7" w14:textId="77777777" w:rsidR="00E33636" w:rsidRDefault="00E33636" w:rsidP="007B26FB">
      <w:pPr>
        <w:spacing w:after="0"/>
        <w:jc w:val="both"/>
        <w:rPr>
          <w:rFonts w:cstheme="minorHAnsi"/>
          <w:sz w:val="24"/>
          <w:szCs w:val="24"/>
          <w:u w:val="single"/>
        </w:rPr>
      </w:pPr>
      <w:r w:rsidRPr="00F35414">
        <w:rPr>
          <w:rFonts w:cstheme="minorHAnsi"/>
          <w:sz w:val="24"/>
          <w:szCs w:val="24"/>
          <w:u w:val="single"/>
        </w:rPr>
        <w:t>Program 1601</w:t>
      </w:r>
      <w:r w:rsidR="00827604" w:rsidRPr="00F35414">
        <w:rPr>
          <w:rFonts w:cstheme="minorHAnsi"/>
          <w:sz w:val="24"/>
          <w:szCs w:val="24"/>
          <w:u w:val="single"/>
        </w:rPr>
        <w:t xml:space="preserve"> </w:t>
      </w:r>
      <w:r w:rsidRPr="00F35414">
        <w:rPr>
          <w:rFonts w:cstheme="minorHAnsi"/>
          <w:sz w:val="24"/>
          <w:szCs w:val="24"/>
          <w:u w:val="single"/>
        </w:rPr>
        <w:t>O</w:t>
      </w:r>
      <w:r w:rsidR="00816631" w:rsidRPr="00F35414">
        <w:rPr>
          <w:rFonts w:cstheme="minorHAnsi"/>
          <w:sz w:val="24"/>
          <w:szCs w:val="24"/>
          <w:u w:val="single"/>
        </w:rPr>
        <w:t>državanje prostora u vlasništvu i suvlasništvu Grada</w:t>
      </w:r>
    </w:p>
    <w:p w14:paraId="7F7A81FA" w14:textId="7989AEC8" w:rsidR="0053772D" w:rsidRPr="003B33E7" w:rsidRDefault="003B33E7" w:rsidP="003B33E7">
      <w:pPr>
        <w:spacing w:after="0"/>
        <w:rPr>
          <w:rFonts w:eastAsia="Times New Roman" w:cstheme="minorHAnsi"/>
          <w:sz w:val="24"/>
          <w:szCs w:val="24"/>
          <w:lang w:eastAsia="hr-HR"/>
        </w:rPr>
      </w:pPr>
      <w:r w:rsidRPr="003B33E7">
        <w:rPr>
          <w:rFonts w:eastAsia="Times New Roman" w:cstheme="minorHAnsi"/>
          <w:sz w:val="24"/>
          <w:szCs w:val="24"/>
          <w:lang w:eastAsia="hr-HR"/>
        </w:rPr>
        <w:t xml:space="preserve">Ciljevi programa su održavanje poslovnih prostora u vlasništvu grada pogodnim za korištenje. </w:t>
      </w:r>
      <w:r w:rsidR="00BF67F1" w:rsidRPr="00F35414">
        <w:rPr>
          <w:rFonts w:cstheme="minorHAnsi"/>
          <w:sz w:val="24"/>
          <w:szCs w:val="24"/>
        </w:rPr>
        <w:t>U sklopu navedenog programa</w:t>
      </w:r>
      <w:r w:rsidR="0053772D">
        <w:rPr>
          <w:rFonts w:cstheme="minorHAnsi"/>
          <w:sz w:val="24"/>
          <w:szCs w:val="24"/>
        </w:rPr>
        <w:t xml:space="preserve"> imamo 1</w:t>
      </w:r>
      <w:r w:rsidR="00BF67F1" w:rsidRPr="00F35414">
        <w:rPr>
          <w:rFonts w:cstheme="minorHAnsi"/>
          <w:sz w:val="24"/>
          <w:szCs w:val="24"/>
        </w:rPr>
        <w:t xml:space="preserve"> aktivnost</w:t>
      </w:r>
      <w:r w:rsidR="0053772D">
        <w:rPr>
          <w:rFonts w:cstheme="minorHAnsi"/>
          <w:sz w:val="24"/>
          <w:szCs w:val="24"/>
        </w:rPr>
        <w:t>:</w:t>
      </w:r>
    </w:p>
    <w:p w14:paraId="3F8DB1F7" w14:textId="7F7C2D54" w:rsidR="0053772D" w:rsidRDefault="0053772D" w:rsidP="00BF67F1">
      <w:pPr>
        <w:jc w:val="both"/>
        <w:rPr>
          <w:rFonts w:cstheme="minorHAnsi"/>
          <w:sz w:val="24"/>
          <w:szCs w:val="24"/>
        </w:rPr>
      </w:pPr>
      <w:r>
        <w:rPr>
          <w:rFonts w:cstheme="minorHAnsi"/>
          <w:sz w:val="24"/>
          <w:szCs w:val="24"/>
        </w:rPr>
        <w:t>A100003 Održavanje prostora u vlasništvu i suvlasništvu Grada</w:t>
      </w:r>
    </w:p>
    <w:p w14:paraId="7EA32EE7" w14:textId="1F7A2606" w:rsidR="00BF67F1" w:rsidRDefault="003B33E7" w:rsidP="00BF67F1">
      <w:pPr>
        <w:jc w:val="both"/>
        <w:rPr>
          <w:rFonts w:cstheme="minorHAnsi"/>
          <w:sz w:val="24"/>
          <w:szCs w:val="24"/>
        </w:rPr>
      </w:pPr>
      <w:r>
        <w:rPr>
          <w:rFonts w:cstheme="minorHAnsi"/>
          <w:sz w:val="24"/>
          <w:szCs w:val="24"/>
        </w:rPr>
        <w:lastRenderedPageBreak/>
        <w:t>Za navedenu aktivnost planirana su sredstva</w:t>
      </w:r>
      <w:r w:rsidR="00BF67F1" w:rsidRPr="00F35414">
        <w:rPr>
          <w:rFonts w:cstheme="minorHAnsi"/>
          <w:sz w:val="24"/>
          <w:szCs w:val="24"/>
        </w:rPr>
        <w:t xml:space="preserve"> u iznosu od </w:t>
      </w:r>
      <w:r w:rsidR="0053772D">
        <w:rPr>
          <w:rFonts w:cstheme="minorHAnsi"/>
          <w:sz w:val="24"/>
          <w:szCs w:val="24"/>
        </w:rPr>
        <w:t>27</w:t>
      </w:r>
      <w:r w:rsidR="00A328F2">
        <w:rPr>
          <w:rFonts w:cstheme="minorHAnsi"/>
          <w:sz w:val="24"/>
          <w:szCs w:val="24"/>
        </w:rPr>
        <w:t>.000,00</w:t>
      </w:r>
      <w:r w:rsidR="00A71BA8" w:rsidRPr="00F35414">
        <w:rPr>
          <w:rFonts w:cstheme="minorHAnsi"/>
          <w:sz w:val="24"/>
          <w:szCs w:val="24"/>
        </w:rPr>
        <w:t xml:space="preserve"> eura</w:t>
      </w:r>
      <w:r w:rsidR="00BF67F1" w:rsidRPr="00F35414">
        <w:rPr>
          <w:rFonts w:cstheme="minorHAnsi"/>
          <w:sz w:val="24"/>
          <w:szCs w:val="24"/>
        </w:rPr>
        <w:t xml:space="preserve"> za potrebe uređenja uredskih prostorija </w:t>
      </w:r>
      <w:r w:rsidR="00F35414" w:rsidRPr="00F35414">
        <w:rPr>
          <w:rFonts w:cstheme="minorHAnsi"/>
          <w:sz w:val="24"/>
          <w:szCs w:val="24"/>
        </w:rPr>
        <w:t xml:space="preserve">i drugih prostora u vlasništvu Grada. </w:t>
      </w:r>
      <w:r w:rsidR="00BF67F1" w:rsidRPr="00F35414">
        <w:rPr>
          <w:rFonts w:cstheme="minorHAnsi"/>
          <w:sz w:val="24"/>
          <w:szCs w:val="24"/>
        </w:rPr>
        <w:t>Navedena aktivnost</w:t>
      </w:r>
      <w:r w:rsidR="00A328F2">
        <w:rPr>
          <w:rFonts w:cstheme="minorHAnsi"/>
          <w:sz w:val="24"/>
          <w:szCs w:val="24"/>
        </w:rPr>
        <w:t xml:space="preserve"> ne</w:t>
      </w:r>
      <w:r w:rsidR="00BF67F1" w:rsidRPr="00F35414">
        <w:rPr>
          <w:rFonts w:cstheme="minorHAnsi"/>
          <w:sz w:val="24"/>
          <w:szCs w:val="24"/>
        </w:rPr>
        <w:t xml:space="preserve"> bilježi ostvarenje </w:t>
      </w:r>
      <w:r w:rsidR="00A328F2">
        <w:rPr>
          <w:rFonts w:cstheme="minorHAnsi"/>
          <w:sz w:val="24"/>
          <w:szCs w:val="24"/>
        </w:rPr>
        <w:t>u izvještajnom razdoblju.</w:t>
      </w:r>
    </w:p>
    <w:p w14:paraId="337F43BB" w14:textId="77777777" w:rsidR="003B33E7" w:rsidRDefault="0053772D" w:rsidP="003B33E7">
      <w:pPr>
        <w:spacing w:after="0"/>
        <w:jc w:val="both"/>
        <w:rPr>
          <w:rFonts w:cstheme="minorHAnsi"/>
          <w:sz w:val="24"/>
          <w:szCs w:val="24"/>
          <w:u w:val="single"/>
        </w:rPr>
      </w:pPr>
      <w:r w:rsidRPr="0053772D">
        <w:rPr>
          <w:rFonts w:cstheme="minorHAnsi"/>
          <w:sz w:val="24"/>
          <w:szCs w:val="24"/>
          <w:u w:val="single"/>
        </w:rPr>
        <w:t>Program 1605 Investicije na objektima od javnog interesa</w:t>
      </w:r>
    </w:p>
    <w:p w14:paraId="1D6D83DB" w14:textId="0FDB82A0" w:rsidR="0053772D" w:rsidRDefault="0053772D" w:rsidP="003B33E7">
      <w:pPr>
        <w:spacing w:after="0"/>
        <w:jc w:val="both"/>
        <w:rPr>
          <w:rFonts w:cstheme="minorHAnsi"/>
          <w:bCs/>
          <w:sz w:val="24"/>
          <w:szCs w:val="24"/>
        </w:rPr>
      </w:pPr>
      <w:r w:rsidRPr="0053772D">
        <w:rPr>
          <w:rFonts w:cstheme="minorHAnsi"/>
          <w:bCs/>
          <w:sz w:val="24"/>
          <w:szCs w:val="24"/>
        </w:rPr>
        <w:t xml:space="preserve">U okviru ovog programa obavljaju se poslovi koji obuhvaćaju legalizaciju i </w:t>
      </w:r>
      <w:proofErr w:type="spellStart"/>
      <w:r w:rsidRPr="0053772D">
        <w:rPr>
          <w:rFonts w:cstheme="minorHAnsi"/>
          <w:bCs/>
          <w:sz w:val="24"/>
          <w:szCs w:val="24"/>
        </w:rPr>
        <w:t>etažiranje</w:t>
      </w:r>
      <w:proofErr w:type="spellEnd"/>
      <w:r w:rsidRPr="0053772D">
        <w:rPr>
          <w:rFonts w:cstheme="minorHAnsi"/>
          <w:bCs/>
          <w:sz w:val="24"/>
          <w:szCs w:val="24"/>
        </w:rPr>
        <w:t xml:space="preserve"> objekata u vlasništvu i suvlasništvu Grada Trogira</w:t>
      </w:r>
      <w:r w:rsidR="00E71D2F">
        <w:rPr>
          <w:rFonts w:cstheme="minorHAnsi"/>
          <w:bCs/>
          <w:sz w:val="24"/>
          <w:szCs w:val="24"/>
        </w:rPr>
        <w:t xml:space="preserve"> te sufinanciranje izgradnje POS stanova.</w:t>
      </w:r>
    </w:p>
    <w:p w14:paraId="1D8EA98F" w14:textId="6747B010" w:rsidR="003B33E7" w:rsidRPr="003B33E7" w:rsidRDefault="003B33E7" w:rsidP="003B33E7">
      <w:pPr>
        <w:spacing w:after="0"/>
        <w:rPr>
          <w:rFonts w:eastAsia="Times New Roman" w:cstheme="minorHAnsi"/>
          <w:sz w:val="24"/>
          <w:szCs w:val="24"/>
          <w:lang w:eastAsia="hr-HR"/>
        </w:rPr>
      </w:pPr>
      <w:r w:rsidRPr="00F35414">
        <w:rPr>
          <w:rFonts w:cstheme="minorHAnsi"/>
          <w:sz w:val="24"/>
          <w:szCs w:val="24"/>
        </w:rPr>
        <w:t>U sklopu navedenog programa</w:t>
      </w:r>
      <w:r>
        <w:rPr>
          <w:rFonts w:cstheme="minorHAnsi"/>
          <w:sz w:val="24"/>
          <w:szCs w:val="24"/>
        </w:rPr>
        <w:t xml:space="preserve"> imamo 3</w:t>
      </w:r>
      <w:r w:rsidRPr="00F35414">
        <w:rPr>
          <w:rFonts w:cstheme="minorHAnsi"/>
          <w:sz w:val="24"/>
          <w:szCs w:val="24"/>
        </w:rPr>
        <w:t xml:space="preserve"> </w:t>
      </w:r>
      <w:r>
        <w:rPr>
          <w:rFonts w:cstheme="minorHAnsi"/>
          <w:sz w:val="24"/>
          <w:szCs w:val="24"/>
        </w:rPr>
        <w:t>kapitalna projekta:</w:t>
      </w:r>
    </w:p>
    <w:p w14:paraId="10093A7E" w14:textId="77777777" w:rsidR="003B33E7" w:rsidRDefault="003B33E7" w:rsidP="003B33E7">
      <w:pPr>
        <w:spacing w:after="0"/>
        <w:jc w:val="both"/>
        <w:rPr>
          <w:rFonts w:cstheme="minorHAnsi"/>
          <w:sz w:val="24"/>
          <w:szCs w:val="24"/>
        </w:rPr>
      </w:pPr>
      <w:r>
        <w:rPr>
          <w:rFonts w:cstheme="minorHAnsi"/>
          <w:sz w:val="24"/>
          <w:szCs w:val="24"/>
        </w:rPr>
        <w:t>K100033 Legalizacija objekata u vlasništvu Grada</w:t>
      </w:r>
    </w:p>
    <w:p w14:paraId="57D67C0A" w14:textId="77777777" w:rsidR="003B33E7" w:rsidRDefault="003B33E7" w:rsidP="003B33E7">
      <w:pPr>
        <w:spacing w:after="0"/>
        <w:jc w:val="both"/>
        <w:rPr>
          <w:rFonts w:cstheme="minorHAnsi"/>
          <w:sz w:val="24"/>
          <w:szCs w:val="24"/>
        </w:rPr>
      </w:pPr>
      <w:r>
        <w:rPr>
          <w:rFonts w:cstheme="minorHAnsi"/>
          <w:sz w:val="24"/>
          <w:szCs w:val="24"/>
        </w:rPr>
        <w:t xml:space="preserve">K100049 </w:t>
      </w:r>
      <w:proofErr w:type="spellStart"/>
      <w:r>
        <w:rPr>
          <w:rFonts w:cstheme="minorHAnsi"/>
          <w:sz w:val="24"/>
          <w:szCs w:val="24"/>
        </w:rPr>
        <w:t>Etažiranje</w:t>
      </w:r>
      <w:proofErr w:type="spellEnd"/>
      <w:r>
        <w:rPr>
          <w:rFonts w:cstheme="minorHAnsi"/>
          <w:sz w:val="24"/>
          <w:szCs w:val="24"/>
        </w:rPr>
        <w:t xml:space="preserve"> objekata u vlasništvu Grada</w:t>
      </w:r>
    </w:p>
    <w:p w14:paraId="56F06E00" w14:textId="7DB384B3" w:rsidR="003B33E7" w:rsidRDefault="003B33E7" w:rsidP="003B33E7">
      <w:pPr>
        <w:spacing w:after="0"/>
        <w:jc w:val="both"/>
        <w:rPr>
          <w:rFonts w:cstheme="minorHAnsi"/>
          <w:sz w:val="24"/>
          <w:szCs w:val="24"/>
        </w:rPr>
      </w:pPr>
      <w:r>
        <w:rPr>
          <w:rFonts w:cstheme="minorHAnsi"/>
          <w:sz w:val="24"/>
          <w:szCs w:val="24"/>
        </w:rPr>
        <w:t xml:space="preserve">K100117 Sufinanciranje izgradnje POS stanova </w:t>
      </w:r>
    </w:p>
    <w:p w14:paraId="0FFAF12F" w14:textId="054AFEA9" w:rsidR="00E71D2F" w:rsidRPr="00E71D2F" w:rsidRDefault="00E71D2F" w:rsidP="00E71D2F">
      <w:pPr>
        <w:jc w:val="both"/>
        <w:rPr>
          <w:rFonts w:cstheme="minorHAnsi"/>
          <w:sz w:val="24"/>
          <w:szCs w:val="24"/>
        </w:rPr>
      </w:pPr>
      <w:r w:rsidRPr="00E71D2F">
        <w:rPr>
          <w:rFonts w:cstheme="minorHAnsi"/>
          <w:sz w:val="24"/>
          <w:szCs w:val="24"/>
        </w:rPr>
        <w:t xml:space="preserve">II. izmjenama i dopunama proračuna za 2025.godinu planiran je novi projekt „Sufinanciranje izgradnje POS stanova koji ima za cilj bespovratno sufinancirati građenje višestambene građevine program POS u Gradu Trogiru sukladno zahtjevu AGENCIJE ZA PRAVNI PROMET I POSREDOVANJE NEKRETNINAMA (dalje u tekstu: APN). </w:t>
      </w:r>
    </w:p>
    <w:p w14:paraId="218F581D" w14:textId="77777777" w:rsidR="00E71D2F" w:rsidRDefault="00E71D2F" w:rsidP="00E71D2F">
      <w:pPr>
        <w:jc w:val="both"/>
        <w:rPr>
          <w:rFonts w:cstheme="minorHAnsi"/>
          <w:sz w:val="24"/>
          <w:szCs w:val="24"/>
        </w:rPr>
      </w:pPr>
      <w:r w:rsidRPr="0063343D">
        <w:rPr>
          <w:rFonts w:cstheme="minorHAnsi"/>
          <w:sz w:val="24"/>
          <w:szCs w:val="24"/>
        </w:rPr>
        <w:t>Planirana sredstva za navedeni pr</w:t>
      </w:r>
      <w:r>
        <w:rPr>
          <w:rFonts w:cstheme="minorHAnsi"/>
          <w:sz w:val="24"/>
          <w:szCs w:val="24"/>
        </w:rPr>
        <w:t>ogram</w:t>
      </w:r>
      <w:r w:rsidRPr="0063343D">
        <w:rPr>
          <w:rFonts w:cstheme="minorHAnsi"/>
          <w:sz w:val="24"/>
          <w:szCs w:val="24"/>
        </w:rPr>
        <w:t xml:space="preserve"> iznose </w:t>
      </w:r>
      <w:r>
        <w:rPr>
          <w:rFonts w:cstheme="minorHAnsi"/>
          <w:sz w:val="24"/>
          <w:szCs w:val="24"/>
        </w:rPr>
        <w:t>166.940,00</w:t>
      </w:r>
      <w:r w:rsidRPr="0063343D">
        <w:rPr>
          <w:rFonts w:cstheme="minorHAnsi"/>
          <w:sz w:val="24"/>
          <w:szCs w:val="24"/>
        </w:rPr>
        <w:t xml:space="preserve"> eura, </w:t>
      </w:r>
      <w:r>
        <w:rPr>
          <w:rFonts w:cstheme="minorHAnsi"/>
          <w:sz w:val="24"/>
          <w:szCs w:val="24"/>
        </w:rPr>
        <w:t>bez realizacije u izvještajnom razdoblju 2025.godine.</w:t>
      </w:r>
    </w:p>
    <w:p w14:paraId="56A43B10" w14:textId="5B1E0388" w:rsidR="00387CB3" w:rsidRDefault="00387CB3" w:rsidP="00387CB3">
      <w:pPr>
        <w:tabs>
          <w:tab w:val="left" w:pos="180"/>
        </w:tabs>
        <w:spacing w:after="0"/>
        <w:jc w:val="both"/>
        <w:rPr>
          <w:rFonts w:cstheme="minorHAnsi"/>
          <w:sz w:val="24"/>
          <w:szCs w:val="24"/>
          <w:u w:val="single"/>
        </w:rPr>
      </w:pPr>
      <w:r>
        <w:rPr>
          <w:rFonts w:cstheme="minorHAnsi"/>
          <w:sz w:val="24"/>
          <w:szCs w:val="24"/>
          <w:u w:val="single"/>
        </w:rPr>
        <w:t xml:space="preserve">Program 1609 Upravljanje imovinom </w:t>
      </w:r>
    </w:p>
    <w:p w14:paraId="6D1566F9" w14:textId="7638E3F4" w:rsidR="00E71D2F" w:rsidRDefault="00387CB3" w:rsidP="00A328F2">
      <w:pPr>
        <w:spacing w:after="0"/>
        <w:jc w:val="both"/>
        <w:rPr>
          <w:rFonts w:cstheme="minorHAnsi"/>
          <w:sz w:val="24"/>
          <w:szCs w:val="24"/>
        </w:rPr>
      </w:pPr>
      <w:r>
        <w:rPr>
          <w:rFonts w:cstheme="minorHAnsi"/>
          <w:sz w:val="24"/>
          <w:szCs w:val="24"/>
        </w:rPr>
        <w:t>Navedeni program obuhvaća</w:t>
      </w:r>
      <w:r w:rsidR="00E71D2F">
        <w:rPr>
          <w:rFonts w:cstheme="minorHAnsi"/>
          <w:sz w:val="24"/>
          <w:szCs w:val="24"/>
        </w:rPr>
        <w:t xml:space="preserve"> 1 aktivnost i 2 kapitalna projekta:</w:t>
      </w:r>
    </w:p>
    <w:p w14:paraId="75891BD0" w14:textId="117C35CD" w:rsidR="00E71D2F" w:rsidRDefault="00E71D2F" w:rsidP="00A328F2">
      <w:pPr>
        <w:spacing w:after="0"/>
        <w:jc w:val="both"/>
        <w:rPr>
          <w:rFonts w:cstheme="minorHAnsi"/>
          <w:sz w:val="24"/>
          <w:szCs w:val="24"/>
        </w:rPr>
      </w:pPr>
      <w:r>
        <w:rPr>
          <w:rFonts w:cstheme="minorHAnsi"/>
          <w:sz w:val="24"/>
          <w:szCs w:val="24"/>
        </w:rPr>
        <w:t>A1100072 Pokriće troškova prijevoza putnika u javnom prometu</w:t>
      </w:r>
    </w:p>
    <w:p w14:paraId="671A99F2" w14:textId="273E15B0" w:rsidR="00E71D2F" w:rsidRDefault="00E71D2F" w:rsidP="00A328F2">
      <w:pPr>
        <w:spacing w:after="0"/>
        <w:jc w:val="both"/>
        <w:rPr>
          <w:rFonts w:cstheme="minorHAnsi"/>
          <w:sz w:val="24"/>
          <w:szCs w:val="24"/>
        </w:rPr>
      </w:pPr>
      <w:r>
        <w:rPr>
          <w:rFonts w:cstheme="minorHAnsi"/>
          <w:sz w:val="24"/>
          <w:szCs w:val="24"/>
        </w:rPr>
        <w:t xml:space="preserve">K100069 Nabava nekretnine </w:t>
      </w:r>
    </w:p>
    <w:p w14:paraId="16D5C75F" w14:textId="3F8CAF4F" w:rsidR="00E71D2F" w:rsidRDefault="00E71D2F" w:rsidP="00A328F2">
      <w:pPr>
        <w:spacing w:after="0"/>
        <w:jc w:val="both"/>
        <w:rPr>
          <w:rFonts w:cstheme="minorHAnsi"/>
          <w:sz w:val="24"/>
          <w:szCs w:val="24"/>
        </w:rPr>
      </w:pPr>
      <w:r>
        <w:rPr>
          <w:rFonts w:cstheme="minorHAnsi"/>
          <w:sz w:val="24"/>
          <w:szCs w:val="24"/>
        </w:rPr>
        <w:t>K100115 Nabava vozila</w:t>
      </w:r>
    </w:p>
    <w:p w14:paraId="6EEDAD4E" w14:textId="77777777" w:rsidR="00E71D2F" w:rsidRDefault="00E71D2F" w:rsidP="00A328F2">
      <w:pPr>
        <w:spacing w:after="0"/>
        <w:jc w:val="both"/>
        <w:rPr>
          <w:rFonts w:cstheme="minorHAnsi"/>
          <w:sz w:val="24"/>
          <w:szCs w:val="24"/>
        </w:rPr>
      </w:pPr>
    </w:p>
    <w:p w14:paraId="4B3552F9" w14:textId="7D30831E" w:rsidR="00A328F2" w:rsidRDefault="00E71D2F" w:rsidP="00A328F2">
      <w:pPr>
        <w:spacing w:after="0"/>
        <w:jc w:val="both"/>
        <w:rPr>
          <w:rFonts w:cstheme="minorHAnsi"/>
          <w:sz w:val="24"/>
          <w:szCs w:val="24"/>
        </w:rPr>
      </w:pPr>
      <w:r>
        <w:rPr>
          <w:rFonts w:cstheme="minorHAnsi"/>
          <w:sz w:val="24"/>
          <w:szCs w:val="24"/>
        </w:rPr>
        <w:t>A</w:t>
      </w:r>
      <w:r w:rsidR="00387CB3">
        <w:rPr>
          <w:rFonts w:cstheme="minorHAnsi"/>
          <w:sz w:val="24"/>
          <w:szCs w:val="24"/>
        </w:rPr>
        <w:t>ktivnost „Pokriće troškova prijevoza putni</w:t>
      </w:r>
      <w:r w:rsidR="006258C4">
        <w:rPr>
          <w:rFonts w:cstheme="minorHAnsi"/>
          <w:sz w:val="24"/>
          <w:szCs w:val="24"/>
        </w:rPr>
        <w:t>ka u javnom prometu“,</w:t>
      </w:r>
      <w:r w:rsidR="00C76F7F">
        <w:rPr>
          <w:rFonts w:cstheme="minorHAnsi"/>
          <w:sz w:val="24"/>
          <w:szCs w:val="24"/>
        </w:rPr>
        <w:t xml:space="preserve"> </w:t>
      </w:r>
      <w:r w:rsidR="006258C4">
        <w:rPr>
          <w:rFonts w:cstheme="minorHAnsi"/>
          <w:sz w:val="24"/>
          <w:szCs w:val="24"/>
        </w:rPr>
        <w:t xml:space="preserve">koja bilježi ostvarenje u </w:t>
      </w:r>
      <w:r w:rsidR="00A328F2">
        <w:rPr>
          <w:rFonts w:cstheme="minorHAnsi"/>
          <w:sz w:val="24"/>
          <w:szCs w:val="24"/>
        </w:rPr>
        <w:t>202</w:t>
      </w:r>
      <w:r>
        <w:rPr>
          <w:rFonts w:cstheme="minorHAnsi"/>
          <w:sz w:val="24"/>
          <w:szCs w:val="24"/>
        </w:rPr>
        <w:t>5</w:t>
      </w:r>
      <w:r w:rsidR="00A328F2">
        <w:rPr>
          <w:rFonts w:cstheme="minorHAnsi"/>
          <w:sz w:val="24"/>
          <w:szCs w:val="24"/>
        </w:rPr>
        <w:t xml:space="preserve">.godini </w:t>
      </w:r>
      <w:r w:rsidR="00387CB3">
        <w:rPr>
          <w:rFonts w:cstheme="minorHAnsi"/>
          <w:sz w:val="24"/>
          <w:szCs w:val="24"/>
        </w:rPr>
        <w:t xml:space="preserve">u iznosu od </w:t>
      </w:r>
      <w:r>
        <w:rPr>
          <w:rFonts w:cstheme="minorHAnsi"/>
          <w:sz w:val="24"/>
          <w:szCs w:val="24"/>
        </w:rPr>
        <w:t>578.625,72</w:t>
      </w:r>
      <w:r w:rsidR="004B53C5">
        <w:rPr>
          <w:rFonts w:cstheme="minorHAnsi"/>
          <w:sz w:val="24"/>
          <w:szCs w:val="24"/>
        </w:rPr>
        <w:t xml:space="preserve"> eura</w:t>
      </w:r>
      <w:r w:rsidR="00387CB3">
        <w:rPr>
          <w:rFonts w:cstheme="minorHAnsi"/>
          <w:sz w:val="24"/>
          <w:szCs w:val="24"/>
        </w:rPr>
        <w:t xml:space="preserve"> i to za subvencioniranje povlaštenog prijevoza učenika i studenata Grada temeljem sklopljenog Ugovora o komunalnom prijevozu putnika sukladno odredbama Uredbe (EZ) br. 1370/2007 sa prijevoznikom Promet d.o.o. iz Splita. </w:t>
      </w:r>
    </w:p>
    <w:p w14:paraId="013E3637" w14:textId="77777777" w:rsidR="00504007" w:rsidRDefault="00E71D2F" w:rsidP="00E71D2F">
      <w:pPr>
        <w:jc w:val="both"/>
        <w:rPr>
          <w:rFonts w:ascii="Times New Roman" w:hAnsi="Times New Roman" w:cs="Times New Roman"/>
        </w:rPr>
      </w:pPr>
      <w:r w:rsidRPr="00F97798">
        <w:rPr>
          <w:rFonts w:ascii="Times New Roman" w:hAnsi="Times New Roman" w:cs="Times New Roman"/>
        </w:rPr>
        <w:tab/>
      </w:r>
    </w:p>
    <w:p w14:paraId="1E70A6B2" w14:textId="60DFB561" w:rsidR="00E71D2F" w:rsidRPr="00504007" w:rsidRDefault="00E71D2F" w:rsidP="00E71D2F">
      <w:pPr>
        <w:jc w:val="both"/>
        <w:rPr>
          <w:rFonts w:ascii="Times New Roman" w:hAnsi="Times New Roman" w:cs="Times New Roman"/>
        </w:rPr>
      </w:pPr>
      <w:r w:rsidRPr="00E71D2F">
        <w:rPr>
          <w:rFonts w:cstheme="minorHAnsi"/>
          <w:sz w:val="24"/>
          <w:szCs w:val="24"/>
        </w:rPr>
        <w:t xml:space="preserve">Kapitalni projekt </w:t>
      </w:r>
      <w:r>
        <w:rPr>
          <w:rFonts w:cstheme="minorHAnsi"/>
          <w:sz w:val="24"/>
          <w:szCs w:val="24"/>
        </w:rPr>
        <w:t>Nabava nekretnine</w:t>
      </w:r>
      <w:r w:rsidRPr="00E71D2F">
        <w:rPr>
          <w:rFonts w:cstheme="minorHAnsi"/>
          <w:sz w:val="24"/>
          <w:szCs w:val="24"/>
        </w:rPr>
        <w:t>, Predmetnim projektom su predviđena sredstva za prijenos zemljišta sukladno Zakonu o prostornom uređenju u slučajevima kad je lokalna samouprava dužna otkupiti zemljišta. Za istu svrhu su planirana sredstva u iznosu od 38.000,00 eura, bez realizacije u izvještajnom razdoblju.</w:t>
      </w:r>
    </w:p>
    <w:p w14:paraId="5FB30D28" w14:textId="58297DDA" w:rsidR="00504007" w:rsidRPr="00A328F2" w:rsidRDefault="00E71D2F" w:rsidP="00A328F2">
      <w:pPr>
        <w:spacing w:after="0"/>
        <w:jc w:val="both"/>
        <w:rPr>
          <w:rFonts w:cstheme="minorHAnsi"/>
          <w:sz w:val="24"/>
          <w:szCs w:val="24"/>
        </w:rPr>
      </w:pPr>
      <w:r w:rsidRPr="00504007">
        <w:rPr>
          <w:rFonts w:cstheme="minorHAnsi"/>
          <w:sz w:val="24"/>
          <w:szCs w:val="24"/>
        </w:rPr>
        <w:t xml:space="preserve">Kapitalni projekt Nabava vozila, </w:t>
      </w:r>
      <w:r w:rsidR="003B73C0" w:rsidRPr="00504007">
        <w:rPr>
          <w:rFonts w:cstheme="minorHAnsi"/>
          <w:sz w:val="24"/>
          <w:szCs w:val="24"/>
        </w:rPr>
        <w:t xml:space="preserve">nabavljeno je samo jedno vozilo Škoda </w:t>
      </w:r>
      <w:proofErr w:type="spellStart"/>
      <w:r w:rsidR="003B73C0" w:rsidRPr="00504007">
        <w:rPr>
          <w:rFonts w:cstheme="minorHAnsi"/>
          <w:sz w:val="24"/>
          <w:szCs w:val="24"/>
        </w:rPr>
        <w:t>Karoq</w:t>
      </w:r>
      <w:proofErr w:type="spellEnd"/>
      <w:r w:rsidR="003B73C0" w:rsidRPr="00504007">
        <w:rPr>
          <w:rFonts w:cstheme="minorHAnsi"/>
          <w:sz w:val="24"/>
          <w:szCs w:val="24"/>
        </w:rPr>
        <w:t xml:space="preserve">  u iznosu od 30.750,00 eura u izvještajnom razdoblju 2025.godine.</w:t>
      </w:r>
    </w:p>
    <w:p w14:paraId="33FED341" w14:textId="77777777" w:rsidR="00BD2C8B" w:rsidRPr="00590BF1" w:rsidRDefault="00BD2C8B" w:rsidP="00590BF1">
      <w:pPr>
        <w:pStyle w:val="Bezproreda"/>
        <w:jc w:val="both"/>
        <w:rPr>
          <w:rFonts w:cs="Calibri"/>
          <w:sz w:val="24"/>
          <w:szCs w:val="24"/>
        </w:rPr>
      </w:pPr>
    </w:p>
    <w:p w14:paraId="634856BE" w14:textId="77777777" w:rsidR="00387CB3" w:rsidRDefault="002249BD" w:rsidP="00C1252F">
      <w:pPr>
        <w:tabs>
          <w:tab w:val="left" w:pos="180"/>
        </w:tabs>
        <w:spacing w:after="0"/>
        <w:jc w:val="center"/>
        <w:rPr>
          <w:rFonts w:cstheme="minorHAnsi"/>
          <w:b/>
          <w:sz w:val="24"/>
          <w:szCs w:val="24"/>
        </w:rPr>
      </w:pPr>
      <w:r w:rsidRPr="0046053E">
        <w:rPr>
          <w:rFonts w:cstheme="minorHAnsi"/>
          <w:b/>
          <w:sz w:val="24"/>
          <w:szCs w:val="24"/>
        </w:rPr>
        <w:t>RAZDJEL</w:t>
      </w:r>
      <w:r>
        <w:rPr>
          <w:rFonts w:cstheme="minorHAnsi"/>
          <w:b/>
          <w:sz w:val="24"/>
          <w:szCs w:val="24"/>
        </w:rPr>
        <w:t xml:space="preserve"> 021</w:t>
      </w:r>
      <w:r w:rsidRPr="0046053E">
        <w:rPr>
          <w:rFonts w:cstheme="minorHAnsi"/>
          <w:b/>
          <w:sz w:val="24"/>
          <w:szCs w:val="24"/>
        </w:rPr>
        <w:t xml:space="preserve"> UPRAVNI ODJEL ZA </w:t>
      </w:r>
      <w:r>
        <w:rPr>
          <w:rFonts w:cstheme="minorHAnsi"/>
          <w:b/>
          <w:sz w:val="24"/>
          <w:szCs w:val="24"/>
        </w:rPr>
        <w:t>DRUŠTVENE DJELATNOSTI</w:t>
      </w:r>
    </w:p>
    <w:p w14:paraId="693498E1" w14:textId="77777777" w:rsidR="00C76F7F" w:rsidRDefault="00C76F7F" w:rsidP="00C1252F">
      <w:pPr>
        <w:tabs>
          <w:tab w:val="left" w:pos="180"/>
        </w:tabs>
        <w:spacing w:after="0"/>
        <w:jc w:val="center"/>
        <w:rPr>
          <w:rFonts w:cstheme="minorHAnsi"/>
          <w:b/>
          <w:sz w:val="24"/>
          <w:szCs w:val="24"/>
        </w:rPr>
      </w:pPr>
    </w:p>
    <w:p w14:paraId="21D9D21F" w14:textId="77777777" w:rsidR="00C76F7F" w:rsidRDefault="00C76F7F" w:rsidP="00C76F7F">
      <w:pPr>
        <w:spacing w:after="0"/>
        <w:jc w:val="both"/>
        <w:rPr>
          <w:rFonts w:cstheme="minorHAnsi"/>
          <w:sz w:val="24"/>
          <w:szCs w:val="24"/>
        </w:rPr>
      </w:pPr>
      <w:r w:rsidRPr="00C76F7F">
        <w:rPr>
          <w:rFonts w:cstheme="minorHAnsi"/>
          <w:sz w:val="24"/>
          <w:szCs w:val="24"/>
        </w:rPr>
        <w:t xml:space="preserve">Upravni odjel za društvene djelatnosti obavlja poslove kojima se osiguravaju potrebe građana u području odgoja i obrazovanja, športa, kulture i tehničke kulture, području zaštite i unapređenja kvalitete življenja i socijalne skrbi te unapređenja zdravstvene zaštite, kao i poslove vezane uz unaprjeđenje turizma i informiranja građana.    </w:t>
      </w:r>
    </w:p>
    <w:p w14:paraId="75423A96" w14:textId="77777777" w:rsidR="00E3041A" w:rsidRPr="00DA36EC" w:rsidRDefault="00C76F7F" w:rsidP="00E3041A">
      <w:pPr>
        <w:spacing w:after="0"/>
        <w:jc w:val="both"/>
        <w:rPr>
          <w:rFonts w:cstheme="minorHAnsi"/>
          <w:bCs/>
          <w:sz w:val="24"/>
          <w:szCs w:val="24"/>
        </w:rPr>
      </w:pPr>
      <w:r w:rsidRPr="00C76F7F">
        <w:rPr>
          <w:rFonts w:cstheme="minorHAnsi"/>
          <w:bCs/>
          <w:sz w:val="24"/>
          <w:szCs w:val="24"/>
        </w:rPr>
        <w:t xml:space="preserve">Uz program javne uprave i administracije, Odjel svoju djelatnost provodi kroz programe javnih potreba u: predškolskom odgoju i školstvu, kulturi, sportu, socijalnoj skrbi, civilnoj zaštiti i </w:t>
      </w:r>
      <w:r w:rsidRPr="00C76F7F">
        <w:rPr>
          <w:rFonts w:cstheme="minorHAnsi"/>
          <w:bCs/>
          <w:sz w:val="24"/>
          <w:szCs w:val="24"/>
        </w:rPr>
        <w:lastRenderedPageBreak/>
        <w:t>protupožarnoj zaštiti, potporama udrugama civilnog društva, turizmu, razvoju poduzetništva, kao i ostalim društvenim djelatnostima</w:t>
      </w:r>
      <w:r w:rsidR="00E3041A">
        <w:rPr>
          <w:rFonts w:cstheme="minorHAnsi"/>
          <w:bCs/>
          <w:sz w:val="24"/>
          <w:szCs w:val="24"/>
        </w:rPr>
        <w:t xml:space="preserve"> </w:t>
      </w:r>
      <w:r w:rsidR="00E3041A" w:rsidRPr="00DA36EC">
        <w:rPr>
          <w:rFonts w:cstheme="minorHAnsi"/>
          <w:bCs/>
          <w:sz w:val="24"/>
          <w:szCs w:val="24"/>
        </w:rPr>
        <w:t xml:space="preserve">u koje su uključeni i programi i projekti proračunskih korisnika. </w:t>
      </w:r>
    </w:p>
    <w:p w14:paraId="0927718D" w14:textId="38DC2587" w:rsidR="002B149A" w:rsidRDefault="006E3F35" w:rsidP="00D36941">
      <w:pPr>
        <w:spacing w:after="0"/>
        <w:jc w:val="both"/>
        <w:rPr>
          <w:rFonts w:cstheme="minorHAnsi"/>
          <w:sz w:val="24"/>
          <w:szCs w:val="24"/>
        </w:rPr>
      </w:pPr>
      <w:r w:rsidRPr="0046053E">
        <w:rPr>
          <w:rFonts w:cstheme="minorHAnsi"/>
          <w:sz w:val="24"/>
          <w:szCs w:val="24"/>
        </w:rPr>
        <w:t xml:space="preserve">Za ostvarenje programa unutar ovog UO </w:t>
      </w:r>
      <w:r w:rsidR="00C76F7F">
        <w:rPr>
          <w:rFonts w:cstheme="minorHAnsi"/>
          <w:sz w:val="24"/>
          <w:szCs w:val="24"/>
        </w:rPr>
        <w:t>u Proračunu za 202</w:t>
      </w:r>
      <w:r w:rsidR="00C95101">
        <w:rPr>
          <w:rFonts w:cstheme="minorHAnsi"/>
          <w:sz w:val="24"/>
          <w:szCs w:val="24"/>
        </w:rPr>
        <w:t>5</w:t>
      </w:r>
      <w:r w:rsidRPr="0046053E">
        <w:rPr>
          <w:rFonts w:cstheme="minorHAnsi"/>
          <w:sz w:val="24"/>
          <w:szCs w:val="24"/>
        </w:rPr>
        <w:t xml:space="preserve">. godinu planirana su sredstva u iznosu od </w:t>
      </w:r>
      <w:r w:rsidR="00C95101">
        <w:rPr>
          <w:rFonts w:cstheme="minorHAnsi"/>
          <w:sz w:val="24"/>
          <w:szCs w:val="24"/>
        </w:rPr>
        <w:t>9.688.374,00</w:t>
      </w:r>
      <w:r w:rsidR="00F556BE">
        <w:rPr>
          <w:rFonts w:cstheme="minorHAnsi"/>
          <w:sz w:val="24"/>
          <w:szCs w:val="24"/>
        </w:rPr>
        <w:t xml:space="preserve"> eura</w:t>
      </w:r>
      <w:r w:rsidRPr="0046053E">
        <w:rPr>
          <w:rFonts w:cstheme="minorHAnsi"/>
          <w:sz w:val="24"/>
          <w:szCs w:val="24"/>
        </w:rPr>
        <w:t xml:space="preserve">, a </w:t>
      </w:r>
      <w:r w:rsidR="00C76F7F">
        <w:rPr>
          <w:rFonts w:cstheme="minorHAnsi"/>
          <w:sz w:val="24"/>
          <w:szCs w:val="24"/>
        </w:rPr>
        <w:t xml:space="preserve">u izvještajnom razdoblju realizirano </w:t>
      </w:r>
      <w:r w:rsidRPr="0046053E">
        <w:rPr>
          <w:rFonts w:cstheme="minorHAnsi"/>
          <w:sz w:val="24"/>
          <w:szCs w:val="24"/>
        </w:rPr>
        <w:t>je ukupno</w:t>
      </w:r>
      <w:r w:rsidR="00F556BE">
        <w:rPr>
          <w:rFonts w:cstheme="minorHAnsi"/>
          <w:sz w:val="24"/>
          <w:szCs w:val="24"/>
        </w:rPr>
        <w:t xml:space="preserve"> </w:t>
      </w:r>
      <w:r w:rsidR="00C95101">
        <w:rPr>
          <w:rFonts w:cstheme="minorHAnsi"/>
          <w:sz w:val="24"/>
          <w:szCs w:val="24"/>
        </w:rPr>
        <w:t>8.049.710,67</w:t>
      </w:r>
      <w:r w:rsidR="00F556BE">
        <w:rPr>
          <w:rFonts w:cstheme="minorHAnsi"/>
          <w:sz w:val="24"/>
          <w:szCs w:val="24"/>
        </w:rPr>
        <w:t xml:space="preserve"> eura</w:t>
      </w:r>
      <w:r w:rsidRPr="0046053E">
        <w:rPr>
          <w:rFonts w:cstheme="minorHAnsi"/>
          <w:sz w:val="24"/>
          <w:szCs w:val="24"/>
        </w:rPr>
        <w:t>, odnosno</w:t>
      </w:r>
      <w:r w:rsidR="00F556BE">
        <w:rPr>
          <w:rFonts w:cstheme="minorHAnsi"/>
          <w:sz w:val="24"/>
          <w:szCs w:val="24"/>
        </w:rPr>
        <w:t xml:space="preserve"> </w:t>
      </w:r>
      <w:r w:rsidR="00C95101">
        <w:rPr>
          <w:rFonts w:cstheme="minorHAnsi"/>
          <w:sz w:val="24"/>
          <w:szCs w:val="24"/>
        </w:rPr>
        <w:t>83,09</w:t>
      </w:r>
      <w:r w:rsidRPr="0046053E">
        <w:rPr>
          <w:rFonts w:cstheme="minorHAnsi"/>
          <w:sz w:val="24"/>
          <w:szCs w:val="24"/>
        </w:rPr>
        <w:t>% planiranog godišnjeg iznosa. Sredstva su utrošena za provedbu sljedećih programa</w:t>
      </w:r>
      <w:r w:rsidR="00E3041A">
        <w:rPr>
          <w:rFonts w:cstheme="minorHAnsi"/>
          <w:sz w:val="24"/>
          <w:szCs w:val="24"/>
        </w:rPr>
        <w:t>:</w:t>
      </w:r>
    </w:p>
    <w:p w14:paraId="481D0DCD" w14:textId="77777777" w:rsidR="00D36941" w:rsidRPr="00C52A98" w:rsidRDefault="00D36941" w:rsidP="00D36941">
      <w:pPr>
        <w:spacing w:after="0"/>
        <w:jc w:val="both"/>
        <w:rPr>
          <w:rFonts w:cstheme="minorHAnsi"/>
          <w:sz w:val="24"/>
          <w:szCs w:val="24"/>
        </w:rPr>
      </w:pPr>
    </w:p>
    <w:tbl>
      <w:tblPr>
        <w:tblW w:w="11146" w:type="dxa"/>
        <w:jc w:val="center"/>
        <w:tblBorders>
          <w:top w:val="single" w:sz="4" w:space="0" w:color="7F7F7F"/>
          <w:bottom w:val="single" w:sz="4" w:space="0" w:color="7F7F7F"/>
          <w:insideH w:val="single" w:sz="4" w:space="0" w:color="7F7F7F"/>
        </w:tblBorders>
        <w:tblLayout w:type="fixed"/>
        <w:tblLook w:val="00A0" w:firstRow="1" w:lastRow="0" w:firstColumn="1" w:lastColumn="0" w:noHBand="0" w:noVBand="0"/>
      </w:tblPr>
      <w:tblGrid>
        <w:gridCol w:w="1027"/>
        <w:gridCol w:w="953"/>
        <w:gridCol w:w="3375"/>
        <w:gridCol w:w="1831"/>
        <w:gridCol w:w="1467"/>
        <w:gridCol w:w="1467"/>
        <w:gridCol w:w="1026"/>
      </w:tblGrid>
      <w:tr w:rsidR="00BD2C8B" w:rsidRPr="0092464A" w14:paraId="40FD63DB" w14:textId="77777777" w:rsidTr="00C1591B">
        <w:trPr>
          <w:trHeight w:val="298"/>
          <w:jc w:val="center"/>
        </w:trPr>
        <w:tc>
          <w:tcPr>
            <w:tcW w:w="5355" w:type="dxa"/>
            <w:gridSpan w:val="3"/>
            <w:shd w:val="clear" w:color="auto" w:fill="C6D9F1"/>
            <w:vAlign w:val="center"/>
          </w:tcPr>
          <w:p w14:paraId="31E1829B" w14:textId="77777777" w:rsidR="00BD2C8B" w:rsidRPr="00580385" w:rsidRDefault="00BD2C8B" w:rsidP="00C60469">
            <w:pPr>
              <w:spacing w:line="276" w:lineRule="auto"/>
              <w:jc w:val="center"/>
              <w:rPr>
                <w:rFonts w:ascii="Arial" w:hAnsi="Arial" w:cs="Arial"/>
                <w:b/>
                <w:sz w:val="18"/>
                <w:szCs w:val="18"/>
              </w:rPr>
            </w:pPr>
            <w:r>
              <w:rPr>
                <w:rFonts w:ascii="Arial" w:hAnsi="Arial" w:cs="Arial"/>
                <w:b/>
                <w:sz w:val="18"/>
                <w:szCs w:val="18"/>
              </w:rPr>
              <w:t>PROGRAMI</w:t>
            </w:r>
          </w:p>
        </w:tc>
        <w:tc>
          <w:tcPr>
            <w:tcW w:w="1831" w:type="dxa"/>
            <w:shd w:val="clear" w:color="auto" w:fill="C6D9F1"/>
            <w:vAlign w:val="center"/>
          </w:tcPr>
          <w:p w14:paraId="335C5498" w14:textId="2A518266" w:rsidR="00BD2C8B" w:rsidRPr="00580385" w:rsidRDefault="00BD2C8B" w:rsidP="00C60469">
            <w:pPr>
              <w:autoSpaceDE w:val="0"/>
              <w:autoSpaceDN w:val="0"/>
              <w:adjustRightInd w:val="0"/>
              <w:jc w:val="center"/>
              <w:rPr>
                <w:rFonts w:ascii="Arial" w:hAnsi="Arial" w:cs="Arial"/>
                <w:b/>
                <w:sz w:val="18"/>
                <w:szCs w:val="18"/>
              </w:rPr>
            </w:pPr>
            <w:r>
              <w:rPr>
                <w:rFonts w:ascii="Arial" w:hAnsi="Arial" w:cs="Arial"/>
                <w:b/>
                <w:sz w:val="18"/>
                <w:szCs w:val="18"/>
              </w:rPr>
              <w:t xml:space="preserve"> IZVORNI </w:t>
            </w:r>
            <w:r w:rsidRPr="00580385">
              <w:rPr>
                <w:rFonts w:ascii="Arial" w:hAnsi="Arial" w:cs="Arial"/>
                <w:b/>
                <w:sz w:val="18"/>
                <w:szCs w:val="18"/>
              </w:rPr>
              <w:t>PLAN</w:t>
            </w:r>
            <w:r>
              <w:rPr>
                <w:rFonts w:ascii="Arial" w:hAnsi="Arial" w:cs="Arial"/>
                <w:b/>
                <w:sz w:val="18"/>
                <w:szCs w:val="18"/>
              </w:rPr>
              <w:t xml:space="preserve"> 202</w:t>
            </w:r>
            <w:r w:rsidR="00281D2E">
              <w:rPr>
                <w:rFonts w:ascii="Arial" w:hAnsi="Arial" w:cs="Arial"/>
                <w:b/>
                <w:sz w:val="18"/>
                <w:szCs w:val="18"/>
              </w:rPr>
              <w:t>5.</w:t>
            </w:r>
          </w:p>
        </w:tc>
        <w:tc>
          <w:tcPr>
            <w:tcW w:w="1467" w:type="dxa"/>
            <w:shd w:val="clear" w:color="auto" w:fill="C6D9F1"/>
          </w:tcPr>
          <w:p w14:paraId="0CA1FDF4" w14:textId="0186BEF8" w:rsidR="00BD2C8B" w:rsidRDefault="00BD2C8B" w:rsidP="004F1C29">
            <w:pPr>
              <w:autoSpaceDE w:val="0"/>
              <w:autoSpaceDN w:val="0"/>
              <w:adjustRightInd w:val="0"/>
              <w:spacing w:after="0"/>
              <w:jc w:val="center"/>
              <w:rPr>
                <w:rFonts w:ascii="Arial" w:hAnsi="Arial" w:cs="Arial"/>
                <w:b/>
                <w:sz w:val="18"/>
                <w:szCs w:val="18"/>
              </w:rPr>
            </w:pPr>
            <w:r>
              <w:rPr>
                <w:rFonts w:ascii="Arial" w:hAnsi="Arial" w:cs="Arial"/>
                <w:b/>
                <w:sz w:val="18"/>
                <w:szCs w:val="18"/>
              </w:rPr>
              <w:t>TEKUĆI PLAN 2</w:t>
            </w:r>
            <w:r w:rsidR="00281D2E">
              <w:rPr>
                <w:rFonts w:ascii="Arial" w:hAnsi="Arial" w:cs="Arial"/>
                <w:b/>
                <w:sz w:val="18"/>
                <w:szCs w:val="18"/>
              </w:rPr>
              <w:t>025.</w:t>
            </w:r>
            <w:r>
              <w:rPr>
                <w:rFonts w:ascii="Arial" w:hAnsi="Arial" w:cs="Arial"/>
                <w:b/>
                <w:sz w:val="18"/>
                <w:szCs w:val="18"/>
              </w:rPr>
              <w:t xml:space="preserve"> </w:t>
            </w:r>
          </w:p>
        </w:tc>
        <w:tc>
          <w:tcPr>
            <w:tcW w:w="1467" w:type="dxa"/>
            <w:shd w:val="clear" w:color="auto" w:fill="C6D9F1"/>
            <w:vAlign w:val="center"/>
          </w:tcPr>
          <w:p w14:paraId="78260E5A" w14:textId="17C32A0F" w:rsidR="00BD2C8B" w:rsidRPr="00580385" w:rsidRDefault="00BD2C8B" w:rsidP="004F1C29">
            <w:pPr>
              <w:autoSpaceDE w:val="0"/>
              <w:autoSpaceDN w:val="0"/>
              <w:adjustRightInd w:val="0"/>
              <w:spacing w:after="0"/>
              <w:jc w:val="center"/>
              <w:rPr>
                <w:rFonts w:ascii="Arial" w:hAnsi="Arial" w:cs="Arial"/>
                <w:b/>
                <w:sz w:val="18"/>
                <w:szCs w:val="18"/>
              </w:rPr>
            </w:pPr>
            <w:r>
              <w:rPr>
                <w:rFonts w:ascii="Arial" w:hAnsi="Arial" w:cs="Arial"/>
                <w:b/>
                <w:sz w:val="18"/>
                <w:szCs w:val="18"/>
              </w:rPr>
              <w:t>IZVRŠENJE  202</w:t>
            </w:r>
            <w:r w:rsidR="00281D2E">
              <w:rPr>
                <w:rFonts w:ascii="Arial" w:hAnsi="Arial" w:cs="Arial"/>
                <w:b/>
                <w:sz w:val="18"/>
                <w:szCs w:val="18"/>
              </w:rPr>
              <w:t>5.</w:t>
            </w:r>
          </w:p>
        </w:tc>
        <w:tc>
          <w:tcPr>
            <w:tcW w:w="1026" w:type="dxa"/>
            <w:shd w:val="clear" w:color="auto" w:fill="C6D9F1"/>
            <w:vAlign w:val="center"/>
          </w:tcPr>
          <w:p w14:paraId="6701894E" w14:textId="607119BF" w:rsidR="00BD2C8B" w:rsidRPr="00580385" w:rsidRDefault="00BD2C8B" w:rsidP="00AC365D">
            <w:pPr>
              <w:autoSpaceDE w:val="0"/>
              <w:autoSpaceDN w:val="0"/>
              <w:adjustRightInd w:val="0"/>
              <w:jc w:val="center"/>
              <w:rPr>
                <w:rFonts w:ascii="Arial" w:hAnsi="Arial" w:cs="Arial"/>
                <w:b/>
                <w:sz w:val="18"/>
                <w:szCs w:val="18"/>
              </w:rPr>
            </w:pPr>
            <w:r w:rsidRPr="00580385">
              <w:rPr>
                <w:rFonts w:ascii="Arial" w:hAnsi="Arial" w:cs="Arial"/>
                <w:b/>
                <w:sz w:val="18"/>
                <w:szCs w:val="18"/>
              </w:rPr>
              <w:t>INDEKS</w:t>
            </w:r>
            <w:r>
              <w:rPr>
                <w:rFonts w:ascii="Arial" w:hAnsi="Arial" w:cs="Arial"/>
                <w:b/>
                <w:sz w:val="18"/>
                <w:szCs w:val="18"/>
              </w:rPr>
              <w:t xml:space="preserve"> (3/1)</w:t>
            </w:r>
          </w:p>
        </w:tc>
      </w:tr>
      <w:tr w:rsidR="00BD2C8B" w:rsidRPr="0092464A" w14:paraId="59D96FEB" w14:textId="77777777" w:rsidTr="00C1591B">
        <w:trPr>
          <w:trHeight w:val="298"/>
          <w:jc w:val="center"/>
        </w:trPr>
        <w:tc>
          <w:tcPr>
            <w:tcW w:w="5355" w:type="dxa"/>
            <w:gridSpan w:val="3"/>
            <w:shd w:val="clear" w:color="auto" w:fill="C6D9F1"/>
            <w:vAlign w:val="center"/>
          </w:tcPr>
          <w:p w14:paraId="53EC9F53" w14:textId="77777777" w:rsidR="00BD2C8B" w:rsidRDefault="00BD2C8B" w:rsidP="00C60469">
            <w:pPr>
              <w:spacing w:line="276" w:lineRule="auto"/>
              <w:jc w:val="center"/>
              <w:rPr>
                <w:rFonts w:ascii="Arial" w:hAnsi="Arial" w:cs="Arial"/>
                <w:b/>
                <w:sz w:val="18"/>
                <w:szCs w:val="18"/>
              </w:rPr>
            </w:pPr>
          </w:p>
        </w:tc>
        <w:tc>
          <w:tcPr>
            <w:tcW w:w="1831" w:type="dxa"/>
            <w:shd w:val="clear" w:color="auto" w:fill="C6D9F1"/>
            <w:vAlign w:val="center"/>
          </w:tcPr>
          <w:p w14:paraId="37A91A08" w14:textId="77777777" w:rsidR="00BD2C8B" w:rsidRDefault="00BD2C8B" w:rsidP="00C60469">
            <w:pPr>
              <w:autoSpaceDE w:val="0"/>
              <w:autoSpaceDN w:val="0"/>
              <w:adjustRightInd w:val="0"/>
              <w:jc w:val="center"/>
              <w:rPr>
                <w:rFonts w:ascii="Arial" w:hAnsi="Arial" w:cs="Arial"/>
                <w:b/>
                <w:sz w:val="18"/>
                <w:szCs w:val="18"/>
              </w:rPr>
            </w:pPr>
            <w:r>
              <w:rPr>
                <w:rFonts w:ascii="Arial" w:hAnsi="Arial" w:cs="Arial"/>
                <w:b/>
                <w:sz w:val="18"/>
                <w:szCs w:val="18"/>
              </w:rPr>
              <w:t>(1)</w:t>
            </w:r>
          </w:p>
        </w:tc>
        <w:tc>
          <w:tcPr>
            <w:tcW w:w="1467" w:type="dxa"/>
            <w:shd w:val="clear" w:color="auto" w:fill="C6D9F1"/>
          </w:tcPr>
          <w:p w14:paraId="13C81566" w14:textId="207077C0" w:rsidR="00BD2C8B" w:rsidRDefault="00BD2C8B" w:rsidP="00C60469">
            <w:pPr>
              <w:autoSpaceDE w:val="0"/>
              <w:autoSpaceDN w:val="0"/>
              <w:adjustRightInd w:val="0"/>
              <w:jc w:val="center"/>
              <w:rPr>
                <w:rFonts w:ascii="Arial" w:hAnsi="Arial" w:cs="Arial"/>
                <w:b/>
                <w:sz w:val="18"/>
                <w:szCs w:val="18"/>
              </w:rPr>
            </w:pPr>
            <w:r>
              <w:rPr>
                <w:rFonts w:ascii="Arial" w:hAnsi="Arial" w:cs="Arial"/>
                <w:b/>
                <w:sz w:val="18"/>
                <w:szCs w:val="18"/>
              </w:rPr>
              <w:t>(2)</w:t>
            </w:r>
          </w:p>
        </w:tc>
        <w:tc>
          <w:tcPr>
            <w:tcW w:w="1467" w:type="dxa"/>
            <w:shd w:val="clear" w:color="auto" w:fill="C6D9F1"/>
            <w:vAlign w:val="center"/>
          </w:tcPr>
          <w:p w14:paraId="6D586771" w14:textId="6F49CCEE" w:rsidR="00BD2C8B" w:rsidRPr="00580385" w:rsidRDefault="00BD2C8B" w:rsidP="00C60469">
            <w:pPr>
              <w:autoSpaceDE w:val="0"/>
              <w:autoSpaceDN w:val="0"/>
              <w:adjustRightInd w:val="0"/>
              <w:jc w:val="center"/>
              <w:rPr>
                <w:rFonts w:ascii="Arial" w:hAnsi="Arial" w:cs="Arial"/>
                <w:b/>
                <w:sz w:val="18"/>
                <w:szCs w:val="18"/>
              </w:rPr>
            </w:pPr>
            <w:r>
              <w:rPr>
                <w:rFonts w:ascii="Arial" w:hAnsi="Arial" w:cs="Arial"/>
                <w:b/>
                <w:sz w:val="18"/>
                <w:szCs w:val="18"/>
              </w:rPr>
              <w:t>(3)</w:t>
            </w:r>
          </w:p>
        </w:tc>
        <w:tc>
          <w:tcPr>
            <w:tcW w:w="1026" w:type="dxa"/>
            <w:shd w:val="clear" w:color="auto" w:fill="C6D9F1"/>
            <w:vAlign w:val="center"/>
          </w:tcPr>
          <w:p w14:paraId="73853F47" w14:textId="45721B5F" w:rsidR="00BD2C8B" w:rsidRPr="00580385" w:rsidRDefault="00BD2C8B" w:rsidP="00C60469">
            <w:pPr>
              <w:autoSpaceDE w:val="0"/>
              <w:autoSpaceDN w:val="0"/>
              <w:adjustRightInd w:val="0"/>
              <w:jc w:val="center"/>
              <w:rPr>
                <w:rFonts w:ascii="Arial" w:hAnsi="Arial" w:cs="Arial"/>
                <w:b/>
                <w:sz w:val="18"/>
                <w:szCs w:val="18"/>
              </w:rPr>
            </w:pPr>
            <w:r>
              <w:rPr>
                <w:rFonts w:ascii="Arial" w:hAnsi="Arial" w:cs="Arial"/>
                <w:b/>
                <w:sz w:val="18"/>
                <w:szCs w:val="18"/>
              </w:rPr>
              <w:t>(4)</w:t>
            </w:r>
          </w:p>
        </w:tc>
      </w:tr>
      <w:tr w:rsidR="00BD2C8B" w:rsidRPr="0092464A" w14:paraId="443EEE6F" w14:textId="77777777" w:rsidTr="00440562">
        <w:trPr>
          <w:trHeight w:val="298"/>
          <w:jc w:val="center"/>
        </w:trPr>
        <w:tc>
          <w:tcPr>
            <w:tcW w:w="1027" w:type="dxa"/>
            <w:shd w:val="clear" w:color="000080" w:fill="FFFFFF"/>
            <w:vAlign w:val="center"/>
          </w:tcPr>
          <w:p w14:paraId="05A75E38" w14:textId="77777777" w:rsidR="00BD2C8B" w:rsidRPr="0092464A" w:rsidRDefault="00BD2C8B" w:rsidP="00C60469">
            <w:pPr>
              <w:rPr>
                <w:rFonts w:ascii="Arial" w:hAnsi="Arial" w:cs="Arial"/>
                <w:b/>
                <w:bCs/>
                <w:sz w:val="18"/>
                <w:szCs w:val="18"/>
                <w:lang w:eastAsia="hr-HR"/>
              </w:rPr>
            </w:pPr>
            <w:r w:rsidRPr="0092464A">
              <w:rPr>
                <w:rFonts w:ascii="Arial" w:hAnsi="Arial" w:cs="Arial"/>
                <w:b/>
                <w:bCs/>
                <w:sz w:val="18"/>
                <w:szCs w:val="18"/>
                <w:lang w:eastAsia="hr-HR"/>
              </w:rPr>
              <w:t>Razdjel</w:t>
            </w:r>
          </w:p>
        </w:tc>
        <w:tc>
          <w:tcPr>
            <w:tcW w:w="953" w:type="dxa"/>
            <w:shd w:val="clear" w:color="000080" w:fill="FFFFFF"/>
            <w:vAlign w:val="center"/>
          </w:tcPr>
          <w:p w14:paraId="00D647A4" w14:textId="77777777" w:rsidR="00BD2C8B" w:rsidRPr="0092464A" w:rsidRDefault="00BD2C8B" w:rsidP="00C60469">
            <w:pPr>
              <w:rPr>
                <w:rFonts w:ascii="Arial" w:hAnsi="Arial" w:cs="Arial"/>
                <w:b/>
                <w:bCs/>
                <w:sz w:val="18"/>
                <w:szCs w:val="18"/>
                <w:lang w:eastAsia="hr-HR"/>
              </w:rPr>
            </w:pPr>
            <w:r>
              <w:rPr>
                <w:rFonts w:ascii="Arial" w:hAnsi="Arial" w:cs="Arial"/>
                <w:b/>
                <w:bCs/>
                <w:sz w:val="18"/>
                <w:szCs w:val="18"/>
                <w:lang w:eastAsia="hr-HR"/>
              </w:rPr>
              <w:t>021</w:t>
            </w:r>
          </w:p>
        </w:tc>
        <w:tc>
          <w:tcPr>
            <w:tcW w:w="3375" w:type="dxa"/>
            <w:shd w:val="clear" w:color="000080" w:fill="FFFFFF"/>
            <w:vAlign w:val="bottom"/>
          </w:tcPr>
          <w:p w14:paraId="37870205" w14:textId="77777777" w:rsidR="00BD2C8B" w:rsidRPr="00A42A4E" w:rsidRDefault="00BD2C8B" w:rsidP="006E3F35">
            <w:pPr>
              <w:rPr>
                <w:rFonts w:ascii="Arial" w:hAnsi="Arial" w:cs="Arial"/>
                <w:b/>
                <w:bCs/>
                <w:sz w:val="18"/>
                <w:szCs w:val="18"/>
                <w:lang w:eastAsia="hr-HR"/>
              </w:rPr>
            </w:pPr>
            <w:r>
              <w:rPr>
                <w:rFonts w:ascii="Arial" w:hAnsi="Arial" w:cs="Arial"/>
                <w:b/>
                <w:bCs/>
                <w:sz w:val="18"/>
                <w:szCs w:val="18"/>
                <w:lang w:eastAsia="hr-HR"/>
              </w:rPr>
              <w:t xml:space="preserve">UPRAVNI ODJEL ZA DRUŠTVENE DJELATNOSTI </w:t>
            </w:r>
          </w:p>
        </w:tc>
        <w:tc>
          <w:tcPr>
            <w:tcW w:w="1831" w:type="dxa"/>
            <w:shd w:val="clear" w:color="000080" w:fill="FFFFFF"/>
            <w:vAlign w:val="center"/>
          </w:tcPr>
          <w:p w14:paraId="5165506F" w14:textId="10D74C00" w:rsidR="00BD2C8B" w:rsidRPr="00A42A4E" w:rsidRDefault="00C1591B" w:rsidP="00851A08">
            <w:pPr>
              <w:jc w:val="center"/>
              <w:rPr>
                <w:rFonts w:ascii="Arial" w:hAnsi="Arial" w:cs="Arial"/>
                <w:b/>
                <w:bCs/>
                <w:sz w:val="18"/>
                <w:szCs w:val="18"/>
              </w:rPr>
            </w:pPr>
            <w:r>
              <w:rPr>
                <w:rFonts w:ascii="Arial" w:hAnsi="Arial" w:cs="Arial"/>
                <w:b/>
                <w:bCs/>
                <w:sz w:val="18"/>
                <w:szCs w:val="18"/>
              </w:rPr>
              <w:t>9.589.015,00</w:t>
            </w:r>
          </w:p>
        </w:tc>
        <w:tc>
          <w:tcPr>
            <w:tcW w:w="1467" w:type="dxa"/>
            <w:shd w:val="clear" w:color="000080" w:fill="FFFFFF"/>
            <w:vAlign w:val="center"/>
          </w:tcPr>
          <w:p w14:paraId="07A06CD2" w14:textId="6253BC94" w:rsidR="00BD2C8B" w:rsidRDefault="00C1591B" w:rsidP="00851A08">
            <w:pPr>
              <w:jc w:val="center"/>
              <w:rPr>
                <w:rFonts w:ascii="Arial" w:hAnsi="Arial" w:cs="Arial"/>
                <w:b/>
                <w:bCs/>
                <w:sz w:val="18"/>
                <w:szCs w:val="18"/>
              </w:rPr>
            </w:pPr>
            <w:r>
              <w:rPr>
                <w:rFonts w:ascii="Arial" w:hAnsi="Arial" w:cs="Arial"/>
                <w:b/>
                <w:bCs/>
                <w:sz w:val="18"/>
                <w:szCs w:val="18"/>
              </w:rPr>
              <w:t>9.688.374,00</w:t>
            </w:r>
          </w:p>
        </w:tc>
        <w:tc>
          <w:tcPr>
            <w:tcW w:w="1467" w:type="dxa"/>
            <w:shd w:val="clear" w:color="000080" w:fill="FFFFFF"/>
            <w:vAlign w:val="center"/>
          </w:tcPr>
          <w:p w14:paraId="36CB96BB" w14:textId="746DCDF5" w:rsidR="00BD2C8B" w:rsidRPr="00A42A4E" w:rsidRDefault="00C1591B" w:rsidP="00851A08">
            <w:pPr>
              <w:jc w:val="center"/>
              <w:rPr>
                <w:rFonts w:ascii="Arial" w:hAnsi="Arial" w:cs="Arial"/>
                <w:b/>
                <w:bCs/>
                <w:sz w:val="18"/>
                <w:szCs w:val="18"/>
              </w:rPr>
            </w:pPr>
            <w:r>
              <w:rPr>
                <w:rFonts w:ascii="Arial" w:hAnsi="Arial" w:cs="Arial"/>
                <w:b/>
                <w:bCs/>
                <w:sz w:val="18"/>
                <w:szCs w:val="18"/>
              </w:rPr>
              <w:t>8.049.710,57</w:t>
            </w:r>
          </w:p>
        </w:tc>
        <w:tc>
          <w:tcPr>
            <w:tcW w:w="1026" w:type="dxa"/>
            <w:shd w:val="clear" w:color="000080" w:fill="FFFFFF"/>
            <w:vAlign w:val="center"/>
          </w:tcPr>
          <w:p w14:paraId="3B6246B2" w14:textId="67D7F94B" w:rsidR="00BD2C8B" w:rsidRPr="00A42A4E" w:rsidRDefault="00C1591B" w:rsidP="00851A08">
            <w:pPr>
              <w:jc w:val="center"/>
              <w:rPr>
                <w:rFonts w:ascii="Arial" w:hAnsi="Arial" w:cs="Arial"/>
                <w:b/>
                <w:bCs/>
                <w:sz w:val="18"/>
                <w:szCs w:val="18"/>
              </w:rPr>
            </w:pPr>
            <w:r>
              <w:rPr>
                <w:rFonts w:ascii="Arial" w:hAnsi="Arial" w:cs="Arial"/>
                <w:b/>
                <w:bCs/>
                <w:sz w:val="18"/>
                <w:szCs w:val="18"/>
              </w:rPr>
              <w:t>83,09%</w:t>
            </w:r>
          </w:p>
        </w:tc>
      </w:tr>
      <w:tr w:rsidR="00BD2C8B" w:rsidRPr="00311030" w14:paraId="0D6A642A" w14:textId="77777777" w:rsidTr="00440562">
        <w:trPr>
          <w:trHeight w:val="298"/>
          <w:jc w:val="center"/>
        </w:trPr>
        <w:tc>
          <w:tcPr>
            <w:tcW w:w="1027" w:type="dxa"/>
            <w:shd w:val="clear" w:color="000080" w:fill="FFFFFF"/>
            <w:vAlign w:val="center"/>
          </w:tcPr>
          <w:p w14:paraId="3D4DF503" w14:textId="77777777" w:rsidR="00BD2C8B" w:rsidRPr="00311030" w:rsidRDefault="00BD2C8B" w:rsidP="00C60469">
            <w:pPr>
              <w:rPr>
                <w:rFonts w:ascii="Arial" w:hAnsi="Arial" w:cs="Arial"/>
                <w:bCs/>
                <w:sz w:val="18"/>
                <w:szCs w:val="18"/>
                <w:lang w:eastAsia="hr-HR"/>
              </w:rPr>
            </w:pPr>
            <w:r w:rsidRPr="00311030">
              <w:rPr>
                <w:rFonts w:ascii="Arial" w:hAnsi="Arial" w:cs="Arial"/>
                <w:bCs/>
                <w:sz w:val="18"/>
                <w:szCs w:val="18"/>
                <w:lang w:eastAsia="hr-HR"/>
              </w:rPr>
              <w:t xml:space="preserve">Glava </w:t>
            </w:r>
          </w:p>
        </w:tc>
        <w:tc>
          <w:tcPr>
            <w:tcW w:w="953" w:type="dxa"/>
            <w:shd w:val="clear" w:color="000080" w:fill="FFFFFF"/>
            <w:vAlign w:val="center"/>
          </w:tcPr>
          <w:p w14:paraId="72BD4203" w14:textId="77777777" w:rsidR="00BD2C8B" w:rsidRPr="00311030" w:rsidRDefault="00BD2C8B" w:rsidP="00C60469">
            <w:pPr>
              <w:rPr>
                <w:rFonts w:ascii="Arial" w:hAnsi="Arial" w:cs="Arial"/>
                <w:bCs/>
                <w:sz w:val="18"/>
                <w:szCs w:val="18"/>
                <w:lang w:eastAsia="hr-HR"/>
              </w:rPr>
            </w:pPr>
            <w:r>
              <w:rPr>
                <w:rFonts w:ascii="Arial" w:hAnsi="Arial" w:cs="Arial"/>
                <w:bCs/>
                <w:sz w:val="18"/>
                <w:szCs w:val="18"/>
                <w:lang w:eastAsia="hr-HR"/>
              </w:rPr>
              <w:t>02100</w:t>
            </w:r>
          </w:p>
        </w:tc>
        <w:tc>
          <w:tcPr>
            <w:tcW w:w="3375" w:type="dxa"/>
            <w:shd w:val="clear" w:color="000080" w:fill="FFFFFF"/>
            <w:vAlign w:val="center"/>
          </w:tcPr>
          <w:p w14:paraId="619A69B2" w14:textId="77777777" w:rsidR="00BD2C8B" w:rsidRPr="00311030" w:rsidRDefault="00BD2C8B" w:rsidP="006E3F35">
            <w:pPr>
              <w:rPr>
                <w:rFonts w:ascii="Arial" w:hAnsi="Arial" w:cs="Arial"/>
                <w:bCs/>
                <w:sz w:val="18"/>
                <w:szCs w:val="18"/>
                <w:lang w:eastAsia="hr-HR"/>
              </w:rPr>
            </w:pPr>
            <w:r w:rsidRPr="00311030">
              <w:rPr>
                <w:rFonts w:ascii="Arial" w:hAnsi="Arial" w:cs="Arial"/>
                <w:bCs/>
                <w:sz w:val="18"/>
                <w:szCs w:val="18"/>
                <w:lang w:eastAsia="hr-HR"/>
              </w:rPr>
              <w:t xml:space="preserve">UPRAVNI ODJEL ZA </w:t>
            </w:r>
            <w:r>
              <w:rPr>
                <w:rFonts w:ascii="Arial" w:hAnsi="Arial" w:cs="Arial"/>
                <w:bCs/>
                <w:sz w:val="18"/>
                <w:szCs w:val="18"/>
                <w:lang w:eastAsia="hr-HR"/>
              </w:rPr>
              <w:t>DRUŠTVENE DJELATNOSTI</w:t>
            </w:r>
          </w:p>
        </w:tc>
        <w:tc>
          <w:tcPr>
            <w:tcW w:w="1831" w:type="dxa"/>
            <w:shd w:val="clear" w:color="000080" w:fill="FFFFFF"/>
            <w:vAlign w:val="center"/>
          </w:tcPr>
          <w:p w14:paraId="7BD5AE32" w14:textId="0B81F487" w:rsidR="00BD2C8B" w:rsidRPr="00311030" w:rsidRDefault="00C1591B" w:rsidP="00851A08">
            <w:pPr>
              <w:jc w:val="center"/>
              <w:rPr>
                <w:rFonts w:ascii="Arial" w:hAnsi="Arial" w:cs="Arial"/>
                <w:bCs/>
                <w:sz w:val="18"/>
                <w:szCs w:val="18"/>
              </w:rPr>
            </w:pPr>
            <w:r>
              <w:rPr>
                <w:rFonts w:ascii="Arial" w:hAnsi="Arial" w:cs="Arial"/>
                <w:bCs/>
                <w:sz w:val="18"/>
                <w:szCs w:val="18"/>
              </w:rPr>
              <w:t>2.964.100,00</w:t>
            </w:r>
          </w:p>
        </w:tc>
        <w:tc>
          <w:tcPr>
            <w:tcW w:w="1467" w:type="dxa"/>
            <w:shd w:val="clear" w:color="000080" w:fill="FFFFFF"/>
            <w:vAlign w:val="center"/>
          </w:tcPr>
          <w:p w14:paraId="0B148730" w14:textId="39DD497D" w:rsidR="00BD2C8B" w:rsidRDefault="00C1591B" w:rsidP="00851A08">
            <w:pPr>
              <w:jc w:val="center"/>
              <w:rPr>
                <w:rFonts w:ascii="Arial" w:hAnsi="Arial" w:cs="Arial"/>
                <w:bCs/>
                <w:sz w:val="18"/>
                <w:szCs w:val="18"/>
              </w:rPr>
            </w:pPr>
            <w:r>
              <w:rPr>
                <w:rFonts w:ascii="Arial" w:hAnsi="Arial" w:cs="Arial"/>
                <w:bCs/>
                <w:sz w:val="18"/>
                <w:szCs w:val="18"/>
              </w:rPr>
              <w:t>3.036.109,00</w:t>
            </w:r>
          </w:p>
        </w:tc>
        <w:tc>
          <w:tcPr>
            <w:tcW w:w="1467" w:type="dxa"/>
            <w:shd w:val="clear" w:color="000080" w:fill="FFFFFF"/>
            <w:vAlign w:val="center"/>
          </w:tcPr>
          <w:p w14:paraId="4F88C0E1" w14:textId="7C793C96" w:rsidR="00BD2C8B" w:rsidRPr="00311030" w:rsidRDefault="00C1591B" w:rsidP="00851A08">
            <w:pPr>
              <w:jc w:val="center"/>
              <w:rPr>
                <w:rFonts w:ascii="Arial" w:hAnsi="Arial" w:cs="Arial"/>
                <w:bCs/>
                <w:sz w:val="18"/>
                <w:szCs w:val="18"/>
              </w:rPr>
            </w:pPr>
            <w:r>
              <w:rPr>
                <w:rFonts w:ascii="Arial" w:hAnsi="Arial" w:cs="Arial"/>
                <w:bCs/>
                <w:sz w:val="18"/>
                <w:szCs w:val="18"/>
              </w:rPr>
              <w:t>2.739.233,53</w:t>
            </w:r>
          </w:p>
        </w:tc>
        <w:tc>
          <w:tcPr>
            <w:tcW w:w="1026" w:type="dxa"/>
            <w:shd w:val="clear" w:color="000080" w:fill="FFFFFF"/>
            <w:vAlign w:val="center"/>
          </w:tcPr>
          <w:p w14:paraId="4C5C565F" w14:textId="673A835F" w:rsidR="00BD2C8B" w:rsidRPr="00311030" w:rsidRDefault="00C1591B" w:rsidP="00851A08">
            <w:pPr>
              <w:jc w:val="center"/>
              <w:rPr>
                <w:rFonts w:ascii="Arial" w:hAnsi="Arial" w:cs="Arial"/>
                <w:bCs/>
                <w:sz w:val="18"/>
                <w:szCs w:val="18"/>
              </w:rPr>
            </w:pPr>
            <w:r>
              <w:rPr>
                <w:rFonts w:ascii="Arial" w:hAnsi="Arial" w:cs="Arial"/>
                <w:bCs/>
                <w:sz w:val="18"/>
                <w:szCs w:val="18"/>
              </w:rPr>
              <w:t>90,22%</w:t>
            </w:r>
          </w:p>
        </w:tc>
      </w:tr>
      <w:tr w:rsidR="00BD2C8B" w:rsidRPr="00311030" w14:paraId="3BEE7582" w14:textId="77777777" w:rsidTr="00440562">
        <w:trPr>
          <w:trHeight w:val="298"/>
          <w:jc w:val="center"/>
        </w:trPr>
        <w:tc>
          <w:tcPr>
            <w:tcW w:w="1027" w:type="dxa"/>
            <w:shd w:val="clear" w:color="000080" w:fill="FFFFFF"/>
            <w:vAlign w:val="center"/>
          </w:tcPr>
          <w:p w14:paraId="45915714" w14:textId="77777777" w:rsidR="00BD2C8B" w:rsidRPr="00311030" w:rsidRDefault="00BD2C8B" w:rsidP="00C60469">
            <w:pPr>
              <w:rPr>
                <w:rFonts w:ascii="Arial" w:hAnsi="Arial" w:cs="Arial"/>
                <w:bCs/>
                <w:sz w:val="18"/>
                <w:szCs w:val="18"/>
                <w:lang w:eastAsia="hr-HR"/>
              </w:rPr>
            </w:pPr>
            <w:r>
              <w:rPr>
                <w:rFonts w:ascii="Arial" w:hAnsi="Arial" w:cs="Arial"/>
                <w:bCs/>
                <w:sz w:val="18"/>
                <w:szCs w:val="18"/>
                <w:lang w:eastAsia="hr-HR"/>
              </w:rPr>
              <w:t>Program</w:t>
            </w:r>
          </w:p>
        </w:tc>
        <w:tc>
          <w:tcPr>
            <w:tcW w:w="953" w:type="dxa"/>
            <w:shd w:val="clear" w:color="000080" w:fill="FFFFFF"/>
            <w:vAlign w:val="center"/>
          </w:tcPr>
          <w:p w14:paraId="73C68077" w14:textId="77777777" w:rsidR="00BD2C8B" w:rsidRDefault="00BD2C8B" w:rsidP="00C60469">
            <w:pPr>
              <w:rPr>
                <w:rFonts w:ascii="Arial" w:hAnsi="Arial" w:cs="Arial"/>
                <w:bCs/>
                <w:sz w:val="18"/>
                <w:szCs w:val="18"/>
                <w:lang w:eastAsia="hr-HR"/>
              </w:rPr>
            </w:pPr>
            <w:r>
              <w:rPr>
                <w:rFonts w:ascii="Arial" w:hAnsi="Arial" w:cs="Arial"/>
                <w:bCs/>
                <w:sz w:val="18"/>
                <w:szCs w:val="18"/>
                <w:lang w:eastAsia="hr-HR"/>
              </w:rPr>
              <w:t>1101</w:t>
            </w:r>
          </w:p>
        </w:tc>
        <w:tc>
          <w:tcPr>
            <w:tcW w:w="3375" w:type="dxa"/>
            <w:shd w:val="clear" w:color="000080" w:fill="FFFFFF"/>
            <w:vAlign w:val="center"/>
          </w:tcPr>
          <w:p w14:paraId="213B4C25" w14:textId="77777777" w:rsidR="00BD2C8B" w:rsidRPr="00311030" w:rsidRDefault="00BD2C8B" w:rsidP="006E3F35">
            <w:pPr>
              <w:rPr>
                <w:rFonts w:ascii="Arial" w:hAnsi="Arial" w:cs="Arial"/>
                <w:bCs/>
                <w:sz w:val="18"/>
                <w:szCs w:val="18"/>
                <w:lang w:eastAsia="hr-HR"/>
              </w:rPr>
            </w:pPr>
            <w:r>
              <w:rPr>
                <w:rFonts w:ascii="Arial" w:hAnsi="Arial" w:cs="Arial"/>
                <w:bCs/>
                <w:sz w:val="18"/>
                <w:szCs w:val="18"/>
                <w:lang w:eastAsia="hr-HR"/>
              </w:rPr>
              <w:t>JAVNA UPRAVA I ADMINISTRACIJA</w:t>
            </w:r>
          </w:p>
        </w:tc>
        <w:tc>
          <w:tcPr>
            <w:tcW w:w="1831" w:type="dxa"/>
            <w:shd w:val="clear" w:color="000080" w:fill="FFFFFF"/>
            <w:vAlign w:val="center"/>
          </w:tcPr>
          <w:p w14:paraId="7AE4E51B" w14:textId="02B0DFF7" w:rsidR="00BD2C8B" w:rsidRDefault="00C1591B" w:rsidP="00851A08">
            <w:pPr>
              <w:jc w:val="center"/>
              <w:rPr>
                <w:rFonts w:ascii="Arial" w:hAnsi="Arial" w:cs="Arial"/>
                <w:bCs/>
                <w:sz w:val="18"/>
                <w:szCs w:val="18"/>
              </w:rPr>
            </w:pPr>
            <w:r>
              <w:rPr>
                <w:rFonts w:ascii="Arial" w:hAnsi="Arial" w:cs="Arial"/>
                <w:bCs/>
                <w:sz w:val="18"/>
                <w:szCs w:val="18"/>
              </w:rPr>
              <w:t>220.027,31</w:t>
            </w:r>
          </w:p>
        </w:tc>
        <w:tc>
          <w:tcPr>
            <w:tcW w:w="1467" w:type="dxa"/>
            <w:shd w:val="clear" w:color="000080" w:fill="FFFFFF"/>
            <w:vAlign w:val="center"/>
          </w:tcPr>
          <w:p w14:paraId="77E582DE" w14:textId="597FD932" w:rsidR="00BD2C8B" w:rsidRDefault="00C1591B" w:rsidP="00851A08">
            <w:pPr>
              <w:jc w:val="center"/>
              <w:rPr>
                <w:rFonts w:ascii="Arial" w:hAnsi="Arial" w:cs="Arial"/>
                <w:bCs/>
                <w:sz w:val="18"/>
                <w:szCs w:val="18"/>
              </w:rPr>
            </w:pPr>
            <w:r>
              <w:rPr>
                <w:rFonts w:ascii="Arial" w:hAnsi="Arial" w:cs="Arial"/>
                <w:bCs/>
                <w:sz w:val="18"/>
                <w:szCs w:val="18"/>
              </w:rPr>
              <w:t>220.427,31</w:t>
            </w:r>
          </w:p>
        </w:tc>
        <w:tc>
          <w:tcPr>
            <w:tcW w:w="1467" w:type="dxa"/>
            <w:shd w:val="clear" w:color="000080" w:fill="FFFFFF"/>
            <w:vAlign w:val="center"/>
          </w:tcPr>
          <w:p w14:paraId="3A362975" w14:textId="3238E7CA" w:rsidR="00BD2C8B" w:rsidRDefault="00C1591B" w:rsidP="00851A08">
            <w:pPr>
              <w:jc w:val="center"/>
              <w:rPr>
                <w:rFonts w:ascii="Arial" w:hAnsi="Arial" w:cs="Arial"/>
                <w:bCs/>
                <w:sz w:val="18"/>
                <w:szCs w:val="18"/>
              </w:rPr>
            </w:pPr>
            <w:r>
              <w:rPr>
                <w:rFonts w:ascii="Arial" w:hAnsi="Arial" w:cs="Arial"/>
                <w:bCs/>
                <w:sz w:val="18"/>
                <w:szCs w:val="18"/>
              </w:rPr>
              <w:t>204.112,84</w:t>
            </w:r>
          </w:p>
        </w:tc>
        <w:tc>
          <w:tcPr>
            <w:tcW w:w="1026" w:type="dxa"/>
            <w:shd w:val="clear" w:color="000080" w:fill="FFFFFF"/>
            <w:vAlign w:val="center"/>
          </w:tcPr>
          <w:p w14:paraId="4AE12FAA" w14:textId="048A7FC2" w:rsidR="00BD2C8B" w:rsidRDefault="00C1591B" w:rsidP="00851A08">
            <w:pPr>
              <w:jc w:val="center"/>
              <w:rPr>
                <w:rFonts w:ascii="Arial" w:hAnsi="Arial" w:cs="Arial"/>
                <w:bCs/>
                <w:sz w:val="18"/>
                <w:szCs w:val="18"/>
              </w:rPr>
            </w:pPr>
            <w:r>
              <w:rPr>
                <w:rFonts w:ascii="Arial" w:hAnsi="Arial" w:cs="Arial"/>
                <w:bCs/>
                <w:sz w:val="18"/>
                <w:szCs w:val="18"/>
              </w:rPr>
              <w:t>92,60%</w:t>
            </w:r>
          </w:p>
        </w:tc>
      </w:tr>
      <w:tr w:rsidR="00BD2C8B" w:rsidRPr="00311030" w14:paraId="7CD73AA7" w14:textId="77777777" w:rsidTr="00440562">
        <w:trPr>
          <w:trHeight w:val="298"/>
          <w:jc w:val="center"/>
        </w:trPr>
        <w:tc>
          <w:tcPr>
            <w:tcW w:w="1027" w:type="dxa"/>
            <w:shd w:val="clear" w:color="000080" w:fill="FFFFFF"/>
            <w:vAlign w:val="center"/>
          </w:tcPr>
          <w:p w14:paraId="461ED385" w14:textId="77777777" w:rsidR="00BD2C8B" w:rsidRDefault="00BD2C8B" w:rsidP="00C60469">
            <w:pPr>
              <w:rPr>
                <w:rFonts w:ascii="Arial" w:hAnsi="Arial" w:cs="Arial"/>
                <w:bCs/>
                <w:sz w:val="18"/>
                <w:szCs w:val="18"/>
                <w:lang w:eastAsia="hr-HR"/>
              </w:rPr>
            </w:pPr>
            <w:r>
              <w:rPr>
                <w:rFonts w:ascii="Arial" w:hAnsi="Arial" w:cs="Arial"/>
                <w:bCs/>
                <w:sz w:val="18"/>
                <w:szCs w:val="18"/>
                <w:lang w:eastAsia="hr-HR"/>
              </w:rPr>
              <w:t xml:space="preserve">Program </w:t>
            </w:r>
          </w:p>
        </w:tc>
        <w:tc>
          <w:tcPr>
            <w:tcW w:w="953" w:type="dxa"/>
            <w:shd w:val="clear" w:color="000080" w:fill="FFFFFF"/>
            <w:vAlign w:val="center"/>
          </w:tcPr>
          <w:p w14:paraId="27A5603F" w14:textId="77777777" w:rsidR="00BD2C8B" w:rsidRDefault="00BD2C8B" w:rsidP="00C60469">
            <w:pPr>
              <w:rPr>
                <w:rFonts w:ascii="Arial" w:hAnsi="Arial" w:cs="Arial"/>
                <w:bCs/>
                <w:sz w:val="18"/>
                <w:szCs w:val="18"/>
                <w:lang w:eastAsia="hr-HR"/>
              </w:rPr>
            </w:pPr>
            <w:r>
              <w:rPr>
                <w:rFonts w:ascii="Arial" w:hAnsi="Arial" w:cs="Arial"/>
                <w:bCs/>
                <w:sz w:val="18"/>
                <w:szCs w:val="18"/>
                <w:lang w:eastAsia="hr-HR"/>
              </w:rPr>
              <w:t>1201</w:t>
            </w:r>
          </w:p>
        </w:tc>
        <w:tc>
          <w:tcPr>
            <w:tcW w:w="3375" w:type="dxa"/>
            <w:shd w:val="clear" w:color="000080" w:fill="FFFFFF"/>
            <w:vAlign w:val="center"/>
          </w:tcPr>
          <w:p w14:paraId="0E6A1CF1" w14:textId="77777777" w:rsidR="00BD2C8B" w:rsidRDefault="00BD2C8B" w:rsidP="006E3F35">
            <w:pPr>
              <w:rPr>
                <w:rFonts w:ascii="Arial" w:hAnsi="Arial" w:cs="Arial"/>
                <w:bCs/>
                <w:sz w:val="18"/>
                <w:szCs w:val="18"/>
                <w:lang w:eastAsia="hr-HR"/>
              </w:rPr>
            </w:pPr>
            <w:r>
              <w:rPr>
                <w:rFonts w:ascii="Arial" w:hAnsi="Arial" w:cs="Arial"/>
                <w:bCs/>
                <w:sz w:val="18"/>
                <w:szCs w:val="18"/>
                <w:lang w:eastAsia="hr-HR"/>
              </w:rPr>
              <w:t xml:space="preserve">PREDŠKOLSKI ODGOJ I RAZVOJ ŠKOLSTVA </w:t>
            </w:r>
          </w:p>
        </w:tc>
        <w:tc>
          <w:tcPr>
            <w:tcW w:w="1831" w:type="dxa"/>
            <w:shd w:val="clear" w:color="000080" w:fill="FFFFFF"/>
            <w:vAlign w:val="center"/>
          </w:tcPr>
          <w:p w14:paraId="17E50B0A" w14:textId="4848DB79" w:rsidR="00BD2C8B" w:rsidRDefault="00C1591B" w:rsidP="00851A08">
            <w:pPr>
              <w:jc w:val="center"/>
              <w:rPr>
                <w:rFonts w:ascii="Arial" w:hAnsi="Arial" w:cs="Arial"/>
                <w:bCs/>
                <w:sz w:val="18"/>
                <w:szCs w:val="18"/>
              </w:rPr>
            </w:pPr>
            <w:r>
              <w:rPr>
                <w:rFonts w:ascii="Arial" w:hAnsi="Arial" w:cs="Arial"/>
                <w:bCs/>
                <w:sz w:val="18"/>
                <w:szCs w:val="18"/>
              </w:rPr>
              <w:t>625.000,00</w:t>
            </w:r>
          </w:p>
        </w:tc>
        <w:tc>
          <w:tcPr>
            <w:tcW w:w="1467" w:type="dxa"/>
            <w:shd w:val="clear" w:color="000080" w:fill="FFFFFF"/>
            <w:vAlign w:val="center"/>
          </w:tcPr>
          <w:p w14:paraId="6AF0C690" w14:textId="01A4F024" w:rsidR="00BD2C8B" w:rsidRDefault="00C1591B" w:rsidP="00851A08">
            <w:pPr>
              <w:jc w:val="center"/>
              <w:rPr>
                <w:rFonts w:ascii="Arial" w:hAnsi="Arial" w:cs="Arial"/>
                <w:bCs/>
                <w:sz w:val="18"/>
                <w:szCs w:val="18"/>
              </w:rPr>
            </w:pPr>
            <w:r>
              <w:rPr>
                <w:rFonts w:ascii="Arial" w:hAnsi="Arial" w:cs="Arial"/>
                <w:bCs/>
                <w:sz w:val="18"/>
                <w:szCs w:val="18"/>
              </w:rPr>
              <w:t>695.324,00</w:t>
            </w:r>
          </w:p>
        </w:tc>
        <w:tc>
          <w:tcPr>
            <w:tcW w:w="1467" w:type="dxa"/>
            <w:shd w:val="clear" w:color="000080" w:fill="FFFFFF"/>
            <w:vAlign w:val="center"/>
          </w:tcPr>
          <w:p w14:paraId="48E54F08" w14:textId="5492BD0A" w:rsidR="00BD2C8B" w:rsidRDefault="00C1591B" w:rsidP="00851A08">
            <w:pPr>
              <w:jc w:val="center"/>
              <w:rPr>
                <w:rFonts w:ascii="Arial" w:hAnsi="Arial" w:cs="Arial"/>
                <w:bCs/>
                <w:sz w:val="18"/>
                <w:szCs w:val="18"/>
              </w:rPr>
            </w:pPr>
            <w:r>
              <w:rPr>
                <w:rFonts w:ascii="Arial" w:hAnsi="Arial" w:cs="Arial"/>
                <w:bCs/>
                <w:sz w:val="18"/>
                <w:szCs w:val="18"/>
              </w:rPr>
              <w:t>602.411,12</w:t>
            </w:r>
          </w:p>
        </w:tc>
        <w:tc>
          <w:tcPr>
            <w:tcW w:w="1026" w:type="dxa"/>
            <w:shd w:val="clear" w:color="000080" w:fill="FFFFFF"/>
            <w:vAlign w:val="center"/>
          </w:tcPr>
          <w:p w14:paraId="2015BBED" w14:textId="6BC5F1C0" w:rsidR="00BD2C8B" w:rsidRDefault="00C1591B" w:rsidP="00851A08">
            <w:pPr>
              <w:jc w:val="center"/>
              <w:rPr>
                <w:rFonts w:ascii="Arial" w:hAnsi="Arial" w:cs="Arial"/>
                <w:bCs/>
                <w:sz w:val="18"/>
                <w:szCs w:val="18"/>
              </w:rPr>
            </w:pPr>
            <w:r>
              <w:rPr>
                <w:rFonts w:ascii="Arial" w:hAnsi="Arial" w:cs="Arial"/>
                <w:bCs/>
                <w:sz w:val="18"/>
                <w:szCs w:val="18"/>
              </w:rPr>
              <w:t>86,64%</w:t>
            </w:r>
          </w:p>
        </w:tc>
      </w:tr>
      <w:tr w:rsidR="00BD2C8B" w:rsidRPr="00311030" w14:paraId="6479AB8F" w14:textId="77777777" w:rsidTr="00440562">
        <w:trPr>
          <w:trHeight w:val="298"/>
          <w:jc w:val="center"/>
        </w:trPr>
        <w:tc>
          <w:tcPr>
            <w:tcW w:w="1027" w:type="dxa"/>
            <w:shd w:val="clear" w:color="000080" w:fill="FFFFFF"/>
            <w:vAlign w:val="center"/>
          </w:tcPr>
          <w:p w14:paraId="67F2046A" w14:textId="77777777" w:rsidR="00BD2C8B" w:rsidRDefault="00BD2C8B" w:rsidP="00C60469">
            <w:pPr>
              <w:rPr>
                <w:rFonts w:ascii="Arial" w:hAnsi="Arial" w:cs="Arial"/>
                <w:bCs/>
                <w:sz w:val="18"/>
                <w:szCs w:val="18"/>
                <w:lang w:eastAsia="hr-HR"/>
              </w:rPr>
            </w:pPr>
            <w:r>
              <w:rPr>
                <w:rFonts w:ascii="Arial" w:hAnsi="Arial" w:cs="Arial"/>
                <w:bCs/>
                <w:sz w:val="18"/>
                <w:szCs w:val="18"/>
                <w:lang w:eastAsia="hr-HR"/>
              </w:rPr>
              <w:t>Program</w:t>
            </w:r>
          </w:p>
        </w:tc>
        <w:tc>
          <w:tcPr>
            <w:tcW w:w="953" w:type="dxa"/>
            <w:shd w:val="clear" w:color="000080" w:fill="FFFFFF"/>
            <w:vAlign w:val="center"/>
          </w:tcPr>
          <w:p w14:paraId="4AA03824" w14:textId="77777777" w:rsidR="00BD2C8B" w:rsidRDefault="00BD2C8B" w:rsidP="00C60469">
            <w:pPr>
              <w:rPr>
                <w:rFonts w:ascii="Arial" w:hAnsi="Arial" w:cs="Arial"/>
                <w:bCs/>
                <w:sz w:val="18"/>
                <w:szCs w:val="18"/>
                <w:lang w:eastAsia="hr-HR"/>
              </w:rPr>
            </w:pPr>
            <w:r>
              <w:rPr>
                <w:rFonts w:ascii="Arial" w:hAnsi="Arial" w:cs="Arial"/>
                <w:bCs/>
                <w:sz w:val="18"/>
                <w:szCs w:val="18"/>
                <w:lang w:eastAsia="hr-HR"/>
              </w:rPr>
              <w:t>1202</w:t>
            </w:r>
          </w:p>
        </w:tc>
        <w:tc>
          <w:tcPr>
            <w:tcW w:w="3375" w:type="dxa"/>
            <w:shd w:val="clear" w:color="000080" w:fill="FFFFFF"/>
            <w:vAlign w:val="center"/>
          </w:tcPr>
          <w:p w14:paraId="7F968A8D" w14:textId="77777777" w:rsidR="00BD2C8B" w:rsidRDefault="00BD2C8B" w:rsidP="006E3F35">
            <w:pPr>
              <w:rPr>
                <w:rFonts w:ascii="Arial" w:hAnsi="Arial" w:cs="Arial"/>
                <w:bCs/>
                <w:sz w:val="18"/>
                <w:szCs w:val="18"/>
                <w:lang w:eastAsia="hr-HR"/>
              </w:rPr>
            </w:pPr>
            <w:r>
              <w:rPr>
                <w:rFonts w:ascii="Arial" w:hAnsi="Arial" w:cs="Arial"/>
                <w:bCs/>
                <w:sz w:val="18"/>
                <w:szCs w:val="18"/>
                <w:lang w:eastAsia="hr-HR"/>
              </w:rPr>
              <w:t>KULTURA</w:t>
            </w:r>
          </w:p>
        </w:tc>
        <w:tc>
          <w:tcPr>
            <w:tcW w:w="1831" w:type="dxa"/>
            <w:shd w:val="clear" w:color="000080" w:fill="FFFFFF"/>
            <w:vAlign w:val="center"/>
          </w:tcPr>
          <w:p w14:paraId="4D4E3C62" w14:textId="7AB6B327" w:rsidR="00BD2C8B" w:rsidRDefault="00C1591B" w:rsidP="00851A08">
            <w:pPr>
              <w:jc w:val="center"/>
              <w:rPr>
                <w:rFonts w:ascii="Arial" w:hAnsi="Arial" w:cs="Arial"/>
                <w:bCs/>
                <w:sz w:val="18"/>
                <w:szCs w:val="18"/>
              </w:rPr>
            </w:pPr>
            <w:r>
              <w:rPr>
                <w:rFonts w:ascii="Arial" w:hAnsi="Arial" w:cs="Arial"/>
                <w:bCs/>
                <w:sz w:val="18"/>
                <w:szCs w:val="18"/>
              </w:rPr>
              <w:t>384.630,22</w:t>
            </w:r>
          </w:p>
        </w:tc>
        <w:tc>
          <w:tcPr>
            <w:tcW w:w="1467" w:type="dxa"/>
            <w:shd w:val="clear" w:color="000080" w:fill="FFFFFF"/>
            <w:vAlign w:val="center"/>
          </w:tcPr>
          <w:p w14:paraId="0727AA3A" w14:textId="6E09AF29" w:rsidR="00BD2C8B" w:rsidRDefault="00C1591B" w:rsidP="00851A08">
            <w:pPr>
              <w:jc w:val="center"/>
              <w:rPr>
                <w:rFonts w:ascii="Arial" w:hAnsi="Arial" w:cs="Arial"/>
                <w:bCs/>
                <w:sz w:val="18"/>
                <w:szCs w:val="18"/>
              </w:rPr>
            </w:pPr>
            <w:r>
              <w:rPr>
                <w:rFonts w:ascii="Arial" w:hAnsi="Arial" w:cs="Arial"/>
                <w:bCs/>
                <w:sz w:val="18"/>
                <w:szCs w:val="18"/>
              </w:rPr>
              <w:t>384.630,22</w:t>
            </w:r>
          </w:p>
        </w:tc>
        <w:tc>
          <w:tcPr>
            <w:tcW w:w="1467" w:type="dxa"/>
            <w:shd w:val="clear" w:color="000080" w:fill="FFFFFF"/>
            <w:vAlign w:val="center"/>
          </w:tcPr>
          <w:p w14:paraId="4D6F4A80" w14:textId="27429119" w:rsidR="00BD2C8B" w:rsidRDefault="00C1591B" w:rsidP="00851A08">
            <w:pPr>
              <w:jc w:val="center"/>
              <w:rPr>
                <w:rFonts w:ascii="Arial" w:hAnsi="Arial" w:cs="Arial"/>
                <w:bCs/>
                <w:sz w:val="18"/>
                <w:szCs w:val="18"/>
              </w:rPr>
            </w:pPr>
            <w:r>
              <w:rPr>
                <w:rFonts w:ascii="Arial" w:hAnsi="Arial" w:cs="Arial"/>
                <w:bCs/>
                <w:sz w:val="18"/>
                <w:szCs w:val="18"/>
              </w:rPr>
              <w:t>355.982,35</w:t>
            </w:r>
          </w:p>
        </w:tc>
        <w:tc>
          <w:tcPr>
            <w:tcW w:w="1026" w:type="dxa"/>
            <w:shd w:val="clear" w:color="000080" w:fill="FFFFFF"/>
            <w:vAlign w:val="center"/>
          </w:tcPr>
          <w:p w14:paraId="4189F49B" w14:textId="0A15D58A" w:rsidR="00BD2C8B" w:rsidRDefault="00C1591B" w:rsidP="00851A08">
            <w:pPr>
              <w:jc w:val="center"/>
              <w:rPr>
                <w:rFonts w:ascii="Arial" w:hAnsi="Arial" w:cs="Arial"/>
                <w:bCs/>
                <w:sz w:val="18"/>
                <w:szCs w:val="18"/>
              </w:rPr>
            </w:pPr>
            <w:r>
              <w:rPr>
                <w:rFonts w:ascii="Arial" w:hAnsi="Arial" w:cs="Arial"/>
                <w:bCs/>
                <w:sz w:val="18"/>
                <w:szCs w:val="18"/>
              </w:rPr>
              <w:t>92,55%</w:t>
            </w:r>
          </w:p>
        </w:tc>
      </w:tr>
      <w:tr w:rsidR="00BD2C8B" w:rsidRPr="00311030" w14:paraId="0E7C4730" w14:textId="77777777" w:rsidTr="00440562">
        <w:trPr>
          <w:trHeight w:val="298"/>
          <w:jc w:val="center"/>
        </w:trPr>
        <w:tc>
          <w:tcPr>
            <w:tcW w:w="1027" w:type="dxa"/>
            <w:shd w:val="clear" w:color="000080" w:fill="FFFFFF"/>
            <w:vAlign w:val="center"/>
          </w:tcPr>
          <w:p w14:paraId="2AB77134" w14:textId="77777777" w:rsidR="00BD2C8B" w:rsidRDefault="00BD2C8B" w:rsidP="00C60469">
            <w:pPr>
              <w:rPr>
                <w:rFonts w:ascii="Arial" w:hAnsi="Arial" w:cs="Arial"/>
                <w:bCs/>
                <w:sz w:val="18"/>
                <w:szCs w:val="18"/>
                <w:lang w:eastAsia="hr-HR"/>
              </w:rPr>
            </w:pPr>
            <w:r>
              <w:rPr>
                <w:rFonts w:ascii="Arial" w:hAnsi="Arial" w:cs="Arial"/>
                <w:bCs/>
                <w:sz w:val="18"/>
                <w:szCs w:val="18"/>
                <w:lang w:eastAsia="hr-HR"/>
              </w:rPr>
              <w:t>Program</w:t>
            </w:r>
          </w:p>
        </w:tc>
        <w:tc>
          <w:tcPr>
            <w:tcW w:w="953" w:type="dxa"/>
            <w:shd w:val="clear" w:color="000080" w:fill="FFFFFF"/>
            <w:vAlign w:val="center"/>
          </w:tcPr>
          <w:p w14:paraId="5A7EB314" w14:textId="77777777" w:rsidR="00BD2C8B" w:rsidRDefault="00BD2C8B" w:rsidP="00C60469">
            <w:pPr>
              <w:rPr>
                <w:rFonts w:ascii="Arial" w:hAnsi="Arial" w:cs="Arial"/>
                <w:bCs/>
                <w:sz w:val="18"/>
                <w:szCs w:val="18"/>
                <w:lang w:eastAsia="hr-HR"/>
              </w:rPr>
            </w:pPr>
            <w:r>
              <w:rPr>
                <w:rFonts w:ascii="Arial" w:hAnsi="Arial" w:cs="Arial"/>
                <w:bCs/>
                <w:sz w:val="18"/>
                <w:szCs w:val="18"/>
                <w:lang w:eastAsia="hr-HR"/>
              </w:rPr>
              <w:t>1203</w:t>
            </w:r>
          </w:p>
        </w:tc>
        <w:tc>
          <w:tcPr>
            <w:tcW w:w="3375" w:type="dxa"/>
            <w:shd w:val="clear" w:color="000080" w:fill="FFFFFF"/>
            <w:vAlign w:val="center"/>
          </w:tcPr>
          <w:p w14:paraId="49A8E247" w14:textId="77777777" w:rsidR="00BD2C8B" w:rsidRDefault="00BD2C8B" w:rsidP="006E3F35">
            <w:pPr>
              <w:rPr>
                <w:rFonts w:ascii="Arial" w:hAnsi="Arial" w:cs="Arial"/>
                <w:bCs/>
                <w:sz w:val="18"/>
                <w:szCs w:val="18"/>
                <w:lang w:eastAsia="hr-HR"/>
              </w:rPr>
            </w:pPr>
            <w:r>
              <w:rPr>
                <w:rFonts w:ascii="Arial" w:hAnsi="Arial" w:cs="Arial"/>
                <w:bCs/>
                <w:sz w:val="18"/>
                <w:szCs w:val="18"/>
                <w:lang w:eastAsia="hr-HR"/>
              </w:rPr>
              <w:t xml:space="preserve">ŠPORT I TEHNIČKA KULTURA </w:t>
            </w:r>
          </w:p>
        </w:tc>
        <w:tc>
          <w:tcPr>
            <w:tcW w:w="1831" w:type="dxa"/>
            <w:shd w:val="clear" w:color="000080" w:fill="FFFFFF"/>
            <w:vAlign w:val="center"/>
          </w:tcPr>
          <w:p w14:paraId="6EFD99BA" w14:textId="252BE4BC" w:rsidR="00BD2C8B" w:rsidRDefault="00C1591B" w:rsidP="00851A08">
            <w:pPr>
              <w:jc w:val="center"/>
              <w:rPr>
                <w:rFonts w:ascii="Arial" w:hAnsi="Arial" w:cs="Arial"/>
                <w:bCs/>
                <w:sz w:val="18"/>
                <w:szCs w:val="18"/>
              </w:rPr>
            </w:pPr>
            <w:r>
              <w:rPr>
                <w:rFonts w:ascii="Arial" w:hAnsi="Arial" w:cs="Arial"/>
                <w:bCs/>
                <w:sz w:val="18"/>
                <w:szCs w:val="18"/>
              </w:rPr>
              <w:t>538.500,00</w:t>
            </w:r>
          </w:p>
        </w:tc>
        <w:tc>
          <w:tcPr>
            <w:tcW w:w="1467" w:type="dxa"/>
            <w:shd w:val="clear" w:color="000080" w:fill="FFFFFF"/>
            <w:vAlign w:val="center"/>
          </w:tcPr>
          <w:p w14:paraId="58F5D698" w14:textId="2770DFD6" w:rsidR="00BD2C8B" w:rsidRDefault="00C1591B" w:rsidP="00851A08">
            <w:pPr>
              <w:jc w:val="center"/>
              <w:rPr>
                <w:rFonts w:ascii="Arial" w:hAnsi="Arial" w:cs="Arial"/>
                <w:bCs/>
                <w:sz w:val="18"/>
                <w:szCs w:val="18"/>
              </w:rPr>
            </w:pPr>
            <w:r>
              <w:rPr>
                <w:rFonts w:ascii="Arial" w:hAnsi="Arial" w:cs="Arial"/>
                <w:bCs/>
                <w:sz w:val="18"/>
                <w:szCs w:val="18"/>
              </w:rPr>
              <w:t>540.285,00</w:t>
            </w:r>
          </w:p>
        </w:tc>
        <w:tc>
          <w:tcPr>
            <w:tcW w:w="1467" w:type="dxa"/>
            <w:shd w:val="clear" w:color="000080" w:fill="FFFFFF"/>
            <w:vAlign w:val="center"/>
          </w:tcPr>
          <w:p w14:paraId="11FF6FE8" w14:textId="0C55B27B" w:rsidR="00BD2C8B" w:rsidRDefault="00C1591B" w:rsidP="00851A08">
            <w:pPr>
              <w:jc w:val="center"/>
              <w:rPr>
                <w:rFonts w:ascii="Arial" w:hAnsi="Arial" w:cs="Arial"/>
                <w:bCs/>
                <w:sz w:val="18"/>
                <w:szCs w:val="18"/>
              </w:rPr>
            </w:pPr>
            <w:r>
              <w:rPr>
                <w:rFonts w:ascii="Arial" w:hAnsi="Arial" w:cs="Arial"/>
                <w:bCs/>
                <w:sz w:val="18"/>
                <w:szCs w:val="18"/>
              </w:rPr>
              <w:t>535.281,25</w:t>
            </w:r>
          </w:p>
        </w:tc>
        <w:tc>
          <w:tcPr>
            <w:tcW w:w="1026" w:type="dxa"/>
            <w:shd w:val="clear" w:color="000080" w:fill="FFFFFF"/>
            <w:vAlign w:val="center"/>
          </w:tcPr>
          <w:p w14:paraId="0F74CA29" w14:textId="3F908698" w:rsidR="00BD2C8B" w:rsidRDefault="00C1591B" w:rsidP="00851A08">
            <w:pPr>
              <w:jc w:val="center"/>
              <w:rPr>
                <w:rFonts w:ascii="Arial" w:hAnsi="Arial" w:cs="Arial"/>
                <w:bCs/>
                <w:sz w:val="18"/>
                <w:szCs w:val="18"/>
              </w:rPr>
            </w:pPr>
            <w:r>
              <w:rPr>
                <w:rFonts w:ascii="Arial" w:hAnsi="Arial" w:cs="Arial"/>
                <w:bCs/>
                <w:sz w:val="18"/>
                <w:szCs w:val="18"/>
              </w:rPr>
              <w:t>99,07%</w:t>
            </w:r>
          </w:p>
        </w:tc>
      </w:tr>
      <w:tr w:rsidR="00BD2C8B" w:rsidRPr="00311030" w14:paraId="5BAF8424" w14:textId="77777777" w:rsidTr="00440562">
        <w:trPr>
          <w:trHeight w:val="298"/>
          <w:jc w:val="center"/>
        </w:trPr>
        <w:tc>
          <w:tcPr>
            <w:tcW w:w="1027" w:type="dxa"/>
            <w:shd w:val="clear" w:color="000080" w:fill="FFFFFF"/>
            <w:vAlign w:val="center"/>
          </w:tcPr>
          <w:p w14:paraId="50C3AA11" w14:textId="77777777" w:rsidR="00BD2C8B" w:rsidRDefault="00BD2C8B" w:rsidP="00C60469">
            <w:pPr>
              <w:rPr>
                <w:rFonts w:ascii="Arial" w:hAnsi="Arial" w:cs="Arial"/>
                <w:bCs/>
                <w:sz w:val="18"/>
                <w:szCs w:val="18"/>
                <w:lang w:eastAsia="hr-HR"/>
              </w:rPr>
            </w:pPr>
            <w:r>
              <w:rPr>
                <w:rFonts w:ascii="Arial" w:hAnsi="Arial" w:cs="Arial"/>
                <w:bCs/>
                <w:sz w:val="18"/>
                <w:szCs w:val="18"/>
                <w:lang w:eastAsia="hr-HR"/>
              </w:rPr>
              <w:t>Program</w:t>
            </w:r>
          </w:p>
        </w:tc>
        <w:tc>
          <w:tcPr>
            <w:tcW w:w="953" w:type="dxa"/>
            <w:shd w:val="clear" w:color="000080" w:fill="FFFFFF"/>
            <w:vAlign w:val="center"/>
          </w:tcPr>
          <w:p w14:paraId="7D603FC3" w14:textId="77777777" w:rsidR="00BD2C8B" w:rsidRDefault="00BD2C8B" w:rsidP="00C60469">
            <w:pPr>
              <w:rPr>
                <w:rFonts w:ascii="Arial" w:hAnsi="Arial" w:cs="Arial"/>
                <w:bCs/>
                <w:sz w:val="18"/>
                <w:szCs w:val="18"/>
                <w:lang w:eastAsia="hr-HR"/>
              </w:rPr>
            </w:pPr>
            <w:r>
              <w:rPr>
                <w:rFonts w:ascii="Arial" w:hAnsi="Arial" w:cs="Arial"/>
                <w:bCs/>
                <w:sz w:val="18"/>
                <w:szCs w:val="18"/>
                <w:lang w:eastAsia="hr-HR"/>
              </w:rPr>
              <w:t>1205</w:t>
            </w:r>
          </w:p>
        </w:tc>
        <w:tc>
          <w:tcPr>
            <w:tcW w:w="3375" w:type="dxa"/>
            <w:shd w:val="clear" w:color="000080" w:fill="FFFFFF"/>
            <w:vAlign w:val="center"/>
          </w:tcPr>
          <w:p w14:paraId="707B2A20" w14:textId="77777777" w:rsidR="00BD2C8B" w:rsidRDefault="00BD2C8B" w:rsidP="006E3F35">
            <w:pPr>
              <w:rPr>
                <w:rFonts w:ascii="Arial" w:hAnsi="Arial" w:cs="Arial"/>
                <w:bCs/>
                <w:sz w:val="18"/>
                <w:szCs w:val="18"/>
                <w:lang w:eastAsia="hr-HR"/>
              </w:rPr>
            </w:pPr>
            <w:r>
              <w:rPr>
                <w:rFonts w:ascii="Arial" w:hAnsi="Arial" w:cs="Arial"/>
                <w:bCs/>
                <w:sz w:val="18"/>
                <w:szCs w:val="18"/>
                <w:lang w:eastAsia="hr-HR"/>
              </w:rPr>
              <w:t>SOCIJALNA SKRB</w:t>
            </w:r>
          </w:p>
        </w:tc>
        <w:tc>
          <w:tcPr>
            <w:tcW w:w="1831" w:type="dxa"/>
            <w:shd w:val="clear" w:color="000080" w:fill="FFFFFF"/>
            <w:vAlign w:val="center"/>
          </w:tcPr>
          <w:p w14:paraId="400C0B6E" w14:textId="72614DDE" w:rsidR="00BD2C8B" w:rsidRDefault="00C1591B" w:rsidP="00851A08">
            <w:pPr>
              <w:jc w:val="center"/>
              <w:rPr>
                <w:rFonts w:ascii="Arial" w:hAnsi="Arial" w:cs="Arial"/>
                <w:bCs/>
                <w:sz w:val="18"/>
                <w:szCs w:val="18"/>
              </w:rPr>
            </w:pPr>
            <w:r>
              <w:rPr>
                <w:rFonts w:ascii="Arial" w:hAnsi="Arial" w:cs="Arial"/>
                <w:bCs/>
                <w:sz w:val="18"/>
                <w:szCs w:val="18"/>
              </w:rPr>
              <w:t>593.300,00</w:t>
            </w:r>
          </w:p>
        </w:tc>
        <w:tc>
          <w:tcPr>
            <w:tcW w:w="1467" w:type="dxa"/>
            <w:shd w:val="clear" w:color="000080" w:fill="FFFFFF"/>
            <w:vAlign w:val="center"/>
          </w:tcPr>
          <w:p w14:paraId="44A16056" w14:textId="7B2DF91F" w:rsidR="00BD2C8B" w:rsidRDefault="00C1591B" w:rsidP="00851A08">
            <w:pPr>
              <w:jc w:val="center"/>
              <w:rPr>
                <w:rFonts w:ascii="Arial" w:hAnsi="Arial" w:cs="Arial"/>
                <w:bCs/>
                <w:sz w:val="18"/>
                <w:szCs w:val="18"/>
              </w:rPr>
            </w:pPr>
            <w:r>
              <w:rPr>
                <w:rFonts w:ascii="Arial" w:hAnsi="Arial" w:cs="Arial"/>
                <w:bCs/>
                <w:sz w:val="18"/>
                <w:szCs w:val="18"/>
              </w:rPr>
              <w:t>593.300,00</w:t>
            </w:r>
          </w:p>
        </w:tc>
        <w:tc>
          <w:tcPr>
            <w:tcW w:w="1467" w:type="dxa"/>
            <w:shd w:val="clear" w:color="000080" w:fill="FFFFFF"/>
            <w:vAlign w:val="center"/>
          </w:tcPr>
          <w:p w14:paraId="291F53E7" w14:textId="067BA511" w:rsidR="00BD2C8B" w:rsidRDefault="00C1591B" w:rsidP="00851A08">
            <w:pPr>
              <w:jc w:val="center"/>
              <w:rPr>
                <w:rFonts w:ascii="Arial" w:hAnsi="Arial" w:cs="Arial"/>
                <w:bCs/>
                <w:sz w:val="18"/>
                <w:szCs w:val="18"/>
              </w:rPr>
            </w:pPr>
            <w:r>
              <w:rPr>
                <w:rFonts w:ascii="Arial" w:hAnsi="Arial" w:cs="Arial"/>
                <w:bCs/>
                <w:sz w:val="18"/>
                <w:szCs w:val="18"/>
              </w:rPr>
              <w:t>537.077,35</w:t>
            </w:r>
          </w:p>
        </w:tc>
        <w:tc>
          <w:tcPr>
            <w:tcW w:w="1026" w:type="dxa"/>
            <w:shd w:val="clear" w:color="000080" w:fill="FFFFFF"/>
            <w:vAlign w:val="center"/>
          </w:tcPr>
          <w:p w14:paraId="31E28FB3" w14:textId="593B94E7" w:rsidR="00BD2C8B" w:rsidRDefault="00C1591B" w:rsidP="00851A08">
            <w:pPr>
              <w:jc w:val="center"/>
              <w:rPr>
                <w:rFonts w:ascii="Arial" w:hAnsi="Arial" w:cs="Arial"/>
                <w:bCs/>
                <w:sz w:val="18"/>
                <w:szCs w:val="18"/>
              </w:rPr>
            </w:pPr>
            <w:r>
              <w:rPr>
                <w:rFonts w:ascii="Arial" w:hAnsi="Arial" w:cs="Arial"/>
                <w:bCs/>
                <w:sz w:val="18"/>
                <w:szCs w:val="18"/>
              </w:rPr>
              <w:t>90,52%</w:t>
            </w:r>
          </w:p>
        </w:tc>
      </w:tr>
      <w:tr w:rsidR="00BD2C8B" w:rsidRPr="00311030" w14:paraId="18A6B671" w14:textId="77777777" w:rsidTr="00440562">
        <w:trPr>
          <w:trHeight w:val="298"/>
          <w:jc w:val="center"/>
        </w:trPr>
        <w:tc>
          <w:tcPr>
            <w:tcW w:w="1027" w:type="dxa"/>
            <w:shd w:val="clear" w:color="000080" w:fill="FFFFFF"/>
            <w:vAlign w:val="center"/>
          </w:tcPr>
          <w:p w14:paraId="776D492B" w14:textId="77777777" w:rsidR="00BD2C8B" w:rsidRDefault="00BD2C8B" w:rsidP="00C60469">
            <w:pPr>
              <w:rPr>
                <w:rFonts w:ascii="Arial" w:hAnsi="Arial" w:cs="Arial"/>
                <w:bCs/>
                <w:sz w:val="18"/>
                <w:szCs w:val="18"/>
                <w:lang w:eastAsia="hr-HR"/>
              </w:rPr>
            </w:pPr>
            <w:r>
              <w:rPr>
                <w:rFonts w:ascii="Arial" w:hAnsi="Arial" w:cs="Arial"/>
                <w:bCs/>
                <w:sz w:val="18"/>
                <w:szCs w:val="18"/>
                <w:lang w:eastAsia="hr-HR"/>
              </w:rPr>
              <w:t>Program</w:t>
            </w:r>
          </w:p>
        </w:tc>
        <w:tc>
          <w:tcPr>
            <w:tcW w:w="953" w:type="dxa"/>
            <w:shd w:val="clear" w:color="000080" w:fill="FFFFFF"/>
            <w:vAlign w:val="center"/>
          </w:tcPr>
          <w:p w14:paraId="369CECA2" w14:textId="77777777" w:rsidR="00BD2C8B" w:rsidRDefault="00BD2C8B" w:rsidP="00C60469">
            <w:pPr>
              <w:rPr>
                <w:rFonts w:ascii="Arial" w:hAnsi="Arial" w:cs="Arial"/>
                <w:bCs/>
                <w:sz w:val="18"/>
                <w:szCs w:val="18"/>
                <w:lang w:eastAsia="hr-HR"/>
              </w:rPr>
            </w:pPr>
            <w:r>
              <w:rPr>
                <w:rFonts w:ascii="Arial" w:hAnsi="Arial" w:cs="Arial"/>
                <w:bCs/>
                <w:sz w:val="18"/>
                <w:szCs w:val="18"/>
                <w:lang w:eastAsia="hr-HR"/>
              </w:rPr>
              <w:t>1206</w:t>
            </w:r>
          </w:p>
        </w:tc>
        <w:tc>
          <w:tcPr>
            <w:tcW w:w="3375" w:type="dxa"/>
            <w:shd w:val="clear" w:color="000080" w:fill="FFFFFF"/>
            <w:vAlign w:val="center"/>
          </w:tcPr>
          <w:p w14:paraId="3D2EDFFD" w14:textId="77777777" w:rsidR="00BD2C8B" w:rsidRDefault="00BD2C8B" w:rsidP="006E3F35">
            <w:pPr>
              <w:rPr>
                <w:rFonts w:ascii="Arial" w:hAnsi="Arial" w:cs="Arial"/>
                <w:bCs/>
                <w:sz w:val="18"/>
                <w:szCs w:val="18"/>
                <w:lang w:eastAsia="hr-HR"/>
              </w:rPr>
            </w:pPr>
            <w:r>
              <w:rPr>
                <w:rFonts w:ascii="Arial" w:hAnsi="Arial" w:cs="Arial"/>
                <w:bCs/>
                <w:sz w:val="18"/>
                <w:szCs w:val="18"/>
                <w:lang w:eastAsia="hr-HR"/>
              </w:rPr>
              <w:t>OSTALE DRUŠTVENE DJELATNOSTI</w:t>
            </w:r>
          </w:p>
        </w:tc>
        <w:tc>
          <w:tcPr>
            <w:tcW w:w="1831" w:type="dxa"/>
            <w:shd w:val="clear" w:color="000080" w:fill="FFFFFF"/>
            <w:vAlign w:val="center"/>
          </w:tcPr>
          <w:p w14:paraId="4A53BE48" w14:textId="6C1F8ED5" w:rsidR="00BD2C8B" w:rsidRDefault="00C1591B" w:rsidP="00851A08">
            <w:pPr>
              <w:jc w:val="center"/>
              <w:rPr>
                <w:rFonts w:ascii="Arial" w:hAnsi="Arial" w:cs="Arial"/>
                <w:bCs/>
                <w:sz w:val="18"/>
                <w:szCs w:val="18"/>
              </w:rPr>
            </w:pPr>
            <w:r>
              <w:rPr>
                <w:rFonts w:ascii="Arial" w:hAnsi="Arial" w:cs="Arial"/>
                <w:bCs/>
                <w:sz w:val="18"/>
                <w:szCs w:val="18"/>
              </w:rPr>
              <w:t>162.100,00</w:t>
            </w:r>
          </w:p>
        </w:tc>
        <w:tc>
          <w:tcPr>
            <w:tcW w:w="1467" w:type="dxa"/>
            <w:shd w:val="clear" w:color="000080" w:fill="FFFFFF"/>
            <w:vAlign w:val="center"/>
          </w:tcPr>
          <w:p w14:paraId="6979BDEA" w14:textId="3F1A72ED" w:rsidR="00BD2C8B" w:rsidRDefault="00C1591B" w:rsidP="00851A08">
            <w:pPr>
              <w:jc w:val="center"/>
              <w:rPr>
                <w:rFonts w:ascii="Arial" w:hAnsi="Arial" w:cs="Arial"/>
                <w:bCs/>
                <w:sz w:val="18"/>
                <w:szCs w:val="18"/>
              </w:rPr>
            </w:pPr>
            <w:r>
              <w:rPr>
                <w:rFonts w:ascii="Arial" w:hAnsi="Arial" w:cs="Arial"/>
                <w:bCs/>
                <w:sz w:val="18"/>
                <w:szCs w:val="18"/>
              </w:rPr>
              <w:t>162.100,00</w:t>
            </w:r>
          </w:p>
        </w:tc>
        <w:tc>
          <w:tcPr>
            <w:tcW w:w="1467" w:type="dxa"/>
            <w:shd w:val="clear" w:color="000080" w:fill="FFFFFF"/>
            <w:vAlign w:val="center"/>
          </w:tcPr>
          <w:p w14:paraId="09B7B40A" w14:textId="6F6926AD" w:rsidR="00BD2C8B" w:rsidRDefault="00C1591B" w:rsidP="00851A08">
            <w:pPr>
              <w:jc w:val="center"/>
              <w:rPr>
                <w:rFonts w:ascii="Arial" w:hAnsi="Arial" w:cs="Arial"/>
                <w:bCs/>
                <w:sz w:val="18"/>
                <w:szCs w:val="18"/>
              </w:rPr>
            </w:pPr>
            <w:r>
              <w:rPr>
                <w:rFonts w:ascii="Arial" w:hAnsi="Arial" w:cs="Arial"/>
                <w:bCs/>
                <w:sz w:val="18"/>
                <w:szCs w:val="18"/>
              </w:rPr>
              <w:t>132.402,16</w:t>
            </w:r>
          </w:p>
        </w:tc>
        <w:tc>
          <w:tcPr>
            <w:tcW w:w="1026" w:type="dxa"/>
            <w:shd w:val="clear" w:color="000080" w:fill="FFFFFF"/>
            <w:vAlign w:val="center"/>
          </w:tcPr>
          <w:p w14:paraId="67829BFA" w14:textId="62198061" w:rsidR="00BD2C8B" w:rsidRDefault="00C1591B" w:rsidP="00851A08">
            <w:pPr>
              <w:jc w:val="center"/>
              <w:rPr>
                <w:rFonts w:ascii="Arial" w:hAnsi="Arial" w:cs="Arial"/>
                <w:bCs/>
                <w:sz w:val="18"/>
                <w:szCs w:val="18"/>
              </w:rPr>
            </w:pPr>
            <w:r>
              <w:rPr>
                <w:rFonts w:ascii="Arial" w:hAnsi="Arial" w:cs="Arial"/>
                <w:bCs/>
                <w:sz w:val="18"/>
                <w:szCs w:val="18"/>
              </w:rPr>
              <w:t>81,68%</w:t>
            </w:r>
          </w:p>
        </w:tc>
      </w:tr>
      <w:tr w:rsidR="00BD2C8B" w:rsidRPr="00311030" w14:paraId="41442FEF" w14:textId="77777777" w:rsidTr="00440562">
        <w:trPr>
          <w:trHeight w:val="298"/>
          <w:jc w:val="center"/>
        </w:trPr>
        <w:tc>
          <w:tcPr>
            <w:tcW w:w="1027" w:type="dxa"/>
            <w:shd w:val="clear" w:color="000080" w:fill="FFFFFF"/>
            <w:vAlign w:val="center"/>
          </w:tcPr>
          <w:p w14:paraId="4EB1C0C0" w14:textId="77777777" w:rsidR="00BD2C8B" w:rsidRDefault="00BD2C8B" w:rsidP="00C60469">
            <w:pPr>
              <w:rPr>
                <w:rFonts w:ascii="Arial" w:hAnsi="Arial" w:cs="Arial"/>
                <w:bCs/>
                <w:sz w:val="18"/>
                <w:szCs w:val="18"/>
                <w:lang w:eastAsia="hr-HR"/>
              </w:rPr>
            </w:pPr>
            <w:r>
              <w:rPr>
                <w:rFonts w:ascii="Arial" w:hAnsi="Arial" w:cs="Arial"/>
                <w:bCs/>
                <w:sz w:val="18"/>
                <w:szCs w:val="18"/>
                <w:lang w:eastAsia="hr-HR"/>
              </w:rPr>
              <w:t xml:space="preserve">Program </w:t>
            </w:r>
          </w:p>
        </w:tc>
        <w:tc>
          <w:tcPr>
            <w:tcW w:w="953" w:type="dxa"/>
            <w:shd w:val="clear" w:color="000080" w:fill="FFFFFF"/>
            <w:vAlign w:val="center"/>
          </w:tcPr>
          <w:p w14:paraId="143C6C54" w14:textId="77777777" w:rsidR="00BD2C8B" w:rsidRDefault="00BD2C8B" w:rsidP="00C60469">
            <w:pPr>
              <w:rPr>
                <w:rFonts w:ascii="Arial" w:hAnsi="Arial" w:cs="Arial"/>
                <w:bCs/>
                <w:sz w:val="18"/>
                <w:szCs w:val="18"/>
                <w:lang w:eastAsia="hr-HR"/>
              </w:rPr>
            </w:pPr>
            <w:r>
              <w:rPr>
                <w:rFonts w:ascii="Arial" w:hAnsi="Arial" w:cs="Arial"/>
                <w:bCs/>
                <w:sz w:val="18"/>
                <w:szCs w:val="18"/>
                <w:lang w:eastAsia="hr-HR"/>
              </w:rPr>
              <w:t>1207</w:t>
            </w:r>
          </w:p>
        </w:tc>
        <w:tc>
          <w:tcPr>
            <w:tcW w:w="3375" w:type="dxa"/>
            <w:shd w:val="clear" w:color="000080" w:fill="FFFFFF"/>
            <w:vAlign w:val="center"/>
          </w:tcPr>
          <w:p w14:paraId="6D149F8A" w14:textId="77777777" w:rsidR="00BD2C8B" w:rsidRDefault="00BD2C8B" w:rsidP="006E3F35">
            <w:pPr>
              <w:rPr>
                <w:rFonts w:ascii="Arial" w:hAnsi="Arial" w:cs="Arial"/>
                <w:bCs/>
                <w:sz w:val="18"/>
                <w:szCs w:val="18"/>
                <w:lang w:eastAsia="hr-HR"/>
              </w:rPr>
            </w:pPr>
            <w:r>
              <w:rPr>
                <w:rFonts w:ascii="Arial" w:hAnsi="Arial" w:cs="Arial"/>
                <w:bCs/>
                <w:sz w:val="18"/>
                <w:szCs w:val="18"/>
                <w:lang w:eastAsia="hr-HR"/>
              </w:rPr>
              <w:t>CIVILNA ZAŠTITA</w:t>
            </w:r>
          </w:p>
        </w:tc>
        <w:tc>
          <w:tcPr>
            <w:tcW w:w="1831" w:type="dxa"/>
            <w:shd w:val="clear" w:color="000080" w:fill="FFFFFF"/>
            <w:vAlign w:val="center"/>
          </w:tcPr>
          <w:p w14:paraId="4B3966D8" w14:textId="3AD38DB7" w:rsidR="00BD2C8B" w:rsidRDefault="00440562" w:rsidP="00851A08">
            <w:pPr>
              <w:jc w:val="center"/>
              <w:rPr>
                <w:rFonts w:ascii="Arial" w:hAnsi="Arial" w:cs="Arial"/>
                <w:bCs/>
                <w:sz w:val="18"/>
                <w:szCs w:val="18"/>
              </w:rPr>
            </w:pPr>
            <w:r>
              <w:rPr>
                <w:rFonts w:ascii="Arial" w:hAnsi="Arial" w:cs="Arial"/>
                <w:bCs/>
                <w:sz w:val="18"/>
                <w:szCs w:val="18"/>
              </w:rPr>
              <w:t>290.042,47</w:t>
            </w:r>
          </w:p>
        </w:tc>
        <w:tc>
          <w:tcPr>
            <w:tcW w:w="1467" w:type="dxa"/>
            <w:shd w:val="clear" w:color="000080" w:fill="FFFFFF"/>
            <w:vAlign w:val="center"/>
          </w:tcPr>
          <w:p w14:paraId="4FD3D672" w14:textId="25929BA3" w:rsidR="00BD2C8B" w:rsidRDefault="00440562" w:rsidP="00851A08">
            <w:pPr>
              <w:jc w:val="center"/>
              <w:rPr>
                <w:rFonts w:ascii="Arial" w:hAnsi="Arial" w:cs="Arial"/>
                <w:bCs/>
                <w:sz w:val="18"/>
                <w:szCs w:val="18"/>
              </w:rPr>
            </w:pPr>
            <w:r>
              <w:rPr>
                <w:rFonts w:ascii="Arial" w:hAnsi="Arial" w:cs="Arial"/>
                <w:bCs/>
                <w:sz w:val="18"/>
                <w:szCs w:val="18"/>
              </w:rPr>
              <w:t>288.042,47</w:t>
            </w:r>
          </w:p>
        </w:tc>
        <w:tc>
          <w:tcPr>
            <w:tcW w:w="1467" w:type="dxa"/>
            <w:shd w:val="clear" w:color="000080" w:fill="FFFFFF"/>
            <w:vAlign w:val="center"/>
          </w:tcPr>
          <w:p w14:paraId="742B5417" w14:textId="2D002662" w:rsidR="00BD2C8B" w:rsidRDefault="00440562" w:rsidP="00851A08">
            <w:pPr>
              <w:jc w:val="center"/>
              <w:rPr>
                <w:rFonts w:ascii="Arial" w:hAnsi="Arial" w:cs="Arial"/>
                <w:bCs/>
                <w:sz w:val="18"/>
                <w:szCs w:val="18"/>
              </w:rPr>
            </w:pPr>
            <w:r>
              <w:rPr>
                <w:rFonts w:ascii="Arial" w:hAnsi="Arial" w:cs="Arial"/>
                <w:bCs/>
                <w:sz w:val="18"/>
                <w:szCs w:val="18"/>
              </w:rPr>
              <w:t>237.288,95</w:t>
            </w:r>
          </w:p>
        </w:tc>
        <w:tc>
          <w:tcPr>
            <w:tcW w:w="1026" w:type="dxa"/>
            <w:shd w:val="clear" w:color="000080" w:fill="FFFFFF"/>
            <w:vAlign w:val="center"/>
          </w:tcPr>
          <w:p w14:paraId="3D45FE93" w14:textId="62C22CF9" w:rsidR="00BD2C8B" w:rsidRDefault="00440562" w:rsidP="00851A08">
            <w:pPr>
              <w:jc w:val="center"/>
              <w:rPr>
                <w:rFonts w:ascii="Arial" w:hAnsi="Arial" w:cs="Arial"/>
                <w:bCs/>
                <w:sz w:val="18"/>
                <w:szCs w:val="18"/>
              </w:rPr>
            </w:pPr>
            <w:r>
              <w:rPr>
                <w:rFonts w:ascii="Arial" w:hAnsi="Arial" w:cs="Arial"/>
                <w:bCs/>
                <w:sz w:val="18"/>
                <w:szCs w:val="18"/>
              </w:rPr>
              <w:t>82,38%</w:t>
            </w:r>
          </w:p>
        </w:tc>
      </w:tr>
      <w:tr w:rsidR="00BD2C8B" w:rsidRPr="00311030" w14:paraId="0C64CCF8" w14:textId="77777777" w:rsidTr="00440562">
        <w:trPr>
          <w:trHeight w:val="298"/>
          <w:jc w:val="center"/>
        </w:trPr>
        <w:tc>
          <w:tcPr>
            <w:tcW w:w="1027" w:type="dxa"/>
            <w:shd w:val="clear" w:color="000080" w:fill="FFFFFF"/>
            <w:vAlign w:val="center"/>
          </w:tcPr>
          <w:p w14:paraId="7415E5AF" w14:textId="77777777" w:rsidR="00BD2C8B" w:rsidRDefault="00BD2C8B" w:rsidP="00C60469">
            <w:pPr>
              <w:rPr>
                <w:rFonts w:ascii="Arial" w:hAnsi="Arial" w:cs="Arial"/>
                <w:bCs/>
                <w:sz w:val="18"/>
                <w:szCs w:val="18"/>
                <w:lang w:eastAsia="hr-HR"/>
              </w:rPr>
            </w:pPr>
            <w:r>
              <w:rPr>
                <w:rFonts w:ascii="Arial" w:hAnsi="Arial" w:cs="Arial"/>
                <w:bCs/>
                <w:sz w:val="18"/>
                <w:szCs w:val="18"/>
                <w:lang w:eastAsia="hr-HR"/>
              </w:rPr>
              <w:t xml:space="preserve">Program </w:t>
            </w:r>
          </w:p>
        </w:tc>
        <w:tc>
          <w:tcPr>
            <w:tcW w:w="953" w:type="dxa"/>
            <w:shd w:val="clear" w:color="000080" w:fill="FFFFFF"/>
            <w:vAlign w:val="center"/>
          </w:tcPr>
          <w:p w14:paraId="071968E8" w14:textId="77777777" w:rsidR="00BD2C8B" w:rsidRDefault="00BD2C8B" w:rsidP="00C60469">
            <w:pPr>
              <w:rPr>
                <w:rFonts w:ascii="Arial" w:hAnsi="Arial" w:cs="Arial"/>
                <w:bCs/>
                <w:sz w:val="18"/>
                <w:szCs w:val="18"/>
                <w:lang w:eastAsia="hr-HR"/>
              </w:rPr>
            </w:pPr>
            <w:r>
              <w:rPr>
                <w:rFonts w:ascii="Arial" w:hAnsi="Arial" w:cs="Arial"/>
                <w:bCs/>
                <w:sz w:val="18"/>
                <w:szCs w:val="18"/>
                <w:lang w:eastAsia="hr-HR"/>
              </w:rPr>
              <w:t>1208</w:t>
            </w:r>
          </w:p>
        </w:tc>
        <w:tc>
          <w:tcPr>
            <w:tcW w:w="3375" w:type="dxa"/>
            <w:shd w:val="clear" w:color="000080" w:fill="FFFFFF"/>
            <w:vAlign w:val="center"/>
          </w:tcPr>
          <w:p w14:paraId="74DA4958" w14:textId="77777777" w:rsidR="00BD2C8B" w:rsidRDefault="00BD2C8B" w:rsidP="006E3F35">
            <w:pPr>
              <w:rPr>
                <w:rFonts w:ascii="Arial" w:hAnsi="Arial" w:cs="Arial"/>
                <w:bCs/>
                <w:sz w:val="18"/>
                <w:szCs w:val="18"/>
                <w:lang w:eastAsia="hr-HR"/>
              </w:rPr>
            </w:pPr>
            <w:r>
              <w:rPr>
                <w:rFonts w:ascii="Arial" w:hAnsi="Arial" w:cs="Arial"/>
                <w:bCs/>
                <w:sz w:val="18"/>
                <w:szCs w:val="18"/>
                <w:lang w:eastAsia="hr-HR"/>
              </w:rPr>
              <w:t>POLJOPRIVREDA</w:t>
            </w:r>
          </w:p>
        </w:tc>
        <w:tc>
          <w:tcPr>
            <w:tcW w:w="1831" w:type="dxa"/>
            <w:shd w:val="clear" w:color="000080" w:fill="FFFFFF"/>
            <w:vAlign w:val="center"/>
          </w:tcPr>
          <w:p w14:paraId="753CB697" w14:textId="3639603F" w:rsidR="00BD2C8B" w:rsidRDefault="00440562" w:rsidP="00851A08">
            <w:pPr>
              <w:jc w:val="center"/>
              <w:rPr>
                <w:rFonts w:ascii="Arial" w:hAnsi="Arial" w:cs="Arial"/>
                <w:bCs/>
                <w:sz w:val="18"/>
                <w:szCs w:val="18"/>
              </w:rPr>
            </w:pPr>
            <w:r>
              <w:rPr>
                <w:rFonts w:ascii="Arial" w:hAnsi="Arial" w:cs="Arial"/>
                <w:bCs/>
                <w:sz w:val="18"/>
                <w:szCs w:val="18"/>
              </w:rPr>
              <w:t>14.000,00</w:t>
            </w:r>
          </w:p>
        </w:tc>
        <w:tc>
          <w:tcPr>
            <w:tcW w:w="1467" w:type="dxa"/>
            <w:shd w:val="clear" w:color="000080" w:fill="FFFFFF"/>
            <w:vAlign w:val="center"/>
          </w:tcPr>
          <w:p w14:paraId="41C41EA5" w14:textId="16867F39" w:rsidR="00BD2C8B" w:rsidRDefault="00440562" w:rsidP="00851A08">
            <w:pPr>
              <w:jc w:val="center"/>
              <w:rPr>
                <w:rFonts w:ascii="Arial" w:hAnsi="Arial" w:cs="Arial"/>
                <w:bCs/>
                <w:sz w:val="18"/>
                <w:szCs w:val="18"/>
              </w:rPr>
            </w:pPr>
            <w:r>
              <w:rPr>
                <w:rFonts w:ascii="Arial" w:hAnsi="Arial" w:cs="Arial"/>
                <w:bCs/>
                <w:sz w:val="18"/>
                <w:szCs w:val="18"/>
              </w:rPr>
              <w:t>14.000,00</w:t>
            </w:r>
          </w:p>
        </w:tc>
        <w:tc>
          <w:tcPr>
            <w:tcW w:w="1467" w:type="dxa"/>
            <w:shd w:val="clear" w:color="000080" w:fill="FFFFFF"/>
            <w:vAlign w:val="center"/>
          </w:tcPr>
          <w:p w14:paraId="3535C85A" w14:textId="51CFD536" w:rsidR="00BD2C8B" w:rsidRDefault="00440562" w:rsidP="00851A08">
            <w:pPr>
              <w:jc w:val="center"/>
              <w:rPr>
                <w:rFonts w:ascii="Arial" w:hAnsi="Arial" w:cs="Arial"/>
                <w:bCs/>
                <w:sz w:val="18"/>
                <w:szCs w:val="18"/>
              </w:rPr>
            </w:pPr>
            <w:r>
              <w:rPr>
                <w:rFonts w:ascii="Arial" w:hAnsi="Arial" w:cs="Arial"/>
                <w:bCs/>
                <w:sz w:val="18"/>
                <w:szCs w:val="18"/>
              </w:rPr>
              <w:t>7.000,00</w:t>
            </w:r>
          </w:p>
        </w:tc>
        <w:tc>
          <w:tcPr>
            <w:tcW w:w="1026" w:type="dxa"/>
            <w:shd w:val="clear" w:color="000080" w:fill="FFFFFF"/>
            <w:vAlign w:val="center"/>
          </w:tcPr>
          <w:p w14:paraId="6B53E428" w14:textId="26F33753" w:rsidR="00BD2C8B" w:rsidRDefault="00440562" w:rsidP="00851A08">
            <w:pPr>
              <w:jc w:val="center"/>
              <w:rPr>
                <w:rFonts w:ascii="Arial" w:hAnsi="Arial" w:cs="Arial"/>
                <w:bCs/>
                <w:sz w:val="18"/>
                <w:szCs w:val="18"/>
              </w:rPr>
            </w:pPr>
            <w:r>
              <w:rPr>
                <w:rFonts w:ascii="Arial" w:hAnsi="Arial" w:cs="Arial"/>
                <w:bCs/>
                <w:sz w:val="18"/>
                <w:szCs w:val="18"/>
              </w:rPr>
              <w:t>50,00%</w:t>
            </w:r>
          </w:p>
        </w:tc>
      </w:tr>
      <w:tr w:rsidR="00BD2C8B" w:rsidRPr="00311030" w14:paraId="57AFF80E" w14:textId="77777777" w:rsidTr="00440562">
        <w:trPr>
          <w:trHeight w:val="298"/>
          <w:jc w:val="center"/>
        </w:trPr>
        <w:tc>
          <w:tcPr>
            <w:tcW w:w="1027" w:type="dxa"/>
            <w:shd w:val="clear" w:color="000080" w:fill="FFFFFF"/>
            <w:vAlign w:val="center"/>
          </w:tcPr>
          <w:p w14:paraId="1217F214" w14:textId="77777777" w:rsidR="00BD2C8B" w:rsidRDefault="00BD2C8B" w:rsidP="00C60469">
            <w:pPr>
              <w:rPr>
                <w:rFonts w:ascii="Arial" w:hAnsi="Arial" w:cs="Arial"/>
                <w:bCs/>
                <w:sz w:val="18"/>
                <w:szCs w:val="18"/>
                <w:lang w:eastAsia="hr-HR"/>
              </w:rPr>
            </w:pPr>
            <w:r>
              <w:rPr>
                <w:rFonts w:ascii="Arial" w:hAnsi="Arial" w:cs="Arial"/>
                <w:bCs/>
                <w:sz w:val="18"/>
                <w:szCs w:val="18"/>
                <w:lang w:eastAsia="hr-HR"/>
              </w:rPr>
              <w:t>Program</w:t>
            </w:r>
          </w:p>
        </w:tc>
        <w:tc>
          <w:tcPr>
            <w:tcW w:w="953" w:type="dxa"/>
            <w:shd w:val="clear" w:color="000080" w:fill="FFFFFF"/>
            <w:vAlign w:val="center"/>
          </w:tcPr>
          <w:p w14:paraId="3BAEB4A5" w14:textId="77777777" w:rsidR="00BD2C8B" w:rsidRDefault="00BD2C8B" w:rsidP="00C60469">
            <w:pPr>
              <w:rPr>
                <w:rFonts w:ascii="Arial" w:hAnsi="Arial" w:cs="Arial"/>
                <w:bCs/>
                <w:sz w:val="18"/>
                <w:szCs w:val="18"/>
                <w:lang w:eastAsia="hr-HR"/>
              </w:rPr>
            </w:pPr>
            <w:r>
              <w:rPr>
                <w:rFonts w:ascii="Arial" w:hAnsi="Arial" w:cs="Arial"/>
                <w:bCs/>
                <w:sz w:val="18"/>
                <w:szCs w:val="18"/>
                <w:lang w:eastAsia="hr-HR"/>
              </w:rPr>
              <w:t>1209</w:t>
            </w:r>
          </w:p>
        </w:tc>
        <w:tc>
          <w:tcPr>
            <w:tcW w:w="3375" w:type="dxa"/>
            <w:shd w:val="clear" w:color="000080" w:fill="FFFFFF"/>
            <w:vAlign w:val="center"/>
          </w:tcPr>
          <w:p w14:paraId="3854ED71" w14:textId="77777777" w:rsidR="00BD2C8B" w:rsidRDefault="00BD2C8B" w:rsidP="006E3F35">
            <w:pPr>
              <w:rPr>
                <w:rFonts w:ascii="Arial" w:hAnsi="Arial" w:cs="Arial"/>
                <w:bCs/>
                <w:sz w:val="18"/>
                <w:szCs w:val="18"/>
                <w:lang w:eastAsia="hr-HR"/>
              </w:rPr>
            </w:pPr>
            <w:r>
              <w:rPr>
                <w:rFonts w:ascii="Arial" w:hAnsi="Arial" w:cs="Arial"/>
                <w:bCs/>
                <w:sz w:val="18"/>
                <w:szCs w:val="18"/>
                <w:lang w:eastAsia="hr-HR"/>
              </w:rPr>
              <w:t>TURIZAM</w:t>
            </w:r>
          </w:p>
        </w:tc>
        <w:tc>
          <w:tcPr>
            <w:tcW w:w="1831" w:type="dxa"/>
            <w:shd w:val="clear" w:color="000080" w:fill="FFFFFF"/>
            <w:vAlign w:val="center"/>
          </w:tcPr>
          <w:p w14:paraId="2D25D72D" w14:textId="2AAF7BCB" w:rsidR="00BD2C8B" w:rsidRDefault="00440562" w:rsidP="00851A08">
            <w:pPr>
              <w:jc w:val="center"/>
              <w:rPr>
                <w:rFonts w:ascii="Arial" w:hAnsi="Arial" w:cs="Arial"/>
                <w:bCs/>
                <w:sz w:val="18"/>
                <w:szCs w:val="18"/>
              </w:rPr>
            </w:pPr>
            <w:r>
              <w:rPr>
                <w:rFonts w:ascii="Arial" w:hAnsi="Arial" w:cs="Arial"/>
                <w:bCs/>
                <w:sz w:val="18"/>
                <w:szCs w:val="18"/>
              </w:rPr>
              <w:t>120.500,00</w:t>
            </w:r>
          </w:p>
        </w:tc>
        <w:tc>
          <w:tcPr>
            <w:tcW w:w="1467" w:type="dxa"/>
            <w:shd w:val="clear" w:color="000080" w:fill="FFFFFF"/>
            <w:vAlign w:val="center"/>
          </w:tcPr>
          <w:p w14:paraId="5A5D43FC" w14:textId="483A927B" w:rsidR="00BD2C8B" w:rsidRDefault="00440562" w:rsidP="00851A08">
            <w:pPr>
              <w:jc w:val="center"/>
              <w:rPr>
                <w:rFonts w:ascii="Arial" w:hAnsi="Arial" w:cs="Arial"/>
                <w:bCs/>
                <w:sz w:val="18"/>
                <w:szCs w:val="18"/>
              </w:rPr>
            </w:pPr>
            <w:r>
              <w:rPr>
                <w:rFonts w:ascii="Arial" w:hAnsi="Arial" w:cs="Arial"/>
                <w:bCs/>
                <w:sz w:val="18"/>
                <w:szCs w:val="18"/>
              </w:rPr>
              <w:t>122.000,00</w:t>
            </w:r>
          </w:p>
        </w:tc>
        <w:tc>
          <w:tcPr>
            <w:tcW w:w="1467" w:type="dxa"/>
            <w:shd w:val="clear" w:color="000080" w:fill="FFFFFF"/>
            <w:vAlign w:val="center"/>
          </w:tcPr>
          <w:p w14:paraId="1FBCABFF" w14:textId="323AD09F" w:rsidR="00BD2C8B" w:rsidRDefault="00440562" w:rsidP="00851A08">
            <w:pPr>
              <w:jc w:val="center"/>
              <w:rPr>
                <w:rFonts w:ascii="Arial" w:hAnsi="Arial" w:cs="Arial"/>
                <w:bCs/>
                <w:sz w:val="18"/>
                <w:szCs w:val="18"/>
              </w:rPr>
            </w:pPr>
            <w:r>
              <w:rPr>
                <w:rFonts w:ascii="Arial" w:hAnsi="Arial" w:cs="Arial"/>
                <w:bCs/>
                <w:sz w:val="18"/>
                <w:szCs w:val="18"/>
              </w:rPr>
              <w:t>118.459,32</w:t>
            </w:r>
          </w:p>
        </w:tc>
        <w:tc>
          <w:tcPr>
            <w:tcW w:w="1026" w:type="dxa"/>
            <w:shd w:val="clear" w:color="000080" w:fill="FFFFFF"/>
            <w:vAlign w:val="center"/>
          </w:tcPr>
          <w:p w14:paraId="241F1687" w14:textId="2A9D3746" w:rsidR="00BD2C8B" w:rsidRDefault="00440562" w:rsidP="00851A08">
            <w:pPr>
              <w:jc w:val="center"/>
              <w:rPr>
                <w:rFonts w:ascii="Arial" w:hAnsi="Arial" w:cs="Arial"/>
                <w:bCs/>
                <w:sz w:val="18"/>
                <w:szCs w:val="18"/>
              </w:rPr>
            </w:pPr>
            <w:r>
              <w:rPr>
                <w:rFonts w:ascii="Arial" w:hAnsi="Arial" w:cs="Arial"/>
                <w:bCs/>
                <w:sz w:val="18"/>
                <w:szCs w:val="18"/>
              </w:rPr>
              <w:t>97,10%</w:t>
            </w:r>
          </w:p>
        </w:tc>
      </w:tr>
      <w:tr w:rsidR="00BD2C8B" w:rsidRPr="00311030" w14:paraId="12E245E2" w14:textId="77777777" w:rsidTr="00440562">
        <w:trPr>
          <w:trHeight w:val="298"/>
          <w:jc w:val="center"/>
        </w:trPr>
        <w:tc>
          <w:tcPr>
            <w:tcW w:w="1027" w:type="dxa"/>
            <w:shd w:val="clear" w:color="000080" w:fill="FFFFFF"/>
            <w:vAlign w:val="center"/>
          </w:tcPr>
          <w:p w14:paraId="14CC2813" w14:textId="77777777" w:rsidR="00BD2C8B" w:rsidRDefault="00BD2C8B" w:rsidP="00C60469">
            <w:pPr>
              <w:rPr>
                <w:rFonts w:ascii="Arial" w:hAnsi="Arial" w:cs="Arial"/>
                <w:bCs/>
                <w:sz w:val="18"/>
                <w:szCs w:val="18"/>
                <w:lang w:eastAsia="hr-HR"/>
              </w:rPr>
            </w:pPr>
            <w:r>
              <w:rPr>
                <w:rFonts w:ascii="Arial" w:hAnsi="Arial" w:cs="Arial"/>
                <w:bCs/>
                <w:sz w:val="18"/>
                <w:szCs w:val="18"/>
                <w:lang w:eastAsia="hr-HR"/>
              </w:rPr>
              <w:t>Program</w:t>
            </w:r>
          </w:p>
        </w:tc>
        <w:tc>
          <w:tcPr>
            <w:tcW w:w="953" w:type="dxa"/>
            <w:shd w:val="clear" w:color="000080" w:fill="FFFFFF"/>
            <w:vAlign w:val="center"/>
          </w:tcPr>
          <w:p w14:paraId="772A2575" w14:textId="77777777" w:rsidR="00BD2C8B" w:rsidRDefault="00BD2C8B" w:rsidP="00C60469">
            <w:pPr>
              <w:rPr>
                <w:rFonts w:ascii="Arial" w:hAnsi="Arial" w:cs="Arial"/>
                <w:bCs/>
                <w:sz w:val="18"/>
                <w:szCs w:val="18"/>
                <w:lang w:eastAsia="hr-HR"/>
              </w:rPr>
            </w:pPr>
            <w:r>
              <w:rPr>
                <w:rFonts w:ascii="Arial" w:hAnsi="Arial" w:cs="Arial"/>
                <w:bCs/>
                <w:sz w:val="18"/>
                <w:szCs w:val="18"/>
                <w:lang w:eastAsia="hr-HR"/>
              </w:rPr>
              <w:t xml:space="preserve">1210 </w:t>
            </w:r>
          </w:p>
        </w:tc>
        <w:tc>
          <w:tcPr>
            <w:tcW w:w="3375" w:type="dxa"/>
            <w:shd w:val="clear" w:color="000080" w:fill="FFFFFF"/>
            <w:vAlign w:val="center"/>
          </w:tcPr>
          <w:p w14:paraId="26EC016D" w14:textId="77777777" w:rsidR="00BD2C8B" w:rsidRDefault="00BD2C8B" w:rsidP="006E3F35">
            <w:pPr>
              <w:rPr>
                <w:rFonts w:ascii="Arial" w:hAnsi="Arial" w:cs="Arial"/>
                <w:bCs/>
                <w:sz w:val="18"/>
                <w:szCs w:val="18"/>
                <w:lang w:eastAsia="hr-HR"/>
              </w:rPr>
            </w:pPr>
            <w:r>
              <w:rPr>
                <w:rFonts w:ascii="Arial" w:hAnsi="Arial" w:cs="Arial"/>
                <w:bCs/>
                <w:sz w:val="18"/>
                <w:szCs w:val="18"/>
                <w:lang w:eastAsia="hr-HR"/>
              </w:rPr>
              <w:t>SURADNJA S GRADOVIMA I PROJEKTI IZ EU</w:t>
            </w:r>
          </w:p>
        </w:tc>
        <w:tc>
          <w:tcPr>
            <w:tcW w:w="1831" w:type="dxa"/>
            <w:shd w:val="clear" w:color="000080" w:fill="FFFFFF"/>
            <w:vAlign w:val="center"/>
          </w:tcPr>
          <w:p w14:paraId="46FF7941" w14:textId="1F2C830F" w:rsidR="00BD2C8B" w:rsidRDefault="00440562" w:rsidP="00851A08">
            <w:pPr>
              <w:jc w:val="center"/>
              <w:rPr>
                <w:rFonts w:ascii="Arial" w:hAnsi="Arial" w:cs="Arial"/>
                <w:bCs/>
                <w:sz w:val="18"/>
                <w:szCs w:val="18"/>
              </w:rPr>
            </w:pPr>
            <w:r>
              <w:rPr>
                <w:rFonts w:ascii="Arial" w:hAnsi="Arial" w:cs="Arial"/>
                <w:bCs/>
                <w:sz w:val="18"/>
                <w:szCs w:val="18"/>
              </w:rPr>
              <w:t>16.000,00</w:t>
            </w:r>
          </w:p>
        </w:tc>
        <w:tc>
          <w:tcPr>
            <w:tcW w:w="1467" w:type="dxa"/>
            <w:shd w:val="clear" w:color="000080" w:fill="FFFFFF"/>
            <w:vAlign w:val="center"/>
          </w:tcPr>
          <w:p w14:paraId="49A89535" w14:textId="7121CACF" w:rsidR="00BD2C8B" w:rsidRDefault="00440562" w:rsidP="00851A08">
            <w:pPr>
              <w:jc w:val="center"/>
              <w:rPr>
                <w:rFonts w:ascii="Arial" w:hAnsi="Arial" w:cs="Arial"/>
                <w:bCs/>
                <w:sz w:val="18"/>
                <w:szCs w:val="18"/>
              </w:rPr>
            </w:pPr>
            <w:r>
              <w:rPr>
                <w:rFonts w:ascii="Arial" w:hAnsi="Arial" w:cs="Arial"/>
                <w:bCs/>
                <w:sz w:val="18"/>
                <w:szCs w:val="18"/>
              </w:rPr>
              <w:t>16.000,00</w:t>
            </w:r>
          </w:p>
        </w:tc>
        <w:tc>
          <w:tcPr>
            <w:tcW w:w="1467" w:type="dxa"/>
            <w:shd w:val="clear" w:color="000080" w:fill="FFFFFF"/>
            <w:vAlign w:val="center"/>
          </w:tcPr>
          <w:p w14:paraId="51DB9777" w14:textId="60166C97" w:rsidR="00BD2C8B" w:rsidRDefault="00440562" w:rsidP="00851A08">
            <w:pPr>
              <w:jc w:val="center"/>
              <w:rPr>
                <w:rFonts w:ascii="Arial" w:hAnsi="Arial" w:cs="Arial"/>
                <w:bCs/>
                <w:sz w:val="18"/>
                <w:szCs w:val="18"/>
              </w:rPr>
            </w:pPr>
            <w:r>
              <w:rPr>
                <w:rFonts w:ascii="Arial" w:hAnsi="Arial" w:cs="Arial"/>
                <w:bCs/>
                <w:sz w:val="18"/>
                <w:szCs w:val="18"/>
              </w:rPr>
              <w:t>9.218,19</w:t>
            </w:r>
          </w:p>
        </w:tc>
        <w:tc>
          <w:tcPr>
            <w:tcW w:w="1026" w:type="dxa"/>
            <w:shd w:val="clear" w:color="000080" w:fill="FFFFFF"/>
            <w:vAlign w:val="center"/>
          </w:tcPr>
          <w:p w14:paraId="704E9CCD" w14:textId="6B3BFD5D" w:rsidR="00BD2C8B" w:rsidRDefault="00440562" w:rsidP="00851A08">
            <w:pPr>
              <w:jc w:val="center"/>
              <w:rPr>
                <w:rFonts w:ascii="Arial" w:hAnsi="Arial" w:cs="Arial"/>
                <w:bCs/>
                <w:sz w:val="18"/>
                <w:szCs w:val="18"/>
              </w:rPr>
            </w:pPr>
            <w:r>
              <w:rPr>
                <w:rFonts w:ascii="Arial" w:hAnsi="Arial" w:cs="Arial"/>
                <w:bCs/>
                <w:sz w:val="18"/>
                <w:szCs w:val="18"/>
              </w:rPr>
              <w:t>57,61%</w:t>
            </w:r>
          </w:p>
        </w:tc>
      </w:tr>
      <w:tr w:rsidR="00BD2C8B" w:rsidRPr="00311030" w14:paraId="4CE93334" w14:textId="77777777" w:rsidTr="00440562">
        <w:trPr>
          <w:trHeight w:val="298"/>
          <w:jc w:val="center"/>
        </w:trPr>
        <w:tc>
          <w:tcPr>
            <w:tcW w:w="1027" w:type="dxa"/>
            <w:shd w:val="clear" w:color="000080" w:fill="FFFFFF"/>
            <w:vAlign w:val="center"/>
          </w:tcPr>
          <w:p w14:paraId="0D9FA7AD" w14:textId="77777777" w:rsidR="00BD2C8B" w:rsidRPr="00311030" w:rsidRDefault="00BD2C8B" w:rsidP="00C60469">
            <w:pPr>
              <w:rPr>
                <w:rFonts w:ascii="Arial" w:hAnsi="Arial" w:cs="Arial"/>
                <w:bCs/>
                <w:sz w:val="18"/>
                <w:szCs w:val="18"/>
                <w:lang w:eastAsia="hr-HR"/>
              </w:rPr>
            </w:pPr>
            <w:r>
              <w:rPr>
                <w:rFonts w:ascii="Arial" w:hAnsi="Arial" w:cs="Arial"/>
                <w:bCs/>
                <w:sz w:val="18"/>
                <w:szCs w:val="18"/>
                <w:lang w:eastAsia="hr-HR"/>
              </w:rPr>
              <w:t xml:space="preserve">Glava </w:t>
            </w:r>
          </w:p>
        </w:tc>
        <w:tc>
          <w:tcPr>
            <w:tcW w:w="953" w:type="dxa"/>
            <w:shd w:val="clear" w:color="000080" w:fill="FFFFFF"/>
            <w:vAlign w:val="center"/>
          </w:tcPr>
          <w:p w14:paraId="40F050A5" w14:textId="5CEE5969" w:rsidR="00BD2C8B" w:rsidRDefault="00BD2C8B" w:rsidP="00C60469">
            <w:pPr>
              <w:rPr>
                <w:rFonts w:ascii="Arial" w:hAnsi="Arial" w:cs="Arial"/>
                <w:bCs/>
                <w:sz w:val="18"/>
                <w:szCs w:val="18"/>
                <w:lang w:eastAsia="hr-HR"/>
              </w:rPr>
            </w:pPr>
            <w:r>
              <w:rPr>
                <w:rFonts w:ascii="Arial" w:hAnsi="Arial" w:cs="Arial"/>
                <w:bCs/>
                <w:sz w:val="18"/>
                <w:szCs w:val="18"/>
                <w:lang w:eastAsia="hr-HR"/>
              </w:rPr>
              <w:t>021</w:t>
            </w:r>
            <w:r w:rsidR="00301793">
              <w:rPr>
                <w:rFonts w:ascii="Arial" w:hAnsi="Arial" w:cs="Arial"/>
                <w:bCs/>
                <w:sz w:val="18"/>
                <w:szCs w:val="18"/>
                <w:lang w:eastAsia="hr-HR"/>
              </w:rPr>
              <w:t>11</w:t>
            </w:r>
          </w:p>
        </w:tc>
        <w:tc>
          <w:tcPr>
            <w:tcW w:w="3375" w:type="dxa"/>
            <w:shd w:val="clear" w:color="000080" w:fill="FFFFFF"/>
            <w:vAlign w:val="center"/>
          </w:tcPr>
          <w:p w14:paraId="5E5297A4" w14:textId="77777777" w:rsidR="00BD2C8B" w:rsidRPr="00311030" w:rsidRDefault="00BD2C8B" w:rsidP="006E3F35">
            <w:pPr>
              <w:rPr>
                <w:rFonts w:ascii="Arial" w:hAnsi="Arial" w:cs="Arial"/>
                <w:bCs/>
                <w:sz w:val="18"/>
                <w:szCs w:val="18"/>
                <w:lang w:eastAsia="hr-HR"/>
              </w:rPr>
            </w:pPr>
            <w:r>
              <w:rPr>
                <w:rFonts w:ascii="Arial" w:hAnsi="Arial" w:cs="Arial"/>
                <w:bCs/>
                <w:sz w:val="18"/>
                <w:szCs w:val="18"/>
                <w:lang w:eastAsia="hr-HR"/>
              </w:rPr>
              <w:t>DJEČJI VRTIĆ TROGIR</w:t>
            </w:r>
          </w:p>
        </w:tc>
        <w:tc>
          <w:tcPr>
            <w:tcW w:w="1831" w:type="dxa"/>
            <w:shd w:val="clear" w:color="000080" w:fill="FFFFFF"/>
            <w:vAlign w:val="center"/>
          </w:tcPr>
          <w:p w14:paraId="21905648" w14:textId="16635A99" w:rsidR="00BD2C8B" w:rsidRDefault="00440562" w:rsidP="00325137">
            <w:pPr>
              <w:jc w:val="center"/>
              <w:rPr>
                <w:rFonts w:ascii="Arial" w:hAnsi="Arial" w:cs="Arial"/>
                <w:bCs/>
                <w:sz w:val="18"/>
                <w:szCs w:val="18"/>
              </w:rPr>
            </w:pPr>
            <w:r>
              <w:rPr>
                <w:rFonts w:ascii="Arial" w:hAnsi="Arial" w:cs="Arial"/>
                <w:bCs/>
                <w:sz w:val="18"/>
                <w:szCs w:val="18"/>
              </w:rPr>
              <w:t>2.740.300,00</w:t>
            </w:r>
          </w:p>
        </w:tc>
        <w:tc>
          <w:tcPr>
            <w:tcW w:w="1467" w:type="dxa"/>
            <w:shd w:val="clear" w:color="000080" w:fill="FFFFFF"/>
          </w:tcPr>
          <w:p w14:paraId="7DC22A87" w14:textId="46BA97E2" w:rsidR="00BD2C8B" w:rsidRDefault="00440562" w:rsidP="00325137">
            <w:pPr>
              <w:jc w:val="center"/>
              <w:rPr>
                <w:rFonts w:ascii="Arial" w:hAnsi="Arial" w:cs="Arial"/>
                <w:bCs/>
                <w:sz w:val="18"/>
                <w:szCs w:val="18"/>
              </w:rPr>
            </w:pPr>
            <w:r>
              <w:rPr>
                <w:rFonts w:ascii="Arial" w:hAnsi="Arial" w:cs="Arial"/>
                <w:bCs/>
                <w:sz w:val="18"/>
                <w:szCs w:val="18"/>
              </w:rPr>
              <w:t>2.740.300,00</w:t>
            </w:r>
          </w:p>
        </w:tc>
        <w:tc>
          <w:tcPr>
            <w:tcW w:w="1467" w:type="dxa"/>
            <w:shd w:val="clear" w:color="000080" w:fill="FFFFFF"/>
            <w:vAlign w:val="center"/>
          </w:tcPr>
          <w:p w14:paraId="394ACA9E" w14:textId="242EFD30" w:rsidR="00BD2C8B" w:rsidRDefault="00440562" w:rsidP="00325137">
            <w:pPr>
              <w:jc w:val="center"/>
              <w:rPr>
                <w:rFonts w:ascii="Arial" w:hAnsi="Arial" w:cs="Arial"/>
                <w:bCs/>
                <w:sz w:val="18"/>
                <w:szCs w:val="18"/>
              </w:rPr>
            </w:pPr>
            <w:r>
              <w:rPr>
                <w:rFonts w:ascii="Arial" w:hAnsi="Arial" w:cs="Arial"/>
                <w:bCs/>
                <w:sz w:val="18"/>
                <w:szCs w:val="18"/>
              </w:rPr>
              <w:t>2.551.841,13</w:t>
            </w:r>
          </w:p>
        </w:tc>
        <w:tc>
          <w:tcPr>
            <w:tcW w:w="1026" w:type="dxa"/>
            <w:shd w:val="clear" w:color="000080" w:fill="FFFFFF"/>
            <w:vAlign w:val="center"/>
          </w:tcPr>
          <w:p w14:paraId="054BEDAA" w14:textId="31714B87" w:rsidR="00BD2C8B" w:rsidRDefault="00440562" w:rsidP="00325137">
            <w:pPr>
              <w:jc w:val="center"/>
              <w:rPr>
                <w:rFonts w:ascii="Arial" w:hAnsi="Arial" w:cs="Arial"/>
                <w:bCs/>
                <w:sz w:val="18"/>
                <w:szCs w:val="18"/>
              </w:rPr>
            </w:pPr>
            <w:r>
              <w:rPr>
                <w:rFonts w:ascii="Arial" w:hAnsi="Arial" w:cs="Arial"/>
                <w:bCs/>
                <w:sz w:val="18"/>
                <w:szCs w:val="18"/>
              </w:rPr>
              <w:t>93,12%</w:t>
            </w:r>
          </w:p>
        </w:tc>
      </w:tr>
      <w:tr w:rsidR="00BD2C8B" w:rsidRPr="0092464A" w14:paraId="46073B86" w14:textId="77777777" w:rsidTr="00440562">
        <w:trPr>
          <w:trHeight w:val="511"/>
          <w:jc w:val="center"/>
        </w:trPr>
        <w:tc>
          <w:tcPr>
            <w:tcW w:w="1027" w:type="dxa"/>
            <w:shd w:val="clear" w:color="C6CEF4" w:fill="FFFFFF"/>
            <w:vAlign w:val="center"/>
          </w:tcPr>
          <w:p w14:paraId="37385F38" w14:textId="7DF5C9EF" w:rsidR="00BD2C8B" w:rsidRDefault="00301793" w:rsidP="00C60469">
            <w:pPr>
              <w:rPr>
                <w:rFonts w:ascii="Arial" w:hAnsi="Arial" w:cs="Arial"/>
                <w:sz w:val="18"/>
                <w:szCs w:val="18"/>
                <w:lang w:eastAsia="hr-HR"/>
              </w:rPr>
            </w:pPr>
            <w:r>
              <w:rPr>
                <w:rFonts w:ascii="Arial" w:hAnsi="Arial" w:cs="Arial"/>
                <w:sz w:val="18"/>
                <w:szCs w:val="18"/>
                <w:lang w:eastAsia="hr-HR"/>
              </w:rPr>
              <w:t>Glava</w:t>
            </w:r>
          </w:p>
        </w:tc>
        <w:tc>
          <w:tcPr>
            <w:tcW w:w="953" w:type="dxa"/>
            <w:shd w:val="clear" w:color="C6CEF4" w:fill="FFFFFF"/>
            <w:vAlign w:val="center"/>
          </w:tcPr>
          <w:p w14:paraId="08A9BDE4" w14:textId="513AF3E0" w:rsidR="00BD2C8B" w:rsidRDefault="00301793" w:rsidP="00C60469">
            <w:pPr>
              <w:rPr>
                <w:rFonts w:ascii="Arial" w:hAnsi="Arial" w:cs="Arial"/>
                <w:sz w:val="18"/>
                <w:szCs w:val="18"/>
                <w:lang w:eastAsia="hr-HR"/>
              </w:rPr>
            </w:pPr>
            <w:r>
              <w:rPr>
                <w:rFonts w:ascii="Arial" w:hAnsi="Arial" w:cs="Arial"/>
                <w:sz w:val="18"/>
                <w:szCs w:val="18"/>
                <w:lang w:eastAsia="hr-HR"/>
              </w:rPr>
              <w:t>02112</w:t>
            </w:r>
          </w:p>
        </w:tc>
        <w:tc>
          <w:tcPr>
            <w:tcW w:w="3375" w:type="dxa"/>
            <w:shd w:val="clear" w:color="C6CEF4" w:fill="FFFFFF"/>
            <w:vAlign w:val="center"/>
          </w:tcPr>
          <w:p w14:paraId="72E67F6F" w14:textId="77777777" w:rsidR="00BD2C8B" w:rsidRDefault="00BD2C8B" w:rsidP="00C60469">
            <w:pPr>
              <w:rPr>
                <w:rFonts w:ascii="Arial" w:hAnsi="Arial" w:cs="Arial"/>
                <w:bCs/>
                <w:sz w:val="18"/>
                <w:szCs w:val="18"/>
              </w:rPr>
            </w:pPr>
            <w:r>
              <w:rPr>
                <w:rFonts w:ascii="Arial" w:hAnsi="Arial" w:cs="Arial"/>
                <w:bCs/>
                <w:sz w:val="18"/>
                <w:szCs w:val="18"/>
              </w:rPr>
              <w:t>GRADSKA KNJIŽNICA TROGIR</w:t>
            </w:r>
          </w:p>
        </w:tc>
        <w:tc>
          <w:tcPr>
            <w:tcW w:w="1831" w:type="dxa"/>
            <w:shd w:val="clear" w:color="C6CEF4" w:fill="FFFFFF"/>
            <w:vAlign w:val="center"/>
          </w:tcPr>
          <w:p w14:paraId="0FB3BA97" w14:textId="2A73C23F" w:rsidR="00BD2C8B" w:rsidRDefault="00440562" w:rsidP="00325137">
            <w:pPr>
              <w:jc w:val="center"/>
              <w:rPr>
                <w:rFonts w:ascii="Arial" w:hAnsi="Arial" w:cs="Arial"/>
                <w:bCs/>
                <w:sz w:val="18"/>
                <w:szCs w:val="18"/>
              </w:rPr>
            </w:pPr>
            <w:r>
              <w:rPr>
                <w:rFonts w:ascii="Arial" w:hAnsi="Arial" w:cs="Arial"/>
                <w:bCs/>
                <w:sz w:val="18"/>
                <w:szCs w:val="18"/>
              </w:rPr>
              <w:t>204.544,00</w:t>
            </w:r>
          </w:p>
        </w:tc>
        <w:tc>
          <w:tcPr>
            <w:tcW w:w="1467" w:type="dxa"/>
            <w:shd w:val="clear" w:color="C6CEF4" w:fill="FFFFFF"/>
            <w:vAlign w:val="center"/>
          </w:tcPr>
          <w:p w14:paraId="4C16341C" w14:textId="72E010C1" w:rsidR="00BD2C8B" w:rsidRDefault="00440562" w:rsidP="00325137">
            <w:pPr>
              <w:jc w:val="center"/>
              <w:rPr>
                <w:rFonts w:ascii="Arial" w:hAnsi="Arial" w:cs="Arial"/>
                <w:bCs/>
                <w:sz w:val="18"/>
                <w:szCs w:val="18"/>
              </w:rPr>
            </w:pPr>
            <w:r>
              <w:rPr>
                <w:rFonts w:ascii="Arial" w:hAnsi="Arial" w:cs="Arial"/>
                <w:bCs/>
                <w:sz w:val="18"/>
                <w:szCs w:val="18"/>
              </w:rPr>
              <w:t>204.544,00</w:t>
            </w:r>
          </w:p>
        </w:tc>
        <w:tc>
          <w:tcPr>
            <w:tcW w:w="1467" w:type="dxa"/>
            <w:shd w:val="clear" w:color="C6CEF4" w:fill="FFFFFF"/>
            <w:vAlign w:val="center"/>
          </w:tcPr>
          <w:p w14:paraId="7D09F0AB" w14:textId="4257137A" w:rsidR="00BD2C8B" w:rsidRDefault="00440562" w:rsidP="00325137">
            <w:pPr>
              <w:jc w:val="center"/>
              <w:rPr>
                <w:rFonts w:ascii="Arial" w:hAnsi="Arial" w:cs="Arial"/>
                <w:bCs/>
                <w:sz w:val="18"/>
                <w:szCs w:val="18"/>
              </w:rPr>
            </w:pPr>
            <w:r>
              <w:rPr>
                <w:rFonts w:ascii="Arial" w:hAnsi="Arial" w:cs="Arial"/>
                <w:bCs/>
                <w:sz w:val="18"/>
                <w:szCs w:val="18"/>
              </w:rPr>
              <w:t>195.627,61</w:t>
            </w:r>
          </w:p>
        </w:tc>
        <w:tc>
          <w:tcPr>
            <w:tcW w:w="1026" w:type="dxa"/>
            <w:shd w:val="clear" w:color="C6CEF4" w:fill="FFFFFF"/>
            <w:vAlign w:val="center"/>
          </w:tcPr>
          <w:p w14:paraId="0162CAB5" w14:textId="145F7718" w:rsidR="00BD2C8B" w:rsidRDefault="00440562" w:rsidP="00325137">
            <w:pPr>
              <w:jc w:val="center"/>
              <w:rPr>
                <w:rFonts w:ascii="Arial" w:hAnsi="Arial" w:cs="Arial"/>
                <w:bCs/>
                <w:sz w:val="18"/>
                <w:szCs w:val="18"/>
              </w:rPr>
            </w:pPr>
            <w:r>
              <w:rPr>
                <w:rFonts w:ascii="Arial" w:hAnsi="Arial" w:cs="Arial"/>
                <w:bCs/>
                <w:sz w:val="18"/>
                <w:szCs w:val="18"/>
              </w:rPr>
              <w:t>95,64%</w:t>
            </w:r>
          </w:p>
        </w:tc>
      </w:tr>
      <w:tr w:rsidR="00BD2C8B" w:rsidRPr="0092464A" w14:paraId="41E2452E" w14:textId="77777777" w:rsidTr="00440562">
        <w:trPr>
          <w:trHeight w:val="298"/>
          <w:jc w:val="center"/>
        </w:trPr>
        <w:tc>
          <w:tcPr>
            <w:tcW w:w="1027" w:type="dxa"/>
            <w:shd w:val="clear" w:color="C6CEF4" w:fill="FFFFFF"/>
            <w:vAlign w:val="center"/>
          </w:tcPr>
          <w:p w14:paraId="30E9B17B" w14:textId="3B7DDCC3" w:rsidR="00BD2C8B" w:rsidRDefault="00301793" w:rsidP="001736AE">
            <w:pPr>
              <w:rPr>
                <w:rFonts w:ascii="Arial" w:hAnsi="Arial" w:cs="Arial"/>
                <w:sz w:val="18"/>
                <w:szCs w:val="18"/>
                <w:lang w:eastAsia="hr-HR"/>
              </w:rPr>
            </w:pPr>
            <w:r>
              <w:rPr>
                <w:rFonts w:ascii="Arial" w:hAnsi="Arial" w:cs="Arial"/>
                <w:sz w:val="18"/>
                <w:szCs w:val="18"/>
                <w:lang w:eastAsia="hr-HR"/>
              </w:rPr>
              <w:t>Glava</w:t>
            </w:r>
          </w:p>
        </w:tc>
        <w:tc>
          <w:tcPr>
            <w:tcW w:w="953" w:type="dxa"/>
            <w:shd w:val="clear" w:color="C6CEF4" w:fill="FFFFFF"/>
            <w:vAlign w:val="center"/>
          </w:tcPr>
          <w:p w14:paraId="104A7B00" w14:textId="74746D97" w:rsidR="00BD2C8B" w:rsidRDefault="00301793" w:rsidP="001736AE">
            <w:pPr>
              <w:rPr>
                <w:rFonts w:ascii="Arial" w:hAnsi="Arial" w:cs="Arial"/>
                <w:sz w:val="18"/>
                <w:szCs w:val="18"/>
                <w:lang w:eastAsia="hr-HR"/>
              </w:rPr>
            </w:pPr>
            <w:r>
              <w:rPr>
                <w:rFonts w:ascii="Arial" w:hAnsi="Arial" w:cs="Arial"/>
                <w:sz w:val="18"/>
                <w:szCs w:val="18"/>
                <w:lang w:eastAsia="hr-HR"/>
              </w:rPr>
              <w:t>02113</w:t>
            </w:r>
          </w:p>
        </w:tc>
        <w:tc>
          <w:tcPr>
            <w:tcW w:w="3375" w:type="dxa"/>
            <w:shd w:val="clear" w:color="C6CEF4" w:fill="FFFFFF"/>
            <w:vAlign w:val="center"/>
          </w:tcPr>
          <w:p w14:paraId="145D7523" w14:textId="77777777" w:rsidR="00BD2C8B" w:rsidRDefault="00BD2C8B" w:rsidP="001736AE">
            <w:pPr>
              <w:rPr>
                <w:rFonts w:ascii="Arial" w:hAnsi="Arial" w:cs="Arial"/>
                <w:bCs/>
                <w:sz w:val="18"/>
                <w:szCs w:val="18"/>
              </w:rPr>
            </w:pPr>
            <w:r>
              <w:rPr>
                <w:rFonts w:ascii="Arial" w:hAnsi="Arial" w:cs="Arial"/>
                <w:bCs/>
                <w:sz w:val="18"/>
                <w:szCs w:val="18"/>
              </w:rPr>
              <w:t>MUZEJ GRADA TROGIRA</w:t>
            </w:r>
          </w:p>
        </w:tc>
        <w:tc>
          <w:tcPr>
            <w:tcW w:w="1831" w:type="dxa"/>
            <w:shd w:val="clear" w:color="C6CEF4" w:fill="FFFFFF"/>
            <w:vAlign w:val="center"/>
          </w:tcPr>
          <w:p w14:paraId="606373CA" w14:textId="1891C328" w:rsidR="00BD2C8B" w:rsidRDefault="00440562" w:rsidP="00C871A2">
            <w:pPr>
              <w:jc w:val="center"/>
              <w:rPr>
                <w:rFonts w:ascii="Arial" w:hAnsi="Arial" w:cs="Arial"/>
                <w:bCs/>
                <w:sz w:val="18"/>
                <w:szCs w:val="18"/>
              </w:rPr>
            </w:pPr>
            <w:r>
              <w:rPr>
                <w:rFonts w:ascii="Arial" w:hAnsi="Arial" w:cs="Arial"/>
                <w:bCs/>
                <w:sz w:val="18"/>
                <w:szCs w:val="18"/>
              </w:rPr>
              <w:t>566.852,00</w:t>
            </w:r>
          </w:p>
        </w:tc>
        <w:tc>
          <w:tcPr>
            <w:tcW w:w="1467" w:type="dxa"/>
            <w:shd w:val="clear" w:color="C6CEF4" w:fill="FFFFFF"/>
            <w:vAlign w:val="center"/>
          </w:tcPr>
          <w:p w14:paraId="63BA2D34" w14:textId="7FC66D1E" w:rsidR="00BD2C8B" w:rsidRDefault="00440562" w:rsidP="00440562">
            <w:pPr>
              <w:rPr>
                <w:rFonts w:ascii="Arial" w:hAnsi="Arial" w:cs="Arial"/>
                <w:bCs/>
                <w:sz w:val="18"/>
                <w:szCs w:val="18"/>
              </w:rPr>
            </w:pPr>
            <w:r>
              <w:rPr>
                <w:rFonts w:ascii="Arial" w:hAnsi="Arial" w:cs="Arial"/>
                <w:bCs/>
                <w:sz w:val="18"/>
                <w:szCs w:val="18"/>
              </w:rPr>
              <w:t xml:space="preserve">    566.852,00</w:t>
            </w:r>
          </w:p>
        </w:tc>
        <w:tc>
          <w:tcPr>
            <w:tcW w:w="1467" w:type="dxa"/>
            <w:shd w:val="clear" w:color="C6CEF4" w:fill="FFFFFF"/>
            <w:vAlign w:val="center"/>
          </w:tcPr>
          <w:p w14:paraId="625DEF70" w14:textId="43D92C17" w:rsidR="00BD2C8B" w:rsidRDefault="00440562" w:rsidP="00440562">
            <w:pPr>
              <w:jc w:val="center"/>
              <w:rPr>
                <w:rFonts w:ascii="Arial" w:hAnsi="Arial" w:cs="Arial"/>
                <w:bCs/>
                <w:sz w:val="18"/>
                <w:szCs w:val="18"/>
              </w:rPr>
            </w:pPr>
            <w:r>
              <w:rPr>
                <w:rFonts w:ascii="Arial" w:hAnsi="Arial" w:cs="Arial"/>
                <w:bCs/>
                <w:sz w:val="18"/>
                <w:szCs w:val="18"/>
              </w:rPr>
              <w:t>442.051,25</w:t>
            </w:r>
          </w:p>
        </w:tc>
        <w:tc>
          <w:tcPr>
            <w:tcW w:w="1026" w:type="dxa"/>
            <w:shd w:val="clear" w:color="C6CEF4" w:fill="FFFFFF"/>
            <w:vAlign w:val="center"/>
          </w:tcPr>
          <w:p w14:paraId="48B77A79" w14:textId="057E8534" w:rsidR="00BD2C8B" w:rsidRDefault="00440562" w:rsidP="00440562">
            <w:pPr>
              <w:jc w:val="center"/>
              <w:rPr>
                <w:rFonts w:ascii="Arial" w:hAnsi="Arial" w:cs="Arial"/>
                <w:bCs/>
                <w:sz w:val="18"/>
                <w:szCs w:val="18"/>
              </w:rPr>
            </w:pPr>
            <w:r>
              <w:rPr>
                <w:rFonts w:ascii="Arial" w:hAnsi="Arial" w:cs="Arial"/>
                <w:bCs/>
                <w:sz w:val="18"/>
                <w:szCs w:val="18"/>
              </w:rPr>
              <w:t>77,98%</w:t>
            </w:r>
          </w:p>
        </w:tc>
      </w:tr>
      <w:tr w:rsidR="00BD2C8B" w:rsidRPr="0092464A" w14:paraId="7177D4FB" w14:textId="77777777" w:rsidTr="00440562">
        <w:trPr>
          <w:trHeight w:val="298"/>
          <w:jc w:val="center"/>
        </w:trPr>
        <w:tc>
          <w:tcPr>
            <w:tcW w:w="1027" w:type="dxa"/>
            <w:shd w:val="clear" w:color="C6CEF4" w:fill="FFFFFF"/>
            <w:vAlign w:val="center"/>
          </w:tcPr>
          <w:p w14:paraId="2084CBA8" w14:textId="77777777" w:rsidR="00BD2C8B" w:rsidRPr="0092464A" w:rsidRDefault="00BD2C8B" w:rsidP="001736AE">
            <w:pPr>
              <w:rPr>
                <w:rFonts w:ascii="Arial" w:hAnsi="Arial" w:cs="Arial"/>
                <w:sz w:val="18"/>
                <w:szCs w:val="18"/>
                <w:lang w:eastAsia="hr-HR"/>
              </w:rPr>
            </w:pPr>
            <w:r>
              <w:rPr>
                <w:rFonts w:ascii="Arial" w:hAnsi="Arial" w:cs="Arial"/>
                <w:sz w:val="18"/>
                <w:szCs w:val="18"/>
                <w:lang w:eastAsia="hr-HR"/>
              </w:rPr>
              <w:t xml:space="preserve">Glava </w:t>
            </w:r>
          </w:p>
        </w:tc>
        <w:tc>
          <w:tcPr>
            <w:tcW w:w="953" w:type="dxa"/>
            <w:shd w:val="clear" w:color="C6CEF4" w:fill="FFFFFF"/>
            <w:vAlign w:val="center"/>
          </w:tcPr>
          <w:p w14:paraId="2185AC9F" w14:textId="2ED6FE81" w:rsidR="00BD2C8B" w:rsidRPr="0092464A" w:rsidRDefault="00BD2C8B" w:rsidP="001736AE">
            <w:pPr>
              <w:rPr>
                <w:rFonts w:ascii="Arial" w:hAnsi="Arial" w:cs="Arial"/>
                <w:sz w:val="18"/>
                <w:szCs w:val="18"/>
                <w:lang w:eastAsia="hr-HR"/>
              </w:rPr>
            </w:pPr>
            <w:r>
              <w:rPr>
                <w:rFonts w:ascii="Arial" w:hAnsi="Arial" w:cs="Arial"/>
                <w:sz w:val="18"/>
                <w:szCs w:val="18"/>
                <w:lang w:eastAsia="hr-HR"/>
              </w:rPr>
              <w:t>021</w:t>
            </w:r>
            <w:r w:rsidR="00301793">
              <w:rPr>
                <w:rFonts w:ascii="Arial" w:hAnsi="Arial" w:cs="Arial"/>
                <w:sz w:val="18"/>
                <w:szCs w:val="18"/>
                <w:lang w:eastAsia="hr-HR"/>
              </w:rPr>
              <w:t>14</w:t>
            </w:r>
          </w:p>
        </w:tc>
        <w:tc>
          <w:tcPr>
            <w:tcW w:w="3375" w:type="dxa"/>
            <w:shd w:val="clear" w:color="C6CEF4" w:fill="FFFFFF"/>
            <w:vAlign w:val="center"/>
          </w:tcPr>
          <w:p w14:paraId="203C1945" w14:textId="77777777" w:rsidR="00BD2C8B" w:rsidRPr="00A42A4E" w:rsidRDefault="00BD2C8B" w:rsidP="001736AE">
            <w:pPr>
              <w:rPr>
                <w:rFonts w:ascii="Arial" w:hAnsi="Arial" w:cs="Arial"/>
                <w:bCs/>
                <w:sz w:val="18"/>
                <w:szCs w:val="18"/>
              </w:rPr>
            </w:pPr>
            <w:r>
              <w:rPr>
                <w:rFonts w:ascii="Arial" w:hAnsi="Arial" w:cs="Arial"/>
                <w:bCs/>
                <w:sz w:val="18"/>
                <w:szCs w:val="18"/>
              </w:rPr>
              <w:t>ŠPORTSKI OBJEKTI TROGIR</w:t>
            </w:r>
          </w:p>
        </w:tc>
        <w:tc>
          <w:tcPr>
            <w:tcW w:w="1831" w:type="dxa"/>
            <w:shd w:val="clear" w:color="C6CEF4" w:fill="FFFFFF"/>
            <w:vAlign w:val="center"/>
          </w:tcPr>
          <w:p w14:paraId="3CA226D0" w14:textId="56B4FEFE" w:rsidR="00BD2C8B" w:rsidRPr="00A42A4E" w:rsidRDefault="00440562" w:rsidP="00C2459E">
            <w:pPr>
              <w:jc w:val="center"/>
              <w:rPr>
                <w:rFonts w:ascii="Arial" w:hAnsi="Arial" w:cs="Arial"/>
                <w:bCs/>
                <w:sz w:val="18"/>
                <w:szCs w:val="18"/>
              </w:rPr>
            </w:pPr>
            <w:r>
              <w:rPr>
                <w:rFonts w:ascii="Arial" w:hAnsi="Arial" w:cs="Arial"/>
                <w:bCs/>
                <w:sz w:val="18"/>
                <w:szCs w:val="18"/>
              </w:rPr>
              <w:t>789.500,00</w:t>
            </w:r>
          </w:p>
        </w:tc>
        <w:tc>
          <w:tcPr>
            <w:tcW w:w="1467" w:type="dxa"/>
            <w:shd w:val="clear" w:color="C6CEF4" w:fill="FFFFFF"/>
            <w:vAlign w:val="center"/>
          </w:tcPr>
          <w:p w14:paraId="57130D56" w14:textId="104C444D" w:rsidR="00BD2C8B" w:rsidRDefault="00440562" w:rsidP="00C2459E">
            <w:pPr>
              <w:jc w:val="center"/>
              <w:rPr>
                <w:rFonts w:ascii="Arial" w:hAnsi="Arial" w:cs="Arial"/>
                <w:bCs/>
                <w:sz w:val="18"/>
                <w:szCs w:val="18"/>
              </w:rPr>
            </w:pPr>
            <w:r>
              <w:rPr>
                <w:rFonts w:ascii="Arial" w:hAnsi="Arial" w:cs="Arial"/>
                <w:bCs/>
                <w:sz w:val="18"/>
                <w:szCs w:val="18"/>
              </w:rPr>
              <w:t>816.850,00</w:t>
            </w:r>
          </w:p>
        </w:tc>
        <w:tc>
          <w:tcPr>
            <w:tcW w:w="1467" w:type="dxa"/>
            <w:shd w:val="clear" w:color="C6CEF4" w:fill="FFFFFF"/>
            <w:vAlign w:val="center"/>
          </w:tcPr>
          <w:p w14:paraId="33B7BCA0" w14:textId="33204C46" w:rsidR="00BD2C8B" w:rsidRPr="00A42A4E" w:rsidRDefault="00440562" w:rsidP="00C2459E">
            <w:pPr>
              <w:jc w:val="center"/>
              <w:rPr>
                <w:rFonts w:ascii="Arial" w:hAnsi="Arial" w:cs="Arial"/>
                <w:bCs/>
                <w:sz w:val="18"/>
                <w:szCs w:val="18"/>
              </w:rPr>
            </w:pPr>
            <w:r>
              <w:rPr>
                <w:rFonts w:ascii="Arial" w:hAnsi="Arial" w:cs="Arial"/>
                <w:bCs/>
                <w:sz w:val="18"/>
                <w:szCs w:val="18"/>
              </w:rPr>
              <w:t>658.878,11</w:t>
            </w:r>
          </w:p>
        </w:tc>
        <w:tc>
          <w:tcPr>
            <w:tcW w:w="1026" w:type="dxa"/>
            <w:shd w:val="clear" w:color="C6CEF4" w:fill="FFFFFF"/>
            <w:vAlign w:val="center"/>
          </w:tcPr>
          <w:p w14:paraId="2ACC0F68" w14:textId="588A2300" w:rsidR="00BD2C8B" w:rsidRPr="00A42A4E" w:rsidRDefault="00440562" w:rsidP="00C2459E">
            <w:pPr>
              <w:jc w:val="center"/>
              <w:rPr>
                <w:rFonts w:ascii="Arial" w:hAnsi="Arial" w:cs="Arial"/>
                <w:bCs/>
                <w:sz w:val="18"/>
                <w:szCs w:val="18"/>
              </w:rPr>
            </w:pPr>
            <w:r>
              <w:rPr>
                <w:rFonts w:ascii="Arial" w:hAnsi="Arial" w:cs="Arial"/>
                <w:bCs/>
                <w:sz w:val="18"/>
                <w:szCs w:val="18"/>
              </w:rPr>
              <w:t>80,66%</w:t>
            </w:r>
          </w:p>
        </w:tc>
      </w:tr>
      <w:tr w:rsidR="00BD2C8B" w:rsidRPr="0092464A" w14:paraId="110FE572" w14:textId="77777777" w:rsidTr="00440562">
        <w:trPr>
          <w:trHeight w:val="298"/>
          <w:jc w:val="center"/>
        </w:trPr>
        <w:tc>
          <w:tcPr>
            <w:tcW w:w="1027" w:type="dxa"/>
            <w:shd w:val="clear" w:color="C6CEF4" w:fill="FFFFFF"/>
            <w:vAlign w:val="center"/>
          </w:tcPr>
          <w:p w14:paraId="1D3296F9" w14:textId="77777777" w:rsidR="00BD2C8B" w:rsidRPr="0092464A" w:rsidRDefault="00BD2C8B" w:rsidP="001736AE">
            <w:pPr>
              <w:rPr>
                <w:rFonts w:ascii="Arial" w:hAnsi="Arial" w:cs="Arial"/>
                <w:sz w:val="18"/>
                <w:szCs w:val="18"/>
                <w:lang w:eastAsia="hr-HR"/>
              </w:rPr>
            </w:pPr>
            <w:r>
              <w:rPr>
                <w:rFonts w:ascii="Arial" w:hAnsi="Arial" w:cs="Arial"/>
                <w:sz w:val="18"/>
                <w:szCs w:val="18"/>
                <w:lang w:eastAsia="hr-HR"/>
              </w:rPr>
              <w:t xml:space="preserve">Glava </w:t>
            </w:r>
          </w:p>
        </w:tc>
        <w:tc>
          <w:tcPr>
            <w:tcW w:w="953" w:type="dxa"/>
            <w:shd w:val="clear" w:color="C6CEF4" w:fill="FFFFFF"/>
            <w:vAlign w:val="center"/>
          </w:tcPr>
          <w:p w14:paraId="38D6969D" w14:textId="42DDD892" w:rsidR="00BD2C8B" w:rsidRPr="0092464A" w:rsidRDefault="00BD2C8B" w:rsidP="001736AE">
            <w:pPr>
              <w:rPr>
                <w:rFonts w:ascii="Arial" w:hAnsi="Arial" w:cs="Arial"/>
                <w:sz w:val="18"/>
                <w:szCs w:val="18"/>
                <w:lang w:eastAsia="hr-HR"/>
              </w:rPr>
            </w:pPr>
            <w:r>
              <w:rPr>
                <w:rFonts w:ascii="Arial" w:hAnsi="Arial" w:cs="Arial"/>
                <w:sz w:val="18"/>
                <w:szCs w:val="18"/>
                <w:lang w:eastAsia="hr-HR"/>
              </w:rPr>
              <w:t>021</w:t>
            </w:r>
            <w:r w:rsidR="00301793">
              <w:rPr>
                <w:rFonts w:ascii="Arial" w:hAnsi="Arial" w:cs="Arial"/>
                <w:sz w:val="18"/>
                <w:szCs w:val="18"/>
                <w:lang w:eastAsia="hr-HR"/>
              </w:rPr>
              <w:t>15</w:t>
            </w:r>
          </w:p>
        </w:tc>
        <w:tc>
          <w:tcPr>
            <w:tcW w:w="3375" w:type="dxa"/>
            <w:shd w:val="clear" w:color="C6CEF4" w:fill="FFFFFF"/>
            <w:vAlign w:val="center"/>
          </w:tcPr>
          <w:p w14:paraId="1B5CDBCE" w14:textId="77777777" w:rsidR="00BD2C8B" w:rsidRPr="00A42A4E" w:rsidRDefault="00BD2C8B" w:rsidP="001736AE">
            <w:pPr>
              <w:rPr>
                <w:rFonts w:ascii="Arial" w:hAnsi="Arial" w:cs="Arial"/>
                <w:bCs/>
                <w:sz w:val="18"/>
                <w:szCs w:val="18"/>
              </w:rPr>
            </w:pPr>
            <w:r>
              <w:rPr>
                <w:rFonts w:ascii="Arial" w:hAnsi="Arial" w:cs="Arial"/>
                <w:bCs/>
                <w:sz w:val="18"/>
                <w:szCs w:val="18"/>
              </w:rPr>
              <w:t xml:space="preserve">JAVNA VATROGASNA POSTROJBA </w:t>
            </w:r>
          </w:p>
        </w:tc>
        <w:tc>
          <w:tcPr>
            <w:tcW w:w="1831" w:type="dxa"/>
            <w:shd w:val="clear" w:color="C6CEF4" w:fill="FFFFFF"/>
            <w:vAlign w:val="center"/>
          </w:tcPr>
          <w:p w14:paraId="54692E59" w14:textId="78A0E658" w:rsidR="00BD2C8B" w:rsidRPr="00A42A4E" w:rsidRDefault="00440562" w:rsidP="00C871A2">
            <w:pPr>
              <w:jc w:val="center"/>
              <w:rPr>
                <w:rFonts w:ascii="Arial" w:hAnsi="Arial" w:cs="Arial"/>
                <w:bCs/>
                <w:sz w:val="18"/>
                <w:szCs w:val="18"/>
              </w:rPr>
            </w:pPr>
            <w:r>
              <w:rPr>
                <w:rFonts w:ascii="Arial" w:hAnsi="Arial" w:cs="Arial"/>
                <w:bCs/>
                <w:sz w:val="18"/>
                <w:szCs w:val="18"/>
              </w:rPr>
              <w:t>2.323.719,00</w:t>
            </w:r>
          </w:p>
        </w:tc>
        <w:tc>
          <w:tcPr>
            <w:tcW w:w="1467" w:type="dxa"/>
            <w:shd w:val="clear" w:color="C6CEF4" w:fill="FFFFFF"/>
            <w:vAlign w:val="center"/>
          </w:tcPr>
          <w:p w14:paraId="66EED655" w14:textId="4418C349" w:rsidR="00BD2C8B" w:rsidRDefault="00440562" w:rsidP="00C2459E">
            <w:pPr>
              <w:jc w:val="center"/>
              <w:rPr>
                <w:rFonts w:ascii="Arial" w:hAnsi="Arial" w:cs="Arial"/>
                <w:bCs/>
                <w:sz w:val="18"/>
                <w:szCs w:val="18"/>
              </w:rPr>
            </w:pPr>
            <w:r>
              <w:rPr>
                <w:rFonts w:ascii="Arial" w:hAnsi="Arial" w:cs="Arial"/>
                <w:bCs/>
                <w:sz w:val="18"/>
                <w:szCs w:val="18"/>
              </w:rPr>
              <w:t>2.323.719,00</w:t>
            </w:r>
          </w:p>
        </w:tc>
        <w:tc>
          <w:tcPr>
            <w:tcW w:w="1467" w:type="dxa"/>
            <w:shd w:val="clear" w:color="C6CEF4" w:fill="FFFFFF"/>
            <w:vAlign w:val="center"/>
          </w:tcPr>
          <w:p w14:paraId="6223F53B" w14:textId="4CC42C51" w:rsidR="00BD2C8B" w:rsidRPr="00A42A4E" w:rsidRDefault="00440562" w:rsidP="00C2459E">
            <w:pPr>
              <w:jc w:val="center"/>
              <w:rPr>
                <w:rFonts w:ascii="Arial" w:hAnsi="Arial" w:cs="Arial"/>
                <w:bCs/>
                <w:sz w:val="18"/>
                <w:szCs w:val="18"/>
              </w:rPr>
            </w:pPr>
            <w:r>
              <w:rPr>
                <w:rFonts w:ascii="Arial" w:hAnsi="Arial" w:cs="Arial"/>
                <w:bCs/>
                <w:sz w:val="18"/>
                <w:szCs w:val="18"/>
              </w:rPr>
              <w:t>1.462.078,94</w:t>
            </w:r>
          </w:p>
        </w:tc>
        <w:tc>
          <w:tcPr>
            <w:tcW w:w="1026" w:type="dxa"/>
            <w:shd w:val="clear" w:color="C6CEF4" w:fill="FFFFFF"/>
            <w:vAlign w:val="center"/>
          </w:tcPr>
          <w:p w14:paraId="1883BDAA" w14:textId="0940F9A4" w:rsidR="00BD2C8B" w:rsidRPr="00A42A4E" w:rsidRDefault="00440562" w:rsidP="00C2459E">
            <w:pPr>
              <w:jc w:val="center"/>
              <w:rPr>
                <w:rFonts w:ascii="Arial" w:hAnsi="Arial" w:cs="Arial"/>
                <w:bCs/>
                <w:sz w:val="18"/>
                <w:szCs w:val="18"/>
              </w:rPr>
            </w:pPr>
            <w:r>
              <w:rPr>
                <w:rFonts w:ascii="Arial" w:hAnsi="Arial" w:cs="Arial"/>
                <w:bCs/>
                <w:sz w:val="18"/>
                <w:szCs w:val="18"/>
              </w:rPr>
              <w:t>62,92%</w:t>
            </w:r>
          </w:p>
        </w:tc>
      </w:tr>
    </w:tbl>
    <w:p w14:paraId="59907CAC" w14:textId="77777777" w:rsidR="00AE2A28" w:rsidRDefault="00AE2A28" w:rsidP="00134079">
      <w:pPr>
        <w:spacing w:after="0"/>
        <w:rPr>
          <w:rFonts w:cstheme="minorHAnsi"/>
          <w:sz w:val="24"/>
          <w:szCs w:val="24"/>
          <w:u w:val="single"/>
        </w:rPr>
      </w:pPr>
    </w:p>
    <w:p w14:paraId="610805C9" w14:textId="4ACDF082" w:rsidR="00134079" w:rsidRDefault="00134079" w:rsidP="00134079">
      <w:pPr>
        <w:spacing w:after="0"/>
        <w:rPr>
          <w:rFonts w:cstheme="minorHAnsi"/>
          <w:sz w:val="24"/>
          <w:szCs w:val="24"/>
          <w:u w:val="single"/>
        </w:rPr>
      </w:pPr>
      <w:r w:rsidRPr="00134079">
        <w:rPr>
          <w:rFonts w:cstheme="minorHAnsi"/>
          <w:sz w:val="24"/>
          <w:szCs w:val="24"/>
          <w:u w:val="single"/>
        </w:rPr>
        <w:t>Progra</w:t>
      </w:r>
      <w:r>
        <w:rPr>
          <w:rFonts w:cstheme="minorHAnsi"/>
          <w:sz w:val="24"/>
          <w:szCs w:val="24"/>
          <w:u w:val="single"/>
        </w:rPr>
        <w:t xml:space="preserve">m 1101 Javna uprava i administracija </w:t>
      </w:r>
    </w:p>
    <w:p w14:paraId="7C738B50" w14:textId="2E459586" w:rsidR="00696403" w:rsidRDefault="00696403" w:rsidP="00696403">
      <w:pPr>
        <w:spacing w:after="0"/>
        <w:jc w:val="both"/>
        <w:rPr>
          <w:rFonts w:cstheme="minorHAnsi"/>
          <w:bCs/>
          <w:sz w:val="24"/>
          <w:szCs w:val="24"/>
        </w:rPr>
      </w:pPr>
      <w:r w:rsidRPr="006E3F35">
        <w:rPr>
          <w:rFonts w:cstheme="minorHAnsi"/>
          <w:bCs/>
          <w:sz w:val="24"/>
          <w:szCs w:val="24"/>
        </w:rPr>
        <w:t>U okviru ovog programa obavljaju se poslovi koji obuh</w:t>
      </w:r>
      <w:r>
        <w:rPr>
          <w:rFonts w:cstheme="minorHAnsi"/>
          <w:bCs/>
          <w:sz w:val="24"/>
          <w:szCs w:val="24"/>
        </w:rPr>
        <w:t>vaćaju informiranje građana o ra</w:t>
      </w:r>
      <w:r w:rsidRPr="006E3F35">
        <w:rPr>
          <w:rFonts w:cstheme="minorHAnsi"/>
          <w:bCs/>
          <w:sz w:val="24"/>
          <w:szCs w:val="24"/>
        </w:rPr>
        <w:t xml:space="preserve">du gradske uprave, projektima koje provodi Grad Trogir, partnerskim odnosima s institucijama, ustanovama, partnerskim gradovima, općinama, obilježavanja i proslave državnih praznika, blagdana kao i posebnih programa vezanih uz važne datume, spomendane i proslave Dana </w:t>
      </w:r>
      <w:r w:rsidR="003C6E23">
        <w:rPr>
          <w:rFonts w:cstheme="minorHAnsi"/>
          <w:bCs/>
          <w:sz w:val="24"/>
          <w:szCs w:val="24"/>
        </w:rPr>
        <w:t>G</w:t>
      </w:r>
      <w:r w:rsidRPr="006E3F35">
        <w:rPr>
          <w:rFonts w:cstheme="minorHAnsi"/>
          <w:bCs/>
          <w:sz w:val="24"/>
          <w:szCs w:val="24"/>
        </w:rPr>
        <w:t xml:space="preserve">rada Trogira. </w:t>
      </w:r>
    </w:p>
    <w:p w14:paraId="4A9C50E1" w14:textId="77777777" w:rsidR="003C6E23" w:rsidRDefault="003C6E23" w:rsidP="003C6E23">
      <w:pPr>
        <w:spacing w:after="0"/>
        <w:jc w:val="both"/>
        <w:rPr>
          <w:rFonts w:cstheme="minorHAnsi"/>
          <w:bCs/>
          <w:sz w:val="24"/>
          <w:szCs w:val="24"/>
        </w:rPr>
      </w:pPr>
      <w:r>
        <w:rPr>
          <w:rFonts w:cstheme="minorHAnsi"/>
          <w:bCs/>
          <w:sz w:val="24"/>
          <w:szCs w:val="24"/>
        </w:rPr>
        <w:t>Unutar navedenog programa planirane su 2 aktivnosti:</w:t>
      </w:r>
    </w:p>
    <w:p w14:paraId="69D7A7CB" w14:textId="77777777" w:rsidR="003C6E23" w:rsidRDefault="003C6E23" w:rsidP="003C6E23">
      <w:pPr>
        <w:spacing w:after="0"/>
        <w:jc w:val="both"/>
        <w:rPr>
          <w:rFonts w:cstheme="minorHAnsi"/>
          <w:bCs/>
          <w:sz w:val="24"/>
          <w:szCs w:val="24"/>
        </w:rPr>
      </w:pPr>
      <w:r>
        <w:rPr>
          <w:rFonts w:cstheme="minorHAnsi"/>
          <w:bCs/>
          <w:sz w:val="24"/>
          <w:szCs w:val="24"/>
        </w:rPr>
        <w:lastRenderedPageBreak/>
        <w:t>A100001 Financiranje tekućih rashoda</w:t>
      </w:r>
    </w:p>
    <w:p w14:paraId="114D11B5" w14:textId="77777777" w:rsidR="003C6E23" w:rsidRDefault="003C6E23" w:rsidP="003C6E23">
      <w:pPr>
        <w:spacing w:after="0"/>
        <w:jc w:val="both"/>
        <w:rPr>
          <w:rFonts w:cstheme="minorHAnsi"/>
          <w:bCs/>
          <w:sz w:val="24"/>
          <w:szCs w:val="24"/>
        </w:rPr>
      </w:pPr>
      <w:r>
        <w:rPr>
          <w:rFonts w:cstheme="minorHAnsi"/>
          <w:bCs/>
          <w:sz w:val="24"/>
          <w:szCs w:val="24"/>
        </w:rPr>
        <w:t xml:space="preserve">A100002 Obilježavanja dana Grada, državnih praznika i blagdana </w:t>
      </w:r>
    </w:p>
    <w:p w14:paraId="2FAE7389" w14:textId="77777777" w:rsidR="003C6E23" w:rsidRDefault="003C6E23" w:rsidP="00696403">
      <w:pPr>
        <w:spacing w:after="0"/>
        <w:jc w:val="both"/>
        <w:rPr>
          <w:rFonts w:cstheme="minorHAnsi"/>
          <w:bCs/>
          <w:sz w:val="24"/>
          <w:szCs w:val="24"/>
        </w:rPr>
      </w:pPr>
    </w:p>
    <w:p w14:paraId="1876889E" w14:textId="5CB135A9" w:rsidR="002271FE" w:rsidRDefault="002271FE" w:rsidP="002271FE">
      <w:pPr>
        <w:spacing w:after="0"/>
        <w:jc w:val="both"/>
        <w:rPr>
          <w:rFonts w:cstheme="minorHAnsi"/>
          <w:sz w:val="24"/>
          <w:szCs w:val="24"/>
        </w:rPr>
      </w:pPr>
      <w:r w:rsidRPr="005546FB">
        <w:rPr>
          <w:rFonts w:cstheme="minorHAnsi"/>
          <w:bCs/>
          <w:sz w:val="24"/>
          <w:szCs w:val="24"/>
          <w:u w:val="single"/>
        </w:rPr>
        <w:t>Aktivnost Financiranje tekućih rashoda</w:t>
      </w:r>
      <w:r w:rsidRPr="00C60469">
        <w:rPr>
          <w:rFonts w:cstheme="minorHAnsi"/>
          <w:b/>
          <w:sz w:val="24"/>
          <w:szCs w:val="24"/>
        </w:rPr>
        <w:t xml:space="preserve"> </w:t>
      </w:r>
      <w:r w:rsidRPr="00C60469">
        <w:rPr>
          <w:rFonts w:cstheme="minorHAnsi"/>
          <w:sz w:val="24"/>
          <w:szCs w:val="24"/>
        </w:rPr>
        <w:t xml:space="preserve">osiguravaju se sredstva za redovno izvještavanje javnosti o radu gradske uprave, izvještavanje građana o aktivnostima po projektima koje provodi Grad Trogir, gdje su planirana sredstva </w:t>
      </w:r>
      <w:r>
        <w:rPr>
          <w:rFonts w:cstheme="minorHAnsi"/>
          <w:sz w:val="24"/>
          <w:szCs w:val="24"/>
        </w:rPr>
        <w:t>u 2025. godini  u iznosu od 11.027,31 eura, a realizirano je u izvještajnom razdoblju 94.726,87 eura ili 85,32% plana.</w:t>
      </w:r>
    </w:p>
    <w:p w14:paraId="5AF1B6C0" w14:textId="77777777" w:rsidR="002271FE" w:rsidRDefault="002271FE" w:rsidP="00696403">
      <w:pPr>
        <w:spacing w:after="0"/>
        <w:jc w:val="both"/>
        <w:rPr>
          <w:rFonts w:cstheme="minorHAnsi"/>
          <w:bCs/>
          <w:sz w:val="24"/>
          <w:szCs w:val="24"/>
        </w:rPr>
      </w:pPr>
    </w:p>
    <w:p w14:paraId="393FBB7F" w14:textId="28697EEC" w:rsidR="002271FE" w:rsidRPr="002271FE" w:rsidRDefault="002271FE" w:rsidP="00696403">
      <w:pPr>
        <w:spacing w:after="0"/>
        <w:jc w:val="both"/>
        <w:rPr>
          <w:rFonts w:cstheme="minorHAnsi"/>
          <w:sz w:val="24"/>
          <w:szCs w:val="24"/>
        </w:rPr>
      </w:pPr>
      <w:r w:rsidRPr="005546FB">
        <w:rPr>
          <w:rFonts w:cstheme="minorHAnsi"/>
          <w:bCs/>
          <w:sz w:val="24"/>
          <w:szCs w:val="24"/>
          <w:u w:val="single"/>
        </w:rPr>
        <w:t>Aktivnost Obilježavanje Dana Grada, državnih praznika i blagdana</w:t>
      </w:r>
      <w:r w:rsidRPr="00C60469">
        <w:rPr>
          <w:rFonts w:cstheme="minorHAnsi"/>
          <w:sz w:val="24"/>
          <w:szCs w:val="24"/>
        </w:rPr>
        <w:t xml:space="preserve"> kojim se financira proslava Dana Grada, Nove godine i ostalih državnih praznika i blagdana u Gradu Trogiru te cjelokupni program proslave Dana Grada Trogira. Planirana sr</w:t>
      </w:r>
      <w:r>
        <w:rPr>
          <w:rFonts w:cstheme="minorHAnsi"/>
          <w:sz w:val="24"/>
          <w:szCs w:val="24"/>
        </w:rPr>
        <w:t>edstva za ove aktivnosti  u 2025</w:t>
      </w:r>
      <w:r w:rsidRPr="00C60469">
        <w:rPr>
          <w:rFonts w:cstheme="minorHAnsi"/>
          <w:sz w:val="24"/>
          <w:szCs w:val="24"/>
        </w:rPr>
        <w:t>.g</w:t>
      </w:r>
      <w:r>
        <w:rPr>
          <w:rFonts w:cstheme="minorHAnsi"/>
          <w:sz w:val="24"/>
          <w:szCs w:val="24"/>
        </w:rPr>
        <w:t>odini</w:t>
      </w:r>
      <w:r w:rsidRPr="00C60469">
        <w:rPr>
          <w:rFonts w:cstheme="minorHAnsi"/>
          <w:sz w:val="24"/>
          <w:szCs w:val="24"/>
        </w:rPr>
        <w:t xml:space="preserve"> iznose </w:t>
      </w:r>
      <w:r>
        <w:rPr>
          <w:rFonts w:cstheme="minorHAnsi"/>
          <w:sz w:val="24"/>
          <w:szCs w:val="24"/>
        </w:rPr>
        <w:t>109.400,00 eura, a realizirano je 109.385,97 eura ili 99,99% plana</w:t>
      </w:r>
    </w:p>
    <w:p w14:paraId="3FB9A3F5" w14:textId="77777777" w:rsidR="002271FE" w:rsidRDefault="002271FE" w:rsidP="00696403">
      <w:pPr>
        <w:spacing w:after="0"/>
        <w:jc w:val="both"/>
        <w:rPr>
          <w:rFonts w:cstheme="minorHAnsi"/>
          <w:bCs/>
          <w:sz w:val="24"/>
          <w:szCs w:val="24"/>
        </w:rPr>
      </w:pPr>
    </w:p>
    <w:p w14:paraId="45EA5393" w14:textId="7236E9F0" w:rsidR="00696403" w:rsidRDefault="00696403" w:rsidP="00696403">
      <w:pPr>
        <w:spacing w:after="0"/>
        <w:jc w:val="both"/>
        <w:rPr>
          <w:rFonts w:cstheme="minorHAnsi"/>
          <w:bCs/>
          <w:sz w:val="24"/>
          <w:szCs w:val="24"/>
        </w:rPr>
      </w:pPr>
      <w:r>
        <w:rPr>
          <w:rFonts w:cstheme="minorHAnsi"/>
          <w:bCs/>
          <w:sz w:val="24"/>
          <w:szCs w:val="24"/>
        </w:rPr>
        <w:t>Planirana sredstva za navedeni program za 202</w:t>
      </w:r>
      <w:r w:rsidR="003C6E23">
        <w:rPr>
          <w:rFonts w:cstheme="minorHAnsi"/>
          <w:bCs/>
          <w:sz w:val="24"/>
          <w:szCs w:val="24"/>
        </w:rPr>
        <w:t>5</w:t>
      </w:r>
      <w:r>
        <w:rPr>
          <w:rFonts w:cstheme="minorHAnsi"/>
          <w:bCs/>
          <w:sz w:val="24"/>
          <w:szCs w:val="24"/>
        </w:rPr>
        <w:t xml:space="preserve">. godinu iznose </w:t>
      </w:r>
      <w:r w:rsidR="003C6E23">
        <w:rPr>
          <w:rFonts w:cstheme="minorHAnsi"/>
          <w:bCs/>
          <w:sz w:val="24"/>
          <w:szCs w:val="24"/>
        </w:rPr>
        <w:t>220.427,31</w:t>
      </w:r>
      <w:r>
        <w:rPr>
          <w:rFonts w:cstheme="minorHAnsi"/>
          <w:bCs/>
          <w:sz w:val="24"/>
          <w:szCs w:val="24"/>
        </w:rPr>
        <w:t xml:space="preserve"> eura, a u izvještajnom razdoblju realizirano je </w:t>
      </w:r>
      <w:r w:rsidR="003C6E23">
        <w:rPr>
          <w:rFonts w:cstheme="minorHAnsi"/>
          <w:bCs/>
          <w:sz w:val="24"/>
          <w:szCs w:val="24"/>
        </w:rPr>
        <w:t>204.112,84</w:t>
      </w:r>
      <w:r>
        <w:rPr>
          <w:rFonts w:cstheme="minorHAnsi"/>
          <w:bCs/>
          <w:sz w:val="24"/>
          <w:szCs w:val="24"/>
        </w:rPr>
        <w:t xml:space="preserve"> eura ili </w:t>
      </w:r>
      <w:r w:rsidR="003C6E23">
        <w:rPr>
          <w:rFonts w:cstheme="minorHAnsi"/>
          <w:bCs/>
          <w:sz w:val="24"/>
          <w:szCs w:val="24"/>
        </w:rPr>
        <w:t>92,60</w:t>
      </w:r>
      <w:r>
        <w:rPr>
          <w:rFonts w:cstheme="minorHAnsi"/>
          <w:bCs/>
          <w:sz w:val="24"/>
          <w:szCs w:val="24"/>
        </w:rPr>
        <w:t>% plana.</w:t>
      </w:r>
    </w:p>
    <w:p w14:paraId="6B101375" w14:textId="77777777" w:rsidR="007E460E" w:rsidRDefault="007E460E" w:rsidP="00F36A37">
      <w:pPr>
        <w:spacing w:after="0"/>
        <w:jc w:val="both"/>
        <w:rPr>
          <w:rFonts w:cstheme="minorHAnsi"/>
          <w:sz w:val="24"/>
          <w:szCs w:val="24"/>
        </w:rPr>
      </w:pPr>
    </w:p>
    <w:p w14:paraId="62C763B7" w14:textId="77777777" w:rsidR="00F36A37" w:rsidRDefault="00F36A37" w:rsidP="00F36A37">
      <w:pPr>
        <w:spacing w:after="0"/>
        <w:jc w:val="both"/>
        <w:rPr>
          <w:rFonts w:cstheme="minorHAnsi"/>
          <w:sz w:val="24"/>
          <w:szCs w:val="24"/>
          <w:u w:val="single"/>
        </w:rPr>
      </w:pPr>
      <w:r w:rsidRPr="0046053E">
        <w:rPr>
          <w:rFonts w:cstheme="minorHAnsi"/>
          <w:sz w:val="24"/>
          <w:szCs w:val="24"/>
          <w:u w:val="single"/>
        </w:rPr>
        <w:t>Program 1201 Predškolski odgoj  i razvoj školstva</w:t>
      </w:r>
    </w:p>
    <w:p w14:paraId="16495932" w14:textId="77777777" w:rsidR="007E460E" w:rsidRDefault="007E460E" w:rsidP="00F36A37">
      <w:pPr>
        <w:spacing w:after="0"/>
        <w:jc w:val="both"/>
        <w:rPr>
          <w:rFonts w:cstheme="minorHAnsi"/>
          <w:sz w:val="24"/>
          <w:szCs w:val="24"/>
        </w:rPr>
      </w:pPr>
      <w:r w:rsidRPr="0046053E">
        <w:rPr>
          <w:rFonts w:cstheme="minorHAnsi"/>
          <w:sz w:val="24"/>
          <w:szCs w:val="24"/>
        </w:rPr>
        <w:t xml:space="preserve">U okviru programa obavljaju se poslovi koji obuhvaćaju </w:t>
      </w:r>
      <w:r>
        <w:rPr>
          <w:rFonts w:cstheme="minorHAnsi"/>
          <w:sz w:val="24"/>
          <w:szCs w:val="24"/>
        </w:rPr>
        <w:t xml:space="preserve">osiguravanje financijskih uvjeta za rad gradske ustanove odgoja i obrazovanja, stipendiranja srednjoškolaca i studenata, sufinanciranje cijene prijevoza učenika i studenata, financiranje nabavke </w:t>
      </w:r>
      <w:r w:rsidR="00CA4312">
        <w:rPr>
          <w:rFonts w:cstheme="minorHAnsi"/>
          <w:sz w:val="24"/>
          <w:szCs w:val="24"/>
        </w:rPr>
        <w:t xml:space="preserve">radnih materijala </w:t>
      </w:r>
      <w:r>
        <w:rPr>
          <w:rFonts w:cstheme="minorHAnsi"/>
          <w:sz w:val="24"/>
          <w:szCs w:val="24"/>
        </w:rPr>
        <w:t xml:space="preserve"> za učenike 1-8. razreda osnovnih škola koji imaju prebivalište na području Grada Trogira</w:t>
      </w:r>
      <w:r w:rsidR="00CA4312">
        <w:rPr>
          <w:rFonts w:cstheme="minorHAnsi"/>
          <w:sz w:val="24"/>
          <w:szCs w:val="24"/>
        </w:rPr>
        <w:t xml:space="preserve">, financiranje rada pomoćnika u nastavi kao i sudjelovanje u organizaciji posebnih prigoda iz područja odgoja i obrazovanja  </w:t>
      </w:r>
      <w:r>
        <w:rPr>
          <w:rFonts w:cstheme="minorHAnsi"/>
          <w:sz w:val="24"/>
          <w:szCs w:val="24"/>
        </w:rPr>
        <w:t xml:space="preserve"> te osiguranje drugih programa u funkciji odgoja i obrazovanja.</w:t>
      </w:r>
    </w:p>
    <w:p w14:paraId="4921994E" w14:textId="77777777" w:rsidR="008925CE" w:rsidRDefault="008925CE" w:rsidP="008925CE">
      <w:pPr>
        <w:autoSpaceDE w:val="0"/>
        <w:adjustRightInd w:val="0"/>
        <w:spacing w:after="0"/>
        <w:jc w:val="both"/>
        <w:rPr>
          <w:rFonts w:cstheme="minorHAnsi"/>
          <w:sz w:val="24"/>
          <w:szCs w:val="24"/>
        </w:rPr>
      </w:pPr>
      <w:r w:rsidRPr="007E460E">
        <w:rPr>
          <w:rFonts w:cstheme="minorHAnsi"/>
          <w:sz w:val="24"/>
          <w:szCs w:val="24"/>
        </w:rPr>
        <w:t xml:space="preserve">Cilj programa </w:t>
      </w:r>
      <w:r>
        <w:rPr>
          <w:rFonts w:cstheme="minorHAnsi"/>
          <w:sz w:val="24"/>
          <w:szCs w:val="24"/>
        </w:rPr>
        <w:t>su</w:t>
      </w:r>
      <w:r w:rsidRPr="007E460E">
        <w:rPr>
          <w:rFonts w:cstheme="minorHAnsi"/>
          <w:sz w:val="24"/>
          <w:szCs w:val="24"/>
        </w:rPr>
        <w:t xml:space="preserve"> </w:t>
      </w:r>
      <w:r>
        <w:rPr>
          <w:rFonts w:cstheme="minorHAnsi"/>
          <w:sz w:val="24"/>
          <w:szCs w:val="24"/>
        </w:rPr>
        <w:t>unaprjeđenje predškolskog odgoja i obrazovanja, razvoj školstva, briga o djeci s teškoćama u razvoju, poticanje i nagrađivanje izvrsnosti.</w:t>
      </w:r>
    </w:p>
    <w:p w14:paraId="762BFE14" w14:textId="77777777" w:rsidR="008925CE" w:rsidRDefault="008925CE" w:rsidP="008925CE">
      <w:pPr>
        <w:spacing w:after="0"/>
        <w:jc w:val="both"/>
        <w:rPr>
          <w:rFonts w:cstheme="minorHAnsi"/>
          <w:bCs/>
          <w:sz w:val="24"/>
          <w:szCs w:val="24"/>
        </w:rPr>
      </w:pPr>
      <w:r>
        <w:rPr>
          <w:rFonts w:cstheme="minorHAnsi"/>
          <w:bCs/>
          <w:sz w:val="24"/>
          <w:szCs w:val="24"/>
        </w:rPr>
        <w:t>Unutar navedenog programa planirane su 2 aktivnosti:</w:t>
      </w:r>
    </w:p>
    <w:p w14:paraId="10BF3759" w14:textId="77777777" w:rsidR="008925CE" w:rsidRDefault="008925CE" w:rsidP="008925CE">
      <w:pPr>
        <w:spacing w:after="0"/>
        <w:jc w:val="both"/>
        <w:rPr>
          <w:rFonts w:cstheme="minorHAnsi"/>
          <w:bCs/>
          <w:sz w:val="24"/>
          <w:szCs w:val="24"/>
        </w:rPr>
      </w:pPr>
      <w:r>
        <w:rPr>
          <w:rFonts w:cstheme="minorHAnsi"/>
          <w:bCs/>
          <w:sz w:val="24"/>
          <w:szCs w:val="24"/>
        </w:rPr>
        <w:t>A100002 Razvoj školstva</w:t>
      </w:r>
    </w:p>
    <w:p w14:paraId="12BB06C2" w14:textId="77777777" w:rsidR="008925CE" w:rsidRDefault="008925CE" w:rsidP="008925CE">
      <w:pPr>
        <w:spacing w:after="0"/>
        <w:jc w:val="both"/>
        <w:rPr>
          <w:rFonts w:cstheme="minorHAnsi"/>
          <w:bCs/>
          <w:sz w:val="24"/>
          <w:szCs w:val="24"/>
        </w:rPr>
      </w:pPr>
      <w:r>
        <w:rPr>
          <w:rFonts w:cstheme="minorHAnsi"/>
          <w:bCs/>
          <w:sz w:val="24"/>
          <w:szCs w:val="24"/>
        </w:rPr>
        <w:t xml:space="preserve">A100028 Razvoj predškolskog odgoja  </w:t>
      </w:r>
    </w:p>
    <w:p w14:paraId="7CE351CB" w14:textId="77777777" w:rsidR="008062A6" w:rsidRDefault="008062A6" w:rsidP="008925CE">
      <w:pPr>
        <w:spacing w:after="0"/>
        <w:jc w:val="both"/>
        <w:rPr>
          <w:rFonts w:cstheme="minorHAnsi"/>
          <w:sz w:val="24"/>
          <w:szCs w:val="24"/>
        </w:rPr>
      </w:pPr>
    </w:p>
    <w:p w14:paraId="280D49CE" w14:textId="2B87373E" w:rsidR="002271FE" w:rsidRPr="002271FE" w:rsidRDefault="008925CE" w:rsidP="002271FE">
      <w:pPr>
        <w:spacing w:after="0" w:line="240" w:lineRule="auto"/>
        <w:jc w:val="both"/>
        <w:rPr>
          <w:rFonts w:cstheme="minorHAnsi"/>
          <w:sz w:val="24"/>
          <w:szCs w:val="24"/>
        </w:rPr>
      </w:pPr>
      <w:r w:rsidRPr="006D0E0F">
        <w:rPr>
          <w:rFonts w:cstheme="minorHAnsi"/>
          <w:bCs/>
          <w:sz w:val="24"/>
          <w:szCs w:val="24"/>
          <w:u w:val="single"/>
        </w:rPr>
        <w:t>Aktivnost Razvoj školstva</w:t>
      </w:r>
      <w:r w:rsidRPr="006D0E0F">
        <w:rPr>
          <w:rFonts w:cstheme="minorHAnsi"/>
          <w:bCs/>
          <w:sz w:val="24"/>
          <w:szCs w:val="24"/>
        </w:rPr>
        <w:t xml:space="preserve"> planirano je </w:t>
      </w:r>
      <w:r w:rsidR="002271FE">
        <w:rPr>
          <w:rFonts w:cstheme="minorHAnsi"/>
          <w:bCs/>
          <w:sz w:val="24"/>
          <w:szCs w:val="24"/>
        </w:rPr>
        <w:t>354.000,00</w:t>
      </w:r>
      <w:r w:rsidRPr="006D0E0F">
        <w:rPr>
          <w:rFonts w:cstheme="minorHAnsi"/>
          <w:bCs/>
          <w:sz w:val="24"/>
          <w:szCs w:val="24"/>
        </w:rPr>
        <w:t xml:space="preserve"> eura, a utrošeno je </w:t>
      </w:r>
      <w:r w:rsidR="002271FE">
        <w:rPr>
          <w:rFonts w:cstheme="minorHAnsi"/>
          <w:bCs/>
          <w:sz w:val="24"/>
          <w:szCs w:val="24"/>
        </w:rPr>
        <w:t>339.144,64</w:t>
      </w:r>
      <w:r w:rsidRPr="006D0E0F">
        <w:rPr>
          <w:rFonts w:cstheme="minorHAnsi"/>
          <w:bCs/>
          <w:sz w:val="24"/>
          <w:szCs w:val="24"/>
        </w:rPr>
        <w:t xml:space="preserve"> eura ili </w:t>
      </w:r>
      <w:r w:rsidR="002271FE">
        <w:rPr>
          <w:rFonts w:cstheme="minorHAnsi"/>
          <w:bCs/>
          <w:sz w:val="24"/>
          <w:szCs w:val="24"/>
        </w:rPr>
        <w:t>95,80</w:t>
      </w:r>
      <w:r w:rsidRPr="006D0E0F">
        <w:rPr>
          <w:rFonts w:cstheme="minorHAnsi"/>
          <w:bCs/>
          <w:sz w:val="24"/>
          <w:szCs w:val="24"/>
        </w:rPr>
        <w:t xml:space="preserve">% godišnjeg plana, a odnose se na </w:t>
      </w:r>
      <w:r w:rsidRPr="006D0E0F">
        <w:rPr>
          <w:rFonts w:cstheme="minorHAnsi"/>
          <w:sz w:val="24"/>
          <w:szCs w:val="24"/>
        </w:rPr>
        <w:t>stipendiranje srednjoškolaca i studenata, nabavka radnih materijala za učenike osnovnih škola te financiranje rada pomoćnika u nastavi kao i nagrađivanje izvrsnosti učenika.</w:t>
      </w:r>
      <w:r w:rsidR="002271FE" w:rsidRPr="002271FE">
        <w:rPr>
          <w:rFonts w:cstheme="minorHAnsi"/>
        </w:rPr>
        <w:t xml:space="preserve"> </w:t>
      </w:r>
      <w:r w:rsidR="002271FE" w:rsidRPr="002271FE">
        <w:rPr>
          <w:rFonts w:cstheme="minorHAnsi"/>
          <w:sz w:val="24"/>
          <w:szCs w:val="24"/>
        </w:rPr>
        <w:t>Iznosi su planirani na bazi realizacije iz tekuće godine, uzevši u obzir povećani iznos za stipendiranje izvrsnih studenata i učenika, poskupljenje nabavke radnih materijala za osnovnoškolce, kao i financiranje većeg broja pomoćnika u nastavi za djecu s teškoćama.</w:t>
      </w:r>
    </w:p>
    <w:p w14:paraId="3A044C57" w14:textId="7CC856DA" w:rsidR="008062A6" w:rsidRDefault="008925CE" w:rsidP="008925CE">
      <w:pPr>
        <w:autoSpaceDE w:val="0"/>
        <w:adjustRightInd w:val="0"/>
        <w:spacing w:after="0"/>
        <w:jc w:val="both"/>
        <w:rPr>
          <w:rFonts w:cstheme="minorHAnsi"/>
          <w:sz w:val="24"/>
          <w:szCs w:val="24"/>
        </w:rPr>
      </w:pPr>
      <w:r>
        <w:rPr>
          <w:rFonts w:cstheme="minorHAnsi"/>
          <w:sz w:val="24"/>
          <w:szCs w:val="24"/>
        </w:rPr>
        <w:t xml:space="preserve">Rashodi se odnose na </w:t>
      </w:r>
      <w:r w:rsidRPr="0046053E">
        <w:rPr>
          <w:rFonts w:cstheme="minorHAnsi"/>
          <w:sz w:val="24"/>
          <w:szCs w:val="24"/>
        </w:rPr>
        <w:t xml:space="preserve">pomoći obiteljima i kućanstvima u vidu stipendiranja učenika i studenata sa iznosom od </w:t>
      </w:r>
      <w:r w:rsidR="002271FE">
        <w:rPr>
          <w:rFonts w:cstheme="minorHAnsi"/>
          <w:sz w:val="24"/>
          <w:szCs w:val="24"/>
        </w:rPr>
        <w:t>112.100,00</w:t>
      </w:r>
      <w:r>
        <w:rPr>
          <w:rFonts w:cstheme="minorHAnsi"/>
          <w:sz w:val="24"/>
          <w:szCs w:val="24"/>
        </w:rPr>
        <w:t xml:space="preserve"> eura, zatim su tu </w:t>
      </w:r>
      <w:r w:rsidRPr="0046053E">
        <w:rPr>
          <w:rFonts w:cstheme="minorHAnsi"/>
          <w:sz w:val="24"/>
          <w:szCs w:val="24"/>
        </w:rPr>
        <w:t xml:space="preserve">troškovi </w:t>
      </w:r>
      <w:r>
        <w:rPr>
          <w:rFonts w:cstheme="minorHAnsi"/>
          <w:sz w:val="24"/>
          <w:szCs w:val="24"/>
        </w:rPr>
        <w:t>sufinanciranja</w:t>
      </w:r>
      <w:r w:rsidRPr="0046053E">
        <w:rPr>
          <w:rFonts w:cstheme="minorHAnsi"/>
          <w:sz w:val="24"/>
          <w:szCs w:val="24"/>
        </w:rPr>
        <w:t xml:space="preserve"> rada osobnih</w:t>
      </w:r>
      <w:r>
        <w:rPr>
          <w:rFonts w:cstheme="minorHAnsi"/>
          <w:sz w:val="24"/>
          <w:szCs w:val="24"/>
        </w:rPr>
        <w:t xml:space="preserve"> pomoćnika u nastavi u osnovnim školama</w:t>
      </w:r>
      <w:r w:rsidRPr="0046053E">
        <w:rPr>
          <w:rFonts w:cstheme="minorHAnsi"/>
          <w:sz w:val="24"/>
          <w:szCs w:val="24"/>
        </w:rPr>
        <w:t xml:space="preserve"> u iznosu od </w:t>
      </w:r>
      <w:r w:rsidR="002271FE">
        <w:rPr>
          <w:rFonts w:cstheme="minorHAnsi"/>
          <w:sz w:val="24"/>
          <w:szCs w:val="24"/>
        </w:rPr>
        <w:t>89.582,53</w:t>
      </w:r>
      <w:r>
        <w:rPr>
          <w:rFonts w:cstheme="minorHAnsi"/>
          <w:sz w:val="24"/>
          <w:szCs w:val="24"/>
        </w:rPr>
        <w:t xml:space="preserve"> eura, </w:t>
      </w:r>
      <w:r w:rsidR="00D6524B">
        <w:rPr>
          <w:rFonts w:cstheme="minorHAnsi"/>
          <w:sz w:val="24"/>
          <w:szCs w:val="24"/>
        </w:rPr>
        <w:t xml:space="preserve">financiranje nabave udžbenika i radnih materijala za učenike osnovnih škola u iznosu od </w:t>
      </w:r>
      <w:r w:rsidR="002271FE">
        <w:rPr>
          <w:rFonts w:cstheme="minorHAnsi"/>
          <w:sz w:val="24"/>
          <w:szCs w:val="24"/>
        </w:rPr>
        <w:t>128.850,20</w:t>
      </w:r>
      <w:r w:rsidR="00D6524B">
        <w:rPr>
          <w:rFonts w:cstheme="minorHAnsi"/>
          <w:sz w:val="24"/>
          <w:szCs w:val="24"/>
        </w:rPr>
        <w:t xml:space="preserve"> eura</w:t>
      </w:r>
      <w:r>
        <w:rPr>
          <w:rFonts w:cstheme="minorHAnsi"/>
          <w:sz w:val="24"/>
          <w:szCs w:val="24"/>
        </w:rPr>
        <w:t xml:space="preserve"> i</w:t>
      </w:r>
      <w:r w:rsidR="00C97CBD">
        <w:rPr>
          <w:rFonts w:cstheme="minorHAnsi"/>
          <w:sz w:val="24"/>
          <w:szCs w:val="24"/>
        </w:rPr>
        <w:t xml:space="preserve"> dr</w:t>
      </w:r>
      <w:r>
        <w:rPr>
          <w:rFonts w:cstheme="minorHAnsi"/>
          <w:sz w:val="24"/>
          <w:szCs w:val="24"/>
        </w:rPr>
        <w:t>.</w:t>
      </w:r>
    </w:p>
    <w:p w14:paraId="2A9F4040" w14:textId="77777777" w:rsidR="002271FE" w:rsidRDefault="002271FE" w:rsidP="002271FE">
      <w:pPr>
        <w:autoSpaceDE w:val="0"/>
        <w:adjustRightInd w:val="0"/>
        <w:spacing w:after="0"/>
        <w:jc w:val="both"/>
        <w:rPr>
          <w:rFonts w:cstheme="minorHAnsi"/>
          <w:sz w:val="24"/>
          <w:szCs w:val="24"/>
        </w:rPr>
      </w:pPr>
    </w:p>
    <w:p w14:paraId="72C01209" w14:textId="1CEE7610" w:rsidR="003A4BF2" w:rsidRPr="003A4BF2" w:rsidRDefault="008925CE" w:rsidP="003A4BF2">
      <w:pPr>
        <w:autoSpaceDE w:val="0"/>
        <w:adjustRightInd w:val="0"/>
        <w:spacing w:after="0"/>
        <w:jc w:val="both"/>
        <w:rPr>
          <w:rFonts w:cstheme="minorHAnsi"/>
          <w:sz w:val="24"/>
          <w:szCs w:val="24"/>
        </w:rPr>
      </w:pPr>
      <w:r w:rsidRPr="006D0E0F">
        <w:rPr>
          <w:rFonts w:cstheme="minorHAnsi"/>
          <w:sz w:val="24"/>
          <w:szCs w:val="24"/>
          <w:u w:val="single"/>
        </w:rPr>
        <w:t>Aktivnost Razvoj predškolskog odgoja</w:t>
      </w:r>
      <w:r>
        <w:rPr>
          <w:rFonts w:cstheme="minorHAnsi"/>
          <w:sz w:val="24"/>
          <w:szCs w:val="24"/>
          <w:u w:val="single"/>
        </w:rPr>
        <w:t xml:space="preserve"> </w:t>
      </w:r>
      <w:r w:rsidRPr="001E2D64">
        <w:rPr>
          <w:rFonts w:cstheme="minorHAnsi"/>
          <w:sz w:val="24"/>
          <w:szCs w:val="24"/>
        </w:rPr>
        <w:t>ima za cilj</w:t>
      </w:r>
      <w:r>
        <w:rPr>
          <w:rFonts w:cstheme="minorHAnsi"/>
          <w:sz w:val="24"/>
          <w:szCs w:val="24"/>
        </w:rPr>
        <w:t xml:space="preserve"> </w:t>
      </w:r>
      <w:r w:rsidRPr="001E2D64">
        <w:rPr>
          <w:rFonts w:cstheme="minorHAnsi"/>
          <w:sz w:val="24"/>
          <w:szCs w:val="24"/>
        </w:rPr>
        <w:t xml:space="preserve">uspostavljanje sustava osiguranja predškolske djelatnosti i povećanje obuhvata djece predškolskim odgojem te je u tu svrhu planiran nastavak sufinanciranja programa predškolskog odgoja i obrazovanja u dječjim vrtićima drugih </w:t>
      </w:r>
      <w:r w:rsidRPr="001E2D64">
        <w:rPr>
          <w:rFonts w:cstheme="minorHAnsi"/>
          <w:sz w:val="24"/>
          <w:szCs w:val="24"/>
        </w:rPr>
        <w:lastRenderedPageBreak/>
        <w:t xml:space="preserve">osnivača u nešto većem iznosu, sukladno Odluci o visini ekonomske cijene vrtića i Odluci o sufinanciranju programa predškolskog odgoja i obrazovanja na području Grada Trogira. </w:t>
      </w:r>
      <w:r w:rsidRPr="003A4BF2">
        <w:rPr>
          <w:rFonts w:cstheme="minorHAnsi"/>
          <w:sz w:val="24"/>
          <w:szCs w:val="24"/>
        </w:rPr>
        <w:t>Također, planiran je i izvor iz Uredbe o kriterijima i mjerilima za utvrđivanje iznosa sredstava za fiskalnu održivost dječjih vrtića (Narodne novine 109/2023)</w:t>
      </w:r>
      <w:r w:rsidR="003A4BF2" w:rsidRPr="003A4BF2">
        <w:rPr>
          <w:rFonts w:cstheme="minorHAnsi"/>
          <w:sz w:val="24"/>
          <w:szCs w:val="24"/>
        </w:rPr>
        <w:t xml:space="preserve"> te Odluke o dodjeli sredstava za fiskalnu održivost dječjih vrtića za pedagošku godinu 2024./2025. koja je donesena na 39. sjednici Vlade Republike Hrvatske održane 14.11.2024.</w:t>
      </w:r>
      <w:r w:rsidR="0018413F">
        <w:rPr>
          <w:rFonts w:cstheme="minorHAnsi"/>
          <w:sz w:val="24"/>
          <w:szCs w:val="24"/>
        </w:rPr>
        <w:t xml:space="preserve"> </w:t>
      </w:r>
      <w:r w:rsidR="0018413F" w:rsidRPr="00C60469">
        <w:rPr>
          <w:rFonts w:cstheme="minorHAnsi"/>
          <w:sz w:val="24"/>
          <w:szCs w:val="24"/>
        </w:rPr>
        <w:t>Planirana sr</w:t>
      </w:r>
      <w:r w:rsidR="0018413F">
        <w:rPr>
          <w:rFonts w:cstheme="minorHAnsi"/>
          <w:sz w:val="24"/>
          <w:szCs w:val="24"/>
        </w:rPr>
        <w:t>edstva za ovu aktivnost  u 2025</w:t>
      </w:r>
      <w:r w:rsidR="0018413F" w:rsidRPr="00C60469">
        <w:rPr>
          <w:rFonts w:cstheme="minorHAnsi"/>
          <w:sz w:val="24"/>
          <w:szCs w:val="24"/>
        </w:rPr>
        <w:t>.g</w:t>
      </w:r>
      <w:r w:rsidR="0018413F">
        <w:rPr>
          <w:rFonts w:cstheme="minorHAnsi"/>
          <w:sz w:val="24"/>
          <w:szCs w:val="24"/>
        </w:rPr>
        <w:t>odini</w:t>
      </w:r>
      <w:r w:rsidR="0018413F" w:rsidRPr="00C60469">
        <w:rPr>
          <w:rFonts w:cstheme="minorHAnsi"/>
          <w:sz w:val="24"/>
          <w:szCs w:val="24"/>
        </w:rPr>
        <w:t xml:space="preserve"> iznose </w:t>
      </w:r>
      <w:r w:rsidR="0018413F">
        <w:rPr>
          <w:rFonts w:cstheme="minorHAnsi"/>
          <w:sz w:val="24"/>
          <w:szCs w:val="24"/>
        </w:rPr>
        <w:t>341.324,00 eura, a realizirano je 263.266,48 eura ili 77,13% plana i to za sufinanciranje cijene dječjeg vrtića EMAUS sukladno Odluci Gradskog vijeća te Ugovoru p sufinanciranju programa predškolskog odgoja i obrazovanja te je započeto financiranje cijene dječjeg vrtića Seget i Kaštela.</w:t>
      </w:r>
    </w:p>
    <w:p w14:paraId="54747D17" w14:textId="2BA6A1CC" w:rsidR="008925CE" w:rsidRDefault="008925CE" w:rsidP="008925CE">
      <w:pPr>
        <w:autoSpaceDE w:val="0"/>
        <w:adjustRightInd w:val="0"/>
        <w:spacing w:after="0"/>
        <w:jc w:val="both"/>
        <w:rPr>
          <w:rFonts w:cstheme="minorHAnsi"/>
          <w:sz w:val="24"/>
          <w:szCs w:val="24"/>
        </w:rPr>
      </w:pPr>
      <w:r w:rsidRPr="0046053E">
        <w:rPr>
          <w:rFonts w:cstheme="minorHAnsi"/>
          <w:sz w:val="24"/>
          <w:szCs w:val="24"/>
        </w:rPr>
        <w:t>Za realizaciju ovog  programa za</w:t>
      </w:r>
      <w:r>
        <w:rPr>
          <w:rFonts w:cstheme="minorHAnsi"/>
          <w:sz w:val="24"/>
          <w:szCs w:val="24"/>
        </w:rPr>
        <w:t xml:space="preserve"> 202</w:t>
      </w:r>
      <w:r w:rsidR="0018413F">
        <w:rPr>
          <w:rFonts w:cstheme="minorHAnsi"/>
          <w:sz w:val="24"/>
          <w:szCs w:val="24"/>
        </w:rPr>
        <w:t>5.</w:t>
      </w:r>
      <w:r w:rsidRPr="0046053E">
        <w:rPr>
          <w:rFonts w:cstheme="minorHAnsi"/>
          <w:sz w:val="24"/>
          <w:szCs w:val="24"/>
        </w:rPr>
        <w:t xml:space="preserve"> godinu bilo je planirano </w:t>
      </w:r>
      <w:r w:rsidR="0018413F">
        <w:rPr>
          <w:rFonts w:cstheme="minorHAnsi"/>
          <w:sz w:val="24"/>
          <w:szCs w:val="24"/>
        </w:rPr>
        <w:t>695.324,00</w:t>
      </w:r>
      <w:r>
        <w:rPr>
          <w:rFonts w:cstheme="minorHAnsi"/>
          <w:sz w:val="24"/>
          <w:szCs w:val="24"/>
        </w:rPr>
        <w:t xml:space="preserve"> eura, a u izvještajnom  razdoblju ostvareno je</w:t>
      </w:r>
      <w:r w:rsidRPr="0046053E">
        <w:rPr>
          <w:rFonts w:cstheme="minorHAnsi"/>
          <w:sz w:val="24"/>
          <w:szCs w:val="24"/>
        </w:rPr>
        <w:t xml:space="preserve">  </w:t>
      </w:r>
      <w:r w:rsidR="0018413F">
        <w:rPr>
          <w:rFonts w:cstheme="minorHAnsi"/>
          <w:sz w:val="24"/>
          <w:szCs w:val="24"/>
        </w:rPr>
        <w:t>602.411,12</w:t>
      </w:r>
      <w:r>
        <w:rPr>
          <w:rFonts w:cstheme="minorHAnsi"/>
          <w:sz w:val="24"/>
          <w:szCs w:val="24"/>
        </w:rPr>
        <w:t xml:space="preserve"> eura</w:t>
      </w:r>
      <w:r w:rsidRPr="0046053E">
        <w:rPr>
          <w:rFonts w:cstheme="minorHAnsi"/>
          <w:sz w:val="24"/>
          <w:szCs w:val="24"/>
        </w:rPr>
        <w:t xml:space="preserve"> ili </w:t>
      </w:r>
      <w:r w:rsidR="0018413F">
        <w:rPr>
          <w:rFonts w:cstheme="minorHAnsi"/>
          <w:sz w:val="24"/>
          <w:szCs w:val="24"/>
        </w:rPr>
        <w:t>86,64</w:t>
      </w:r>
      <w:r>
        <w:rPr>
          <w:rFonts w:cstheme="minorHAnsi"/>
          <w:sz w:val="24"/>
          <w:szCs w:val="24"/>
        </w:rPr>
        <w:t>% plana.</w:t>
      </w:r>
    </w:p>
    <w:p w14:paraId="2C1CCE60" w14:textId="77777777" w:rsidR="009B6853" w:rsidRDefault="009B6853" w:rsidP="009B6853">
      <w:pPr>
        <w:spacing w:after="0" w:line="240" w:lineRule="auto"/>
        <w:rPr>
          <w:rFonts w:cstheme="minorHAnsi"/>
          <w:sz w:val="24"/>
          <w:szCs w:val="24"/>
        </w:rPr>
      </w:pPr>
    </w:p>
    <w:p w14:paraId="5EA63C2D" w14:textId="2A5F7BCA" w:rsidR="009B6853" w:rsidRDefault="00F36A37" w:rsidP="009B6853">
      <w:pPr>
        <w:spacing w:after="0" w:line="240" w:lineRule="auto"/>
        <w:rPr>
          <w:rFonts w:cstheme="minorHAnsi"/>
          <w:sz w:val="24"/>
          <w:szCs w:val="24"/>
          <w:u w:val="single"/>
        </w:rPr>
      </w:pPr>
      <w:r w:rsidRPr="0046053E">
        <w:rPr>
          <w:rFonts w:cstheme="minorHAnsi"/>
          <w:sz w:val="24"/>
          <w:szCs w:val="24"/>
          <w:u w:val="single"/>
        </w:rPr>
        <w:t xml:space="preserve">Program 1202 Kultura </w:t>
      </w:r>
    </w:p>
    <w:p w14:paraId="56F5C390" w14:textId="28BC661D" w:rsidR="00393EC2" w:rsidRDefault="00393EC2" w:rsidP="009B6853">
      <w:pPr>
        <w:spacing w:after="0" w:line="240" w:lineRule="auto"/>
        <w:jc w:val="both"/>
        <w:rPr>
          <w:rFonts w:cstheme="minorHAnsi"/>
          <w:sz w:val="24"/>
          <w:szCs w:val="24"/>
        </w:rPr>
      </w:pPr>
      <w:r w:rsidRPr="0046053E">
        <w:rPr>
          <w:rFonts w:cstheme="minorHAnsi"/>
          <w:sz w:val="24"/>
          <w:szCs w:val="24"/>
        </w:rPr>
        <w:t>Program obuhvaća obavljanje poslova koji se odnose na zadovoljavanje potreba stanovnika u području kulture. Program osigurava financijske uvjete za rad ustanova iz područja kulture kojima je Grad vlasnik i osnivač i to raspodjelom proračunskih sredstava za programe iz područja muzejske, galerijske, likovne, knjižnične i nakladničke, glazbene, scenske, multimedijalne djelatnosti i o</w:t>
      </w:r>
      <w:r>
        <w:rPr>
          <w:rFonts w:cstheme="minorHAnsi"/>
          <w:sz w:val="24"/>
          <w:szCs w:val="24"/>
        </w:rPr>
        <w:t xml:space="preserve">stalih kulturnih manifestacija </w:t>
      </w:r>
      <w:r w:rsidRPr="00F63EB5">
        <w:rPr>
          <w:rFonts w:cstheme="minorHAnsi"/>
          <w:sz w:val="24"/>
          <w:szCs w:val="24"/>
        </w:rPr>
        <w:t>te provođenje aktivnosti na projektima i programima u kulturi od interesa za Grad, obavljanje stručnih poslova u vezi s kulturnim manifestacijama i programima od interesa za Grad kao i praćenje namjenskog korište</w:t>
      </w:r>
      <w:r>
        <w:rPr>
          <w:rFonts w:cstheme="minorHAnsi"/>
          <w:sz w:val="24"/>
          <w:szCs w:val="24"/>
        </w:rPr>
        <w:t xml:space="preserve">nja sredstava proračuna Grada. </w:t>
      </w:r>
      <w:r w:rsidRPr="00F63EB5">
        <w:rPr>
          <w:rFonts w:cstheme="minorHAnsi"/>
          <w:sz w:val="24"/>
          <w:szCs w:val="24"/>
        </w:rPr>
        <w:t>Odjel prati rad u ustanovama u kulturi kojih je Grad vlasnik i osnivač, prati i potiče rad udruga te drugih pravnih i fizičkih osoba u kulturi, sudjeluje u pripremi i realizaciji kulturnih manifestacija od značaja za Grad.</w:t>
      </w:r>
      <w:r>
        <w:rPr>
          <w:rFonts w:cstheme="minorHAnsi"/>
          <w:sz w:val="24"/>
          <w:szCs w:val="24"/>
        </w:rPr>
        <w:t xml:space="preserve"> </w:t>
      </w:r>
    </w:p>
    <w:p w14:paraId="4FD7F690" w14:textId="313EEF97" w:rsidR="0018413F" w:rsidRDefault="0018413F" w:rsidP="0018413F">
      <w:pPr>
        <w:spacing w:after="0"/>
        <w:jc w:val="both"/>
        <w:rPr>
          <w:rFonts w:cstheme="minorHAnsi"/>
          <w:bCs/>
          <w:sz w:val="24"/>
          <w:szCs w:val="24"/>
        </w:rPr>
      </w:pPr>
      <w:r>
        <w:rPr>
          <w:rFonts w:cstheme="minorHAnsi"/>
          <w:bCs/>
          <w:sz w:val="24"/>
          <w:szCs w:val="24"/>
        </w:rPr>
        <w:t>Unutar navedenog programa planirane su 3 aktivnosti:</w:t>
      </w:r>
    </w:p>
    <w:p w14:paraId="2B1AD7B1" w14:textId="32CABB70" w:rsidR="0018413F" w:rsidRDefault="0018413F" w:rsidP="0018413F">
      <w:pPr>
        <w:spacing w:after="0"/>
        <w:jc w:val="both"/>
        <w:rPr>
          <w:rFonts w:cstheme="minorHAnsi"/>
          <w:bCs/>
          <w:sz w:val="24"/>
          <w:szCs w:val="24"/>
        </w:rPr>
      </w:pPr>
      <w:r>
        <w:rPr>
          <w:rFonts w:cstheme="minorHAnsi"/>
          <w:bCs/>
          <w:sz w:val="24"/>
          <w:szCs w:val="24"/>
        </w:rPr>
        <w:t xml:space="preserve">A100005 Pučko otvoreno učilište Trogir </w:t>
      </w:r>
    </w:p>
    <w:p w14:paraId="3FD171ED" w14:textId="447FACB0" w:rsidR="0018413F" w:rsidRDefault="0018413F" w:rsidP="0018413F">
      <w:pPr>
        <w:spacing w:after="0"/>
        <w:jc w:val="both"/>
        <w:rPr>
          <w:rFonts w:cstheme="minorHAnsi"/>
          <w:bCs/>
          <w:sz w:val="24"/>
          <w:szCs w:val="24"/>
        </w:rPr>
      </w:pPr>
      <w:r>
        <w:rPr>
          <w:rFonts w:cstheme="minorHAnsi"/>
          <w:bCs/>
          <w:sz w:val="24"/>
          <w:szCs w:val="24"/>
        </w:rPr>
        <w:t xml:space="preserve">A100006 Financiranje udruga, ustanova i pojedinaca u kulturi  </w:t>
      </w:r>
    </w:p>
    <w:p w14:paraId="26BEC020" w14:textId="2765D75F" w:rsidR="0018413F" w:rsidRDefault="0018413F" w:rsidP="0018413F">
      <w:pPr>
        <w:spacing w:after="0"/>
        <w:jc w:val="both"/>
        <w:rPr>
          <w:rFonts w:cstheme="minorHAnsi"/>
          <w:bCs/>
          <w:sz w:val="24"/>
          <w:szCs w:val="24"/>
        </w:rPr>
      </w:pPr>
      <w:r>
        <w:rPr>
          <w:rFonts w:cstheme="minorHAnsi"/>
          <w:bCs/>
          <w:sz w:val="24"/>
          <w:szCs w:val="24"/>
        </w:rPr>
        <w:t>A100050 Promidžba i očuvanje kulturne baštine</w:t>
      </w:r>
    </w:p>
    <w:p w14:paraId="7FACC976" w14:textId="77777777" w:rsidR="0018413F" w:rsidRDefault="0018413F" w:rsidP="00393EC2">
      <w:pPr>
        <w:spacing w:after="0" w:line="240" w:lineRule="auto"/>
        <w:jc w:val="both"/>
        <w:rPr>
          <w:rFonts w:cstheme="minorHAnsi"/>
          <w:sz w:val="24"/>
          <w:szCs w:val="24"/>
        </w:rPr>
      </w:pPr>
    </w:p>
    <w:p w14:paraId="4D55B48B" w14:textId="786AE545" w:rsidR="00D271D3" w:rsidRDefault="00393EC2" w:rsidP="00393EC2">
      <w:pPr>
        <w:spacing w:after="0" w:line="240" w:lineRule="auto"/>
        <w:jc w:val="both"/>
        <w:rPr>
          <w:rFonts w:cstheme="minorHAnsi"/>
          <w:sz w:val="24"/>
          <w:szCs w:val="24"/>
        </w:rPr>
      </w:pPr>
      <w:r w:rsidRPr="0046053E">
        <w:rPr>
          <w:rFonts w:cstheme="minorHAnsi"/>
          <w:sz w:val="24"/>
          <w:szCs w:val="24"/>
        </w:rPr>
        <w:t xml:space="preserve">Program kulture obuhvaća financiranje Pučkog otvorenog učilišta putem tekućih donacija za obavljanje djelatnosti koje je bilježilo ostvarenje od </w:t>
      </w:r>
      <w:r w:rsidR="0018413F">
        <w:rPr>
          <w:rFonts w:cstheme="minorHAnsi"/>
          <w:sz w:val="24"/>
          <w:szCs w:val="24"/>
        </w:rPr>
        <w:t>153.699,20</w:t>
      </w:r>
      <w:r>
        <w:rPr>
          <w:rFonts w:cstheme="minorHAnsi"/>
          <w:sz w:val="24"/>
          <w:szCs w:val="24"/>
        </w:rPr>
        <w:t xml:space="preserve"> eura</w:t>
      </w:r>
      <w:r w:rsidR="0018413F">
        <w:rPr>
          <w:rFonts w:cstheme="minorHAnsi"/>
          <w:sz w:val="24"/>
          <w:szCs w:val="24"/>
        </w:rPr>
        <w:t xml:space="preserve"> za financiranje redovne djelatnosti te za sufinanciranje </w:t>
      </w:r>
      <w:r w:rsidR="00D271D3" w:rsidRPr="00D271D3">
        <w:rPr>
          <w:sz w:val="24"/>
          <w:szCs w:val="24"/>
        </w:rPr>
        <w:t xml:space="preserve">djelatnosti u sklopu programa novog kulturnog edukativnog centra u prostorima ex kina pod nazivom </w:t>
      </w:r>
      <w:proofErr w:type="spellStart"/>
      <w:r w:rsidR="00D271D3" w:rsidRPr="00D271D3">
        <w:rPr>
          <w:sz w:val="24"/>
          <w:szCs w:val="24"/>
        </w:rPr>
        <w:t>Kantun</w:t>
      </w:r>
      <w:proofErr w:type="spellEnd"/>
      <w:r w:rsidR="00D271D3" w:rsidRPr="00D271D3">
        <w:rPr>
          <w:sz w:val="24"/>
          <w:szCs w:val="24"/>
        </w:rPr>
        <w:t xml:space="preserve"> kulture koje je dano na upravljanje Odlukom Gradskog vijeća Pučkom otvorenom učilištu</w:t>
      </w:r>
      <w:r w:rsidR="00D271D3">
        <w:rPr>
          <w:rFonts w:cstheme="minorHAnsi"/>
          <w:sz w:val="24"/>
          <w:szCs w:val="24"/>
        </w:rPr>
        <w:t xml:space="preserve"> i kapitalnu donaciju u iznosu od 6.377,95 eura za nabavu reflektora i za baletni pod,</w:t>
      </w:r>
    </w:p>
    <w:p w14:paraId="69D6784D" w14:textId="77777777" w:rsidR="00D271D3" w:rsidRDefault="00393EC2" w:rsidP="00393EC2">
      <w:pPr>
        <w:spacing w:after="0" w:line="240" w:lineRule="auto"/>
        <w:jc w:val="both"/>
        <w:rPr>
          <w:sz w:val="24"/>
          <w:szCs w:val="24"/>
        </w:rPr>
      </w:pPr>
      <w:r w:rsidRPr="00D271D3">
        <w:rPr>
          <w:rFonts w:cstheme="minorHAnsi"/>
          <w:sz w:val="24"/>
          <w:szCs w:val="24"/>
        </w:rPr>
        <w:t xml:space="preserve">financiranje udruga, ustanova i pojedinaca u kulturi koje je financirano sa iznosom </w:t>
      </w:r>
      <w:r w:rsidR="0018413F" w:rsidRPr="00D271D3">
        <w:rPr>
          <w:rFonts w:cstheme="minorHAnsi"/>
          <w:sz w:val="24"/>
          <w:szCs w:val="24"/>
        </w:rPr>
        <w:t>124.070,01</w:t>
      </w:r>
      <w:r w:rsidRPr="00D271D3">
        <w:rPr>
          <w:rFonts w:cstheme="minorHAnsi"/>
          <w:sz w:val="24"/>
          <w:szCs w:val="24"/>
        </w:rPr>
        <w:t xml:space="preserve"> eura </w:t>
      </w:r>
      <w:r w:rsidRPr="00D271D3">
        <w:rPr>
          <w:color w:val="000000"/>
          <w:sz w:val="24"/>
          <w:szCs w:val="24"/>
        </w:rPr>
        <w:t>(</w:t>
      </w:r>
      <w:r w:rsidR="00D271D3" w:rsidRPr="00D271D3">
        <w:rPr>
          <w:sz w:val="24"/>
          <w:szCs w:val="24"/>
        </w:rPr>
        <w:t xml:space="preserve">Narodna glazba Trogir 20.000,00 eura, HPD Petar </w:t>
      </w:r>
      <w:proofErr w:type="spellStart"/>
      <w:r w:rsidR="00D271D3" w:rsidRPr="00D271D3">
        <w:rPr>
          <w:sz w:val="24"/>
          <w:szCs w:val="24"/>
        </w:rPr>
        <w:t>Berislavić</w:t>
      </w:r>
      <w:proofErr w:type="spellEnd"/>
      <w:r w:rsidR="00D271D3" w:rsidRPr="00D271D3">
        <w:rPr>
          <w:sz w:val="24"/>
          <w:szCs w:val="24"/>
        </w:rPr>
        <w:t xml:space="preserve"> 8.000,00 eura, KUD </w:t>
      </w:r>
      <w:proofErr w:type="spellStart"/>
      <w:r w:rsidR="00D271D3" w:rsidRPr="00D271D3">
        <w:rPr>
          <w:sz w:val="24"/>
          <w:szCs w:val="24"/>
        </w:rPr>
        <w:t>Kvadrilja</w:t>
      </w:r>
      <w:proofErr w:type="spellEnd"/>
      <w:r w:rsidR="00D271D3" w:rsidRPr="00D271D3">
        <w:rPr>
          <w:sz w:val="24"/>
          <w:szCs w:val="24"/>
        </w:rPr>
        <w:t xml:space="preserve"> 15.820,01 eura, Udruga Trogirski glazbenici u iznosu od 5.200,00 eura,  Udruga glazbeni razvoj u iznosu od 3.500,00 eura, Udruga gozba 4.500,00 eura, Klapa </w:t>
      </w:r>
      <w:proofErr w:type="spellStart"/>
      <w:r w:rsidR="00D271D3" w:rsidRPr="00D271D3">
        <w:rPr>
          <w:sz w:val="24"/>
          <w:szCs w:val="24"/>
        </w:rPr>
        <w:t>stivanja</w:t>
      </w:r>
      <w:proofErr w:type="spellEnd"/>
      <w:r w:rsidR="00D271D3" w:rsidRPr="00D271D3">
        <w:rPr>
          <w:sz w:val="24"/>
          <w:szCs w:val="24"/>
        </w:rPr>
        <w:t xml:space="preserve"> 8.000,00 eura, LUT Trogir 8.500,00 eura, Udruga Opera </w:t>
      </w:r>
      <w:proofErr w:type="spellStart"/>
      <w:r w:rsidR="00D271D3" w:rsidRPr="00D271D3">
        <w:rPr>
          <w:sz w:val="24"/>
          <w:szCs w:val="24"/>
        </w:rPr>
        <w:t>selecta</w:t>
      </w:r>
      <w:proofErr w:type="spellEnd"/>
      <w:r w:rsidR="00D271D3" w:rsidRPr="00D271D3">
        <w:rPr>
          <w:sz w:val="24"/>
          <w:szCs w:val="24"/>
        </w:rPr>
        <w:t xml:space="preserve"> u iznosu od 20.000,00 eura, Dalmatinska muška klapa u iznosu od 10.500,00 eura, Ljuban </w:t>
      </w:r>
      <w:proofErr w:type="spellStart"/>
      <w:r w:rsidR="00D271D3" w:rsidRPr="00D271D3">
        <w:rPr>
          <w:sz w:val="24"/>
          <w:szCs w:val="24"/>
        </w:rPr>
        <w:t>Ursa</w:t>
      </w:r>
      <w:proofErr w:type="spellEnd"/>
      <w:r w:rsidR="00D271D3" w:rsidRPr="00D271D3">
        <w:rPr>
          <w:sz w:val="24"/>
          <w:szCs w:val="24"/>
        </w:rPr>
        <w:t xml:space="preserve"> 5.500,00 eura, Matica umirovljenika Trogir 800,00 eura, Udruga poruka 21 Hvala ti 700,00 eura, Radovan društvo za zaštitu kulturnih dobara u iznosu od 3.500,00 eura i Umjetnička organizacija </w:t>
      </w:r>
      <w:proofErr w:type="spellStart"/>
      <w:r w:rsidR="00D271D3" w:rsidRPr="00D271D3">
        <w:rPr>
          <w:sz w:val="24"/>
          <w:szCs w:val="24"/>
        </w:rPr>
        <w:t>Naturščik</w:t>
      </w:r>
      <w:proofErr w:type="spellEnd"/>
      <w:r w:rsidR="00D271D3" w:rsidRPr="00D271D3">
        <w:rPr>
          <w:sz w:val="24"/>
          <w:szCs w:val="24"/>
        </w:rPr>
        <w:t xml:space="preserve"> u iznosu od 1.000,00 eura</w:t>
      </w:r>
      <w:r w:rsidR="00D271D3">
        <w:rPr>
          <w:sz w:val="24"/>
          <w:szCs w:val="24"/>
        </w:rPr>
        <w:t>) te</w:t>
      </w:r>
    </w:p>
    <w:p w14:paraId="52185148" w14:textId="318581EF" w:rsidR="00393EC2" w:rsidRPr="00D271D3" w:rsidRDefault="00D271D3" w:rsidP="00393EC2">
      <w:pPr>
        <w:spacing w:after="0" w:line="240" w:lineRule="auto"/>
        <w:jc w:val="both"/>
        <w:rPr>
          <w:sz w:val="24"/>
          <w:szCs w:val="24"/>
        </w:rPr>
      </w:pPr>
      <w:r>
        <w:rPr>
          <w:rFonts w:cstheme="minorHAnsi"/>
          <w:sz w:val="24"/>
          <w:szCs w:val="24"/>
        </w:rPr>
        <w:lastRenderedPageBreak/>
        <w:t xml:space="preserve"> </w:t>
      </w:r>
      <w:r w:rsidR="00393EC2">
        <w:rPr>
          <w:rFonts w:cstheme="minorHAnsi"/>
          <w:sz w:val="24"/>
          <w:szCs w:val="24"/>
        </w:rPr>
        <w:t xml:space="preserve">aktivnost promidžba i očuvanje kulturne baštine u iznosu </w:t>
      </w:r>
      <w:r w:rsidR="0018413F">
        <w:rPr>
          <w:rFonts w:cstheme="minorHAnsi"/>
          <w:sz w:val="24"/>
          <w:szCs w:val="24"/>
        </w:rPr>
        <w:t>71.835,19</w:t>
      </w:r>
      <w:r w:rsidR="00393EC2">
        <w:rPr>
          <w:rFonts w:cstheme="minorHAnsi"/>
          <w:sz w:val="24"/>
          <w:szCs w:val="24"/>
        </w:rPr>
        <w:t xml:space="preserve"> eura (</w:t>
      </w:r>
      <w:r w:rsidR="00393EC2" w:rsidRPr="000E0DDA">
        <w:rPr>
          <w:sz w:val="24"/>
          <w:szCs w:val="24"/>
        </w:rPr>
        <w:t xml:space="preserve">rashode za usluge naplate ulaznica u kuli </w:t>
      </w:r>
      <w:proofErr w:type="spellStart"/>
      <w:r w:rsidR="00393EC2" w:rsidRPr="000E0DDA">
        <w:rPr>
          <w:sz w:val="24"/>
          <w:szCs w:val="24"/>
        </w:rPr>
        <w:t>Kamerlengo</w:t>
      </w:r>
      <w:proofErr w:type="spellEnd"/>
      <w:r w:rsidR="00393EC2" w:rsidRPr="000E0DDA">
        <w:rPr>
          <w:sz w:val="24"/>
          <w:szCs w:val="24"/>
        </w:rPr>
        <w:t xml:space="preserve"> temeljem ugovora sa Pučkim otvorenim učilištem u iznosu ostvarenja od </w:t>
      </w:r>
      <w:r w:rsidR="0018413F">
        <w:rPr>
          <w:sz w:val="24"/>
          <w:szCs w:val="24"/>
        </w:rPr>
        <w:t>66.047,71</w:t>
      </w:r>
      <w:r w:rsidR="00393EC2" w:rsidRPr="000E0DDA">
        <w:rPr>
          <w:sz w:val="24"/>
          <w:szCs w:val="24"/>
        </w:rPr>
        <w:t xml:space="preserve"> eura</w:t>
      </w:r>
      <w:r w:rsidR="00393EC2">
        <w:rPr>
          <w:sz w:val="24"/>
          <w:szCs w:val="24"/>
        </w:rPr>
        <w:t xml:space="preserve"> i dr.)</w:t>
      </w:r>
    </w:p>
    <w:p w14:paraId="32361F1A" w14:textId="60A9866A" w:rsidR="00393EC2" w:rsidRPr="00390AA8" w:rsidRDefault="00393EC2" w:rsidP="00390AA8">
      <w:pPr>
        <w:autoSpaceDE w:val="0"/>
        <w:adjustRightInd w:val="0"/>
        <w:jc w:val="both"/>
        <w:rPr>
          <w:rFonts w:cstheme="minorHAnsi"/>
          <w:sz w:val="24"/>
          <w:szCs w:val="24"/>
        </w:rPr>
      </w:pPr>
      <w:r w:rsidRPr="0046053E">
        <w:rPr>
          <w:rFonts w:cstheme="minorHAnsi"/>
          <w:sz w:val="24"/>
          <w:szCs w:val="24"/>
        </w:rPr>
        <w:t>Za izvršenje programa Kulture u</w:t>
      </w:r>
      <w:r>
        <w:rPr>
          <w:rFonts w:cstheme="minorHAnsi"/>
          <w:sz w:val="24"/>
          <w:szCs w:val="24"/>
        </w:rPr>
        <w:t xml:space="preserve"> 202</w:t>
      </w:r>
      <w:r w:rsidR="0018413F">
        <w:rPr>
          <w:rFonts w:cstheme="minorHAnsi"/>
          <w:sz w:val="24"/>
          <w:szCs w:val="24"/>
        </w:rPr>
        <w:t>5</w:t>
      </w:r>
      <w:r w:rsidRPr="0046053E">
        <w:rPr>
          <w:rFonts w:cstheme="minorHAnsi"/>
          <w:sz w:val="24"/>
          <w:szCs w:val="24"/>
        </w:rPr>
        <w:t xml:space="preserve">. godini planirano je </w:t>
      </w:r>
      <w:r w:rsidR="00D271D3">
        <w:rPr>
          <w:rFonts w:cstheme="minorHAnsi"/>
          <w:sz w:val="24"/>
          <w:szCs w:val="24"/>
        </w:rPr>
        <w:t>384.630,22</w:t>
      </w:r>
      <w:r>
        <w:rPr>
          <w:rFonts w:cstheme="minorHAnsi"/>
          <w:sz w:val="24"/>
          <w:szCs w:val="24"/>
        </w:rPr>
        <w:t xml:space="preserve"> eura</w:t>
      </w:r>
      <w:r w:rsidRPr="0046053E">
        <w:rPr>
          <w:rFonts w:cstheme="minorHAnsi"/>
          <w:sz w:val="24"/>
          <w:szCs w:val="24"/>
        </w:rPr>
        <w:t xml:space="preserve">, </w:t>
      </w:r>
      <w:r>
        <w:rPr>
          <w:rFonts w:cstheme="minorHAnsi"/>
          <w:sz w:val="24"/>
          <w:szCs w:val="24"/>
        </w:rPr>
        <w:t>a u izvještajnom razdoblju 202</w:t>
      </w:r>
      <w:r w:rsidR="00D271D3">
        <w:rPr>
          <w:rFonts w:cstheme="minorHAnsi"/>
          <w:sz w:val="24"/>
          <w:szCs w:val="24"/>
        </w:rPr>
        <w:t>5</w:t>
      </w:r>
      <w:r>
        <w:rPr>
          <w:rFonts w:cstheme="minorHAnsi"/>
          <w:sz w:val="24"/>
          <w:szCs w:val="24"/>
        </w:rPr>
        <w:t xml:space="preserve">.godine </w:t>
      </w:r>
      <w:r w:rsidRPr="0046053E">
        <w:rPr>
          <w:rFonts w:cstheme="minorHAnsi"/>
          <w:sz w:val="24"/>
          <w:szCs w:val="24"/>
        </w:rPr>
        <w:t xml:space="preserve">ostvareno je </w:t>
      </w:r>
      <w:r w:rsidR="00D271D3">
        <w:rPr>
          <w:rFonts w:cstheme="minorHAnsi"/>
          <w:sz w:val="24"/>
          <w:szCs w:val="24"/>
        </w:rPr>
        <w:t>355.982,35</w:t>
      </w:r>
      <w:r>
        <w:rPr>
          <w:rFonts w:cstheme="minorHAnsi"/>
          <w:sz w:val="24"/>
          <w:szCs w:val="24"/>
        </w:rPr>
        <w:t xml:space="preserve"> eura ili </w:t>
      </w:r>
      <w:r w:rsidR="00D271D3">
        <w:rPr>
          <w:rFonts w:cstheme="minorHAnsi"/>
          <w:sz w:val="24"/>
          <w:szCs w:val="24"/>
        </w:rPr>
        <w:t>92,55</w:t>
      </w:r>
      <w:r w:rsidRPr="0046053E">
        <w:rPr>
          <w:rFonts w:cstheme="minorHAnsi"/>
          <w:sz w:val="24"/>
          <w:szCs w:val="24"/>
        </w:rPr>
        <w:t>%</w:t>
      </w:r>
      <w:r w:rsidR="00D271D3">
        <w:rPr>
          <w:rFonts w:cstheme="minorHAnsi"/>
          <w:sz w:val="24"/>
          <w:szCs w:val="24"/>
        </w:rPr>
        <w:t xml:space="preserve"> plana</w:t>
      </w:r>
      <w:r w:rsidRPr="0046053E">
        <w:rPr>
          <w:rFonts w:cstheme="minorHAnsi"/>
          <w:sz w:val="24"/>
          <w:szCs w:val="24"/>
        </w:rPr>
        <w:t>.</w:t>
      </w:r>
    </w:p>
    <w:p w14:paraId="5A7AF559" w14:textId="3CAC1F36" w:rsidR="00F36A37" w:rsidRDefault="00F36A37" w:rsidP="00F36A37">
      <w:pPr>
        <w:spacing w:after="0"/>
        <w:jc w:val="both"/>
        <w:rPr>
          <w:rFonts w:cstheme="minorHAnsi"/>
          <w:sz w:val="24"/>
          <w:szCs w:val="24"/>
          <w:u w:val="single"/>
        </w:rPr>
      </w:pPr>
      <w:r w:rsidRPr="0046053E">
        <w:rPr>
          <w:rFonts w:cstheme="minorHAnsi"/>
          <w:sz w:val="24"/>
          <w:szCs w:val="24"/>
          <w:u w:val="single"/>
        </w:rPr>
        <w:t xml:space="preserve">Program 1203 Šport i tehnička kultura </w:t>
      </w:r>
    </w:p>
    <w:p w14:paraId="37A77BAC" w14:textId="77777777" w:rsidR="00390AA8" w:rsidRDefault="00390AA8" w:rsidP="00390AA8">
      <w:pPr>
        <w:spacing w:after="0"/>
        <w:jc w:val="both"/>
        <w:rPr>
          <w:rFonts w:cstheme="minorHAnsi"/>
          <w:sz w:val="24"/>
          <w:szCs w:val="24"/>
        </w:rPr>
      </w:pPr>
      <w:r w:rsidRPr="0046053E">
        <w:rPr>
          <w:rFonts w:cstheme="minorHAnsi"/>
          <w:sz w:val="24"/>
          <w:szCs w:val="24"/>
        </w:rPr>
        <w:t xml:space="preserve">Cilj ovog programa je osigurati sredstva za sufinanciranje aktivnosti veznih za šport i tehničku kulturu u suradnji sa Zajednicom športskih udruga Trogir, i to kroz: poticanje i promicanje športa, provođenje </w:t>
      </w:r>
      <w:r>
        <w:rPr>
          <w:rFonts w:cstheme="minorHAnsi"/>
          <w:sz w:val="24"/>
          <w:szCs w:val="24"/>
        </w:rPr>
        <w:t>s</w:t>
      </w:r>
      <w:r w:rsidRPr="0046053E">
        <w:rPr>
          <w:rFonts w:cstheme="minorHAnsi"/>
          <w:sz w:val="24"/>
          <w:szCs w:val="24"/>
        </w:rPr>
        <w:t xml:space="preserve">portskih aktivnosti djece, studenata i mladeži, djelovanje </w:t>
      </w:r>
      <w:r>
        <w:rPr>
          <w:rFonts w:cstheme="minorHAnsi"/>
          <w:sz w:val="24"/>
          <w:szCs w:val="24"/>
        </w:rPr>
        <w:t>s</w:t>
      </w:r>
      <w:r w:rsidRPr="0046053E">
        <w:rPr>
          <w:rFonts w:cstheme="minorHAnsi"/>
          <w:sz w:val="24"/>
          <w:szCs w:val="24"/>
        </w:rPr>
        <w:t>portsk</w:t>
      </w:r>
      <w:r>
        <w:rPr>
          <w:rFonts w:cstheme="minorHAnsi"/>
          <w:sz w:val="24"/>
          <w:szCs w:val="24"/>
        </w:rPr>
        <w:t>ih udruga, zajednica i saveza, s</w:t>
      </w:r>
      <w:r w:rsidRPr="0046053E">
        <w:rPr>
          <w:rFonts w:cstheme="minorHAnsi"/>
          <w:sz w:val="24"/>
          <w:szCs w:val="24"/>
        </w:rPr>
        <w:t>portska priprema, domaća i međunarodna natjecanja,</w:t>
      </w:r>
      <w:r w:rsidRPr="00444D1B">
        <w:rPr>
          <w:rFonts w:ascii="Times New Roman" w:hAnsi="Times New Roman"/>
        </w:rPr>
        <w:t xml:space="preserve"> </w:t>
      </w:r>
      <w:r w:rsidRPr="00444D1B">
        <w:rPr>
          <w:rFonts w:cstheme="minorHAnsi"/>
          <w:sz w:val="24"/>
          <w:szCs w:val="24"/>
        </w:rPr>
        <w:t>te opća i posebna zdravstvena zaštita sportaša, sportsko rekreacijske aktivnosti građana, sportske aktivnosti osoba s teškoćama u razvoju i osoba s invaliditetom</w:t>
      </w:r>
      <w:r w:rsidRPr="00064744">
        <w:rPr>
          <w:rFonts w:ascii="Times New Roman" w:hAnsi="Times New Roman"/>
        </w:rPr>
        <w:t>.</w:t>
      </w:r>
      <w:r w:rsidRPr="0070529A">
        <w:rPr>
          <w:rFonts w:ascii="Times New Roman" w:hAnsi="Times New Roman" w:cs="Times New Roman"/>
        </w:rPr>
        <w:t xml:space="preserve"> </w:t>
      </w:r>
      <w:r w:rsidRPr="0070529A">
        <w:rPr>
          <w:rFonts w:cstheme="minorHAnsi"/>
          <w:sz w:val="24"/>
          <w:szCs w:val="24"/>
        </w:rPr>
        <w:t xml:space="preserve">Također, cilj programa je osiguravanje sredstava za redovito funkcioniranje „Javne ustanove sportski objekti Trogir“ kao i osiguranje sredstava za održavanje objekata danima na korištenje te novih investicija u </w:t>
      </w:r>
      <w:r w:rsidRPr="009E63FB">
        <w:rPr>
          <w:rFonts w:cstheme="minorHAnsi"/>
          <w:sz w:val="24"/>
          <w:szCs w:val="24"/>
        </w:rPr>
        <w:t xml:space="preserve">sportsku infrastrukturu Grada Trogira.  </w:t>
      </w:r>
    </w:p>
    <w:p w14:paraId="4365D3AF" w14:textId="0106EA2F" w:rsidR="0066121D" w:rsidRDefault="0066121D" w:rsidP="0066121D">
      <w:pPr>
        <w:spacing w:after="0"/>
        <w:jc w:val="both"/>
        <w:rPr>
          <w:rFonts w:cstheme="minorHAnsi"/>
          <w:bCs/>
          <w:sz w:val="24"/>
          <w:szCs w:val="24"/>
        </w:rPr>
      </w:pPr>
      <w:r>
        <w:rPr>
          <w:rFonts w:cstheme="minorHAnsi"/>
          <w:bCs/>
          <w:sz w:val="24"/>
          <w:szCs w:val="24"/>
        </w:rPr>
        <w:t>Unutar navedenog programa planirana je 1  aktivnost:</w:t>
      </w:r>
    </w:p>
    <w:p w14:paraId="47FD1BA6" w14:textId="04EAA3A0" w:rsidR="0066121D" w:rsidRDefault="0066121D" w:rsidP="0066121D">
      <w:pPr>
        <w:spacing w:after="0"/>
        <w:jc w:val="both"/>
        <w:rPr>
          <w:rFonts w:cstheme="minorHAnsi"/>
          <w:bCs/>
          <w:sz w:val="24"/>
          <w:szCs w:val="24"/>
        </w:rPr>
      </w:pPr>
      <w:r>
        <w:rPr>
          <w:rFonts w:cstheme="minorHAnsi"/>
          <w:bCs/>
          <w:sz w:val="24"/>
          <w:szCs w:val="24"/>
        </w:rPr>
        <w:t xml:space="preserve">A100008 Udruge, ustanove i </w:t>
      </w:r>
      <w:proofErr w:type="spellStart"/>
      <w:r>
        <w:rPr>
          <w:rFonts w:cstheme="minorHAnsi"/>
          <w:bCs/>
          <w:sz w:val="24"/>
          <w:szCs w:val="24"/>
        </w:rPr>
        <w:t>pojedinaci</w:t>
      </w:r>
      <w:proofErr w:type="spellEnd"/>
      <w:r>
        <w:rPr>
          <w:rFonts w:cstheme="minorHAnsi"/>
          <w:bCs/>
          <w:sz w:val="24"/>
          <w:szCs w:val="24"/>
        </w:rPr>
        <w:t xml:space="preserve"> u športu i tehničkoj kulturi  </w:t>
      </w:r>
    </w:p>
    <w:p w14:paraId="1ACFEF7A" w14:textId="77777777" w:rsidR="0066121D" w:rsidRDefault="0066121D" w:rsidP="00390AA8">
      <w:pPr>
        <w:pStyle w:val="Bezproreda"/>
        <w:jc w:val="both"/>
        <w:rPr>
          <w:rFonts w:asciiTheme="minorHAnsi" w:hAnsiTheme="minorHAnsi" w:cstheme="minorHAnsi"/>
          <w:sz w:val="24"/>
          <w:szCs w:val="24"/>
        </w:rPr>
      </w:pPr>
    </w:p>
    <w:p w14:paraId="2F4050C0" w14:textId="2A2F970F" w:rsidR="00390AA8" w:rsidRPr="009E63FB" w:rsidRDefault="00390AA8" w:rsidP="00390AA8">
      <w:pPr>
        <w:pStyle w:val="Bezproreda"/>
        <w:jc w:val="both"/>
        <w:rPr>
          <w:rFonts w:asciiTheme="minorHAnsi" w:hAnsiTheme="minorHAnsi" w:cstheme="minorHAnsi"/>
          <w:color w:val="000000"/>
          <w:sz w:val="24"/>
          <w:szCs w:val="24"/>
        </w:rPr>
      </w:pPr>
      <w:r w:rsidRPr="009E63FB">
        <w:rPr>
          <w:rFonts w:asciiTheme="minorHAnsi" w:hAnsiTheme="minorHAnsi" w:cstheme="minorHAnsi"/>
          <w:sz w:val="24"/>
          <w:szCs w:val="24"/>
        </w:rPr>
        <w:t>Potrebna sredstva za izvršenje jedne aktivnosti Udruge, ustanove i pojedinci u sportu i tehničkoj kulturi sadržanih u ovom programu za 202</w:t>
      </w:r>
      <w:r w:rsidR="0066121D">
        <w:rPr>
          <w:rFonts w:asciiTheme="minorHAnsi" w:hAnsiTheme="minorHAnsi" w:cstheme="minorHAnsi"/>
          <w:sz w:val="24"/>
          <w:szCs w:val="24"/>
        </w:rPr>
        <w:t>5</w:t>
      </w:r>
      <w:r w:rsidRPr="009E63FB">
        <w:rPr>
          <w:rFonts w:asciiTheme="minorHAnsi" w:hAnsiTheme="minorHAnsi" w:cstheme="minorHAnsi"/>
          <w:sz w:val="24"/>
          <w:szCs w:val="24"/>
        </w:rPr>
        <w:t xml:space="preserve">. godinu planirana su u iznosu od </w:t>
      </w:r>
      <w:r w:rsidR="0066121D">
        <w:rPr>
          <w:rFonts w:asciiTheme="minorHAnsi" w:hAnsiTheme="minorHAnsi" w:cstheme="minorHAnsi"/>
          <w:sz w:val="24"/>
          <w:szCs w:val="24"/>
        </w:rPr>
        <w:t>540.285,00</w:t>
      </w:r>
      <w:r w:rsidRPr="009E63FB">
        <w:rPr>
          <w:rFonts w:asciiTheme="minorHAnsi" w:hAnsiTheme="minorHAnsi" w:cstheme="minorHAnsi"/>
          <w:sz w:val="24"/>
          <w:szCs w:val="24"/>
        </w:rPr>
        <w:t xml:space="preserve"> eura, a realizirano je </w:t>
      </w:r>
      <w:r w:rsidR="0066121D">
        <w:rPr>
          <w:rFonts w:asciiTheme="minorHAnsi" w:hAnsiTheme="minorHAnsi" w:cstheme="minorHAnsi"/>
          <w:sz w:val="24"/>
          <w:szCs w:val="24"/>
        </w:rPr>
        <w:t>535.281,25</w:t>
      </w:r>
      <w:r w:rsidRPr="009E63FB">
        <w:rPr>
          <w:rFonts w:asciiTheme="minorHAnsi" w:hAnsiTheme="minorHAnsi" w:cstheme="minorHAnsi"/>
          <w:sz w:val="24"/>
          <w:szCs w:val="24"/>
        </w:rPr>
        <w:t xml:space="preserve"> eura ili </w:t>
      </w:r>
      <w:r w:rsidR="0066121D">
        <w:rPr>
          <w:rFonts w:asciiTheme="minorHAnsi" w:hAnsiTheme="minorHAnsi" w:cstheme="minorHAnsi"/>
          <w:sz w:val="24"/>
          <w:szCs w:val="24"/>
        </w:rPr>
        <w:t>99,07</w:t>
      </w:r>
      <w:r w:rsidRPr="009E63FB">
        <w:rPr>
          <w:rFonts w:asciiTheme="minorHAnsi" w:hAnsiTheme="minorHAnsi" w:cstheme="minorHAnsi"/>
          <w:sz w:val="24"/>
          <w:szCs w:val="24"/>
        </w:rPr>
        <w:t xml:space="preserve">% i odnose se u </w:t>
      </w:r>
      <w:r w:rsidR="0066121D">
        <w:rPr>
          <w:rFonts w:asciiTheme="minorHAnsi" w:hAnsiTheme="minorHAnsi" w:cstheme="minorHAnsi"/>
          <w:sz w:val="24"/>
          <w:szCs w:val="24"/>
        </w:rPr>
        <w:t xml:space="preserve">najvećim djelom </w:t>
      </w:r>
      <w:r w:rsidRPr="009E63FB">
        <w:rPr>
          <w:rFonts w:asciiTheme="minorHAnsi" w:hAnsiTheme="minorHAnsi" w:cstheme="minorHAnsi"/>
          <w:sz w:val="24"/>
          <w:szCs w:val="24"/>
        </w:rPr>
        <w:t xml:space="preserve">na </w:t>
      </w:r>
      <w:r w:rsidRPr="009E63FB">
        <w:rPr>
          <w:rFonts w:asciiTheme="minorHAnsi" w:hAnsiTheme="minorHAnsi" w:cstheme="minorHAnsi"/>
          <w:color w:val="000000"/>
          <w:sz w:val="24"/>
          <w:szCs w:val="24"/>
        </w:rPr>
        <w:t>donaciju za sport Zajednici sportskih udruga</w:t>
      </w:r>
      <w:r w:rsidR="0066121D">
        <w:rPr>
          <w:rFonts w:asciiTheme="minorHAnsi" w:hAnsiTheme="minorHAnsi" w:cstheme="minorHAnsi"/>
          <w:color w:val="000000"/>
          <w:sz w:val="24"/>
          <w:szCs w:val="24"/>
        </w:rPr>
        <w:t xml:space="preserve"> (530.000,00 eura).</w:t>
      </w:r>
    </w:p>
    <w:p w14:paraId="37EE080A" w14:textId="77777777" w:rsidR="00390AA8" w:rsidRDefault="00390AA8" w:rsidP="00444D1B">
      <w:pPr>
        <w:autoSpaceDE w:val="0"/>
        <w:adjustRightInd w:val="0"/>
        <w:spacing w:after="0"/>
        <w:jc w:val="both"/>
        <w:rPr>
          <w:rFonts w:cstheme="minorHAnsi"/>
          <w:sz w:val="24"/>
          <w:szCs w:val="24"/>
        </w:rPr>
      </w:pPr>
    </w:p>
    <w:p w14:paraId="3BC14B10" w14:textId="77777777" w:rsidR="00E72FB4" w:rsidRDefault="00E72FB4" w:rsidP="00E72FB4">
      <w:pPr>
        <w:spacing w:after="0"/>
        <w:rPr>
          <w:rFonts w:cstheme="minorHAnsi"/>
          <w:sz w:val="24"/>
          <w:szCs w:val="24"/>
          <w:u w:val="single"/>
        </w:rPr>
      </w:pPr>
      <w:r w:rsidRPr="0046053E">
        <w:rPr>
          <w:rFonts w:cstheme="minorHAnsi"/>
          <w:sz w:val="24"/>
          <w:szCs w:val="24"/>
          <w:u w:val="single"/>
        </w:rPr>
        <w:t xml:space="preserve">Program 1205 Socijalna skrb </w:t>
      </w:r>
    </w:p>
    <w:p w14:paraId="121ED80C" w14:textId="4E0ED0DE" w:rsidR="00390AA8" w:rsidRDefault="00390AA8" w:rsidP="00390AA8">
      <w:pPr>
        <w:jc w:val="both"/>
        <w:rPr>
          <w:rFonts w:cstheme="minorHAnsi"/>
          <w:sz w:val="24"/>
          <w:szCs w:val="24"/>
        </w:rPr>
      </w:pPr>
      <w:r w:rsidRPr="0046053E">
        <w:rPr>
          <w:rFonts w:cstheme="minorHAnsi"/>
          <w:sz w:val="24"/>
          <w:szCs w:val="24"/>
        </w:rPr>
        <w:t xml:space="preserve">Program socijalne skrbi obuhvaća poslove provođenja pomoći obiteljima i kućanstvima, socijalne potpore za poboljšanje obrazovnog standarda, aktivnosti humanitarne skrbi kroz udruge građana i neprofitne organizacije. Cilj je skrb o socijalno najugroženijim skupinama građana čiji su ukupni mjesečni prihodi kućanstava, ostvareni po osnovi rada, imovine, prihoda od imovine ili na neki drugi način niži od </w:t>
      </w:r>
      <w:r>
        <w:rPr>
          <w:rFonts w:cstheme="minorHAnsi"/>
          <w:sz w:val="24"/>
          <w:szCs w:val="24"/>
        </w:rPr>
        <w:t xml:space="preserve">Odlukom </w:t>
      </w:r>
      <w:r w:rsidRPr="0046053E">
        <w:rPr>
          <w:rFonts w:cstheme="minorHAnsi"/>
          <w:sz w:val="24"/>
          <w:szCs w:val="24"/>
        </w:rPr>
        <w:t>o socijalnoj skrbi utvrđenog gradskog cenzusa prihoda. Tu spada i osiguranje naknade za podmirenje troškova stanovanja, pomoć obiteljima za novorođenu djecu, potpore za školovanje čije obitelji imaju niska primanja ili koriste neki vid pomoći Ce</w:t>
      </w:r>
      <w:r>
        <w:rPr>
          <w:rFonts w:cstheme="minorHAnsi"/>
          <w:sz w:val="24"/>
          <w:szCs w:val="24"/>
        </w:rPr>
        <w:t xml:space="preserve">ntra za socijalnu skrb, te novčanu pomoć za podmirenje troškova ogrjeva kao i </w:t>
      </w:r>
      <w:r w:rsidRPr="009E63FB">
        <w:rPr>
          <w:rFonts w:cstheme="minorHAnsi"/>
          <w:sz w:val="24"/>
          <w:szCs w:val="24"/>
        </w:rPr>
        <w:t xml:space="preserve">prigodne nagrade (božićnice i </w:t>
      </w:r>
      <w:proofErr w:type="spellStart"/>
      <w:r w:rsidRPr="009E63FB">
        <w:rPr>
          <w:rFonts w:cstheme="minorHAnsi"/>
          <w:sz w:val="24"/>
          <w:szCs w:val="24"/>
        </w:rPr>
        <w:t>u</w:t>
      </w:r>
      <w:r>
        <w:rPr>
          <w:rFonts w:cstheme="minorHAnsi"/>
          <w:sz w:val="24"/>
          <w:szCs w:val="24"/>
        </w:rPr>
        <w:t>s</w:t>
      </w:r>
      <w:r w:rsidRPr="009E63FB">
        <w:rPr>
          <w:rFonts w:cstheme="minorHAnsi"/>
          <w:sz w:val="24"/>
          <w:szCs w:val="24"/>
        </w:rPr>
        <w:t>krsnice</w:t>
      </w:r>
      <w:proofErr w:type="spellEnd"/>
      <w:r w:rsidRPr="009E63FB">
        <w:rPr>
          <w:rFonts w:cstheme="minorHAnsi"/>
          <w:sz w:val="24"/>
          <w:szCs w:val="24"/>
        </w:rPr>
        <w:t>) za umirovljenike, nezaposlene osobe starije od 55 godina, korisnike ZMN ili Nacionalne naknade za starije osobe.</w:t>
      </w:r>
      <w:r>
        <w:rPr>
          <w:rFonts w:ascii="Times New Roman" w:hAnsi="Times New Roman" w:cs="Times New Roman"/>
        </w:rPr>
        <w:t xml:space="preserve"> </w:t>
      </w:r>
      <w:r w:rsidRPr="00F4725D">
        <w:rPr>
          <w:rFonts w:cstheme="minorHAnsi"/>
          <w:sz w:val="24"/>
          <w:szCs w:val="24"/>
        </w:rPr>
        <w:t>Ujedno, cilj programa je sufinanciranje programa udruga i ustanova iz područja humanitarne skrbi koji su od interesa za Grad Trogir te Crvenog križa Trogir.</w:t>
      </w:r>
    </w:p>
    <w:p w14:paraId="44530EFD" w14:textId="77777777" w:rsidR="00390AA8" w:rsidRDefault="00390AA8" w:rsidP="00390AA8">
      <w:pPr>
        <w:spacing w:after="0"/>
        <w:jc w:val="both"/>
        <w:rPr>
          <w:rFonts w:cstheme="minorHAnsi"/>
          <w:sz w:val="24"/>
          <w:szCs w:val="24"/>
        </w:rPr>
      </w:pPr>
      <w:r>
        <w:rPr>
          <w:rFonts w:cstheme="minorHAnsi"/>
          <w:bCs/>
          <w:sz w:val="24"/>
          <w:szCs w:val="24"/>
        </w:rPr>
        <w:t>Unutar navedenog programa planirane su 2 aktivnosti:</w:t>
      </w:r>
    </w:p>
    <w:p w14:paraId="4172D674" w14:textId="77777777" w:rsidR="00390AA8" w:rsidRPr="009E63FB" w:rsidRDefault="00390AA8" w:rsidP="00390AA8">
      <w:pPr>
        <w:spacing w:after="0"/>
        <w:jc w:val="both"/>
        <w:rPr>
          <w:rFonts w:cstheme="minorHAnsi"/>
          <w:sz w:val="24"/>
          <w:szCs w:val="24"/>
        </w:rPr>
      </w:pPr>
      <w:r>
        <w:rPr>
          <w:rFonts w:cstheme="minorHAnsi"/>
          <w:bCs/>
          <w:sz w:val="24"/>
          <w:szCs w:val="24"/>
        </w:rPr>
        <w:t xml:space="preserve">A100011 Naknade građanima i kućanstvima iz proračuna </w:t>
      </w:r>
    </w:p>
    <w:p w14:paraId="6D99F21C" w14:textId="77777777" w:rsidR="00390AA8" w:rsidRDefault="00390AA8" w:rsidP="00390AA8">
      <w:pPr>
        <w:spacing w:after="0"/>
        <w:jc w:val="both"/>
        <w:rPr>
          <w:rFonts w:cstheme="minorHAnsi"/>
          <w:bCs/>
          <w:sz w:val="24"/>
          <w:szCs w:val="24"/>
        </w:rPr>
      </w:pPr>
      <w:r>
        <w:rPr>
          <w:rFonts w:cstheme="minorHAnsi"/>
          <w:bCs/>
          <w:sz w:val="24"/>
          <w:szCs w:val="24"/>
        </w:rPr>
        <w:t>A100012 Humanitarna skrb za ustanove, udruge i pojedince</w:t>
      </w:r>
    </w:p>
    <w:p w14:paraId="296CCDB6" w14:textId="77777777" w:rsidR="00D424CE" w:rsidRDefault="00D424CE" w:rsidP="00390AA8">
      <w:pPr>
        <w:spacing w:after="0"/>
        <w:jc w:val="both"/>
        <w:rPr>
          <w:rFonts w:cstheme="minorHAnsi"/>
          <w:sz w:val="24"/>
          <w:szCs w:val="24"/>
          <w:u w:val="single"/>
        </w:rPr>
      </w:pPr>
    </w:p>
    <w:p w14:paraId="6BC0C184" w14:textId="11720C73" w:rsidR="00390AA8" w:rsidRDefault="00390AA8" w:rsidP="00390AA8">
      <w:pPr>
        <w:spacing w:after="0"/>
        <w:jc w:val="both"/>
        <w:rPr>
          <w:color w:val="000000"/>
          <w:sz w:val="24"/>
          <w:szCs w:val="24"/>
        </w:rPr>
      </w:pPr>
      <w:r w:rsidRPr="009E63FB">
        <w:rPr>
          <w:rFonts w:cstheme="minorHAnsi"/>
          <w:sz w:val="24"/>
          <w:szCs w:val="24"/>
          <w:u w:val="single"/>
        </w:rPr>
        <w:t>Aktivnost Naknade građanima i kućanstvima iz proračuna</w:t>
      </w:r>
      <w:r w:rsidRPr="0046053E">
        <w:rPr>
          <w:rFonts w:cstheme="minorHAnsi"/>
          <w:sz w:val="24"/>
          <w:szCs w:val="24"/>
        </w:rPr>
        <w:t xml:space="preserve"> u </w:t>
      </w:r>
      <w:r>
        <w:rPr>
          <w:rFonts w:cstheme="minorHAnsi"/>
          <w:sz w:val="24"/>
          <w:szCs w:val="24"/>
        </w:rPr>
        <w:t>izvještajnom razdoblju 202</w:t>
      </w:r>
      <w:r w:rsidR="004F0842">
        <w:rPr>
          <w:rFonts w:cstheme="minorHAnsi"/>
          <w:sz w:val="24"/>
          <w:szCs w:val="24"/>
        </w:rPr>
        <w:t>5</w:t>
      </w:r>
      <w:r w:rsidRPr="0046053E">
        <w:rPr>
          <w:rFonts w:cstheme="minorHAnsi"/>
          <w:sz w:val="24"/>
          <w:szCs w:val="24"/>
        </w:rPr>
        <w:t>. godin</w:t>
      </w:r>
      <w:r>
        <w:rPr>
          <w:rFonts w:cstheme="minorHAnsi"/>
          <w:sz w:val="24"/>
          <w:szCs w:val="24"/>
        </w:rPr>
        <w:t xml:space="preserve">i bilježe ostvarenje od </w:t>
      </w:r>
      <w:r w:rsidR="004F0842">
        <w:rPr>
          <w:rFonts w:cstheme="minorHAnsi"/>
          <w:sz w:val="24"/>
          <w:szCs w:val="24"/>
        </w:rPr>
        <w:t>403.302,96</w:t>
      </w:r>
      <w:r>
        <w:rPr>
          <w:rFonts w:cstheme="minorHAnsi"/>
          <w:sz w:val="24"/>
          <w:szCs w:val="24"/>
        </w:rPr>
        <w:t xml:space="preserve"> eura ili </w:t>
      </w:r>
      <w:r w:rsidR="004F0842">
        <w:rPr>
          <w:rFonts w:cstheme="minorHAnsi"/>
          <w:sz w:val="24"/>
          <w:szCs w:val="24"/>
        </w:rPr>
        <w:t>89,42</w:t>
      </w:r>
      <w:r>
        <w:rPr>
          <w:rFonts w:cstheme="minorHAnsi"/>
          <w:sz w:val="24"/>
          <w:szCs w:val="24"/>
        </w:rPr>
        <w:t xml:space="preserve">% godišnjeg plana, a odnose se na </w:t>
      </w:r>
      <w:r w:rsidRPr="00702A05">
        <w:rPr>
          <w:sz w:val="24"/>
          <w:szCs w:val="24"/>
        </w:rPr>
        <w:t>isplatu prigodnog dara</w:t>
      </w:r>
      <w:r>
        <w:rPr>
          <w:sz w:val="24"/>
          <w:szCs w:val="24"/>
        </w:rPr>
        <w:t xml:space="preserve"> </w:t>
      </w:r>
      <w:proofErr w:type="spellStart"/>
      <w:r w:rsidRPr="00702A05">
        <w:rPr>
          <w:sz w:val="24"/>
          <w:szCs w:val="24"/>
        </w:rPr>
        <w:t>uskrsnica</w:t>
      </w:r>
      <w:proofErr w:type="spellEnd"/>
      <w:r>
        <w:rPr>
          <w:sz w:val="24"/>
          <w:szCs w:val="24"/>
        </w:rPr>
        <w:t>/</w:t>
      </w:r>
      <w:proofErr w:type="spellStart"/>
      <w:r>
        <w:rPr>
          <w:sz w:val="24"/>
          <w:szCs w:val="24"/>
        </w:rPr>
        <w:t>božičnica</w:t>
      </w:r>
      <w:proofErr w:type="spellEnd"/>
      <w:r>
        <w:rPr>
          <w:sz w:val="24"/>
          <w:szCs w:val="24"/>
        </w:rPr>
        <w:t xml:space="preserve"> </w:t>
      </w:r>
      <w:r w:rsidRPr="00702A05">
        <w:rPr>
          <w:sz w:val="24"/>
          <w:szCs w:val="24"/>
        </w:rPr>
        <w:t xml:space="preserve">nezaposlenim osobama na području Grada sukladno </w:t>
      </w:r>
      <w:r w:rsidRPr="00702A05">
        <w:rPr>
          <w:sz w:val="24"/>
          <w:szCs w:val="24"/>
        </w:rPr>
        <w:lastRenderedPageBreak/>
        <w:t>evidenciji na HZZ-u</w:t>
      </w:r>
      <w:r>
        <w:rPr>
          <w:rFonts w:cstheme="minorHAnsi"/>
          <w:sz w:val="24"/>
          <w:szCs w:val="24"/>
        </w:rPr>
        <w:t xml:space="preserve"> i isplata umirovljenicima, sufinanciranje dijela troškova najamnine, pomoć obiteljima za novorođenu djecu, jednokratne pomoći obiteljima i kućanstvima te socijalne potpore za školovanje, dok </w:t>
      </w:r>
      <w:r w:rsidRPr="009E63FB">
        <w:rPr>
          <w:rFonts w:cstheme="minorHAnsi"/>
          <w:sz w:val="24"/>
          <w:szCs w:val="24"/>
          <w:u w:val="single"/>
        </w:rPr>
        <w:t>aktivnost „Humanitarna skrb za ustanove, udruge i pojedince</w:t>
      </w:r>
      <w:r w:rsidRPr="0046053E">
        <w:rPr>
          <w:rFonts w:cstheme="minorHAnsi"/>
          <w:sz w:val="24"/>
          <w:szCs w:val="24"/>
        </w:rPr>
        <w:t xml:space="preserve">“  bilježi ostvarenje od </w:t>
      </w:r>
      <w:r w:rsidR="004F0842">
        <w:rPr>
          <w:rFonts w:cstheme="minorHAnsi"/>
          <w:sz w:val="24"/>
          <w:szCs w:val="24"/>
        </w:rPr>
        <w:t>133.774,39</w:t>
      </w:r>
      <w:r>
        <w:rPr>
          <w:rFonts w:cstheme="minorHAnsi"/>
          <w:sz w:val="24"/>
          <w:szCs w:val="24"/>
        </w:rPr>
        <w:t xml:space="preserve"> eura a odnosi </w:t>
      </w:r>
      <w:r w:rsidRPr="00702A05">
        <w:rPr>
          <w:rFonts w:cstheme="minorHAnsi"/>
          <w:sz w:val="24"/>
          <w:szCs w:val="24"/>
        </w:rPr>
        <w:t xml:space="preserve">se na  </w:t>
      </w:r>
      <w:r w:rsidRPr="00702A05">
        <w:rPr>
          <w:color w:val="000000"/>
          <w:sz w:val="24"/>
          <w:szCs w:val="24"/>
        </w:rPr>
        <w:t>donacije ustanovama, udrugama i pojedincima za humanit</w:t>
      </w:r>
      <w:r>
        <w:rPr>
          <w:color w:val="000000"/>
          <w:sz w:val="24"/>
          <w:szCs w:val="24"/>
        </w:rPr>
        <w:t>arnu skrb (</w:t>
      </w:r>
      <w:r w:rsidRPr="00702A05">
        <w:rPr>
          <w:color w:val="000000"/>
          <w:sz w:val="24"/>
          <w:szCs w:val="24"/>
        </w:rPr>
        <w:t>Udruga TOMS</w:t>
      </w:r>
      <w:r>
        <w:rPr>
          <w:color w:val="000000"/>
          <w:sz w:val="24"/>
          <w:szCs w:val="24"/>
        </w:rPr>
        <w:t xml:space="preserve"> </w:t>
      </w:r>
      <w:r w:rsidR="004F0842">
        <w:rPr>
          <w:color w:val="000000"/>
          <w:sz w:val="24"/>
          <w:szCs w:val="24"/>
        </w:rPr>
        <w:t>59.865,92</w:t>
      </w:r>
      <w:r>
        <w:rPr>
          <w:color w:val="000000"/>
          <w:sz w:val="24"/>
          <w:szCs w:val="24"/>
        </w:rPr>
        <w:t xml:space="preserve"> eura</w:t>
      </w:r>
      <w:r w:rsidR="004F0842">
        <w:rPr>
          <w:color w:val="000000"/>
          <w:sz w:val="24"/>
          <w:szCs w:val="24"/>
        </w:rPr>
        <w:t xml:space="preserve"> i dr.) i </w:t>
      </w:r>
      <w:r>
        <w:rPr>
          <w:color w:val="000000"/>
          <w:sz w:val="24"/>
          <w:szCs w:val="24"/>
        </w:rPr>
        <w:t xml:space="preserve">donacija Hrvatskom crvenom križu Trogir u iznosu od </w:t>
      </w:r>
      <w:r w:rsidR="004F0842">
        <w:rPr>
          <w:color w:val="000000"/>
          <w:sz w:val="24"/>
          <w:szCs w:val="24"/>
        </w:rPr>
        <w:t>45.000,00</w:t>
      </w:r>
      <w:r>
        <w:rPr>
          <w:color w:val="000000"/>
          <w:sz w:val="24"/>
          <w:szCs w:val="24"/>
        </w:rPr>
        <w:t xml:space="preserve"> eura.</w:t>
      </w:r>
    </w:p>
    <w:p w14:paraId="327C6546" w14:textId="77777777" w:rsidR="008B6A20" w:rsidRDefault="008B6A20" w:rsidP="00390AA8">
      <w:pPr>
        <w:spacing w:after="0"/>
        <w:jc w:val="both"/>
        <w:rPr>
          <w:rFonts w:cstheme="minorHAnsi"/>
          <w:sz w:val="24"/>
          <w:szCs w:val="24"/>
        </w:rPr>
      </w:pPr>
    </w:p>
    <w:p w14:paraId="5CCCC4B6" w14:textId="0BCF805F" w:rsidR="00390AA8" w:rsidRDefault="00390AA8" w:rsidP="00390AA8">
      <w:pPr>
        <w:spacing w:after="0"/>
        <w:jc w:val="both"/>
        <w:rPr>
          <w:rFonts w:cstheme="minorHAnsi"/>
          <w:sz w:val="24"/>
          <w:szCs w:val="24"/>
        </w:rPr>
      </w:pPr>
      <w:r w:rsidRPr="0046053E">
        <w:rPr>
          <w:rFonts w:cstheme="minorHAnsi"/>
          <w:sz w:val="24"/>
          <w:szCs w:val="24"/>
        </w:rPr>
        <w:t>Sredstva za realiza</w:t>
      </w:r>
      <w:r>
        <w:rPr>
          <w:rFonts w:cstheme="minorHAnsi"/>
          <w:sz w:val="24"/>
          <w:szCs w:val="24"/>
        </w:rPr>
        <w:t>ciju programa za 202</w:t>
      </w:r>
      <w:r w:rsidR="004F0842">
        <w:rPr>
          <w:rFonts w:cstheme="minorHAnsi"/>
          <w:sz w:val="24"/>
          <w:szCs w:val="24"/>
        </w:rPr>
        <w:t>5</w:t>
      </w:r>
      <w:r w:rsidRPr="0046053E">
        <w:rPr>
          <w:rFonts w:cstheme="minorHAnsi"/>
          <w:sz w:val="24"/>
          <w:szCs w:val="24"/>
        </w:rPr>
        <w:t xml:space="preserve">. godinu planirana su u iznosu od </w:t>
      </w:r>
      <w:r w:rsidR="004F0842">
        <w:rPr>
          <w:rFonts w:cstheme="minorHAnsi"/>
          <w:sz w:val="24"/>
          <w:szCs w:val="24"/>
        </w:rPr>
        <w:t>593.300,00</w:t>
      </w:r>
      <w:r>
        <w:rPr>
          <w:rFonts w:cstheme="minorHAnsi"/>
          <w:sz w:val="24"/>
          <w:szCs w:val="24"/>
        </w:rPr>
        <w:t xml:space="preserve"> eura</w:t>
      </w:r>
      <w:r w:rsidRPr="0046053E">
        <w:rPr>
          <w:rFonts w:cstheme="minorHAnsi"/>
          <w:sz w:val="24"/>
          <w:szCs w:val="24"/>
        </w:rPr>
        <w:t>, a realizirana</w:t>
      </w:r>
      <w:r>
        <w:rPr>
          <w:rFonts w:cstheme="minorHAnsi"/>
          <w:sz w:val="24"/>
          <w:szCs w:val="24"/>
        </w:rPr>
        <w:t xml:space="preserve"> u </w:t>
      </w:r>
      <w:r w:rsidRPr="0046053E">
        <w:rPr>
          <w:rFonts w:cstheme="minorHAnsi"/>
          <w:sz w:val="24"/>
          <w:szCs w:val="24"/>
        </w:rPr>
        <w:t xml:space="preserve">iznosu od </w:t>
      </w:r>
      <w:r w:rsidR="004F0842">
        <w:rPr>
          <w:rFonts w:cstheme="minorHAnsi"/>
          <w:sz w:val="24"/>
          <w:szCs w:val="24"/>
        </w:rPr>
        <w:t>537.077,35</w:t>
      </w:r>
      <w:r>
        <w:rPr>
          <w:rFonts w:cstheme="minorHAnsi"/>
          <w:sz w:val="24"/>
          <w:szCs w:val="24"/>
        </w:rPr>
        <w:t xml:space="preserve"> eura</w:t>
      </w:r>
      <w:r w:rsidRPr="0046053E">
        <w:rPr>
          <w:rFonts w:cstheme="minorHAnsi"/>
          <w:sz w:val="24"/>
          <w:szCs w:val="24"/>
        </w:rPr>
        <w:t xml:space="preserve"> </w:t>
      </w:r>
      <w:r>
        <w:rPr>
          <w:rFonts w:cstheme="minorHAnsi"/>
          <w:sz w:val="24"/>
          <w:szCs w:val="24"/>
        </w:rPr>
        <w:t>ili</w:t>
      </w:r>
      <w:r w:rsidRPr="0046053E">
        <w:rPr>
          <w:rFonts w:cstheme="minorHAnsi"/>
          <w:sz w:val="24"/>
          <w:szCs w:val="24"/>
        </w:rPr>
        <w:t xml:space="preserve"> </w:t>
      </w:r>
      <w:r w:rsidR="004F0842">
        <w:rPr>
          <w:rFonts w:cstheme="minorHAnsi"/>
          <w:sz w:val="24"/>
          <w:szCs w:val="24"/>
        </w:rPr>
        <w:t>90,52</w:t>
      </w:r>
      <w:r w:rsidRPr="0046053E">
        <w:rPr>
          <w:rFonts w:cstheme="minorHAnsi"/>
          <w:sz w:val="24"/>
          <w:szCs w:val="24"/>
        </w:rPr>
        <w:t>% plana</w:t>
      </w:r>
      <w:r>
        <w:rPr>
          <w:rFonts w:cstheme="minorHAnsi"/>
          <w:sz w:val="24"/>
          <w:szCs w:val="24"/>
        </w:rPr>
        <w:t>.</w:t>
      </w:r>
    </w:p>
    <w:p w14:paraId="296775EC" w14:textId="77777777" w:rsidR="009C0ED8" w:rsidRDefault="009C0ED8" w:rsidP="00662134">
      <w:pPr>
        <w:spacing w:after="0"/>
        <w:rPr>
          <w:rFonts w:cstheme="minorHAnsi"/>
          <w:sz w:val="24"/>
          <w:szCs w:val="24"/>
        </w:rPr>
      </w:pPr>
    </w:p>
    <w:p w14:paraId="0123B103" w14:textId="77777777" w:rsidR="00662134" w:rsidRPr="0046053E" w:rsidRDefault="00662134" w:rsidP="00662134">
      <w:pPr>
        <w:spacing w:after="0"/>
        <w:rPr>
          <w:rFonts w:cstheme="minorHAnsi"/>
          <w:sz w:val="24"/>
          <w:szCs w:val="24"/>
          <w:u w:val="single"/>
        </w:rPr>
      </w:pPr>
      <w:r w:rsidRPr="0046053E">
        <w:rPr>
          <w:rFonts w:cstheme="minorHAnsi"/>
          <w:sz w:val="24"/>
          <w:szCs w:val="24"/>
          <w:u w:val="single"/>
        </w:rPr>
        <w:t>Program 1206 Ostale društvene djelatnosti</w:t>
      </w:r>
    </w:p>
    <w:p w14:paraId="7CC85DE5" w14:textId="77777777" w:rsidR="000C0E10" w:rsidRDefault="000C0E10" w:rsidP="000C0E10">
      <w:pPr>
        <w:spacing w:after="0" w:line="240" w:lineRule="auto"/>
        <w:jc w:val="both"/>
        <w:rPr>
          <w:rFonts w:ascii="Times New Roman" w:hAnsi="Times New Roman" w:cs="Times New Roman"/>
        </w:rPr>
      </w:pPr>
      <w:r w:rsidRPr="00A27354">
        <w:rPr>
          <w:rFonts w:cstheme="minorHAnsi"/>
          <w:sz w:val="24"/>
          <w:szCs w:val="24"/>
        </w:rPr>
        <w:t>Cilj ovog programa je razvoj civilnog društva na lokalnoj razini i financiranje programa nevladinih udruga koji su od interesa za Grad Trogir. Nadalje, cilj programa je i financiranje vjerskih zajednica u realizaciji njihovih projekata na lokalnoj razini. Također, ovim programom se financira povećanje obujma zdravstvene zaštite kroz sufinanciranje dodatnih timova hitne medicinske pomoći tijekom ljetne sezone. Ujedno financira se i smještaj sezonskih policajaca te se kroz ovaj program se isplaćuje naknada HVIDR-i temeljem ugovora iz 2005. godine koji traje do 2025</w:t>
      </w:r>
      <w:r>
        <w:rPr>
          <w:rFonts w:cstheme="minorHAnsi"/>
          <w:sz w:val="24"/>
          <w:szCs w:val="24"/>
        </w:rPr>
        <w:t>.</w:t>
      </w:r>
      <w:r w:rsidRPr="00A27354">
        <w:rPr>
          <w:rFonts w:cstheme="minorHAnsi"/>
          <w:sz w:val="24"/>
          <w:szCs w:val="24"/>
        </w:rPr>
        <w:t xml:space="preserve"> godine.</w:t>
      </w:r>
      <w:r w:rsidRPr="00A27354">
        <w:rPr>
          <w:rFonts w:ascii="Times New Roman" w:hAnsi="Times New Roman" w:cs="Times New Roman"/>
        </w:rPr>
        <w:t xml:space="preserve"> </w:t>
      </w:r>
    </w:p>
    <w:p w14:paraId="2DC7197F" w14:textId="3AE09B58" w:rsidR="000C0E10" w:rsidRDefault="000C0E10" w:rsidP="000C0E10">
      <w:pPr>
        <w:spacing w:after="0" w:line="240" w:lineRule="auto"/>
        <w:jc w:val="both"/>
        <w:rPr>
          <w:rFonts w:cstheme="minorHAnsi"/>
          <w:sz w:val="24"/>
          <w:szCs w:val="24"/>
        </w:rPr>
      </w:pPr>
      <w:r w:rsidRPr="00A27354">
        <w:rPr>
          <w:rFonts w:cstheme="minorHAnsi"/>
          <w:sz w:val="24"/>
          <w:szCs w:val="24"/>
        </w:rPr>
        <w:t xml:space="preserve">Unutar programa ostalih društvenih djelatnosti planirano je financiranje aktivnosti vjerskih zajednica, udruga branitelja i obitelji poginulih branitelja te udruga iz ostalih društvenih djelatnosti. Isto tako, kroz aktivnost unaprjeđenje zdravstva planiran je nastavak sufinanciranja dodatnog tima hitne medicinske pomoći na području </w:t>
      </w:r>
      <w:r>
        <w:rPr>
          <w:rFonts w:cstheme="minorHAnsi"/>
          <w:sz w:val="24"/>
          <w:szCs w:val="24"/>
        </w:rPr>
        <w:t>G</w:t>
      </w:r>
      <w:r w:rsidRPr="00A27354">
        <w:rPr>
          <w:rFonts w:cstheme="minorHAnsi"/>
          <w:sz w:val="24"/>
          <w:szCs w:val="24"/>
        </w:rPr>
        <w:t xml:space="preserve">rada Trogira za vrijeme glavnog dijela turističke sezone. </w:t>
      </w:r>
    </w:p>
    <w:p w14:paraId="0231E5E1" w14:textId="084D782A" w:rsidR="008B6A20" w:rsidRDefault="008B6A20" w:rsidP="008B6A20">
      <w:pPr>
        <w:spacing w:after="0"/>
        <w:jc w:val="both"/>
        <w:rPr>
          <w:rFonts w:cstheme="minorHAnsi"/>
          <w:sz w:val="24"/>
          <w:szCs w:val="24"/>
        </w:rPr>
      </w:pPr>
      <w:r>
        <w:rPr>
          <w:rFonts w:cstheme="minorHAnsi"/>
          <w:bCs/>
          <w:sz w:val="24"/>
          <w:szCs w:val="24"/>
        </w:rPr>
        <w:t>Unutar navedenog programa planirane su 4 aktivnosti:</w:t>
      </w:r>
    </w:p>
    <w:p w14:paraId="592E35BA" w14:textId="77777777" w:rsidR="008B6A20" w:rsidRDefault="008B6A20" w:rsidP="008B6A20">
      <w:pPr>
        <w:spacing w:after="0"/>
        <w:jc w:val="both"/>
        <w:rPr>
          <w:rFonts w:cstheme="minorHAnsi"/>
          <w:bCs/>
          <w:sz w:val="24"/>
          <w:szCs w:val="24"/>
        </w:rPr>
      </w:pPr>
      <w:r>
        <w:rPr>
          <w:rFonts w:cstheme="minorHAnsi"/>
          <w:bCs/>
          <w:sz w:val="24"/>
          <w:szCs w:val="24"/>
        </w:rPr>
        <w:t>A100013 Vjerske zajednice</w:t>
      </w:r>
    </w:p>
    <w:p w14:paraId="1B870902" w14:textId="77777777" w:rsidR="008B6A20" w:rsidRDefault="008B6A20" w:rsidP="008B6A20">
      <w:pPr>
        <w:spacing w:after="0"/>
        <w:jc w:val="both"/>
        <w:rPr>
          <w:rFonts w:cstheme="minorHAnsi"/>
          <w:bCs/>
          <w:sz w:val="24"/>
          <w:szCs w:val="24"/>
        </w:rPr>
      </w:pPr>
      <w:r>
        <w:rPr>
          <w:rFonts w:cstheme="minorHAnsi"/>
          <w:bCs/>
          <w:sz w:val="24"/>
          <w:szCs w:val="24"/>
        </w:rPr>
        <w:t xml:space="preserve">A100014 Suradnja s braniteljima, braniteljskim obiteljima i udrugama </w:t>
      </w:r>
    </w:p>
    <w:p w14:paraId="30B3243C" w14:textId="77777777" w:rsidR="008B6A20" w:rsidRDefault="008B6A20" w:rsidP="008B6A20">
      <w:pPr>
        <w:spacing w:after="0"/>
        <w:jc w:val="both"/>
        <w:rPr>
          <w:rFonts w:cstheme="minorHAnsi"/>
          <w:bCs/>
          <w:sz w:val="24"/>
          <w:szCs w:val="24"/>
        </w:rPr>
      </w:pPr>
      <w:r>
        <w:rPr>
          <w:rFonts w:cstheme="minorHAnsi"/>
          <w:bCs/>
          <w:sz w:val="24"/>
          <w:szCs w:val="24"/>
        </w:rPr>
        <w:t xml:space="preserve">A100015 Udruge, ustanove i pojedinci iz ostalih društvenih djelatnosti </w:t>
      </w:r>
    </w:p>
    <w:p w14:paraId="0B10538F" w14:textId="3019FF70" w:rsidR="008B6A20" w:rsidRDefault="008B6A20" w:rsidP="008B6A20">
      <w:pPr>
        <w:spacing w:after="0"/>
        <w:jc w:val="both"/>
        <w:rPr>
          <w:rFonts w:cstheme="minorHAnsi"/>
          <w:bCs/>
          <w:sz w:val="24"/>
          <w:szCs w:val="24"/>
        </w:rPr>
      </w:pPr>
      <w:r>
        <w:rPr>
          <w:rFonts w:cstheme="minorHAnsi"/>
          <w:bCs/>
          <w:sz w:val="24"/>
          <w:szCs w:val="24"/>
        </w:rPr>
        <w:t>A100016 Unaprjeđenje zdravstva</w:t>
      </w:r>
    </w:p>
    <w:p w14:paraId="0E41A463" w14:textId="19CF01F1" w:rsidR="008B6A20" w:rsidRDefault="008B6A20" w:rsidP="008B6A20">
      <w:pPr>
        <w:spacing w:after="0"/>
        <w:jc w:val="both"/>
        <w:rPr>
          <w:rFonts w:cstheme="minorHAnsi"/>
          <w:bCs/>
          <w:sz w:val="24"/>
          <w:szCs w:val="24"/>
        </w:rPr>
      </w:pPr>
      <w:r>
        <w:rPr>
          <w:rFonts w:cstheme="minorHAnsi"/>
          <w:bCs/>
          <w:sz w:val="24"/>
          <w:szCs w:val="24"/>
        </w:rPr>
        <w:t>A100089 Rad vijeća za prevenciju kriminaliteta</w:t>
      </w:r>
    </w:p>
    <w:p w14:paraId="5C0BED9B" w14:textId="77777777" w:rsidR="008B6A20" w:rsidRDefault="008B6A20" w:rsidP="008B6A20">
      <w:pPr>
        <w:spacing w:after="0"/>
        <w:jc w:val="both"/>
        <w:rPr>
          <w:rFonts w:cstheme="minorHAnsi"/>
          <w:bCs/>
          <w:sz w:val="24"/>
          <w:szCs w:val="24"/>
        </w:rPr>
      </w:pPr>
    </w:p>
    <w:p w14:paraId="5B19C551" w14:textId="333FBF89" w:rsidR="008B6A20" w:rsidRPr="007A4AB5" w:rsidRDefault="000C0E10" w:rsidP="007A4AB5">
      <w:pPr>
        <w:spacing w:after="0"/>
        <w:jc w:val="both"/>
        <w:rPr>
          <w:rFonts w:cstheme="minorHAnsi"/>
          <w:sz w:val="24"/>
          <w:szCs w:val="24"/>
        </w:rPr>
      </w:pPr>
      <w:r w:rsidRPr="00D424CE">
        <w:rPr>
          <w:rFonts w:cstheme="minorHAnsi"/>
          <w:sz w:val="24"/>
          <w:szCs w:val="24"/>
          <w:u w:val="single"/>
        </w:rPr>
        <w:t>Aktivnost Vjerske zajednice</w:t>
      </w:r>
      <w:r>
        <w:rPr>
          <w:rFonts w:cstheme="minorHAnsi"/>
          <w:sz w:val="24"/>
          <w:szCs w:val="24"/>
        </w:rPr>
        <w:t xml:space="preserve"> planirana je u iznosu od </w:t>
      </w:r>
      <w:r w:rsidR="008B6A20">
        <w:rPr>
          <w:rFonts w:cstheme="minorHAnsi"/>
          <w:sz w:val="24"/>
          <w:szCs w:val="24"/>
        </w:rPr>
        <w:t>55.000,00</w:t>
      </w:r>
      <w:r>
        <w:rPr>
          <w:rFonts w:cstheme="minorHAnsi"/>
          <w:sz w:val="24"/>
          <w:szCs w:val="24"/>
        </w:rPr>
        <w:t xml:space="preserve"> eura, a realizirano je </w:t>
      </w:r>
      <w:r w:rsidR="008B6A20">
        <w:rPr>
          <w:rFonts w:cstheme="minorHAnsi"/>
          <w:sz w:val="24"/>
          <w:szCs w:val="24"/>
        </w:rPr>
        <w:t>50.889,28</w:t>
      </w:r>
      <w:r>
        <w:rPr>
          <w:rFonts w:cstheme="minorHAnsi"/>
          <w:sz w:val="24"/>
          <w:szCs w:val="24"/>
        </w:rPr>
        <w:t xml:space="preserve"> eura i to</w:t>
      </w:r>
      <w:r w:rsidR="008B6A20">
        <w:rPr>
          <w:rFonts w:cstheme="minorHAnsi"/>
          <w:sz w:val="24"/>
          <w:szCs w:val="24"/>
        </w:rPr>
        <w:t xml:space="preserve">: </w:t>
      </w:r>
      <w:r w:rsidR="007A4AB5">
        <w:rPr>
          <w:rFonts w:cstheme="minorHAnsi"/>
          <w:sz w:val="24"/>
          <w:szCs w:val="24"/>
        </w:rPr>
        <w:t xml:space="preserve">franjevačkom samostanu </w:t>
      </w:r>
      <w:proofErr w:type="spellStart"/>
      <w:r w:rsidR="007A4AB5">
        <w:rPr>
          <w:rFonts w:cstheme="minorHAnsi"/>
          <w:sz w:val="24"/>
          <w:szCs w:val="24"/>
        </w:rPr>
        <w:t>Drid</w:t>
      </w:r>
      <w:proofErr w:type="spellEnd"/>
      <w:r w:rsidR="007A4AB5">
        <w:rPr>
          <w:rFonts w:cstheme="minorHAnsi"/>
          <w:sz w:val="24"/>
          <w:szCs w:val="24"/>
        </w:rPr>
        <w:t xml:space="preserve"> za grijanje iznos od 8.000,00 eura, župi sv. Jakova za radove 5.000,00 eura, župi Gospe od Anđela za obnovu crkve 13.000,00 eura i </w:t>
      </w:r>
      <w:r w:rsidR="008B6A20" w:rsidRPr="007A4AB5">
        <w:rPr>
          <w:sz w:val="24"/>
          <w:szCs w:val="24"/>
        </w:rPr>
        <w:t>22.000,00 eura Hrvatskoj dominikanskoj provinciji za obnovu samostana sv.</w:t>
      </w:r>
      <w:r w:rsidR="007A4AB5">
        <w:rPr>
          <w:sz w:val="24"/>
          <w:szCs w:val="24"/>
        </w:rPr>
        <w:t xml:space="preserve"> </w:t>
      </w:r>
      <w:r w:rsidR="008B6A20" w:rsidRPr="007A4AB5">
        <w:rPr>
          <w:sz w:val="24"/>
          <w:szCs w:val="24"/>
        </w:rPr>
        <w:t>Križ</w:t>
      </w:r>
      <w:r w:rsidR="007A4AB5">
        <w:rPr>
          <w:sz w:val="24"/>
          <w:szCs w:val="24"/>
        </w:rPr>
        <w:t>.</w:t>
      </w:r>
    </w:p>
    <w:p w14:paraId="4AEE2880" w14:textId="77777777" w:rsidR="008B6A20" w:rsidRDefault="008B6A20" w:rsidP="008B6A20">
      <w:pPr>
        <w:spacing w:after="0"/>
        <w:jc w:val="both"/>
        <w:rPr>
          <w:rFonts w:cstheme="minorHAnsi"/>
          <w:sz w:val="24"/>
          <w:szCs w:val="24"/>
        </w:rPr>
      </w:pPr>
    </w:p>
    <w:p w14:paraId="7280B58A" w14:textId="6EF59B42" w:rsidR="007A4AB5" w:rsidRDefault="000C0E10" w:rsidP="000C0E10">
      <w:pPr>
        <w:pStyle w:val="Bezproreda"/>
        <w:jc w:val="both"/>
        <w:rPr>
          <w:rFonts w:cstheme="minorHAnsi"/>
          <w:sz w:val="24"/>
          <w:szCs w:val="24"/>
        </w:rPr>
      </w:pPr>
      <w:r>
        <w:rPr>
          <w:rFonts w:cstheme="minorHAnsi"/>
          <w:sz w:val="24"/>
          <w:szCs w:val="24"/>
        </w:rPr>
        <w:t>Za</w:t>
      </w:r>
      <w:r w:rsidRPr="0046053E">
        <w:rPr>
          <w:rFonts w:cstheme="minorHAnsi"/>
          <w:sz w:val="24"/>
          <w:szCs w:val="24"/>
        </w:rPr>
        <w:t xml:space="preserve"> </w:t>
      </w:r>
      <w:r w:rsidRPr="00D424CE">
        <w:rPr>
          <w:rFonts w:cstheme="minorHAnsi"/>
          <w:sz w:val="24"/>
          <w:szCs w:val="24"/>
          <w:u w:val="single"/>
        </w:rPr>
        <w:t>aktivnost pod nazivom „Suradnja s braniteljima, braniteljskim obiteljima i udrugama</w:t>
      </w:r>
      <w:r>
        <w:rPr>
          <w:rFonts w:cstheme="minorHAnsi"/>
          <w:sz w:val="24"/>
          <w:szCs w:val="24"/>
        </w:rPr>
        <w:t xml:space="preserve"> realizirano je </w:t>
      </w:r>
      <w:r w:rsidR="007A4AB5">
        <w:rPr>
          <w:rFonts w:cstheme="minorHAnsi"/>
          <w:sz w:val="24"/>
          <w:szCs w:val="24"/>
        </w:rPr>
        <w:t>37.000,00</w:t>
      </w:r>
      <w:r>
        <w:rPr>
          <w:rFonts w:cstheme="minorHAnsi"/>
          <w:sz w:val="24"/>
          <w:szCs w:val="24"/>
        </w:rPr>
        <w:t xml:space="preserve"> eura </w:t>
      </w:r>
      <w:r w:rsidRPr="002B091C">
        <w:rPr>
          <w:rFonts w:cstheme="minorHAnsi"/>
          <w:sz w:val="24"/>
          <w:szCs w:val="24"/>
        </w:rPr>
        <w:t>(</w:t>
      </w:r>
      <w:r w:rsidRPr="002B091C">
        <w:rPr>
          <w:color w:val="000000"/>
          <w:sz w:val="24"/>
          <w:szCs w:val="24"/>
        </w:rPr>
        <w:t>Udruga</w:t>
      </w:r>
      <w:r>
        <w:rPr>
          <w:color w:val="000000"/>
          <w:sz w:val="24"/>
          <w:szCs w:val="24"/>
        </w:rPr>
        <w:t xml:space="preserve"> </w:t>
      </w:r>
      <w:r w:rsidRPr="002B091C">
        <w:rPr>
          <w:color w:val="000000"/>
          <w:sz w:val="24"/>
          <w:szCs w:val="24"/>
        </w:rPr>
        <w:t>vetera</w:t>
      </w:r>
      <w:r>
        <w:rPr>
          <w:color w:val="000000"/>
          <w:sz w:val="24"/>
          <w:szCs w:val="24"/>
        </w:rPr>
        <w:t xml:space="preserve">na domovinskog rata 114 </w:t>
      </w:r>
      <w:r w:rsidR="007A4AB5">
        <w:rPr>
          <w:color w:val="000000"/>
          <w:sz w:val="24"/>
          <w:szCs w:val="24"/>
        </w:rPr>
        <w:t>1.000,00</w:t>
      </w:r>
      <w:r>
        <w:rPr>
          <w:color w:val="000000"/>
          <w:sz w:val="24"/>
          <w:szCs w:val="24"/>
        </w:rPr>
        <w:t xml:space="preserve"> eura, </w:t>
      </w:r>
      <w:r w:rsidR="007A4AB5">
        <w:rPr>
          <w:color w:val="000000"/>
          <w:sz w:val="24"/>
          <w:szCs w:val="24"/>
        </w:rPr>
        <w:t xml:space="preserve">Udruga dragovoljaca i veterana domovinskog rata 2.000,00 eura, </w:t>
      </w:r>
      <w:r w:rsidRPr="002B091C">
        <w:rPr>
          <w:color w:val="000000"/>
          <w:sz w:val="24"/>
          <w:szCs w:val="24"/>
        </w:rPr>
        <w:t xml:space="preserve">Udruga veterana domovinskog rata Brodotrogir </w:t>
      </w:r>
      <w:r w:rsidR="007A4AB5">
        <w:rPr>
          <w:color w:val="000000"/>
          <w:sz w:val="24"/>
          <w:szCs w:val="24"/>
        </w:rPr>
        <w:t>2.000,00</w:t>
      </w:r>
      <w:r>
        <w:rPr>
          <w:color w:val="000000"/>
          <w:sz w:val="24"/>
          <w:szCs w:val="24"/>
        </w:rPr>
        <w:t xml:space="preserve"> eura</w:t>
      </w:r>
      <w:r w:rsidRPr="002B091C">
        <w:rPr>
          <w:color w:val="000000"/>
          <w:sz w:val="24"/>
          <w:szCs w:val="24"/>
        </w:rPr>
        <w:t xml:space="preserve"> te Udruga </w:t>
      </w:r>
      <w:proofErr w:type="spellStart"/>
      <w:r w:rsidRPr="002B091C">
        <w:rPr>
          <w:color w:val="000000"/>
          <w:sz w:val="24"/>
          <w:szCs w:val="24"/>
        </w:rPr>
        <w:t>Hvidra</w:t>
      </w:r>
      <w:proofErr w:type="spellEnd"/>
      <w:r w:rsidRPr="002B091C">
        <w:rPr>
          <w:color w:val="000000"/>
          <w:sz w:val="24"/>
          <w:szCs w:val="24"/>
        </w:rPr>
        <w:t xml:space="preserve"> naknada po ugovoru</w:t>
      </w:r>
      <w:r>
        <w:rPr>
          <w:color w:val="000000"/>
          <w:sz w:val="24"/>
          <w:szCs w:val="24"/>
        </w:rPr>
        <w:t xml:space="preserve"> </w:t>
      </w:r>
      <w:r w:rsidR="007A4AB5">
        <w:rPr>
          <w:color w:val="000000"/>
          <w:sz w:val="24"/>
          <w:szCs w:val="24"/>
        </w:rPr>
        <w:t>25.000,00</w:t>
      </w:r>
      <w:r>
        <w:rPr>
          <w:color w:val="000000"/>
          <w:sz w:val="24"/>
          <w:szCs w:val="24"/>
        </w:rPr>
        <w:t xml:space="preserve"> eura i Udruga Antifašist. boraca i antifašista Trogir </w:t>
      </w:r>
      <w:r w:rsidR="007A4AB5">
        <w:rPr>
          <w:color w:val="000000"/>
          <w:sz w:val="24"/>
          <w:szCs w:val="24"/>
        </w:rPr>
        <w:t>5.000,00</w:t>
      </w:r>
      <w:r>
        <w:rPr>
          <w:color w:val="000000"/>
          <w:sz w:val="24"/>
          <w:szCs w:val="24"/>
        </w:rPr>
        <w:t xml:space="preserve"> eura)</w:t>
      </w:r>
      <w:r w:rsidR="007A4AB5">
        <w:rPr>
          <w:rFonts w:cstheme="minorHAnsi"/>
          <w:sz w:val="24"/>
          <w:szCs w:val="24"/>
        </w:rPr>
        <w:t>,</w:t>
      </w:r>
    </w:p>
    <w:p w14:paraId="4B40AEA8" w14:textId="77777777" w:rsidR="007A4AB5" w:rsidRDefault="000C0E10" w:rsidP="000C0E10">
      <w:pPr>
        <w:pStyle w:val="Bezproreda"/>
        <w:jc w:val="both"/>
        <w:rPr>
          <w:rFonts w:cstheme="minorHAnsi"/>
          <w:sz w:val="24"/>
          <w:szCs w:val="24"/>
        </w:rPr>
      </w:pPr>
      <w:r>
        <w:rPr>
          <w:rFonts w:cstheme="minorHAnsi"/>
          <w:sz w:val="24"/>
          <w:szCs w:val="24"/>
        </w:rPr>
        <w:t>dok aktivnost „</w:t>
      </w:r>
      <w:r w:rsidRPr="00D424CE">
        <w:rPr>
          <w:rFonts w:cstheme="minorHAnsi"/>
          <w:sz w:val="24"/>
          <w:szCs w:val="24"/>
          <w:u w:val="single"/>
        </w:rPr>
        <w:t>Udruge, ustanove i pojedinci iz ostalih društvenih djelatnosti“</w:t>
      </w:r>
      <w:r>
        <w:rPr>
          <w:rFonts w:cstheme="minorHAnsi"/>
          <w:sz w:val="24"/>
          <w:szCs w:val="24"/>
        </w:rPr>
        <w:t xml:space="preserve"> bilježe ostvarenje od </w:t>
      </w:r>
      <w:r w:rsidR="007A4AB5">
        <w:rPr>
          <w:rFonts w:cstheme="minorHAnsi"/>
          <w:sz w:val="24"/>
          <w:szCs w:val="24"/>
        </w:rPr>
        <w:t>21.212,88</w:t>
      </w:r>
      <w:r>
        <w:rPr>
          <w:rFonts w:cstheme="minorHAnsi"/>
          <w:sz w:val="24"/>
          <w:szCs w:val="24"/>
        </w:rPr>
        <w:t xml:space="preserve"> eura</w:t>
      </w:r>
      <w:r w:rsidR="007A4AB5">
        <w:rPr>
          <w:rFonts w:cstheme="minorHAnsi"/>
          <w:sz w:val="24"/>
          <w:szCs w:val="24"/>
        </w:rPr>
        <w:t xml:space="preserve">, </w:t>
      </w:r>
    </w:p>
    <w:p w14:paraId="1F906A15" w14:textId="77777777" w:rsidR="007A4AB5" w:rsidRDefault="000C0E10" w:rsidP="007A4AB5">
      <w:pPr>
        <w:pStyle w:val="Bezproreda"/>
        <w:jc w:val="both"/>
        <w:rPr>
          <w:rFonts w:asciiTheme="minorHAnsi" w:hAnsiTheme="minorHAnsi" w:cstheme="minorHAnsi"/>
          <w:sz w:val="24"/>
          <w:szCs w:val="24"/>
        </w:rPr>
      </w:pPr>
      <w:r w:rsidRPr="007A4AB5">
        <w:rPr>
          <w:rFonts w:asciiTheme="minorHAnsi" w:hAnsiTheme="minorHAnsi" w:cstheme="minorHAnsi"/>
          <w:sz w:val="24"/>
          <w:szCs w:val="24"/>
        </w:rPr>
        <w:t xml:space="preserve">dok aktivnost </w:t>
      </w:r>
      <w:r w:rsidRPr="007A4AB5">
        <w:rPr>
          <w:rFonts w:asciiTheme="minorHAnsi" w:hAnsiTheme="minorHAnsi" w:cstheme="minorHAnsi"/>
          <w:sz w:val="24"/>
          <w:szCs w:val="24"/>
          <w:u w:val="single"/>
        </w:rPr>
        <w:t>Unaprjeđenje zdravstva</w:t>
      </w:r>
      <w:r w:rsidR="005B015E" w:rsidRPr="007A4AB5">
        <w:rPr>
          <w:rFonts w:asciiTheme="minorHAnsi" w:hAnsiTheme="minorHAnsi" w:cstheme="minorHAnsi"/>
          <w:sz w:val="24"/>
          <w:szCs w:val="24"/>
        </w:rPr>
        <w:t xml:space="preserve"> se odnosi na tekuće pomoći zavodu za hitnu medicinu SDŽ i to za sufinanciranje dodatnih timova T1 hitne medicine u ukupnom iznosu od </w:t>
      </w:r>
      <w:r w:rsidR="007A4AB5" w:rsidRPr="007A4AB5">
        <w:rPr>
          <w:rFonts w:asciiTheme="minorHAnsi" w:hAnsiTheme="minorHAnsi" w:cstheme="minorHAnsi"/>
          <w:sz w:val="24"/>
          <w:szCs w:val="24"/>
        </w:rPr>
        <w:t>23.000,00</w:t>
      </w:r>
      <w:r w:rsidR="005B015E" w:rsidRPr="007A4AB5">
        <w:rPr>
          <w:rFonts w:asciiTheme="minorHAnsi" w:hAnsiTheme="minorHAnsi" w:cstheme="minorHAnsi"/>
          <w:sz w:val="24"/>
          <w:szCs w:val="24"/>
        </w:rPr>
        <w:t xml:space="preserve"> eura.</w:t>
      </w:r>
      <w:r w:rsidR="007A4AB5" w:rsidRPr="007A4AB5">
        <w:rPr>
          <w:rFonts w:asciiTheme="minorHAnsi" w:hAnsiTheme="minorHAnsi" w:cstheme="minorHAnsi"/>
          <w:sz w:val="24"/>
          <w:szCs w:val="24"/>
        </w:rPr>
        <w:t xml:space="preserve"> </w:t>
      </w:r>
    </w:p>
    <w:p w14:paraId="3488BB46" w14:textId="082F7461" w:rsidR="007A4AB5" w:rsidRPr="007A4AB5" w:rsidRDefault="007A4AB5" w:rsidP="007A4AB5">
      <w:pPr>
        <w:pStyle w:val="Bezproreda"/>
        <w:jc w:val="both"/>
        <w:rPr>
          <w:rFonts w:asciiTheme="minorHAnsi" w:hAnsiTheme="minorHAnsi" w:cstheme="minorHAnsi"/>
          <w:sz w:val="24"/>
          <w:szCs w:val="24"/>
        </w:rPr>
      </w:pPr>
      <w:r w:rsidRPr="007A4AB5">
        <w:rPr>
          <w:rFonts w:asciiTheme="minorHAnsi" w:hAnsiTheme="minorHAnsi" w:cstheme="minorHAnsi"/>
          <w:sz w:val="24"/>
          <w:szCs w:val="24"/>
        </w:rPr>
        <w:lastRenderedPageBreak/>
        <w:t xml:space="preserve">I. izmjenama i dopunama proračuna za 2025.godinu planirana je nova aktivnost </w:t>
      </w:r>
      <w:r w:rsidRPr="007A4AB5">
        <w:rPr>
          <w:rFonts w:asciiTheme="minorHAnsi" w:hAnsiTheme="minorHAnsi" w:cstheme="minorHAnsi"/>
          <w:sz w:val="24"/>
          <w:szCs w:val="24"/>
          <w:u w:val="single"/>
        </w:rPr>
        <w:t>Rad vijeća za prevenciju kriminaliteta</w:t>
      </w:r>
      <w:r w:rsidRPr="007A4AB5">
        <w:rPr>
          <w:rFonts w:asciiTheme="minorHAnsi" w:hAnsiTheme="minorHAnsi" w:cstheme="minorHAnsi"/>
          <w:sz w:val="24"/>
          <w:szCs w:val="24"/>
        </w:rPr>
        <w:t xml:space="preserve"> sa planiranim rashodima od 5.000,00 eura.</w:t>
      </w:r>
    </w:p>
    <w:p w14:paraId="08019925" w14:textId="3345648E" w:rsidR="007A4AB5" w:rsidRPr="007A4AB5" w:rsidRDefault="007A4AB5" w:rsidP="007A4AB5">
      <w:pPr>
        <w:pStyle w:val="Bezproreda"/>
        <w:jc w:val="both"/>
        <w:rPr>
          <w:rFonts w:asciiTheme="minorHAnsi" w:hAnsiTheme="minorHAnsi" w:cstheme="minorHAnsi"/>
          <w:sz w:val="24"/>
          <w:szCs w:val="24"/>
        </w:rPr>
      </w:pPr>
      <w:r w:rsidRPr="007A4AB5">
        <w:rPr>
          <w:rFonts w:asciiTheme="minorHAnsi" w:hAnsiTheme="minorHAnsi" w:cstheme="minorHAnsi"/>
          <w:sz w:val="24"/>
          <w:szCs w:val="24"/>
        </w:rPr>
        <w:t xml:space="preserve"> Radi se o interdisciplinarnom tijelu pri Odjelu za društvene djelatnosti sastavljenom od niza stručnjaka na području odgoja i obrazovanja, sigurnosti, policijske djelatnosti, komunalne djelatnosti kao i ostalih društvenih djelatnosti a s ciljem prevencije kriminaliteta i sprječavanja nepoželjnog ponašanja u Gradu Trogiru, a osobito u djece i mladih. Planirani rashodi odnose se na provođenje pilot projekta prevencije za više razrede osnovnih i niže razrede srednjih škola koje su detektirane kao važna dob za kvalitetne programe prevencije</w:t>
      </w:r>
      <w:r>
        <w:rPr>
          <w:rFonts w:asciiTheme="minorHAnsi" w:hAnsiTheme="minorHAnsi" w:cstheme="minorHAnsi"/>
          <w:sz w:val="24"/>
          <w:szCs w:val="24"/>
        </w:rPr>
        <w:t xml:space="preserve">. </w:t>
      </w:r>
    </w:p>
    <w:p w14:paraId="49824BE4" w14:textId="77777777" w:rsidR="007A4AB5" w:rsidRDefault="007A4AB5" w:rsidP="000C0E10">
      <w:pPr>
        <w:pStyle w:val="Bezproreda"/>
        <w:jc w:val="both"/>
        <w:rPr>
          <w:rFonts w:cstheme="minorHAnsi"/>
          <w:sz w:val="24"/>
          <w:szCs w:val="24"/>
        </w:rPr>
      </w:pPr>
    </w:p>
    <w:p w14:paraId="44B5C05B" w14:textId="07A463F6" w:rsidR="000C0E10" w:rsidRDefault="000C0E10" w:rsidP="000C0E10">
      <w:pPr>
        <w:pStyle w:val="Bezproreda"/>
        <w:jc w:val="both"/>
        <w:rPr>
          <w:rFonts w:cstheme="minorHAnsi"/>
          <w:sz w:val="24"/>
          <w:szCs w:val="24"/>
        </w:rPr>
      </w:pPr>
      <w:r>
        <w:rPr>
          <w:rFonts w:cstheme="minorHAnsi"/>
          <w:sz w:val="24"/>
          <w:szCs w:val="24"/>
        </w:rPr>
        <w:t>U izvještajnom razdoblju 202</w:t>
      </w:r>
      <w:r w:rsidR="007A4AB5">
        <w:rPr>
          <w:rFonts w:cstheme="minorHAnsi"/>
          <w:sz w:val="24"/>
          <w:szCs w:val="24"/>
        </w:rPr>
        <w:t>5</w:t>
      </w:r>
      <w:r w:rsidRPr="0046053E">
        <w:rPr>
          <w:rFonts w:cstheme="minorHAnsi"/>
          <w:sz w:val="24"/>
          <w:szCs w:val="24"/>
        </w:rPr>
        <w:t xml:space="preserve">. </w:t>
      </w:r>
      <w:r>
        <w:rPr>
          <w:rFonts w:cstheme="minorHAnsi"/>
          <w:sz w:val="24"/>
          <w:szCs w:val="24"/>
        </w:rPr>
        <w:t>godine</w:t>
      </w:r>
      <w:r w:rsidRPr="0046053E">
        <w:rPr>
          <w:rFonts w:cstheme="minorHAnsi"/>
          <w:sz w:val="24"/>
          <w:szCs w:val="24"/>
        </w:rPr>
        <w:t xml:space="preserve"> navedena sredstva za realizaciju ovog programa bilježe ostvarenje od </w:t>
      </w:r>
      <w:r w:rsidR="007A4AB5">
        <w:rPr>
          <w:rFonts w:cstheme="minorHAnsi"/>
          <w:sz w:val="24"/>
          <w:szCs w:val="24"/>
        </w:rPr>
        <w:t>132.402,16</w:t>
      </w:r>
      <w:r>
        <w:rPr>
          <w:rFonts w:cstheme="minorHAnsi"/>
          <w:sz w:val="24"/>
          <w:szCs w:val="24"/>
        </w:rPr>
        <w:t xml:space="preserve"> eura</w:t>
      </w:r>
      <w:r w:rsidRPr="0046053E">
        <w:rPr>
          <w:rFonts w:cstheme="minorHAnsi"/>
          <w:sz w:val="24"/>
          <w:szCs w:val="24"/>
        </w:rPr>
        <w:t xml:space="preserve"> ili </w:t>
      </w:r>
      <w:r w:rsidR="007A4AB5">
        <w:rPr>
          <w:rFonts w:cstheme="minorHAnsi"/>
          <w:sz w:val="24"/>
          <w:szCs w:val="24"/>
        </w:rPr>
        <w:t>81,68</w:t>
      </w:r>
      <w:r w:rsidRPr="0046053E">
        <w:rPr>
          <w:rFonts w:cstheme="minorHAnsi"/>
          <w:sz w:val="24"/>
          <w:szCs w:val="24"/>
        </w:rPr>
        <w:t>% plana</w:t>
      </w:r>
      <w:r>
        <w:rPr>
          <w:rFonts w:cstheme="minorHAnsi"/>
          <w:sz w:val="24"/>
          <w:szCs w:val="24"/>
        </w:rPr>
        <w:t>.</w:t>
      </w:r>
    </w:p>
    <w:p w14:paraId="1AA2924F" w14:textId="77777777" w:rsidR="000C0E10" w:rsidRDefault="000C0E10" w:rsidP="002B091C">
      <w:pPr>
        <w:pStyle w:val="Bezproreda"/>
        <w:jc w:val="both"/>
        <w:rPr>
          <w:rFonts w:cstheme="minorHAnsi"/>
          <w:sz w:val="24"/>
          <w:szCs w:val="24"/>
        </w:rPr>
      </w:pPr>
    </w:p>
    <w:p w14:paraId="45A0ACE4" w14:textId="77777777" w:rsidR="002B091C" w:rsidRDefault="002B091C" w:rsidP="002B091C">
      <w:pPr>
        <w:tabs>
          <w:tab w:val="left" w:pos="360"/>
        </w:tabs>
        <w:autoSpaceDE w:val="0"/>
        <w:adjustRightInd w:val="0"/>
        <w:spacing w:after="0"/>
        <w:rPr>
          <w:rFonts w:cstheme="minorHAnsi"/>
          <w:sz w:val="24"/>
          <w:szCs w:val="24"/>
          <w:u w:val="single"/>
        </w:rPr>
      </w:pPr>
      <w:r w:rsidRPr="00796EDE">
        <w:rPr>
          <w:rFonts w:cstheme="minorHAnsi"/>
          <w:sz w:val="24"/>
          <w:szCs w:val="24"/>
          <w:u w:val="single"/>
        </w:rPr>
        <w:t xml:space="preserve">Program 1207 Civilna zaštita </w:t>
      </w:r>
    </w:p>
    <w:p w14:paraId="15A8D312" w14:textId="77777777" w:rsidR="004809FC" w:rsidRPr="00796EDE" w:rsidRDefault="004809FC" w:rsidP="004809FC">
      <w:pPr>
        <w:tabs>
          <w:tab w:val="left" w:pos="360"/>
        </w:tabs>
        <w:autoSpaceDE w:val="0"/>
        <w:adjustRightInd w:val="0"/>
        <w:spacing w:after="0"/>
        <w:jc w:val="both"/>
        <w:rPr>
          <w:rFonts w:cstheme="minorHAnsi"/>
          <w:b/>
          <w:sz w:val="24"/>
          <w:szCs w:val="24"/>
        </w:rPr>
      </w:pPr>
      <w:r w:rsidRPr="00796EDE">
        <w:rPr>
          <w:rFonts w:cstheme="minorHAnsi"/>
          <w:sz w:val="24"/>
          <w:szCs w:val="24"/>
        </w:rPr>
        <w:t>Jedinice lokalne i područne (regionalne) samouprave dužne su organizirati poslove iz svog samoupravnog djelokruga koji se odnose na planiranje, razvoj, učinkovito funkcioniranje i financiranje sustava civilne zaštite.</w:t>
      </w:r>
    </w:p>
    <w:p w14:paraId="08B608F9" w14:textId="77777777" w:rsidR="004809FC" w:rsidRDefault="004809FC" w:rsidP="004809FC">
      <w:pPr>
        <w:spacing w:after="0"/>
        <w:jc w:val="both"/>
        <w:rPr>
          <w:rFonts w:cstheme="minorHAnsi"/>
          <w:sz w:val="24"/>
          <w:szCs w:val="24"/>
        </w:rPr>
      </w:pPr>
      <w:r w:rsidRPr="00796EDE">
        <w:rPr>
          <w:rFonts w:cstheme="minorHAnsi"/>
          <w:sz w:val="24"/>
          <w:szCs w:val="24"/>
        </w:rPr>
        <w:t xml:space="preserve">Cilj ovog programa je </w:t>
      </w:r>
      <w:r w:rsidRPr="00FA2CDC">
        <w:rPr>
          <w:rFonts w:cstheme="minorHAnsi"/>
          <w:sz w:val="24"/>
          <w:szCs w:val="24"/>
        </w:rPr>
        <w:t xml:space="preserve">osiguravanje sustavne, planske i učinkovite zaštite građana grada Trogira i imovine od katastrofa uzrokovanih poplavom, požarima, epidemijama i drugim oblicima mogućih katastrofa. </w:t>
      </w:r>
      <w:r>
        <w:rPr>
          <w:rFonts w:cstheme="minorHAnsi"/>
          <w:sz w:val="24"/>
          <w:szCs w:val="24"/>
        </w:rPr>
        <w:t xml:space="preserve">U okviru programa </w:t>
      </w:r>
      <w:r w:rsidRPr="00796EDE">
        <w:rPr>
          <w:rFonts w:cstheme="minorHAnsi"/>
          <w:sz w:val="24"/>
          <w:szCs w:val="24"/>
        </w:rPr>
        <w:t>osigurava</w:t>
      </w:r>
      <w:r>
        <w:rPr>
          <w:rFonts w:cstheme="minorHAnsi"/>
          <w:sz w:val="24"/>
          <w:szCs w:val="24"/>
        </w:rPr>
        <w:t>ju se</w:t>
      </w:r>
      <w:r w:rsidRPr="00796EDE">
        <w:rPr>
          <w:rFonts w:cstheme="minorHAnsi"/>
          <w:sz w:val="24"/>
          <w:szCs w:val="24"/>
        </w:rPr>
        <w:t xml:space="preserve"> sredst</w:t>
      </w:r>
      <w:r>
        <w:rPr>
          <w:rFonts w:cstheme="minorHAnsi"/>
          <w:sz w:val="24"/>
          <w:szCs w:val="24"/>
        </w:rPr>
        <w:t>va</w:t>
      </w:r>
      <w:r w:rsidRPr="00796EDE">
        <w:rPr>
          <w:rFonts w:cstheme="minorHAnsi"/>
          <w:sz w:val="24"/>
          <w:szCs w:val="24"/>
        </w:rPr>
        <w:t xml:space="preserve"> za redovnu djelatnost JVP Trogir, DVD-a Trogir, kapitalne donacije za nabavku opreme za JVP Trogir, DVD Trogir, potom provedba mjera zaštite od požara u ljetnoj sezoni</w:t>
      </w:r>
      <w:r>
        <w:rPr>
          <w:rFonts w:cstheme="minorHAnsi"/>
          <w:sz w:val="24"/>
          <w:szCs w:val="24"/>
        </w:rPr>
        <w:t xml:space="preserve"> te kapitalna donacija za nabavku novog vozila.</w:t>
      </w:r>
      <w:r w:rsidRPr="00796EDE">
        <w:rPr>
          <w:rFonts w:cstheme="minorHAnsi"/>
          <w:sz w:val="24"/>
          <w:szCs w:val="24"/>
        </w:rPr>
        <w:t xml:space="preserve"> </w:t>
      </w:r>
      <w:r w:rsidRPr="00687B33">
        <w:rPr>
          <w:rFonts w:cstheme="minorHAnsi"/>
          <w:sz w:val="24"/>
          <w:szCs w:val="24"/>
        </w:rPr>
        <w:t>Također, financira se redovna djelatnost HGSS-a kao redovne službe za traganje i spašavanje te sustava civilne zaštite koji je uređen u okviru djelovanja Stožera CZ Grada Trogira.</w:t>
      </w:r>
    </w:p>
    <w:p w14:paraId="4A82EB1C" w14:textId="043D19F6" w:rsidR="004809FC" w:rsidRDefault="004809FC" w:rsidP="004809FC">
      <w:pPr>
        <w:spacing w:after="0"/>
        <w:jc w:val="both"/>
        <w:rPr>
          <w:rFonts w:cstheme="minorHAnsi"/>
          <w:sz w:val="24"/>
          <w:szCs w:val="24"/>
        </w:rPr>
      </w:pPr>
      <w:r>
        <w:rPr>
          <w:rFonts w:cstheme="minorHAnsi"/>
          <w:bCs/>
          <w:sz w:val="24"/>
          <w:szCs w:val="24"/>
        </w:rPr>
        <w:t xml:space="preserve">Unutar navedenog programa planirane su </w:t>
      </w:r>
      <w:r w:rsidR="006840CD">
        <w:rPr>
          <w:rFonts w:cstheme="minorHAnsi"/>
          <w:bCs/>
          <w:sz w:val="24"/>
          <w:szCs w:val="24"/>
        </w:rPr>
        <w:t>4</w:t>
      </w:r>
      <w:r>
        <w:rPr>
          <w:rFonts w:cstheme="minorHAnsi"/>
          <w:bCs/>
          <w:sz w:val="24"/>
          <w:szCs w:val="24"/>
        </w:rPr>
        <w:t xml:space="preserve"> aktivnosti i 1 kapitalni projekt:</w:t>
      </w:r>
    </w:p>
    <w:p w14:paraId="1B8262EC" w14:textId="77777777" w:rsidR="004809FC" w:rsidRPr="00FB7B5D" w:rsidRDefault="004809FC" w:rsidP="004809FC">
      <w:pPr>
        <w:spacing w:after="0"/>
        <w:jc w:val="both"/>
        <w:rPr>
          <w:rFonts w:cstheme="minorHAnsi"/>
          <w:bCs/>
          <w:sz w:val="24"/>
          <w:szCs w:val="24"/>
        </w:rPr>
      </w:pPr>
      <w:r>
        <w:rPr>
          <w:rFonts w:cstheme="minorHAnsi"/>
          <w:bCs/>
          <w:sz w:val="24"/>
          <w:szCs w:val="24"/>
        </w:rPr>
        <w:t>A100078 Redovna djelatnost DVD-a</w:t>
      </w:r>
    </w:p>
    <w:p w14:paraId="7419B1BA" w14:textId="77777777" w:rsidR="004809FC" w:rsidRDefault="004809FC" w:rsidP="004809FC">
      <w:pPr>
        <w:spacing w:after="0"/>
        <w:jc w:val="both"/>
        <w:rPr>
          <w:rFonts w:cstheme="minorHAnsi"/>
          <w:bCs/>
          <w:sz w:val="24"/>
          <w:szCs w:val="24"/>
        </w:rPr>
      </w:pPr>
      <w:r>
        <w:rPr>
          <w:rFonts w:cstheme="minorHAnsi"/>
          <w:bCs/>
          <w:sz w:val="24"/>
          <w:szCs w:val="24"/>
        </w:rPr>
        <w:t xml:space="preserve">A100079 Civilna zaštita </w:t>
      </w:r>
    </w:p>
    <w:p w14:paraId="18C41D0A" w14:textId="77777777" w:rsidR="004809FC" w:rsidRDefault="004809FC" w:rsidP="004809FC">
      <w:pPr>
        <w:spacing w:after="0"/>
        <w:jc w:val="both"/>
        <w:rPr>
          <w:rFonts w:cstheme="minorHAnsi"/>
          <w:bCs/>
          <w:sz w:val="24"/>
          <w:szCs w:val="24"/>
        </w:rPr>
      </w:pPr>
      <w:r>
        <w:rPr>
          <w:rFonts w:cstheme="minorHAnsi"/>
          <w:bCs/>
          <w:sz w:val="24"/>
          <w:szCs w:val="24"/>
        </w:rPr>
        <w:t>A100081 Hrvatska gorska služba spašavanja</w:t>
      </w:r>
    </w:p>
    <w:p w14:paraId="2FEB3399" w14:textId="4F380249" w:rsidR="006840CD" w:rsidRDefault="006840CD" w:rsidP="004809FC">
      <w:pPr>
        <w:spacing w:after="0"/>
        <w:jc w:val="both"/>
        <w:rPr>
          <w:rFonts w:cstheme="minorHAnsi"/>
          <w:bCs/>
          <w:sz w:val="24"/>
          <w:szCs w:val="24"/>
        </w:rPr>
      </w:pPr>
      <w:r>
        <w:rPr>
          <w:rFonts w:cstheme="minorHAnsi"/>
          <w:bCs/>
          <w:sz w:val="24"/>
          <w:szCs w:val="24"/>
        </w:rPr>
        <w:t>A100088 Redovna djelatnost vatrogasne zajednice</w:t>
      </w:r>
    </w:p>
    <w:p w14:paraId="369AD4D6" w14:textId="77777777" w:rsidR="004809FC" w:rsidRDefault="004809FC" w:rsidP="004809FC">
      <w:pPr>
        <w:spacing w:after="0"/>
        <w:jc w:val="both"/>
        <w:rPr>
          <w:rFonts w:cstheme="minorHAnsi"/>
          <w:bCs/>
          <w:sz w:val="24"/>
          <w:szCs w:val="24"/>
        </w:rPr>
      </w:pPr>
      <w:r>
        <w:rPr>
          <w:rFonts w:cstheme="minorHAnsi"/>
          <w:bCs/>
          <w:sz w:val="24"/>
          <w:szCs w:val="24"/>
        </w:rPr>
        <w:t xml:space="preserve">K100082 Nabava novog vatrogasnog vozila </w:t>
      </w:r>
    </w:p>
    <w:p w14:paraId="7DDB6AC6" w14:textId="170BBD56" w:rsidR="004809FC" w:rsidRPr="00553FFE" w:rsidRDefault="004809FC" w:rsidP="00553FFE">
      <w:pPr>
        <w:spacing w:after="0" w:line="240" w:lineRule="auto"/>
        <w:jc w:val="both"/>
        <w:rPr>
          <w:rFonts w:cs="Times New Roman"/>
          <w:sz w:val="24"/>
          <w:szCs w:val="24"/>
        </w:rPr>
      </w:pPr>
      <w:r w:rsidRPr="00553FFE">
        <w:rPr>
          <w:rFonts w:cstheme="minorHAnsi"/>
          <w:sz w:val="24"/>
          <w:szCs w:val="24"/>
        </w:rPr>
        <w:t xml:space="preserve">Sredstva koja su potrebna da bi se izvršile sve ove aktivnosti i kapitalni projekt planirana su u iznosu od </w:t>
      </w:r>
      <w:r w:rsidR="006840CD" w:rsidRPr="00553FFE">
        <w:rPr>
          <w:rFonts w:cstheme="minorHAnsi"/>
          <w:sz w:val="24"/>
          <w:szCs w:val="24"/>
        </w:rPr>
        <w:t>288.042,47</w:t>
      </w:r>
      <w:r w:rsidRPr="00553FFE">
        <w:rPr>
          <w:rFonts w:cstheme="minorHAnsi"/>
          <w:sz w:val="24"/>
          <w:szCs w:val="24"/>
        </w:rPr>
        <w:t xml:space="preserve"> eura, a rashodi su izvršeni u iznosu od </w:t>
      </w:r>
      <w:r w:rsidR="006840CD" w:rsidRPr="00553FFE">
        <w:rPr>
          <w:rFonts w:cstheme="minorHAnsi"/>
          <w:sz w:val="24"/>
          <w:szCs w:val="24"/>
        </w:rPr>
        <w:t>237.288,95</w:t>
      </w:r>
      <w:r w:rsidRPr="00553FFE">
        <w:rPr>
          <w:rFonts w:cstheme="minorHAnsi"/>
          <w:sz w:val="24"/>
          <w:szCs w:val="24"/>
        </w:rPr>
        <w:t xml:space="preserve"> eura ili  </w:t>
      </w:r>
      <w:r w:rsidR="006840CD" w:rsidRPr="00553FFE">
        <w:rPr>
          <w:rFonts w:cstheme="minorHAnsi"/>
          <w:sz w:val="24"/>
          <w:szCs w:val="24"/>
        </w:rPr>
        <w:t>82,38</w:t>
      </w:r>
      <w:r w:rsidRPr="00553FFE">
        <w:rPr>
          <w:rFonts w:cstheme="minorHAnsi"/>
          <w:sz w:val="24"/>
          <w:szCs w:val="24"/>
        </w:rPr>
        <w:t>% plana, a odnose se na kapitalnu donaciju za DVD Trogir za nabavu novog vatrogasnog vozila u</w:t>
      </w:r>
      <w:r w:rsidR="006840CD" w:rsidRPr="00553FFE">
        <w:rPr>
          <w:rFonts w:cstheme="minorHAnsi"/>
          <w:sz w:val="24"/>
          <w:szCs w:val="24"/>
        </w:rPr>
        <w:t xml:space="preserve"> ukupnom</w:t>
      </w:r>
      <w:r w:rsidRPr="00553FFE">
        <w:rPr>
          <w:rFonts w:cstheme="minorHAnsi"/>
          <w:sz w:val="24"/>
          <w:szCs w:val="24"/>
        </w:rPr>
        <w:t xml:space="preserve"> iznosu od </w:t>
      </w:r>
      <w:r w:rsidR="006840CD" w:rsidRPr="00553FFE">
        <w:rPr>
          <w:rFonts w:cstheme="minorHAnsi"/>
          <w:sz w:val="24"/>
          <w:szCs w:val="24"/>
        </w:rPr>
        <w:t>125.908,21</w:t>
      </w:r>
      <w:r w:rsidRPr="00553FFE">
        <w:rPr>
          <w:rFonts w:cstheme="minorHAnsi"/>
          <w:sz w:val="24"/>
          <w:szCs w:val="24"/>
        </w:rPr>
        <w:t xml:space="preserve"> eura</w:t>
      </w:r>
      <w:r w:rsidR="006840CD" w:rsidRPr="00553FFE">
        <w:rPr>
          <w:rFonts w:cstheme="minorHAnsi"/>
          <w:sz w:val="24"/>
          <w:szCs w:val="24"/>
        </w:rPr>
        <w:t xml:space="preserve"> i to </w:t>
      </w:r>
      <w:r w:rsidR="006840CD" w:rsidRPr="00553FFE">
        <w:rPr>
          <w:sz w:val="24"/>
          <w:szCs w:val="24"/>
        </w:rPr>
        <w:t xml:space="preserve">13.003,58 eura za nabavu vatrogasnog plovila, 51.421,68 eura DVD za vatrogasno vozilo MAN i 46.440,48 eura DVD za autocisternu MAN te </w:t>
      </w:r>
      <w:r w:rsidR="006840CD" w:rsidRPr="00553FFE">
        <w:rPr>
          <w:rFonts w:cstheme="minorHAnsi"/>
          <w:sz w:val="24"/>
          <w:szCs w:val="24"/>
        </w:rPr>
        <w:t>20.000,00</w:t>
      </w:r>
      <w:r w:rsidRPr="00553FFE">
        <w:rPr>
          <w:rFonts w:cstheme="minorHAnsi"/>
          <w:sz w:val="24"/>
          <w:szCs w:val="24"/>
        </w:rPr>
        <w:t xml:space="preserve"> eura tekućih donacija za Gorsku službu spašavanja.</w:t>
      </w:r>
    </w:p>
    <w:p w14:paraId="3A2B4245" w14:textId="77777777" w:rsidR="006840CD" w:rsidRDefault="006840CD" w:rsidP="00DA2F78">
      <w:pPr>
        <w:spacing w:after="0"/>
        <w:jc w:val="both"/>
        <w:rPr>
          <w:rFonts w:ascii="Times New Roman" w:hAnsi="Times New Roman" w:cs="Times New Roman"/>
        </w:rPr>
      </w:pPr>
    </w:p>
    <w:p w14:paraId="20D8324C" w14:textId="61F851B9" w:rsidR="00CA0F64" w:rsidRPr="00553FFE" w:rsidRDefault="00553FFE" w:rsidP="00DA2F78">
      <w:pPr>
        <w:spacing w:after="0"/>
        <w:jc w:val="both"/>
        <w:rPr>
          <w:rFonts w:cstheme="minorHAnsi"/>
          <w:sz w:val="24"/>
          <w:szCs w:val="24"/>
        </w:rPr>
      </w:pPr>
      <w:r w:rsidRPr="00553FFE">
        <w:rPr>
          <w:rFonts w:cstheme="minorHAnsi"/>
          <w:sz w:val="24"/>
          <w:szCs w:val="24"/>
        </w:rPr>
        <w:t xml:space="preserve">Aktivnost </w:t>
      </w:r>
      <w:r w:rsidR="006840CD" w:rsidRPr="00553FFE">
        <w:rPr>
          <w:rFonts w:cstheme="minorHAnsi"/>
          <w:sz w:val="24"/>
          <w:szCs w:val="24"/>
        </w:rPr>
        <w:t>Redovn</w:t>
      </w:r>
      <w:r w:rsidRPr="00553FFE">
        <w:rPr>
          <w:rFonts w:cstheme="minorHAnsi"/>
          <w:sz w:val="24"/>
          <w:szCs w:val="24"/>
        </w:rPr>
        <w:t>a</w:t>
      </w:r>
      <w:r w:rsidR="006840CD" w:rsidRPr="00553FFE">
        <w:rPr>
          <w:rFonts w:cstheme="minorHAnsi"/>
          <w:sz w:val="24"/>
          <w:szCs w:val="24"/>
        </w:rPr>
        <w:t xml:space="preserve"> djelatnost Vatrogasne zajednice </w:t>
      </w:r>
      <w:r>
        <w:rPr>
          <w:rFonts w:cstheme="minorHAnsi"/>
          <w:sz w:val="24"/>
          <w:szCs w:val="24"/>
        </w:rPr>
        <w:t xml:space="preserve">kojom se planira financiranje </w:t>
      </w:r>
      <w:r w:rsidR="006840CD" w:rsidRPr="00553FFE">
        <w:rPr>
          <w:rFonts w:cstheme="minorHAnsi"/>
          <w:sz w:val="24"/>
          <w:szCs w:val="24"/>
        </w:rPr>
        <w:t xml:space="preserve">troškova posebnih mjera zaštite od požara tijekom ljeta – plaće sezonaca i pripadajuće opreme za protupožarnu zaštitu u ukupnoj visini od </w:t>
      </w:r>
      <w:r>
        <w:rPr>
          <w:rFonts w:cstheme="minorHAnsi"/>
          <w:sz w:val="24"/>
          <w:szCs w:val="24"/>
        </w:rPr>
        <w:t>91.000</w:t>
      </w:r>
      <w:r w:rsidR="006840CD" w:rsidRPr="00553FFE">
        <w:rPr>
          <w:rFonts w:cstheme="minorHAnsi"/>
          <w:sz w:val="24"/>
          <w:szCs w:val="24"/>
        </w:rPr>
        <w:t xml:space="preserve"> eura</w:t>
      </w:r>
      <w:r>
        <w:rPr>
          <w:rFonts w:cstheme="minorHAnsi"/>
          <w:sz w:val="24"/>
          <w:szCs w:val="24"/>
        </w:rPr>
        <w:t xml:space="preserve"> ili </w:t>
      </w:r>
      <w:r w:rsidR="00BB5D2D">
        <w:rPr>
          <w:rFonts w:cstheme="minorHAnsi"/>
          <w:sz w:val="24"/>
          <w:szCs w:val="24"/>
        </w:rPr>
        <w:t>98,89% plana.</w:t>
      </w:r>
    </w:p>
    <w:p w14:paraId="096A4E10" w14:textId="77777777" w:rsidR="006840CD" w:rsidRDefault="006840CD" w:rsidP="00DA2F78">
      <w:pPr>
        <w:spacing w:after="0"/>
        <w:jc w:val="both"/>
        <w:rPr>
          <w:rFonts w:cstheme="minorHAnsi"/>
          <w:sz w:val="24"/>
          <w:szCs w:val="24"/>
        </w:rPr>
      </w:pPr>
    </w:p>
    <w:p w14:paraId="7D540FA3" w14:textId="55501A31" w:rsidR="00DA2F78" w:rsidRDefault="00DA2F78" w:rsidP="00DA2F78">
      <w:pPr>
        <w:spacing w:after="0"/>
        <w:jc w:val="both"/>
        <w:rPr>
          <w:rFonts w:cstheme="minorHAnsi"/>
          <w:sz w:val="24"/>
          <w:szCs w:val="24"/>
          <w:u w:val="single"/>
        </w:rPr>
      </w:pPr>
      <w:r w:rsidRPr="00B40FC2">
        <w:rPr>
          <w:rFonts w:cstheme="minorHAnsi"/>
          <w:sz w:val="24"/>
          <w:szCs w:val="24"/>
          <w:u w:val="single"/>
        </w:rPr>
        <w:t xml:space="preserve">Program 1208 </w:t>
      </w:r>
      <w:r>
        <w:rPr>
          <w:rFonts w:cstheme="minorHAnsi"/>
          <w:sz w:val="24"/>
          <w:szCs w:val="24"/>
          <w:u w:val="single"/>
        </w:rPr>
        <w:t xml:space="preserve">Poljoprivreda </w:t>
      </w:r>
    </w:p>
    <w:p w14:paraId="49885360" w14:textId="0095072A" w:rsidR="0008256C" w:rsidRPr="00C1383D" w:rsidRDefault="0008256C" w:rsidP="0008256C">
      <w:pPr>
        <w:spacing w:after="0"/>
        <w:jc w:val="both"/>
        <w:rPr>
          <w:rFonts w:cstheme="minorHAnsi"/>
          <w:sz w:val="24"/>
          <w:szCs w:val="24"/>
          <w:u w:val="single"/>
        </w:rPr>
      </w:pPr>
      <w:r w:rsidRPr="00C1383D">
        <w:rPr>
          <w:rFonts w:cstheme="minorHAnsi"/>
          <w:sz w:val="24"/>
          <w:szCs w:val="24"/>
        </w:rPr>
        <w:t>Programom se osiguravaju sredstva za provođenje mjera poticanja poljoprivrede kao i sredstva za eventualne štete u poljoprivrednim kulturama uslijed prirodnih nepogoda.</w:t>
      </w:r>
    </w:p>
    <w:p w14:paraId="0DF37374" w14:textId="22A25D8F" w:rsidR="0008256C" w:rsidRDefault="0008256C" w:rsidP="0008256C">
      <w:pPr>
        <w:pStyle w:val="Bezproreda"/>
        <w:jc w:val="both"/>
        <w:rPr>
          <w:rFonts w:cstheme="minorHAnsi"/>
          <w:sz w:val="24"/>
          <w:szCs w:val="24"/>
        </w:rPr>
      </w:pPr>
      <w:bookmarkStart w:id="1" w:name="_Hlk175382864"/>
      <w:r w:rsidRPr="0046053E">
        <w:rPr>
          <w:rFonts w:cstheme="minorHAnsi"/>
          <w:sz w:val="24"/>
          <w:szCs w:val="24"/>
        </w:rPr>
        <w:t>Unutar ovog</w:t>
      </w:r>
      <w:r>
        <w:rPr>
          <w:rFonts w:cstheme="minorHAnsi"/>
          <w:sz w:val="24"/>
          <w:szCs w:val="24"/>
        </w:rPr>
        <w:t xml:space="preserve"> programa postoje </w:t>
      </w:r>
      <w:r w:rsidR="00B51761">
        <w:rPr>
          <w:rFonts w:cstheme="minorHAnsi"/>
          <w:sz w:val="24"/>
          <w:szCs w:val="24"/>
        </w:rPr>
        <w:t>2</w:t>
      </w:r>
      <w:r w:rsidRPr="0046053E">
        <w:rPr>
          <w:rFonts w:cstheme="minorHAnsi"/>
          <w:sz w:val="24"/>
          <w:szCs w:val="24"/>
        </w:rPr>
        <w:t xml:space="preserve"> aktivnosti</w:t>
      </w:r>
      <w:r>
        <w:rPr>
          <w:rFonts w:cstheme="minorHAnsi"/>
          <w:sz w:val="24"/>
          <w:szCs w:val="24"/>
        </w:rPr>
        <w:t>:</w:t>
      </w:r>
    </w:p>
    <w:p w14:paraId="4FA0D9FE" w14:textId="77777777" w:rsidR="0008256C" w:rsidRDefault="0008256C" w:rsidP="0008256C">
      <w:pPr>
        <w:pStyle w:val="Bezproreda"/>
        <w:jc w:val="both"/>
        <w:rPr>
          <w:rFonts w:cstheme="minorHAnsi"/>
          <w:sz w:val="24"/>
          <w:szCs w:val="24"/>
        </w:rPr>
      </w:pPr>
      <w:r>
        <w:rPr>
          <w:rFonts w:cstheme="minorHAnsi"/>
          <w:sz w:val="24"/>
          <w:szCs w:val="24"/>
        </w:rPr>
        <w:lastRenderedPageBreak/>
        <w:t xml:space="preserve">A100020 Tekuće donacije udrugama i organizacijama u poljoprivredi </w:t>
      </w:r>
    </w:p>
    <w:p w14:paraId="68D7CF98" w14:textId="77777777" w:rsidR="0008256C" w:rsidRDefault="0008256C" w:rsidP="0008256C">
      <w:pPr>
        <w:pStyle w:val="Bezproreda"/>
        <w:jc w:val="both"/>
        <w:rPr>
          <w:rFonts w:cstheme="minorHAnsi"/>
          <w:sz w:val="24"/>
          <w:szCs w:val="24"/>
        </w:rPr>
      </w:pPr>
      <w:r>
        <w:rPr>
          <w:rFonts w:cstheme="minorHAnsi"/>
          <w:sz w:val="24"/>
          <w:szCs w:val="24"/>
        </w:rPr>
        <w:t xml:space="preserve">A100047 Poticajne mjere i potpore u poljoprivredi </w:t>
      </w:r>
      <w:r w:rsidRPr="0046053E">
        <w:rPr>
          <w:rFonts w:cstheme="minorHAnsi"/>
          <w:sz w:val="24"/>
          <w:szCs w:val="24"/>
        </w:rPr>
        <w:t xml:space="preserve"> </w:t>
      </w:r>
      <w:bookmarkEnd w:id="1"/>
    </w:p>
    <w:p w14:paraId="3A43F0C2" w14:textId="77777777" w:rsidR="0008256C" w:rsidRDefault="0008256C" w:rsidP="0008256C">
      <w:pPr>
        <w:pStyle w:val="Bezproreda"/>
        <w:jc w:val="both"/>
        <w:rPr>
          <w:rFonts w:cstheme="minorHAnsi"/>
          <w:sz w:val="24"/>
          <w:szCs w:val="24"/>
        </w:rPr>
      </w:pPr>
    </w:p>
    <w:p w14:paraId="5B780397" w14:textId="7B2E2206" w:rsidR="0008256C" w:rsidRDefault="0008256C" w:rsidP="0008256C">
      <w:pPr>
        <w:spacing w:after="0"/>
        <w:jc w:val="both"/>
        <w:rPr>
          <w:rFonts w:cstheme="minorHAnsi"/>
          <w:sz w:val="24"/>
          <w:szCs w:val="24"/>
        </w:rPr>
      </w:pPr>
      <w:r w:rsidRPr="00C1383D">
        <w:rPr>
          <w:rFonts w:cstheme="minorHAnsi"/>
          <w:sz w:val="24"/>
          <w:szCs w:val="24"/>
          <w:u w:val="single"/>
        </w:rPr>
        <w:t>Aktivnost „Tekuće donacije udrugama i organizacijama u poljoprivredi“</w:t>
      </w:r>
      <w:r w:rsidRPr="0046053E">
        <w:rPr>
          <w:rFonts w:cstheme="minorHAnsi"/>
          <w:sz w:val="24"/>
          <w:szCs w:val="24"/>
        </w:rPr>
        <w:t xml:space="preserve"> odnosi se na suradnju odjela s udrugama i organizacijama u poljoprivredi u provedbi pojedinih programa i projekata od interesa za iste</w:t>
      </w:r>
      <w:r>
        <w:rPr>
          <w:rFonts w:cstheme="minorHAnsi"/>
          <w:sz w:val="24"/>
          <w:szCs w:val="24"/>
        </w:rPr>
        <w:t xml:space="preserve">. </w:t>
      </w:r>
      <w:r w:rsidRPr="0046053E">
        <w:rPr>
          <w:rFonts w:cstheme="minorHAnsi"/>
          <w:sz w:val="24"/>
          <w:szCs w:val="24"/>
        </w:rPr>
        <w:t xml:space="preserve">Planirana sredstva za realizaciju ove aktivnosti iznose </w:t>
      </w:r>
      <w:r>
        <w:rPr>
          <w:rFonts w:cstheme="minorHAnsi"/>
          <w:sz w:val="24"/>
          <w:szCs w:val="24"/>
        </w:rPr>
        <w:t>7.000,00 eura, a bilježe ostvarenje u iznosu od 7.000,00 eura i odnose se na donacije u poljoprivredi (</w:t>
      </w:r>
      <w:r w:rsidRPr="00DA2F78">
        <w:rPr>
          <w:color w:val="000000"/>
          <w:sz w:val="24"/>
          <w:szCs w:val="24"/>
        </w:rPr>
        <w:t>Lovačka udru</w:t>
      </w:r>
      <w:r>
        <w:rPr>
          <w:color w:val="000000"/>
          <w:sz w:val="24"/>
          <w:szCs w:val="24"/>
        </w:rPr>
        <w:t>ga i Udruga Eko Žedno</w:t>
      </w:r>
      <w:r>
        <w:rPr>
          <w:color w:val="000000"/>
        </w:rPr>
        <w:t>)</w:t>
      </w:r>
      <w:r w:rsidRPr="007F0890">
        <w:rPr>
          <w:color w:val="000000"/>
        </w:rPr>
        <w:t xml:space="preserve"> </w:t>
      </w:r>
      <w:r>
        <w:rPr>
          <w:rFonts w:cstheme="minorHAnsi"/>
          <w:sz w:val="24"/>
          <w:szCs w:val="24"/>
        </w:rPr>
        <w:t>u  202</w:t>
      </w:r>
      <w:r w:rsidR="00B51761">
        <w:rPr>
          <w:rFonts w:cstheme="minorHAnsi"/>
          <w:sz w:val="24"/>
          <w:szCs w:val="24"/>
        </w:rPr>
        <w:t>5</w:t>
      </w:r>
      <w:r>
        <w:rPr>
          <w:rFonts w:cstheme="minorHAnsi"/>
          <w:sz w:val="24"/>
          <w:szCs w:val="24"/>
        </w:rPr>
        <w:t>.godin</w:t>
      </w:r>
      <w:r w:rsidR="00D424CE">
        <w:rPr>
          <w:rFonts w:cstheme="minorHAnsi"/>
          <w:sz w:val="24"/>
          <w:szCs w:val="24"/>
        </w:rPr>
        <w:t>i</w:t>
      </w:r>
      <w:r>
        <w:rPr>
          <w:rFonts w:cstheme="minorHAnsi"/>
          <w:sz w:val="24"/>
          <w:szCs w:val="24"/>
        </w:rPr>
        <w:t>.</w:t>
      </w:r>
    </w:p>
    <w:p w14:paraId="4394FEF5" w14:textId="77777777" w:rsidR="0008256C" w:rsidRPr="00C1383D" w:rsidRDefault="0008256C" w:rsidP="0008256C">
      <w:pPr>
        <w:spacing w:after="0"/>
        <w:jc w:val="both"/>
        <w:rPr>
          <w:rFonts w:cstheme="minorHAnsi"/>
          <w:sz w:val="24"/>
          <w:szCs w:val="24"/>
        </w:rPr>
      </w:pPr>
    </w:p>
    <w:p w14:paraId="12B8E81C" w14:textId="23768329" w:rsidR="0008256C" w:rsidRDefault="0008256C" w:rsidP="00F643E0">
      <w:pPr>
        <w:jc w:val="both"/>
        <w:rPr>
          <w:rFonts w:cstheme="minorHAnsi"/>
          <w:sz w:val="24"/>
          <w:szCs w:val="24"/>
        </w:rPr>
      </w:pPr>
      <w:r w:rsidRPr="00C1383D">
        <w:rPr>
          <w:rFonts w:cstheme="minorHAnsi"/>
          <w:sz w:val="24"/>
          <w:szCs w:val="24"/>
          <w:u w:val="single"/>
        </w:rPr>
        <w:t>Aktivnost „ Poticajne mjere i potpore u poljoprivredi“</w:t>
      </w:r>
      <w:r w:rsidRPr="002935D9">
        <w:rPr>
          <w:rFonts w:ascii="Times New Roman" w:hAnsi="Times New Roman"/>
        </w:rPr>
        <w:t xml:space="preserve"> </w:t>
      </w:r>
      <w:r w:rsidRPr="002935D9">
        <w:rPr>
          <w:rFonts w:cstheme="minorHAnsi"/>
          <w:sz w:val="24"/>
          <w:szCs w:val="24"/>
        </w:rPr>
        <w:t>osigurava sredstva za provođenje mjera poticanja razvoja poljoprivrede na području grada Trogira. Ova aktivnost obuhvaća naknade štete poljoprivrednicima kojima su uslijed raznih prirodnih katastrofa prouzročene određene materijalne štete na registriranim poljoprivrednim nasadima, te je sukladno tome eventualno proglašena elementarna nepo</w:t>
      </w:r>
      <w:r>
        <w:rPr>
          <w:rFonts w:cstheme="minorHAnsi"/>
          <w:sz w:val="24"/>
          <w:szCs w:val="24"/>
        </w:rPr>
        <w:t>goda za područje Grada Trogira, ne bilježi</w:t>
      </w:r>
      <w:r w:rsidRPr="0046053E">
        <w:rPr>
          <w:rFonts w:cstheme="minorHAnsi"/>
          <w:sz w:val="24"/>
          <w:szCs w:val="24"/>
        </w:rPr>
        <w:t xml:space="preserve"> ost</w:t>
      </w:r>
      <w:r>
        <w:rPr>
          <w:rFonts w:cstheme="minorHAnsi"/>
          <w:sz w:val="24"/>
          <w:szCs w:val="24"/>
        </w:rPr>
        <w:t>varenje u izvještajnom razdoblju 202</w:t>
      </w:r>
      <w:r w:rsidR="00B51761">
        <w:rPr>
          <w:rFonts w:cstheme="minorHAnsi"/>
          <w:sz w:val="24"/>
          <w:szCs w:val="24"/>
        </w:rPr>
        <w:t>5</w:t>
      </w:r>
      <w:r>
        <w:rPr>
          <w:rFonts w:cstheme="minorHAnsi"/>
          <w:sz w:val="24"/>
          <w:szCs w:val="24"/>
        </w:rPr>
        <w:t>. godine.</w:t>
      </w:r>
    </w:p>
    <w:p w14:paraId="34666342" w14:textId="0406C4CF" w:rsidR="00DA2F78" w:rsidRDefault="00DA2F78" w:rsidP="00DA2F78">
      <w:pPr>
        <w:spacing w:after="0"/>
        <w:jc w:val="both"/>
        <w:rPr>
          <w:rFonts w:cstheme="minorHAnsi"/>
          <w:sz w:val="24"/>
          <w:szCs w:val="24"/>
          <w:u w:val="single"/>
        </w:rPr>
      </w:pPr>
      <w:r w:rsidRPr="0046053E">
        <w:rPr>
          <w:rFonts w:cstheme="minorHAnsi"/>
          <w:sz w:val="24"/>
          <w:szCs w:val="24"/>
          <w:u w:val="single"/>
        </w:rPr>
        <w:t xml:space="preserve">Program 1209 Turizam </w:t>
      </w:r>
    </w:p>
    <w:p w14:paraId="030502A9" w14:textId="77777777" w:rsidR="0008256C" w:rsidRDefault="0008256C" w:rsidP="0008256C">
      <w:pPr>
        <w:tabs>
          <w:tab w:val="left" w:pos="180"/>
        </w:tabs>
        <w:spacing w:after="0"/>
        <w:jc w:val="both"/>
        <w:rPr>
          <w:rFonts w:cstheme="minorHAnsi"/>
          <w:sz w:val="24"/>
          <w:szCs w:val="24"/>
        </w:rPr>
      </w:pPr>
      <w:r w:rsidRPr="0046053E">
        <w:rPr>
          <w:rFonts w:cstheme="minorHAnsi"/>
          <w:sz w:val="24"/>
          <w:szCs w:val="24"/>
        </w:rPr>
        <w:t xml:space="preserve">Programom razvoja turizma na području Grada Trogira obavljaju se poslovi provedbe mjera razvoja turističke destinacije i povećanja turističkog prometa kako inozemnih tako i domaćih gostiju kao i razvoj novih turističkih proizvoda, navedeno se ostvaruje kroz potpore turističkim udrugama, </w:t>
      </w:r>
      <w:proofErr w:type="spellStart"/>
      <w:r w:rsidRPr="0046053E">
        <w:rPr>
          <w:rFonts w:cstheme="minorHAnsi"/>
          <w:sz w:val="24"/>
          <w:szCs w:val="24"/>
        </w:rPr>
        <w:t>brendiranje</w:t>
      </w:r>
      <w:proofErr w:type="spellEnd"/>
      <w:r w:rsidRPr="0046053E">
        <w:rPr>
          <w:rFonts w:cstheme="minorHAnsi"/>
          <w:sz w:val="24"/>
          <w:szCs w:val="24"/>
        </w:rPr>
        <w:t xml:space="preserve"> Grada Trogira na domaćem i međunarodnom tržištu kao iznimno atraktivne i poželjne turističke destinacije</w:t>
      </w:r>
      <w:r>
        <w:rPr>
          <w:rFonts w:cstheme="minorHAnsi"/>
          <w:sz w:val="24"/>
          <w:szCs w:val="24"/>
        </w:rPr>
        <w:t xml:space="preserve"> te </w:t>
      </w:r>
      <w:r w:rsidRPr="00C1383D">
        <w:rPr>
          <w:rFonts w:cstheme="minorHAnsi"/>
          <w:sz w:val="24"/>
          <w:szCs w:val="24"/>
        </w:rPr>
        <w:t>unapređenje selektivnih vidova turizma radi obogaćivanja turističke ponude grada. Nadalje, u okviru ovog programa surađuje se s udrugama iz područja turizma u provedbi pojedinih programa i projekata od interesa za Grad Trogir. Kao i suradnja s Turističkom zajednicom grada Trogira u organizaciji manifestacija i projekata u funkciji razvoja turizma.</w:t>
      </w:r>
    </w:p>
    <w:p w14:paraId="7243BA0D" w14:textId="77777777" w:rsidR="0008256C" w:rsidRDefault="0008256C" w:rsidP="0008256C">
      <w:pPr>
        <w:pStyle w:val="Bezproreda"/>
        <w:jc w:val="both"/>
        <w:rPr>
          <w:rFonts w:cstheme="minorHAnsi"/>
          <w:sz w:val="24"/>
          <w:szCs w:val="24"/>
        </w:rPr>
      </w:pPr>
      <w:r w:rsidRPr="0046053E">
        <w:rPr>
          <w:rFonts w:cstheme="minorHAnsi"/>
          <w:sz w:val="24"/>
          <w:szCs w:val="24"/>
        </w:rPr>
        <w:t>Unutar ovog</w:t>
      </w:r>
      <w:r>
        <w:rPr>
          <w:rFonts w:cstheme="minorHAnsi"/>
          <w:sz w:val="24"/>
          <w:szCs w:val="24"/>
        </w:rPr>
        <w:t xml:space="preserve"> programa postoje 3 </w:t>
      </w:r>
      <w:r w:rsidRPr="0046053E">
        <w:rPr>
          <w:rFonts w:cstheme="minorHAnsi"/>
          <w:sz w:val="24"/>
          <w:szCs w:val="24"/>
        </w:rPr>
        <w:t xml:space="preserve"> aktivnosti</w:t>
      </w:r>
      <w:r>
        <w:rPr>
          <w:rFonts w:cstheme="minorHAnsi"/>
          <w:sz w:val="24"/>
          <w:szCs w:val="24"/>
        </w:rPr>
        <w:t>:</w:t>
      </w:r>
    </w:p>
    <w:p w14:paraId="2B456875" w14:textId="77777777" w:rsidR="0008256C" w:rsidRDefault="0008256C" w:rsidP="0008256C">
      <w:pPr>
        <w:pStyle w:val="Bezproreda"/>
        <w:jc w:val="both"/>
        <w:rPr>
          <w:rFonts w:cstheme="minorHAnsi"/>
          <w:sz w:val="24"/>
          <w:szCs w:val="24"/>
        </w:rPr>
      </w:pPr>
      <w:r>
        <w:rPr>
          <w:rFonts w:cstheme="minorHAnsi"/>
          <w:sz w:val="24"/>
          <w:szCs w:val="24"/>
        </w:rPr>
        <w:t xml:space="preserve">A100022 Potpore turističkim udrugama </w:t>
      </w:r>
    </w:p>
    <w:p w14:paraId="20C511EB" w14:textId="77777777" w:rsidR="0008256C" w:rsidRDefault="0008256C" w:rsidP="0008256C">
      <w:pPr>
        <w:tabs>
          <w:tab w:val="left" w:pos="180"/>
        </w:tabs>
        <w:spacing w:after="0"/>
        <w:jc w:val="both"/>
        <w:rPr>
          <w:rFonts w:cstheme="minorHAnsi"/>
          <w:sz w:val="24"/>
          <w:szCs w:val="24"/>
        </w:rPr>
      </w:pPr>
      <w:r>
        <w:rPr>
          <w:rFonts w:cstheme="minorHAnsi"/>
          <w:sz w:val="24"/>
          <w:szCs w:val="24"/>
        </w:rPr>
        <w:t xml:space="preserve">A100055 </w:t>
      </w:r>
      <w:proofErr w:type="spellStart"/>
      <w:r>
        <w:rPr>
          <w:rFonts w:cstheme="minorHAnsi"/>
          <w:sz w:val="24"/>
          <w:szCs w:val="24"/>
        </w:rPr>
        <w:t>Brendiranje</w:t>
      </w:r>
      <w:proofErr w:type="spellEnd"/>
      <w:r>
        <w:rPr>
          <w:rFonts w:cstheme="minorHAnsi"/>
          <w:sz w:val="24"/>
          <w:szCs w:val="24"/>
        </w:rPr>
        <w:t xml:space="preserve"> Grada </w:t>
      </w:r>
    </w:p>
    <w:p w14:paraId="434D2DCD" w14:textId="77777777" w:rsidR="0008256C" w:rsidRPr="00C1383D" w:rsidRDefault="0008256C" w:rsidP="0008256C">
      <w:pPr>
        <w:tabs>
          <w:tab w:val="left" w:pos="180"/>
        </w:tabs>
        <w:spacing w:after="0"/>
        <w:jc w:val="both"/>
        <w:rPr>
          <w:rFonts w:cstheme="minorHAnsi"/>
          <w:sz w:val="24"/>
          <w:szCs w:val="24"/>
          <w:u w:val="single"/>
        </w:rPr>
      </w:pPr>
      <w:r>
        <w:rPr>
          <w:rFonts w:cstheme="minorHAnsi"/>
          <w:sz w:val="24"/>
          <w:szCs w:val="24"/>
        </w:rPr>
        <w:t xml:space="preserve">A100056 Potpore razvoju turizma </w:t>
      </w:r>
    </w:p>
    <w:p w14:paraId="5530B669" w14:textId="77777777" w:rsidR="00B51761" w:rsidRDefault="00B51761" w:rsidP="0008256C">
      <w:pPr>
        <w:pStyle w:val="Bezproreda"/>
        <w:jc w:val="both"/>
        <w:rPr>
          <w:rFonts w:cstheme="minorHAnsi"/>
          <w:sz w:val="24"/>
          <w:szCs w:val="24"/>
        </w:rPr>
      </w:pPr>
    </w:p>
    <w:p w14:paraId="02E2EB9E" w14:textId="7CA798CA" w:rsidR="0008256C" w:rsidRPr="0092262C" w:rsidRDefault="0008256C" w:rsidP="0008256C">
      <w:pPr>
        <w:pStyle w:val="Bezproreda"/>
        <w:jc w:val="both"/>
        <w:rPr>
          <w:color w:val="000000"/>
          <w:sz w:val="24"/>
          <w:szCs w:val="24"/>
        </w:rPr>
      </w:pPr>
      <w:r>
        <w:rPr>
          <w:rFonts w:cstheme="minorHAnsi"/>
          <w:sz w:val="24"/>
          <w:szCs w:val="24"/>
        </w:rPr>
        <w:t>U izvještajnom razdoblju 202</w:t>
      </w:r>
      <w:r w:rsidR="00B51761">
        <w:rPr>
          <w:rFonts w:cstheme="minorHAnsi"/>
          <w:sz w:val="24"/>
          <w:szCs w:val="24"/>
        </w:rPr>
        <w:t>5</w:t>
      </w:r>
      <w:r>
        <w:rPr>
          <w:rFonts w:cstheme="minorHAnsi"/>
          <w:sz w:val="24"/>
          <w:szCs w:val="24"/>
        </w:rPr>
        <w:t>. godine</w:t>
      </w:r>
      <w:r w:rsidRPr="0046053E">
        <w:rPr>
          <w:rFonts w:cstheme="minorHAnsi"/>
          <w:sz w:val="24"/>
          <w:szCs w:val="24"/>
        </w:rPr>
        <w:t xml:space="preserve"> za ostvarenje programa turizma realizirano je </w:t>
      </w:r>
      <w:r w:rsidR="00B51761">
        <w:rPr>
          <w:rFonts w:cstheme="minorHAnsi"/>
          <w:sz w:val="24"/>
          <w:szCs w:val="24"/>
        </w:rPr>
        <w:t>118.459,32</w:t>
      </w:r>
      <w:r>
        <w:rPr>
          <w:rFonts w:cstheme="minorHAnsi"/>
          <w:sz w:val="24"/>
          <w:szCs w:val="24"/>
        </w:rPr>
        <w:t xml:space="preserve"> eura</w:t>
      </w:r>
      <w:r w:rsidRPr="0046053E">
        <w:rPr>
          <w:rFonts w:cstheme="minorHAnsi"/>
          <w:sz w:val="24"/>
          <w:szCs w:val="24"/>
        </w:rPr>
        <w:t xml:space="preserve"> ili </w:t>
      </w:r>
      <w:r w:rsidR="00B51761">
        <w:rPr>
          <w:rFonts w:cstheme="minorHAnsi"/>
          <w:sz w:val="24"/>
          <w:szCs w:val="24"/>
        </w:rPr>
        <w:t>97,10</w:t>
      </w:r>
      <w:r w:rsidRPr="0046053E">
        <w:rPr>
          <w:rFonts w:cstheme="minorHAnsi"/>
          <w:sz w:val="24"/>
          <w:szCs w:val="24"/>
        </w:rPr>
        <w:t>% plana i to kroz</w:t>
      </w:r>
      <w:r>
        <w:rPr>
          <w:rFonts w:cstheme="minorHAnsi"/>
          <w:sz w:val="24"/>
          <w:szCs w:val="24"/>
        </w:rPr>
        <w:t xml:space="preserve"> aktivnost -</w:t>
      </w:r>
      <w:r w:rsidRPr="00501D10">
        <w:rPr>
          <w:rFonts w:cstheme="minorHAnsi"/>
          <w:sz w:val="24"/>
          <w:szCs w:val="24"/>
          <w:u w:val="single"/>
        </w:rPr>
        <w:t>Potpore turističkim udrugama</w:t>
      </w:r>
      <w:r>
        <w:rPr>
          <w:rFonts w:cstheme="minorHAnsi"/>
          <w:sz w:val="24"/>
          <w:szCs w:val="24"/>
        </w:rPr>
        <w:t xml:space="preserve"> u iznosu od </w:t>
      </w:r>
      <w:r w:rsidR="00B51761">
        <w:rPr>
          <w:rFonts w:cstheme="minorHAnsi"/>
          <w:sz w:val="24"/>
          <w:szCs w:val="24"/>
        </w:rPr>
        <w:t>2.500,00</w:t>
      </w:r>
      <w:r>
        <w:rPr>
          <w:rFonts w:cstheme="minorHAnsi"/>
          <w:sz w:val="24"/>
          <w:szCs w:val="24"/>
        </w:rPr>
        <w:t xml:space="preserve"> eura, a odnosi se na donacije udrugama iz područja turizma (</w:t>
      </w:r>
      <w:r w:rsidRPr="0092262C">
        <w:rPr>
          <w:color w:val="000000"/>
          <w:sz w:val="24"/>
          <w:szCs w:val="24"/>
        </w:rPr>
        <w:t xml:space="preserve">Trogirska karnevalska udruga </w:t>
      </w:r>
      <w:proofErr w:type="spellStart"/>
      <w:r w:rsidRPr="0092262C">
        <w:rPr>
          <w:color w:val="000000"/>
          <w:sz w:val="24"/>
          <w:szCs w:val="24"/>
        </w:rPr>
        <w:t>Rašpin</w:t>
      </w:r>
      <w:proofErr w:type="spellEnd"/>
      <w:r w:rsidRPr="0092262C">
        <w:rPr>
          <w:color w:val="000000"/>
          <w:sz w:val="24"/>
          <w:szCs w:val="24"/>
        </w:rPr>
        <w:t xml:space="preserve"> jute i Udruga turističkih vodiča PHOENIX)</w:t>
      </w:r>
      <w:r>
        <w:rPr>
          <w:color w:val="000000"/>
          <w:sz w:val="24"/>
          <w:szCs w:val="24"/>
        </w:rPr>
        <w:t>, zatim kroz aktivnost –</w:t>
      </w:r>
      <w:proofErr w:type="spellStart"/>
      <w:r w:rsidRPr="00501D10">
        <w:rPr>
          <w:color w:val="000000"/>
          <w:sz w:val="24"/>
          <w:szCs w:val="24"/>
          <w:u w:val="single"/>
        </w:rPr>
        <w:t>Brendiranje</w:t>
      </w:r>
      <w:proofErr w:type="spellEnd"/>
      <w:r w:rsidRPr="00501D10">
        <w:rPr>
          <w:color w:val="000000"/>
          <w:sz w:val="24"/>
          <w:szCs w:val="24"/>
          <w:u w:val="single"/>
        </w:rPr>
        <w:t xml:space="preserve"> grada</w:t>
      </w:r>
      <w:r>
        <w:rPr>
          <w:color w:val="000000"/>
          <w:sz w:val="24"/>
          <w:szCs w:val="24"/>
        </w:rPr>
        <w:t xml:space="preserve"> u iznosu od </w:t>
      </w:r>
      <w:r w:rsidR="00B51761">
        <w:rPr>
          <w:color w:val="000000"/>
          <w:sz w:val="24"/>
          <w:szCs w:val="24"/>
        </w:rPr>
        <w:t>9.459,32</w:t>
      </w:r>
      <w:r>
        <w:rPr>
          <w:color w:val="000000"/>
          <w:sz w:val="24"/>
          <w:szCs w:val="24"/>
        </w:rPr>
        <w:t xml:space="preserve"> eura te kroz Aktivnost – </w:t>
      </w:r>
      <w:r w:rsidRPr="00501D10">
        <w:rPr>
          <w:color w:val="000000"/>
          <w:sz w:val="24"/>
          <w:szCs w:val="24"/>
          <w:u w:val="single"/>
        </w:rPr>
        <w:t>Potpora razvoju turizma</w:t>
      </w:r>
      <w:r>
        <w:rPr>
          <w:color w:val="000000"/>
          <w:sz w:val="24"/>
          <w:szCs w:val="24"/>
        </w:rPr>
        <w:t xml:space="preserve"> ukupan iznos od </w:t>
      </w:r>
      <w:r w:rsidR="00B51761">
        <w:rPr>
          <w:color w:val="000000"/>
          <w:sz w:val="24"/>
          <w:szCs w:val="24"/>
        </w:rPr>
        <w:t>106.500,00</w:t>
      </w:r>
      <w:r>
        <w:rPr>
          <w:color w:val="000000"/>
          <w:sz w:val="24"/>
          <w:szCs w:val="24"/>
        </w:rPr>
        <w:t xml:space="preserve"> eura, a odnosi se na</w:t>
      </w:r>
      <w:r w:rsidR="00B51761">
        <w:rPr>
          <w:color w:val="000000"/>
          <w:sz w:val="24"/>
          <w:szCs w:val="24"/>
        </w:rPr>
        <w:t xml:space="preserve"> tekuće</w:t>
      </w:r>
      <w:r>
        <w:rPr>
          <w:color w:val="000000"/>
          <w:sz w:val="24"/>
          <w:szCs w:val="24"/>
        </w:rPr>
        <w:t xml:space="preserve"> </w:t>
      </w:r>
      <w:r>
        <w:rPr>
          <w:rFonts w:cstheme="minorHAnsi"/>
          <w:sz w:val="24"/>
          <w:szCs w:val="24"/>
        </w:rPr>
        <w:t xml:space="preserve">donacije Turističkoj zajednici Grada Trogira za organizaciju manifestacija (za pokriće troškova organizacije Zimske </w:t>
      </w:r>
      <w:proofErr w:type="spellStart"/>
      <w:r>
        <w:rPr>
          <w:rFonts w:cstheme="minorHAnsi"/>
          <w:sz w:val="24"/>
          <w:szCs w:val="24"/>
        </w:rPr>
        <w:t>adventure</w:t>
      </w:r>
      <w:proofErr w:type="spellEnd"/>
      <w:r w:rsidR="00B51761">
        <w:rPr>
          <w:rFonts w:cstheme="minorHAnsi"/>
          <w:sz w:val="24"/>
          <w:szCs w:val="24"/>
        </w:rPr>
        <w:t>, Dan žena , Trogirskog ljeta i dr.</w:t>
      </w:r>
      <w:r>
        <w:rPr>
          <w:rFonts w:cstheme="minorHAnsi"/>
          <w:sz w:val="24"/>
          <w:szCs w:val="24"/>
        </w:rPr>
        <w:t>)</w:t>
      </w:r>
      <w:r w:rsidR="00B51761">
        <w:rPr>
          <w:rFonts w:cstheme="minorHAnsi"/>
          <w:sz w:val="24"/>
          <w:szCs w:val="24"/>
        </w:rPr>
        <w:t>.</w:t>
      </w:r>
    </w:p>
    <w:p w14:paraId="5EBB46AA" w14:textId="77777777" w:rsidR="00501D10" w:rsidRDefault="00501D10" w:rsidP="00F620FC">
      <w:pPr>
        <w:tabs>
          <w:tab w:val="left" w:pos="180"/>
        </w:tabs>
        <w:spacing w:after="0"/>
        <w:jc w:val="both"/>
        <w:rPr>
          <w:rFonts w:cstheme="minorHAnsi"/>
          <w:sz w:val="24"/>
          <w:szCs w:val="24"/>
          <w:u w:val="single"/>
        </w:rPr>
      </w:pPr>
    </w:p>
    <w:p w14:paraId="764D20A8" w14:textId="17EF0DD0" w:rsidR="00F620FC" w:rsidRDefault="00F620FC" w:rsidP="00F620FC">
      <w:pPr>
        <w:tabs>
          <w:tab w:val="left" w:pos="180"/>
        </w:tabs>
        <w:spacing w:after="0"/>
        <w:jc w:val="both"/>
        <w:rPr>
          <w:rFonts w:cstheme="minorHAnsi"/>
          <w:sz w:val="24"/>
          <w:szCs w:val="24"/>
          <w:u w:val="single"/>
        </w:rPr>
      </w:pPr>
      <w:r w:rsidRPr="0046053E">
        <w:rPr>
          <w:rFonts w:cstheme="minorHAnsi"/>
          <w:sz w:val="24"/>
          <w:szCs w:val="24"/>
          <w:u w:val="single"/>
        </w:rPr>
        <w:t>Program 1210 Suradnja s gradovima i projekti iz EU</w:t>
      </w:r>
    </w:p>
    <w:p w14:paraId="26E21AE8" w14:textId="77777777" w:rsidR="00B2758A" w:rsidRDefault="00B2758A" w:rsidP="00B2758A">
      <w:pPr>
        <w:spacing w:after="0"/>
        <w:jc w:val="both"/>
        <w:rPr>
          <w:rFonts w:cstheme="minorHAnsi"/>
          <w:sz w:val="24"/>
          <w:szCs w:val="24"/>
        </w:rPr>
      </w:pPr>
      <w:r w:rsidRPr="0046053E">
        <w:rPr>
          <w:rFonts w:cstheme="minorHAnsi"/>
          <w:sz w:val="24"/>
          <w:szCs w:val="24"/>
        </w:rPr>
        <w:t xml:space="preserve">Aktivnosti u sklopu ovog programa odnose se na suradnju s gradovima partnerima Grada Trogira i ostalim međunarodnim subjektima te se osigurava i obavljanje poslova vezanih uz članstvo Grada u raznim nacionalnim i međunarodnim organizacijama te predstavljanje </w:t>
      </w:r>
      <w:r w:rsidRPr="0046053E">
        <w:rPr>
          <w:rFonts w:cstheme="minorHAnsi"/>
          <w:sz w:val="24"/>
          <w:szCs w:val="24"/>
        </w:rPr>
        <w:lastRenderedPageBreak/>
        <w:t>projekata od interesa za Grad potencijalnim inozemnim ulagačima u vezi s promicanjem ulaganja, a u cilju povećanja stranih investicija i razvoja povoljnog investicijskog okružja.</w:t>
      </w:r>
    </w:p>
    <w:p w14:paraId="4B2F027C" w14:textId="4F5A94C9" w:rsidR="00B2758A" w:rsidRDefault="00B2758A" w:rsidP="00B2758A">
      <w:pPr>
        <w:pStyle w:val="Bezproreda"/>
        <w:jc w:val="both"/>
        <w:rPr>
          <w:rFonts w:cstheme="minorHAnsi"/>
          <w:sz w:val="24"/>
          <w:szCs w:val="24"/>
        </w:rPr>
      </w:pPr>
      <w:r w:rsidRPr="0046053E">
        <w:rPr>
          <w:rFonts w:cstheme="minorHAnsi"/>
          <w:sz w:val="24"/>
          <w:szCs w:val="24"/>
        </w:rPr>
        <w:t>Unutar ovog</w:t>
      </w:r>
      <w:r>
        <w:rPr>
          <w:rFonts w:cstheme="minorHAnsi"/>
          <w:sz w:val="24"/>
          <w:szCs w:val="24"/>
        </w:rPr>
        <w:t xml:space="preserve"> programa postoje </w:t>
      </w:r>
      <w:r w:rsidR="00AB1C07">
        <w:rPr>
          <w:rFonts w:cstheme="minorHAnsi"/>
          <w:sz w:val="24"/>
          <w:szCs w:val="24"/>
        </w:rPr>
        <w:t>2</w:t>
      </w:r>
      <w:r>
        <w:rPr>
          <w:rFonts w:cstheme="minorHAnsi"/>
          <w:sz w:val="24"/>
          <w:szCs w:val="24"/>
        </w:rPr>
        <w:t xml:space="preserve"> </w:t>
      </w:r>
      <w:r w:rsidRPr="0046053E">
        <w:rPr>
          <w:rFonts w:cstheme="minorHAnsi"/>
          <w:sz w:val="24"/>
          <w:szCs w:val="24"/>
        </w:rPr>
        <w:t xml:space="preserve"> aktivnosti</w:t>
      </w:r>
      <w:r w:rsidR="00AB1C07">
        <w:rPr>
          <w:rFonts w:cstheme="minorHAnsi"/>
          <w:sz w:val="24"/>
          <w:szCs w:val="24"/>
        </w:rPr>
        <w:t>:</w:t>
      </w:r>
    </w:p>
    <w:p w14:paraId="657F1E78" w14:textId="77777777" w:rsidR="00B2758A" w:rsidRDefault="00B2758A" w:rsidP="00B2758A">
      <w:pPr>
        <w:pStyle w:val="Bezproreda"/>
        <w:jc w:val="both"/>
        <w:rPr>
          <w:rFonts w:cstheme="minorHAnsi"/>
          <w:sz w:val="24"/>
          <w:szCs w:val="24"/>
        </w:rPr>
      </w:pPr>
      <w:r>
        <w:rPr>
          <w:rFonts w:cstheme="minorHAnsi"/>
          <w:sz w:val="24"/>
          <w:szCs w:val="24"/>
        </w:rPr>
        <w:t>A100027 Suradnja s gradovima</w:t>
      </w:r>
    </w:p>
    <w:p w14:paraId="77FCBF4D" w14:textId="77777777" w:rsidR="00B2758A" w:rsidRDefault="00B2758A" w:rsidP="00B2758A">
      <w:pPr>
        <w:tabs>
          <w:tab w:val="left" w:pos="180"/>
        </w:tabs>
        <w:spacing w:after="0"/>
        <w:jc w:val="both"/>
        <w:rPr>
          <w:rFonts w:cstheme="minorHAnsi"/>
          <w:sz w:val="24"/>
          <w:szCs w:val="24"/>
        </w:rPr>
      </w:pPr>
      <w:r>
        <w:rPr>
          <w:rFonts w:cstheme="minorHAnsi"/>
          <w:sz w:val="24"/>
          <w:szCs w:val="24"/>
        </w:rPr>
        <w:t>A100046 Tekuće donacije udrugama u suradnji s gradovima</w:t>
      </w:r>
    </w:p>
    <w:p w14:paraId="3643D3DA" w14:textId="5C36F87C" w:rsidR="00B2758A" w:rsidRDefault="00B2758A" w:rsidP="00B2758A">
      <w:pPr>
        <w:tabs>
          <w:tab w:val="left" w:pos="180"/>
        </w:tabs>
        <w:spacing w:after="0"/>
        <w:jc w:val="both"/>
        <w:rPr>
          <w:rFonts w:cstheme="minorHAnsi"/>
          <w:sz w:val="24"/>
          <w:szCs w:val="24"/>
        </w:rPr>
      </w:pPr>
    </w:p>
    <w:p w14:paraId="2200CB15" w14:textId="61BDA3B1" w:rsidR="00174307" w:rsidRDefault="00AB1C07" w:rsidP="00B2758A">
      <w:pPr>
        <w:spacing w:after="0"/>
        <w:jc w:val="both"/>
        <w:rPr>
          <w:rFonts w:cstheme="minorHAnsi"/>
          <w:sz w:val="24"/>
          <w:szCs w:val="24"/>
        </w:rPr>
      </w:pPr>
      <w:r>
        <w:rPr>
          <w:rFonts w:cstheme="minorHAnsi"/>
          <w:sz w:val="24"/>
          <w:szCs w:val="24"/>
        </w:rPr>
        <w:t xml:space="preserve">Aktivnost Suradnja s gradovima, realizirano je 4.218,19 eura i to za troškove usluge prijevoza i troškove reprezentacije, dok za aktivnost Tekuće donacije udrugama u suradnji s gradovima bilježe ostvarenje u iznosu od 5.000,00 eura i to za tekuću donaciju udruzi prijateljstva Grada Trogira i </w:t>
      </w:r>
      <w:proofErr w:type="spellStart"/>
      <w:r>
        <w:rPr>
          <w:rFonts w:cstheme="minorHAnsi"/>
          <w:sz w:val="24"/>
          <w:szCs w:val="24"/>
        </w:rPr>
        <w:t>Vater</w:t>
      </w:r>
      <w:r w:rsidR="00072195">
        <w:rPr>
          <w:rFonts w:cstheme="minorHAnsi"/>
          <w:sz w:val="24"/>
          <w:szCs w:val="24"/>
        </w:rPr>
        <w:t>stettena</w:t>
      </w:r>
      <w:proofErr w:type="spellEnd"/>
      <w:r w:rsidR="00072195">
        <w:rPr>
          <w:rFonts w:cstheme="minorHAnsi"/>
          <w:sz w:val="24"/>
          <w:szCs w:val="24"/>
        </w:rPr>
        <w:t>.</w:t>
      </w:r>
      <w:r>
        <w:rPr>
          <w:rFonts w:cstheme="minorHAnsi"/>
          <w:sz w:val="24"/>
          <w:szCs w:val="24"/>
        </w:rPr>
        <w:t xml:space="preserve"> </w:t>
      </w:r>
    </w:p>
    <w:p w14:paraId="53E20F08" w14:textId="54909A73" w:rsidR="00B2758A" w:rsidRDefault="00B2758A" w:rsidP="00B2758A">
      <w:pPr>
        <w:spacing w:after="0"/>
        <w:jc w:val="both"/>
        <w:rPr>
          <w:rFonts w:cstheme="minorHAnsi"/>
          <w:sz w:val="24"/>
          <w:szCs w:val="24"/>
        </w:rPr>
      </w:pPr>
      <w:r>
        <w:rPr>
          <w:rFonts w:cstheme="minorHAnsi"/>
          <w:sz w:val="24"/>
          <w:szCs w:val="24"/>
        </w:rPr>
        <w:t>Za ostvarenje navedenog programa planirano je</w:t>
      </w:r>
      <w:r w:rsidR="00072195">
        <w:rPr>
          <w:rFonts w:cstheme="minorHAnsi"/>
          <w:sz w:val="24"/>
          <w:szCs w:val="24"/>
        </w:rPr>
        <w:t xml:space="preserve"> 16.000,00</w:t>
      </w:r>
      <w:r>
        <w:rPr>
          <w:rFonts w:cstheme="minorHAnsi"/>
          <w:sz w:val="24"/>
          <w:szCs w:val="24"/>
        </w:rPr>
        <w:t xml:space="preserve"> eura, a realizirano je </w:t>
      </w:r>
      <w:r w:rsidR="00072195">
        <w:rPr>
          <w:rFonts w:cstheme="minorHAnsi"/>
          <w:sz w:val="24"/>
          <w:szCs w:val="24"/>
        </w:rPr>
        <w:t>9.218,19</w:t>
      </w:r>
      <w:r>
        <w:rPr>
          <w:rFonts w:cstheme="minorHAnsi"/>
          <w:sz w:val="24"/>
          <w:szCs w:val="24"/>
        </w:rPr>
        <w:t xml:space="preserve"> eura ili </w:t>
      </w:r>
      <w:r w:rsidR="00072195">
        <w:rPr>
          <w:rFonts w:cstheme="minorHAnsi"/>
          <w:sz w:val="24"/>
          <w:szCs w:val="24"/>
        </w:rPr>
        <w:t>57,61</w:t>
      </w:r>
      <w:r>
        <w:rPr>
          <w:rFonts w:cstheme="minorHAnsi"/>
          <w:sz w:val="24"/>
          <w:szCs w:val="24"/>
        </w:rPr>
        <w:t>% plana</w:t>
      </w:r>
      <w:r w:rsidR="00072195">
        <w:rPr>
          <w:rFonts w:cstheme="minorHAnsi"/>
          <w:sz w:val="24"/>
          <w:szCs w:val="24"/>
        </w:rPr>
        <w:t>.</w:t>
      </w:r>
    </w:p>
    <w:p w14:paraId="424F884D" w14:textId="77777777" w:rsidR="00CE0508" w:rsidRDefault="00CE0508" w:rsidP="00162757">
      <w:pPr>
        <w:spacing w:after="0"/>
        <w:jc w:val="both"/>
        <w:rPr>
          <w:rFonts w:cstheme="minorHAnsi"/>
          <w:b/>
          <w:sz w:val="24"/>
          <w:szCs w:val="24"/>
        </w:rPr>
      </w:pPr>
    </w:p>
    <w:p w14:paraId="1F95E611" w14:textId="30A5AEE0" w:rsidR="00162757" w:rsidRPr="00501D10" w:rsidRDefault="00162757" w:rsidP="00162757">
      <w:pPr>
        <w:spacing w:after="0"/>
        <w:jc w:val="both"/>
        <w:rPr>
          <w:rFonts w:cstheme="minorHAnsi"/>
          <w:sz w:val="24"/>
          <w:szCs w:val="24"/>
        </w:rPr>
      </w:pPr>
      <w:r w:rsidRPr="00705B49">
        <w:rPr>
          <w:rFonts w:cstheme="minorHAnsi"/>
          <w:b/>
          <w:sz w:val="24"/>
          <w:szCs w:val="24"/>
        </w:rPr>
        <w:t xml:space="preserve">PRORAČUNSKI KORISNICI </w:t>
      </w:r>
    </w:p>
    <w:p w14:paraId="7AAA4C0E" w14:textId="1036B9DE" w:rsidR="0062498C" w:rsidRDefault="0062498C" w:rsidP="0062498C">
      <w:pPr>
        <w:spacing w:after="0" w:line="240" w:lineRule="auto"/>
        <w:jc w:val="both"/>
        <w:rPr>
          <w:rFonts w:cstheme="minorHAnsi"/>
          <w:sz w:val="24"/>
          <w:szCs w:val="24"/>
        </w:rPr>
      </w:pPr>
      <w:r w:rsidRPr="00705B49">
        <w:rPr>
          <w:rFonts w:cstheme="minorHAnsi"/>
          <w:sz w:val="24"/>
          <w:szCs w:val="24"/>
        </w:rPr>
        <w:t xml:space="preserve">Upravni odjel za </w:t>
      </w:r>
      <w:r>
        <w:rPr>
          <w:rFonts w:cstheme="minorHAnsi"/>
          <w:sz w:val="24"/>
          <w:szCs w:val="24"/>
        </w:rPr>
        <w:t>društvene djelatnosti ima 5</w:t>
      </w:r>
      <w:r w:rsidRPr="00705B49">
        <w:rPr>
          <w:rFonts w:cstheme="minorHAnsi"/>
          <w:sz w:val="24"/>
          <w:szCs w:val="24"/>
        </w:rPr>
        <w:t xml:space="preserve"> proračunska korisnika koja su odvojena tako da organizacijski nivo Glava 021</w:t>
      </w:r>
      <w:r>
        <w:rPr>
          <w:rFonts w:cstheme="minorHAnsi"/>
          <w:sz w:val="24"/>
          <w:szCs w:val="24"/>
        </w:rPr>
        <w:t>1</w:t>
      </w:r>
      <w:r w:rsidRPr="00705B49">
        <w:rPr>
          <w:rFonts w:cstheme="minorHAnsi"/>
          <w:sz w:val="24"/>
          <w:szCs w:val="24"/>
        </w:rPr>
        <w:t>1 se odnosi  na Dječji vrtić Trogir u sklopu Programa 1201 – Predškols</w:t>
      </w:r>
      <w:r>
        <w:rPr>
          <w:rFonts w:cstheme="minorHAnsi"/>
          <w:sz w:val="24"/>
          <w:szCs w:val="24"/>
        </w:rPr>
        <w:t>ki odgoj i razvoj školstva,</w:t>
      </w:r>
      <w:r w:rsidRPr="00705B49">
        <w:rPr>
          <w:rFonts w:cstheme="minorHAnsi"/>
          <w:sz w:val="24"/>
          <w:szCs w:val="24"/>
        </w:rPr>
        <w:t xml:space="preserve"> Glava 02</w:t>
      </w:r>
      <w:r>
        <w:rPr>
          <w:rFonts w:cstheme="minorHAnsi"/>
          <w:sz w:val="24"/>
          <w:szCs w:val="24"/>
        </w:rPr>
        <w:t>112</w:t>
      </w:r>
      <w:r w:rsidRPr="00705B49">
        <w:rPr>
          <w:rFonts w:cstheme="minorHAnsi"/>
          <w:sz w:val="24"/>
          <w:szCs w:val="24"/>
        </w:rPr>
        <w:t xml:space="preserve"> </w:t>
      </w:r>
      <w:r>
        <w:rPr>
          <w:rFonts w:cstheme="minorHAnsi"/>
          <w:sz w:val="24"/>
          <w:szCs w:val="24"/>
        </w:rPr>
        <w:t xml:space="preserve">se odnosi na Gradsku knjižnicu Grada Trogira </w:t>
      </w:r>
      <w:r w:rsidRPr="00705B49">
        <w:rPr>
          <w:rFonts w:cstheme="minorHAnsi"/>
          <w:sz w:val="24"/>
          <w:szCs w:val="24"/>
        </w:rPr>
        <w:t>u sklopu Programa 1202 –Kultura</w:t>
      </w:r>
      <w:r>
        <w:rPr>
          <w:rFonts w:cstheme="minorHAnsi"/>
          <w:sz w:val="24"/>
          <w:szCs w:val="24"/>
        </w:rPr>
        <w:t>, Glava 02113 se odnosi na Muzej Grada Trogira u sklopu Programa 1202</w:t>
      </w:r>
      <w:r w:rsidR="00832C9A">
        <w:rPr>
          <w:rFonts w:cstheme="minorHAnsi"/>
          <w:sz w:val="24"/>
          <w:szCs w:val="24"/>
        </w:rPr>
        <w:t>-Kultura</w:t>
      </w:r>
      <w:r>
        <w:rPr>
          <w:rFonts w:cstheme="minorHAnsi"/>
          <w:sz w:val="24"/>
          <w:szCs w:val="24"/>
        </w:rPr>
        <w:t>, Glava 02114- Športski objekti Trogir u sklopu programa 1203- Šport i tehnička kultura te Javna Vatrogasna postrojba također dobiva Glavu 02115 u sklopu programa 1207- Civilna zaštita.</w:t>
      </w:r>
    </w:p>
    <w:p w14:paraId="419AB8A2" w14:textId="67AA0414" w:rsidR="00AE2A28" w:rsidRPr="001119EE" w:rsidRDefault="001119EE" w:rsidP="00AE2A28">
      <w:pPr>
        <w:jc w:val="both"/>
        <w:rPr>
          <w:sz w:val="24"/>
          <w:szCs w:val="24"/>
        </w:rPr>
      </w:pPr>
      <w:r w:rsidRPr="006430C4">
        <w:rPr>
          <w:sz w:val="24"/>
          <w:szCs w:val="24"/>
        </w:rPr>
        <w:t xml:space="preserve">Grad Trogir iz svojih </w:t>
      </w:r>
      <w:r w:rsidR="00CB3053" w:rsidRPr="006430C4">
        <w:rPr>
          <w:sz w:val="24"/>
          <w:szCs w:val="24"/>
        </w:rPr>
        <w:t xml:space="preserve">proračunskih </w:t>
      </w:r>
      <w:r w:rsidRPr="006430C4">
        <w:rPr>
          <w:sz w:val="24"/>
          <w:szCs w:val="24"/>
        </w:rPr>
        <w:t>sredstava je u periodu od siječnja do prosinca 2025. godine financirao rashode poslovanja, rashoda za nabavu nefinancijske imovine te otplatu</w:t>
      </w:r>
      <w:r w:rsidR="00CB3053" w:rsidRPr="006430C4">
        <w:rPr>
          <w:sz w:val="24"/>
          <w:szCs w:val="24"/>
        </w:rPr>
        <w:t xml:space="preserve"> kredita proračunskim korisnicima</w:t>
      </w:r>
      <w:r w:rsidRPr="006430C4">
        <w:rPr>
          <w:sz w:val="24"/>
          <w:szCs w:val="24"/>
        </w:rPr>
        <w:t xml:space="preserve"> u slijedećim iznosima:</w:t>
      </w:r>
    </w:p>
    <w:p w14:paraId="1C5BD542" w14:textId="20182B7D" w:rsidR="001119EE" w:rsidRPr="00A94EE2" w:rsidRDefault="00AE2A28" w:rsidP="001119EE">
      <w:pPr>
        <w:rPr>
          <w:sz w:val="24"/>
          <w:szCs w:val="24"/>
        </w:rPr>
      </w:pPr>
      <w:r w:rsidRPr="00A94EE2">
        <w:rPr>
          <w:b/>
          <w:bCs/>
          <w:sz w:val="24"/>
          <w:szCs w:val="24"/>
        </w:rPr>
        <w:t>Tablica 21</w:t>
      </w:r>
      <w:r w:rsidRPr="00A94EE2">
        <w:rPr>
          <w:sz w:val="24"/>
          <w:szCs w:val="24"/>
        </w:rPr>
        <w:t>: Prikaz prijenosa sredstava Grada po proračunskom korisniku u 2025.godini</w:t>
      </w:r>
    </w:p>
    <w:tbl>
      <w:tblPr>
        <w:tblW w:w="9953" w:type="dxa"/>
        <w:tblLook w:val="04A0" w:firstRow="1" w:lastRow="0" w:firstColumn="1" w:lastColumn="0" w:noHBand="0" w:noVBand="1"/>
      </w:tblPr>
      <w:tblGrid>
        <w:gridCol w:w="2478"/>
        <w:gridCol w:w="1884"/>
        <w:gridCol w:w="2316"/>
        <w:gridCol w:w="1649"/>
        <w:gridCol w:w="1626"/>
      </w:tblGrid>
      <w:tr w:rsidR="00284717" w:rsidRPr="00284717" w14:paraId="1C5CC4EC" w14:textId="77777777" w:rsidTr="00E5330D">
        <w:trPr>
          <w:trHeight w:val="314"/>
        </w:trPr>
        <w:tc>
          <w:tcPr>
            <w:tcW w:w="2507"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44865049" w14:textId="77777777" w:rsidR="00284717" w:rsidRPr="00284717" w:rsidRDefault="00284717" w:rsidP="00284717">
            <w:pPr>
              <w:spacing w:after="0" w:line="240" w:lineRule="auto"/>
              <w:rPr>
                <w:rFonts w:ascii="Calibri" w:eastAsia="Times New Roman" w:hAnsi="Calibri" w:cs="Calibri"/>
                <w:color w:val="000000"/>
                <w:sz w:val="24"/>
                <w:szCs w:val="24"/>
                <w:lang w:eastAsia="hr-HR"/>
              </w:rPr>
            </w:pPr>
            <w:r w:rsidRPr="00284717">
              <w:rPr>
                <w:rFonts w:ascii="Calibri" w:eastAsia="Times New Roman" w:hAnsi="Calibri" w:cs="Calibri"/>
                <w:color w:val="000000"/>
                <w:sz w:val="24"/>
                <w:szCs w:val="24"/>
                <w:lang w:eastAsia="hr-HR"/>
              </w:rPr>
              <w:t>Naziv proračunskog korisnika</w:t>
            </w:r>
          </w:p>
        </w:tc>
        <w:tc>
          <w:tcPr>
            <w:tcW w:w="1894"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6FC2E24C" w14:textId="77777777" w:rsidR="00284717" w:rsidRPr="00284717" w:rsidRDefault="00284717" w:rsidP="00284717">
            <w:pPr>
              <w:spacing w:after="0" w:line="240" w:lineRule="auto"/>
              <w:rPr>
                <w:rFonts w:ascii="Calibri" w:eastAsia="Times New Roman" w:hAnsi="Calibri" w:cs="Calibri"/>
                <w:color w:val="000000"/>
                <w:sz w:val="24"/>
                <w:szCs w:val="24"/>
                <w:lang w:eastAsia="hr-HR"/>
              </w:rPr>
            </w:pPr>
            <w:r w:rsidRPr="00284717">
              <w:rPr>
                <w:rFonts w:ascii="Calibri" w:eastAsia="Times New Roman" w:hAnsi="Calibri" w:cs="Calibri"/>
                <w:color w:val="000000"/>
                <w:sz w:val="24"/>
                <w:szCs w:val="24"/>
                <w:lang w:eastAsia="hr-HR"/>
              </w:rPr>
              <w:t>36721 Prijenosi proračunskim korisnicima iz nadležnog proračuna za financiranje rashoda poslovanja</w:t>
            </w:r>
          </w:p>
        </w:tc>
        <w:tc>
          <w:tcPr>
            <w:tcW w:w="2340" w:type="dxa"/>
            <w:tcBorders>
              <w:top w:val="single" w:sz="8" w:space="0" w:color="auto"/>
              <w:left w:val="nil"/>
              <w:bottom w:val="nil"/>
              <w:right w:val="single" w:sz="8" w:space="0" w:color="auto"/>
            </w:tcBorders>
            <w:shd w:val="clear" w:color="000000" w:fill="BFBFBF"/>
            <w:vAlign w:val="center"/>
            <w:hideMark/>
          </w:tcPr>
          <w:p w14:paraId="22707F63" w14:textId="77777777" w:rsidR="00284717" w:rsidRPr="00284717" w:rsidRDefault="00284717" w:rsidP="00284717">
            <w:pPr>
              <w:spacing w:after="0" w:line="240" w:lineRule="auto"/>
              <w:rPr>
                <w:rFonts w:ascii="Calibri" w:eastAsia="Times New Roman" w:hAnsi="Calibri" w:cs="Calibri"/>
                <w:color w:val="000000"/>
                <w:sz w:val="24"/>
                <w:szCs w:val="24"/>
                <w:lang w:eastAsia="hr-HR"/>
              </w:rPr>
            </w:pPr>
            <w:r w:rsidRPr="00284717">
              <w:rPr>
                <w:rFonts w:ascii="Calibri" w:eastAsia="Times New Roman" w:hAnsi="Calibri" w:cs="Calibri"/>
                <w:color w:val="000000"/>
                <w:sz w:val="24"/>
                <w:szCs w:val="24"/>
                <w:lang w:eastAsia="hr-HR"/>
              </w:rPr>
              <w:t> </w:t>
            </w:r>
          </w:p>
        </w:tc>
        <w:tc>
          <w:tcPr>
            <w:tcW w:w="1652" w:type="dxa"/>
            <w:tcBorders>
              <w:top w:val="single" w:sz="8" w:space="0" w:color="auto"/>
              <w:left w:val="nil"/>
              <w:bottom w:val="nil"/>
              <w:right w:val="single" w:sz="8" w:space="0" w:color="auto"/>
            </w:tcBorders>
            <w:shd w:val="clear" w:color="000000" w:fill="BFBFBF"/>
            <w:vAlign w:val="center"/>
            <w:hideMark/>
          </w:tcPr>
          <w:p w14:paraId="50D3C385" w14:textId="77777777" w:rsidR="00284717" w:rsidRPr="00284717" w:rsidRDefault="00284717" w:rsidP="00284717">
            <w:pPr>
              <w:spacing w:after="0" w:line="240" w:lineRule="auto"/>
              <w:rPr>
                <w:rFonts w:ascii="Calibri" w:eastAsia="Times New Roman" w:hAnsi="Calibri" w:cs="Calibri"/>
                <w:color w:val="000000"/>
                <w:sz w:val="24"/>
                <w:szCs w:val="24"/>
                <w:lang w:eastAsia="hr-HR"/>
              </w:rPr>
            </w:pPr>
            <w:r w:rsidRPr="00284717">
              <w:rPr>
                <w:rFonts w:ascii="Calibri" w:eastAsia="Times New Roman" w:hAnsi="Calibri" w:cs="Calibri"/>
                <w:color w:val="000000"/>
                <w:sz w:val="24"/>
                <w:szCs w:val="24"/>
                <w:lang w:eastAsia="hr-HR"/>
              </w:rPr>
              <w:t> </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670094E3" w14:textId="77777777" w:rsidR="00284717" w:rsidRPr="00284717" w:rsidRDefault="00284717" w:rsidP="00284717">
            <w:pPr>
              <w:spacing w:after="0" w:line="240" w:lineRule="auto"/>
              <w:rPr>
                <w:rFonts w:ascii="Calibri" w:eastAsia="Times New Roman" w:hAnsi="Calibri" w:cs="Calibri"/>
                <w:color w:val="000000"/>
                <w:sz w:val="24"/>
                <w:szCs w:val="24"/>
                <w:lang w:eastAsia="hr-HR"/>
              </w:rPr>
            </w:pPr>
            <w:r w:rsidRPr="00284717">
              <w:rPr>
                <w:rFonts w:ascii="Calibri" w:eastAsia="Times New Roman" w:hAnsi="Calibri" w:cs="Calibri"/>
                <w:color w:val="000000"/>
                <w:sz w:val="24"/>
                <w:szCs w:val="24"/>
                <w:lang w:eastAsia="hr-HR"/>
              </w:rPr>
              <w:t>Ukupni iznos prijenosa sredstava nadležnog proračuna po  proračunskom korisniku</w:t>
            </w:r>
          </w:p>
        </w:tc>
      </w:tr>
      <w:tr w:rsidR="00284717" w:rsidRPr="00284717" w14:paraId="4EB70939" w14:textId="77777777" w:rsidTr="00E5330D">
        <w:trPr>
          <w:trHeight w:val="2528"/>
        </w:trPr>
        <w:tc>
          <w:tcPr>
            <w:tcW w:w="2507" w:type="dxa"/>
            <w:vMerge/>
            <w:tcBorders>
              <w:top w:val="single" w:sz="8" w:space="0" w:color="auto"/>
              <w:left w:val="single" w:sz="8" w:space="0" w:color="auto"/>
              <w:bottom w:val="single" w:sz="8" w:space="0" w:color="000000"/>
              <w:right w:val="single" w:sz="8" w:space="0" w:color="auto"/>
            </w:tcBorders>
            <w:vAlign w:val="center"/>
            <w:hideMark/>
          </w:tcPr>
          <w:p w14:paraId="2DFB6043" w14:textId="77777777" w:rsidR="00284717" w:rsidRPr="00284717" w:rsidRDefault="00284717" w:rsidP="00284717">
            <w:pPr>
              <w:spacing w:after="0" w:line="240" w:lineRule="auto"/>
              <w:rPr>
                <w:rFonts w:ascii="Calibri" w:eastAsia="Times New Roman" w:hAnsi="Calibri" w:cs="Calibri"/>
                <w:color w:val="000000"/>
                <w:sz w:val="24"/>
                <w:szCs w:val="24"/>
                <w:lang w:eastAsia="hr-HR"/>
              </w:rPr>
            </w:pPr>
          </w:p>
        </w:tc>
        <w:tc>
          <w:tcPr>
            <w:tcW w:w="1894" w:type="dxa"/>
            <w:vMerge/>
            <w:tcBorders>
              <w:top w:val="single" w:sz="8" w:space="0" w:color="auto"/>
              <w:left w:val="single" w:sz="8" w:space="0" w:color="auto"/>
              <w:bottom w:val="single" w:sz="8" w:space="0" w:color="000000"/>
              <w:right w:val="single" w:sz="8" w:space="0" w:color="auto"/>
            </w:tcBorders>
            <w:vAlign w:val="center"/>
            <w:hideMark/>
          </w:tcPr>
          <w:p w14:paraId="1FA8AB9B" w14:textId="77777777" w:rsidR="00284717" w:rsidRPr="00284717" w:rsidRDefault="00284717" w:rsidP="00284717">
            <w:pPr>
              <w:spacing w:after="0" w:line="240" w:lineRule="auto"/>
              <w:rPr>
                <w:rFonts w:ascii="Calibri" w:eastAsia="Times New Roman" w:hAnsi="Calibri" w:cs="Calibri"/>
                <w:color w:val="000000"/>
                <w:sz w:val="24"/>
                <w:szCs w:val="24"/>
                <w:lang w:eastAsia="hr-HR"/>
              </w:rPr>
            </w:pPr>
          </w:p>
        </w:tc>
        <w:tc>
          <w:tcPr>
            <w:tcW w:w="2340" w:type="dxa"/>
            <w:tcBorders>
              <w:top w:val="nil"/>
              <w:left w:val="nil"/>
              <w:bottom w:val="single" w:sz="8" w:space="0" w:color="auto"/>
              <w:right w:val="single" w:sz="8" w:space="0" w:color="auto"/>
            </w:tcBorders>
            <w:shd w:val="clear" w:color="000000" w:fill="BFBFBF"/>
            <w:vAlign w:val="center"/>
            <w:hideMark/>
          </w:tcPr>
          <w:p w14:paraId="24CC14CE" w14:textId="77777777" w:rsidR="00284717" w:rsidRPr="00284717" w:rsidRDefault="00284717" w:rsidP="00284717">
            <w:pPr>
              <w:spacing w:after="0" w:line="240" w:lineRule="auto"/>
              <w:rPr>
                <w:rFonts w:ascii="Calibri" w:eastAsia="Times New Roman" w:hAnsi="Calibri" w:cs="Calibri"/>
                <w:color w:val="000000"/>
                <w:sz w:val="24"/>
                <w:szCs w:val="24"/>
                <w:lang w:eastAsia="hr-HR"/>
              </w:rPr>
            </w:pPr>
            <w:r w:rsidRPr="00284717">
              <w:rPr>
                <w:rFonts w:ascii="Calibri" w:eastAsia="Times New Roman" w:hAnsi="Calibri" w:cs="Calibri"/>
                <w:color w:val="000000"/>
                <w:sz w:val="24"/>
                <w:szCs w:val="24"/>
                <w:lang w:eastAsia="hr-HR"/>
              </w:rPr>
              <w:t>36731 Prijenosi proračunskim korisnicima iz nadležnog proračuna za nabavu nefinancijske imovine</w:t>
            </w:r>
          </w:p>
        </w:tc>
        <w:tc>
          <w:tcPr>
            <w:tcW w:w="1652" w:type="dxa"/>
            <w:tcBorders>
              <w:top w:val="nil"/>
              <w:left w:val="nil"/>
              <w:bottom w:val="single" w:sz="8" w:space="0" w:color="auto"/>
              <w:right w:val="single" w:sz="8" w:space="0" w:color="auto"/>
            </w:tcBorders>
            <w:shd w:val="clear" w:color="000000" w:fill="BFBFBF"/>
            <w:vAlign w:val="center"/>
            <w:hideMark/>
          </w:tcPr>
          <w:p w14:paraId="4446DEDB" w14:textId="77777777" w:rsidR="00284717" w:rsidRPr="00284717" w:rsidRDefault="00284717" w:rsidP="00284717">
            <w:pPr>
              <w:spacing w:after="0" w:line="240" w:lineRule="auto"/>
              <w:rPr>
                <w:rFonts w:ascii="Calibri" w:eastAsia="Times New Roman" w:hAnsi="Calibri" w:cs="Calibri"/>
                <w:color w:val="000000"/>
                <w:sz w:val="24"/>
                <w:szCs w:val="24"/>
                <w:lang w:eastAsia="hr-HR"/>
              </w:rPr>
            </w:pPr>
            <w:r w:rsidRPr="00284717">
              <w:rPr>
                <w:rFonts w:ascii="Calibri" w:eastAsia="Times New Roman" w:hAnsi="Calibri" w:cs="Calibri"/>
                <w:color w:val="000000"/>
                <w:sz w:val="24"/>
                <w:szCs w:val="24"/>
                <w:lang w:eastAsia="hr-HR"/>
              </w:rPr>
              <w:t>36741 Prijenosi proračunskim korisnicima iz nadležnog proračuna za financijsku imovinu i otplatu zajmova</w:t>
            </w: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6DE03DFD" w14:textId="77777777" w:rsidR="00284717" w:rsidRPr="00284717" w:rsidRDefault="00284717" w:rsidP="00284717">
            <w:pPr>
              <w:spacing w:after="0" w:line="240" w:lineRule="auto"/>
              <w:rPr>
                <w:rFonts w:ascii="Calibri" w:eastAsia="Times New Roman" w:hAnsi="Calibri" w:cs="Calibri"/>
                <w:color w:val="000000"/>
                <w:sz w:val="24"/>
                <w:szCs w:val="24"/>
                <w:lang w:eastAsia="hr-HR"/>
              </w:rPr>
            </w:pPr>
          </w:p>
        </w:tc>
      </w:tr>
      <w:tr w:rsidR="00284717" w:rsidRPr="00284717" w14:paraId="76FFA498" w14:textId="77777777" w:rsidTr="00E5330D">
        <w:trPr>
          <w:trHeight w:val="314"/>
        </w:trPr>
        <w:tc>
          <w:tcPr>
            <w:tcW w:w="2507" w:type="dxa"/>
            <w:tcBorders>
              <w:top w:val="nil"/>
              <w:left w:val="single" w:sz="8" w:space="0" w:color="auto"/>
              <w:bottom w:val="single" w:sz="8" w:space="0" w:color="auto"/>
              <w:right w:val="single" w:sz="8" w:space="0" w:color="auto"/>
            </w:tcBorders>
            <w:vAlign w:val="center"/>
            <w:hideMark/>
          </w:tcPr>
          <w:p w14:paraId="5EE9A25A" w14:textId="77777777" w:rsidR="00284717" w:rsidRPr="00284717" w:rsidRDefault="00284717" w:rsidP="00284717">
            <w:pPr>
              <w:spacing w:after="0" w:line="240" w:lineRule="auto"/>
              <w:rPr>
                <w:rFonts w:ascii="Calibri" w:eastAsia="Times New Roman" w:hAnsi="Calibri" w:cs="Calibri"/>
                <w:color w:val="000000"/>
                <w:sz w:val="18"/>
                <w:szCs w:val="18"/>
                <w:lang w:eastAsia="hr-HR"/>
              </w:rPr>
            </w:pPr>
            <w:r w:rsidRPr="00284717">
              <w:rPr>
                <w:rFonts w:ascii="Calibri" w:eastAsia="Times New Roman" w:hAnsi="Calibri" w:cs="Calibri"/>
                <w:color w:val="000000"/>
                <w:sz w:val="18"/>
                <w:szCs w:val="18"/>
                <w:lang w:eastAsia="hr-HR"/>
              </w:rPr>
              <w:t>Dječji vrtić Trogir</w:t>
            </w:r>
          </w:p>
        </w:tc>
        <w:tc>
          <w:tcPr>
            <w:tcW w:w="1894" w:type="dxa"/>
            <w:tcBorders>
              <w:top w:val="nil"/>
              <w:left w:val="nil"/>
              <w:bottom w:val="single" w:sz="8" w:space="0" w:color="auto"/>
              <w:right w:val="single" w:sz="8" w:space="0" w:color="auto"/>
            </w:tcBorders>
            <w:vAlign w:val="center"/>
            <w:hideMark/>
          </w:tcPr>
          <w:p w14:paraId="44063DF2" w14:textId="77777777" w:rsidR="00284717" w:rsidRPr="00284717" w:rsidRDefault="00284717" w:rsidP="00284717">
            <w:pPr>
              <w:spacing w:after="0" w:line="240" w:lineRule="auto"/>
              <w:jc w:val="right"/>
              <w:rPr>
                <w:rFonts w:ascii="Calibri" w:eastAsia="Times New Roman" w:hAnsi="Calibri" w:cs="Calibri"/>
                <w:color w:val="000000"/>
                <w:sz w:val="18"/>
                <w:szCs w:val="18"/>
                <w:lang w:eastAsia="hr-HR"/>
              </w:rPr>
            </w:pPr>
            <w:r w:rsidRPr="00284717">
              <w:rPr>
                <w:rFonts w:ascii="Calibri" w:eastAsia="Times New Roman" w:hAnsi="Calibri" w:cs="Calibri"/>
                <w:color w:val="000000"/>
                <w:sz w:val="18"/>
                <w:szCs w:val="18"/>
                <w:lang w:eastAsia="hr-HR"/>
              </w:rPr>
              <w:t>2.234.294,06</w:t>
            </w:r>
          </w:p>
        </w:tc>
        <w:tc>
          <w:tcPr>
            <w:tcW w:w="2340" w:type="dxa"/>
            <w:tcBorders>
              <w:top w:val="nil"/>
              <w:left w:val="nil"/>
              <w:bottom w:val="single" w:sz="8" w:space="0" w:color="auto"/>
              <w:right w:val="single" w:sz="8" w:space="0" w:color="auto"/>
            </w:tcBorders>
            <w:vAlign w:val="center"/>
            <w:hideMark/>
          </w:tcPr>
          <w:p w14:paraId="3E83524B" w14:textId="77777777" w:rsidR="00284717" w:rsidRPr="00284717" w:rsidRDefault="00284717" w:rsidP="00284717">
            <w:pPr>
              <w:spacing w:after="0" w:line="240" w:lineRule="auto"/>
              <w:jc w:val="right"/>
              <w:rPr>
                <w:rFonts w:ascii="Calibri" w:eastAsia="Times New Roman" w:hAnsi="Calibri" w:cs="Calibri"/>
                <w:color w:val="000000"/>
                <w:sz w:val="18"/>
                <w:szCs w:val="18"/>
                <w:lang w:eastAsia="hr-HR"/>
              </w:rPr>
            </w:pPr>
            <w:r w:rsidRPr="00284717">
              <w:rPr>
                <w:rFonts w:ascii="Calibri" w:eastAsia="Times New Roman" w:hAnsi="Calibri" w:cs="Calibri"/>
                <w:color w:val="000000"/>
                <w:sz w:val="18"/>
                <w:szCs w:val="18"/>
                <w:lang w:eastAsia="hr-HR"/>
              </w:rPr>
              <w:t>4.725,00</w:t>
            </w:r>
          </w:p>
        </w:tc>
        <w:tc>
          <w:tcPr>
            <w:tcW w:w="1652" w:type="dxa"/>
            <w:tcBorders>
              <w:top w:val="nil"/>
              <w:left w:val="nil"/>
              <w:bottom w:val="single" w:sz="8" w:space="0" w:color="auto"/>
              <w:right w:val="single" w:sz="8" w:space="0" w:color="auto"/>
            </w:tcBorders>
            <w:vAlign w:val="center"/>
            <w:hideMark/>
          </w:tcPr>
          <w:p w14:paraId="4EF8D7DE" w14:textId="77777777" w:rsidR="00284717" w:rsidRPr="00284717" w:rsidRDefault="00284717" w:rsidP="00284717">
            <w:pPr>
              <w:spacing w:after="0" w:line="240" w:lineRule="auto"/>
              <w:jc w:val="right"/>
              <w:rPr>
                <w:rFonts w:ascii="Calibri" w:eastAsia="Times New Roman" w:hAnsi="Calibri" w:cs="Calibri"/>
                <w:color w:val="000000"/>
                <w:sz w:val="18"/>
                <w:szCs w:val="18"/>
                <w:lang w:eastAsia="hr-HR"/>
              </w:rPr>
            </w:pPr>
            <w:r w:rsidRPr="00284717">
              <w:rPr>
                <w:rFonts w:ascii="Calibri" w:eastAsia="Times New Roman" w:hAnsi="Calibri" w:cs="Calibri"/>
                <w:color w:val="000000"/>
                <w:sz w:val="18"/>
                <w:szCs w:val="18"/>
                <w:lang w:eastAsia="hr-HR"/>
              </w:rPr>
              <w:t>/</w:t>
            </w:r>
          </w:p>
        </w:tc>
        <w:tc>
          <w:tcPr>
            <w:tcW w:w="1560" w:type="dxa"/>
            <w:tcBorders>
              <w:top w:val="nil"/>
              <w:left w:val="nil"/>
              <w:bottom w:val="single" w:sz="8" w:space="0" w:color="auto"/>
              <w:right w:val="single" w:sz="8" w:space="0" w:color="auto"/>
            </w:tcBorders>
            <w:vAlign w:val="center"/>
            <w:hideMark/>
          </w:tcPr>
          <w:p w14:paraId="3B7E4A92" w14:textId="77777777" w:rsidR="00284717" w:rsidRPr="00284717" w:rsidRDefault="00284717" w:rsidP="00284717">
            <w:pPr>
              <w:spacing w:after="0" w:line="240" w:lineRule="auto"/>
              <w:jc w:val="right"/>
              <w:rPr>
                <w:rFonts w:ascii="Calibri" w:eastAsia="Times New Roman" w:hAnsi="Calibri" w:cs="Calibri"/>
                <w:color w:val="000000"/>
                <w:sz w:val="18"/>
                <w:szCs w:val="18"/>
                <w:lang w:eastAsia="hr-HR"/>
              </w:rPr>
            </w:pPr>
            <w:r w:rsidRPr="00284717">
              <w:rPr>
                <w:rFonts w:ascii="Calibri" w:eastAsia="Times New Roman" w:hAnsi="Calibri" w:cs="Calibri"/>
                <w:color w:val="000000"/>
                <w:sz w:val="18"/>
                <w:szCs w:val="18"/>
                <w:lang w:eastAsia="hr-HR"/>
              </w:rPr>
              <w:t>2.239.019,06</w:t>
            </w:r>
          </w:p>
        </w:tc>
      </w:tr>
      <w:tr w:rsidR="00284717" w:rsidRPr="00284717" w14:paraId="531F517F" w14:textId="77777777" w:rsidTr="00E5330D">
        <w:trPr>
          <w:trHeight w:val="403"/>
        </w:trPr>
        <w:tc>
          <w:tcPr>
            <w:tcW w:w="2507" w:type="dxa"/>
            <w:vMerge w:val="restart"/>
            <w:tcBorders>
              <w:top w:val="nil"/>
              <w:left w:val="single" w:sz="8" w:space="0" w:color="auto"/>
              <w:bottom w:val="single" w:sz="8" w:space="0" w:color="000000"/>
              <w:right w:val="single" w:sz="8" w:space="0" w:color="auto"/>
            </w:tcBorders>
            <w:vAlign w:val="center"/>
            <w:hideMark/>
          </w:tcPr>
          <w:p w14:paraId="485A4817" w14:textId="77777777" w:rsidR="00284717" w:rsidRPr="00284717" w:rsidRDefault="00284717" w:rsidP="00284717">
            <w:pPr>
              <w:spacing w:after="0" w:line="240" w:lineRule="auto"/>
              <w:rPr>
                <w:rFonts w:ascii="Calibri" w:eastAsia="Times New Roman" w:hAnsi="Calibri" w:cs="Calibri"/>
                <w:color w:val="000000"/>
                <w:sz w:val="18"/>
                <w:szCs w:val="18"/>
                <w:lang w:eastAsia="hr-HR"/>
              </w:rPr>
            </w:pPr>
            <w:r w:rsidRPr="00284717">
              <w:rPr>
                <w:rFonts w:ascii="Calibri" w:eastAsia="Times New Roman" w:hAnsi="Calibri" w:cs="Calibri"/>
                <w:color w:val="000000"/>
                <w:sz w:val="18"/>
                <w:szCs w:val="18"/>
                <w:lang w:eastAsia="hr-HR"/>
              </w:rPr>
              <w:t>Muzej Grada Trogira</w:t>
            </w:r>
          </w:p>
        </w:tc>
        <w:tc>
          <w:tcPr>
            <w:tcW w:w="1894" w:type="dxa"/>
            <w:tcBorders>
              <w:top w:val="nil"/>
              <w:left w:val="nil"/>
              <w:bottom w:val="nil"/>
              <w:right w:val="single" w:sz="8" w:space="0" w:color="auto"/>
            </w:tcBorders>
            <w:vAlign w:val="center"/>
            <w:hideMark/>
          </w:tcPr>
          <w:p w14:paraId="4A8C7159" w14:textId="77777777" w:rsidR="00284717" w:rsidRPr="00284717" w:rsidRDefault="00284717" w:rsidP="00284717">
            <w:pPr>
              <w:spacing w:after="0" w:line="240" w:lineRule="auto"/>
              <w:jc w:val="right"/>
              <w:rPr>
                <w:rFonts w:ascii="Calibri" w:eastAsia="Times New Roman" w:hAnsi="Calibri" w:cs="Calibri"/>
                <w:color w:val="000000"/>
                <w:sz w:val="18"/>
                <w:szCs w:val="18"/>
                <w:lang w:eastAsia="hr-HR"/>
              </w:rPr>
            </w:pPr>
            <w:r w:rsidRPr="00284717">
              <w:rPr>
                <w:rFonts w:ascii="Calibri" w:eastAsia="Times New Roman" w:hAnsi="Calibri" w:cs="Calibri"/>
                <w:color w:val="000000"/>
                <w:sz w:val="18"/>
                <w:szCs w:val="18"/>
                <w:lang w:eastAsia="hr-HR"/>
              </w:rPr>
              <w:t xml:space="preserve">   </w:t>
            </w:r>
          </w:p>
        </w:tc>
        <w:tc>
          <w:tcPr>
            <w:tcW w:w="2340" w:type="dxa"/>
            <w:vMerge w:val="restart"/>
            <w:tcBorders>
              <w:top w:val="nil"/>
              <w:left w:val="single" w:sz="8" w:space="0" w:color="auto"/>
              <w:bottom w:val="single" w:sz="8" w:space="0" w:color="000000"/>
              <w:right w:val="single" w:sz="8" w:space="0" w:color="auto"/>
            </w:tcBorders>
            <w:vAlign w:val="center"/>
            <w:hideMark/>
          </w:tcPr>
          <w:p w14:paraId="08E538C1" w14:textId="77777777" w:rsidR="00284717" w:rsidRPr="00284717" w:rsidRDefault="00284717" w:rsidP="00284717">
            <w:pPr>
              <w:spacing w:after="0" w:line="240" w:lineRule="auto"/>
              <w:jc w:val="right"/>
              <w:rPr>
                <w:rFonts w:ascii="Calibri" w:eastAsia="Times New Roman" w:hAnsi="Calibri" w:cs="Calibri"/>
                <w:color w:val="000000"/>
                <w:sz w:val="18"/>
                <w:szCs w:val="18"/>
                <w:lang w:eastAsia="hr-HR"/>
              </w:rPr>
            </w:pPr>
            <w:r w:rsidRPr="00284717">
              <w:rPr>
                <w:rFonts w:ascii="Calibri" w:eastAsia="Times New Roman" w:hAnsi="Calibri" w:cs="Calibri"/>
                <w:color w:val="000000"/>
                <w:sz w:val="18"/>
                <w:szCs w:val="18"/>
                <w:lang w:eastAsia="hr-HR"/>
              </w:rPr>
              <w:t>15.156,18</w:t>
            </w:r>
          </w:p>
        </w:tc>
        <w:tc>
          <w:tcPr>
            <w:tcW w:w="1652" w:type="dxa"/>
            <w:vMerge w:val="restart"/>
            <w:tcBorders>
              <w:top w:val="nil"/>
              <w:left w:val="single" w:sz="8" w:space="0" w:color="auto"/>
              <w:bottom w:val="single" w:sz="8" w:space="0" w:color="000000"/>
              <w:right w:val="single" w:sz="8" w:space="0" w:color="auto"/>
            </w:tcBorders>
            <w:vAlign w:val="center"/>
            <w:hideMark/>
          </w:tcPr>
          <w:p w14:paraId="5CBEFA49" w14:textId="77777777" w:rsidR="00284717" w:rsidRPr="00284717" w:rsidRDefault="00284717" w:rsidP="00284717">
            <w:pPr>
              <w:spacing w:after="0" w:line="240" w:lineRule="auto"/>
              <w:jc w:val="right"/>
              <w:rPr>
                <w:rFonts w:ascii="Calibri" w:eastAsia="Times New Roman" w:hAnsi="Calibri" w:cs="Calibri"/>
                <w:color w:val="000000"/>
                <w:sz w:val="18"/>
                <w:szCs w:val="18"/>
                <w:lang w:eastAsia="hr-HR"/>
              </w:rPr>
            </w:pPr>
            <w:r w:rsidRPr="00284717">
              <w:rPr>
                <w:rFonts w:ascii="Calibri" w:eastAsia="Times New Roman" w:hAnsi="Calibri" w:cs="Calibri"/>
                <w:color w:val="000000"/>
                <w:sz w:val="18"/>
                <w:szCs w:val="18"/>
                <w:lang w:eastAsia="hr-HR"/>
              </w:rPr>
              <w:t>/</w:t>
            </w:r>
          </w:p>
        </w:tc>
        <w:tc>
          <w:tcPr>
            <w:tcW w:w="1560" w:type="dxa"/>
            <w:vMerge w:val="restart"/>
            <w:tcBorders>
              <w:top w:val="nil"/>
              <w:left w:val="single" w:sz="8" w:space="0" w:color="auto"/>
              <w:bottom w:val="single" w:sz="8" w:space="0" w:color="000000"/>
              <w:right w:val="single" w:sz="8" w:space="0" w:color="auto"/>
            </w:tcBorders>
            <w:vAlign w:val="center"/>
            <w:hideMark/>
          </w:tcPr>
          <w:p w14:paraId="2594A8E0" w14:textId="77777777" w:rsidR="00284717" w:rsidRPr="00284717" w:rsidRDefault="00284717" w:rsidP="00284717">
            <w:pPr>
              <w:spacing w:after="0" w:line="240" w:lineRule="auto"/>
              <w:jc w:val="right"/>
              <w:rPr>
                <w:rFonts w:ascii="Calibri" w:eastAsia="Times New Roman" w:hAnsi="Calibri" w:cs="Calibri"/>
                <w:color w:val="000000"/>
                <w:sz w:val="18"/>
                <w:szCs w:val="18"/>
                <w:lang w:eastAsia="hr-HR"/>
              </w:rPr>
            </w:pPr>
            <w:r w:rsidRPr="00284717">
              <w:rPr>
                <w:rFonts w:ascii="Calibri" w:eastAsia="Times New Roman" w:hAnsi="Calibri" w:cs="Calibri"/>
                <w:color w:val="000000"/>
                <w:sz w:val="18"/>
                <w:szCs w:val="18"/>
                <w:lang w:eastAsia="hr-HR"/>
              </w:rPr>
              <w:t>363.506,72</w:t>
            </w:r>
          </w:p>
        </w:tc>
      </w:tr>
      <w:tr w:rsidR="00284717" w:rsidRPr="00284717" w14:paraId="3359FB9D" w14:textId="77777777" w:rsidTr="00E5330D">
        <w:trPr>
          <w:trHeight w:val="314"/>
        </w:trPr>
        <w:tc>
          <w:tcPr>
            <w:tcW w:w="2507" w:type="dxa"/>
            <w:vMerge/>
            <w:tcBorders>
              <w:top w:val="nil"/>
              <w:left w:val="single" w:sz="8" w:space="0" w:color="auto"/>
              <w:bottom w:val="single" w:sz="8" w:space="0" w:color="000000"/>
              <w:right w:val="single" w:sz="8" w:space="0" w:color="auto"/>
            </w:tcBorders>
            <w:vAlign w:val="center"/>
            <w:hideMark/>
          </w:tcPr>
          <w:p w14:paraId="738650D9" w14:textId="77777777" w:rsidR="00284717" w:rsidRPr="00284717" w:rsidRDefault="00284717" w:rsidP="00284717">
            <w:pPr>
              <w:spacing w:after="0" w:line="240" w:lineRule="auto"/>
              <w:rPr>
                <w:rFonts w:ascii="Calibri" w:eastAsia="Times New Roman" w:hAnsi="Calibri" w:cs="Calibri"/>
                <w:color w:val="000000"/>
                <w:sz w:val="18"/>
                <w:szCs w:val="18"/>
                <w:lang w:eastAsia="hr-HR"/>
              </w:rPr>
            </w:pPr>
          </w:p>
        </w:tc>
        <w:tc>
          <w:tcPr>
            <w:tcW w:w="1894" w:type="dxa"/>
            <w:tcBorders>
              <w:top w:val="nil"/>
              <w:left w:val="nil"/>
              <w:bottom w:val="single" w:sz="8" w:space="0" w:color="auto"/>
              <w:right w:val="single" w:sz="8" w:space="0" w:color="auto"/>
            </w:tcBorders>
            <w:vAlign w:val="center"/>
            <w:hideMark/>
          </w:tcPr>
          <w:p w14:paraId="02D87B43" w14:textId="77777777" w:rsidR="00284717" w:rsidRPr="00284717" w:rsidRDefault="00284717" w:rsidP="00284717">
            <w:pPr>
              <w:spacing w:after="0" w:line="240" w:lineRule="auto"/>
              <w:jc w:val="right"/>
              <w:rPr>
                <w:rFonts w:ascii="Calibri" w:eastAsia="Times New Roman" w:hAnsi="Calibri" w:cs="Calibri"/>
                <w:color w:val="000000"/>
                <w:sz w:val="18"/>
                <w:szCs w:val="18"/>
                <w:lang w:eastAsia="hr-HR"/>
              </w:rPr>
            </w:pPr>
            <w:r w:rsidRPr="00284717">
              <w:rPr>
                <w:rFonts w:ascii="Calibri" w:eastAsia="Times New Roman" w:hAnsi="Calibri" w:cs="Calibri"/>
                <w:color w:val="000000"/>
                <w:sz w:val="18"/>
                <w:szCs w:val="18"/>
                <w:lang w:eastAsia="hr-HR"/>
              </w:rPr>
              <w:t>349.350,54</w:t>
            </w:r>
          </w:p>
        </w:tc>
        <w:tc>
          <w:tcPr>
            <w:tcW w:w="2340" w:type="dxa"/>
            <w:vMerge/>
            <w:tcBorders>
              <w:top w:val="nil"/>
              <w:left w:val="single" w:sz="8" w:space="0" w:color="auto"/>
              <w:bottom w:val="single" w:sz="8" w:space="0" w:color="000000"/>
              <w:right w:val="single" w:sz="8" w:space="0" w:color="auto"/>
            </w:tcBorders>
            <w:vAlign w:val="center"/>
            <w:hideMark/>
          </w:tcPr>
          <w:p w14:paraId="45FD7881" w14:textId="77777777" w:rsidR="00284717" w:rsidRPr="00284717" w:rsidRDefault="00284717" w:rsidP="00284717">
            <w:pPr>
              <w:spacing w:after="0" w:line="240" w:lineRule="auto"/>
              <w:rPr>
                <w:rFonts w:ascii="Calibri" w:eastAsia="Times New Roman" w:hAnsi="Calibri" w:cs="Calibri"/>
                <w:color w:val="000000"/>
                <w:sz w:val="18"/>
                <w:szCs w:val="18"/>
                <w:lang w:eastAsia="hr-HR"/>
              </w:rPr>
            </w:pPr>
          </w:p>
        </w:tc>
        <w:tc>
          <w:tcPr>
            <w:tcW w:w="1652" w:type="dxa"/>
            <w:vMerge/>
            <w:tcBorders>
              <w:top w:val="nil"/>
              <w:left w:val="single" w:sz="8" w:space="0" w:color="auto"/>
              <w:bottom w:val="single" w:sz="8" w:space="0" w:color="000000"/>
              <w:right w:val="single" w:sz="8" w:space="0" w:color="auto"/>
            </w:tcBorders>
            <w:vAlign w:val="center"/>
            <w:hideMark/>
          </w:tcPr>
          <w:p w14:paraId="2804CB6D" w14:textId="77777777" w:rsidR="00284717" w:rsidRPr="00284717" w:rsidRDefault="00284717" w:rsidP="00284717">
            <w:pPr>
              <w:spacing w:after="0" w:line="240" w:lineRule="auto"/>
              <w:rPr>
                <w:rFonts w:ascii="Calibri" w:eastAsia="Times New Roman" w:hAnsi="Calibri" w:cs="Calibri"/>
                <w:color w:val="000000"/>
                <w:sz w:val="18"/>
                <w:szCs w:val="18"/>
                <w:lang w:eastAsia="hr-HR"/>
              </w:rPr>
            </w:pPr>
          </w:p>
        </w:tc>
        <w:tc>
          <w:tcPr>
            <w:tcW w:w="1560" w:type="dxa"/>
            <w:vMerge/>
            <w:tcBorders>
              <w:top w:val="nil"/>
              <w:left w:val="single" w:sz="8" w:space="0" w:color="auto"/>
              <w:bottom w:val="single" w:sz="8" w:space="0" w:color="000000"/>
              <w:right w:val="single" w:sz="8" w:space="0" w:color="auto"/>
            </w:tcBorders>
            <w:vAlign w:val="center"/>
            <w:hideMark/>
          </w:tcPr>
          <w:p w14:paraId="5AFCE7EB" w14:textId="77777777" w:rsidR="00284717" w:rsidRPr="00284717" w:rsidRDefault="00284717" w:rsidP="00284717">
            <w:pPr>
              <w:spacing w:after="0" w:line="240" w:lineRule="auto"/>
              <w:rPr>
                <w:rFonts w:ascii="Calibri" w:eastAsia="Times New Roman" w:hAnsi="Calibri" w:cs="Calibri"/>
                <w:color w:val="000000"/>
                <w:sz w:val="18"/>
                <w:szCs w:val="18"/>
                <w:lang w:eastAsia="hr-HR"/>
              </w:rPr>
            </w:pPr>
          </w:p>
        </w:tc>
      </w:tr>
      <w:tr w:rsidR="00284717" w:rsidRPr="00284717" w14:paraId="03F36828" w14:textId="77777777" w:rsidTr="00E5330D">
        <w:trPr>
          <w:trHeight w:val="314"/>
        </w:trPr>
        <w:tc>
          <w:tcPr>
            <w:tcW w:w="2507" w:type="dxa"/>
            <w:tcBorders>
              <w:top w:val="nil"/>
              <w:left w:val="single" w:sz="8" w:space="0" w:color="auto"/>
              <w:bottom w:val="single" w:sz="8" w:space="0" w:color="auto"/>
              <w:right w:val="single" w:sz="8" w:space="0" w:color="auto"/>
            </w:tcBorders>
            <w:vAlign w:val="center"/>
            <w:hideMark/>
          </w:tcPr>
          <w:p w14:paraId="1E167653" w14:textId="77777777" w:rsidR="00284717" w:rsidRPr="00284717" w:rsidRDefault="00284717" w:rsidP="00284717">
            <w:pPr>
              <w:spacing w:after="0" w:line="240" w:lineRule="auto"/>
              <w:rPr>
                <w:rFonts w:ascii="Calibri" w:eastAsia="Times New Roman" w:hAnsi="Calibri" w:cs="Calibri"/>
                <w:color w:val="000000"/>
                <w:sz w:val="18"/>
                <w:szCs w:val="18"/>
                <w:lang w:eastAsia="hr-HR"/>
              </w:rPr>
            </w:pPr>
            <w:r w:rsidRPr="00284717">
              <w:rPr>
                <w:rFonts w:ascii="Calibri" w:eastAsia="Times New Roman" w:hAnsi="Calibri" w:cs="Calibri"/>
                <w:color w:val="000000"/>
                <w:sz w:val="18"/>
                <w:szCs w:val="18"/>
                <w:lang w:eastAsia="hr-HR"/>
              </w:rPr>
              <w:t>Gradska knjižnica Trogir</w:t>
            </w:r>
          </w:p>
        </w:tc>
        <w:tc>
          <w:tcPr>
            <w:tcW w:w="1894" w:type="dxa"/>
            <w:tcBorders>
              <w:top w:val="nil"/>
              <w:left w:val="nil"/>
              <w:bottom w:val="single" w:sz="8" w:space="0" w:color="auto"/>
              <w:right w:val="single" w:sz="8" w:space="0" w:color="auto"/>
            </w:tcBorders>
            <w:vAlign w:val="center"/>
            <w:hideMark/>
          </w:tcPr>
          <w:p w14:paraId="5EC62225" w14:textId="77777777" w:rsidR="00284717" w:rsidRPr="00284717" w:rsidRDefault="00284717" w:rsidP="00284717">
            <w:pPr>
              <w:spacing w:after="0" w:line="240" w:lineRule="auto"/>
              <w:jc w:val="right"/>
              <w:rPr>
                <w:rFonts w:ascii="Calibri" w:eastAsia="Times New Roman" w:hAnsi="Calibri" w:cs="Calibri"/>
                <w:color w:val="000000"/>
                <w:sz w:val="18"/>
                <w:szCs w:val="18"/>
                <w:lang w:eastAsia="hr-HR"/>
              </w:rPr>
            </w:pPr>
            <w:r w:rsidRPr="00284717">
              <w:rPr>
                <w:rFonts w:ascii="Calibri" w:eastAsia="Times New Roman" w:hAnsi="Calibri" w:cs="Calibri"/>
                <w:color w:val="000000"/>
                <w:sz w:val="18"/>
                <w:szCs w:val="18"/>
                <w:lang w:eastAsia="hr-HR"/>
              </w:rPr>
              <w:t>151.068,75</w:t>
            </w:r>
          </w:p>
        </w:tc>
        <w:tc>
          <w:tcPr>
            <w:tcW w:w="2340" w:type="dxa"/>
            <w:tcBorders>
              <w:top w:val="nil"/>
              <w:left w:val="nil"/>
              <w:bottom w:val="single" w:sz="8" w:space="0" w:color="auto"/>
              <w:right w:val="single" w:sz="8" w:space="0" w:color="auto"/>
            </w:tcBorders>
            <w:vAlign w:val="center"/>
            <w:hideMark/>
          </w:tcPr>
          <w:p w14:paraId="7218D708" w14:textId="77777777" w:rsidR="00284717" w:rsidRPr="00284717" w:rsidRDefault="00284717" w:rsidP="00284717">
            <w:pPr>
              <w:spacing w:after="0" w:line="240" w:lineRule="auto"/>
              <w:jc w:val="right"/>
              <w:rPr>
                <w:rFonts w:ascii="Calibri" w:eastAsia="Times New Roman" w:hAnsi="Calibri" w:cs="Calibri"/>
                <w:color w:val="000000"/>
                <w:sz w:val="18"/>
                <w:szCs w:val="18"/>
                <w:lang w:eastAsia="hr-HR"/>
              </w:rPr>
            </w:pPr>
            <w:r w:rsidRPr="00284717">
              <w:rPr>
                <w:rFonts w:ascii="Calibri" w:eastAsia="Times New Roman" w:hAnsi="Calibri" w:cs="Calibri"/>
                <w:color w:val="000000"/>
                <w:sz w:val="18"/>
                <w:szCs w:val="18"/>
                <w:lang w:eastAsia="hr-HR"/>
              </w:rPr>
              <w:t>5.748,58</w:t>
            </w:r>
          </w:p>
        </w:tc>
        <w:tc>
          <w:tcPr>
            <w:tcW w:w="1652" w:type="dxa"/>
            <w:tcBorders>
              <w:top w:val="nil"/>
              <w:left w:val="nil"/>
              <w:bottom w:val="single" w:sz="8" w:space="0" w:color="auto"/>
              <w:right w:val="single" w:sz="8" w:space="0" w:color="auto"/>
            </w:tcBorders>
            <w:vAlign w:val="center"/>
            <w:hideMark/>
          </w:tcPr>
          <w:p w14:paraId="3DFE35D5" w14:textId="77777777" w:rsidR="00284717" w:rsidRPr="00284717" w:rsidRDefault="00284717" w:rsidP="00284717">
            <w:pPr>
              <w:spacing w:after="0" w:line="240" w:lineRule="auto"/>
              <w:jc w:val="right"/>
              <w:rPr>
                <w:rFonts w:ascii="Calibri" w:eastAsia="Times New Roman" w:hAnsi="Calibri" w:cs="Calibri"/>
                <w:color w:val="000000"/>
                <w:sz w:val="18"/>
                <w:szCs w:val="18"/>
                <w:lang w:eastAsia="hr-HR"/>
              </w:rPr>
            </w:pPr>
            <w:r w:rsidRPr="00284717">
              <w:rPr>
                <w:rFonts w:ascii="Calibri" w:eastAsia="Times New Roman" w:hAnsi="Calibri" w:cs="Calibri"/>
                <w:color w:val="000000"/>
                <w:sz w:val="18"/>
                <w:szCs w:val="18"/>
                <w:lang w:eastAsia="hr-HR"/>
              </w:rPr>
              <w:t>/</w:t>
            </w:r>
          </w:p>
        </w:tc>
        <w:tc>
          <w:tcPr>
            <w:tcW w:w="1560" w:type="dxa"/>
            <w:tcBorders>
              <w:top w:val="nil"/>
              <w:left w:val="nil"/>
              <w:bottom w:val="single" w:sz="8" w:space="0" w:color="auto"/>
              <w:right w:val="single" w:sz="8" w:space="0" w:color="auto"/>
            </w:tcBorders>
            <w:vAlign w:val="center"/>
            <w:hideMark/>
          </w:tcPr>
          <w:p w14:paraId="5C6403D2" w14:textId="77777777" w:rsidR="00284717" w:rsidRPr="00284717" w:rsidRDefault="00284717" w:rsidP="00284717">
            <w:pPr>
              <w:spacing w:after="0" w:line="240" w:lineRule="auto"/>
              <w:jc w:val="right"/>
              <w:rPr>
                <w:rFonts w:ascii="Calibri" w:eastAsia="Times New Roman" w:hAnsi="Calibri" w:cs="Calibri"/>
                <w:color w:val="000000"/>
                <w:sz w:val="18"/>
                <w:szCs w:val="18"/>
                <w:lang w:eastAsia="hr-HR"/>
              </w:rPr>
            </w:pPr>
            <w:r w:rsidRPr="00284717">
              <w:rPr>
                <w:rFonts w:ascii="Calibri" w:eastAsia="Times New Roman" w:hAnsi="Calibri" w:cs="Calibri"/>
                <w:color w:val="000000"/>
                <w:sz w:val="18"/>
                <w:szCs w:val="18"/>
                <w:lang w:eastAsia="hr-HR"/>
              </w:rPr>
              <w:t>156.817,33</w:t>
            </w:r>
          </w:p>
        </w:tc>
      </w:tr>
      <w:tr w:rsidR="00284717" w:rsidRPr="00284717" w14:paraId="7E1A5A75" w14:textId="77777777" w:rsidTr="00E5330D">
        <w:trPr>
          <w:trHeight w:val="314"/>
        </w:trPr>
        <w:tc>
          <w:tcPr>
            <w:tcW w:w="2507" w:type="dxa"/>
            <w:tcBorders>
              <w:top w:val="nil"/>
              <w:left w:val="single" w:sz="8" w:space="0" w:color="auto"/>
              <w:bottom w:val="single" w:sz="8" w:space="0" w:color="auto"/>
              <w:right w:val="single" w:sz="8" w:space="0" w:color="auto"/>
            </w:tcBorders>
            <w:vAlign w:val="center"/>
            <w:hideMark/>
          </w:tcPr>
          <w:p w14:paraId="2BEF8A58" w14:textId="77777777" w:rsidR="00284717" w:rsidRPr="00284717" w:rsidRDefault="00284717" w:rsidP="00284717">
            <w:pPr>
              <w:spacing w:after="0" w:line="240" w:lineRule="auto"/>
              <w:rPr>
                <w:rFonts w:ascii="Calibri" w:eastAsia="Times New Roman" w:hAnsi="Calibri" w:cs="Calibri"/>
                <w:color w:val="000000"/>
                <w:sz w:val="18"/>
                <w:szCs w:val="18"/>
                <w:lang w:eastAsia="hr-HR"/>
              </w:rPr>
            </w:pPr>
            <w:r w:rsidRPr="00284717">
              <w:rPr>
                <w:rFonts w:ascii="Calibri" w:eastAsia="Times New Roman" w:hAnsi="Calibri" w:cs="Calibri"/>
                <w:color w:val="000000"/>
                <w:sz w:val="18"/>
                <w:szCs w:val="18"/>
                <w:lang w:eastAsia="hr-HR"/>
              </w:rPr>
              <w:t>JVP Grada Trogira</w:t>
            </w:r>
          </w:p>
        </w:tc>
        <w:tc>
          <w:tcPr>
            <w:tcW w:w="1894" w:type="dxa"/>
            <w:tcBorders>
              <w:top w:val="nil"/>
              <w:left w:val="nil"/>
              <w:bottom w:val="single" w:sz="8" w:space="0" w:color="auto"/>
              <w:right w:val="single" w:sz="8" w:space="0" w:color="auto"/>
            </w:tcBorders>
            <w:vAlign w:val="center"/>
            <w:hideMark/>
          </w:tcPr>
          <w:p w14:paraId="1F9B1435" w14:textId="77777777" w:rsidR="00284717" w:rsidRPr="00284717" w:rsidRDefault="00284717" w:rsidP="00284717">
            <w:pPr>
              <w:spacing w:after="0" w:line="240" w:lineRule="auto"/>
              <w:jc w:val="right"/>
              <w:rPr>
                <w:rFonts w:ascii="Calibri" w:eastAsia="Times New Roman" w:hAnsi="Calibri" w:cs="Calibri"/>
                <w:color w:val="000000"/>
                <w:sz w:val="18"/>
                <w:szCs w:val="18"/>
                <w:lang w:eastAsia="hr-HR"/>
              </w:rPr>
            </w:pPr>
            <w:r w:rsidRPr="00284717">
              <w:rPr>
                <w:rFonts w:ascii="Calibri" w:eastAsia="Times New Roman" w:hAnsi="Calibri" w:cs="Calibri"/>
                <w:color w:val="000000"/>
                <w:sz w:val="18"/>
                <w:szCs w:val="18"/>
                <w:lang w:eastAsia="hr-HR"/>
              </w:rPr>
              <w:t>1.362.183,57</w:t>
            </w:r>
          </w:p>
        </w:tc>
        <w:tc>
          <w:tcPr>
            <w:tcW w:w="2340" w:type="dxa"/>
            <w:tcBorders>
              <w:top w:val="nil"/>
              <w:left w:val="nil"/>
              <w:bottom w:val="single" w:sz="8" w:space="0" w:color="auto"/>
              <w:right w:val="single" w:sz="8" w:space="0" w:color="auto"/>
            </w:tcBorders>
            <w:vAlign w:val="center"/>
            <w:hideMark/>
          </w:tcPr>
          <w:p w14:paraId="1B62FE9C" w14:textId="77777777" w:rsidR="00284717" w:rsidRPr="00284717" w:rsidRDefault="00284717" w:rsidP="00284717">
            <w:pPr>
              <w:spacing w:after="0" w:line="240" w:lineRule="auto"/>
              <w:jc w:val="right"/>
              <w:rPr>
                <w:rFonts w:ascii="Calibri" w:eastAsia="Times New Roman" w:hAnsi="Calibri" w:cs="Calibri"/>
                <w:color w:val="000000"/>
                <w:sz w:val="18"/>
                <w:szCs w:val="18"/>
                <w:lang w:eastAsia="hr-HR"/>
              </w:rPr>
            </w:pPr>
            <w:r w:rsidRPr="00284717">
              <w:rPr>
                <w:rFonts w:ascii="Calibri" w:eastAsia="Times New Roman" w:hAnsi="Calibri" w:cs="Calibri"/>
                <w:color w:val="000000"/>
                <w:sz w:val="18"/>
                <w:szCs w:val="18"/>
                <w:lang w:eastAsia="hr-HR"/>
              </w:rPr>
              <w:t>26.277,00</w:t>
            </w:r>
          </w:p>
        </w:tc>
        <w:tc>
          <w:tcPr>
            <w:tcW w:w="1652" w:type="dxa"/>
            <w:tcBorders>
              <w:top w:val="nil"/>
              <w:left w:val="nil"/>
              <w:bottom w:val="single" w:sz="8" w:space="0" w:color="auto"/>
              <w:right w:val="single" w:sz="8" w:space="0" w:color="auto"/>
            </w:tcBorders>
            <w:vAlign w:val="center"/>
            <w:hideMark/>
          </w:tcPr>
          <w:p w14:paraId="3FCE79D8" w14:textId="77777777" w:rsidR="00284717" w:rsidRPr="00284717" w:rsidRDefault="00284717" w:rsidP="00284717">
            <w:pPr>
              <w:spacing w:after="0" w:line="240" w:lineRule="auto"/>
              <w:jc w:val="right"/>
              <w:rPr>
                <w:rFonts w:ascii="Calibri" w:eastAsia="Times New Roman" w:hAnsi="Calibri" w:cs="Calibri"/>
                <w:color w:val="000000"/>
                <w:sz w:val="18"/>
                <w:szCs w:val="18"/>
                <w:lang w:eastAsia="hr-HR"/>
              </w:rPr>
            </w:pPr>
            <w:r w:rsidRPr="00284717">
              <w:rPr>
                <w:rFonts w:ascii="Calibri" w:eastAsia="Times New Roman" w:hAnsi="Calibri" w:cs="Calibri"/>
                <w:color w:val="000000"/>
                <w:sz w:val="18"/>
                <w:szCs w:val="18"/>
                <w:lang w:eastAsia="hr-HR"/>
              </w:rPr>
              <w:t>26.113,20</w:t>
            </w:r>
          </w:p>
        </w:tc>
        <w:tc>
          <w:tcPr>
            <w:tcW w:w="1560" w:type="dxa"/>
            <w:tcBorders>
              <w:top w:val="nil"/>
              <w:left w:val="nil"/>
              <w:bottom w:val="single" w:sz="8" w:space="0" w:color="auto"/>
              <w:right w:val="single" w:sz="8" w:space="0" w:color="auto"/>
            </w:tcBorders>
            <w:vAlign w:val="center"/>
            <w:hideMark/>
          </w:tcPr>
          <w:p w14:paraId="6F251EC5" w14:textId="77777777" w:rsidR="00284717" w:rsidRPr="00284717" w:rsidRDefault="00284717" w:rsidP="00284717">
            <w:pPr>
              <w:spacing w:after="0" w:line="240" w:lineRule="auto"/>
              <w:jc w:val="right"/>
              <w:rPr>
                <w:rFonts w:ascii="Calibri" w:eastAsia="Times New Roman" w:hAnsi="Calibri" w:cs="Calibri"/>
                <w:color w:val="000000"/>
                <w:sz w:val="18"/>
                <w:szCs w:val="18"/>
                <w:lang w:eastAsia="hr-HR"/>
              </w:rPr>
            </w:pPr>
            <w:r w:rsidRPr="00284717">
              <w:rPr>
                <w:rFonts w:ascii="Calibri" w:eastAsia="Times New Roman" w:hAnsi="Calibri" w:cs="Calibri"/>
                <w:color w:val="000000"/>
                <w:sz w:val="18"/>
                <w:szCs w:val="18"/>
                <w:lang w:eastAsia="hr-HR"/>
              </w:rPr>
              <w:t>1.414.573,77</w:t>
            </w:r>
          </w:p>
        </w:tc>
      </w:tr>
      <w:tr w:rsidR="00284717" w:rsidRPr="00284717" w14:paraId="6438122C" w14:textId="77777777" w:rsidTr="00E5330D">
        <w:trPr>
          <w:trHeight w:val="493"/>
        </w:trPr>
        <w:tc>
          <w:tcPr>
            <w:tcW w:w="2507" w:type="dxa"/>
            <w:tcBorders>
              <w:top w:val="nil"/>
              <w:left w:val="single" w:sz="8" w:space="0" w:color="auto"/>
              <w:bottom w:val="single" w:sz="8" w:space="0" w:color="auto"/>
              <w:right w:val="single" w:sz="8" w:space="0" w:color="auto"/>
            </w:tcBorders>
            <w:vAlign w:val="center"/>
            <w:hideMark/>
          </w:tcPr>
          <w:p w14:paraId="540D341D" w14:textId="77777777" w:rsidR="00284717" w:rsidRPr="00284717" w:rsidRDefault="00284717" w:rsidP="00284717">
            <w:pPr>
              <w:spacing w:after="0" w:line="240" w:lineRule="auto"/>
              <w:rPr>
                <w:rFonts w:ascii="Calibri" w:eastAsia="Times New Roman" w:hAnsi="Calibri" w:cs="Calibri"/>
                <w:color w:val="000000"/>
                <w:sz w:val="18"/>
                <w:szCs w:val="18"/>
                <w:lang w:eastAsia="hr-HR"/>
              </w:rPr>
            </w:pPr>
            <w:r w:rsidRPr="00284717">
              <w:rPr>
                <w:rFonts w:ascii="Calibri" w:eastAsia="Times New Roman" w:hAnsi="Calibri" w:cs="Calibri"/>
                <w:color w:val="000000"/>
                <w:sz w:val="18"/>
                <w:szCs w:val="18"/>
                <w:lang w:eastAsia="hr-HR"/>
              </w:rPr>
              <w:t>Javna ustanova Sportski objekti Trogir</w:t>
            </w:r>
          </w:p>
        </w:tc>
        <w:tc>
          <w:tcPr>
            <w:tcW w:w="1894" w:type="dxa"/>
            <w:tcBorders>
              <w:top w:val="nil"/>
              <w:left w:val="nil"/>
              <w:bottom w:val="single" w:sz="8" w:space="0" w:color="auto"/>
              <w:right w:val="single" w:sz="8" w:space="0" w:color="auto"/>
            </w:tcBorders>
            <w:vAlign w:val="center"/>
            <w:hideMark/>
          </w:tcPr>
          <w:p w14:paraId="19950EE2" w14:textId="77777777" w:rsidR="00284717" w:rsidRPr="00284717" w:rsidRDefault="00284717" w:rsidP="00284717">
            <w:pPr>
              <w:spacing w:after="0" w:line="240" w:lineRule="auto"/>
              <w:jc w:val="right"/>
              <w:rPr>
                <w:rFonts w:ascii="Calibri" w:eastAsia="Times New Roman" w:hAnsi="Calibri" w:cs="Calibri"/>
                <w:color w:val="000000"/>
                <w:sz w:val="18"/>
                <w:szCs w:val="18"/>
                <w:lang w:eastAsia="hr-HR"/>
              </w:rPr>
            </w:pPr>
            <w:r w:rsidRPr="00284717">
              <w:rPr>
                <w:rFonts w:ascii="Calibri" w:eastAsia="Times New Roman" w:hAnsi="Calibri" w:cs="Calibri"/>
                <w:color w:val="000000"/>
                <w:sz w:val="18"/>
                <w:szCs w:val="18"/>
                <w:lang w:eastAsia="hr-HR"/>
              </w:rPr>
              <w:t>349.585,00</w:t>
            </w:r>
          </w:p>
        </w:tc>
        <w:tc>
          <w:tcPr>
            <w:tcW w:w="2340" w:type="dxa"/>
            <w:tcBorders>
              <w:top w:val="nil"/>
              <w:left w:val="nil"/>
              <w:bottom w:val="single" w:sz="8" w:space="0" w:color="auto"/>
              <w:right w:val="single" w:sz="8" w:space="0" w:color="auto"/>
            </w:tcBorders>
            <w:vAlign w:val="center"/>
            <w:hideMark/>
          </w:tcPr>
          <w:p w14:paraId="0668BF7C" w14:textId="77777777" w:rsidR="00284717" w:rsidRPr="00284717" w:rsidRDefault="00284717" w:rsidP="00284717">
            <w:pPr>
              <w:spacing w:after="0" w:line="240" w:lineRule="auto"/>
              <w:jc w:val="right"/>
              <w:rPr>
                <w:rFonts w:ascii="Calibri" w:eastAsia="Times New Roman" w:hAnsi="Calibri" w:cs="Calibri"/>
                <w:color w:val="000000"/>
                <w:sz w:val="18"/>
                <w:szCs w:val="18"/>
                <w:lang w:eastAsia="hr-HR"/>
              </w:rPr>
            </w:pPr>
            <w:r w:rsidRPr="00284717">
              <w:rPr>
                <w:rFonts w:ascii="Calibri" w:eastAsia="Times New Roman" w:hAnsi="Calibri" w:cs="Calibri"/>
                <w:color w:val="000000"/>
                <w:sz w:val="18"/>
                <w:szCs w:val="18"/>
                <w:lang w:eastAsia="hr-HR"/>
              </w:rPr>
              <w:t>117.607,07</w:t>
            </w:r>
          </w:p>
        </w:tc>
        <w:tc>
          <w:tcPr>
            <w:tcW w:w="1652" w:type="dxa"/>
            <w:tcBorders>
              <w:top w:val="nil"/>
              <w:left w:val="nil"/>
              <w:bottom w:val="single" w:sz="8" w:space="0" w:color="auto"/>
              <w:right w:val="single" w:sz="8" w:space="0" w:color="auto"/>
            </w:tcBorders>
            <w:vAlign w:val="center"/>
            <w:hideMark/>
          </w:tcPr>
          <w:p w14:paraId="7B86A12E" w14:textId="77777777" w:rsidR="00284717" w:rsidRPr="00284717" w:rsidRDefault="00284717" w:rsidP="00284717">
            <w:pPr>
              <w:spacing w:after="0" w:line="240" w:lineRule="auto"/>
              <w:jc w:val="right"/>
              <w:rPr>
                <w:rFonts w:ascii="Calibri" w:eastAsia="Times New Roman" w:hAnsi="Calibri" w:cs="Calibri"/>
                <w:color w:val="000000"/>
                <w:sz w:val="18"/>
                <w:szCs w:val="18"/>
                <w:lang w:eastAsia="hr-HR"/>
              </w:rPr>
            </w:pPr>
            <w:r w:rsidRPr="00284717">
              <w:rPr>
                <w:rFonts w:ascii="Calibri" w:eastAsia="Times New Roman" w:hAnsi="Calibri" w:cs="Calibri"/>
                <w:color w:val="000000"/>
                <w:sz w:val="18"/>
                <w:szCs w:val="18"/>
                <w:lang w:eastAsia="hr-HR"/>
              </w:rPr>
              <w:t>/</w:t>
            </w:r>
          </w:p>
        </w:tc>
        <w:tc>
          <w:tcPr>
            <w:tcW w:w="1560" w:type="dxa"/>
            <w:tcBorders>
              <w:top w:val="nil"/>
              <w:left w:val="nil"/>
              <w:bottom w:val="single" w:sz="8" w:space="0" w:color="auto"/>
              <w:right w:val="single" w:sz="8" w:space="0" w:color="auto"/>
            </w:tcBorders>
            <w:vAlign w:val="center"/>
            <w:hideMark/>
          </w:tcPr>
          <w:p w14:paraId="76E25732" w14:textId="77777777" w:rsidR="00284717" w:rsidRPr="00284717" w:rsidRDefault="00284717" w:rsidP="00284717">
            <w:pPr>
              <w:spacing w:after="0" w:line="240" w:lineRule="auto"/>
              <w:jc w:val="right"/>
              <w:rPr>
                <w:rFonts w:ascii="Calibri" w:eastAsia="Times New Roman" w:hAnsi="Calibri" w:cs="Calibri"/>
                <w:color w:val="000000"/>
                <w:sz w:val="18"/>
                <w:szCs w:val="18"/>
                <w:lang w:eastAsia="hr-HR"/>
              </w:rPr>
            </w:pPr>
            <w:r w:rsidRPr="00284717">
              <w:rPr>
                <w:rFonts w:ascii="Calibri" w:eastAsia="Times New Roman" w:hAnsi="Calibri" w:cs="Calibri"/>
                <w:color w:val="000000"/>
                <w:sz w:val="18"/>
                <w:szCs w:val="18"/>
                <w:lang w:eastAsia="hr-HR"/>
              </w:rPr>
              <w:t>467.192,07</w:t>
            </w:r>
          </w:p>
        </w:tc>
      </w:tr>
      <w:tr w:rsidR="00284717" w:rsidRPr="00284717" w14:paraId="405E1681" w14:textId="77777777" w:rsidTr="00E5330D">
        <w:trPr>
          <w:trHeight w:val="314"/>
        </w:trPr>
        <w:tc>
          <w:tcPr>
            <w:tcW w:w="2507" w:type="dxa"/>
            <w:tcBorders>
              <w:top w:val="nil"/>
              <w:left w:val="single" w:sz="8" w:space="0" w:color="auto"/>
              <w:bottom w:val="single" w:sz="8" w:space="0" w:color="auto"/>
              <w:right w:val="single" w:sz="8" w:space="0" w:color="auto"/>
            </w:tcBorders>
            <w:vAlign w:val="center"/>
            <w:hideMark/>
          </w:tcPr>
          <w:p w14:paraId="561E094F" w14:textId="77777777" w:rsidR="00284717" w:rsidRPr="00284717" w:rsidRDefault="00284717" w:rsidP="00284717">
            <w:pPr>
              <w:spacing w:after="0" w:line="240" w:lineRule="auto"/>
              <w:rPr>
                <w:rFonts w:ascii="Calibri" w:eastAsia="Times New Roman" w:hAnsi="Calibri" w:cs="Calibri"/>
                <w:color w:val="000000"/>
                <w:sz w:val="18"/>
                <w:szCs w:val="18"/>
                <w:lang w:eastAsia="hr-HR"/>
              </w:rPr>
            </w:pPr>
            <w:r w:rsidRPr="00284717">
              <w:rPr>
                <w:rFonts w:ascii="Calibri" w:eastAsia="Times New Roman" w:hAnsi="Calibri" w:cs="Calibri"/>
                <w:color w:val="000000"/>
                <w:sz w:val="18"/>
                <w:szCs w:val="18"/>
                <w:lang w:eastAsia="hr-HR"/>
              </w:rPr>
              <w:t>SVEUKUPNO</w:t>
            </w:r>
          </w:p>
        </w:tc>
        <w:tc>
          <w:tcPr>
            <w:tcW w:w="1894" w:type="dxa"/>
            <w:tcBorders>
              <w:top w:val="nil"/>
              <w:left w:val="nil"/>
              <w:bottom w:val="single" w:sz="8" w:space="0" w:color="auto"/>
              <w:right w:val="single" w:sz="8" w:space="0" w:color="auto"/>
            </w:tcBorders>
            <w:vAlign w:val="center"/>
            <w:hideMark/>
          </w:tcPr>
          <w:p w14:paraId="5958080B" w14:textId="77777777" w:rsidR="00284717" w:rsidRPr="00284717" w:rsidRDefault="00284717" w:rsidP="00284717">
            <w:pPr>
              <w:spacing w:after="0" w:line="240" w:lineRule="auto"/>
              <w:jc w:val="right"/>
              <w:rPr>
                <w:rFonts w:ascii="Calibri" w:eastAsia="Times New Roman" w:hAnsi="Calibri" w:cs="Calibri"/>
                <w:color w:val="000000"/>
                <w:sz w:val="18"/>
                <w:szCs w:val="18"/>
                <w:lang w:eastAsia="hr-HR"/>
              </w:rPr>
            </w:pPr>
            <w:r w:rsidRPr="00284717">
              <w:rPr>
                <w:rFonts w:ascii="Calibri" w:eastAsia="Times New Roman" w:hAnsi="Calibri" w:cs="Calibri"/>
                <w:color w:val="000000"/>
                <w:sz w:val="18"/>
                <w:szCs w:val="18"/>
                <w:lang w:eastAsia="hr-HR"/>
              </w:rPr>
              <w:t>4.446.481,92</w:t>
            </w:r>
          </w:p>
        </w:tc>
        <w:tc>
          <w:tcPr>
            <w:tcW w:w="2340" w:type="dxa"/>
            <w:tcBorders>
              <w:top w:val="nil"/>
              <w:left w:val="nil"/>
              <w:bottom w:val="single" w:sz="8" w:space="0" w:color="auto"/>
              <w:right w:val="single" w:sz="8" w:space="0" w:color="auto"/>
            </w:tcBorders>
            <w:vAlign w:val="center"/>
            <w:hideMark/>
          </w:tcPr>
          <w:p w14:paraId="213980DD" w14:textId="77777777" w:rsidR="00284717" w:rsidRPr="00284717" w:rsidRDefault="00284717" w:rsidP="00284717">
            <w:pPr>
              <w:spacing w:after="0" w:line="240" w:lineRule="auto"/>
              <w:jc w:val="right"/>
              <w:rPr>
                <w:rFonts w:ascii="Calibri" w:eastAsia="Times New Roman" w:hAnsi="Calibri" w:cs="Calibri"/>
                <w:color w:val="000000"/>
                <w:sz w:val="18"/>
                <w:szCs w:val="18"/>
                <w:lang w:eastAsia="hr-HR"/>
              </w:rPr>
            </w:pPr>
            <w:r w:rsidRPr="00284717">
              <w:rPr>
                <w:rFonts w:ascii="Calibri" w:eastAsia="Times New Roman" w:hAnsi="Calibri" w:cs="Calibri"/>
                <w:color w:val="000000"/>
                <w:sz w:val="18"/>
                <w:szCs w:val="18"/>
                <w:lang w:eastAsia="hr-HR"/>
              </w:rPr>
              <w:t>168.513,83</w:t>
            </w:r>
          </w:p>
        </w:tc>
        <w:tc>
          <w:tcPr>
            <w:tcW w:w="1652" w:type="dxa"/>
            <w:tcBorders>
              <w:top w:val="nil"/>
              <w:left w:val="nil"/>
              <w:bottom w:val="single" w:sz="8" w:space="0" w:color="auto"/>
              <w:right w:val="single" w:sz="8" w:space="0" w:color="auto"/>
            </w:tcBorders>
            <w:vAlign w:val="center"/>
            <w:hideMark/>
          </w:tcPr>
          <w:p w14:paraId="36116338" w14:textId="77777777" w:rsidR="00284717" w:rsidRPr="00284717" w:rsidRDefault="00284717" w:rsidP="00284717">
            <w:pPr>
              <w:spacing w:after="0" w:line="240" w:lineRule="auto"/>
              <w:jc w:val="right"/>
              <w:rPr>
                <w:rFonts w:ascii="Calibri" w:eastAsia="Times New Roman" w:hAnsi="Calibri" w:cs="Calibri"/>
                <w:color w:val="000000"/>
                <w:sz w:val="18"/>
                <w:szCs w:val="18"/>
                <w:lang w:eastAsia="hr-HR"/>
              </w:rPr>
            </w:pPr>
            <w:r w:rsidRPr="00284717">
              <w:rPr>
                <w:rFonts w:ascii="Calibri" w:eastAsia="Times New Roman" w:hAnsi="Calibri" w:cs="Calibri"/>
                <w:color w:val="000000"/>
                <w:sz w:val="18"/>
                <w:szCs w:val="18"/>
                <w:lang w:eastAsia="hr-HR"/>
              </w:rPr>
              <w:t>26.113,20</w:t>
            </w:r>
          </w:p>
        </w:tc>
        <w:tc>
          <w:tcPr>
            <w:tcW w:w="1560" w:type="dxa"/>
            <w:tcBorders>
              <w:top w:val="nil"/>
              <w:left w:val="nil"/>
              <w:bottom w:val="single" w:sz="8" w:space="0" w:color="auto"/>
              <w:right w:val="single" w:sz="8" w:space="0" w:color="auto"/>
            </w:tcBorders>
            <w:vAlign w:val="center"/>
            <w:hideMark/>
          </w:tcPr>
          <w:p w14:paraId="54183961" w14:textId="77777777" w:rsidR="00284717" w:rsidRPr="00284717" w:rsidRDefault="00284717" w:rsidP="00284717">
            <w:pPr>
              <w:spacing w:after="0" w:line="240" w:lineRule="auto"/>
              <w:jc w:val="right"/>
              <w:rPr>
                <w:rFonts w:ascii="Calibri" w:eastAsia="Times New Roman" w:hAnsi="Calibri" w:cs="Calibri"/>
                <w:color w:val="000000"/>
                <w:sz w:val="18"/>
                <w:szCs w:val="18"/>
                <w:lang w:eastAsia="hr-HR"/>
              </w:rPr>
            </w:pPr>
            <w:r w:rsidRPr="00284717">
              <w:rPr>
                <w:rFonts w:ascii="Calibri" w:eastAsia="Times New Roman" w:hAnsi="Calibri" w:cs="Calibri"/>
                <w:color w:val="000000"/>
                <w:sz w:val="18"/>
                <w:szCs w:val="18"/>
                <w:lang w:eastAsia="hr-HR"/>
              </w:rPr>
              <w:t>4.641.108,95</w:t>
            </w:r>
          </w:p>
        </w:tc>
      </w:tr>
    </w:tbl>
    <w:p w14:paraId="5AAC1119" w14:textId="77777777" w:rsidR="00162757" w:rsidRDefault="00162757" w:rsidP="00162757">
      <w:pPr>
        <w:spacing w:after="0" w:line="240" w:lineRule="auto"/>
        <w:jc w:val="both"/>
        <w:rPr>
          <w:rFonts w:ascii="Times New Roman" w:hAnsi="Times New Roman" w:cs="Times New Roman"/>
          <w:sz w:val="24"/>
          <w:szCs w:val="24"/>
          <w:u w:val="single"/>
        </w:rPr>
      </w:pPr>
      <w:r w:rsidRPr="00A01312">
        <w:rPr>
          <w:rFonts w:ascii="Times New Roman" w:hAnsi="Times New Roman" w:cs="Times New Roman"/>
          <w:sz w:val="24"/>
          <w:szCs w:val="24"/>
          <w:u w:val="single"/>
        </w:rPr>
        <w:lastRenderedPageBreak/>
        <w:t>Glava 02101 DJEČJI VRTIĆ TROGIR</w:t>
      </w:r>
    </w:p>
    <w:p w14:paraId="2F845C56" w14:textId="77777777" w:rsidR="002B75AD" w:rsidRDefault="002B75AD" w:rsidP="00162757">
      <w:pPr>
        <w:spacing w:after="0" w:line="240" w:lineRule="auto"/>
        <w:jc w:val="both"/>
        <w:rPr>
          <w:rFonts w:ascii="Times New Roman" w:hAnsi="Times New Roman" w:cs="Times New Roman"/>
          <w:sz w:val="24"/>
          <w:szCs w:val="24"/>
          <w:u w:val="single"/>
        </w:rPr>
      </w:pPr>
    </w:p>
    <w:p w14:paraId="2036B464" w14:textId="77777777" w:rsidR="002B75AD" w:rsidRPr="002B75AD" w:rsidRDefault="002B75AD" w:rsidP="002B75AD">
      <w:pPr>
        <w:spacing w:after="0" w:line="240" w:lineRule="auto"/>
        <w:jc w:val="both"/>
        <w:rPr>
          <w:rFonts w:cstheme="minorHAnsi"/>
          <w:sz w:val="24"/>
          <w:szCs w:val="24"/>
        </w:rPr>
      </w:pPr>
      <w:r w:rsidRPr="002B75AD">
        <w:rPr>
          <w:rFonts w:cstheme="minorHAnsi"/>
          <w:sz w:val="24"/>
          <w:szCs w:val="24"/>
        </w:rPr>
        <w:t xml:space="preserve">DV „Trogir“ je javna ustanova koja obavlja djelatnost predškolskog odgoja i naobrazbe. Cilj odgojno – obrazovne aktivnosti je stalna težnja ka zadovoljavanju djetetovih potreba, te poticanje razvoja svih aspekata djetetove ličnosti: socijalnog, emocionalnog, spoznajnog i tjelesnog. Za ostvarivanje postavljenog cilja u DV „Trogir“ se primjenjuju suvremene spoznaje i humanistički pristup teoriji i praksi predškolskog odgoja. Osnovna značajka ovog pristupa je usmjerenost na dijete i grupu djece. </w:t>
      </w:r>
    </w:p>
    <w:p w14:paraId="6DB319B9" w14:textId="77777777" w:rsidR="002B75AD" w:rsidRPr="002B75AD" w:rsidRDefault="002B75AD" w:rsidP="002B75AD">
      <w:pPr>
        <w:spacing w:after="0" w:line="240" w:lineRule="auto"/>
        <w:jc w:val="both"/>
        <w:rPr>
          <w:rFonts w:cstheme="minorHAnsi"/>
          <w:sz w:val="24"/>
          <w:szCs w:val="24"/>
        </w:rPr>
      </w:pPr>
    </w:p>
    <w:p w14:paraId="68766F46" w14:textId="5BB21117" w:rsidR="002B75AD" w:rsidRDefault="002B75AD" w:rsidP="002B75AD">
      <w:pPr>
        <w:pStyle w:val="Bezproreda"/>
        <w:jc w:val="both"/>
        <w:rPr>
          <w:rFonts w:asciiTheme="minorHAnsi" w:hAnsiTheme="minorHAnsi" w:cstheme="minorHAnsi"/>
          <w:sz w:val="24"/>
          <w:szCs w:val="24"/>
        </w:rPr>
      </w:pPr>
      <w:r w:rsidRPr="002B75AD">
        <w:rPr>
          <w:rFonts w:asciiTheme="minorHAnsi" w:hAnsiTheme="minorHAnsi" w:cstheme="minorHAnsi"/>
          <w:sz w:val="24"/>
          <w:szCs w:val="24"/>
        </w:rPr>
        <w:t xml:space="preserve">Svoje redovite programe odgoja, naobrazbe, njege, zdravstvene zaštite i socijalne skrbi DV „Trogir“ ostvaruje kroz 23 odgojne skupine od kojih su 4 jasličke odgojno-obrazovne skupine za djecu od navršene prve godine do treće godine. Ostalih 19 odgojnih obrazovnih skupina su mješovite dobne skupine koje obuhvaćaju djecu od tri godine do polaska u školu: 12 cjelodnevnih boravaka ( 10-satnih ),1 jutarnji 8-satni program, 2 popodnevna 5-satna programa, 2 jutarnja 6-satna programa, program </w:t>
      </w:r>
      <w:proofErr w:type="spellStart"/>
      <w:r w:rsidRPr="002B75AD">
        <w:rPr>
          <w:rFonts w:asciiTheme="minorHAnsi" w:hAnsiTheme="minorHAnsi" w:cstheme="minorHAnsi"/>
          <w:sz w:val="24"/>
          <w:szCs w:val="24"/>
        </w:rPr>
        <w:t>predškole</w:t>
      </w:r>
      <w:proofErr w:type="spellEnd"/>
      <w:r w:rsidRPr="002B75AD">
        <w:rPr>
          <w:rFonts w:asciiTheme="minorHAnsi" w:hAnsiTheme="minorHAnsi" w:cstheme="minorHAnsi"/>
          <w:sz w:val="24"/>
          <w:szCs w:val="24"/>
        </w:rPr>
        <w:t xml:space="preserve"> u poslijepodnevnim satima, te posebni verificirani  program za djecu sa teškoćama u razvoju. </w:t>
      </w:r>
    </w:p>
    <w:p w14:paraId="04784D3B" w14:textId="77777777" w:rsidR="002B75AD" w:rsidRPr="002B75AD" w:rsidRDefault="002B75AD" w:rsidP="002B75AD">
      <w:pPr>
        <w:pStyle w:val="Bezproreda"/>
        <w:jc w:val="both"/>
        <w:rPr>
          <w:rFonts w:asciiTheme="minorHAnsi" w:hAnsiTheme="minorHAnsi" w:cstheme="minorHAnsi"/>
          <w:sz w:val="24"/>
          <w:szCs w:val="24"/>
        </w:rPr>
      </w:pPr>
    </w:p>
    <w:p w14:paraId="2297C4CC" w14:textId="77777777" w:rsidR="002B75AD" w:rsidRPr="002B75AD" w:rsidRDefault="002B75AD" w:rsidP="002B75AD">
      <w:pPr>
        <w:contextualSpacing/>
        <w:rPr>
          <w:rFonts w:eastAsia="Times New Roman" w:cstheme="minorHAnsi"/>
          <w:sz w:val="24"/>
          <w:szCs w:val="24"/>
        </w:rPr>
      </w:pPr>
      <w:r w:rsidRPr="002B75AD">
        <w:rPr>
          <w:rFonts w:eastAsia="Times New Roman" w:cstheme="minorHAnsi"/>
          <w:sz w:val="24"/>
          <w:szCs w:val="24"/>
        </w:rPr>
        <w:t>Dječji vrtić Trogir  provodi sljedeći program kroz svoje aktivnosti i projekte:</w:t>
      </w:r>
    </w:p>
    <w:p w14:paraId="33657CF5" w14:textId="77777777" w:rsidR="002B75AD" w:rsidRPr="002B75AD" w:rsidRDefault="002B75AD" w:rsidP="002B75AD">
      <w:pPr>
        <w:contextualSpacing/>
        <w:rPr>
          <w:rFonts w:eastAsia="Times New Roman" w:cstheme="minorHAnsi"/>
          <w:sz w:val="24"/>
          <w:szCs w:val="24"/>
        </w:rPr>
      </w:pPr>
    </w:p>
    <w:p w14:paraId="57779B58" w14:textId="2E5D7F22" w:rsidR="002B75AD" w:rsidRPr="002B75AD" w:rsidRDefault="002B75AD" w:rsidP="002B75AD">
      <w:pPr>
        <w:contextualSpacing/>
        <w:rPr>
          <w:rFonts w:eastAsia="Times New Roman" w:cstheme="minorHAnsi"/>
          <w:sz w:val="24"/>
          <w:szCs w:val="24"/>
        </w:rPr>
      </w:pPr>
      <w:r w:rsidRPr="002B75AD">
        <w:rPr>
          <w:rFonts w:eastAsia="Times New Roman" w:cstheme="minorHAnsi"/>
          <w:sz w:val="24"/>
          <w:szCs w:val="24"/>
        </w:rPr>
        <w:t>PROGRAM: 1201 PREDŠKOLSKI ODGOJ I RAZVOJ ŠKOLSTVA</w:t>
      </w:r>
    </w:p>
    <w:p w14:paraId="488E7789" w14:textId="17CD4E28" w:rsidR="002B75AD" w:rsidRPr="002B75AD" w:rsidRDefault="002B75AD" w:rsidP="002B75AD">
      <w:pPr>
        <w:contextualSpacing/>
        <w:rPr>
          <w:rFonts w:eastAsia="Times New Roman" w:cstheme="minorHAnsi"/>
          <w:sz w:val="24"/>
          <w:szCs w:val="24"/>
        </w:rPr>
      </w:pPr>
      <w:r w:rsidRPr="002B75AD">
        <w:rPr>
          <w:rFonts w:eastAsia="Times New Roman" w:cstheme="minorHAnsi"/>
          <w:sz w:val="24"/>
          <w:szCs w:val="24"/>
        </w:rPr>
        <w:t xml:space="preserve">Unutar </w:t>
      </w:r>
      <w:r>
        <w:rPr>
          <w:rFonts w:eastAsia="Times New Roman" w:cstheme="minorHAnsi"/>
          <w:sz w:val="24"/>
          <w:szCs w:val="24"/>
        </w:rPr>
        <w:t xml:space="preserve">navedenog programa planirano je 5 aktivnosti i 2 kapitalna projekta: </w:t>
      </w:r>
    </w:p>
    <w:p w14:paraId="24D04BF9" w14:textId="4A717557" w:rsidR="002B75AD" w:rsidRDefault="002B75AD" w:rsidP="002B75AD">
      <w:pPr>
        <w:spacing w:after="0" w:line="276" w:lineRule="auto"/>
        <w:rPr>
          <w:rFonts w:eastAsia="Times New Roman" w:cstheme="minorHAnsi"/>
          <w:sz w:val="24"/>
          <w:szCs w:val="24"/>
        </w:rPr>
      </w:pPr>
      <w:r w:rsidRPr="002B75AD">
        <w:rPr>
          <w:rFonts w:eastAsia="Times New Roman" w:cstheme="minorHAnsi"/>
          <w:sz w:val="24"/>
          <w:szCs w:val="24"/>
        </w:rPr>
        <w:t xml:space="preserve"> A100001  Financiranje redovne djelatnosti</w:t>
      </w:r>
    </w:p>
    <w:p w14:paraId="65124EF8" w14:textId="40610EA1" w:rsidR="002B75AD" w:rsidRDefault="002B75AD" w:rsidP="002B75AD">
      <w:pPr>
        <w:spacing w:after="0" w:line="276" w:lineRule="auto"/>
        <w:rPr>
          <w:rFonts w:eastAsia="Times New Roman" w:cstheme="minorHAnsi"/>
          <w:sz w:val="24"/>
          <w:szCs w:val="24"/>
        </w:rPr>
      </w:pPr>
      <w:r>
        <w:rPr>
          <w:rFonts w:eastAsia="Times New Roman" w:cstheme="minorHAnsi"/>
          <w:sz w:val="24"/>
          <w:szCs w:val="24"/>
        </w:rPr>
        <w:t xml:space="preserve"> </w:t>
      </w:r>
      <w:r w:rsidRPr="002B75AD">
        <w:rPr>
          <w:rFonts w:eastAsia="Times New Roman" w:cstheme="minorHAnsi"/>
          <w:sz w:val="24"/>
          <w:szCs w:val="24"/>
        </w:rPr>
        <w:t>A100042 Sufinanciranje programa djece  s teškoćama</w:t>
      </w:r>
    </w:p>
    <w:p w14:paraId="7FDFFE77" w14:textId="77777777" w:rsidR="002B75AD" w:rsidRDefault="002B75AD" w:rsidP="002B75AD">
      <w:pPr>
        <w:spacing w:after="0" w:line="276" w:lineRule="auto"/>
        <w:rPr>
          <w:rFonts w:eastAsia="Times New Roman" w:cstheme="minorHAnsi"/>
          <w:sz w:val="24"/>
          <w:szCs w:val="24"/>
        </w:rPr>
      </w:pPr>
      <w:r w:rsidRPr="002B75AD">
        <w:rPr>
          <w:rFonts w:eastAsia="Times New Roman" w:cstheme="minorHAnsi"/>
          <w:sz w:val="24"/>
          <w:szCs w:val="24"/>
        </w:rPr>
        <w:t xml:space="preserve"> A100043  Sufinanciranje programa </w:t>
      </w:r>
      <w:proofErr w:type="spellStart"/>
      <w:r w:rsidRPr="002B75AD">
        <w:rPr>
          <w:rFonts w:eastAsia="Times New Roman" w:cstheme="minorHAnsi"/>
          <w:sz w:val="24"/>
          <w:szCs w:val="24"/>
        </w:rPr>
        <w:t>predškole</w:t>
      </w:r>
      <w:proofErr w:type="spellEnd"/>
    </w:p>
    <w:p w14:paraId="44315E3E" w14:textId="68D4B81D" w:rsidR="002B75AD" w:rsidRDefault="002B75AD" w:rsidP="002B75AD">
      <w:pPr>
        <w:spacing w:after="0" w:line="276" w:lineRule="auto"/>
        <w:rPr>
          <w:rFonts w:eastAsia="Times New Roman" w:cstheme="minorHAnsi"/>
          <w:sz w:val="24"/>
          <w:szCs w:val="24"/>
        </w:rPr>
      </w:pPr>
      <w:r w:rsidRPr="002B75AD">
        <w:rPr>
          <w:rFonts w:eastAsia="Times New Roman" w:cstheme="minorHAnsi"/>
          <w:sz w:val="24"/>
          <w:szCs w:val="24"/>
        </w:rPr>
        <w:t xml:space="preserve"> A100049 Suradnja sa HZZ-om u zapošljavanju</w:t>
      </w:r>
    </w:p>
    <w:p w14:paraId="79198ED7" w14:textId="31DA8606" w:rsidR="002B75AD" w:rsidRPr="002B75AD" w:rsidRDefault="002B75AD" w:rsidP="002B75AD">
      <w:pPr>
        <w:spacing w:after="0" w:line="276" w:lineRule="auto"/>
        <w:rPr>
          <w:rFonts w:eastAsia="Times New Roman" w:cstheme="minorHAnsi"/>
          <w:sz w:val="24"/>
          <w:szCs w:val="24"/>
        </w:rPr>
      </w:pPr>
      <w:r w:rsidRPr="002B75AD">
        <w:rPr>
          <w:rFonts w:eastAsia="Times New Roman" w:cstheme="minorHAnsi"/>
          <w:sz w:val="24"/>
          <w:szCs w:val="24"/>
        </w:rPr>
        <w:t xml:space="preserve"> A100084 Sufinanciranje programa darovita djeca</w:t>
      </w:r>
    </w:p>
    <w:p w14:paraId="7A949CA8" w14:textId="77777777" w:rsidR="002B75AD" w:rsidRDefault="002B75AD" w:rsidP="002B75AD">
      <w:pPr>
        <w:spacing w:after="0" w:line="276" w:lineRule="auto"/>
        <w:rPr>
          <w:rFonts w:eastAsia="Times New Roman" w:cstheme="minorHAnsi"/>
          <w:sz w:val="24"/>
          <w:szCs w:val="24"/>
        </w:rPr>
      </w:pPr>
      <w:r w:rsidRPr="002B75AD">
        <w:rPr>
          <w:rFonts w:eastAsia="Times New Roman" w:cstheme="minorHAnsi"/>
          <w:sz w:val="24"/>
          <w:szCs w:val="24"/>
        </w:rPr>
        <w:t xml:space="preserve"> K100044 Uređenje dječjih igrališ</w:t>
      </w:r>
      <w:r>
        <w:rPr>
          <w:rFonts w:eastAsia="Times New Roman" w:cstheme="minorHAnsi"/>
          <w:sz w:val="24"/>
          <w:szCs w:val="24"/>
        </w:rPr>
        <w:t>ta</w:t>
      </w:r>
    </w:p>
    <w:p w14:paraId="16F2F07B" w14:textId="7D8536CF" w:rsidR="002B75AD" w:rsidRPr="002B75AD" w:rsidRDefault="002B75AD" w:rsidP="002B75AD">
      <w:pPr>
        <w:spacing w:after="0" w:line="276" w:lineRule="auto"/>
        <w:rPr>
          <w:rFonts w:eastAsia="Times New Roman" w:cstheme="minorHAnsi"/>
          <w:sz w:val="24"/>
          <w:szCs w:val="24"/>
        </w:rPr>
      </w:pPr>
      <w:r w:rsidRPr="002B75AD">
        <w:rPr>
          <w:rFonts w:eastAsia="Times New Roman" w:cstheme="minorHAnsi"/>
          <w:sz w:val="24"/>
          <w:szCs w:val="24"/>
        </w:rPr>
        <w:t xml:space="preserve"> K100054 Nabava opreme za centralnu kuhinju</w:t>
      </w:r>
    </w:p>
    <w:p w14:paraId="6FB78327" w14:textId="77777777" w:rsidR="002B75AD" w:rsidRDefault="002B75AD" w:rsidP="00162757">
      <w:pPr>
        <w:spacing w:after="0" w:line="240" w:lineRule="auto"/>
        <w:jc w:val="both"/>
        <w:rPr>
          <w:rFonts w:ascii="Times New Roman" w:hAnsi="Times New Roman" w:cs="Times New Roman"/>
          <w:sz w:val="24"/>
          <w:szCs w:val="24"/>
          <w:u w:val="single"/>
        </w:rPr>
      </w:pPr>
    </w:p>
    <w:p w14:paraId="75372CEE" w14:textId="43C5742A" w:rsidR="002B75AD" w:rsidRPr="002B75AD" w:rsidRDefault="002B75AD" w:rsidP="002B75AD">
      <w:pPr>
        <w:spacing w:after="0"/>
        <w:rPr>
          <w:rFonts w:cstheme="minorHAnsi"/>
          <w:bCs/>
          <w:iCs/>
          <w:sz w:val="24"/>
          <w:szCs w:val="24"/>
          <w:u w:val="single"/>
        </w:rPr>
      </w:pPr>
      <w:r w:rsidRPr="002B75AD">
        <w:rPr>
          <w:rFonts w:cstheme="minorHAnsi"/>
          <w:bCs/>
          <w:iCs/>
          <w:sz w:val="24"/>
          <w:szCs w:val="24"/>
          <w:u w:val="single"/>
        </w:rPr>
        <w:t>Aktivnost  Financiranje redovne djelatnosti</w:t>
      </w:r>
      <w:r>
        <w:rPr>
          <w:rFonts w:cstheme="minorHAnsi"/>
          <w:bCs/>
          <w:iCs/>
          <w:sz w:val="24"/>
          <w:szCs w:val="24"/>
          <w:u w:val="single"/>
        </w:rPr>
        <w:t>-dječji vrtić Trogir</w:t>
      </w:r>
    </w:p>
    <w:p w14:paraId="0AD37693" w14:textId="59E2F981" w:rsidR="00935E42" w:rsidRDefault="002B75AD" w:rsidP="002B75AD">
      <w:pPr>
        <w:spacing w:after="0" w:line="240" w:lineRule="auto"/>
        <w:jc w:val="both"/>
        <w:rPr>
          <w:rFonts w:ascii="Arial" w:eastAsia="Times New Roman" w:hAnsi="Arial" w:cs="Arial"/>
        </w:rPr>
      </w:pPr>
      <w:r w:rsidRPr="002B75AD">
        <w:rPr>
          <w:rFonts w:eastAsia="Times New Roman" w:cstheme="minorHAnsi"/>
          <w:sz w:val="24"/>
          <w:szCs w:val="24"/>
        </w:rPr>
        <w:t>Temeljna uloga predškolskog odgoja i obrazovanja odnosi se na stvaranje uvjeta za potpun i skladan razvoj djetetove osobnosti, doprinosi kvaliteti njegova odrastanja i posredno, kvaliteti njegova obiteljskog života. Za nesmetan rad ustanove osigurana su  sredstva za izdatke za zaposlene, te materijalne i financijske rashode za potrebe djelatnosti sukladno standardima u redovitim programima u dječjem vrtiću u 10- satnom trajanju, 8-satnom trajanju,  6-satnom trajanju i 5-satnom trajanju. U svim programima zadovoljavaju se potrebe i interesi djece, kao i potrebe njihovih roditelja. Programi potiču cjelovit razvoj djeteta, njegovih sposobnosti i mogućnosti</w:t>
      </w:r>
      <w:r w:rsidRPr="00077C9A">
        <w:rPr>
          <w:rFonts w:ascii="Arial" w:eastAsia="Times New Roman" w:hAnsi="Arial" w:cs="Arial"/>
        </w:rPr>
        <w:t>.</w:t>
      </w:r>
    </w:p>
    <w:p w14:paraId="2CF2B14F" w14:textId="77777777" w:rsidR="002B75AD" w:rsidRPr="002B75AD" w:rsidRDefault="002B75AD" w:rsidP="002B75AD">
      <w:pPr>
        <w:spacing w:after="0" w:line="240" w:lineRule="auto"/>
        <w:jc w:val="both"/>
        <w:rPr>
          <w:rFonts w:ascii="Arial" w:eastAsia="Times New Roman" w:hAnsi="Arial" w:cs="Arial"/>
        </w:rPr>
      </w:pPr>
    </w:p>
    <w:p w14:paraId="36C95566" w14:textId="77777777" w:rsidR="005F4FCC" w:rsidRPr="005F4FCC" w:rsidRDefault="005F4FCC">
      <w:pPr>
        <w:pStyle w:val="Odlomakpopisa"/>
        <w:numPr>
          <w:ilvl w:val="1"/>
          <w:numId w:val="30"/>
        </w:numPr>
        <w:spacing w:after="200" w:line="276" w:lineRule="auto"/>
        <w:rPr>
          <w:rFonts w:asciiTheme="minorHAnsi" w:hAnsiTheme="minorHAnsi" w:cstheme="minorHAnsi"/>
          <w:b/>
          <w:sz w:val="24"/>
          <w:szCs w:val="24"/>
        </w:rPr>
      </w:pPr>
      <w:r w:rsidRPr="005F4FCC">
        <w:rPr>
          <w:rFonts w:asciiTheme="minorHAnsi" w:hAnsiTheme="minorHAnsi" w:cstheme="minorHAnsi"/>
          <w:b/>
          <w:sz w:val="24"/>
          <w:szCs w:val="24"/>
        </w:rPr>
        <w:t>OPĆI PRIHODI I PIMICI – Grad Trogir</w:t>
      </w:r>
    </w:p>
    <w:p w14:paraId="339BC1A0" w14:textId="5F453347" w:rsidR="005F4FCC" w:rsidRPr="001169B0" w:rsidRDefault="005F4FCC" w:rsidP="001169B0">
      <w:pPr>
        <w:jc w:val="both"/>
        <w:rPr>
          <w:rFonts w:cstheme="minorHAnsi"/>
          <w:color w:val="000000" w:themeColor="text1"/>
          <w:sz w:val="24"/>
          <w:szCs w:val="24"/>
        </w:rPr>
      </w:pPr>
      <w:r w:rsidRPr="001169B0">
        <w:rPr>
          <w:rFonts w:cstheme="minorHAnsi"/>
          <w:sz w:val="24"/>
          <w:szCs w:val="24"/>
        </w:rPr>
        <w:t xml:space="preserve">Sredstva iz navedenog izvora osigurava Grad Trogir kontinuirano prema mjesečnim zahtjevima Dječjeg vrtića Trogir. Prihodi iz navedenog izvora u godišnjem izvještajnom razdoblju iznose </w:t>
      </w:r>
      <w:r w:rsidR="007D1E33">
        <w:rPr>
          <w:rFonts w:cstheme="minorHAnsi"/>
          <w:sz w:val="24"/>
          <w:szCs w:val="24"/>
        </w:rPr>
        <w:t>1.966.419,06</w:t>
      </w:r>
      <w:r w:rsidRPr="001169B0">
        <w:rPr>
          <w:rFonts w:cstheme="minorHAnsi"/>
          <w:sz w:val="24"/>
          <w:szCs w:val="24"/>
        </w:rPr>
        <w:t xml:space="preserve"> </w:t>
      </w:r>
      <w:r w:rsidR="00D84542" w:rsidRPr="001169B0">
        <w:rPr>
          <w:rFonts w:cstheme="minorHAnsi"/>
          <w:sz w:val="24"/>
          <w:szCs w:val="24"/>
        </w:rPr>
        <w:t>eura</w:t>
      </w:r>
      <w:r w:rsidRPr="001169B0">
        <w:rPr>
          <w:rFonts w:cstheme="minorHAnsi"/>
          <w:color w:val="000000" w:themeColor="text1"/>
          <w:sz w:val="24"/>
          <w:szCs w:val="24"/>
        </w:rPr>
        <w:t xml:space="preserve">, što iznosi </w:t>
      </w:r>
      <w:r w:rsidR="007D1E33">
        <w:rPr>
          <w:rFonts w:cstheme="minorHAnsi"/>
          <w:color w:val="000000" w:themeColor="text1"/>
          <w:sz w:val="24"/>
          <w:szCs w:val="24"/>
        </w:rPr>
        <w:t>91,30</w:t>
      </w:r>
      <w:r w:rsidRPr="001169B0">
        <w:rPr>
          <w:rFonts w:cstheme="minorHAnsi"/>
          <w:color w:val="000000" w:themeColor="text1"/>
          <w:sz w:val="24"/>
          <w:szCs w:val="24"/>
        </w:rPr>
        <w:t xml:space="preserve"> % financijskog plana.</w:t>
      </w:r>
      <w:r w:rsidRPr="001169B0">
        <w:rPr>
          <w:rFonts w:cstheme="minorHAnsi"/>
          <w:sz w:val="24"/>
          <w:szCs w:val="24"/>
        </w:rPr>
        <w:t xml:space="preserve"> </w:t>
      </w:r>
    </w:p>
    <w:p w14:paraId="723A1273" w14:textId="76075D77" w:rsidR="00565D2B" w:rsidRPr="001169B0" w:rsidRDefault="005F4FCC" w:rsidP="001169B0">
      <w:pPr>
        <w:pStyle w:val="Odlomakpopisa"/>
        <w:ind w:left="360"/>
        <w:rPr>
          <w:rFonts w:asciiTheme="minorHAnsi" w:hAnsiTheme="minorHAnsi" w:cstheme="minorHAnsi"/>
          <w:sz w:val="24"/>
          <w:szCs w:val="24"/>
        </w:rPr>
      </w:pPr>
      <w:r w:rsidRPr="005F4FCC">
        <w:rPr>
          <w:rFonts w:asciiTheme="minorHAnsi" w:hAnsiTheme="minorHAnsi" w:cstheme="minorHAnsi"/>
          <w:sz w:val="24"/>
          <w:szCs w:val="24"/>
        </w:rPr>
        <w:t>Iz izvora 1.1. Opći prihodi i primici u Ustanovi su pokriveni slijedeći troškovi</w:t>
      </w:r>
      <w:r w:rsidR="001169B0">
        <w:rPr>
          <w:rFonts w:asciiTheme="minorHAnsi" w:hAnsiTheme="minorHAnsi" w:cstheme="minorHAnsi"/>
          <w:sz w:val="24"/>
          <w:szCs w:val="24"/>
        </w:rPr>
        <w:t>:</w:t>
      </w:r>
    </w:p>
    <w:p w14:paraId="26942584" w14:textId="47AF15FC" w:rsidR="005F4FCC" w:rsidRPr="005F4FCC" w:rsidRDefault="005F4FCC" w:rsidP="005F4FCC">
      <w:pPr>
        <w:pStyle w:val="Odlomakpopisa"/>
        <w:numPr>
          <w:ilvl w:val="0"/>
          <w:numId w:val="25"/>
        </w:numPr>
        <w:spacing w:after="200" w:line="276" w:lineRule="auto"/>
        <w:rPr>
          <w:rFonts w:asciiTheme="minorHAnsi" w:hAnsiTheme="minorHAnsi" w:cstheme="minorHAnsi"/>
          <w:sz w:val="24"/>
          <w:szCs w:val="24"/>
        </w:rPr>
      </w:pPr>
      <w:r w:rsidRPr="005F4FCC">
        <w:rPr>
          <w:rFonts w:asciiTheme="minorHAnsi" w:hAnsiTheme="minorHAnsi" w:cstheme="minorHAnsi"/>
          <w:sz w:val="24"/>
          <w:szCs w:val="24"/>
        </w:rPr>
        <w:lastRenderedPageBreak/>
        <w:t xml:space="preserve">Plaće za redovan rad u iznosu od  </w:t>
      </w:r>
      <w:r w:rsidR="007D1E33">
        <w:rPr>
          <w:rFonts w:asciiTheme="minorHAnsi" w:hAnsiTheme="minorHAnsi" w:cstheme="minorHAnsi"/>
          <w:sz w:val="24"/>
          <w:szCs w:val="24"/>
        </w:rPr>
        <w:t>1.543.877,63</w:t>
      </w:r>
      <w:r w:rsidRPr="005F4FCC">
        <w:rPr>
          <w:rFonts w:asciiTheme="minorHAnsi" w:hAnsiTheme="minorHAnsi" w:cstheme="minorHAnsi"/>
          <w:sz w:val="24"/>
          <w:szCs w:val="24"/>
        </w:rPr>
        <w:t xml:space="preserve"> </w:t>
      </w:r>
      <w:r w:rsidR="00D84542">
        <w:rPr>
          <w:rFonts w:asciiTheme="minorHAnsi" w:hAnsiTheme="minorHAnsi" w:cstheme="minorHAnsi"/>
          <w:sz w:val="24"/>
          <w:szCs w:val="24"/>
        </w:rPr>
        <w:t>eura</w:t>
      </w:r>
    </w:p>
    <w:p w14:paraId="1C700DB3" w14:textId="3481AB78" w:rsidR="005F4FCC" w:rsidRPr="005F4FCC" w:rsidRDefault="005F4FCC" w:rsidP="005F4FCC">
      <w:pPr>
        <w:pStyle w:val="Odlomakpopisa"/>
        <w:numPr>
          <w:ilvl w:val="0"/>
          <w:numId w:val="25"/>
        </w:numPr>
        <w:spacing w:after="200" w:line="276" w:lineRule="auto"/>
        <w:rPr>
          <w:rFonts w:asciiTheme="minorHAnsi" w:hAnsiTheme="minorHAnsi" w:cstheme="minorHAnsi"/>
          <w:sz w:val="24"/>
          <w:szCs w:val="24"/>
        </w:rPr>
      </w:pPr>
      <w:r w:rsidRPr="005F4FCC">
        <w:rPr>
          <w:rFonts w:asciiTheme="minorHAnsi" w:hAnsiTheme="minorHAnsi" w:cstheme="minorHAnsi"/>
          <w:sz w:val="24"/>
          <w:szCs w:val="24"/>
        </w:rPr>
        <w:t xml:space="preserve">Doprinosi za zdravstveno osiguranje u iznosu od </w:t>
      </w:r>
      <w:r w:rsidR="007D1E33">
        <w:rPr>
          <w:rFonts w:asciiTheme="minorHAnsi" w:hAnsiTheme="minorHAnsi" w:cstheme="minorHAnsi"/>
          <w:sz w:val="24"/>
          <w:szCs w:val="24"/>
        </w:rPr>
        <w:t>249.257,19</w:t>
      </w:r>
      <w:r w:rsidRPr="005F4FCC">
        <w:rPr>
          <w:rFonts w:asciiTheme="minorHAnsi" w:hAnsiTheme="minorHAnsi" w:cstheme="minorHAnsi"/>
          <w:sz w:val="24"/>
          <w:szCs w:val="24"/>
        </w:rPr>
        <w:t xml:space="preserve"> </w:t>
      </w:r>
      <w:r w:rsidR="00D84542">
        <w:rPr>
          <w:rFonts w:asciiTheme="minorHAnsi" w:hAnsiTheme="minorHAnsi" w:cstheme="minorHAnsi"/>
          <w:sz w:val="24"/>
          <w:szCs w:val="24"/>
        </w:rPr>
        <w:t>eura</w:t>
      </w:r>
    </w:p>
    <w:p w14:paraId="19740CB3" w14:textId="48833F25" w:rsidR="005F4FCC" w:rsidRPr="005F4FCC" w:rsidRDefault="005F4FCC" w:rsidP="005F4FCC">
      <w:pPr>
        <w:pStyle w:val="Odlomakpopisa"/>
        <w:numPr>
          <w:ilvl w:val="0"/>
          <w:numId w:val="25"/>
        </w:numPr>
        <w:spacing w:after="200" w:line="276" w:lineRule="auto"/>
        <w:rPr>
          <w:rFonts w:asciiTheme="minorHAnsi" w:hAnsiTheme="minorHAnsi" w:cstheme="minorHAnsi"/>
          <w:sz w:val="24"/>
          <w:szCs w:val="24"/>
        </w:rPr>
      </w:pPr>
      <w:r w:rsidRPr="005F4FCC">
        <w:rPr>
          <w:rFonts w:asciiTheme="minorHAnsi" w:hAnsiTheme="minorHAnsi" w:cstheme="minorHAnsi"/>
          <w:sz w:val="24"/>
          <w:szCs w:val="24"/>
        </w:rPr>
        <w:t xml:space="preserve">Ostali rashodi za zaposlene (nagrade, potpora zbog bolesti, otpremnina, regres....) u iznosu od </w:t>
      </w:r>
      <w:r w:rsidR="007D1E33">
        <w:rPr>
          <w:rFonts w:asciiTheme="minorHAnsi" w:hAnsiTheme="minorHAnsi" w:cstheme="minorHAnsi"/>
          <w:sz w:val="24"/>
          <w:szCs w:val="24"/>
        </w:rPr>
        <w:t>159.758,69</w:t>
      </w:r>
      <w:r w:rsidRPr="005F4FCC">
        <w:rPr>
          <w:rFonts w:asciiTheme="minorHAnsi" w:hAnsiTheme="minorHAnsi" w:cstheme="minorHAnsi"/>
          <w:sz w:val="24"/>
          <w:szCs w:val="24"/>
        </w:rPr>
        <w:t xml:space="preserve"> </w:t>
      </w:r>
      <w:r w:rsidR="00D84542">
        <w:rPr>
          <w:rFonts w:asciiTheme="minorHAnsi" w:hAnsiTheme="minorHAnsi" w:cstheme="minorHAnsi"/>
          <w:sz w:val="24"/>
          <w:szCs w:val="24"/>
        </w:rPr>
        <w:t>eura</w:t>
      </w:r>
    </w:p>
    <w:p w14:paraId="1417E3C8" w14:textId="6E405D7B" w:rsidR="005F4FCC" w:rsidRPr="005F4FCC" w:rsidRDefault="005F4FCC" w:rsidP="005F4FCC">
      <w:pPr>
        <w:pStyle w:val="Odlomakpopisa"/>
        <w:numPr>
          <w:ilvl w:val="0"/>
          <w:numId w:val="25"/>
        </w:numPr>
        <w:spacing w:after="200" w:line="276" w:lineRule="auto"/>
        <w:rPr>
          <w:rFonts w:asciiTheme="minorHAnsi" w:hAnsiTheme="minorHAnsi" w:cstheme="minorHAnsi"/>
          <w:sz w:val="24"/>
          <w:szCs w:val="24"/>
        </w:rPr>
      </w:pPr>
      <w:r w:rsidRPr="005F4FCC">
        <w:rPr>
          <w:rFonts w:asciiTheme="minorHAnsi" w:hAnsiTheme="minorHAnsi" w:cstheme="minorHAnsi"/>
          <w:sz w:val="24"/>
          <w:szCs w:val="24"/>
        </w:rPr>
        <w:t xml:space="preserve">Naknada za prijevoz s posla na posao za djelatnike  u iznosu od </w:t>
      </w:r>
      <w:r w:rsidR="007D1E33">
        <w:rPr>
          <w:rFonts w:asciiTheme="minorHAnsi" w:hAnsiTheme="minorHAnsi" w:cstheme="minorHAnsi"/>
          <w:sz w:val="24"/>
          <w:szCs w:val="24"/>
        </w:rPr>
        <w:t>19.122,50</w:t>
      </w:r>
      <w:r w:rsidRPr="005F4FCC">
        <w:rPr>
          <w:rFonts w:asciiTheme="minorHAnsi" w:hAnsiTheme="minorHAnsi" w:cstheme="minorHAnsi"/>
          <w:sz w:val="24"/>
          <w:szCs w:val="24"/>
        </w:rPr>
        <w:t xml:space="preserve"> </w:t>
      </w:r>
      <w:r w:rsidR="00D84542">
        <w:rPr>
          <w:rFonts w:asciiTheme="minorHAnsi" w:hAnsiTheme="minorHAnsi" w:cstheme="minorHAnsi"/>
          <w:sz w:val="24"/>
          <w:szCs w:val="24"/>
        </w:rPr>
        <w:t>eura</w:t>
      </w:r>
      <w:r w:rsidRPr="005F4FCC">
        <w:rPr>
          <w:rFonts w:asciiTheme="minorHAnsi" w:hAnsiTheme="minorHAnsi" w:cstheme="minorHAnsi"/>
          <w:sz w:val="24"/>
          <w:szCs w:val="24"/>
        </w:rPr>
        <w:t xml:space="preserve">.   </w:t>
      </w:r>
    </w:p>
    <w:p w14:paraId="738A1E55" w14:textId="54544677" w:rsidR="005F4FCC" w:rsidRPr="005F4FCC" w:rsidRDefault="005F4FCC" w:rsidP="005F4FCC">
      <w:pPr>
        <w:pStyle w:val="Odlomakpopisa"/>
        <w:numPr>
          <w:ilvl w:val="0"/>
          <w:numId w:val="25"/>
        </w:numPr>
        <w:spacing w:after="200" w:line="276" w:lineRule="auto"/>
        <w:rPr>
          <w:rFonts w:asciiTheme="minorHAnsi" w:hAnsiTheme="minorHAnsi" w:cstheme="minorHAnsi"/>
          <w:sz w:val="24"/>
          <w:szCs w:val="24"/>
        </w:rPr>
      </w:pPr>
      <w:r w:rsidRPr="005F4FCC">
        <w:rPr>
          <w:rFonts w:asciiTheme="minorHAnsi" w:hAnsiTheme="minorHAnsi" w:cstheme="minorHAnsi"/>
          <w:sz w:val="24"/>
          <w:szCs w:val="24"/>
        </w:rPr>
        <w:t xml:space="preserve">Komunalne usluge u iznosu od </w:t>
      </w:r>
      <w:r w:rsidR="007D1E33">
        <w:rPr>
          <w:rFonts w:asciiTheme="minorHAnsi" w:hAnsiTheme="minorHAnsi" w:cstheme="minorHAnsi"/>
          <w:sz w:val="24"/>
          <w:szCs w:val="24"/>
        </w:rPr>
        <w:t>12.468,96</w:t>
      </w:r>
      <w:r w:rsidRPr="005F4FCC">
        <w:rPr>
          <w:rFonts w:asciiTheme="minorHAnsi" w:hAnsiTheme="minorHAnsi" w:cstheme="minorHAnsi"/>
          <w:sz w:val="24"/>
          <w:szCs w:val="24"/>
        </w:rPr>
        <w:t xml:space="preserve"> </w:t>
      </w:r>
      <w:r w:rsidR="00D84542">
        <w:rPr>
          <w:rFonts w:asciiTheme="minorHAnsi" w:hAnsiTheme="minorHAnsi" w:cstheme="minorHAnsi"/>
          <w:sz w:val="24"/>
          <w:szCs w:val="24"/>
        </w:rPr>
        <w:t>eura</w:t>
      </w:r>
    </w:p>
    <w:p w14:paraId="14BAA94E" w14:textId="57240CF8" w:rsidR="005F4FCC" w:rsidRDefault="005F4FCC" w:rsidP="005F4FCC">
      <w:pPr>
        <w:pStyle w:val="Odlomakpopisa"/>
        <w:numPr>
          <w:ilvl w:val="0"/>
          <w:numId w:val="25"/>
        </w:numPr>
        <w:spacing w:after="200" w:line="276" w:lineRule="auto"/>
        <w:rPr>
          <w:rFonts w:asciiTheme="minorHAnsi" w:hAnsiTheme="minorHAnsi" w:cstheme="minorHAnsi"/>
          <w:sz w:val="24"/>
          <w:szCs w:val="24"/>
        </w:rPr>
      </w:pPr>
      <w:r w:rsidRPr="005F4FCC">
        <w:rPr>
          <w:rFonts w:asciiTheme="minorHAnsi" w:hAnsiTheme="minorHAnsi" w:cstheme="minorHAnsi"/>
          <w:sz w:val="24"/>
          <w:szCs w:val="24"/>
        </w:rPr>
        <w:t xml:space="preserve">Premije osiguranje u iznosu od </w:t>
      </w:r>
      <w:r w:rsidR="007D1E33">
        <w:rPr>
          <w:rFonts w:asciiTheme="minorHAnsi" w:hAnsiTheme="minorHAnsi" w:cstheme="minorHAnsi"/>
          <w:sz w:val="24"/>
          <w:szCs w:val="24"/>
        </w:rPr>
        <w:t>1.500,00</w:t>
      </w:r>
      <w:r w:rsidRPr="005F4FCC">
        <w:rPr>
          <w:rFonts w:asciiTheme="minorHAnsi" w:hAnsiTheme="minorHAnsi" w:cstheme="minorHAnsi"/>
          <w:sz w:val="24"/>
          <w:szCs w:val="24"/>
        </w:rPr>
        <w:t xml:space="preserve"> </w:t>
      </w:r>
      <w:r w:rsidR="00D84542">
        <w:rPr>
          <w:rFonts w:asciiTheme="minorHAnsi" w:hAnsiTheme="minorHAnsi" w:cstheme="minorHAnsi"/>
          <w:sz w:val="24"/>
          <w:szCs w:val="24"/>
        </w:rPr>
        <w:t>eura</w:t>
      </w:r>
    </w:p>
    <w:p w14:paraId="0BBDA5EC" w14:textId="03101DA5" w:rsidR="007D1E33" w:rsidRPr="007D1E33" w:rsidRDefault="007D1E33" w:rsidP="007D1E33">
      <w:pPr>
        <w:pStyle w:val="Odlomakpopisa"/>
        <w:numPr>
          <w:ilvl w:val="0"/>
          <w:numId w:val="25"/>
        </w:numPr>
        <w:spacing w:after="200" w:line="276" w:lineRule="auto"/>
        <w:rPr>
          <w:rFonts w:asciiTheme="minorHAnsi" w:hAnsiTheme="minorHAnsi" w:cstheme="minorHAnsi"/>
          <w:sz w:val="24"/>
          <w:szCs w:val="24"/>
        </w:rPr>
      </w:pPr>
      <w:r w:rsidRPr="007D1E33">
        <w:rPr>
          <w:rFonts w:asciiTheme="minorHAnsi" w:hAnsiTheme="minorHAnsi" w:cstheme="minorHAnsi"/>
          <w:sz w:val="24"/>
          <w:szCs w:val="24"/>
        </w:rPr>
        <w:t xml:space="preserve">Naknada zbog nezapošljavanja invalida  u iznosu od  4.268,65 </w:t>
      </w:r>
      <w:r>
        <w:rPr>
          <w:rFonts w:asciiTheme="minorHAnsi" w:hAnsiTheme="minorHAnsi" w:cstheme="minorHAnsi"/>
          <w:sz w:val="24"/>
          <w:szCs w:val="24"/>
        </w:rPr>
        <w:t>eura</w:t>
      </w:r>
    </w:p>
    <w:p w14:paraId="3C7265F1" w14:textId="21A2E0F8" w:rsidR="007D1E33" w:rsidRPr="007D1E33" w:rsidRDefault="007D1E33" w:rsidP="007D1E33">
      <w:pPr>
        <w:pStyle w:val="Odlomakpopisa"/>
        <w:numPr>
          <w:ilvl w:val="0"/>
          <w:numId w:val="25"/>
        </w:numPr>
        <w:spacing w:after="200" w:line="276" w:lineRule="auto"/>
        <w:rPr>
          <w:rFonts w:asciiTheme="minorHAnsi" w:hAnsiTheme="minorHAnsi" w:cstheme="minorHAnsi"/>
          <w:sz w:val="24"/>
          <w:szCs w:val="24"/>
        </w:rPr>
      </w:pPr>
      <w:r w:rsidRPr="007D1E33">
        <w:rPr>
          <w:rFonts w:asciiTheme="minorHAnsi" w:hAnsiTheme="minorHAnsi" w:cstheme="minorHAnsi"/>
          <w:sz w:val="24"/>
          <w:szCs w:val="24"/>
        </w:rPr>
        <w:t>Ostala prava – implementacija novih programskih rješenja zbog ulaska u sustav riznice (</w:t>
      </w:r>
      <w:proofErr w:type="spellStart"/>
      <w:r w:rsidRPr="007D1E33">
        <w:rPr>
          <w:rFonts w:asciiTheme="minorHAnsi" w:hAnsiTheme="minorHAnsi" w:cstheme="minorHAnsi"/>
          <w:sz w:val="24"/>
          <w:szCs w:val="24"/>
        </w:rPr>
        <w:t>Hivergen</w:t>
      </w:r>
      <w:proofErr w:type="spellEnd"/>
      <w:r w:rsidRPr="007D1E33">
        <w:rPr>
          <w:rFonts w:asciiTheme="minorHAnsi" w:hAnsiTheme="minorHAnsi" w:cstheme="minorHAnsi"/>
          <w:sz w:val="24"/>
          <w:szCs w:val="24"/>
        </w:rPr>
        <w:t xml:space="preserve">, </w:t>
      </w:r>
      <w:proofErr w:type="spellStart"/>
      <w:r w:rsidRPr="007D1E33">
        <w:rPr>
          <w:rFonts w:asciiTheme="minorHAnsi" w:hAnsiTheme="minorHAnsi" w:cstheme="minorHAnsi"/>
          <w:sz w:val="24"/>
          <w:szCs w:val="24"/>
        </w:rPr>
        <w:t>Libusoft</w:t>
      </w:r>
      <w:proofErr w:type="spellEnd"/>
      <w:r w:rsidRPr="007D1E33">
        <w:rPr>
          <w:rFonts w:asciiTheme="minorHAnsi" w:hAnsiTheme="minorHAnsi" w:cstheme="minorHAnsi"/>
          <w:sz w:val="24"/>
          <w:szCs w:val="24"/>
        </w:rPr>
        <w:t xml:space="preserve">) – 4.725,00 </w:t>
      </w:r>
      <w:r>
        <w:rPr>
          <w:rFonts w:asciiTheme="minorHAnsi" w:hAnsiTheme="minorHAnsi" w:cstheme="minorHAnsi"/>
          <w:sz w:val="24"/>
          <w:szCs w:val="24"/>
        </w:rPr>
        <w:t>eura</w:t>
      </w:r>
    </w:p>
    <w:p w14:paraId="362F59E0" w14:textId="18850227" w:rsidR="005F4FCC" w:rsidRDefault="005F4FCC" w:rsidP="001169B0">
      <w:pPr>
        <w:jc w:val="both"/>
        <w:rPr>
          <w:rFonts w:cstheme="minorHAnsi"/>
          <w:sz w:val="24"/>
          <w:szCs w:val="24"/>
        </w:rPr>
      </w:pPr>
      <w:r w:rsidRPr="005F4FCC">
        <w:rPr>
          <w:rFonts w:cstheme="minorHAnsi"/>
          <w:sz w:val="24"/>
          <w:szCs w:val="24"/>
        </w:rPr>
        <w:t xml:space="preserve">Rashodi po navedenom izvoru planirani su u iznosu od </w:t>
      </w:r>
      <w:r w:rsidR="007D1E33">
        <w:rPr>
          <w:rFonts w:cstheme="minorHAnsi"/>
          <w:sz w:val="24"/>
          <w:szCs w:val="24"/>
        </w:rPr>
        <w:t>2.139.800,00</w:t>
      </w:r>
      <w:r w:rsidRPr="005F4FCC">
        <w:rPr>
          <w:rFonts w:cstheme="minorHAnsi"/>
          <w:sz w:val="24"/>
          <w:szCs w:val="24"/>
        </w:rPr>
        <w:t xml:space="preserve"> </w:t>
      </w:r>
      <w:r w:rsidR="00D84542">
        <w:rPr>
          <w:rFonts w:cstheme="minorHAnsi"/>
          <w:sz w:val="24"/>
          <w:szCs w:val="24"/>
        </w:rPr>
        <w:t>eura</w:t>
      </w:r>
      <w:r w:rsidRPr="005F4FCC">
        <w:rPr>
          <w:rFonts w:cstheme="minorHAnsi"/>
          <w:sz w:val="24"/>
          <w:szCs w:val="24"/>
        </w:rPr>
        <w:t xml:space="preserve"> za rashode poslovanja Dječjeg vrtića Trogir. Rashodi su izvršeni u iznosu od </w:t>
      </w:r>
      <w:r w:rsidR="007D1E33">
        <w:rPr>
          <w:rFonts w:cstheme="minorHAnsi"/>
          <w:sz w:val="24"/>
          <w:szCs w:val="24"/>
        </w:rPr>
        <w:t>2.027.249,18</w:t>
      </w:r>
      <w:r w:rsidRPr="005F4FCC">
        <w:rPr>
          <w:rFonts w:cstheme="minorHAnsi"/>
          <w:sz w:val="24"/>
          <w:szCs w:val="24"/>
        </w:rPr>
        <w:t xml:space="preserve"> </w:t>
      </w:r>
      <w:r w:rsidR="00D84542">
        <w:rPr>
          <w:rFonts w:cstheme="minorHAnsi"/>
          <w:sz w:val="24"/>
          <w:szCs w:val="24"/>
        </w:rPr>
        <w:t>eura</w:t>
      </w:r>
      <w:r w:rsidRPr="005F4FCC">
        <w:rPr>
          <w:rFonts w:cstheme="minorHAnsi"/>
          <w:sz w:val="24"/>
          <w:szCs w:val="24"/>
        </w:rPr>
        <w:t xml:space="preserve">, odnosno </w:t>
      </w:r>
      <w:r w:rsidR="007D1E33">
        <w:rPr>
          <w:rFonts w:cstheme="minorHAnsi"/>
          <w:sz w:val="24"/>
          <w:szCs w:val="24"/>
        </w:rPr>
        <w:t>94,74</w:t>
      </w:r>
      <w:r w:rsidRPr="005F4FCC">
        <w:rPr>
          <w:rFonts w:cstheme="minorHAnsi"/>
          <w:sz w:val="24"/>
          <w:szCs w:val="24"/>
        </w:rPr>
        <w:t xml:space="preserve"> % financijskog  plana.  </w:t>
      </w:r>
    </w:p>
    <w:p w14:paraId="4966BA45" w14:textId="77777777" w:rsidR="007D1E33" w:rsidRPr="005F4FCC" w:rsidRDefault="007D1E33" w:rsidP="007D1E33">
      <w:pPr>
        <w:rPr>
          <w:rFonts w:cstheme="minorHAnsi"/>
          <w:b/>
          <w:sz w:val="24"/>
          <w:szCs w:val="24"/>
        </w:rPr>
      </w:pPr>
      <w:r w:rsidRPr="005F4FCC">
        <w:rPr>
          <w:rFonts w:cstheme="minorHAnsi"/>
          <w:b/>
          <w:sz w:val="24"/>
          <w:szCs w:val="24"/>
        </w:rPr>
        <w:t>3.2. VLASTITI PRIHODI PRORAČUNSKIH KORISNIKA</w:t>
      </w:r>
    </w:p>
    <w:p w14:paraId="22E8370E" w14:textId="72D94323" w:rsidR="007D1E33" w:rsidRPr="007D1E33" w:rsidRDefault="007D1E33" w:rsidP="007D1E33">
      <w:pPr>
        <w:ind w:left="330"/>
        <w:jc w:val="both"/>
        <w:rPr>
          <w:rFonts w:cstheme="minorHAnsi"/>
          <w:sz w:val="24"/>
          <w:szCs w:val="24"/>
        </w:rPr>
      </w:pPr>
      <w:r w:rsidRPr="005F4FCC">
        <w:rPr>
          <w:rFonts w:cstheme="minorHAnsi"/>
          <w:sz w:val="24"/>
          <w:szCs w:val="24"/>
        </w:rPr>
        <w:t xml:space="preserve">Vlastiti prihodi iznose </w:t>
      </w:r>
      <w:r>
        <w:rPr>
          <w:rFonts w:cstheme="minorHAnsi"/>
          <w:sz w:val="24"/>
          <w:szCs w:val="24"/>
        </w:rPr>
        <w:t>9,60</w:t>
      </w:r>
      <w:r w:rsidRPr="005F4FCC">
        <w:rPr>
          <w:rFonts w:cstheme="minorHAnsi"/>
          <w:sz w:val="24"/>
          <w:szCs w:val="24"/>
        </w:rPr>
        <w:t xml:space="preserve"> </w:t>
      </w:r>
      <w:r>
        <w:rPr>
          <w:rFonts w:cstheme="minorHAnsi"/>
          <w:sz w:val="24"/>
          <w:szCs w:val="24"/>
        </w:rPr>
        <w:t>eura</w:t>
      </w:r>
      <w:r w:rsidRPr="005F4FCC">
        <w:rPr>
          <w:rFonts w:cstheme="minorHAnsi"/>
          <w:sz w:val="24"/>
          <w:szCs w:val="24"/>
        </w:rPr>
        <w:t xml:space="preserve">- sredstva se odnose na prihode od kamata po viđenju na sredstva  žiro-računa </w:t>
      </w:r>
      <w:r w:rsidRPr="007D1E33">
        <w:rPr>
          <w:rFonts w:cstheme="minorHAnsi"/>
          <w:sz w:val="24"/>
          <w:szCs w:val="24"/>
        </w:rPr>
        <w:t xml:space="preserve">Dječjeg vrtića Trogir. Prihodi se odnose na razdoblje do 29.08.2025. godine jer je, zbog ulaska u sustav riznice, žiro-račun vrtića zatvoren. Izvršenje u odnosu na financijski plan iznosi 9,60 %. Prihodi su  iskorišteni su za troškove platnog prometa. Prihodi i rashodi planirani su u iznosu od 100,00 </w:t>
      </w:r>
      <w:r>
        <w:rPr>
          <w:rFonts w:cstheme="minorHAnsi"/>
          <w:sz w:val="24"/>
          <w:szCs w:val="24"/>
        </w:rPr>
        <w:t>eura</w:t>
      </w:r>
      <w:r w:rsidRPr="007D1E33">
        <w:rPr>
          <w:rFonts w:cstheme="minorHAnsi"/>
          <w:sz w:val="24"/>
          <w:szCs w:val="24"/>
        </w:rPr>
        <w:t>.</w:t>
      </w:r>
    </w:p>
    <w:p w14:paraId="1EA91AA6" w14:textId="77777777" w:rsidR="002B75AD" w:rsidRPr="007D1E33" w:rsidRDefault="002B75AD" w:rsidP="002B75AD">
      <w:pPr>
        <w:jc w:val="both"/>
        <w:rPr>
          <w:rFonts w:cstheme="minorHAnsi"/>
          <w:b/>
          <w:bCs/>
          <w:sz w:val="24"/>
          <w:szCs w:val="24"/>
        </w:rPr>
      </w:pPr>
      <w:r w:rsidRPr="007D1E33">
        <w:rPr>
          <w:rFonts w:cstheme="minorHAnsi"/>
          <w:b/>
          <w:bCs/>
          <w:sz w:val="24"/>
          <w:szCs w:val="24"/>
        </w:rPr>
        <w:t>4.3.1. OSTALI PRIHODI ZA POSEBNE NAMJENE – FISKALNA ODRŽIVOST VRTIĆA</w:t>
      </w:r>
    </w:p>
    <w:p w14:paraId="24B735BA" w14:textId="77777777" w:rsidR="007D1E33" w:rsidRDefault="002B75AD" w:rsidP="007D1E33">
      <w:pPr>
        <w:pStyle w:val="box478419"/>
        <w:spacing w:after="0" w:afterAutospacing="0"/>
        <w:jc w:val="both"/>
        <w:rPr>
          <w:rFonts w:asciiTheme="minorHAnsi" w:hAnsiTheme="minorHAnsi" w:cstheme="minorHAnsi"/>
        </w:rPr>
      </w:pPr>
      <w:r w:rsidRPr="007D1E33">
        <w:rPr>
          <w:rFonts w:asciiTheme="minorHAnsi" w:hAnsiTheme="minorHAnsi" w:cstheme="minorHAnsi"/>
        </w:rPr>
        <w:t xml:space="preserve">Na temelju članka 50.a stavka 3. Zakona o predškolskom odgoju i obrazovanju (»Narodne novine«, br. 10/97., 107/07., 94/13., 98/19., 57/22. </w:t>
      </w:r>
      <w:r w:rsidRPr="007D1E33">
        <w:rPr>
          <w:rStyle w:val="defaultparagraphfont-000003"/>
          <w:rFonts w:asciiTheme="minorHAnsi" w:hAnsiTheme="minorHAnsi" w:cstheme="minorHAnsi"/>
        </w:rPr>
        <w:t xml:space="preserve">i 101/23.), </w:t>
      </w:r>
      <w:r w:rsidRPr="007D1E33">
        <w:rPr>
          <w:rFonts w:asciiTheme="minorHAnsi" w:hAnsiTheme="minorHAnsi" w:cstheme="minorHAnsi"/>
        </w:rPr>
        <w:t>Vlada Republike Hrvatske je donijela ODLUKU O DODJELI SREDSTAVA ZA FISKALNU ODRŽIVOST DJEČJIH VRTIĆA kojom se utvrđuje  iznos sredstava za fiskalnu održivost dječjih vrtića. Iznos sredstava utvrđuje se prema Uredbi o kriterijima i mjerilima za utvrđivanje iznosa sredstava za fiskalnu održivost dječjih vrtića (»Narodne novine«, broj 109/23.)</w:t>
      </w:r>
    </w:p>
    <w:p w14:paraId="5F0A5F43" w14:textId="05A4F77D" w:rsidR="002B75AD" w:rsidRDefault="002B75AD" w:rsidP="007D1E33">
      <w:pPr>
        <w:pStyle w:val="box478419"/>
        <w:spacing w:after="0" w:afterAutospacing="0"/>
        <w:jc w:val="both"/>
        <w:rPr>
          <w:rFonts w:asciiTheme="minorHAnsi" w:hAnsiTheme="minorHAnsi" w:cstheme="minorHAnsi"/>
        </w:rPr>
      </w:pPr>
      <w:r w:rsidRPr="007D1E33">
        <w:rPr>
          <w:rFonts w:asciiTheme="minorHAnsi" w:hAnsiTheme="minorHAnsi" w:cstheme="minorHAnsi"/>
        </w:rPr>
        <w:t xml:space="preserve">Dječji vrtić je iznos sredstva za fiskalnu održivost vrtića utrošio za rashode za zaposlene – plaće za redovan rad i doprinose za obavezno zdravstveno osiguranje u iznosu od 272.600,00 </w:t>
      </w:r>
      <w:r w:rsidR="007D1E33">
        <w:rPr>
          <w:rFonts w:asciiTheme="minorHAnsi" w:hAnsiTheme="minorHAnsi" w:cstheme="minorHAnsi"/>
        </w:rPr>
        <w:t>eura</w:t>
      </w:r>
      <w:r w:rsidRPr="007D1E33">
        <w:rPr>
          <w:rFonts w:asciiTheme="minorHAnsi" w:hAnsiTheme="minorHAnsi" w:cstheme="minorHAnsi"/>
        </w:rPr>
        <w:t xml:space="preserve">.  Prihodi i rashodi po navedenom izvoru planirani su  u iznosu od 272.600,00 </w:t>
      </w:r>
      <w:r w:rsidR="007D1E33">
        <w:rPr>
          <w:rFonts w:asciiTheme="minorHAnsi" w:hAnsiTheme="minorHAnsi" w:cstheme="minorHAnsi"/>
        </w:rPr>
        <w:t>eura</w:t>
      </w:r>
      <w:r w:rsidRPr="007D1E33">
        <w:rPr>
          <w:rFonts w:asciiTheme="minorHAnsi" w:hAnsiTheme="minorHAnsi" w:cstheme="minorHAnsi"/>
        </w:rPr>
        <w:t>. Izvršenje iznosi 100% financijskog plana.</w:t>
      </w:r>
    </w:p>
    <w:p w14:paraId="6212242C" w14:textId="77777777" w:rsidR="007D1E33" w:rsidRPr="007D1E33" w:rsidRDefault="007D1E33" w:rsidP="007D1E33">
      <w:pPr>
        <w:pStyle w:val="box478419"/>
        <w:spacing w:after="0" w:afterAutospacing="0"/>
        <w:jc w:val="both"/>
        <w:rPr>
          <w:rFonts w:asciiTheme="minorHAnsi" w:hAnsiTheme="minorHAnsi" w:cstheme="minorHAnsi"/>
        </w:rPr>
      </w:pPr>
    </w:p>
    <w:p w14:paraId="2BD032D5" w14:textId="77777777" w:rsidR="007D1E33" w:rsidRPr="005F4FCC" w:rsidRDefault="007D1E33" w:rsidP="007D1E33">
      <w:pPr>
        <w:pStyle w:val="Bezproreda"/>
        <w:rPr>
          <w:rFonts w:asciiTheme="minorHAnsi" w:hAnsiTheme="minorHAnsi" w:cstheme="minorHAnsi"/>
          <w:b/>
          <w:sz w:val="24"/>
          <w:szCs w:val="24"/>
        </w:rPr>
      </w:pPr>
      <w:r w:rsidRPr="005F4FCC">
        <w:rPr>
          <w:rFonts w:asciiTheme="minorHAnsi" w:hAnsiTheme="minorHAnsi" w:cstheme="minorHAnsi"/>
          <w:b/>
          <w:sz w:val="24"/>
          <w:szCs w:val="24"/>
        </w:rPr>
        <w:t xml:space="preserve">4.4. PRIHODI ZA POSEBNE NAMJENE PRORAČUNSKIH KORISNIKA </w:t>
      </w:r>
    </w:p>
    <w:p w14:paraId="6D3AF044" w14:textId="77777777" w:rsidR="007D1E33" w:rsidRPr="005F4FCC" w:rsidRDefault="007D1E33" w:rsidP="007D1E33">
      <w:pPr>
        <w:pStyle w:val="Bezproreda"/>
        <w:rPr>
          <w:rFonts w:asciiTheme="minorHAnsi" w:hAnsiTheme="minorHAnsi" w:cstheme="minorHAnsi"/>
          <w:i/>
          <w:sz w:val="24"/>
          <w:szCs w:val="24"/>
        </w:rPr>
      </w:pPr>
      <w:r w:rsidRPr="005F4FCC">
        <w:rPr>
          <w:rFonts w:asciiTheme="minorHAnsi" w:hAnsiTheme="minorHAnsi" w:cstheme="minorHAnsi"/>
          <w:sz w:val="24"/>
          <w:szCs w:val="24"/>
        </w:rPr>
        <w:t xml:space="preserve">        </w:t>
      </w:r>
      <w:r w:rsidRPr="005F4FCC">
        <w:rPr>
          <w:rFonts w:asciiTheme="minorHAnsi" w:hAnsiTheme="minorHAnsi" w:cstheme="minorHAnsi"/>
          <w:i/>
          <w:sz w:val="24"/>
          <w:szCs w:val="24"/>
        </w:rPr>
        <w:t>(Prihodi po posebnim propisima)</w:t>
      </w:r>
    </w:p>
    <w:p w14:paraId="09204735" w14:textId="77777777" w:rsidR="007D1E33" w:rsidRDefault="007D1E33" w:rsidP="007D1E33">
      <w:pPr>
        <w:pStyle w:val="Bezproreda"/>
        <w:rPr>
          <w:rFonts w:asciiTheme="minorHAnsi" w:hAnsiTheme="minorHAnsi" w:cstheme="minorHAnsi"/>
          <w:i/>
          <w:sz w:val="24"/>
          <w:szCs w:val="24"/>
        </w:rPr>
      </w:pPr>
      <w:r w:rsidRPr="005F4FCC">
        <w:rPr>
          <w:rFonts w:asciiTheme="minorHAnsi" w:hAnsiTheme="minorHAnsi" w:cstheme="minorHAnsi"/>
          <w:i/>
          <w:sz w:val="24"/>
          <w:szCs w:val="24"/>
        </w:rPr>
        <w:tab/>
      </w:r>
    </w:p>
    <w:p w14:paraId="63DC6735" w14:textId="77777777" w:rsidR="007D1E33" w:rsidRPr="007D1E33" w:rsidRDefault="007D1E33" w:rsidP="007D1E33">
      <w:pPr>
        <w:pStyle w:val="Bezproreda"/>
        <w:ind w:left="330"/>
        <w:jc w:val="both"/>
        <w:rPr>
          <w:rFonts w:asciiTheme="minorHAnsi" w:hAnsiTheme="minorHAnsi" w:cstheme="minorHAnsi"/>
          <w:sz w:val="24"/>
          <w:szCs w:val="24"/>
        </w:rPr>
      </w:pPr>
      <w:r w:rsidRPr="007D1E33">
        <w:rPr>
          <w:rFonts w:asciiTheme="minorHAnsi" w:hAnsiTheme="minorHAnsi" w:cstheme="minorHAnsi"/>
          <w:sz w:val="24"/>
          <w:szCs w:val="24"/>
        </w:rPr>
        <w:t>Sredstva uplate roditelja su sredstva koja  Dječjem vrtiću Trogiru  služe za namjensko korištenje i obavljanje redovite djelatnosti prema stavkama proračuna, vidljivo u tabeli proračuna.</w:t>
      </w:r>
    </w:p>
    <w:p w14:paraId="19704562" w14:textId="4E34AC65" w:rsidR="007D1E33" w:rsidRPr="007D1E33" w:rsidRDefault="007D1E33" w:rsidP="007D1E33">
      <w:pPr>
        <w:pStyle w:val="Bezproreda"/>
        <w:ind w:left="330"/>
        <w:jc w:val="both"/>
        <w:rPr>
          <w:rFonts w:asciiTheme="minorHAnsi" w:hAnsiTheme="minorHAnsi" w:cstheme="minorHAnsi"/>
          <w:sz w:val="24"/>
          <w:szCs w:val="24"/>
        </w:rPr>
      </w:pPr>
      <w:r w:rsidRPr="007D1E33">
        <w:rPr>
          <w:rFonts w:asciiTheme="minorHAnsi" w:hAnsiTheme="minorHAnsi" w:cstheme="minorHAnsi"/>
          <w:sz w:val="24"/>
          <w:szCs w:val="24"/>
        </w:rPr>
        <w:t>Prihodi po posebnim propisima za navedeno izvještajno razdoblje iznose  264.779,16 eura, što iznosi 98,06 % financijskog plana. Utrošeno je 229.338,02 eura prema slijedećim proračunskim stavkama:</w:t>
      </w:r>
    </w:p>
    <w:p w14:paraId="03226E03" w14:textId="77777777" w:rsidR="007D1E33" w:rsidRPr="00AC4794" w:rsidRDefault="007D1E33" w:rsidP="007D1E33">
      <w:pPr>
        <w:pStyle w:val="Bezproreda"/>
        <w:ind w:left="330"/>
        <w:jc w:val="both"/>
        <w:rPr>
          <w:rFonts w:ascii="Arial" w:hAnsi="Arial" w:cs="Arial"/>
        </w:rPr>
      </w:pPr>
    </w:p>
    <w:p w14:paraId="5AE31F69" w14:textId="66A15321" w:rsidR="007D1E33" w:rsidRPr="007D1E33" w:rsidRDefault="007D1E33" w:rsidP="007D1E33">
      <w:pPr>
        <w:pStyle w:val="Bezproreda"/>
        <w:numPr>
          <w:ilvl w:val="0"/>
          <w:numId w:val="25"/>
        </w:numPr>
        <w:jc w:val="both"/>
        <w:rPr>
          <w:rFonts w:asciiTheme="minorHAnsi" w:hAnsiTheme="minorHAnsi" w:cstheme="minorHAnsi"/>
          <w:sz w:val="24"/>
          <w:szCs w:val="24"/>
        </w:rPr>
      </w:pPr>
      <w:r w:rsidRPr="007D1E33">
        <w:rPr>
          <w:rFonts w:asciiTheme="minorHAnsi" w:hAnsiTheme="minorHAnsi" w:cstheme="minorHAnsi"/>
          <w:sz w:val="24"/>
          <w:szCs w:val="24"/>
        </w:rPr>
        <w:t xml:space="preserve">Naknada troškova zaposlenima za dnevnice, službena putovanja djelatnika vrtića za stručno usavršavanje,  seminari, stručni ispiti,  dani predškolskog odgoja) u iznosu od 2.981,50 </w:t>
      </w:r>
      <w:r>
        <w:rPr>
          <w:rFonts w:asciiTheme="minorHAnsi" w:hAnsiTheme="minorHAnsi" w:cstheme="minorHAnsi"/>
          <w:sz w:val="24"/>
          <w:szCs w:val="24"/>
        </w:rPr>
        <w:t>eura</w:t>
      </w:r>
      <w:r w:rsidRPr="007D1E33">
        <w:rPr>
          <w:rFonts w:asciiTheme="minorHAnsi" w:hAnsiTheme="minorHAnsi" w:cstheme="minorHAnsi"/>
          <w:sz w:val="24"/>
          <w:szCs w:val="24"/>
        </w:rPr>
        <w:t>. Izvršenje u iznosu od 72,36 % financijskog plana.</w:t>
      </w:r>
    </w:p>
    <w:p w14:paraId="5638F36F" w14:textId="2910CE0F" w:rsidR="007D1E33" w:rsidRPr="007D1E33" w:rsidRDefault="007D1E33" w:rsidP="007D1E33">
      <w:pPr>
        <w:pStyle w:val="Bezproreda"/>
        <w:numPr>
          <w:ilvl w:val="0"/>
          <w:numId w:val="26"/>
        </w:numPr>
        <w:rPr>
          <w:rFonts w:asciiTheme="minorHAnsi" w:hAnsiTheme="minorHAnsi" w:cstheme="minorHAnsi"/>
          <w:sz w:val="24"/>
          <w:szCs w:val="24"/>
        </w:rPr>
      </w:pPr>
      <w:r w:rsidRPr="007D1E33">
        <w:rPr>
          <w:rFonts w:asciiTheme="minorHAnsi" w:hAnsiTheme="minorHAnsi" w:cstheme="minorHAnsi"/>
          <w:sz w:val="24"/>
          <w:szCs w:val="24"/>
        </w:rPr>
        <w:t xml:space="preserve">Uredski materijal i ostali materijalni rashodi u iznosu od 18.513,72 </w:t>
      </w:r>
      <w:r>
        <w:rPr>
          <w:rFonts w:asciiTheme="minorHAnsi" w:hAnsiTheme="minorHAnsi" w:cstheme="minorHAnsi"/>
          <w:sz w:val="24"/>
          <w:szCs w:val="24"/>
        </w:rPr>
        <w:t>eura</w:t>
      </w:r>
      <w:r w:rsidRPr="007D1E33">
        <w:rPr>
          <w:rFonts w:asciiTheme="minorHAnsi" w:hAnsiTheme="minorHAnsi" w:cstheme="minorHAnsi"/>
          <w:sz w:val="24"/>
          <w:szCs w:val="24"/>
        </w:rPr>
        <w:t>-  najveći dio sredstava utrošen je na uredski materijal i sredstva za čišćenje i održavanje. Izvršenje u iznosu 81,55 % u odnosu na financijski plan.</w:t>
      </w:r>
    </w:p>
    <w:p w14:paraId="61DFD691" w14:textId="1CECAABF" w:rsidR="007D1E33" w:rsidRPr="007D1E33" w:rsidRDefault="007D1E33" w:rsidP="007D1E33">
      <w:pPr>
        <w:pStyle w:val="Bezproreda"/>
        <w:numPr>
          <w:ilvl w:val="0"/>
          <w:numId w:val="26"/>
        </w:numPr>
        <w:jc w:val="both"/>
        <w:rPr>
          <w:rFonts w:asciiTheme="minorHAnsi" w:hAnsiTheme="minorHAnsi" w:cstheme="minorHAnsi"/>
          <w:sz w:val="24"/>
          <w:szCs w:val="24"/>
        </w:rPr>
      </w:pPr>
      <w:r w:rsidRPr="007D1E33">
        <w:rPr>
          <w:rFonts w:asciiTheme="minorHAnsi" w:hAnsiTheme="minorHAnsi" w:cstheme="minorHAnsi"/>
          <w:sz w:val="24"/>
          <w:szCs w:val="24"/>
        </w:rPr>
        <w:t xml:space="preserve">Materijal i sirovine u iznosu </w:t>
      </w:r>
      <w:r w:rsidRPr="007D1E33">
        <w:rPr>
          <w:rFonts w:asciiTheme="minorHAnsi" w:hAnsiTheme="minorHAnsi" w:cstheme="minorHAnsi"/>
          <w:color w:val="000000" w:themeColor="text1"/>
          <w:sz w:val="24"/>
          <w:szCs w:val="24"/>
        </w:rPr>
        <w:t xml:space="preserve">od 129.296,70 </w:t>
      </w:r>
      <w:r>
        <w:rPr>
          <w:rFonts w:asciiTheme="minorHAnsi" w:hAnsiTheme="minorHAnsi" w:cstheme="minorHAnsi"/>
          <w:color w:val="000000" w:themeColor="text1"/>
          <w:sz w:val="24"/>
          <w:szCs w:val="24"/>
        </w:rPr>
        <w:t>eura</w:t>
      </w:r>
      <w:r w:rsidRPr="007D1E33">
        <w:rPr>
          <w:rFonts w:asciiTheme="minorHAnsi" w:hAnsiTheme="minorHAnsi" w:cstheme="minorHAnsi"/>
          <w:color w:val="FF0000"/>
          <w:sz w:val="24"/>
          <w:szCs w:val="24"/>
        </w:rPr>
        <w:t xml:space="preserve"> </w:t>
      </w:r>
      <w:r w:rsidRPr="007D1E33">
        <w:rPr>
          <w:rFonts w:asciiTheme="minorHAnsi" w:hAnsiTheme="minorHAnsi" w:cstheme="minorHAnsi"/>
          <w:sz w:val="24"/>
          <w:szCs w:val="24"/>
        </w:rPr>
        <w:t>– trošak prehrane djece, didaktička sredstva i potrošni materijal za djecu (olovke, boje, papir i drugi potrošni materijal potreban za odgojno-obrazovni rad). Izvršenje financijskog plana u iznosu od 82,72 %.</w:t>
      </w:r>
    </w:p>
    <w:p w14:paraId="6337726F" w14:textId="47C3F2C1" w:rsidR="007D1E33" w:rsidRPr="007D1E33" w:rsidRDefault="007D1E33" w:rsidP="007D1E33">
      <w:pPr>
        <w:pStyle w:val="Bezproreda"/>
        <w:numPr>
          <w:ilvl w:val="0"/>
          <w:numId w:val="26"/>
        </w:numPr>
        <w:rPr>
          <w:rFonts w:asciiTheme="minorHAnsi" w:hAnsiTheme="minorHAnsi" w:cstheme="minorHAnsi"/>
          <w:sz w:val="24"/>
          <w:szCs w:val="24"/>
        </w:rPr>
      </w:pPr>
      <w:r w:rsidRPr="007D1E33">
        <w:rPr>
          <w:rFonts w:asciiTheme="minorHAnsi" w:hAnsiTheme="minorHAnsi" w:cstheme="minorHAnsi"/>
          <w:sz w:val="24"/>
          <w:szCs w:val="24"/>
        </w:rPr>
        <w:t xml:space="preserve">Energija u iznosu od 2.367,15 </w:t>
      </w:r>
      <w:r>
        <w:rPr>
          <w:rFonts w:asciiTheme="minorHAnsi" w:hAnsiTheme="minorHAnsi" w:cstheme="minorHAnsi"/>
          <w:sz w:val="24"/>
          <w:szCs w:val="24"/>
        </w:rPr>
        <w:t>eura</w:t>
      </w:r>
      <w:r w:rsidRPr="007D1E33">
        <w:rPr>
          <w:rFonts w:asciiTheme="minorHAnsi" w:hAnsiTheme="minorHAnsi" w:cstheme="minorHAnsi"/>
          <w:sz w:val="24"/>
          <w:szCs w:val="24"/>
        </w:rPr>
        <w:t xml:space="preserve"> – trošak  goriva i plina – neophodni za nesmetan rad Ustanove, što iznosi  78,90 % financijskog plana.</w:t>
      </w:r>
    </w:p>
    <w:p w14:paraId="612DEC88" w14:textId="580066F0" w:rsidR="007D1E33" w:rsidRPr="007D1E33" w:rsidRDefault="007D1E33" w:rsidP="007D1E33">
      <w:pPr>
        <w:pStyle w:val="Bezproreda"/>
        <w:numPr>
          <w:ilvl w:val="0"/>
          <w:numId w:val="25"/>
        </w:numPr>
        <w:jc w:val="both"/>
        <w:rPr>
          <w:rFonts w:asciiTheme="minorHAnsi" w:hAnsiTheme="minorHAnsi" w:cstheme="minorHAnsi"/>
          <w:sz w:val="24"/>
          <w:szCs w:val="24"/>
        </w:rPr>
      </w:pPr>
      <w:r w:rsidRPr="007D1E33">
        <w:rPr>
          <w:rFonts w:asciiTheme="minorHAnsi" w:hAnsiTheme="minorHAnsi" w:cstheme="minorHAnsi"/>
          <w:sz w:val="24"/>
          <w:szCs w:val="24"/>
        </w:rPr>
        <w:t xml:space="preserve">Materijal za održavanje u iznosu od 2.188,58 </w:t>
      </w:r>
      <w:r>
        <w:rPr>
          <w:rFonts w:asciiTheme="minorHAnsi" w:hAnsiTheme="minorHAnsi" w:cstheme="minorHAnsi"/>
          <w:sz w:val="24"/>
          <w:szCs w:val="24"/>
        </w:rPr>
        <w:t>eura</w:t>
      </w:r>
      <w:r w:rsidRPr="007D1E33">
        <w:rPr>
          <w:rFonts w:asciiTheme="minorHAnsi" w:hAnsiTheme="minorHAnsi" w:cstheme="minorHAnsi"/>
          <w:sz w:val="24"/>
          <w:szCs w:val="24"/>
        </w:rPr>
        <w:t xml:space="preserve"> – dijelovi za održavanje i sitni popravci kućnog majstora. Utrošeno je 87,54 % financijskog plana.</w:t>
      </w:r>
    </w:p>
    <w:p w14:paraId="50EE9998" w14:textId="77777777" w:rsidR="007D1E33" w:rsidRDefault="007D1E33" w:rsidP="007D1E33">
      <w:pPr>
        <w:ind w:left="708"/>
        <w:jc w:val="both"/>
        <w:rPr>
          <w:rFonts w:cstheme="minorHAnsi"/>
          <w:sz w:val="24"/>
          <w:szCs w:val="24"/>
        </w:rPr>
      </w:pPr>
      <w:r w:rsidRPr="007D1E33">
        <w:rPr>
          <w:rFonts w:cstheme="minorHAnsi"/>
          <w:sz w:val="24"/>
          <w:szCs w:val="24"/>
        </w:rPr>
        <w:t xml:space="preserve">Sitan inventar u iznosu od 3.709,70 </w:t>
      </w:r>
      <w:r>
        <w:rPr>
          <w:rFonts w:cstheme="minorHAnsi"/>
          <w:sz w:val="24"/>
          <w:szCs w:val="24"/>
        </w:rPr>
        <w:t>eura</w:t>
      </w:r>
      <w:r w:rsidRPr="007D1E33">
        <w:rPr>
          <w:rFonts w:cstheme="minorHAnsi"/>
          <w:sz w:val="24"/>
          <w:szCs w:val="24"/>
        </w:rPr>
        <w:t xml:space="preserve">- </w:t>
      </w:r>
      <w:r w:rsidRPr="007D1E33">
        <w:rPr>
          <w:rFonts w:eastAsia="Times New Roman" w:cstheme="minorHAnsi"/>
          <w:sz w:val="24"/>
          <w:szCs w:val="24"/>
          <w:lang w:eastAsia="hr-HR"/>
        </w:rPr>
        <w:t xml:space="preserve">Nabavljeno je novo posuđe (vilice, noževi, žlice, tanjuri, šalice, </w:t>
      </w:r>
      <w:proofErr w:type="spellStart"/>
      <w:r w:rsidRPr="007D1E33">
        <w:rPr>
          <w:rFonts w:eastAsia="Times New Roman" w:cstheme="minorHAnsi"/>
          <w:sz w:val="24"/>
          <w:szCs w:val="24"/>
          <w:lang w:eastAsia="hr-HR"/>
        </w:rPr>
        <w:t>jelonoše</w:t>
      </w:r>
      <w:proofErr w:type="spellEnd"/>
      <w:r w:rsidRPr="007D1E33">
        <w:rPr>
          <w:rFonts w:eastAsia="Times New Roman" w:cstheme="minorHAnsi"/>
          <w:sz w:val="24"/>
          <w:szCs w:val="24"/>
          <w:lang w:eastAsia="hr-HR"/>
        </w:rPr>
        <w:t>... ) za odgojno-obrazovne skupine, štapni mikser, zvučnici, tepisi. </w:t>
      </w:r>
      <w:r w:rsidRPr="007D1E33">
        <w:rPr>
          <w:rFonts w:cstheme="minorHAnsi"/>
          <w:sz w:val="24"/>
          <w:szCs w:val="24"/>
        </w:rPr>
        <w:t>Utrošeno je 82,43 %  financijskog plana.</w:t>
      </w:r>
    </w:p>
    <w:p w14:paraId="2E826E8F" w14:textId="5E39FD74" w:rsidR="007D1E33" w:rsidRPr="007D1E33" w:rsidRDefault="007D1E33" w:rsidP="007D1E33">
      <w:pPr>
        <w:ind w:left="708"/>
        <w:jc w:val="both"/>
        <w:rPr>
          <w:rFonts w:cstheme="minorHAnsi"/>
          <w:sz w:val="24"/>
          <w:szCs w:val="24"/>
        </w:rPr>
      </w:pPr>
      <w:r>
        <w:rPr>
          <w:rFonts w:cstheme="minorHAnsi"/>
          <w:sz w:val="24"/>
          <w:szCs w:val="24"/>
        </w:rPr>
        <w:t>-</w:t>
      </w:r>
      <w:r w:rsidRPr="007D1E33">
        <w:rPr>
          <w:rFonts w:cstheme="minorHAnsi"/>
          <w:sz w:val="24"/>
          <w:szCs w:val="24"/>
        </w:rPr>
        <w:t xml:space="preserve">Službena radna odjeća i obuća u iznosu od 2.717,30 </w:t>
      </w:r>
      <w:r>
        <w:rPr>
          <w:rFonts w:cstheme="minorHAnsi"/>
          <w:sz w:val="24"/>
          <w:szCs w:val="24"/>
        </w:rPr>
        <w:t>eura</w:t>
      </w:r>
      <w:r w:rsidRPr="007D1E33">
        <w:rPr>
          <w:rFonts w:cstheme="minorHAnsi"/>
          <w:sz w:val="24"/>
          <w:szCs w:val="24"/>
        </w:rPr>
        <w:t xml:space="preserve"> – zaštitna odjeća i obuća za djelatnike vrtića prema Pravilniku. U 2025. godini planirana je nabava radne obuće za djelatnike vrtića. Utrošeno je 93,70 % financijskog plana.</w:t>
      </w:r>
    </w:p>
    <w:p w14:paraId="5CD82BA7" w14:textId="3889702D" w:rsidR="007D1E33" w:rsidRPr="007D1E33" w:rsidRDefault="007D1E33" w:rsidP="007D1E33">
      <w:pPr>
        <w:pStyle w:val="Bezproreda"/>
        <w:numPr>
          <w:ilvl w:val="0"/>
          <w:numId w:val="25"/>
        </w:numPr>
        <w:jc w:val="both"/>
        <w:rPr>
          <w:rFonts w:asciiTheme="minorHAnsi" w:hAnsiTheme="minorHAnsi" w:cstheme="minorHAnsi"/>
          <w:sz w:val="24"/>
          <w:szCs w:val="24"/>
        </w:rPr>
      </w:pPr>
      <w:r w:rsidRPr="007D1E33">
        <w:rPr>
          <w:rFonts w:asciiTheme="minorHAnsi" w:hAnsiTheme="minorHAnsi" w:cstheme="minorHAnsi"/>
          <w:sz w:val="24"/>
          <w:szCs w:val="24"/>
        </w:rPr>
        <w:t xml:space="preserve">Rashodi za usluge na kontima skupine 323 – usluge telefona, pošte, komunalne usluge, usluge tekućeg održavanja, zdravstvene usluge (sanitarni i laboratorijski pregledi odgojiteljica, pomoćno-tehničkog osoblja), intelektualne i osobne usluge, računalne usluge (usluge održavanja računalnih programa) i ostale usluge u iznosu od 51.015,43 </w:t>
      </w:r>
      <w:r>
        <w:rPr>
          <w:rFonts w:asciiTheme="minorHAnsi" w:hAnsiTheme="minorHAnsi" w:cstheme="minorHAnsi"/>
          <w:sz w:val="24"/>
          <w:szCs w:val="24"/>
        </w:rPr>
        <w:t>eura</w:t>
      </w:r>
      <w:r w:rsidRPr="007D1E33">
        <w:rPr>
          <w:rFonts w:asciiTheme="minorHAnsi" w:hAnsiTheme="minorHAnsi" w:cstheme="minorHAnsi"/>
          <w:sz w:val="24"/>
          <w:szCs w:val="24"/>
        </w:rPr>
        <w:t xml:space="preserve"> – troškovi tekućih usluga bez kojih bi rad vrtića  bio otežan. Utrošeno je 93,70 % financijskog plana.</w:t>
      </w:r>
    </w:p>
    <w:p w14:paraId="6C0F9F59" w14:textId="0A8C3546" w:rsidR="007D1E33" w:rsidRPr="007D1E33" w:rsidRDefault="007D1E33" w:rsidP="007D1E33">
      <w:pPr>
        <w:pStyle w:val="Bezproreda"/>
        <w:numPr>
          <w:ilvl w:val="0"/>
          <w:numId w:val="25"/>
        </w:numPr>
        <w:jc w:val="both"/>
        <w:rPr>
          <w:rFonts w:asciiTheme="minorHAnsi" w:hAnsiTheme="minorHAnsi" w:cstheme="minorHAnsi"/>
          <w:sz w:val="24"/>
          <w:szCs w:val="24"/>
        </w:rPr>
      </w:pPr>
      <w:r w:rsidRPr="007D1E33">
        <w:rPr>
          <w:rFonts w:asciiTheme="minorHAnsi" w:hAnsiTheme="minorHAnsi" w:cstheme="minorHAnsi"/>
          <w:sz w:val="24"/>
          <w:szCs w:val="24"/>
        </w:rPr>
        <w:t xml:space="preserve">Ostali nespomenuti rashodi poslovanja na kontima skupine 329 u iznosu od 5.780,07 </w:t>
      </w:r>
      <w:r>
        <w:rPr>
          <w:rFonts w:asciiTheme="minorHAnsi" w:hAnsiTheme="minorHAnsi" w:cstheme="minorHAnsi"/>
          <w:sz w:val="24"/>
          <w:szCs w:val="24"/>
        </w:rPr>
        <w:t>eura.</w:t>
      </w:r>
      <w:r w:rsidRPr="007D1E33">
        <w:rPr>
          <w:rFonts w:asciiTheme="minorHAnsi" w:hAnsiTheme="minorHAnsi" w:cstheme="minorHAnsi"/>
          <w:sz w:val="24"/>
          <w:szCs w:val="24"/>
        </w:rPr>
        <w:t xml:space="preserve"> To su naknada za rad Upravnog vijeća  - naknada za predstavnika roditelja i odgojitelja u Upravnom vijeću, premija osiguranja – sredstva su planirana za ugovaranje police osiguranja za svu djecu koja su upisana u odgojno-obrazovne skupine, te premije osiguranja dostavnih vozila, reprezentacija i ostali nespomenuti rashodi poslovanja. Izvršenje iznosi 87,57 % financijskog plana.</w:t>
      </w:r>
    </w:p>
    <w:p w14:paraId="2E6118F0" w14:textId="71768379" w:rsidR="007D1E33" w:rsidRPr="007D1E33" w:rsidRDefault="007D1E33" w:rsidP="007D1E33">
      <w:pPr>
        <w:pStyle w:val="Odlomakpopisa"/>
        <w:numPr>
          <w:ilvl w:val="0"/>
          <w:numId w:val="25"/>
        </w:numPr>
        <w:spacing w:after="200" w:line="276" w:lineRule="auto"/>
        <w:jc w:val="both"/>
        <w:rPr>
          <w:rStyle w:val="BezproredaChar"/>
          <w:rFonts w:asciiTheme="minorHAnsi" w:hAnsiTheme="minorHAnsi" w:cstheme="minorHAnsi"/>
          <w:sz w:val="24"/>
          <w:szCs w:val="24"/>
        </w:rPr>
      </w:pPr>
      <w:r w:rsidRPr="007D1E33">
        <w:rPr>
          <w:rFonts w:asciiTheme="minorHAnsi" w:hAnsiTheme="minorHAnsi" w:cstheme="minorHAnsi"/>
          <w:sz w:val="24"/>
          <w:szCs w:val="24"/>
        </w:rPr>
        <w:t xml:space="preserve">Financijski rashodi - bankarske usluge i usluge platnog prometa u iznosu 1.913,19 </w:t>
      </w:r>
      <w:r>
        <w:rPr>
          <w:rFonts w:asciiTheme="minorHAnsi" w:hAnsiTheme="minorHAnsi" w:cstheme="minorHAnsi"/>
          <w:sz w:val="24"/>
          <w:szCs w:val="24"/>
        </w:rPr>
        <w:t>eura</w:t>
      </w:r>
      <w:r w:rsidRPr="007D1E33">
        <w:rPr>
          <w:rFonts w:asciiTheme="minorHAnsi" w:hAnsiTheme="minorHAnsi" w:cstheme="minorHAnsi"/>
          <w:sz w:val="24"/>
          <w:szCs w:val="24"/>
        </w:rPr>
        <w:t xml:space="preserve"> – usluga održavanja bankovnog računa</w:t>
      </w:r>
      <w:r>
        <w:rPr>
          <w:rFonts w:asciiTheme="minorHAnsi" w:hAnsiTheme="minorHAnsi" w:cstheme="minorHAnsi"/>
          <w:sz w:val="24"/>
          <w:szCs w:val="24"/>
        </w:rPr>
        <w:t xml:space="preserve">. </w:t>
      </w:r>
      <w:r w:rsidRPr="007D1E33">
        <w:rPr>
          <w:rFonts w:cstheme="minorHAnsi"/>
          <w:sz w:val="24"/>
          <w:szCs w:val="24"/>
        </w:rPr>
        <w:t>Izvršenje u iznosu od 91,10 %financijskog plana.</w:t>
      </w:r>
    </w:p>
    <w:p w14:paraId="5E066F8D" w14:textId="6661231D" w:rsidR="007D1E33" w:rsidRPr="007D1E33" w:rsidRDefault="007D1E33">
      <w:pPr>
        <w:pStyle w:val="Odlomakpopisa"/>
        <w:numPr>
          <w:ilvl w:val="0"/>
          <w:numId w:val="31"/>
        </w:numPr>
        <w:spacing w:after="200" w:line="276" w:lineRule="auto"/>
        <w:jc w:val="both"/>
        <w:rPr>
          <w:rFonts w:asciiTheme="minorHAnsi" w:eastAsia="Times New Roman" w:hAnsiTheme="minorHAnsi" w:cstheme="minorHAnsi"/>
          <w:sz w:val="24"/>
          <w:szCs w:val="24"/>
          <w:lang w:eastAsia="hr-HR"/>
        </w:rPr>
      </w:pPr>
      <w:r w:rsidRPr="007D1E33">
        <w:rPr>
          <w:rStyle w:val="BezproredaChar"/>
          <w:rFonts w:asciiTheme="minorHAnsi" w:hAnsiTheme="minorHAnsi" w:cstheme="minorHAnsi"/>
          <w:sz w:val="24"/>
          <w:szCs w:val="24"/>
        </w:rPr>
        <w:t xml:space="preserve">Rashodi za nabavu nefinancijske imovine planirani su u iznosu od 12.500,00 </w:t>
      </w:r>
      <w:r>
        <w:rPr>
          <w:rStyle w:val="BezproredaChar"/>
          <w:rFonts w:asciiTheme="minorHAnsi" w:hAnsiTheme="minorHAnsi" w:cstheme="minorHAnsi"/>
          <w:sz w:val="24"/>
          <w:szCs w:val="24"/>
        </w:rPr>
        <w:t>eura</w:t>
      </w:r>
      <w:r w:rsidRPr="007D1E33">
        <w:rPr>
          <w:rStyle w:val="BezproredaChar"/>
          <w:rFonts w:asciiTheme="minorHAnsi" w:hAnsiTheme="minorHAnsi" w:cstheme="minorHAnsi"/>
          <w:sz w:val="24"/>
          <w:szCs w:val="24"/>
        </w:rPr>
        <w:t>, a utrošeno je 8.854,68</w:t>
      </w:r>
      <w:r>
        <w:rPr>
          <w:rStyle w:val="BezproredaChar"/>
          <w:rFonts w:asciiTheme="minorHAnsi" w:hAnsiTheme="minorHAnsi" w:cstheme="minorHAnsi"/>
          <w:sz w:val="24"/>
          <w:szCs w:val="24"/>
        </w:rPr>
        <w:t xml:space="preserve"> eura</w:t>
      </w:r>
      <w:r w:rsidRPr="007D1E33">
        <w:rPr>
          <w:rStyle w:val="BezproredaChar"/>
          <w:rFonts w:asciiTheme="minorHAnsi" w:hAnsiTheme="minorHAnsi" w:cstheme="minorHAnsi"/>
          <w:sz w:val="24"/>
          <w:szCs w:val="24"/>
        </w:rPr>
        <w:t>, a</w:t>
      </w:r>
      <w:r w:rsidRPr="007D1E33">
        <w:rPr>
          <w:rFonts w:asciiTheme="minorHAnsi" w:eastAsia="Times New Roman" w:hAnsiTheme="minorHAnsi" w:cstheme="minorHAnsi"/>
          <w:sz w:val="24"/>
          <w:szCs w:val="24"/>
          <w:lang w:eastAsia="hr-HR"/>
        </w:rPr>
        <w:t xml:space="preserve"> odnose se na rashode za implementaciju novih programskih rješenja, za kupnju štapnog miksera, te sjeckalice za centralnu kuhinju i namještaja za odgojno-obrazovne skupine. Izvršenje iznosi 70,83 % financijskog plana.</w:t>
      </w:r>
    </w:p>
    <w:p w14:paraId="567B1264" w14:textId="63C4A869" w:rsidR="007D1E33" w:rsidRDefault="007D1E33" w:rsidP="007D1E33">
      <w:pPr>
        <w:spacing w:before="100" w:beforeAutospacing="1" w:after="100" w:afterAutospacing="1" w:line="252" w:lineRule="auto"/>
        <w:jc w:val="both"/>
        <w:textAlignment w:val="baseline"/>
        <w:outlineLvl w:val="2"/>
        <w:rPr>
          <w:rFonts w:cstheme="minorHAnsi"/>
          <w:sz w:val="24"/>
          <w:szCs w:val="24"/>
        </w:rPr>
      </w:pPr>
      <w:r w:rsidRPr="007D1E33">
        <w:rPr>
          <w:rFonts w:cstheme="minorHAnsi"/>
          <w:sz w:val="24"/>
          <w:szCs w:val="24"/>
        </w:rPr>
        <w:t xml:space="preserve">Rashodi po navedenom izvoru planirani su u iznosu od 270.000,00 </w:t>
      </w:r>
      <w:r>
        <w:rPr>
          <w:rFonts w:cstheme="minorHAnsi"/>
          <w:sz w:val="24"/>
          <w:szCs w:val="24"/>
        </w:rPr>
        <w:t>eura</w:t>
      </w:r>
      <w:r w:rsidRPr="007D1E33">
        <w:rPr>
          <w:rFonts w:cstheme="minorHAnsi"/>
          <w:sz w:val="24"/>
          <w:szCs w:val="24"/>
        </w:rPr>
        <w:t xml:space="preserve">, a izvršeni su u iznosu od 229.338,02 </w:t>
      </w:r>
      <w:r>
        <w:rPr>
          <w:rFonts w:cstheme="minorHAnsi"/>
          <w:sz w:val="24"/>
          <w:szCs w:val="24"/>
        </w:rPr>
        <w:t>eura</w:t>
      </w:r>
      <w:r w:rsidRPr="007D1E33">
        <w:rPr>
          <w:rFonts w:cstheme="minorHAnsi"/>
          <w:sz w:val="24"/>
          <w:szCs w:val="24"/>
        </w:rPr>
        <w:t xml:space="preserve"> ili 84,94 % financijskog plana.  </w:t>
      </w:r>
    </w:p>
    <w:p w14:paraId="113C518C" w14:textId="77777777" w:rsidR="00670C1A" w:rsidRPr="005F4FCC" w:rsidRDefault="00670C1A" w:rsidP="007D1E33">
      <w:pPr>
        <w:spacing w:before="100" w:beforeAutospacing="1" w:after="100" w:afterAutospacing="1" w:line="252" w:lineRule="auto"/>
        <w:jc w:val="both"/>
        <w:textAlignment w:val="baseline"/>
        <w:outlineLvl w:val="2"/>
        <w:rPr>
          <w:rFonts w:cstheme="minorHAnsi"/>
          <w:sz w:val="24"/>
          <w:szCs w:val="24"/>
        </w:rPr>
      </w:pPr>
    </w:p>
    <w:p w14:paraId="4A7D67E2" w14:textId="77777777" w:rsidR="007D1E33" w:rsidRPr="005F4FCC" w:rsidRDefault="007D1E33" w:rsidP="007D1E33">
      <w:pPr>
        <w:jc w:val="both"/>
        <w:rPr>
          <w:rFonts w:cstheme="minorHAnsi"/>
          <w:b/>
          <w:sz w:val="24"/>
          <w:szCs w:val="24"/>
        </w:rPr>
      </w:pPr>
      <w:r w:rsidRPr="004D2C78">
        <w:rPr>
          <w:rFonts w:cstheme="minorHAnsi"/>
          <w:b/>
          <w:sz w:val="24"/>
          <w:szCs w:val="24"/>
        </w:rPr>
        <w:lastRenderedPageBreak/>
        <w:t>5.5. OSTALE POMOĆI PRORAČUNSKIH KORISNIK</w:t>
      </w:r>
      <w:r>
        <w:rPr>
          <w:rFonts w:cstheme="minorHAnsi"/>
          <w:b/>
          <w:sz w:val="24"/>
          <w:szCs w:val="24"/>
        </w:rPr>
        <w:t>A</w:t>
      </w:r>
    </w:p>
    <w:p w14:paraId="480735F9" w14:textId="77777777" w:rsidR="007D1E33" w:rsidRPr="005F4FCC" w:rsidRDefault="007D1E33" w:rsidP="007D1E33">
      <w:pPr>
        <w:pStyle w:val="Bezproreda"/>
        <w:ind w:firstLine="360"/>
        <w:jc w:val="both"/>
        <w:rPr>
          <w:rFonts w:asciiTheme="minorHAnsi" w:hAnsiTheme="minorHAnsi" w:cstheme="minorHAnsi"/>
          <w:sz w:val="24"/>
          <w:szCs w:val="24"/>
        </w:rPr>
      </w:pPr>
      <w:r w:rsidRPr="005F4FCC">
        <w:rPr>
          <w:rFonts w:asciiTheme="minorHAnsi" w:hAnsiTheme="minorHAnsi" w:cstheme="minorHAnsi"/>
          <w:sz w:val="24"/>
          <w:szCs w:val="24"/>
        </w:rPr>
        <w:t>Izvor Ostale pomoći proračunskih korisnika su sredstva:</w:t>
      </w:r>
    </w:p>
    <w:p w14:paraId="57AE685F" w14:textId="77777777" w:rsidR="007D1E33" w:rsidRPr="005F4FCC" w:rsidRDefault="007D1E33" w:rsidP="007D1E33">
      <w:pPr>
        <w:pStyle w:val="Bezproreda"/>
        <w:jc w:val="both"/>
        <w:rPr>
          <w:rFonts w:asciiTheme="minorHAnsi" w:hAnsiTheme="minorHAnsi" w:cstheme="minorHAnsi"/>
          <w:sz w:val="24"/>
          <w:szCs w:val="24"/>
        </w:rPr>
      </w:pPr>
    </w:p>
    <w:p w14:paraId="58E6F953" w14:textId="77777777" w:rsidR="007D1E33" w:rsidRPr="005F4FCC" w:rsidRDefault="007D1E33" w:rsidP="007D1E33">
      <w:pPr>
        <w:pStyle w:val="Bezproreda"/>
        <w:numPr>
          <w:ilvl w:val="0"/>
          <w:numId w:val="27"/>
        </w:numPr>
        <w:jc w:val="both"/>
        <w:rPr>
          <w:rFonts w:asciiTheme="minorHAnsi" w:hAnsiTheme="minorHAnsi" w:cstheme="minorHAnsi"/>
          <w:sz w:val="24"/>
          <w:szCs w:val="24"/>
        </w:rPr>
      </w:pPr>
      <w:r w:rsidRPr="005F4FCC">
        <w:rPr>
          <w:rFonts w:asciiTheme="minorHAnsi" w:hAnsiTheme="minorHAnsi" w:cstheme="minorHAnsi"/>
          <w:sz w:val="24"/>
          <w:szCs w:val="24"/>
        </w:rPr>
        <w:t>Ministarstva znanosti i obrazovanja  za  sufinanciranje  programa djeca s teškoćama (djeca u integraciji te djeca u posebnoj skupini)</w:t>
      </w:r>
    </w:p>
    <w:p w14:paraId="2FF7C5D0" w14:textId="77777777" w:rsidR="007D1E33" w:rsidRPr="005F4FCC" w:rsidRDefault="007D1E33" w:rsidP="007D1E33">
      <w:pPr>
        <w:pStyle w:val="Bezproreda"/>
        <w:numPr>
          <w:ilvl w:val="0"/>
          <w:numId w:val="27"/>
        </w:numPr>
        <w:jc w:val="both"/>
        <w:rPr>
          <w:rFonts w:asciiTheme="minorHAnsi" w:hAnsiTheme="minorHAnsi" w:cstheme="minorHAnsi"/>
          <w:sz w:val="24"/>
          <w:szCs w:val="24"/>
        </w:rPr>
      </w:pPr>
      <w:r w:rsidRPr="005F4FCC">
        <w:rPr>
          <w:rFonts w:asciiTheme="minorHAnsi" w:hAnsiTheme="minorHAnsi" w:cstheme="minorHAnsi"/>
          <w:sz w:val="24"/>
          <w:szCs w:val="24"/>
        </w:rPr>
        <w:t xml:space="preserve">Ministarstva  znanosti i obrazovanja za  sufinanciranje programa djece predškolskog uzrasta, </w:t>
      </w:r>
    </w:p>
    <w:p w14:paraId="4F6C7C2D" w14:textId="77777777" w:rsidR="007D1E33" w:rsidRPr="005F4FCC" w:rsidRDefault="007D1E33" w:rsidP="007D1E33">
      <w:pPr>
        <w:pStyle w:val="Bezproreda"/>
        <w:numPr>
          <w:ilvl w:val="0"/>
          <w:numId w:val="27"/>
        </w:numPr>
        <w:jc w:val="both"/>
        <w:rPr>
          <w:rFonts w:asciiTheme="minorHAnsi" w:hAnsiTheme="minorHAnsi" w:cstheme="minorHAnsi"/>
          <w:sz w:val="24"/>
          <w:szCs w:val="24"/>
        </w:rPr>
      </w:pPr>
      <w:r w:rsidRPr="005F4FCC">
        <w:rPr>
          <w:rFonts w:asciiTheme="minorHAnsi" w:hAnsiTheme="minorHAnsi" w:cstheme="minorHAnsi"/>
          <w:sz w:val="24"/>
          <w:szCs w:val="24"/>
        </w:rPr>
        <w:t>Ministarstva znanosti i obrazovanja za sufinanciranje programa daroviti</w:t>
      </w:r>
    </w:p>
    <w:p w14:paraId="0FE4AC5B" w14:textId="77777777" w:rsidR="007D1E33" w:rsidRPr="005F4FCC" w:rsidRDefault="007D1E33" w:rsidP="007D1E33">
      <w:pPr>
        <w:pStyle w:val="Bezproreda"/>
        <w:numPr>
          <w:ilvl w:val="0"/>
          <w:numId w:val="27"/>
        </w:numPr>
        <w:jc w:val="both"/>
        <w:rPr>
          <w:rFonts w:asciiTheme="minorHAnsi" w:hAnsiTheme="minorHAnsi" w:cstheme="minorHAnsi"/>
          <w:sz w:val="24"/>
          <w:szCs w:val="24"/>
        </w:rPr>
      </w:pPr>
      <w:r w:rsidRPr="005F4FCC">
        <w:rPr>
          <w:rFonts w:asciiTheme="minorHAnsi" w:hAnsiTheme="minorHAnsi" w:cstheme="minorHAnsi"/>
          <w:sz w:val="24"/>
          <w:szCs w:val="24"/>
        </w:rPr>
        <w:t>Tekuće pomoći – Grad Kaštela</w:t>
      </w:r>
    </w:p>
    <w:p w14:paraId="52B4E903" w14:textId="77777777" w:rsidR="007D1E33" w:rsidRDefault="007D1E33" w:rsidP="007D1E33">
      <w:pPr>
        <w:pStyle w:val="Bezproreda"/>
        <w:numPr>
          <w:ilvl w:val="0"/>
          <w:numId w:val="27"/>
        </w:numPr>
        <w:jc w:val="both"/>
        <w:rPr>
          <w:rFonts w:asciiTheme="minorHAnsi" w:hAnsiTheme="minorHAnsi" w:cstheme="minorHAnsi"/>
          <w:sz w:val="24"/>
          <w:szCs w:val="24"/>
        </w:rPr>
      </w:pPr>
      <w:r w:rsidRPr="005F4FCC">
        <w:rPr>
          <w:rFonts w:asciiTheme="minorHAnsi" w:hAnsiTheme="minorHAnsi" w:cstheme="minorHAnsi"/>
          <w:sz w:val="24"/>
          <w:szCs w:val="24"/>
        </w:rPr>
        <w:t xml:space="preserve">Tekuće pomoći  - Županija </w:t>
      </w:r>
    </w:p>
    <w:p w14:paraId="2DB526FF" w14:textId="77777777" w:rsidR="002B75AD" w:rsidRDefault="002B75AD" w:rsidP="00244304">
      <w:pPr>
        <w:pStyle w:val="Bezproreda"/>
        <w:numPr>
          <w:ilvl w:val="0"/>
          <w:numId w:val="27"/>
        </w:numPr>
        <w:jc w:val="both"/>
        <w:rPr>
          <w:rFonts w:asciiTheme="minorHAnsi" w:hAnsiTheme="minorHAnsi" w:cstheme="minorHAnsi"/>
          <w:sz w:val="24"/>
          <w:szCs w:val="24"/>
        </w:rPr>
      </w:pPr>
      <w:r w:rsidRPr="00244304">
        <w:rPr>
          <w:rFonts w:asciiTheme="minorHAnsi" w:hAnsiTheme="minorHAnsi" w:cstheme="minorHAnsi"/>
          <w:sz w:val="24"/>
          <w:szCs w:val="24"/>
        </w:rPr>
        <w:t>HZZ-a za zapošljavanje pripravnika</w:t>
      </w:r>
    </w:p>
    <w:p w14:paraId="37304930" w14:textId="77777777" w:rsidR="00244304" w:rsidRDefault="00244304" w:rsidP="00244304">
      <w:pPr>
        <w:pStyle w:val="Bezproreda"/>
        <w:jc w:val="both"/>
        <w:rPr>
          <w:rFonts w:asciiTheme="minorHAnsi" w:hAnsiTheme="minorHAnsi" w:cstheme="minorHAnsi"/>
          <w:sz w:val="24"/>
          <w:szCs w:val="24"/>
        </w:rPr>
      </w:pPr>
    </w:p>
    <w:p w14:paraId="5D7A7534" w14:textId="77777777" w:rsidR="00244304" w:rsidRPr="005F4FCC" w:rsidRDefault="00244304" w:rsidP="00244304">
      <w:pPr>
        <w:ind w:left="285"/>
        <w:rPr>
          <w:rFonts w:cstheme="minorHAnsi"/>
          <w:b/>
          <w:sz w:val="24"/>
          <w:szCs w:val="24"/>
        </w:rPr>
      </w:pPr>
      <w:r w:rsidRPr="005F4FCC">
        <w:rPr>
          <w:rFonts w:cstheme="minorHAnsi"/>
          <w:b/>
          <w:sz w:val="24"/>
          <w:szCs w:val="24"/>
        </w:rPr>
        <w:t>5.5. Tekuće pomoći Županija i Grad Kaštela</w:t>
      </w:r>
    </w:p>
    <w:p w14:paraId="3DEF358A" w14:textId="6BCDC823" w:rsidR="00244304" w:rsidRPr="005F4FCC" w:rsidRDefault="00244304" w:rsidP="00244304">
      <w:pPr>
        <w:ind w:left="285"/>
        <w:jc w:val="both"/>
        <w:rPr>
          <w:rFonts w:cstheme="minorHAnsi"/>
          <w:sz w:val="24"/>
          <w:szCs w:val="24"/>
        </w:rPr>
      </w:pPr>
      <w:r w:rsidRPr="005F4FCC">
        <w:rPr>
          <w:rFonts w:cstheme="minorHAnsi"/>
          <w:sz w:val="24"/>
          <w:szCs w:val="24"/>
        </w:rPr>
        <w:t xml:space="preserve">Tekuće pomoći Županije i Grada Kaštela - rashodi su planirani u iznosu od </w:t>
      </w:r>
      <w:r>
        <w:rPr>
          <w:rFonts w:cstheme="minorHAnsi"/>
          <w:sz w:val="24"/>
          <w:szCs w:val="24"/>
        </w:rPr>
        <w:t>10.000,00</w:t>
      </w:r>
      <w:r w:rsidRPr="005F4FCC">
        <w:rPr>
          <w:rFonts w:cstheme="minorHAnsi"/>
          <w:sz w:val="24"/>
          <w:szCs w:val="24"/>
        </w:rPr>
        <w:t xml:space="preserve"> </w:t>
      </w:r>
      <w:r>
        <w:rPr>
          <w:rFonts w:cstheme="minorHAnsi"/>
          <w:sz w:val="24"/>
          <w:szCs w:val="24"/>
        </w:rPr>
        <w:t>eura</w:t>
      </w:r>
      <w:r w:rsidRPr="005F4FCC">
        <w:rPr>
          <w:rFonts w:cstheme="minorHAnsi"/>
          <w:sz w:val="24"/>
          <w:szCs w:val="24"/>
        </w:rPr>
        <w:t xml:space="preserve">. Utrošeno je </w:t>
      </w:r>
      <w:r>
        <w:rPr>
          <w:rFonts w:cstheme="minorHAnsi"/>
          <w:sz w:val="24"/>
          <w:szCs w:val="24"/>
        </w:rPr>
        <w:t>9.527,33</w:t>
      </w:r>
      <w:r w:rsidRPr="005F4FCC">
        <w:rPr>
          <w:rFonts w:cstheme="minorHAnsi"/>
          <w:sz w:val="24"/>
          <w:szCs w:val="24"/>
        </w:rPr>
        <w:t xml:space="preserve"> </w:t>
      </w:r>
      <w:r>
        <w:rPr>
          <w:rFonts w:cstheme="minorHAnsi"/>
          <w:sz w:val="24"/>
          <w:szCs w:val="24"/>
        </w:rPr>
        <w:t>eura</w:t>
      </w:r>
      <w:r w:rsidRPr="005F4FCC">
        <w:rPr>
          <w:rFonts w:cstheme="minorHAnsi"/>
          <w:sz w:val="24"/>
          <w:szCs w:val="24"/>
        </w:rPr>
        <w:t xml:space="preserve">. Prihodi su planirani u iznosu </w:t>
      </w:r>
      <w:r>
        <w:rPr>
          <w:rFonts w:cstheme="minorHAnsi"/>
          <w:sz w:val="24"/>
          <w:szCs w:val="24"/>
        </w:rPr>
        <w:t>10.0</w:t>
      </w:r>
      <w:r w:rsidRPr="005F4FCC">
        <w:rPr>
          <w:rFonts w:cstheme="minorHAnsi"/>
          <w:sz w:val="24"/>
          <w:szCs w:val="24"/>
        </w:rPr>
        <w:t xml:space="preserve">00,00 </w:t>
      </w:r>
      <w:r>
        <w:rPr>
          <w:rFonts w:cstheme="minorHAnsi"/>
          <w:sz w:val="24"/>
          <w:szCs w:val="24"/>
        </w:rPr>
        <w:t>eura</w:t>
      </w:r>
      <w:r w:rsidRPr="005F4FCC">
        <w:rPr>
          <w:rFonts w:cstheme="minorHAnsi"/>
          <w:sz w:val="24"/>
          <w:szCs w:val="24"/>
        </w:rPr>
        <w:t xml:space="preserve">, a ostvareni u iznosu od </w:t>
      </w:r>
      <w:r>
        <w:rPr>
          <w:rFonts w:cstheme="minorHAnsi"/>
          <w:sz w:val="24"/>
          <w:szCs w:val="24"/>
        </w:rPr>
        <w:t>9.527,33</w:t>
      </w:r>
      <w:r w:rsidRPr="005F4FCC">
        <w:rPr>
          <w:rFonts w:cstheme="minorHAnsi"/>
          <w:sz w:val="24"/>
          <w:szCs w:val="24"/>
        </w:rPr>
        <w:t xml:space="preserve"> </w:t>
      </w:r>
      <w:r>
        <w:rPr>
          <w:rFonts w:cstheme="minorHAnsi"/>
          <w:sz w:val="24"/>
          <w:szCs w:val="24"/>
        </w:rPr>
        <w:t>eura</w:t>
      </w:r>
      <w:r w:rsidRPr="005F4FCC">
        <w:rPr>
          <w:rFonts w:cstheme="minorHAnsi"/>
          <w:sz w:val="24"/>
          <w:szCs w:val="24"/>
        </w:rPr>
        <w:t xml:space="preserve">, odnosno </w:t>
      </w:r>
      <w:r>
        <w:rPr>
          <w:rFonts w:cstheme="minorHAnsi"/>
          <w:sz w:val="24"/>
          <w:szCs w:val="24"/>
        </w:rPr>
        <w:t>95,27</w:t>
      </w:r>
      <w:r w:rsidRPr="005F4FCC">
        <w:rPr>
          <w:rFonts w:cstheme="minorHAnsi"/>
          <w:sz w:val="24"/>
          <w:szCs w:val="24"/>
        </w:rPr>
        <w:t xml:space="preserve"> % financijskog plana.</w:t>
      </w:r>
    </w:p>
    <w:p w14:paraId="45996C67" w14:textId="6B2ED935" w:rsidR="00935E42" w:rsidRPr="005F4FCC" w:rsidRDefault="00244304" w:rsidP="00244304">
      <w:pPr>
        <w:ind w:left="285"/>
        <w:jc w:val="both"/>
        <w:rPr>
          <w:rFonts w:cstheme="minorHAnsi"/>
          <w:sz w:val="24"/>
          <w:szCs w:val="24"/>
        </w:rPr>
      </w:pPr>
      <w:r w:rsidRPr="005F4FCC">
        <w:rPr>
          <w:rFonts w:cstheme="minorHAnsi"/>
          <w:sz w:val="24"/>
          <w:szCs w:val="24"/>
        </w:rPr>
        <w:t xml:space="preserve">Temeljem potpisivanja Ugovora o načinu i uvjetima sufinanciranja programa predškolskog odgoja kojeg za potrebe Grada Kaštela realizira Dječji vrtić „Trogir“, Trogir, uplaćena su sredstva od Grada Kaštela u iznosu od </w:t>
      </w:r>
      <w:r>
        <w:rPr>
          <w:rFonts w:cstheme="minorHAnsi"/>
          <w:sz w:val="24"/>
          <w:szCs w:val="24"/>
        </w:rPr>
        <w:t>9.527,33</w:t>
      </w:r>
      <w:r w:rsidRPr="005F4FCC">
        <w:rPr>
          <w:rFonts w:cstheme="minorHAnsi"/>
          <w:sz w:val="24"/>
          <w:szCs w:val="24"/>
        </w:rPr>
        <w:t xml:space="preserve"> </w:t>
      </w:r>
      <w:r>
        <w:rPr>
          <w:rFonts w:cstheme="minorHAnsi"/>
          <w:sz w:val="24"/>
          <w:szCs w:val="24"/>
        </w:rPr>
        <w:t>eura</w:t>
      </w:r>
      <w:r w:rsidRPr="005F4FCC">
        <w:rPr>
          <w:rFonts w:cstheme="minorHAnsi"/>
          <w:sz w:val="24"/>
          <w:szCs w:val="24"/>
        </w:rPr>
        <w:t xml:space="preserve"> (za dvoje djece koje pohađaju vrtić Grada Trogira), koji se evidentira kao prihod tekuće pomoći proračunskim korisnicima iz proračuna koji im nije nadležan. Prihodi od Županije su izostali.</w:t>
      </w:r>
    </w:p>
    <w:p w14:paraId="01402311" w14:textId="27025786" w:rsidR="005F4FCC" w:rsidRPr="005F4FCC" w:rsidRDefault="005F4FCC" w:rsidP="005F4FCC">
      <w:pPr>
        <w:ind w:left="285"/>
        <w:rPr>
          <w:rFonts w:cstheme="minorHAnsi"/>
          <w:b/>
          <w:sz w:val="24"/>
          <w:szCs w:val="24"/>
        </w:rPr>
      </w:pPr>
      <w:r w:rsidRPr="005F4FCC">
        <w:rPr>
          <w:rFonts w:cstheme="minorHAnsi"/>
          <w:b/>
          <w:sz w:val="24"/>
          <w:szCs w:val="24"/>
        </w:rPr>
        <w:t xml:space="preserve">5.5. Ministarstvo znanosti i  obrazovanja  - za program  </w:t>
      </w:r>
      <w:proofErr w:type="spellStart"/>
      <w:r w:rsidRPr="005F4FCC">
        <w:rPr>
          <w:rFonts w:cstheme="minorHAnsi"/>
          <w:b/>
          <w:sz w:val="24"/>
          <w:szCs w:val="24"/>
        </w:rPr>
        <w:t>predškole</w:t>
      </w:r>
      <w:proofErr w:type="spellEnd"/>
      <w:r w:rsidRPr="005F4FCC">
        <w:rPr>
          <w:rFonts w:cstheme="minorHAnsi"/>
          <w:b/>
          <w:sz w:val="24"/>
          <w:szCs w:val="24"/>
        </w:rPr>
        <w:t>, program djece s teškoćama i program darovit</w:t>
      </w:r>
      <w:r w:rsidR="00244304">
        <w:rPr>
          <w:rFonts w:cstheme="minorHAnsi"/>
          <w:b/>
          <w:sz w:val="24"/>
          <w:szCs w:val="24"/>
        </w:rPr>
        <w:t>a djeca</w:t>
      </w:r>
    </w:p>
    <w:p w14:paraId="735A8FD5" w14:textId="77777777" w:rsidR="0021096B" w:rsidRDefault="0021096B" w:rsidP="0021096B">
      <w:pPr>
        <w:jc w:val="both"/>
        <w:rPr>
          <w:rFonts w:cstheme="minorHAnsi"/>
          <w:sz w:val="24"/>
          <w:szCs w:val="24"/>
        </w:rPr>
      </w:pPr>
      <w:r w:rsidRPr="0021096B">
        <w:rPr>
          <w:rFonts w:cstheme="minorHAnsi"/>
          <w:sz w:val="24"/>
          <w:szCs w:val="24"/>
        </w:rPr>
        <w:t xml:space="preserve">Prihodi za izvještajno razdoblje iznose 13.117,00 </w:t>
      </w:r>
      <w:r>
        <w:rPr>
          <w:rFonts w:cstheme="minorHAnsi"/>
          <w:sz w:val="24"/>
          <w:szCs w:val="24"/>
        </w:rPr>
        <w:t>eura</w:t>
      </w:r>
      <w:r w:rsidRPr="0021096B">
        <w:rPr>
          <w:rFonts w:cstheme="minorHAnsi"/>
          <w:sz w:val="24"/>
          <w:szCs w:val="24"/>
        </w:rPr>
        <w:t>, odnosno 79,85 %</w:t>
      </w:r>
      <w:r>
        <w:rPr>
          <w:rFonts w:cstheme="minorHAnsi"/>
          <w:sz w:val="24"/>
          <w:szCs w:val="24"/>
        </w:rPr>
        <w:t>.</w:t>
      </w:r>
      <w:r w:rsidRPr="0021096B">
        <w:rPr>
          <w:rFonts w:cstheme="minorHAnsi"/>
          <w:sz w:val="24"/>
          <w:szCs w:val="24"/>
        </w:rPr>
        <w:t xml:space="preserve">  Rashodi su planirani u iznosu od 20.000,00 </w:t>
      </w:r>
      <w:r>
        <w:rPr>
          <w:rFonts w:cstheme="minorHAnsi"/>
          <w:sz w:val="24"/>
          <w:szCs w:val="24"/>
        </w:rPr>
        <w:t>eura</w:t>
      </w:r>
      <w:r w:rsidRPr="0021096B">
        <w:rPr>
          <w:rFonts w:cstheme="minorHAnsi"/>
          <w:sz w:val="24"/>
          <w:szCs w:val="24"/>
        </w:rPr>
        <w:t xml:space="preserve"> za program djeca s teškoćama koja su integrirana u redovite odgojno-obrazovne skupine, te program posebna skupina djeca s teškoćama,  5.000,00 </w:t>
      </w:r>
      <w:r>
        <w:rPr>
          <w:rFonts w:cstheme="minorHAnsi"/>
          <w:sz w:val="24"/>
          <w:szCs w:val="24"/>
        </w:rPr>
        <w:t>eura</w:t>
      </w:r>
      <w:r w:rsidRPr="0021096B">
        <w:rPr>
          <w:rFonts w:cstheme="minorHAnsi"/>
          <w:sz w:val="24"/>
          <w:szCs w:val="24"/>
        </w:rPr>
        <w:t xml:space="preserve">  za program </w:t>
      </w:r>
      <w:proofErr w:type="spellStart"/>
      <w:r w:rsidRPr="0021096B">
        <w:rPr>
          <w:rFonts w:cstheme="minorHAnsi"/>
          <w:sz w:val="24"/>
          <w:szCs w:val="24"/>
        </w:rPr>
        <w:t>predškole</w:t>
      </w:r>
      <w:proofErr w:type="spellEnd"/>
      <w:r w:rsidRPr="0021096B">
        <w:rPr>
          <w:rFonts w:cstheme="minorHAnsi"/>
          <w:sz w:val="24"/>
          <w:szCs w:val="24"/>
        </w:rPr>
        <w:t xml:space="preserve">, te program daroviti u iznosu od 1.000,00 </w:t>
      </w:r>
      <w:r>
        <w:rPr>
          <w:rFonts w:cstheme="minorHAnsi"/>
          <w:sz w:val="24"/>
          <w:szCs w:val="24"/>
        </w:rPr>
        <w:t>eura</w:t>
      </w:r>
      <w:r w:rsidRPr="0021096B">
        <w:rPr>
          <w:rFonts w:cstheme="minorHAnsi"/>
          <w:sz w:val="24"/>
          <w:szCs w:val="24"/>
        </w:rPr>
        <w:t xml:space="preserve">. </w:t>
      </w:r>
    </w:p>
    <w:p w14:paraId="0DBD367E" w14:textId="52112D04" w:rsidR="0021096B" w:rsidRPr="0021096B" w:rsidRDefault="0021096B" w:rsidP="0021096B">
      <w:pPr>
        <w:jc w:val="both"/>
        <w:rPr>
          <w:rFonts w:cstheme="minorHAnsi"/>
          <w:sz w:val="24"/>
          <w:szCs w:val="24"/>
        </w:rPr>
      </w:pPr>
      <w:r w:rsidRPr="0021096B">
        <w:rPr>
          <w:rFonts w:cstheme="minorHAnsi"/>
          <w:sz w:val="24"/>
          <w:szCs w:val="24"/>
        </w:rPr>
        <w:t xml:space="preserve">Utrošeno je 13.177,00 </w:t>
      </w:r>
      <w:r>
        <w:rPr>
          <w:rFonts w:cstheme="minorHAnsi"/>
          <w:sz w:val="24"/>
          <w:szCs w:val="24"/>
        </w:rPr>
        <w:t>eura</w:t>
      </w:r>
      <w:r w:rsidRPr="0021096B">
        <w:rPr>
          <w:rFonts w:cstheme="minorHAnsi"/>
          <w:sz w:val="24"/>
          <w:szCs w:val="24"/>
        </w:rPr>
        <w:t xml:space="preserve"> odnosno 52,70% financijskog plana. Sredstva su namjenska i utrošena su za potrošni materijal u radu s djecom, didaktiku za ostvarenje ciljeva  postavljenih planom i programom.</w:t>
      </w:r>
    </w:p>
    <w:p w14:paraId="7C86FF71" w14:textId="77777777" w:rsidR="0021096B" w:rsidRPr="0021096B" w:rsidRDefault="0021096B">
      <w:pPr>
        <w:pStyle w:val="Odlomakpopisa"/>
        <w:numPr>
          <w:ilvl w:val="0"/>
          <w:numId w:val="36"/>
        </w:numPr>
        <w:spacing w:after="200" w:line="276" w:lineRule="auto"/>
        <w:jc w:val="both"/>
        <w:rPr>
          <w:rFonts w:asciiTheme="minorHAnsi" w:hAnsiTheme="minorHAnsi" w:cstheme="minorHAnsi"/>
          <w:b/>
          <w:bCs/>
          <w:sz w:val="24"/>
          <w:szCs w:val="24"/>
        </w:rPr>
      </w:pPr>
      <w:r w:rsidRPr="0021096B">
        <w:rPr>
          <w:rFonts w:asciiTheme="minorHAnsi" w:hAnsiTheme="minorHAnsi" w:cstheme="minorHAnsi"/>
          <w:b/>
          <w:bCs/>
          <w:sz w:val="24"/>
          <w:szCs w:val="24"/>
        </w:rPr>
        <w:t xml:space="preserve">Suradnja sa HZZ-om u zapošljavanju </w:t>
      </w:r>
    </w:p>
    <w:p w14:paraId="62028F1B" w14:textId="77777777" w:rsidR="0021096B" w:rsidRDefault="0021096B" w:rsidP="0021096B">
      <w:pPr>
        <w:pStyle w:val="Odlomakpopisa"/>
        <w:ind w:left="1005"/>
        <w:jc w:val="both"/>
        <w:rPr>
          <w:rFonts w:ascii="Arial" w:hAnsi="Arial" w:cs="Arial"/>
          <w:b/>
          <w:bCs/>
        </w:rPr>
      </w:pPr>
    </w:p>
    <w:p w14:paraId="1738DECB" w14:textId="21DB6FBD" w:rsidR="0021096B" w:rsidRPr="0021096B" w:rsidRDefault="0021096B" w:rsidP="0021096B">
      <w:pPr>
        <w:spacing w:after="200" w:line="276" w:lineRule="auto"/>
        <w:jc w:val="both"/>
        <w:rPr>
          <w:rFonts w:cstheme="minorHAnsi"/>
          <w:sz w:val="24"/>
          <w:szCs w:val="24"/>
          <w:u w:val="single"/>
        </w:rPr>
      </w:pPr>
      <w:r w:rsidRPr="0021096B">
        <w:rPr>
          <w:rFonts w:cstheme="minorHAnsi"/>
          <w:sz w:val="24"/>
          <w:szCs w:val="24"/>
          <w:u w:val="single"/>
        </w:rPr>
        <w:t>Aktivnost  SURADNJA SA HZZ-OM U ZAPOŠLJAVANJU</w:t>
      </w:r>
    </w:p>
    <w:p w14:paraId="7BC7DF5E" w14:textId="77777777" w:rsidR="0021096B" w:rsidRPr="0021096B" w:rsidRDefault="0021096B" w:rsidP="0021096B">
      <w:pPr>
        <w:spacing w:after="0"/>
        <w:jc w:val="both"/>
        <w:rPr>
          <w:rFonts w:cstheme="minorHAnsi"/>
          <w:sz w:val="24"/>
          <w:szCs w:val="24"/>
        </w:rPr>
      </w:pPr>
      <w:r w:rsidRPr="0021096B">
        <w:rPr>
          <w:rStyle w:val="markedcontent"/>
          <w:rFonts w:cstheme="minorHAnsi"/>
          <w:sz w:val="24"/>
          <w:szCs w:val="24"/>
        </w:rPr>
        <w:t xml:space="preserve">Dječji vrtić Trogir u izvještajnom razdoblju nije  sklopio Ugovor  o dodjeli državne potpore za sufinanciranje zapošljavanja za </w:t>
      </w:r>
      <w:r w:rsidRPr="0021096B">
        <w:rPr>
          <w:rFonts w:cstheme="minorHAnsi"/>
          <w:sz w:val="24"/>
          <w:szCs w:val="24"/>
        </w:rPr>
        <w:t xml:space="preserve">stjecanje prvog radnog iskustva/pripravništvo sa Hrvatskim zavodom za zapošljavanje temeljem Mjere aktivne politike zapošljavanja. </w:t>
      </w:r>
    </w:p>
    <w:p w14:paraId="3DD1203F" w14:textId="77777777" w:rsidR="0021096B" w:rsidRPr="0021096B" w:rsidRDefault="0021096B" w:rsidP="0021096B">
      <w:pPr>
        <w:spacing w:after="0"/>
        <w:jc w:val="both"/>
        <w:rPr>
          <w:rFonts w:cstheme="minorHAnsi"/>
          <w:sz w:val="24"/>
          <w:szCs w:val="24"/>
        </w:rPr>
      </w:pPr>
      <w:r w:rsidRPr="0021096B">
        <w:rPr>
          <w:rFonts w:cstheme="minorHAnsi"/>
          <w:sz w:val="24"/>
          <w:szCs w:val="24"/>
        </w:rPr>
        <w:t>Sredstva su u financijskom planu planirana temeljem mogućnosti sklapanja novih Ugovora sa Hrvatskim zavodom za zapošljavanje. Prihodi i rashodi su planirani u iznosu od 4.000,00 €. Izvršenje je  0,00 %.</w:t>
      </w:r>
    </w:p>
    <w:p w14:paraId="1ACED78C" w14:textId="77777777" w:rsidR="0021096B" w:rsidRPr="006C6E1D" w:rsidRDefault="0021096B" w:rsidP="0021096B">
      <w:pPr>
        <w:ind w:left="390"/>
        <w:jc w:val="both"/>
        <w:rPr>
          <w:rFonts w:ascii="Arial" w:hAnsi="Arial" w:cs="Arial"/>
        </w:rPr>
      </w:pPr>
    </w:p>
    <w:p w14:paraId="0C2FD45A" w14:textId="77777777" w:rsidR="0021096B" w:rsidRPr="0021096B" w:rsidRDefault="0021096B" w:rsidP="0021096B">
      <w:pPr>
        <w:jc w:val="both"/>
        <w:rPr>
          <w:rFonts w:cstheme="minorHAnsi"/>
          <w:b/>
          <w:sz w:val="24"/>
          <w:szCs w:val="24"/>
        </w:rPr>
      </w:pPr>
      <w:r w:rsidRPr="0021096B">
        <w:rPr>
          <w:rFonts w:cstheme="minorHAnsi"/>
          <w:b/>
          <w:sz w:val="24"/>
          <w:szCs w:val="24"/>
        </w:rPr>
        <w:lastRenderedPageBreak/>
        <w:t>6.2. DONACIJE PRORAČUNSKIH KORISNIKA</w:t>
      </w:r>
    </w:p>
    <w:p w14:paraId="236EBDA4" w14:textId="77777777" w:rsidR="0021096B" w:rsidRPr="0021096B" w:rsidRDefault="0021096B" w:rsidP="0021096B">
      <w:pPr>
        <w:jc w:val="both"/>
        <w:rPr>
          <w:rFonts w:cstheme="minorHAnsi"/>
          <w:b/>
          <w:sz w:val="24"/>
          <w:szCs w:val="24"/>
          <w:u w:val="single"/>
        </w:rPr>
      </w:pPr>
      <w:r w:rsidRPr="0021096B">
        <w:rPr>
          <w:rFonts w:cstheme="minorHAnsi"/>
          <w:bCs/>
          <w:sz w:val="24"/>
          <w:szCs w:val="24"/>
          <w:u w:val="single"/>
        </w:rPr>
        <w:t>Kapitalni projekt UREĐENJE DJEČJIH IGRALIŠTA</w:t>
      </w:r>
      <w:r w:rsidRPr="0021096B">
        <w:rPr>
          <w:rFonts w:cstheme="minorHAnsi"/>
          <w:b/>
          <w:sz w:val="24"/>
          <w:szCs w:val="24"/>
          <w:u w:val="single"/>
        </w:rPr>
        <w:t xml:space="preserve"> </w:t>
      </w:r>
    </w:p>
    <w:p w14:paraId="6696ED53" w14:textId="0DED016D" w:rsidR="0021096B" w:rsidRPr="0021096B" w:rsidRDefault="0021096B" w:rsidP="0021096B">
      <w:pPr>
        <w:jc w:val="both"/>
        <w:rPr>
          <w:rFonts w:cstheme="minorHAnsi"/>
          <w:b/>
          <w:sz w:val="24"/>
          <w:szCs w:val="24"/>
          <w:u w:val="single"/>
        </w:rPr>
      </w:pPr>
      <w:r w:rsidRPr="0021096B">
        <w:rPr>
          <w:rFonts w:cstheme="minorHAnsi"/>
          <w:sz w:val="24"/>
          <w:szCs w:val="24"/>
        </w:rPr>
        <w:t xml:space="preserve">Prihodi od donacija proračunskih korisnika za navedeno izvještajno razdoblje iznose 0,00 </w:t>
      </w:r>
      <w:r>
        <w:rPr>
          <w:rFonts w:cstheme="minorHAnsi"/>
          <w:sz w:val="24"/>
          <w:szCs w:val="24"/>
        </w:rPr>
        <w:t>eura</w:t>
      </w:r>
      <w:r w:rsidRPr="0021096B">
        <w:rPr>
          <w:rFonts w:cstheme="minorHAnsi"/>
          <w:sz w:val="24"/>
          <w:szCs w:val="24"/>
        </w:rPr>
        <w:t xml:space="preserve">. Planirani su u iznosu od 1.000,00 </w:t>
      </w:r>
      <w:r>
        <w:rPr>
          <w:rFonts w:cstheme="minorHAnsi"/>
          <w:sz w:val="24"/>
          <w:szCs w:val="24"/>
        </w:rPr>
        <w:t>eura</w:t>
      </w:r>
      <w:r w:rsidRPr="0021096B">
        <w:rPr>
          <w:rFonts w:cstheme="minorHAnsi"/>
          <w:sz w:val="24"/>
          <w:szCs w:val="24"/>
        </w:rPr>
        <w:t xml:space="preserve">. Rashodi su planirani u iznosu od 1.000,00 </w:t>
      </w:r>
      <w:r>
        <w:rPr>
          <w:rFonts w:cstheme="minorHAnsi"/>
          <w:sz w:val="24"/>
          <w:szCs w:val="24"/>
        </w:rPr>
        <w:t>eura</w:t>
      </w:r>
      <w:r w:rsidRPr="0021096B">
        <w:rPr>
          <w:rFonts w:cstheme="minorHAnsi"/>
          <w:sz w:val="24"/>
          <w:szCs w:val="24"/>
        </w:rPr>
        <w:t>.</w:t>
      </w:r>
    </w:p>
    <w:p w14:paraId="30FE0519" w14:textId="77777777" w:rsidR="0021096B" w:rsidRDefault="0021096B" w:rsidP="0021096B">
      <w:pPr>
        <w:rPr>
          <w:rFonts w:ascii="Arial" w:eastAsia="Times New Roman" w:hAnsi="Arial" w:cs="Arial"/>
          <w:b/>
          <w:bCs/>
          <w:color w:val="000000"/>
          <w:lang w:eastAsia="hr-HR"/>
        </w:rPr>
      </w:pPr>
    </w:p>
    <w:p w14:paraId="4E21FAA2" w14:textId="3AE652AA" w:rsidR="0021096B" w:rsidRPr="0021096B" w:rsidRDefault="0021096B" w:rsidP="0021096B">
      <w:pPr>
        <w:rPr>
          <w:rFonts w:eastAsia="Times New Roman" w:cstheme="minorHAnsi"/>
          <w:b/>
          <w:bCs/>
          <w:color w:val="000000"/>
          <w:sz w:val="24"/>
          <w:szCs w:val="24"/>
          <w:lang w:eastAsia="hr-HR"/>
        </w:rPr>
      </w:pPr>
      <w:r w:rsidRPr="0021096B">
        <w:rPr>
          <w:rFonts w:eastAsia="Times New Roman" w:cstheme="minorHAnsi"/>
          <w:b/>
          <w:bCs/>
          <w:color w:val="000000"/>
          <w:sz w:val="24"/>
          <w:szCs w:val="24"/>
          <w:lang w:eastAsia="hr-HR"/>
        </w:rPr>
        <w:t>7.1. PRIHODI OD PRODAJE ILI ZAMJENE NEFINANCIJSKE IMOVINE ILI NAKNADE OSIGURANJA</w:t>
      </w:r>
    </w:p>
    <w:p w14:paraId="08990713" w14:textId="2DEEE488" w:rsidR="0021096B" w:rsidRPr="0021096B" w:rsidRDefault="0021096B" w:rsidP="0021096B">
      <w:pPr>
        <w:spacing w:after="0"/>
        <w:rPr>
          <w:rFonts w:eastAsia="Times New Roman" w:cstheme="minorHAnsi"/>
          <w:b/>
          <w:bCs/>
          <w:color w:val="000000"/>
          <w:sz w:val="24"/>
          <w:szCs w:val="24"/>
          <w:lang w:eastAsia="hr-HR"/>
        </w:rPr>
      </w:pPr>
      <w:r w:rsidRPr="0021096B">
        <w:rPr>
          <w:rFonts w:cstheme="minorHAnsi"/>
          <w:bCs/>
          <w:sz w:val="24"/>
          <w:szCs w:val="24"/>
          <w:u w:val="single"/>
        </w:rPr>
        <w:t>Kapitalni projekt</w:t>
      </w:r>
      <w:r>
        <w:rPr>
          <w:rFonts w:cstheme="minorHAnsi"/>
          <w:bCs/>
          <w:sz w:val="24"/>
          <w:szCs w:val="24"/>
          <w:u w:val="single"/>
        </w:rPr>
        <w:t xml:space="preserve"> </w:t>
      </w:r>
      <w:r w:rsidRPr="0021096B">
        <w:rPr>
          <w:rFonts w:cstheme="minorHAnsi"/>
          <w:bCs/>
          <w:sz w:val="24"/>
          <w:szCs w:val="24"/>
          <w:u w:val="single"/>
        </w:rPr>
        <w:t>NABAVA OPREME ZA CENTRALNU KUHINJU</w:t>
      </w:r>
    </w:p>
    <w:p w14:paraId="71B11ECB" w14:textId="67F09E84" w:rsidR="0021096B" w:rsidRPr="0021096B" w:rsidRDefault="0021096B" w:rsidP="0021096B">
      <w:pPr>
        <w:spacing w:after="0"/>
        <w:jc w:val="both"/>
        <w:rPr>
          <w:rFonts w:cstheme="minorHAnsi"/>
          <w:sz w:val="24"/>
          <w:szCs w:val="24"/>
        </w:rPr>
      </w:pPr>
      <w:r w:rsidRPr="0021096B">
        <w:rPr>
          <w:rFonts w:cstheme="minorHAnsi"/>
          <w:sz w:val="24"/>
          <w:szCs w:val="24"/>
        </w:rPr>
        <w:t xml:space="preserve">Prihodi od prodaje ili zamjene nefinancijske imovine planirani su u iznosu od 3.000,00 </w:t>
      </w:r>
      <w:r>
        <w:rPr>
          <w:rFonts w:cstheme="minorHAnsi"/>
          <w:sz w:val="24"/>
          <w:szCs w:val="24"/>
        </w:rPr>
        <w:t>eura</w:t>
      </w:r>
      <w:r w:rsidRPr="0021096B">
        <w:rPr>
          <w:rFonts w:cstheme="minorHAnsi"/>
          <w:sz w:val="24"/>
          <w:szCs w:val="24"/>
        </w:rPr>
        <w:t xml:space="preserve">. Rashodi su planirani u iznosu od 3.000,00 </w:t>
      </w:r>
      <w:r>
        <w:rPr>
          <w:rFonts w:cstheme="minorHAnsi"/>
          <w:sz w:val="24"/>
          <w:szCs w:val="24"/>
        </w:rPr>
        <w:t>eura</w:t>
      </w:r>
      <w:r w:rsidRPr="0021096B">
        <w:rPr>
          <w:rFonts w:cstheme="minorHAnsi"/>
          <w:sz w:val="24"/>
          <w:szCs w:val="24"/>
        </w:rPr>
        <w:t xml:space="preserve">. Nije ostvarena prodaja, te su prihodi izostali. Izvršenje iznosi 0,00 </w:t>
      </w:r>
      <w:r>
        <w:rPr>
          <w:rFonts w:cstheme="minorHAnsi"/>
          <w:sz w:val="24"/>
          <w:szCs w:val="24"/>
        </w:rPr>
        <w:t>eura</w:t>
      </w:r>
      <w:r w:rsidRPr="0021096B">
        <w:rPr>
          <w:rFonts w:cstheme="minorHAnsi"/>
          <w:sz w:val="24"/>
          <w:szCs w:val="24"/>
        </w:rPr>
        <w:t>, odnosno 0,00 %.</w:t>
      </w:r>
    </w:p>
    <w:p w14:paraId="0F787C0F" w14:textId="77777777" w:rsidR="0021096B" w:rsidRDefault="0021096B" w:rsidP="00162757">
      <w:pPr>
        <w:jc w:val="both"/>
        <w:rPr>
          <w:rFonts w:cstheme="minorHAnsi"/>
          <w:b/>
          <w:sz w:val="24"/>
          <w:szCs w:val="24"/>
        </w:rPr>
      </w:pPr>
    </w:p>
    <w:p w14:paraId="470403D2" w14:textId="1786A7C6" w:rsidR="00162757" w:rsidRPr="00162757" w:rsidRDefault="00162757" w:rsidP="00162757">
      <w:pPr>
        <w:jc w:val="both"/>
        <w:rPr>
          <w:rFonts w:cstheme="minorHAnsi"/>
          <w:b/>
          <w:sz w:val="24"/>
          <w:szCs w:val="24"/>
        </w:rPr>
      </w:pPr>
      <w:r w:rsidRPr="00162757">
        <w:rPr>
          <w:rFonts w:cstheme="minorHAnsi"/>
          <w:b/>
          <w:sz w:val="24"/>
          <w:szCs w:val="24"/>
        </w:rPr>
        <w:t xml:space="preserve">Gradska knjižnica Trogir </w:t>
      </w:r>
    </w:p>
    <w:p w14:paraId="001366E2" w14:textId="03EFF821" w:rsidR="00162757" w:rsidRPr="00162757" w:rsidRDefault="00162757" w:rsidP="00162757">
      <w:pPr>
        <w:spacing w:after="0"/>
        <w:jc w:val="both"/>
        <w:rPr>
          <w:rFonts w:cstheme="minorHAnsi"/>
          <w:sz w:val="24"/>
          <w:szCs w:val="24"/>
        </w:rPr>
      </w:pPr>
      <w:r w:rsidRPr="00162757">
        <w:rPr>
          <w:rFonts w:cstheme="minorHAnsi"/>
          <w:sz w:val="24"/>
          <w:szCs w:val="24"/>
        </w:rPr>
        <w:t>Gradska knjižnica Trogir</w:t>
      </w:r>
      <w:r w:rsidR="00500036">
        <w:rPr>
          <w:rFonts w:cstheme="minorHAnsi"/>
          <w:sz w:val="24"/>
          <w:szCs w:val="24"/>
        </w:rPr>
        <w:t xml:space="preserve"> zasniva svoj program rada na temelju Zakona o knjižnicama i knjižničnoj djelatnosti </w:t>
      </w:r>
      <w:r w:rsidR="001A4A63">
        <w:rPr>
          <w:rFonts w:cstheme="minorHAnsi"/>
          <w:sz w:val="24"/>
          <w:szCs w:val="24"/>
        </w:rPr>
        <w:t xml:space="preserve">(„Narodne novine“ br.17/19 i 98/19), Standardima za narodne knjižnice i čitaonice u RH. (NN br.103/2021). </w:t>
      </w:r>
      <w:r w:rsidRPr="00162757">
        <w:rPr>
          <w:rFonts w:cstheme="minorHAnsi"/>
          <w:sz w:val="24"/>
          <w:szCs w:val="24"/>
        </w:rPr>
        <w:t>Osnivač i vlasnik Gradske knjižnice je Grad Trogir.</w:t>
      </w:r>
    </w:p>
    <w:p w14:paraId="6397D55E" w14:textId="2C8EEC9A" w:rsidR="003E3D31" w:rsidRPr="003E3D31" w:rsidRDefault="00162757" w:rsidP="003E3D31">
      <w:pPr>
        <w:jc w:val="both"/>
        <w:rPr>
          <w:rFonts w:cstheme="minorHAnsi"/>
          <w:sz w:val="24"/>
          <w:szCs w:val="24"/>
        </w:rPr>
      </w:pPr>
      <w:r w:rsidRPr="003E3D31">
        <w:rPr>
          <w:rFonts w:cstheme="minorHAnsi"/>
          <w:sz w:val="24"/>
          <w:szCs w:val="24"/>
        </w:rPr>
        <w:t>Djelatnost knj</w:t>
      </w:r>
      <w:r w:rsidR="001A4A63" w:rsidRPr="003E3D31">
        <w:rPr>
          <w:rFonts w:cstheme="minorHAnsi"/>
          <w:sz w:val="24"/>
          <w:szCs w:val="24"/>
        </w:rPr>
        <w:t xml:space="preserve">ižnice je </w:t>
      </w:r>
      <w:r w:rsidR="003E3D31" w:rsidRPr="003E3D31">
        <w:rPr>
          <w:rFonts w:cs="Calibri"/>
          <w:sz w:val="24"/>
          <w:szCs w:val="24"/>
        </w:rPr>
        <w:t>nabava knjižnične građe i izgradnja knjižničnih zbirki, stručna obrada knjižnične građe prema stručnim standardima, što uključuje izradu informacijskih pomagala u tiskanom i/ili elektroničkom obliku,</w:t>
      </w:r>
      <w:r w:rsidR="003E3D31" w:rsidRPr="003E3D31">
        <w:rPr>
          <w:rFonts w:cstheme="minorHAnsi"/>
          <w:sz w:val="24"/>
          <w:szCs w:val="24"/>
        </w:rPr>
        <w:t xml:space="preserve"> </w:t>
      </w:r>
      <w:r w:rsidR="003E3D31" w:rsidRPr="003E3D31">
        <w:rPr>
          <w:rFonts w:cs="Calibri"/>
          <w:sz w:val="24"/>
          <w:szCs w:val="24"/>
        </w:rPr>
        <w:t>pohranu, čuvanje i zaštita knjižnične građe te provođenje mjera zaštite knjižnične građe, koja je kulturno dobro,</w:t>
      </w:r>
      <w:r w:rsidR="003E3D31" w:rsidRPr="003E3D31">
        <w:rPr>
          <w:rFonts w:cstheme="minorHAnsi"/>
          <w:sz w:val="24"/>
          <w:szCs w:val="24"/>
        </w:rPr>
        <w:t xml:space="preserve"> </w:t>
      </w:r>
      <w:r w:rsidR="003E3D31" w:rsidRPr="003E3D31">
        <w:rPr>
          <w:rFonts w:cs="Calibri"/>
          <w:sz w:val="24"/>
          <w:szCs w:val="24"/>
        </w:rPr>
        <w:t>pružanje informacijskih usluga, posudbu i davanje na korištenje knjižnične građe, uključujući među knjižničnu posudbu,  digitalizaciju knjižnične građe,</w:t>
      </w:r>
      <w:r w:rsidR="003E3D31" w:rsidRPr="003E3D31">
        <w:rPr>
          <w:rFonts w:cstheme="minorHAnsi"/>
          <w:sz w:val="24"/>
          <w:szCs w:val="24"/>
        </w:rPr>
        <w:t xml:space="preserve"> </w:t>
      </w:r>
      <w:r w:rsidR="003E3D31" w:rsidRPr="003E3D31">
        <w:rPr>
          <w:rFonts w:cs="Calibri"/>
          <w:sz w:val="24"/>
          <w:szCs w:val="24"/>
        </w:rPr>
        <w:t>usmjeravanje i podučavanje korisnika pri izboru i korištenju knjižnične građe, informacijskih pomagala i drugih izvora,</w:t>
      </w:r>
      <w:r w:rsidR="003E3D31" w:rsidRPr="003E3D31">
        <w:rPr>
          <w:rFonts w:cstheme="minorHAnsi"/>
          <w:sz w:val="24"/>
          <w:szCs w:val="24"/>
        </w:rPr>
        <w:t xml:space="preserve"> </w:t>
      </w:r>
      <w:r w:rsidR="003E3D31" w:rsidRPr="003E3D31">
        <w:rPr>
          <w:rFonts w:cs="Calibri"/>
          <w:sz w:val="24"/>
          <w:szCs w:val="24"/>
        </w:rPr>
        <w:t xml:space="preserve">vođenje dokumentacije i prikupljanje statističkih podataka o poslovanju, knjižničnoj građi, korisnicima i korištenju usluga </w:t>
      </w:r>
      <w:r w:rsidR="003E3D31">
        <w:rPr>
          <w:rFonts w:cs="Calibri"/>
          <w:sz w:val="24"/>
          <w:szCs w:val="24"/>
        </w:rPr>
        <w:t>k</w:t>
      </w:r>
      <w:r w:rsidR="003E3D31" w:rsidRPr="003E3D31">
        <w:rPr>
          <w:rFonts w:cs="Calibri"/>
          <w:sz w:val="24"/>
          <w:szCs w:val="24"/>
        </w:rPr>
        <w:t>njižnice,</w:t>
      </w:r>
      <w:r w:rsidR="003E3D31" w:rsidRPr="003E3D31">
        <w:rPr>
          <w:rFonts w:cstheme="minorHAnsi"/>
          <w:sz w:val="24"/>
          <w:szCs w:val="24"/>
        </w:rPr>
        <w:t xml:space="preserve"> </w:t>
      </w:r>
      <w:r w:rsidR="003E3D31" w:rsidRPr="003E3D31">
        <w:rPr>
          <w:rFonts w:cs="Calibri"/>
          <w:sz w:val="24"/>
          <w:szCs w:val="24"/>
        </w:rPr>
        <w:t>prikupljanje statističkih podataka vezanih uz provedbu propisa kojima se uređuju autorska i srodna prava,</w:t>
      </w:r>
      <w:r w:rsidR="003E3D31" w:rsidRPr="003E3D31">
        <w:rPr>
          <w:rFonts w:cstheme="minorHAnsi"/>
          <w:sz w:val="24"/>
          <w:szCs w:val="24"/>
        </w:rPr>
        <w:t xml:space="preserve"> </w:t>
      </w:r>
      <w:r w:rsidR="003E3D31" w:rsidRPr="003E3D31">
        <w:rPr>
          <w:rFonts w:cs="Calibri"/>
          <w:sz w:val="24"/>
          <w:szCs w:val="24"/>
        </w:rPr>
        <w:t>pripremanje kulturnih, informacijskih, obrazovnih i znanstvenih sadržaja i programa,</w:t>
      </w:r>
      <w:r w:rsidR="003E3D31" w:rsidRPr="003E3D31">
        <w:rPr>
          <w:rFonts w:cstheme="minorHAnsi"/>
          <w:sz w:val="24"/>
          <w:szCs w:val="24"/>
        </w:rPr>
        <w:t xml:space="preserve"> </w:t>
      </w:r>
      <w:r w:rsidR="003E3D31" w:rsidRPr="003E3D31">
        <w:rPr>
          <w:rFonts w:cs="Calibri"/>
          <w:sz w:val="24"/>
          <w:szCs w:val="24"/>
        </w:rPr>
        <w:t>obavljanje i drugih poslova sukladno Zakonu.</w:t>
      </w:r>
    </w:p>
    <w:p w14:paraId="7CED8A87" w14:textId="367885F2" w:rsidR="00597C9C" w:rsidRPr="002B75AD" w:rsidRDefault="00597C9C" w:rsidP="00597C9C">
      <w:pPr>
        <w:contextualSpacing/>
        <w:rPr>
          <w:rFonts w:eastAsia="Times New Roman" w:cstheme="minorHAnsi"/>
          <w:sz w:val="24"/>
          <w:szCs w:val="24"/>
        </w:rPr>
      </w:pPr>
      <w:r>
        <w:rPr>
          <w:rFonts w:eastAsia="Times New Roman" w:cstheme="minorHAnsi"/>
          <w:sz w:val="24"/>
          <w:szCs w:val="24"/>
        </w:rPr>
        <w:t>Gradska knjižnica Trogir</w:t>
      </w:r>
      <w:r w:rsidRPr="002B75AD">
        <w:rPr>
          <w:rFonts w:eastAsia="Times New Roman" w:cstheme="minorHAnsi"/>
          <w:sz w:val="24"/>
          <w:szCs w:val="24"/>
        </w:rPr>
        <w:t xml:space="preserve">  provodi sljedeći program kroz sv</w:t>
      </w:r>
      <w:r>
        <w:rPr>
          <w:rFonts w:eastAsia="Times New Roman" w:cstheme="minorHAnsi"/>
          <w:sz w:val="24"/>
          <w:szCs w:val="24"/>
        </w:rPr>
        <w:t>oje</w:t>
      </w:r>
      <w:r w:rsidRPr="002B75AD">
        <w:rPr>
          <w:rFonts w:eastAsia="Times New Roman" w:cstheme="minorHAnsi"/>
          <w:sz w:val="24"/>
          <w:szCs w:val="24"/>
        </w:rPr>
        <w:t xml:space="preserve"> aktivnos</w:t>
      </w:r>
      <w:r>
        <w:rPr>
          <w:rFonts w:eastAsia="Times New Roman" w:cstheme="minorHAnsi"/>
          <w:sz w:val="24"/>
          <w:szCs w:val="24"/>
        </w:rPr>
        <w:t>ti:</w:t>
      </w:r>
    </w:p>
    <w:p w14:paraId="3FE865A3" w14:textId="77777777" w:rsidR="00597C9C" w:rsidRPr="002B75AD" w:rsidRDefault="00597C9C" w:rsidP="00597C9C">
      <w:pPr>
        <w:contextualSpacing/>
        <w:rPr>
          <w:rFonts w:eastAsia="Times New Roman" w:cstheme="minorHAnsi"/>
          <w:sz w:val="24"/>
          <w:szCs w:val="24"/>
        </w:rPr>
      </w:pPr>
    </w:p>
    <w:p w14:paraId="518FFD26" w14:textId="320656A7" w:rsidR="00597C9C" w:rsidRPr="002B75AD" w:rsidRDefault="00597C9C" w:rsidP="00597C9C">
      <w:pPr>
        <w:contextualSpacing/>
        <w:rPr>
          <w:rFonts w:eastAsia="Times New Roman" w:cstheme="minorHAnsi"/>
          <w:sz w:val="24"/>
          <w:szCs w:val="24"/>
        </w:rPr>
      </w:pPr>
      <w:r w:rsidRPr="002B75AD">
        <w:rPr>
          <w:rFonts w:eastAsia="Times New Roman" w:cstheme="minorHAnsi"/>
          <w:sz w:val="24"/>
          <w:szCs w:val="24"/>
        </w:rPr>
        <w:t>PROGRAM: 120</w:t>
      </w:r>
      <w:r>
        <w:rPr>
          <w:rFonts w:eastAsia="Times New Roman" w:cstheme="minorHAnsi"/>
          <w:sz w:val="24"/>
          <w:szCs w:val="24"/>
        </w:rPr>
        <w:t>2 KULTURA</w:t>
      </w:r>
    </w:p>
    <w:p w14:paraId="1BEF79F7" w14:textId="3DF36CF1" w:rsidR="00597C9C" w:rsidRPr="002B75AD" w:rsidRDefault="00597C9C" w:rsidP="00597C9C">
      <w:pPr>
        <w:contextualSpacing/>
        <w:rPr>
          <w:rFonts w:eastAsia="Times New Roman" w:cstheme="minorHAnsi"/>
          <w:sz w:val="24"/>
          <w:szCs w:val="24"/>
        </w:rPr>
      </w:pPr>
      <w:r w:rsidRPr="002B75AD">
        <w:rPr>
          <w:rFonts w:eastAsia="Times New Roman" w:cstheme="minorHAnsi"/>
          <w:sz w:val="24"/>
          <w:szCs w:val="24"/>
        </w:rPr>
        <w:t xml:space="preserve">Unutar </w:t>
      </w:r>
      <w:r>
        <w:rPr>
          <w:rFonts w:eastAsia="Times New Roman" w:cstheme="minorHAnsi"/>
          <w:sz w:val="24"/>
          <w:szCs w:val="24"/>
        </w:rPr>
        <w:t xml:space="preserve">navedenog programa planirane su 2 aktivnosti: </w:t>
      </w:r>
    </w:p>
    <w:p w14:paraId="4D26C66E" w14:textId="63C4D3F7" w:rsidR="00597C9C" w:rsidRDefault="00597C9C" w:rsidP="00597C9C">
      <w:pPr>
        <w:spacing w:after="0" w:line="276" w:lineRule="auto"/>
        <w:rPr>
          <w:rFonts w:eastAsia="Times New Roman" w:cstheme="minorHAnsi"/>
          <w:sz w:val="24"/>
          <w:szCs w:val="24"/>
        </w:rPr>
      </w:pPr>
      <w:r w:rsidRPr="002B75AD">
        <w:rPr>
          <w:rFonts w:eastAsia="Times New Roman" w:cstheme="minorHAnsi"/>
          <w:sz w:val="24"/>
          <w:szCs w:val="24"/>
        </w:rPr>
        <w:t xml:space="preserve"> A10000</w:t>
      </w:r>
      <w:r>
        <w:rPr>
          <w:rFonts w:eastAsia="Times New Roman" w:cstheme="minorHAnsi"/>
          <w:sz w:val="24"/>
          <w:szCs w:val="24"/>
        </w:rPr>
        <w:t>3</w:t>
      </w:r>
      <w:r w:rsidRPr="002B75AD">
        <w:rPr>
          <w:rFonts w:eastAsia="Times New Roman" w:cstheme="minorHAnsi"/>
          <w:sz w:val="24"/>
          <w:szCs w:val="24"/>
        </w:rPr>
        <w:t xml:space="preserve">  Financiranje redovne djelatnosti</w:t>
      </w:r>
      <w:r>
        <w:rPr>
          <w:rFonts w:eastAsia="Times New Roman" w:cstheme="minorHAnsi"/>
          <w:sz w:val="24"/>
          <w:szCs w:val="24"/>
        </w:rPr>
        <w:t xml:space="preserve">- Gradska knjižnica </w:t>
      </w:r>
    </w:p>
    <w:p w14:paraId="1A6F7F5B" w14:textId="7C7EEF28" w:rsidR="00597C9C" w:rsidRPr="002B75AD" w:rsidRDefault="00597C9C" w:rsidP="00597C9C">
      <w:pPr>
        <w:spacing w:after="0" w:line="276" w:lineRule="auto"/>
        <w:rPr>
          <w:rFonts w:eastAsia="Times New Roman" w:cstheme="minorHAnsi"/>
          <w:sz w:val="24"/>
          <w:szCs w:val="24"/>
        </w:rPr>
      </w:pPr>
      <w:r>
        <w:rPr>
          <w:rFonts w:eastAsia="Times New Roman" w:cstheme="minorHAnsi"/>
          <w:sz w:val="24"/>
          <w:szCs w:val="24"/>
        </w:rPr>
        <w:t xml:space="preserve"> </w:t>
      </w:r>
      <w:r w:rsidRPr="002B75AD">
        <w:rPr>
          <w:rFonts w:eastAsia="Times New Roman" w:cstheme="minorHAnsi"/>
          <w:sz w:val="24"/>
          <w:szCs w:val="24"/>
        </w:rPr>
        <w:t>A1000</w:t>
      </w:r>
      <w:r>
        <w:rPr>
          <w:rFonts w:eastAsia="Times New Roman" w:cstheme="minorHAnsi"/>
          <w:sz w:val="24"/>
          <w:szCs w:val="24"/>
        </w:rPr>
        <w:t>20</w:t>
      </w:r>
      <w:r w:rsidRPr="002B75AD">
        <w:rPr>
          <w:rFonts w:eastAsia="Times New Roman" w:cstheme="minorHAnsi"/>
          <w:sz w:val="24"/>
          <w:szCs w:val="24"/>
        </w:rPr>
        <w:t xml:space="preserve"> </w:t>
      </w:r>
      <w:r>
        <w:rPr>
          <w:rFonts w:eastAsia="Times New Roman" w:cstheme="minorHAnsi"/>
          <w:sz w:val="24"/>
          <w:szCs w:val="24"/>
        </w:rPr>
        <w:t xml:space="preserve">Provođenje mjera aktivne politike zapošljavanja </w:t>
      </w:r>
    </w:p>
    <w:p w14:paraId="3E497267" w14:textId="77777777" w:rsidR="00597C9C" w:rsidRDefault="00597C9C" w:rsidP="00597C9C">
      <w:pPr>
        <w:spacing w:after="0"/>
        <w:rPr>
          <w:rFonts w:cstheme="minorHAnsi"/>
          <w:sz w:val="24"/>
          <w:szCs w:val="24"/>
        </w:rPr>
      </w:pPr>
    </w:p>
    <w:p w14:paraId="0939328C" w14:textId="1C188DC3" w:rsidR="00597C9C" w:rsidRPr="00597C9C" w:rsidRDefault="00597C9C" w:rsidP="00597C9C">
      <w:pPr>
        <w:spacing w:after="0"/>
        <w:rPr>
          <w:rFonts w:cstheme="minorHAnsi"/>
          <w:bCs/>
          <w:iCs/>
          <w:sz w:val="24"/>
          <w:szCs w:val="24"/>
        </w:rPr>
      </w:pPr>
      <w:r w:rsidRPr="002B75AD">
        <w:rPr>
          <w:rFonts w:cstheme="minorHAnsi"/>
          <w:bCs/>
          <w:iCs/>
          <w:sz w:val="24"/>
          <w:szCs w:val="24"/>
          <w:u w:val="single"/>
        </w:rPr>
        <w:t>Aktivnost  Financiranje redovne djelatnosti</w:t>
      </w:r>
      <w:r>
        <w:rPr>
          <w:rFonts w:cstheme="minorHAnsi"/>
          <w:bCs/>
          <w:iCs/>
          <w:sz w:val="24"/>
          <w:szCs w:val="24"/>
          <w:u w:val="single"/>
        </w:rPr>
        <w:t>-gradska knjižnica Trogir</w:t>
      </w:r>
    </w:p>
    <w:p w14:paraId="01D71D23" w14:textId="77777777" w:rsidR="00597C9C" w:rsidRPr="00597C9C" w:rsidRDefault="00597C9C" w:rsidP="00597C9C">
      <w:pPr>
        <w:spacing w:after="0" w:line="240" w:lineRule="auto"/>
        <w:jc w:val="both"/>
        <w:rPr>
          <w:rFonts w:cstheme="minorHAnsi"/>
          <w:color w:val="FF0000"/>
          <w:sz w:val="24"/>
          <w:szCs w:val="24"/>
        </w:rPr>
      </w:pPr>
      <w:r w:rsidRPr="00597C9C">
        <w:rPr>
          <w:rFonts w:cstheme="minorHAnsi"/>
          <w:sz w:val="24"/>
          <w:szCs w:val="24"/>
        </w:rPr>
        <w:t>Gradska knjižnica Trogir unutar programa redovne djelatnosti traži sredstva za plaće djelatnika i kupnju knjiga, te redovna događanja poput: Mjesec hrvatske knjige, kulturna događanja kroz godinu i financiranje izdavačke djelatnosti - zbirke Priča se (p)o gradu.</w:t>
      </w:r>
    </w:p>
    <w:p w14:paraId="28B068DE" w14:textId="5EFBA43A" w:rsidR="008264B1" w:rsidRPr="00597C9C" w:rsidRDefault="00597C9C" w:rsidP="00597C9C">
      <w:pPr>
        <w:spacing w:after="0" w:line="240" w:lineRule="auto"/>
        <w:jc w:val="both"/>
        <w:rPr>
          <w:rFonts w:cstheme="minorHAnsi"/>
          <w:sz w:val="24"/>
          <w:szCs w:val="24"/>
        </w:rPr>
      </w:pPr>
      <w:r w:rsidRPr="00597C9C">
        <w:rPr>
          <w:rFonts w:cstheme="minorHAnsi"/>
          <w:sz w:val="24"/>
          <w:szCs w:val="24"/>
        </w:rPr>
        <w:t xml:space="preserve">Kako bismo ostvarili naše zadane ciljeve </w:t>
      </w:r>
      <w:r>
        <w:rPr>
          <w:rFonts w:cstheme="minorHAnsi"/>
          <w:sz w:val="24"/>
          <w:szCs w:val="24"/>
        </w:rPr>
        <w:t>k</w:t>
      </w:r>
      <w:r w:rsidRPr="00597C9C">
        <w:rPr>
          <w:rFonts w:cstheme="minorHAnsi"/>
          <w:sz w:val="24"/>
          <w:szCs w:val="24"/>
        </w:rPr>
        <w:t xml:space="preserve">njižnica mora biti: mjesto slobodnog pristupa cjelokupnom znanju i civilizacijskim tekovinama za sve građane, mjesto cjeloživotnog učenja i </w:t>
      </w:r>
      <w:r w:rsidRPr="00597C9C">
        <w:rPr>
          <w:rFonts w:cstheme="minorHAnsi"/>
          <w:sz w:val="24"/>
          <w:szCs w:val="24"/>
        </w:rPr>
        <w:lastRenderedPageBreak/>
        <w:t>razvijanja svih vrsta pismenosti, kulturno središte i mjesto susreta građana lokalne sredine,  čimbenik gospodarskog i društvenog razvoja lokalne zajednice i društva u cjelini, čimbenik koji značajno utječe na poboljšanje kvalitete života  građanina pojedinca u svakom životnom dobu, mjesto gdje se prikupljaju, organiziraju i daju na korištenje informacije prema potrebama korisnika i mjesto koje povezuje i osigurava pristup lokalnim, regionalnim i globalnim izvorima znanja i informacija</w:t>
      </w:r>
      <w:r>
        <w:rPr>
          <w:rFonts w:cstheme="minorHAnsi"/>
          <w:sz w:val="24"/>
          <w:szCs w:val="24"/>
        </w:rPr>
        <w:t xml:space="preserve">. </w:t>
      </w:r>
    </w:p>
    <w:p w14:paraId="70B41DDF" w14:textId="7F333E7D" w:rsidR="00597C9C" w:rsidRDefault="00597C9C" w:rsidP="009F4281">
      <w:pPr>
        <w:spacing w:after="0" w:line="240" w:lineRule="auto"/>
        <w:jc w:val="both"/>
        <w:rPr>
          <w:rFonts w:cstheme="minorHAnsi"/>
          <w:sz w:val="24"/>
          <w:szCs w:val="24"/>
        </w:rPr>
      </w:pPr>
      <w:r>
        <w:rPr>
          <w:rFonts w:cstheme="minorHAnsi"/>
          <w:sz w:val="24"/>
          <w:szCs w:val="24"/>
        </w:rPr>
        <w:t>Izvori financiranja navedenih rashoda su: proračun Grada Trogira (158.309,65 eura), prihodi za posebne namjene proračunskih korisnika u iznosu od 21.551,57 eura i ostale pomoći (12.848,18 eura od Ministarstva kulture za nabavu knjižne građe).</w:t>
      </w:r>
    </w:p>
    <w:p w14:paraId="21989B58" w14:textId="77777777" w:rsidR="009F4281" w:rsidRDefault="009F4281" w:rsidP="009F4281">
      <w:pPr>
        <w:spacing w:after="0" w:line="240" w:lineRule="auto"/>
        <w:jc w:val="both"/>
        <w:rPr>
          <w:rFonts w:cstheme="minorHAnsi"/>
          <w:sz w:val="24"/>
          <w:szCs w:val="24"/>
        </w:rPr>
      </w:pPr>
    </w:p>
    <w:p w14:paraId="22ED4482" w14:textId="33313B72" w:rsidR="00597C9C" w:rsidRDefault="00597C9C" w:rsidP="009F4281">
      <w:pPr>
        <w:spacing w:line="240" w:lineRule="auto"/>
        <w:jc w:val="both"/>
        <w:rPr>
          <w:rFonts w:cstheme="minorHAnsi"/>
          <w:sz w:val="24"/>
          <w:szCs w:val="24"/>
        </w:rPr>
      </w:pPr>
      <w:r w:rsidRPr="009F4281">
        <w:rPr>
          <w:rFonts w:cstheme="minorHAnsi"/>
          <w:sz w:val="24"/>
          <w:szCs w:val="24"/>
          <w:u w:val="single"/>
        </w:rPr>
        <w:t>Aktivnost Provo</w:t>
      </w:r>
      <w:r w:rsidR="002777F5" w:rsidRPr="009F4281">
        <w:rPr>
          <w:rFonts w:cstheme="minorHAnsi"/>
          <w:sz w:val="24"/>
          <w:szCs w:val="24"/>
          <w:u w:val="single"/>
        </w:rPr>
        <w:t xml:space="preserve">đenje mjera aktivne </w:t>
      </w:r>
      <w:r w:rsidR="009F4281" w:rsidRPr="009F4281">
        <w:rPr>
          <w:rFonts w:cstheme="minorHAnsi"/>
          <w:sz w:val="24"/>
          <w:szCs w:val="24"/>
          <w:u w:val="single"/>
        </w:rPr>
        <w:t>politike zapošljavanja</w:t>
      </w:r>
      <w:r w:rsidR="009F4281">
        <w:rPr>
          <w:rFonts w:cstheme="minorHAnsi"/>
          <w:sz w:val="24"/>
          <w:szCs w:val="24"/>
        </w:rPr>
        <w:t>, gradska knjižnica Trogir je na upit HZZZ-a sudjelovala u projektu te je do ožujka 2025.godine zapošljavala jednu radnicu putem mjera i programa zapošljavanja teže zapošljavanih osoba, realizirano je ukupno 2.918,21 eura i to za trošak plaće i materijalnih rashoda.</w:t>
      </w:r>
    </w:p>
    <w:p w14:paraId="620E0C10" w14:textId="2C74D139" w:rsidR="00B733F6" w:rsidRPr="00B733F6" w:rsidRDefault="00B733F6" w:rsidP="00B733F6">
      <w:pPr>
        <w:jc w:val="both"/>
        <w:rPr>
          <w:rFonts w:cstheme="minorHAnsi"/>
          <w:sz w:val="24"/>
          <w:szCs w:val="24"/>
        </w:rPr>
      </w:pPr>
      <w:r>
        <w:rPr>
          <w:sz w:val="24"/>
          <w:szCs w:val="24"/>
        </w:rPr>
        <w:t xml:space="preserve">Za izvještajno razdoblje ukupni prihodi poslovanja planirani su u iznosu od </w:t>
      </w:r>
      <w:r w:rsidR="00F64B35">
        <w:rPr>
          <w:sz w:val="24"/>
          <w:szCs w:val="24"/>
        </w:rPr>
        <w:t>196.499,00</w:t>
      </w:r>
      <w:r w:rsidR="00EE4EBE">
        <w:rPr>
          <w:sz w:val="24"/>
          <w:szCs w:val="24"/>
        </w:rPr>
        <w:t xml:space="preserve"> eura</w:t>
      </w:r>
      <w:r>
        <w:rPr>
          <w:sz w:val="24"/>
          <w:szCs w:val="24"/>
        </w:rPr>
        <w:t xml:space="preserve">, a ostvareni su u iznosu od </w:t>
      </w:r>
      <w:r w:rsidR="00F64B35">
        <w:rPr>
          <w:sz w:val="24"/>
          <w:szCs w:val="24"/>
        </w:rPr>
        <w:t>180.284,97</w:t>
      </w:r>
      <w:r w:rsidR="00EE4EBE">
        <w:rPr>
          <w:sz w:val="24"/>
          <w:szCs w:val="24"/>
        </w:rPr>
        <w:t xml:space="preserve"> eura</w:t>
      </w:r>
      <w:r w:rsidR="002D7343">
        <w:rPr>
          <w:sz w:val="24"/>
          <w:szCs w:val="24"/>
        </w:rPr>
        <w:t xml:space="preserve"> ili </w:t>
      </w:r>
      <w:r w:rsidR="00F64B35">
        <w:rPr>
          <w:sz w:val="24"/>
          <w:szCs w:val="24"/>
        </w:rPr>
        <w:t>91,75</w:t>
      </w:r>
      <w:r>
        <w:rPr>
          <w:sz w:val="24"/>
          <w:szCs w:val="24"/>
        </w:rPr>
        <w:t xml:space="preserve">% godišnjeg plana. Ukupni rashodi poslovanja planirani su u iznosu od </w:t>
      </w:r>
      <w:r w:rsidR="00F64B35">
        <w:rPr>
          <w:sz w:val="24"/>
          <w:szCs w:val="24"/>
        </w:rPr>
        <w:t>204.544,00</w:t>
      </w:r>
      <w:r w:rsidR="00EE4EBE">
        <w:rPr>
          <w:sz w:val="24"/>
          <w:szCs w:val="24"/>
        </w:rPr>
        <w:t xml:space="preserve"> eura</w:t>
      </w:r>
      <w:r>
        <w:rPr>
          <w:sz w:val="24"/>
          <w:szCs w:val="24"/>
        </w:rPr>
        <w:t xml:space="preserve">, a ostvareni su u iznosu od </w:t>
      </w:r>
      <w:r w:rsidR="00F64B35">
        <w:rPr>
          <w:sz w:val="24"/>
          <w:szCs w:val="24"/>
        </w:rPr>
        <w:t>195.627,61</w:t>
      </w:r>
      <w:r w:rsidR="00EE4EBE">
        <w:rPr>
          <w:sz w:val="24"/>
          <w:szCs w:val="24"/>
        </w:rPr>
        <w:t xml:space="preserve"> eura</w:t>
      </w:r>
      <w:r w:rsidR="002D7343">
        <w:rPr>
          <w:sz w:val="24"/>
          <w:szCs w:val="24"/>
        </w:rPr>
        <w:t xml:space="preserve"> ili </w:t>
      </w:r>
      <w:r w:rsidR="00F64B35">
        <w:rPr>
          <w:sz w:val="24"/>
          <w:szCs w:val="24"/>
        </w:rPr>
        <w:t>95,64</w:t>
      </w:r>
      <w:r>
        <w:rPr>
          <w:sz w:val="24"/>
          <w:szCs w:val="24"/>
        </w:rPr>
        <w:t>%</w:t>
      </w:r>
      <w:r w:rsidR="00F64B35">
        <w:rPr>
          <w:sz w:val="24"/>
          <w:szCs w:val="24"/>
        </w:rPr>
        <w:t xml:space="preserve"> </w:t>
      </w:r>
      <w:r>
        <w:rPr>
          <w:sz w:val="24"/>
          <w:szCs w:val="24"/>
        </w:rPr>
        <w:t>godišnjeg plana. U izvještaj</w:t>
      </w:r>
      <w:r w:rsidR="00EE4EBE">
        <w:rPr>
          <w:sz w:val="24"/>
          <w:szCs w:val="24"/>
        </w:rPr>
        <w:t xml:space="preserve">nom razdoblju ostvaren je </w:t>
      </w:r>
      <w:r w:rsidR="006D35C8">
        <w:rPr>
          <w:sz w:val="24"/>
          <w:szCs w:val="24"/>
        </w:rPr>
        <w:t>manjak</w:t>
      </w:r>
      <w:r>
        <w:rPr>
          <w:sz w:val="24"/>
          <w:szCs w:val="24"/>
        </w:rPr>
        <w:t xml:space="preserve"> prihoda poslovanja u iznosu od </w:t>
      </w:r>
      <w:r w:rsidR="00F64B35">
        <w:rPr>
          <w:sz w:val="24"/>
          <w:szCs w:val="24"/>
        </w:rPr>
        <w:t xml:space="preserve">15.342,64 </w:t>
      </w:r>
      <w:r w:rsidR="00EE4EBE">
        <w:rPr>
          <w:sz w:val="24"/>
          <w:szCs w:val="24"/>
        </w:rPr>
        <w:t>eura</w:t>
      </w:r>
      <w:r w:rsidR="00556E47">
        <w:rPr>
          <w:sz w:val="24"/>
          <w:szCs w:val="24"/>
        </w:rPr>
        <w:t xml:space="preserve"> koji</w:t>
      </w:r>
      <w:r w:rsidR="00EE4EBE">
        <w:rPr>
          <w:sz w:val="24"/>
          <w:szCs w:val="24"/>
        </w:rPr>
        <w:t xml:space="preserve"> sa prenesenim </w:t>
      </w:r>
      <w:r w:rsidR="00F64B35">
        <w:rPr>
          <w:sz w:val="24"/>
          <w:szCs w:val="24"/>
        </w:rPr>
        <w:t>manjkom</w:t>
      </w:r>
      <w:r w:rsidR="00EE4EBE">
        <w:rPr>
          <w:sz w:val="24"/>
          <w:szCs w:val="24"/>
        </w:rPr>
        <w:t xml:space="preserve"> </w:t>
      </w:r>
      <w:r>
        <w:rPr>
          <w:sz w:val="24"/>
          <w:szCs w:val="24"/>
        </w:rPr>
        <w:t xml:space="preserve">u iznosu od </w:t>
      </w:r>
      <w:r w:rsidR="00F64B35">
        <w:rPr>
          <w:sz w:val="24"/>
          <w:szCs w:val="24"/>
        </w:rPr>
        <w:t>1.953,64</w:t>
      </w:r>
      <w:r w:rsidR="00EE4EBE">
        <w:rPr>
          <w:sz w:val="24"/>
          <w:szCs w:val="24"/>
        </w:rPr>
        <w:t xml:space="preserve"> eura</w:t>
      </w:r>
      <w:r w:rsidR="00556E47">
        <w:rPr>
          <w:sz w:val="24"/>
          <w:szCs w:val="24"/>
        </w:rPr>
        <w:t xml:space="preserve"> čini </w:t>
      </w:r>
      <w:r w:rsidR="006D35C8">
        <w:rPr>
          <w:sz w:val="24"/>
          <w:szCs w:val="24"/>
        </w:rPr>
        <w:t>manjak</w:t>
      </w:r>
      <w:r w:rsidR="00556E47">
        <w:rPr>
          <w:sz w:val="24"/>
          <w:szCs w:val="24"/>
        </w:rPr>
        <w:t xml:space="preserve"> prihoda poslovanja </w:t>
      </w:r>
      <w:r w:rsidR="006D35C8">
        <w:rPr>
          <w:sz w:val="24"/>
          <w:szCs w:val="24"/>
        </w:rPr>
        <w:t>za pokriće</w:t>
      </w:r>
      <w:r w:rsidR="00556E47">
        <w:rPr>
          <w:sz w:val="24"/>
          <w:szCs w:val="24"/>
        </w:rPr>
        <w:t xml:space="preserve"> </w:t>
      </w:r>
      <w:r>
        <w:rPr>
          <w:sz w:val="24"/>
          <w:szCs w:val="24"/>
        </w:rPr>
        <w:t xml:space="preserve">u sljedećem razdoblju u iznosu od </w:t>
      </w:r>
      <w:r w:rsidR="00F64B35">
        <w:rPr>
          <w:sz w:val="24"/>
          <w:szCs w:val="24"/>
        </w:rPr>
        <w:t>17.296,28</w:t>
      </w:r>
      <w:r w:rsidR="00EE4EBE">
        <w:rPr>
          <w:sz w:val="24"/>
          <w:szCs w:val="24"/>
        </w:rPr>
        <w:t xml:space="preserve"> eura.</w:t>
      </w:r>
    </w:p>
    <w:p w14:paraId="2347CD23" w14:textId="77777777" w:rsidR="00CE652E" w:rsidRDefault="00CE652E" w:rsidP="002B149A">
      <w:pPr>
        <w:jc w:val="both"/>
        <w:rPr>
          <w:rFonts w:cstheme="minorHAnsi"/>
          <w:b/>
          <w:sz w:val="24"/>
          <w:szCs w:val="24"/>
        </w:rPr>
      </w:pPr>
    </w:p>
    <w:p w14:paraId="4D029771" w14:textId="685F18D0" w:rsidR="002B149A" w:rsidRDefault="00353B19" w:rsidP="002B149A">
      <w:pPr>
        <w:jc w:val="both"/>
        <w:rPr>
          <w:rFonts w:cstheme="minorHAnsi"/>
          <w:b/>
          <w:sz w:val="24"/>
          <w:szCs w:val="24"/>
        </w:rPr>
      </w:pPr>
      <w:r>
        <w:rPr>
          <w:rFonts w:cstheme="minorHAnsi"/>
          <w:b/>
          <w:sz w:val="24"/>
          <w:szCs w:val="24"/>
        </w:rPr>
        <w:t xml:space="preserve">Muzej Grada Trogira </w:t>
      </w:r>
    </w:p>
    <w:p w14:paraId="6E60445D" w14:textId="70BF93DB" w:rsidR="00881EE6" w:rsidRPr="002B149A" w:rsidRDefault="00881EE6" w:rsidP="002B149A">
      <w:pPr>
        <w:jc w:val="both"/>
        <w:rPr>
          <w:rFonts w:cstheme="minorHAnsi"/>
          <w:b/>
          <w:sz w:val="24"/>
          <w:szCs w:val="24"/>
        </w:rPr>
      </w:pPr>
      <w:r w:rsidRPr="00881EE6">
        <w:rPr>
          <w:sz w:val="24"/>
          <w:szCs w:val="24"/>
        </w:rPr>
        <w:t xml:space="preserve">Muzej grada Trogira osnovao je 1963. godine </w:t>
      </w:r>
      <w:r w:rsidR="00D055A1">
        <w:rPr>
          <w:sz w:val="24"/>
          <w:szCs w:val="24"/>
        </w:rPr>
        <w:t>Općina</w:t>
      </w:r>
      <w:r w:rsidRPr="00881EE6">
        <w:rPr>
          <w:sz w:val="24"/>
          <w:szCs w:val="24"/>
        </w:rPr>
        <w:t xml:space="preserve"> Trogir. Muzej je za javnost otvoren 1966. godine. Glavna mu je djelatnost muzejsk</w:t>
      </w:r>
      <w:r w:rsidR="00D055A1">
        <w:rPr>
          <w:sz w:val="24"/>
          <w:szCs w:val="24"/>
        </w:rPr>
        <w:t>a</w:t>
      </w:r>
      <w:r w:rsidRPr="00881EE6">
        <w:rPr>
          <w:sz w:val="24"/>
          <w:szCs w:val="24"/>
        </w:rPr>
        <w:t xml:space="preserve"> (šifra djelatnosti: 91.</w:t>
      </w:r>
      <w:r w:rsidR="00D055A1">
        <w:rPr>
          <w:sz w:val="24"/>
          <w:szCs w:val="24"/>
        </w:rPr>
        <w:t>21.0</w:t>
      </w:r>
      <w:r w:rsidRPr="00881EE6">
        <w:rPr>
          <w:sz w:val="24"/>
          <w:szCs w:val="24"/>
        </w:rPr>
        <w:t>), određena Statutom Muzeja grada Trogira („Službeni glasnik grada Trogira“</w:t>
      </w:r>
      <w:r w:rsidR="00D055A1">
        <w:rPr>
          <w:sz w:val="24"/>
          <w:szCs w:val="24"/>
        </w:rPr>
        <w:t>20/24; pročišćeni tekst</w:t>
      </w:r>
      <w:r w:rsidRPr="00881EE6">
        <w:rPr>
          <w:sz w:val="24"/>
          <w:szCs w:val="24"/>
        </w:rPr>
        <w:t>)</w:t>
      </w:r>
      <w:r w:rsidR="005B345D">
        <w:rPr>
          <w:sz w:val="24"/>
          <w:szCs w:val="24"/>
        </w:rPr>
        <w:t xml:space="preserve"> i Zakonom o muzejima (NN br.61/18, 98/19, 114/22 i 36/24).</w:t>
      </w:r>
    </w:p>
    <w:p w14:paraId="7E2B990B" w14:textId="72C469DC" w:rsidR="00881EE6" w:rsidRPr="00881EE6" w:rsidRDefault="00881EE6" w:rsidP="00881EE6">
      <w:pPr>
        <w:pStyle w:val="Bezproreda"/>
        <w:jc w:val="both"/>
        <w:rPr>
          <w:sz w:val="24"/>
          <w:szCs w:val="24"/>
        </w:rPr>
      </w:pPr>
      <w:r w:rsidRPr="00881EE6">
        <w:rPr>
          <w:sz w:val="24"/>
          <w:szCs w:val="24"/>
        </w:rPr>
        <w:t xml:space="preserve">Kao gradska ustanova osnovana za obavljanje muzejske djelatnosti, Muzej grada Trogira sakuplja, istražuje, proučava, obrađuje i sistematizira arheološku, tradicijsku, umjetničku i kulturno-povijesnu baštinu Trogira i okolice u svim njihovim oblicima i aspektima. Uz grad Trogir, djelokrug muzeja obuhvaća i područja općina Marina i Seget te otoka Čiova (općina Okrug, grad Split). U službi društva i njegovog kulturnog i </w:t>
      </w:r>
      <w:r w:rsidR="00D055A1">
        <w:rPr>
          <w:sz w:val="24"/>
          <w:szCs w:val="24"/>
        </w:rPr>
        <w:t xml:space="preserve">održivog </w:t>
      </w:r>
      <w:r w:rsidRPr="00881EE6">
        <w:rPr>
          <w:sz w:val="24"/>
          <w:szCs w:val="24"/>
        </w:rPr>
        <w:t>gospodarskog razvitka, Muzej vrši zaštitu muzejske građe, muzejske dokumentacije i baštinskih lokaliteta kao zaštićenog kulturnog dobra Republike Hrvatske i baštine čovječanstva, predstavlja građu i baštinske teme putem pripreme i održavanja stalnih i povremenih izložbi, organizacije pedagoških radionica, stručnih predavanja, stručnih i znanstvenih skupova i okruglih stolova te organizacijom posebnih događanja – manifestacija, promocija knjiga, koncerata, predstava... U pisanom obliku objavljuje podatke i spoznaje o muzejskoj građi i dokumentaciji te baštinskim lokalitetima ne samo putem stručnih i znanstvenih publikacija, već i putem drugih obavijesnih sredstava – periodičnih tiskovina, elektroničkih publikacija, internetske stranice, blogova, društvenih mreža te u svakom pogledu nastoji približiti kulturnu baštinu široj javnosti u svrhu osiguranja dostupnosti, obrazovanja i predstavljanja javnosti muzejske građe i kulturne baštine kao dijela nacionalne i općeljudske baštine te njezine zaštite i očuvanja za sadašnje i buduće naraštaje.</w:t>
      </w:r>
    </w:p>
    <w:p w14:paraId="699B4589" w14:textId="741E1C26" w:rsidR="00881EE6" w:rsidRDefault="00881EE6" w:rsidP="00881EE6">
      <w:pPr>
        <w:pStyle w:val="Bezproreda"/>
        <w:jc w:val="both"/>
        <w:rPr>
          <w:sz w:val="24"/>
          <w:szCs w:val="24"/>
        </w:rPr>
      </w:pPr>
      <w:r w:rsidRPr="00881EE6">
        <w:rPr>
          <w:sz w:val="24"/>
          <w:szCs w:val="24"/>
        </w:rPr>
        <w:lastRenderedPageBreak/>
        <w:t xml:space="preserve">Muzej je smješten u palači koja je nekoć pripadala obitelji </w:t>
      </w:r>
      <w:proofErr w:type="spellStart"/>
      <w:r w:rsidRPr="00881EE6">
        <w:rPr>
          <w:sz w:val="24"/>
          <w:szCs w:val="24"/>
        </w:rPr>
        <w:t>Garagnin</w:t>
      </w:r>
      <w:proofErr w:type="spellEnd"/>
      <w:r w:rsidRPr="00881EE6">
        <w:rPr>
          <w:sz w:val="24"/>
          <w:szCs w:val="24"/>
        </w:rPr>
        <w:t xml:space="preserve"> – </w:t>
      </w:r>
      <w:proofErr w:type="spellStart"/>
      <w:r w:rsidRPr="00881EE6">
        <w:rPr>
          <w:sz w:val="24"/>
          <w:szCs w:val="24"/>
        </w:rPr>
        <w:t>Fanfogna</w:t>
      </w:r>
      <w:proofErr w:type="spellEnd"/>
      <w:r w:rsidRPr="00881EE6">
        <w:rPr>
          <w:sz w:val="24"/>
          <w:szCs w:val="24"/>
        </w:rPr>
        <w:t>, zaštićenom spomeniku najviše kategorije, palači koja nosi stilska obilježja od romanike do baroka. Površine oko 1400 m², palača se već godinama obnavlja, a muzejski se fundus, kao i arhivska i knjižna građa projektima konzervacije i restauracije pripremaju za novi stalni postav.</w:t>
      </w:r>
    </w:p>
    <w:p w14:paraId="06D58228" w14:textId="4D0C2B55" w:rsidR="00D055A1" w:rsidRPr="00D055A1" w:rsidRDefault="00D055A1" w:rsidP="00D055A1">
      <w:pPr>
        <w:spacing w:after="0" w:line="240" w:lineRule="auto"/>
        <w:jc w:val="both"/>
        <w:rPr>
          <w:rFonts w:eastAsia="Times New Roman" w:cstheme="minorHAnsi"/>
          <w:sz w:val="24"/>
          <w:szCs w:val="24"/>
          <w:lang w:eastAsia="x-none"/>
        </w:rPr>
      </w:pPr>
      <w:r w:rsidRPr="00D055A1">
        <w:rPr>
          <w:rFonts w:eastAsia="Times New Roman" w:cstheme="minorHAnsi"/>
          <w:sz w:val="24"/>
          <w:szCs w:val="24"/>
          <w:lang w:eastAsia="x-none"/>
        </w:rPr>
        <w:t xml:space="preserve">Krajem 2025. godine izrađen je Plan digitalizacije muzejske građe i muzejske dokumentacije Muzeja grada Trogira za razdoblje od 2025. do 2030. godine (klasa: 611-01/25-04/135, </w:t>
      </w:r>
      <w:proofErr w:type="spellStart"/>
      <w:r w:rsidRPr="00D055A1">
        <w:rPr>
          <w:rFonts w:eastAsia="Times New Roman" w:cstheme="minorHAnsi"/>
          <w:sz w:val="24"/>
          <w:szCs w:val="24"/>
          <w:lang w:eastAsia="x-none"/>
        </w:rPr>
        <w:t>ur</w:t>
      </w:r>
      <w:proofErr w:type="spellEnd"/>
      <w:r w:rsidRPr="00D055A1">
        <w:rPr>
          <w:rFonts w:eastAsia="Times New Roman" w:cstheme="minorHAnsi"/>
          <w:sz w:val="24"/>
          <w:szCs w:val="24"/>
          <w:lang w:eastAsia="x-none"/>
        </w:rPr>
        <w:t>. br.: 2181-13-37/25-1), koji, uz nastavak kontinuiranog rada na digitalizaciji zbirki muzejskih predmeta, sadrži razrađeni plan digitalizacije arhivskih zbirki, muzejske dokumentacije i dokumentarnih fondova.</w:t>
      </w:r>
    </w:p>
    <w:p w14:paraId="370B3132" w14:textId="77777777" w:rsidR="00CE652E" w:rsidRDefault="00D055A1" w:rsidP="00CE652E">
      <w:pPr>
        <w:spacing w:after="60" w:line="240" w:lineRule="auto"/>
        <w:jc w:val="both"/>
        <w:rPr>
          <w:rFonts w:cstheme="minorHAnsi"/>
          <w:sz w:val="24"/>
          <w:szCs w:val="24"/>
        </w:rPr>
      </w:pPr>
      <w:r w:rsidRPr="00D055A1">
        <w:rPr>
          <w:rFonts w:cstheme="minorHAnsi"/>
          <w:sz w:val="24"/>
          <w:szCs w:val="24"/>
        </w:rPr>
        <w:t>Tijela Muzeja su ravnatelj, Upravno vijeće i Stručno vijeće.</w:t>
      </w:r>
    </w:p>
    <w:p w14:paraId="558DA525" w14:textId="48992AC9" w:rsidR="002455BC" w:rsidRPr="00D055A1" w:rsidRDefault="00D055A1" w:rsidP="00CE652E">
      <w:pPr>
        <w:spacing w:after="60" w:line="240" w:lineRule="auto"/>
        <w:jc w:val="both"/>
        <w:rPr>
          <w:rFonts w:cstheme="minorHAnsi"/>
          <w:sz w:val="24"/>
          <w:szCs w:val="24"/>
        </w:rPr>
      </w:pPr>
      <w:r w:rsidRPr="00D055A1">
        <w:rPr>
          <w:rFonts w:cstheme="minorHAnsi"/>
          <w:b/>
          <w:bCs/>
          <w:sz w:val="24"/>
          <w:szCs w:val="24"/>
        </w:rPr>
        <w:t>Upravno vijeće</w:t>
      </w:r>
      <w:r w:rsidRPr="00D055A1">
        <w:rPr>
          <w:rFonts w:cstheme="minorHAnsi"/>
          <w:sz w:val="24"/>
          <w:szCs w:val="24"/>
        </w:rPr>
        <w:t xml:space="preserve"> usvaja Plan rada (i razvitka) Muzeja na prijedlog ravnatelja i uz pribavljeno mišljenje Stručnoga vijeća te nadzire njegovo izvršavanje; usvaja financijski plan i godišnji i polugodišnji obračun te izvješće o izvršenju Plana rada Muzeja; donosi Statut uz prethodnu suglasnost Osnivača, donosi druge opće akte te obavlja druge poslove sukladno Statutu i Zakonu.</w:t>
      </w:r>
    </w:p>
    <w:p w14:paraId="40D14496" w14:textId="77777777" w:rsidR="00D055A1" w:rsidRPr="00D055A1" w:rsidRDefault="00D055A1" w:rsidP="00D055A1">
      <w:pPr>
        <w:spacing w:after="0" w:line="240" w:lineRule="auto"/>
        <w:jc w:val="both"/>
        <w:rPr>
          <w:rFonts w:cstheme="minorHAnsi"/>
          <w:sz w:val="24"/>
          <w:szCs w:val="24"/>
        </w:rPr>
      </w:pPr>
      <w:r w:rsidRPr="00D055A1">
        <w:rPr>
          <w:rFonts w:cstheme="minorHAnsi"/>
          <w:sz w:val="24"/>
          <w:szCs w:val="24"/>
        </w:rPr>
        <w:t xml:space="preserve">Muzejom upravlja </w:t>
      </w:r>
      <w:r w:rsidRPr="00D055A1">
        <w:rPr>
          <w:rFonts w:cstheme="minorHAnsi"/>
          <w:b/>
          <w:bCs/>
          <w:sz w:val="24"/>
          <w:szCs w:val="24"/>
        </w:rPr>
        <w:t>ravnatelj</w:t>
      </w:r>
      <w:r w:rsidRPr="00D055A1">
        <w:rPr>
          <w:rFonts w:cstheme="minorHAnsi"/>
          <w:sz w:val="24"/>
          <w:szCs w:val="24"/>
        </w:rPr>
        <w:t>. Ravnatelj organizira rad i poslovanje Muzeja sukladno Zakonu, Statutu, pravilnicima i drugim dokumentima. Ravnatelj vodi stručni rad i odgovoran je za stručni rad Muzeja.</w:t>
      </w:r>
    </w:p>
    <w:p w14:paraId="3741003D" w14:textId="77777777" w:rsidR="00D055A1" w:rsidRPr="00D055A1" w:rsidRDefault="00D055A1" w:rsidP="00D055A1">
      <w:pPr>
        <w:spacing w:after="0" w:line="240" w:lineRule="auto"/>
        <w:jc w:val="both"/>
        <w:rPr>
          <w:rFonts w:cstheme="minorHAnsi"/>
          <w:color w:val="EE0000"/>
          <w:sz w:val="24"/>
          <w:szCs w:val="24"/>
        </w:rPr>
      </w:pPr>
      <w:r w:rsidRPr="00D055A1">
        <w:rPr>
          <w:rFonts w:cstheme="minorHAnsi"/>
          <w:b/>
          <w:bCs/>
          <w:sz w:val="24"/>
          <w:szCs w:val="24"/>
        </w:rPr>
        <w:t>Stručno vijeće</w:t>
      </w:r>
      <w:r w:rsidRPr="00D055A1">
        <w:rPr>
          <w:rFonts w:cstheme="minorHAnsi"/>
          <w:sz w:val="24"/>
          <w:szCs w:val="24"/>
        </w:rPr>
        <w:t xml:space="preserve"> razmatra i daje mišljenja o stručnim i drugim pitanjima rada muzeja, predlaže način organiziranja i vođenja stručnog rada, razmatra i predlaže planove rada i strateške planove, razmatra izvješća o radu, daje mišljenja i prijedloge u vezi s razvojem djelatnosti te obavlja i druge stručne poslove sukladno Statutu i Zakonu. Stručno vijeće muzeja čine svi stručni muzejski djelatnici Muzeja. Tijekom 2025. održano je 9 sjednica stručnog vijeća.</w:t>
      </w:r>
    </w:p>
    <w:p w14:paraId="2F187BC5" w14:textId="77777777" w:rsidR="001B2B02" w:rsidRPr="001B2B02" w:rsidRDefault="001B2B02" w:rsidP="001B2B02">
      <w:pPr>
        <w:spacing w:after="60" w:line="240" w:lineRule="auto"/>
        <w:jc w:val="both"/>
        <w:rPr>
          <w:rFonts w:cstheme="minorHAnsi"/>
          <w:sz w:val="24"/>
          <w:szCs w:val="24"/>
        </w:rPr>
      </w:pPr>
      <w:r w:rsidRPr="001B2B02">
        <w:rPr>
          <w:rFonts w:cstheme="minorHAnsi"/>
          <w:sz w:val="24"/>
          <w:szCs w:val="24"/>
        </w:rPr>
        <w:t xml:space="preserve">U Muzeju je od odlaska bivše ravnateljice u mirovinu u svibnju 2025. godine bilo zaposleno </w:t>
      </w:r>
      <w:r w:rsidRPr="001B2B02">
        <w:rPr>
          <w:rFonts w:cstheme="minorHAnsi"/>
          <w:b/>
          <w:bCs/>
          <w:sz w:val="24"/>
          <w:szCs w:val="24"/>
        </w:rPr>
        <w:t>sedam (7) djelatnica u stalnom radnom odnosu</w:t>
      </w:r>
      <w:r w:rsidRPr="001B2B02">
        <w:rPr>
          <w:rFonts w:cstheme="minorHAnsi"/>
          <w:sz w:val="24"/>
          <w:szCs w:val="24"/>
        </w:rPr>
        <w:t xml:space="preserve"> (poslovi stručne muzejske djelatnosti te poslovi uprave, pravni i opći poslovi te financijsko-planski poslovi).</w:t>
      </w:r>
    </w:p>
    <w:p w14:paraId="595103FD" w14:textId="77777777" w:rsidR="001B2B02" w:rsidRPr="001B2B02" w:rsidRDefault="001B2B02" w:rsidP="001B2B02">
      <w:pPr>
        <w:spacing w:after="120" w:line="240" w:lineRule="auto"/>
        <w:jc w:val="both"/>
        <w:rPr>
          <w:rFonts w:cstheme="minorHAnsi"/>
          <w:sz w:val="24"/>
          <w:szCs w:val="24"/>
        </w:rPr>
      </w:pPr>
      <w:r w:rsidRPr="001B2B02">
        <w:rPr>
          <w:rFonts w:cstheme="minorHAnsi"/>
          <w:sz w:val="24"/>
          <w:szCs w:val="24"/>
        </w:rPr>
        <w:t>Stručne muzejske poslove obavljalo je pet (5) djelatnica: dva viša kustosa (jedan ujedno i ravnatelj), jedan viši kustos muzejski pedagog, jedan kustos dokumentarist i jedan viši voditelj odnosa s javnošću – koji čine Stručno vijeće Muzeja.</w:t>
      </w:r>
    </w:p>
    <w:p w14:paraId="22851F99" w14:textId="77777777" w:rsidR="00670C1A" w:rsidRDefault="00670C1A" w:rsidP="006E74AB">
      <w:pPr>
        <w:pStyle w:val="Bezproreda"/>
        <w:jc w:val="both"/>
        <w:rPr>
          <w:b/>
          <w:bCs/>
          <w:sz w:val="24"/>
          <w:szCs w:val="24"/>
        </w:rPr>
      </w:pPr>
    </w:p>
    <w:p w14:paraId="45BF719F" w14:textId="77F8E564" w:rsidR="006E74AB" w:rsidRPr="00867AD8" w:rsidRDefault="006E74AB" w:rsidP="006E74AB">
      <w:pPr>
        <w:pStyle w:val="Bezproreda"/>
        <w:jc w:val="both"/>
        <w:rPr>
          <w:b/>
          <w:bCs/>
          <w:sz w:val="24"/>
          <w:szCs w:val="24"/>
        </w:rPr>
      </w:pPr>
      <w:r w:rsidRPr="00867AD8">
        <w:rPr>
          <w:b/>
          <w:bCs/>
          <w:sz w:val="24"/>
          <w:szCs w:val="24"/>
        </w:rPr>
        <w:t>OPĆI DIO</w:t>
      </w:r>
    </w:p>
    <w:p w14:paraId="5C76C2C4" w14:textId="77777777" w:rsidR="006E74AB" w:rsidRDefault="006E74AB" w:rsidP="006E74AB">
      <w:pPr>
        <w:pStyle w:val="Bezproreda"/>
        <w:jc w:val="both"/>
        <w:rPr>
          <w:sz w:val="24"/>
          <w:szCs w:val="24"/>
        </w:rPr>
      </w:pPr>
    </w:p>
    <w:p w14:paraId="531AC985" w14:textId="77777777" w:rsidR="006E74AB" w:rsidRPr="00867AD8" w:rsidRDefault="006E74AB" w:rsidP="006E74AB">
      <w:pPr>
        <w:pStyle w:val="Bezproreda"/>
        <w:jc w:val="both"/>
        <w:rPr>
          <w:bCs/>
          <w:sz w:val="24"/>
          <w:szCs w:val="24"/>
          <w:u w:val="single"/>
        </w:rPr>
      </w:pPr>
      <w:r w:rsidRPr="00867AD8">
        <w:rPr>
          <w:bCs/>
          <w:sz w:val="24"/>
          <w:szCs w:val="24"/>
          <w:u w:val="single"/>
        </w:rPr>
        <w:t>FINANCIRANJE REDOVNE DJELATNOSTI MUZEJA GRADA TROGIRA</w:t>
      </w:r>
    </w:p>
    <w:p w14:paraId="45B1D7DF" w14:textId="77777777" w:rsidR="006E74AB" w:rsidRDefault="006E74AB" w:rsidP="006E74AB">
      <w:pPr>
        <w:pStyle w:val="Bezproreda"/>
        <w:jc w:val="both"/>
        <w:rPr>
          <w:sz w:val="24"/>
          <w:szCs w:val="24"/>
        </w:rPr>
      </w:pPr>
    </w:p>
    <w:p w14:paraId="0C836BB2" w14:textId="77777777" w:rsidR="00C45075" w:rsidRDefault="00C45075" w:rsidP="00C45075">
      <w:pPr>
        <w:tabs>
          <w:tab w:val="left" w:pos="6190"/>
        </w:tabs>
        <w:rPr>
          <w:rFonts w:cstheme="minorHAnsi"/>
          <w:b/>
          <w:bCs/>
          <w:sz w:val="24"/>
          <w:szCs w:val="24"/>
        </w:rPr>
      </w:pPr>
      <w:r w:rsidRPr="00C45075">
        <w:rPr>
          <w:rFonts w:cstheme="minorHAnsi"/>
          <w:b/>
          <w:bCs/>
          <w:sz w:val="24"/>
          <w:szCs w:val="24"/>
        </w:rPr>
        <w:t>Izvor 1.1. Opći prihodi i primici</w:t>
      </w:r>
    </w:p>
    <w:p w14:paraId="1E1C4FB2" w14:textId="6A1D98FF" w:rsidR="00C45075" w:rsidRPr="00C45075" w:rsidRDefault="00C45075" w:rsidP="00C45075">
      <w:pPr>
        <w:tabs>
          <w:tab w:val="left" w:pos="6190"/>
        </w:tabs>
        <w:rPr>
          <w:rFonts w:cstheme="minorHAnsi"/>
          <w:b/>
          <w:bCs/>
          <w:sz w:val="24"/>
          <w:szCs w:val="24"/>
        </w:rPr>
      </w:pPr>
      <w:r w:rsidRPr="00C45075">
        <w:rPr>
          <w:rFonts w:cstheme="minorHAnsi"/>
          <w:sz w:val="24"/>
          <w:szCs w:val="24"/>
        </w:rPr>
        <w:t>Sredstva osigurava Grad Trogir, prema mjesečnim zahtjevima Muzeja, za troškove plaće, materijalne rashode i projekte. Isplate su u skladu s financijskim planom.</w:t>
      </w:r>
    </w:p>
    <w:p w14:paraId="3F2A33A9" w14:textId="49F843AD" w:rsidR="00C45075" w:rsidRPr="00C45075" w:rsidRDefault="00C45075" w:rsidP="00C45075">
      <w:pPr>
        <w:tabs>
          <w:tab w:val="left" w:pos="6190"/>
        </w:tabs>
        <w:spacing w:line="278" w:lineRule="auto"/>
        <w:rPr>
          <w:rFonts w:cstheme="minorHAnsi"/>
          <w:sz w:val="24"/>
          <w:szCs w:val="24"/>
        </w:rPr>
      </w:pPr>
      <w:r w:rsidRPr="00C45075">
        <w:rPr>
          <w:rFonts w:cstheme="minorHAnsi"/>
          <w:sz w:val="24"/>
          <w:szCs w:val="24"/>
        </w:rPr>
        <w:t xml:space="preserve">Prihodi za ovo izvještajno razdoblje planirani su u iznosu od 414.152,00 </w:t>
      </w:r>
      <w:r>
        <w:rPr>
          <w:rFonts w:cstheme="minorHAnsi"/>
          <w:sz w:val="24"/>
          <w:szCs w:val="24"/>
        </w:rPr>
        <w:t>eura</w:t>
      </w:r>
      <w:r w:rsidRPr="00C45075">
        <w:rPr>
          <w:rFonts w:cstheme="minorHAnsi"/>
          <w:sz w:val="24"/>
          <w:szCs w:val="24"/>
        </w:rPr>
        <w:t xml:space="preserve">, a ostvareni </w:t>
      </w:r>
      <w:r w:rsidR="008E55FA">
        <w:rPr>
          <w:rFonts w:cstheme="minorHAnsi"/>
          <w:sz w:val="24"/>
          <w:szCs w:val="24"/>
        </w:rPr>
        <w:t xml:space="preserve">su </w:t>
      </w:r>
      <w:r w:rsidRPr="00C45075">
        <w:rPr>
          <w:rFonts w:cstheme="minorHAnsi"/>
          <w:sz w:val="24"/>
          <w:szCs w:val="24"/>
        </w:rPr>
        <w:t xml:space="preserve">u iznosu od </w:t>
      </w:r>
      <w:r w:rsidR="008E55FA">
        <w:rPr>
          <w:rFonts w:cstheme="minorHAnsi"/>
          <w:sz w:val="24"/>
          <w:szCs w:val="24"/>
        </w:rPr>
        <w:t>363.506,72</w:t>
      </w:r>
      <w:r w:rsidRPr="00C45075">
        <w:rPr>
          <w:rFonts w:cstheme="minorHAnsi"/>
          <w:sz w:val="24"/>
          <w:szCs w:val="24"/>
        </w:rPr>
        <w:t xml:space="preserve"> </w:t>
      </w:r>
      <w:r>
        <w:rPr>
          <w:rFonts w:cstheme="minorHAnsi"/>
          <w:sz w:val="24"/>
          <w:szCs w:val="24"/>
        </w:rPr>
        <w:t>eura</w:t>
      </w:r>
      <w:r w:rsidRPr="00C45075">
        <w:rPr>
          <w:rFonts w:cstheme="minorHAnsi"/>
          <w:sz w:val="24"/>
          <w:szCs w:val="24"/>
        </w:rPr>
        <w:t xml:space="preserve"> što je </w:t>
      </w:r>
      <w:r w:rsidR="008E55FA">
        <w:rPr>
          <w:rFonts w:cstheme="minorHAnsi"/>
          <w:sz w:val="24"/>
          <w:szCs w:val="24"/>
        </w:rPr>
        <w:t>87,77</w:t>
      </w:r>
      <w:r w:rsidRPr="00C45075">
        <w:rPr>
          <w:rFonts w:cstheme="minorHAnsi"/>
          <w:sz w:val="24"/>
          <w:szCs w:val="24"/>
        </w:rPr>
        <w:t xml:space="preserve"> % </w:t>
      </w:r>
      <w:r>
        <w:rPr>
          <w:rFonts w:cstheme="minorHAnsi"/>
          <w:sz w:val="24"/>
          <w:szCs w:val="24"/>
        </w:rPr>
        <w:t>godišnjeg</w:t>
      </w:r>
      <w:r w:rsidRPr="00C45075">
        <w:rPr>
          <w:rFonts w:cstheme="minorHAnsi"/>
          <w:sz w:val="24"/>
          <w:szCs w:val="24"/>
        </w:rPr>
        <w:t xml:space="preserve"> plana</w:t>
      </w:r>
      <w:r w:rsidR="008E55FA">
        <w:rPr>
          <w:rFonts w:cstheme="minorHAnsi"/>
          <w:sz w:val="24"/>
          <w:szCs w:val="24"/>
        </w:rPr>
        <w:t xml:space="preserve"> ili za 15,17% više od ostvarenja prethodne godine.</w:t>
      </w:r>
    </w:p>
    <w:p w14:paraId="510CA59F" w14:textId="77777777" w:rsidR="00C45075" w:rsidRPr="00C45075" w:rsidRDefault="00C45075" w:rsidP="00C45075">
      <w:pPr>
        <w:tabs>
          <w:tab w:val="left" w:pos="6190"/>
        </w:tabs>
        <w:rPr>
          <w:rFonts w:cstheme="minorHAnsi"/>
          <w:sz w:val="24"/>
          <w:szCs w:val="24"/>
        </w:rPr>
      </w:pPr>
      <w:r w:rsidRPr="00C45075">
        <w:rPr>
          <w:rFonts w:cstheme="minorHAnsi"/>
          <w:sz w:val="24"/>
          <w:szCs w:val="24"/>
        </w:rPr>
        <w:t>Iz izvora opći prihodi i primici pokriveni su sljedeći troškovi:</w:t>
      </w:r>
    </w:p>
    <w:p w14:paraId="6D3AACAF" w14:textId="70B50D54" w:rsidR="00C45075" w:rsidRPr="00C45075" w:rsidRDefault="00C45075">
      <w:pPr>
        <w:pStyle w:val="Odlomakpopisa"/>
        <w:numPr>
          <w:ilvl w:val="0"/>
          <w:numId w:val="38"/>
        </w:numPr>
        <w:tabs>
          <w:tab w:val="left" w:pos="6190"/>
        </w:tabs>
        <w:spacing w:line="278" w:lineRule="auto"/>
        <w:rPr>
          <w:rFonts w:asciiTheme="minorHAnsi" w:hAnsiTheme="minorHAnsi" w:cstheme="minorHAnsi"/>
          <w:sz w:val="24"/>
          <w:szCs w:val="24"/>
        </w:rPr>
      </w:pPr>
      <w:r w:rsidRPr="00C45075">
        <w:rPr>
          <w:rFonts w:asciiTheme="minorHAnsi" w:hAnsiTheme="minorHAnsi" w:cstheme="minorHAnsi"/>
          <w:sz w:val="24"/>
          <w:szCs w:val="24"/>
        </w:rPr>
        <w:t xml:space="preserve">Rashodi za zaposlene – planirani u iznosu od 268.200,00 </w:t>
      </w:r>
      <w:r>
        <w:rPr>
          <w:rFonts w:asciiTheme="minorHAnsi" w:hAnsiTheme="minorHAnsi" w:cstheme="minorHAnsi"/>
          <w:sz w:val="24"/>
          <w:szCs w:val="24"/>
        </w:rPr>
        <w:t>eura</w:t>
      </w:r>
      <w:r w:rsidRPr="00C45075">
        <w:rPr>
          <w:rFonts w:asciiTheme="minorHAnsi" w:hAnsiTheme="minorHAnsi" w:cstheme="minorHAnsi"/>
          <w:sz w:val="24"/>
          <w:szCs w:val="24"/>
        </w:rPr>
        <w:t xml:space="preserve">, izvršeni u iznosu od 240.430,86 </w:t>
      </w:r>
      <w:r>
        <w:rPr>
          <w:rFonts w:asciiTheme="minorHAnsi" w:hAnsiTheme="minorHAnsi" w:cstheme="minorHAnsi"/>
          <w:sz w:val="24"/>
          <w:szCs w:val="24"/>
        </w:rPr>
        <w:t>eura</w:t>
      </w:r>
      <w:r w:rsidRPr="00C45075">
        <w:rPr>
          <w:rFonts w:asciiTheme="minorHAnsi" w:hAnsiTheme="minorHAnsi" w:cstheme="minorHAnsi"/>
          <w:sz w:val="24"/>
          <w:szCs w:val="24"/>
        </w:rPr>
        <w:t xml:space="preserve">, što čini 89,65 % </w:t>
      </w:r>
      <w:r>
        <w:rPr>
          <w:rFonts w:asciiTheme="minorHAnsi" w:hAnsiTheme="minorHAnsi" w:cstheme="minorHAnsi"/>
          <w:sz w:val="24"/>
          <w:szCs w:val="24"/>
        </w:rPr>
        <w:t>godišnjeg</w:t>
      </w:r>
      <w:r w:rsidRPr="00C45075">
        <w:rPr>
          <w:rFonts w:asciiTheme="minorHAnsi" w:hAnsiTheme="minorHAnsi" w:cstheme="minorHAnsi"/>
          <w:sz w:val="24"/>
          <w:szCs w:val="24"/>
        </w:rPr>
        <w:t xml:space="preserve"> plana. Rashodi se odnose na </w:t>
      </w:r>
      <w:r w:rsidR="008E55FA">
        <w:rPr>
          <w:rFonts w:asciiTheme="minorHAnsi" w:hAnsiTheme="minorHAnsi" w:cstheme="minorHAnsi"/>
          <w:sz w:val="24"/>
          <w:szCs w:val="24"/>
        </w:rPr>
        <w:t>p</w:t>
      </w:r>
      <w:r w:rsidRPr="00C45075">
        <w:rPr>
          <w:rFonts w:asciiTheme="minorHAnsi" w:hAnsiTheme="minorHAnsi" w:cstheme="minorHAnsi"/>
          <w:sz w:val="24"/>
          <w:szCs w:val="24"/>
        </w:rPr>
        <w:t xml:space="preserve">laće za </w:t>
      </w:r>
      <w:r w:rsidRPr="00C45075">
        <w:rPr>
          <w:rFonts w:asciiTheme="minorHAnsi" w:hAnsiTheme="minorHAnsi" w:cstheme="minorHAnsi"/>
          <w:sz w:val="24"/>
          <w:szCs w:val="24"/>
        </w:rPr>
        <w:lastRenderedPageBreak/>
        <w:t xml:space="preserve">redovan rad, Ostale rashode za zaposlene (topli obrok, </w:t>
      </w:r>
      <w:proofErr w:type="spellStart"/>
      <w:r w:rsidRPr="00C45075">
        <w:rPr>
          <w:rFonts w:asciiTheme="minorHAnsi" w:hAnsiTheme="minorHAnsi" w:cstheme="minorHAnsi"/>
          <w:sz w:val="24"/>
          <w:szCs w:val="24"/>
        </w:rPr>
        <w:t>Uskrsnica</w:t>
      </w:r>
      <w:proofErr w:type="spellEnd"/>
      <w:r w:rsidRPr="00C45075">
        <w:rPr>
          <w:rFonts w:asciiTheme="minorHAnsi" w:hAnsiTheme="minorHAnsi" w:cstheme="minorHAnsi"/>
          <w:sz w:val="24"/>
          <w:szCs w:val="24"/>
        </w:rPr>
        <w:t xml:space="preserve">, Regres, Božićnica, Dar djeci, Jubilarne nagrade, te isplatu otpremnine i naknade za neiskorišteni godišnji odmor bivšoj </w:t>
      </w:r>
      <w:r>
        <w:rPr>
          <w:rFonts w:asciiTheme="minorHAnsi" w:hAnsiTheme="minorHAnsi" w:cstheme="minorHAnsi"/>
          <w:sz w:val="24"/>
          <w:szCs w:val="24"/>
        </w:rPr>
        <w:t>ravnateljici</w:t>
      </w:r>
      <w:r w:rsidRPr="00C45075">
        <w:rPr>
          <w:rFonts w:asciiTheme="minorHAnsi" w:hAnsiTheme="minorHAnsi" w:cstheme="minorHAnsi"/>
          <w:sz w:val="24"/>
          <w:szCs w:val="24"/>
        </w:rPr>
        <w:t xml:space="preserve"> zbog odlaska u mirovinu</w:t>
      </w:r>
    </w:p>
    <w:p w14:paraId="7EFFB34D" w14:textId="1DCA6E44" w:rsidR="00C45075" w:rsidRPr="00C45075" w:rsidRDefault="00C45075">
      <w:pPr>
        <w:pStyle w:val="Odlomakpopisa"/>
        <w:numPr>
          <w:ilvl w:val="0"/>
          <w:numId w:val="38"/>
        </w:numPr>
        <w:tabs>
          <w:tab w:val="left" w:pos="6190"/>
        </w:tabs>
        <w:spacing w:line="278" w:lineRule="auto"/>
        <w:rPr>
          <w:rFonts w:asciiTheme="minorHAnsi" w:hAnsiTheme="minorHAnsi" w:cstheme="minorHAnsi"/>
          <w:sz w:val="24"/>
          <w:szCs w:val="24"/>
        </w:rPr>
      </w:pPr>
      <w:r w:rsidRPr="00C45075">
        <w:rPr>
          <w:rFonts w:asciiTheme="minorHAnsi" w:hAnsiTheme="minorHAnsi" w:cstheme="minorHAnsi"/>
          <w:sz w:val="24"/>
          <w:szCs w:val="24"/>
        </w:rPr>
        <w:t xml:space="preserve">Materijalni rashodi planirani su u iznosu od 47.972,00 </w:t>
      </w:r>
      <w:r>
        <w:rPr>
          <w:rFonts w:asciiTheme="minorHAnsi" w:hAnsiTheme="minorHAnsi" w:cstheme="minorHAnsi"/>
          <w:sz w:val="24"/>
          <w:szCs w:val="24"/>
        </w:rPr>
        <w:t>eura</w:t>
      </w:r>
      <w:r w:rsidRPr="00C45075">
        <w:rPr>
          <w:rFonts w:asciiTheme="minorHAnsi" w:hAnsiTheme="minorHAnsi" w:cstheme="minorHAnsi"/>
          <w:sz w:val="24"/>
          <w:szCs w:val="24"/>
        </w:rPr>
        <w:t xml:space="preserve">, a izvršeni u iznosu od 42.916,79 </w:t>
      </w:r>
      <w:r>
        <w:rPr>
          <w:rFonts w:asciiTheme="minorHAnsi" w:hAnsiTheme="minorHAnsi" w:cstheme="minorHAnsi"/>
          <w:sz w:val="24"/>
          <w:szCs w:val="24"/>
        </w:rPr>
        <w:t>eura</w:t>
      </w:r>
      <w:r w:rsidRPr="00C45075">
        <w:rPr>
          <w:rFonts w:asciiTheme="minorHAnsi" w:hAnsiTheme="minorHAnsi" w:cstheme="minorHAnsi"/>
          <w:sz w:val="24"/>
          <w:szCs w:val="24"/>
        </w:rPr>
        <w:t>, što čini 89,46 %°</w:t>
      </w:r>
      <w:r>
        <w:rPr>
          <w:rFonts w:asciiTheme="minorHAnsi" w:hAnsiTheme="minorHAnsi" w:cstheme="minorHAnsi"/>
          <w:sz w:val="24"/>
          <w:szCs w:val="24"/>
        </w:rPr>
        <w:t>godišnjeg</w:t>
      </w:r>
      <w:r w:rsidRPr="00C45075">
        <w:rPr>
          <w:rFonts w:asciiTheme="minorHAnsi" w:hAnsiTheme="minorHAnsi" w:cstheme="minorHAnsi"/>
          <w:sz w:val="24"/>
          <w:szCs w:val="24"/>
        </w:rPr>
        <w:t xml:space="preserve"> plana. Rashodi su se do 30.</w:t>
      </w:r>
      <w:r>
        <w:rPr>
          <w:rFonts w:asciiTheme="minorHAnsi" w:hAnsiTheme="minorHAnsi" w:cstheme="minorHAnsi"/>
          <w:sz w:val="24"/>
          <w:szCs w:val="24"/>
        </w:rPr>
        <w:t>rujna</w:t>
      </w:r>
      <w:r w:rsidRPr="00C45075">
        <w:rPr>
          <w:rFonts w:asciiTheme="minorHAnsi" w:hAnsiTheme="minorHAnsi" w:cstheme="minorHAnsi"/>
          <w:sz w:val="24"/>
          <w:szCs w:val="24"/>
        </w:rPr>
        <w:t xml:space="preserve"> 2025. isplaćivali prema mjesečnim zahtjevima Muzeja grada Trogira na račun Muzeja, a od 1. </w:t>
      </w:r>
      <w:r>
        <w:rPr>
          <w:rFonts w:asciiTheme="minorHAnsi" w:hAnsiTheme="minorHAnsi" w:cstheme="minorHAnsi"/>
          <w:sz w:val="24"/>
          <w:szCs w:val="24"/>
        </w:rPr>
        <w:t>listopada</w:t>
      </w:r>
      <w:r w:rsidRPr="00C45075">
        <w:rPr>
          <w:rFonts w:asciiTheme="minorHAnsi" w:hAnsiTheme="minorHAnsi" w:cstheme="minorHAnsi"/>
          <w:sz w:val="24"/>
          <w:szCs w:val="24"/>
        </w:rPr>
        <w:t xml:space="preserve"> 2025. prelaskom na puni sustav riznice, Muzej šalje zahtjeve za isplatom troškova, koja se vrše direktno preko računa Grada Trogira. Materijalni rashodi se odnose na Energiju, Sitan inventar, Usluge telefona i pošte, Komunalne usluge, Zdravstvene, Intelektualne, Računalne, Osiguranje, Reprezentacija i Ostale Usluge. Zbog povećanja cijena naknada pojedinih usluga, javlja se veće odstupanje u odnosu na 2024. godinu. </w:t>
      </w:r>
    </w:p>
    <w:p w14:paraId="328E8962" w14:textId="10EB4511" w:rsidR="00C45075" w:rsidRPr="00C45075" w:rsidRDefault="00C45075">
      <w:pPr>
        <w:pStyle w:val="Odlomakpopisa"/>
        <w:numPr>
          <w:ilvl w:val="0"/>
          <w:numId w:val="38"/>
        </w:numPr>
        <w:tabs>
          <w:tab w:val="left" w:pos="6190"/>
        </w:tabs>
        <w:spacing w:line="278" w:lineRule="auto"/>
        <w:rPr>
          <w:rFonts w:asciiTheme="minorHAnsi" w:hAnsiTheme="minorHAnsi" w:cstheme="minorHAnsi"/>
          <w:sz w:val="24"/>
          <w:szCs w:val="24"/>
        </w:rPr>
      </w:pPr>
      <w:r w:rsidRPr="00C45075">
        <w:rPr>
          <w:rFonts w:asciiTheme="minorHAnsi" w:hAnsiTheme="minorHAnsi" w:cstheme="minorHAnsi"/>
          <w:sz w:val="24"/>
          <w:szCs w:val="24"/>
        </w:rPr>
        <w:t xml:space="preserve">Financijski rashodi planirani u iznosu od 600,00 </w:t>
      </w:r>
      <w:r>
        <w:rPr>
          <w:rFonts w:asciiTheme="minorHAnsi" w:hAnsiTheme="minorHAnsi" w:cstheme="minorHAnsi"/>
          <w:sz w:val="24"/>
          <w:szCs w:val="24"/>
        </w:rPr>
        <w:t>eura</w:t>
      </w:r>
      <w:r w:rsidRPr="00C45075">
        <w:rPr>
          <w:rFonts w:asciiTheme="minorHAnsi" w:hAnsiTheme="minorHAnsi" w:cstheme="minorHAnsi"/>
          <w:sz w:val="24"/>
          <w:szCs w:val="24"/>
        </w:rPr>
        <w:t>,</w:t>
      </w:r>
      <w:r w:rsidR="008E55FA">
        <w:rPr>
          <w:rFonts w:asciiTheme="minorHAnsi" w:hAnsiTheme="minorHAnsi" w:cstheme="minorHAnsi"/>
          <w:sz w:val="24"/>
          <w:szCs w:val="24"/>
        </w:rPr>
        <w:t xml:space="preserve"> a </w:t>
      </w:r>
      <w:r w:rsidRPr="00C45075">
        <w:rPr>
          <w:rFonts w:asciiTheme="minorHAnsi" w:hAnsiTheme="minorHAnsi" w:cstheme="minorHAnsi"/>
          <w:sz w:val="24"/>
          <w:szCs w:val="24"/>
        </w:rPr>
        <w:t xml:space="preserve"> izvršeni u iznosu od 586,81 </w:t>
      </w:r>
      <w:r>
        <w:rPr>
          <w:rFonts w:asciiTheme="minorHAnsi" w:hAnsiTheme="minorHAnsi" w:cstheme="minorHAnsi"/>
          <w:sz w:val="24"/>
          <w:szCs w:val="24"/>
        </w:rPr>
        <w:t>eura</w:t>
      </w:r>
      <w:r w:rsidRPr="00C45075">
        <w:rPr>
          <w:rFonts w:asciiTheme="minorHAnsi" w:hAnsiTheme="minorHAnsi" w:cstheme="minorHAnsi"/>
          <w:sz w:val="24"/>
          <w:szCs w:val="24"/>
        </w:rPr>
        <w:t>. Zbog ukidanja računa Muzeja grada Trogira, te uvođenjem sustava pune riznice od 3</w:t>
      </w:r>
      <w:r>
        <w:rPr>
          <w:rFonts w:asciiTheme="minorHAnsi" w:hAnsiTheme="minorHAnsi" w:cstheme="minorHAnsi"/>
          <w:sz w:val="24"/>
          <w:szCs w:val="24"/>
        </w:rPr>
        <w:t xml:space="preserve">0.rujna </w:t>
      </w:r>
      <w:r w:rsidRPr="00C45075">
        <w:rPr>
          <w:rFonts w:asciiTheme="minorHAnsi" w:hAnsiTheme="minorHAnsi" w:cstheme="minorHAnsi"/>
          <w:sz w:val="24"/>
          <w:szCs w:val="24"/>
        </w:rPr>
        <w:t xml:space="preserve"> 2025. godine nema potrebe za ovim kontom. </w:t>
      </w:r>
    </w:p>
    <w:p w14:paraId="21394A8C" w14:textId="2CC54D6E" w:rsidR="00C45075" w:rsidRPr="00C45075" w:rsidRDefault="00C45075">
      <w:pPr>
        <w:pStyle w:val="Odlomakpopisa"/>
        <w:numPr>
          <w:ilvl w:val="0"/>
          <w:numId w:val="38"/>
        </w:numPr>
        <w:tabs>
          <w:tab w:val="left" w:pos="6190"/>
        </w:tabs>
        <w:spacing w:line="278" w:lineRule="auto"/>
        <w:rPr>
          <w:rFonts w:asciiTheme="minorHAnsi" w:hAnsiTheme="minorHAnsi" w:cstheme="minorHAnsi"/>
          <w:sz w:val="24"/>
          <w:szCs w:val="24"/>
        </w:rPr>
      </w:pPr>
      <w:r w:rsidRPr="00C45075">
        <w:rPr>
          <w:rFonts w:asciiTheme="minorHAnsi" w:hAnsiTheme="minorHAnsi" w:cstheme="minorHAnsi"/>
          <w:sz w:val="24"/>
          <w:szCs w:val="24"/>
        </w:rPr>
        <w:t xml:space="preserve">Rashodi za nabavu proizvedene dugotrajne imovine planirani su u iznosu od 5.200,00 </w:t>
      </w:r>
      <w:r>
        <w:rPr>
          <w:rFonts w:asciiTheme="minorHAnsi" w:hAnsiTheme="minorHAnsi" w:cstheme="minorHAnsi"/>
          <w:sz w:val="24"/>
          <w:szCs w:val="24"/>
        </w:rPr>
        <w:t>eura</w:t>
      </w:r>
      <w:r w:rsidRPr="00C45075">
        <w:rPr>
          <w:rFonts w:asciiTheme="minorHAnsi" w:hAnsiTheme="minorHAnsi" w:cstheme="minorHAnsi"/>
          <w:sz w:val="24"/>
          <w:szCs w:val="24"/>
        </w:rPr>
        <w:t xml:space="preserve">, a </w:t>
      </w:r>
      <w:r>
        <w:rPr>
          <w:rFonts w:asciiTheme="minorHAnsi" w:hAnsiTheme="minorHAnsi" w:cstheme="minorHAnsi"/>
          <w:sz w:val="24"/>
          <w:szCs w:val="24"/>
        </w:rPr>
        <w:t>rea</w:t>
      </w:r>
      <w:r w:rsidRPr="00C45075">
        <w:rPr>
          <w:rFonts w:asciiTheme="minorHAnsi" w:hAnsiTheme="minorHAnsi" w:cstheme="minorHAnsi"/>
          <w:sz w:val="24"/>
          <w:szCs w:val="24"/>
        </w:rPr>
        <w:t xml:space="preserve">lizirani u iznosu od 5.163,68 </w:t>
      </w:r>
      <w:r>
        <w:rPr>
          <w:rFonts w:asciiTheme="minorHAnsi" w:hAnsiTheme="minorHAnsi" w:cstheme="minorHAnsi"/>
          <w:sz w:val="24"/>
          <w:szCs w:val="24"/>
        </w:rPr>
        <w:t>eura</w:t>
      </w:r>
      <w:r w:rsidRPr="00C45075">
        <w:rPr>
          <w:rFonts w:asciiTheme="minorHAnsi" w:hAnsiTheme="minorHAnsi" w:cstheme="minorHAnsi"/>
          <w:sz w:val="24"/>
          <w:szCs w:val="24"/>
        </w:rPr>
        <w:t>. Rashodi se odnose na nabavu Uredske opreme – info pult i oprema za suvenirnicu. Temeljem kupoprodajnog ugovora, kupljene su slike Frane Sasso i Milan Tolić u svrhu popune fundusa Zbirke suvremene umjetnosti.</w:t>
      </w:r>
    </w:p>
    <w:p w14:paraId="47A4A063" w14:textId="77777777" w:rsidR="00835E68" w:rsidRPr="00C45075" w:rsidRDefault="00835E68" w:rsidP="00835E68">
      <w:pPr>
        <w:tabs>
          <w:tab w:val="left" w:pos="6190"/>
        </w:tabs>
        <w:rPr>
          <w:rFonts w:cstheme="minorHAnsi"/>
          <w:sz w:val="24"/>
          <w:szCs w:val="24"/>
        </w:rPr>
      </w:pPr>
      <w:r w:rsidRPr="00C45075">
        <w:rPr>
          <w:rFonts w:cstheme="minorHAnsi"/>
          <w:sz w:val="24"/>
          <w:szCs w:val="24"/>
        </w:rPr>
        <w:t xml:space="preserve">Osim plaća i materijalnih rashoda, Grad Trogir financira i projekte i obnovu palače </w:t>
      </w:r>
      <w:proofErr w:type="spellStart"/>
      <w:r w:rsidRPr="00C45075">
        <w:rPr>
          <w:rFonts w:cstheme="minorHAnsi"/>
          <w:sz w:val="24"/>
          <w:szCs w:val="24"/>
        </w:rPr>
        <w:t>Garagnin</w:t>
      </w:r>
      <w:proofErr w:type="spellEnd"/>
      <w:r w:rsidRPr="00C45075">
        <w:rPr>
          <w:rFonts w:cstheme="minorHAnsi"/>
          <w:sz w:val="24"/>
          <w:szCs w:val="24"/>
        </w:rPr>
        <w:t xml:space="preserve"> </w:t>
      </w:r>
      <w:proofErr w:type="spellStart"/>
      <w:r w:rsidRPr="00C45075">
        <w:rPr>
          <w:rFonts w:cstheme="minorHAnsi"/>
          <w:sz w:val="24"/>
          <w:szCs w:val="24"/>
        </w:rPr>
        <w:t>Fanfogna</w:t>
      </w:r>
      <w:proofErr w:type="spellEnd"/>
      <w:r w:rsidRPr="00C45075">
        <w:rPr>
          <w:rFonts w:cstheme="minorHAnsi"/>
          <w:sz w:val="24"/>
          <w:szCs w:val="24"/>
        </w:rPr>
        <w:t xml:space="preserve"> u skladu s financijskim planom.</w:t>
      </w:r>
    </w:p>
    <w:p w14:paraId="11A9D67A" w14:textId="6BBF2D0A" w:rsidR="00835E68" w:rsidRPr="00835E68" w:rsidRDefault="00835E68" w:rsidP="00835E68">
      <w:pPr>
        <w:tabs>
          <w:tab w:val="left" w:pos="6190"/>
        </w:tabs>
        <w:spacing w:line="278" w:lineRule="auto"/>
        <w:rPr>
          <w:rFonts w:cstheme="minorHAnsi"/>
          <w:sz w:val="24"/>
          <w:szCs w:val="24"/>
        </w:rPr>
      </w:pPr>
      <w:r w:rsidRPr="00835E68">
        <w:rPr>
          <w:rFonts w:cstheme="minorHAnsi"/>
          <w:sz w:val="24"/>
          <w:szCs w:val="24"/>
          <w:u w:val="single"/>
        </w:rPr>
        <w:t>Aktivnost Konzervatorsko – restauratorska djelatnost</w:t>
      </w:r>
      <w:r w:rsidRPr="00835E68">
        <w:rPr>
          <w:rFonts w:cstheme="minorHAnsi"/>
          <w:sz w:val="24"/>
          <w:szCs w:val="24"/>
        </w:rPr>
        <w:t xml:space="preserve">; planirano u iznosu od 4.000,00 </w:t>
      </w:r>
      <w:r>
        <w:rPr>
          <w:rFonts w:cstheme="minorHAnsi"/>
          <w:sz w:val="24"/>
          <w:szCs w:val="24"/>
        </w:rPr>
        <w:t>eura</w:t>
      </w:r>
      <w:r w:rsidRPr="00835E68">
        <w:rPr>
          <w:rFonts w:cstheme="minorHAnsi"/>
          <w:sz w:val="24"/>
          <w:szCs w:val="24"/>
        </w:rPr>
        <w:t>, utrošeno 4.000,00</w:t>
      </w:r>
      <w:r>
        <w:rPr>
          <w:rFonts w:cstheme="minorHAnsi"/>
          <w:sz w:val="24"/>
          <w:szCs w:val="24"/>
        </w:rPr>
        <w:t xml:space="preserve"> eura</w:t>
      </w:r>
      <w:r w:rsidRPr="00835E68">
        <w:rPr>
          <w:rFonts w:cstheme="minorHAnsi"/>
          <w:sz w:val="24"/>
          <w:szCs w:val="24"/>
        </w:rPr>
        <w:t xml:space="preserve"> što čini 100 % izvršenje plana. Novci su utrošeni za konzervaciju i restauraciju hrvatske zastave</w:t>
      </w:r>
      <w:r>
        <w:rPr>
          <w:rFonts w:cstheme="minorHAnsi"/>
          <w:sz w:val="24"/>
          <w:szCs w:val="24"/>
        </w:rPr>
        <w:t>.</w:t>
      </w:r>
    </w:p>
    <w:p w14:paraId="79C09BE2" w14:textId="6517AE68" w:rsidR="00835E68" w:rsidRPr="00835E68" w:rsidRDefault="00835E68" w:rsidP="00835E68">
      <w:pPr>
        <w:tabs>
          <w:tab w:val="left" w:pos="6190"/>
        </w:tabs>
        <w:spacing w:line="278" w:lineRule="auto"/>
        <w:jc w:val="both"/>
        <w:rPr>
          <w:rFonts w:cstheme="minorHAnsi"/>
          <w:sz w:val="24"/>
          <w:szCs w:val="24"/>
        </w:rPr>
      </w:pPr>
      <w:r w:rsidRPr="00835E68">
        <w:rPr>
          <w:rFonts w:cstheme="minorHAnsi"/>
          <w:sz w:val="24"/>
          <w:szCs w:val="24"/>
          <w:u w:val="single"/>
        </w:rPr>
        <w:t>Aktivnost Izložbena djelatnost, obljetnice i radionice;</w:t>
      </w:r>
      <w:r w:rsidRPr="00835E68">
        <w:rPr>
          <w:rFonts w:cstheme="minorHAnsi"/>
          <w:sz w:val="24"/>
          <w:szCs w:val="24"/>
        </w:rPr>
        <w:t xml:space="preserve"> planirano u iznosu od 35.180,00 </w:t>
      </w:r>
      <w:r>
        <w:rPr>
          <w:rFonts w:cstheme="minorHAnsi"/>
          <w:sz w:val="24"/>
          <w:szCs w:val="24"/>
        </w:rPr>
        <w:t>eura</w:t>
      </w:r>
      <w:r w:rsidRPr="00835E68">
        <w:rPr>
          <w:rFonts w:cstheme="minorHAnsi"/>
          <w:sz w:val="24"/>
          <w:szCs w:val="24"/>
        </w:rPr>
        <w:t xml:space="preserve">, izvršeno 25.134,46 </w:t>
      </w:r>
      <w:r>
        <w:rPr>
          <w:rFonts w:cstheme="minorHAnsi"/>
          <w:sz w:val="24"/>
          <w:szCs w:val="24"/>
        </w:rPr>
        <w:t>eura</w:t>
      </w:r>
      <w:r w:rsidRPr="00835E68">
        <w:rPr>
          <w:rFonts w:cstheme="minorHAnsi"/>
          <w:sz w:val="24"/>
          <w:szCs w:val="24"/>
        </w:rPr>
        <w:t>, što je 7</w:t>
      </w:r>
      <w:r>
        <w:rPr>
          <w:rFonts w:cstheme="minorHAnsi"/>
          <w:sz w:val="24"/>
          <w:szCs w:val="24"/>
        </w:rPr>
        <w:t>1</w:t>
      </w:r>
      <w:r w:rsidRPr="00835E68">
        <w:rPr>
          <w:rFonts w:cstheme="minorHAnsi"/>
          <w:sz w:val="24"/>
          <w:szCs w:val="24"/>
        </w:rPr>
        <w:t>,45 % financijskog plana.</w:t>
      </w:r>
      <w:r>
        <w:rPr>
          <w:rFonts w:cstheme="minorHAnsi"/>
          <w:sz w:val="24"/>
          <w:szCs w:val="24"/>
        </w:rPr>
        <w:t xml:space="preserve"> </w:t>
      </w:r>
      <w:r w:rsidRPr="00835E68">
        <w:rPr>
          <w:rFonts w:cstheme="minorHAnsi"/>
          <w:sz w:val="24"/>
          <w:szCs w:val="24"/>
        </w:rPr>
        <w:t xml:space="preserve">Muzej grada Trogira tijekom cijele godine održava izložbe iz fundusa, prigodna događanja kao što je predstavljanje knjiga,  pedagoške radionice. 56,56 % financijskog plana za ovu aktivnost utrošeno je na usluge promidžbe i informiranja. Tiskani su katalozi, „Slava Raškaj“, „Kad zatrube brodi Gospi </w:t>
      </w:r>
      <w:proofErr w:type="spellStart"/>
      <w:r w:rsidRPr="00835E68">
        <w:rPr>
          <w:rFonts w:cstheme="minorHAnsi"/>
          <w:sz w:val="24"/>
          <w:szCs w:val="24"/>
        </w:rPr>
        <w:t>Karmelskoj</w:t>
      </w:r>
      <w:proofErr w:type="spellEnd"/>
      <w:r w:rsidRPr="00835E68">
        <w:rPr>
          <w:rFonts w:cstheme="minorHAnsi"/>
          <w:sz w:val="24"/>
          <w:szCs w:val="24"/>
        </w:rPr>
        <w:t xml:space="preserve">“, „TG 365 – spomenar i planer“. Također sredstva su utrošena na intelektualne i osobne usluge za Hrvatski fotografski centar za snimanje za knjigu o odijevanju (monografija), </w:t>
      </w:r>
      <w:proofErr w:type="spellStart"/>
      <w:r w:rsidRPr="00835E68">
        <w:rPr>
          <w:rFonts w:cstheme="minorHAnsi"/>
          <w:sz w:val="24"/>
          <w:szCs w:val="24"/>
        </w:rPr>
        <w:t>aerofotogrametrijsko</w:t>
      </w:r>
      <w:proofErr w:type="spellEnd"/>
      <w:r w:rsidRPr="00835E68">
        <w:rPr>
          <w:rFonts w:cstheme="minorHAnsi"/>
          <w:sz w:val="24"/>
          <w:szCs w:val="24"/>
        </w:rPr>
        <w:t xml:space="preserve"> snimanje, uredski materijal za potrebe radionica, te reprezentacija za otvaranje izložbi.</w:t>
      </w:r>
    </w:p>
    <w:p w14:paraId="6D291CAB" w14:textId="37AD6FDD" w:rsidR="00835E68" w:rsidRPr="00835E68" w:rsidRDefault="00835E68" w:rsidP="00835E68">
      <w:pPr>
        <w:tabs>
          <w:tab w:val="left" w:pos="6190"/>
        </w:tabs>
        <w:spacing w:line="278" w:lineRule="auto"/>
        <w:jc w:val="both"/>
        <w:rPr>
          <w:rFonts w:cstheme="minorHAnsi"/>
          <w:sz w:val="24"/>
          <w:szCs w:val="24"/>
        </w:rPr>
      </w:pPr>
      <w:r w:rsidRPr="00835E68">
        <w:rPr>
          <w:rFonts w:cstheme="minorHAnsi"/>
          <w:sz w:val="24"/>
          <w:szCs w:val="24"/>
          <w:u w:val="single"/>
        </w:rPr>
        <w:t>Kapitalni projekt Nabava opreme</w:t>
      </w:r>
      <w:r w:rsidRPr="00835E68">
        <w:rPr>
          <w:rFonts w:cstheme="minorHAnsi"/>
          <w:sz w:val="24"/>
          <w:szCs w:val="24"/>
        </w:rPr>
        <w:t xml:space="preserve">; planirano u iznosu od 9.000,00 </w:t>
      </w:r>
      <w:r>
        <w:rPr>
          <w:rFonts w:cstheme="minorHAnsi"/>
          <w:sz w:val="24"/>
          <w:szCs w:val="24"/>
        </w:rPr>
        <w:t>eura</w:t>
      </w:r>
      <w:r w:rsidRPr="00835E68">
        <w:rPr>
          <w:rFonts w:cstheme="minorHAnsi"/>
          <w:sz w:val="24"/>
          <w:szCs w:val="24"/>
        </w:rPr>
        <w:t>, izvršeno u iznosu od 8.992,50</w:t>
      </w:r>
      <w:r>
        <w:rPr>
          <w:rFonts w:cstheme="minorHAnsi"/>
          <w:sz w:val="24"/>
          <w:szCs w:val="24"/>
        </w:rPr>
        <w:t xml:space="preserve"> eura</w:t>
      </w:r>
      <w:r w:rsidRPr="00835E68">
        <w:rPr>
          <w:rFonts w:cstheme="minorHAnsi"/>
          <w:sz w:val="24"/>
          <w:szCs w:val="24"/>
        </w:rPr>
        <w:t xml:space="preserve">. Kupljeni su novi postamenti za realizaciju izložbi. Postamenti su potrebni za izlaganje skulptura na adekvatnim mjestima. Također, kupljen je info pult koji se nalazi u Atriju Muzeja. Isti je kupljen i stavljen u funkciju za potrebe izlaganja muzejskih i ostalih izdanja. U </w:t>
      </w:r>
      <w:r w:rsidRPr="00835E68">
        <w:rPr>
          <w:rFonts w:cstheme="minorHAnsi"/>
          <w:sz w:val="24"/>
          <w:szCs w:val="24"/>
        </w:rPr>
        <w:lastRenderedPageBreak/>
        <w:t>prostoru muzejske suvenirnice kupljen je radni stol (pult), police i kružni stol, gdje će se prodavati ulaznice, muzejska i ostala izdanja kao i suveniri.</w:t>
      </w:r>
    </w:p>
    <w:p w14:paraId="23F53ECD" w14:textId="77777777" w:rsidR="008E2C8A" w:rsidRDefault="00835E68" w:rsidP="008E2C8A">
      <w:pPr>
        <w:tabs>
          <w:tab w:val="left" w:pos="6190"/>
        </w:tabs>
        <w:spacing w:line="278" w:lineRule="auto"/>
        <w:jc w:val="both"/>
        <w:rPr>
          <w:rFonts w:cstheme="minorHAnsi"/>
          <w:sz w:val="24"/>
          <w:szCs w:val="24"/>
        </w:rPr>
      </w:pPr>
      <w:r w:rsidRPr="008E2C8A">
        <w:rPr>
          <w:rFonts w:cstheme="minorHAnsi"/>
          <w:sz w:val="24"/>
          <w:szCs w:val="24"/>
          <w:u w:val="single"/>
        </w:rPr>
        <w:t xml:space="preserve">Tekući projekt Trogir </w:t>
      </w:r>
      <w:proofErr w:type="spellStart"/>
      <w:r w:rsidRPr="008E2C8A">
        <w:rPr>
          <w:rFonts w:cstheme="minorHAnsi"/>
          <w:sz w:val="24"/>
          <w:szCs w:val="24"/>
          <w:u w:val="single"/>
        </w:rPr>
        <w:t>through</w:t>
      </w:r>
      <w:proofErr w:type="spellEnd"/>
      <w:r w:rsidRPr="008E2C8A">
        <w:rPr>
          <w:rFonts w:cstheme="minorHAnsi"/>
          <w:sz w:val="24"/>
          <w:szCs w:val="24"/>
          <w:u w:val="single"/>
        </w:rPr>
        <w:t xml:space="preserve"> time</w:t>
      </w:r>
      <w:r w:rsidRPr="00835E68">
        <w:rPr>
          <w:rFonts w:cstheme="minorHAnsi"/>
          <w:sz w:val="24"/>
          <w:szCs w:val="24"/>
        </w:rPr>
        <w:t xml:space="preserve">; planirano u iznosu od 4.000,00 </w:t>
      </w:r>
      <w:r>
        <w:rPr>
          <w:rFonts w:cstheme="minorHAnsi"/>
          <w:sz w:val="24"/>
          <w:szCs w:val="24"/>
        </w:rPr>
        <w:t>eura</w:t>
      </w:r>
      <w:r w:rsidRPr="00835E68">
        <w:rPr>
          <w:rFonts w:cstheme="minorHAnsi"/>
          <w:sz w:val="24"/>
          <w:szCs w:val="24"/>
        </w:rPr>
        <w:t xml:space="preserve">, izvršeno u iznosu od 2.727,06 </w:t>
      </w:r>
      <w:r>
        <w:rPr>
          <w:rFonts w:cstheme="minorHAnsi"/>
          <w:sz w:val="24"/>
          <w:szCs w:val="24"/>
        </w:rPr>
        <w:t>eura</w:t>
      </w:r>
      <w:r w:rsidRPr="00835E68">
        <w:rPr>
          <w:rFonts w:cstheme="minorHAnsi"/>
          <w:sz w:val="24"/>
          <w:szCs w:val="24"/>
        </w:rPr>
        <w:t>. Sredstva su utrošena za istraživanja muzejske građe, kuplje</w:t>
      </w:r>
      <w:r>
        <w:rPr>
          <w:rFonts w:cstheme="minorHAnsi"/>
          <w:sz w:val="24"/>
          <w:szCs w:val="24"/>
        </w:rPr>
        <w:t>n</w:t>
      </w:r>
      <w:r w:rsidRPr="00835E68">
        <w:rPr>
          <w:rFonts w:cstheme="minorHAnsi"/>
          <w:sz w:val="24"/>
          <w:szCs w:val="24"/>
        </w:rPr>
        <w:t xml:space="preserve"> je </w:t>
      </w:r>
      <w:r>
        <w:rPr>
          <w:rFonts w:cstheme="minorHAnsi"/>
          <w:sz w:val="24"/>
          <w:szCs w:val="24"/>
        </w:rPr>
        <w:t>GPS</w:t>
      </w:r>
      <w:r w:rsidRPr="00835E68">
        <w:rPr>
          <w:rFonts w:cstheme="minorHAnsi"/>
          <w:sz w:val="24"/>
          <w:szCs w:val="24"/>
        </w:rPr>
        <w:t xml:space="preserve"> uređaj za stručnu obradu iste.</w:t>
      </w:r>
    </w:p>
    <w:p w14:paraId="23C0C156" w14:textId="326D3FDA" w:rsidR="00835E68" w:rsidRPr="008E2C8A" w:rsidRDefault="00835E68" w:rsidP="008E2C8A">
      <w:pPr>
        <w:tabs>
          <w:tab w:val="left" w:pos="6190"/>
        </w:tabs>
        <w:spacing w:line="278" w:lineRule="auto"/>
        <w:jc w:val="both"/>
        <w:rPr>
          <w:rFonts w:cstheme="minorHAnsi"/>
          <w:sz w:val="24"/>
          <w:szCs w:val="24"/>
        </w:rPr>
      </w:pPr>
      <w:r w:rsidRPr="008E2C8A">
        <w:rPr>
          <w:rFonts w:cstheme="minorHAnsi"/>
          <w:sz w:val="24"/>
          <w:szCs w:val="24"/>
          <w:u w:val="single"/>
        </w:rPr>
        <w:t>Tekući projekt</w:t>
      </w:r>
      <w:r w:rsidR="008E2C8A" w:rsidRPr="008E2C8A">
        <w:rPr>
          <w:rFonts w:cstheme="minorHAnsi"/>
          <w:sz w:val="24"/>
          <w:szCs w:val="24"/>
          <w:u w:val="single"/>
        </w:rPr>
        <w:t xml:space="preserve"> </w:t>
      </w:r>
      <w:r w:rsidRPr="008E2C8A">
        <w:rPr>
          <w:rFonts w:cstheme="minorHAnsi"/>
          <w:sz w:val="24"/>
          <w:szCs w:val="24"/>
          <w:u w:val="single"/>
        </w:rPr>
        <w:t xml:space="preserve">Sanacija i restauracija palače </w:t>
      </w:r>
      <w:proofErr w:type="spellStart"/>
      <w:r w:rsidRPr="008E2C8A">
        <w:rPr>
          <w:rFonts w:cstheme="minorHAnsi"/>
          <w:sz w:val="24"/>
          <w:szCs w:val="24"/>
          <w:u w:val="single"/>
        </w:rPr>
        <w:t>Garagnin</w:t>
      </w:r>
      <w:proofErr w:type="spellEnd"/>
      <w:r w:rsidRPr="008E2C8A">
        <w:rPr>
          <w:rFonts w:cstheme="minorHAnsi"/>
          <w:sz w:val="24"/>
          <w:szCs w:val="24"/>
          <w:u w:val="single"/>
        </w:rPr>
        <w:t xml:space="preserve"> </w:t>
      </w:r>
      <w:proofErr w:type="spellStart"/>
      <w:r w:rsidRPr="008E2C8A">
        <w:rPr>
          <w:rFonts w:cstheme="minorHAnsi"/>
          <w:sz w:val="24"/>
          <w:szCs w:val="24"/>
          <w:u w:val="single"/>
        </w:rPr>
        <w:t>Fanfogna</w:t>
      </w:r>
      <w:proofErr w:type="spellEnd"/>
      <w:r w:rsidRPr="008E2C8A">
        <w:rPr>
          <w:rFonts w:cstheme="minorHAnsi"/>
          <w:sz w:val="24"/>
          <w:szCs w:val="24"/>
        </w:rPr>
        <w:t xml:space="preserve">: planirano u iznosu od 40.000,00 </w:t>
      </w:r>
      <w:r w:rsidR="008E2C8A">
        <w:rPr>
          <w:rFonts w:cstheme="minorHAnsi"/>
          <w:sz w:val="24"/>
          <w:szCs w:val="24"/>
        </w:rPr>
        <w:t>eura</w:t>
      </w:r>
      <w:r w:rsidRPr="008E2C8A">
        <w:rPr>
          <w:rFonts w:cstheme="minorHAnsi"/>
          <w:sz w:val="24"/>
          <w:szCs w:val="24"/>
        </w:rPr>
        <w:t xml:space="preserve">, izvršeno 37.962,81 </w:t>
      </w:r>
      <w:r w:rsidR="008E2C8A">
        <w:rPr>
          <w:rFonts w:cstheme="minorHAnsi"/>
          <w:sz w:val="24"/>
          <w:szCs w:val="24"/>
        </w:rPr>
        <w:t>eura</w:t>
      </w:r>
      <w:r w:rsidRPr="008E2C8A">
        <w:rPr>
          <w:rFonts w:cstheme="minorHAnsi"/>
          <w:sz w:val="24"/>
          <w:szCs w:val="24"/>
        </w:rPr>
        <w:t>, što je 94,91%</w:t>
      </w:r>
      <w:r w:rsidR="008E2C8A">
        <w:rPr>
          <w:rFonts w:cstheme="minorHAnsi"/>
          <w:sz w:val="24"/>
          <w:szCs w:val="24"/>
        </w:rPr>
        <w:t xml:space="preserve"> </w:t>
      </w:r>
      <w:r w:rsidRPr="008E2C8A">
        <w:rPr>
          <w:rFonts w:cstheme="minorHAnsi"/>
          <w:sz w:val="24"/>
          <w:szCs w:val="24"/>
        </w:rPr>
        <w:t>financijskog plana ovog projekta. Temeljem ugovora Viza projekt d.o.o. izvodi radove investicijskog održavanja palače.</w:t>
      </w:r>
    </w:p>
    <w:p w14:paraId="34A5E88E" w14:textId="2C86D19D" w:rsidR="00C45075" w:rsidRDefault="00C45075" w:rsidP="00C45075">
      <w:pPr>
        <w:tabs>
          <w:tab w:val="left" w:pos="6190"/>
        </w:tabs>
        <w:spacing w:line="278" w:lineRule="auto"/>
        <w:jc w:val="both"/>
        <w:rPr>
          <w:rFonts w:cstheme="minorHAnsi"/>
          <w:sz w:val="24"/>
          <w:szCs w:val="24"/>
        </w:rPr>
      </w:pPr>
      <w:r w:rsidRPr="00C45075">
        <w:rPr>
          <w:rFonts w:cstheme="minorHAnsi"/>
          <w:sz w:val="24"/>
          <w:szCs w:val="24"/>
        </w:rPr>
        <w:t xml:space="preserve">Rashodi za ovo izvještajno razdoblje planirani su u iznosu od 414.152,00 </w:t>
      </w:r>
      <w:r>
        <w:rPr>
          <w:rFonts w:cstheme="minorHAnsi"/>
          <w:sz w:val="24"/>
          <w:szCs w:val="24"/>
        </w:rPr>
        <w:t>eura</w:t>
      </w:r>
      <w:r w:rsidRPr="00C45075">
        <w:rPr>
          <w:rFonts w:cstheme="minorHAnsi"/>
          <w:sz w:val="24"/>
          <w:szCs w:val="24"/>
        </w:rPr>
        <w:t>, a izvršeni u iznosu od 367.914,97</w:t>
      </w:r>
      <w:r>
        <w:rPr>
          <w:rFonts w:cstheme="minorHAnsi"/>
          <w:sz w:val="24"/>
          <w:szCs w:val="24"/>
        </w:rPr>
        <w:t xml:space="preserve"> eura, </w:t>
      </w:r>
      <w:r w:rsidRPr="00C45075">
        <w:rPr>
          <w:rFonts w:cstheme="minorHAnsi"/>
          <w:sz w:val="24"/>
          <w:szCs w:val="24"/>
        </w:rPr>
        <w:t xml:space="preserve">što čini 88,84% financijskog plana, </w:t>
      </w:r>
      <w:r w:rsidR="009523EE">
        <w:rPr>
          <w:rFonts w:cstheme="minorHAnsi"/>
          <w:sz w:val="24"/>
          <w:szCs w:val="24"/>
        </w:rPr>
        <w:t>ili 10,30</w:t>
      </w:r>
      <w:r w:rsidRPr="00C45075">
        <w:rPr>
          <w:rFonts w:cstheme="minorHAnsi"/>
          <w:sz w:val="24"/>
          <w:szCs w:val="24"/>
        </w:rPr>
        <w:t>% više u odnosu na 2024. godinu.</w:t>
      </w:r>
    </w:p>
    <w:p w14:paraId="2904DA63" w14:textId="77777777" w:rsidR="00F13952" w:rsidRDefault="003E366E" w:rsidP="00F13952">
      <w:pPr>
        <w:tabs>
          <w:tab w:val="left" w:pos="6190"/>
        </w:tabs>
        <w:jc w:val="both"/>
        <w:rPr>
          <w:rFonts w:cstheme="minorHAnsi"/>
          <w:b/>
          <w:bCs/>
          <w:sz w:val="24"/>
          <w:szCs w:val="24"/>
        </w:rPr>
      </w:pPr>
      <w:r w:rsidRPr="003E366E">
        <w:rPr>
          <w:rFonts w:cstheme="minorHAnsi"/>
          <w:b/>
          <w:bCs/>
          <w:sz w:val="24"/>
          <w:szCs w:val="24"/>
        </w:rPr>
        <w:t>Izvor 3.2. Vlastiti prihodi proračuna</w:t>
      </w:r>
    </w:p>
    <w:p w14:paraId="05B045A7" w14:textId="28F062A3" w:rsidR="00F13952" w:rsidRPr="00F13952" w:rsidRDefault="003E366E" w:rsidP="00F13952">
      <w:pPr>
        <w:tabs>
          <w:tab w:val="left" w:pos="6190"/>
        </w:tabs>
        <w:spacing w:after="0"/>
        <w:jc w:val="both"/>
        <w:rPr>
          <w:rFonts w:cstheme="minorHAnsi"/>
          <w:b/>
          <w:bCs/>
          <w:sz w:val="24"/>
          <w:szCs w:val="24"/>
        </w:rPr>
      </w:pPr>
      <w:r w:rsidRPr="003E366E">
        <w:rPr>
          <w:rFonts w:cstheme="minorHAnsi"/>
          <w:sz w:val="24"/>
          <w:szCs w:val="24"/>
        </w:rPr>
        <w:t xml:space="preserve"> Vlastiti prihodi proračuna planirani su u iznosu od 27.900,00 </w:t>
      </w:r>
      <w:r>
        <w:rPr>
          <w:rFonts w:cstheme="minorHAnsi"/>
          <w:sz w:val="24"/>
          <w:szCs w:val="24"/>
        </w:rPr>
        <w:t>eura</w:t>
      </w:r>
      <w:r w:rsidRPr="003E366E">
        <w:rPr>
          <w:rFonts w:cstheme="minorHAnsi"/>
          <w:sz w:val="24"/>
          <w:szCs w:val="24"/>
        </w:rPr>
        <w:t xml:space="preserve">, izvršeni u iznosu od 16.167,36 </w:t>
      </w:r>
      <w:r>
        <w:rPr>
          <w:rFonts w:cstheme="minorHAnsi"/>
          <w:sz w:val="24"/>
          <w:szCs w:val="24"/>
        </w:rPr>
        <w:t>eura</w:t>
      </w:r>
      <w:r w:rsidRPr="003E366E">
        <w:rPr>
          <w:rFonts w:cstheme="minorHAnsi"/>
          <w:sz w:val="24"/>
          <w:szCs w:val="24"/>
        </w:rPr>
        <w:t xml:space="preserve">. </w:t>
      </w:r>
    </w:p>
    <w:p w14:paraId="6D7ED250" w14:textId="0E76134D" w:rsidR="00F13952" w:rsidRDefault="003E366E" w:rsidP="00F13952">
      <w:pPr>
        <w:tabs>
          <w:tab w:val="left" w:pos="6190"/>
        </w:tabs>
        <w:spacing w:after="0"/>
        <w:jc w:val="both"/>
        <w:rPr>
          <w:rFonts w:cstheme="minorHAnsi"/>
          <w:sz w:val="24"/>
          <w:szCs w:val="24"/>
        </w:rPr>
      </w:pPr>
      <w:r w:rsidRPr="003E366E">
        <w:rPr>
          <w:rFonts w:cstheme="minorHAnsi"/>
          <w:sz w:val="24"/>
          <w:szCs w:val="24"/>
        </w:rPr>
        <w:t xml:space="preserve">Sredstava su utrošena na ostale rashode za zaposlene (jubilarna nagrada), Intelektualne i osobne usluge, naknade za rad predstavničkih tijela (upravno vijeće), reprezentacija – domjenak i ugošćavanje vanjskih suradnika zbog realizacije izložbi. Također, vlastita sredstva su utrošena i na aktivnost Izložbena djelatnost, obljetnice i radionice. Muzej tijekom cijele godine održava izložbe iz fundusa, pedagoške radionice, te se vlastita sredstva troše u skladu s financijskim planom u realizaciju istih. </w:t>
      </w:r>
    </w:p>
    <w:p w14:paraId="1210CC6D" w14:textId="77777777" w:rsidR="00F13952" w:rsidRDefault="00F13952" w:rsidP="00F13952">
      <w:pPr>
        <w:tabs>
          <w:tab w:val="left" w:pos="6190"/>
        </w:tabs>
        <w:spacing w:after="0"/>
        <w:jc w:val="both"/>
        <w:rPr>
          <w:rFonts w:cstheme="minorHAnsi"/>
          <w:b/>
          <w:bCs/>
          <w:sz w:val="24"/>
          <w:szCs w:val="24"/>
        </w:rPr>
      </w:pPr>
    </w:p>
    <w:p w14:paraId="4F5B71AC" w14:textId="79F9F89D" w:rsidR="00F13952" w:rsidRPr="00F13952" w:rsidRDefault="00F13952" w:rsidP="00F13952">
      <w:pPr>
        <w:tabs>
          <w:tab w:val="left" w:pos="6190"/>
        </w:tabs>
        <w:jc w:val="both"/>
        <w:rPr>
          <w:rFonts w:cstheme="minorHAnsi"/>
          <w:b/>
          <w:bCs/>
          <w:sz w:val="24"/>
          <w:szCs w:val="24"/>
        </w:rPr>
      </w:pPr>
      <w:r w:rsidRPr="00F13952">
        <w:rPr>
          <w:rFonts w:cstheme="minorHAnsi"/>
          <w:b/>
          <w:bCs/>
          <w:sz w:val="24"/>
          <w:szCs w:val="24"/>
        </w:rPr>
        <w:t>Izvor 5.5. Ostale pomoći proračunski</w:t>
      </w:r>
      <w:r>
        <w:rPr>
          <w:rFonts w:cstheme="minorHAnsi"/>
          <w:b/>
          <w:bCs/>
          <w:sz w:val="24"/>
          <w:szCs w:val="24"/>
        </w:rPr>
        <w:t>h</w:t>
      </w:r>
      <w:r w:rsidRPr="00F13952">
        <w:rPr>
          <w:rFonts w:cstheme="minorHAnsi"/>
          <w:b/>
          <w:bCs/>
          <w:sz w:val="24"/>
          <w:szCs w:val="24"/>
        </w:rPr>
        <w:t xml:space="preserve"> korisnika </w:t>
      </w:r>
    </w:p>
    <w:p w14:paraId="0224BB0A" w14:textId="4FC2A9D4" w:rsidR="00F13952" w:rsidRPr="00F13952" w:rsidRDefault="00F13952" w:rsidP="00F13952">
      <w:pPr>
        <w:rPr>
          <w:rFonts w:cstheme="minorHAnsi"/>
          <w:sz w:val="24"/>
          <w:szCs w:val="24"/>
        </w:rPr>
      </w:pPr>
      <w:r w:rsidRPr="00F13952">
        <w:rPr>
          <w:rFonts w:cstheme="minorHAnsi"/>
          <w:sz w:val="24"/>
          <w:szCs w:val="24"/>
        </w:rPr>
        <w:t>Ostale pomoći proračunski</w:t>
      </w:r>
      <w:r>
        <w:rPr>
          <w:rFonts w:cstheme="minorHAnsi"/>
          <w:sz w:val="24"/>
          <w:szCs w:val="24"/>
        </w:rPr>
        <w:t>h</w:t>
      </w:r>
      <w:r w:rsidRPr="00F13952">
        <w:rPr>
          <w:rFonts w:cstheme="minorHAnsi"/>
          <w:sz w:val="24"/>
          <w:szCs w:val="24"/>
        </w:rPr>
        <w:t xml:space="preserve"> korisnik</w:t>
      </w:r>
      <w:r>
        <w:rPr>
          <w:rFonts w:cstheme="minorHAnsi"/>
          <w:sz w:val="24"/>
          <w:szCs w:val="24"/>
        </w:rPr>
        <w:t>a</w:t>
      </w:r>
      <w:r w:rsidRPr="00F13952">
        <w:rPr>
          <w:rFonts w:cstheme="minorHAnsi"/>
          <w:sz w:val="24"/>
          <w:szCs w:val="24"/>
        </w:rPr>
        <w:t xml:space="preserve"> planirane su u iznosu od 122.200,00 eura, a izvršene u iznosu od 59.000,00 eura. </w:t>
      </w:r>
    </w:p>
    <w:p w14:paraId="56282328" w14:textId="2D3C537B" w:rsidR="00F13952" w:rsidRPr="00F13952" w:rsidRDefault="00F13952" w:rsidP="00F13952">
      <w:pPr>
        <w:jc w:val="both"/>
        <w:rPr>
          <w:rFonts w:cstheme="minorHAnsi"/>
          <w:sz w:val="24"/>
          <w:szCs w:val="24"/>
        </w:rPr>
      </w:pPr>
      <w:r w:rsidRPr="00F13952">
        <w:rPr>
          <w:rFonts w:cstheme="minorHAnsi"/>
          <w:sz w:val="24"/>
          <w:szCs w:val="24"/>
        </w:rPr>
        <w:t>Pomoći su planirane za realizaciju izložbi, konzervatorsko</w:t>
      </w:r>
      <w:r>
        <w:rPr>
          <w:rFonts w:cstheme="minorHAnsi"/>
          <w:sz w:val="24"/>
          <w:szCs w:val="24"/>
        </w:rPr>
        <w:t>-</w:t>
      </w:r>
      <w:r w:rsidRPr="00F13952">
        <w:rPr>
          <w:rFonts w:cstheme="minorHAnsi"/>
          <w:sz w:val="24"/>
          <w:szCs w:val="24"/>
        </w:rPr>
        <w:t>restauratorsku</w:t>
      </w:r>
      <w:r>
        <w:rPr>
          <w:rFonts w:cstheme="minorHAnsi"/>
          <w:sz w:val="24"/>
          <w:szCs w:val="24"/>
        </w:rPr>
        <w:t xml:space="preserve"> </w:t>
      </w:r>
      <w:r w:rsidRPr="00F13952">
        <w:rPr>
          <w:rFonts w:cstheme="minorHAnsi"/>
          <w:sz w:val="24"/>
          <w:szCs w:val="24"/>
        </w:rPr>
        <w:t xml:space="preserve">djelatnost, provođenje mjere aktivne politike zapošljavanja, te sanaciju i restauraciju palače </w:t>
      </w:r>
      <w:proofErr w:type="spellStart"/>
      <w:r w:rsidRPr="00F13952">
        <w:rPr>
          <w:rFonts w:cstheme="minorHAnsi"/>
          <w:sz w:val="24"/>
          <w:szCs w:val="24"/>
        </w:rPr>
        <w:t>Garagnin</w:t>
      </w:r>
      <w:proofErr w:type="spellEnd"/>
      <w:r w:rsidRPr="00F13952">
        <w:rPr>
          <w:rFonts w:cstheme="minorHAnsi"/>
          <w:sz w:val="24"/>
          <w:szCs w:val="24"/>
        </w:rPr>
        <w:t xml:space="preserve"> </w:t>
      </w:r>
      <w:proofErr w:type="spellStart"/>
      <w:r w:rsidRPr="00F13952">
        <w:rPr>
          <w:rFonts w:cstheme="minorHAnsi"/>
          <w:sz w:val="24"/>
          <w:szCs w:val="24"/>
        </w:rPr>
        <w:t>Fanfogna</w:t>
      </w:r>
      <w:proofErr w:type="spellEnd"/>
      <w:r w:rsidRPr="00F13952">
        <w:rPr>
          <w:rFonts w:cstheme="minorHAnsi"/>
          <w:sz w:val="24"/>
          <w:szCs w:val="24"/>
        </w:rPr>
        <w:t>. Sva sredstva koje osigurava Ministarstvo kulture i medija, općina, županije, uplaćivala su se direktno na račun Muzeja grada Trogira, te samim time izvještaji o izvršenju se predaju tijelima od koga je uplata stigla. Prelaskom na sustav pune riznice od 1. 10. 2025. godine sve uplate sjedaju direktno na račun Grada Trogira.</w:t>
      </w:r>
    </w:p>
    <w:p w14:paraId="7E4EA147" w14:textId="64DAA39B" w:rsidR="00F13952" w:rsidRPr="00B2787B" w:rsidRDefault="00F13952" w:rsidP="00B2787B">
      <w:pPr>
        <w:spacing w:line="278" w:lineRule="auto"/>
        <w:jc w:val="both"/>
        <w:rPr>
          <w:rFonts w:cstheme="minorHAnsi"/>
          <w:sz w:val="24"/>
          <w:szCs w:val="24"/>
        </w:rPr>
      </w:pPr>
      <w:r w:rsidRPr="00B2787B">
        <w:rPr>
          <w:rFonts w:cstheme="minorHAnsi"/>
          <w:sz w:val="24"/>
          <w:szCs w:val="24"/>
          <w:u w:val="single"/>
        </w:rPr>
        <w:t>Aktivnost Provođenje mjere aktivne politike zapošljavanja</w:t>
      </w:r>
      <w:r w:rsidRPr="00F13952">
        <w:rPr>
          <w:rFonts w:cstheme="minorHAnsi"/>
          <w:sz w:val="24"/>
          <w:szCs w:val="24"/>
        </w:rPr>
        <w:t xml:space="preserve"> – Od 8. ožujka 2024. do 7. ožujka 2025. posredstvom Hrvatskog zavoda za zapošljavanje u Muzeju je bio zaposlen jedan recepcionar – informator, na pola radnog vremena (4 sata), na određeno vrijeme od godine dana.</w:t>
      </w:r>
      <w:r w:rsidR="00B2787B">
        <w:rPr>
          <w:rFonts w:cstheme="minorHAnsi"/>
          <w:sz w:val="24"/>
          <w:szCs w:val="24"/>
        </w:rPr>
        <w:t xml:space="preserve"> </w:t>
      </w:r>
      <w:r w:rsidRPr="00F13952">
        <w:rPr>
          <w:rFonts w:eastAsia="Times New Roman" w:cstheme="minorHAnsi"/>
          <w:color w:val="000000"/>
          <w:sz w:val="24"/>
          <w:szCs w:val="24"/>
          <w:lang w:eastAsia="hr-HR"/>
        </w:rPr>
        <w:t xml:space="preserve">Potpora Općine Okrug za projekt pod naslovom „Potopljena baština: Istraživanje, zaštita i </w:t>
      </w:r>
      <w:proofErr w:type="spellStart"/>
      <w:r w:rsidRPr="00F13952">
        <w:rPr>
          <w:rFonts w:eastAsia="Times New Roman" w:cstheme="minorHAnsi"/>
          <w:color w:val="000000"/>
          <w:sz w:val="24"/>
          <w:szCs w:val="24"/>
          <w:lang w:eastAsia="hr-HR"/>
        </w:rPr>
        <w:t>volarizacija</w:t>
      </w:r>
      <w:proofErr w:type="spellEnd"/>
      <w:r w:rsidRPr="00F13952">
        <w:rPr>
          <w:rFonts w:eastAsia="Times New Roman" w:cstheme="minorHAnsi"/>
          <w:color w:val="000000"/>
          <w:sz w:val="24"/>
          <w:szCs w:val="24"/>
          <w:lang w:eastAsia="hr-HR"/>
        </w:rPr>
        <w:t xml:space="preserve"> po(d)morske baštine Čiova, izvršena za intelektualne i osobne usluge</w:t>
      </w:r>
    </w:p>
    <w:p w14:paraId="298E2F29" w14:textId="1E17B231" w:rsidR="00F13952" w:rsidRPr="00F13952" w:rsidRDefault="00B2787B" w:rsidP="00F13952">
      <w:pPr>
        <w:spacing w:after="0" w:line="276" w:lineRule="auto"/>
        <w:jc w:val="both"/>
        <w:rPr>
          <w:rFonts w:cstheme="minorHAnsi"/>
          <w:sz w:val="24"/>
          <w:szCs w:val="24"/>
        </w:rPr>
      </w:pPr>
      <w:r>
        <w:rPr>
          <w:rFonts w:eastAsia="Times New Roman" w:cstheme="minorHAnsi"/>
          <w:color w:val="000000"/>
          <w:sz w:val="24"/>
          <w:szCs w:val="24"/>
          <w:u w:val="single"/>
          <w:lang w:eastAsia="hr-HR"/>
        </w:rPr>
        <w:t xml:space="preserve">Tekući </w:t>
      </w:r>
      <w:proofErr w:type="spellStart"/>
      <w:r>
        <w:rPr>
          <w:rFonts w:eastAsia="Times New Roman" w:cstheme="minorHAnsi"/>
          <w:color w:val="000000"/>
          <w:sz w:val="24"/>
          <w:szCs w:val="24"/>
          <w:u w:val="single"/>
          <w:lang w:eastAsia="hr-HR"/>
        </w:rPr>
        <w:t>porojekt</w:t>
      </w:r>
      <w:proofErr w:type="spellEnd"/>
      <w:r>
        <w:rPr>
          <w:rFonts w:eastAsia="Times New Roman" w:cstheme="minorHAnsi"/>
          <w:color w:val="000000"/>
          <w:sz w:val="24"/>
          <w:szCs w:val="24"/>
          <w:u w:val="single"/>
          <w:lang w:eastAsia="hr-HR"/>
        </w:rPr>
        <w:t xml:space="preserve"> </w:t>
      </w:r>
      <w:r w:rsidR="00F13952" w:rsidRPr="00B2787B">
        <w:rPr>
          <w:rFonts w:eastAsia="Times New Roman" w:cstheme="minorHAnsi"/>
          <w:color w:val="000000"/>
          <w:sz w:val="24"/>
          <w:szCs w:val="24"/>
          <w:u w:val="single"/>
          <w:lang w:eastAsia="hr-HR"/>
        </w:rPr>
        <w:t xml:space="preserve">Sanacija i restauracija palače </w:t>
      </w:r>
      <w:proofErr w:type="spellStart"/>
      <w:r w:rsidR="00F13952" w:rsidRPr="00B2787B">
        <w:rPr>
          <w:rFonts w:eastAsia="Times New Roman" w:cstheme="minorHAnsi"/>
          <w:color w:val="000000"/>
          <w:sz w:val="24"/>
          <w:szCs w:val="24"/>
          <w:u w:val="single"/>
          <w:lang w:eastAsia="hr-HR"/>
        </w:rPr>
        <w:t>Garagnin</w:t>
      </w:r>
      <w:proofErr w:type="spellEnd"/>
      <w:r w:rsidR="00F13952" w:rsidRPr="00B2787B">
        <w:rPr>
          <w:rFonts w:eastAsia="Times New Roman" w:cstheme="minorHAnsi"/>
          <w:color w:val="000000"/>
          <w:sz w:val="24"/>
          <w:szCs w:val="24"/>
          <w:u w:val="single"/>
          <w:lang w:eastAsia="hr-HR"/>
        </w:rPr>
        <w:t xml:space="preserve"> </w:t>
      </w:r>
      <w:proofErr w:type="spellStart"/>
      <w:r w:rsidR="00F13952" w:rsidRPr="00B2787B">
        <w:rPr>
          <w:rFonts w:eastAsia="Times New Roman" w:cstheme="minorHAnsi"/>
          <w:color w:val="000000"/>
          <w:sz w:val="24"/>
          <w:szCs w:val="24"/>
          <w:u w:val="single"/>
          <w:lang w:eastAsia="hr-HR"/>
        </w:rPr>
        <w:t>Fanfogna</w:t>
      </w:r>
      <w:proofErr w:type="spellEnd"/>
      <w:r w:rsidR="00F13952" w:rsidRPr="00F13952">
        <w:rPr>
          <w:rFonts w:eastAsia="Times New Roman" w:cstheme="minorHAnsi"/>
          <w:color w:val="000000"/>
          <w:sz w:val="24"/>
          <w:szCs w:val="24"/>
          <w:lang w:eastAsia="hr-HR"/>
        </w:rPr>
        <w:t xml:space="preserve">, planirana u iznosu od 70.000,00 </w:t>
      </w:r>
      <w:r w:rsidR="00F13952">
        <w:rPr>
          <w:rFonts w:eastAsia="Times New Roman" w:cstheme="minorHAnsi"/>
          <w:color w:val="000000"/>
          <w:sz w:val="24"/>
          <w:szCs w:val="24"/>
          <w:lang w:eastAsia="hr-HR"/>
        </w:rPr>
        <w:t>eura</w:t>
      </w:r>
      <w:r w:rsidR="00F13952" w:rsidRPr="00F13952">
        <w:rPr>
          <w:rFonts w:eastAsia="Times New Roman" w:cstheme="minorHAnsi"/>
          <w:color w:val="000000"/>
          <w:sz w:val="24"/>
          <w:szCs w:val="24"/>
          <w:lang w:eastAsia="hr-HR"/>
        </w:rPr>
        <w:t xml:space="preserve">, izvršena u iznosu od 40.000,00 </w:t>
      </w:r>
      <w:r w:rsidR="00F13952">
        <w:rPr>
          <w:rFonts w:eastAsia="Times New Roman" w:cstheme="minorHAnsi"/>
          <w:color w:val="000000"/>
          <w:sz w:val="24"/>
          <w:szCs w:val="24"/>
          <w:lang w:eastAsia="hr-HR"/>
        </w:rPr>
        <w:t>eura</w:t>
      </w:r>
      <w:r w:rsidR="00F13952" w:rsidRPr="00F13952">
        <w:rPr>
          <w:rFonts w:eastAsia="Times New Roman" w:cstheme="minorHAnsi"/>
          <w:color w:val="000000"/>
          <w:sz w:val="24"/>
          <w:szCs w:val="24"/>
          <w:lang w:eastAsia="hr-HR"/>
        </w:rPr>
        <w:t xml:space="preserve">. Sredstva su uplaćena od Ministarstva </w:t>
      </w:r>
      <w:r w:rsidR="00F13952" w:rsidRPr="00F13952">
        <w:rPr>
          <w:rFonts w:eastAsia="Times New Roman" w:cstheme="minorHAnsi"/>
          <w:color w:val="000000"/>
          <w:sz w:val="24"/>
          <w:szCs w:val="24"/>
          <w:lang w:eastAsia="hr-HR"/>
        </w:rPr>
        <w:lastRenderedPageBreak/>
        <w:t>kulture i medija što čini 57,14 % financijskog plana ovog projekta. Sredstava su utrošena za sanaciju palače.</w:t>
      </w:r>
    </w:p>
    <w:p w14:paraId="362B233B" w14:textId="77777777" w:rsidR="00B2787B" w:rsidRDefault="00B2787B" w:rsidP="00F13952">
      <w:pPr>
        <w:spacing w:after="0" w:line="276" w:lineRule="auto"/>
        <w:jc w:val="both"/>
        <w:rPr>
          <w:rFonts w:ascii="Times New Roman" w:hAnsi="Times New Roman"/>
          <w:b/>
          <w:bCs/>
          <w:sz w:val="28"/>
          <w:szCs w:val="28"/>
        </w:rPr>
      </w:pPr>
    </w:p>
    <w:p w14:paraId="77E27C19" w14:textId="18956407" w:rsidR="00F13952" w:rsidRPr="00F13952" w:rsidRDefault="00F13952" w:rsidP="00F13952">
      <w:pPr>
        <w:spacing w:after="0" w:line="276" w:lineRule="auto"/>
        <w:jc w:val="both"/>
        <w:rPr>
          <w:rFonts w:cstheme="minorHAnsi"/>
          <w:b/>
          <w:bCs/>
          <w:sz w:val="24"/>
          <w:szCs w:val="24"/>
        </w:rPr>
      </w:pPr>
      <w:r w:rsidRPr="00F13952">
        <w:rPr>
          <w:rFonts w:cstheme="minorHAnsi"/>
          <w:b/>
          <w:bCs/>
          <w:sz w:val="24"/>
          <w:szCs w:val="24"/>
        </w:rPr>
        <w:t>Izvor 6.2. Donacije proračunskih korisnika</w:t>
      </w:r>
    </w:p>
    <w:p w14:paraId="543DC2E4" w14:textId="4156E55E" w:rsidR="003E366E" w:rsidRPr="00F13952" w:rsidRDefault="00F13952" w:rsidP="00F13952">
      <w:pPr>
        <w:tabs>
          <w:tab w:val="left" w:pos="6190"/>
        </w:tabs>
        <w:spacing w:line="278" w:lineRule="auto"/>
        <w:jc w:val="both"/>
        <w:rPr>
          <w:rFonts w:cstheme="minorHAnsi"/>
          <w:sz w:val="24"/>
          <w:szCs w:val="24"/>
        </w:rPr>
      </w:pPr>
      <w:r w:rsidRPr="00F13952">
        <w:rPr>
          <w:rFonts w:cstheme="minorHAnsi"/>
          <w:sz w:val="24"/>
          <w:szCs w:val="24"/>
        </w:rPr>
        <w:t>Donacije proračunski</w:t>
      </w:r>
      <w:r w:rsidR="00835E68">
        <w:rPr>
          <w:rFonts w:cstheme="minorHAnsi"/>
          <w:sz w:val="24"/>
          <w:szCs w:val="24"/>
        </w:rPr>
        <w:t>h</w:t>
      </w:r>
      <w:r w:rsidRPr="00F13952">
        <w:rPr>
          <w:rFonts w:cstheme="minorHAnsi"/>
          <w:sz w:val="24"/>
          <w:szCs w:val="24"/>
        </w:rPr>
        <w:t xml:space="preserve"> korisnika planirane su u iznosu od 2.600,00 </w:t>
      </w:r>
      <w:r>
        <w:rPr>
          <w:rFonts w:cstheme="minorHAnsi"/>
          <w:sz w:val="24"/>
          <w:szCs w:val="24"/>
        </w:rPr>
        <w:t>eura</w:t>
      </w:r>
      <w:r w:rsidRPr="00F13952">
        <w:rPr>
          <w:rFonts w:cstheme="minorHAnsi"/>
          <w:sz w:val="24"/>
          <w:szCs w:val="24"/>
        </w:rPr>
        <w:t xml:space="preserve">, izvršene u iznosu od 438,00 </w:t>
      </w:r>
      <w:r>
        <w:rPr>
          <w:rFonts w:cstheme="minorHAnsi"/>
          <w:sz w:val="24"/>
          <w:szCs w:val="24"/>
        </w:rPr>
        <w:t>eura</w:t>
      </w:r>
      <w:r w:rsidRPr="00F13952">
        <w:rPr>
          <w:rFonts w:cstheme="minorHAnsi"/>
          <w:sz w:val="24"/>
          <w:szCs w:val="24"/>
        </w:rPr>
        <w:t>. Donacije se odnose na knjige u knjižnici, te procijenjenu vrijednost knjige koja se unosi u poslovne knjige gdje se odmah knjiži i trošak. Iste su uvedene u knjižnicu muzeja</w:t>
      </w:r>
      <w:r>
        <w:rPr>
          <w:rFonts w:cstheme="minorHAnsi"/>
          <w:sz w:val="24"/>
          <w:szCs w:val="24"/>
        </w:rPr>
        <w:t>.</w:t>
      </w:r>
    </w:p>
    <w:p w14:paraId="757D6E2F" w14:textId="77777777" w:rsidR="00B2787B" w:rsidRDefault="00B2787B" w:rsidP="00B2787B">
      <w:pPr>
        <w:jc w:val="both"/>
        <w:rPr>
          <w:rFonts w:cstheme="minorHAnsi"/>
          <w:sz w:val="24"/>
          <w:szCs w:val="24"/>
        </w:rPr>
      </w:pPr>
      <w:r w:rsidRPr="00B2787B">
        <w:rPr>
          <w:rFonts w:cstheme="minorHAnsi"/>
          <w:sz w:val="24"/>
          <w:szCs w:val="24"/>
        </w:rPr>
        <w:t>Ukupni prihodi poslovanja u izvještajnom razdoblju 2025. godine iznose 439.112,08</w:t>
      </w:r>
      <w:r>
        <w:rPr>
          <w:rFonts w:cstheme="minorHAnsi"/>
          <w:sz w:val="24"/>
          <w:szCs w:val="24"/>
        </w:rPr>
        <w:t xml:space="preserve"> eura</w:t>
      </w:r>
      <w:r w:rsidRPr="00B2787B">
        <w:rPr>
          <w:rFonts w:cstheme="minorHAnsi"/>
          <w:sz w:val="24"/>
          <w:szCs w:val="24"/>
        </w:rPr>
        <w:t xml:space="preserve">, a planirani u iznosu od 566.852,00 </w:t>
      </w:r>
      <w:r>
        <w:rPr>
          <w:rFonts w:cstheme="minorHAnsi"/>
          <w:sz w:val="24"/>
          <w:szCs w:val="24"/>
        </w:rPr>
        <w:t>eura</w:t>
      </w:r>
      <w:r w:rsidRPr="00B2787B">
        <w:rPr>
          <w:rFonts w:cstheme="minorHAnsi"/>
          <w:sz w:val="24"/>
          <w:szCs w:val="24"/>
        </w:rPr>
        <w:t>. Prihodi se odnose na pomoći Ministarstva kulture i medija, Prihodi od prodaje proizvoda i robe te pruženih usluga, Donacije fizičkih osoba, te Prihodi iz nadležnog proračuna za financiranje redovne djelatnosti proračunskih korisnika i prihod za financiranje nefinancijske imovine. Prihodi iz nadležnog proračuna odnose se na financiranje bruto plaće te tekuće materijalne troškove kao i troškove realizacija izložbi i projekata.</w:t>
      </w:r>
    </w:p>
    <w:p w14:paraId="58D7C752" w14:textId="5513DEAB" w:rsidR="00B2787B" w:rsidRDefault="00B2787B" w:rsidP="00B2787B">
      <w:pPr>
        <w:spacing w:after="0"/>
        <w:jc w:val="both"/>
        <w:rPr>
          <w:rFonts w:cstheme="minorHAnsi"/>
          <w:sz w:val="24"/>
          <w:szCs w:val="24"/>
        </w:rPr>
      </w:pPr>
      <w:r>
        <w:rPr>
          <w:rFonts w:cstheme="minorHAnsi"/>
          <w:sz w:val="24"/>
          <w:szCs w:val="24"/>
        </w:rPr>
        <w:t>Ukupni r</w:t>
      </w:r>
      <w:r w:rsidRPr="00B2787B">
        <w:rPr>
          <w:rFonts w:cstheme="minorHAnsi"/>
          <w:sz w:val="24"/>
          <w:szCs w:val="24"/>
        </w:rPr>
        <w:t xml:space="preserve">ashodi poslovanja u istom izvještajnom razdoblju iznose </w:t>
      </w:r>
      <w:r>
        <w:rPr>
          <w:rFonts w:cstheme="minorHAnsi"/>
          <w:sz w:val="24"/>
          <w:szCs w:val="24"/>
        </w:rPr>
        <w:t>442.051,25 eura</w:t>
      </w:r>
      <w:r w:rsidRPr="00B2787B">
        <w:rPr>
          <w:rFonts w:cstheme="minorHAnsi"/>
          <w:sz w:val="24"/>
          <w:szCs w:val="24"/>
        </w:rPr>
        <w:t xml:space="preserve">. Troškovi se odnose na rashode za zaposlene te na materijalne rashode. Ostvaren je manjak prihoda i primitaka za pokriće u sljedećem razdoblju u iznosu od 4.973,32 </w:t>
      </w:r>
      <w:r>
        <w:rPr>
          <w:rFonts w:cstheme="minorHAnsi"/>
          <w:sz w:val="24"/>
          <w:szCs w:val="24"/>
        </w:rPr>
        <w:t>eura</w:t>
      </w:r>
      <w:r w:rsidRPr="00B2787B">
        <w:rPr>
          <w:rFonts w:cstheme="minorHAnsi"/>
          <w:sz w:val="24"/>
          <w:szCs w:val="24"/>
        </w:rPr>
        <w:t xml:space="preserve">. </w:t>
      </w:r>
    </w:p>
    <w:p w14:paraId="325DFB8C" w14:textId="42DDF344" w:rsidR="00B2787B" w:rsidRPr="00B2787B" w:rsidRDefault="00B2787B" w:rsidP="00B2787B">
      <w:pPr>
        <w:spacing w:after="0"/>
        <w:jc w:val="both"/>
        <w:rPr>
          <w:rFonts w:cstheme="minorHAnsi"/>
          <w:sz w:val="24"/>
          <w:szCs w:val="24"/>
        </w:rPr>
      </w:pPr>
      <w:r w:rsidRPr="00B2787B">
        <w:rPr>
          <w:rFonts w:cstheme="minorHAnsi"/>
          <w:sz w:val="24"/>
          <w:szCs w:val="24"/>
        </w:rPr>
        <w:t xml:space="preserve">Za 2025. godinu ostvaren je ukupan manjak prihoda i primitaka  u iznosu od 2.939,17 </w:t>
      </w:r>
      <w:r w:rsidR="00E17BC5">
        <w:rPr>
          <w:rFonts w:cstheme="minorHAnsi"/>
          <w:sz w:val="24"/>
          <w:szCs w:val="24"/>
        </w:rPr>
        <w:t>eura</w:t>
      </w:r>
      <w:r w:rsidRPr="00B2787B">
        <w:rPr>
          <w:rFonts w:cstheme="minorHAnsi"/>
          <w:sz w:val="24"/>
          <w:szCs w:val="24"/>
        </w:rPr>
        <w:t xml:space="preserve">, što s manjkom prihoda i primitaka preneseni iz prethodnog razdoblja u iznosu od 2.034,15 </w:t>
      </w:r>
      <w:r>
        <w:rPr>
          <w:rFonts w:cstheme="minorHAnsi"/>
          <w:sz w:val="24"/>
          <w:szCs w:val="24"/>
        </w:rPr>
        <w:t>eura</w:t>
      </w:r>
      <w:r w:rsidRPr="00B2787B">
        <w:rPr>
          <w:rFonts w:cstheme="minorHAnsi"/>
          <w:sz w:val="24"/>
          <w:szCs w:val="24"/>
        </w:rPr>
        <w:t xml:space="preserve"> čini ukupan manjak u iznosu od 4.973,32 </w:t>
      </w:r>
      <w:r>
        <w:rPr>
          <w:rFonts w:cstheme="minorHAnsi"/>
          <w:sz w:val="24"/>
          <w:szCs w:val="24"/>
        </w:rPr>
        <w:t>eura</w:t>
      </w:r>
      <w:r w:rsidRPr="00B2787B">
        <w:rPr>
          <w:rFonts w:cstheme="minorHAnsi"/>
          <w:sz w:val="24"/>
          <w:szCs w:val="24"/>
        </w:rPr>
        <w:t xml:space="preserve">. Ostvareni manjak odnosi se na višak </w:t>
      </w:r>
      <w:r w:rsidR="00E17BC5">
        <w:rPr>
          <w:rFonts w:cstheme="minorHAnsi"/>
          <w:sz w:val="24"/>
          <w:szCs w:val="24"/>
        </w:rPr>
        <w:t>prihoda poslovanja</w:t>
      </w:r>
      <w:r w:rsidRPr="00B2787B">
        <w:rPr>
          <w:rFonts w:cstheme="minorHAnsi"/>
          <w:sz w:val="24"/>
          <w:szCs w:val="24"/>
        </w:rPr>
        <w:t xml:space="preserve"> u iznosu od 12.066,01 </w:t>
      </w:r>
      <w:r>
        <w:rPr>
          <w:rFonts w:cstheme="minorHAnsi"/>
          <w:sz w:val="24"/>
          <w:szCs w:val="24"/>
        </w:rPr>
        <w:t>eura</w:t>
      </w:r>
      <w:r w:rsidRPr="00B2787B">
        <w:rPr>
          <w:rFonts w:cstheme="minorHAnsi"/>
          <w:sz w:val="24"/>
          <w:szCs w:val="24"/>
        </w:rPr>
        <w:t xml:space="preserve">, dok je manjak od nefinancijske imovine u istom izvještajnom razdoblju u iznosu od 15.005,18 </w:t>
      </w:r>
      <w:r>
        <w:rPr>
          <w:rFonts w:cstheme="minorHAnsi"/>
          <w:sz w:val="24"/>
          <w:szCs w:val="24"/>
        </w:rPr>
        <w:t>eura</w:t>
      </w:r>
      <w:r w:rsidRPr="00B2787B">
        <w:rPr>
          <w:rFonts w:cstheme="minorHAnsi"/>
          <w:sz w:val="24"/>
          <w:szCs w:val="24"/>
        </w:rPr>
        <w:t xml:space="preserve">, što daje ukupan manjak prihoda i primitaka u istom izvještajnom razdoblju u iznosu od 2.939,17 </w:t>
      </w:r>
      <w:r>
        <w:rPr>
          <w:rFonts w:cstheme="minorHAnsi"/>
          <w:sz w:val="24"/>
          <w:szCs w:val="24"/>
        </w:rPr>
        <w:t>eura</w:t>
      </w:r>
      <w:r w:rsidRPr="00B2787B">
        <w:rPr>
          <w:rFonts w:cstheme="minorHAnsi"/>
          <w:sz w:val="24"/>
          <w:szCs w:val="24"/>
        </w:rPr>
        <w:t>.</w:t>
      </w:r>
    </w:p>
    <w:p w14:paraId="4569117F" w14:textId="77777777" w:rsidR="00CE652E" w:rsidRDefault="00CE652E" w:rsidP="006E74AB">
      <w:pPr>
        <w:pStyle w:val="Bezproreda"/>
        <w:jc w:val="both"/>
        <w:rPr>
          <w:b/>
          <w:sz w:val="24"/>
          <w:szCs w:val="24"/>
        </w:rPr>
      </w:pPr>
    </w:p>
    <w:p w14:paraId="14E67D5C" w14:textId="2244D340" w:rsidR="006E74AB" w:rsidRPr="004126BD" w:rsidRDefault="006E74AB" w:rsidP="006E74AB">
      <w:pPr>
        <w:pStyle w:val="Bezproreda"/>
        <w:jc w:val="both"/>
        <w:rPr>
          <w:b/>
          <w:sz w:val="24"/>
          <w:szCs w:val="24"/>
        </w:rPr>
      </w:pPr>
      <w:r w:rsidRPr="004126BD">
        <w:rPr>
          <w:b/>
          <w:sz w:val="24"/>
          <w:szCs w:val="24"/>
        </w:rPr>
        <w:t>POSEBNI DIO</w:t>
      </w:r>
    </w:p>
    <w:p w14:paraId="6963EC44" w14:textId="77777777" w:rsidR="006E74AB" w:rsidRPr="004126BD" w:rsidRDefault="006E74AB" w:rsidP="006E74AB">
      <w:pPr>
        <w:pStyle w:val="Bezproreda"/>
        <w:jc w:val="both"/>
        <w:rPr>
          <w:b/>
          <w:sz w:val="24"/>
          <w:szCs w:val="24"/>
        </w:rPr>
      </w:pPr>
    </w:p>
    <w:p w14:paraId="396BCF3C" w14:textId="77777777" w:rsidR="006E74AB" w:rsidRDefault="006E74AB" w:rsidP="006E74AB">
      <w:pPr>
        <w:spacing w:after="0"/>
        <w:jc w:val="both"/>
        <w:rPr>
          <w:rFonts w:cstheme="minorHAnsi"/>
          <w:sz w:val="24"/>
          <w:szCs w:val="24"/>
          <w:u w:val="single"/>
        </w:rPr>
      </w:pPr>
      <w:r w:rsidRPr="004118FC">
        <w:rPr>
          <w:rFonts w:cstheme="minorHAnsi"/>
          <w:sz w:val="24"/>
          <w:szCs w:val="24"/>
          <w:u w:val="single"/>
        </w:rPr>
        <w:t>Pr</w:t>
      </w:r>
      <w:r>
        <w:rPr>
          <w:rFonts w:cstheme="minorHAnsi"/>
          <w:sz w:val="24"/>
          <w:szCs w:val="24"/>
          <w:u w:val="single"/>
        </w:rPr>
        <w:t xml:space="preserve">ogram 1202 Kultura </w:t>
      </w:r>
    </w:p>
    <w:p w14:paraId="77FA052A" w14:textId="4746648D" w:rsidR="006E74AB" w:rsidRPr="005D4C1E" w:rsidRDefault="006E74AB" w:rsidP="006E74AB">
      <w:pPr>
        <w:spacing w:after="0"/>
        <w:jc w:val="both"/>
        <w:rPr>
          <w:rFonts w:cstheme="minorHAnsi"/>
          <w:sz w:val="24"/>
          <w:szCs w:val="24"/>
          <w:u w:val="single"/>
        </w:rPr>
      </w:pPr>
      <w:r>
        <w:rPr>
          <w:rFonts w:cstheme="minorHAnsi"/>
          <w:sz w:val="24"/>
          <w:szCs w:val="24"/>
        </w:rPr>
        <w:t xml:space="preserve">Osnovni cilj ovog programa je osiguranje materijalnih i financijskih uvjeta za redovan rad i razvoj muzejske aktivnosti. Unutar ovog programa planirano je </w:t>
      </w:r>
      <w:r w:rsidR="00CA4408">
        <w:rPr>
          <w:rFonts w:cstheme="minorHAnsi"/>
          <w:sz w:val="24"/>
          <w:szCs w:val="24"/>
        </w:rPr>
        <w:t>455.452,00</w:t>
      </w:r>
      <w:r>
        <w:rPr>
          <w:rFonts w:cstheme="minorHAnsi"/>
          <w:sz w:val="24"/>
          <w:szCs w:val="24"/>
        </w:rPr>
        <w:t xml:space="preserve"> eura, a realizirano </w:t>
      </w:r>
      <w:r w:rsidR="00CA4408">
        <w:rPr>
          <w:rFonts w:cstheme="minorHAnsi"/>
          <w:sz w:val="24"/>
          <w:szCs w:val="24"/>
        </w:rPr>
        <w:t>364.088,44</w:t>
      </w:r>
      <w:r>
        <w:rPr>
          <w:rFonts w:cstheme="minorHAnsi"/>
          <w:sz w:val="24"/>
          <w:szCs w:val="24"/>
        </w:rPr>
        <w:t xml:space="preserve"> eura ili </w:t>
      </w:r>
      <w:r w:rsidR="00CA4408">
        <w:rPr>
          <w:rFonts w:cstheme="minorHAnsi"/>
          <w:sz w:val="24"/>
          <w:szCs w:val="24"/>
        </w:rPr>
        <w:t>79,94</w:t>
      </w:r>
      <w:r>
        <w:rPr>
          <w:rFonts w:cstheme="minorHAnsi"/>
          <w:sz w:val="24"/>
          <w:szCs w:val="24"/>
        </w:rPr>
        <w:t xml:space="preserve">% godišnjeg plana i to za sljedeće aktivnosti: </w:t>
      </w:r>
    </w:p>
    <w:p w14:paraId="4DA50A54" w14:textId="316919F8" w:rsidR="006E74AB" w:rsidRDefault="006E74AB" w:rsidP="006E74AB">
      <w:pPr>
        <w:spacing w:after="0"/>
        <w:jc w:val="both"/>
        <w:rPr>
          <w:rFonts w:cstheme="minorHAnsi"/>
          <w:sz w:val="24"/>
          <w:szCs w:val="24"/>
        </w:rPr>
      </w:pPr>
      <w:r>
        <w:rPr>
          <w:rFonts w:cstheme="minorHAnsi"/>
          <w:sz w:val="24"/>
          <w:szCs w:val="24"/>
        </w:rPr>
        <w:t xml:space="preserve">financiranje redovne djelatnosti –muzej, realizirano je </w:t>
      </w:r>
      <w:r w:rsidR="00CA4408">
        <w:rPr>
          <w:rFonts w:cstheme="minorHAnsi"/>
          <w:sz w:val="24"/>
          <w:szCs w:val="24"/>
        </w:rPr>
        <w:t>297.342,70</w:t>
      </w:r>
      <w:r>
        <w:rPr>
          <w:rFonts w:cstheme="minorHAnsi"/>
          <w:sz w:val="24"/>
          <w:szCs w:val="24"/>
        </w:rPr>
        <w:t xml:space="preserve"> eura ili </w:t>
      </w:r>
      <w:r w:rsidR="00CA4408">
        <w:rPr>
          <w:rFonts w:cstheme="minorHAnsi"/>
          <w:sz w:val="24"/>
          <w:szCs w:val="24"/>
        </w:rPr>
        <w:t>87,31</w:t>
      </w:r>
      <w:r>
        <w:rPr>
          <w:rFonts w:cstheme="minorHAnsi"/>
          <w:sz w:val="24"/>
          <w:szCs w:val="24"/>
        </w:rPr>
        <w:t>% godišnjeg plana. Sredstva su utrošena na troškove zaposlenika (</w:t>
      </w:r>
      <w:r w:rsidRPr="009B094B">
        <w:rPr>
          <w:rFonts w:cstheme="minorHAnsi"/>
          <w:sz w:val="24"/>
          <w:szCs w:val="24"/>
        </w:rPr>
        <w:t>bruto plaće djelatnika, d</w:t>
      </w:r>
      <w:r>
        <w:rPr>
          <w:rFonts w:cstheme="minorHAnsi"/>
          <w:sz w:val="24"/>
          <w:szCs w:val="24"/>
        </w:rPr>
        <w:t>oprinose, ostale rashode djelatnika</w:t>
      </w:r>
      <w:r w:rsidRPr="009B094B">
        <w:rPr>
          <w:rFonts w:cstheme="minorHAnsi"/>
          <w:sz w:val="24"/>
          <w:szCs w:val="24"/>
        </w:rPr>
        <w:t>, naknade z</w:t>
      </w:r>
      <w:r>
        <w:rPr>
          <w:rFonts w:cstheme="minorHAnsi"/>
          <w:sz w:val="24"/>
          <w:szCs w:val="24"/>
        </w:rPr>
        <w:t>a prijevoz s posla i na posao te rashode za materijal i energiju, uredski i ostali materijal. Ostali izvori financiranja navedenih rashoda su: vlastiti prihodi muzeja( prihodi od kamata, prihodi od prodaje trgovačke robe prihodi od prodaje ulaznica, prihodi od najma te ostali prihodi) te kapitalne donacije fizičkih osoba.</w:t>
      </w:r>
    </w:p>
    <w:p w14:paraId="4F8A0BE9" w14:textId="05849CA7" w:rsidR="006E74AB" w:rsidRDefault="006E74AB" w:rsidP="006E74AB">
      <w:pPr>
        <w:spacing w:after="0"/>
        <w:jc w:val="both"/>
        <w:rPr>
          <w:rFonts w:cstheme="minorHAnsi"/>
          <w:sz w:val="24"/>
          <w:szCs w:val="24"/>
        </w:rPr>
      </w:pPr>
      <w:r w:rsidRPr="00A11317">
        <w:rPr>
          <w:rFonts w:cstheme="minorHAnsi"/>
          <w:sz w:val="24"/>
          <w:szCs w:val="24"/>
          <w:u w:val="single"/>
        </w:rPr>
        <w:t>Aktivnost Provođenje mjera aktivne politike zapošljavanja</w:t>
      </w:r>
      <w:r>
        <w:rPr>
          <w:rFonts w:cstheme="minorHAnsi"/>
          <w:sz w:val="24"/>
          <w:szCs w:val="24"/>
        </w:rPr>
        <w:t xml:space="preserve"> bilježi realizaciju u iznosu od </w:t>
      </w:r>
      <w:r w:rsidR="00CA4408">
        <w:rPr>
          <w:rFonts w:cstheme="minorHAnsi"/>
          <w:sz w:val="24"/>
          <w:szCs w:val="24"/>
        </w:rPr>
        <w:t>1.344,59</w:t>
      </w:r>
      <w:r>
        <w:rPr>
          <w:rFonts w:cstheme="minorHAnsi"/>
          <w:sz w:val="24"/>
          <w:szCs w:val="24"/>
        </w:rPr>
        <w:t xml:space="preserve"> eura ili </w:t>
      </w:r>
      <w:r w:rsidR="00CA4408">
        <w:rPr>
          <w:rFonts w:cstheme="minorHAnsi"/>
          <w:sz w:val="24"/>
          <w:szCs w:val="24"/>
        </w:rPr>
        <w:t>61,12</w:t>
      </w:r>
      <w:r>
        <w:rPr>
          <w:rFonts w:cstheme="minorHAnsi"/>
          <w:sz w:val="24"/>
          <w:szCs w:val="24"/>
        </w:rPr>
        <w:t>% plana</w:t>
      </w:r>
      <w:r w:rsidR="00CA4408">
        <w:rPr>
          <w:rFonts w:cstheme="minorHAnsi"/>
          <w:sz w:val="24"/>
          <w:szCs w:val="24"/>
        </w:rPr>
        <w:t xml:space="preserve"> i to iz izvora ostale pomoći proračunskih korisnika.</w:t>
      </w:r>
    </w:p>
    <w:p w14:paraId="7DF7C9D9" w14:textId="6633B534" w:rsidR="006E74AB" w:rsidRDefault="006E74AB" w:rsidP="006E74AB">
      <w:pPr>
        <w:spacing w:after="0"/>
        <w:jc w:val="both"/>
        <w:rPr>
          <w:rFonts w:cstheme="minorHAnsi"/>
          <w:sz w:val="24"/>
          <w:szCs w:val="24"/>
        </w:rPr>
      </w:pPr>
      <w:r w:rsidRPr="00A11317">
        <w:rPr>
          <w:rFonts w:cstheme="minorHAnsi"/>
          <w:sz w:val="24"/>
          <w:szCs w:val="24"/>
          <w:u w:val="single"/>
        </w:rPr>
        <w:t>Aktivnost Konzervatorsko-restauratorska djelatnost</w:t>
      </w:r>
      <w:r>
        <w:rPr>
          <w:rFonts w:cstheme="minorHAnsi"/>
          <w:sz w:val="24"/>
          <w:szCs w:val="24"/>
        </w:rPr>
        <w:t xml:space="preserve"> bilježi realizaciju u izvještajnom razdoblju u iznosu od  </w:t>
      </w:r>
      <w:r w:rsidR="00497B70">
        <w:rPr>
          <w:rFonts w:cstheme="minorHAnsi"/>
          <w:sz w:val="24"/>
          <w:szCs w:val="24"/>
        </w:rPr>
        <w:t>7.</w:t>
      </w:r>
      <w:r w:rsidR="00AD0AD6">
        <w:rPr>
          <w:rFonts w:cstheme="minorHAnsi"/>
          <w:sz w:val="24"/>
          <w:szCs w:val="24"/>
        </w:rPr>
        <w:t>000</w:t>
      </w:r>
      <w:r w:rsidR="00497B70">
        <w:rPr>
          <w:rFonts w:cstheme="minorHAnsi"/>
          <w:sz w:val="24"/>
          <w:szCs w:val="24"/>
        </w:rPr>
        <w:t>,00</w:t>
      </w:r>
      <w:r>
        <w:rPr>
          <w:rFonts w:cstheme="minorHAnsi"/>
          <w:sz w:val="24"/>
          <w:szCs w:val="24"/>
        </w:rPr>
        <w:t xml:space="preserve"> eura ili </w:t>
      </w:r>
      <w:r w:rsidR="00497B70">
        <w:rPr>
          <w:rFonts w:cstheme="minorHAnsi"/>
          <w:sz w:val="24"/>
          <w:szCs w:val="24"/>
        </w:rPr>
        <w:t>9</w:t>
      </w:r>
      <w:r w:rsidR="00AD0AD6">
        <w:rPr>
          <w:rFonts w:cstheme="minorHAnsi"/>
          <w:sz w:val="24"/>
          <w:szCs w:val="24"/>
        </w:rPr>
        <w:t>7,22</w:t>
      </w:r>
      <w:r>
        <w:rPr>
          <w:rFonts w:cstheme="minorHAnsi"/>
          <w:sz w:val="24"/>
          <w:szCs w:val="24"/>
        </w:rPr>
        <w:t>% plana</w:t>
      </w:r>
      <w:r w:rsidR="00AD0AD6">
        <w:rPr>
          <w:rFonts w:cstheme="minorHAnsi"/>
          <w:sz w:val="24"/>
          <w:szCs w:val="24"/>
        </w:rPr>
        <w:t xml:space="preserve"> i to iz izvora opći prihodi i primici, vlastitih prihoda i ostalih pomoći proračunskih korisnika</w:t>
      </w:r>
      <w:r>
        <w:rPr>
          <w:rFonts w:cstheme="minorHAnsi"/>
          <w:sz w:val="24"/>
          <w:szCs w:val="24"/>
        </w:rPr>
        <w:t>.</w:t>
      </w:r>
    </w:p>
    <w:p w14:paraId="260792BA" w14:textId="4C743235" w:rsidR="006E74AB" w:rsidRDefault="006E74AB" w:rsidP="006E74AB">
      <w:pPr>
        <w:spacing w:after="0"/>
        <w:jc w:val="both"/>
        <w:rPr>
          <w:rFonts w:cstheme="minorHAnsi"/>
          <w:sz w:val="24"/>
          <w:szCs w:val="24"/>
        </w:rPr>
      </w:pPr>
      <w:r w:rsidRPr="00497B70">
        <w:rPr>
          <w:rFonts w:cstheme="minorHAnsi"/>
          <w:sz w:val="24"/>
          <w:szCs w:val="24"/>
          <w:u w:val="single"/>
        </w:rPr>
        <w:lastRenderedPageBreak/>
        <w:t>Aktivnost Izložbena djelatnost, obljetnice i radionice</w:t>
      </w:r>
      <w:r>
        <w:rPr>
          <w:rFonts w:cstheme="minorHAnsi"/>
          <w:sz w:val="24"/>
          <w:szCs w:val="24"/>
        </w:rPr>
        <w:t xml:space="preserve"> bilježi realizaciju u iznosu od </w:t>
      </w:r>
      <w:r w:rsidR="00AD0AD6">
        <w:rPr>
          <w:rFonts w:cstheme="minorHAnsi"/>
          <w:sz w:val="24"/>
          <w:szCs w:val="24"/>
        </w:rPr>
        <w:t>36.681,59</w:t>
      </w:r>
      <w:r>
        <w:rPr>
          <w:rFonts w:cstheme="minorHAnsi"/>
          <w:sz w:val="24"/>
          <w:szCs w:val="24"/>
        </w:rPr>
        <w:t xml:space="preserve"> eura ili </w:t>
      </w:r>
      <w:r w:rsidR="00AD0AD6">
        <w:rPr>
          <w:rFonts w:cstheme="minorHAnsi"/>
          <w:sz w:val="24"/>
          <w:szCs w:val="24"/>
        </w:rPr>
        <w:t>50,61</w:t>
      </w:r>
      <w:r>
        <w:rPr>
          <w:rFonts w:cstheme="minorHAnsi"/>
          <w:sz w:val="24"/>
          <w:szCs w:val="24"/>
        </w:rPr>
        <w:t>% plana i to iz izvora općih prihoda</w:t>
      </w:r>
      <w:r w:rsidR="00E35C83">
        <w:rPr>
          <w:rFonts w:cstheme="minorHAnsi"/>
          <w:sz w:val="24"/>
          <w:szCs w:val="24"/>
        </w:rPr>
        <w:t>, vlastitih prihoda</w:t>
      </w:r>
      <w:r>
        <w:rPr>
          <w:rFonts w:cstheme="minorHAnsi"/>
          <w:sz w:val="24"/>
          <w:szCs w:val="24"/>
        </w:rPr>
        <w:t xml:space="preserve"> i ostalih pomoći proračunskih korisnika.</w:t>
      </w:r>
    </w:p>
    <w:p w14:paraId="325057BD" w14:textId="59C58B49" w:rsidR="00E35C83" w:rsidRPr="00E35C83" w:rsidRDefault="00E35C83" w:rsidP="006E74AB">
      <w:pPr>
        <w:spacing w:after="0"/>
        <w:jc w:val="both"/>
        <w:rPr>
          <w:rFonts w:cstheme="minorHAnsi"/>
          <w:sz w:val="24"/>
          <w:szCs w:val="24"/>
        </w:rPr>
      </w:pPr>
      <w:r w:rsidRPr="00E35C83">
        <w:rPr>
          <w:rFonts w:cstheme="minorHAnsi"/>
          <w:sz w:val="24"/>
          <w:szCs w:val="24"/>
          <w:u w:val="single"/>
        </w:rPr>
        <w:t>Kapitalni projekt Nabava opreme</w:t>
      </w:r>
      <w:r>
        <w:rPr>
          <w:rFonts w:cstheme="minorHAnsi"/>
          <w:sz w:val="24"/>
          <w:szCs w:val="24"/>
          <w:u w:val="single"/>
        </w:rPr>
        <w:t xml:space="preserve">, </w:t>
      </w:r>
      <w:r w:rsidRPr="00E35C83">
        <w:rPr>
          <w:rFonts w:cstheme="minorHAnsi"/>
          <w:sz w:val="24"/>
          <w:szCs w:val="24"/>
        </w:rPr>
        <w:t xml:space="preserve">planiran je u </w:t>
      </w:r>
      <w:r>
        <w:rPr>
          <w:rFonts w:cstheme="minorHAnsi"/>
          <w:sz w:val="24"/>
          <w:szCs w:val="24"/>
        </w:rPr>
        <w:t xml:space="preserve">iznosu od </w:t>
      </w:r>
      <w:r w:rsidR="00AD0AD6">
        <w:rPr>
          <w:rFonts w:cstheme="minorHAnsi"/>
          <w:sz w:val="24"/>
          <w:szCs w:val="24"/>
        </w:rPr>
        <w:t>9.000,00</w:t>
      </w:r>
      <w:r>
        <w:rPr>
          <w:rFonts w:cstheme="minorHAnsi"/>
          <w:sz w:val="24"/>
          <w:szCs w:val="24"/>
        </w:rPr>
        <w:t xml:space="preserve"> eura, a realiziran u iznosu od </w:t>
      </w:r>
      <w:r w:rsidR="00AD0AD6">
        <w:rPr>
          <w:rFonts w:cstheme="minorHAnsi"/>
          <w:sz w:val="24"/>
          <w:szCs w:val="24"/>
        </w:rPr>
        <w:t>8.992,50</w:t>
      </w:r>
      <w:r>
        <w:rPr>
          <w:rFonts w:cstheme="minorHAnsi"/>
          <w:sz w:val="24"/>
          <w:szCs w:val="24"/>
        </w:rPr>
        <w:t xml:space="preserve"> eura ili </w:t>
      </w:r>
      <w:r w:rsidR="00AD0AD6">
        <w:rPr>
          <w:rFonts w:cstheme="minorHAnsi"/>
          <w:sz w:val="24"/>
          <w:szCs w:val="24"/>
        </w:rPr>
        <w:t>99,92</w:t>
      </w:r>
      <w:r>
        <w:rPr>
          <w:rFonts w:cstheme="minorHAnsi"/>
          <w:sz w:val="24"/>
          <w:szCs w:val="24"/>
        </w:rPr>
        <w:t>% plana.</w:t>
      </w:r>
    </w:p>
    <w:p w14:paraId="13F46B33" w14:textId="2E490724" w:rsidR="00F57A38" w:rsidRDefault="006E74AB" w:rsidP="006E74AB">
      <w:pPr>
        <w:spacing w:after="0"/>
        <w:jc w:val="both"/>
        <w:rPr>
          <w:rFonts w:cstheme="minorHAnsi"/>
          <w:sz w:val="24"/>
          <w:szCs w:val="24"/>
        </w:rPr>
      </w:pPr>
      <w:r w:rsidRPr="00E35C83">
        <w:rPr>
          <w:rFonts w:cstheme="minorHAnsi"/>
          <w:sz w:val="24"/>
          <w:szCs w:val="24"/>
          <w:u w:val="single"/>
        </w:rPr>
        <w:t xml:space="preserve">Tekući projekt Trogir </w:t>
      </w:r>
      <w:proofErr w:type="spellStart"/>
      <w:r w:rsidRPr="00E35C83">
        <w:rPr>
          <w:rFonts w:cstheme="minorHAnsi"/>
          <w:sz w:val="24"/>
          <w:szCs w:val="24"/>
          <w:u w:val="single"/>
        </w:rPr>
        <w:t>through</w:t>
      </w:r>
      <w:proofErr w:type="spellEnd"/>
      <w:r w:rsidRPr="00E35C83">
        <w:rPr>
          <w:rFonts w:cstheme="minorHAnsi"/>
          <w:sz w:val="24"/>
          <w:szCs w:val="24"/>
          <w:u w:val="single"/>
        </w:rPr>
        <w:t xml:space="preserve"> time</w:t>
      </w:r>
      <w:r>
        <w:rPr>
          <w:rFonts w:cstheme="minorHAnsi"/>
          <w:sz w:val="24"/>
          <w:szCs w:val="24"/>
        </w:rPr>
        <w:t xml:space="preserve">, planiran je u iznosu od </w:t>
      </w:r>
      <w:r w:rsidR="00AD0AD6">
        <w:rPr>
          <w:rFonts w:cstheme="minorHAnsi"/>
          <w:sz w:val="24"/>
          <w:szCs w:val="24"/>
        </w:rPr>
        <w:t>24.000,00</w:t>
      </w:r>
      <w:r>
        <w:rPr>
          <w:rFonts w:cstheme="minorHAnsi"/>
          <w:sz w:val="24"/>
          <w:szCs w:val="24"/>
        </w:rPr>
        <w:t xml:space="preserve"> eura, a realiziran je u iznosu od </w:t>
      </w:r>
      <w:r w:rsidR="00AD0AD6">
        <w:rPr>
          <w:rFonts w:cstheme="minorHAnsi"/>
          <w:sz w:val="24"/>
          <w:szCs w:val="24"/>
        </w:rPr>
        <w:t>12.727,06</w:t>
      </w:r>
      <w:r>
        <w:rPr>
          <w:rFonts w:cstheme="minorHAnsi"/>
          <w:sz w:val="24"/>
          <w:szCs w:val="24"/>
        </w:rPr>
        <w:t xml:space="preserve"> eura</w:t>
      </w:r>
      <w:r w:rsidR="00AD0AD6">
        <w:rPr>
          <w:rFonts w:cstheme="minorHAnsi"/>
          <w:sz w:val="24"/>
          <w:szCs w:val="24"/>
        </w:rPr>
        <w:t xml:space="preserve"> ili 53,03% plana,</w:t>
      </w:r>
      <w:r>
        <w:rPr>
          <w:rFonts w:cstheme="minorHAnsi"/>
          <w:sz w:val="24"/>
          <w:szCs w:val="24"/>
        </w:rPr>
        <w:t xml:space="preserve"> iz izvora Grada</w:t>
      </w:r>
      <w:r w:rsidR="00E35C83">
        <w:rPr>
          <w:rFonts w:cstheme="minorHAnsi"/>
          <w:sz w:val="24"/>
          <w:szCs w:val="24"/>
        </w:rPr>
        <w:t xml:space="preserve"> (</w:t>
      </w:r>
      <w:r w:rsidR="00AD0AD6">
        <w:rPr>
          <w:rFonts w:cstheme="minorHAnsi"/>
          <w:sz w:val="24"/>
          <w:szCs w:val="24"/>
        </w:rPr>
        <w:t>2.727,06</w:t>
      </w:r>
      <w:r w:rsidR="00E35C83">
        <w:rPr>
          <w:rFonts w:cstheme="minorHAnsi"/>
          <w:sz w:val="24"/>
          <w:szCs w:val="24"/>
        </w:rPr>
        <w:t xml:space="preserve"> eura ) i ostalih pomoći (</w:t>
      </w:r>
      <w:r w:rsidR="00AD0AD6">
        <w:rPr>
          <w:rFonts w:cstheme="minorHAnsi"/>
          <w:sz w:val="24"/>
          <w:szCs w:val="24"/>
        </w:rPr>
        <w:t>10.000,00</w:t>
      </w:r>
      <w:r w:rsidR="00E35C83">
        <w:rPr>
          <w:rFonts w:cstheme="minorHAnsi"/>
          <w:sz w:val="24"/>
          <w:szCs w:val="24"/>
        </w:rPr>
        <w:t xml:space="preserve"> eura).</w:t>
      </w:r>
    </w:p>
    <w:p w14:paraId="166FB731" w14:textId="52CF9A3B" w:rsidR="006E74AB" w:rsidRPr="00F57A38" w:rsidRDefault="006E74AB" w:rsidP="006E74AB">
      <w:pPr>
        <w:spacing w:after="0"/>
        <w:jc w:val="both"/>
        <w:rPr>
          <w:rFonts w:cstheme="minorHAnsi"/>
          <w:sz w:val="24"/>
          <w:szCs w:val="24"/>
        </w:rPr>
      </w:pPr>
      <w:r w:rsidRPr="00A11317">
        <w:rPr>
          <w:rFonts w:cstheme="minorHAnsi"/>
          <w:sz w:val="24"/>
          <w:szCs w:val="24"/>
          <w:u w:val="single"/>
        </w:rPr>
        <w:t xml:space="preserve">Program 1602 Očuvanje kulturne baštine </w:t>
      </w:r>
    </w:p>
    <w:p w14:paraId="56D3860D" w14:textId="3DEBC5CB" w:rsidR="006E74AB" w:rsidRDefault="006E74AB" w:rsidP="006E74AB">
      <w:pPr>
        <w:spacing w:after="0"/>
        <w:jc w:val="both"/>
        <w:rPr>
          <w:rFonts w:cstheme="minorHAnsi"/>
          <w:sz w:val="24"/>
          <w:szCs w:val="24"/>
        </w:rPr>
      </w:pPr>
      <w:r>
        <w:rPr>
          <w:rFonts w:cstheme="minorHAnsi"/>
          <w:sz w:val="24"/>
          <w:szCs w:val="24"/>
        </w:rPr>
        <w:t xml:space="preserve">Unutar ovog programa planiran je Tekući projekt „Sanacija i restauracija palače </w:t>
      </w:r>
      <w:proofErr w:type="spellStart"/>
      <w:r>
        <w:rPr>
          <w:rFonts w:cstheme="minorHAnsi"/>
          <w:sz w:val="24"/>
          <w:szCs w:val="24"/>
        </w:rPr>
        <w:t>Garagnin-Fanfogna</w:t>
      </w:r>
      <w:proofErr w:type="spellEnd"/>
      <w:r>
        <w:rPr>
          <w:rFonts w:cstheme="minorHAnsi"/>
          <w:sz w:val="24"/>
          <w:szCs w:val="24"/>
        </w:rPr>
        <w:t xml:space="preserve">. Sredstva za navedeni projekt planirana su u iznosu od </w:t>
      </w:r>
      <w:r w:rsidR="00937BB9">
        <w:rPr>
          <w:rFonts w:cstheme="minorHAnsi"/>
          <w:sz w:val="24"/>
          <w:szCs w:val="24"/>
        </w:rPr>
        <w:t>111.400,00</w:t>
      </w:r>
      <w:r>
        <w:rPr>
          <w:rFonts w:cstheme="minorHAnsi"/>
          <w:sz w:val="24"/>
          <w:szCs w:val="24"/>
        </w:rPr>
        <w:t xml:space="preserve"> eura, bilježe realizaciju u izvještajnom razdoblju u iznosu od </w:t>
      </w:r>
      <w:r w:rsidR="00937BB9">
        <w:rPr>
          <w:rFonts w:cstheme="minorHAnsi"/>
          <w:sz w:val="24"/>
          <w:szCs w:val="24"/>
        </w:rPr>
        <w:t>77.962,81</w:t>
      </w:r>
      <w:r>
        <w:rPr>
          <w:rFonts w:cstheme="minorHAnsi"/>
          <w:sz w:val="24"/>
          <w:szCs w:val="24"/>
        </w:rPr>
        <w:t xml:space="preserve"> eura ili </w:t>
      </w:r>
      <w:r w:rsidR="00937BB9">
        <w:rPr>
          <w:rFonts w:cstheme="minorHAnsi"/>
          <w:sz w:val="24"/>
          <w:szCs w:val="24"/>
        </w:rPr>
        <w:t>69,98</w:t>
      </w:r>
      <w:r>
        <w:rPr>
          <w:rFonts w:cstheme="minorHAnsi"/>
          <w:sz w:val="24"/>
          <w:szCs w:val="24"/>
        </w:rPr>
        <w:t>% plana i to iz izvora Grada</w:t>
      </w:r>
      <w:r w:rsidR="00F57A38">
        <w:rPr>
          <w:rFonts w:cstheme="minorHAnsi"/>
          <w:sz w:val="24"/>
          <w:szCs w:val="24"/>
        </w:rPr>
        <w:t xml:space="preserve"> i ostalih pomoći.</w:t>
      </w:r>
    </w:p>
    <w:p w14:paraId="28F286A3" w14:textId="77777777" w:rsidR="00EA258E" w:rsidRDefault="00EA258E" w:rsidP="0079478E">
      <w:pPr>
        <w:spacing w:after="0" w:line="240" w:lineRule="auto"/>
        <w:jc w:val="both"/>
        <w:rPr>
          <w:rFonts w:cstheme="minorHAnsi"/>
          <w:sz w:val="24"/>
          <w:szCs w:val="24"/>
        </w:rPr>
      </w:pPr>
    </w:p>
    <w:p w14:paraId="7145062E" w14:textId="7BC64DCE" w:rsidR="0079478E" w:rsidRPr="009E201B" w:rsidRDefault="0079478E" w:rsidP="0079478E">
      <w:pPr>
        <w:spacing w:after="0" w:line="240" w:lineRule="auto"/>
        <w:jc w:val="both"/>
        <w:rPr>
          <w:rFonts w:cstheme="minorHAnsi"/>
          <w:b/>
          <w:bCs/>
          <w:sz w:val="24"/>
          <w:szCs w:val="24"/>
        </w:rPr>
      </w:pPr>
      <w:r w:rsidRPr="009E201B">
        <w:rPr>
          <w:rFonts w:cstheme="minorHAnsi"/>
          <w:b/>
          <w:bCs/>
          <w:sz w:val="24"/>
          <w:szCs w:val="24"/>
        </w:rPr>
        <w:t xml:space="preserve"> ŠPORTSKI OBJEKTI TROGIR </w:t>
      </w:r>
    </w:p>
    <w:p w14:paraId="000AFE3D" w14:textId="3B7C4ABE" w:rsidR="0079478E" w:rsidRDefault="00990F65" w:rsidP="0079478E">
      <w:pPr>
        <w:spacing w:after="0" w:line="240" w:lineRule="auto"/>
        <w:jc w:val="both"/>
        <w:rPr>
          <w:rFonts w:cstheme="minorHAnsi"/>
          <w:sz w:val="24"/>
          <w:szCs w:val="24"/>
        </w:rPr>
      </w:pPr>
      <w:r w:rsidRPr="00990F65">
        <w:rPr>
          <w:rFonts w:cstheme="minorHAnsi"/>
          <w:sz w:val="24"/>
          <w:szCs w:val="24"/>
        </w:rPr>
        <w:t>Ja</w:t>
      </w:r>
      <w:r>
        <w:rPr>
          <w:rFonts w:cstheme="minorHAnsi"/>
          <w:sz w:val="24"/>
          <w:szCs w:val="24"/>
        </w:rPr>
        <w:t>v</w:t>
      </w:r>
      <w:r w:rsidRPr="00990F65">
        <w:rPr>
          <w:rFonts w:cstheme="minorHAnsi"/>
          <w:sz w:val="24"/>
          <w:szCs w:val="24"/>
        </w:rPr>
        <w:t>na ustanova</w:t>
      </w:r>
      <w:r>
        <w:rPr>
          <w:rFonts w:cstheme="minorHAnsi"/>
          <w:sz w:val="24"/>
          <w:szCs w:val="24"/>
        </w:rPr>
        <w:t xml:space="preserve"> Sportski objekti Trogir namijenjena je upravljanju sportskim objektima na području Grada Trogira. Osnivač i vlasnik ustanove je Grad Trogir.</w:t>
      </w:r>
    </w:p>
    <w:p w14:paraId="46924B1B" w14:textId="0070D218" w:rsidR="00990F65" w:rsidRDefault="00990F65" w:rsidP="0079478E">
      <w:pPr>
        <w:spacing w:after="0" w:line="240" w:lineRule="auto"/>
        <w:jc w:val="both"/>
        <w:rPr>
          <w:rFonts w:cstheme="minorHAnsi"/>
          <w:sz w:val="24"/>
          <w:szCs w:val="24"/>
        </w:rPr>
      </w:pPr>
      <w:r>
        <w:rPr>
          <w:rFonts w:cstheme="minorHAnsi"/>
          <w:sz w:val="24"/>
          <w:szCs w:val="24"/>
        </w:rPr>
        <w:t xml:space="preserve">Sportski sadržaji kojima upravlja ustanova su: velika sportska dvorana Vinko </w:t>
      </w:r>
      <w:proofErr w:type="spellStart"/>
      <w:r>
        <w:rPr>
          <w:rFonts w:cstheme="minorHAnsi"/>
          <w:sz w:val="24"/>
          <w:szCs w:val="24"/>
        </w:rPr>
        <w:t>Kandija</w:t>
      </w:r>
      <w:proofErr w:type="spellEnd"/>
      <w:r>
        <w:rPr>
          <w:rFonts w:cstheme="minorHAnsi"/>
          <w:sz w:val="24"/>
          <w:szCs w:val="24"/>
        </w:rPr>
        <w:t xml:space="preserve">, nogometno igralište na </w:t>
      </w:r>
      <w:proofErr w:type="spellStart"/>
      <w:r>
        <w:rPr>
          <w:rFonts w:cstheme="minorHAnsi"/>
          <w:sz w:val="24"/>
          <w:szCs w:val="24"/>
        </w:rPr>
        <w:t>Batariji</w:t>
      </w:r>
      <w:proofErr w:type="spellEnd"/>
      <w:r>
        <w:rPr>
          <w:rFonts w:cstheme="minorHAnsi"/>
          <w:sz w:val="24"/>
          <w:szCs w:val="24"/>
        </w:rPr>
        <w:t xml:space="preserve">, dječja igrališta, mala sportska dvorana i vanjska igrališta: Ribola, </w:t>
      </w:r>
      <w:proofErr w:type="spellStart"/>
      <w:r>
        <w:rPr>
          <w:rFonts w:cstheme="minorHAnsi"/>
          <w:sz w:val="24"/>
          <w:szCs w:val="24"/>
        </w:rPr>
        <w:t>Plano</w:t>
      </w:r>
      <w:proofErr w:type="spellEnd"/>
      <w:r>
        <w:rPr>
          <w:rFonts w:cstheme="minorHAnsi"/>
          <w:sz w:val="24"/>
          <w:szCs w:val="24"/>
        </w:rPr>
        <w:t xml:space="preserve"> i </w:t>
      </w:r>
      <w:proofErr w:type="spellStart"/>
      <w:r>
        <w:rPr>
          <w:rFonts w:cstheme="minorHAnsi"/>
          <w:sz w:val="24"/>
          <w:szCs w:val="24"/>
        </w:rPr>
        <w:t>Požarina</w:t>
      </w:r>
      <w:proofErr w:type="spellEnd"/>
      <w:r>
        <w:rPr>
          <w:rFonts w:cstheme="minorHAnsi"/>
          <w:sz w:val="24"/>
          <w:szCs w:val="24"/>
        </w:rPr>
        <w:t>.</w:t>
      </w:r>
    </w:p>
    <w:p w14:paraId="016F6CA1" w14:textId="77777777" w:rsidR="00990F65" w:rsidRDefault="00990F65" w:rsidP="0079478E">
      <w:pPr>
        <w:spacing w:after="0" w:line="240" w:lineRule="auto"/>
        <w:jc w:val="both"/>
        <w:rPr>
          <w:rFonts w:cstheme="minorHAnsi"/>
          <w:sz w:val="24"/>
          <w:szCs w:val="24"/>
        </w:rPr>
      </w:pPr>
    </w:p>
    <w:p w14:paraId="40C81073" w14:textId="20233330" w:rsidR="0079478E" w:rsidRPr="00867AD8" w:rsidRDefault="0079478E" w:rsidP="0079478E">
      <w:pPr>
        <w:spacing w:after="0" w:line="240" w:lineRule="auto"/>
        <w:jc w:val="both"/>
        <w:rPr>
          <w:rFonts w:cstheme="minorHAnsi"/>
          <w:b/>
          <w:bCs/>
          <w:sz w:val="24"/>
          <w:szCs w:val="24"/>
        </w:rPr>
      </w:pPr>
      <w:r w:rsidRPr="00867AD8">
        <w:rPr>
          <w:rFonts w:cstheme="minorHAnsi"/>
          <w:b/>
          <w:bCs/>
          <w:sz w:val="24"/>
          <w:szCs w:val="24"/>
        </w:rPr>
        <w:t>OPĆI DIO</w:t>
      </w:r>
    </w:p>
    <w:p w14:paraId="6C0969BB" w14:textId="6A5797CB" w:rsidR="0079478E" w:rsidRDefault="0079478E" w:rsidP="0079478E">
      <w:pPr>
        <w:spacing w:after="0" w:line="240" w:lineRule="auto"/>
        <w:jc w:val="both"/>
        <w:rPr>
          <w:rFonts w:cstheme="minorHAnsi"/>
          <w:sz w:val="24"/>
          <w:szCs w:val="24"/>
        </w:rPr>
      </w:pPr>
      <w:r w:rsidRPr="00E67CCE">
        <w:rPr>
          <w:rFonts w:cstheme="minorHAnsi"/>
          <w:sz w:val="24"/>
          <w:szCs w:val="24"/>
        </w:rPr>
        <w:t>Ukupno planirani prihodi u izvještajnom razdoblju 202</w:t>
      </w:r>
      <w:r w:rsidR="00990F65">
        <w:rPr>
          <w:rFonts w:cstheme="minorHAnsi"/>
          <w:sz w:val="24"/>
          <w:szCs w:val="24"/>
        </w:rPr>
        <w:t>5</w:t>
      </w:r>
      <w:r w:rsidRPr="00E67CCE">
        <w:rPr>
          <w:rFonts w:cstheme="minorHAnsi"/>
          <w:sz w:val="24"/>
          <w:szCs w:val="24"/>
        </w:rPr>
        <w:t xml:space="preserve">.godine iznose </w:t>
      </w:r>
      <w:r w:rsidR="00990F65">
        <w:rPr>
          <w:rFonts w:cstheme="minorHAnsi"/>
          <w:sz w:val="24"/>
          <w:szCs w:val="24"/>
        </w:rPr>
        <w:t>639.500,00</w:t>
      </w:r>
      <w:r w:rsidRPr="00E67CCE">
        <w:rPr>
          <w:rFonts w:cstheme="minorHAnsi"/>
          <w:sz w:val="24"/>
          <w:szCs w:val="24"/>
        </w:rPr>
        <w:t xml:space="preserve"> eura, a realizirano je </w:t>
      </w:r>
      <w:r w:rsidR="00990F65">
        <w:rPr>
          <w:rFonts w:cstheme="minorHAnsi"/>
          <w:sz w:val="24"/>
          <w:szCs w:val="24"/>
        </w:rPr>
        <w:t>525.982,66</w:t>
      </w:r>
      <w:r w:rsidRPr="00E67CCE">
        <w:rPr>
          <w:rFonts w:cstheme="minorHAnsi"/>
          <w:sz w:val="24"/>
          <w:szCs w:val="24"/>
        </w:rPr>
        <w:t xml:space="preserve"> eura ili </w:t>
      </w:r>
      <w:r w:rsidR="00990F65">
        <w:rPr>
          <w:rFonts w:cstheme="minorHAnsi"/>
          <w:sz w:val="24"/>
          <w:szCs w:val="24"/>
        </w:rPr>
        <w:t>82,25</w:t>
      </w:r>
      <w:r w:rsidRPr="00E67CCE">
        <w:rPr>
          <w:rFonts w:cstheme="minorHAnsi"/>
          <w:sz w:val="24"/>
          <w:szCs w:val="24"/>
        </w:rPr>
        <w:t>% plana.</w:t>
      </w:r>
    </w:p>
    <w:p w14:paraId="402A2C8F" w14:textId="77777777" w:rsidR="0079478E" w:rsidRDefault="0079478E" w:rsidP="0079478E">
      <w:pPr>
        <w:spacing w:after="0" w:line="240" w:lineRule="auto"/>
        <w:jc w:val="both"/>
        <w:rPr>
          <w:rFonts w:cstheme="minorHAnsi"/>
          <w:sz w:val="24"/>
          <w:szCs w:val="24"/>
        </w:rPr>
      </w:pPr>
      <w:r>
        <w:rPr>
          <w:rFonts w:cstheme="minorHAnsi"/>
          <w:sz w:val="24"/>
          <w:szCs w:val="24"/>
        </w:rPr>
        <w:t>Izvori financiranja ukupnih prihoda čine:</w:t>
      </w:r>
    </w:p>
    <w:p w14:paraId="2CFC4D15" w14:textId="37BA14C9" w:rsidR="0079478E" w:rsidRDefault="0079478E" w:rsidP="0079478E">
      <w:pPr>
        <w:spacing w:after="0" w:line="240" w:lineRule="auto"/>
        <w:jc w:val="both"/>
        <w:rPr>
          <w:rFonts w:cstheme="minorHAnsi"/>
          <w:sz w:val="24"/>
          <w:szCs w:val="24"/>
        </w:rPr>
      </w:pPr>
      <w:r>
        <w:rPr>
          <w:rFonts w:cstheme="minorHAnsi"/>
          <w:sz w:val="24"/>
          <w:szCs w:val="24"/>
        </w:rPr>
        <w:t xml:space="preserve">1. vlastiti prihodi od pružanja usluga ostvareni su u iznosu od </w:t>
      </w:r>
      <w:r w:rsidR="00990F65">
        <w:rPr>
          <w:rFonts w:cstheme="minorHAnsi"/>
          <w:sz w:val="24"/>
          <w:szCs w:val="24"/>
        </w:rPr>
        <w:t>58.790,59</w:t>
      </w:r>
      <w:r>
        <w:rPr>
          <w:rFonts w:cstheme="minorHAnsi"/>
          <w:sz w:val="24"/>
          <w:szCs w:val="24"/>
        </w:rPr>
        <w:t xml:space="preserve"> eura ili </w:t>
      </w:r>
      <w:r w:rsidR="00990F65">
        <w:rPr>
          <w:rFonts w:cstheme="minorHAnsi"/>
          <w:sz w:val="24"/>
          <w:szCs w:val="24"/>
        </w:rPr>
        <w:t>90,45</w:t>
      </w:r>
      <w:r>
        <w:rPr>
          <w:rFonts w:cstheme="minorHAnsi"/>
          <w:sz w:val="24"/>
          <w:szCs w:val="24"/>
        </w:rPr>
        <w:t xml:space="preserve">% od plana koji iznosi </w:t>
      </w:r>
      <w:r w:rsidR="00990F65">
        <w:rPr>
          <w:rFonts w:cstheme="minorHAnsi"/>
          <w:sz w:val="24"/>
          <w:szCs w:val="24"/>
        </w:rPr>
        <w:t>65.000,00</w:t>
      </w:r>
      <w:r>
        <w:rPr>
          <w:rFonts w:cstheme="minorHAnsi"/>
          <w:sz w:val="24"/>
          <w:szCs w:val="24"/>
        </w:rPr>
        <w:t xml:space="preserve"> eura.</w:t>
      </w:r>
    </w:p>
    <w:p w14:paraId="6625DE04" w14:textId="13123CB0" w:rsidR="0079478E" w:rsidRDefault="0079478E" w:rsidP="0079478E">
      <w:pPr>
        <w:spacing w:after="0" w:line="240" w:lineRule="auto"/>
        <w:jc w:val="both"/>
        <w:rPr>
          <w:rFonts w:cstheme="minorHAnsi"/>
          <w:sz w:val="24"/>
          <w:szCs w:val="24"/>
        </w:rPr>
      </w:pPr>
      <w:r>
        <w:rPr>
          <w:rFonts w:cstheme="minorHAnsi"/>
          <w:sz w:val="24"/>
          <w:szCs w:val="24"/>
        </w:rPr>
        <w:t xml:space="preserve">2. prihodi iz nadležnog proračuna za financiranje redovne djelatnosti ostvareni su u iznosu od </w:t>
      </w:r>
      <w:r w:rsidR="00990F65">
        <w:rPr>
          <w:rFonts w:cstheme="minorHAnsi"/>
          <w:sz w:val="24"/>
          <w:szCs w:val="24"/>
        </w:rPr>
        <w:t>467.192,07</w:t>
      </w:r>
      <w:r>
        <w:rPr>
          <w:rFonts w:cstheme="minorHAnsi"/>
          <w:sz w:val="24"/>
          <w:szCs w:val="24"/>
        </w:rPr>
        <w:t xml:space="preserve"> eura ili </w:t>
      </w:r>
      <w:r w:rsidR="00990F65">
        <w:rPr>
          <w:rFonts w:cstheme="minorHAnsi"/>
          <w:sz w:val="24"/>
          <w:szCs w:val="24"/>
        </w:rPr>
        <w:t>81,32</w:t>
      </w:r>
      <w:r>
        <w:rPr>
          <w:rFonts w:cstheme="minorHAnsi"/>
          <w:sz w:val="24"/>
          <w:szCs w:val="24"/>
        </w:rPr>
        <w:t xml:space="preserve">% godišnjeg plana koji iznosi </w:t>
      </w:r>
      <w:r w:rsidR="00990F65">
        <w:rPr>
          <w:rFonts w:cstheme="minorHAnsi"/>
          <w:sz w:val="24"/>
          <w:szCs w:val="24"/>
        </w:rPr>
        <w:t>574.500,00</w:t>
      </w:r>
      <w:r>
        <w:rPr>
          <w:rFonts w:cstheme="minorHAnsi"/>
          <w:sz w:val="24"/>
          <w:szCs w:val="24"/>
        </w:rPr>
        <w:t xml:space="preserve"> eura. </w:t>
      </w:r>
    </w:p>
    <w:p w14:paraId="55C332EB" w14:textId="2DBC2D71" w:rsidR="0079478E" w:rsidRDefault="0079478E" w:rsidP="0079478E">
      <w:pPr>
        <w:spacing w:after="0" w:line="240" w:lineRule="auto"/>
        <w:jc w:val="both"/>
        <w:rPr>
          <w:rFonts w:cstheme="minorHAnsi"/>
          <w:sz w:val="24"/>
          <w:szCs w:val="24"/>
        </w:rPr>
      </w:pPr>
      <w:r>
        <w:rPr>
          <w:rFonts w:cstheme="minorHAnsi"/>
          <w:sz w:val="24"/>
          <w:szCs w:val="24"/>
        </w:rPr>
        <w:t>Ukupno planirani rashodi u izvještajnom razdoblju 202</w:t>
      </w:r>
      <w:r w:rsidR="006A7BF4">
        <w:rPr>
          <w:rFonts w:cstheme="minorHAnsi"/>
          <w:sz w:val="24"/>
          <w:szCs w:val="24"/>
        </w:rPr>
        <w:t>5</w:t>
      </w:r>
      <w:r>
        <w:rPr>
          <w:rFonts w:cstheme="minorHAnsi"/>
          <w:sz w:val="24"/>
          <w:szCs w:val="24"/>
        </w:rPr>
        <w:t xml:space="preserve">. godine iznose </w:t>
      </w:r>
      <w:r w:rsidR="00AA7C9D">
        <w:rPr>
          <w:rFonts w:cstheme="minorHAnsi"/>
          <w:sz w:val="24"/>
          <w:szCs w:val="24"/>
        </w:rPr>
        <w:t>786.850,00</w:t>
      </w:r>
      <w:r>
        <w:rPr>
          <w:rFonts w:cstheme="minorHAnsi"/>
          <w:sz w:val="24"/>
          <w:szCs w:val="24"/>
        </w:rPr>
        <w:t xml:space="preserve"> eura, a realizirano je </w:t>
      </w:r>
      <w:r w:rsidR="00AA7C9D">
        <w:rPr>
          <w:rFonts w:cstheme="minorHAnsi"/>
          <w:sz w:val="24"/>
          <w:szCs w:val="24"/>
        </w:rPr>
        <w:t>658.878,11</w:t>
      </w:r>
      <w:r>
        <w:rPr>
          <w:rFonts w:cstheme="minorHAnsi"/>
          <w:sz w:val="24"/>
          <w:szCs w:val="24"/>
        </w:rPr>
        <w:t xml:space="preserve"> eura ili </w:t>
      </w:r>
      <w:r w:rsidR="00AA7C9D">
        <w:rPr>
          <w:rFonts w:cstheme="minorHAnsi"/>
          <w:sz w:val="24"/>
          <w:szCs w:val="24"/>
        </w:rPr>
        <w:t>83,74</w:t>
      </w:r>
      <w:r>
        <w:rPr>
          <w:rFonts w:cstheme="minorHAnsi"/>
          <w:sz w:val="24"/>
          <w:szCs w:val="24"/>
        </w:rPr>
        <w:t>% godišnjeg plana.</w:t>
      </w:r>
    </w:p>
    <w:p w14:paraId="5DB63E5E" w14:textId="77777777" w:rsidR="0079478E" w:rsidRDefault="0079478E" w:rsidP="0079478E">
      <w:pPr>
        <w:spacing w:after="0" w:line="240" w:lineRule="auto"/>
        <w:jc w:val="both"/>
        <w:rPr>
          <w:rFonts w:cstheme="minorHAnsi"/>
          <w:sz w:val="24"/>
          <w:szCs w:val="24"/>
          <w:u w:val="single"/>
        </w:rPr>
      </w:pPr>
    </w:p>
    <w:p w14:paraId="661D2564" w14:textId="3FE5E9E6" w:rsidR="0079478E" w:rsidRDefault="0079478E" w:rsidP="0079478E">
      <w:pPr>
        <w:spacing w:after="0" w:line="240" w:lineRule="auto"/>
        <w:jc w:val="both"/>
        <w:rPr>
          <w:rFonts w:cstheme="minorHAnsi"/>
          <w:b/>
          <w:sz w:val="24"/>
          <w:szCs w:val="24"/>
        </w:rPr>
      </w:pPr>
      <w:r w:rsidRPr="00867AD8">
        <w:rPr>
          <w:rFonts w:cstheme="minorHAnsi"/>
          <w:b/>
          <w:sz w:val="24"/>
          <w:szCs w:val="24"/>
        </w:rPr>
        <w:t>POSEBNI DIO</w:t>
      </w:r>
    </w:p>
    <w:p w14:paraId="3EB08B53" w14:textId="77777777" w:rsidR="00AA7C9D" w:rsidRPr="00AA7C9D" w:rsidRDefault="00AA7C9D" w:rsidP="0079478E">
      <w:pPr>
        <w:spacing w:after="0" w:line="240" w:lineRule="auto"/>
        <w:jc w:val="both"/>
        <w:rPr>
          <w:rFonts w:cstheme="minorHAnsi"/>
          <w:b/>
          <w:sz w:val="24"/>
          <w:szCs w:val="24"/>
        </w:rPr>
      </w:pPr>
    </w:p>
    <w:p w14:paraId="07306957" w14:textId="77777777" w:rsidR="0079478E" w:rsidRPr="00022ECB" w:rsidRDefault="0079478E" w:rsidP="0079478E">
      <w:pPr>
        <w:spacing w:after="0" w:line="240" w:lineRule="auto"/>
        <w:jc w:val="both"/>
        <w:rPr>
          <w:rFonts w:cstheme="minorHAnsi"/>
          <w:sz w:val="24"/>
          <w:szCs w:val="24"/>
          <w:u w:val="single"/>
        </w:rPr>
      </w:pPr>
      <w:r w:rsidRPr="00022ECB">
        <w:rPr>
          <w:rFonts w:cstheme="minorHAnsi"/>
          <w:sz w:val="24"/>
          <w:szCs w:val="24"/>
          <w:u w:val="single"/>
        </w:rPr>
        <w:t xml:space="preserve">Program 1203 Šport i tehnička kultura </w:t>
      </w:r>
    </w:p>
    <w:p w14:paraId="6745D351" w14:textId="6010C58F" w:rsidR="0079478E" w:rsidRDefault="0079478E" w:rsidP="0079478E">
      <w:pPr>
        <w:tabs>
          <w:tab w:val="left" w:pos="360"/>
        </w:tabs>
        <w:jc w:val="both"/>
        <w:rPr>
          <w:rFonts w:cstheme="minorHAnsi"/>
          <w:bCs/>
          <w:sz w:val="24"/>
          <w:szCs w:val="24"/>
        </w:rPr>
      </w:pPr>
      <w:r w:rsidRPr="00022ECB">
        <w:rPr>
          <w:rFonts w:cstheme="minorHAnsi"/>
          <w:bCs/>
          <w:sz w:val="24"/>
          <w:szCs w:val="24"/>
        </w:rPr>
        <w:t>Cilj programa je osiguranje uvjeta za rad Ustanove. Rashodi za realizaciju aktivnosti unutar ovog programa: opći troškovi poslovanja iznosili su</w:t>
      </w:r>
      <w:r w:rsidR="009C127E">
        <w:rPr>
          <w:rFonts w:cstheme="minorHAnsi"/>
          <w:bCs/>
          <w:sz w:val="24"/>
          <w:szCs w:val="24"/>
        </w:rPr>
        <w:t xml:space="preserve"> </w:t>
      </w:r>
      <w:r w:rsidR="00AA7C9D">
        <w:rPr>
          <w:rFonts w:cstheme="minorHAnsi"/>
          <w:bCs/>
          <w:sz w:val="24"/>
          <w:szCs w:val="24"/>
        </w:rPr>
        <w:t>345.111,75</w:t>
      </w:r>
      <w:r w:rsidR="009C127E">
        <w:rPr>
          <w:rFonts w:cstheme="minorHAnsi"/>
          <w:bCs/>
          <w:sz w:val="24"/>
          <w:szCs w:val="24"/>
        </w:rPr>
        <w:t xml:space="preserve"> </w:t>
      </w:r>
      <w:r>
        <w:rPr>
          <w:rFonts w:cstheme="minorHAnsi"/>
          <w:bCs/>
          <w:sz w:val="24"/>
          <w:szCs w:val="24"/>
        </w:rPr>
        <w:t>eura</w:t>
      </w:r>
      <w:r w:rsidRPr="00022ECB">
        <w:rPr>
          <w:rFonts w:cstheme="minorHAnsi"/>
          <w:bCs/>
          <w:sz w:val="24"/>
          <w:szCs w:val="24"/>
        </w:rPr>
        <w:t xml:space="preserve"> ili </w:t>
      </w:r>
      <w:r w:rsidR="00AA7C9D">
        <w:rPr>
          <w:rFonts w:cstheme="minorHAnsi"/>
          <w:bCs/>
          <w:sz w:val="24"/>
          <w:szCs w:val="24"/>
        </w:rPr>
        <w:t>80,18</w:t>
      </w:r>
      <w:r>
        <w:rPr>
          <w:rFonts w:cstheme="minorHAnsi"/>
          <w:bCs/>
          <w:sz w:val="24"/>
          <w:szCs w:val="24"/>
        </w:rPr>
        <w:t xml:space="preserve">% plana. Financirane su plaće, doprinosi, ostali rashodi za zaposlene, </w:t>
      </w:r>
      <w:r w:rsidRPr="00022ECB">
        <w:rPr>
          <w:rFonts w:cstheme="minorHAnsi"/>
          <w:bCs/>
          <w:sz w:val="24"/>
          <w:szCs w:val="24"/>
        </w:rPr>
        <w:t>mate</w:t>
      </w:r>
      <w:r>
        <w:rPr>
          <w:rFonts w:cstheme="minorHAnsi"/>
          <w:bCs/>
          <w:sz w:val="24"/>
          <w:szCs w:val="24"/>
        </w:rPr>
        <w:t>rijalni rashodi za redovan rad U</w:t>
      </w:r>
      <w:r w:rsidRPr="00022ECB">
        <w:rPr>
          <w:rFonts w:cstheme="minorHAnsi"/>
          <w:bCs/>
          <w:sz w:val="24"/>
          <w:szCs w:val="24"/>
        </w:rPr>
        <w:t>stanove</w:t>
      </w:r>
      <w:r>
        <w:rPr>
          <w:rFonts w:cstheme="minorHAnsi"/>
          <w:bCs/>
          <w:sz w:val="24"/>
          <w:szCs w:val="24"/>
        </w:rPr>
        <w:t xml:space="preserve"> te dio rashoda za nabavu nefinancijske imovine</w:t>
      </w:r>
      <w:r w:rsidRPr="00022ECB">
        <w:rPr>
          <w:rFonts w:cstheme="minorHAnsi"/>
          <w:bCs/>
          <w:sz w:val="24"/>
          <w:szCs w:val="24"/>
        </w:rPr>
        <w:t xml:space="preserve">. Izvori financiranja: proračun Grada Trogira u iznosu od </w:t>
      </w:r>
      <w:r w:rsidR="00AA7C9D">
        <w:rPr>
          <w:rFonts w:cstheme="minorHAnsi"/>
          <w:bCs/>
          <w:sz w:val="24"/>
          <w:szCs w:val="24"/>
        </w:rPr>
        <w:t>284.652,11</w:t>
      </w:r>
      <w:r>
        <w:rPr>
          <w:rFonts w:cstheme="minorHAnsi"/>
          <w:bCs/>
          <w:sz w:val="24"/>
          <w:szCs w:val="24"/>
        </w:rPr>
        <w:t xml:space="preserve"> eura te </w:t>
      </w:r>
      <w:r w:rsidRPr="00022ECB">
        <w:rPr>
          <w:rFonts w:cstheme="minorHAnsi"/>
          <w:bCs/>
          <w:sz w:val="24"/>
          <w:szCs w:val="24"/>
        </w:rPr>
        <w:t>vlastiti prihodi</w:t>
      </w:r>
      <w:r>
        <w:rPr>
          <w:rFonts w:cstheme="minorHAnsi"/>
          <w:bCs/>
          <w:sz w:val="24"/>
          <w:szCs w:val="24"/>
        </w:rPr>
        <w:t xml:space="preserve"> u iznosu od </w:t>
      </w:r>
      <w:r w:rsidR="00AA7C9D">
        <w:rPr>
          <w:rFonts w:cstheme="minorHAnsi"/>
          <w:bCs/>
          <w:sz w:val="24"/>
          <w:szCs w:val="24"/>
        </w:rPr>
        <w:t>60.459,64</w:t>
      </w:r>
      <w:r>
        <w:rPr>
          <w:rFonts w:cstheme="minorHAnsi"/>
          <w:bCs/>
          <w:sz w:val="24"/>
          <w:szCs w:val="24"/>
        </w:rPr>
        <w:t xml:space="preserve"> eura.</w:t>
      </w:r>
    </w:p>
    <w:p w14:paraId="31530AF8" w14:textId="43995670" w:rsidR="007A2FBE" w:rsidRDefault="007A2FBE" w:rsidP="007A2FBE">
      <w:pPr>
        <w:tabs>
          <w:tab w:val="left" w:pos="360"/>
        </w:tabs>
        <w:spacing w:after="0"/>
        <w:jc w:val="both"/>
        <w:rPr>
          <w:rFonts w:cstheme="minorHAnsi"/>
          <w:bCs/>
          <w:sz w:val="24"/>
          <w:szCs w:val="24"/>
          <w:u w:val="single"/>
        </w:rPr>
      </w:pPr>
      <w:r w:rsidRPr="00B32908">
        <w:rPr>
          <w:rFonts w:cstheme="minorHAnsi"/>
          <w:bCs/>
          <w:sz w:val="24"/>
          <w:szCs w:val="24"/>
          <w:u w:val="single"/>
        </w:rPr>
        <w:t>Program 1604 Investicije u graditeljstvu</w:t>
      </w:r>
    </w:p>
    <w:p w14:paraId="59D8906D" w14:textId="3FD1FEEE" w:rsidR="007A2FBE" w:rsidRDefault="007A2FBE" w:rsidP="007A2FBE">
      <w:pPr>
        <w:tabs>
          <w:tab w:val="left" w:pos="360"/>
        </w:tabs>
        <w:spacing w:after="0"/>
        <w:jc w:val="both"/>
        <w:rPr>
          <w:rFonts w:cstheme="minorHAnsi"/>
          <w:bCs/>
          <w:sz w:val="24"/>
          <w:szCs w:val="24"/>
        </w:rPr>
      </w:pPr>
      <w:r w:rsidRPr="00B32908">
        <w:rPr>
          <w:rFonts w:cstheme="minorHAnsi"/>
          <w:bCs/>
          <w:sz w:val="24"/>
          <w:szCs w:val="24"/>
        </w:rPr>
        <w:t xml:space="preserve">Unutar navedenog programa je planiran </w:t>
      </w:r>
      <w:r>
        <w:rPr>
          <w:rFonts w:cstheme="minorHAnsi"/>
          <w:bCs/>
          <w:sz w:val="24"/>
          <w:szCs w:val="24"/>
        </w:rPr>
        <w:t xml:space="preserve">kapitalni projekt Izgradnja dječjeg igrališta u Krtinama koji ima za cilj širenje sportske kulture među djecom i mladeži. Planirano je </w:t>
      </w:r>
      <w:r w:rsidR="00CC64E4">
        <w:rPr>
          <w:rFonts w:cstheme="minorHAnsi"/>
          <w:bCs/>
          <w:sz w:val="24"/>
          <w:szCs w:val="24"/>
        </w:rPr>
        <w:t>114.600,00</w:t>
      </w:r>
      <w:r>
        <w:rPr>
          <w:rFonts w:cstheme="minorHAnsi"/>
          <w:bCs/>
          <w:sz w:val="24"/>
          <w:szCs w:val="24"/>
        </w:rPr>
        <w:t xml:space="preserve"> eura, a realizirano je </w:t>
      </w:r>
      <w:r w:rsidR="00CC64E4">
        <w:rPr>
          <w:rFonts w:cstheme="minorHAnsi"/>
          <w:bCs/>
          <w:sz w:val="24"/>
          <w:szCs w:val="24"/>
        </w:rPr>
        <w:t>94.178,44</w:t>
      </w:r>
      <w:r>
        <w:rPr>
          <w:rFonts w:cstheme="minorHAnsi"/>
          <w:bCs/>
          <w:sz w:val="24"/>
          <w:szCs w:val="24"/>
        </w:rPr>
        <w:t xml:space="preserve"> eura ili </w:t>
      </w:r>
      <w:r w:rsidR="00CC64E4">
        <w:rPr>
          <w:rFonts w:cstheme="minorHAnsi"/>
          <w:bCs/>
          <w:sz w:val="24"/>
          <w:szCs w:val="24"/>
        </w:rPr>
        <w:t>82,18</w:t>
      </w:r>
      <w:r>
        <w:rPr>
          <w:rFonts w:cstheme="minorHAnsi"/>
          <w:bCs/>
          <w:sz w:val="24"/>
          <w:szCs w:val="24"/>
        </w:rPr>
        <w:t>% plana.</w:t>
      </w:r>
    </w:p>
    <w:p w14:paraId="2C06F528" w14:textId="77777777" w:rsidR="007A2FBE" w:rsidRDefault="007A2FBE" w:rsidP="007A2FBE">
      <w:pPr>
        <w:tabs>
          <w:tab w:val="left" w:pos="360"/>
        </w:tabs>
        <w:spacing w:after="0"/>
        <w:jc w:val="both"/>
        <w:rPr>
          <w:rFonts w:cstheme="minorHAnsi"/>
          <w:bCs/>
          <w:sz w:val="24"/>
          <w:szCs w:val="24"/>
          <w:u w:val="single"/>
        </w:rPr>
      </w:pPr>
    </w:p>
    <w:p w14:paraId="2AD091E8" w14:textId="2D803F3E" w:rsidR="007A2FBE" w:rsidRDefault="007A2FBE" w:rsidP="007A2FBE">
      <w:pPr>
        <w:tabs>
          <w:tab w:val="left" w:pos="360"/>
        </w:tabs>
        <w:spacing w:after="0"/>
        <w:jc w:val="both"/>
        <w:rPr>
          <w:rFonts w:cstheme="minorHAnsi"/>
          <w:bCs/>
          <w:sz w:val="24"/>
          <w:szCs w:val="24"/>
        </w:rPr>
      </w:pPr>
      <w:r w:rsidRPr="0069680B">
        <w:rPr>
          <w:rFonts w:cstheme="minorHAnsi"/>
          <w:bCs/>
          <w:sz w:val="24"/>
          <w:szCs w:val="24"/>
          <w:u w:val="single"/>
        </w:rPr>
        <w:lastRenderedPageBreak/>
        <w:t>Program 1609 Upravljanje imovinom</w:t>
      </w:r>
    </w:p>
    <w:p w14:paraId="1E7A4714" w14:textId="77777777" w:rsidR="007A2FBE" w:rsidRDefault="007A2FBE" w:rsidP="007A2FBE">
      <w:pPr>
        <w:tabs>
          <w:tab w:val="left" w:pos="360"/>
        </w:tabs>
        <w:spacing w:after="0"/>
        <w:jc w:val="both"/>
        <w:rPr>
          <w:rFonts w:cstheme="minorHAnsi"/>
          <w:bCs/>
          <w:sz w:val="24"/>
          <w:szCs w:val="24"/>
        </w:rPr>
      </w:pPr>
      <w:r>
        <w:rPr>
          <w:rFonts w:cstheme="minorHAnsi"/>
          <w:bCs/>
          <w:sz w:val="24"/>
          <w:szCs w:val="24"/>
        </w:rPr>
        <w:t xml:space="preserve">Cilj programa je osiguranje sredstava za održavanje sportskih građevina u vlasništvu Grada dobivenih na korištenje. Športski objekti Trogir dobili su na korištenje dječja i nogometna igrališta na području Grada Trogira sa svrhom unaprjeđenja istih za djecu i mladež. </w:t>
      </w:r>
    </w:p>
    <w:p w14:paraId="54057CEB" w14:textId="60469350" w:rsidR="007A2FBE" w:rsidRDefault="007A2FBE" w:rsidP="007A2FBE">
      <w:pPr>
        <w:tabs>
          <w:tab w:val="left" w:pos="360"/>
        </w:tabs>
        <w:spacing w:after="0"/>
        <w:jc w:val="both"/>
        <w:rPr>
          <w:rFonts w:cstheme="minorHAnsi"/>
          <w:bCs/>
          <w:sz w:val="24"/>
          <w:szCs w:val="24"/>
        </w:rPr>
      </w:pPr>
      <w:r>
        <w:rPr>
          <w:rFonts w:cstheme="minorHAnsi"/>
          <w:bCs/>
          <w:sz w:val="24"/>
          <w:szCs w:val="24"/>
        </w:rPr>
        <w:t xml:space="preserve">Od ukupno planiranih sredstava u iznosu od </w:t>
      </w:r>
      <w:r w:rsidR="00E94915">
        <w:rPr>
          <w:rFonts w:cstheme="minorHAnsi"/>
          <w:bCs/>
          <w:sz w:val="24"/>
          <w:szCs w:val="24"/>
        </w:rPr>
        <w:t>271.850,00</w:t>
      </w:r>
      <w:r>
        <w:rPr>
          <w:rFonts w:cstheme="minorHAnsi"/>
          <w:bCs/>
          <w:sz w:val="24"/>
          <w:szCs w:val="24"/>
        </w:rPr>
        <w:t xml:space="preserve"> eura utrošeno je </w:t>
      </w:r>
      <w:r w:rsidR="00E94915">
        <w:rPr>
          <w:rFonts w:cstheme="minorHAnsi"/>
          <w:bCs/>
          <w:sz w:val="24"/>
          <w:szCs w:val="24"/>
        </w:rPr>
        <w:t>219.587,92</w:t>
      </w:r>
      <w:r>
        <w:rPr>
          <w:rFonts w:cstheme="minorHAnsi"/>
          <w:bCs/>
          <w:sz w:val="24"/>
          <w:szCs w:val="24"/>
        </w:rPr>
        <w:t xml:space="preserve"> eura ili </w:t>
      </w:r>
      <w:r w:rsidR="00E94915">
        <w:rPr>
          <w:rFonts w:cstheme="minorHAnsi"/>
          <w:bCs/>
          <w:sz w:val="24"/>
          <w:szCs w:val="24"/>
        </w:rPr>
        <w:t>80,78</w:t>
      </w:r>
      <w:r>
        <w:rPr>
          <w:rFonts w:cstheme="minorHAnsi"/>
          <w:bCs/>
          <w:sz w:val="24"/>
          <w:szCs w:val="24"/>
        </w:rPr>
        <w:t>% plana.</w:t>
      </w:r>
    </w:p>
    <w:p w14:paraId="049B798E" w14:textId="17FC0F70" w:rsidR="00E94915" w:rsidRDefault="00E94915" w:rsidP="007A2FBE">
      <w:pPr>
        <w:tabs>
          <w:tab w:val="left" w:pos="360"/>
        </w:tabs>
        <w:spacing w:after="0"/>
        <w:jc w:val="both"/>
        <w:rPr>
          <w:rFonts w:cstheme="minorHAnsi"/>
          <w:bCs/>
          <w:sz w:val="24"/>
          <w:szCs w:val="24"/>
        </w:rPr>
      </w:pPr>
      <w:r>
        <w:rPr>
          <w:rFonts w:cstheme="minorHAnsi"/>
          <w:bCs/>
          <w:sz w:val="24"/>
          <w:szCs w:val="24"/>
        </w:rPr>
        <w:t>Unutar navedenog programa planiran je 1 kapitalni i 1 tekući projekt:</w:t>
      </w:r>
    </w:p>
    <w:p w14:paraId="3BF534D5" w14:textId="6809FA3A" w:rsidR="006826ED" w:rsidRDefault="006826ED" w:rsidP="007A2FBE">
      <w:pPr>
        <w:tabs>
          <w:tab w:val="left" w:pos="360"/>
        </w:tabs>
        <w:spacing w:after="0"/>
        <w:jc w:val="both"/>
        <w:rPr>
          <w:rFonts w:cstheme="minorHAnsi"/>
          <w:bCs/>
          <w:sz w:val="24"/>
          <w:szCs w:val="24"/>
        </w:rPr>
      </w:pPr>
      <w:r>
        <w:rPr>
          <w:rFonts w:cstheme="minorHAnsi"/>
          <w:bCs/>
          <w:sz w:val="24"/>
          <w:szCs w:val="24"/>
        </w:rPr>
        <w:t>K</w:t>
      </w:r>
      <w:r w:rsidR="00AB1135">
        <w:rPr>
          <w:rFonts w:cstheme="minorHAnsi"/>
          <w:bCs/>
          <w:sz w:val="24"/>
          <w:szCs w:val="24"/>
        </w:rPr>
        <w:t xml:space="preserve">100114 Zamjena travnjaka na nogometnom igralištu </w:t>
      </w:r>
      <w:proofErr w:type="spellStart"/>
      <w:r w:rsidR="00AB1135">
        <w:rPr>
          <w:rFonts w:cstheme="minorHAnsi"/>
          <w:bCs/>
          <w:sz w:val="24"/>
          <w:szCs w:val="24"/>
        </w:rPr>
        <w:t>Batarija</w:t>
      </w:r>
      <w:proofErr w:type="spellEnd"/>
    </w:p>
    <w:p w14:paraId="48EE3CA5" w14:textId="12CF209F" w:rsidR="00AB1135" w:rsidRDefault="00AB1135" w:rsidP="007A2FBE">
      <w:pPr>
        <w:tabs>
          <w:tab w:val="left" w:pos="360"/>
        </w:tabs>
        <w:spacing w:after="0"/>
        <w:jc w:val="both"/>
        <w:rPr>
          <w:rFonts w:cstheme="minorHAnsi"/>
          <w:bCs/>
          <w:sz w:val="24"/>
          <w:szCs w:val="24"/>
        </w:rPr>
      </w:pPr>
      <w:r>
        <w:rPr>
          <w:rFonts w:cstheme="minorHAnsi"/>
          <w:bCs/>
          <w:sz w:val="24"/>
          <w:szCs w:val="24"/>
        </w:rPr>
        <w:t xml:space="preserve">T100076 Održavanje imovine dobivene na korištenje </w:t>
      </w:r>
    </w:p>
    <w:p w14:paraId="0354DB54" w14:textId="77777777" w:rsidR="005A71FB" w:rsidRDefault="005A71FB" w:rsidP="007A2FBE">
      <w:pPr>
        <w:tabs>
          <w:tab w:val="left" w:pos="360"/>
        </w:tabs>
        <w:spacing w:after="0"/>
        <w:jc w:val="both"/>
        <w:rPr>
          <w:rFonts w:cstheme="minorHAnsi"/>
          <w:bCs/>
          <w:sz w:val="24"/>
          <w:szCs w:val="24"/>
        </w:rPr>
      </w:pPr>
    </w:p>
    <w:p w14:paraId="382B3041" w14:textId="14C9F776" w:rsidR="005A71FB" w:rsidRDefault="005A71FB" w:rsidP="007A2FBE">
      <w:pPr>
        <w:tabs>
          <w:tab w:val="left" w:pos="360"/>
        </w:tabs>
        <w:spacing w:after="0"/>
        <w:jc w:val="both"/>
        <w:rPr>
          <w:rFonts w:cstheme="minorHAnsi"/>
          <w:bCs/>
          <w:sz w:val="24"/>
          <w:szCs w:val="24"/>
        </w:rPr>
      </w:pPr>
      <w:r w:rsidRPr="005A71FB">
        <w:rPr>
          <w:rFonts w:cstheme="minorHAnsi"/>
          <w:bCs/>
          <w:sz w:val="24"/>
          <w:szCs w:val="24"/>
          <w:u w:val="single"/>
        </w:rPr>
        <w:t xml:space="preserve">Kapitalni projekt Zamjena travnjaka na nogometnom igralištu </w:t>
      </w:r>
      <w:proofErr w:type="spellStart"/>
      <w:r w:rsidRPr="005A71FB">
        <w:rPr>
          <w:rFonts w:cstheme="minorHAnsi"/>
          <w:bCs/>
          <w:sz w:val="24"/>
          <w:szCs w:val="24"/>
          <w:u w:val="single"/>
        </w:rPr>
        <w:t>Batarija</w:t>
      </w:r>
      <w:proofErr w:type="spellEnd"/>
      <w:r>
        <w:rPr>
          <w:rFonts w:cstheme="minorHAnsi"/>
          <w:bCs/>
          <w:sz w:val="24"/>
          <w:szCs w:val="24"/>
        </w:rPr>
        <w:t>, ovim projektom je planirano financiranje zamjene travnjaka na nogometnom igralištu i to većinom iz izvora primici od zaduživanja. U okviru ovog projekta planiran je povrat glavnice kredita. Navedeni projekt je planiran u 2025.godini u iznosu od 211.850,00 eura, a realizirano je 178.481,28 eura i to iz dva izvora: opći prihodi i primici 28.481,28 eura i izvor primici od zaduživanja u iznosu 150.000,00 eura.</w:t>
      </w:r>
    </w:p>
    <w:p w14:paraId="167E7945" w14:textId="3179376C" w:rsidR="005A71FB" w:rsidRPr="005A71FB" w:rsidRDefault="005A71FB" w:rsidP="007A2FBE">
      <w:pPr>
        <w:tabs>
          <w:tab w:val="left" w:pos="360"/>
        </w:tabs>
        <w:spacing w:after="0"/>
        <w:jc w:val="both"/>
        <w:rPr>
          <w:rFonts w:cstheme="minorHAnsi"/>
          <w:bCs/>
          <w:sz w:val="24"/>
          <w:szCs w:val="24"/>
        </w:rPr>
      </w:pPr>
      <w:r w:rsidRPr="005A71FB">
        <w:rPr>
          <w:rFonts w:cstheme="minorHAnsi"/>
          <w:bCs/>
          <w:sz w:val="24"/>
          <w:szCs w:val="24"/>
          <w:u w:val="single"/>
        </w:rPr>
        <w:t>Tekući projekt Održavanje imovine dobivene na korištenje,</w:t>
      </w:r>
      <w:r>
        <w:rPr>
          <w:rFonts w:cstheme="minorHAnsi"/>
          <w:bCs/>
          <w:sz w:val="24"/>
          <w:szCs w:val="24"/>
          <w:u w:val="single"/>
        </w:rPr>
        <w:t xml:space="preserve"> </w:t>
      </w:r>
      <w:r>
        <w:rPr>
          <w:rFonts w:cstheme="minorHAnsi"/>
          <w:bCs/>
          <w:sz w:val="24"/>
          <w:szCs w:val="24"/>
        </w:rPr>
        <w:t>ovim projektom je planirano 60.000,00 eura, a realizirano je 41.106,64 eura ili 68,51% plana i to za usluge tekućeg i investicijskog održavanja.</w:t>
      </w:r>
    </w:p>
    <w:p w14:paraId="38DCE968" w14:textId="781B552D" w:rsidR="00F57368" w:rsidRPr="00F57368" w:rsidRDefault="00EA258E" w:rsidP="00F57368">
      <w:pPr>
        <w:pStyle w:val="Bezproreda"/>
        <w:jc w:val="both"/>
        <w:rPr>
          <w:sz w:val="24"/>
          <w:szCs w:val="24"/>
        </w:rPr>
      </w:pPr>
      <w:r w:rsidRPr="005C582E">
        <w:rPr>
          <w:sz w:val="24"/>
          <w:szCs w:val="24"/>
        </w:rPr>
        <w:t xml:space="preserve">Ukupni </w:t>
      </w:r>
      <w:r>
        <w:rPr>
          <w:sz w:val="24"/>
          <w:szCs w:val="24"/>
        </w:rPr>
        <w:t>prihodi</w:t>
      </w:r>
      <w:r w:rsidRPr="005C582E">
        <w:rPr>
          <w:sz w:val="24"/>
          <w:szCs w:val="24"/>
        </w:rPr>
        <w:t xml:space="preserve"> poslovanja u izvještajnom razdoblju </w:t>
      </w:r>
      <w:r w:rsidR="004E0195">
        <w:rPr>
          <w:sz w:val="24"/>
          <w:szCs w:val="24"/>
        </w:rPr>
        <w:t>2025.</w:t>
      </w:r>
      <w:r w:rsidRPr="005C582E">
        <w:rPr>
          <w:sz w:val="24"/>
          <w:szCs w:val="24"/>
        </w:rPr>
        <w:t xml:space="preserve"> godine, planirani su u iznosu od </w:t>
      </w:r>
      <w:r w:rsidR="00AE41D3">
        <w:rPr>
          <w:sz w:val="24"/>
          <w:szCs w:val="24"/>
        </w:rPr>
        <w:t>639.500,00</w:t>
      </w:r>
      <w:r>
        <w:rPr>
          <w:sz w:val="24"/>
          <w:szCs w:val="24"/>
        </w:rPr>
        <w:t xml:space="preserve"> eura</w:t>
      </w:r>
      <w:r w:rsidRPr="005C582E">
        <w:rPr>
          <w:sz w:val="24"/>
          <w:szCs w:val="24"/>
        </w:rPr>
        <w:t xml:space="preserve"> </w:t>
      </w:r>
      <w:r>
        <w:rPr>
          <w:sz w:val="24"/>
          <w:szCs w:val="24"/>
        </w:rPr>
        <w:t xml:space="preserve">a </w:t>
      </w:r>
      <w:r w:rsidRPr="005C582E">
        <w:rPr>
          <w:sz w:val="24"/>
          <w:szCs w:val="24"/>
        </w:rPr>
        <w:t xml:space="preserve">utrošeno je </w:t>
      </w:r>
      <w:r w:rsidR="00AE41D3">
        <w:rPr>
          <w:sz w:val="24"/>
          <w:szCs w:val="24"/>
        </w:rPr>
        <w:t>675.982,66</w:t>
      </w:r>
      <w:r>
        <w:rPr>
          <w:sz w:val="24"/>
          <w:szCs w:val="24"/>
        </w:rPr>
        <w:t xml:space="preserve"> eura</w:t>
      </w:r>
      <w:r w:rsidRPr="005C582E">
        <w:rPr>
          <w:sz w:val="24"/>
          <w:szCs w:val="24"/>
        </w:rPr>
        <w:t xml:space="preserve"> što</w:t>
      </w:r>
      <w:r>
        <w:rPr>
          <w:sz w:val="24"/>
          <w:szCs w:val="24"/>
        </w:rPr>
        <w:t xml:space="preserve"> je </w:t>
      </w:r>
      <w:r w:rsidR="00AE41D3">
        <w:rPr>
          <w:sz w:val="24"/>
          <w:szCs w:val="24"/>
        </w:rPr>
        <w:t>82,25</w:t>
      </w:r>
      <w:r>
        <w:rPr>
          <w:sz w:val="24"/>
          <w:szCs w:val="24"/>
        </w:rPr>
        <w:t>% plana.</w:t>
      </w:r>
      <w:r w:rsidRPr="005C582E">
        <w:rPr>
          <w:sz w:val="24"/>
          <w:szCs w:val="24"/>
        </w:rPr>
        <w:t xml:space="preserve"> Ukupni </w:t>
      </w:r>
      <w:r>
        <w:rPr>
          <w:sz w:val="24"/>
          <w:szCs w:val="24"/>
        </w:rPr>
        <w:t>rashodi</w:t>
      </w:r>
      <w:r w:rsidRPr="005C582E">
        <w:rPr>
          <w:sz w:val="24"/>
          <w:szCs w:val="24"/>
        </w:rPr>
        <w:t xml:space="preserve"> poslovanja u izvještajnom razdoblju </w:t>
      </w:r>
      <w:r w:rsidR="00AE41D3">
        <w:rPr>
          <w:sz w:val="24"/>
          <w:szCs w:val="24"/>
        </w:rPr>
        <w:t>2025</w:t>
      </w:r>
      <w:r w:rsidRPr="005C582E">
        <w:rPr>
          <w:sz w:val="24"/>
          <w:szCs w:val="24"/>
        </w:rPr>
        <w:t xml:space="preserve">. godine, planirani su u iznosu od </w:t>
      </w:r>
      <w:r w:rsidR="0022776B">
        <w:rPr>
          <w:sz w:val="24"/>
          <w:szCs w:val="24"/>
        </w:rPr>
        <w:t>816.850,00</w:t>
      </w:r>
      <w:r>
        <w:rPr>
          <w:sz w:val="24"/>
          <w:szCs w:val="24"/>
        </w:rPr>
        <w:t xml:space="preserve"> eura,</w:t>
      </w:r>
      <w:r w:rsidRPr="005C582E">
        <w:rPr>
          <w:sz w:val="24"/>
          <w:szCs w:val="24"/>
        </w:rPr>
        <w:t xml:space="preserve"> a ostvareni su u iznosu od </w:t>
      </w:r>
      <w:r w:rsidR="00AE41D3">
        <w:rPr>
          <w:sz w:val="24"/>
          <w:szCs w:val="24"/>
        </w:rPr>
        <w:t>658.878,11</w:t>
      </w:r>
      <w:r>
        <w:rPr>
          <w:sz w:val="24"/>
          <w:szCs w:val="24"/>
        </w:rPr>
        <w:t xml:space="preserve"> eura</w:t>
      </w:r>
      <w:r w:rsidRPr="005C582E">
        <w:rPr>
          <w:sz w:val="24"/>
          <w:szCs w:val="24"/>
        </w:rPr>
        <w:t xml:space="preserve"> što</w:t>
      </w:r>
      <w:r>
        <w:rPr>
          <w:sz w:val="24"/>
          <w:szCs w:val="24"/>
        </w:rPr>
        <w:t xml:space="preserve"> je </w:t>
      </w:r>
      <w:r w:rsidR="0022776B">
        <w:rPr>
          <w:sz w:val="24"/>
          <w:szCs w:val="24"/>
        </w:rPr>
        <w:t>80,66</w:t>
      </w:r>
      <w:r>
        <w:rPr>
          <w:sz w:val="24"/>
          <w:szCs w:val="24"/>
        </w:rPr>
        <w:t>% plana.</w:t>
      </w:r>
      <w:r w:rsidRPr="005C582E">
        <w:rPr>
          <w:sz w:val="24"/>
          <w:szCs w:val="24"/>
        </w:rPr>
        <w:t xml:space="preserve"> Ostvaren je </w:t>
      </w:r>
      <w:r w:rsidR="00AE41D3">
        <w:rPr>
          <w:sz w:val="24"/>
          <w:szCs w:val="24"/>
        </w:rPr>
        <w:t>višak</w:t>
      </w:r>
      <w:r w:rsidRPr="005C582E">
        <w:rPr>
          <w:sz w:val="24"/>
          <w:szCs w:val="24"/>
        </w:rPr>
        <w:t xml:space="preserve"> prihoda i primitaka u iznosu od </w:t>
      </w:r>
      <w:r w:rsidR="00AE41D3">
        <w:rPr>
          <w:sz w:val="24"/>
          <w:szCs w:val="24"/>
        </w:rPr>
        <w:t>17.104,55</w:t>
      </w:r>
      <w:r>
        <w:rPr>
          <w:sz w:val="24"/>
          <w:szCs w:val="24"/>
        </w:rPr>
        <w:t xml:space="preserve"> eura šta s prenesenim </w:t>
      </w:r>
      <w:r w:rsidR="00AE41D3">
        <w:rPr>
          <w:sz w:val="24"/>
          <w:szCs w:val="24"/>
        </w:rPr>
        <w:t>manjkom</w:t>
      </w:r>
      <w:r>
        <w:rPr>
          <w:sz w:val="24"/>
          <w:szCs w:val="24"/>
        </w:rPr>
        <w:t xml:space="preserve"> u iznosu od </w:t>
      </w:r>
      <w:r w:rsidR="00AE41D3">
        <w:rPr>
          <w:sz w:val="24"/>
          <w:szCs w:val="24"/>
        </w:rPr>
        <w:t>27.190,32</w:t>
      </w:r>
      <w:r>
        <w:rPr>
          <w:sz w:val="24"/>
          <w:szCs w:val="24"/>
        </w:rPr>
        <w:t xml:space="preserve"> eura daje manjak prihoda za pokriće u sljedećem razdoblju u iznosu od </w:t>
      </w:r>
      <w:r w:rsidR="00AE41D3">
        <w:rPr>
          <w:sz w:val="24"/>
          <w:szCs w:val="24"/>
        </w:rPr>
        <w:t>10.085,77</w:t>
      </w:r>
      <w:r>
        <w:rPr>
          <w:sz w:val="24"/>
          <w:szCs w:val="24"/>
        </w:rPr>
        <w:t xml:space="preserve"> eura.</w:t>
      </w:r>
    </w:p>
    <w:p w14:paraId="2AE15340" w14:textId="77777777" w:rsidR="00476B39" w:rsidRDefault="00476B39" w:rsidP="0079478E">
      <w:pPr>
        <w:spacing w:after="0" w:line="240" w:lineRule="auto"/>
        <w:jc w:val="both"/>
        <w:rPr>
          <w:rFonts w:cstheme="minorHAnsi"/>
          <w:b/>
          <w:bCs/>
          <w:sz w:val="24"/>
          <w:szCs w:val="24"/>
        </w:rPr>
      </w:pPr>
    </w:p>
    <w:p w14:paraId="06044767" w14:textId="4441C9A3" w:rsidR="0079478E" w:rsidRDefault="0079478E" w:rsidP="0079478E">
      <w:pPr>
        <w:spacing w:after="0" w:line="240" w:lineRule="auto"/>
        <w:jc w:val="both"/>
        <w:rPr>
          <w:rFonts w:cstheme="minorHAnsi"/>
          <w:b/>
          <w:bCs/>
          <w:sz w:val="24"/>
          <w:szCs w:val="24"/>
        </w:rPr>
      </w:pPr>
      <w:r w:rsidRPr="004C03B0">
        <w:rPr>
          <w:rFonts w:cstheme="minorHAnsi"/>
          <w:b/>
          <w:bCs/>
          <w:sz w:val="24"/>
          <w:szCs w:val="24"/>
        </w:rPr>
        <w:t xml:space="preserve">JAVNA VATROGASNA POSTROJBA GRAD TROGIR </w:t>
      </w:r>
    </w:p>
    <w:p w14:paraId="486AFF23" w14:textId="77777777" w:rsidR="00485C31" w:rsidRDefault="00485C31" w:rsidP="0079478E">
      <w:pPr>
        <w:spacing w:after="0" w:line="240" w:lineRule="auto"/>
        <w:jc w:val="both"/>
        <w:rPr>
          <w:rFonts w:cstheme="minorHAnsi"/>
          <w:b/>
          <w:bCs/>
          <w:sz w:val="24"/>
          <w:szCs w:val="24"/>
        </w:rPr>
      </w:pPr>
    </w:p>
    <w:p w14:paraId="75E9385A" w14:textId="77777777" w:rsidR="00485C31" w:rsidRPr="00485C31" w:rsidRDefault="00485C31" w:rsidP="00485C31">
      <w:pPr>
        <w:spacing w:line="240" w:lineRule="auto"/>
        <w:jc w:val="both"/>
        <w:rPr>
          <w:rFonts w:cstheme="minorHAnsi"/>
          <w:sz w:val="24"/>
          <w:szCs w:val="24"/>
        </w:rPr>
      </w:pPr>
      <w:r w:rsidRPr="00485C31">
        <w:rPr>
          <w:rFonts w:eastAsia="Arial" w:cstheme="minorHAnsi"/>
          <w:sz w:val="24"/>
          <w:szCs w:val="24"/>
        </w:rPr>
        <w:t xml:space="preserve">Javna vatrogasna postrojba Grada Trogira osnovana je Odlukom Gradskog vijeća Grada Trogira KLASA:214-01/18-01/05; URBROJ. 2184/01-31/01-18-2 od 4. rujna 2018. godine i Odlukom o izmjeni i dopuni Odluke o osnivanju javne ustanove Javna vatrogasna postrojba Grada Trogira, KLASA:214-01/18-01/5, URBROJ:2184/01-1/01-18-6 od 9. studenog 2018. godine temeljem Zakona </w:t>
      </w:r>
      <w:r w:rsidRPr="00485C31">
        <w:rPr>
          <w:rFonts w:cstheme="minorHAnsi"/>
          <w:sz w:val="24"/>
          <w:szCs w:val="24"/>
        </w:rPr>
        <w:t xml:space="preserve">vatrogastvu („Narodne novine“ broj 125/19 i 144/22) i Zakona o ustanovama („Narodne novine” broj 76/93, 29/97, 47/99, 35/08, 127/19 i 151/22), započela je s radom 10. svibnja 2019. godine nakon čega je Hrvatska vatrogasna zajednica, Glavni vatrogasni zapovjednik izdao Rješenje KLASA:UP/I-034-01/19-01/26, URBROJ:363-05-02-01/01-19-5 od 28. lipnja 2019. godine da vatrogasna postrojba ispunjava tehničke, zdravstvene, ekološke i druge uvjete za obavljanje vatrogasne djelatnosti. </w:t>
      </w:r>
    </w:p>
    <w:p w14:paraId="0F23BD39" w14:textId="77777777" w:rsidR="00485C31" w:rsidRPr="00485C31" w:rsidRDefault="00485C31" w:rsidP="00485C31">
      <w:pPr>
        <w:spacing w:line="240" w:lineRule="auto"/>
        <w:jc w:val="both"/>
        <w:rPr>
          <w:rFonts w:cstheme="minorHAnsi"/>
          <w:sz w:val="24"/>
          <w:szCs w:val="24"/>
        </w:rPr>
      </w:pPr>
      <w:r w:rsidRPr="00485C31">
        <w:rPr>
          <w:rFonts w:cstheme="minorHAnsi"/>
          <w:sz w:val="24"/>
          <w:szCs w:val="24"/>
        </w:rPr>
        <w:t xml:space="preserve">Javna vatrogasna postrojba Grada Trogira (dalje JVP Grada Trogira) svoj rad organizira kao javna ustanova za obavljanje vatrogasne djelatnosti kao stručne i humanitarne djelatnosti na području Grada Trogira sukladno Zakonu o ustanovama („Narodne novine“ br. 76/93, 29/97, 47/99, 35/08, 127/19 i 151/22), Zakonu o vatrogastvu („Narodne novine“ br. 125/19, 144/22 i </w:t>
      </w:r>
      <w:r w:rsidRPr="00485C31">
        <w:rPr>
          <w:rFonts w:cstheme="minorHAnsi"/>
          <w:color w:val="000000"/>
          <w:sz w:val="24"/>
          <w:szCs w:val="24"/>
        </w:rPr>
        <w:t xml:space="preserve">155/23) i Zakonu o lokalnoj i područnoj (regionalnoj) samoupravi („Narodne novine“ br. </w:t>
      </w:r>
      <w:hyperlink r:id="rId12" w:history="1">
        <w:r w:rsidRPr="00485C31">
          <w:rPr>
            <w:rStyle w:val="Hiperveza"/>
            <w:rFonts w:cstheme="minorHAnsi"/>
            <w:color w:val="000000"/>
            <w:sz w:val="24"/>
            <w:szCs w:val="24"/>
          </w:rPr>
          <w:t>33/01</w:t>
        </w:r>
      </w:hyperlink>
      <w:r w:rsidRPr="00485C31">
        <w:rPr>
          <w:rFonts w:cstheme="minorHAnsi"/>
          <w:color w:val="000000"/>
          <w:sz w:val="24"/>
          <w:szCs w:val="24"/>
        </w:rPr>
        <w:t xml:space="preserve">, </w:t>
      </w:r>
      <w:hyperlink r:id="rId13" w:history="1">
        <w:r w:rsidRPr="00485C31">
          <w:rPr>
            <w:rStyle w:val="Hiperveza"/>
            <w:rFonts w:cstheme="minorHAnsi"/>
            <w:color w:val="000000"/>
            <w:sz w:val="24"/>
            <w:szCs w:val="24"/>
          </w:rPr>
          <w:t>60/01</w:t>
        </w:r>
      </w:hyperlink>
      <w:r w:rsidRPr="00485C31">
        <w:rPr>
          <w:rFonts w:cstheme="minorHAnsi"/>
          <w:color w:val="000000"/>
          <w:sz w:val="24"/>
          <w:szCs w:val="24"/>
        </w:rPr>
        <w:t xml:space="preserve">, </w:t>
      </w:r>
      <w:hyperlink r:id="rId14" w:history="1">
        <w:r w:rsidRPr="00485C31">
          <w:rPr>
            <w:rStyle w:val="Hiperveza"/>
            <w:rFonts w:cstheme="minorHAnsi"/>
            <w:color w:val="000000"/>
            <w:sz w:val="24"/>
            <w:szCs w:val="24"/>
          </w:rPr>
          <w:t>129/05</w:t>
        </w:r>
      </w:hyperlink>
      <w:r w:rsidRPr="00485C31">
        <w:rPr>
          <w:rFonts w:cstheme="minorHAnsi"/>
          <w:color w:val="000000"/>
          <w:sz w:val="24"/>
          <w:szCs w:val="24"/>
        </w:rPr>
        <w:t xml:space="preserve">, </w:t>
      </w:r>
      <w:hyperlink r:id="rId15" w:history="1">
        <w:r w:rsidRPr="00485C31">
          <w:rPr>
            <w:rStyle w:val="Hiperveza"/>
            <w:rFonts w:cstheme="minorHAnsi"/>
            <w:color w:val="000000"/>
            <w:sz w:val="24"/>
            <w:szCs w:val="24"/>
          </w:rPr>
          <w:t>109/07</w:t>
        </w:r>
      </w:hyperlink>
      <w:r w:rsidRPr="00485C31">
        <w:rPr>
          <w:rFonts w:cstheme="minorHAnsi"/>
          <w:color w:val="000000"/>
          <w:sz w:val="24"/>
          <w:szCs w:val="24"/>
        </w:rPr>
        <w:t xml:space="preserve">, </w:t>
      </w:r>
      <w:hyperlink r:id="rId16" w:history="1">
        <w:r w:rsidRPr="00485C31">
          <w:rPr>
            <w:rStyle w:val="Hiperveza"/>
            <w:rFonts w:cstheme="minorHAnsi"/>
            <w:color w:val="000000"/>
            <w:sz w:val="24"/>
            <w:szCs w:val="24"/>
          </w:rPr>
          <w:t>125/08</w:t>
        </w:r>
      </w:hyperlink>
      <w:r w:rsidRPr="00485C31">
        <w:rPr>
          <w:rFonts w:cstheme="minorHAnsi"/>
          <w:color w:val="000000"/>
          <w:sz w:val="24"/>
          <w:szCs w:val="24"/>
        </w:rPr>
        <w:t xml:space="preserve">, </w:t>
      </w:r>
      <w:hyperlink r:id="rId17" w:history="1">
        <w:r w:rsidRPr="00485C31">
          <w:rPr>
            <w:rStyle w:val="Hiperveza"/>
            <w:rFonts w:cstheme="minorHAnsi"/>
            <w:color w:val="000000"/>
            <w:sz w:val="24"/>
            <w:szCs w:val="24"/>
          </w:rPr>
          <w:t>36/09</w:t>
        </w:r>
      </w:hyperlink>
      <w:r w:rsidRPr="00485C31">
        <w:rPr>
          <w:rFonts w:cstheme="minorHAnsi"/>
          <w:color w:val="000000"/>
          <w:sz w:val="24"/>
          <w:szCs w:val="24"/>
        </w:rPr>
        <w:t xml:space="preserve">, </w:t>
      </w:r>
      <w:hyperlink r:id="rId18" w:history="1">
        <w:r w:rsidRPr="00485C31">
          <w:rPr>
            <w:rStyle w:val="Hiperveza"/>
            <w:rFonts w:cstheme="minorHAnsi"/>
            <w:color w:val="000000"/>
            <w:sz w:val="24"/>
            <w:szCs w:val="24"/>
          </w:rPr>
          <w:t>36/09</w:t>
        </w:r>
      </w:hyperlink>
      <w:r w:rsidRPr="00485C31">
        <w:rPr>
          <w:rFonts w:cstheme="minorHAnsi"/>
          <w:color w:val="000000"/>
          <w:sz w:val="24"/>
          <w:szCs w:val="24"/>
        </w:rPr>
        <w:t xml:space="preserve">, </w:t>
      </w:r>
      <w:hyperlink r:id="rId19" w:history="1">
        <w:r w:rsidRPr="00485C31">
          <w:rPr>
            <w:rStyle w:val="Hiperveza"/>
            <w:rFonts w:cstheme="minorHAnsi"/>
            <w:color w:val="000000"/>
            <w:sz w:val="24"/>
            <w:szCs w:val="24"/>
          </w:rPr>
          <w:t>150/11</w:t>
        </w:r>
      </w:hyperlink>
      <w:r w:rsidRPr="00485C31">
        <w:rPr>
          <w:rFonts w:cstheme="minorHAnsi"/>
          <w:color w:val="000000"/>
          <w:sz w:val="24"/>
          <w:szCs w:val="24"/>
        </w:rPr>
        <w:t xml:space="preserve">, </w:t>
      </w:r>
      <w:hyperlink r:id="rId20" w:history="1">
        <w:r w:rsidRPr="00485C31">
          <w:rPr>
            <w:rStyle w:val="Hiperveza"/>
            <w:rFonts w:cstheme="minorHAnsi"/>
            <w:color w:val="000000"/>
            <w:sz w:val="24"/>
            <w:szCs w:val="24"/>
          </w:rPr>
          <w:t>144/12</w:t>
        </w:r>
      </w:hyperlink>
      <w:r w:rsidRPr="00485C31">
        <w:rPr>
          <w:rFonts w:cstheme="minorHAnsi"/>
          <w:color w:val="000000"/>
          <w:sz w:val="24"/>
          <w:szCs w:val="24"/>
        </w:rPr>
        <w:t xml:space="preserve">, </w:t>
      </w:r>
      <w:hyperlink r:id="rId21" w:history="1">
        <w:r w:rsidRPr="00485C31">
          <w:rPr>
            <w:rStyle w:val="Hiperveza"/>
            <w:rFonts w:cstheme="minorHAnsi"/>
            <w:color w:val="000000"/>
            <w:sz w:val="24"/>
            <w:szCs w:val="24"/>
          </w:rPr>
          <w:t>19/13</w:t>
        </w:r>
      </w:hyperlink>
      <w:r w:rsidRPr="00485C31">
        <w:rPr>
          <w:rFonts w:cstheme="minorHAnsi"/>
          <w:color w:val="000000"/>
          <w:sz w:val="24"/>
          <w:szCs w:val="24"/>
        </w:rPr>
        <w:t xml:space="preserve">, </w:t>
      </w:r>
      <w:hyperlink r:id="rId22" w:history="1">
        <w:r w:rsidRPr="00485C31">
          <w:rPr>
            <w:rStyle w:val="Hiperveza"/>
            <w:rFonts w:cstheme="minorHAnsi"/>
            <w:color w:val="000000"/>
            <w:sz w:val="24"/>
            <w:szCs w:val="24"/>
          </w:rPr>
          <w:t>137/15</w:t>
        </w:r>
      </w:hyperlink>
      <w:r w:rsidRPr="00485C31">
        <w:rPr>
          <w:rFonts w:cstheme="minorHAnsi"/>
          <w:color w:val="000000"/>
          <w:sz w:val="24"/>
          <w:szCs w:val="24"/>
        </w:rPr>
        <w:t xml:space="preserve">, </w:t>
      </w:r>
      <w:hyperlink r:id="rId23" w:history="1">
        <w:r w:rsidRPr="00485C31">
          <w:rPr>
            <w:rStyle w:val="Hiperveza"/>
            <w:rFonts w:cstheme="minorHAnsi"/>
            <w:color w:val="000000"/>
            <w:sz w:val="24"/>
            <w:szCs w:val="24"/>
          </w:rPr>
          <w:t>123/17</w:t>
        </w:r>
      </w:hyperlink>
      <w:r w:rsidRPr="00485C31">
        <w:rPr>
          <w:rStyle w:val="Hiperveza"/>
          <w:rFonts w:cstheme="minorHAnsi"/>
          <w:color w:val="000000"/>
          <w:sz w:val="24"/>
          <w:szCs w:val="24"/>
        </w:rPr>
        <w:t>, 98/19 i 144/20</w:t>
      </w:r>
      <w:r w:rsidRPr="00485C31">
        <w:rPr>
          <w:rFonts w:cstheme="minorHAnsi"/>
          <w:color w:val="000000"/>
          <w:sz w:val="24"/>
          <w:szCs w:val="24"/>
        </w:rPr>
        <w:t xml:space="preserve">). </w:t>
      </w:r>
    </w:p>
    <w:p w14:paraId="691EF62B" w14:textId="77777777" w:rsidR="00485C31" w:rsidRPr="00485C31" w:rsidRDefault="00485C31" w:rsidP="00485C31">
      <w:pPr>
        <w:spacing w:line="240" w:lineRule="auto"/>
        <w:jc w:val="both"/>
        <w:rPr>
          <w:rFonts w:cstheme="minorHAnsi"/>
          <w:sz w:val="24"/>
          <w:szCs w:val="24"/>
        </w:rPr>
      </w:pPr>
      <w:r w:rsidRPr="00485C31">
        <w:rPr>
          <w:rFonts w:cstheme="minorHAnsi"/>
          <w:sz w:val="24"/>
          <w:szCs w:val="24"/>
        </w:rPr>
        <w:lastRenderedPageBreak/>
        <w:t xml:space="preserve">Djelatnost JVP Grada Trogira je provođenje preventivnih mjera zaštite od požara i eksplozija, gašenje požara i spašavanje ljudi i imovine ugroženih požarom i eksplozijom, pružanja tehničke pomoći u nezgodama i opasnim situacijama te obavljanje drugih poslova u ekološkim i inim nesrećama na području Grada Trogira. </w:t>
      </w:r>
    </w:p>
    <w:p w14:paraId="63D6ADE1" w14:textId="77777777" w:rsidR="00485C31" w:rsidRPr="00485C31" w:rsidRDefault="00485C31" w:rsidP="00485C31">
      <w:pPr>
        <w:spacing w:line="240" w:lineRule="auto"/>
        <w:jc w:val="both"/>
        <w:rPr>
          <w:rFonts w:cstheme="minorHAnsi"/>
          <w:sz w:val="24"/>
          <w:szCs w:val="24"/>
        </w:rPr>
      </w:pPr>
      <w:r w:rsidRPr="00485C31">
        <w:rPr>
          <w:rFonts w:cstheme="minorHAnsi"/>
          <w:sz w:val="24"/>
          <w:szCs w:val="24"/>
        </w:rPr>
        <w:t>Područje odgovornosti i područje djelovanja Javne vatrogasne postrojbe Grada Trogira sukladno Procjeni ugroženosti od požara i tehnološke eksplozije i Planu zaštite od požara za područje Grada Trogira („Službeni glasnik Grada Trogira“ br. 4/24) je područje JLS - Grad Trogir.</w:t>
      </w:r>
    </w:p>
    <w:p w14:paraId="42537A7E" w14:textId="27F4CE71" w:rsidR="00485C31" w:rsidRPr="00485C31" w:rsidRDefault="00485C31" w:rsidP="00485C31">
      <w:pPr>
        <w:spacing w:line="240" w:lineRule="auto"/>
        <w:jc w:val="both"/>
        <w:rPr>
          <w:rFonts w:cstheme="minorHAnsi"/>
          <w:sz w:val="24"/>
          <w:szCs w:val="24"/>
        </w:rPr>
      </w:pPr>
      <w:r w:rsidRPr="00485C31">
        <w:rPr>
          <w:rFonts w:cstheme="minorHAnsi"/>
          <w:sz w:val="24"/>
          <w:szCs w:val="24"/>
          <w:lang w:eastAsia="hr-HR"/>
        </w:rPr>
        <w:t xml:space="preserve">Od 28 djelatnika koji imaju status operativnih vatrogasaca, 25 djelatnika je raspoređeno u 4 smjene koje obavljaju vatrogasno dežurstvo u turnusom sustavu 12/24-12/48 (5-6 djelatnika po </w:t>
      </w:r>
      <w:r w:rsidRPr="00485C31">
        <w:rPr>
          <w:rFonts w:cstheme="minorHAnsi"/>
          <w:sz w:val="24"/>
          <w:szCs w:val="24"/>
        </w:rPr>
        <w:t>smjeni), dok su 4 djelatnika raspoređena u smjenskom sustavu (07-15) i obavljaju poslove zapovjednika, zamjenika zapovjednika, voditelja desetine za operativne i preventivne poslove i vatrogasca-logističara.</w:t>
      </w:r>
    </w:p>
    <w:p w14:paraId="6D33F8D5" w14:textId="77777777" w:rsidR="0079478E" w:rsidRDefault="0079478E" w:rsidP="0079478E">
      <w:pPr>
        <w:spacing w:after="0" w:line="240" w:lineRule="auto"/>
        <w:jc w:val="both"/>
        <w:rPr>
          <w:rFonts w:ascii="Times New Roman" w:hAnsi="Times New Roman" w:cs="Times New Roman"/>
          <w:sz w:val="24"/>
          <w:szCs w:val="24"/>
          <w:u w:val="single"/>
        </w:rPr>
      </w:pPr>
    </w:p>
    <w:p w14:paraId="7DDDE8FA" w14:textId="77777777" w:rsidR="0079478E" w:rsidRDefault="0079478E" w:rsidP="0079478E">
      <w:pPr>
        <w:spacing w:after="0" w:line="240" w:lineRule="auto"/>
        <w:jc w:val="both"/>
        <w:rPr>
          <w:rFonts w:cstheme="minorHAnsi"/>
          <w:b/>
          <w:bCs/>
          <w:sz w:val="24"/>
          <w:szCs w:val="24"/>
          <w:u w:val="single"/>
        </w:rPr>
      </w:pPr>
      <w:r w:rsidRPr="004C03B0">
        <w:rPr>
          <w:rFonts w:cstheme="minorHAnsi"/>
          <w:b/>
          <w:bCs/>
          <w:sz w:val="24"/>
          <w:szCs w:val="24"/>
          <w:u w:val="single"/>
        </w:rPr>
        <w:t>OPĆI DIO</w:t>
      </w:r>
    </w:p>
    <w:p w14:paraId="21C7198B" w14:textId="77777777" w:rsidR="00A22FEB" w:rsidRDefault="00A22FEB" w:rsidP="0079478E">
      <w:pPr>
        <w:spacing w:after="0" w:line="240" w:lineRule="auto"/>
        <w:jc w:val="both"/>
        <w:rPr>
          <w:rFonts w:cstheme="minorHAnsi"/>
          <w:b/>
          <w:bCs/>
          <w:sz w:val="24"/>
          <w:szCs w:val="24"/>
          <w:u w:val="single"/>
        </w:rPr>
      </w:pPr>
    </w:p>
    <w:p w14:paraId="555ED93B" w14:textId="257E1FA1" w:rsidR="00A22FEB" w:rsidRPr="006B0A83" w:rsidRDefault="00A22FEB">
      <w:pPr>
        <w:pStyle w:val="Odlomakpopisa"/>
        <w:numPr>
          <w:ilvl w:val="1"/>
          <w:numId w:val="39"/>
        </w:numPr>
        <w:spacing w:line="278" w:lineRule="auto"/>
        <w:rPr>
          <w:rFonts w:asciiTheme="minorHAnsi" w:hAnsiTheme="minorHAnsi" w:cstheme="minorHAnsi"/>
          <w:b/>
          <w:bCs/>
          <w:sz w:val="24"/>
          <w:szCs w:val="24"/>
        </w:rPr>
      </w:pPr>
      <w:r w:rsidRPr="006B0A83">
        <w:rPr>
          <w:rFonts w:asciiTheme="minorHAnsi" w:hAnsiTheme="minorHAnsi" w:cstheme="minorHAnsi"/>
          <w:b/>
          <w:bCs/>
          <w:sz w:val="24"/>
          <w:szCs w:val="24"/>
        </w:rPr>
        <w:t>OPĆI PRIHODI I PRIMICI-GRAD TROGIR</w:t>
      </w:r>
    </w:p>
    <w:p w14:paraId="32C080F4" w14:textId="5F4E9F60" w:rsidR="00A22FEB" w:rsidRPr="00A22FEB" w:rsidRDefault="00A22FEB" w:rsidP="00A22FEB">
      <w:pPr>
        <w:spacing w:after="0"/>
        <w:jc w:val="both"/>
        <w:rPr>
          <w:rFonts w:cstheme="minorHAnsi"/>
          <w:sz w:val="24"/>
          <w:szCs w:val="24"/>
        </w:rPr>
      </w:pPr>
      <w:r w:rsidRPr="006B0A83">
        <w:rPr>
          <w:rFonts w:cstheme="minorHAnsi"/>
          <w:sz w:val="24"/>
          <w:szCs w:val="24"/>
        </w:rPr>
        <w:t>Sredstva iz izvora 1.1. osigurava Grad Trogir kontinuirano</w:t>
      </w:r>
      <w:r w:rsidRPr="00A22FEB">
        <w:rPr>
          <w:rFonts w:cstheme="minorHAnsi"/>
          <w:sz w:val="24"/>
          <w:szCs w:val="24"/>
        </w:rPr>
        <w:t xml:space="preserve"> prema mjesečnim zahtjevima Javne vatrogasne postrojbe Grada Trogira. Prihodi u godišnjem izvještajnom razdoblju iznose 1.071.427,44 eura.</w:t>
      </w:r>
    </w:p>
    <w:p w14:paraId="1E1FE649" w14:textId="77777777" w:rsidR="00A22FEB" w:rsidRPr="00A22FEB" w:rsidRDefault="00A22FEB" w:rsidP="00A22FEB">
      <w:pPr>
        <w:spacing w:after="0"/>
        <w:jc w:val="both"/>
        <w:rPr>
          <w:rFonts w:cstheme="minorHAnsi"/>
          <w:sz w:val="24"/>
          <w:szCs w:val="24"/>
        </w:rPr>
      </w:pPr>
      <w:r w:rsidRPr="00A22FEB">
        <w:rPr>
          <w:rFonts w:cstheme="minorHAnsi"/>
          <w:sz w:val="24"/>
          <w:szCs w:val="24"/>
        </w:rPr>
        <w:t>Općim prihodima i primicima su pokriveni troškovi:</w:t>
      </w:r>
    </w:p>
    <w:p w14:paraId="48D24999" w14:textId="21A170AC" w:rsidR="00A22FEB" w:rsidRPr="00A22FEB" w:rsidRDefault="00A22FEB" w:rsidP="00A22FEB">
      <w:pPr>
        <w:spacing w:after="0"/>
        <w:jc w:val="both"/>
        <w:rPr>
          <w:rFonts w:cstheme="minorHAnsi"/>
          <w:sz w:val="24"/>
          <w:szCs w:val="24"/>
        </w:rPr>
      </w:pPr>
      <w:r w:rsidRPr="00A22FEB">
        <w:rPr>
          <w:rFonts w:cstheme="minorHAnsi"/>
          <w:sz w:val="24"/>
          <w:szCs w:val="24"/>
        </w:rPr>
        <w:t>-Plaće za redovan rad u iznosu od 501.753,20</w:t>
      </w:r>
      <w:r>
        <w:rPr>
          <w:rFonts w:cstheme="minorHAnsi"/>
          <w:sz w:val="24"/>
          <w:szCs w:val="24"/>
        </w:rPr>
        <w:t xml:space="preserve"> eura</w:t>
      </w:r>
    </w:p>
    <w:p w14:paraId="465E4C92" w14:textId="3A54FF71" w:rsidR="00A22FEB" w:rsidRPr="00A22FEB" w:rsidRDefault="00A22FEB" w:rsidP="00A22FEB">
      <w:pPr>
        <w:spacing w:after="0"/>
        <w:jc w:val="both"/>
        <w:rPr>
          <w:rFonts w:cstheme="minorHAnsi"/>
          <w:sz w:val="24"/>
          <w:szCs w:val="24"/>
        </w:rPr>
      </w:pPr>
      <w:r w:rsidRPr="00A22FEB">
        <w:rPr>
          <w:rFonts w:cstheme="minorHAnsi"/>
          <w:sz w:val="24"/>
          <w:szCs w:val="24"/>
        </w:rPr>
        <w:t>-Plaće za prekovremeni rad u iznosu od 70.006,96</w:t>
      </w:r>
      <w:r>
        <w:rPr>
          <w:rFonts w:cstheme="minorHAnsi"/>
          <w:sz w:val="24"/>
          <w:szCs w:val="24"/>
        </w:rPr>
        <w:t xml:space="preserve"> eura</w:t>
      </w:r>
    </w:p>
    <w:p w14:paraId="2AAC5CA6" w14:textId="5AFC3486" w:rsidR="00A22FEB" w:rsidRPr="00A22FEB" w:rsidRDefault="00A22FEB" w:rsidP="00A22FEB">
      <w:pPr>
        <w:spacing w:after="0"/>
        <w:jc w:val="both"/>
        <w:rPr>
          <w:rFonts w:cstheme="minorHAnsi"/>
          <w:sz w:val="24"/>
          <w:szCs w:val="24"/>
        </w:rPr>
      </w:pPr>
      <w:r w:rsidRPr="00A22FEB">
        <w:rPr>
          <w:rFonts w:cstheme="minorHAnsi"/>
          <w:sz w:val="24"/>
          <w:szCs w:val="24"/>
        </w:rPr>
        <w:t>-Plaće za posebne uvjete rada u iznosu od 46.346,77</w:t>
      </w:r>
      <w:r>
        <w:rPr>
          <w:rFonts w:cstheme="minorHAnsi"/>
          <w:sz w:val="24"/>
          <w:szCs w:val="24"/>
        </w:rPr>
        <w:t>eura</w:t>
      </w:r>
    </w:p>
    <w:p w14:paraId="316B1D74" w14:textId="250BA5EE" w:rsidR="00A22FEB" w:rsidRPr="00A22FEB" w:rsidRDefault="00A22FEB" w:rsidP="00A22FEB">
      <w:pPr>
        <w:spacing w:after="0"/>
        <w:jc w:val="both"/>
        <w:rPr>
          <w:rFonts w:cstheme="minorHAnsi"/>
          <w:sz w:val="24"/>
          <w:szCs w:val="24"/>
        </w:rPr>
      </w:pPr>
      <w:r w:rsidRPr="00A22FEB">
        <w:rPr>
          <w:rFonts w:cstheme="minorHAnsi"/>
          <w:sz w:val="24"/>
          <w:szCs w:val="24"/>
        </w:rPr>
        <w:t>-Ostali rashodi za zaposlene u iznosu od 28.770,88</w:t>
      </w:r>
      <w:r>
        <w:rPr>
          <w:rFonts w:cstheme="minorHAnsi"/>
          <w:sz w:val="24"/>
          <w:szCs w:val="24"/>
        </w:rPr>
        <w:t xml:space="preserve"> eura</w:t>
      </w:r>
    </w:p>
    <w:p w14:paraId="7555BA1D" w14:textId="0505D8D4" w:rsidR="00A22FEB" w:rsidRPr="00A22FEB" w:rsidRDefault="00A22FEB" w:rsidP="00A22FEB">
      <w:pPr>
        <w:spacing w:after="0"/>
        <w:jc w:val="both"/>
        <w:rPr>
          <w:rFonts w:cstheme="minorHAnsi"/>
          <w:sz w:val="24"/>
          <w:szCs w:val="24"/>
        </w:rPr>
      </w:pPr>
      <w:r w:rsidRPr="00A22FEB">
        <w:rPr>
          <w:rFonts w:cstheme="minorHAnsi"/>
          <w:sz w:val="24"/>
          <w:szCs w:val="24"/>
        </w:rPr>
        <w:t>-Doprinosi za mirovinsko osiguranje u iznosu od 72.426,33</w:t>
      </w:r>
      <w:r>
        <w:rPr>
          <w:rFonts w:cstheme="minorHAnsi"/>
          <w:sz w:val="24"/>
          <w:szCs w:val="24"/>
        </w:rPr>
        <w:t xml:space="preserve"> eura</w:t>
      </w:r>
    </w:p>
    <w:p w14:paraId="74D1D59B" w14:textId="504E7782" w:rsidR="00A22FEB" w:rsidRPr="00A22FEB" w:rsidRDefault="00A22FEB" w:rsidP="00A22FEB">
      <w:pPr>
        <w:spacing w:after="0"/>
        <w:jc w:val="both"/>
        <w:rPr>
          <w:rFonts w:cstheme="minorHAnsi"/>
          <w:sz w:val="24"/>
          <w:szCs w:val="24"/>
        </w:rPr>
      </w:pPr>
      <w:r w:rsidRPr="00A22FEB">
        <w:rPr>
          <w:rFonts w:cstheme="minorHAnsi"/>
          <w:sz w:val="24"/>
          <w:szCs w:val="24"/>
        </w:rPr>
        <w:t>-Doprinosi za obvezno zdravstveno osiguranje u iznosu od 155.796,39</w:t>
      </w:r>
      <w:r>
        <w:rPr>
          <w:rFonts w:cstheme="minorHAnsi"/>
          <w:sz w:val="24"/>
          <w:szCs w:val="24"/>
        </w:rPr>
        <w:t xml:space="preserve"> eura</w:t>
      </w:r>
    </w:p>
    <w:p w14:paraId="30FC8AE1" w14:textId="0D59A032" w:rsidR="00A22FEB" w:rsidRPr="00A22FEB" w:rsidRDefault="00A22FEB" w:rsidP="00A22FEB">
      <w:pPr>
        <w:spacing w:after="0"/>
        <w:jc w:val="both"/>
        <w:rPr>
          <w:rFonts w:cstheme="minorHAnsi"/>
          <w:sz w:val="24"/>
          <w:szCs w:val="24"/>
        </w:rPr>
      </w:pPr>
      <w:r w:rsidRPr="00A22FEB">
        <w:rPr>
          <w:rFonts w:cstheme="minorHAnsi"/>
          <w:sz w:val="24"/>
          <w:szCs w:val="24"/>
        </w:rPr>
        <w:t>-Materijalni rashodi u iznosu od 167.379,47</w:t>
      </w:r>
      <w:r>
        <w:rPr>
          <w:rFonts w:cstheme="minorHAnsi"/>
          <w:sz w:val="24"/>
          <w:szCs w:val="24"/>
        </w:rPr>
        <w:t xml:space="preserve"> eura</w:t>
      </w:r>
    </w:p>
    <w:p w14:paraId="63689F0C" w14:textId="34C732EF" w:rsidR="00A22FEB" w:rsidRPr="00A22FEB" w:rsidRDefault="00A22FEB" w:rsidP="00A22FEB">
      <w:pPr>
        <w:spacing w:after="0"/>
        <w:jc w:val="both"/>
        <w:rPr>
          <w:rFonts w:cstheme="minorHAnsi"/>
          <w:sz w:val="24"/>
          <w:szCs w:val="24"/>
        </w:rPr>
      </w:pPr>
      <w:r w:rsidRPr="00A22FEB">
        <w:rPr>
          <w:rFonts w:cstheme="minorHAnsi"/>
          <w:sz w:val="24"/>
          <w:szCs w:val="24"/>
        </w:rPr>
        <w:t>-Financijski rashodi u iznosu od 670,46</w:t>
      </w:r>
      <w:r>
        <w:rPr>
          <w:rFonts w:cstheme="minorHAnsi"/>
          <w:sz w:val="24"/>
          <w:szCs w:val="24"/>
        </w:rPr>
        <w:t xml:space="preserve"> eura</w:t>
      </w:r>
    </w:p>
    <w:p w14:paraId="3FAA69E0" w14:textId="204887C9" w:rsidR="00A22FEB" w:rsidRPr="00A22FEB" w:rsidRDefault="00A22FEB" w:rsidP="00A22FEB">
      <w:pPr>
        <w:spacing w:after="0"/>
        <w:jc w:val="both"/>
        <w:rPr>
          <w:rFonts w:cstheme="minorHAnsi"/>
          <w:sz w:val="24"/>
          <w:szCs w:val="24"/>
        </w:rPr>
      </w:pPr>
      <w:r w:rsidRPr="00A22FEB">
        <w:rPr>
          <w:rFonts w:cstheme="minorHAnsi"/>
          <w:sz w:val="24"/>
          <w:szCs w:val="24"/>
        </w:rPr>
        <w:t xml:space="preserve">-Rashodi za nabavu </w:t>
      </w:r>
      <w:proofErr w:type="spellStart"/>
      <w:r w:rsidRPr="00A22FEB">
        <w:rPr>
          <w:rFonts w:cstheme="minorHAnsi"/>
          <w:sz w:val="24"/>
          <w:szCs w:val="24"/>
        </w:rPr>
        <w:t>neproizvedene</w:t>
      </w:r>
      <w:proofErr w:type="spellEnd"/>
      <w:r w:rsidRPr="00A22FEB">
        <w:rPr>
          <w:rFonts w:cstheme="minorHAnsi"/>
          <w:sz w:val="24"/>
          <w:szCs w:val="24"/>
        </w:rPr>
        <w:t xml:space="preserve"> dugotrajne imovine u iznosu od 771,60</w:t>
      </w:r>
      <w:r>
        <w:rPr>
          <w:rFonts w:cstheme="minorHAnsi"/>
          <w:sz w:val="24"/>
          <w:szCs w:val="24"/>
        </w:rPr>
        <w:t xml:space="preserve"> eura</w:t>
      </w:r>
    </w:p>
    <w:p w14:paraId="07AC7A0A" w14:textId="336B7F0F" w:rsidR="00A22FEB" w:rsidRPr="00A22FEB" w:rsidRDefault="00A22FEB" w:rsidP="00A22FEB">
      <w:pPr>
        <w:spacing w:after="0"/>
        <w:jc w:val="both"/>
        <w:rPr>
          <w:rFonts w:cstheme="minorHAnsi"/>
          <w:sz w:val="24"/>
          <w:szCs w:val="24"/>
        </w:rPr>
      </w:pPr>
      <w:r w:rsidRPr="00A22FEB">
        <w:rPr>
          <w:rFonts w:cstheme="minorHAnsi"/>
          <w:sz w:val="24"/>
          <w:szCs w:val="24"/>
        </w:rPr>
        <w:t>-Rashodi za nabavu proizvedene dugotrajne imovine u iznosu od 27.505,38</w:t>
      </w:r>
      <w:r>
        <w:rPr>
          <w:rFonts w:cstheme="minorHAnsi"/>
          <w:sz w:val="24"/>
          <w:szCs w:val="24"/>
        </w:rPr>
        <w:t xml:space="preserve"> eura </w:t>
      </w:r>
    </w:p>
    <w:p w14:paraId="1F22953A" w14:textId="77777777" w:rsidR="00A22FEB" w:rsidRDefault="00A22FEB" w:rsidP="0079478E">
      <w:pPr>
        <w:spacing w:after="0" w:line="240" w:lineRule="auto"/>
        <w:jc w:val="both"/>
        <w:rPr>
          <w:rFonts w:cstheme="minorHAnsi"/>
          <w:b/>
          <w:bCs/>
          <w:sz w:val="24"/>
          <w:szCs w:val="24"/>
          <w:u w:val="single"/>
        </w:rPr>
      </w:pPr>
    </w:p>
    <w:p w14:paraId="0FA4C93F" w14:textId="5B8B3DC0" w:rsidR="00F83FBE" w:rsidRPr="00F83FBE" w:rsidRDefault="00F83FBE" w:rsidP="00F83FBE">
      <w:pPr>
        <w:spacing w:after="0"/>
        <w:jc w:val="both"/>
        <w:rPr>
          <w:rFonts w:cstheme="minorHAnsi"/>
          <w:sz w:val="24"/>
          <w:szCs w:val="24"/>
        </w:rPr>
      </w:pPr>
      <w:r w:rsidRPr="00F83FBE">
        <w:rPr>
          <w:rFonts w:cstheme="minorHAnsi"/>
          <w:sz w:val="24"/>
          <w:szCs w:val="24"/>
        </w:rPr>
        <w:t>Rashodi na izvoru 1.1  planirani su u iznosu 1.130.400,00 eura za rashode poslovanja Javne vatrogasne postrojbe Grada Trogira. Iz izvora 1.1. također je i planiran kapitalni projekt K1000086- EU PROJEKT-Rekonstrukcija vatrogasnog doma DVD Slatine i nabava vozila za DVD Slatine i JVP Grada Trogira u iznosu od 117.375,00 eura koji će biti ostvaren u ovoj godini, te je planiran iznos za financiranje kredita u iznosu od 28.200,00 eura.</w:t>
      </w:r>
    </w:p>
    <w:p w14:paraId="3FC921CC" w14:textId="6FD4AA3A" w:rsidR="00F83FBE" w:rsidRPr="00F83FBE" w:rsidRDefault="00F83FBE" w:rsidP="00F83FBE">
      <w:pPr>
        <w:spacing w:after="0"/>
        <w:jc w:val="both"/>
        <w:rPr>
          <w:rFonts w:cstheme="minorHAnsi"/>
          <w:sz w:val="24"/>
          <w:szCs w:val="24"/>
        </w:rPr>
      </w:pPr>
      <w:r w:rsidRPr="00F83FBE">
        <w:rPr>
          <w:rFonts w:cstheme="minorHAnsi"/>
          <w:sz w:val="24"/>
          <w:szCs w:val="24"/>
        </w:rPr>
        <w:t xml:space="preserve">Rashodi su izvršeni u iznosu od 1.071.427,44 eura  što čini izvršenje od 94,78% financijskog plana. </w:t>
      </w:r>
    </w:p>
    <w:p w14:paraId="48146D6C" w14:textId="77777777" w:rsidR="00A22FEB" w:rsidRDefault="00A22FEB" w:rsidP="0079478E">
      <w:pPr>
        <w:spacing w:after="0" w:line="240" w:lineRule="auto"/>
        <w:jc w:val="both"/>
        <w:rPr>
          <w:rFonts w:cstheme="minorHAnsi"/>
          <w:b/>
          <w:bCs/>
          <w:sz w:val="24"/>
          <w:szCs w:val="24"/>
          <w:u w:val="single"/>
        </w:rPr>
      </w:pPr>
    </w:p>
    <w:p w14:paraId="104D664C" w14:textId="6A911DA8" w:rsidR="00F83FBE" w:rsidRPr="00F83FBE" w:rsidRDefault="00F83FBE" w:rsidP="00F83FBE">
      <w:pPr>
        <w:spacing w:after="0"/>
        <w:jc w:val="both"/>
        <w:rPr>
          <w:rFonts w:cstheme="minorHAnsi"/>
          <w:sz w:val="24"/>
          <w:szCs w:val="24"/>
        </w:rPr>
      </w:pPr>
      <w:r w:rsidRPr="00F83FBE">
        <w:rPr>
          <w:rFonts w:cstheme="minorHAnsi"/>
          <w:sz w:val="24"/>
          <w:szCs w:val="24"/>
        </w:rPr>
        <w:t xml:space="preserve">Ostali rashodi za zaposlene u iznosu od 28.770,88 € utrošeni su za božićnice, </w:t>
      </w:r>
      <w:proofErr w:type="spellStart"/>
      <w:r w:rsidRPr="00F83FBE">
        <w:rPr>
          <w:rFonts w:cstheme="minorHAnsi"/>
          <w:sz w:val="24"/>
          <w:szCs w:val="24"/>
        </w:rPr>
        <w:t>uskrsnice</w:t>
      </w:r>
      <w:proofErr w:type="spellEnd"/>
      <w:r w:rsidRPr="00F83FBE">
        <w:rPr>
          <w:rFonts w:cstheme="minorHAnsi"/>
          <w:sz w:val="24"/>
          <w:szCs w:val="24"/>
        </w:rPr>
        <w:t>, prigodne nagrade, jubilarne nagrade i regrese za zaposlenike. Ostvareno je 95,90% financijskog plana.</w:t>
      </w:r>
    </w:p>
    <w:p w14:paraId="045A1D99" w14:textId="12250D81" w:rsidR="00F83FBE" w:rsidRPr="00F83FBE" w:rsidRDefault="00F83FBE" w:rsidP="00F83FBE">
      <w:pPr>
        <w:spacing w:after="0"/>
        <w:jc w:val="both"/>
        <w:rPr>
          <w:rFonts w:cstheme="minorHAnsi"/>
          <w:sz w:val="24"/>
          <w:szCs w:val="24"/>
        </w:rPr>
      </w:pPr>
      <w:r w:rsidRPr="00F83FBE">
        <w:rPr>
          <w:rFonts w:cstheme="minorHAnsi"/>
          <w:sz w:val="24"/>
          <w:szCs w:val="24"/>
        </w:rPr>
        <w:lastRenderedPageBreak/>
        <w:t>Uredski materijal u iznosu od 2.606,70 eura utrošen je na materijal potreban za poslovanje, sredstva za čišćenje i ostalo te je ostvareno 74,48% financijskog plana.</w:t>
      </w:r>
    </w:p>
    <w:p w14:paraId="102E1B9A" w14:textId="77F34C9C" w:rsidR="00F83FBE" w:rsidRPr="00F83FBE" w:rsidRDefault="00F83FBE" w:rsidP="00F83FBE">
      <w:pPr>
        <w:spacing w:after="0"/>
        <w:jc w:val="both"/>
        <w:rPr>
          <w:rFonts w:cstheme="minorHAnsi"/>
          <w:sz w:val="24"/>
          <w:szCs w:val="24"/>
        </w:rPr>
      </w:pPr>
      <w:r w:rsidRPr="00F83FBE">
        <w:rPr>
          <w:rFonts w:cstheme="minorHAnsi"/>
          <w:sz w:val="24"/>
          <w:szCs w:val="24"/>
        </w:rPr>
        <w:t>Energija u iznosu od 18.295,62 eura utrošena je na troškove električne energije i goriva za vozila. Ostvareno je 87,12% financijskog plana.</w:t>
      </w:r>
    </w:p>
    <w:p w14:paraId="53E58C14" w14:textId="1E1466DF" w:rsidR="00F83FBE" w:rsidRPr="00F83FBE" w:rsidRDefault="00F83FBE" w:rsidP="00F83FBE">
      <w:pPr>
        <w:spacing w:after="0"/>
        <w:jc w:val="both"/>
        <w:rPr>
          <w:rFonts w:cstheme="minorHAnsi"/>
          <w:sz w:val="24"/>
          <w:szCs w:val="24"/>
        </w:rPr>
      </w:pPr>
      <w:r w:rsidRPr="00F83FBE">
        <w:rPr>
          <w:rFonts w:cstheme="minorHAnsi"/>
          <w:sz w:val="24"/>
          <w:szCs w:val="24"/>
        </w:rPr>
        <w:t>Materijal i dijelovi za tekuće i investicijsko održavanje u iznosu od 5.363,99 eura utrošen je na materijal potreban za održavanje građevinskog objekta i na materijal za vozila, te je ostvareno 76,63% financijskog plana.</w:t>
      </w:r>
    </w:p>
    <w:p w14:paraId="283BD0C1" w14:textId="13B62FC2" w:rsidR="00F83FBE" w:rsidRPr="00F83FBE" w:rsidRDefault="00F83FBE" w:rsidP="00F83FBE">
      <w:pPr>
        <w:spacing w:after="0"/>
        <w:jc w:val="both"/>
        <w:rPr>
          <w:rFonts w:cstheme="minorHAnsi"/>
          <w:sz w:val="24"/>
          <w:szCs w:val="24"/>
        </w:rPr>
      </w:pPr>
      <w:r w:rsidRPr="00F83FBE">
        <w:rPr>
          <w:rFonts w:cstheme="minorHAnsi"/>
          <w:sz w:val="24"/>
          <w:szCs w:val="24"/>
        </w:rPr>
        <w:t xml:space="preserve">Sitan inventar i </w:t>
      </w:r>
      <w:proofErr w:type="spellStart"/>
      <w:r w:rsidRPr="00F83FBE">
        <w:rPr>
          <w:rFonts w:cstheme="minorHAnsi"/>
          <w:sz w:val="24"/>
          <w:szCs w:val="24"/>
        </w:rPr>
        <w:t>autogume</w:t>
      </w:r>
      <w:proofErr w:type="spellEnd"/>
      <w:r w:rsidRPr="00F83FBE">
        <w:rPr>
          <w:rFonts w:cstheme="minorHAnsi"/>
          <w:sz w:val="24"/>
          <w:szCs w:val="24"/>
        </w:rPr>
        <w:t xml:space="preserve"> u iznosu od 6.089,96 eura utrošen je u vatrogasne cijevi i </w:t>
      </w:r>
      <w:proofErr w:type="spellStart"/>
      <w:r w:rsidRPr="00F83FBE">
        <w:rPr>
          <w:rFonts w:cstheme="minorHAnsi"/>
          <w:sz w:val="24"/>
          <w:szCs w:val="24"/>
        </w:rPr>
        <w:t>autogume</w:t>
      </w:r>
      <w:proofErr w:type="spellEnd"/>
      <w:r w:rsidRPr="00F83FBE">
        <w:rPr>
          <w:rFonts w:cstheme="minorHAnsi"/>
          <w:sz w:val="24"/>
          <w:szCs w:val="24"/>
        </w:rPr>
        <w:t xml:space="preserve"> za vozila i ostvareno je 76,12% financijskog plana.</w:t>
      </w:r>
    </w:p>
    <w:p w14:paraId="19C44EC3" w14:textId="09C495B3" w:rsidR="00F83FBE" w:rsidRPr="00F83FBE" w:rsidRDefault="00F83FBE" w:rsidP="00F83FBE">
      <w:pPr>
        <w:shd w:val="clear" w:color="auto" w:fill="FFFFFF"/>
        <w:spacing w:after="0"/>
        <w:jc w:val="both"/>
        <w:rPr>
          <w:rFonts w:cstheme="minorHAnsi"/>
          <w:iCs/>
          <w:sz w:val="24"/>
          <w:szCs w:val="24"/>
        </w:rPr>
      </w:pPr>
      <w:r w:rsidRPr="00F83FBE">
        <w:rPr>
          <w:rFonts w:cstheme="minorHAnsi"/>
          <w:sz w:val="24"/>
          <w:szCs w:val="24"/>
        </w:rPr>
        <w:t>Službena radna zaštitna odjeća i obuća u iznosu od 19.640,23 eura utrošena je na</w:t>
      </w:r>
      <w:r w:rsidRPr="00F83FBE">
        <w:rPr>
          <w:rFonts w:cstheme="minorHAnsi"/>
          <w:iCs/>
          <w:sz w:val="24"/>
          <w:szCs w:val="24"/>
        </w:rPr>
        <w:t xml:space="preserve"> redovitu popunu vatrogasnim čizmama, opasačima, radnim uniformama te rukavicama, a također su i nabavljene nove kacige za šumske požare, </w:t>
      </w:r>
      <w:proofErr w:type="spellStart"/>
      <w:r w:rsidRPr="00F83FBE">
        <w:rPr>
          <w:rFonts w:cstheme="minorHAnsi"/>
          <w:iCs/>
          <w:sz w:val="24"/>
          <w:szCs w:val="24"/>
        </w:rPr>
        <w:t>filterske</w:t>
      </w:r>
      <w:proofErr w:type="spellEnd"/>
      <w:r w:rsidRPr="00F83FBE">
        <w:rPr>
          <w:rFonts w:cstheme="minorHAnsi"/>
          <w:iCs/>
          <w:sz w:val="24"/>
          <w:szCs w:val="24"/>
        </w:rPr>
        <w:t xml:space="preserve"> maske za zaštitu dišnih organa i</w:t>
      </w:r>
      <w:r w:rsidRPr="00F83FBE">
        <w:rPr>
          <w:rFonts w:cstheme="minorHAnsi"/>
          <w:sz w:val="24"/>
          <w:szCs w:val="24"/>
        </w:rPr>
        <w:t xml:space="preserve"> ostvareno je 94,88% financijskog plana.</w:t>
      </w:r>
    </w:p>
    <w:p w14:paraId="1B0E4FBB" w14:textId="4B4B823A" w:rsidR="00F83FBE" w:rsidRPr="00F83FBE" w:rsidRDefault="00F83FBE" w:rsidP="00F83FBE">
      <w:pPr>
        <w:spacing w:after="0"/>
        <w:jc w:val="both"/>
        <w:rPr>
          <w:rFonts w:cstheme="minorHAnsi"/>
          <w:sz w:val="24"/>
          <w:szCs w:val="24"/>
        </w:rPr>
      </w:pPr>
      <w:r w:rsidRPr="00F83FBE">
        <w:rPr>
          <w:rFonts w:cstheme="minorHAnsi"/>
          <w:sz w:val="24"/>
          <w:szCs w:val="24"/>
        </w:rPr>
        <w:t>Usluge telefona pošte i prijevoza u iznosu od 8.011,74 eura utrošeno je na pretplatu A1 te na usluge poštanskog ureda i ostvareno je 84,33% financijskog plana.</w:t>
      </w:r>
    </w:p>
    <w:p w14:paraId="0F1577F4" w14:textId="1834CAB2" w:rsidR="00F83FBE" w:rsidRPr="00F83FBE" w:rsidRDefault="00F83FBE" w:rsidP="00F83FBE">
      <w:pPr>
        <w:spacing w:after="0"/>
        <w:jc w:val="both"/>
        <w:rPr>
          <w:rFonts w:cstheme="minorHAnsi"/>
          <w:sz w:val="24"/>
          <w:szCs w:val="24"/>
        </w:rPr>
      </w:pPr>
      <w:r w:rsidRPr="00F83FBE">
        <w:rPr>
          <w:rFonts w:cstheme="minorHAnsi"/>
          <w:sz w:val="24"/>
          <w:szCs w:val="24"/>
        </w:rPr>
        <w:t>Usluge tekućeg i investicijskog održavanja u iznosu od 44.919,94 eura utrošeno je na tekuće održavanje vozila i vatrogasne opreme i ostvareno je 99,82% financijskog plana.</w:t>
      </w:r>
    </w:p>
    <w:p w14:paraId="45A775E6" w14:textId="59C65E44" w:rsidR="00F83FBE" w:rsidRPr="00F83FBE" w:rsidRDefault="00F83FBE" w:rsidP="00F83FBE">
      <w:pPr>
        <w:spacing w:after="0"/>
        <w:jc w:val="both"/>
        <w:rPr>
          <w:rFonts w:cstheme="minorHAnsi"/>
          <w:sz w:val="24"/>
          <w:szCs w:val="24"/>
        </w:rPr>
      </w:pPr>
      <w:r w:rsidRPr="00F83FBE">
        <w:rPr>
          <w:rFonts w:cstheme="minorHAnsi"/>
          <w:sz w:val="24"/>
          <w:szCs w:val="24"/>
        </w:rPr>
        <w:t>Komunalne usluge u iznosu od 2.348,71 eura utrošene su na troškove vode, te odvoza smeća i ostvareno je 71,17% financijskog plana.</w:t>
      </w:r>
    </w:p>
    <w:p w14:paraId="4462E37A" w14:textId="09A91B4E" w:rsidR="00F83FBE" w:rsidRPr="00F83FBE" w:rsidRDefault="00F83FBE" w:rsidP="00F83FBE">
      <w:pPr>
        <w:spacing w:after="0"/>
        <w:jc w:val="both"/>
        <w:rPr>
          <w:rFonts w:cstheme="minorHAnsi"/>
          <w:sz w:val="24"/>
          <w:szCs w:val="24"/>
        </w:rPr>
      </w:pPr>
      <w:r w:rsidRPr="00F83FBE">
        <w:rPr>
          <w:rFonts w:cstheme="minorHAnsi"/>
          <w:sz w:val="24"/>
          <w:szCs w:val="24"/>
        </w:rPr>
        <w:t>Zdravstvene i veterinarske usluge u iznosu od 4.845,00 eura utrošene su na zdravstvene preglede radnika i ostvareno je 80,75% financijskog plana.</w:t>
      </w:r>
    </w:p>
    <w:p w14:paraId="20BDA0E1" w14:textId="4F2BF661" w:rsidR="00F83FBE" w:rsidRPr="00F83FBE" w:rsidRDefault="00F83FBE" w:rsidP="00F83FBE">
      <w:pPr>
        <w:spacing w:after="0"/>
        <w:jc w:val="both"/>
        <w:rPr>
          <w:rFonts w:cstheme="minorHAnsi"/>
          <w:sz w:val="24"/>
          <w:szCs w:val="24"/>
        </w:rPr>
      </w:pPr>
      <w:r w:rsidRPr="00F83FBE">
        <w:rPr>
          <w:rFonts w:cstheme="minorHAnsi"/>
          <w:sz w:val="24"/>
          <w:szCs w:val="24"/>
        </w:rPr>
        <w:t>Intelektualne i osobne usluge u iznosu od 28.795,11 eura utrošene su na usluge pripreme dokumentacije za provedbu projekta.</w:t>
      </w:r>
    </w:p>
    <w:p w14:paraId="25D19E3F" w14:textId="1845AF2D" w:rsidR="00F83FBE" w:rsidRPr="00F83FBE" w:rsidRDefault="00F83FBE" w:rsidP="00F83FBE">
      <w:pPr>
        <w:spacing w:after="0"/>
        <w:jc w:val="both"/>
        <w:rPr>
          <w:rFonts w:cstheme="minorHAnsi"/>
          <w:sz w:val="24"/>
          <w:szCs w:val="24"/>
        </w:rPr>
      </w:pPr>
      <w:r w:rsidRPr="00F83FBE">
        <w:rPr>
          <w:rFonts w:cstheme="minorHAnsi"/>
          <w:sz w:val="24"/>
          <w:szCs w:val="24"/>
        </w:rPr>
        <w:t xml:space="preserve">Računalne usluge u iznosu od 3.419,67 eura utrošene su na usluge računovodstvenog programa </w:t>
      </w:r>
      <w:proofErr w:type="spellStart"/>
      <w:r w:rsidRPr="00F83FBE">
        <w:rPr>
          <w:rFonts w:cstheme="minorHAnsi"/>
          <w:sz w:val="24"/>
          <w:szCs w:val="24"/>
        </w:rPr>
        <w:t>Libusoft</w:t>
      </w:r>
      <w:proofErr w:type="spellEnd"/>
      <w:r w:rsidRPr="00F83FBE">
        <w:rPr>
          <w:rFonts w:cstheme="minorHAnsi"/>
          <w:sz w:val="24"/>
          <w:szCs w:val="24"/>
        </w:rPr>
        <w:t xml:space="preserve"> te na program uredskog poslovanja i ostvareno je 71,24% financijskog plana.</w:t>
      </w:r>
    </w:p>
    <w:p w14:paraId="75B0ADCD" w14:textId="7F32FDB7" w:rsidR="00F83FBE" w:rsidRPr="00F83FBE" w:rsidRDefault="00F83FBE" w:rsidP="00F83FBE">
      <w:pPr>
        <w:spacing w:after="0"/>
        <w:jc w:val="both"/>
        <w:rPr>
          <w:rFonts w:cstheme="minorHAnsi"/>
          <w:sz w:val="24"/>
          <w:szCs w:val="24"/>
        </w:rPr>
      </w:pPr>
      <w:r w:rsidRPr="00F83FBE">
        <w:rPr>
          <w:rFonts w:cstheme="minorHAnsi"/>
          <w:sz w:val="24"/>
          <w:szCs w:val="24"/>
        </w:rPr>
        <w:t>Ostale usluge u iznosu od 7.275,00 eura utrošene su na usluge čišćenja i održavanja vatrogasnih prostorija te na tehničke preglede vozila i grafičke usluge i ostvareno je 85,59% financijskog plana.</w:t>
      </w:r>
    </w:p>
    <w:p w14:paraId="1608864A" w14:textId="17687842" w:rsidR="00F83FBE" w:rsidRPr="00F83FBE" w:rsidRDefault="00F83FBE" w:rsidP="00F83FBE">
      <w:pPr>
        <w:spacing w:after="0"/>
        <w:jc w:val="both"/>
        <w:rPr>
          <w:rFonts w:cstheme="minorHAnsi"/>
          <w:sz w:val="24"/>
          <w:szCs w:val="24"/>
        </w:rPr>
      </w:pPr>
      <w:r w:rsidRPr="00F83FBE">
        <w:rPr>
          <w:rFonts w:cstheme="minorHAnsi"/>
          <w:sz w:val="24"/>
          <w:szCs w:val="24"/>
        </w:rPr>
        <w:t>Premije osiguranja u iznosu od 7.431,65 eura utrošene su na obvezna i kasko osiguranja za vozila i ostvareno je 99,09% financijskog plana.</w:t>
      </w:r>
    </w:p>
    <w:p w14:paraId="60147F40" w14:textId="513EEE4C" w:rsidR="00F83FBE" w:rsidRPr="00F83FBE" w:rsidRDefault="00F83FBE" w:rsidP="00F83FBE">
      <w:pPr>
        <w:spacing w:after="0"/>
        <w:jc w:val="both"/>
        <w:rPr>
          <w:rFonts w:cstheme="minorHAnsi"/>
          <w:sz w:val="24"/>
          <w:szCs w:val="24"/>
        </w:rPr>
      </w:pPr>
      <w:r w:rsidRPr="00F83FBE">
        <w:rPr>
          <w:rFonts w:cstheme="minorHAnsi"/>
          <w:sz w:val="24"/>
          <w:szCs w:val="24"/>
        </w:rPr>
        <w:t>Pristojbe i naknade u iznosu od 26,55 eura utrošene su</w:t>
      </w:r>
      <w:r>
        <w:rPr>
          <w:rFonts w:cstheme="minorHAnsi"/>
          <w:sz w:val="24"/>
          <w:szCs w:val="24"/>
        </w:rPr>
        <w:t xml:space="preserve"> za</w:t>
      </w:r>
      <w:r w:rsidRPr="00F83FBE">
        <w:rPr>
          <w:rFonts w:cstheme="minorHAnsi"/>
          <w:sz w:val="24"/>
          <w:szCs w:val="24"/>
        </w:rPr>
        <w:t xml:space="preserve"> troškove suda i ostvareno je 13,28% financijskog plana.</w:t>
      </w:r>
    </w:p>
    <w:p w14:paraId="0D62A733" w14:textId="606DAB38" w:rsidR="00F83FBE" w:rsidRPr="00F83FBE" w:rsidRDefault="00F83FBE" w:rsidP="00F83FBE">
      <w:pPr>
        <w:spacing w:after="0"/>
        <w:jc w:val="both"/>
        <w:rPr>
          <w:rFonts w:cstheme="minorHAnsi"/>
          <w:sz w:val="24"/>
          <w:szCs w:val="24"/>
        </w:rPr>
      </w:pPr>
      <w:r w:rsidRPr="00F83FBE">
        <w:rPr>
          <w:rFonts w:cstheme="minorHAnsi"/>
          <w:sz w:val="24"/>
          <w:szCs w:val="24"/>
        </w:rPr>
        <w:t>Ostali nespomenuti rashodi poslovanja u iznosu od 401,51 eura odnose se na ne planirane troškove poslovanja i ostvareno je 66,92% financijskog plana.</w:t>
      </w:r>
    </w:p>
    <w:p w14:paraId="1CB5070D" w14:textId="34DF6D05" w:rsidR="00F83FBE" w:rsidRPr="00F83FBE" w:rsidRDefault="00F83FBE" w:rsidP="00F83FBE">
      <w:pPr>
        <w:spacing w:after="0"/>
        <w:jc w:val="both"/>
        <w:rPr>
          <w:rFonts w:cstheme="minorHAnsi"/>
          <w:sz w:val="24"/>
          <w:szCs w:val="24"/>
        </w:rPr>
      </w:pPr>
      <w:r w:rsidRPr="00F83FBE">
        <w:rPr>
          <w:rFonts w:cstheme="minorHAnsi"/>
          <w:sz w:val="24"/>
          <w:szCs w:val="24"/>
        </w:rPr>
        <w:t>Bankarske usluge i usluge platnog prometa u iznosu od 670,46 eura  utrošene su na usluge banaka i vođenja računa te usluge Fine i ostvareno je 83,81% financijskog plana.</w:t>
      </w:r>
    </w:p>
    <w:p w14:paraId="67DC480D" w14:textId="796ECDD0" w:rsidR="00F83FBE" w:rsidRPr="00F83FBE" w:rsidRDefault="00F83FBE" w:rsidP="00F83FBE">
      <w:pPr>
        <w:spacing w:after="0"/>
        <w:jc w:val="both"/>
        <w:rPr>
          <w:rFonts w:cstheme="minorHAnsi"/>
          <w:sz w:val="24"/>
          <w:szCs w:val="24"/>
        </w:rPr>
      </w:pPr>
      <w:r w:rsidRPr="00F83FBE">
        <w:rPr>
          <w:rFonts w:cstheme="minorHAnsi"/>
          <w:sz w:val="24"/>
          <w:szCs w:val="24"/>
        </w:rPr>
        <w:t xml:space="preserve">Ostala prava u iznosu od 771,60 eura utrošena su na licencu </w:t>
      </w:r>
      <w:proofErr w:type="spellStart"/>
      <w:r w:rsidRPr="00F83FBE">
        <w:rPr>
          <w:rFonts w:cstheme="minorHAnsi"/>
          <w:sz w:val="24"/>
          <w:szCs w:val="24"/>
        </w:rPr>
        <w:t>windowsa</w:t>
      </w:r>
      <w:proofErr w:type="spellEnd"/>
      <w:r w:rsidRPr="00F83FBE">
        <w:rPr>
          <w:rFonts w:cstheme="minorHAnsi"/>
          <w:sz w:val="24"/>
          <w:szCs w:val="24"/>
        </w:rPr>
        <w:t xml:space="preserve"> za korištenje na poslovnom računalu i ostvareno je 77,16% financijskog plana.</w:t>
      </w:r>
    </w:p>
    <w:p w14:paraId="08C4FBC2" w14:textId="6F6A82B3" w:rsidR="00F83FBE" w:rsidRPr="00F83FBE" w:rsidRDefault="00F83FBE" w:rsidP="00F83FBE">
      <w:pPr>
        <w:spacing w:after="0"/>
        <w:jc w:val="both"/>
        <w:rPr>
          <w:rFonts w:cstheme="minorHAnsi"/>
          <w:sz w:val="24"/>
          <w:szCs w:val="24"/>
        </w:rPr>
      </w:pPr>
      <w:r w:rsidRPr="00F83FBE">
        <w:rPr>
          <w:rFonts w:cstheme="minorHAnsi"/>
          <w:sz w:val="24"/>
          <w:szCs w:val="24"/>
        </w:rPr>
        <w:t>Uredska oprema i namještaj u iznosu od 5.340,55 eura utrošena je na opremu i namještaj kao što su stolovi, ormari i ostalo potrebno za rad i ostvareno je 89,01% financijskog plana.</w:t>
      </w:r>
    </w:p>
    <w:p w14:paraId="07FAFD93" w14:textId="5A6DCAE9" w:rsidR="00F83FBE" w:rsidRPr="00F83FBE" w:rsidRDefault="00F83FBE" w:rsidP="00F83FBE">
      <w:pPr>
        <w:spacing w:after="0"/>
        <w:jc w:val="both"/>
        <w:rPr>
          <w:rFonts w:cstheme="minorHAnsi"/>
          <w:sz w:val="24"/>
          <w:szCs w:val="24"/>
        </w:rPr>
      </w:pPr>
      <w:r w:rsidRPr="00F83FBE">
        <w:rPr>
          <w:rFonts w:cstheme="minorHAnsi"/>
          <w:sz w:val="24"/>
          <w:szCs w:val="24"/>
        </w:rPr>
        <w:t>Komunikacijska oprema u iznosu od 4.804,98 eura utrošena je na opremu za vatrogasni operativni centar i ostvareno je 96,10% financijskog plana.</w:t>
      </w:r>
    </w:p>
    <w:p w14:paraId="42DE9771" w14:textId="24945342" w:rsidR="00F83FBE" w:rsidRPr="00F83FBE" w:rsidRDefault="00F83FBE" w:rsidP="00F83FBE">
      <w:pPr>
        <w:spacing w:after="0"/>
        <w:jc w:val="both"/>
        <w:rPr>
          <w:rFonts w:cstheme="minorHAnsi"/>
          <w:sz w:val="24"/>
          <w:szCs w:val="24"/>
        </w:rPr>
      </w:pPr>
      <w:r w:rsidRPr="00F83FBE">
        <w:rPr>
          <w:rFonts w:cstheme="minorHAnsi"/>
          <w:sz w:val="24"/>
          <w:szCs w:val="24"/>
        </w:rPr>
        <w:lastRenderedPageBreak/>
        <w:t xml:space="preserve">Oprema za održavanje i zaštitu u iznosu od 14.959,97 eura utrošena je na opremu potrebnu za rad vatrogasaca kao što je </w:t>
      </w:r>
      <w:proofErr w:type="spellStart"/>
      <w:r w:rsidRPr="00F83FBE">
        <w:rPr>
          <w:rFonts w:cstheme="minorHAnsi"/>
          <w:sz w:val="24"/>
          <w:szCs w:val="24"/>
        </w:rPr>
        <w:t>termokamera</w:t>
      </w:r>
      <w:proofErr w:type="spellEnd"/>
      <w:r w:rsidRPr="00F83FBE">
        <w:rPr>
          <w:rFonts w:cstheme="minorHAnsi"/>
          <w:sz w:val="24"/>
          <w:szCs w:val="24"/>
        </w:rPr>
        <w:t xml:space="preserve"> i uređaj za mjerenje plinova i ostvareno je 99,73% financijskog plana.</w:t>
      </w:r>
    </w:p>
    <w:p w14:paraId="706495E0" w14:textId="1785D43B" w:rsidR="00F83FBE" w:rsidRPr="00F83FBE" w:rsidRDefault="00F83FBE" w:rsidP="00F83FBE">
      <w:pPr>
        <w:spacing w:after="0"/>
        <w:jc w:val="both"/>
        <w:rPr>
          <w:rFonts w:cstheme="minorHAnsi"/>
          <w:sz w:val="24"/>
          <w:szCs w:val="24"/>
        </w:rPr>
      </w:pPr>
      <w:r w:rsidRPr="00F83FBE">
        <w:rPr>
          <w:rFonts w:cstheme="minorHAnsi"/>
          <w:sz w:val="24"/>
          <w:szCs w:val="24"/>
        </w:rPr>
        <w:t>Sportska i glazbena oprema u iznosu od 2.399,88 eura utrošena je na opremu za vježbanje za održavanje tjelesne spreme vatrogasaca i ostvareno je 80,00% financijskog plana</w:t>
      </w:r>
      <w:r>
        <w:rPr>
          <w:rFonts w:cstheme="minorHAnsi"/>
          <w:sz w:val="24"/>
          <w:szCs w:val="24"/>
        </w:rPr>
        <w:t>.</w:t>
      </w:r>
    </w:p>
    <w:p w14:paraId="439CC2C4" w14:textId="35428269" w:rsidR="00A22FEB" w:rsidRDefault="00F83FBE" w:rsidP="0079478E">
      <w:pPr>
        <w:spacing w:after="0" w:line="240" w:lineRule="auto"/>
        <w:jc w:val="both"/>
        <w:rPr>
          <w:rFonts w:cstheme="minorHAnsi"/>
          <w:b/>
          <w:bCs/>
          <w:sz w:val="24"/>
          <w:szCs w:val="24"/>
          <w:u w:val="single"/>
        </w:rPr>
      </w:pPr>
      <w:r>
        <w:rPr>
          <w:rFonts w:cstheme="minorHAnsi"/>
          <w:b/>
          <w:bCs/>
          <w:sz w:val="24"/>
          <w:szCs w:val="24"/>
          <w:u w:val="single"/>
        </w:rPr>
        <w:t xml:space="preserve"> </w:t>
      </w:r>
    </w:p>
    <w:p w14:paraId="302AE041" w14:textId="77777777" w:rsidR="00F83FBE" w:rsidRPr="00F83FBE" w:rsidRDefault="00F83FBE" w:rsidP="00F83FBE">
      <w:pPr>
        <w:spacing w:after="0"/>
        <w:jc w:val="both"/>
        <w:rPr>
          <w:rFonts w:cstheme="minorHAnsi"/>
          <w:b/>
          <w:bCs/>
          <w:sz w:val="24"/>
          <w:szCs w:val="24"/>
        </w:rPr>
      </w:pPr>
      <w:r w:rsidRPr="00F83FBE">
        <w:rPr>
          <w:rFonts w:cstheme="minorHAnsi"/>
          <w:b/>
          <w:bCs/>
          <w:sz w:val="24"/>
          <w:szCs w:val="24"/>
        </w:rPr>
        <w:t>3.2. VLASTITI PRIHODI PRORAČUNSKIH KORISNIKA</w:t>
      </w:r>
    </w:p>
    <w:p w14:paraId="77E9E9DA" w14:textId="54B95ECA" w:rsidR="00F83FBE" w:rsidRPr="00F83FBE" w:rsidRDefault="00F83FBE" w:rsidP="00F83FBE">
      <w:pPr>
        <w:spacing w:after="0"/>
        <w:jc w:val="both"/>
        <w:rPr>
          <w:rFonts w:cstheme="minorHAnsi"/>
          <w:sz w:val="24"/>
          <w:szCs w:val="24"/>
        </w:rPr>
      </w:pPr>
      <w:r w:rsidRPr="00F83FBE">
        <w:rPr>
          <w:rFonts w:cstheme="minorHAnsi"/>
          <w:sz w:val="24"/>
          <w:szCs w:val="24"/>
        </w:rPr>
        <w:t>Planirani vlastiti prihodi iznose 35.005,00</w:t>
      </w:r>
      <w:r>
        <w:rPr>
          <w:rFonts w:cstheme="minorHAnsi"/>
          <w:sz w:val="24"/>
          <w:szCs w:val="24"/>
        </w:rPr>
        <w:t xml:space="preserve"> eura</w:t>
      </w:r>
      <w:r w:rsidRPr="00F83FBE">
        <w:rPr>
          <w:rFonts w:cstheme="minorHAnsi"/>
          <w:sz w:val="24"/>
          <w:szCs w:val="24"/>
        </w:rPr>
        <w:t xml:space="preserve"> a ostvareno je </w:t>
      </w:r>
      <w:r>
        <w:rPr>
          <w:rFonts w:cstheme="minorHAnsi"/>
          <w:sz w:val="24"/>
          <w:szCs w:val="24"/>
        </w:rPr>
        <w:t>29.529,89 eura</w:t>
      </w:r>
      <w:r w:rsidRPr="00F83FBE">
        <w:rPr>
          <w:rFonts w:cstheme="minorHAnsi"/>
          <w:sz w:val="24"/>
          <w:szCs w:val="24"/>
        </w:rPr>
        <w:t xml:space="preserve"> što iznosi 84,36% financijskog plana. Vlastiti prihodi su ostvareni na temelju prihoda od pruženih usluga koji se odnose na usluge sustava vatrodojave. </w:t>
      </w:r>
    </w:p>
    <w:p w14:paraId="63BD3649" w14:textId="77777777" w:rsidR="00F83FBE" w:rsidRPr="00F83FBE" w:rsidRDefault="00F83FBE" w:rsidP="00F83FBE">
      <w:pPr>
        <w:spacing w:after="0"/>
        <w:jc w:val="both"/>
        <w:rPr>
          <w:rFonts w:cstheme="minorHAnsi"/>
          <w:sz w:val="24"/>
          <w:szCs w:val="24"/>
        </w:rPr>
      </w:pPr>
      <w:r w:rsidRPr="00F83FBE">
        <w:rPr>
          <w:rFonts w:cstheme="minorHAnsi"/>
          <w:sz w:val="24"/>
          <w:szCs w:val="24"/>
        </w:rPr>
        <w:t>Sredstva su utrošena na sljedeće proračunske stavke:</w:t>
      </w:r>
    </w:p>
    <w:p w14:paraId="6CD867E8" w14:textId="39AA919D" w:rsidR="00F83FBE" w:rsidRPr="00F83FBE" w:rsidRDefault="00F83FBE" w:rsidP="00F83FBE">
      <w:pPr>
        <w:spacing w:after="0"/>
        <w:jc w:val="both"/>
        <w:rPr>
          <w:rFonts w:cstheme="minorHAnsi"/>
          <w:sz w:val="24"/>
          <w:szCs w:val="24"/>
        </w:rPr>
      </w:pPr>
      <w:r w:rsidRPr="00F83FBE">
        <w:rPr>
          <w:rFonts w:cstheme="minorHAnsi"/>
          <w:sz w:val="24"/>
          <w:szCs w:val="24"/>
        </w:rPr>
        <w:t>-Službenu, radnu i zaštitnu odjeću i obuću u iznosu od 7.901,80</w:t>
      </w:r>
      <w:r>
        <w:rPr>
          <w:rFonts w:cstheme="minorHAnsi"/>
          <w:sz w:val="24"/>
          <w:szCs w:val="24"/>
        </w:rPr>
        <w:t xml:space="preserve"> eura</w:t>
      </w:r>
      <w:r w:rsidRPr="00F83FBE">
        <w:rPr>
          <w:rFonts w:cstheme="minorHAnsi"/>
          <w:sz w:val="24"/>
          <w:szCs w:val="24"/>
        </w:rPr>
        <w:t xml:space="preserve"> i utrošena su na odjeću potrebnu za rad vatrogasaca i izvršeno je 89,79% financijskog plana</w:t>
      </w:r>
    </w:p>
    <w:p w14:paraId="451723DF" w14:textId="39885C16" w:rsidR="00F83FBE" w:rsidRPr="00F83FBE" w:rsidRDefault="00F83FBE" w:rsidP="00F83FBE">
      <w:pPr>
        <w:spacing w:after="0"/>
        <w:jc w:val="both"/>
        <w:rPr>
          <w:rFonts w:cstheme="minorHAnsi"/>
          <w:sz w:val="24"/>
          <w:szCs w:val="24"/>
        </w:rPr>
      </w:pPr>
      <w:r w:rsidRPr="00F83FBE">
        <w:rPr>
          <w:rFonts w:cstheme="minorHAnsi"/>
          <w:sz w:val="24"/>
          <w:szCs w:val="24"/>
        </w:rPr>
        <w:t>-Usluge tekućeg i investicijskog održavanja u iznosu od 6.641,41</w:t>
      </w:r>
      <w:r>
        <w:rPr>
          <w:rFonts w:cstheme="minorHAnsi"/>
          <w:sz w:val="24"/>
          <w:szCs w:val="24"/>
        </w:rPr>
        <w:t xml:space="preserve"> eura</w:t>
      </w:r>
      <w:r w:rsidRPr="00F83FBE">
        <w:rPr>
          <w:rFonts w:cstheme="minorHAnsi"/>
          <w:sz w:val="24"/>
          <w:szCs w:val="24"/>
        </w:rPr>
        <w:t xml:space="preserve"> i utrošena su na tekuće održavanje vozila i opreme i izvršeno je 80,99% financijskog plana</w:t>
      </w:r>
    </w:p>
    <w:p w14:paraId="23C7EDC4" w14:textId="79DFD45E" w:rsidR="00F83FBE" w:rsidRPr="00F83FBE" w:rsidRDefault="00F83FBE" w:rsidP="00F83FBE">
      <w:pPr>
        <w:spacing w:after="0"/>
        <w:jc w:val="both"/>
        <w:rPr>
          <w:rFonts w:cstheme="minorHAnsi"/>
          <w:sz w:val="24"/>
          <w:szCs w:val="24"/>
        </w:rPr>
      </w:pPr>
      <w:r w:rsidRPr="00F83FBE">
        <w:rPr>
          <w:rFonts w:cstheme="minorHAnsi"/>
          <w:sz w:val="24"/>
          <w:szCs w:val="24"/>
        </w:rPr>
        <w:t>-Ostale usluge u iznosu od 4.197,50</w:t>
      </w:r>
      <w:r>
        <w:rPr>
          <w:rFonts w:cstheme="minorHAnsi"/>
          <w:sz w:val="24"/>
          <w:szCs w:val="24"/>
        </w:rPr>
        <w:t xml:space="preserve"> eura</w:t>
      </w:r>
      <w:r w:rsidRPr="00F83FBE">
        <w:rPr>
          <w:rFonts w:cstheme="minorHAnsi"/>
          <w:sz w:val="24"/>
          <w:szCs w:val="24"/>
        </w:rPr>
        <w:t xml:space="preserve"> i utrošeno je na održavanje sustava vatrodojave i izvršeno je 76,25% financijskog plana.</w:t>
      </w:r>
    </w:p>
    <w:p w14:paraId="47F9442E" w14:textId="12AEFA99" w:rsidR="00F83FBE" w:rsidRPr="00F83FBE" w:rsidRDefault="00F83FBE" w:rsidP="00F83FBE">
      <w:pPr>
        <w:spacing w:after="0"/>
        <w:jc w:val="both"/>
        <w:rPr>
          <w:rFonts w:cstheme="minorHAnsi"/>
          <w:sz w:val="24"/>
          <w:szCs w:val="24"/>
        </w:rPr>
      </w:pPr>
      <w:r w:rsidRPr="00F83FBE">
        <w:rPr>
          <w:rFonts w:cstheme="minorHAnsi"/>
          <w:sz w:val="24"/>
          <w:szCs w:val="24"/>
        </w:rPr>
        <w:t>-Oprema za održavanje i zaštitu u iznosu od 10.789,18</w:t>
      </w:r>
      <w:r>
        <w:rPr>
          <w:rFonts w:cstheme="minorHAnsi"/>
          <w:sz w:val="24"/>
          <w:szCs w:val="24"/>
        </w:rPr>
        <w:t xml:space="preserve"> eura</w:t>
      </w:r>
      <w:r w:rsidRPr="00F83FBE">
        <w:rPr>
          <w:rFonts w:cstheme="minorHAnsi"/>
          <w:sz w:val="24"/>
          <w:szCs w:val="24"/>
        </w:rPr>
        <w:t xml:space="preserve"> i utrošeno je na opremu za zaštitu od požara i izvršeno je 98,08% financijskog plana.</w:t>
      </w:r>
    </w:p>
    <w:p w14:paraId="4A32A0CF" w14:textId="77777777" w:rsidR="00A22FEB" w:rsidRDefault="00A22FEB" w:rsidP="0079478E">
      <w:pPr>
        <w:spacing w:after="0" w:line="240" w:lineRule="auto"/>
        <w:jc w:val="both"/>
        <w:rPr>
          <w:rFonts w:cstheme="minorHAnsi"/>
          <w:b/>
          <w:bCs/>
          <w:sz w:val="24"/>
          <w:szCs w:val="24"/>
          <w:u w:val="single"/>
        </w:rPr>
      </w:pPr>
    </w:p>
    <w:p w14:paraId="1F1F092C" w14:textId="77777777" w:rsidR="00987059" w:rsidRPr="00987059" w:rsidRDefault="00987059" w:rsidP="00987059">
      <w:pPr>
        <w:spacing w:after="0"/>
        <w:jc w:val="both"/>
        <w:rPr>
          <w:rFonts w:cstheme="minorHAnsi"/>
          <w:b/>
          <w:bCs/>
          <w:sz w:val="24"/>
          <w:szCs w:val="24"/>
        </w:rPr>
      </w:pPr>
      <w:r w:rsidRPr="00987059">
        <w:rPr>
          <w:rFonts w:cstheme="minorHAnsi"/>
          <w:b/>
          <w:bCs/>
          <w:sz w:val="24"/>
          <w:szCs w:val="24"/>
        </w:rPr>
        <w:t>4.4. OSTALI PRIHODI ZA POSEBNE NAMJENE</w:t>
      </w:r>
    </w:p>
    <w:p w14:paraId="04AFA4D8" w14:textId="38030376" w:rsidR="00987059" w:rsidRPr="00987059" w:rsidRDefault="00987059" w:rsidP="00987059">
      <w:pPr>
        <w:spacing w:after="0"/>
        <w:jc w:val="both"/>
        <w:rPr>
          <w:rFonts w:cstheme="minorHAnsi"/>
          <w:sz w:val="24"/>
          <w:szCs w:val="24"/>
        </w:rPr>
      </w:pPr>
      <w:r w:rsidRPr="00987059">
        <w:rPr>
          <w:rFonts w:cstheme="minorHAnsi"/>
          <w:sz w:val="24"/>
          <w:szCs w:val="24"/>
        </w:rPr>
        <w:t>Ostali prihodi za posebne namjene ostvareni su u iznosu od 7.000,00</w:t>
      </w:r>
      <w:r>
        <w:rPr>
          <w:rFonts w:cstheme="minorHAnsi"/>
          <w:sz w:val="24"/>
          <w:szCs w:val="24"/>
        </w:rPr>
        <w:t xml:space="preserve"> eura</w:t>
      </w:r>
      <w:r w:rsidRPr="00987059">
        <w:rPr>
          <w:rFonts w:cstheme="minorHAnsi"/>
          <w:sz w:val="24"/>
          <w:szCs w:val="24"/>
        </w:rPr>
        <w:t xml:space="preserve"> što čini 34,15%  planiranog financijskog plana. Prihod od 7.000,00</w:t>
      </w:r>
      <w:r>
        <w:rPr>
          <w:rFonts w:cstheme="minorHAnsi"/>
          <w:sz w:val="24"/>
          <w:szCs w:val="24"/>
        </w:rPr>
        <w:t xml:space="preserve"> eura</w:t>
      </w:r>
      <w:r w:rsidRPr="00987059">
        <w:rPr>
          <w:rFonts w:cstheme="minorHAnsi"/>
          <w:sz w:val="24"/>
          <w:szCs w:val="24"/>
        </w:rPr>
        <w:t xml:space="preserve"> se odnosi na prihod od Hrvatske vatrogasne zajednice koji je utrošen na usluge tekućeg i investicijskog održavanja vozila.</w:t>
      </w:r>
    </w:p>
    <w:p w14:paraId="6153AD5C" w14:textId="77777777" w:rsidR="00987059" w:rsidRDefault="00987059" w:rsidP="00987059">
      <w:pPr>
        <w:jc w:val="both"/>
        <w:rPr>
          <w:rFonts w:ascii="Arial" w:hAnsi="Arial" w:cs="Arial"/>
        </w:rPr>
      </w:pPr>
    </w:p>
    <w:p w14:paraId="622E99C8" w14:textId="77777777" w:rsidR="00987059" w:rsidRPr="00987059" w:rsidRDefault="00987059" w:rsidP="00987059">
      <w:pPr>
        <w:spacing w:after="0"/>
        <w:jc w:val="both"/>
        <w:rPr>
          <w:rFonts w:cstheme="minorHAnsi"/>
          <w:b/>
          <w:bCs/>
          <w:sz w:val="24"/>
          <w:szCs w:val="24"/>
        </w:rPr>
      </w:pPr>
      <w:r w:rsidRPr="00987059">
        <w:rPr>
          <w:rFonts w:cstheme="minorHAnsi"/>
          <w:b/>
          <w:bCs/>
          <w:sz w:val="24"/>
          <w:szCs w:val="24"/>
        </w:rPr>
        <w:t>4.5. OSTALI PRIHODI ZA POSEBNE NAMJENE-DECENTRALIZACIJA</w:t>
      </w:r>
    </w:p>
    <w:p w14:paraId="30CE750F" w14:textId="40A90176" w:rsidR="00987059" w:rsidRPr="00987059" w:rsidRDefault="00987059" w:rsidP="00987059">
      <w:pPr>
        <w:spacing w:after="0"/>
        <w:jc w:val="both"/>
        <w:rPr>
          <w:rFonts w:cstheme="minorHAnsi"/>
          <w:sz w:val="24"/>
          <w:szCs w:val="24"/>
        </w:rPr>
      </w:pPr>
      <w:r w:rsidRPr="00987059">
        <w:rPr>
          <w:rFonts w:cstheme="minorHAnsi"/>
          <w:sz w:val="24"/>
          <w:szCs w:val="24"/>
        </w:rPr>
        <w:t>Prihodi su ostvareni u iznosu od 326.114,00 eura što je utrošeno na rashode za plaće zaposlenih i ostvareno je 100% financijskog plana.</w:t>
      </w:r>
    </w:p>
    <w:p w14:paraId="0B10AC96" w14:textId="77777777" w:rsidR="0079478E" w:rsidRDefault="0079478E" w:rsidP="0079478E">
      <w:pPr>
        <w:spacing w:after="0" w:line="240" w:lineRule="auto"/>
        <w:jc w:val="both"/>
        <w:rPr>
          <w:rFonts w:cstheme="minorHAnsi"/>
          <w:sz w:val="24"/>
          <w:szCs w:val="24"/>
          <w:u w:val="single"/>
        </w:rPr>
      </w:pPr>
    </w:p>
    <w:p w14:paraId="19B9AA92" w14:textId="77777777" w:rsidR="0079478E" w:rsidRPr="00867AD8" w:rsidRDefault="0079478E" w:rsidP="0079478E">
      <w:pPr>
        <w:spacing w:after="0" w:line="240" w:lineRule="auto"/>
        <w:jc w:val="both"/>
        <w:rPr>
          <w:rFonts w:cstheme="minorHAnsi"/>
          <w:b/>
          <w:sz w:val="24"/>
          <w:szCs w:val="24"/>
        </w:rPr>
      </w:pPr>
      <w:r w:rsidRPr="00867AD8">
        <w:rPr>
          <w:rFonts w:cstheme="minorHAnsi"/>
          <w:b/>
          <w:sz w:val="24"/>
          <w:szCs w:val="24"/>
        </w:rPr>
        <w:t xml:space="preserve">POSEBNI DIO </w:t>
      </w:r>
    </w:p>
    <w:p w14:paraId="355267B8" w14:textId="010EB6CC" w:rsidR="0079478E" w:rsidRDefault="0079478E" w:rsidP="0079478E">
      <w:pPr>
        <w:spacing w:after="0" w:line="240" w:lineRule="auto"/>
        <w:jc w:val="both"/>
        <w:rPr>
          <w:rFonts w:cstheme="minorHAnsi"/>
          <w:sz w:val="24"/>
          <w:szCs w:val="24"/>
        </w:rPr>
      </w:pPr>
      <w:r w:rsidRPr="005C19E2">
        <w:rPr>
          <w:rFonts w:cstheme="minorHAnsi"/>
          <w:sz w:val="24"/>
          <w:szCs w:val="24"/>
        </w:rPr>
        <w:t>Glava 021</w:t>
      </w:r>
      <w:r w:rsidR="000263DA">
        <w:rPr>
          <w:rFonts w:cstheme="minorHAnsi"/>
          <w:sz w:val="24"/>
          <w:szCs w:val="24"/>
        </w:rPr>
        <w:t>15</w:t>
      </w:r>
      <w:r w:rsidRPr="005C19E2">
        <w:rPr>
          <w:rFonts w:cstheme="minorHAnsi"/>
          <w:sz w:val="24"/>
          <w:szCs w:val="24"/>
        </w:rPr>
        <w:t xml:space="preserve"> –JVP Grad Trogir obuhvaća </w:t>
      </w:r>
      <w:r>
        <w:rPr>
          <w:rFonts w:cstheme="minorHAnsi"/>
          <w:sz w:val="24"/>
          <w:szCs w:val="24"/>
        </w:rPr>
        <w:t xml:space="preserve">jedan program koji sadrži jednu aktivnost i </w:t>
      </w:r>
      <w:r w:rsidR="000263DA">
        <w:rPr>
          <w:rFonts w:cstheme="minorHAnsi"/>
          <w:sz w:val="24"/>
          <w:szCs w:val="24"/>
        </w:rPr>
        <w:t xml:space="preserve">dva kapitalna projekta </w:t>
      </w:r>
      <w:r>
        <w:rPr>
          <w:rFonts w:cstheme="minorHAnsi"/>
          <w:sz w:val="24"/>
          <w:szCs w:val="24"/>
        </w:rPr>
        <w:t>kojima se izvršavaju rashodi za zaposlene i materijalni rashodi, a obuhvaćaju financiranje decentraliziranih funkcija vatrogastva i financiranje iznad minimalnog državnog standarda. Cilj programa je praćenje i podmirivanje planiranih rashoda za redovno funkcioniranje JVP Grada Trogira, a time i osiguranje što veće kvalitete protupožarne zaštite.</w:t>
      </w:r>
    </w:p>
    <w:p w14:paraId="3561CF12" w14:textId="77777777" w:rsidR="0079478E" w:rsidRDefault="0079478E" w:rsidP="0079478E">
      <w:pPr>
        <w:spacing w:after="0" w:line="240" w:lineRule="auto"/>
        <w:jc w:val="both"/>
        <w:rPr>
          <w:rFonts w:cstheme="minorHAnsi"/>
          <w:sz w:val="24"/>
          <w:szCs w:val="24"/>
        </w:rPr>
      </w:pPr>
      <w:r>
        <w:rPr>
          <w:rFonts w:cstheme="minorHAnsi"/>
          <w:sz w:val="24"/>
          <w:szCs w:val="24"/>
        </w:rPr>
        <w:t xml:space="preserve">Sredstvima planiram i utrošenim ovim programom omogućeno je Javnoj vatrogasnoj postrojbi Grada Trogira obavljanje osnovne djelatnosti gašenja požara, spašavanja ljudi i imovine ugroženih požarom ili drugim nesrećama. </w:t>
      </w:r>
    </w:p>
    <w:p w14:paraId="09BC27C2" w14:textId="77777777" w:rsidR="00DC3142" w:rsidRDefault="00DC3142" w:rsidP="0079478E">
      <w:pPr>
        <w:spacing w:after="0" w:line="240" w:lineRule="auto"/>
        <w:jc w:val="both"/>
        <w:rPr>
          <w:rFonts w:cstheme="minorHAnsi"/>
          <w:sz w:val="24"/>
          <w:szCs w:val="24"/>
          <w:u w:val="single"/>
        </w:rPr>
      </w:pPr>
    </w:p>
    <w:p w14:paraId="4C44FF25" w14:textId="2EAEFA11" w:rsidR="0079478E" w:rsidRDefault="0079478E" w:rsidP="0079478E">
      <w:pPr>
        <w:spacing w:after="0" w:line="240" w:lineRule="auto"/>
        <w:jc w:val="both"/>
        <w:rPr>
          <w:rFonts w:cstheme="minorHAnsi"/>
          <w:sz w:val="24"/>
          <w:szCs w:val="24"/>
          <w:u w:val="single"/>
        </w:rPr>
      </w:pPr>
      <w:r>
        <w:rPr>
          <w:rFonts w:cstheme="minorHAnsi"/>
          <w:sz w:val="24"/>
          <w:szCs w:val="24"/>
          <w:u w:val="single"/>
        </w:rPr>
        <w:t>Program 1207</w:t>
      </w:r>
      <w:r w:rsidRPr="005C19E2">
        <w:rPr>
          <w:rFonts w:cstheme="minorHAnsi"/>
          <w:sz w:val="24"/>
          <w:szCs w:val="24"/>
          <w:u w:val="single"/>
        </w:rPr>
        <w:t xml:space="preserve"> </w:t>
      </w:r>
      <w:r>
        <w:rPr>
          <w:rFonts w:cstheme="minorHAnsi"/>
          <w:sz w:val="24"/>
          <w:szCs w:val="24"/>
          <w:u w:val="single"/>
        </w:rPr>
        <w:t>Civilna zaštita</w:t>
      </w:r>
    </w:p>
    <w:p w14:paraId="0DFD1F23" w14:textId="4A2691CF" w:rsidR="0079478E" w:rsidRDefault="0079478E" w:rsidP="0079478E">
      <w:pPr>
        <w:spacing w:after="0" w:line="240" w:lineRule="auto"/>
        <w:jc w:val="both"/>
        <w:rPr>
          <w:rFonts w:cstheme="minorHAnsi"/>
          <w:sz w:val="24"/>
          <w:szCs w:val="24"/>
        </w:rPr>
      </w:pPr>
      <w:r w:rsidRPr="008C0DBF">
        <w:rPr>
          <w:rFonts w:cstheme="minorHAnsi"/>
          <w:sz w:val="24"/>
          <w:szCs w:val="24"/>
        </w:rPr>
        <w:t xml:space="preserve">Ovaj </w:t>
      </w:r>
      <w:r>
        <w:rPr>
          <w:rFonts w:cstheme="minorHAnsi"/>
          <w:sz w:val="24"/>
          <w:szCs w:val="24"/>
        </w:rPr>
        <w:t>program financira se sredstvima iz Proračuna Grada Trogira, iz Državnog proračuna kroz sredstva za decentralizirane funkcije vatrogastva za koja su Proračunom za 202</w:t>
      </w:r>
      <w:r w:rsidR="000263DA">
        <w:rPr>
          <w:rFonts w:cstheme="minorHAnsi"/>
          <w:sz w:val="24"/>
          <w:szCs w:val="24"/>
        </w:rPr>
        <w:t>5.</w:t>
      </w:r>
      <w:r>
        <w:rPr>
          <w:rFonts w:cstheme="minorHAnsi"/>
          <w:sz w:val="24"/>
          <w:szCs w:val="24"/>
        </w:rPr>
        <w:t xml:space="preserve"> godinu planirana sredstva u iznosu od </w:t>
      </w:r>
      <w:r w:rsidR="000263DA">
        <w:rPr>
          <w:rFonts w:cstheme="minorHAnsi"/>
          <w:sz w:val="24"/>
          <w:szCs w:val="24"/>
        </w:rPr>
        <w:t>326.114,00</w:t>
      </w:r>
      <w:r>
        <w:rPr>
          <w:rFonts w:cstheme="minorHAnsi"/>
          <w:sz w:val="24"/>
          <w:szCs w:val="24"/>
        </w:rPr>
        <w:t xml:space="preserve"> eura sukladno Odluci o minimalnim financijskim standardima za obavljanje djelatnosti javnih vatrogasnih postrojbi u 202</w:t>
      </w:r>
      <w:r w:rsidR="000263DA">
        <w:rPr>
          <w:rFonts w:cstheme="minorHAnsi"/>
          <w:sz w:val="24"/>
          <w:szCs w:val="24"/>
        </w:rPr>
        <w:t>5</w:t>
      </w:r>
      <w:r>
        <w:rPr>
          <w:rFonts w:cstheme="minorHAnsi"/>
          <w:sz w:val="24"/>
          <w:szCs w:val="24"/>
        </w:rPr>
        <w:t>. godini.</w:t>
      </w:r>
    </w:p>
    <w:p w14:paraId="42A03C62" w14:textId="5E3C23FE" w:rsidR="0079478E" w:rsidRPr="00827604" w:rsidRDefault="0079478E" w:rsidP="0079478E">
      <w:pPr>
        <w:spacing w:after="0" w:line="240" w:lineRule="auto"/>
        <w:jc w:val="both"/>
        <w:rPr>
          <w:rFonts w:cstheme="minorHAnsi"/>
          <w:sz w:val="24"/>
          <w:szCs w:val="24"/>
        </w:rPr>
      </w:pPr>
      <w:r w:rsidRPr="005C19E2">
        <w:rPr>
          <w:rFonts w:cstheme="minorHAnsi"/>
          <w:sz w:val="24"/>
          <w:szCs w:val="24"/>
        </w:rPr>
        <w:lastRenderedPageBreak/>
        <w:t xml:space="preserve">Program se </w:t>
      </w:r>
      <w:r>
        <w:rPr>
          <w:rFonts w:cstheme="minorHAnsi"/>
          <w:sz w:val="24"/>
          <w:szCs w:val="24"/>
        </w:rPr>
        <w:t>izvršava sukladno Uredbi Vlade RH o načinu financiranja decentraliziranih funkcija te načinu izračuna iznosa pomoći izravnanja za decentralizirane funkcije jedinica lokalne i područne (regionalne) samouprave za 202</w:t>
      </w:r>
      <w:r w:rsidR="000263DA">
        <w:rPr>
          <w:rFonts w:cstheme="minorHAnsi"/>
          <w:sz w:val="24"/>
          <w:szCs w:val="24"/>
        </w:rPr>
        <w:t>5</w:t>
      </w:r>
      <w:r>
        <w:rPr>
          <w:rFonts w:cstheme="minorHAnsi"/>
          <w:sz w:val="24"/>
          <w:szCs w:val="24"/>
        </w:rPr>
        <w:t>. godinu.</w:t>
      </w:r>
    </w:p>
    <w:p w14:paraId="18395E0F" w14:textId="0CD05666" w:rsidR="0079478E" w:rsidRDefault="0079478E" w:rsidP="0079478E">
      <w:pPr>
        <w:autoSpaceDE w:val="0"/>
        <w:autoSpaceDN w:val="0"/>
        <w:adjustRightInd w:val="0"/>
        <w:spacing w:after="0"/>
        <w:jc w:val="both"/>
        <w:rPr>
          <w:rFonts w:cstheme="minorHAnsi"/>
          <w:sz w:val="24"/>
          <w:szCs w:val="24"/>
        </w:rPr>
      </w:pPr>
      <w:r w:rsidRPr="004A659B">
        <w:rPr>
          <w:rFonts w:cstheme="minorHAnsi"/>
          <w:sz w:val="24"/>
          <w:szCs w:val="24"/>
        </w:rPr>
        <w:t xml:space="preserve">Sredstva za financiranje decentraliziranih funkcija javnih vatrogasnih postrojbi, osnivači i suosnivači javnih vatrogasnih postrojbi ostvaruju iz dodatnog udjela u porezu na dohodak po stopi od 1,0%, a razliku do visine potrebnih </w:t>
      </w:r>
      <w:r>
        <w:rPr>
          <w:rFonts w:cstheme="minorHAnsi"/>
          <w:sz w:val="24"/>
          <w:szCs w:val="24"/>
        </w:rPr>
        <w:t>sredstava u skladu sa spomenutom Uredbom</w:t>
      </w:r>
      <w:r w:rsidRPr="004A659B">
        <w:rPr>
          <w:rFonts w:cstheme="minorHAnsi"/>
          <w:sz w:val="24"/>
          <w:szCs w:val="24"/>
        </w:rPr>
        <w:t xml:space="preserve"> ostvaruju s pozicije pomoći izravnanja za decentralizirane funkcije u Državnom proračunu Republike Hrvatske.</w:t>
      </w:r>
      <w:r w:rsidRPr="00580385">
        <w:rPr>
          <w:rFonts w:ascii="Arial" w:hAnsi="Arial" w:cs="Arial"/>
        </w:rPr>
        <w:t xml:space="preserve"> </w:t>
      </w:r>
      <w:r w:rsidRPr="00D73301">
        <w:rPr>
          <w:rFonts w:cstheme="minorHAnsi"/>
          <w:sz w:val="24"/>
          <w:szCs w:val="24"/>
        </w:rPr>
        <w:t xml:space="preserve">Realizirani rashodi koji se odnose na redovna prava zaposlenih i tekuće rashode kojima se </w:t>
      </w:r>
      <w:r>
        <w:rPr>
          <w:rFonts w:cstheme="minorHAnsi"/>
          <w:sz w:val="24"/>
          <w:szCs w:val="24"/>
        </w:rPr>
        <w:t>osigurav</w:t>
      </w:r>
      <w:r w:rsidRPr="00D73301">
        <w:rPr>
          <w:rFonts w:cstheme="minorHAnsi"/>
          <w:sz w:val="24"/>
          <w:szCs w:val="24"/>
        </w:rPr>
        <w:t>a rad Javne vatrogasne postrojbe su podmireni i</w:t>
      </w:r>
      <w:r>
        <w:rPr>
          <w:rFonts w:cstheme="minorHAnsi"/>
          <w:sz w:val="24"/>
          <w:szCs w:val="24"/>
        </w:rPr>
        <w:t xml:space="preserve">z dva izvora i to </w:t>
      </w:r>
      <w:r w:rsidR="000263DA">
        <w:rPr>
          <w:rFonts w:cstheme="minorHAnsi"/>
          <w:sz w:val="24"/>
          <w:szCs w:val="24"/>
        </w:rPr>
        <w:t>P</w:t>
      </w:r>
      <w:r>
        <w:rPr>
          <w:rFonts w:cstheme="minorHAnsi"/>
          <w:sz w:val="24"/>
          <w:szCs w:val="24"/>
        </w:rPr>
        <w:t>roračuna</w:t>
      </w:r>
      <w:r w:rsidRPr="00D73301">
        <w:rPr>
          <w:rFonts w:cstheme="minorHAnsi"/>
          <w:sz w:val="24"/>
          <w:szCs w:val="24"/>
        </w:rPr>
        <w:t xml:space="preserve"> Grad</w:t>
      </w:r>
      <w:r>
        <w:rPr>
          <w:rFonts w:cstheme="minorHAnsi"/>
          <w:sz w:val="24"/>
          <w:szCs w:val="24"/>
        </w:rPr>
        <w:t>a</w:t>
      </w:r>
      <w:r w:rsidRPr="00D73301">
        <w:rPr>
          <w:rFonts w:cstheme="minorHAnsi"/>
          <w:sz w:val="24"/>
          <w:szCs w:val="24"/>
        </w:rPr>
        <w:t xml:space="preserve"> Trogir</w:t>
      </w:r>
      <w:r>
        <w:rPr>
          <w:rFonts w:cstheme="minorHAnsi"/>
          <w:sz w:val="24"/>
          <w:szCs w:val="24"/>
        </w:rPr>
        <w:t xml:space="preserve">a i decentraliziranih </w:t>
      </w:r>
      <w:r w:rsidRPr="00D73301">
        <w:rPr>
          <w:rFonts w:cstheme="minorHAnsi"/>
          <w:sz w:val="24"/>
          <w:szCs w:val="24"/>
        </w:rPr>
        <w:t>sre</w:t>
      </w:r>
      <w:r>
        <w:rPr>
          <w:rFonts w:cstheme="minorHAnsi"/>
          <w:sz w:val="24"/>
          <w:szCs w:val="24"/>
        </w:rPr>
        <w:t xml:space="preserve">dstava. </w:t>
      </w:r>
    </w:p>
    <w:p w14:paraId="461AF3A9" w14:textId="77777777" w:rsidR="00934563" w:rsidRDefault="00934563" w:rsidP="0079478E">
      <w:pPr>
        <w:autoSpaceDE w:val="0"/>
        <w:autoSpaceDN w:val="0"/>
        <w:adjustRightInd w:val="0"/>
        <w:spacing w:after="0"/>
        <w:jc w:val="both"/>
        <w:rPr>
          <w:rFonts w:cstheme="minorHAnsi"/>
          <w:sz w:val="24"/>
          <w:szCs w:val="24"/>
        </w:rPr>
      </w:pPr>
    </w:p>
    <w:p w14:paraId="79E00002" w14:textId="61FBABDA" w:rsidR="004C03B0" w:rsidRDefault="0079478E" w:rsidP="0079478E">
      <w:pPr>
        <w:autoSpaceDE w:val="0"/>
        <w:autoSpaceDN w:val="0"/>
        <w:adjustRightInd w:val="0"/>
        <w:spacing w:after="0"/>
        <w:jc w:val="both"/>
        <w:rPr>
          <w:rFonts w:cstheme="minorHAnsi"/>
          <w:sz w:val="24"/>
          <w:szCs w:val="24"/>
        </w:rPr>
      </w:pPr>
      <w:r w:rsidRPr="000D106D">
        <w:rPr>
          <w:rFonts w:cstheme="minorHAnsi"/>
          <w:sz w:val="24"/>
          <w:szCs w:val="24"/>
          <w:u w:val="single"/>
        </w:rPr>
        <w:t>Kapitalni projekt Nabava novog vatrogasnog vozila</w:t>
      </w:r>
      <w:r>
        <w:rPr>
          <w:rFonts w:cstheme="minorHAnsi"/>
          <w:sz w:val="24"/>
          <w:szCs w:val="24"/>
        </w:rPr>
        <w:t xml:space="preserve"> bilježi ostvarenje u izvještajnom razdoblju u iznosu od </w:t>
      </w:r>
      <w:r w:rsidR="00DC3142">
        <w:rPr>
          <w:rFonts w:cstheme="minorHAnsi"/>
          <w:sz w:val="24"/>
          <w:szCs w:val="24"/>
        </w:rPr>
        <w:t>28.</w:t>
      </w:r>
      <w:r w:rsidR="000263DA">
        <w:rPr>
          <w:rFonts w:cstheme="minorHAnsi"/>
          <w:sz w:val="24"/>
          <w:szCs w:val="24"/>
        </w:rPr>
        <w:t>007,61</w:t>
      </w:r>
      <w:r>
        <w:rPr>
          <w:rFonts w:cstheme="minorHAnsi"/>
          <w:sz w:val="24"/>
          <w:szCs w:val="24"/>
        </w:rPr>
        <w:t xml:space="preserve"> eura</w:t>
      </w:r>
      <w:r w:rsidR="00DC3142">
        <w:rPr>
          <w:rFonts w:cstheme="minorHAnsi"/>
          <w:sz w:val="24"/>
          <w:szCs w:val="24"/>
        </w:rPr>
        <w:t xml:space="preserve"> ili </w:t>
      </w:r>
      <w:r w:rsidR="000263DA">
        <w:rPr>
          <w:rFonts w:cstheme="minorHAnsi"/>
          <w:sz w:val="24"/>
          <w:szCs w:val="24"/>
        </w:rPr>
        <w:t>99,32</w:t>
      </w:r>
      <w:r w:rsidR="00DC3142">
        <w:rPr>
          <w:rFonts w:cstheme="minorHAnsi"/>
          <w:sz w:val="24"/>
          <w:szCs w:val="24"/>
        </w:rPr>
        <w:t>% plana</w:t>
      </w:r>
      <w:r>
        <w:rPr>
          <w:rFonts w:cstheme="minorHAnsi"/>
          <w:sz w:val="24"/>
          <w:szCs w:val="24"/>
        </w:rPr>
        <w:t>. Dana 29.prosinca 2022.godine realiziran je dugoročni kredit kod Hrvatske poštanske banke u iznosu od 104.452,85 eura za nabavu novog vatrogasnog vozila. Realizirani iznos odnosi se na otplatu glavnice dugoročnog kredita koja je počela  1.siječnja 2024.godine</w:t>
      </w:r>
      <w:r w:rsidR="000263DA">
        <w:rPr>
          <w:rFonts w:cstheme="minorHAnsi"/>
          <w:sz w:val="24"/>
          <w:szCs w:val="24"/>
        </w:rPr>
        <w:t xml:space="preserve">  u iznosu od 26.113,20 eura i kamata u iznosu od 1.894,41 eura.</w:t>
      </w:r>
    </w:p>
    <w:p w14:paraId="59536DF0" w14:textId="10D33048" w:rsidR="003415CB" w:rsidRPr="003415CB" w:rsidRDefault="003415CB" w:rsidP="003415CB">
      <w:pPr>
        <w:jc w:val="both"/>
        <w:rPr>
          <w:rFonts w:cstheme="minorHAnsi"/>
          <w:sz w:val="24"/>
          <w:szCs w:val="24"/>
        </w:rPr>
      </w:pPr>
      <w:r w:rsidRPr="003415CB">
        <w:rPr>
          <w:rFonts w:cstheme="minorHAnsi"/>
          <w:sz w:val="24"/>
          <w:szCs w:val="24"/>
        </w:rPr>
        <w:t>Na dan 31.12.2025. godine ostalo je za otplatiti 52.226,45</w:t>
      </w:r>
      <w:r>
        <w:rPr>
          <w:rFonts w:cstheme="minorHAnsi"/>
          <w:sz w:val="24"/>
          <w:szCs w:val="24"/>
        </w:rPr>
        <w:t xml:space="preserve"> eura</w:t>
      </w:r>
      <w:r w:rsidRPr="003415CB">
        <w:rPr>
          <w:rFonts w:cstheme="minorHAnsi"/>
          <w:sz w:val="24"/>
          <w:szCs w:val="24"/>
        </w:rPr>
        <w:t xml:space="preserve"> glavnice kredita.</w:t>
      </w:r>
    </w:p>
    <w:p w14:paraId="69003436" w14:textId="2A19B89C" w:rsidR="000143AD" w:rsidRPr="00F57368" w:rsidRDefault="000143AD" w:rsidP="000143AD">
      <w:pPr>
        <w:pStyle w:val="Bezproreda"/>
        <w:jc w:val="both"/>
        <w:rPr>
          <w:sz w:val="24"/>
          <w:szCs w:val="24"/>
        </w:rPr>
      </w:pPr>
      <w:r w:rsidRPr="005C582E">
        <w:rPr>
          <w:sz w:val="24"/>
          <w:szCs w:val="24"/>
        </w:rPr>
        <w:t xml:space="preserve">Ukupni </w:t>
      </w:r>
      <w:r>
        <w:rPr>
          <w:sz w:val="24"/>
          <w:szCs w:val="24"/>
        </w:rPr>
        <w:t>prihodi</w:t>
      </w:r>
      <w:r w:rsidRPr="005C582E">
        <w:rPr>
          <w:sz w:val="24"/>
          <w:szCs w:val="24"/>
        </w:rPr>
        <w:t xml:space="preserve"> poslovanja u izvještajnom razdoblju </w:t>
      </w:r>
      <w:r>
        <w:rPr>
          <w:sz w:val="24"/>
          <w:szCs w:val="24"/>
        </w:rPr>
        <w:t>2025.</w:t>
      </w:r>
      <w:r w:rsidRPr="005C582E">
        <w:rPr>
          <w:sz w:val="24"/>
          <w:szCs w:val="24"/>
        </w:rPr>
        <w:t xml:space="preserve"> godine, planirani su u iznosu od </w:t>
      </w:r>
      <w:r>
        <w:rPr>
          <w:sz w:val="24"/>
          <w:szCs w:val="24"/>
        </w:rPr>
        <w:t>2.323.719,00 eura</w:t>
      </w:r>
      <w:r w:rsidRPr="005C582E">
        <w:rPr>
          <w:sz w:val="24"/>
          <w:szCs w:val="24"/>
        </w:rPr>
        <w:t xml:space="preserve"> </w:t>
      </w:r>
      <w:r>
        <w:rPr>
          <w:sz w:val="24"/>
          <w:szCs w:val="24"/>
        </w:rPr>
        <w:t xml:space="preserve">a </w:t>
      </w:r>
      <w:r w:rsidRPr="005C582E">
        <w:rPr>
          <w:sz w:val="24"/>
          <w:szCs w:val="24"/>
        </w:rPr>
        <w:t xml:space="preserve">utrošeno je </w:t>
      </w:r>
      <w:r>
        <w:rPr>
          <w:sz w:val="24"/>
          <w:szCs w:val="24"/>
        </w:rPr>
        <w:t>1.457.614,35 eura</w:t>
      </w:r>
      <w:r w:rsidRPr="005C582E">
        <w:rPr>
          <w:sz w:val="24"/>
          <w:szCs w:val="24"/>
        </w:rPr>
        <w:t xml:space="preserve"> što</w:t>
      </w:r>
      <w:r>
        <w:rPr>
          <w:sz w:val="24"/>
          <w:szCs w:val="24"/>
        </w:rPr>
        <w:t xml:space="preserve"> je 62,73% plana.</w:t>
      </w:r>
      <w:r w:rsidRPr="005C582E">
        <w:rPr>
          <w:sz w:val="24"/>
          <w:szCs w:val="24"/>
        </w:rPr>
        <w:t xml:space="preserve"> Ukupni </w:t>
      </w:r>
      <w:r>
        <w:rPr>
          <w:sz w:val="24"/>
          <w:szCs w:val="24"/>
        </w:rPr>
        <w:t>rashodi</w:t>
      </w:r>
      <w:r w:rsidRPr="005C582E">
        <w:rPr>
          <w:sz w:val="24"/>
          <w:szCs w:val="24"/>
        </w:rPr>
        <w:t xml:space="preserve"> poslovanja u izvještajnom razdoblju </w:t>
      </w:r>
      <w:r>
        <w:rPr>
          <w:sz w:val="24"/>
          <w:szCs w:val="24"/>
        </w:rPr>
        <w:t>2025</w:t>
      </w:r>
      <w:r w:rsidRPr="005C582E">
        <w:rPr>
          <w:sz w:val="24"/>
          <w:szCs w:val="24"/>
        </w:rPr>
        <w:t xml:space="preserve">. godine, planirani su u iznosu od </w:t>
      </w:r>
      <w:r>
        <w:rPr>
          <w:sz w:val="24"/>
          <w:szCs w:val="24"/>
        </w:rPr>
        <w:t>2.323.719,00 eura,</w:t>
      </w:r>
      <w:r w:rsidRPr="005C582E">
        <w:rPr>
          <w:sz w:val="24"/>
          <w:szCs w:val="24"/>
        </w:rPr>
        <w:t xml:space="preserve"> a ostvareni su u iznosu od </w:t>
      </w:r>
      <w:r>
        <w:rPr>
          <w:sz w:val="24"/>
          <w:szCs w:val="24"/>
        </w:rPr>
        <w:t>1.462.078,94 eura</w:t>
      </w:r>
      <w:r w:rsidRPr="005C582E">
        <w:rPr>
          <w:sz w:val="24"/>
          <w:szCs w:val="24"/>
        </w:rPr>
        <w:t xml:space="preserve"> što</w:t>
      </w:r>
      <w:r>
        <w:rPr>
          <w:sz w:val="24"/>
          <w:szCs w:val="24"/>
        </w:rPr>
        <w:t xml:space="preserve"> je 62,92% plana.</w:t>
      </w:r>
      <w:r w:rsidRPr="005C582E">
        <w:rPr>
          <w:sz w:val="24"/>
          <w:szCs w:val="24"/>
        </w:rPr>
        <w:t xml:space="preserve"> Ostvaren je </w:t>
      </w:r>
      <w:r>
        <w:rPr>
          <w:sz w:val="24"/>
          <w:szCs w:val="24"/>
        </w:rPr>
        <w:t>manjak</w:t>
      </w:r>
      <w:r w:rsidRPr="005C582E">
        <w:rPr>
          <w:sz w:val="24"/>
          <w:szCs w:val="24"/>
        </w:rPr>
        <w:t xml:space="preserve"> prihoda i primitaka u iznosu od </w:t>
      </w:r>
      <w:r>
        <w:rPr>
          <w:sz w:val="24"/>
          <w:szCs w:val="24"/>
        </w:rPr>
        <w:t>4.464,59 eura šta s prenesenim manjkom u iznosu od 97.145,20 eura daje manjak prihoda za pokriće u sljedećem razdoblju u iznosu od 101.609,79 eura.</w:t>
      </w:r>
    </w:p>
    <w:p w14:paraId="32D3C959" w14:textId="77777777" w:rsidR="008264B1" w:rsidRDefault="008264B1" w:rsidP="00681380">
      <w:pPr>
        <w:tabs>
          <w:tab w:val="left" w:pos="0"/>
        </w:tabs>
        <w:spacing w:after="0" w:line="240" w:lineRule="auto"/>
        <w:rPr>
          <w:rFonts w:ascii="Times New Roman" w:eastAsia="Times New Roman" w:hAnsi="Times New Roman" w:cs="Times New Roman"/>
          <w:b/>
          <w:sz w:val="24"/>
          <w:szCs w:val="24"/>
          <w:lang w:eastAsia="hr-HR"/>
        </w:rPr>
      </w:pPr>
    </w:p>
    <w:p w14:paraId="68E99BC8" w14:textId="77777777" w:rsidR="003F469E" w:rsidRDefault="003F469E" w:rsidP="003F469E">
      <w:pPr>
        <w:tabs>
          <w:tab w:val="left" w:pos="0"/>
        </w:tabs>
        <w:spacing w:after="0" w:line="240" w:lineRule="auto"/>
        <w:rPr>
          <w:rFonts w:ascii="Times New Roman" w:eastAsia="Times New Roman" w:hAnsi="Times New Roman" w:cs="Times New Roman"/>
          <w:b/>
          <w:sz w:val="24"/>
          <w:szCs w:val="24"/>
          <w:lang w:eastAsia="hr-HR"/>
        </w:rPr>
      </w:pPr>
    </w:p>
    <w:p w14:paraId="4454A4DD" w14:textId="77777777" w:rsidR="00670C1A" w:rsidRDefault="00670C1A" w:rsidP="003F469E">
      <w:pPr>
        <w:tabs>
          <w:tab w:val="left" w:pos="0"/>
        </w:tabs>
        <w:spacing w:after="0" w:line="240" w:lineRule="auto"/>
        <w:rPr>
          <w:rFonts w:ascii="Times New Roman" w:eastAsia="Times New Roman" w:hAnsi="Times New Roman" w:cs="Times New Roman"/>
          <w:b/>
          <w:sz w:val="24"/>
          <w:szCs w:val="24"/>
          <w:lang w:eastAsia="hr-HR"/>
        </w:rPr>
      </w:pPr>
    </w:p>
    <w:p w14:paraId="4BD0084C" w14:textId="77777777" w:rsidR="00670C1A" w:rsidRDefault="00670C1A" w:rsidP="003F469E">
      <w:pPr>
        <w:tabs>
          <w:tab w:val="left" w:pos="0"/>
        </w:tabs>
        <w:spacing w:after="0" w:line="240" w:lineRule="auto"/>
        <w:rPr>
          <w:rFonts w:ascii="Times New Roman" w:eastAsia="Times New Roman" w:hAnsi="Times New Roman" w:cs="Times New Roman"/>
          <w:b/>
          <w:sz w:val="24"/>
          <w:szCs w:val="24"/>
          <w:lang w:eastAsia="hr-HR"/>
        </w:rPr>
      </w:pPr>
    </w:p>
    <w:p w14:paraId="22D36073" w14:textId="77777777" w:rsidR="00670C1A" w:rsidRDefault="00670C1A" w:rsidP="003F469E">
      <w:pPr>
        <w:tabs>
          <w:tab w:val="left" w:pos="0"/>
        </w:tabs>
        <w:spacing w:after="0" w:line="240" w:lineRule="auto"/>
        <w:rPr>
          <w:rFonts w:ascii="Times New Roman" w:eastAsia="Times New Roman" w:hAnsi="Times New Roman" w:cs="Times New Roman"/>
          <w:b/>
          <w:sz w:val="24"/>
          <w:szCs w:val="24"/>
          <w:lang w:eastAsia="hr-HR"/>
        </w:rPr>
      </w:pPr>
    </w:p>
    <w:p w14:paraId="6CA87DE3" w14:textId="77777777" w:rsidR="00670C1A" w:rsidRDefault="00670C1A" w:rsidP="003F469E">
      <w:pPr>
        <w:tabs>
          <w:tab w:val="left" w:pos="0"/>
        </w:tabs>
        <w:spacing w:after="0" w:line="240" w:lineRule="auto"/>
        <w:rPr>
          <w:rFonts w:ascii="Times New Roman" w:eastAsia="Times New Roman" w:hAnsi="Times New Roman" w:cs="Times New Roman"/>
          <w:b/>
          <w:sz w:val="24"/>
          <w:szCs w:val="24"/>
          <w:lang w:eastAsia="hr-HR"/>
        </w:rPr>
      </w:pPr>
    </w:p>
    <w:p w14:paraId="6994B6D6" w14:textId="77777777" w:rsidR="00670C1A" w:rsidRDefault="00670C1A" w:rsidP="003F469E">
      <w:pPr>
        <w:tabs>
          <w:tab w:val="left" w:pos="0"/>
        </w:tabs>
        <w:spacing w:after="0" w:line="240" w:lineRule="auto"/>
        <w:rPr>
          <w:rFonts w:ascii="Times New Roman" w:eastAsia="Times New Roman" w:hAnsi="Times New Roman" w:cs="Times New Roman"/>
          <w:b/>
          <w:sz w:val="24"/>
          <w:szCs w:val="24"/>
          <w:lang w:eastAsia="hr-HR"/>
        </w:rPr>
      </w:pPr>
    </w:p>
    <w:p w14:paraId="2373DCE4" w14:textId="77777777" w:rsidR="00670C1A" w:rsidRDefault="00670C1A" w:rsidP="003F469E">
      <w:pPr>
        <w:tabs>
          <w:tab w:val="left" w:pos="0"/>
        </w:tabs>
        <w:spacing w:after="0" w:line="240" w:lineRule="auto"/>
        <w:rPr>
          <w:rFonts w:ascii="Times New Roman" w:eastAsia="Times New Roman" w:hAnsi="Times New Roman" w:cs="Times New Roman"/>
          <w:b/>
          <w:sz w:val="24"/>
          <w:szCs w:val="24"/>
          <w:lang w:eastAsia="hr-HR"/>
        </w:rPr>
      </w:pPr>
    </w:p>
    <w:p w14:paraId="785F0B7D" w14:textId="77777777" w:rsidR="00670C1A" w:rsidRDefault="00670C1A" w:rsidP="003F469E">
      <w:pPr>
        <w:tabs>
          <w:tab w:val="left" w:pos="0"/>
        </w:tabs>
        <w:spacing w:after="0" w:line="240" w:lineRule="auto"/>
        <w:rPr>
          <w:rFonts w:ascii="Times New Roman" w:eastAsia="Times New Roman" w:hAnsi="Times New Roman" w:cs="Times New Roman"/>
          <w:b/>
          <w:sz w:val="24"/>
          <w:szCs w:val="24"/>
          <w:lang w:eastAsia="hr-HR"/>
        </w:rPr>
      </w:pPr>
    </w:p>
    <w:p w14:paraId="0E6E07E3" w14:textId="77777777" w:rsidR="00670C1A" w:rsidRDefault="00670C1A" w:rsidP="003F469E">
      <w:pPr>
        <w:tabs>
          <w:tab w:val="left" w:pos="0"/>
        </w:tabs>
        <w:spacing w:after="0" w:line="240" w:lineRule="auto"/>
        <w:rPr>
          <w:rFonts w:ascii="Times New Roman" w:eastAsia="Times New Roman" w:hAnsi="Times New Roman" w:cs="Times New Roman"/>
          <w:b/>
          <w:sz w:val="24"/>
          <w:szCs w:val="24"/>
          <w:lang w:eastAsia="hr-HR"/>
        </w:rPr>
      </w:pPr>
    </w:p>
    <w:p w14:paraId="323570FC" w14:textId="77777777" w:rsidR="00670C1A" w:rsidRDefault="00670C1A" w:rsidP="003F469E">
      <w:pPr>
        <w:tabs>
          <w:tab w:val="left" w:pos="0"/>
        </w:tabs>
        <w:spacing w:after="0" w:line="240" w:lineRule="auto"/>
        <w:rPr>
          <w:rFonts w:ascii="Times New Roman" w:eastAsia="Times New Roman" w:hAnsi="Times New Roman" w:cs="Times New Roman"/>
          <w:b/>
          <w:sz w:val="24"/>
          <w:szCs w:val="24"/>
          <w:lang w:eastAsia="hr-HR"/>
        </w:rPr>
      </w:pPr>
    </w:p>
    <w:p w14:paraId="6C300624" w14:textId="77777777" w:rsidR="00670C1A" w:rsidRDefault="00670C1A" w:rsidP="003F469E">
      <w:pPr>
        <w:tabs>
          <w:tab w:val="left" w:pos="0"/>
        </w:tabs>
        <w:spacing w:after="0" w:line="240" w:lineRule="auto"/>
        <w:rPr>
          <w:rFonts w:ascii="Times New Roman" w:eastAsia="Times New Roman" w:hAnsi="Times New Roman" w:cs="Times New Roman"/>
          <w:b/>
          <w:sz w:val="24"/>
          <w:szCs w:val="24"/>
          <w:lang w:eastAsia="hr-HR"/>
        </w:rPr>
      </w:pPr>
    </w:p>
    <w:p w14:paraId="06F63BCF" w14:textId="77777777" w:rsidR="00670C1A" w:rsidRDefault="00670C1A" w:rsidP="003F469E">
      <w:pPr>
        <w:tabs>
          <w:tab w:val="left" w:pos="0"/>
        </w:tabs>
        <w:spacing w:after="0" w:line="240" w:lineRule="auto"/>
        <w:rPr>
          <w:rFonts w:ascii="Times New Roman" w:eastAsia="Times New Roman" w:hAnsi="Times New Roman" w:cs="Times New Roman"/>
          <w:b/>
          <w:sz w:val="24"/>
          <w:szCs w:val="24"/>
          <w:lang w:eastAsia="hr-HR"/>
        </w:rPr>
      </w:pPr>
    </w:p>
    <w:p w14:paraId="3FBCECAE" w14:textId="77777777" w:rsidR="00670C1A" w:rsidRDefault="00670C1A" w:rsidP="003F469E">
      <w:pPr>
        <w:tabs>
          <w:tab w:val="left" w:pos="0"/>
        </w:tabs>
        <w:spacing w:after="0" w:line="240" w:lineRule="auto"/>
        <w:rPr>
          <w:rFonts w:ascii="Times New Roman" w:eastAsia="Times New Roman" w:hAnsi="Times New Roman" w:cs="Times New Roman"/>
          <w:b/>
          <w:sz w:val="24"/>
          <w:szCs w:val="24"/>
          <w:lang w:eastAsia="hr-HR"/>
        </w:rPr>
      </w:pPr>
    </w:p>
    <w:p w14:paraId="59230732" w14:textId="77777777" w:rsidR="00670C1A" w:rsidRDefault="00670C1A" w:rsidP="003F469E">
      <w:pPr>
        <w:tabs>
          <w:tab w:val="left" w:pos="0"/>
        </w:tabs>
        <w:spacing w:after="0" w:line="240" w:lineRule="auto"/>
        <w:rPr>
          <w:rFonts w:ascii="Times New Roman" w:eastAsia="Times New Roman" w:hAnsi="Times New Roman" w:cs="Times New Roman"/>
          <w:b/>
          <w:sz w:val="24"/>
          <w:szCs w:val="24"/>
          <w:lang w:eastAsia="hr-HR"/>
        </w:rPr>
      </w:pPr>
    </w:p>
    <w:p w14:paraId="091B044E" w14:textId="77777777" w:rsidR="00670C1A" w:rsidRDefault="00670C1A" w:rsidP="003F469E">
      <w:pPr>
        <w:tabs>
          <w:tab w:val="left" w:pos="0"/>
        </w:tabs>
        <w:spacing w:after="0" w:line="240" w:lineRule="auto"/>
        <w:rPr>
          <w:rFonts w:ascii="Times New Roman" w:eastAsia="Times New Roman" w:hAnsi="Times New Roman" w:cs="Times New Roman"/>
          <w:b/>
          <w:sz w:val="24"/>
          <w:szCs w:val="24"/>
          <w:lang w:eastAsia="hr-HR"/>
        </w:rPr>
      </w:pPr>
    </w:p>
    <w:p w14:paraId="264E7374" w14:textId="77777777" w:rsidR="00670C1A" w:rsidRDefault="00670C1A" w:rsidP="003F469E">
      <w:pPr>
        <w:tabs>
          <w:tab w:val="left" w:pos="0"/>
        </w:tabs>
        <w:spacing w:after="0" w:line="240" w:lineRule="auto"/>
        <w:rPr>
          <w:rFonts w:ascii="Times New Roman" w:eastAsia="Times New Roman" w:hAnsi="Times New Roman" w:cs="Times New Roman"/>
          <w:b/>
          <w:sz w:val="24"/>
          <w:szCs w:val="24"/>
          <w:lang w:eastAsia="hr-HR"/>
        </w:rPr>
      </w:pPr>
    </w:p>
    <w:p w14:paraId="37C66A09" w14:textId="77777777" w:rsidR="00670C1A" w:rsidRDefault="00670C1A" w:rsidP="003F469E">
      <w:pPr>
        <w:tabs>
          <w:tab w:val="left" w:pos="0"/>
        </w:tabs>
        <w:spacing w:after="0" w:line="240" w:lineRule="auto"/>
        <w:rPr>
          <w:rFonts w:ascii="Times New Roman" w:eastAsia="Times New Roman" w:hAnsi="Times New Roman" w:cs="Times New Roman"/>
          <w:b/>
          <w:sz w:val="24"/>
          <w:szCs w:val="24"/>
          <w:lang w:eastAsia="hr-HR"/>
        </w:rPr>
      </w:pPr>
    </w:p>
    <w:p w14:paraId="68947C4E" w14:textId="77777777" w:rsidR="00670C1A" w:rsidRDefault="00670C1A" w:rsidP="003F469E">
      <w:pPr>
        <w:tabs>
          <w:tab w:val="left" w:pos="0"/>
        </w:tabs>
        <w:spacing w:after="0" w:line="240" w:lineRule="auto"/>
        <w:rPr>
          <w:rFonts w:ascii="Times New Roman" w:eastAsia="Times New Roman" w:hAnsi="Times New Roman" w:cs="Times New Roman"/>
          <w:b/>
          <w:sz w:val="24"/>
          <w:szCs w:val="24"/>
          <w:lang w:eastAsia="hr-HR"/>
        </w:rPr>
      </w:pPr>
    </w:p>
    <w:p w14:paraId="5CC55287" w14:textId="77777777" w:rsidR="00670C1A" w:rsidRDefault="00670C1A" w:rsidP="003F469E">
      <w:pPr>
        <w:tabs>
          <w:tab w:val="left" w:pos="0"/>
        </w:tabs>
        <w:spacing w:after="0" w:line="240" w:lineRule="auto"/>
        <w:rPr>
          <w:rFonts w:ascii="Times New Roman" w:eastAsia="Times New Roman" w:hAnsi="Times New Roman" w:cs="Times New Roman"/>
          <w:b/>
          <w:sz w:val="24"/>
          <w:szCs w:val="24"/>
          <w:lang w:eastAsia="hr-HR"/>
        </w:rPr>
      </w:pPr>
    </w:p>
    <w:p w14:paraId="14EF6FC1" w14:textId="77777777" w:rsidR="00670C1A" w:rsidRDefault="00670C1A" w:rsidP="003F469E">
      <w:pPr>
        <w:tabs>
          <w:tab w:val="left" w:pos="0"/>
        </w:tabs>
        <w:spacing w:after="0" w:line="240" w:lineRule="auto"/>
        <w:rPr>
          <w:rFonts w:ascii="Times New Roman" w:eastAsia="Times New Roman" w:hAnsi="Times New Roman" w:cs="Times New Roman"/>
          <w:b/>
          <w:sz w:val="24"/>
          <w:szCs w:val="24"/>
          <w:lang w:eastAsia="hr-HR"/>
        </w:rPr>
      </w:pPr>
    </w:p>
    <w:p w14:paraId="2F2341A1" w14:textId="77777777" w:rsidR="00670C1A" w:rsidRDefault="00670C1A" w:rsidP="003F469E">
      <w:pPr>
        <w:tabs>
          <w:tab w:val="left" w:pos="0"/>
        </w:tabs>
        <w:spacing w:after="0" w:line="240" w:lineRule="auto"/>
        <w:rPr>
          <w:rFonts w:ascii="Times New Roman" w:eastAsia="Times New Roman" w:hAnsi="Times New Roman" w:cs="Times New Roman"/>
          <w:b/>
          <w:sz w:val="24"/>
          <w:szCs w:val="24"/>
          <w:lang w:eastAsia="hr-HR"/>
        </w:rPr>
      </w:pPr>
    </w:p>
    <w:p w14:paraId="7B441AB9" w14:textId="77777777" w:rsidR="00670C1A" w:rsidRDefault="00670C1A" w:rsidP="003F469E">
      <w:pPr>
        <w:tabs>
          <w:tab w:val="left" w:pos="0"/>
        </w:tabs>
        <w:spacing w:after="0" w:line="240" w:lineRule="auto"/>
        <w:rPr>
          <w:rFonts w:ascii="Times New Roman" w:eastAsia="Times New Roman" w:hAnsi="Times New Roman" w:cs="Times New Roman"/>
          <w:b/>
          <w:sz w:val="24"/>
          <w:szCs w:val="24"/>
          <w:lang w:eastAsia="hr-HR"/>
        </w:rPr>
      </w:pPr>
    </w:p>
    <w:p w14:paraId="7761CB69" w14:textId="77777777" w:rsidR="00670C1A" w:rsidRDefault="00670C1A" w:rsidP="003F469E">
      <w:pPr>
        <w:tabs>
          <w:tab w:val="left" w:pos="0"/>
        </w:tabs>
        <w:spacing w:after="0" w:line="240" w:lineRule="auto"/>
        <w:rPr>
          <w:rFonts w:ascii="Times New Roman" w:eastAsia="Times New Roman" w:hAnsi="Times New Roman" w:cs="Times New Roman"/>
          <w:b/>
          <w:sz w:val="24"/>
          <w:szCs w:val="24"/>
          <w:lang w:eastAsia="hr-HR"/>
        </w:rPr>
      </w:pPr>
    </w:p>
    <w:p w14:paraId="6548FBD8" w14:textId="6FDF69C5" w:rsidR="00C41431" w:rsidRPr="003D792C" w:rsidRDefault="00F01515" w:rsidP="003F469E">
      <w:pPr>
        <w:tabs>
          <w:tab w:val="left" w:pos="0"/>
        </w:tabs>
        <w:spacing w:after="0" w:line="240" w:lineRule="auto"/>
        <w:jc w:val="center"/>
        <w:rPr>
          <w:rFonts w:ascii="Times New Roman" w:eastAsia="Times New Roman" w:hAnsi="Times New Roman" w:cs="Times New Roman"/>
          <w:b/>
          <w:sz w:val="24"/>
          <w:szCs w:val="24"/>
          <w:lang w:eastAsia="hr-HR"/>
        </w:rPr>
      </w:pPr>
      <w:r w:rsidRPr="003D792C">
        <w:rPr>
          <w:rFonts w:ascii="Times New Roman" w:eastAsia="Times New Roman" w:hAnsi="Times New Roman" w:cs="Times New Roman"/>
          <w:b/>
          <w:sz w:val="24"/>
          <w:szCs w:val="24"/>
          <w:lang w:eastAsia="hr-HR"/>
        </w:rPr>
        <w:lastRenderedPageBreak/>
        <w:t xml:space="preserve">RAZDJEL </w:t>
      </w:r>
      <w:r w:rsidR="00C41431" w:rsidRPr="003D792C">
        <w:rPr>
          <w:rFonts w:ascii="Times New Roman" w:eastAsia="Times New Roman" w:hAnsi="Times New Roman" w:cs="Times New Roman"/>
          <w:b/>
          <w:sz w:val="24"/>
          <w:szCs w:val="24"/>
          <w:lang w:eastAsia="hr-HR"/>
        </w:rPr>
        <w:t>022 UPRAVNI ODJEL ZA FINANCIJE, PRORAČUN I NAPLATU POTRAŽIVANJA</w:t>
      </w:r>
    </w:p>
    <w:p w14:paraId="3BF28D4C" w14:textId="77777777" w:rsidR="00C41431" w:rsidRPr="003D792C" w:rsidRDefault="00C41431" w:rsidP="00C41431">
      <w:pPr>
        <w:spacing w:after="0" w:line="240" w:lineRule="auto"/>
        <w:jc w:val="both"/>
        <w:rPr>
          <w:rFonts w:ascii="Times New Roman" w:eastAsia="Times New Roman" w:hAnsi="Times New Roman" w:cs="Times New Roman"/>
          <w:sz w:val="24"/>
          <w:szCs w:val="24"/>
          <w:lang w:eastAsia="hr-HR"/>
        </w:rPr>
      </w:pPr>
    </w:p>
    <w:p w14:paraId="05246D83" w14:textId="77777777" w:rsidR="00CD62C5" w:rsidRPr="00CD62C5" w:rsidRDefault="00CD62C5" w:rsidP="00CD62C5">
      <w:pPr>
        <w:jc w:val="both"/>
        <w:rPr>
          <w:rFonts w:cstheme="minorHAnsi"/>
          <w:sz w:val="24"/>
          <w:szCs w:val="24"/>
        </w:rPr>
      </w:pPr>
      <w:r w:rsidRPr="00CD62C5">
        <w:rPr>
          <w:rFonts w:cstheme="minorHAnsi"/>
          <w:sz w:val="24"/>
          <w:szCs w:val="24"/>
        </w:rPr>
        <w:t>Upravni odjel za financije, proračun i naplatu potraživanja u svom djelokrugu rada obavlja poslove i zadatke:</w:t>
      </w:r>
    </w:p>
    <w:p w14:paraId="6189FCD3" w14:textId="77777777" w:rsidR="00CD62C5" w:rsidRPr="00CD62C5" w:rsidRDefault="00CD62C5">
      <w:pPr>
        <w:numPr>
          <w:ilvl w:val="0"/>
          <w:numId w:val="37"/>
        </w:numPr>
        <w:spacing w:after="200" w:line="276" w:lineRule="auto"/>
        <w:contextualSpacing/>
        <w:jc w:val="both"/>
        <w:rPr>
          <w:rFonts w:eastAsia="Times New Roman" w:cstheme="minorHAnsi"/>
          <w:sz w:val="24"/>
          <w:szCs w:val="24"/>
        </w:rPr>
      </w:pPr>
      <w:r w:rsidRPr="00CD62C5">
        <w:rPr>
          <w:rFonts w:eastAsia="Times New Roman" w:cstheme="minorHAnsi"/>
          <w:sz w:val="24"/>
          <w:szCs w:val="24"/>
        </w:rPr>
        <w:t>planiranje, priprema i izrada prijedloga proračuna Grada, njegovih izmjena i dopuna tijekom proračunske godine, te praćenje izvršavanja Proračuna i donesenih akata</w:t>
      </w:r>
    </w:p>
    <w:p w14:paraId="05B51A60" w14:textId="77777777" w:rsidR="00CD62C5" w:rsidRPr="00CD62C5" w:rsidRDefault="00CD62C5">
      <w:pPr>
        <w:numPr>
          <w:ilvl w:val="0"/>
          <w:numId w:val="37"/>
        </w:numPr>
        <w:spacing w:after="200" w:line="276" w:lineRule="auto"/>
        <w:contextualSpacing/>
        <w:jc w:val="both"/>
        <w:rPr>
          <w:rFonts w:eastAsia="Times New Roman" w:cstheme="minorHAnsi"/>
          <w:sz w:val="24"/>
          <w:szCs w:val="24"/>
        </w:rPr>
      </w:pPr>
      <w:r w:rsidRPr="00CD62C5">
        <w:rPr>
          <w:rFonts w:eastAsia="Times New Roman" w:cstheme="minorHAnsi"/>
          <w:sz w:val="24"/>
          <w:szCs w:val="24"/>
        </w:rPr>
        <w:t>sastavljanje Uputa za izradu prijedloga proračuna Grada Trogira</w:t>
      </w:r>
    </w:p>
    <w:p w14:paraId="0FC181AF" w14:textId="77777777" w:rsidR="00CD62C5" w:rsidRPr="00CD62C5" w:rsidRDefault="00CD62C5">
      <w:pPr>
        <w:numPr>
          <w:ilvl w:val="0"/>
          <w:numId w:val="37"/>
        </w:numPr>
        <w:spacing w:after="200" w:line="276" w:lineRule="auto"/>
        <w:contextualSpacing/>
        <w:jc w:val="both"/>
        <w:rPr>
          <w:rFonts w:eastAsia="Times New Roman" w:cstheme="minorHAnsi"/>
          <w:sz w:val="24"/>
          <w:szCs w:val="24"/>
        </w:rPr>
      </w:pPr>
      <w:r w:rsidRPr="00CD62C5">
        <w:rPr>
          <w:rFonts w:eastAsia="Times New Roman" w:cstheme="minorHAnsi"/>
          <w:sz w:val="24"/>
          <w:szCs w:val="24"/>
        </w:rPr>
        <w:t>praćenje , kontrola i naplata prihoda, prisilna naplata prihoda, izvršavanje rashoda i izdataka proračuna, vođenje knjigovodstvenih poslova, izrada godišnjih i polugodišnjih izvještaja o izvršenju proračuna te godišnjih i periodičnih financijskih izvještaja</w:t>
      </w:r>
    </w:p>
    <w:p w14:paraId="0D98E1E1" w14:textId="77777777" w:rsidR="00CD62C5" w:rsidRPr="00CD62C5" w:rsidRDefault="00CD62C5">
      <w:pPr>
        <w:numPr>
          <w:ilvl w:val="0"/>
          <w:numId w:val="37"/>
        </w:numPr>
        <w:spacing w:after="200" w:line="276" w:lineRule="auto"/>
        <w:contextualSpacing/>
        <w:jc w:val="both"/>
        <w:rPr>
          <w:rFonts w:eastAsia="Times New Roman" w:cstheme="minorHAnsi"/>
          <w:sz w:val="24"/>
          <w:szCs w:val="24"/>
        </w:rPr>
      </w:pPr>
      <w:r w:rsidRPr="00CD62C5">
        <w:rPr>
          <w:rFonts w:eastAsia="Times New Roman" w:cstheme="minorHAnsi"/>
          <w:sz w:val="24"/>
          <w:szCs w:val="24"/>
        </w:rPr>
        <w:t>izdavanje potvrda i drugih knjigovodstvenih isprava</w:t>
      </w:r>
    </w:p>
    <w:p w14:paraId="3D1E3D45" w14:textId="77777777" w:rsidR="00CD62C5" w:rsidRPr="00CD62C5" w:rsidRDefault="00CD62C5">
      <w:pPr>
        <w:numPr>
          <w:ilvl w:val="0"/>
          <w:numId w:val="37"/>
        </w:numPr>
        <w:spacing w:after="200" w:line="276" w:lineRule="auto"/>
        <w:contextualSpacing/>
        <w:jc w:val="both"/>
        <w:rPr>
          <w:rFonts w:eastAsia="Times New Roman" w:cstheme="minorHAnsi"/>
          <w:sz w:val="24"/>
          <w:szCs w:val="24"/>
        </w:rPr>
      </w:pPr>
      <w:r w:rsidRPr="00CD62C5">
        <w:rPr>
          <w:rFonts w:eastAsia="Times New Roman" w:cstheme="minorHAnsi"/>
          <w:sz w:val="24"/>
          <w:szCs w:val="24"/>
        </w:rPr>
        <w:t>obračun plaća, naknada, ugovora i dr.</w:t>
      </w:r>
    </w:p>
    <w:p w14:paraId="4C215350" w14:textId="77777777" w:rsidR="00CD62C5" w:rsidRPr="00CD62C5" w:rsidRDefault="00CD62C5">
      <w:pPr>
        <w:numPr>
          <w:ilvl w:val="0"/>
          <w:numId w:val="37"/>
        </w:numPr>
        <w:spacing w:after="200" w:line="276" w:lineRule="auto"/>
        <w:contextualSpacing/>
        <w:jc w:val="both"/>
        <w:rPr>
          <w:rFonts w:eastAsia="Times New Roman" w:cstheme="minorHAnsi"/>
          <w:sz w:val="24"/>
          <w:szCs w:val="24"/>
        </w:rPr>
      </w:pPr>
      <w:r w:rsidRPr="00CD62C5">
        <w:rPr>
          <w:rFonts w:eastAsia="Times New Roman" w:cstheme="minorHAnsi"/>
          <w:sz w:val="24"/>
          <w:szCs w:val="24"/>
        </w:rPr>
        <w:t>zaduživanje Grada i davanje jamstva i suglasnosti za zaduživanje, praćenje zaduženosti i izvješćivanje o stanju duga</w:t>
      </w:r>
    </w:p>
    <w:p w14:paraId="3585F656" w14:textId="77777777" w:rsidR="00CD62C5" w:rsidRPr="00CD62C5" w:rsidRDefault="00CD62C5">
      <w:pPr>
        <w:numPr>
          <w:ilvl w:val="0"/>
          <w:numId w:val="37"/>
        </w:numPr>
        <w:spacing w:after="200" w:line="276" w:lineRule="auto"/>
        <w:contextualSpacing/>
        <w:jc w:val="both"/>
        <w:rPr>
          <w:rFonts w:eastAsia="Times New Roman" w:cstheme="minorHAnsi"/>
          <w:sz w:val="24"/>
          <w:szCs w:val="24"/>
        </w:rPr>
      </w:pPr>
      <w:r w:rsidRPr="00CD62C5">
        <w:rPr>
          <w:rFonts w:eastAsia="Times New Roman" w:cstheme="minorHAnsi"/>
          <w:sz w:val="24"/>
          <w:szCs w:val="24"/>
        </w:rPr>
        <w:t>predlaganje mjera za unapređenje financijskog poslovanja Grada i koordinacija u sustavu unutarnjih financijskih kontrola, provođenje aktivnosti vezano za Izjavu o fiskalnoj odgovornosti</w:t>
      </w:r>
    </w:p>
    <w:p w14:paraId="6F4805A6" w14:textId="77777777" w:rsidR="00CD62C5" w:rsidRPr="00CD62C5" w:rsidRDefault="00CD62C5">
      <w:pPr>
        <w:numPr>
          <w:ilvl w:val="0"/>
          <w:numId w:val="37"/>
        </w:numPr>
        <w:spacing w:after="200" w:line="276" w:lineRule="auto"/>
        <w:contextualSpacing/>
        <w:jc w:val="both"/>
        <w:rPr>
          <w:rFonts w:eastAsia="Times New Roman" w:cstheme="minorHAnsi"/>
          <w:sz w:val="24"/>
          <w:szCs w:val="24"/>
        </w:rPr>
      </w:pPr>
      <w:r w:rsidRPr="00CD62C5">
        <w:rPr>
          <w:rFonts w:eastAsia="Times New Roman" w:cstheme="minorHAnsi"/>
          <w:sz w:val="24"/>
          <w:szCs w:val="24"/>
        </w:rPr>
        <w:t>izrada i provedba akata kojima se uređuje financijsko poslovanje Grada</w:t>
      </w:r>
    </w:p>
    <w:p w14:paraId="390DAB4A" w14:textId="77777777" w:rsidR="00CD62C5" w:rsidRPr="00CD62C5" w:rsidRDefault="00CD62C5">
      <w:pPr>
        <w:numPr>
          <w:ilvl w:val="0"/>
          <w:numId w:val="37"/>
        </w:numPr>
        <w:spacing w:after="200" w:line="276" w:lineRule="auto"/>
        <w:contextualSpacing/>
        <w:jc w:val="both"/>
        <w:rPr>
          <w:rFonts w:eastAsia="Times New Roman" w:cstheme="minorHAnsi"/>
          <w:sz w:val="24"/>
          <w:szCs w:val="24"/>
        </w:rPr>
      </w:pPr>
      <w:r w:rsidRPr="00CD62C5">
        <w:rPr>
          <w:rFonts w:eastAsia="Times New Roman" w:cstheme="minorHAnsi"/>
          <w:sz w:val="24"/>
          <w:szCs w:val="24"/>
        </w:rPr>
        <w:t>priprema materijala za potrebe nadležnih tijela, upravne poslove i ostale poslove iz svog djelokruga rada</w:t>
      </w:r>
    </w:p>
    <w:p w14:paraId="466B13AC" w14:textId="77777777" w:rsidR="003A6399" w:rsidRDefault="003A6399" w:rsidP="00A21AD0">
      <w:pPr>
        <w:spacing w:after="0"/>
        <w:jc w:val="both"/>
        <w:rPr>
          <w:sz w:val="24"/>
          <w:szCs w:val="24"/>
        </w:rPr>
      </w:pPr>
    </w:p>
    <w:p w14:paraId="44DECEF2" w14:textId="1D3647BE" w:rsidR="00FF78B8" w:rsidRDefault="00A21AD0" w:rsidP="00A21AD0">
      <w:pPr>
        <w:spacing w:after="0"/>
        <w:jc w:val="both"/>
        <w:rPr>
          <w:sz w:val="24"/>
          <w:szCs w:val="24"/>
        </w:rPr>
      </w:pPr>
      <w:r>
        <w:rPr>
          <w:sz w:val="24"/>
          <w:szCs w:val="24"/>
        </w:rPr>
        <w:t>U ovom razdjelu evidentiraju se aktivnosti vezane za financiranje tekućih rashoda kao što su: naknada Poreznoj upravi za vođenje i ubiranje gradskih poreza, troškovi vezani za bankarske usluge i usluge platnog prometa, troškovi zatezne kamate iz obveznih i radnih odnosa, kamate i otplata glavnice primljenih zajmova od ostalih financijskih institucija, financiranje političkih stranaka, proračunska pričuva i sl.</w:t>
      </w:r>
    </w:p>
    <w:p w14:paraId="1B61B6E5" w14:textId="77777777" w:rsidR="003239A2" w:rsidRDefault="003239A2" w:rsidP="00F643E0">
      <w:pPr>
        <w:contextualSpacing/>
        <w:jc w:val="both"/>
        <w:rPr>
          <w:rFonts w:cstheme="minorHAnsi"/>
          <w:sz w:val="24"/>
          <w:szCs w:val="24"/>
        </w:rPr>
      </w:pPr>
    </w:p>
    <w:p w14:paraId="77B59C88" w14:textId="41C0C566" w:rsidR="0079478E" w:rsidRDefault="00006841" w:rsidP="00F643E0">
      <w:pPr>
        <w:contextualSpacing/>
        <w:jc w:val="both"/>
        <w:rPr>
          <w:rFonts w:cstheme="minorHAnsi"/>
          <w:sz w:val="24"/>
          <w:szCs w:val="24"/>
          <w:lang w:eastAsia="hr-HR"/>
        </w:rPr>
      </w:pPr>
      <w:r>
        <w:rPr>
          <w:rFonts w:cstheme="minorHAnsi"/>
          <w:sz w:val="24"/>
          <w:szCs w:val="24"/>
        </w:rPr>
        <w:t xml:space="preserve">Za ostvarenje programa </w:t>
      </w:r>
      <w:r w:rsidR="00410FBD">
        <w:rPr>
          <w:rFonts w:cstheme="minorHAnsi"/>
          <w:sz w:val="24"/>
          <w:szCs w:val="24"/>
        </w:rPr>
        <w:t>navedenog UO u Proračunu z</w:t>
      </w:r>
      <w:r w:rsidR="004D1916">
        <w:rPr>
          <w:rFonts w:cstheme="minorHAnsi"/>
          <w:sz w:val="24"/>
          <w:szCs w:val="24"/>
        </w:rPr>
        <w:t>a 202</w:t>
      </w:r>
      <w:r w:rsidR="00E67B64">
        <w:rPr>
          <w:rFonts w:cstheme="minorHAnsi"/>
          <w:sz w:val="24"/>
          <w:szCs w:val="24"/>
        </w:rPr>
        <w:t>5</w:t>
      </w:r>
      <w:r w:rsidRPr="00006841">
        <w:rPr>
          <w:rFonts w:cstheme="minorHAnsi"/>
          <w:sz w:val="24"/>
          <w:szCs w:val="24"/>
        </w:rPr>
        <w:t>. godinu planirana su sreds</w:t>
      </w:r>
      <w:r w:rsidR="00FB48B8">
        <w:rPr>
          <w:rFonts w:cstheme="minorHAnsi"/>
          <w:sz w:val="24"/>
          <w:szCs w:val="24"/>
        </w:rPr>
        <w:t xml:space="preserve">tva u iznosu od </w:t>
      </w:r>
      <w:r w:rsidR="00CD62C5">
        <w:rPr>
          <w:rFonts w:cstheme="minorHAnsi"/>
          <w:sz w:val="24"/>
          <w:szCs w:val="24"/>
        </w:rPr>
        <w:t>602.700,00</w:t>
      </w:r>
      <w:r w:rsidR="00CB5FE3">
        <w:rPr>
          <w:rFonts w:cstheme="minorHAnsi"/>
          <w:sz w:val="24"/>
          <w:szCs w:val="24"/>
        </w:rPr>
        <w:t xml:space="preserve"> eura</w:t>
      </w:r>
      <w:r w:rsidRPr="00006841">
        <w:rPr>
          <w:rFonts w:cstheme="minorHAnsi"/>
          <w:b/>
          <w:sz w:val="24"/>
          <w:szCs w:val="24"/>
        </w:rPr>
        <w:t xml:space="preserve">, </w:t>
      </w:r>
      <w:r w:rsidR="00410FBD">
        <w:rPr>
          <w:rFonts w:cstheme="minorHAnsi"/>
          <w:sz w:val="24"/>
          <w:szCs w:val="24"/>
        </w:rPr>
        <w:t xml:space="preserve">a </w:t>
      </w:r>
      <w:r w:rsidR="00DA1C93">
        <w:rPr>
          <w:rFonts w:cstheme="minorHAnsi"/>
          <w:sz w:val="24"/>
          <w:szCs w:val="24"/>
        </w:rPr>
        <w:t>u</w:t>
      </w:r>
      <w:r w:rsidR="00410FBD">
        <w:rPr>
          <w:rFonts w:cstheme="minorHAnsi"/>
          <w:sz w:val="24"/>
          <w:szCs w:val="24"/>
        </w:rPr>
        <w:t xml:space="preserve"> </w:t>
      </w:r>
      <w:r w:rsidR="004D1916">
        <w:rPr>
          <w:rFonts w:cstheme="minorHAnsi"/>
          <w:sz w:val="24"/>
          <w:szCs w:val="24"/>
        </w:rPr>
        <w:t xml:space="preserve">izvještajnom razdoblju </w:t>
      </w:r>
      <w:r>
        <w:rPr>
          <w:rFonts w:cstheme="minorHAnsi"/>
          <w:sz w:val="24"/>
          <w:szCs w:val="24"/>
        </w:rPr>
        <w:t>utrošeno</w:t>
      </w:r>
      <w:r w:rsidRPr="00006841">
        <w:rPr>
          <w:rFonts w:cstheme="minorHAnsi"/>
          <w:sz w:val="24"/>
          <w:szCs w:val="24"/>
        </w:rPr>
        <w:t xml:space="preserve"> je ukupno</w:t>
      </w:r>
      <w:r w:rsidR="00CB5FE3">
        <w:rPr>
          <w:rFonts w:cstheme="minorHAnsi"/>
          <w:sz w:val="24"/>
          <w:szCs w:val="24"/>
        </w:rPr>
        <w:t xml:space="preserve"> </w:t>
      </w:r>
      <w:r w:rsidR="00CD62C5">
        <w:rPr>
          <w:rFonts w:cstheme="minorHAnsi"/>
          <w:sz w:val="24"/>
          <w:szCs w:val="24"/>
        </w:rPr>
        <w:t>504.509,77</w:t>
      </w:r>
      <w:r w:rsidR="00CB5FE3">
        <w:rPr>
          <w:rFonts w:cstheme="minorHAnsi"/>
          <w:sz w:val="24"/>
          <w:szCs w:val="24"/>
        </w:rPr>
        <w:t xml:space="preserve"> eura</w:t>
      </w:r>
      <w:r w:rsidRPr="00006841">
        <w:rPr>
          <w:rFonts w:cstheme="minorHAnsi"/>
          <w:sz w:val="24"/>
          <w:szCs w:val="24"/>
        </w:rPr>
        <w:t xml:space="preserve">, odnosno realizirano je </w:t>
      </w:r>
      <w:r w:rsidR="00CD62C5">
        <w:rPr>
          <w:rFonts w:cstheme="minorHAnsi"/>
          <w:sz w:val="24"/>
          <w:szCs w:val="24"/>
        </w:rPr>
        <w:t>83,71</w:t>
      </w:r>
      <w:r w:rsidRPr="00006841">
        <w:rPr>
          <w:rFonts w:cstheme="minorHAnsi"/>
          <w:sz w:val="24"/>
          <w:szCs w:val="24"/>
          <w:lang w:eastAsia="hr-HR"/>
        </w:rPr>
        <w:t>% godišnjeg plana. Sredstva su utrošena za provedbu sljedećih programa:</w:t>
      </w:r>
    </w:p>
    <w:p w14:paraId="5DA7EB49" w14:textId="77777777" w:rsidR="0079478E" w:rsidRDefault="0079478E" w:rsidP="00C41431">
      <w:pPr>
        <w:spacing w:after="0" w:line="240" w:lineRule="auto"/>
        <w:jc w:val="both"/>
        <w:rPr>
          <w:rFonts w:eastAsia="Times New Roman" w:cstheme="minorHAnsi"/>
          <w:sz w:val="24"/>
          <w:szCs w:val="24"/>
          <w:lang w:eastAsia="hr-HR"/>
        </w:rPr>
      </w:pPr>
    </w:p>
    <w:tbl>
      <w:tblPr>
        <w:tblW w:w="11709" w:type="dxa"/>
        <w:jc w:val="center"/>
        <w:tblBorders>
          <w:top w:val="single" w:sz="4" w:space="0" w:color="7F7F7F"/>
          <w:bottom w:val="single" w:sz="4" w:space="0" w:color="7F7F7F"/>
          <w:insideH w:val="single" w:sz="4" w:space="0" w:color="7F7F7F"/>
        </w:tblBorders>
        <w:tblLook w:val="00A0" w:firstRow="1" w:lastRow="0" w:firstColumn="1" w:lastColumn="0" w:noHBand="0" w:noVBand="0"/>
      </w:tblPr>
      <w:tblGrid>
        <w:gridCol w:w="988"/>
        <w:gridCol w:w="736"/>
        <w:gridCol w:w="4500"/>
        <w:gridCol w:w="1796"/>
        <w:gridCol w:w="1368"/>
        <w:gridCol w:w="1376"/>
        <w:gridCol w:w="945"/>
      </w:tblGrid>
      <w:tr w:rsidR="00C26C7C" w:rsidRPr="00875B08" w14:paraId="7DB8ED59" w14:textId="77777777" w:rsidTr="003A6399">
        <w:trPr>
          <w:trHeight w:val="525"/>
          <w:jc w:val="center"/>
        </w:trPr>
        <w:tc>
          <w:tcPr>
            <w:tcW w:w="6224" w:type="dxa"/>
            <w:gridSpan w:val="3"/>
            <w:shd w:val="clear" w:color="auto" w:fill="C6D9F1"/>
            <w:vAlign w:val="center"/>
          </w:tcPr>
          <w:p w14:paraId="5C92DD45" w14:textId="77777777" w:rsidR="00C26C7C" w:rsidRPr="00580385" w:rsidRDefault="00C26C7C" w:rsidP="0008316C">
            <w:pPr>
              <w:autoSpaceDE w:val="0"/>
              <w:autoSpaceDN w:val="0"/>
              <w:adjustRightInd w:val="0"/>
              <w:jc w:val="center"/>
              <w:rPr>
                <w:rFonts w:ascii="Arial" w:hAnsi="Arial" w:cs="Arial"/>
                <w:b/>
                <w:sz w:val="18"/>
                <w:szCs w:val="18"/>
              </w:rPr>
            </w:pPr>
            <w:r>
              <w:rPr>
                <w:rFonts w:ascii="Arial" w:hAnsi="Arial" w:cs="Arial"/>
                <w:b/>
                <w:sz w:val="18"/>
                <w:szCs w:val="18"/>
              </w:rPr>
              <w:t>PROGRAM</w:t>
            </w:r>
          </w:p>
        </w:tc>
        <w:tc>
          <w:tcPr>
            <w:tcW w:w="1796" w:type="dxa"/>
            <w:shd w:val="clear" w:color="auto" w:fill="C6D9F1"/>
            <w:vAlign w:val="center"/>
          </w:tcPr>
          <w:p w14:paraId="093F7FE7" w14:textId="5CFD97C9" w:rsidR="00C26C7C" w:rsidRPr="00580385" w:rsidRDefault="00C26C7C" w:rsidP="00DA1C93">
            <w:pPr>
              <w:autoSpaceDE w:val="0"/>
              <w:autoSpaceDN w:val="0"/>
              <w:adjustRightInd w:val="0"/>
              <w:jc w:val="center"/>
              <w:rPr>
                <w:rFonts w:ascii="Arial" w:hAnsi="Arial" w:cs="Arial"/>
                <w:b/>
                <w:sz w:val="18"/>
                <w:szCs w:val="18"/>
              </w:rPr>
            </w:pPr>
            <w:r>
              <w:rPr>
                <w:rFonts w:ascii="Arial" w:hAnsi="Arial" w:cs="Arial"/>
                <w:b/>
                <w:sz w:val="18"/>
                <w:szCs w:val="18"/>
              </w:rPr>
              <w:t>IZVORNI PLAN/REBALANS  202</w:t>
            </w:r>
            <w:r w:rsidR="00E67B64">
              <w:rPr>
                <w:rFonts w:ascii="Arial" w:hAnsi="Arial" w:cs="Arial"/>
                <w:b/>
                <w:sz w:val="18"/>
                <w:szCs w:val="18"/>
              </w:rPr>
              <w:t>5.</w:t>
            </w:r>
          </w:p>
        </w:tc>
        <w:tc>
          <w:tcPr>
            <w:tcW w:w="1368" w:type="dxa"/>
            <w:shd w:val="clear" w:color="auto" w:fill="C6D9F1"/>
          </w:tcPr>
          <w:p w14:paraId="40BE1F9F" w14:textId="724B4939" w:rsidR="00C26C7C" w:rsidRDefault="00C26C7C" w:rsidP="00DA1C93">
            <w:pPr>
              <w:autoSpaceDE w:val="0"/>
              <w:autoSpaceDN w:val="0"/>
              <w:adjustRightInd w:val="0"/>
              <w:jc w:val="center"/>
              <w:rPr>
                <w:rFonts w:ascii="Arial" w:hAnsi="Arial" w:cs="Arial"/>
                <w:b/>
                <w:sz w:val="18"/>
                <w:szCs w:val="18"/>
              </w:rPr>
            </w:pPr>
            <w:r>
              <w:rPr>
                <w:rFonts w:ascii="Arial" w:hAnsi="Arial" w:cs="Arial"/>
                <w:b/>
                <w:sz w:val="18"/>
                <w:szCs w:val="18"/>
              </w:rPr>
              <w:t>TEKUĆI PLAN 202</w:t>
            </w:r>
            <w:r w:rsidR="00E67B64">
              <w:rPr>
                <w:rFonts w:ascii="Arial" w:hAnsi="Arial" w:cs="Arial"/>
                <w:b/>
                <w:sz w:val="18"/>
                <w:szCs w:val="18"/>
              </w:rPr>
              <w:t>5.</w:t>
            </w:r>
          </w:p>
        </w:tc>
        <w:tc>
          <w:tcPr>
            <w:tcW w:w="1376" w:type="dxa"/>
            <w:shd w:val="clear" w:color="auto" w:fill="C6D9F1"/>
            <w:vAlign w:val="center"/>
          </w:tcPr>
          <w:p w14:paraId="641A809B" w14:textId="15D47937" w:rsidR="00C26C7C" w:rsidRPr="00580385" w:rsidRDefault="00C26C7C" w:rsidP="00DA1C93">
            <w:pPr>
              <w:autoSpaceDE w:val="0"/>
              <w:autoSpaceDN w:val="0"/>
              <w:adjustRightInd w:val="0"/>
              <w:jc w:val="center"/>
              <w:rPr>
                <w:rFonts w:ascii="Arial" w:hAnsi="Arial" w:cs="Arial"/>
                <w:b/>
                <w:sz w:val="18"/>
                <w:szCs w:val="18"/>
              </w:rPr>
            </w:pPr>
            <w:r>
              <w:rPr>
                <w:rFonts w:ascii="Arial" w:hAnsi="Arial" w:cs="Arial"/>
                <w:b/>
                <w:sz w:val="18"/>
                <w:szCs w:val="18"/>
              </w:rPr>
              <w:t>IZVRŠENJE  202</w:t>
            </w:r>
            <w:r w:rsidR="00E67B64">
              <w:rPr>
                <w:rFonts w:ascii="Arial" w:hAnsi="Arial" w:cs="Arial"/>
                <w:b/>
                <w:sz w:val="18"/>
                <w:szCs w:val="18"/>
              </w:rPr>
              <w:t>5.</w:t>
            </w:r>
          </w:p>
        </w:tc>
        <w:tc>
          <w:tcPr>
            <w:tcW w:w="945" w:type="dxa"/>
            <w:shd w:val="clear" w:color="auto" w:fill="C6D9F1"/>
            <w:vAlign w:val="center"/>
          </w:tcPr>
          <w:p w14:paraId="67C4A348" w14:textId="11F32ACA" w:rsidR="00C26C7C" w:rsidRPr="00580385" w:rsidRDefault="00C26C7C" w:rsidP="00E1717F">
            <w:pPr>
              <w:autoSpaceDE w:val="0"/>
              <w:autoSpaceDN w:val="0"/>
              <w:adjustRightInd w:val="0"/>
              <w:jc w:val="center"/>
              <w:rPr>
                <w:rFonts w:ascii="Arial" w:hAnsi="Arial" w:cs="Arial"/>
                <w:b/>
                <w:sz w:val="18"/>
                <w:szCs w:val="18"/>
              </w:rPr>
            </w:pPr>
            <w:r w:rsidRPr="00580385">
              <w:rPr>
                <w:rFonts w:ascii="Arial" w:hAnsi="Arial" w:cs="Arial"/>
                <w:b/>
                <w:sz w:val="18"/>
                <w:szCs w:val="18"/>
              </w:rPr>
              <w:t>INDEKS</w:t>
            </w:r>
            <w:r>
              <w:rPr>
                <w:rFonts w:ascii="Arial" w:hAnsi="Arial" w:cs="Arial"/>
                <w:b/>
                <w:sz w:val="18"/>
                <w:szCs w:val="18"/>
              </w:rPr>
              <w:t xml:space="preserve"> (3/1)</w:t>
            </w:r>
          </w:p>
        </w:tc>
      </w:tr>
      <w:tr w:rsidR="00C26C7C" w:rsidRPr="00875B08" w14:paraId="67D40F19" w14:textId="77777777" w:rsidTr="003A6399">
        <w:trPr>
          <w:trHeight w:val="525"/>
          <w:jc w:val="center"/>
        </w:trPr>
        <w:tc>
          <w:tcPr>
            <w:tcW w:w="6224" w:type="dxa"/>
            <w:gridSpan w:val="3"/>
            <w:shd w:val="clear" w:color="auto" w:fill="C6D9F1"/>
            <w:vAlign w:val="center"/>
          </w:tcPr>
          <w:p w14:paraId="3A767AA0" w14:textId="77777777" w:rsidR="00C26C7C" w:rsidRDefault="00C26C7C" w:rsidP="0008316C">
            <w:pPr>
              <w:autoSpaceDE w:val="0"/>
              <w:autoSpaceDN w:val="0"/>
              <w:adjustRightInd w:val="0"/>
              <w:jc w:val="center"/>
              <w:rPr>
                <w:rFonts w:ascii="Arial" w:hAnsi="Arial" w:cs="Arial"/>
                <w:b/>
                <w:sz w:val="18"/>
                <w:szCs w:val="18"/>
              </w:rPr>
            </w:pPr>
          </w:p>
        </w:tc>
        <w:tc>
          <w:tcPr>
            <w:tcW w:w="1796" w:type="dxa"/>
            <w:shd w:val="clear" w:color="auto" w:fill="C6D9F1"/>
            <w:vAlign w:val="center"/>
          </w:tcPr>
          <w:p w14:paraId="6E4B1960" w14:textId="77777777" w:rsidR="00C26C7C" w:rsidRDefault="00C26C7C" w:rsidP="00DA1C93">
            <w:pPr>
              <w:autoSpaceDE w:val="0"/>
              <w:autoSpaceDN w:val="0"/>
              <w:adjustRightInd w:val="0"/>
              <w:jc w:val="center"/>
              <w:rPr>
                <w:rFonts w:ascii="Arial" w:hAnsi="Arial" w:cs="Arial"/>
                <w:b/>
                <w:sz w:val="18"/>
                <w:szCs w:val="18"/>
              </w:rPr>
            </w:pPr>
            <w:r>
              <w:rPr>
                <w:rFonts w:ascii="Arial" w:hAnsi="Arial" w:cs="Arial"/>
                <w:b/>
                <w:sz w:val="18"/>
                <w:szCs w:val="18"/>
              </w:rPr>
              <w:t>(1)</w:t>
            </w:r>
          </w:p>
        </w:tc>
        <w:tc>
          <w:tcPr>
            <w:tcW w:w="1368" w:type="dxa"/>
            <w:shd w:val="clear" w:color="auto" w:fill="C6D9F1"/>
          </w:tcPr>
          <w:p w14:paraId="3E9E3AFA" w14:textId="152E0A67" w:rsidR="00C26C7C" w:rsidRDefault="00C26C7C" w:rsidP="0008316C">
            <w:pPr>
              <w:autoSpaceDE w:val="0"/>
              <w:autoSpaceDN w:val="0"/>
              <w:adjustRightInd w:val="0"/>
              <w:jc w:val="center"/>
              <w:rPr>
                <w:rFonts w:ascii="Arial" w:hAnsi="Arial" w:cs="Arial"/>
                <w:b/>
                <w:sz w:val="18"/>
                <w:szCs w:val="18"/>
              </w:rPr>
            </w:pPr>
            <w:r>
              <w:rPr>
                <w:rFonts w:ascii="Arial" w:hAnsi="Arial" w:cs="Arial"/>
                <w:b/>
                <w:sz w:val="18"/>
                <w:szCs w:val="18"/>
              </w:rPr>
              <w:t>(2)</w:t>
            </w:r>
          </w:p>
        </w:tc>
        <w:tc>
          <w:tcPr>
            <w:tcW w:w="1376" w:type="dxa"/>
            <w:shd w:val="clear" w:color="auto" w:fill="C6D9F1"/>
            <w:vAlign w:val="center"/>
          </w:tcPr>
          <w:p w14:paraId="52195C21" w14:textId="34C204F6" w:rsidR="00C26C7C" w:rsidRPr="00580385" w:rsidRDefault="00C26C7C" w:rsidP="0008316C">
            <w:pPr>
              <w:autoSpaceDE w:val="0"/>
              <w:autoSpaceDN w:val="0"/>
              <w:adjustRightInd w:val="0"/>
              <w:jc w:val="center"/>
              <w:rPr>
                <w:rFonts w:ascii="Arial" w:hAnsi="Arial" w:cs="Arial"/>
                <w:b/>
                <w:sz w:val="18"/>
                <w:szCs w:val="18"/>
              </w:rPr>
            </w:pPr>
            <w:r>
              <w:rPr>
                <w:rFonts w:ascii="Arial" w:hAnsi="Arial" w:cs="Arial"/>
                <w:b/>
                <w:sz w:val="18"/>
                <w:szCs w:val="18"/>
              </w:rPr>
              <w:t>(3)</w:t>
            </w:r>
          </w:p>
        </w:tc>
        <w:tc>
          <w:tcPr>
            <w:tcW w:w="945" w:type="dxa"/>
            <w:shd w:val="clear" w:color="auto" w:fill="C6D9F1"/>
            <w:vAlign w:val="center"/>
          </w:tcPr>
          <w:p w14:paraId="31F03954" w14:textId="54C2EC35" w:rsidR="00C26C7C" w:rsidRPr="00580385" w:rsidRDefault="00C26C7C" w:rsidP="0008316C">
            <w:pPr>
              <w:autoSpaceDE w:val="0"/>
              <w:autoSpaceDN w:val="0"/>
              <w:adjustRightInd w:val="0"/>
              <w:jc w:val="center"/>
              <w:rPr>
                <w:rFonts w:ascii="Arial" w:hAnsi="Arial" w:cs="Arial"/>
                <w:b/>
                <w:sz w:val="18"/>
                <w:szCs w:val="18"/>
              </w:rPr>
            </w:pPr>
            <w:r>
              <w:rPr>
                <w:rFonts w:ascii="Arial" w:hAnsi="Arial" w:cs="Arial"/>
                <w:b/>
                <w:sz w:val="18"/>
                <w:szCs w:val="18"/>
              </w:rPr>
              <w:t>(4)</w:t>
            </w:r>
          </w:p>
        </w:tc>
      </w:tr>
      <w:tr w:rsidR="00C26C7C" w:rsidRPr="00797055" w14:paraId="01319495" w14:textId="77777777" w:rsidTr="003A6399">
        <w:trPr>
          <w:trHeight w:val="525"/>
          <w:jc w:val="center"/>
        </w:trPr>
        <w:tc>
          <w:tcPr>
            <w:tcW w:w="988" w:type="dxa"/>
            <w:shd w:val="clear" w:color="000080" w:fill="FFFFFF"/>
            <w:vAlign w:val="center"/>
          </w:tcPr>
          <w:p w14:paraId="4D542C24" w14:textId="77777777" w:rsidR="00C26C7C" w:rsidRPr="00797055" w:rsidRDefault="00C26C7C" w:rsidP="0008316C">
            <w:pPr>
              <w:rPr>
                <w:rFonts w:ascii="Arial" w:hAnsi="Arial" w:cs="Arial"/>
                <w:b/>
                <w:bCs/>
                <w:sz w:val="18"/>
                <w:szCs w:val="18"/>
                <w:lang w:eastAsia="hr-HR"/>
              </w:rPr>
            </w:pPr>
            <w:r w:rsidRPr="00797055">
              <w:rPr>
                <w:rFonts w:ascii="Arial" w:hAnsi="Arial" w:cs="Arial"/>
                <w:b/>
                <w:bCs/>
                <w:sz w:val="18"/>
                <w:szCs w:val="18"/>
                <w:lang w:eastAsia="hr-HR"/>
              </w:rPr>
              <w:t>Razdjel</w:t>
            </w:r>
          </w:p>
        </w:tc>
        <w:tc>
          <w:tcPr>
            <w:tcW w:w="736" w:type="dxa"/>
            <w:shd w:val="clear" w:color="000080" w:fill="FFFFFF"/>
            <w:vAlign w:val="center"/>
          </w:tcPr>
          <w:p w14:paraId="312E36CC" w14:textId="77777777" w:rsidR="00C26C7C" w:rsidRPr="00797055" w:rsidRDefault="00C26C7C" w:rsidP="0008316C">
            <w:pPr>
              <w:rPr>
                <w:rFonts w:ascii="Arial" w:hAnsi="Arial" w:cs="Arial"/>
                <w:b/>
                <w:bCs/>
                <w:sz w:val="18"/>
                <w:szCs w:val="18"/>
                <w:lang w:eastAsia="hr-HR"/>
              </w:rPr>
            </w:pPr>
            <w:r>
              <w:rPr>
                <w:rFonts w:ascii="Arial" w:hAnsi="Arial" w:cs="Arial"/>
                <w:b/>
                <w:bCs/>
                <w:sz w:val="18"/>
                <w:szCs w:val="18"/>
                <w:lang w:eastAsia="hr-HR"/>
              </w:rPr>
              <w:t>022</w:t>
            </w:r>
          </w:p>
        </w:tc>
        <w:tc>
          <w:tcPr>
            <w:tcW w:w="4499" w:type="dxa"/>
            <w:shd w:val="clear" w:color="000080" w:fill="FFFFFF"/>
            <w:vAlign w:val="center"/>
          </w:tcPr>
          <w:p w14:paraId="54F90228" w14:textId="77777777" w:rsidR="00C26C7C" w:rsidRPr="00797055" w:rsidRDefault="00C26C7C" w:rsidP="0008316C">
            <w:pPr>
              <w:rPr>
                <w:rFonts w:ascii="Arial" w:hAnsi="Arial" w:cs="Arial"/>
                <w:b/>
                <w:bCs/>
                <w:sz w:val="18"/>
                <w:szCs w:val="18"/>
                <w:lang w:eastAsia="hr-HR"/>
              </w:rPr>
            </w:pPr>
            <w:r w:rsidRPr="00797055">
              <w:rPr>
                <w:rFonts w:ascii="Arial" w:hAnsi="Arial" w:cs="Arial"/>
                <w:b/>
                <w:bCs/>
                <w:sz w:val="18"/>
                <w:szCs w:val="18"/>
                <w:lang w:eastAsia="hr-HR"/>
              </w:rPr>
              <w:t>UPRAV</w:t>
            </w:r>
            <w:r>
              <w:rPr>
                <w:rFonts w:ascii="Arial" w:hAnsi="Arial" w:cs="Arial"/>
                <w:b/>
                <w:bCs/>
                <w:sz w:val="18"/>
                <w:szCs w:val="18"/>
                <w:lang w:eastAsia="hr-HR"/>
              </w:rPr>
              <w:t xml:space="preserve">NI ODJEL ZA FINANCIJE, PRORAČUN I NAPLATU POTRAŽIVANJA </w:t>
            </w:r>
          </w:p>
        </w:tc>
        <w:tc>
          <w:tcPr>
            <w:tcW w:w="1796" w:type="dxa"/>
            <w:shd w:val="clear" w:color="000080" w:fill="FFFFFF"/>
            <w:vAlign w:val="center"/>
          </w:tcPr>
          <w:p w14:paraId="6FD48E65" w14:textId="320F281A" w:rsidR="00C26C7C" w:rsidRPr="00863168" w:rsidRDefault="00BF774C" w:rsidP="000D6282">
            <w:pPr>
              <w:jc w:val="center"/>
              <w:rPr>
                <w:rFonts w:ascii="Arial" w:hAnsi="Arial" w:cs="Arial"/>
                <w:b/>
                <w:bCs/>
                <w:sz w:val="18"/>
                <w:szCs w:val="18"/>
              </w:rPr>
            </w:pPr>
            <w:r>
              <w:rPr>
                <w:rFonts w:ascii="Arial" w:hAnsi="Arial" w:cs="Arial"/>
                <w:b/>
                <w:bCs/>
                <w:sz w:val="18"/>
                <w:szCs w:val="18"/>
              </w:rPr>
              <w:t>609.200,00</w:t>
            </w:r>
          </w:p>
        </w:tc>
        <w:tc>
          <w:tcPr>
            <w:tcW w:w="1368" w:type="dxa"/>
            <w:shd w:val="clear" w:color="000080" w:fill="FFFFFF"/>
            <w:vAlign w:val="center"/>
          </w:tcPr>
          <w:p w14:paraId="348BC861" w14:textId="0273611D" w:rsidR="00C26C7C" w:rsidRDefault="00BF774C" w:rsidP="000D6282">
            <w:pPr>
              <w:jc w:val="center"/>
              <w:rPr>
                <w:rFonts w:ascii="Arial" w:hAnsi="Arial" w:cs="Arial"/>
                <w:b/>
                <w:bCs/>
                <w:sz w:val="18"/>
                <w:szCs w:val="18"/>
              </w:rPr>
            </w:pPr>
            <w:r>
              <w:rPr>
                <w:rFonts w:ascii="Arial" w:hAnsi="Arial" w:cs="Arial"/>
                <w:b/>
                <w:bCs/>
                <w:sz w:val="18"/>
                <w:szCs w:val="18"/>
              </w:rPr>
              <w:t>602.700,00</w:t>
            </w:r>
          </w:p>
        </w:tc>
        <w:tc>
          <w:tcPr>
            <w:tcW w:w="1376" w:type="dxa"/>
            <w:shd w:val="clear" w:color="000080" w:fill="FFFFFF"/>
            <w:vAlign w:val="center"/>
          </w:tcPr>
          <w:p w14:paraId="4867BF0A" w14:textId="5196803C" w:rsidR="00C26C7C" w:rsidRPr="00863168" w:rsidRDefault="00BF774C" w:rsidP="000D6282">
            <w:pPr>
              <w:jc w:val="center"/>
              <w:rPr>
                <w:rFonts w:ascii="Arial" w:hAnsi="Arial" w:cs="Arial"/>
                <w:b/>
                <w:bCs/>
                <w:sz w:val="18"/>
                <w:szCs w:val="18"/>
              </w:rPr>
            </w:pPr>
            <w:r>
              <w:rPr>
                <w:rFonts w:ascii="Arial" w:hAnsi="Arial" w:cs="Arial"/>
                <w:b/>
                <w:bCs/>
                <w:sz w:val="18"/>
                <w:szCs w:val="18"/>
              </w:rPr>
              <w:t>504.509,77</w:t>
            </w:r>
          </w:p>
        </w:tc>
        <w:tc>
          <w:tcPr>
            <w:tcW w:w="945" w:type="dxa"/>
            <w:shd w:val="clear" w:color="000080" w:fill="FFFFFF"/>
            <w:vAlign w:val="center"/>
          </w:tcPr>
          <w:p w14:paraId="4F18B055" w14:textId="7C4EFBCA" w:rsidR="00C26C7C" w:rsidRPr="00863168" w:rsidRDefault="00BF774C" w:rsidP="000D6282">
            <w:pPr>
              <w:jc w:val="center"/>
              <w:rPr>
                <w:rFonts w:ascii="Arial" w:hAnsi="Arial" w:cs="Arial"/>
                <w:b/>
                <w:bCs/>
                <w:sz w:val="18"/>
                <w:szCs w:val="18"/>
              </w:rPr>
            </w:pPr>
            <w:r>
              <w:rPr>
                <w:rFonts w:ascii="Arial" w:hAnsi="Arial" w:cs="Arial"/>
                <w:b/>
                <w:bCs/>
                <w:sz w:val="18"/>
                <w:szCs w:val="18"/>
              </w:rPr>
              <w:t>83,71%</w:t>
            </w:r>
          </w:p>
        </w:tc>
      </w:tr>
      <w:tr w:rsidR="00C26C7C" w:rsidRPr="00965B7B" w14:paraId="4407B0BB" w14:textId="77777777" w:rsidTr="003A6399">
        <w:trPr>
          <w:trHeight w:val="525"/>
          <w:jc w:val="center"/>
        </w:trPr>
        <w:tc>
          <w:tcPr>
            <w:tcW w:w="988" w:type="dxa"/>
            <w:shd w:val="clear" w:color="000080" w:fill="FFFFFF"/>
            <w:vAlign w:val="center"/>
          </w:tcPr>
          <w:p w14:paraId="661DDA97" w14:textId="77777777" w:rsidR="00C26C7C" w:rsidRPr="00965B7B" w:rsidRDefault="00C26C7C" w:rsidP="0008316C">
            <w:pPr>
              <w:rPr>
                <w:rFonts w:ascii="Arial" w:hAnsi="Arial" w:cs="Arial"/>
                <w:bCs/>
                <w:sz w:val="18"/>
                <w:szCs w:val="18"/>
                <w:lang w:eastAsia="hr-HR"/>
              </w:rPr>
            </w:pPr>
            <w:r w:rsidRPr="00965B7B">
              <w:rPr>
                <w:rFonts w:ascii="Arial" w:hAnsi="Arial" w:cs="Arial"/>
                <w:bCs/>
                <w:sz w:val="18"/>
                <w:szCs w:val="18"/>
                <w:lang w:eastAsia="hr-HR"/>
              </w:rPr>
              <w:t xml:space="preserve">Glava </w:t>
            </w:r>
          </w:p>
        </w:tc>
        <w:tc>
          <w:tcPr>
            <w:tcW w:w="736" w:type="dxa"/>
            <w:shd w:val="clear" w:color="000080" w:fill="FFFFFF"/>
            <w:vAlign w:val="center"/>
          </w:tcPr>
          <w:p w14:paraId="2257B11E" w14:textId="77777777" w:rsidR="00C26C7C" w:rsidRPr="00965B7B" w:rsidRDefault="00C26C7C" w:rsidP="0008316C">
            <w:pPr>
              <w:rPr>
                <w:rFonts w:ascii="Arial" w:hAnsi="Arial" w:cs="Arial"/>
                <w:bCs/>
                <w:sz w:val="18"/>
                <w:szCs w:val="18"/>
                <w:lang w:eastAsia="hr-HR"/>
              </w:rPr>
            </w:pPr>
            <w:r w:rsidRPr="00965B7B">
              <w:rPr>
                <w:rFonts w:ascii="Arial" w:hAnsi="Arial" w:cs="Arial"/>
                <w:bCs/>
                <w:sz w:val="18"/>
                <w:szCs w:val="18"/>
                <w:lang w:eastAsia="hr-HR"/>
              </w:rPr>
              <w:t>02201</w:t>
            </w:r>
          </w:p>
        </w:tc>
        <w:tc>
          <w:tcPr>
            <w:tcW w:w="4499" w:type="dxa"/>
            <w:shd w:val="clear" w:color="000080" w:fill="FFFFFF"/>
            <w:vAlign w:val="center"/>
          </w:tcPr>
          <w:p w14:paraId="19329E2C" w14:textId="77777777" w:rsidR="00C26C7C" w:rsidRPr="00965B7B" w:rsidRDefault="00C26C7C" w:rsidP="0008316C">
            <w:pPr>
              <w:rPr>
                <w:rFonts w:ascii="Arial" w:hAnsi="Arial" w:cs="Arial"/>
                <w:bCs/>
                <w:sz w:val="18"/>
                <w:szCs w:val="18"/>
                <w:lang w:eastAsia="hr-HR"/>
              </w:rPr>
            </w:pPr>
            <w:r>
              <w:rPr>
                <w:rFonts w:ascii="Arial" w:hAnsi="Arial" w:cs="Arial"/>
                <w:bCs/>
                <w:sz w:val="18"/>
                <w:szCs w:val="18"/>
                <w:lang w:eastAsia="hr-HR"/>
              </w:rPr>
              <w:t>UPRAVNI ODJEL ZA FINANCIJE, PRORAČUN I NAPLATU POTRAŽIVANJA</w:t>
            </w:r>
          </w:p>
        </w:tc>
        <w:tc>
          <w:tcPr>
            <w:tcW w:w="1796" w:type="dxa"/>
            <w:shd w:val="clear" w:color="000080" w:fill="FFFFFF"/>
            <w:vAlign w:val="center"/>
          </w:tcPr>
          <w:p w14:paraId="45EAC265" w14:textId="08CB883C" w:rsidR="00C26C7C" w:rsidRPr="00965B7B" w:rsidRDefault="00BF774C" w:rsidP="000D6282">
            <w:pPr>
              <w:jc w:val="center"/>
              <w:rPr>
                <w:rFonts w:ascii="Arial" w:hAnsi="Arial" w:cs="Arial"/>
                <w:bCs/>
                <w:sz w:val="18"/>
                <w:szCs w:val="18"/>
              </w:rPr>
            </w:pPr>
            <w:r>
              <w:rPr>
                <w:rFonts w:ascii="Arial" w:hAnsi="Arial" w:cs="Arial"/>
                <w:bCs/>
                <w:sz w:val="18"/>
                <w:szCs w:val="18"/>
              </w:rPr>
              <w:t>609.200,00</w:t>
            </w:r>
          </w:p>
        </w:tc>
        <w:tc>
          <w:tcPr>
            <w:tcW w:w="1368" w:type="dxa"/>
            <w:shd w:val="clear" w:color="000080" w:fill="FFFFFF"/>
            <w:vAlign w:val="center"/>
          </w:tcPr>
          <w:p w14:paraId="2F84A24E" w14:textId="6EB08E78" w:rsidR="00C26C7C" w:rsidRDefault="00BF774C" w:rsidP="000D6282">
            <w:pPr>
              <w:jc w:val="center"/>
              <w:rPr>
                <w:rFonts w:ascii="Arial" w:hAnsi="Arial" w:cs="Arial"/>
                <w:bCs/>
                <w:sz w:val="18"/>
                <w:szCs w:val="18"/>
              </w:rPr>
            </w:pPr>
            <w:r>
              <w:rPr>
                <w:rFonts w:ascii="Arial" w:hAnsi="Arial" w:cs="Arial"/>
                <w:bCs/>
                <w:sz w:val="18"/>
                <w:szCs w:val="18"/>
              </w:rPr>
              <w:t>602.700,00</w:t>
            </w:r>
          </w:p>
        </w:tc>
        <w:tc>
          <w:tcPr>
            <w:tcW w:w="1376" w:type="dxa"/>
            <w:shd w:val="clear" w:color="000080" w:fill="FFFFFF"/>
            <w:vAlign w:val="center"/>
          </w:tcPr>
          <w:p w14:paraId="5A30704F" w14:textId="063EB412" w:rsidR="00C26C7C" w:rsidRPr="00965B7B" w:rsidRDefault="00BF774C" w:rsidP="000D6282">
            <w:pPr>
              <w:jc w:val="center"/>
              <w:rPr>
                <w:rFonts w:ascii="Arial" w:hAnsi="Arial" w:cs="Arial"/>
                <w:bCs/>
                <w:sz w:val="18"/>
                <w:szCs w:val="18"/>
              </w:rPr>
            </w:pPr>
            <w:r>
              <w:rPr>
                <w:rFonts w:ascii="Arial" w:hAnsi="Arial" w:cs="Arial"/>
                <w:bCs/>
                <w:sz w:val="18"/>
                <w:szCs w:val="18"/>
              </w:rPr>
              <w:t>504.509,77</w:t>
            </w:r>
          </w:p>
        </w:tc>
        <w:tc>
          <w:tcPr>
            <w:tcW w:w="945" w:type="dxa"/>
            <w:shd w:val="clear" w:color="000080" w:fill="FFFFFF"/>
            <w:vAlign w:val="center"/>
          </w:tcPr>
          <w:p w14:paraId="0F517BD1" w14:textId="7FD2B36C" w:rsidR="00C26C7C" w:rsidRPr="00965B7B" w:rsidRDefault="00BF774C" w:rsidP="000D6282">
            <w:pPr>
              <w:jc w:val="center"/>
              <w:rPr>
                <w:rFonts w:ascii="Arial" w:hAnsi="Arial" w:cs="Arial"/>
                <w:bCs/>
                <w:sz w:val="18"/>
                <w:szCs w:val="18"/>
              </w:rPr>
            </w:pPr>
            <w:r>
              <w:rPr>
                <w:rFonts w:ascii="Arial" w:hAnsi="Arial" w:cs="Arial"/>
                <w:bCs/>
                <w:sz w:val="18"/>
                <w:szCs w:val="18"/>
              </w:rPr>
              <w:t>83,71%</w:t>
            </w:r>
          </w:p>
        </w:tc>
      </w:tr>
      <w:tr w:rsidR="00C26C7C" w:rsidRPr="00797055" w14:paraId="2709F9D4" w14:textId="77777777" w:rsidTr="003A6399">
        <w:trPr>
          <w:trHeight w:val="525"/>
          <w:jc w:val="center"/>
        </w:trPr>
        <w:tc>
          <w:tcPr>
            <w:tcW w:w="988" w:type="dxa"/>
            <w:shd w:val="clear" w:color="C6CEF4" w:fill="FFFFFF"/>
            <w:vAlign w:val="center"/>
          </w:tcPr>
          <w:p w14:paraId="7613CB6C" w14:textId="77777777" w:rsidR="00C26C7C" w:rsidRPr="00797055" w:rsidRDefault="00C26C7C" w:rsidP="0008316C">
            <w:pPr>
              <w:rPr>
                <w:rFonts w:ascii="Arial" w:hAnsi="Arial" w:cs="Arial"/>
                <w:sz w:val="18"/>
                <w:szCs w:val="18"/>
                <w:lang w:eastAsia="hr-HR"/>
              </w:rPr>
            </w:pPr>
            <w:r w:rsidRPr="00797055">
              <w:rPr>
                <w:rFonts w:ascii="Arial" w:hAnsi="Arial" w:cs="Arial"/>
                <w:sz w:val="18"/>
                <w:szCs w:val="18"/>
                <w:lang w:eastAsia="hr-HR"/>
              </w:rPr>
              <w:t>Program</w:t>
            </w:r>
          </w:p>
        </w:tc>
        <w:tc>
          <w:tcPr>
            <w:tcW w:w="736" w:type="dxa"/>
            <w:shd w:val="clear" w:color="C6CEF4" w:fill="FFFFFF"/>
            <w:vAlign w:val="center"/>
          </w:tcPr>
          <w:p w14:paraId="706FF81A" w14:textId="77777777" w:rsidR="00C26C7C" w:rsidRPr="00797055" w:rsidRDefault="00C26C7C" w:rsidP="0008316C">
            <w:pPr>
              <w:rPr>
                <w:rFonts w:ascii="Arial" w:hAnsi="Arial" w:cs="Arial"/>
                <w:sz w:val="18"/>
                <w:szCs w:val="18"/>
                <w:lang w:eastAsia="hr-HR"/>
              </w:rPr>
            </w:pPr>
            <w:r>
              <w:rPr>
                <w:rFonts w:ascii="Arial" w:hAnsi="Arial" w:cs="Arial"/>
                <w:sz w:val="18"/>
                <w:szCs w:val="18"/>
                <w:lang w:eastAsia="hr-HR"/>
              </w:rPr>
              <w:t>1101</w:t>
            </w:r>
          </w:p>
        </w:tc>
        <w:tc>
          <w:tcPr>
            <w:tcW w:w="4499" w:type="dxa"/>
            <w:shd w:val="clear" w:color="C6CEF4" w:fill="FFFFFF"/>
            <w:vAlign w:val="center"/>
          </w:tcPr>
          <w:p w14:paraId="128DDFAE" w14:textId="77777777" w:rsidR="00C26C7C" w:rsidRPr="00797055" w:rsidRDefault="00C26C7C" w:rsidP="0008316C">
            <w:pPr>
              <w:rPr>
                <w:rFonts w:ascii="Arial" w:hAnsi="Arial" w:cs="Arial"/>
                <w:sz w:val="18"/>
                <w:szCs w:val="18"/>
                <w:lang w:eastAsia="hr-HR"/>
              </w:rPr>
            </w:pPr>
            <w:r>
              <w:rPr>
                <w:rFonts w:ascii="Arial" w:hAnsi="Arial" w:cs="Arial"/>
                <w:sz w:val="18"/>
                <w:szCs w:val="18"/>
                <w:lang w:eastAsia="hr-HR"/>
              </w:rPr>
              <w:t xml:space="preserve">JAVNA UPRAVA I ADMINISTRACIJA </w:t>
            </w:r>
          </w:p>
        </w:tc>
        <w:tc>
          <w:tcPr>
            <w:tcW w:w="1796" w:type="dxa"/>
            <w:shd w:val="clear" w:color="C6CEF4" w:fill="FFFFFF"/>
            <w:vAlign w:val="center"/>
          </w:tcPr>
          <w:p w14:paraId="67CACEC8" w14:textId="2FDC5C99" w:rsidR="00C26C7C" w:rsidRPr="00863168" w:rsidRDefault="00BF774C" w:rsidP="000D6282">
            <w:pPr>
              <w:jc w:val="center"/>
              <w:rPr>
                <w:rFonts w:ascii="Arial" w:hAnsi="Arial" w:cs="Arial"/>
                <w:bCs/>
                <w:sz w:val="18"/>
                <w:szCs w:val="18"/>
              </w:rPr>
            </w:pPr>
            <w:r>
              <w:rPr>
                <w:rFonts w:ascii="Arial" w:hAnsi="Arial" w:cs="Arial"/>
                <w:bCs/>
                <w:sz w:val="18"/>
                <w:szCs w:val="18"/>
              </w:rPr>
              <w:t>5.200,00</w:t>
            </w:r>
          </w:p>
        </w:tc>
        <w:tc>
          <w:tcPr>
            <w:tcW w:w="1368" w:type="dxa"/>
            <w:shd w:val="clear" w:color="C6CEF4" w:fill="FFFFFF"/>
            <w:vAlign w:val="center"/>
          </w:tcPr>
          <w:p w14:paraId="2BDB9633" w14:textId="1FAA34F6" w:rsidR="00C26C7C" w:rsidRDefault="00BF774C" w:rsidP="000D6282">
            <w:pPr>
              <w:jc w:val="center"/>
              <w:rPr>
                <w:rFonts w:ascii="Arial" w:hAnsi="Arial" w:cs="Arial"/>
                <w:bCs/>
                <w:sz w:val="18"/>
                <w:szCs w:val="18"/>
              </w:rPr>
            </w:pPr>
            <w:r>
              <w:rPr>
                <w:rFonts w:ascii="Arial" w:hAnsi="Arial" w:cs="Arial"/>
                <w:bCs/>
                <w:sz w:val="18"/>
                <w:szCs w:val="18"/>
              </w:rPr>
              <w:t>5.200,00</w:t>
            </w:r>
          </w:p>
        </w:tc>
        <w:tc>
          <w:tcPr>
            <w:tcW w:w="1376" w:type="dxa"/>
            <w:shd w:val="clear" w:color="C6CEF4" w:fill="FFFFFF"/>
            <w:vAlign w:val="center"/>
          </w:tcPr>
          <w:p w14:paraId="6A6BADD0" w14:textId="790726D1" w:rsidR="00C26C7C" w:rsidRPr="00863168" w:rsidRDefault="00BF774C" w:rsidP="000D6282">
            <w:pPr>
              <w:jc w:val="center"/>
              <w:rPr>
                <w:rFonts w:ascii="Arial" w:hAnsi="Arial" w:cs="Arial"/>
                <w:bCs/>
                <w:sz w:val="18"/>
                <w:szCs w:val="18"/>
              </w:rPr>
            </w:pPr>
            <w:r>
              <w:rPr>
                <w:rFonts w:ascii="Arial" w:hAnsi="Arial" w:cs="Arial"/>
                <w:bCs/>
                <w:sz w:val="18"/>
                <w:szCs w:val="18"/>
              </w:rPr>
              <w:t>4.244,55</w:t>
            </w:r>
          </w:p>
        </w:tc>
        <w:tc>
          <w:tcPr>
            <w:tcW w:w="945" w:type="dxa"/>
            <w:shd w:val="clear" w:color="C6CEF4" w:fill="FFFFFF"/>
            <w:vAlign w:val="center"/>
          </w:tcPr>
          <w:p w14:paraId="3FF7F8A0" w14:textId="5F52D574" w:rsidR="00C26C7C" w:rsidRPr="00863168" w:rsidRDefault="00BF774C" w:rsidP="000D6282">
            <w:pPr>
              <w:jc w:val="center"/>
              <w:rPr>
                <w:rFonts w:ascii="Arial" w:hAnsi="Arial" w:cs="Arial"/>
                <w:bCs/>
                <w:sz w:val="18"/>
                <w:szCs w:val="18"/>
              </w:rPr>
            </w:pPr>
            <w:r>
              <w:rPr>
                <w:rFonts w:ascii="Arial" w:hAnsi="Arial" w:cs="Arial"/>
                <w:bCs/>
                <w:sz w:val="18"/>
                <w:szCs w:val="18"/>
              </w:rPr>
              <w:t>81,63%</w:t>
            </w:r>
          </w:p>
        </w:tc>
      </w:tr>
      <w:tr w:rsidR="00C26C7C" w:rsidRPr="00797055" w14:paraId="6665B871" w14:textId="77777777" w:rsidTr="003A6399">
        <w:trPr>
          <w:trHeight w:val="525"/>
          <w:jc w:val="center"/>
        </w:trPr>
        <w:tc>
          <w:tcPr>
            <w:tcW w:w="988" w:type="dxa"/>
            <w:shd w:val="clear" w:color="C6CEF4" w:fill="FFFFFF"/>
            <w:vAlign w:val="center"/>
          </w:tcPr>
          <w:p w14:paraId="44C1FC7A" w14:textId="77777777" w:rsidR="00C26C7C" w:rsidRPr="00797055" w:rsidRDefault="00C26C7C" w:rsidP="0008316C">
            <w:pPr>
              <w:rPr>
                <w:rFonts w:ascii="Arial" w:hAnsi="Arial" w:cs="Arial"/>
                <w:sz w:val="18"/>
                <w:szCs w:val="18"/>
                <w:lang w:eastAsia="hr-HR"/>
              </w:rPr>
            </w:pPr>
            <w:r w:rsidRPr="00797055">
              <w:rPr>
                <w:rFonts w:ascii="Arial" w:hAnsi="Arial" w:cs="Arial"/>
                <w:sz w:val="18"/>
                <w:szCs w:val="18"/>
                <w:lang w:eastAsia="hr-HR"/>
              </w:rPr>
              <w:lastRenderedPageBreak/>
              <w:t>Program</w:t>
            </w:r>
          </w:p>
        </w:tc>
        <w:tc>
          <w:tcPr>
            <w:tcW w:w="736" w:type="dxa"/>
            <w:shd w:val="clear" w:color="C6CEF4" w:fill="FFFFFF"/>
            <w:vAlign w:val="center"/>
          </w:tcPr>
          <w:p w14:paraId="60FFB294" w14:textId="77777777" w:rsidR="00C26C7C" w:rsidRPr="00797055" w:rsidRDefault="00C26C7C" w:rsidP="0008316C">
            <w:pPr>
              <w:rPr>
                <w:rFonts w:ascii="Arial" w:hAnsi="Arial" w:cs="Arial"/>
                <w:sz w:val="18"/>
                <w:szCs w:val="18"/>
                <w:lang w:eastAsia="hr-HR"/>
              </w:rPr>
            </w:pPr>
            <w:r>
              <w:rPr>
                <w:rFonts w:ascii="Arial" w:hAnsi="Arial" w:cs="Arial"/>
                <w:sz w:val="18"/>
                <w:szCs w:val="18"/>
                <w:lang w:eastAsia="hr-HR"/>
              </w:rPr>
              <w:t>1700</w:t>
            </w:r>
          </w:p>
        </w:tc>
        <w:tc>
          <w:tcPr>
            <w:tcW w:w="4499" w:type="dxa"/>
            <w:shd w:val="clear" w:color="C6CEF4" w:fill="FFFFFF"/>
            <w:vAlign w:val="center"/>
          </w:tcPr>
          <w:p w14:paraId="4C72C4F0" w14:textId="77777777" w:rsidR="00C26C7C" w:rsidRPr="00797055" w:rsidRDefault="00C26C7C" w:rsidP="0008316C">
            <w:pPr>
              <w:rPr>
                <w:rFonts w:ascii="Arial" w:hAnsi="Arial" w:cs="Arial"/>
                <w:sz w:val="18"/>
                <w:szCs w:val="18"/>
                <w:lang w:eastAsia="hr-HR"/>
              </w:rPr>
            </w:pPr>
            <w:r>
              <w:rPr>
                <w:rFonts w:ascii="Arial" w:hAnsi="Arial" w:cs="Arial"/>
                <w:sz w:val="18"/>
                <w:szCs w:val="18"/>
                <w:lang w:eastAsia="hr-HR"/>
              </w:rPr>
              <w:t xml:space="preserve">UPRAVLJANJE FINANCIJAMA </w:t>
            </w:r>
          </w:p>
        </w:tc>
        <w:tc>
          <w:tcPr>
            <w:tcW w:w="1796" w:type="dxa"/>
            <w:shd w:val="clear" w:color="C6CEF4" w:fill="FFFFFF"/>
            <w:vAlign w:val="center"/>
          </w:tcPr>
          <w:p w14:paraId="69F9F79D" w14:textId="45DBA719" w:rsidR="00C26C7C" w:rsidRPr="00863168" w:rsidRDefault="00BF774C" w:rsidP="000D6282">
            <w:pPr>
              <w:jc w:val="center"/>
              <w:rPr>
                <w:rFonts w:ascii="Arial" w:hAnsi="Arial" w:cs="Arial"/>
                <w:bCs/>
                <w:sz w:val="18"/>
                <w:szCs w:val="18"/>
              </w:rPr>
            </w:pPr>
            <w:r>
              <w:rPr>
                <w:rFonts w:ascii="Arial" w:hAnsi="Arial" w:cs="Arial"/>
                <w:bCs/>
                <w:sz w:val="18"/>
                <w:szCs w:val="18"/>
              </w:rPr>
              <w:t>604.000,00</w:t>
            </w:r>
          </w:p>
        </w:tc>
        <w:tc>
          <w:tcPr>
            <w:tcW w:w="1368" w:type="dxa"/>
            <w:shd w:val="clear" w:color="C6CEF4" w:fill="FFFFFF"/>
            <w:vAlign w:val="center"/>
          </w:tcPr>
          <w:p w14:paraId="717EC9CE" w14:textId="4CC6126C" w:rsidR="00C26C7C" w:rsidRDefault="00BF774C" w:rsidP="000D6282">
            <w:pPr>
              <w:jc w:val="center"/>
              <w:rPr>
                <w:rFonts w:ascii="Arial" w:hAnsi="Arial" w:cs="Arial"/>
                <w:bCs/>
                <w:sz w:val="18"/>
                <w:szCs w:val="18"/>
              </w:rPr>
            </w:pPr>
            <w:r>
              <w:rPr>
                <w:rFonts w:ascii="Arial" w:hAnsi="Arial" w:cs="Arial"/>
                <w:bCs/>
                <w:sz w:val="18"/>
                <w:szCs w:val="18"/>
              </w:rPr>
              <w:t>597.500,00</w:t>
            </w:r>
          </w:p>
        </w:tc>
        <w:tc>
          <w:tcPr>
            <w:tcW w:w="1376" w:type="dxa"/>
            <w:shd w:val="clear" w:color="C6CEF4" w:fill="FFFFFF"/>
            <w:vAlign w:val="center"/>
          </w:tcPr>
          <w:p w14:paraId="359D265D" w14:textId="2B5B8D67" w:rsidR="00C26C7C" w:rsidRPr="00863168" w:rsidRDefault="00BF774C" w:rsidP="000D6282">
            <w:pPr>
              <w:jc w:val="center"/>
              <w:rPr>
                <w:rFonts w:ascii="Arial" w:hAnsi="Arial" w:cs="Arial"/>
                <w:bCs/>
                <w:sz w:val="18"/>
                <w:szCs w:val="18"/>
              </w:rPr>
            </w:pPr>
            <w:r>
              <w:rPr>
                <w:rFonts w:ascii="Arial" w:hAnsi="Arial" w:cs="Arial"/>
                <w:bCs/>
                <w:sz w:val="18"/>
                <w:szCs w:val="18"/>
              </w:rPr>
              <w:t>500.265,22</w:t>
            </w:r>
          </w:p>
        </w:tc>
        <w:tc>
          <w:tcPr>
            <w:tcW w:w="945" w:type="dxa"/>
            <w:shd w:val="clear" w:color="C6CEF4" w:fill="FFFFFF"/>
            <w:vAlign w:val="center"/>
          </w:tcPr>
          <w:p w14:paraId="68D59FF0" w14:textId="46015ED0" w:rsidR="00C26C7C" w:rsidRPr="00863168" w:rsidRDefault="00BF774C" w:rsidP="000D6282">
            <w:pPr>
              <w:jc w:val="center"/>
              <w:rPr>
                <w:rFonts w:ascii="Arial" w:hAnsi="Arial" w:cs="Arial"/>
                <w:bCs/>
                <w:sz w:val="18"/>
                <w:szCs w:val="18"/>
              </w:rPr>
            </w:pPr>
            <w:r>
              <w:rPr>
                <w:rFonts w:ascii="Arial" w:hAnsi="Arial" w:cs="Arial"/>
                <w:bCs/>
                <w:sz w:val="18"/>
                <w:szCs w:val="18"/>
              </w:rPr>
              <w:t>83,73%</w:t>
            </w:r>
          </w:p>
        </w:tc>
      </w:tr>
    </w:tbl>
    <w:p w14:paraId="7AADAD94" w14:textId="77777777" w:rsidR="002D0292" w:rsidRDefault="002D0292" w:rsidP="00C41431">
      <w:pPr>
        <w:spacing w:after="0"/>
        <w:jc w:val="both"/>
        <w:rPr>
          <w:rFonts w:cstheme="minorHAnsi"/>
          <w:sz w:val="24"/>
          <w:szCs w:val="24"/>
          <w:u w:val="single"/>
        </w:rPr>
      </w:pPr>
    </w:p>
    <w:p w14:paraId="18002805" w14:textId="736812FF" w:rsidR="00C41431" w:rsidRDefault="00C41431" w:rsidP="00C41431">
      <w:pPr>
        <w:spacing w:after="0"/>
        <w:jc w:val="both"/>
        <w:rPr>
          <w:rFonts w:cstheme="minorHAnsi"/>
          <w:sz w:val="24"/>
          <w:szCs w:val="24"/>
          <w:u w:val="single"/>
        </w:rPr>
      </w:pPr>
      <w:r w:rsidRPr="00162757">
        <w:rPr>
          <w:rFonts w:cstheme="minorHAnsi"/>
          <w:sz w:val="24"/>
          <w:szCs w:val="24"/>
          <w:u w:val="single"/>
        </w:rPr>
        <w:t xml:space="preserve">Program 1101 Javna uprava i administracija  </w:t>
      </w:r>
    </w:p>
    <w:p w14:paraId="4292228F" w14:textId="77777777" w:rsidR="00A21AD0" w:rsidRPr="003D484F" w:rsidRDefault="00A21AD0" w:rsidP="00A21AD0">
      <w:pPr>
        <w:spacing w:after="0" w:line="240" w:lineRule="auto"/>
        <w:jc w:val="both"/>
        <w:rPr>
          <w:rFonts w:cstheme="minorHAnsi"/>
          <w:bCs/>
          <w:sz w:val="24"/>
          <w:szCs w:val="24"/>
        </w:rPr>
      </w:pPr>
      <w:r w:rsidRPr="003D484F">
        <w:rPr>
          <w:rFonts w:cstheme="minorHAnsi"/>
          <w:bCs/>
          <w:sz w:val="24"/>
          <w:szCs w:val="24"/>
        </w:rPr>
        <w:t>U okviru ovog programa obavljaju se poslovi koji obuhvaćaju financiranje rashoda koji se odnose na redovan rad službenika odjela, a odnosi se na rashode za službena putovanja, stručno usavršavanje zaposlenika te uredski materijal i ostale materijalne rashode</w:t>
      </w:r>
      <w:r>
        <w:rPr>
          <w:rFonts w:cstheme="minorHAnsi"/>
          <w:bCs/>
          <w:sz w:val="24"/>
          <w:szCs w:val="24"/>
        </w:rPr>
        <w:t>.</w:t>
      </w:r>
      <w:r w:rsidRPr="003D484F">
        <w:rPr>
          <w:rFonts w:cstheme="minorHAnsi"/>
          <w:bCs/>
          <w:sz w:val="24"/>
          <w:szCs w:val="24"/>
        </w:rPr>
        <w:t xml:space="preserve"> </w:t>
      </w:r>
    </w:p>
    <w:p w14:paraId="7B448CF4" w14:textId="7A300AAE" w:rsidR="00A21AD0" w:rsidRDefault="00A21AD0" w:rsidP="00A21AD0">
      <w:pPr>
        <w:pStyle w:val="Bezproreda"/>
        <w:jc w:val="both"/>
        <w:rPr>
          <w:rFonts w:asciiTheme="minorHAnsi" w:hAnsiTheme="minorHAnsi" w:cstheme="minorHAnsi"/>
          <w:sz w:val="24"/>
          <w:szCs w:val="24"/>
        </w:rPr>
      </w:pPr>
      <w:r>
        <w:rPr>
          <w:rFonts w:asciiTheme="minorHAnsi" w:hAnsiTheme="minorHAnsi" w:cstheme="minorHAnsi"/>
          <w:sz w:val="24"/>
          <w:szCs w:val="24"/>
        </w:rPr>
        <w:t>U izvještajnom razdoblju 202</w:t>
      </w:r>
      <w:r w:rsidR="00CD62C5">
        <w:rPr>
          <w:rFonts w:asciiTheme="minorHAnsi" w:hAnsiTheme="minorHAnsi" w:cstheme="minorHAnsi"/>
          <w:sz w:val="24"/>
          <w:szCs w:val="24"/>
        </w:rPr>
        <w:t>5</w:t>
      </w:r>
      <w:r>
        <w:rPr>
          <w:rFonts w:asciiTheme="minorHAnsi" w:hAnsiTheme="minorHAnsi" w:cstheme="minorHAnsi"/>
          <w:sz w:val="24"/>
          <w:szCs w:val="24"/>
        </w:rPr>
        <w:t>. godine</w:t>
      </w:r>
      <w:r w:rsidRPr="00162757">
        <w:rPr>
          <w:rFonts w:asciiTheme="minorHAnsi" w:hAnsiTheme="minorHAnsi" w:cstheme="minorHAnsi"/>
          <w:sz w:val="24"/>
          <w:szCs w:val="24"/>
        </w:rPr>
        <w:t xml:space="preserve"> za realizaciju ovog programa utrošeno je </w:t>
      </w:r>
      <w:r w:rsidR="00CD62C5">
        <w:rPr>
          <w:rFonts w:asciiTheme="minorHAnsi" w:hAnsiTheme="minorHAnsi" w:cstheme="minorHAnsi"/>
          <w:sz w:val="24"/>
          <w:szCs w:val="24"/>
        </w:rPr>
        <w:t>4.244,55</w:t>
      </w:r>
      <w:r>
        <w:rPr>
          <w:rFonts w:asciiTheme="minorHAnsi" w:hAnsiTheme="minorHAnsi" w:cstheme="minorHAnsi"/>
          <w:sz w:val="24"/>
          <w:szCs w:val="24"/>
        </w:rPr>
        <w:t xml:space="preserve"> eura</w:t>
      </w:r>
      <w:r w:rsidRPr="00162757">
        <w:rPr>
          <w:rFonts w:asciiTheme="minorHAnsi" w:hAnsiTheme="minorHAnsi" w:cstheme="minorHAnsi"/>
          <w:sz w:val="24"/>
          <w:szCs w:val="24"/>
        </w:rPr>
        <w:t xml:space="preserve"> ili </w:t>
      </w:r>
      <w:r w:rsidR="00CD62C5">
        <w:rPr>
          <w:rFonts w:asciiTheme="minorHAnsi" w:hAnsiTheme="minorHAnsi" w:cstheme="minorHAnsi"/>
          <w:sz w:val="24"/>
          <w:szCs w:val="24"/>
        </w:rPr>
        <w:t>81,63</w:t>
      </w:r>
      <w:r>
        <w:rPr>
          <w:rFonts w:asciiTheme="minorHAnsi" w:hAnsiTheme="minorHAnsi" w:cstheme="minorHAnsi"/>
          <w:sz w:val="24"/>
          <w:szCs w:val="24"/>
        </w:rPr>
        <w:t xml:space="preserve">% </w:t>
      </w:r>
      <w:r w:rsidRPr="00162757">
        <w:rPr>
          <w:rFonts w:asciiTheme="minorHAnsi" w:hAnsiTheme="minorHAnsi" w:cstheme="minorHAnsi"/>
          <w:sz w:val="24"/>
          <w:szCs w:val="24"/>
        </w:rPr>
        <w:t>plana. Rashodi se odno</w:t>
      </w:r>
      <w:r>
        <w:rPr>
          <w:rFonts w:asciiTheme="minorHAnsi" w:hAnsiTheme="minorHAnsi" w:cstheme="minorHAnsi"/>
          <w:sz w:val="24"/>
          <w:szCs w:val="24"/>
        </w:rPr>
        <w:t>se na službena putovanja, stručno usavršavanje zaposlenika i nabavu uredskog materijala.</w:t>
      </w:r>
    </w:p>
    <w:p w14:paraId="3B35C39C" w14:textId="77777777" w:rsidR="00C41431" w:rsidRPr="00162757" w:rsidRDefault="00C41431" w:rsidP="00C41431">
      <w:pPr>
        <w:spacing w:after="0" w:line="240" w:lineRule="auto"/>
        <w:jc w:val="both"/>
        <w:rPr>
          <w:rFonts w:cstheme="minorHAnsi"/>
          <w:sz w:val="24"/>
          <w:szCs w:val="24"/>
        </w:rPr>
      </w:pPr>
    </w:p>
    <w:p w14:paraId="189E0693" w14:textId="77777777" w:rsidR="00C41431" w:rsidRPr="00162757" w:rsidRDefault="00C41431" w:rsidP="00C41431">
      <w:pPr>
        <w:spacing w:after="0"/>
        <w:jc w:val="both"/>
        <w:rPr>
          <w:rFonts w:cstheme="minorHAnsi"/>
          <w:sz w:val="24"/>
          <w:szCs w:val="24"/>
          <w:u w:val="single"/>
        </w:rPr>
      </w:pPr>
      <w:r w:rsidRPr="00162757">
        <w:rPr>
          <w:rFonts w:cstheme="minorHAnsi"/>
          <w:sz w:val="24"/>
          <w:szCs w:val="24"/>
          <w:u w:val="single"/>
        </w:rPr>
        <w:t xml:space="preserve">Program 1700 Upravljanje financijama </w:t>
      </w:r>
    </w:p>
    <w:p w14:paraId="492DFB02" w14:textId="77777777" w:rsidR="00B12C06" w:rsidRPr="003D484F" w:rsidRDefault="00B12C06" w:rsidP="00B12C06">
      <w:pPr>
        <w:spacing w:after="0" w:line="240" w:lineRule="auto"/>
        <w:jc w:val="both"/>
        <w:rPr>
          <w:rFonts w:cstheme="minorHAnsi"/>
          <w:bCs/>
          <w:sz w:val="24"/>
          <w:szCs w:val="24"/>
        </w:rPr>
      </w:pPr>
      <w:r w:rsidRPr="003D484F">
        <w:rPr>
          <w:rFonts w:cstheme="minorHAnsi"/>
          <w:bCs/>
          <w:sz w:val="24"/>
          <w:szCs w:val="24"/>
        </w:rPr>
        <w:t xml:space="preserve">U okviru ovog programa obavljaju se poslovi koji obuhvaćaju financiranje rashoda za redovno poslovanje iz djelokruga rada odjela odnosno financiranje rashoda za naknade, zatezne kamate, bankarske usluge i usluge platnog prometa, redovne kamate za primljene kredite, otplate glavnica za primljene kredite, otplata beskamatnih zajmova primljenih po posebnim odlukama državnog proračuna, obvezni rashodi odnosno donacije za financiranje političkih stranaka te osiguranje sredstava proračunske pričuve. </w:t>
      </w:r>
    </w:p>
    <w:p w14:paraId="748456B2" w14:textId="65D07FA1" w:rsidR="00B12C06" w:rsidRDefault="00B12C06" w:rsidP="00B12C06">
      <w:pPr>
        <w:spacing w:after="0" w:line="240" w:lineRule="auto"/>
        <w:jc w:val="both"/>
        <w:rPr>
          <w:rFonts w:cstheme="minorHAnsi"/>
          <w:sz w:val="24"/>
          <w:szCs w:val="24"/>
        </w:rPr>
      </w:pPr>
      <w:r w:rsidRPr="00872285">
        <w:rPr>
          <w:rFonts w:cstheme="minorHAnsi"/>
          <w:sz w:val="24"/>
          <w:szCs w:val="24"/>
        </w:rPr>
        <w:t xml:space="preserve">Za realizaciju ovog programa u </w:t>
      </w:r>
      <w:r>
        <w:rPr>
          <w:rFonts w:cstheme="minorHAnsi"/>
          <w:sz w:val="24"/>
          <w:szCs w:val="24"/>
        </w:rPr>
        <w:t xml:space="preserve">izvještajnom razdoblju </w:t>
      </w:r>
      <w:r w:rsidRPr="00872285">
        <w:rPr>
          <w:rFonts w:cstheme="minorHAnsi"/>
          <w:sz w:val="24"/>
          <w:szCs w:val="24"/>
        </w:rPr>
        <w:t>20</w:t>
      </w:r>
      <w:r>
        <w:rPr>
          <w:rFonts w:cstheme="minorHAnsi"/>
          <w:sz w:val="24"/>
          <w:szCs w:val="24"/>
        </w:rPr>
        <w:t>2</w:t>
      </w:r>
      <w:r w:rsidR="00CD62C5">
        <w:rPr>
          <w:rFonts w:cstheme="minorHAnsi"/>
          <w:sz w:val="24"/>
          <w:szCs w:val="24"/>
        </w:rPr>
        <w:t>5</w:t>
      </w:r>
      <w:r>
        <w:rPr>
          <w:rFonts w:cstheme="minorHAnsi"/>
          <w:sz w:val="24"/>
          <w:szCs w:val="24"/>
        </w:rPr>
        <w:t>. godine</w:t>
      </w:r>
      <w:r w:rsidRPr="00872285">
        <w:rPr>
          <w:rFonts w:cstheme="minorHAnsi"/>
          <w:sz w:val="24"/>
          <w:szCs w:val="24"/>
        </w:rPr>
        <w:t xml:space="preserve"> ostvareno je </w:t>
      </w:r>
      <w:r w:rsidR="00CD62C5">
        <w:rPr>
          <w:rFonts w:cstheme="minorHAnsi"/>
          <w:sz w:val="24"/>
          <w:szCs w:val="24"/>
        </w:rPr>
        <w:t>500.265,22</w:t>
      </w:r>
      <w:r>
        <w:rPr>
          <w:rFonts w:cstheme="minorHAnsi"/>
          <w:sz w:val="24"/>
          <w:szCs w:val="24"/>
        </w:rPr>
        <w:t xml:space="preserve"> eura </w:t>
      </w:r>
      <w:r w:rsidRPr="00872285">
        <w:rPr>
          <w:rFonts w:cstheme="minorHAnsi"/>
          <w:sz w:val="24"/>
          <w:szCs w:val="24"/>
        </w:rPr>
        <w:t xml:space="preserve"> ili </w:t>
      </w:r>
      <w:r>
        <w:rPr>
          <w:rFonts w:cstheme="minorHAnsi"/>
          <w:sz w:val="24"/>
          <w:szCs w:val="24"/>
        </w:rPr>
        <w:t>83,7</w:t>
      </w:r>
      <w:r w:rsidR="00CD62C5">
        <w:rPr>
          <w:rFonts w:cstheme="minorHAnsi"/>
          <w:sz w:val="24"/>
          <w:szCs w:val="24"/>
        </w:rPr>
        <w:t>3</w:t>
      </w:r>
      <w:r w:rsidRPr="00872285">
        <w:rPr>
          <w:rFonts w:cstheme="minorHAnsi"/>
          <w:sz w:val="24"/>
          <w:szCs w:val="24"/>
        </w:rPr>
        <w:t>% godišnjeg plana.</w:t>
      </w:r>
    </w:p>
    <w:p w14:paraId="0D66DF54" w14:textId="1CA9A0B9" w:rsidR="00B12C06" w:rsidRDefault="00B12C06" w:rsidP="00B12C06">
      <w:pPr>
        <w:spacing w:after="0" w:line="240" w:lineRule="auto"/>
        <w:jc w:val="both"/>
        <w:rPr>
          <w:rFonts w:cstheme="minorHAnsi"/>
          <w:sz w:val="24"/>
          <w:szCs w:val="24"/>
        </w:rPr>
      </w:pPr>
      <w:r w:rsidRPr="00872285">
        <w:rPr>
          <w:rFonts w:cstheme="minorHAnsi"/>
          <w:sz w:val="24"/>
          <w:szCs w:val="24"/>
        </w:rPr>
        <w:t xml:space="preserve"> </w:t>
      </w:r>
      <w:r>
        <w:rPr>
          <w:rFonts w:cstheme="minorHAnsi"/>
          <w:sz w:val="24"/>
          <w:szCs w:val="24"/>
        </w:rPr>
        <w:t>Unutar ovog programa imamo 3 aktivnosti:</w:t>
      </w:r>
    </w:p>
    <w:p w14:paraId="3E9249EB" w14:textId="77777777" w:rsidR="00B12C06" w:rsidRDefault="00B12C06" w:rsidP="00B12C06">
      <w:pPr>
        <w:spacing w:after="0" w:line="240" w:lineRule="auto"/>
        <w:jc w:val="both"/>
        <w:rPr>
          <w:rFonts w:cstheme="minorHAnsi"/>
          <w:sz w:val="24"/>
          <w:szCs w:val="24"/>
        </w:rPr>
      </w:pPr>
      <w:r>
        <w:rPr>
          <w:rFonts w:cstheme="minorHAnsi"/>
          <w:sz w:val="24"/>
          <w:szCs w:val="24"/>
        </w:rPr>
        <w:t xml:space="preserve">A100001 Financiranje tekućih rashoda </w:t>
      </w:r>
    </w:p>
    <w:p w14:paraId="0D2AA340" w14:textId="77777777" w:rsidR="00B12C06" w:rsidRDefault="00B12C06" w:rsidP="00B12C06">
      <w:pPr>
        <w:spacing w:after="0" w:line="240" w:lineRule="auto"/>
        <w:jc w:val="both"/>
        <w:rPr>
          <w:rFonts w:cstheme="minorHAnsi"/>
          <w:sz w:val="24"/>
          <w:szCs w:val="24"/>
        </w:rPr>
      </w:pPr>
      <w:r>
        <w:rPr>
          <w:rFonts w:cstheme="minorHAnsi"/>
          <w:sz w:val="24"/>
          <w:szCs w:val="24"/>
        </w:rPr>
        <w:t xml:space="preserve">A100002 Političke stranke i nezavisni vijećnici </w:t>
      </w:r>
    </w:p>
    <w:p w14:paraId="1793293B" w14:textId="03A1680C" w:rsidR="00CD62C5" w:rsidRDefault="00B12C06" w:rsidP="00B12C06">
      <w:pPr>
        <w:spacing w:after="0" w:line="240" w:lineRule="auto"/>
        <w:jc w:val="both"/>
        <w:rPr>
          <w:rFonts w:cstheme="minorHAnsi"/>
          <w:sz w:val="24"/>
          <w:szCs w:val="24"/>
        </w:rPr>
      </w:pPr>
      <w:r>
        <w:rPr>
          <w:rFonts w:cstheme="minorHAnsi"/>
          <w:sz w:val="24"/>
          <w:szCs w:val="24"/>
        </w:rPr>
        <w:t xml:space="preserve">A100003 Proračunska pričuva </w:t>
      </w:r>
    </w:p>
    <w:p w14:paraId="31D32F4C" w14:textId="77777777" w:rsidR="00414C67" w:rsidRDefault="00B12C06" w:rsidP="00414C67">
      <w:pPr>
        <w:jc w:val="both"/>
        <w:rPr>
          <w:rFonts w:cstheme="minorHAnsi"/>
          <w:sz w:val="24"/>
          <w:szCs w:val="24"/>
        </w:rPr>
      </w:pPr>
      <w:r w:rsidRPr="00933630">
        <w:rPr>
          <w:rFonts w:cstheme="minorHAnsi"/>
          <w:sz w:val="24"/>
          <w:szCs w:val="24"/>
        </w:rPr>
        <w:t>Sredstva su utrošena za financijske rashode kao što su naknada Poreznoj upravi za ubiranje poreza (5% provizije), izdatke za kamate za primljene kredite, za bankarske usluge i usluge platnog prometa, negativne tečajne razlike, izdatke za zatezne kamate,</w:t>
      </w:r>
      <w:r w:rsidRPr="00933630">
        <w:rPr>
          <w:rFonts w:eastAsia="Times New Roman" w:cstheme="minorHAnsi"/>
          <w:sz w:val="24"/>
          <w:szCs w:val="24"/>
          <w:lang w:eastAsia="hr-HR"/>
        </w:rPr>
        <w:t xml:space="preserve"> otplatu glavnice i  kamata za primljene kredite za dugoročni kredit</w:t>
      </w:r>
      <w:r>
        <w:rPr>
          <w:rFonts w:eastAsia="Times New Roman" w:cstheme="minorHAnsi"/>
          <w:sz w:val="24"/>
          <w:szCs w:val="24"/>
          <w:lang w:eastAsia="hr-HR"/>
        </w:rPr>
        <w:t xml:space="preserve"> za investicije </w:t>
      </w:r>
      <w:r w:rsidRPr="00933630">
        <w:rPr>
          <w:rFonts w:cstheme="minorHAnsi"/>
          <w:sz w:val="24"/>
          <w:szCs w:val="24"/>
        </w:rPr>
        <w:t>kao i sredstva za rad političkih stranaka i nezavisnih vijećnika koji su izabrani u Gradsko vijeće Grada Trogira. Visina sredstava utvrđena je odlukom o financiranju političkih stranaka i nezavisnih kandidata („Službeni glasnik Grada Trogira „br.5/10). Proračunska pričuva je obrazložena na početku izvještaja u Izvještaju o korištenju proračunske pričuve</w:t>
      </w:r>
      <w:r>
        <w:rPr>
          <w:rFonts w:cstheme="minorHAnsi"/>
          <w:sz w:val="24"/>
          <w:szCs w:val="24"/>
        </w:rPr>
        <w:t>.</w:t>
      </w:r>
    </w:p>
    <w:p w14:paraId="7E39DD62" w14:textId="77777777" w:rsidR="00F02569" w:rsidRDefault="00F02569" w:rsidP="00414C67">
      <w:pPr>
        <w:jc w:val="both"/>
        <w:rPr>
          <w:rFonts w:cstheme="minorHAnsi"/>
          <w:sz w:val="24"/>
          <w:szCs w:val="24"/>
        </w:rPr>
      </w:pPr>
    </w:p>
    <w:p w14:paraId="45A975B8" w14:textId="77777777" w:rsidR="00F02569" w:rsidRDefault="00F02569" w:rsidP="00414C67">
      <w:pPr>
        <w:jc w:val="both"/>
        <w:rPr>
          <w:rFonts w:cstheme="minorHAnsi"/>
          <w:sz w:val="24"/>
          <w:szCs w:val="24"/>
        </w:rPr>
      </w:pPr>
    </w:p>
    <w:p w14:paraId="127436EE" w14:textId="77777777" w:rsidR="00F02569" w:rsidRDefault="00F02569" w:rsidP="00414C67">
      <w:pPr>
        <w:jc w:val="both"/>
        <w:rPr>
          <w:rFonts w:cstheme="minorHAnsi"/>
          <w:sz w:val="24"/>
          <w:szCs w:val="24"/>
        </w:rPr>
      </w:pPr>
    </w:p>
    <w:p w14:paraId="3C3CDCE7" w14:textId="77777777" w:rsidR="00F02569" w:rsidRDefault="00F02569" w:rsidP="00414C67">
      <w:pPr>
        <w:jc w:val="both"/>
        <w:rPr>
          <w:rFonts w:cstheme="minorHAnsi"/>
          <w:sz w:val="24"/>
          <w:szCs w:val="24"/>
        </w:rPr>
      </w:pPr>
    </w:p>
    <w:p w14:paraId="664C6F61" w14:textId="77777777" w:rsidR="00F02569" w:rsidRDefault="00F02569" w:rsidP="00414C67">
      <w:pPr>
        <w:jc w:val="both"/>
        <w:rPr>
          <w:rFonts w:cstheme="minorHAnsi"/>
          <w:sz w:val="24"/>
          <w:szCs w:val="24"/>
        </w:rPr>
      </w:pPr>
    </w:p>
    <w:p w14:paraId="16E440D8" w14:textId="77777777" w:rsidR="00F02569" w:rsidRDefault="00F02569" w:rsidP="00414C67">
      <w:pPr>
        <w:jc w:val="both"/>
        <w:rPr>
          <w:rFonts w:cstheme="minorHAnsi"/>
          <w:sz w:val="24"/>
          <w:szCs w:val="24"/>
        </w:rPr>
      </w:pPr>
    </w:p>
    <w:p w14:paraId="69279017" w14:textId="77777777" w:rsidR="00F02569" w:rsidRDefault="00F02569" w:rsidP="00414C67">
      <w:pPr>
        <w:jc w:val="both"/>
        <w:rPr>
          <w:rFonts w:cstheme="minorHAnsi"/>
          <w:sz w:val="24"/>
          <w:szCs w:val="24"/>
        </w:rPr>
      </w:pPr>
    </w:p>
    <w:p w14:paraId="1442B253" w14:textId="77777777" w:rsidR="00F02569" w:rsidRDefault="00F02569" w:rsidP="00414C67">
      <w:pPr>
        <w:jc w:val="both"/>
        <w:rPr>
          <w:rFonts w:cstheme="minorHAnsi"/>
          <w:sz w:val="24"/>
          <w:szCs w:val="24"/>
        </w:rPr>
      </w:pPr>
    </w:p>
    <w:p w14:paraId="1DFF7318" w14:textId="1577D92C" w:rsidR="003212F9" w:rsidRPr="00414C67" w:rsidRDefault="00F01515" w:rsidP="00414C67">
      <w:pPr>
        <w:jc w:val="center"/>
        <w:rPr>
          <w:rFonts w:cstheme="minorHAnsi"/>
          <w:sz w:val="24"/>
          <w:szCs w:val="24"/>
        </w:rPr>
      </w:pPr>
      <w:r w:rsidRPr="00383912">
        <w:rPr>
          <w:rFonts w:ascii="Times New Roman" w:eastAsia="Times New Roman" w:hAnsi="Times New Roman" w:cs="Times New Roman"/>
          <w:b/>
          <w:sz w:val="24"/>
          <w:szCs w:val="24"/>
          <w:lang w:eastAsia="hr-HR"/>
        </w:rPr>
        <w:lastRenderedPageBreak/>
        <w:t xml:space="preserve">RAZDJEL </w:t>
      </w:r>
      <w:r w:rsidR="003212F9" w:rsidRPr="00383912">
        <w:rPr>
          <w:rFonts w:ascii="Times New Roman" w:eastAsia="Times New Roman" w:hAnsi="Times New Roman" w:cs="Times New Roman"/>
          <w:b/>
          <w:sz w:val="24"/>
          <w:szCs w:val="24"/>
          <w:lang w:eastAsia="hr-HR"/>
        </w:rPr>
        <w:t>023 UPRAVNI ODJEL ZA KOMUNALNO GOSPODARSTVO I INVESTICIJE</w:t>
      </w:r>
    </w:p>
    <w:p w14:paraId="6F35C14A" w14:textId="77777777" w:rsidR="00962139" w:rsidRDefault="00962139" w:rsidP="00962139">
      <w:pPr>
        <w:spacing w:after="0" w:line="240" w:lineRule="auto"/>
        <w:rPr>
          <w:rFonts w:ascii="Times New Roman" w:eastAsia="Times New Roman" w:hAnsi="Times New Roman" w:cs="Times New Roman"/>
          <w:b/>
          <w:sz w:val="24"/>
          <w:szCs w:val="24"/>
          <w:lang w:eastAsia="hr-HR"/>
        </w:rPr>
      </w:pPr>
    </w:p>
    <w:p w14:paraId="7C452E76" w14:textId="77777777" w:rsidR="00962139" w:rsidRPr="000E0649" w:rsidRDefault="00962139" w:rsidP="00962139">
      <w:pPr>
        <w:spacing w:after="0" w:line="280" w:lineRule="exact"/>
        <w:jc w:val="both"/>
        <w:rPr>
          <w:rFonts w:eastAsia="Times New Roman" w:cstheme="minorHAnsi"/>
          <w:sz w:val="24"/>
          <w:szCs w:val="24"/>
        </w:rPr>
      </w:pPr>
      <w:r w:rsidRPr="000E0649">
        <w:rPr>
          <w:rFonts w:eastAsia="Times New Roman" w:cstheme="minorHAnsi"/>
          <w:sz w:val="24"/>
          <w:szCs w:val="24"/>
        </w:rPr>
        <w:t>Upravni odjel za komunalno gospodarstvo i investicije obavlja:</w:t>
      </w:r>
    </w:p>
    <w:p w14:paraId="05146B5E" w14:textId="77777777" w:rsidR="00962139" w:rsidRPr="000E0649" w:rsidRDefault="00962139" w:rsidP="00962139">
      <w:pPr>
        <w:numPr>
          <w:ilvl w:val="0"/>
          <w:numId w:val="4"/>
        </w:numPr>
        <w:spacing w:after="0" w:line="280" w:lineRule="exact"/>
        <w:contextualSpacing/>
        <w:jc w:val="both"/>
        <w:rPr>
          <w:rFonts w:eastAsia="Times New Roman" w:cstheme="minorHAnsi"/>
          <w:sz w:val="24"/>
          <w:szCs w:val="24"/>
        </w:rPr>
      </w:pPr>
      <w:r w:rsidRPr="000E0649">
        <w:rPr>
          <w:rFonts w:eastAsia="Times New Roman" w:cstheme="minorHAnsi"/>
          <w:sz w:val="24"/>
          <w:szCs w:val="24"/>
        </w:rPr>
        <w:t xml:space="preserve">upravne i stručne poslove iz samoupravnog djelokruga Grada koji se odnose na uređenje područja Grada, uređenje građevinskog zemljišta, pružanje komunalnih usluga od interesa za fizičke i pravne osobe, poslove građenja i održavanja objekata i uređaja komunalne infrastrukture, utvrđivanje komunalnih i sličnih obveza, raspolaganje pomorskim dobrom, komunalni red i uređenje cestovnog prometa, a odnose se na: uređenje područja obuhvaća poslove izgradnje i održavanja komunalne i druge odgovarajuće infrastrukture, uključujući poslove u vezi gradnje i održavanja objekata i uređaja radi gospodarenja otpadom, osobito odlagališta i </w:t>
      </w:r>
      <w:proofErr w:type="spellStart"/>
      <w:r w:rsidRPr="000E0649">
        <w:rPr>
          <w:rFonts w:eastAsia="Times New Roman" w:cstheme="minorHAnsi"/>
          <w:sz w:val="24"/>
          <w:szCs w:val="24"/>
        </w:rPr>
        <w:t>reciklažnog</w:t>
      </w:r>
      <w:proofErr w:type="spellEnd"/>
      <w:r w:rsidRPr="000E0649">
        <w:rPr>
          <w:rFonts w:eastAsia="Times New Roman" w:cstheme="minorHAnsi"/>
          <w:sz w:val="24"/>
          <w:szCs w:val="24"/>
        </w:rPr>
        <w:t xml:space="preserve"> dvorišta; utvrđivanje i nadzor komunalnog reda, uključujući i rad komunalnog redarstva Grada; poslove u vezi s uređenjem naselja;  planiranje razvoja i izgradnje građevina, pripadajućih objekata i uređaja komunalne infrastrukture; poslovi pripreme i provedbe plana upravljanja pomorskim dobrom te izdavanje koncesijskih odobrenja na pomorskom dobru; praćenje, analiza i normativno uređivanje odgovarajućeg označavanja te nadzor cestovnog prometa u smislu propisa o sigurnosti prometa na cestama; kontrolu i uređenje prometa na području Grada; vođenje poslova upravljanja, građenja i održavanja nerazvrstanih cesta; vođenje jedinstvene baze podataka o nerazvrstanim cestama; praćenje i predlaganje mjera za ravnomjerni razvitak komunalnih djelatnosti izgradnje i održavanja objekata i uređaja komunalne infrastrukture; organiziranje obavljanja komunalnih djelatnosti, utvrđivanje, koordiniranje i usklađivanje planova razvoja komunalne infrastrukture;  izradu akata i vođenje postupka za dodjelu koncesija, upis u registar, praćenje izvršavanja koncesijskih ugovora i izrada propisanih izvješća; izradu općih i pojedinačnih akata o korištenju javnih površina i provedba natječajnih postupaka; izradu općih i pojedinačnih akata o komunalnom redu, vođenje upravnog postupka i rješavanje u prvom stupnju o komunalnom redu te izvršavanje donesenih rješenja; poslove prometnog i drugog redarstva u skladu s važećim propisima; povjeravanje komunalnih poslova koje obavlja pravna ili fizička osoba na temelju ugovora o koncesiji i na temelju pisanog ugovora o povjeravanju obavljanja komunalnih djelatnosti; prijevoz morem na linijama iz djelokruga Grada; raspolaganje s javnim površinama iz djelokruga Grada; davanje suglasnosti i posebnih uvjeta vezano za ishođenje akata o građenju, 20. utvrđivanje cijene komunalnih usluga; obavljanje poslova iz nadležnosti Grada u djelatnosti upravljanja vodama; poslovi osnivanja i vođenja katastra vodova, te poslove evidencije imenovanja i označavanja naselja, ulica i trgova, te određivanja i postavljanja kućnih brojeva kao i administrativno-tehničke poslove komasacijskog povjerenstva; poslove iz djelokruga zaštite i očuvanja kulturnih dobara; utvrđivanje komunalnih obveza koje obuhvaća upravne i druge poslove utvrđivanja tih obveza; vođenje upravnog postupka i rješavanje u prvom stupnju o obvezi plaćanja komunalnog doprinosa, komunalne naknade, spomeničke rente i drugih naknada; suradnju s predstavnicima Grada u tijelima upravljanja i nadzora trgovačkih društava, ustanova i drugi pravnih osoba te poduzimanje drugih mjera za zaštitu interesa Grada; i suradnja s državnim i drugim tijelima te pravnim osobama nadležnim za poslove navedene u ovom članku,</w:t>
      </w:r>
    </w:p>
    <w:p w14:paraId="7B67AA6B" w14:textId="77777777" w:rsidR="00962139" w:rsidRPr="000E0649" w:rsidRDefault="00962139" w:rsidP="00962139">
      <w:pPr>
        <w:numPr>
          <w:ilvl w:val="0"/>
          <w:numId w:val="4"/>
        </w:numPr>
        <w:spacing w:after="0" w:line="280" w:lineRule="exact"/>
        <w:contextualSpacing/>
        <w:jc w:val="both"/>
        <w:rPr>
          <w:rFonts w:eastAsia="Times New Roman" w:cstheme="minorHAnsi"/>
          <w:sz w:val="24"/>
          <w:szCs w:val="24"/>
        </w:rPr>
      </w:pPr>
      <w:r w:rsidRPr="000E0649">
        <w:rPr>
          <w:rFonts w:eastAsia="Times New Roman" w:cstheme="minorHAnsi"/>
          <w:sz w:val="24"/>
          <w:szCs w:val="24"/>
        </w:rPr>
        <w:t xml:space="preserve">poslove javne nabave za sve upravne odjele i to: organiziranje i provođenje postupaka javne nabave roba, usluga i ustupanja radova za potrebe Grada i središnje nabave za ustanove i pravne osobe u vlasništvu Grada, sukladno odlukama nadležnih tijela; </w:t>
      </w:r>
      <w:r w:rsidRPr="000E0649">
        <w:rPr>
          <w:rFonts w:eastAsia="Times New Roman" w:cstheme="minorHAnsi"/>
          <w:sz w:val="24"/>
          <w:szCs w:val="24"/>
        </w:rPr>
        <w:lastRenderedPageBreak/>
        <w:t>kreiranje i koordiniranje pri izradi osnova dugoročne financijske politike Grada; prikupljanje prijedloga upravnih tijela, izradu prijedloga plana nabave Grada za tekuću godinu te njegovih izmjena i dopuna, u skladu s proračunom Grada; pripremu i objavu natječajne dokumentacije, vođenje evidencije o provedenim postupcima i sklopljenim ugovorima javne nabave roba, radova i usluga obuhvaćenih Planom nabave te izradu godišnjih izvješća za potrebe nadležnih tijela; obavljanje analitičkih poslova procjene rezultata provedenih postupaka javne nabave i izvršavanja ugovora u cilju ocjene svrsishodnosti i primjene „načela najbolje vrijednosti za novac,"; te pripremu očitovanja i drugih akata za potrebe Državne komisije za kontrolu postupaka javne nabave u žalbenim postupcima,</w:t>
      </w:r>
    </w:p>
    <w:p w14:paraId="5301D0B1" w14:textId="77777777" w:rsidR="00962139" w:rsidRPr="000E0649" w:rsidRDefault="00962139" w:rsidP="00962139">
      <w:pPr>
        <w:numPr>
          <w:ilvl w:val="0"/>
          <w:numId w:val="4"/>
        </w:numPr>
        <w:spacing w:after="0" w:line="280" w:lineRule="exact"/>
        <w:contextualSpacing/>
        <w:jc w:val="both"/>
        <w:rPr>
          <w:rFonts w:eastAsia="Times New Roman" w:cstheme="minorHAnsi"/>
          <w:sz w:val="24"/>
          <w:szCs w:val="24"/>
        </w:rPr>
      </w:pPr>
      <w:r w:rsidRPr="000E0649">
        <w:rPr>
          <w:rFonts w:eastAsia="Times New Roman" w:cstheme="minorHAnsi"/>
          <w:sz w:val="24"/>
          <w:szCs w:val="24"/>
        </w:rPr>
        <w:t>također obavlja poslove: pripremu projektnih prijedloga za programe i projekte Europske unije i drugih međunarodnih izvora financiranja, te nacionalnih fondova i državnih tijela te vrši njihovu provedbu, praćenje, vrednovanje i stručnu obradu; pripreme i predstavljanja projekata od interesa za Grad potencijalnim domaćim i inozemnim ulagačima, kao i suradnje u postupku njihove pripreme i izvedbe; i sudjelovanje u stvaranju uvjeta za korištenje nekretnina u vlasništvu Grada u funkciji razvojnih programa,</w:t>
      </w:r>
    </w:p>
    <w:p w14:paraId="07B00007" w14:textId="77777777" w:rsidR="00962139" w:rsidRDefault="00962139" w:rsidP="00962139">
      <w:pPr>
        <w:numPr>
          <w:ilvl w:val="0"/>
          <w:numId w:val="4"/>
        </w:numPr>
        <w:spacing w:after="0" w:line="280" w:lineRule="exact"/>
        <w:contextualSpacing/>
        <w:jc w:val="both"/>
        <w:rPr>
          <w:rFonts w:eastAsia="Times New Roman" w:cstheme="minorHAnsi"/>
          <w:sz w:val="24"/>
          <w:szCs w:val="24"/>
        </w:rPr>
      </w:pPr>
      <w:r w:rsidRPr="000E0649">
        <w:rPr>
          <w:rFonts w:eastAsia="Times New Roman" w:cstheme="minorHAnsi"/>
          <w:sz w:val="24"/>
          <w:szCs w:val="24"/>
        </w:rPr>
        <w:t>prati realizaciju ugovora i zaključaka iz svoje nadležnosti, te obavlja i druge poslove temeljem zakonskih propisa, odluka gradonačelnika i Gradskog vijeća koji spadaju u djelokrug rada ovog Upravnog tijela.</w:t>
      </w:r>
    </w:p>
    <w:p w14:paraId="05FDCB56" w14:textId="77777777" w:rsidR="00962139" w:rsidRPr="000E0649" w:rsidRDefault="00962139" w:rsidP="00962139">
      <w:pPr>
        <w:spacing w:after="0" w:line="280" w:lineRule="exact"/>
        <w:ind w:left="360"/>
        <w:contextualSpacing/>
        <w:jc w:val="both"/>
        <w:rPr>
          <w:rFonts w:eastAsia="Times New Roman" w:cstheme="minorHAnsi"/>
          <w:sz w:val="24"/>
          <w:szCs w:val="24"/>
        </w:rPr>
      </w:pPr>
    </w:p>
    <w:p w14:paraId="40A16E51" w14:textId="6A72DD3E" w:rsidR="00962139" w:rsidRPr="00962139" w:rsidRDefault="00962139" w:rsidP="00B81235">
      <w:pPr>
        <w:autoSpaceDE w:val="0"/>
        <w:autoSpaceDN w:val="0"/>
        <w:adjustRightInd w:val="0"/>
        <w:jc w:val="both"/>
        <w:rPr>
          <w:sz w:val="24"/>
          <w:szCs w:val="24"/>
        </w:rPr>
      </w:pPr>
      <w:r w:rsidRPr="001F2D59">
        <w:rPr>
          <w:sz w:val="24"/>
          <w:szCs w:val="24"/>
        </w:rPr>
        <w:t xml:space="preserve">Za ostvarenje programa </w:t>
      </w:r>
      <w:r>
        <w:rPr>
          <w:sz w:val="24"/>
          <w:szCs w:val="24"/>
        </w:rPr>
        <w:t xml:space="preserve">ovog </w:t>
      </w:r>
      <w:r w:rsidRPr="001F2D59">
        <w:rPr>
          <w:sz w:val="24"/>
          <w:szCs w:val="24"/>
        </w:rPr>
        <w:t>Upravnog odjela u Proračunu za 202</w:t>
      </w:r>
      <w:r w:rsidR="009E0FE6">
        <w:rPr>
          <w:sz w:val="24"/>
          <w:szCs w:val="24"/>
        </w:rPr>
        <w:t>5</w:t>
      </w:r>
      <w:r w:rsidRPr="001F2D59">
        <w:rPr>
          <w:sz w:val="24"/>
          <w:szCs w:val="24"/>
        </w:rPr>
        <w:t xml:space="preserve">. godinu planirana su sredstva u iznosu od </w:t>
      </w:r>
      <w:r w:rsidR="004A1D8C">
        <w:rPr>
          <w:sz w:val="24"/>
          <w:szCs w:val="24"/>
        </w:rPr>
        <w:t>9.713.343,00</w:t>
      </w:r>
      <w:r w:rsidRPr="001F2D59">
        <w:rPr>
          <w:sz w:val="24"/>
          <w:szCs w:val="24"/>
        </w:rPr>
        <w:t xml:space="preserve"> eura, a u </w:t>
      </w:r>
      <w:r w:rsidR="004A1D8C">
        <w:rPr>
          <w:sz w:val="24"/>
          <w:szCs w:val="24"/>
        </w:rPr>
        <w:t>izvještajnom razdoblju</w:t>
      </w:r>
      <w:r w:rsidRPr="001F2D59">
        <w:rPr>
          <w:sz w:val="24"/>
          <w:szCs w:val="24"/>
        </w:rPr>
        <w:t xml:space="preserve"> utrošeno je </w:t>
      </w:r>
      <w:r w:rsidR="004A1D8C">
        <w:rPr>
          <w:sz w:val="24"/>
          <w:szCs w:val="24"/>
        </w:rPr>
        <w:t>6.412.249,43</w:t>
      </w:r>
      <w:r w:rsidRPr="001F2D59">
        <w:rPr>
          <w:sz w:val="24"/>
          <w:szCs w:val="24"/>
        </w:rPr>
        <w:t xml:space="preserve"> eura, što je </w:t>
      </w:r>
      <w:r w:rsidR="004A1D8C">
        <w:rPr>
          <w:sz w:val="24"/>
          <w:szCs w:val="24"/>
        </w:rPr>
        <w:t>66,01</w:t>
      </w:r>
      <w:r w:rsidRPr="001F2D59">
        <w:rPr>
          <w:sz w:val="24"/>
          <w:szCs w:val="24"/>
        </w:rPr>
        <w:t>% godišnjeg plana. Sredstva su utrošena za provedbu sljedećih programa</w:t>
      </w:r>
      <w:r>
        <w:rPr>
          <w:sz w:val="24"/>
          <w:szCs w:val="24"/>
        </w:rPr>
        <w:t>:</w:t>
      </w:r>
    </w:p>
    <w:tbl>
      <w:tblPr>
        <w:tblW w:w="11057" w:type="dxa"/>
        <w:tblInd w:w="-709" w:type="dxa"/>
        <w:tblBorders>
          <w:top w:val="single" w:sz="4" w:space="0" w:color="7F7F7F"/>
          <w:bottom w:val="single" w:sz="4" w:space="0" w:color="7F7F7F"/>
          <w:insideH w:val="single" w:sz="4" w:space="0" w:color="7F7F7F"/>
        </w:tblBorders>
        <w:tblLayout w:type="fixed"/>
        <w:tblLook w:val="00A0" w:firstRow="1" w:lastRow="0" w:firstColumn="1" w:lastColumn="0" w:noHBand="0" w:noVBand="0"/>
      </w:tblPr>
      <w:tblGrid>
        <w:gridCol w:w="983"/>
        <w:gridCol w:w="826"/>
        <w:gridCol w:w="3449"/>
        <w:gridCol w:w="1516"/>
        <w:gridCol w:w="1654"/>
        <w:gridCol w:w="1654"/>
        <w:gridCol w:w="975"/>
      </w:tblGrid>
      <w:tr w:rsidR="00E25B23" w:rsidRPr="0092464A" w14:paraId="04401CBB" w14:textId="77777777" w:rsidTr="008674A7">
        <w:trPr>
          <w:trHeight w:val="279"/>
        </w:trPr>
        <w:tc>
          <w:tcPr>
            <w:tcW w:w="5258" w:type="dxa"/>
            <w:gridSpan w:val="3"/>
            <w:shd w:val="clear" w:color="auto" w:fill="C6D9F1"/>
            <w:vAlign w:val="center"/>
          </w:tcPr>
          <w:p w14:paraId="1DA5944F" w14:textId="77777777" w:rsidR="00E25B23" w:rsidRPr="00580385" w:rsidRDefault="00E25B23" w:rsidP="0046053E">
            <w:pPr>
              <w:spacing w:line="276" w:lineRule="auto"/>
              <w:jc w:val="center"/>
              <w:rPr>
                <w:rFonts w:ascii="Arial" w:hAnsi="Arial" w:cs="Arial"/>
                <w:b/>
                <w:sz w:val="18"/>
                <w:szCs w:val="18"/>
              </w:rPr>
            </w:pPr>
            <w:r>
              <w:rPr>
                <w:rFonts w:ascii="Arial" w:hAnsi="Arial" w:cs="Arial"/>
                <w:b/>
                <w:sz w:val="18"/>
                <w:szCs w:val="18"/>
              </w:rPr>
              <w:t>PROGRAMI</w:t>
            </w:r>
          </w:p>
        </w:tc>
        <w:tc>
          <w:tcPr>
            <w:tcW w:w="1516" w:type="dxa"/>
            <w:shd w:val="clear" w:color="auto" w:fill="C6D9F1"/>
            <w:vAlign w:val="center"/>
          </w:tcPr>
          <w:p w14:paraId="743754EA" w14:textId="4665FFDC" w:rsidR="00E25B23" w:rsidRPr="00580385" w:rsidRDefault="00E25B23" w:rsidP="0046053E">
            <w:pPr>
              <w:autoSpaceDE w:val="0"/>
              <w:autoSpaceDN w:val="0"/>
              <w:adjustRightInd w:val="0"/>
              <w:jc w:val="center"/>
              <w:rPr>
                <w:rFonts w:ascii="Arial" w:hAnsi="Arial" w:cs="Arial"/>
                <w:b/>
                <w:sz w:val="18"/>
                <w:szCs w:val="18"/>
              </w:rPr>
            </w:pPr>
            <w:r>
              <w:rPr>
                <w:rFonts w:ascii="Arial" w:hAnsi="Arial" w:cs="Arial"/>
                <w:b/>
                <w:sz w:val="18"/>
                <w:szCs w:val="18"/>
              </w:rPr>
              <w:t xml:space="preserve">IZVORNI </w:t>
            </w:r>
            <w:r w:rsidRPr="00580385">
              <w:rPr>
                <w:rFonts w:ascii="Arial" w:hAnsi="Arial" w:cs="Arial"/>
                <w:b/>
                <w:sz w:val="18"/>
                <w:szCs w:val="18"/>
              </w:rPr>
              <w:t>PLAN</w:t>
            </w:r>
            <w:r>
              <w:rPr>
                <w:rFonts w:ascii="Arial" w:hAnsi="Arial" w:cs="Arial"/>
                <w:b/>
                <w:sz w:val="18"/>
                <w:szCs w:val="18"/>
              </w:rPr>
              <w:t>/ REBALANS 202</w:t>
            </w:r>
            <w:r w:rsidR="00962139">
              <w:rPr>
                <w:rFonts w:ascii="Arial" w:hAnsi="Arial" w:cs="Arial"/>
                <w:b/>
                <w:sz w:val="18"/>
                <w:szCs w:val="18"/>
              </w:rPr>
              <w:t>4</w:t>
            </w:r>
            <w:r w:rsidRPr="00580385">
              <w:rPr>
                <w:rFonts w:ascii="Arial" w:hAnsi="Arial" w:cs="Arial"/>
                <w:b/>
                <w:sz w:val="18"/>
                <w:szCs w:val="18"/>
              </w:rPr>
              <w:t xml:space="preserve">. </w:t>
            </w:r>
          </w:p>
        </w:tc>
        <w:tc>
          <w:tcPr>
            <w:tcW w:w="1654" w:type="dxa"/>
            <w:shd w:val="clear" w:color="auto" w:fill="C6D9F1"/>
            <w:vAlign w:val="center"/>
          </w:tcPr>
          <w:p w14:paraId="00AE4BFA" w14:textId="15CA4B3A" w:rsidR="00E25B23" w:rsidRDefault="00E25B23" w:rsidP="0046053E">
            <w:pPr>
              <w:autoSpaceDE w:val="0"/>
              <w:autoSpaceDN w:val="0"/>
              <w:adjustRightInd w:val="0"/>
              <w:jc w:val="center"/>
              <w:rPr>
                <w:rFonts w:ascii="Arial" w:hAnsi="Arial" w:cs="Arial"/>
                <w:b/>
                <w:sz w:val="18"/>
                <w:szCs w:val="18"/>
              </w:rPr>
            </w:pPr>
            <w:r>
              <w:rPr>
                <w:rFonts w:ascii="Arial" w:hAnsi="Arial" w:cs="Arial"/>
                <w:b/>
                <w:sz w:val="18"/>
                <w:szCs w:val="18"/>
              </w:rPr>
              <w:t>TEKUĆI PLAN 202</w:t>
            </w:r>
            <w:r w:rsidR="00414C67">
              <w:rPr>
                <w:rFonts w:ascii="Arial" w:hAnsi="Arial" w:cs="Arial"/>
                <w:b/>
                <w:sz w:val="18"/>
                <w:szCs w:val="18"/>
              </w:rPr>
              <w:t>5</w:t>
            </w:r>
            <w:r>
              <w:rPr>
                <w:rFonts w:ascii="Arial" w:hAnsi="Arial" w:cs="Arial"/>
                <w:b/>
                <w:sz w:val="18"/>
                <w:szCs w:val="18"/>
              </w:rPr>
              <w:t>.</w:t>
            </w:r>
          </w:p>
        </w:tc>
        <w:tc>
          <w:tcPr>
            <w:tcW w:w="1654" w:type="dxa"/>
            <w:shd w:val="clear" w:color="auto" w:fill="C6D9F1"/>
            <w:vAlign w:val="center"/>
          </w:tcPr>
          <w:p w14:paraId="09C19A62" w14:textId="2C6B6B56" w:rsidR="00E25B23" w:rsidRPr="00580385" w:rsidRDefault="00E25B23" w:rsidP="0046053E">
            <w:pPr>
              <w:autoSpaceDE w:val="0"/>
              <w:autoSpaceDN w:val="0"/>
              <w:adjustRightInd w:val="0"/>
              <w:jc w:val="center"/>
              <w:rPr>
                <w:rFonts w:ascii="Arial" w:hAnsi="Arial" w:cs="Arial"/>
                <w:b/>
                <w:sz w:val="18"/>
                <w:szCs w:val="18"/>
              </w:rPr>
            </w:pPr>
            <w:r>
              <w:rPr>
                <w:rFonts w:ascii="Arial" w:hAnsi="Arial" w:cs="Arial"/>
                <w:b/>
                <w:sz w:val="18"/>
                <w:szCs w:val="18"/>
              </w:rPr>
              <w:t>IZVRŠENJE  202</w:t>
            </w:r>
            <w:r w:rsidR="00414C67">
              <w:rPr>
                <w:rFonts w:ascii="Arial" w:hAnsi="Arial" w:cs="Arial"/>
                <w:b/>
                <w:sz w:val="18"/>
                <w:szCs w:val="18"/>
              </w:rPr>
              <w:t>5</w:t>
            </w:r>
            <w:r>
              <w:rPr>
                <w:rFonts w:ascii="Arial" w:hAnsi="Arial" w:cs="Arial"/>
                <w:b/>
                <w:sz w:val="18"/>
                <w:szCs w:val="18"/>
              </w:rPr>
              <w:t>.</w:t>
            </w:r>
          </w:p>
        </w:tc>
        <w:tc>
          <w:tcPr>
            <w:tcW w:w="975" w:type="dxa"/>
            <w:shd w:val="clear" w:color="auto" w:fill="C6D9F1"/>
            <w:vAlign w:val="center"/>
          </w:tcPr>
          <w:p w14:paraId="634C615D" w14:textId="72629322" w:rsidR="00E25B23" w:rsidRPr="00580385" w:rsidRDefault="00E25B23" w:rsidP="0046053E">
            <w:pPr>
              <w:autoSpaceDE w:val="0"/>
              <w:autoSpaceDN w:val="0"/>
              <w:adjustRightInd w:val="0"/>
              <w:jc w:val="center"/>
              <w:rPr>
                <w:rFonts w:ascii="Arial" w:hAnsi="Arial" w:cs="Arial"/>
                <w:b/>
                <w:sz w:val="18"/>
                <w:szCs w:val="18"/>
              </w:rPr>
            </w:pPr>
            <w:r>
              <w:rPr>
                <w:rFonts w:ascii="Arial" w:hAnsi="Arial" w:cs="Arial"/>
                <w:b/>
                <w:sz w:val="18"/>
                <w:szCs w:val="18"/>
              </w:rPr>
              <w:t>INDEK</w:t>
            </w:r>
            <w:r w:rsidRPr="00580385">
              <w:rPr>
                <w:rFonts w:ascii="Arial" w:hAnsi="Arial" w:cs="Arial"/>
                <w:b/>
                <w:sz w:val="18"/>
                <w:szCs w:val="18"/>
              </w:rPr>
              <w:t>S</w:t>
            </w:r>
            <w:r>
              <w:rPr>
                <w:rFonts w:ascii="Arial" w:hAnsi="Arial" w:cs="Arial"/>
                <w:b/>
                <w:sz w:val="18"/>
                <w:szCs w:val="18"/>
              </w:rPr>
              <w:t xml:space="preserve">          (3/</w:t>
            </w:r>
            <w:r w:rsidR="00C70660">
              <w:rPr>
                <w:rFonts w:ascii="Arial" w:hAnsi="Arial" w:cs="Arial"/>
                <w:b/>
                <w:sz w:val="18"/>
                <w:szCs w:val="18"/>
              </w:rPr>
              <w:t>2</w:t>
            </w:r>
            <w:r>
              <w:rPr>
                <w:rFonts w:ascii="Arial" w:hAnsi="Arial" w:cs="Arial"/>
                <w:b/>
                <w:sz w:val="18"/>
                <w:szCs w:val="18"/>
              </w:rPr>
              <w:t>)</w:t>
            </w:r>
          </w:p>
        </w:tc>
      </w:tr>
      <w:tr w:rsidR="00E25B23" w:rsidRPr="0092464A" w14:paraId="6016B087" w14:textId="77777777" w:rsidTr="008674A7">
        <w:trPr>
          <w:trHeight w:val="279"/>
        </w:trPr>
        <w:tc>
          <w:tcPr>
            <w:tcW w:w="5258" w:type="dxa"/>
            <w:gridSpan w:val="3"/>
            <w:shd w:val="clear" w:color="auto" w:fill="C6D9F1"/>
            <w:vAlign w:val="center"/>
          </w:tcPr>
          <w:p w14:paraId="2A9AF3A6" w14:textId="77777777" w:rsidR="00E25B23" w:rsidRDefault="00E25B23" w:rsidP="0046053E">
            <w:pPr>
              <w:spacing w:line="276" w:lineRule="auto"/>
              <w:jc w:val="center"/>
              <w:rPr>
                <w:rFonts w:ascii="Arial" w:hAnsi="Arial" w:cs="Arial"/>
                <w:b/>
                <w:sz w:val="18"/>
                <w:szCs w:val="18"/>
              </w:rPr>
            </w:pPr>
          </w:p>
        </w:tc>
        <w:tc>
          <w:tcPr>
            <w:tcW w:w="1516" w:type="dxa"/>
            <w:shd w:val="clear" w:color="auto" w:fill="C6D9F1"/>
            <w:vAlign w:val="center"/>
          </w:tcPr>
          <w:p w14:paraId="1581E63F" w14:textId="77777777" w:rsidR="00E25B23" w:rsidRDefault="00E25B23" w:rsidP="0046053E">
            <w:pPr>
              <w:autoSpaceDE w:val="0"/>
              <w:autoSpaceDN w:val="0"/>
              <w:adjustRightInd w:val="0"/>
              <w:jc w:val="center"/>
              <w:rPr>
                <w:rFonts w:ascii="Arial" w:hAnsi="Arial" w:cs="Arial"/>
                <w:b/>
                <w:sz w:val="18"/>
                <w:szCs w:val="18"/>
              </w:rPr>
            </w:pPr>
            <w:r>
              <w:rPr>
                <w:rFonts w:ascii="Arial" w:hAnsi="Arial" w:cs="Arial"/>
                <w:b/>
                <w:sz w:val="18"/>
                <w:szCs w:val="18"/>
              </w:rPr>
              <w:t>(1)</w:t>
            </w:r>
          </w:p>
        </w:tc>
        <w:tc>
          <w:tcPr>
            <w:tcW w:w="1654" w:type="dxa"/>
            <w:shd w:val="clear" w:color="auto" w:fill="C6D9F1"/>
          </w:tcPr>
          <w:p w14:paraId="174FD69C" w14:textId="19E44F11" w:rsidR="00E25B23" w:rsidRDefault="00E25B23" w:rsidP="0046053E">
            <w:pPr>
              <w:autoSpaceDE w:val="0"/>
              <w:autoSpaceDN w:val="0"/>
              <w:adjustRightInd w:val="0"/>
              <w:jc w:val="center"/>
              <w:rPr>
                <w:rFonts w:ascii="Arial" w:hAnsi="Arial" w:cs="Arial"/>
                <w:b/>
                <w:sz w:val="18"/>
                <w:szCs w:val="18"/>
              </w:rPr>
            </w:pPr>
            <w:r>
              <w:rPr>
                <w:rFonts w:ascii="Arial" w:hAnsi="Arial" w:cs="Arial"/>
                <w:b/>
                <w:sz w:val="18"/>
                <w:szCs w:val="18"/>
              </w:rPr>
              <w:t>(2)</w:t>
            </w:r>
          </w:p>
        </w:tc>
        <w:tc>
          <w:tcPr>
            <w:tcW w:w="1654" w:type="dxa"/>
            <w:shd w:val="clear" w:color="auto" w:fill="C6D9F1"/>
            <w:vAlign w:val="bottom"/>
          </w:tcPr>
          <w:p w14:paraId="336AC88B" w14:textId="089B8B74" w:rsidR="00E25B23" w:rsidRDefault="00E25B23" w:rsidP="0046053E">
            <w:pPr>
              <w:autoSpaceDE w:val="0"/>
              <w:autoSpaceDN w:val="0"/>
              <w:adjustRightInd w:val="0"/>
              <w:jc w:val="center"/>
              <w:rPr>
                <w:rFonts w:ascii="Arial" w:hAnsi="Arial" w:cs="Arial"/>
                <w:b/>
                <w:sz w:val="18"/>
                <w:szCs w:val="18"/>
              </w:rPr>
            </w:pPr>
            <w:r>
              <w:rPr>
                <w:rFonts w:ascii="Arial" w:hAnsi="Arial" w:cs="Arial"/>
                <w:b/>
                <w:sz w:val="18"/>
                <w:szCs w:val="18"/>
              </w:rPr>
              <w:t>(3)</w:t>
            </w:r>
          </w:p>
        </w:tc>
        <w:tc>
          <w:tcPr>
            <w:tcW w:w="975" w:type="dxa"/>
            <w:shd w:val="clear" w:color="auto" w:fill="C6D9F1"/>
            <w:vAlign w:val="center"/>
          </w:tcPr>
          <w:p w14:paraId="229C452E" w14:textId="1C4220AE" w:rsidR="00E25B23" w:rsidRPr="00580385" w:rsidRDefault="00E25B23" w:rsidP="0046053E">
            <w:pPr>
              <w:autoSpaceDE w:val="0"/>
              <w:autoSpaceDN w:val="0"/>
              <w:adjustRightInd w:val="0"/>
              <w:jc w:val="center"/>
              <w:rPr>
                <w:rFonts w:ascii="Arial" w:hAnsi="Arial" w:cs="Arial"/>
                <w:b/>
                <w:sz w:val="18"/>
                <w:szCs w:val="18"/>
              </w:rPr>
            </w:pPr>
            <w:r>
              <w:rPr>
                <w:rFonts w:ascii="Arial" w:hAnsi="Arial" w:cs="Arial"/>
                <w:b/>
                <w:sz w:val="18"/>
                <w:szCs w:val="18"/>
              </w:rPr>
              <w:t>(4)</w:t>
            </w:r>
          </w:p>
        </w:tc>
      </w:tr>
      <w:tr w:rsidR="00E25B23" w:rsidRPr="0092464A" w14:paraId="3E0210CF" w14:textId="77777777" w:rsidTr="008674A7">
        <w:trPr>
          <w:trHeight w:val="279"/>
        </w:trPr>
        <w:tc>
          <w:tcPr>
            <w:tcW w:w="983" w:type="dxa"/>
            <w:shd w:val="clear" w:color="000080" w:fill="FFFFFF"/>
            <w:vAlign w:val="center"/>
          </w:tcPr>
          <w:p w14:paraId="617F1B6F" w14:textId="77777777" w:rsidR="00E25B23" w:rsidRPr="0092464A" w:rsidRDefault="00E25B23" w:rsidP="0046053E">
            <w:pPr>
              <w:rPr>
                <w:rFonts w:ascii="Arial" w:hAnsi="Arial" w:cs="Arial"/>
                <w:b/>
                <w:bCs/>
                <w:sz w:val="18"/>
                <w:szCs w:val="18"/>
                <w:lang w:eastAsia="hr-HR"/>
              </w:rPr>
            </w:pPr>
            <w:r w:rsidRPr="0092464A">
              <w:rPr>
                <w:rFonts w:ascii="Arial" w:hAnsi="Arial" w:cs="Arial"/>
                <w:b/>
                <w:bCs/>
                <w:sz w:val="18"/>
                <w:szCs w:val="18"/>
                <w:lang w:eastAsia="hr-HR"/>
              </w:rPr>
              <w:t>Razdjel</w:t>
            </w:r>
          </w:p>
        </w:tc>
        <w:tc>
          <w:tcPr>
            <w:tcW w:w="826" w:type="dxa"/>
            <w:shd w:val="clear" w:color="000080" w:fill="FFFFFF"/>
            <w:vAlign w:val="center"/>
          </w:tcPr>
          <w:p w14:paraId="644C5CD8" w14:textId="77777777" w:rsidR="00E25B23" w:rsidRPr="0092464A" w:rsidRDefault="00E25B23" w:rsidP="0046053E">
            <w:pPr>
              <w:rPr>
                <w:rFonts w:ascii="Arial" w:hAnsi="Arial" w:cs="Arial"/>
                <w:b/>
                <w:bCs/>
                <w:sz w:val="18"/>
                <w:szCs w:val="18"/>
                <w:lang w:eastAsia="hr-HR"/>
              </w:rPr>
            </w:pPr>
            <w:r>
              <w:rPr>
                <w:rFonts w:ascii="Arial" w:hAnsi="Arial" w:cs="Arial"/>
                <w:b/>
                <w:bCs/>
                <w:sz w:val="18"/>
                <w:szCs w:val="18"/>
                <w:lang w:eastAsia="hr-HR"/>
              </w:rPr>
              <w:t>023</w:t>
            </w:r>
          </w:p>
        </w:tc>
        <w:tc>
          <w:tcPr>
            <w:tcW w:w="3449" w:type="dxa"/>
            <w:shd w:val="clear" w:color="000080" w:fill="FFFFFF"/>
            <w:vAlign w:val="center"/>
          </w:tcPr>
          <w:p w14:paraId="6092BD68" w14:textId="77777777" w:rsidR="00E25B23" w:rsidRPr="00A42A4E" w:rsidRDefault="00E25B23" w:rsidP="0046053E">
            <w:pPr>
              <w:rPr>
                <w:rFonts w:ascii="Arial" w:hAnsi="Arial" w:cs="Arial"/>
                <w:b/>
                <w:bCs/>
                <w:sz w:val="18"/>
                <w:szCs w:val="18"/>
                <w:lang w:eastAsia="hr-HR"/>
              </w:rPr>
            </w:pPr>
            <w:r>
              <w:rPr>
                <w:rFonts w:ascii="Arial" w:hAnsi="Arial" w:cs="Arial"/>
                <w:b/>
                <w:bCs/>
                <w:sz w:val="18"/>
                <w:szCs w:val="18"/>
                <w:lang w:eastAsia="hr-HR"/>
              </w:rPr>
              <w:t xml:space="preserve">UPRAVNI ODJEL ZA KOMUNALNO GOSPODARSTVO I INVESTICIJE  </w:t>
            </w:r>
          </w:p>
        </w:tc>
        <w:tc>
          <w:tcPr>
            <w:tcW w:w="1516" w:type="dxa"/>
            <w:shd w:val="clear" w:color="000080" w:fill="FFFFFF"/>
            <w:vAlign w:val="center"/>
          </w:tcPr>
          <w:p w14:paraId="7879310B" w14:textId="61012110" w:rsidR="00E25B23" w:rsidRPr="00A42A4E" w:rsidRDefault="008674A7" w:rsidP="001B4560">
            <w:pPr>
              <w:jc w:val="center"/>
              <w:rPr>
                <w:rFonts w:ascii="Arial" w:hAnsi="Arial" w:cs="Arial"/>
                <w:b/>
                <w:bCs/>
                <w:sz w:val="18"/>
                <w:szCs w:val="18"/>
              </w:rPr>
            </w:pPr>
            <w:r>
              <w:rPr>
                <w:rFonts w:ascii="Arial" w:hAnsi="Arial" w:cs="Arial"/>
                <w:b/>
                <w:bCs/>
                <w:sz w:val="18"/>
                <w:szCs w:val="18"/>
              </w:rPr>
              <w:t>11.078.135,09</w:t>
            </w:r>
          </w:p>
        </w:tc>
        <w:tc>
          <w:tcPr>
            <w:tcW w:w="1654" w:type="dxa"/>
            <w:shd w:val="clear" w:color="000080" w:fill="FFFFFF"/>
            <w:vAlign w:val="center"/>
          </w:tcPr>
          <w:p w14:paraId="39BED9E4" w14:textId="39465694" w:rsidR="00E25B23" w:rsidRDefault="008674A7" w:rsidP="001B4560">
            <w:pPr>
              <w:jc w:val="center"/>
              <w:rPr>
                <w:rFonts w:ascii="Arial" w:hAnsi="Arial" w:cs="Arial"/>
                <w:b/>
                <w:bCs/>
                <w:sz w:val="18"/>
                <w:szCs w:val="18"/>
              </w:rPr>
            </w:pPr>
            <w:r>
              <w:rPr>
                <w:rFonts w:ascii="Arial" w:hAnsi="Arial" w:cs="Arial"/>
                <w:b/>
                <w:bCs/>
                <w:sz w:val="18"/>
                <w:szCs w:val="18"/>
              </w:rPr>
              <w:t>10.981.181,09</w:t>
            </w:r>
          </w:p>
        </w:tc>
        <w:tc>
          <w:tcPr>
            <w:tcW w:w="1654" w:type="dxa"/>
            <w:shd w:val="clear" w:color="000080" w:fill="FFFFFF"/>
            <w:vAlign w:val="center"/>
          </w:tcPr>
          <w:p w14:paraId="5C5B7346" w14:textId="62125351" w:rsidR="00E25B23" w:rsidRDefault="008674A7" w:rsidP="001B4560">
            <w:pPr>
              <w:jc w:val="center"/>
              <w:rPr>
                <w:rFonts w:ascii="Arial" w:hAnsi="Arial" w:cs="Arial"/>
                <w:b/>
                <w:bCs/>
                <w:sz w:val="18"/>
                <w:szCs w:val="18"/>
              </w:rPr>
            </w:pPr>
            <w:r>
              <w:rPr>
                <w:rFonts w:ascii="Arial" w:hAnsi="Arial" w:cs="Arial"/>
                <w:b/>
                <w:bCs/>
                <w:sz w:val="18"/>
                <w:szCs w:val="18"/>
              </w:rPr>
              <w:t>8.008.315,52</w:t>
            </w:r>
          </w:p>
        </w:tc>
        <w:tc>
          <w:tcPr>
            <w:tcW w:w="975" w:type="dxa"/>
            <w:shd w:val="clear" w:color="000080" w:fill="FFFFFF"/>
            <w:vAlign w:val="center"/>
          </w:tcPr>
          <w:p w14:paraId="3B621D12" w14:textId="3B21F225" w:rsidR="00E25B23" w:rsidRPr="00A42A4E" w:rsidRDefault="008674A7" w:rsidP="001B4560">
            <w:pPr>
              <w:jc w:val="center"/>
              <w:rPr>
                <w:rFonts w:ascii="Arial" w:hAnsi="Arial" w:cs="Arial"/>
                <w:b/>
                <w:bCs/>
                <w:sz w:val="18"/>
                <w:szCs w:val="18"/>
              </w:rPr>
            </w:pPr>
            <w:r>
              <w:rPr>
                <w:rFonts w:ascii="Arial" w:hAnsi="Arial" w:cs="Arial"/>
                <w:b/>
                <w:bCs/>
                <w:sz w:val="18"/>
                <w:szCs w:val="18"/>
              </w:rPr>
              <w:t>72,93%</w:t>
            </w:r>
          </w:p>
        </w:tc>
      </w:tr>
      <w:tr w:rsidR="00E25B23" w:rsidRPr="0092464A" w14:paraId="6B7B88EC" w14:textId="77777777" w:rsidTr="008674A7">
        <w:trPr>
          <w:trHeight w:val="279"/>
        </w:trPr>
        <w:tc>
          <w:tcPr>
            <w:tcW w:w="983" w:type="dxa"/>
            <w:shd w:val="clear" w:color="000080" w:fill="FFFFFF"/>
            <w:vAlign w:val="center"/>
          </w:tcPr>
          <w:p w14:paraId="704BA3CC" w14:textId="77777777" w:rsidR="00E25B23" w:rsidRPr="0092464A" w:rsidRDefault="00E25B23" w:rsidP="0046053E">
            <w:pPr>
              <w:rPr>
                <w:rFonts w:ascii="Arial" w:hAnsi="Arial" w:cs="Arial"/>
                <w:b/>
                <w:bCs/>
                <w:sz w:val="18"/>
                <w:szCs w:val="18"/>
                <w:lang w:eastAsia="hr-HR"/>
              </w:rPr>
            </w:pPr>
            <w:r>
              <w:rPr>
                <w:rFonts w:ascii="Arial" w:hAnsi="Arial" w:cs="Arial"/>
                <w:b/>
                <w:bCs/>
                <w:sz w:val="18"/>
                <w:szCs w:val="18"/>
                <w:lang w:eastAsia="hr-HR"/>
              </w:rPr>
              <w:t xml:space="preserve">Glava </w:t>
            </w:r>
          </w:p>
        </w:tc>
        <w:tc>
          <w:tcPr>
            <w:tcW w:w="826" w:type="dxa"/>
            <w:shd w:val="clear" w:color="000080" w:fill="FFFFFF"/>
            <w:vAlign w:val="center"/>
          </w:tcPr>
          <w:p w14:paraId="20D7B7B5" w14:textId="77777777" w:rsidR="00E25B23" w:rsidRDefault="00E25B23" w:rsidP="0046053E">
            <w:pPr>
              <w:rPr>
                <w:rFonts w:ascii="Arial" w:hAnsi="Arial" w:cs="Arial"/>
                <w:b/>
                <w:bCs/>
                <w:sz w:val="18"/>
                <w:szCs w:val="18"/>
                <w:lang w:eastAsia="hr-HR"/>
              </w:rPr>
            </w:pPr>
            <w:r>
              <w:rPr>
                <w:rFonts w:ascii="Arial" w:hAnsi="Arial" w:cs="Arial"/>
                <w:b/>
                <w:bCs/>
                <w:sz w:val="18"/>
                <w:szCs w:val="18"/>
                <w:lang w:eastAsia="hr-HR"/>
              </w:rPr>
              <w:t>02301</w:t>
            </w:r>
          </w:p>
        </w:tc>
        <w:tc>
          <w:tcPr>
            <w:tcW w:w="3449" w:type="dxa"/>
            <w:shd w:val="clear" w:color="000080" w:fill="FFFFFF"/>
            <w:vAlign w:val="center"/>
          </w:tcPr>
          <w:p w14:paraId="0EAF5221" w14:textId="77777777" w:rsidR="00E25B23" w:rsidRDefault="00E25B23" w:rsidP="0046053E">
            <w:pPr>
              <w:rPr>
                <w:rFonts w:ascii="Arial" w:hAnsi="Arial" w:cs="Arial"/>
                <w:b/>
                <w:bCs/>
                <w:sz w:val="18"/>
                <w:szCs w:val="18"/>
                <w:lang w:eastAsia="hr-HR"/>
              </w:rPr>
            </w:pPr>
            <w:r>
              <w:rPr>
                <w:rFonts w:ascii="Arial" w:hAnsi="Arial" w:cs="Arial"/>
                <w:b/>
                <w:bCs/>
                <w:sz w:val="18"/>
                <w:szCs w:val="18"/>
                <w:lang w:eastAsia="hr-HR"/>
              </w:rPr>
              <w:t>UPRAVNI ODJEL ZA KOMUNALNO GOSPODARSTVO I INVESTICIJE</w:t>
            </w:r>
          </w:p>
        </w:tc>
        <w:tc>
          <w:tcPr>
            <w:tcW w:w="1516" w:type="dxa"/>
            <w:shd w:val="clear" w:color="000080" w:fill="FFFFFF"/>
            <w:vAlign w:val="center"/>
          </w:tcPr>
          <w:p w14:paraId="76EE7861" w14:textId="3B6F4B36" w:rsidR="00E25B23" w:rsidRDefault="008674A7" w:rsidP="001B4560">
            <w:pPr>
              <w:jc w:val="center"/>
              <w:rPr>
                <w:rFonts w:ascii="Arial" w:hAnsi="Arial" w:cs="Arial"/>
                <w:b/>
                <w:bCs/>
                <w:sz w:val="18"/>
                <w:szCs w:val="18"/>
              </w:rPr>
            </w:pPr>
            <w:r>
              <w:rPr>
                <w:rFonts w:ascii="Arial" w:hAnsi="Arial" w:cs="Arial"/>
                <w:b/>
                <w:bCs/>
                <w:sz w:val="18"/>
                <w:szCs w:val="18"/>
              </w:rPr>
              <w:t>11.078.135,09</w:t>
            </w:r>
          </w:p>
        </w:tc>
        <w:tc>
          <w:tcPr>
            <w:tcW w:w="1654" w:type="dxa"/>
            <w:shd w:val="clear" w:color="000080" w:fill="FFFFFF"/>
            <w:vAlign w:val="center"/>
          </w:tcPr>
          <w:p w14:paraId="1BA0B29F" w14:textId="2AF60FFA" w:rsidR="00E25B23" w:rsidRDefault="008674A7" w:rsidP="001B4560">
            <w:pPr>
              <w:jc w:val="center"/>
              <w:rPr>
                <w:rFonts w:ascii="Arial" w:hAnsi="Arial" w:cs="Arial"/>
                <w:b/>
                <w:bCs/>
                <w:sz w:val="18"/>
                <w:szCs w:val="18"/>
              </w:rPr>
            </w:pPr>
            <w:r>
              <w:rPr>
                <w:rFonts w:ascii="Arial" w:hAnsi="Arial" w:cs="Arial"/>
                <w:b/>
                <w:bCs/>
                <w:sz w:val="18"/>
                <w:szCs w:val="18"/>
              </w:rPr>
              <w:t>10.981.181,09</w:t>
            </w:r>
          </w:p>
        </w:tc>
        <w:tc>
          <w:tcPr>
            <w:tcW w:w="1654" w:type="dxa"/>
            <w:shd w:val="clear" w:color="000080" w:fill="FFFFFF"/>
            <w:vAlign w:val="center"/>
          </w:tcPr>
          <w:p w14:paraId="358D0A83" w14:textId="43A6120D" w:rsidR="00E25B23" w:rsidRDefault="008674A7" w:rsidP="001B4560">
            <w:pPr>
              <w:jc w:val="center"/>
              <w:rPr>
                <w:rFonts w:ascii="Arial" w:hAnsi="Arial" w:cs="Arial"/>
                <w:b/>
                <w:bCs/>
                <w:sz w:val="18"/>
                <w:szCs w:val="18"/>
              </w:rPr>
            </w:pPr>
            <w:r>
              <w:rPr>
                <w:rFonts w:ascii="Arial" w:hAnsi="Arial" w:cs="Arial"/>
                <w:b/>
                <w:bCs/>
                <w:sz w:val="18"/>
                <w:szCs w:val="18"/>
              </w:rPr>
              <w:t>8.008.315,52</w:t>
            </w:r>
          </w:p>
        </w:tc>
        <w:tc>
          <w:tcPr>
            <w:tcW w:w="975" w:type="dxa"/>
            <w:shd w:val="clear" w:color="000080" w:fill="FFFFFF"/>
            <w:vAlign w:val="center"/>
          </w:tcPr>
          <w:p w14:paraId="7ED9255E" w14:textId="07470A23" w:rsidR="00E25B23" w:rsidRDefault="008674A7" w:rsidP="001B4560">
            <w:pPr>
              <w:jc w:val="center"/>
              <w:rPr>
                <w:rFonts w:ascii="Arial" w:hAnsi="Arial" w:cs="Arial"/>
                <w:b/>
                <w:bCs/>
                <w:sz w:val="18"/>
                <w:szCs w:val="18"/>
              </w:rPr>
            </w:pPr>
            <w:r>
              <w:rPr>
                <w:rFonts w:ascii="Arial" w:hAnsi="Arial" w:cs="Arial"/>
                <w:b/>
                <w:bCs/>
                <w:sz w:val="18"/>
                <w:szCs w:val="18"/>
              </w:rPr>
              <w:t>72,93%</w:t>
            </w:r>
          </w:p>
        </w:tc>
      </w:tr>
      <w:tr w:rsidR="00E25B23" w:rsidRPr="0092464A" w14:paraId="34B42B3B" w14:textId="77777777" w:rsidTr="008674A7">
        <w:trPr>
          <w:trHeight w:val="279"/>
        </w:trPr>
        <w:tc>
          <w:tcPr>
            <w:tcW w:w="983" w:type="dxa"/>
            <w:shd w:val="clear" w:color="C6CEF4" w:fill="FFFFFF"/>
            <w:vAlign w:val="center"/>
          </w:tcPr>
          <w:p w14:paraId="7D40B6A6" w14:textId="77777777" w:rsidR="00E25B23" w:rsidRPr="0092464A" w:rsidRDefault="00E25B23" w:rsidP="0046053E">
            <w:pPr>
              <w:rPr>
                <w:rFonts w:ascii="Arial" w:hAnsi="Arial" w:cs="Arial"/>
                <w:sz w:val="18"/>
                <w:szCs w:val="18"/>
                <w:lang w:eastAsia="hr-HR"/>
              </w:rPr>
            </w:pPr>
            <w:r w:rsidRPr="0092464A">
              <w:rPr>
                <w:rFonts w:ascii="Arial" w:hAnsi="Arial" w:cs="Arial"/>
                <w:sz w:val="18"/>
                <w:szCs w:val="18"/>
                <w:lang w:eastAsia="hr-HR"/>
              </w:rPr>
              <w:t>Program</w:t>
            </w:r>
          </w:p>
        </w:tc>
        <w:tc>
          <w:tcPr>
            <w:tcW w:w="826" w:type="dxa"/>
            <w:shd w:val="clear" w:color="C6CEF4" w:fill="FFFFFF"/>
            <w:vAlign w:val="center"/>
          </w:tcPr>
          <w:p w14:paraId="36ABF451" w14:textId="77777777" w:rsidR="00E25B23" w:rsidRPr="0092464A" w:rsidRDefault="00E25B23" w:rsidP="0046053E">
            <w:pPr>
              <w:rPr>
                <w:rFonts w:ascii="Arial" w:hAnsi="Arial" w:cs="Arial"/>
                <w:sz w:val="18"/>
                <w:szCs w:val="18"/>
                <w:lang w:eastAsia="hr-HR"/>
              </w:rPr>
            </w:pPr>
            <w:r>
              <w:rPr>
                <w:rFonts w:ascii="Arial" w:hAnsi="Arial" w:cs="Arial"/>
                <w:sz w:val="18"/>
                <w:szCs w:val="18"/>
                <w:lang w:eastAsia="hr-HR"/>
              </w:rPr>
              <w:t>11</w:t>
            </w:r>
            <w:r w:rsidRPr="0092464A">
              <w:rPr>
                <w:rFonts w:ascii="Arial" w:hAnsi="Arial" w:cs="Arial"/>
                <w:sz w:val="18"/>
                <w:szCs w:val="18"/>
                <w:lang w:eastAsia="hr-HR"/>
              </w:rPr>
              <w:t>01</w:t>
            </w:r>
          </w:p>
        </w:tc>
        <w:tc>
          <w:tcPr>
            <w:tcW w:w="3449" w:type="dxa"/>
            <w:shd w:val="clear" w:color="C6CEF4" w:fill="FFFFFF"/>
            <w:vAlign w:val="center"/>
          </w:tcPr>
          <w:p w14:paraId="7DC8A48F" w14:textId="77777777" w:rsidR="00E25B23" w:rsidRPr="00A42A4E" w:rsidRDefault="00E25B23" w:rsidP="0046053E">
            <w:pPr>
              <w:rPr>
                <w:rFonts w:ascii="Arial" w:hAnsi="Arial" w:cs="Arial"/>
                <w:bCs/>
                <w:sz w:val="18"/>
                <w:szCs w:val="18"/>
              </w:rPr>
            </w:pPr>
            <w:r>
              <w:rPr>
                <w:rFonts w:ascii="Arial" w:hAnsi="Arial" w:cs="Arial"/>
                <w:bCs/>
                <w:sz w:val="18"/>
                <w:szCs w:val="18"/>
              </w:rPr>
              <w:t>JAVNA UPRAVA I ADMINISTRACIJA</w:t>
            </w:r>
          </w:p>
        </w:tc>
        <w:tc>
          <w:tcPr>
            <w:tcW w:w="1516" w:type="dxa"/>
            <w:shd w:val="clear" w:color="C6CEF4" w:fill="FFFFFF"/>
            <w:vAlign w:val="center"/>
          </w:tcPr>
          <w:p w14:paraId="155DF9B0" w14:textId="78256A2A" w:rsidR="00E25B23" w:rsidRPr="00A42A4E" w:rsidRDefault="008674A7" w:rsidP="001B4560">
            <w:pPr>
              <w:jc w:val="center"/>
              <w:rPr>
                <w:rFonts w:ascii="Arial" w:hAnsi="Arial" w:cs="Arial"/>
                <w:bCs/>
                <w:sz w:val="18"/>
                <w:szCs w:val="18"/>
              </w:rPr>
            </w:pPr>
            <w:r>
              <w:rPr>
                <w:rFonts w:ascii="Arial" w:hAnsi="Arial" w:cs="Arial"/>
                <w:bCs/>
                <w:sz w:val="18"/>
                <w:szCs w:val="18"/>
              </w:rPr>
              <w:t>61.850,00</w:t>
            </w:r>
          </w:p>
        </w:tc>
        <w:tc>
          <w:tcPr>
            <w:tcW w:w="1654" w:type="dxa"/>
            <w:shd w:val="clear" w:color="C6CEF4" w:fill="FFFFFF"/>
            <w:vAlign w:val="center"/>
          </w:tcPr>
          <w:p w14:paraId="074DF393" w14:textId="792D1E75" w:rsidR="00E25B23" w:rsidRDefault="008674A7" w:rsidP="001B4560">
            <w:pPr>
              <w:jc w:val="center"/>
              <w:rPr>
                <w:rFonts w:ascii="Arial" w:hAnsi="Arial" w:cs="Arial"/>
                <w:bCs/>
                <w:sz w:val="18"/>
                <w:szCs w:val="18"/>
              </w:rPr>
            </w:pPr>
            <w:r>
              <w:rPr>
                <w:rFonts w:ascii="Arial" w:hAnsi="Arial" w:cs="Arial"/>
                <w:bCs/>
                <w:sz w:val="18"/>
                <w:szCs w:val="18"/>
              </w:rPr>
              <w:t>61.850,00</w:t>
            </w:r>
          </w:p>
        </w:tc>
        <w:tc>
          <w:tcPr>
            <w:tcW w:w="1654" w:type="dxa"/>
            <w:shd w:val="clear" w:color="C6CEF4" w:fill="FFFFFF"/>
            <w:vAlign w:val="center"/>
          </w:tcPr>
          <w:p w14:paraId="5140929A" w14:textId="237009B4" w:rsidR="00E25B23" w:rsidRDefault="008674A7" w:rsidP="001B4560">
            <w:pPr>
              <w:jc w:val="center"/>
              <w:rPr>
                <w:rFonts w:ascii="Arial" w:hAnsi="Arial" w:cs="Arial"/>
                <w:bCs/>
                <w:sz w:val="18"/>
                <w:szCs w:val="18"/>
              </w:rPr>
            </w:pPr>
            <w:r>
              <w:rPr>
                <w:rFonts w:ascii="Arial" w:hAnsi="Arial" w:cs="Arial"/>
                <w:bCs/>
                <w:sz w:val="18"/>
                <w:szCs w:val="18"/>
              </w:rPr>
              <w:t>36.276,83</w:t>
            </w:r>
          </w:p>
        </w:tc>
        <w:tc>
          <w:tcPr>
            <w:tcW w:w="975" w:type="dxa"/>
            <w:shd w:val="clear" w:color="C6CEF4" w:fill="FFFFFF"/>
            <w:vAlign w:val="center"/>
          </w:tcPr>
          <w:p w14:paraId="35450A98" w14:textId="5A93F511" w:rsidR="00E25B23" w:rsidRPr="00A42A4E" w:rsidRDefault="008674A7" w:rsidP="001B4560">
            <w:pPr>
              <w:jc w:val="center"/>
              <w:rPr>
                <w:rFonts w:ascii="Arial" w:hAnsi="Arial" w:cs="Arial"/>
                <w:bCs/>
                <w:sz w:val="18"/>
                <w:szCs w:val="18"/>
              </w:rPr>
            </w:pPr>
            <w:r>
              <w:rPr>
                <w:rFonts w:ascii="Arial" w:hAnsi="Arial" w:cs="Arial"/>
                <w:bCs/>
                <w:sz w:val="18"/>
                <w:szCs w:val="18"/>
              </w:rPr>
              <w:t>58,65%</w:t>
            </w:r>
          </w:p>
        </w:tc>
      </w:tr>
      <w:tr w:rsidR="00E25B23" w:rsidRPr="0092464A" w14:paraId="05135876" w14:textId="77777777" w:rsidTr="008674A7">
        <w:trPr>
          <w:trHeight w:val="279"/>
        </w:trPr>
        <w:tc>
          <w:tcPr>
            <w:tcW w:w="983" w:type="dxa"/>
            <w:shd w:val="clear" w:color="C6CEF4" w:fill="FFFFFF"/>
            <w:vAlign w:val="center"/>
          </w:tcPr>
          <w:p w14:paraId="7EEB513E" w14:textId="77777777" w:rsidR="00E25B23" w:rsidRPr="0092464A" w:rsidRDefault="00E25B23" w:rsidP="0046053E">
            <w:pPr>
              <w:rPr>
                <w:rFonts w:ascii="Arial" w:hAnsi="Arial" w:cs="Arial"/>
                <w:sz w:val="18"/>
                <w:szCs w:val="18"/>
                <w:lang w:eastAsia="hr-HR"/>
              </w:rPr>
            </w:pPr>
            <w:r w:rsidRPr="0092464A">
              <w:rPr>
                <w:rFonts w:ascii="Arial" w:hAnsi="Arial" w:cs="Arial"/>
                <w:sz w:val="18"/>
                <w:szCs w:val="18"/>
                <w:lang w:eastAsia="hr-HR"/>
              </w:rPr>
              <w:t>Program</w:t>
            </w:r>
          </w:p>
        </w:tc>
        <w:tc>
          <w:tcPr>
            <w:tcW w:w="826" w:type="dxa"/>
            <w:shd w:val="clear" w:color="C6CEF4" w:fill="FFFFFF"/>
            <w:vAlign w:val="center"/>
          </w:tcPr>
          <w:p w14:paraId="2498BD6C" w14:textId="77777777" w:rsidR="00E25B23" w:rsidRPr="0092464A" w:rsidRDefault="00E25B23" w:rsidP="0046053E">
            <w:pPr>
              <w:rPr>
                <w:rFonts w:ascii="Arial" w:hAnsi="Arial" w:cs="Arial"/>
                <w:sz w:val="18"/>
                <w:szCs w:val="18"/>
                <w:lang w:eastAsia="hr-HR"/>
              </w:rPr>
            </w:pPr>
            <w:r>
              <w:rPr>
                <w:rFonts w:ascii="Arial" w:hAnsi="Arial" w:cs="Arial"/>
                <w:sz w:val="18"/>
                <w:szCs w:val="18"/>
                <w:lang w:eastAsia="hr-HR"/>
              </w:rPr>
              <w:t>1402</w:t>
            </w:r>
          </w:p>
        </w:tc>
        <w:tc>
          <w:tcPr>
            <w:tcW w:w="3449" w:type="dxa"/>
            <w:shd w:val="clear" w:color="C6CEF4" w:fill="FFFFFF"/>
            <w:vAlign w:val="center"/>
          </w:tcPr>
          <w:p w14:paraId="12A7A27E" w14:textId="77777777" w:rsidR="00E25B23" w:rsidRPr="00A42A4E" w:rsidRDefault="00E25B23" w:rsidP="0046053E">
            <w:pPr>
              <w:rPr>
                <w:rFonts w:ascii="Arial" w:hAnsi="Arial" w:cs="Arial"/>
                <w:bCs/>
                <w:sz w:val="18"/>
                <w:szCs w:val="18"/>
              </w:rPr>
            </w:pPr>
            <w:r>
              <w:rPr>
                <w:rFonts w:ascii="Arial" w:hAnsi="Arial" w:cs="Arial"/>
                <w:bCs/>
                <w:sz w:val="18"/>
                <w:szCs w:val="18"/>
              </w:rPr>
              <w:t xml:space="preserve">ODRŽAVANJE NERAZVRSTANIH CESTA I PUTEVA </w:t>
            </w:r>
          </w:p>
        </w:tc>
        <w:tc>
          <w:tcPr>
            <w:tcW w:w="1516" w:type="dxa"/>
            <w:shd w:val="clear" w:color="C6CEF4" w:fill="FFFFFF"/>
            <w:vAlign w:val="center"/>
          </w:tcPr>
          <w:p w14:paraId="44116F79" w14:textId="30912830" w:rsidR="00E25B23" w:rsidRPr="00A42A4E" w:rsidRDefault="008674A7" w:rsidP="001B4560">
            <w:pPr>
              <w:jc w:val="center"/>
              <w:rPr>
                <w:rFonts w:ascii="Arial" w:hAnsi="Arial" w:cs="Arial"/>
                <w:bCs/>
                <w:sz w:val="18"/>
                <w:szCs w:val="18"/>
              </w:rPr>
            </w:pPr>
            <w:r>
              <w:rPr>
                <w:rFonts w:ascii="Arial" w:hAnsi="Arial" w:cs="Arial"/>
                <w:bCs/>
                <w:sz w:val="18"/>
                <w:szCs w:val="18"/>
              </w:rPr>
              <w:t>490.850,00</w:t>
            </w:r>
          </w:p>
        </w:tc>
        <w:tc>
          <w:tcPr>
            <w:tcW w:w="1654" w:type="dxa"/>
            <w:shd w:val="clear" w:color="C6CEF4" w:fill="FFFFFF"/>
            <w:vAlign w:val="center"/>
          </w:tcPr>
          <w:p w14:paraId="35CED1B8" w14:textId="6C77A60C" w:rsidR="00E25B23" w:rsidRDefault="008674A7" w:rsidP="001B4560">
            <w:pPr>
              <w:jc w:val="center"/>
              <w:rPr>
                <w:rFonts w:ascii="Arial" w:hAnsi="Arial" w:cs="Arial"/>
                <w:bCs/>
                <w:sz w:val="18"/>
                <w:szCs w:val="18"/>
              </w:rPr>
            </w:pPr>
            <w:r>
              <w:rPr>
                <w:rFonts w:ascii="Arial" w:hAnsi="Arial" w:cs="Arial"/>
                <w:bCs/>
                <w:sz w:val="18"/>
                <w:szCs w:val="18"/>
              </w:rPr>
              <w:t>493.010,00</w:t>
            </w:r>
          </w:p>
        </w:tc>
        <w:tc>
          <w:tcPr>
            <w:tcW w:w="1654" w:type="dxa"/>
            <w:shd w:val="clear" w:color="C6CEF4" w:fill="FFFFFF"/>
            <w:vAlign w:val="center"/>
          </w:tcPr>
          <w:p w14:paraId="6BEE5B88" w14:textId="0D266293" w:rsidR="00E25B23" w:rsidRDefault="008674A7" w:rsidP="001B4560">
            <w:pPr>
              <w:jc w:val="center"/>
              <w:rPr>
                <w:rFonts w:ascii="Arial" w:hAnsi="Arial" w:cs="Arial"/>
                <w:bCs/>
                <w:sz w:val="18"/>
                <w:szCs w:val="18"/>
              </w:rPr>
            </w:pPr>
            <w:r>
              <w:rPr>
                <w:rFonts w:ascii="Arial" w:hAnsi="Arial" w:cs="Arial"/>
                <w:bCs/>
                <w:sz w:val="18"/>
                <w:szCs w:val="18"/>
              </w:rPr>
              <w:t>380.371,66</w:t>
            </w:r>
          </w:p>
        </w:tc>
        <w:tc>
          <w:tcPr>
            <w:tcW w:w="975" w:type="dxa"/>
            <w:shd w:val="clear" w:color="C6CEF4" w:fill="FFFFFF"/>
            <w:vAlign w:val="center"/>
          </w:tcPr>
          <w:p w14:paraId="323A63CC" w14:textId="0B41F0F7" w:rsidR="00E25B23" w:rsidRPr="00A42A4E" w:rsidRDefault="008674A7" w:rsidP="001B4560">
            <w:pPr>
              <w:jc w:val="center"/>
              <w:rPr>
                <w:rFonts w:ascii="Arial" w:hAnsi="Arial" w:cs="Arial"/>
                <w:bCs/>
                <w:sz w:val="18"/>
                <w:szCs w:val="18"/>
              </w:rPr>
            </w:pPr>
            <w:r>
              <w:rPr>
                <w:rFonts w:ascii="Arial" w:hAnsi="Arial" w:cs="Arial"/>
                <w:bCs/>
                <w:sz w:val="18"/>
                <w:szCs w:val="18"/>
              </w:rPr>
              <w:t>77,15%</w:t>
            </w:r>
          </w:p>
        </w:tc>
      </w:tr>
      <w:tr w:rsidR="00E25B23" w:rsidRPr="0092464A" w14:paraId="17FDB71C" w14:textId="77777777" w:rsidTr="008674A7">
        <w:trPr>
          <w:trHeight w:val="279"/>
        </w:trPr>
        <w:tc>
          <w:tcPr>
            <w:tcW w:w="983" w:type="dxa"/>
            <w:shd w:val="clear" w:color="C6CEF4" w:fill="FFFFFF"/>
            <w:vAlign w:val="center"/>
          </w:tcPr>
          <w:p w14:paraId="5235680E" w14:textId="77777777" w:rsidR="00E25B23" w:rsidRPr="0092464A" w:rsidRDefault="00E25B23" w:rsidP="0046053E">
            <w:pPr>
              <w:rPr>
                <w:rFonts w:ascii="Arial" w:hAnsi="Arial" w:cs="Arial"/>
                <w:sz w:val="18"/>
                <w:szCs w:val="18"/>
                <w:lang w:eastAsia="hr-HR"/>
              </w:rPr>
            </w:pPr>
            <w:r w:rsidRPr="0092464A">
              <w:rPr>
                <w:rFonts w:ascii="Arial" w:hAnsi="Arial" w:cs="Arial"/>
                <w:sz w:val="18"/>
                <w:szCs w:val="18"/>
                <w:lang w:eastAsia="hr-HR"/>
              </w:rPr>
              <w:t>Program</w:t>
            </w:r>
          </w:p>
        </w:tc>
        <w:tc>
          <w:tcPr>
            <w:tcW w:w="826" w:type="dxa"/>
            <w:shd w:val="clear" w:color="C6CEF4" w:fill="FFFFFF"/>
            <w:vAlign w:val="center"/>
          </w:tcPr>
          <w:p w14:paraId="65E5BBF9" w14:textId="77777777" w:rsidR="00E25B23" w:rsidRPr="0092464A" w:rsidRDefault="00E25B23" w:rsidP="0046053E">
            <w:pPr>
              <w:rPr>
                <w:rFonts w:ascii="Arial" w:hAnsi="Arial" w:cs="Arial"/>
                <w:sz w:val="18"/>
                <w:szCs w:val="18"/>
                <w:lang w:eastAsia="hr-HR"/>
              </w:rPr>
            </w:pPr>
            <w:r>
              <w:rPr>
                <w:rFonts w:ascii="Arial" w:hAnsi="Arial" w:cs="Arial"/>
                <w:sz w:val="18"/>
                <w:szCs w:val="18"/>
                <w:lang w:eastAsia="hr-HR"/>
              </w:rPr>
              <w:t>1403</w:t>
            </w:r>
          </w:p>
        </w:tc>
        <w:tc>
          <w:tcPr>
            <w:tcW w:w="3449" w:type="dxa"/>
            <w:shd w:val="clear" w:color="C6CEF4" w:fill="FFFFFF"/>
            <w:vAlign w:val="center"/>
          </w:tcPr>
          <w:p w14:paraId="396925F6" w14:textId="77777777" w:rsidR="00E25B23" w:rsidRPr="00A42A4E" w:rsidRDefault="00E25B23" w:rsidP="0046053E">
            <w:pPr>
              <w:rPr>
                <w:rFonts w:ascii="Arial" w:hAnsi="Arial" w:cs="Arial"/>
                <w:bCs/>
                <w:sz w:val="18"/>
                <w:szCs w:val="18"/>
              </w:rPr>
            </w:pPr>
            <w:r>
              <w:rPr>
                <w:rFonts w:ascii="Arial" w:hAnsi="Arial" w:cs="Arial"/>
                <w:bCs/>
                <w:sz w:val="18"/>
                <w:szCs w:val="18"/>
              </w:rPr>
              <w:t xml:space="preserve">ODRŽAVANJE JAVNE RASVJETE </w:t>
            </w:r>
          </w:p>
        </w:tc>
        <w:tc>
          <w:tcPr>
            <w:tcW w:w="1516" w:type="dxa"/>
            <w:shd w:val="clear" w:color="C6CEF4" w:fill="FFFFFF"/>
            <w:vAlign w:val="center"/>
          </w:tcPr>
          <w:p w14:paraId="11E2146E" w14:textId="1F92FC87" w:rsidR="00E25B23" w:rsidRPr="00A42A4E" w:rsidRDefault="008674A7" w:rsidP="001B4560">
            <w:pPr>
              <w:jc w:val="center"/>
              <w:rPr>
                <w:rFonts w:ascii="Arial" w:hAnsi="Arial" w:cs="Arial"/>
                <w:bCs/>
                <w:sz w:val="18"/>
                <w:szCs w:val="18"/>
              </w:rPr>
            </w:pPr>
            <w:r>
              <w:rPr>
                <w:rFonts w:ascii="Arial" w:hAnsi="Arial" w:cs="Arial"/>
                <w:bCs/>
                <w:sz w:val="18"/>
                <w:szCs w:val="18"/>
              </w:rPr>
              <w:t>512.500,00</w:t>
            </w:r>
          </w:p>
        </w:tc>
        <w:tc>
          <w:tcPr>
            <w:tcW w:w="1654" w:type="dxa"/>
            <w:shd w:val="clear" w:color="C6CEF4" w:fill="FFFFFF"/>
            <w:vAlign w:val="center"/>
          </w:tcPr>
          <w:p w14:paraId="56682D70" w14:textId="6D4F60ED" w:rsidR="00E25B23" w:rsidRDefault="008674A7" w:rsidP="001B4560">
            <w:pPr>
              <w:jc w:val="center"/>
              <w:rPr>
                <w:rFonts w:ascii="Arial" w:hAnsi="Arial" w:cs="Arial"/>
                <w:bCs/>
                <w:sz w:val="18"/>
                <w:szCs w:val="18"/>
              </w:rPr>
            </w:pPr>
            <w:r>
              <w:rPr>
                <w:rFonts w:ascii="Arial" w:hAnsi="Arial" w:cs="Arial"/>
                <w:bCs/>
                <w:sz w:val="18"/>
                <w:szCs w:val="18"/>
              </w:rPr>
              <w:t>512.500,00</w:t>
            </w:r>
          </w:p>
        </w:tc>
        <w:tc>
          <w:tcPr>
            <w:tcW w:w="1654" w:type="dxa"/>
            <w:shd w:val="clear" w:color="C6CEF4" w:fill="FFFFFF"/>
            <w:vAlign w:val="center"/>
          </w:tcPr>
          <w:p w14:paraId="29366D12" w14:textId="2F050FC7" w:rsidR="00E25B23" w:rsidRDefault="008674A7" w:rsidP="001B4560">
            <w:pPr>
              <w:jc w:val="center"/>
              <w:rPr>
                <w:rFonts w:ascii="Arial" w:hAnsi="Arial" w:cs="Arial"/>
                <w:bCs/>
                <w:sz w:val="18"/>
                <w:szCs w:val="18"/>
              </w:rPr>
            </w:pPr>
            <w:r>
              <w:rPr>
                <w:rFonts w:ascii="Arial" w:hAnsi="Arial" w:cs="Arial"/>
                <w:bCs/>
                <w:sz w:val="18"/>
                <w:szCs w:val="18"/>
              </w:rPr>
              <w:t>492.743,35</w:t>
            </w:r>
          </w:p>
        </w:tc>
        <w:tc>
          <w:tcPr>
            <w:tcW w:w="975" w:type="dxa"/>
            <w:shd w:val="clear" w:color="C6CEF4" w:fill="FFFFFF"/>
            <w:vAlign w:val="center"/>
          </w:tcPr>
          <w:p w14:paraId="28030C5B" w14:textId="05D98D2D" w:rsidR="00E25B23" w:rsidRPr="00A42A4E" w:rsidRDefault="008674A7" w:rsidP="001B4560">
            <w:pPr>
              <w:jc w:val="center"/>
              <w:rPr>
                <w:rFonts w:ascii="Arial" w:hAnsi="Arial" w:cs="Arial"/>
                <w:bCs/>
                <w:sz w:val="18"/>
                <w:szCs w:val="18"/>
              </w:rPr>
            </w:pPr>
            <w:r>
              <w:rPr>
                <w:rFonts w:ascii="Arial" w:hAnsi="Arial" w:cs="Arial"/>
                <w:bCs/>
                <w:sz w:val="18"/>
                <w:szCs w:val="18"/>
              </w:rPr>
              <w:t>96,15%</w:t>
            </w:r>
          </w:p>
        </w:tc>
      </w:tr>
      <w:tr w:rsidR="00E25B23" w:rsidRPr="0092464A" w14:paraId="4155FCB1" w14:textId="77777777" w:rsidTr="008674A7">
        <w:trPr>
          <w:trHeight w:val="279"/>
        </w:trPr>
        <w:tc>
          <w:tcPr>
            <w:tcW w:w="983" w:type="dxa"/>
            <w:shd w:val="clear" w:color="C6CEF4" w:fill="FFFFFF"/>
            <w:vAlign w:val="center"/>
          </w:tcPr>
          <w:p w14:paraId="7B665B8D" w14:textId="77777777" w:rsidR="00E25B23" w:rsidRPr="0092464A" w:rsidRDefault="00E25B23" w:rsidP="0046053E">
            <w:pPr>
              <w:rPr>
                <w:rFonts w:ascii="Arial" w:hAnsi="Arial" w:cs="Arial"/>
                <w:sz w:val="18"/>
                <w:szCs w:val="18"/>
                <w:lang w:eastAsia="hr-HR"/>
              </w:rPr>
            </w:pPr>
            <w:r>
              <w:rPr>
                <w:rFonts w:ascii="Arial" w:hAnsi="Arial" w:cs="Arial"/>
                <w:sz w:val="18"/>
                <w:szCs w:val="18"/>
                <w:lang w:eastAsia="hr-HR"/>
              </w:rPr>
              <w:t xml:space="preserve">Program </w:t>
            </w:r>
          </w:p>
        </w:tc>
        <w:tc>
          <w:tcPr>
            <w:tcW w:w="826" w:type="dxa"/>
            <w:shd w:val="clear" w:color="C6CEF4" w:fill="FFFFFF"/>
            <w:vAlign w:val="center"/>
          </w:tcPr>
          <w:p w14:paraId="20D31AC6" w14:textId="77777777" w:rsidR="00E25B23" w:rsidRDefault="00E25B23" w:rsidP="0046053E">
            <w:pPr>
              <w:rPr>
                <w:rFonts w:ascii="Arial" w:hAnsi="Arial" w:cs="Arial"/>
                <w:sz w:val="18"/>
                <w:szCs w:val="18"/>
                <w:lang w:eastAsia="hr-HR"/>
              </w:rPr>
            </w:pPr>
            <w:r>
              <w:rPr>
                <w:rFonts w:ascii="Arial" w:hAnsi="Arial" w:cs="Arial"/>
                <w:sz w:val="18"/>
                <w:szCs w:val="18"/>
                <w:lang w:eastAsia="hr-HR"/>
              </w:rPr>
              <w:t>1404</w:t>
            </w:r>
          </w:p>
        </w:tc>
        <w:tc>
          <w:tcPr>
            <w:tcW w:w="3449" w:type="dxa"/>
            <w:shd w:val="clear" w:color="C6CEF4" w:fill="FFFFFF"/>
            <w:vAlign w:val="center"/>
          </w:tcPr>
          <w:p w14:paraId="5DB6DCCB" w14:textId="77777777" w:rsidR="00E25B23" w:rsidRDefault="00E25B23" w:rsidP="0046053E">
            <w:pPr>
              <w:rPr>
                <w:rFonts w:ascii="Arial" w:hAnsi="Arial" w:cs="Arial"/>
                <w:bCs/>
                <w:sz w:val="18"/>
                <w:szCs w:val="18"/>
              </w:rPr>
            </w:pPr>
            <w:r>
              <w:rPr>
                <w:rFonts w:ascii="Arial" w:hAnsi="Arial" w:cs="Arial"/>
                <w:bCs/>
                <w:sz w:val="18"/>
                <w:szCs w:val="18"/>
              </w:rPr>
              <w:t>ODRŽAVANJE GROBLJA</w:t>
            </w:r>
          </w:p>
        </w:tc>
        <w:tc>
          <w:tcPr>
            <w:tcW w:w="1516" w:type="dxa"/>
            <w:shd w:val="clear" w:color="C6CEF4" w:fill="FFFFFF"/>
            <w:vAlign w:val="center"/>
          </w:tcPr>
          <w:p w14:paraId="4B4140CC" w14:textId="6C9AD8FC" w:rsidR="00E25B23" w:rsidRPr="00A42A4E" w:rsidRDefault="008674A7" w:rsidP="001B4560">
            <w:pPr>
              <w:jc w:val="center"/>
              <w:rPr>
                <w:rFonts w:ascii="Arial" w:hAnsi="Arial" w:cs="Arial"/>
                <w:bCs/>
                <w:sz w:val="18"/>
                <w:szCs w:val="18"/>
              </w:rPr>
            </w:pPr>
            <w:r>
              <w:rPr>
                <w:rFonts w:ascii="Arial" w:hAnsi="Arial" w:cs="Arial"/>
                <w:bCs/>
                <w:sz w:val="18"/>
                <w:szCs w:val="18"/>
              </w:rPr>
              <w:t>99.000,00</w:t>
            </w:r>
          </w:p>
        </w:tc>
        <w:tc>
          <w:tcPr>
            <w:tcW w:w="1654" w:type="dxa"/>
            <w:shd w:val="clear" w:color="C6CEF4" w:fill="FFFFFF"/>
            <w:vAlign w:val="center"/>
          </w:tcPr>
          <w:p w14:paraId="2EA4BF56" w14:textId="2E355A7F" w:rsidR="00E25B23" w:rsidRDefault="008674A7" w:rsidP="001B4560">
            <w:pPr>
              <w:jc w:val="center"/>
              <w:rPr>
                <w:rFonts w:ascii="Arial" w:hAnsi="Arial" w:cs="Arial"/>
                <w:bCs/>
                <w:sz w:val="18"/>
                <w:szCs w:val="18"/>
              </w:rPr>
            </w:pPr>
            <w:r>
              <w:rPr>
                <w:rFonts w:ascii="Arial" w:hAnsi="Arial" w:cs="Arial"/>
                <w:bCs/>
                <w:sz w:val="18"/>
                <w:szCs w:val="18"/>
              </w:rPr>
              <w:t>96.840,00</w:t>
            </w:r>
          </w:p>
        </w:tc>
        <w:tc>
          <w:tcPr>
            <w:tcW w:w="1654" w:type="dxa"/>
            <w:shd w:val="clear" w:color="C6CEF4" w:fill="FFFFFF"/>
            <w:vAlign w:val="center"/>
          </w:tcPr>
          <w:p w14:paraId="215F9EEA" w14:textId="30D3EC1D" w:rsidR="00E25B23" w:rsidRDefault="008674A7" w:rsidP="001B4560">
            <w:pPr>
              <w:jc w:val="center"/>
              <w:rPr>
                <w:rFonts w:ascii="Arial" w:hAnsi="Arial" w:cs="Arial"/>
                <w:bCs/>
                <w:sz w:val="18"/>
                <w:szCs w:val="18"/>
              </w:rPr>
            </w:pPr>
            <w:r>
              <w:rPr>
                <w:rFonts w:ascii="Arial" w:hAnsi="Arial" w:cs="Arial"/>
                <w:bCs/>
                <w:sz w:val="18"/>
                <w:szCs w:val="18"/>
              </w:rPr>
              <w:t>88.343,00</w:t>
            </w:r>
          </w:p>
        </w:tc>
        <w:tc>
          <w:tcPr>
            <w:tcW w:w="975" w:type="dxa"/>
            <w:shd w:val="clear" w:color="C6CEF4" w:fill="FFFFFF"/>
            <w:vAlign w:val="center"/>
          </w:tcPr>
          <w:p w14:paraId="6C603173" w14:textId="3F706CF3" w:rsidR="00E25B23" w:rsidRPr="00A42A4E" w:rsidRDefault="008674A7" w:rsidP="001B4560">
            <w:pPr>
              <w:jc w:val="center"/>
              <w:rPr>
                <w:rFonts w:ascii="Arial" w:hAnsi="Arial" w:cs="Arial"/>
                <w:bCs/>
                <w:sz w:val="18"/>
                <w:szCs w:val="18"/>
              </w:rPr>
            </w:pPr>
            <w:r>
              <w:rPr>
                <w:rFonts w:ascii="Arial" w:hAnsi="Arial" w:cs="Arial"/>
                <w:bCs/>
                <w:sz w:val="18"/>
                <w:szCs w:val="18"/>
              </w:rPr>
              <w:t>91,23%</w:t>
            </w:r>
          </w:p>
        </w:tc>
      </w:tr>
      <w:tr w:rsidR="00E25B23" w:rsidRPr="0092464A" w14:paraId="585137A2" w14:textId="77777777" w:rsidTr="008674A7">
        <w:trPr>
          <w:trHeight w:val="279"/>
        </w:trPr>
        <w:tc>
          <w:tcPr>
            <w:tcW w:w="983" w:type="dxa"/>
            <w:shd w:val="clear" w:color="C6CEF4" w:fill="FFFFFF"/>
            <w:vAlign w:val="center"/>
          </w:tcPr>
          <w:p w14:paraId="1ACBEC24" w14:textId="77777777" w:rsidR="00E25B23" w:rsidRDefault="00E25B23" w:rsidP="0046053E">
            <w:pPr>
              <w:rPr>
                <w:rFonts w:ascii="Arial" w:hAnsi="Arial" w:cs="Arial"/>
                <w:sz w:val="18"/>
                <w:szCs w:val="18"/>
                <w:lang w:eastAsia="hr-HR"/>
              </w:rPr>
            </w:pPr>
            <w:r>
              <w:rPr>
                <w:rFonts w:ascii="Arial" w:hAnsi="Arial" w:cs="Arial"/>
                <w:sz w:val="18"/>
                <w:szCs w:val="18"/>
                <w:lang w:eastAsia="hr-HR"/>
              </w:rPr>
              <w:t xml:space="preserve">Program </w:t>
            </w:r>
          </w:p>
        </w:tc>
        <w:tc>
          <w:tcPr>
            <w:tcW w:w="826" w:type="dxa"/>
            <w:shd w:val="clear" w:color="C6CEF4" w:fill="FFFFFF"/>
            <w:vAlign w:val="center"/>
          </w:tcPr>
          <w:p w14:paraId="1C2EF2C1" w14:textId="77777777" w:rsidR="00E25B23" w:rsidRDefault="00E25B23" w:rsidP="0046053E">
            <w:pPr>
              <w:rPr>
                <w:rFonts w:ascii="Arial" w:hAnsi="Arial" w:cs="Arial"/>
                <w:sz w:val="18"/>
                <w:szCs w:val="18"/>
                <w:lang w:eastAsia="hr-HR"/>
              </w:rPr>
            </w:pPr>
            <w:r>
              <w:rPr>
                <w:rFonts w:ascii="Arial" w:hAnsi="Arial" w:cs="Arial"/>
                <w:sz w:val="18"/>
                <w:szCs w:val="18"/>
                <w:lang w:eastAsia="hr-HR"/>
              </w:rPr>
              <w:t>1408</w:t>
            </w:r>
          </w:p>
        </w:tc>
        <w:tc>
          <w:tcPr>
            <w:tcW w:w="3449" w:type="dxa"/>
            <w:shd w:val="clear" w:color="C6CEF4" w:fill="FFFFFF"/>
            <w:vAlign w:val="center"/>
          </w:tcPr>
          <w:p w14:paraId="50238924" w14:textId="77777777" w:rsidR="00E25B23" w:rsidRDefault="00E25B23" w:rsidP="0046053E">
            <w:pPr>
              <w:rPr>
                <w:rFonts w:ascii="Arial" w:hAnsi="Arial" w:cs="Arial"/>
                <w:bCs/>
                <w:sz w:val="18"/>
                <w:szCs w:val="18"/>
              </w:rPr>
            </w:pPr>
            <w:r>
              <w:rPr>
                <w:rFonts w:ascii="Arial" w:hAnsi="Arial" w:cs="Arial"/>
                <w:bCs/>
                <w:sz w:val="18"/>
                <w:szCs w:val="18"/>
              </w:rPr>
              <w:t xml:space="preserve">ODRŽAVANJE JAVNIH POVRŠINA NA KOJIMA NIJE DOPUŠTEN PROMET MOTORNIM VOZILIMA </w:t>
            </w:r>
          </w:p>
        </w:tc>
        <w:tc>
          <w:tcPr>
            <w:tcW w:w="1516" w:type="dxa"/>
            <w:shd w:val="clear" w:color="C6CEF4" w:fill="FFFFFF"/>
            <w:vAlign w:val="center"/>
          </w:tcPr>
          <w:p w14:paraId="7E50F84D" w14:textId="7F609345" w:rsidR="00E25B23" w:rsidRPr="00A42A4E" w:rsidRDefault="008674A7" w:rsidP="001B4560">
            <w:pPr>
              <w:jc w:val="center"/>
              <w:rPr>
                <w:rFonts w:ascii="Arial" w:hAnsi="Arial" w:cs="Arial"/>
                <w:bCs/>
                <w:sz w:val="18"/>
                <w:szCs w:val="18"/>
              </w:rPr>
            </w:pPr>
            <w:r>
              <w:rPr>
                <w:rFonts w:ascii="Arial" w:hAnsi="Arial" w:cs="Arial"/>
                <w:bCs/>
                <w:sz w:val="18"/>
                <w:szCs w:val="18"/>
              </w:rPr>
              <w:t>306.350,00</w:t>
            </w:r>
          </w:p>
        </w:tc>
        <w:tc>
          <w:tcPr>
            <w:tcW w:w="1654" w:type="dxa"/>
            <w:shd w:val="clear" w:color="C6CEF4" w:fill="FFFFFF"/>
            <w:vAlign w:val="center"/>
          </w:tcPr>
          <w:p w14:paraId="06D4974E" w14:textId="36A8363F" w:rsidR="00E25B23" w:rsidRDefault="008674A7" w:rsidP="001B4560">
            <w:pPr>
              <w:jc w:val="center"/>
              <w:rPr>
                <w:rFonts w:ascii="Arial" w:hAnsi="Arial" w:cs="Arial"/>
                <w:bCs/>
                <w:sz w:val="18"/>
                <w:szCs w:val="18"/>
              </w:rPr>
            </w:pPr>
            <w:r>
              <w:rPr>
                <w:rFonts w:ascii="Arial" w:hAnsi="Arial" w:cs="Arial"/>
                <w:bCs/>
                <w:sz w:val="18"/>
                <w:szCs w:val="18"/>
              </w:rPr>
              <w:t>306.350,00</w:t>
            </w:r>
          </w:p>
        </w:tc>
        <w:tc>
          <w:tcPr>
            <w:tcW w:w="1654" w:type="dxa"/>
            <w:shd w:val="clear" w:color="C6CEF4" w:fill="FFFFFF"/>
            <w:vAlign w:val="center"/>
          </w:tcPr>
          <w:p w14:paraId="03529418" w14:textId="7D1DB583" w:rsidR="00E25B23" w:rsidRDefault="008674A7" w:rsidP="001B4560">
            <w:pPr>
              <w:jc w:val="center"/>
              <w:rPr>
                <w:rFonts w:ascii="Arial" w:hAnsi="Arial" w:cs="Arial"/>
                <w:bCs/>
                <w:sz w:val="18"/>
                <w:szCs w:val="18"/>
              </w:rPr>
            </w:pPr>
            <w:r>
              <w:rPr>
                <w:rFonts w:ascii="Arial" w:hAnsi="Arial" w:cs="Arial"/>
                <w:bCs/>
                <w:sz w:val="18"/>
                <w:szCs w:val="18"/>
              </w:rPr>
              <w:t>270.778,59</w:t>
            </w:r>
          </w:p>
        </w:tc>
        <w:tc>
          <w:tcPr>
            <w:tcW w:w="975" w:type="dxa"/>
            <w:shd w:val="clear" w:color="C6CEF4" w:fill="FFFFFF"/>
            <w:vAlign w:val="center"/>
          </w:tcPr>
          <w:p w14:paraId="12080269" w14:textId="4A4F9B2D" w:rsidR="00E25B23" w:rsidRPr="00A42A4E" w:rsidRDefault="008674A7" w:rsidP="001B4560">
            <w:pPr>
              <w:jc w:val="center"/>
              <w:rPr>
                <w:rFonts w:ascii="Arial" w:hAnsi="Arial" w:cs="Arial"/>
                <w:bCs/>
                <w:sz w:val="18"/>
                <w:szCs w:val="18"/>
              </w:rPr>
            </w:pPr>
            <w:r>
              <w:rPr>
                <w:rFonts w:ascii="Arial" w:hAnsi="Arial" w:cs="Arial"/>
                <w:bCs/>
                <w:sz w:val="18"/>
                <w:szCs w:val="18"/>
              </w:rPr>
              <w:t>88,36%</w:t>
            </w:r>
          </w:p>
        </w:tc>
      </w:tr>
      <w:tr w:rsidR="00E25B23" w:rsidRPr="0092464A" w14:paraId="5946687C" w14:textId="77777777" w:rsidTr="008674A7">
        <w:trPr>
          <w:trHeight w:val="279"/>
        </w:trPr>
        <w:tc>
          <w:tcPr>
            <w:tcW w:w="983" w:type="dxa"/>
            <w:shd w:val="clear" w:color="C6CEF4" w:fill="FFFFFF"/>
            <w:vAlign w:val="center"/>
          </w:tcPr>
          <w:p w14:paraId="3ED02941" w14:textId="77777777" w:rsidR="00E25B23" w:rsidRDefault="00E25B23" w:rsidP="0046053E">
            <w:pPr>
              <w:rPr>
                <w:rFonts w:ascii="Arial" w:hAnsi="Arial" w:cs="Arial"/>
                <w:sz w:val="18"/>
                <w:szCs w:val="18"/>
                <w:lang w:eastAsia="hr-HR"/>
              </w:rPr>
            </w:pPr>
            <w:r>
              <w:rPr>
                <w:rFonts w:ascii="Arial" w:hAnsi="Arial" w:cs="Arial"/>
                <w:sz w:val="18"/>
                <w:szCs w:val="18"/>
                <w:lang w:eastAsia="hr-HR"/>
              </w:rPr>
              <w:t xml:space="preserve">Program </w:t>
            </w:r>
          </w:p>
        </w:tc>
        <w:tc>
          <w:tcPr>
            <w:tcW w:w="826" w:type="dxa"/>
            <w:shd w:val="clear" w:color="C6CEF4" w:fill="FFFFFF"/>
            <w:vAlign w:val="center"/>
          </w:tcPr>
          <w:p w14:paraId="52CB6F90" w14:textId="77777777" w:rsidR="00E25B23" w:rsidRDefault="00E25B23" w:rsidP="0046053E">
            <w:pPr>
              <w:rPr>
                <w:rFonts w:ascii="Arial" w:hAnsi="Arial" w:cs="Arial"/>
                <w:sz w:val="18"/>
                <w:szCs w:val="18"/>
                <w:lang w:eastAsia="hr-HR"/>
              </w:rPr>
            </w:pPr>
            <w:r>
              <w:rPr>
                <w:rFonts w:ascii="Arial" w:hAnsi="Arial" w:cs="Arial"/>
                <w:sz w:val="18"/>
                <w:szCs w:val="18"/>
                <w:lang w:eastAsia="hr-HR"/>
              </w:rPr>
              <w:t>1409</w:t>
            </w:r>
          </w:p>
        </w:tc>
        <w:tc>
          <w:tcPr>
            <w:tcW w:w="3449" w:type="dxa"/>
            <w:shd w:val="clear" w:color="C6CEF4" w:fill="FFFFFF"/>
            <w:vAlign w:val="center"/>
          </w:tcPr>
          <w:p w14:paraId="6183D60E" w14:textId="77777777" w:rsidR="00E25B23" w:rsidRDefault="00E25B23" w:rsidP="0046053E">
            <w:pPr>
              <w:rPr>
                <w:rFonts w:ascii="Arial" w:hAnsi="Arial" w:cs="Arial"/>
                <w:bCs/>
                <w:sz w:val="18"/>
                <w:szCs w:val="18"/>
              </w:rPr>
            </w:pPr>
            <w:r>
              <w:rPr>
                <w:rFonts w:ascii="Arial" w:hAnsi="Arial" w:cs="Arial"/>
                <w:bCs/>
                <w:sz w:val="18"/>
                <w:szCs w:val="18"/>
              </w:rPr>
              <w:t xml:space="preserve">ODRŽAVANJE GRAĐEVINA JAVNE ODVODNJE OBORINSKIH VODA </w:t>
            </w:r>
          </w:p>
        </w:tc>
        <w:tc>
          <w:tcPr>
            <w:tcW w:w="1516" w:type="dxa"/>
            <w:shd w:val="clear" w:color="C6CEF4" w:fill="FFFFFF"/>
            <w:vAlign w:val="center"/>
          </w:tcPr>
          <w:p w14:paraId="19B7C2C3" w14:textId="21A298CD" w:rsidR="00E25B23" w:rsidRPr="00A42A4E" w:rsidRDefault="008674A7" w:rsidP="001B4560">
            <w:pPr>
              <w:jc w:val="center"/>
              <w:rPr>
                <w:rFonts w:ascii="Arial" w:hAnsi="Arial" w:cs="Arial"/>
                <w:bCs/>
                <w:sz w:val="18"/>
                <w:szCs w:val="18"/>
              </w:rPr>
            </w:pPr>
            <w:r>
              <w:rPr>
                <w:rFonts w:ascii="Arial" w:hAnsi="Arial" w:cs="Arial"/>
                <w:bCs/>
                <w:sz w:val="18"/>
                <w:szCs w:val="18"/>
              </w:rPr>
              <w:t>40.697,50</w:t>
            </w:r>
          </w:p>
        </w:tc>
        <w:tc>
          <w:tcPr>
            <w:tcW w:w="1654" w:type="dxa"/>
            <w:shd w:val="clear" w:color="C6CEF4" w:fill="FFFFFF"/>
            <w:vAlign w:val="center"/>
          </w:tcPr>
          <w:p w14:paraId="0B0E4F84" w14:textId="5D37A0AF" w:rsidR="00E25B23" w:rsidRDefault="008674A7" w:rsidP="001B4560">
            <w:pPr>
              <w:jc w:val="center"/>
              <w:rPr>
                <w:rFonts w:ascii="Arial" w:hAnsi="Arial" w:cs="Arial"/>
                <w:bCs/>
                <w:sz w:val="18"/>
                <w:szCs w:val="18"/>
              </w:rPr>
            </w:pPr>
            <w:r>
              <w:rPr>
                <w:rFonts w:ascii="Arial" w:hAnsi="Arial" w:cs="Arial"/>
                <w:bCs/>
                <w:sz w:val="18"/>
                <w:szCs w:val="18"/>
              </w:rPr>
              <w:t>40.697,50</w:t>
            </w:r>
          </w:p>
        </w:tc>
        <w:tc>
          <w:tcPr>
            <w:tcW w:w="1654" w:type="dxa"/>
            <w:shd w:val="clear" w:color="C6CEF4" w:fill="FFFFFF"/>
            <w:vAlign w:val="center"/>
          </w:tcPr>
          <w:p w14:paraId="39B766FE" w14:textId="10B7642C" w:rsidR="00E25B23" w:rsidRDefault="008674A7" w:rsidP="001B4560">
            <w:pPr>
              <w:jc w:val="center"/>
              <w:rPr>
                <w:rFonts w:ascii="Arial" w:hAnsi="Arial" w:cs="Arial"/>
                <w:bCs/>
                <w:sz w:val="18"/>
                <w:szCs w:val="18"/>
              </w:rPr>
            </w:pPr>
            <w:r>
              <w:rPr>
                <w:rFonts w:ascii="Arial" w:hAnsi="Arial" w:cs="Arial"/>
                <w:bCs/>
                <w:sz w:val="18"/>
                <w:szCs w:val="18"/>
              </w:rPr>
              <w:t>40.101,50</w:t>
            </w:r>
          </w:p>
        </w:tc>
        <w:tc>
          <w:tcPr>
            <w:tcW w:w="975" w:type="dxa"/>
            <w:shd w:val="clear" w:color="C6CEF4" w:fill="FFFFFF"/>
            <w:vAlign w:val="center"/>
          </w:tcPr>
          <w:p w14:paraId="4BF6E1EF" w14:textId="75788676" w:rsidR="00E25B23" w:rsidRPr="00A42A4E" w:rsidRDefault="008674A7" w:rsidP="001B4560">
            <w:pPr>
              <w:jc w:val="center"/>
              <w:rPr>
                <w:rFonts w:ascii="Arial" w:hAnsi="Arial" w:cs="Arial"/>
                <w:bCs/>
                <w:sz w:val="18"/>
                <w:szCs w:val="18"/>
              </w:rPr>
            </w:pPr>
            <w:r>
              <w:rPr>
                <w:rFonts w:ascii="Arial" w:hAnsi="Arial" w:cs="Arial"/>
                <w:bCs/>
                <w:sz w:val="18"/>
                <w:szCs w:val="18"/>
              </w:rPr>
              <w:t>98,54%</w:t>
            </w:r>
          </w:p>
        </w:tc>
      </w:tr>
      <w:tr w:rsidR="00E25B23" w:rsidRPr="0092464A" w14:paraId="2F609282" w14:textId="77777777" w:rsidTr="008674A7">
        <w:trPr>
          <w:trHeight w:val="279"/>
        </w:trPr>
        <w:tc>
          <w:tcPr>
            <w:tcW w:w="983" w:type="dxa"/>
            <w:shd w:val="clear" w:color="C6CEF4" w:fill="FFFFFF"/>
            <w:vAlign w:val="center"/>
          </w:tcPr>
          <w:p w14:paraId="7D235501" w14:textId="77777777" w:rsidR="00E25B23" w:rsidRDefault="00E25B23" w:rsidP="0046053E">
            <w:pPr>
              <w:rPr>
                <w:rFonts w:ascii="Arial" w:hAnsi="Arial" w:cs="Arial"/>
                <w:sz w:val="18"/>
                <w:szCs w:val="18"/>
                <w:lang w:eastAsia="hr-HR"/>
              </w:rPr>
            </w:pPr>
            <w:r>
              <w:rPr>
                <w:rFonts w:ascii="Arial" w:hAnsi="Arial" w:cs="Arial"/>
                <w:sz w:val="18"/>
                <w:szCs w:val="18"/>
                <w:lang w:eastAsia="hr-HR"/>
              </w:rPr>
              <w:t xml:space="preserve">Program </w:t>
            </w:r>
          </w:p>
        </w:tc>
        <w:tc>
          <w:tcPr>
            <w:tcW w:w="826" w:type="dxa"/>
            <w:shd w:val="clear" w:color="C6CEF4" w:fill="FFFFFF"/>
            <w:vAlign w:val="center"/>
          </w:tcPr>
          <w:p w14:paraId="4F810026" w14:textId="77777777" w:rsidR="00E25B23" w:rsidRDefault="00E25B23" w:rsidP="0046053E">
            <w:pPr>
              <w:rPr>
                <w:rFonts w:ascii="Arial" w:hAnsi="Arial" w:cs="Arial"/>
                <w:sz w:val="18"/>
                <w:szCs w:val="18"/>
                <w:lang w:eastAsia="hr-HR"/>
              </w:rPr>
            </w:pPr>
            <w:r>
              <w:rPr>
                <w:rFonts w:ascii="Arial" w:hAnsi="Arial" w:cs="Arial"/>
                <w:sz w:val="18"/>
                <w:szCs w:val="18"/>
                <w:lang w:eastAsia="hr-HR"/>
              </w:rPr>
              <w:t>1410</w:t>
            </w:r>
          </w:p>
        </w:tc>
        <w:tc>
          <w:tcPr>
            <w:tcW w:w="3449" w:type="dxa"/>
            <w:shd w:val="clear" w:color="C6CEF4" w:fill="FFFFFF"/>
            <w:vAlign w:val="center"/>
          </w:tcPr>
          <w:p w14:paraId="22EF8427" w14:textId="77777777" w:rsidR="00E25B23" w:rsidRDefault="00E25B23" w:rsidP="0046053E">
            <w:pPr>
              <w:rPr>
                <w:rFonts w:ascii="Arial" w:hAnsi="Arial" w:cs="Arial"/>
                <w:bCs/>
                <w:sz w:val="18"/>
                <w:szCs w:val="18"/>
              </w:rPr>
            </w:pPr>
            <w:r>
              <w:rPr>
                <w:rFonts w:ascii="Arial" w:hAnsi="Arial" w:cs="Arial"/>
                <w:bCs/>
                <w:sz w:val="18"/>
                <w:szCs w:val="18"/>
              </w:rPr>
              <w:t xml:space="preserve">ODRŽAVANJE JAVNIH ZELENIH POVRŠINA  </w:t>
            </w:r>
          </w:p>
        </w:tc>
        <w:tc>
          <w:tcPr>
            <w:tcW w:w="1516" w:type="dxa"/>
            <w:shd w:val="clear" w:color="C6CEF4" w:fill="FFFFFF"/>
            <w:vAlign w:val="center"/>
          </w:tcPr>
          <w:p w14:paraId="59AD978B" w14:textId="462339A0" w:rsidR="00E25B23" w:rsidRPr="00A42A4E" w:rsidRDefault="008674A7" w:rsidP="001B4560">
            <w:pPr>
              <w:jc w:val="center"/>
              <w:rPr>
                <w:rFonts w:ascii="Arial" w:hAnsi="Arial" w:cs="Arial"/>
                <w:bCs/>
                <w:sz w:val="18"/>
                <w:szCs w:val="18"/>
              </w:rPr>
            </w:pPr>
            <w:r>
              <w:rPr>
                <w:rFonts w:ascii="Arial" w:hAnsi="Arial" w:cs="Arial"/>
                <w:bCs/>
                <w:sz w:val="18"/>
                <w:szCs w:val="18"/>
              </w:rPr>
              <w:t>762.215,00</w:t>
            </w:r>
          </w:p>
        </w:tc>
        <w:tc>
          <w:tcPr>
            <w:tcW w:w="1654" w:type="dxa"/>
            <w:shd w:val="clear" w:color="C6CEF4" w:fill="FFFFFF"/>
            <w:vAlign w:val="center"/>
          </w:tcPr>
          <w:p w14:paraId="77D092A9" w14:textId="4715C5B7" w:rsidR="00E25B23" w:rsidRDefault="008674A7" w:rsidP="001B4560">
            <w:pPr>
              <w:jc w:val="center"/>
              <w:rPr>
                <w:rFonts w:ascii="Arial" w:hAnsi="Arial" w:cs="Arial"/>
                <w:bCs/>
                <w:sz w:val="18"/>
                <w:szCs w:val="18"/>
              </w:rPr>
            </w:pPr>
            <w:r>
              <w:rPr>
                <w:rFonts w:ascii="Arial" w:hAnsi="Arial" w:cs="Arial"/>
                <w:bCs/>
                <w:sz w:val="18"/>
                <w:szCs w:val="18"/>
              </w:rPr>
              <w:t>762.115,00</w:t>
            </w:r>
          </w:p>
        </w:tc>
        <w:tc>
          <w:tcPr>
            <w:tcW w:w="1654" w:type="dxa"/>
            <w:shd w:val="clear" w:color="C6CEF4" w:fill="FFFFFF"/>
            <w:vAlign w:val="center"/>
          </w:tcPr>
          <w:p w14:paraId="739BA55B" w14:textId="55F48BFE" w:rsidR="00E25B23" w:rsidRDefault="008674A7" w:rsidP="001B4560">
            <w:pPr>
              <w:jc w:val="center"/>
              <w:rPr>
                <w:rFonts w:ascii="Arial" w:hAnsi="Arial" w:cs="Arial"/>
                <w:bCs/>
                <w:sz w:val="18"/>
                <w:szCs w:val="18"/>
              </w:rPr>
            </w:pPr>
            <w:r>
              <w:rPr>
                <w:rFonts w:ascii="Arial" w:hAnsi="Arial" w:cs="Arial"/>
                <w:bCs/>
                <w:sz w:val="18"/>
                <w:szCs w:val="18"/>
              </w:rPr>
              <w:t>729.659,07</w:t>
            </w:r>
          </w:p>
        </w:tc>
        <w:tc>
          <w:tcPr>
            <w:tcW w:w="975" w:type="dxa"/>
            <w:shd w:val="clear" w:color="C6CEF4" w:fill="FFFFFF"/>
            <w:vAlign w:val="center"/>
          </w:tcPr>
          <w:p w14:paraId="3523898C" w14:textId="50E027C1" w:rsidR="00E25B23" w:rsidRPr="00A42A4E" w:rsidRDefault="008674A7" w:rsidP="001B4560">
            <w:pPr>
              <w:jc w:val="center"/>
              <w:rPr>
                <w:rFonts w:ascii="Arial" w:hAnsi="Arial" w:cs="Arial"/>
                <w:bCs/>
                <w:sz w:val="18"/>
                <w:szCs w:val="18"/>
              </w:rPr>
            </w:pPr>
            <w:r>
              <w:rPr>
                <w:rFonts w:ascii="Arial" w:hAnsi="Arial" w:cs="Arial"/>
                <w:bCs/>
                <w:sz w:val="18"/>
                <w:szCs w:val="18"/>
              </w:rPr>
              <w:t>95,74%</w:t>
            </w:r>
          </w:p>
        </w:tc>
      </w:tr>
      <w:tr w:rsidR="00E25B23" w:rsidRPr="0092464A" w14:paraId="6AEA2D8B" w14:textId="77777777" w:rsidTr="008674A7">
        <w:trPr>
          <w:trHeight w:val="279"/>
        </w:trPr>
        <w:tc>
          <w:tcPr>
            <w:tcW w:w="983" w:type="dxa"/>
            <w:shd w:val="clear" w:color="C6CEF4" w:fill="FFFFFF"/>
            <w:vAlign w:val="center"/>
          </w:tcPr>
          <w:p w14:paraId="26E1461E" w14:textId="77777777" w:rsidR="00E25B23" w:rsidRDefault="00E25B23" w:rsidP="0046053E">
            <w:pPr>
              <w:rPr>
                <w:rFonts w:ascii="Arial" w:hAnsi="Arial" w:cs="Arial"/>
                <w:sz w:val="18"/>
                <w:szCs w:val="18"/>
                <w:lang w:eastAsia="hr-HR"/>
              </w:rPr>
            </w:pPr>
            <w:r>
              <w:rPr>
                <w:rFonts w:ascii="Arial" w:hAnsi="Arial" w:cs="Arial"/>
                <w:sz w:val="18"/>
                <w:szCs w:val="18"/>
                <w:lang w:eastAsia="hr-HR"/>
              </w:rPr>
              <w:lastRenderedPageBreak/>
              <w:t xml:space="preserve">Program </w:t>
            </w:r>
          </w:p>
        </w:tc>
        <w:tc>
          <w:tcPr>
            <w:tcW w:w="826" w:type="dxa"/>
            <w:shd w:val="clear" w:color="C6CEF4" w:fill="FFFFFF"/>
            <w:vAlign w:val="center"/>
          </w:tcPr>
          <w:p w14:paraId="2B4BABEA" w14:textId="77777777" w:rsidR="00E25B23" w:rsidRDefault="00E25B23" w:rsidP="0046053E">
            <w:pPr>
              <w:rPr>
                <w:rFonts w:ascii="Arial" w:hAnsi="Arial" w:cs="Arial"/>
                <w:sz w:val="18"/>
                <w:szCs w:val="18"/>
                <w:lang w:eastAsia="hr-HR"/>
              </w:rPr>
            </w:pPr>
            <w:r>
              <w:rPr>
                <w:rFonts w:ascii="Arial" w:hAnsi="Arial" w:cs="Arial"/>
                <w:sz w:val="18"/>
                <w:szCs w:val="18"/>
                <w:lang w:eastAsia="hr-HR"/>
              </w:rPr>
              <w:t>1411</w:t>
            </w:r>
          </w:p>
        </w:tc>
        <w:tc>
          <w:tcPr>
            <w:tcW w:w="3449" w:type="dxa"/>
            <w:shd w:val="clear" w:color="C6CEF4" w:fill="FFFFFF"/>
            <w:vAlign w:val="center"/>
          </w:tcPr>
          <w:p w14:paraId="110F00A2" w14:textId="77777777" w:rsidR="00E25B23" w:rsidRDefault="00E25B23" w:rsidP="0046053E">
            <w:pPr>
              <w:rPr>
                <w:rFonts w:ascii="Arial" w:hAnsi="Arial" w:cs="Arial"/>
                <w:bCs/>
                <w:sz w:val="18"/>
                <w:szCs w:val="18"/>
              </w:rPr>
            </w:pPr>
            <w:r>
              <w:rPr>
                <w:rFonts w:ascii="Arial" w:hAnsi="Arial" w:cs="Arial"/>
                <w:bCs/>
                <w:sz w:val="18"/>
                <w:szCs w:val="18"/>
              </w:rPr>
              <w:t xml:space="preserve">ODRŽAVANJE GRAĐEVINA, UREĐAJA I PREDMETA JAVNE NAMJENE </w:t>
            </w:r>
          </w:p>
        </w:tc>
        <w:tc>
          <w:tcPr>
            <w:tcW w:w="1516" w:type="dxa"/>
            <w:shd w:val="clear" w:color="C6CEF4" w:fill="FFFFFF"/>
            <w:vAlign w:val="center"/>
          </w:tcPr>
          <w:p w14:paraId="07980B6A" w14:textId="156627DC" w:rsidR="00E25B23" w:rsidRPr="00A42A4E" w:rsidRDefault="008674A7" w:rsidP="001E4CEB">
            <w:pPr>
              <w:jc w:val="center"/>
              <w:rPr>
                <w:rFonts w:ascii="Arial" w:hAnsi="Arial" w:cs="Arial"/>
                <w:bCs/>
                <w:sz w:val="18"/>
                <w:szCs w:val="18"/>
              </w:rPr>
            </w:pPr>
            <w:r>
              <w:rPr>
                <w:rFonts w:ascii="Arial" w:hAnsi="Arial" w:cs="Arial"/>
                <w:bCs/>
                <w:sz w:val="18"/>
                <w:szCs w:val="18"/>
              </w:rPr>
              <w:t>10.200,00</w:t>
            </w:r>
          </w:p>
        </w:tc>
        <w:tc>
          <w:tcPr>
            <w:tcW w:w="1654" w:type="dxa"/>
            <w:shd w:val="clear" w:color="C6CEF4" w:fill="FFFFFF"/>
            <w:vAlign w:val="center"/>
          </w:tcPr>
          <w:p w14:paraId="2319FD56" w14:textId="28C2C5C2" w:rsidR="00E25B23" w:rsidRDefault="008674A7" w:rsidP="001E4CEB">
            <w:pPr>
              <w:jc w:val="center"/>
              <w:rPr>
                <w:rFonts w:ascii="Arial" w:hAnsi="Arial" w:cs="Arial"/>
                <w:bCs/>
                <w:sz w:val="18"/>
                <w:szCs w:val="18"/>
              </w:rPr>
            </w:pPr>
            <w:r>
              <w:rPr>
                <w:rFonts w:ascii="Arial" w:hAnsi="Arial" w:cs="Arial"/>
                <w:bCs/>
                <w:sz w:val="18"/>
                <w:szCs w:val="18"/>
              </w:rPr>
              <w:t>10.200,00</w:t>
            </w:r>
          </w:p>
        </w:tc>
        <w:tc>
          <w:tcPr>
            <w:tcW w:w="1654" w:type="dxa"/>
            <w:shd w:val="clear" w:color="C6CEF4" w:fill="FFFFFF"/>
            <w:vAlign w:val="center"/>
          </w:tcPr>
          <w:p w14:paraId="6EFA9CB3" w14:textId="35526F1A" w:rsidR="00E25B23" w:rsidRDefault="008674A7" w:rsidP="001E4CEB">
            <w:pPr>
              <w:jc w:val="center"/>
              <w:rPr>
                <w:rFonts w:ascii="Arial" w:hAnsi="Arial" w:cs="Arial"/>
                <w:bCs/>
                <w:sz w:val="18"/>
                <w:szCs w:val="18"/>
              </w:rPr>
            </w:pPr>
            <w:r>
              <w:rPr>
                <w:rFonts w:ascii="Arial" w:hAnsi="Arial" w:cs="Arial"/>
                <w:bCs/>
                <w:sz w:val="18"/>
                <w:szCs w:val="18"/>
              </w:rPr>
              <w:t>6.575,00</w:t>
            </w:r>
          </w:p>
        </w:tc>
        <w:tc>
          <w:tcPr>
            <w:tcW w:w="975" w:type="dxa"/>
            <w:shd w:val="clear" w:color="C6CEF4" w:fill="FFFFFF"/>
            <w:vAlign w:val="center"/>
          </w:tcPr>
          <w:p w14:paraId="1F5A6BE7" w14:textId="0A190DA6" w:rsidR="00E25B23" w:rsidRPr="00A42A4E" w:rsidRDefault="008674A7" w:rsidP="001E4CEB">
            <w:pPr>
              <w:jc w:val="center"/>
              <w:rPr>
                <w:rFonts w:ascii="Arial" w:hAnsi="Arial" w:cs="Arial"/>
                <w:bCs/>
                <w:sz w:val="18"/>
                <w:szCs w:val="18"/>
              </w:rPr>
            </w:pPr>
            <w:r>
              <w:rPr>
                <w:rFonts w:ascii="Arial" w:hAnsi="Arial" w:cs="Arial"/>
                <w:bCs/>
                <w:sz w:val="18"/>
                <w:szCs w:val="18"/>
              </w:rPr>
              <w:t>64,46%</w:t>
            </w:r>
          </w:p>
        </w:tc>
      </w:tr>
      <w:tr w:rsidR="00E25B23" w:rsidRPr="0092464A" w14:paraId="1F41A59E" w14:textId="77777777" w:rsidTr="008674A7">
        <w:trPr>
          <w:trHeight w:val="279"/>
        </w:trPr>
        <w:tc>
          <w:tcPr>
            <w:tcW w:w="983" w:type="dxa"/>
            <w:shd w:val="clear" w:color="C6CEF4" w:fill="FFFFFF"/>
            <w:vAlign w:val="center"/>
          </w:tcPr>
          <w:p w14:paraId="34E22947" w14:textId="77777777" w:rsidR="00E25B23" w:rsidRDefault="00E25B23" w:rsidP="0046053E">
            <w:pPr>
              <w:rPr>
                <w:rFonts w:ascii="Arial" w:hAnsi="Arial" w:cs="Arial"/>
                <w:sz w:val="18"/>
                <w:szCs w:val="18"/>
                <w:lang w:eastAsia="hr-HR"/>
              </w:rPr>
            </w:pPr>
            <w:r>
              <w:rPr>
                <w:rFonts w:ascii="Arial" w:hAnsi="Arial" w:cs="Arial"/>
                <w:sz w:val="18"/>
                <w:szCs w:val="18"/>
                <w:lang w:eastAsia="hr-HR"/>
              </w:rPr>
              <w:t xml:space="preserve">Program </w:t>
            </w:r>
          </w:p>
        </w:tc>
        <w:tc>
          <w:tcPr>
            <w:tcW w:w="826" w:type="dxa"/>
            <w:shd w:val="clear" w:color="C6CEF4" w:fill="FFFFFF"/>
            <w:vAlign w:val="center"/>
          </w:tcPr>
          <w:p w14:paraId="63566554" w14:textId="77777777" w:rsidR="00E25B23" w:rsidRDefault="00E25B23" w:rsidP="0046053E">
            <w:pPr>
              <w:rPr>
                <w:rFonts w:ascii="Arial" w:hAnsi="Arial" w:cs="Arial"/>
                <w:sz w:val="18"/>
                <w:szCs w:val="18"/>
                <w:lang w:eastAsia="hr-HR"/>
              </w:rPr>
            </w:pPr>
            <w:r>
              <w:rPr>
                <w:rFonts w:ascii="Arial" w:hAnsi="Arial" w:cs="Arial"/>
                <w:sz w:val="18"/>
                <w:szCs w:val="18"/>
                <w:lang w:eastAsia="hr-HR"/>
              </w:rPr>
              <w:t>1412</w:t>
            </w:r>
          </w:p>
        </w:tc>
        <w:tc>
          <w:tcPr>
            <w:tcW w:w="3449" w:type="dxa"/>
            <w:shd w:val="clear" w:color="C6CEF4" w:fill="FFFFFF"/>
            <w:vAlign w:val="center"/>
          </w:tcPr>
          <w:p w14:paraId="047A2DDF" w14:textId="77777777" w:rsidR="00E25B23" w:rsidRDefault="00E25B23" w:rsidP="0046053E">
            <w:pPr>
              <w:rPr>
                <w:rFonts w:ascii="Arial" w:hAnsi="Arial" w:cs="Arial"/>
                <w:bCs/>
                <w:sz w:val="18"/>
                <w:szCs w:val="18"/>
              </w:rPr>
            </w:pPr>
            <w:r>
              <w:rPr>
                <w:rFonts w:ascii="Arial" w:hAnsi="Arial" w:cs="Arial"/>
                <w:bCs/>
                <w:sz w:val="18"/>
                <w:szCs w:val="18"/>
              </w:rPr>
              <w:t xml:space="preserve">ODRŽAVANJE ČISTOĆE JAVNIH POVRŠINA </w:t>
            </w:r>
          </w:p>
        </w:tc>
        <w:tc>
          <w:tcPr>
            <w:tcW w:w="1516" w:type="dxa"/>
            <w:shd w:val="clear" w:color="C6CEF4" w:fill="FFFFFF"/>
            <w:vAlign w:val="center"/>
          </w:tcPr>
          <w:p w14:paraId="5E3E7C22" w14:textId="2AE5C086" w:rsidR="00E25B23" w:rsidRPr="00A42A4E" w:rsidRDefault="008674A7" w:rsidP="001E4CEB">
            <w:pPr>
              <w:jc w:val="center"/>
              <w:rPr>
                <w:rFonts w:ascii="Arial" w:hAnsi="Arial" w:cs="Arial"/>
                <w:bCs/>
                <w:sz w:val="18"/>
                <w:szCs w:val="18"/>
              </w:rPr>
            </w:pPr>
            <w:r>
              <w:rPr>
                <w:rFonts w:ascii="Arial" w:hAnsi="Arial" w:cs="Arial"/>
                <w:bCs/>
                <w:sz w:val="18"/>
                <w:szCs w:val="18"/>
              </w:rPr>
              <w:t>601.000,00</w:t>
            </w:r>
          </w:p>
        </w:tc>
        <w:tc>
          <w:tcPr>
            <w:tcW w:w="1654" w:type="dxa"/>
            <w:shd w:val="clear" w:color="C6CEF4" w:fill="FFFFFF"/>
            <w:vAlign w:val="center"/>
          </w:tcPr>
          <w:p w14:paraId="44C5868A" w14:textId="5DBC9B70" w:rsidR="00E25B23" w:rsidRDefault="008674A7" w:rsidP="001E4CEB">
            <w:pPr>
              <w:jc w:val="center"/>
              <w:rPr>
                <w:rFonts w:ascii="Arial" w:hAnsi="Arial" w:cs="Arial"/>
                <w:bCs/>
                <w:sz w:val="18"/>
                <w:szCs w:val="18"/>
              </w:rPr>
            </w:pPr>
            <w:r>
              <w:rPr>
                <w:rFonts w:ascii="Arial" w:hAnsi="Arial" w:cs="Arial"/>
                <w:bCs/>
                <w:sz w:val="18"/>
                <w:szCs w:val="18"/>
              </w:rPr>
              <w:t>603.406,00</w:t>
            </w:r>
          </w:p>
        </w:tc>
        <w:tc>
          <w:tcPr>
            <w:tcW w:w="1654" w:type="dxa"/>
            <w:shd w:val="clear" w:color="C6CEF4" w:fill="FFFFFF"/>
            <w:vAlign w:val="center"/>
          </w:tcPr>
          <w:p w14:paraId="1E2D0011" w14:textId="199B7623" w:rsidR="00E25B23" w:rsidRDefault="008674A7" w:rsidP="001E4CEB">
            <w:pPr>
              <w:jc w:val="center"/>
              <w:rPr>
                <w:rFonts w:ascii="Arial" w:hAnsi="Arial" w:cs="Arial"/>
                <w:bCs/>
                <w:sz w:val="18"/>
                <w:szCs w:val="18"/>
              </w:rPr>
            </w:pPr>
            <w:r>
              <w:rPr>
                <w:rFonts w:ascii="Arial" w:hAnsi="Arial" w:cs="Arial"/>
                <w:bCs/>
                <w:sz w:val="18"/>
                <w:szCs w:val="18"/>
              </w:rPr>
              <w:t>603.297,85</w:t>
            </w:r>
          </w:p>
        </w:tc>
        <w:tc>
          <w:tcPr>
            <w:tcW w:w="975" w:type="dxa"/>
            <w:shd w:val="clear" w:color="C6CEF4" w:fill="FFFFFF"/>
            <w:vAlign w:val="center"/>
          </w:tcPr>
          <w:p w14:paraId="3F684C3D" w14:textId="66441619" w:rsidR="00E25B23" w:rsidRPr="00A42A4E" w:rsidRDefault="008674A7" w:rsidP="001E4CEB">
            <w:pPr>
              <w:jc w:val="center"/>
              <w:rPr>
                <w:rFonts w:ascii="Arial" w:hAnsi="Arial" w:cs="Arial"/>
                <w:bCs/>
                <w:sz w:val="18"/>
                <w:szCs w:val="18"/>
              </w:rPr>
            </w:pPr>
            <w:r>
              <w:rPr>
                <w:rFonts w:ascii="Arial" w:hAnsi="Arial" w:cs="Arial"/>
                <w:bCs/>
                <w:sz w:val="18"/>
                <w:szCs w:val="18"/>
              </w:rPr>
              <w:t>99,98%</w:t>
            </w:r>
          </w:p>
        </w:tc>
      </w:tr>
      <w:tr w:rsidR="00E25B23" w:rsidRPr="0092464A" w14:paraId="1EA1D2C4" w14:textId="77777777" w:rsidTr="00FB6E25">
        <w:trPr>
          <w:trHeight w:val="279"/>
        </w:trPr>
        <w:tc>
          <w:tcPr>
            <w:tcW w:w="983" w:type="dxa"/>
            <w:shd w:val="clear" w:color="C6CEF4" w:fill="FFFFFF"/>
            <w:vAlign w:val="center"/>
          </w:tcPr>
          <w:p w14:paraId="347B4FA1" w14:textId="77777777" w:rsidR="00E25B23" w:rsidRDefault="00E25B23" w:rsidP="0046053E">
            <w:pPr>
              <w:rPr>
                <w:rFonts w:ascii="Arial" w:hAnsi="Arial" w:cs="Arial"/>
                <w:sz w:val="18"/>
                <w:szCs w:val="18"/>
                <w:lang w:eastAsia="hr-HR"/>
              </w:rPr>
            </w:pPr>
            <w:r>
              <w:rPr>
                <w:rFonts w:ascii="Arial" w:hAnsi="Arial" w:cs="Arial"/>
                <w:sz w:val="18"/>
                <w:szCs w:val="18"/>
                <w:lang w:eastAsia="hr-HR"/>
              </w:rPr>
              <w:t xml:space="preserve">Program </w:t>
            </w:r>
          </w:p>
        </w:tc>
        <w:tc>
          <w:tcPr>
            <w:tcW w:w="826" w:type="dxa"/>
            <w:shd w:val="clear" w:color="C6CEF4" w:fill="FFFFFF"/>
            <w:vAlign w:val="center"/>
          </w:tcPr>
          <w:p w14:paraId="79AA93EC" w14:textId="77777777" w:rsidR="00E25B23" w:rsidRDefault="00E25B23" w:rsidP="0046053E">
            <w:pPr>
              <w:rPr>
                <w:rFonts w:ascii="Arial" w:hAnsi="Arial" w:cs="Arial"/>
                <w:sz w:val="18"/>
                <w:szCs w:val="18"/>
                <w:lang w:eastAsia="hr-HR"/>
              </w:rPr>
            </w:pPr>
            <w:r>
              <w:rPr>
                <w:rFonts w:ascii="Arial" w:hAnsi="Arial" w:cs="Arial"/>
                <w:sz w:val="18"/>
                <w:szCs w:val="18"/>
                <w:lang w:eastAsia="hr-HR"/>
              </w:rPr>
              <w:t>1413</w:t>
            </w:r>
          </w:p>
        </w:tc>
        <w:tc>
          <w:tcPr>
            <w:tcW w:w="3449" w:type="dxa"/>
            <w:shd w:val="clear" w:color="C6CEF4" w:fill="FFFFFF"/>
            <w:vAlign w:val="center"/>
          </w:tcPr>
          <w:p w14:paraId="1FF9CD08" w14:textId="77777777" w:rsidR="00E25B23" w:rsidRDefault="00E25B23" w:rsidP="0046053E">
            <w:pPr>
              <w:rPr>
                <w:rFonts w:ascii="Arial" w:hAnsi="Arial" w:cs="Arial"/>
                <w:bCs/>
                <w:sz w:val="18"/>
                <w:szCs w:val="18"/>
              </w:rPr>
            </w:pPr>
            <w:r>
              <w:rPr>
                <w:rFonts w:ascii="Arial" w:hAnsi="Arial" w:cs="Arial"/>
                <w:bCs/>
                <w:sz w:val="18"/>
                <w:szCs w:val="18"/>
              </w:rPr>
              <w:t xml:space="preserve">DERATIZACIJA, DEZINSEKCIJA I DEZINFEKCIJA  </w:t>
            </w:r>
          </w:p>
        </w:tc>
        <w:tc>
          <w:tcPr>
            <w:tcW w:w="1516" w:type="dxa"/>
            <w:shd w:val="clear" w:color="C6CEF4" w:fill="FFFFFF"/>
            <w:vAlign w:val="bottom"/>
          </w:tcPr>
          <w:p w14:paraId="62830979" w14:textId="77777777" w:rsidR="00E25B23" w:rsidRDefault="00E25B23" w:rsidP="001E4CEB">
            <w:pPr>
              <w:jc w:val="center"/>
              <w:rPr>
                <w:rFonts w:ascii="Arial" w:hAnsi="Arial" w:cs="Arial"/>
                <w:bCs/>
                <w:sz w:val="18"/>
                <w:szCs w:val="18"/>
              </w:rPr>
            </w:pPr>
          </w:p>
          <w:p w14:paraId="4D3B6EF7" w14:textId="2EF9A456" w:rsidR="00FB6E25" w:rsidRPr="00A42A4E" w:rsidRDefault="00FB6E25" w:rsidP="001E4CEB">
            <w:pPr>
              <w:jc w:val="center"/>
              <w:rPr>
                <w:rFonts w:ascii="Arial" w:hAnsi="Arial" w:cs="Arial"/>
                <w:bCs/>
                <w:sz w:val="18"/>
                <w:szCs w:val="18"/>
              </w:rPr>
            </w:pPr>
            <w:r>
              <w:rPr>
                <w:rFonts w:ascii="Arial" w:hAnsi="Arial" w:cs="Arial"/>
                <w:bCs/>
                <w:sz w:val="18"/>
                <w:szCs w:val="18"/>
              </w:rPr>
              <w:t>50.000,00</w:t>
            </w:r>
          </w:p>
        </w:tc>
        <w:tc>
          <w:tcPr>
            <w:tcW w:w="1654" w:type="dxa"/>
            <w:shd w:val="clear" w:color="C6CEF4" w:fill="FFFFFF"/>
            <w:vAlign w:val="bottom"/>
          </w:tcPr>
          <w:p w14:paraId="3B1B5DE6" w14:textId="2D058280" w:rsidR="00E25B23" w:rsidRDefault="00FB6E25" w:rsidP="001E4CEB">
            <w:pPr>
              <w:jc w:val="center"/>
              <w:rPr>
                <w:rFonts w:ascii="Arial" w:hAnsi="Arial" w:cs="Arial"/>
                <w:bCs/>
                <w:sz w:val="18"/>
                <w:szCs w:val="18"/>
              </w:rPr>
            </w:pPr>
            <w:r>
              <w:rPr>
                <w:rFonts w:ascii="Arial" w:hAnsi="Arial" w:cs="Arial"/>
                <w:bCs/>
                <w:sz w:val="18"/>
                <w:szCs w:val="18"/>
              </w:rPr>
              <w:t>47.594,00</w:t>
            </w:r>
          </w:p>
        </w:tc>
        <w:tc>
          <w:tcPr>
            <w:tcW w:w="1654" w:type="dxa"/>
            <w:shd w:val="clear" w:color="C6CEF4" w:fill="FFFFFF"/>
            <w:vAlign w:val="bottom"/>
          </w:tcPr>
          <w:p w14:paraId="7C1CE95F" w14:textId="7F3F556F" w:rsidR="00E25B23" w:rsidRDefault="00FB6E25" w:rsidP="001E4CEB">
            <w:pPr>
              <w:jc w:val="center"/>
              <w:rPr>
                <w:rFonts w:ascii="Arial" w:hAnsi="Arial" w:cs="Arial"/>
                <w:bCs/>
                <w:sz w:val="18"/>
                <w:szCs w:val="18"/>
              </w:rPr>
            </w:pPr>
            <w:r>
              <w:rPr>
                <w:rFonts w:ascii="Arial" w:hAnsi="Arial" w:cs="Arial"/>
                <w:bCs/>
                <w:sz w:val="18"/>
                <w:szCs w:val="18"/>
              </w:rPr>
              <w:t>33.375,00</w:t>
            </w:r>
          </w:p>
        </w:tc>
        <w:tc>
          <w:tcPr>
            <w:tcW w:w="975" w:type="dxa"/>
            <w:shd w:val="clear" w:color="C6CEF4" w:fill="FFFFFF"/>
            <w:vAlign w:val="bottom"/>
          </w:tcPr>
          <w:p w14:paraId="7C31D413" w14:textId="1FDD8064" w:rsidR="00E25B23" w:rsidRPr="00A42A4E" w:rsidRDefault="00FB6E25" w:rsidP="001E4CEB">
            <w:pPr>
              <w:jc w:val="center"/>
              <w:rPr>
                <w:rFonts w:ascii="Arial" w:hAnsi="Arial" w:cs="Arial"/>
                <w:bCs/>
                <w:sz w:val="18"/>
                <w:szCs w:val="18"/>
              </w:rPr>
            </w:pPr>
            <w:r>
              <w:rPr>
                <w:rFonts w:ascii="Arial" w:hAnsi="Arial" w:cs="Arial"/>
                <w:bCs/>
                <w:sz w:val="18"/>
                <w:szCs w:val="18"/>
              </w:rPr>
              <w:t>70,12%</w:t>
            </w:r>
          </w:p>
        </w:tc>
      </w:tr>
      <w:tr w:rsidR="00E25B23" w:rsidRPr="0092464A" w14:paraId="38E63E55" w14:textId="77777777" w:rsidTr="008674A7">
        <w:trPr>
          <w:trHeight w:val="279"/>
        </w:trPr>
        <w:tc>
          <w:tcPr>
            <w:tcW w:w="983" w:type="dxa"/>
            <w:shd w:val="clear" w:color="C6CEF4" w:fill="FFFFFF"/>
            <w:vAlign w:val="center"/>
          </w:tcPr>
          <w:p w14:paraId="411F7867" w14:textId="77777777" w:rsidR="00E25B23" w:rsidRDefault="00E25B23" w:rsidP="0046053E">
            <w:pPr>
              <w:rPr>
                <w:rFonts w:ascii="Arial" w:hAnsi="Arial" w:cs="Arial"/>
                <w:sz w:val="18"/>
                <w:szCs w:val="18"/>
                <w:lang w:eastAsia="hr-HR"/>
              </w:rPr>
            </w:pPr>
            <w:r>
              <w:rPr>
                <w:rFonts w:ascii="Arial" w:hAnsi="Arial" w:cs="Arial"/>
                <w:sz w:val="18"/>
                <w:szCs w:val="18"/>
                <w:lang w:eastAsia="hr-HR"/>
              </w:rPr>
              <w:t>Program</w:t>
            </w:r>
          </w:p>
        </w:tc>
        <w:tc>
          <w:tcPr>
            <w:tcW w:w="826" w:type="dxa"/>
            <w:shd w:val="clear" w:color="C6CEF4" w:fill="FFFFFF"/>
            <w:vAlign w:val="center"/>
          </w:tcPr>
          <w:p w14:paraId="6F5AE108" w14:textId="77777777" w:rsidR="00E25B23" w:rsidRDefault="00E25B23" w:rsidP="0046053E">
            <w:pPr>
              <w:rPr>
                <w:rFonts w:ascii="Arial" w:hAnsi="Arial" w:cs="Arial"/>
                <w:sz w:val="18"/>
                <w:szCs w:val="18"/>
                <w:lang w:eastAsia="hr-HR"/>
              </w:rPr>
            </w:pPr>
            <w:r>
              <w:rPr>
                <w:rFonts w:ascii="Arial" w:hAnsi="Arial" w:cs="Arial"/>
                <w:sz w:val="18"/>
                <w:szCs w:val="18"/>
                <w:lang w:eastAsia="hr-HR"/>
              </w:rPr>
              <w:t>1414</w:t>
            </w:r>
          </w:p>
        </w:tc>
        <w:tc>
          <w:tcPr>
            <w:tcW w:w="3449" w:type="dxa"/>
            <w:shd w:val="clear" w:color="C6CEF4" w:fill="FFFFFF"/>
            <w:vAlign w:val="center"/>
          </w:tcPr>
          <w:p w14:paraId="0C77D30A" w14:textId="77777777" w:rsidR="00E25B23" w:rsidRDefault="00E25B23" w:rsidP="0046053E">
            <w:pPr>
              <w:rPr>
                <w:rFonts w:ascii="Arial" w:hAnsi="Arial" w:cs="Arial"/>
                <w:bCs/>
                <w:sz w:val="18"/>
                <w:szCs w:val="18"/>
              </w:rPr>
            </w:pPr>
            <w:r>
              <w:rPr>
                <w:rFonts w:ascii="Arial" w:hAnsi="Arial" w:cs="Arial"/>
                <w:bCs/>
                <w:sz w:val="18"/>
                <w:szCs w:val="18"/>
              </w:rPr>
              <w:t>VETERINARSKO-HIGIJENIČARSKI POSLOVI</w:t>
            </w:r>
          </w:p>
        </w:tc>
        <w:tc>
          <w:tcPr>
            <w:tcW w:w="1516" w:type="dxa"/>
            <w:shd w:val="clear" w:color="C6CEF4" w:fill="FFFFFF"/>
            <w:vAlign w:val="center"/>
          </w:tcPr>
          <w:p w14:paraId="6BE7E618" w14:textId="351098FE" w:rsidR="00E25B23" w:rsidRDefault="00FB6E25" w:rsidP="001E4CEB">
            <w:pPr>
              <w:jc w:val="center"/>
              <w:rPr>
                <w:rFonts w:ascii="Arial" w:hAnsi="Arial" w:cs="Arial"/>
                <w:bCs/>
                <w:sz w:val="18"/>
                <w:szCs w:val="18"/>
              </w:rPr>
            </w:pPr>
            <w:r>
              <w:rPr>
                <w:rFonts w:ascii="Arial" w:hAnsi="Arial" w:cs="Arial"/>
                <w:bCs/>
                <w:sz w:val="18"/>
                <w:szCs w:val="18"/>
              </w:rPr>
              <w:t>33.000,00</w:t>
            </w:r>
          </w:p>
        </w:tc>
        <w:tc>
          <w:tcPr>
            <w:tcW w:w="1654" w:type="dxa"/>
            <w:shd w:val="clear" w:color="C6CEF4" w:fill="FFFFFF"/>
            <w:vAlign w:val="center"/>
          </w:tcPr>
          <w:p w14:paraId="01C1F77F" w14:textId="18FF0025" w:rsidR="00E25B23" w:rsidRDefault="00FB6E25" w:rsidP="001E4CEB">
            <w:pPr>
              <w:jc w:val="center"/>
              <w:rPr>
                <w:rFonts w:ascii="Arial" w:hAnsi="Arial" w:cs="Arial"/>
                <w:bCs/>
                <w:sz w:val="18"/>
                <w:szCs w:val="18"/>
              </w:rPr>
            </w:pPr>
            <w:r>
              <w:rPr>
                <w:rFonts w:ascii="Arial" w:hAnsi="Arial" w:cs="Arial"/>
                <w:bCs/>
                <w:sz w:val="18"/>
                <w:szCs w:val="18"/>
              </w:rPr>
              <w:t>33.000,00</w:t>
            </w:r>
          </w:p>
        </w:tc>
        <w:tc>
          <w:tcPr>
            <w:tcW w:w="1654" w:type="dxa"/>
            <w:shd w:val="clear" w:color="C6CEF4" w:fill="FFFFFF"/>
            <w:vAlign w:val="center"/>
          </w:tcPr>
          <w:p w14:paraId="3A732127" w14:textId="302CD306" w:rsidR="00E25B23" w:rsidRDefault="00FB6E25" w:rsidP="001E4CEB">
            <w:pPr>
              <w:jc w:val="center"/>
              <w:rPr>
                <w:rFonts w:ascii="Arial" w:hAnsi="Arial" w:cs="Arial"/>
                <w:bCs/>
                <w:sz w:val="18"/>
                <w:szCs w:val="18"/>
              </w:rPr>
            </w:pPr>
            <w:r>
              <w:rPr>
                <w:rFonts w:ascii="Arial" w:hAnsi="Arial" w:cs="Arial"/>
                <w:bCs/>
                <w:sz w:val="18"/>
                <w:szCs w:val="18"/>
              </w:rPr>
              <w:t>18.654,50</w:t>
            </w:r>
          </w:p>
        </w:tc>
        <w:tc>
          <w:tcPr>
            <w:tcW w:w="975" w:type="dxa"/>
            <w:shd w:val="clear" w:color="C6CEF4" w:fill="FFFFFF"/>
            <w:vAlign w:val="center"/>
          </w:tcPr>
          <w:p w14:paraId="6DCBA783" w14:textId="451B4479" w:rsidR="00E25B23" w:rsidRPr="00A42A4E" w:rsidRDefault="00FB6E25" w:rsidP="001E4CEB">
            <w:pPr>
              <w:jc w:val="center"/>
              <w:rPr>
                <w:rFonts w:ascii="Arial" w:hAnsi="Arial" w:cs="Arial"/>
                <w:bCs/>
                <w:sz w:val="18"/>
                <w:szCs w:val="18"/>
              </w:rPr>
            </w:pPr>
            <w:r>
              <w:rPr>
                <w:rFonts w:ascii="Arial" w:hAnsi="Arial" w:cs="Arial"/>
                <w:bCs/>
                <w:sz w:val="18"/>
                <w:szCs w:val="18"/>
              </w:rPr>
              <w:t>56,53%</w:t>
            </w:r>
          </w:p>
        </w:tc>
      </w:tr>
      <w:tr w:rsidR="00E25B23" w:rsidRPr="0092464A" w14:paraId="6BA0EFF2" w14:textId="77777777" w:rsidTr="008674A7">
        <w:trPr>
          <w:trHeight w:val="279"/>
        </w:trPr>
        <w:tc>
          <w:tcPr>
            <w:tcW w:w="983" w:type="dxa"/>
            <w:shd w:val="clear" w:color="C6CEF4" w:fill="FFFFFF"/>
            <w:vAlign w:val="center"/>
          </w:tcPr>
          <w:p w14:paraId="73F21286" w14:textId="77777777" w:rsidR="00E25B23" w:rsidRDefault="00E25B23" w:rsidP="0046053E">
            <w:pPr>
              <w:rPr>
                <w:rFonts w:ascii="Arial" w:hAnsi="Arial" w:cs="Arial"/>
                <w:sz w:val="18"/>
                <w:szCs w:val="18"/>
                <w:lang w:eastAsia="hr-HR"/>
              </w:rPr>
            </w:pPr>
            <w:r>
              <w:rPr>
                <w:rFonts w:ascii="Arial" w:hAnsi="Arial" w:cs="Arial"/>
                <w:sz w:val="18"/>
                <w:szCs w:val="18"/>
                <w:lang w:eastAsia="hr-HR"/>
              </w:rPr>
              <w:t xml:space="preserve">Program </w:t>
            </w:r>
          </w:p>
        </w:tc>
        <w:tc>
          <w:tcPr>
            <w:tcW w:w="826" w:type="dxa"/>
            <w:shd w:val="clear" w:color="C6CEF4" w:fill="FFFFFF"/>
            <w:vAlign w:val="center"/>
          </w:tcPr>
          <w:p w14:paraId="28BDA21B" w14:textId="77777777" w:rsidR="00E25B23" w:rsidRDefault="00E25B23" w:rsidP="0046053E">
            <w:pPr>
              <w:rPr>
                <w:rFonts w:ascii="Arial" w:hAnsi="Arial" w:cs="Arial"/>
                <w:sz w:val="18"/>
                <w:szCs w:val="18"/>
                <w:lang w:eastAsia="hr-HR"/>
              </w:rPr>
            </w:pPr>
            <w:r>
              <w:rPr>
                <w:rFonts w:ascii="Arial" w:hAnsi="Arial" w:cs="Arial"/>
                <w:sz w:val="18"/>
                <w:szCs w:val="18"/>
                <w:lang w:eastAsia="hr-HR"/>
              </w:rPr>
              <w:t>1415</w:t>
            </w:r>
          </w:p>
        </w:tc>
        <w:tc>
          <w:tcPr>
            <w:tcW w:w="3449" w:type="dxa"/>
            <w:shd w:val="clear" w:color="C6CEF4" w:fill="FFFFFF"/>
            <w:vAlign w:val="center"/>
          </w:tcPr>
          <w:p w14:paraId="0E00B05E" w14:textId="77777777" w:rsidR="00E25B23" w:rsidRDefault="00E25B23" w:rsidP="0046053E">
            <w:pPr>
              <w:rPr>
                <w:rFonts w:ascii="Arial" w:hAnsi="Arial" w:cs="Arial"/>
                <w:bCs/>
                <w:sz w:val="18"/>
                <w:szCs w:val="18"/>
              </w:rPr>
            </w:pPr>
            <w:r>
              <w:rPr>
                <w:rFonts w:ascii="Arial" w:hAnsi="Arial" w:cs="Arial"/>
                <w:bCs/>
                <w:sz w:val="18"/>
                <w:szCs w:val="18"/>
              </w:rPr>
              <w:t xml:space="preserve">PRIGODNO UKRAŠAVANJE </w:t>
            </w:r>
          </w:p>
        </w:tc>
        <w:tc>
          <w:tcPr>
            <w:tcW w:w="1516" w:type="dxa"/>
            <w:shd w:val="clear" w:color="C6CEF4" w:fill="FFFFFF"/>
            <w:vAlign w:val="center"/>
          </w:tcPr>
          <w:p w14:paraId="4B7AAF5C" w14:textId="7090F070" w:rsidR="00E25B23" w:rsidRPr="00A42A4E" w:rsidRDefault="00FB6E25" w:rsidP="001E4CEB">
            <w:pPr>
              <w:jc w:val="center"/>
              <w:rPr>
                <w:rFonts w:ascii="Arial" w:hAnsi="Arial" w:cs="Arial"/>
                <w:bCs/>
                <w:sz w:val="18"/>
                <w:szCs w:val="18"/>
              </w:rPr>
            </w:pPr>
            <w:r>
              <w:rPr>
                <w:rFonts w:ascii="Arial" w:hAnsi="Arial" w:cs="Arial"/>
                <w:bCs/>
                <w:sz w:val="18"/>
                <w:szCs w:val="18"/>
              </w:rPr>
              <w:t>90.000,00</w:t>
            </w:r>
          </w:p>
        </w:tc>
        <w:tc>
          <w:tcPr>
            <w:tcW w:w="1654" w:type="dxa"/>
            <w:shd w:val="clear" w:color="C6CEF4" w:fill="FFFFFF"/>
            <w:vAlign w:val="center"/>
          </w:tcPr>
          <w:p w14:paraId="06F9AEE6" w14:textId="0AF61768" w:rsidR="00E25B23" w:rsidRDefault="00FB6E25" w:rsidP="001E4CEB">
            <w:pPr>
              <w:jc w:val="center"/>
              <w:rPr>
                <w:rFonts w:ascii="Arial" w:hAnsi="Arial" w:cs="Arial"/>
                <w:bCs/>
                <w:sz w:val="18"/>
                <w:szCs w:val="18"/>
              </w:rPr>
            </w:pPr>
            <w:r>
              <w:rPr>
                <w:rFonts w:ascii="Arial" w:hAnsi="Arial" w:cs="Arial"/>
                <w:bCs/>
                <w:sz w:val="18"/>
                <w:szCs w:val="18"/>
              </w:rPr>
              <w:t>90.000,00</w:t>
            </w:r>
          </w:p>
        </w:tc>
        <w:tc>
          <w:tcPr>
            <w:tcW w:w="1654" w:type="dxa"/>
            <w:shd w:val="clear" w:color="C6CEF4" w:fill="FFFFFF"/>
            <w:vAlign w:val="center"/>
          </w:tcPr>
          <w:p w14:paraId="3CA63284" w14:textId="2FFD169C" w:rsidR="00E25B23" w:rsidRDefault="00FB6E25" w:rsidP="001E4CEB">
            <w:pPr>
              <w:jc w:val="center"/>
              <w:rPr>
                <w:rFonts w:ascii="Arial" w:hAnsi="Arial" w:cs="Arial"/>
                <w:bCs/>
                <w:sz w:val="18"/>
                <w:szCs w:val="18"/>
              </w:rPr>
            </w:pPr>
            <w:r>
              <w:rPr>
                <w:rFonts w:ascii="Arial" w:hAnsi="Arial" w:cs="Arial"/>
                <w:bCs/>
                <w:sz w:val="18"/>
                <w:szCs w:val="18"/>
              </w:rPr>
              <w:t>82.577,63</w:t>
            </w:r>
          </w:p>
        </w:tc>
        <w:tc>
          <w:tcPr>
            <w:tcW w:w="975" w:type="dxa"/>
            <w:shd w:val="clear" w:color="C6CEF4" w:fill="FFFFFF"/>
            <w:vAlign w:val="center"/>
          </w:tcPr>
          <w:p w14:paraId="4EECC07A" w14:textId="52871A6D" w:rsidR="00E25B23" w:rsidRPr="00A42A4E" w:rsidRDefault="00FB6E25" w:rsidP="001E4CEB">
            <w:pPr>
              <w:jc w:val="center"/>
              <w:rPr>
                <w:rFonts w:ascii="Arial" w:hAnsi="Arial" w:cs="Arial"/>
                <w:bCs/>
                <w:sz w:val="18"/>
                <w:szCs w:val="18"/>
              </w:rPr>
            </w:pPr>
            <w:r>
              <w:rPr>
                <w:rFonts w:ascii="Arial" w:hAnsi="Arial" w:cs="Arial"/>
                <w:bCs/>
                <w:sz w:val="18"/>
                <w:szCs w:val="18"/>
              </w:rPr>
              <w:t>91,75%</w:t>
            </w:r>
          </w:p>
        </w:tc>
      </w:tr>
      <w:tr w:rsidR="00E25B23" w:rsidRPr="0092464A" w14:paraId="7D7E316E" w14:textId="77777777" w:rsidTr="008674A7">
        <w:trPr>
          <w:trHeight w:val="279"/>
        </w:trPr>
        <w:tc>
          <w:tcPr>
            <w:tcW w:w="983" w:type="dxa"/>
            <w:shd w:val="clear" w:color="C6CEF4" w:fill="FFFFFF"/>
            <w:vAlign w:val="center"/>
          </w:tcPr>
          <w:p w14:paraId="1821F8C6" w14:textId="77777777" w:rsidR="00E25B23" w:rsidRDefault="00E25B23" w:rsidP="0046053E">
            <w:pPr>
              <w:rPr>
                <w:rFonts w:ascii="Arial" w:hAnsi="Arial" w:cs="Arial"/>
                <w:sz w:val="18"/>
                <w:szCs w:val="18"/>
                <w:lang w:eastAsia="hr-HR"/>
              </w:rPr>
            </w:pPr>
            <w:r>
              <w:rPr>
                <w:rFonts w:ascii="Arial" w:hAnsi="Arial" w:cs="Arial"/>
                <w:sz w:val="18"/>
                <w:szCs w:val="18"/>
                <w:lang w:eastAsia="hr-HR"/>
              </w:rPr>
              <w:t xml:space="preserve">Program </w:t>
            </w:r>
          </w:p>
        </w:tc>
        <w:tc>
          <w:tcPr>
            <w:tcW w:w="826" w:type="dxa"/>
            <w:shd w:val="clear" w:color="C6CEF4" w:fill="FFFFFF"/>
            <w:vAlign w:val="center"/>
          </w:tcPr>
          <w:p w14:paraId="6A518018" w14:textId="77777777" w:rsidR="00E25B23" w:rsidRDefault="00E25B23" w:rsidP="0046053E">
            <w:pPr>
              <w:rPr>
                <w:rFonts w:ascii="Arial" w:hAnsi="Arial" w:cs="Arial"/>
                <w:sz w:val="18"/>
                <w:szCs w:val="18"/>
                <w:lang w:eastAsia="hr-HR"/>
              </w:rPr>
            </w:pPr>
            <w:r>
              <w:rPr>
                <w:rFonts w:ascii="Arial" w:hAnsi="Arial" w:cs="Arial"/>
                <w:sz w:val="18"/>
                <w:szCs w:val="18"/>
                <w:lang w:eastAsia="hr-HR"/>
              </w:rPr>
              <w:t>1514</w:t>
            </w:r>
          </w:p>
        </w:tc>
        <w:tc>
          <w:tcPr>
            <w:tcW w:w="3449" w:type="dxa"/>
            <w:shd w:val="clear" w:color="C6CEF4" w:fill="FFFFFF"/>
            <w:vAlign w:val="center"/>
          </w:tcPr>
          <w:p w14:paraId="53AC1373" w14:textId="77777777" w:rsidR="00E25B23" w:rsidRDefault="00E25B23" w:rsidP="0046053E">
            <w:pPr>
              <w:rPr>
                <w:rFonts w:ascii="Arial" w:hAnsi="Arial" w:cs="Arial"/>
                <w:bCs/>
                <w:sz w:val="18"/>
                <w:szCs w:val="18"/>
              </w:rPr>
            </w:pPr>
            <w:r>
              <w:rPr>
                <w:rFonts w:ascii="Arial" w:hAnsi="Arial" w:cs="Arial"/>
                <w:bCs/>
                <w:sz w:val="18"/>
                <w:szCs w:val="18"/>
              </w:rPr>
              <w:t xml:space="preserve">GRAĐEVINE KOMUNALNE INFRASTRUKTURE KOJE ĆE SE GRADITI RADI UREĐENJA NEUREĐENIH DIJELOVA GRAĐ.PODRUČJA </w:t>
            </w:r>
          </w:p>
        </w:tc>
        <w:tc>
          <w:tcPr>
            <w:tcW w:w="1516" w:type="dxa"/>
            <w:shd w:val="clear" w:color="C6CEF4" w:fill="FFFFFF"/>
            <w:vAlign w:val="center"/>
          </w:tcPr>
          <w:p w14:paraId="0B7310DA" w14:textId="307DF289" w:rsidR="00E25B23" w:rsidRPr="00A42A4E" w:rsidRDefault="00FB6E25" w:rsidP="001E4CEB">
            <w:pPr>
              <w:jc w:val="center"/>
              <w:rPr>
                <w:rFonts w:ascii="Arial" w:hAnsi="Arial" w:cs="Arial"/>
                <w:bCs/>
                <w:sz w:val="18"/>
                <w:szCs w:val="18"/>
              </w:rPr>
            </w:pPr>
            <w:r>
              <w:rPr>
                <w:rFonts w:ascii="Arial" w:hAnsi="Arial" w:cs="Arial"/>
                <w:bCs/>
                <w:sz w:val="18"/>
                <w:szCs w:val="18"/>
              </w:rPr>
              <w:t>1.988.010,00</w:t>
            </w:r>
          </w:p>
        </w:tc>
        <w:tc>
          <w:tcPr>
            <w:tcW w:w="1654" w:type="dxa"/>
            <w:shd w:val="clear" w:color="C6CEF4" w:fill="FFFFFF"/>
            <w:vAlign w:val="center"/>
          </w:tcPr>
          <w:p w14:paraId="1B34BB11" w14:textId="04EE6632" w:rsidR="00E25B23" w:rsidRDefault="00FB6E25" w:rsidP="001E4CEB">
            <w:pPr>
              <w:jc w:val="center"/>
              <w:rPr>
                <w:rFonts w:ascii="Arial" w:hAnsi="Arial" w:cs="Arial"/>
                <w:bCs/>
                <w:sz w:val="18"/>
                <w:szCs w:val="18"/>
              </w:rPr>
            </w:pPr>
            <w:r>
              <w:rPr>
                <w:rFonts w:ascii="Arial" w:hAnsi="Arial" w:cs="Arial"/>
                <w:bCs/>
                <w:sz w:val="18"/>
                <w:szCs w:val="18"/>
              </w:rPr>
              <w:t>1.988.010,00</w:t>
            </w:r>
          </w:p>
        </w:tc>
        <w:tc>
          <w:tcPr>
            <w:tcW w:w="1654" w:type="dxa"/>
            <w:shd w:val="clear" w:color="C6CEF4" w:fill="FFFFFF"/>
            <w:vAlign w:val="center"/>
          </w:tcPr>
          <w:p w14:paraId="585A2827" w14:textId="6BB8A9E7" w:rsidR="00E25B23" w:rsidRDefault="00FB6E25" w:rsidP="001E4CEB">
            <w:pPr>
              <w:jc w:val="center"/>
              <w:rPr>
                <w:rFonts w:ascii="Arial" w:hAnsi="Arial" w:cs="Arial"/>
                <w:bCs/>
                <w:sz w:val="18"/>
                <w:szCs w:val="18"/>
              </w:rPr>
            </w:pPr>
            <w:r>
              <w:rPr>
                <w:rFonts w:ascii="Arial" w:hAnsi="Arial" w:cs="Arial"/>
                <w:bCs/>
                <w:sz w:val="18"/>
                <w:szCs w:val="18"/>
              </w:rPr>
              <w:t>1.655.089,35</w:t>
            </w:r>
          </w:p>
        </w:tc>
        <w:tc>
          <w:tcPr>
            <w:tcW w:w="975" w:type="dxa"/>
            <w:shd w:val="clear" w:color="C6CEF4" w:fill="FFFFFF"/>
            <w:vAlign w:val="center"/>
          </w:tcPr>
          <w:p w14:paraId="15C33969" w14:textId="22AEDD2C" w:rsidR="00E25B23" w:rsidRPr="00A42A4E" w:rsidRDefault="00FB6E25" w:rsidP="001E4CEB">
            <w:pPr>
              <w:jc w:val="center"/>
              <w:rPr>
                <w:rFonts w:ascii="Arial" w:hAnsi="Arial" w:cs="Arial"/>
                <w:bCs/>
                <w:sz w:val="18"/>
                <w:szCs w:val="18"/>
              </w:rPr>
            </w:pPr>
            <w:r>
              <w:rPr>
                <w:rFonts w:ascii="Arial" w:hAnsi="Arial" w:cs="Arial"/>
                <w:bCs/>
                <w:sz w:val="18"/>
                <w:szCs w:val="18"/>
              </w:rPr>
              <w:t>83,25%</w:t>
            </w:r>
          </w:p>
        </w:tc>
      </w:tr>
      <w:tr w:rsidR="00E25B23" w:rsidRPr="0092464A" w14:paraId="4B98BB72" w14:textId="77777777" w:rsidTr="008674A7">
        <w:trPr>
          <w:trHeight w:val="279"/>
        </w:trPr>
        <w:tc>
          <w:tcPr>
            <w:tcW w:w="983" w:type="dxa"/>
            <w:shd w:val="clear" w:color="C6CEF4" w:fill="FFFFFF"/>
            <w:vAlign w:val="center"/>
          </w:tcPr>
          <w:p w14:paraId="6D3B4351" w14:textId="77777777" w:rsidR="00E25B23" w:rsidRDefault="00E25B23" w:rsidP="005A0E37">
            <w:pPr>
              <w:rPr>
                <w:rFonts w:ascii="Arial" w:hAnsi="Arial" w:cs="Arial"/>
                <w:sz w:val="18"/>
                <w:szCs w:val="18"/>
                <w:lang w:eastAsia="hr-HR"/>
              </w:rPr>
            </w:pPr>
            <w:r>
              <w:rPr>
                <w:rFonts w:ascii="Arial" w:hAnsi="Arial" w:cs="Arial"/>
                <w:sz w:val="18"/>
                <w:szCs w:val="18"/>
                <w:lang w:eastAsia="hr-HR"/>
              </w:rPr>
              <w:t xml:space="preserve">Program </w:t>
            </w:r>
          </w:p>
        </w:tc>
        <w:tc>
          <w:tcPr>
            <w:tcW w:w="826" w:type="dxa"/>
            <w:shd w:val="clear" w:color="C6CEF4" w:fill="FFFFFF"/>
            <w:vAlign w:val="center"/>
          </w:tcPr>
          <w:p w14:paraId="15926C18" w14:textId="77777777" w:rsidR="00E25B23" w:rsidRDefault="00E25B23" w:rsidP="005A0E37">
            <w:pPr>
              <w:rPr>
                <w:rFonts w:ascii="Arial" w:hAnsi="Arial" w:cs="Arial"/>
                <w:sz w:val="18"/>
                <w:szCs w:val="18"/>
                <w:lang w:eastAsia="hr-HR"/>
              </w:rPr>
            </w:pPr>
            <w:r>
              <w:rPr>
                <w:rFonts w:ascii="Arial" w:hAnsi="Arial" w:cs="Arial"/>
                <w:sz w:val="18"/>
                <w:szCs w:val="18"/>
                <w:lang w:eastAsia="hr-HR"/>
              </w:rPr>
              <w:t>1515</w:t>
            </w:r>
          </w:p>
        </w:tc>
        <w:tc>
          <w:tcPr>
            <w:tcW w:w="3449" w:type="dxa"/>
            <w:shd w:val="clear" w:color="C6CEF4" w:fill="FFFFFF"/>
            <w:vAlign w:val="center"/>
          </w:tcPr>
          <w:p w14:paraId="2D499D53" w14:textId="77777777" w:rsidR="00E25B23" w:rsidRDefault="00E25B23" w:rsidP="005A0E37">
            <w:pPr>
              <w:rPr>
                <w:rFonts w:ascii="Arial" w:hAnsi="Arial" w:cs="Arial"/>
                <w:bCs/>
                <w:sz w:val="18"/>
                <w:szCs w:val="18"/>
              </w:rPr>
            </w:pPr>
            <w:r>
              <w:rPr>
                <w:rFonts w:ascii="Arial" w:hAnsi="Arial" w:cs="Arial"/>
                <w:bCs/>
                <w:sz w:val="18"/>
                <w:szCs w:val="18"/>
              </w:rPr>
              <w:t xml:space="preserve">GRAĐEVINE KOMUNALNE INFRASTRUKTURE KOJE ĆE SE GRADITI U UREĐENIM DIJELOVIMA GRAĐ.PODRUČJA </w:t>
            </w:r>
          </w:p>
        </w:tc>
        <w:tc>
          <w:tcPr>
            <w:tcW w:w="1516" w:type="dxa"/>
            <w:shd w:val="clear" w:color="C6CEF4" w:fill="FFFFFF"/>
            <w:vAlign w:val="center"/>
          </w:tcPr>
          <w:p w14:paraId="7C25535D" w14:textId="7B6B3D12" w:rsidR="00E25B23" w:rsidRPr="00A42A4E" w:rsidRDefault="00FB6E25" w:rsidP="001E4CEB">
            <w:pPr>
              <w:jc w:val="center"/>
              <w:rPr>
                <w:rFonts w:ascii="Arial" w:hAnsi="Arial" w:cs="Arial"/>
                <w:bCs/>
                <w:sz w:val="18"/>
                <w:szCs w:val="18"/>
              </w:rPr>
            </w:pPr>
            <w:r>
              <w:rPr>
                <w:rFonts w:ascii="Arial" w:hAnsi="Arial" w:cs="Arial"/>
                <w:bCs/>
                <w:sz w:val="18"/>
                <w:szCs w:val="18"/>
              </w:rPr>
              <w:t>1.265.237,00</w:t>
            </w:r>
          </w:p>
        </w:tc>
        <w:tc>
          <w:tcPr>
            <w:tcW w:w="1654" w:type="dxa"/>
            <w:shd w:val="clear" w:color="C6CEF4" w:fill="FFFFFF"/>
            <w:vAlign w:val="center"/>
          </w:tcPr>
          <w:p w14:paraId="0243310F" w14:textId="6E0105B6" w:rsidR="00E25B23" w:rsidRDefault="00FB6E25" w:rsidP="001E4CEB">
            <w:pPr>
              <w:jc w:val="center"/>
              <w:rPr>
                <w:rFonts w:ascii="Arial" w:hAnsi="Arial" w:cs="Arial"/>
                <w:bCs/>
                <w:sz w:val="18"/>
                <w:szCs w:val="18"/>
              </w:rPr>
            </w:pPr>
            <w:r>
              <w:rPr>
                <w:rFonts w:ascii="Arial" w:hAnsi="Arial" w:cs="Arial"/>
                <w:bCs/>
                <w:sz w:val="18"/>
                <w:szCs w:val="18"/>
              </w:rPr>
              <w:t>1.237.168,00</w:t>
            </w:r>
          </w:p>
        </w:tc>
        <w:tc>
          <w:tcPr>
            <w:tcW w:w="1654" w:type="dxa"/>
            <w:shd w:val="clear" w:color="C6CEF4" w:fill="FFFFFF"/>
            <w:vAlign w:val="center"/>
          </w:tcPr>
          <w:p w14:paraId="3EFC0B4D" w14:textId="4E90D597" w:rsidR="00E25B23" w:rsidRDefault="00FB6E25" w:rsidP="001E4CEB">
            <w:pPr>
              <w:jc w:val="center"/>
              <w:rPr>
                <w:rFonts w:ascii="Arial" w:hAnsi="Arial" w:cs="Arial"/>
                <w:bCs/>
                <w:sz w:val="18"/>
                <w:szCs w:val="18"/>
              </w:rPr>
            </w:pPr>
            <w:r>
              <w:rPr>
                <w:rFonts w:ascii="Arial" w:hAnsi="Arial" w:cs="Arial"/>
                <w:bCs/>
                <w:sz w:val="18"/>
                <w:szCs w:val="18"/>
              </w:rPr>
              <w:t>476.815,96</w:t>
            </w:r>
          </w:p>
        </w:tc>
        <w:tc>
          <w:tcPr>
            <w:tcW w:w="975" w:type="dxa"/>
            <w:shd w:val="clear" w:color="C6CEF4" w:fill="FFFFFF"/>
            <w:vAlign w:val="center"/>
          </w:tcPr>
          <w:p w14:paraId="664A4DD4" w14:textId="0DC37CBE" w:rsidR="00E25B23" w:rsidRPr="00A42A4E" w:rsidRDefault="00FB6E25" w:rsidP="001E4CEB">
            <w:pPr>
              <w:jc w:val="center"/>
              <w:rPr>
                <w:rFonts w:ascii="Arial" w:hAnsi="Arial" w:cs="Arial"/>
                <w:bCs/>
                <w:sz w:val="18"/>
                <w:szCs w:val="18"/>
              </w:rPr>
            </w:pPr>
            <w:r>
              <w:rPr>
                <w:rFonts w:ascii="Arial" w:hAnsi="Arial" w:cs="Arial"/>
                <w:bCs/>
                <w:sz w:val="18"/>
                <w:szCs w:val="18"/>
              </w:rPr>
              <w:t>38,54%</w:t>
            </w:r>
          </w:p>
        </w:tc>
      </w:tr>
      <w:tr w:rsidR="00E25B23" w:rsidRPr="0092464A" w14:paraId="6AE9F1B7" w14:textId="77777777" w:rsidTr="008674A7">
        <w:trPr>
          <w:trHeight w:val="279"/>
        </w:trPr>
        <w:tc>
          <w:tcPr>
            <w:tcW w:w="983" w:type="dxa"/>
            <w:shd w:val="clear" w:color="C6CEF4" w:fill="FFFFFF"/>
            <w:vAlign w:val="center"/>
          </w:tcPr>
          <w:p w14:paraId="3D5BE0CD" w14:textId="77777777" w:rsidR="00E25B23" w:rsidRDefault="00E25B23" w:rsidP="005A0E37">
            <w:pPr>
              <w:rPr>
                <w:rFonts w:ascii="Arial" w:hAnsi="Arial" w:cs="Arial"/>
                <w:sz w:val="18"/>
                <w:szCs w:val="18"/>
                <w:lang w:eastAsia="hr-HR"/>
              </w:rPr>
            </w:pPr>
            <w:r>
              <w:rPr>
                <w:rFonts w:ascii="Arial" w:hAnsi="Arial" w:cs="Arial"/>
                <w:sz w:val="18"/>
                <w:szCs w:val="18"/>
                <w:lang w:eastAsia="hr-HR"/>
              </w:rPr>
              <w:t>Program</w:t>
            </w:r>
          </w:p>
        </w:tc>
        <w:tc>
          <w:tcPr>
            <w:tcW w:w="826" w:type="dxa"/>
            <w:shd w:val="clear" w:color="C6CEF4" w:fill="FFFFFF"/>
            <w:vAlign w:val="center"/>
          </w:tcPr>
          <w:p w14:paraId="08CBF0E4" w14:textId="77777777" w:rsidR="00E25B23" w:rsidRDefault="00E25B23" w:rsidP="005A0E37">
            <w:pPr>
              <w:rPr>
                <w:rFonts w:ascii="Arial" w:hAnsi="Arial" w:cs="Arial"/>
                <w:sz w:val="18"/>
                <w:szCs w:val="18"/>
                <w:lang w:eastAsia="hr-HR"/>
              </w:rPr>
            </w:pPr>
            <w:r>
              <w:rPr>
                <w:rFonts w:ascii="Arial" w:hAnsi="Arial" w:cs="Arial"/>
                <w:sz w:val="18"/>
                <w:szCs w:val="18"/>
                <w:lang w:eastAsia="hr-HR"/>
              </w:rPr>
              <w:t>1516</w:t>
            </w:r>
          </w:p>
        </w:tc>
        <w:tc>
          <w:tcPr>
            <w:tcW w:w="3449" w:type="dxa"/>
            <w:shd w:val="clear" w:color="C6CEF4" w:fill="FFFFFF"/>
            <w:vAlign w:val="center"/>
          </w:tcPr>
          <w:p w14:paraId="12E51B32" w14:textId="77777777" w:rsidR="00E25B23" w:rsidRDefault="00E25B23" w:rsidP="005A0E37">
            <w:pPr>
              <w:rPr>
                <w:rFonts w:ascii="Arial" w:hAnsi="Arial" w:cs="Arial"/>
                <w:bCs/>
                <w:sz w:val="18"/>
                <w:szCs w:val="18"/>
              </w:rPr>
            </w:pPr>
            <w:r>
              <w:rPr>
                <w:rFonts w:ascii="Arial" w:hAnsi="Arial" w:cs="Arial"/>
                <w:bCs/>
                <w:sz w:val="18"/>
                <w:szCs w:val="18"/>
              </w:rPr>
              <w:t>GRAĐEVINE KOMUNALNE INFRASTRUKTURE KOJE ĆE SE GRADITI IZVAN GRAĐ. PODRUČJA</w:t>
            </w:r>
          </w:p>
        </w:tc>
        <w:tc>
          <w:tcPr>
            <w:tcW w:w="1516" w:type="dxa"/>
            <w:shd w:val="clear" w:color="C6CEF4" w:fill="FFFFFF"/>
            <w:vAlign w:val="center"/>
          </w:tcPr>
          <w:p w14:paraId="7A5101C3" w14:textId="77C1D4C1" w:rsidR="00E25B23" w:rsidRDefault="00FB6E25" w:rsidP="001E4CEB">
            <w:pPr>
              <w:jc w:val="center"/>
              <w:rPr>
                <w:rFonts w:ascii="Arial" w:hAnsi="Arial" w:cs="Arial"/>
                <w:bCs/>
                <w:sz w:val="18"/>
                <w:szCs w:val="18"/>
              </w:rPr>
            </w:pPr>
            <w:r>
              <w:rPr>
                <w:rFonts w:ascii="Arial" w:hAnsi="Arial" w:cs="Arial"/>
                <w:bCs/>
                <w:sz w:val="18"/>
                <w:szCs w:val="18"/>
              </w:rPr>
              <w:t>248.500,00</w:t>
            </w:r>
          </w:p>
        </w:tc>
        <w:tc>
          <w:tcPr>
            <w:tcW w:w="1654" w:type="dxa"/>
            <w:shd w:val="clear" w:color="C6CEF4" w:fill="FFFFFF"/>
            <w:vAlign w:val="center"/>
          </w:tcPr>
          <w:p w14:paraId="19E0089C" w14:textId="43F4E912" w:rsidR="00E25B23" w:rsidRDefault="00FB6E25" w:rsidP="001E4CEB">
            <w:pPr>
              <w:jc w:val="center"/>
              <w:rPr>
                <w:rFonts w:ascii="Arial" w:hAnsi="Arial" w:cs="Arial"/>
                <w:bCs/>
                <w:sz w:val="18"/>
                <w:szCs w:val="18"/>
              </w:rPr>
            </w:pPr>
            <w:r>
              <w:rPr>
                <w:rFonts w:ascii="Arial" w:hAnsi="Arial" w:cs="Arial"/>
                <w:bCs/>
                <w:sz w:val="18"/>
                <w:szCs w:val="18"/>
              </w:rPr>
              <w:t>247.500,00</w:t>
            </w:r>
          </w:p>
        </w:tc>
        <w:tc>
          <w:tcPr>
            <w:tcW w:w="1654" w:type="dxa"/>
            <w:shd w:val="clear" w:color="C6CEF4" w:fill="FFFFFF"/>
            <w:vAlign w:val="center"/>
          </w:tcPr>
          <w:p w14:paraId="10BD8350" w14:textId="0701D9DA" w:rsidR="00E25B23" w:rsidRDefault="00FB6E25" w:rsidP="001E4CEB">
            <w:pPr>
              <w:jc w:val="center"/>
              <w:rPr>
                <w:rFonts w:ascii="Arial" w:hAnsi="Arial" w:cs="Arial"/>
                <w:bCs/>
                <w:sz w:val="18"/>
                <w:szCs w:val="18"/>
              </w:rPr>
            </w:pPr>
            <w:r>
              <w:rPr>
                <w:rFonts w:ascii="Arial" w:hAnsi="Arial" w:cs="Arial"/>
                <w:bCs/>
                <w:sz w:val="18"/>
                <w:szCs w:val="18"/>
              </w:rPr>
              <w:t>107.630,70</w:t>
            </w:r>
          </w:p>
        </w:tc>
        <w:tc>
          <w:tcPr>
            <w:tcW w:w="975" w:type="dxa"/>
            <w:shd w:val="clear" w:color="C6CEF4" w:fill="FFFFFF"/>
            <w:vAlign w:val="center"/>
          </w:tcPr>
          <w:p w14:paraId="51635613" w14:textId="27B353CF" w:rsidR="00E25B23" w:rsidRDefault="00FB6E25" w:rsidP="001E4CEB">
            <w:pPr>
              <w:jc w:val="center"/>
              <w:rPr>
                <w:rFonts w:ascii="Arial" w:hAnsi="Arial" w:cs="Arial"/>
                <w:bCs/>
                <w:sz w:val="18"/>
                <w:szCs w:val="18"/>
              </w:rPr>
            </w:pPr>
            <w:r>
              <w:rPr>
                <w:rFonts w:ascii="Arial" w:hAnsi="Arial" w:cs="Arial"/>
                <w:bCs/>
                <w:sz w:val="18"/>
                <w:szCs w:val="18"/>
              </w:rPr>
              <w:t>43,49%</w:t>
            </w:r>
          </w:p>
        </w:tc>
      </w:tr>
      <w:tr w:rsidR="00E25B23" w:rsidRPr="0092464A" w14:paraId="3C363A4E" w14:textId="77777777" w:rsidTr="008674A7">
        <w:trPr>
          <w:trHeight w:val="279"/>
        </w:trPr>
        <w:tc>
          <w:tcPr>
            <w:tcW w:w="983" w:type="dxa"/>
            <w:shd w:val="clear" w:color="C6CEF4" w:fill="FFFFFF"/>
            <w:vAlign w:val="center"/>
          </w:tcPr>
          <w:p w14:paraId="2BEAD904" w14:textId="77777777" w:rsidR="00E25B23" w:rsidRDefault="00E25B23" w:rsidP="005A0E37">
            <w:pPr>
              <w:rPr>
                <w:rFonts w:ascii="Arial" w:hAnsi="Arial" w:cs="Arial"/>
                <w:sz w:val="18"/>
                <w:szCs w:val="18"/>
                <w:lang w:eastAsia="hr-HR"/>
              </w:rPr>
            </w:pPr>
            <w:r>
              <w:rPr>
                <w:rFonts w:ascii="Arial" w:hAnsi="Arial" w:cs="Arial"/>
                <w:sz w:val="18"/>
                <w:szCs w:val="18"/>
                <w:lang w:eastAsia="hr-HR"/>
              </w:rPr>
              <w:t xml:space="preserve">Program </w:t>
            </w:r>
          </w:p>
        </w:tc>
        <w:tc>
          <w:tcPr>
            <w:tcW w:w="826" w:type="dxa"/>
            <w:shd w:val="clear" w:color="C6CEF4" w:fill="FFFFFF"/>
            <w:vAlign w:val="center"/>
          </w:tcPr>
          <w:p w14:paraId="6B9438B4" w14:textId="77777777" w:rsidR="00E25B23" w:rsidRDefault="00E25B23" w:rsidP="005A0E37">
            <w:pPr>
              <w:rPr>
                <w:rFonts w:ascii="Arial" w:hAnsi="Arial" w:cs="Arial"/>
                <w:sz w:val="18"/>
                <w:szCs w:val="18"/>
                <w:lang w:eastAsia="hr-HR"/>
              </w:rPr>
            </w:pPr>
            <w:r>
              <w:rPr>
                <w:rFonts w:ascii="Arial" w:hAnsi="Arial" w:cs="Arial"/>
                <w:sz w:val="18"/>
                <w:szCs w:val="18"/>
                <w:lang w:eastAsia="hr-HR"/>
              </w:rPr>
              <w:t>1517</w:t>
            </w:r>
          </w:p>
        </w:tc>
        <w:tc>
          <w:tcPr>
            <w:tcW w:w="3449" w:type="dxa"/>
            <w:shd w:val="clear" w:color="C6CEF4" w:fill="FFFFFF"/>
            <w:vAlign w:val="center"/>
          </w:tcPr>
          <w:p w14:paraId="305051D2" w14:textId="77777777" w:rsidR="00E25B23" w:rsidRDefault="00E25B23" w:rsidP="005A0E37">
            <w:pPr>
              <w:rPr>
                <w:rFonts w:ascii="Arial" w:hAnsi="Arial" w:cs="Arial"/>
                <w:bCs/>
                <w:sz w:val="18"/>
                <w:szCs w:val="18"/>
              </w:rPr>
            </w:pPr>
            <w:r>
              <w:rPr>
                <w:rFonts w:ascii="Arial" w:hAnsi="Arial" w:cs="Arial"/>
                <w:bCs/>
                <w:sz w:val="18"/>
                <w:szCs w:val="18"/>
              </w:rPr>
              <w:t xml:space="preserve">POSTOJEĆE GRAĐEVINE KOM.INFRASTRUKTURE KOJE ČE SE REKONSTRUIRATI I NAČIN REKONSTRUKCIJE </w:t>
            </w:r>
          </w:p>
        </w:tc>
        <w:tc>
          <w:tcPr>
            <w:tcW w:w="1516" w:type="dxa"/>
            <w:shd w:val="clear" w:color="C6CEF4" w:fill="FFFFFF"/>
            <w:vAlign w:val="center"/>
          </w:tcPr>
          <w:p w14:paraId="145FA5A8" w14:textId="2D275903" w:rsidR="00E25B23" w:rsidRPr="00A42A4E" w:rsidRDefault="00FB6E25" w:rsidP="001E4CEB">
            <w:pPr>
              <w:jc w:val="center"/>
              <w:rPr>
                <w:rFonts w:ascii="Arial" w:hAnsi="Arial" w:cs="Arial"/>
                <w:bCs/>
                <w:sz w:val="18"/>
                <w:szCs w:val="18"/>
              </w:rPr>
            </w:pPr>
            <w:r>
              <w:rPr>
                <w:rFonts w:ascii="Arial" w:hAnsi="Arial" w:cs="Arial"/>
                <w:bCs/>
                <w:sz w:val="18"/>
                <w:szCs w:val="18"/>
              </w:rPr>
              <w:t>2.042.000,00</w:t>
            </w:r>
          </w:p>
        </w:tc>
        <w:tc>
          <w:tcPr>
            <w:tcW w:w="1654" w:type="dxa"/>
            <w:shd w:val="clear" w:color="C6CEF4" w:fill="FFFFFF"/>
            <w:vAlign w:val="center"/>
          </w:tcPr>
          <w:p w14:paraId="01DFC4E0" w14:textId="57AE41E4" w:rsidR="00E25B23" w:rsidRDefault="00FB6E25" w:rsidP="001E4CEB">
            <w:pPr>
              <w:jc w:val="center"/>
              <w:rPr>
                <w:rFonts w:ascii="Arial" w:hAnsi="Arial" w:cs="Arial"/>
                <w:bCs/>
                <w:sz w:val="18"/>
                <w:szCs w:val="18"/>
              </w:rPr>
            </w:pPr>
            <w:r>
              <w:rPr>
                <w:rFonts w:ascii="Arial" w:hAnsi="Arial" w:cs="Arial"/>
                <w:bCs/>
                <w:sz w:val="18"/>
                <w:szCs w:val="18"/>
              </w:rPr>
              <w:t>1.987.590,00</w:t>
            </w:r>
          </w:p>
        </w:tc>
        <w:tc>
          <w:tcPr>
            <w:tcW w:w="1654" w:type="dxa"/>
            <w:shd w:val="clear" w:color="C6CEF4" w:fill="FFFFFF"/>
            <w:vAlign w:val="center"/>
          </w:tcPr>
          <w:p w14:paraId="3462D2A2" w14:textId="17B49B10" w:rsidR="00E25B23" w:rsidRDefault="00FB6E25" w:rsidP="001E4CEB">
            <w:pPr>
              <w:jc w:val="center"/>
              <w:rPr>
                <w:rFonts w:ascii="Arial" w:hAnsi="Arial" w:cs="Arial"/>
                <w:bCs/>
                <w:sz w:val="18"/>
                <w:szCs w:val="18"/>
              </w:rPr>
            </w:pPr>
            <w:r>
              <w:rPr>
                <w:rFonts w:ascii="Arial" w:hAnsi="Arial" w:cs="Arial"/>
                <w:bCs/>
                <w:sz w:val="18"/>
                <w:szCs w:val="18"/>
              </w:rPr>
              <w:t>1.462.845,59</w:t>
            </w:r>
          </w:p>
        </w:tc>
        <w:tc>
          <w:tcPr>
            <w:tcW w:w="975" w:type="dxa"/>
            <w:shd w:val="clear" w:color="C6CEF4" w:fill="FFFFFF"/>
            <w:vAlign w:val="center"/>
          </w:tcPr>
          <w:p w14:paraId="4E3757F5" w14:textId="5529F39C" w:rsidR="00E25B23" w:rsidRPr="00A42A4E" w:rsidRDefault="00FB6E25" w:rsidP="001E4CEB">
            <w:pPr>
              <w:jc w:val="center"/>
              <w:rPr>
                <w:rFonts w:ascii="Arial" w:hAnsi="Arial" w:cs="Arial"/>
                <w:bCs/>
                <w:sz w:val="18"/>
                <w:szCs w:val="18"/>
              </w:rPr>
            </w:pPr>
            <w:r>
              <w:rPr>
                <w:rFonts w:ascii="Arial" w:hAnsi="Arial" w:cs="Arial"/>
                <w:bCs/>
                <w:sz w:val="18"/>
                <w:szCs w:val="18"/>
              </w:rPr>
              <w:t>73,60%</w:t>
            </w:r>
          </w:p>
        </w:tc>
      </w:tr>
      <w:tr w:rsidR="00E25B23" w:rsidRPr="0092464A" w14:paraId="1CBACC49" w14:textId="77777777" w:rsidTr="008674A7">
        <w:trPr>
          <w:trHeight w:val="279"/>
        </w:trPr>
        <w:tc>
          <w:tcPr>
            <w:tcW w:w="983" w:type="dxa"/>
            <w:shd w:val="clear" w:color="C6CEF4" w:fill="FFFFFF"/>
            <w:vAlign w:val="center"/>
          </w:tcPr>
          <w:p w14:paraId="0767962F" w14:textId="77777777" w:rsidR="00E25B23" w:rsidRDefault="00E25B23" w:rsidP="005A0E37">
            <w:pPr>
              <w:rPr>
                <w:rFonts w:ascii="Arial" w:hAnsi="Arial" w:cs="Arial"/>
                <w:sz w:val="18"/>
                <w:szCs w:val="18"/>
                <w:lang w:eastAsia="hr-HR"/>
              </w:rPr>
            </w:pPr>
            <w:r>
              <w:rPr>
                <w:rFonts w:ascii="Arial" w:hAnsi="Arial" w:cs="Arial"/>
                <w:sz w:val="18"/>
                <w:szCs w:val="18"/>
                <w:lang w:eastAsia="hr-HR"/>
              </w:rPr>
              <w:t xml:space="preserve">Program </w:t>
            </w:r>
          </w:p>
        </w:tc>
        <w:tc>
          <w:tcPr>
            <w:tcW w:w="826" w:type="dxa"/>
            <w:shd w:val="clear" w:color="C6CEF4" w:fill="FFFFFF"/>
            <w:vAlign w:val="center"/>
          </w:tcPr>
          <w:p w14:paraId="2BF9465E" w14:textId="77777777" w:rsidR="00E25B23" w:rsidRDefault="00E25B23" w:rsidP="005A0E37">
            <w:pPr>
              <w:rPr>
                <w:rFonts w:ascii="Arial" w:hAnsi="Arial" w:cs="Arial"/>
                <w:sz w:val="18"/>
                <w:szCs w:val="18"/>
                <w:lang w:eastAsia="hr-HR"/>
              </w:rPr>
            </w:pPr>
            <w:r>
              <w:rPr>
                <w:rFonts w:ascii="Arial" w:hAnsi="Arial" w:cs="Arial"/>
                <w:sz w:val="18"/>
                <w:szCs w:val="18"/>
                <w:lang w:eastAsia="hr-HR"/>
              </w:rPr>
              <w:t>1601</w:t>
            </w:r>
          </w:p>
        </w:tc>
        <w:tc>
          <w:tcPr>
            <w:tcW w:w="3449" w:type="dxa"/>
            <w:shd w:val="clear" w:color="C6CEF4" w:fill="FFFFFF"/>
            <w:vAlign w:val="center"/>
          </w:tcPr>
          <w:p w14:paraId="150D4DF5" w14:textId="77777777" w:rsidR="00E25B23" w:rsidRDefault="00E25B23" w:rsidP="005A0E37">
            <w:pPr>
              <w:rPr>
                <w:rFonts w:ascii="Arial" w:hAnsi="Arial" w:cs="Arial"/>
                <w:bCs/>
                <w:sz w:val="18"/>
                <w:szCs w:val="18"/>
              </w:rPr>
            </w:pPr>
            <w:r>
              <w:rPr>
                <w:rFonts w:ascii="Arial" w:hAnsi="Arial" w:cs="Arial"/>
                <w:bCs/>
                <w:sz w:val="18"/>
                <w:szCs w:val="18"/>
              </w:rPr>
              <w:t xml:space="preserve">ODRŽAVANJE PROSTORA U VLASNIŠTVU I SUVLASNIŠTVU GRADA  </w:t>
            </w:r>
          </w:p>
        </w:tc>
        <w:tc>
          <w:tcPr>
            <w:tcW w:w="1516" w:type="dxa"/>
            <w:shd w:val="clear" w:color="C6CEF4" w:fill="FFFFFF"/>
            <w:vAlign w:val="center"/>
          </w:tcPr>
          <w:p w14:paraId="3A746042" w14:textId="0F3AAE6A" w:rsidR="00E25B23" w:rsidRPr="00A42A4E" w:rsidRDefault="00FB6E25" w:rsidP="001E4CEB">
            <w:pPr>
              <w:jc w:val="center"/>
              <w:rPr>
                <w:rFonts w:ascii="Arial" w:hAnsi="Arial" w:cs="Arial"/>
                <w:bCs/>
                <w:sz w:val="18"/>
                <w:szCs w:val="18"/>
              </w:rPr>
            </w:pPr>
            <w:r>
              <w:rPr>
                <w:rFonts w:ascii="Arial" w:hAnsi="Arial" w:cs="Arial"/>
                <w:bCs/>
                <w:sz w:val="18"/>
                <w:szCs w:val="18"/>
              </w:rPr>
              <w:t>129.000,00</w:t>
            </w:r>
          </w:p>
        </w:tc>
        <w:tc>
          <w:tcPr>
            <w:tcW w:w="1654" w:type="dxa"/>
            <w:shd w:val="clear" w:color="C6CEF4" w:fill="FFFFFF"/>
            <w:vAlign w:val="center"/>
          </w:tcPr>
          <w:p w14:paraId="428188F9" w14:textId="746D3FF7" w:rsidR="00E25B23" w:rsidRDefault="00FB6E25" w:rsidP="001E4CEB">
            <w:pPr>
              <w:jc w:val="center"/>
              <w:rPr>
                <w:rFonts w:ascii="Arial" w:hAnsi="Arial" w:cs="Arial"/>
                <w:bCs/>
                <w:sz w:val="18"/>
                <w:szCs w:val="18"/>
              </w:rPr>
            </w:pPr>
            <w:r>
              <w:rPr>
                <w:rFonts w:ascii="Arial" w:hAnsi="Arial" w:cs="Arial"/>
                <w:bCs/>
                <w:sz w:val="18"/>
                <w:szCs w:val="18"/>
              </w:rPr>
              <w:t>129.000,00</w:t>
            </w:r>
          </w:p>
        </w:tc>
        <w:tc>
          <w:tcPr>
            <w:tcW w:w="1654" w:type="dxa"/>
            <w:shd w:val="clear" w:color="C6CEF4" w:fill="FFFFFF"/>
            <w:vAlign w:val="center"/>
          </w:tcPr>
          <w:p w14:paraId="1D9D9CEB" w14:textId="11C8B506" w:rsidR="00E25B23" w:rsidRDefault="00FB6E25" w:rsidP="001E4CEB">
            <w:pPr>
              <w:jc w:val="center"/>
              <w:rPr>
                <w:rFonts w:ascii="Arial" w:hAnsi="Arial" w:cs="Arial"/>
                <w:bCs/>
                <w:sz w:val="18"/>
                <w:szCs w:val="18"/>
              </w:rPr>
            </w:pPr>
            <w:r>
              <w:rPr>
                <w:rFonts w:ascii="Arial" w:hAnsi="Arial" w:cs="Arial"/>
                <w:bCs/>
                <w:sz w:val="18"/>
                <w:szCs w:val="18"/>
              </w:rPr>
              <w:t>72.882,84</w:t>
            </w:r>
          </w:p>
        </w:tc>
        <w:tc>
          <w:tcPr>
            <w:tcW w:w="975" w:type="dxa"/>
            <w:shd w:val="clear" w:color="C6CEF4" w:fill="FFFFFF"/>
            <w:vAlign w:val="center"/>
          </w:tcPr>
          <w:p w14:paraId="4299AE26" w14:textId="5FB0390F" w:rsidR="00E25B23" w:rsidRPr="00A42A4E" w:rsidRDefault="00FB6E25" w:rsidP="001E4CEB">
            <w:pPr>
              <w:jc w:val="center"/>
              <w:rPr>
                <w:rFonts w:ascii="Arial" w:hAnsi="Arial" w:cs="Arial"/>
                <w:bCs/>
                <w:sz w:val="18"/>
                <w:szCs w:val="18"/>
              </w:rPr>
            </w:pPr>
            <w:r>
              <w:rPr>
                <w:rFonts w:ascii="Arial" w:hAnsi="Arial" w:cs="Arial"/>
                <w:bCs/>
                <w:sz w:val="18"/>
                <w:szCs w:val="18"/>
              </w:rPr>
              <w:t>56,50%</w:t>
            </w:r>
          </w:p>
        </w:tc>
      </w:tr>
      <w:tr w:rsidR="00E25B23" w:rsidRPr="0092464A" w14:paraId="277C4FEA" w14:textId="77777777" w:rsidTr="008674A7">
        <w:trPr>
          <w:trHeight w:val="279"/>
        </w:trPr>
        <w:tc>
          <w:tcPr>
            <w:tcW w:w="983" w:type="dxa"/>
            <w:shd w:val="clear" w:color="C6CEF4" w:fill="FFFFFF"/>
            <w:vAlign w:val="center"/>
          </w:tcPr>
          <w:p w14:paraId="453BD640" w14:textId="77777777" w:rsidR="00E25B23" w:rsidRDefault="00E25B23" w:rsidP="005A0E37">
            <w:pPr>
              <w:rPr>
                <w:rFonts w:ascii="Arial" w:hAnsi="Arial" w:cs="Arial"/>
                <w:sz w:val="18"/>
                <w:szCs w:val="18"/>
                <w:lang w:eastAsia="hr-HR"/>
              </w:rPr>
            </w:pPr>
            <w:r>
              <w:rPr>
                <w:rFonts w:ascii="Arial" w:hAnsi="Arial" w:cs="Arial"/>
                <w:sz w:val="18"/>
                <w:szCs w:val="18"/>
                <w:lang w:eastAsia="hr-HR"/>
              </w:rPr>
              <w:t>Program</w:t>
            </w:r>
          </w:p>
        </w:tc>
        <w:tc>
          <w:tcPr>
            <w:tcW w:w="826" w:type="dxa"/>
            <w:shd w:val="clear" w:color="C6CEF4" w:fill="FFFFFF"/>
            <w:vAlign w:val="center"/>
          </w:tcPr>
          <w:p w14:paraId="239724E7" w14:textId="77777777" w:rsidR="00E25B23" w:rsidRPr="009F119C" w:rsidRDefault="00E25B23" w:rsidP="005A0E37">
            <w:pPr>
              <w:rPr>
                <w:rFonts w:ascii="Arial" w:hAnsi="Arial" w:cs="Arial"/>
                <w:sz w:val="18"/>
                <w:szCs w:val="18"/>
                <w:lang w:eastAsia="hr-HR"/>
              </w:rPr>
            </w:pPr>
            <w:r>
              <w:rPr>
                <w:rFonts w:ascii="Arial" w:hAnsi="Arial" w:cs="Arial"/>
                <w:sz w:val="18"/>
                <w:szCs w:val="18"/>
                <w:lang w:eastAsia="hr-HR"/>
              </w:rPr>
              <w:t>1602</w:t>
            </w:r>
          </w:p>
        </w:tc>
        <w:tc>
          <w:tcPr>
            <w:tcW w:w="3449" w:type="dxa"/>
            <w:shd w:val="clear" w:color="C6CEF4" w:fill="FFFFFF"/>
            <w:vAlign w:val="center"/>
          </w:tcPr>
          <w:p w14:paraId="786F689D" w14:textId="77777777" w:rsidR="00E25B23" w:rsidRDefault="00E25B23" w:rsidP="005A0E37">
            <w:pPr>
              <w:rPr>
                <w:rFonts w:ascii="Arial" w:hAnsi="Arial" w:cs="Arial"/>
                <w:bCs/>
                <w:sz w:val="18"/>
                <w:szCs w:val="18"/>
              </w:rPr>
            </w:pPr>
            <w:r>
              <w:rPr>
                <w:rFonts w:ascii="Arial" w:hAnsi="Arial" w:cs="Arial"/>
                <w:bCs/>
                <w:sz w:val="18"/>
                <w:szCs w:val="18"/>
              </w:rPr>
              <w:t xml:space="preserve">OČUVANJE KULTURNE BAŠTINE </w:t>
            </w:r>
          </w:p>
        </w:tc>
        <w:tc>
          <w:tcPr>
            <w:tcW w:w="1516" w:type="dxa"/>
            <w:shd w:val="clear" w:color="C6CEF4" w:fill="FFFFFF"/>
            <w:vAlign w:val="center"/>
          </w:tcPr>
          <w:p w14:paraId="650D3FCD" w14:textId="7F3189A2" w:rsidR="00E25B23" w:rsidRPr="009F119C" w:rsidRDefault="001227D5" w:rsidP="001E4CEB">
            <w:pPr>
              <w:jc w:val="center"/>
              <w:rPr>
                <w:rFonts w:ascii="Arial" w:hAnsi="Arial" w:cs="Arial"/>
                <w:bCs/>
                <w:sz w:val="18"/>
                <w:szCs w:val="18"/>
              </w:rPr>
            </w:pPr>
            <w:r>
              <w:rPr>
                <w:rFonts w:ascii="Arial" w:hAnsi="Arial" w:cs="Arial"/>
                <w:bCs/>
                <w:sz w:val="18"/>
                <w:szCs w:val="18"/>
              </w:rPr>
              <w:t>909.614,59</w:t>
            </w:r>
          </w:p>
        </w:tc>
        <w:tc>
          <w:tcPr>
            <w:tcW w:w="1654" w:type="dxa"/>
            <w:shd w:val="clear" w:color="C6CEF4" w:fill="FFFFFF"/>
            <w:vAlign w:val="center"/>
          </w:tcPr>
          <w:p w14:paraId="3DF6F957" w14:textId="7DBCDF6B" w:rsidR="00E25B23" w:rsidRDefault="001227D5" w:rsidP="001E4CEB">
            <w:pPr>
              <w:jc w:val="center"/>
              <w:rPr>
                <w:rFonts w:ascii="Arial" w:hAnsi="Arial" w:cs="Arial"/>
                <w:bCs/>
                <w:sz w:val="18"/>
                <w:szCs w:val="18"/>
              </w:rPr>
            </w:pPr>
            <w:r>
              <w:rPr>
                <w:rFonts w:ascii="Arial" w:hAnsi="Arial" w:cs="Arial"/>
                <w:bCs/>
                <w:sz w:val="18"/>
                <w:szCs w:val="18"/>
              </w:rPr>
              <w:t>918.979,59</w:t>
            </w:r>
          </w:p>
        </w:tc>
        <w:tc>
          <w:tcPr>
            <w:tcW w:w="1654" w:type="dxa"/>
            <w:shd w:val="clear" w:color="C6CEF4" w:fill="FFFFFF"/>
            <w:vAlign w:val="center"/>
          </w:tcPr>
          <w:p w14:paraId="4855838C" w14:textId="0B73A5DF" w:rsidR="00E25B23" w:rsidRDefault="001227D5" w:rsidP="001E4CEB">
            <w:pPr>
              <w:jc w:val="center"/>
              <w:rPr>
                <w:rFonts w:ascii="Arial" w:hAnsi="Arial" w:cs="Arial"/>
                <w:bCs/>
                <w:sz w:val="18"/>
                <w:szCs w:val="18"/>
              </w:rPr>
            </w:pPr>
            <w:r>
              <w:rPr>
                <w:rFonts w:ascii="Arial" w:hAnsi="Arial" w:cs="Arial"/>
                <w:bCs/>
                <w:sz w:val="18"/>
                <w:szCs w:val="18"/>
              </w:rPr>
              <w:t>720.064,16</w:t>
            </w:r>
          </w:p>
        </w:tc>
        <w:tc>
          <w:tcPr>
            <w:tcW w:w="975" w:type="dxa"/>
            <w:shd w:val="clear" w:color="C6CEF4" w:fill="FFFFFF"/>
            <w:vAlign w:val="center"/>
          </w:tcPr>
          <w:p w14:paraId="13A4772A" w14:textId="61057DFD" w:rsidR="00E25B23" w:rsidRPr="009F119C" w:rsidRDefault="001227D5" w:rsidP="001E4CEB">
            <w:pPr>
              <w:jc w:val="center"/>
              <w:rPr>
                <w:rFonts w:ascii="Arial" w:hAnsi="Arial" w:cs="Arial"/>
                <w:bCs/>
                <w:sz w:val="18"/>
                <w:szCs w:val="18"/>
              </w:rPr>
            </w:pPr>
            <w:r>
              <w:rPr>
                <w:rFonts w:ascii="Arial" w:hAnsi="Arial" w:cs="Arial"/>
                <w:bCs/>
                <w:sz w:val="18"/>
                <w:szCs w:val="18"/>
              </w:rPr>
              <w:t>78,35%</w:t>
            </w:r>
          </w:p>
        </w:tc>
      </w:tr>
      <w:tr w:rsidR="00E25B23" w:rsidRPr="0092464A" w14:paraId="3111DF11" w14:textId="77777777" w:rsidTr="008674A7">
        <w:trPr>
          <w:trHeight w:val="279"/>
        </w:trPr>
        <w:tc>
          <w:tcPr>
            <w:tcW w:w="983" w:type="dxa"/>
            <w:shd w:val="clear" w:color="C6CEF4" w:fill="FFFFFF"/>
            <w:vAlign w:val="center"/>
          </w:tcPr>
          <w:p w14:paraId="67128CB0" w14:textId="77777777" w:rsidR="00E25B23" w:rsidRDefault="00E25B23" w:rsidP="005A0E37">
            <w:pPr>
              <w:rPr>
                <w:rFonts w:ascii="Arial" w:hAnsi="Arial" w:cs="Arial"/>
                <w:sz w:val="18"/>
                <w:szCs w:val="18"/>
                <w:lang w:eastAsia="hr-HR"/>
              </w:rPr>
            </w:pPr>
            <w:r>
              <w:rPr>
                <w:rFonts w:ascii="Arial" w:hAnsi="Arial" w:cs="Arial"/>
                <w:sz w:val="18"/>
                <w:szCs w:val="18"/>
                <w:lang w:eastAsia="hr-HR"/>
              </w:rPr>
              <w:t xml:space="preserve">Program </w:t>
            </w:r>
          </w:p>
        </w:tc>
        <w:tc>
          <w:tcPr>
            <w:tcW w:w="826" w:type="dxa"/>
            <w:shd w:val="clear" w:color="C6CEF4" w:fill="FFFFFF"/>
            <w:vAlign w:val="center"/>
          </w:tcPr>
          <w:p w14:paraId="4DAC1D1E" w14:textId="77777777" w:rsidR="00E25B23" w:rsidRDefault="00E25B23" w:rsidP="005A0E37">
            <w:pPr>
              <w:rPr>
                <w:rFonts w:ascii="Arial" w:hAnsi="Arial" w:cs="Arial"/>
                <w:sz w:val="18"/>
                <w:szCs w:val="18"/>
                <w:lang w:eastAsia="hr-HR"/>
              </w:rPr>
            </w:pPr>
            <w:r>
              <w:rPr>
                <w:rFonts w:ascii="Arial" w:hAnsi="Arial" w:cs="Arial"/>
                <w:sz w:val="18"/>
                <w:szCs w:val="18"/>
                <w:lang w:eastAsia="hr-HR"/>
              </w:rPr>
              <w:t>1604</w:t>
            </w:r>
          </w:p>
        </w:tc>
        <w:tc>
          <w:tcPr>
            <w:tcW w:w="3449" w:type="dxa"/>
            <w:shd w:val="clear" w:color="C6CEF4" w:fill="FFFFFF"/>
            <w:vAlign w:val="center"/>
          </w:tcPr>
          <w:p w14:paraId="5EE5F84A" w14:textId="77777777" w:rsidR="00E25B23" w:rsidRDefault="00E25B23" w:rsidP="005A0E37">
            <w:pPr>
              <w:rPr>
                <w:rFonts w:ascii="Arial" w:hAnsi="Arial" w:cs="Arial"/>
                <w:bCs/>
                <w:sz w:val="18"/>
                <w:szCs w:val="18"/>
              </w:rPr>
            </w:pPr>
            <w:r>
              <w:rPr>
                <w:rFonts w:ascii="Arial" w:hAnsi="Arial" w:cs="Arial"/>
                <w:bCs/>
                <w:sz w:val="18"/>
                <w:szCs w:val="18"/>
              </w:rPr>
              <w:t>INVESTICIJE U GRADITELJSTVU</w:t>
            </w:r>
          </w:p>
        </w:tc>
        <w:tc>
          <w:tcPr>
            <w:tcW w:w="1516" w:type="dxa"/>
            <w:shd w:val="clear" w:color="C6CEF4" w:fill="FFFFFF"/>
            <w:vAlign w:val="center"/>
          </w:tcPr>
          <w:p w14:paraId="37731A68" w14:textId="7115CA9D" w:rsidR="00E25B23" w:rsidRPr="009F119C" w:rsidRDefault="001227D5" w:rsidP="001E4CEB">
            <w:pPr>
              <w:jc w:val="center"/>
              <w:rPr>
                <w:rFonts w:ascii="Arial" w:hAnsi="Arial" w:cs="Arial"/>
                <w:bCs/>
                <w:sz w:val="18"/>
                <w:szCs w:val="18"/>
              </w:rPr>
            </w:pPr>
            <w:r>
              <w:rPr>
                <w:rFonts w:ascii="Arial" w:hAnsi="Arial" w:cs="Arial"/>
                <w:bCs/>
                <w:sz w:val="18"/>
                <w:szCs w:val="18"/>
              </w:rPr>
              <w:t>434.586,00</w:t>
            </w:r>
          </w:p>
        </w:tc>
        <w:tc>
          <w:tcPr>
            <w:tcW w:w="1654" w:type="dxa"/>
            <w:shd w:val="clear" w:color="C6CEF4" w:fill="FFFFFF"/>
            <w:vAlign w:val="center"/>
          </w:tcPr>
          <w:p w14:paraId="0E54E655" w14:textId="127BD52C" w:rsidR="00E25B23" w:rsidRDefault="001227D5" w:rsidP="001E4CEB">
            <w:pPr>
              <w:jc w:val="center"/>
              <w:rPr>
                <w:rFonts w:ascii="Arial" w:hAnsi="Arial" w:cs="Arial"/>
                <w:bCs/>
                <w:sz w:val="18"/>
                <w:szCs w:val="18"/>
              </w:rPr>
            </w:pPr>
            <w:r>
              <w:rPr>
                <w:rFonts w:ascii="Arial" w:hAnsi="Arial" w:cs="Arial"/>
                <w:bCs/>
                <w:sz w:val="18"/>
                <w:szCs w:val="18"/>
              </w:rPr>
              <w:t>423.586,00</w:t>
            </w:r>
          </w:p>
        </w:tc>
        <w:tc>
          <w:tcPr>
            <w:tcW w:w="1654" w:type="dxa"/>
            <w:shd w:val="clear" w:color="C6CEF4" w:fill="FFFFFF"/>
            <w:vAlign w:val="center"/>
          </w:tcPr>
          <w:p w14:paraId="55C8D45B" w14:textId="366CD7E3" w:rsidR="00E25B23" w:rsidRDefault="001227D5" w:rsidP="001E4CEB">
            <w:pPr>
              <w:jc w:val="center"/>
              <w:rPr>
                <w:rFonts w:ascii="Arial" w:hAnsi="Arial" w:cs="Arial"/>
                <w:bCs/>
                <w:sz w:val="18"/>
                <w:szCs w:val="18"/>
              </w:rPr>
            </w:pPr>
            <w:r>
              <w:rPr>
                <w:rFonts w:ascii="Arial" w:hAnsi="Arial" w:cs="Arial"/>
                <w:bCs/>
                <w:sz w:val="18"/>
                <w:szCs w:val="18"/>
              </w:rPr>
              <w:t>217.302,20</w:t>
            </w:r>
          </w:p>
        </w:tc>
        <w:tc>
          <w:tcPr>
            <w:tcW w:w="975" w:type="dxa"/>
            <w:shd w:val="clear" w:color="C6CEF4" w:fill="FFFFFF"/>
            <w:vAlign w:val="center"/>
          </w:tcPr>
          <w:p w14:paraId="14879954" w14:textId="5ABDBA8F" w:rsidR="00E25B23" w:rsidRPr="009F119C" w:rsidRDefault="001227D5" w:rsidP="001E4CEB">
            <w:pPr>
              <w:jc w:val="center"/>
              <w:rPr>
                <w:rFonts w:ascii="Arial" w:hAnsi="Arial" w:cs="Arial"/>
                <w:bCs/>
                <w:sz w:val="18"/>
                <w:szCs w:val="18"/>
              </w:rPr>
            </w:pPr>
            <w:r>
              <w:rPr>
                <w:rFonts w:ascii="Arial" w:hAnsi="Arial" w:cs="Arial"/>
                <w:bCs/>
                <w:sz w:val="18"/>
                <w:szCs w:val="18"/>
              </w:rPr>
              <w:t>51,30%</w:t>
            </w:r>
          </w:p>
        </w:tc>
      </w:tr>
      <w:tr w:rsidR="00E25B23" w:rsidRPr="0092464A" w14:paraId="5C47872A" w14:textId="77777777" w:rsidTr="008674A7">
        <w:trPr>
          <w:trHeight w:val="498"/>
        </w:trPr>
        <w:tc>
          <w:tcPr>
            <w:tcW w:w="983" w:type="dxa"/>
            <w:shd w:val="clear" w:color="C6CEF4" w:fill="FFFFFF"/>
            <w:vAlign w:val="center"/>
          </w:tcPr>
          <w:p w14:paraId="15A767D2" w14:textId="77777777" w:rsidR="00E25B23" w:rsidRDefault="00E25B23" w:rsidP="005A0E37">
            <w:pPr>
              <w:rPr>
                <w:rFonts w:ascii="Arial" w:hAnsi="Arial" w:cs="Arial"/>
                <w:sz w:val="18"/>
                <w:szCs w:val="18"/>
                <w:lang w:eastAsia="hr-HR"/>
              </w:rPr>
            </w:pPr>
            <w:r>
              <w:rPr>
                <w:rFonts w:ascii="Arial" w:hAnsi="Arial" w:cs="Arial"/>
                <w:sz w:val="18"/>
                <w:szCs w:val="18"/>
                <w:lang w:eastAsia="hr-HR"/>
              </w:rPr>
              <w:t xml:space="preserve">Program </w:t>
            </w:r>
          </w:p>
        </w:tc>
        <w:tc>
          <w:tcPr>
            <w:tcW w:w="826" w:type="dxa"/>
            <w:shd w:val="clear" w:color="C6CEF4" w:fill="FFFFFF"/>
            <w:vAlign w:val="center"/>
          </w:tcPr>
          <w:p w14:paraId="52469232" w14:textId="77777777" w:rsidR="00E25B23" w:rsidRDefault="00E25B23" w:rsidP="005A0E37">
            <w:pPr>
              <w:rPr>
                <w:rFonts w:ascii="Arial" w:hAnsi="Arial" w:cs="Arial"/>
                <w:sz w:val="18"/>
                <w:szCs w:val="18"/>
                <w:lang w:eastAsia="hr-HR"/>
              </w:rPr>
            </w:pPr>
            <w:r>
              <w:rPr>
                <w:rFonts w:ascii="Arial" w:hAnsi="Arial" w:cs="Arial"/>
                <w:sz w:val="18"/>
                <w:szCs w:val="18"/>
                <w:lang w:eastAsia="hr-HR"/>
              </w:rPr>
              <w:t>1605</w:t>
            </w:r>
          </w:p>
        </w:tc>
        <w:tc>
          <w:tcPr>
            <w:tcW w:w="3449" w:type="dxa"/>
            <w:shd w:val="clear" w:color="C6CEF4" w:fill="FFFFFF"/>
            <w:vAlign w:val="center"/>
          </w:tcPr>
          <w:p w14:paraId="786356C3" w14:textId="77777777" w:rsidR="00E25B23" w:rsidRDefault="00E25B23" w:rsidP="005A0E37">
            <w:pPr>
              <w:rPr>
                <w:rFonts w:ascii="Arial" w:hAnsi="Arial" w:cs="Arial"/>
                <w:bCs/>
                <w:sz w:val="18"/>
                <w:szCs w:val="18"/>
              </w:rPr>
            </w:pPr>
            <w:r>
              <w:rPr>
                <w:rFonts w:ascii="Arial" w:hAnsi="Arial" w:cs="Arial"/>
                <w:bCs/>
                <w:sz w:val="18"/>
                <w:szCs w:val="18"/>
              </w:rPr>
              <w:t xml:space="preserve">INVESTICIJE NA OBJEKTIMA OD JAVNOG INTERESA </w:t>
            </w:r>
          </w:p>
        </w:tc>
        <w:tc>
          <w:tcPr>
            <w:tcW w:w="1516" w:type="dxa"/>
            <w:shd w:val="clear" w:color="C6CEF4" w:fill="FFFFFF"/>
            <w:vAlign w:val="center"/>
          </w:tcPr>
          <w:p w14:paraId="16046570" w14:textId="47AA9738" w:rsidR="00E25B23" w:rsidRPr="009F119C" w:rsidRDefault="001227D5" w:rsidP="001E4CEB">
            <w:pPr>
              <w:jc w:val="center"/>
              <w:rPr>
                <w:rFonts w:ascii="Arial" w:hAnsi="Arial" w:cs="Arial"/>
                <w:bCs/>
                <w:sz w:val="18"/>
                <w:szCs w:val="18"/>
              </w:rPr>
            </w:pPr>
            <w:r>
              <w:rPr>
                <w:rFonts w:ascii="Arial" w:hAnsi="Arial" w:cs="Arial"/>
                <w:bCs/>
                <w:sz w:val="18"/>
                <w:szCs w:val="18"/>
              </w:rPr>
              <w:t>471.875,00</w:t>
            </w:r>
          </w:p>
        </w:tc>
        <w:tc>
          <w:tcPr>
            <w:tcW w:w="1654" w:type="dxa"/>
            <w:shd w:val="clear" w:color="C6CEF4" w:fill="FFFFFF"/>
            <w:vAlign w:val="center"/>
          </w:tcPr>
          <w:p w14:paraId="42747A79" w14:textId="0D12D1E2" w:rsidR="00E25B23" w:rsidRDefault="001227D5" w:rsidP="001E4CEB">
            <w:pPr>
              <w:jc w:val="center"/>
              <w:rPr>
                <w:rFonts w:ascii="Arial" w:hAnsi="Arial" w:cs="Arial"/>
                <w:bCs/>
                <w:sz w:val="18"/>
                <w:szCs w:val="18"/>
              </w:rPr>
            </w:pPr>
            <w:r>
              <w:rPr>
                <w:rFonts w:ascii="Arial" w:hAnsi="Arial" w:cs="Arial"/>
                <w:bCs/>
                <w:sz w:val="18"/>
                <w:szCs w:val="18"/>
              </w:rPr>
              <w:t>456.875,00</w:t>
            </w:r>
          </w:p>
        </w:tc>
        <w:tc>
          <w:tcPr>
            <w:tcW w:w="1654" w:type="dxa"/>
            <w:shd w:val="clear" w:color="C6CEF4" w:fill="FFFFFF"/>
            <w:vAlign w:val="center"/>
          </w:tcPr>
          <w:p w14:paraId="41B4310F" w14:textId="229237BE" w:rsidR="00E25B23" w:rsidRDefault="001227D5" w:rsidP="001E4CEB">
            <w:pPr>
              <w:jc w:val="center"/>
              <w:rPr>
                <w:rFonts w:ascii="Arial" w:hAnsi="Arial" w:cs="Arial"/>
                <w:bCs/>
                <w:sz w:val="18"/>
                <w:szCs w:val="18"/>
              </w:rPr>
            </w:pPr>
            <w:r>
              <w:rPr>
                <w:rFonts w:ascii="Arial" w:hAnsi="Arial" w:cs="Arial"/>
                <w:bCs/>
                <w:sz w:val="18"/>
                <w:szCs w:val="18"/>
              </w:rPr>
              <w:t>210.222,21</w:t>
            </w:r>
          </w:p>
        </w:tc>
        <w:tc>
          <w:tcPr>
            <w:tcW w:w="975" w:type="dxa"/>
            <w:shd w:val="clear" w:color="C6CEF4" w:fill="FFFFFF"/>
            <w:vAlign w:val="center"/>
          </w:tcPr>
          <w:p w14:paraId="38CAEF35" w14:textId="6720658A" w:rsidR="00E25B23" w:rsidRPr="009F119C" w:rsidRDefault="001227D5" w:rsidP="001E4CEB">
            <w:pPr>
              <w:jc w:val="center"/>
              <w:rPr>
                <w:rFonts w:ascii="Arial" w:hAnsi="Arial" w:cs="Arial"/>
                <w:bCs/>
                <w:sz w:val="18"/>
                <w:szCs w:val="18"/>
              </w:rPr>
            </w:pPr>
            <w:r>
              <w:rPr>
                <w:rFonts w:ascii="Arial" w:hAnsi="Arial" w:cs="Arial"/>
                <w:bCs/>
                <w:sz w:val="18"/>
                <w:szCs w:val="18"/>
              </w:rPr>
              <w:t>46,01%</w:t>
            </w:r>
          </w:p>
        </w:tc>
      </w:tr>
      <w:tr w:rsidR="00E25B23" w:rsidRPr="0092464A" w14:paraId="30DCDAE8" w14:textId="77777777" w:rsidTr="008674A7">
        <w:trPr>
          <w:trHeight w:val="279"/>
        </w:trPr>
        <w:tc>
          <w:tcPr>
            <w:tcW w:w="983" w:type="dxa"/>
            <w:shd w:val="clear" w:color="C6CEF4" w:fill="FFFFFF"/>
            <w:vAlign w:val="center"/>
          </w:tcPr>
          <w:p w14:paraId="3F1937F7" w14:textId="77777777" w:rsidR="00E25B23" w:rsidRDefault="00E25B23" w:rsidP="005A0E37">
            <w:pPr>
              <w:rPr>
                <w:rFonts w:ascii="Arial" w:hAnsi="Arial" w:cs="Arial"/>
                <w:sz w:val="18"/>
                <w:szCs w:val="18"/>
                <w:lang w:eastAsia="hr-HR"/>
              </w:rPr>
            </w:pPr>
            <w:r>
              <w:rPr>
                <w:rFonts w:ascii="Arial" w:hAnsi="Arial" w:cs="Arial"/>
                <w:sz w:val="18"/>
                <w:szCs w:val="18"/>
                <w:lang w:eastAsia="hr-HR"/>
              </w:rPr>
              <w:t xml:space="preserve">Program </w:t>
            </w:r>
          </w:p>
        </w:tc>
        <w:tc>
          <w:tcPr>
            <w:tcW w:w="826" w:type="dxa"/>
            <w:shd w:val="clear" w:color="C6CEF4" w:fill="FFFFFF"/>
            <w:vAlign w:val="center"/>
          </w:tcPr>
          <w:p w14:paraId="4584D32D" w14:textId="77777777" w:rsidR="00E25B23" w:rsidRDefault="00E25B23" w:rsidP="005A0E37">
            <w:pPr>
              <w:rPr>
                <w:rFonts w:ascii="Arial" w:hAnsi="Arial" w:cs="Arial"/>
                <w:sz w:val="18"/>
                <w:szCs w:val="18"/>
                <w:lang w:eastAsia="hr-HR"/>
              </w:rPr>
            </w:pPr>
            <w:r>
              <w:rPr>
                <w:rFonts w:ascii="Arial" w:hAnsi="Arial" w:cs="Arial"/>
                <w:sz w:val="18"/>
                <w:szCs w:val="18"/>
                <w:lang w:eastAsia="hr-HR"/>
              </w:rPr>
              <w:t>1608</w:t>
            </w:r>
          </w:p>
        </w:tc>
        <w:tc>
          <w:tcPr>
            <w:tcW w:w="3449" w:type="dxa"/>
            <w:shd w:val="clear" w:color="C6CEF4" w:fill="FFFFFF"/>
            <w:vAlign w:val="center"/>
          </w:tcPr>
          <w:p w14:paraId="13A63407" w14:textId="77777777" w:rsidR="00E25B23" w:rsidRDefault="00E25B23" w:rsidP="005A0E37">
            <w:pPr>
              <w:rPr>
                <w:rFonts w:ascii="Arial" w:hAnsi="Arial" w:cs="Arial"/>
                <w:bCs/>
                <w:sz w:val="18"/>
                <w:szCs w:val="18"/>
              </w:rPr>
            </w:pPr>
            <w:r>
              <w:rPr>
                <w:rFonts w:ascii="Arial" w:hAnsi="Arial" w:cs="Arial"/>
                <w:bCs/>
                <w:sz w:val="18"/>
                <w:szCs w:val="18"/>
              </w:rPr>
              <w:t xml:space="preserve">INTEGRIRANI RAZVOJNI PROGRAMI TEMELJENI NA OBNOVI KULTURNE BAŠTINE </w:t>
            </w:r>
          </w:p>
        </w:tc>
        <w:tc>
          <w:tcPr>
            <w:tcW w:w="1516" w:type="dxa"/>
            <w:shd w:val="clear" w:color="C6CEF4" w:fill="FFFFFF"/>
            <w:vAlign w:val="center"/>
          </w:tcPr>
          <w:p w14:paraId="6A269960" w14:textId="40136753" w:rsidR="00E25B23" w:rsidRPr="009F119C" w:rsidRDefault="001227D5" w:rsidP="001E4CEB">
            <w:pPr>
              <w:jc w:val="center"/>
              <w:rPr>
                <w:rFonts w:ascii="Arial" w:hAnsi="Arial" w:cs="Arial"/>
                <w:bCs/>
                <w:sz w:val="18"/>
                <w:szCs w:val="18"/>
              </w:rPr>
            </w:pPr>
            <w:r>
              <w:rPr>
                <w:rFonts w:ascii="Arial" w:hAnsi="Arial" w:cs="Arial"/>
                <w:bCs/>
                <w:sz w:val="18"/>
                <w:szCs w:val="18"/>
              </w:rPr>
              <w:t>163.000,00</w:t>
            </w:r>
          </w:p>
        </w:tc>
        <w:tc>
          <w:tcPr>
            <w:tcW w:w="1654" w:type="dxa"/>
            <w:shd w:val="clear" w:color="C6CEF4" w:fill="FFFFFF"/>
            <w:vAlign w:val="center"/>
          </w:tcPr>
          <w:p w14:paraId="3EE6EBC9" w14:textId="584C67E5" w:rsidR="00E25B23" w:rsidRDefault="001227D5" w:rsidP="001E4CEB">
            <w:pPr>
              <w:jc w:val="center"/>
              <w:rPr>
                <w:rFonts w:ascii="Arial" w:hAnsi="Arial" w:cs="Arial"/>
                <w:bCs/>
                <w:sz w:val="18"/>
                <w:szCs w:val="18"/>
              </w:rPr>
            </w:pPr>
            <w:r>
              <w:rPr>
                <w:rFonts w:ascii="Arial" w:hAnsi="Arial" w:cs="Arial"/>
                <w:bCs/>
                <w:sz w:val="18"/>
                <w:szCs w:val="18"/>
              </w:rPr>
              <w:t>158.505,00</w:t>
            </w:r>
          </w:p>
        </w:tc>
        <w:tc>
          <w:tcPr>
            <w:tcW w:w="1654" w:type="dxa"/>
            <w:shd w:val="clear" w:color="C6CEF4" w:fill="FFFFFF"/>
            <w:vAlign w:val="center"/>
          </w:tcPr>
          <w:p w14:paraId="65D6F7DA" w14:textId="18151E76" w:rsidR="00E25B23" w:rsidRDefault="001227D5" w:rsidP="001E4CEB">
            <w:pPr>
              <w:jc w:val="center"/>
              <w:rPr>
                <w:rFonts w:ascii="Arial" w:hAnsi="Arial" w:cs="Arial"/>
                <w:bCs/>
                <w:sz w:val="18"/>
                <w:szCs w:val="18"/>
              </w:rPr>
            </w:pPr>
            <w:r>
              <w:rPr>
                <w:rFonts w:ascii="Arial" w:hAnsi="Arial" w:cs="Arial"/>
                <w:bCs/>
                <w:sz w:val="18"/>
                <w:szCs w:val="18"/>
              </w:rPr>
              <w:t>0,00</w:t>
            </w:r>
          </w:p>
        </w:tc>
        <w:tc>
          <w:tcPr>
            <w:tcW w:w="975" w:type="dxa"/>
            <w:shd w:val="clear" w:color="C6CEF4" w:fill="FFFFFF"/>
            <w:vAlign w:val="center"/>
          </w:tcPr>
          <w:p w14:paraId="02EF4954" w14:textId="7D3E4904" w:rsidR="00E25B23" w:rsidRPr="009F119C" w:rsidRDefault="001227D5" w:rsidP="001E4CEB">
            <w:pPr>
              <w:jc w:val="center"/>
              <w:rPr>
                <w:rFonts w:ascii="Arial" w:hAnsi="Arial" w:cs="Arial"/>
                <w:bCs/>
                <w:sz w:val="18"/>
                <w:szCs w:val="18"/>
              </w:rPr>
            </w:pPr>
            <w:r>
              <w:rPr>
                <w:rFonts w:ascii="Arial" w:hAnsi="Arial" w:cs="Arial"/>
                <w:bCs/>
                <w:sz w:val="18"/>
                <w:szCs w:val="18"/>
              </w:rPr>
              <w:t>-</w:t>
            </w:r>
          </w:p>
        </w:tc>
      </w:tr>
      <w:tr w:rsidR="00E25B23" w:rsidRPr="0092464A" w14:paraId="1E4C2D4B" w14:textId="77777777" w:rsidTr="008674A7">
        <w:trPr>
          <w:trHeight w:val="279"/>
        </w:trPr>
        <w:tc>
          <w:tcPr>
            <w:tcW w:w="983" w:type="dxa"/>
            <w:shd w:val="clear" w:color="C6CEF4" w:fill="FFFFFF"/>
            <w:vAlign w:val="center"/>
          </w:tcPr>
          <w:p w14:paraId="23C6C363" w14:textId="77777777" w:rsidR="00E25B23" w:rsidRDefault="00E25B23" w:rsidP="005A0E37">
            <w:pPr>
              <w:rPr>
                <w:rFonts w:ascii="Arial" w:hAnsi="Arial" w:cs="Arial"/>
                <w:sz w:val="18"/>
                <w:szCs w:val="18"/>
                <w:lang w:eastAsia="hr-HR"/>
              </w:rPr>
            </w:pPr>
            <w:r>
              <w:rPr>
                <w:rFonts w:ascii="Arial" w:hAnsi="Arial" w:cs="Arial"/>
                <w:sz w:val="18"/>
                <w:szCs w:val="18"/>
                <w:lang w:eastAsia="hr-HR"/>
              </w:rPr>
              <w:t xml:space="preserve">Program </w:t>
            </w:r>
          </w:p>
        </w:tc>
        <w:tc>
          <w:tcPr>
            <w:tcW w:w="826" w:type="dxa"/>
            <w:shd w:val="clear" w:color="C6CEF4" w:fill="FFFFFF"/>
            <w:vAlign w:val="center"/>
          </w:tcPr>
          <w:p w14:paraId="1B4273ED" w14:textId="77777777" w:rsidR="00E25B23" w:rsidRDefault="00E25B23" w:rsidP="005A0E37">
            <w:pPr>
              <w:rPr>
                <w:rFonts w:ascii="Arial" w:hAnsi="Arial" w:cs="Arial"/>
                <w:sz w:val="18"/>
                <w:szCs w:val="18"/>
                <w:lang w:eastAsia="hr-HR"/>
              </w:rPr>
            </w:pPr>
            <w:r>
              <w:rPr>
                <w:rFonts w:ascii="Arial" w:hAnsi="Arial" w:cs="Arial"/>
                <w:sz w:val="18"/>
                <w:szCs w:val="18"/>
                <w:lang w:eastAsia="hr-HR"/>
              </w:rPr>
              <w:t>1609</w:t>
            </w:r>
          </w:p>
        </w:tc>
        <w:tc>
          <w:tcPr>
            <w:tcW w:w="3449" w:type="dxa"/>
            <w:shd w:val="clear" w:color="C6CEF4" w:fill="FFFFFF"/>
            <w:vAlign w:val="center"/>
          </w:tcPr>
          <w:p w14:paraId="5F65FF19" w14:textId="77777777" w:rsidR="00E25B23" w:rsidRDefault="00E25B23" w:rsidP="005A0E37">
            <w:pPr>
              <w:rPr>
                <w:rFonts w:ascii="Arial" w:hAnsi="Arial" w:cs="Arial"/>
                <w:bCs/>
                <w:sz w:val="18"/>
                <w:szCs w:val="18"/>
              </w:rPr>
            </w:pPr>
            <w:r>
              <w:rPr>
                <w:rFonts w:ascii="Arial" w:hAnsi="Arial" w:cs="Arial"/>
                <w:bCs/>
                <w:sz w:val="18"/>
                <w:szCs w:val="18"/>
              </w:rPr>
              <w:t xml:space="preserve">UPRAVLJANJE IMOVINOM </w:t>
            </w:r>
          </w:p>
        </w:tc>
        <w:tc>
          <w:tcPr>
            <w:tcW w:w="1516" w:type="dxa"/>
            <w:shd w:val="clear" w:color="C6CEF4" w:fill="FFFFFF"/>
            <w:vAlign w:val="center"/>
          </w:tcPr>
          <w:p w14:paraId="66F83E2B" w14:textId="2F4585C9" w:rsidR="00E25B23" w:rsidRPr="009F119C" w:rsidRDefault="001227D5" w:rsidP="001E4CEB">
            <w:pPr>
              <w:jc w:val="center"/>
              <w:rPr>
                <w:rFonts w:ascii="Arial" w:hAnsi="Arial" w:cs="Arial"/>
                <w:bCs/>
                <w:sz w:val="18"/>
                <w:szCs w:val="18"/>
              </w:rPr>
            </w:pPr>
            <w:r>
              <w:rPr>
                <w:rFonts w:ascii="Arial" w:hAnsi="Arial" w:cs="Arial"/>
                <w:bCs/>
                <w:sz w:val="18"/>
                <w:szCs w:val="18"/>
              </w:rPr>
              <w:t>321.650,00</w:t>
            </w:r>
          </w:p>
        </w:tc>
        <w:tc>
          <w:tcPr>
            <w:tcW w:w="1654" w:type="dxa"/>
            <w:shd w:val="clear" w:color="C6CEF4" w:fill="FFFFFF"/>
            <w:vAlign w:val="center"/>
          </w:tcPr>
          <w:p w14:paraId="0B3CC911" w14:textId="01523A89" w:rsidR="00E25B23" w:rsidRDefault="001227D5" w:rsidP="001E4CEB">
            <w:pPr>
              <w:jc w:val="center"/>
              <w:rPr>
                <w:rFonts w:ascii="Arial" w:hAnsi="Arial" w:cs="Arial"/>
                <w:bCs/>
                <w:sz w:val="18"/>
                <w:szCs w:val="18"/>
              </w:rPr>
            </w:pPr>
            <w:r>
              <w:rPr>
                <w:rFonts w:ascii="Arial" w:hAnsi="Arial" w:cs="Arial"/>
                <w:bCs/>
                <w:sz w:val="18"/>
                <w:szCs w:val="18"/>
              </w:rPr>
              <w:t>329.305,00</w:t>
            </w:r>
          </w:p>
        </w:tc>
        <w:tc>
          <w:tcPr>
            <w:tcW w:w="1654" w:type="dxa"/>
            <w:shd w:val="clear" w:color="C6CEF4" w:fill="FFFFFF"/>
            <w:vAlign w:val="center"/>
          </w:tcPr>
          <w:p w14:paraId="5C75DA86" w14:textId="68912E05" w:rsidR="00E25B23" w:rsidRDefault="001227D5" w:rsidP="001E4CEB">
            <w:pPr>
              <w:jc w:val="center"/>
              <w:rPr>
                <w:rFonts w:ascii="Arial" w:hAnsi="Arial" w:cs="Arial"/>
                <w:bCs/>
                <w:sz w:val="18"/>
                <w:szCs w:val="18"/>
              </w:rPr>
            </w:pPr>
            <w:r>
              <w:rPr>
                <w:rFonts w:ascii="Arial" w:hAnsi="Arial" w:cs="Arial"/>
                <w:bCs/>
                <w:sz w:val="18"/>
                <w:szCs w:val="18"/>
              </w:rPr>
              <w:t>278.805,40</w:t>
            </w:r>
          </w:p>
        </w:tc>
        <w:tc>
          <w:tcPr>
            <w:tcW w:w="975" w:type="dxa"/>
            <w:shd w:val="clear" w:color="C6CEF4" w:fill="FFFFFF"/>
            <w:vAlign w:val="center"/>
          </w:tcPr>
          <w:p w14:paraId="304D3DE4" w14:textId="141BC0FE" w:rsidR="00E25B23" w:rsidRPr="009F119C" w:rsidRDefault="001227D5" w:rsidP="001E4CEB">
            <w:pPr>
              <w:jc w:val="center"/>
              <w:rPr>
                <w:rFonts w:ascii="Arial" w:hAnsi="Arial" w:cs="Arial"/>
                <w:bCs/>
                <w:sz w:val="18"/>
                <w:szCs w:val="18"/>
              </w:rPr>
            </w:pPr>
            <w:r>
              <w:rPr>
                <w:rFonts w:ascii="Arial" w:hAnsi="Arial" w:cs="Arial"/>
                <w:bCs/>
                <w:sz w:val="18"/>
                <w:szCs w:val="18"/>
              </w:rPr>
              <w:t>84,66%</w:t>
            </w:r>
          </w:p>
        </w:tc>
      </w:tr>
      <w:tr w:rsidR="00E25B23" w:rsidRPr="0092464A" w14:paraId="20BD5D5D" w14:textId="77777777" w:rsidTr="008674A7">
        <w:trPr>
          <w:trHeight w:val="279"/>
        </w:trPr>
        <w:tc>
          <w:tcPr>
            <w:tcW w:w="983" w:type="dxa"/>
            <w:shd w:val="clear" w:color="C6CEF4" w:fill="FFFFFF"/>
            <w:vAlign w:val="center"/>
          </w:tcPr>
          <w:p w14:paraId="4C64B1DE" w14:textId="77777777" w:rsidR="00E25B23" w:rsidRDefault="00E25B23" w:rsidP="005A0E37">
            <w:pPr>
              <w:rPr>
                <w:rFonts w:ascii="Arial" w:hAnsi="Arial" w:cs="Arial"/>
                <w:sz w:val="18"/>
                <w:szCs w:val="18"/>
                <w:lang w:eastAsia="hr-HR"/>
              </w:rPr>
            </w:pPr>
            <w:r>
              <w:rPr>
                <w:rFonts w:ascii="Arial" w:hAnsi="Arial" w:cs="Arial"/>
                <w:sz w:val="18"/>
                <w:szCs w:val="18"/>
                <w:lang w:eastAsia="hr-HR"/>
              </w:rPr>
              <w:t xml:space="preserve">Program </w:t>
            </w:r>
          </w:p>
        </w:tc>
        <w:tc>
          <w:tcPr>
            <w:tcW w:w="826" w:type="dxa"/>
            <w:shd w:val="clear" w:color="C6CEF4" w:fill="FFFFFF"/>
            <w:vAlign w:val="center"/>
          </w:tcPr>
          <w:p w14:paraId="4E087AFF" w14:textId="77777777" w:rsidR="00E25B23" w:rsidRDefault="00E25B23" w:rsidP="005A0E37">
            <w:pPr>
              <w:rPr>
                <w:rFonts w:ascii="Arial" w:hAnsi="Arial" w:cs="Arial"/>
                <w:sz w:val="18"/>
                <w:szCs w:val="18"/>
                <w:lang w:eastAsia="hr-HR"/>
              </w:rPr>
            </w:pPr>
            <w:r>
              <w:rPr>
                <w:rFonts w:ascii="Arial" w:hAnsi="Arial" w:cs="Arial"/>
                <w:sz w:val="18"/>
                <w:szCs w:val="18"/>
                <w:lang w:eastAsia="hr-HR"/>
              </w:rPr>
              <w:t>1701</w:t>
            </w:r>
          </w:p>
        </w:tc>
        <w:tc>
          <w:tcPr>
            <w:tcW w:w="3449" w:type="dxa"/>
            <w:shd w:val="clear" w:color="C6CEF4" w:fill="FFFFFF"/>
            <w:vAlign w:val="center"/>
          </w:tcPr>
          <w:p w14:paraId="36637150" w14:textId="77777777" w:rsidR="00E25B23" w:rsidRDefault="00E25B23" w:rsidP="005A0E37">
            <w:pPr>
              <w:rPr>
                <w:rFonts w:ascii="Arial" w:hAnsi="Arial" w:cs="Arial"/>
                <w:bCs/>
                <w:sz w:val="18"/>
                <w:szCs w:val="18"/>
              </w:rPr>
            </w:pPr>
            <w:r>
              <w:rPr>
                <w:rFonts w:ascii="Arial" w:hAnsi="Arial" w:cs="Arial"/>
                <w:bCs/>
                <w:sz w:val="18"/>
                <w:szCs w:val="18"/>
              </w:rPr>
              <w:t xml:space="preserve">ZBRINJAVANJE KOMUNALNOG OTPADA </w:t>
            </w:r>
          </w:p>
        </w:tc>
        <w:tc>
          <w:tcPr>
            <w:tcW w:w="1516" w:type="dxa"/>
            <w:shd w:val="clear" w:color="C6CEF4" w:fill="FFFFFF"/>
            <w:vAlign w:val="center"/>
          </w:tcPr>
          <w:p w14:paraId="1FFEDA63" w14:textId="629D2D3E" w:rsidR="00E25B23" w:rsidRDefault="001227D5" w:rsidP="001E4CEB">
            <w:pPr>
              <w:jc w:val="center"/>
              <w:rPr>
                <w:rFonts w:ascii="Arial" w:hAnsi="Arial" w:cs="Arial"/>
                <w:bCs/>
                <w:sz w:val="18"/>
                <w:szCs w:val="18"/>
              </w:rPr>
            </w:pPr>
            <w:r>
              <w:rPr>
                <w:rFonts w:ascii="Arial" w:hAnsi="Arial" w:cs="Arial"/>
                <w:bCs/>
                <w:sz w:val="18"/>
                <w:szCs w:val="18"/>
              </w:rPr>
              <w:t>47.000,00</w:t>
            </w:r>
          </w:p>
        </w:tc>
        <w:tc>
          <w:tcPr>
            <w:tcW w:w="1654" w:type="dxa"/>
            <w:shd w:val="clear" w:color="C6CEF4" w:fill="FFFFFF"/>
            <w:vAlign w:val="center"/>
          </w:tcPr>
          <w:p w14:paraId="2E452810" w14:textId="1F6433AD" w:rsidR="00E25B23" w:rsidRDefault="001227D5" w:rsidP="001E4CEB">
            <w:pPr>
              <w:jc w:val="center"/>
              <w:rPr>
                <w:rFonts w:ascii="Arial" w:hAnsi="Arial" w:cs="Arial"/>
                <w:bCs/>
                <w:sz w:val="18"/>
                <w:szCs w:val="18"/>
              </w:rPr>
            </w:pPr>
            <w:r>
              <w:rPr>
                <w:rFonts w:ascii="Arial" w:hAnsi="Arial" w:cs="Arial"/>
                <w:bCs/>
                <w:sz w:val="18"/>
                <w:szCs w:val="18"/>
              </w:rPr>
              <w:t>47.000,00</w:t>
            </w:r>
          </w:p>
        </w:tc>
        <w:tc>
          <w:tcPr>
            <w:tcW w:w="1654" w:type="dxa"/>
            <w:shd w:val="clear" w:color="C6CEF4" w:fill="FFFFFF"/>
            <w:vAlign w:val="center"/>
          </w:tcPr>
          <w:p w14:paraId="0F0CD704" w14:textId="58AB4FC4" w:rsidR="00E25B23" w:rsidRDefault="001227D5" w:rsidP="001E4CEB">
            <w:pPr>
              <w:jc w:val="center"/>
              <w:rPr>
                <w:rFonts w:ascii="Arial" w:hAnsi="Arial" w:cs="Arial"/>
                <w:bCs/>
                <w:sz w:val="18"/>
                <w:szCs w:val="18"/>
              </w:rPr>
            </w:pPr>
            <w:r>
              <w:rPr>
                <w:rFonts w:ascii="Arial" w:hAnsi="Arial" w:cs="Arial"/>
                <w:bCs/>
                <w:sz w:val="18"/>
                <w:szCs w:val="18"/>
              </w:rPr>
              <w:t>23.903,13</w:t>
            </w:r>
          </w:p>
        </w:tc>
        <w:tc>
          <w:tcPr>
            <w:tcW w:w="975" w:type="dxa"/>
            <w:shd w:val="clear" w:color="C6CEF4" w:fill="FFFFFF"/>
            <w:vAlign w:val="center"/>
          </w:tcPr>
          <w:p w14:paraId="7AA18021" w14:textId="562903BD" w:rsidR="00E25B23" w:rsidRDefault="001227D5" w:rsidP="001E4CEB">
            <w:pPr>
              <w:jc w:val="center"/>
              <w:rPr>
                <w:rFonts w:ascii="Arial" w:hAnsi="Arial" w:cs="Arial"/>
                <w:bCs/>
                <w:sz w:val="18"/>
                <w:szCs w:val="18"/>
              </w:rPr>
            </w:pPr>
            <w:r>
              <w:rPr>
                <w:rFonts w:ascii="Arial" w:hAnsi="Arial" w:cs="Arial"/>
                <w:bCs/>
                <w:sz w:val="18"/>
                <w:szCs w:val="18"/>
              </w:rPr>
              <w:t>50,86%</w:t>
            </w:r>
          </w:p>
        </w:tc>
      </w:tr>
    </w:tbl>
    <w:p w14:paraId="38C9E4C1" w14:textId="77777777" w:rsidR="00E25B23" w:rsidRDefault="00E25B23" w:rsidP="009A206F">
      <w:pPr>
        <w:spacing w:after="0"/>
        <w:jc w:val="both"/>
        <w:rPr>
          <w:rFonts w:cstheme="minorHAnsi"/>
          <w:sz w:val="24"/>
          <w:szCs w:val="24"/>
          <w:u w:val="single"/>
        </w:rPr>
      </w:pPr>
    </w:p>
    <w:p w14:paraId="4EFC449D" w14:textId="313ACF2F" w:rsidR="009A206F" w:rsidRPr="00BF10EA" w:rsidRDefault="009A206F" w:rsidP="009A206F">
      <w:pPr>
        <w:spacing w:after="0"/>
        <w:jc w:val="both"/>
        <w:rPr>
          <w:rFonts w:cstheme="minorHAnsi"/>
          <w:b/>
          <w:sz w:val="24"/>
          <w:szCs w:val="24"/>
          <w:u w:val="single"/>
        </w:rPr>
      </w:pPr>
      <w:r w:rsidRPr="00BF10EA">
        <w:rPr>
          <w:rFonts w:cstheme="minorHAnsi"/>
          <w:sz w:val="24"/>
          <w:szCs w:val="24"/>
          <w:u w:val="single"/>
        </w:rPr>
        <w:t xml:space="preserve">Program 1101 Javna uprava i administracija </w:t>
      </w:r>
    </w:p>
    <w:p w14:paraId="79102410" w14:textId="77777777" w:rsidR="00FE0C6F" w:rsidRDefault="00FE0C6F" w:rsidP="00FE0C6F">
      <w:pPr>
        <w:spacing w:after="0"/>
        <w:jc w:val="both"/>
        <w:rPr>
          <w:rFonts w:cstheme="minorHAnsi"/>
          <w:sz w:val="24"/>
          <w:szCs w:val="24"/>
          <w:lang w:eastAsia="hr-HR"/>
        </w:rPr>
      </w:pPr>
      <w:r w:rsidRPr="00FE0C6F">
        <w:rPr>
          <w:rFonts w:cstheme="minorHAnsi"/>
          <w:sz w:val="24"/>
          <w:szCs w:val="24"/>
        </w:rPr>
        <w:t>Ovaj program obuhvaća aktivnosti vezane za redovno obavljanje poslova iz djelokruga odjela kroz osiguranje već spomenutih rashoda u opisu ove aktivnosti (odlazak djelatnika na seminare, edukaciju iz područja svog djelokruga, informiranje, ostali nespomenuti rashodi, naknade pravnim i fizičkim osobama, službena odjeća, usluga najma opreme te ostala oprema za redarstvo).</w:t>
      </w:r>
    </w:p>
    <w:p w14:paraId="2BCE2E53" w14:textId="7B446209" w:rsidR="00C70660" w:rsidRDefault="00600773" w:rsidP="00FE0C6F">
      <w:pPr>
        <w:spacing w:after="0"/>
        <w:jc w:val="both"/>
        <w:rPr>
          <w:rFonts w:cstheme="minorHAnsi"/>
          <w:sz w:val="24"/>
          <w:szCs w:val="24"/>
          <w:lang w:eastAsia="hr-HR"/>
        </w:rPr>
      </w:pPr>
      <w:r>
        <w:rPr>
          <w:rFonts w:cstheme="minorHAnsi"/>
          <w:sz w:val="24"/>
          <w:szCs w:val="24"/>
        </w:rPr>
        <w:lastRenderedPageBreak/>
        <w:t xml:space="preserve">Unutar navedenog programa imamo dvije aktivnosti: </w:t>
      </w:r>
    </w:p>
    <w:p w14:paraId="642123EC" w14:textId="58516796" w:rsidR="00C70660" w:rsidRDefault="00C70660" w:rsidP="00C70660">
      <w:pPr>
        <w:spacing w:after="0" w:line="240" w:lineRule="auto"/>
        <w:ind w:firstLine="708"/>
        <w:jc w:val="both"/>
        <w:rPr>
          <w:rFonts w:cstheme="minorHAnsi"/>
          <w:sz w:val="24"/>
          <w:szCs w:val="24"/>
        </w:rPr>
      </w:pPr>
      <w:r>
        <w:rPr>
          <w:rFonts w:cstheme="minorHAnsi"/>
          <w:sz w:val="24"/>
          <w:szCs w:val="24"/>
        </w:rPr>
        <w:t>(1) A100001 Financiranje tekućih rashoda</w:t>
      </w:r>
    </w:p>
    <w:p w14:paraId="7FC36CE4" w14:textId="1FD3F4E7" w:rsidR="00C70660" w:rsidRDefault="00C70660" w:rsidP="00C70660">
      <w:pPr>
        <w:spacing w:after="0" w:line="240" w:lineRule="auto"/>
        <w:ind w:firstLine="708"/>
        <w:jc w:val="both"/>
        <w:rPr>
          <w:rFonts w:cstheme="minorHAnsi"/>
          <w:sz w:val="24"/>
          <w:szCs w:val="24"/>
        </w:rPr>
      </w:pPr>
      <w:r>
        <w:rPr>
          <w:rFonts w:cstheme="minorHAnsi"/>
          <w:sz w:val="24"/>
          <w:szCs w:val="24"/>
        </w:rPr>
        <w:t xml:space="preserve">(2) A100022 Opremanje redarstva </w:t>
      </w:r>
    </w:p>
    <w:p w14:paraId="69CB18ED" w14:textId="77777777" w:rsidR="00C70660" w:rsidRDefault="00C70660" w:rsidP="00600773">
      <w:pPr>
        <w:spacing w:after="0"/>
        <w:jc w:val="both"/>
        <w:rPr>
          <w:rFonts w:cstheme="minorHAnsi"/>
          <w:sz w:val="24"/>
          <w:szCs w:val="24"/>
        </w:rPr>
      </w:pPr>
    </w:p>
    <w:p w14:paraId="5B32AF53" w14:textId="24C76EA2" w:rsidR="00600773" w:rsidRPr="001F5D5C" w:rsidRDefault="00600773" w:rsidP="001F5D5C">
      <w:pPr>
        <w:spacing w:after="0" w:line="240" w:lineRule="auto"/>
        <w:jc w:val="both"/>
        <w:rPr>
          <w:rFonts w:cstheme="minorHAnsi"/>
          <w:sz w:val="24"/>
          <w:szCs w:val="24"/>
          <w:lang w:eastAsia="hr-HR"/>
        </w:rPr>
      </w:pPr>
      <w:r w:rsidRPr="00FE0C6F">
        <w:rPr>
          <w:rFonts w:cstheme="minorHAnsi"/>
          <w:sz w:val="24"/>
          <w:szCs w:val="24"/>
          <w:u w:val="single"/>
          <w:lang w:eastAsia="hr-HR"/>
        </w:rPr>
        <w:t xml:space="preserve">Aktivnost </w:t>
      </w:r>
      <w:r w:rsidR="00FE0C6F">
        <w:rPr>
          <w:rFonts w:cstheme="minorHAnsi"/>
          <w:sz w:val="24"/>
          <w:szCs w:val="24"/>
          <w:u w:val="single"/>
          <w:lang w:eastAsia="hr-HR"/>
        </w:rPr>
        <w:t>-</w:t>
      </w:r>
      <w:r w:rsidRPr="00FE0C6F">
        <w:rPr>
          <w:rFonts w:cstheme="minorHAnsi"/>
          <w:sz w:val="24"/>
          <w:szCs w:val="24"/>
          <w:u w:val="single"/>
          <w:lang w:eastAsia="hr-HR"/>
        </w:rPr>
        <w:t>Financiranje tekućih rashoda</w:t>
      </w:r>
      <w:r w:rsidR="001F5D5C">
        <w:rPr>
          <w:rFonts w:cstheme="minorHAnsi"/>
          <w:b/>
          <w:sz w:val="24"/>
          <w:szCs w:val="24"/>
          <w:lang w:eastAsia="hr-HR"/>
        </w:rPr>
        <w:t>,</w:t>
      </w:r>
      <w:r w:rsidR="001F5D5C">
        <w:rPr>
          <w:rFonts w:cstheme="minorHAnsi"/>
          <w:sz w:val="24"/>
          <w:szCs w:val="24"/>
        </w:rPr>
        <w:t xml:space="preserve"> o</w:t>
      </w:r>
      <w:r w:rsidR="001F5D5C" w:rsidRPr="001F5D5C">
        <w:rPr>
          <w:rFonts w:cstheme="minorHAnsi"/>
          <w:sz w:val="24"/>
          <w:szCs w:val="24"/>
        </w:rPr>
        <w:t xml:space="preserve">vom aktivnošću osiguravaju se materijalni preduvjeti za redovno obavljanje poslova iz djelokruga upravnog odjela. Najznačajniji su rashodi za službena putovanja, stručno usavršavanje, ostale nespomenute rashode, ostale naknade štete pravnim i fizičkim osobama </w:t>
      </w:r>
      <w:r w:rsidRPr="001F5D5C">
        <w:rPr>
          <w:rFonts w:cstheme="minorHAnsi"/>
          <w:sz w:val="24"/>
          <w:szCs w:val="24"/>
          <w:lang w:eastAsia="hr-HR"/>
        </w:rPr>
        <w:t xml:space="preserve">i bilježi realizaciju u iznosu od </w:t>
      </w:r>
      <w:r w:rsidR="00FE0C6F" w:rsidRPr="001F5D5C">
        <w:rPr>
          <w:rFonts w:cstheme="minorHAnsi"/>
          <w:sz w:val="24"/>
          <w:szCs w:val="24"/>
          <w:lang w:eastAsia="hr-HR"/>
        </w:rPr>
        <w:t>6.361,20</w:t>
      </w:r>
      <w:r w:rsidR="005B1350" w:rsidRPr="001F5D5C">
        <w:rPr>
          <w:rFonts w:cstheme="minorHAnsi"/>
          <w:sz w:val="24"/>
          <w:szCs w:val="24"/>
          <w:lang w:eastAsia="hr-HR"/>
        </w:rPr>
        <w:t xml:space="preserve"> eura</w:t>
      </w:r>
      <w:r w:rsidRPr="001F5D5C">
        <w:rPr>
          <w:rFonts w:cstheme="minorHAnsi"/>
          <w:sz w:val="24"/>
          <w:szCs w:val="24"/>
          <w:lang w:eastAsia="hr-HR"/>
        </w:rPr>
        <w:t xml:space="preserve">, a odnosi se na rashode za službena putovanja i stručno usavršavanje zaposlenika. </w:t>
      </w:r>
    </w:p>
    <w:p w14:paraId="201BA876" w14:textId="77777777" w:rsidR="00D02F8F" w:rsidRDefault="00D02F8F" w:rsidP="00600773">
      <w:pPr>
        <w:spacing w:after="0"/>
        <w:jc w:val="both"/>
        <w:rPr>
          <w:rFonts w:cstheme="minorHAnsi"/>
          <w:sz w:val="24"/>
          <w:szCs w:val="24"/>
          <w:lang w:eastAsia="hr-HR"/>
        </w:rPr>
      </w:pPr>
    </w:p>
    <w:p w14:paraId="427CD7BF" w14:textId="3B72044C" w:rsidR="00600773" w:rsidRDefault="00600773" w:rsidP="00600773">
      <w:pPr>
        <w:spacing w:after="0"/>
        <w:jc w:val="both"/>
        <w:rPr>
          <w:rFonts w:cstheme="minorHAnsi"/>
          <w:sz w:val="24"/>
          <w:szCs w:val="24"/>
          <w:lang w:eastAsia="hr-HR"/>
        </w:rPr>
      </w:pPr>
      <w:r w:rsidRPr="00FE0C6F">
        <w:rPr>
          <w:rFonts w:cstheme="minorHAnsi"/>
          <w:sz w:val="24"/>
          <w:szCs w:val="24"/>
          <w:u w:val="single"/>
          <w:lang w:eastAsia="hr-HR"/>
        </w:rPr>
        <w:t>Aktivnost - opremanje redarstva</w:t>
      </w:r>
      <w:r w:rsidRPr="00600773">
        <w:rPr>
          <w:rFonts w:cstheme="minorHAnsi"/>
          <w:sz w:val="24"/>
          <w:szCs w:val="24"/>
          <w:lang w:eastAsia="hr-HR"/>
        </w:rPr>
        <w:t xml:space="preserve"> odnosi se na troškove službene, radne i zaštitne odjeće i obuće, zakupnine i najamnine</w:t>
      </w:r>
      <w:r>
        <w:rPr>
          <w:rFonts w:cstheme="minorHAnsi"/>
          <w:sz w:val="24"/>
          <w:szCs w:val="24"/>
          <w:lang w:eastAsia="hr-HR"/>
        </w:rPr>
        <w:t>,</w:t>
      </w:r>
      <w:r w:rsidR="000E0649">
        <w:rPr>
          <w:rFonts w:cstheme="minorHAnsi"/>
          <w:sz w:val="24"/>
          <w:szCs w:val="24"/>
          <w:lang w:eastAsia="hr-HR"/>
        </w:rPr>
        <w:t xml:space="preserve"> usluge najma opreme i održavanja računalnog sustava za rad prometnog redarstva i Gradskog oka </w:t>
      </w:r>
      <w:r>
        <w:rPr>
          <w:rFonts w:cstheme="minorHAnsi"/>
          <w:sz w:val="24"/>
          <w:szCs w:val="24"/>
          <w:lang w:eastAsia="hr-HR"/>
        </w:rPr>
        <w:t xml:space="preserve">i bilježi realizaciju u iznosu od </w:t>
      </w:r>
      <w:r w:rsidR="00FE0C6F">
        <w:rPr>
          <w:rFonts w:cstheme="minorHAnsi"/>
          <w:sz w:val="24"/>
          <w:szCs w:val="24"/>
          <w:lang w:eastAsia="hr-HR"/>
        </w:rPr>
        <w:t>29.915,63</w:t>
      </w:r>
      <w:r w:rsidR="005B1350">
        <w:rPr>
          <w:rFonts w:cstheme="minorHAnsi"/>
          <w:sz w:val="24"/>
          <w:szCs w:val="24"/>
          <w:lang w:eastAsia="hr-HR"/>
        </w:rPr>
        <w:t xml:space="preserve"> eura</w:t>
      </w:r>
      <w:r>
        <w:rPr>
          <w:rFonts w:cstheme="minorHAnsi"/>
          <w:sz w:val="24"/>
          <w:szCs w:val="24"/>
          <w:lang w:eastAsia="hr-HR"/>
        </w:rPr>
        <w:t xml:space="preserve"> ili </w:t>
      </w:r>
      <w:r w:rsidR="00FE0C6F">
        <w:rPr>
          <w:rFonts w:cstheme="minorHAnsi"/>
          <w:sz w:val="24"/>
          <w:szCs w:val="24"/>
          <w:lang w:eastAsia="hr-HR"/>
        </w:rPr>
        <w:t>59,83</w:t>
      </w:r>
      <w:r>
        <w:rPr>
          <w:rFonts w:cstheme="minorHAnsi"/>
          <w:sz w:val="24"/>
          <w:szCs w:val="24"/>
          <w:lang w:eastAsia="hr-HR"/>
        </w:rPr>
        <w:t>% godišnjeg plana.</w:t>
      </w:r>
    </w:p>
    <w:p w14:paraId="0B13D97D" w14:textId="3A6E4F18" w:rsidR="00C70660" w:rsidRDefault="00C70660" w:rsidP="00600773">
      <w:pPr>
        <w:spacing w:after="0"/>
        <w:jc w:val="both"/>
        <w:rPr>
          <w:rFonts w:cstheme="minorHAnsi"/>
          <w:sz w:val="24"/>
          <w:szCs w:val="24"/>
          <w:lang w:eastAsia="hr-HR"/>
        </w:rPr>
      </w:pPr>
      <w:r w:rsidRPr="00C76997">
        <w:rPr>
          <w:rFonts w:cstheme="minorHAnsi"/>
          <w:sz w:val="24"/>
          <w:szCs w:val="24"/>
        </w:rPr>
        <w:t>Planirana sredstva za realizaciju</w:t>
      </w:r>
      <w:r>
        <w:rPr>
          <w:rFonts w:cstheme="minorHAnsi"/>
          <w:sz w:val="24"/>
          <w:szCs w:val="24"/>
        </w:rPr>
        <w:t xml:space="preserve"> ovog</w:t>
      </w:r>
      <w:r w:rsidRPr="00C76997">
        <w:rPr>
          <w:rFonts w:cstheme="minorHAnsi"/>
          <w:sz w:val="24"/>
          <w:szCs w:val="24"/>
        </w:rPr>
        <w:t xml:space="preserve"> progr</w:t>
      </w:r>
      <w:r>
        <w:rPr>
          <w:rFonts w:cstheme="minorHAnsi"/>
          <w:sz w:val="24"/>
          <w:szCs w:val="24"/>
        </w:rPr>
        <w:t>ama u 202</w:t>
      </w:r>
      <w:r w:rsidR="00F33A48">
        <w:rPr>
          <w:rFonts w:cstheme="minorHAnsi"/>
          <w:sz w:val="24"/>
          <w:szCs w:val="24"/>
        </w:rPr>
        <w:t>5</w:t>
      </w:r>
      <w:r>
        <w:rPr>
          <w:rFonts w:cstheme="minorHAnsi"/>
          <w:sz w:val="24"/>
          <w:szCs w:val="24"/>
        </w:rPr>
        <w:t>. godini su</w:t>
      </w:r>
      <w:r w:rsidRPr="00C76997">
        <w:rPr>
          <w:rFonts w:cstheme="minorHAnsi"/>
          <w:sz w:val="24"/>
          <w:szCs w:val="24"/>
        </w:rPr>
        <w:t xml:space="preserve"> iznosila </w:t>
      </w:r>
      <w:r w:rsidR="00F33A48">
        <w:rPr>
          <w:rFonts w:cstheme="minorHAnsi"/>
          <w:sz w:val="24"/>
          <w:szCs w:val="24"/>
        </w:rPr>
        <w:t>61.850,00</w:t>
      </w:r>
      <w:r>
        <w:rPr>
          <w:rFonts w:cstheme="minorHAnsi"/>
          <w:sz w:val="24"/>
          <w:szCs w:val="24"/>
        </w:rPr>
        <w:t xml:space="preserve"> eura,</w:t>
      </w:r>
      <w:r w:rsidRPr="00C76997">
        <w:rPr>
          <w:rFonts w:cstheme="minorHAnsi"/>
          <w:sz w:val="24"/>
          <w:szCs w:val="24"/>
        </w:rPr>
        <w:t xml:space="preserve"> a </w:t>
      </w:r>
      <w:r>
        <w:rPr>
          <w:rFonts w:cstheme="minorHAnsi"/>
          <w:sz w:val="24"/>
          <w:szCs w:val="24"/>
        </w:rPr>
        <w:t>u izvještajnom razdoblju 202</w:t>
      </w:r>
      <w:r w:rsidR="00F33A48">
        <w:rPr>
          <w:rFonts w:cstheme="minorHAnsi"/>
          <w:sz w:val="24"/>
          <w:szCs w:val="24"/>
        </w:rPr>
        <w:t>5</w:t>
      </w:r>
      <w:r>
        <w:rPr>
          <w:rFonts w:cstheme="minorHAnsi"/>
          <w:sz w:val="24"/>
          <w:szCs w:val="24"/>
        </w:rPr>
        <w:t>.godine ostvareno je</w:t>
      </w:r>
      <w:r w:rsidRPr="00C76997">
        <w:rPr>
          <w:rFonts w:cstheme="minorHAnsi"/>
          <w:sz w:val="24"/>
          <w:szCs w:val="24"/>
        </w:rPr>
        <w:t xml:space="preserve"> </w:t>
      </w:r>
      <w:r w:rsidR="00F33A48">
        <w:rPr>
          <w:rFonts w:cstheme="minorHAnsi"/>
          <w:sz w:val="24"/>
          <w:szCs w:val="24"/>
        </w:rPr>
        <w:t>36.276,83</w:t>
      </w:r>
      <w:r>
        <w:rPr>
          <w:rFonts w:cstheme="minorHAnsi"/>
          <w:sz w:val="24"/>
          <w:szCs w:val="24"/>
        </w:rPr>
        <w:t xml:space="preserve"> eura ili </w:t>
      </w:r>
      <w:r w:rsidR="00F33A48">
        <w:rPr>
          <w:rFonts w:cstheme="minorHAnsi"/>
          <w:sz w:val="24"/>
          <w:szCs w:val="24"/>
        </w:rPr>
        <w:t>58,65</w:t>
      </w:r>
      <w:r>
        <w:rPr>
          <w:rFonts w:cstheme="minorHAnsi"/>
          <w:sz w:val="24"/>
          <w:szCs w:val="24"/>
        </w:rPr>
        <w:t>% plana.</w:t>
      </w:r>
    </w:p>
    <w:p w14:paraId="1033BD1B" w14:textId="77777777" w:rsidR="001F5D5C" w:rsidRDefault="001F5D5C" w:rsidP="001F5D5C">
      <w:pPr>
        <w:spacing w:after="0"/>
        <w:jc w:val="both"/>
        <w:rPr>
          <w:rFonts w:cstheme="minorHAnsi"/>
        </w:rPr>
      </w:pPr>
    </w:p>
    <w:p w14:paraId="6946A1F4" w14:textId="2BEA6D9B" w:rsidR="00F0399E" w:rsidRDefault="00F0399E" w:rsidP="00F0399E">
      <w:pPr>
        <w:spacing w:after="0"/>
        <w:jc w:val="both"/>
        <w:rPr>
          <w:rFonts w:cstheme="minorHAnsi"/>
          <w:sz w:val="24"/>
          <w:szCs w:val="24"/>
          <w:u w:val="single"/>
        </w:rPr>
      </w:pPr>
      <w:r w:rsidRPr="00C76997">
        <w:rPr>
          <w:rFonts w:cstheme="minorHAnsi"/>
          <w:sz w:val="24"/>
          <w:szCs w:val="24"/>
          <w:u w:val="single"/>
        </w:rPr>
        <w:t xml:space="preserve">Program 1402 Održavanje nerazvrstanih cesta i puteva </w:t>
      </w:r>
    </w:p>
    <w:p w14:paraId="42753F65" w14:textId="77777777" w:rsidR="00BC16DF" w:rsidRPr="00FE2B0D" w:rsidRDefault="00BC16DF" w:rsidP="00BC16DF">
      <w:pPr>
        <w:overflowPunct w:val="0"/>
        <w:autoSpaceDE w:val="0"/>
        <w:autoSpaceDN w:val="0"/>
        <w:adjustRightInd w:val="0"/>
        <w:spacing w:after="0" w:line="280" w:lineRule="exact"/>
        <w:jc w:val="both"/>
        <w:textAlignment w:val="baseline"/>
        <w:rPr>
          <w:rFonts w:eastAsia="Calibri" w:cstheme="minorHAnsi"/>
          <w:color w:val="000000" w:themeColor="text1"/>
          <w:sz w:val="24"/>
          <w:szCs w:val="24"/>
        </w:rPr>
      </w:pPr>
      <w:r w:rsidRPr="00FE2B0D">
        <w:rPr>
          <w:rFonts w:eastAsia="Calibri" w:cstheme="minorHAnsi"/>
          <w:color w:val="000000" w:themeColor="text1"/>
          <w:sz w:val="24"/>
          <w:szCs w:val="24"/>
        </w:rPr>
        <w:t>U okviru ovog programa planirana su sredstva za financiranje održavanja nerazvrstanih cesta i puteva, održavanje poljskih i šumskih puteva po otocima i priobalju, poboljšanje sigurnosti na cestama, izrada projekata regulacije prometa na području grada te održavanje puteva na Drveniku Velom i Malom.</w:t>
      </w:r>
    </w:p>
    <w:p w14:paraId="270DE7B3" w14:textId="500CCE51" w:rsidR="00BC16DF" w:rsidRPr="00FE2B0D" w:rsidRDefault="00BC16DF" w:rsidP="00BC16DF">
      <w:pPr>
        <w:overflowPunct w:val="0"/>
        <w:autoSpaceDE w:val="0"/>
        <w:autoSpaceDN w:val="0"/>
        <w:adjustRightInd w:val="0"/>
        <w:spacing w:after="0" w:line="280" w:lineRule="exact"/>
        <w:textAlignment w:val="baseline"/>
        <w:rPr>
          <w:rFonts w:eastAsia="Calibri" w:cstheme="minorHAnsi"/>
          <w:color w:val="000000" w:themeColor="text1"/>
          <w:sz w:val="24"/>
          <w:szCs w:val="24"/>
        </w:rPr>
      </w:pPr>
      <w:r w:rsidRPr="00FE2B0D">
        <w:rPr>
          <w:rFonts w:eastAsia="Calibri" w:cstheme="minorHAnsi"/>
          <w:color w:val="000000" w:themeColor="text1"/>
          <w:sz w:val="24"/>
          <w:szCs w:val="24"/>
        </w:rPr>
        <w:t xml:space="preserve">Poslovi i zadatci planirani su kroz </w:t>
      </w:r>
      <w:r w:rsidR="00D02F8F">
        <w:rPr>
          <w:rFonts w:eastAsia="Calibri" w:cstheme="minorHAnsi"/>
          <w:color w:val="000000" w:themeColor="text1"/>
          <w:sz w:val="24"/>
          <w:szCs w:val="24"/>
        </w:rPr>
        <w:t>3</w:t>
      </w:r>
      <w:r w:rsidRPr="00FE2B0D">
        <w:rPr>
          <w:rFonts w:eastAsia="Calibri" w:cstheme="minorHAnsi"/>
          <w:color w:val="000000" w:themeColor="text1"/>
          <w:sz w:val="24"/>
          <w:szCs w:val="24"/>
        </w:rPr>
        <w:t xml:space="preserve"> aktivnosti i </w:t>
      </w:r>
      <w:r w:rsidR="00D02F8F">
        <w:rPr>
          <w:rFonts w:eastAsia="Calibri" w:cstheme="minorHAnsi"/>
          <w:color w:val="000000" w:themeColor="text1"/>
          <w:sz w:val="24"/>
          <w:szCs w:val="24"/>
        </w:rPr>
        <w:t>2</w:t>
      </w:r>
      <w:r w:rsidRPr="00FE2B0D">
        <w:rPr>
          <w:rFonts w:eastAsia="Calibri" w:cstheme="minorHAnsi"/>
          <w:color w:val="000000" w:themeColor="text1"/>
          <w:sz w:val="24"/>
          <w:szCs w:val="24"/>
        </w:rPr>
        <w:t xml:space="preserve"> tekuć</w:t>
      </w:r>
      <w:r w:rsidR="00D02F8F">
        <w:rPr>
          <w:rFonts w:eastAsia="Calibri" w:cstheme="minorHAnsi"/>
          <w:color w:val="000000" w:themeColor="text1"/>
          <w:sz w:val="24"/>
          <w:szCs w:val="24"/>
        </w:rPr>
        <w:t>a</w:t>
      </w:r>
      <w:r w:rsidRPr="00FE2B0D">
        <w:rPr>
          <w:rFonts w:eastAsia="Calibri" w:cstheme="minorHAnsi"/>
          <w:color w:val="000000" w:themeColor="text1"/>
          <w:sz w:val="24"/>
          <w:szCs w:val="24"/>
        </w:rPr>
        <w:t xml:space="preserve"> projekt</w:t>
      </w:r>
      <w:r w:rsidR="00D02F8F">
        <w:rPr>
          <w:rFonts w:eastAsia="Calibri" w:cstheme="minorHAnsi"/>
          <w:color w:val="000000" w:themeColor="text1"/>
          <w:sz w:val="24"/>
          <w:szCs w:val="24"/>
        </w:rPr>
        <w:t>a</w:t>
      </w:r>
      <w:r w:rsidRPr="00FE2B0D">
        <w:rPr>
          <w:rFonts w:eastAsia="Calibri" w:cstheme="minorHAnsi"/>
          <w:color w:val="000000" w:themeColor="text1"/>
          <w:sz w:val="24"/>
          <w:szCs w:val="24"/>
        </w:rPr>
        <w:t xml:space="preserve">: </w:t>
      </w:r>
    </w:p>
    <w:p w14:paraId="5B7E87FB" w14:textId="3C25F226" w:rsidR="00BC16DF" w:rsidRPr="00D02F8F" w:rsidRDefault="00BC16DF" w:rsidP="00D02F8F">
      <w:pPr>
        <w:pStyle w:val="Odlomakpopisa"/>
        <w:numPr>
          <w:ilvl w:val="0"/>
          <w:numId w:val="40"/>
        </w:numPr>
        <w:overflowPunct w:val="0"/>
        <w:autoSpaceDE w:val="0"/>
        <w:autoSpaceDN w:val="0"/>
        <w:adjustRightInd w:val="0"/>
        <w:spacing w:after="0" w:line="280" w:lineRule="exact"/>
        <w:jc w:val="both"/>
        <w:textAlignment w:val="baseline"/>
        <w:rPr>
          <w:rFonts w:cstheme="minorHAnsi"/>
          <w:color w:val="000000" w:themeColor="text1"/>
          <w:sz w:val="24"/>
          <w:szCs w:val="24"/>
        </w:rPr>
      </w:pPr>
      <w:r w:rsidRPr="00D02F8F">
        <w:rPr>
          <w:rFonts w:cstheme="minorHAnsi"/>
          <w:color w:val="000000" w:themeColor="text1"/>
          <w:sz w:val="24"/>
          <w:szCs w:val="24"/>
        </w:rPr>
        <w:t>A100005 Održavanje nerazvrstanih cesta i puteva,</w:t>
      </w:r>
    </w:p>
    <w:p w14:paraId="74AAFF5B" w14:textId="1C3E5E13" w:rsidR="00BC16DF" w:rsidRDefault="00BC16DF" w:rsidP="00BC16DF">
      <w:pPr>
        <w:overflowPunct w:val="0"/>
        <w:autoSpaceDE w:val="0"/>
        <w:autoSpaceDN w:val="0"/>
        <w:adjustRightInd w:val="0"/>
        <w:spacing w:after="0" w:line="280" w:lineRule="exact"/>
        <w:ind w:left="357"/>
        <w:jc w:val="both"/>
        <w:textAlignment w:val="baseline"/>
        <w:rPr>
          <w:rFonts w:eastAsia="Calibri" w:cstheme="minorHAnsi"/>
          <w:color w:val="000000" w:themeColor="text1"/>
          <w:sz w:val="24"/>
          <w:szCs w:val="24"/>
        </w:rPr>
      </w:pPr>
      <w:r w:rsidRPr="00FE2B0D">
        <w:rPr>
          <w:rFonts w:eastAsia="Calibri" w:cstheme="minorHAnsi"/>
          <w:color w:val="000000" w:themeColor="text1"/>
          <w:sz w:val="24"/>
          <w:szCs w:val="24"/>
        </w:rPr>
        <w:t>(</w:t>
      </w:r>
      <w:r w:rsidR="00D02F8F">
        <w:rPr>
          <w:rFonts w:eastAsia="Calibri" w:cstheme="minorHAnsi"/>
          <w:color w:val="000000" w:themeColor="text1"/>
          <w:sz w:val="24"/>
          <w:szCs w:val="24"/>
        </w:rPr>
        <w:t>3</w:t>
      </w:r>
      <w:r w:rsidRPr="00FE2B0D">
        <w:rPr>
          <w:rFonts w:eastAsia="Calibri" w:cstheme="minorHAnsi"/>
          <w:color w:val="000000" w:themeColor="text1"/>
          <w:sz w:val="24"/>
          <w:szCs w:val="24"/>
        </w:rPr>
        <w:t>) A100047 Poboljšanje sigurnosti na cestama,</w:t>
      </w:r>
    </w:p>
    <w:p w14:paraId="5F1337F3" w14:textId="45EE75DB" w:rsidR="00BC16DF" w:rsidRPr="00FE2B0D" w:rsidRDefault="00BC16DF" w:rsidP="00BC16DF">
      <w:pPr>
        <w:overflowPunct w:val="0"/>
        <w:autoSpaceDE w:val="0"/>
        <w:autoSpaceDN w:val="0"/>
        <w:adjustRightInd w:val="0"/>
        <w:spacing w:after="0" w:line="280" w:lineRule="exact"/>
        <w:ind w:left="357"/>
        <w:jc w:val="both"/>
        <w:textAlignment w:val="baseline"/>
        <w:rPr>
          <w:rFonts w:eastAsia="Calibri" w:cstheme="minorHAnsi"/>
          <w:color w:val="000000" w:themeColor="text1"/>
          <w:sz w:val="24"/>
          <w:szCs w:val="24"/>
        </w:rPr>
      </w:pPr>
      <w:r>
        <w:rPr>
          <w:rFonts w:eastAsia="Calibri" w:cstheme="minorHAnsi"/>
          <w:color w:val="000000" w:themeColor="text1"/>
          <w:sz w:val="24"/>
          <w:szCs w:val="24"/>
        </w:rPr>
        <w:t>(4) A100049 Sanacija nerazvrstanih cesta i puteva-I tebe se pita</w:t>
      </w:r>
      <w:r w:rsidR="00D02F8F">
        <w:rPr>
          <w:rFonts w:eastAsia="Calibri" w:cstheme="minorHAnsi"/>
          <w:color w:val="000000" w:themeColor="text1"/>
          <w:sz w:val="24"/>
          <w:szCs w:val="24"/>
        </w:rPr>
        <w:t>,</w:t>
      </w:r>
    </w:p>
    <w:p w14:paraId="7F5642B6" w14:textId="0DE89C16" w:rsidR="00BC16DF" w:rsidRDefault="00BC16DF" w:rsidP="00BC16DF">
      <w:pPr>
        <w:overflowPunct w:val="0"/>
        <w:autoSpaceDE w:val="0"/>
        <w:autoSpaceDN w:val="0"/>
        <w:adjustRightInd w:val="0"/>
        <w:spacing w:after="0" w:line="280" w:lineRule="exact"/>
        <w:ind w:left="357"/>
        <w:jc w:val="both"/>
        <w:textAlignment w:val="baseline"/>
        <w:rPr>
          <w:rFonts w:eastAsia="Calibri" w:cstheme="minorHAnsi"/>
          <w:color w:val="000000" w:themeColor="text1"/>
          <w:sz w:val="24"/>
          <w:szCs w:val="24"/>
        </w:rPr>
      </w:pPr>
      <w:r w:rsidRPr="00FE2B0D">
        <w:rPr>
          <w:rFonts w:eastAsia="Calibri" w:cstheme="minorHAnsi"/>
          <w:color w:val="000000" w:themeColor="text1"/>
          <w:sz w:val="24"/>
          <w:szCs w:val="24"/>
        </w:rPr>
        <w:t>(</w:t>
      </w:r>
      <w:r>
        <w:rPr>
          <w:rFonts w:eastAsia="Calibri" w:cstheme="minorHAnsi"/>
          <w:color w:val="000000" w:themeColor="text1"/>
          <w:sz w:val="24"/>
          <w:szCs w:val="24"/>
        </w:rPr>
        <w:t>5</w:t>
      </w:r>
      <w:r w:rsidRPr="00FE2B0D">
        <w:rPr>
          <w:rFonts w:eastAsia="Calibri" w:cstheme="minorHAnsi"/>
          <w:color w:val="000000" w:themeColor="text1"/>
          <w:sz w:val="24"/>
          <w:szCs w:val="24"/>
        </w:rPr>
        <w:t>) T100006 Izrada projekata regulacije prometa na području grada</w:t>
      </w:r>
    </w:p>
    <w:p w14:paraId="638302B9" w14:textId="5ED2FDF5" w:rsidR="00D02F8F" w:rsidRPr="00D02F8F" w:rsidRDefault="00D02F8F" w:rsidP="00D02F8F">
      <w:pPr>
        <w:overflowPunct w:val="0"/>
        <w:autoSpaceDE w:val="0"/>
        <w:autoSpaceDN w:val="0"/>
        <w:adjustRightInd w:val="0"/>
        <w:spacing w:after="0" w:line="280" w:lineRule="exact"/>
        <w:ind w:left="357"/>
        <w:jc w:val="both"/>
        <w:textAlignment w:val="baseline"/>
        <w:rPr>
          <w:rFonts w:eastAsia="Calibri" w:cstheme="minorHAnsi"/>
          <w:color w:val="000000" w:themeColor="text1"/>
          <w:sz w:val="24"/>
          <w:szCs w:val="24"/>
        </w:rPr>
      </w:pPr>
      <w:r>
        <w:rPr>
          <w:rFonts w:eastAsia="Calibri" w:cstheme="minorHAnsi"/>
          <w:color w:val="000000" w:themeColor="text1"/>
          <w:sz w:val="24"/>
          <w:szCs w:val="24"/>
        </w:rPr>
        <w:t>(6</w:t>
      </w:r>
      <w:r w:rsidRPr="00D02F8F">
        <w:rPr>
          <w:rFonts w:eastAsia="Calibri" w:cstheme="minorHAnsi"/>
          <w:color w:val="000000" w:themeColor="text1"/>
          <w:sz w:val="24"/>
          <w:szCs w:val="24"/>
        </w:rPr>
        <w:t xml:space="preserve">) </w:t>
      </w:r>
      <w:r w:rsidRPr="00D02F8F">
        <w:rPr>
          <w:rFonts w:eastAsia="Calibri" w:cstheme="minorHAnsi"/>
          <w:color w:val="000000"/>
          <w:sz w:val="24"/>
          <w:szCs w:val="24"/>
          <w:lang w:eastAsia="ar-SA"/>
        </w:rPr>
        <w:t>T100011 Održavanje puteva na Drveniku Velom i Malom</w:t>
      </w:r>
      <w:r w:rsidRPr="00DB0336">
        <w:rPr>
          <w:rFonts w:eastAsia="Calibri" w:cstheme="minorHAnsi"/>
          <w:color w:val="000000"/>
          <w:lang w:eastAsia="ar-SA"/>
        </w:rPr>
        <w:t>.</w:t>
      </w:r>
    </w:p>
    <w:p w14:paraId="0A9F0D00" w14:textId="77777777" w:rsidR="00CE612B" w:rsidRDefault="00CE612B" w:rsidP="00BC16DF">
      <w:pPr>
        <w:overflowPunct w:val="0"/>
        <w:autoSpaceDE w:val="0"/>
        <w:autoSpaceDN w:val="0"/>
        <w:adjustRightInd w:val="0"/>
        <w:spacing w:after="0" w:line="280" w:lineRule="exact"/>
        <w:jc w:val="both"/>
        <w:textAlignment w:val="baseline"/>
        <w:rPr>
          <w:rFonts w:eastAsia="Calibri" w:cstheme="minorHAnsi"/>
          <w:color w:val="000000" w:themeColor="text1"/>
          <w:sz w:val="24"/>
          <w:szCs w:val="24"/>
        </w:rPr>
      </w:pPr>
    </w:p>
    <w:p w14:paraId="403AB0A9" w14:textId="3E4F7DEF" w:rsidR="00BC16DF" w:rsidRDefault="00BC16DF" w:rsidP="00BC16DF">
      <w:pPr>
        <w:overflowPunct w:val="0"/>
        <w:autoSpaceDE w:val="0"/>
        <w:autoSpaceDN w:val="0"/>
        <w:adjustRightInd w:val="0"/>
        <w:spacing w:after="0" w:line="280" w:lineRule="exact"/>
        <w:jc w:val="both"/>
        <w:textAlignment w:val="baseline"/>
        <w:rPr>
          <w:rFonts w:cstheme="minorHAnsi"/>
          <w:sz w:val="24"/>
          <w:szCs w:val="24"/>
        </w:rPr>
      </w:pPr>
      <w:r w:rsidRPr="00361094">
        <w:rPr>
          <w:rFonts w:eastAsia="Calibri" w:cstheme="minorHAnsi"/>
          <w:color w:val="000000" w:themeColor="text1"/>
          <w:sz w:val="24"/>
          <w:szCs w:val="24"/>
        </w:rPr>
        <w:t xml:space="preserve">U programu Održavanje nerazvrstanih cesta i puteva planirana su sredstva za </w:t>
      </w:r>
      <w:r>
        <w:rPr>
          <w:rFonts w:eastAsia="Calibri" w:cstheme="minorHAnsi"/>
          <w:color w:val="000000" w:themeColor="text1"/>
          <w:sz w:val="24"/>
          <w:szCs w:val="24"/>
        </w:rPr>
        <w:t>3</w:t>
      </w:r>
      <w:r w:rsidRPr="00361094">
        <w:rPr>
          <w:rFonts w:eastAsia="Calibri" w:cstheme="minorHAnsi"/>
          <w:color w:val="000000" w:themeColor="text1"/>
          <w:sz w:val="24"/>
          <w:szCs w:val="24"/>
        </w:rPr>
        <w:t xml:space="preserve"> aktivnosti i </w:t>
      </w:r>
      <w:r w:rsidR="00D02F8F">
        <w:rPr>
          <w:rFonts w:eastAsia="Calibri" w:cstheme="minorHAnsi"/>
          <w:color w:val="000000" w:themeColor="text1"/>
          <w:sz w:val="24"/>
          <w:szCs w:val="24"/>
        </w:rPr>
        <w:t>2</w:t>
      </w:r>
      <w:r w:rsidRPr="00361094">
        <w:rPr>
          <w:rFonts w:eastAsia="Calibri" w:cstheme="minorHAnsi"/>
          <w:color w:val="000000" w:themeColor="text1"/>
          <w:sz w:val="24"/>
          <w:szCs w:val="24"/>
        </w:rPr>
        <w:t xml:space="preserve"> tekuć</w:t>
      </w:r>
      <w:r w:rsidR="00D02F8F">
        <w:rPr>
          <w:rFonts w:eastAsia="Calibri" w:cstheme="minorHAnsi"/>
          <w:color w:val="000000" w:themeColor="text1"/>
          <w:sz w:val="24"/>
          <w:szCs w:val="24"/>
        </w:rPr>
        <w:t>a</w:t>
      </w:r>
      <w:r w:rsidRPr="00361094">
        <w:rPr>
          <w:rFonts w:eastAsia="Calibri" w:cstheme="minorHAnsi"/>
          <w:color w:val="000000" w:themeColor="text1"/>
          <w:sz w:val="24"/>
          <w:szCs w:val="24"/>
        </w:rPr>
        <w:t xml:space="preserve"> projekt</w:t>
      </w:r>
      <w:r w:rsidR="00D02F8F">
        <w:rPr>
          <w:rFonts w:eastAsia="Calibri" w:cstheme="minorHAnsi"/>
          <w:color w:val="000000" w:themeColor="text1"/>
          <w:sz w:val="24"/>
          <w:szCs w:val="24"/>
        </w:rPr>
        <w:t>a</w:t>
      </w:r>
      <w:r w:rsidRPr="00361094">
        <w:rPr>
          <w:rFonts w:eastAsia="Calibri" w:cstheme="minorHAnsi"/>
          <w:color w:val="000000" w:themeColor="text1"/>
          <w:sz w:val="24"/>
          <w:szCs w:val="24"/>
        </w:rPr>
        <w:t xml:space="preserve"> u ukupnom iznosu od </w:t>
      </w:r>
      <w:r w:rsidR="00D02F8F">
        <w:rPr>
          <w:rFonts w:eastAsia="Calibri" w:cstheme="minorHAnsi"/>
          <w:color w:val="000000" w:themeColor="text1"/>
          <w:sz w:val="24"/>
          <w:szCs w:val="24"/>
        </w:rPr>
        <w:t>493.010,00</w:t>
      </w:r>
      <w:r w:rsidRPr="00361094">
        <w:rPr>
          <w:rFonts w:eastAsia="Calibri" w:cstheme="minorHAnsi"/>
          <w:color w:val="000000" w:themeColor="text1"/>
          <w:sz w:val="24"/>
          <w:szCs w:val="24"/>
        </w:rPr>
        <w:t xml:space="preserve"> eura. U izvještajnom razdoblju 202</w:t>
      </w:r>
      <w:r w:rsidR="00D02F8F">
        <w:rPr>
          <w:rFonts w:eastAsia="Calibri" w:cstheme="minorHAnsi"/>
          <w:color w:val="000000" w:themeColor="text1"/>
          <w:sz w:val="24"/>
          <w:szCs w:val="24"/>
        </w:rPr>
        <w:t>5</w:t>
      </w:r>
      <w:r w:rsidRPr="00361094">
        <w:rPr>
          <w:rFonts w:eastAsia="Calibri" w:cstheme="minorHAnsi"/>
          <w:color w:val="000000" w:themeColor="text1"/>
          <w:sz w:val="24"/>
          <w:szCs w:val="24"/>
        </w:rPr>
        <w:t xml:space="preserve">.godine realizirano je </w:t>
      </w:r>
      <w:r w:rsidR="00D02F8F">
        <w:rPr>
          <w:rFonts w:eastAsia="Calibri" w:cstheme="minorHAnsi"/>
          <w:color w:val="000000" w:themeColor="text1"/>
          <w:sz w:val="24"/>
          <w:szCs w:val="24"/>
        </w:rPr>
        <w:t>380.371,66</w:t>
      </w:r>
      <w:r w:rsidRPr="00361094">
        <w:rPr>
          <w:rFonts w:eastAsia="Calibri" w:cstheme="minorHAnsi"/>
          <w:color w:val="000000" w:themeColor="text1"/>
          <w:sz w:val="24"/>
          <w:szCs w:val="24"/>
        </w:rPr>
        <w:t xml:space="preserve"> eura ili </w:t>
      </w:r>
      <w:r w:rsidR="00D02F8F">
        <w:rPr>
          <w:rFonts w:eastAsia="Calibri" w:cstheme="minorHAnsi"/>
          <w:color w:val="000000" w:themeColor="text1"/>
          <w:sz w:val="24"/>
          <w:szCs w:val="24"/>
        </w:rPr>
        <w:t>77,15</w:t>
      </w:r>
      <w:r w:rsidRPr="00361094">
        <w:rPr>
          <w:rFonts w:eastAsia="Calibri" w:cstheme="minorHAnsi"/>
          <w:color w:val="000000" w:themeColor="text1"/>
          <w:sz w:val="24"/>
          <w:szCs w:val="24"/>
        </w:rPr>
        <w:t>% plana</w:t>
      </w:r>
      <w:r w:rsidRPr="00361094">
        <w:rPr>
          <w:rFonts w:cstheme="minorHAnsi"/>
          <w:sz w:val="24"/>
          <w:szCs w:val="24"/>
        </w:rPr>
        <w:t xml:space="preserve">, a odnosi se najvećim dijelom na održavanje nerazvrstanih cesta i puteva na području Grada za koje je temeljem Zakona o komunalnom gospodarstvu izabrano trgovačko društvo Cestar  koje je izvršilo uslugu u iznosu od </w:t>
      </w:r>
      <w:r w:rsidR="00D02F8F">
        <w:rPr>
          <w:rFonts w:cstheme="minorHAnsi"/>
          <w:sz w:val="24"/>
          <w:szCs w:val="24"/>
        </w:rPr>
        <w:t>266.962,77</w:t>
      </w:r>
      <w:r>
        <w:rPr>
          <w:rFonts w:cstheme="minorHAnsi"/>
          <w:sz w:val="24"/>
          <w:szCs w:val="24"/>
        </w:rPr>
        <w:t>1</w:t>
      </w:r>
      <w:r w:rsidRPr="00361094">
        <w:rPr>
          <w:rFonts w:cstheme="minorHAnsi"/>
          <w:sz w:val="24"/>
          <w:szCs w:val="24"/>
        </w:rPr>
        <w:t xml:space="preserve"> eura, na poboljšanje sigurnosti na cestama –</w:t>
      </w:r>
      <w:r>
        <w:rPr>
          <w:rFonts w:cstheme="minorHAnsi"/>
          <w:sz w:val="24"/>
          <w:szCs w:val="24"/>
        </w:rPr>
        <w:t>postavljanje zaštite ograde uz cestu i čišćenje površine uz cestu</w:t>
      </w:r>
      <w:r w:rsidR="00D02F8F">
        <w:rPr>
          <w:rFonts w:cstheme="minorHAnsi"/>
          <w:sz w:val="24"/>
          <w:szCs w:val="24"/>
        </w:rPr>
        <w:t xml:space="preserve"> </w:t>
      </w:r>
      <w:r>
        <w:rPr>
          <w:rFonts w:cstheme="minorHAnsi"/>
          <w:sz w:val="24"/>
          <w:szCs w:val="24"/>
        </w:rPr>
        <w:t>(izglasane komunalne akcije unutar projekta ITSP) u ukupnom</w:t>
      </w:r>
      <w:r w:rsidRPr="00361094">
        <w:rPr>
          <w:rFonts w:cstheme="minorHAnsi"/>
          <w:sz w:val="24"/>
          <w:szCs w:val="24"/>
        </w:rPr>
        <w:t xml:space="preserve"> iznosu od </w:t>
      </w:r>
      <w:r w:rsidR="00D02F8F">
        <w:rPr>
          <w:rFonts w:cstheme="minorHAnsi"/>
          <w:sz w:val="24"/>
          <w:szCs w:val="24"/>
        </w:rPr>
        <w:t>8.340,00</w:t>
      </w:r>
      <w:r w:rsidRPr="00361094">
        <w:rPr>
          <w:rFonts w:cstheme="minorHAnsi"/>
          <w:sz w:val="24"/>
          <w:szCs w:val="24"/>
        </w:rPr>
        <w:t xml:space="preserve"> eura</w:t>
      </w:r>
      <w:r>
        <w:rPr>
          <w:rFonts w:cstheme="minorHAnsi"/>
          <w:sz w:val="24"/>
          <w:szCs w:val="24"/>
        </w:rPr>
        <w:t xml:space="preserve">, na sanaciju nerazvrstanih cesta i puteva -ITSP u iznosu od </w:t>
      </w:r>
      <w:r w:rsidR="00D02F8F">
        <w:rPr>
          <w:rFonts w:cstheme="minorHAnsi"/>
          <w:sz w:val="24"/>
          <w:szCs w:val="24"/>
        </w:rPr>
        <w:t>58.457,90</w:t>
      </w:r>
      <w:r>
        <w:rPr>
          <w:rFonts w:cstheme="minorHAnsi"/>
          <w:sz w:val="24"/>
          <w:szCs w:val="24"/>
        </w:rPr>
        <w:t xml:space="preserve"> eura</w:t>
      </w:r>
      <w:r w:rsidRPr="00361094">
        <w:rPr>
          <w:rFonts w:cstheme="minorHAnsi"/>
          <w:sz w:val="24"/>
          <w:szCs w:val="24"/>
        </w:rPr>
        <w:t xml:space="preserve"> te na izradu prometne signalizacije na nerazvrstanim i županijskim cestama u ukupnom iznosu od </w:t>
      </w:r>
      <w:r w:rsidR="00CE612B">
        <w:rPr>
          <w:rFonts w:cstheme="minorHAnsi"/>
          <w:sz w:val="24"/>
          <w:szCs w:val="24"/>
        </w:rPr>
        <w:t>43.123,49</w:t>
      </w:r>
      <w:r>
        <w:rPr>
          <w:rFonts w:cstheme="minorHAnsi"/>
          <w:sz w:val="24"/>
          <w:szCs w:val="24"/>
        </w:rPr>
        <w:t xml:space="preserve"> eura.</w:t>
      </w:r>
    </w:p>
    <w:p w14:paraId="25B43EAD" w14:textId="77777777" w:rsidR="00FE2B0D" w:rsidRPr="00361094" w:rsidRDefault="00FE2B0D" w:rsidP="00FE2B0D">
      <w:pPr>
        <w:spacing w:after="0" w:line="280" w:lineRule="exact"/>
        <w:jc w:val="both"/>
        <w:rPr>
          <w:rFonts w:eastAsia="Times New Roman" w:cstheme="minorHAnsi"/>
          <w:sz w:val="24"/>
          <w:szCs w:val="24"/>
          <w:lang w:eastAsia="hr-HR"/>
        </w:rPr>
      </w:pPr>
      <w:r w:rsidRPr="00361094">
        <w:rPr>
          <w:rFonts w:eastAsia="Times New Roman" w:cstheme="minorHAnsi"/>
          <w:sz w:val="24"/>
          <w:szCs w:val="24"/>
          <w:lang w:eastAsia="hr-HR"/>
        </w:rPr>
        <w:t xml:space="preserve">Posebno se vodi računa o prometu pješaka i osoba sa invaliditetom kako bi im se omogućilo što sigurnije sudjelovanje u prometu, odvajanjem pješačkog prometa pješačkim ogradama i ugradnjom upuštenih rubnjaka i rampi gdje je to moguće. Također osim opasnosti od prometa otklanjaju se i opasnosti intervencijama na dotrajalim ogradnim zidovima, skliskim površinama i općenito objektima koji su u službi prometa. </w:t>
      </w:r>
    </w:p>
    <w:p w14:paraId="01D23E63" w14:textId="3B87418D" w:rsidR="00D964AB" w:rsidRDefault="00D964AB" w:rsidP="00D964AB">
      <w:pPr>
        <w:spacing w:after="0" w:line="280" w:lineRule="exact"/>
        <w:jc w:val="both"/>
        <w:rPr>
          <w:rFonts w:cstheme="minorHAnsi"/>
          <w:sz w:val="24"/>
          <w:szCs w:val="24"/>
          <w:lang w:eastAsia="hr-HR"/>
        </w:rPr>
      </w:pPr>
      <w:r w:rsidRPr="0056274A">
        <w:rPr>
          <w:rFonts w:eastAsia="Calibri" w:cstheme="minorHAnsi"/>
          <w:sz w:val="24"/>
          <w:szCs w:val="24"/>
          <w:u w:val="single"/>
          <w:lang w:eastAsia="x-none"/>
        </w:rPr>
        <w:t>Aktivnost Poboljšanje sigurnosti na cestama</w:t>
      </w:r>
      <w:r w:rsidRPr="0056274A">
        <w:rPr>
          <w:rFonts w:eastAsia="Calibri" w:cstheme="minorHAnsi"/>
          <w:sz w:val="24"/>
          <w:szCs w:val="24"/>
          <w:lang w:eastAsia="x-none"/>
        </w:rPr>
        <w:t xml:space="preserve">  sadrži postavljanje zaštitne ograde i čišćenje površina uz cestu</w:t>
      </w:r>
      <w:r w:rsidR="00CE612B">
        <w:rPr>
          <w:rFonts w:eastAsia="Calibri" w:cstheme="minorHAnsi"/>
          <w:sz w:val="24"/>
          <w:szCs w:val="24"/>
          <w:lang w:eastAsia="x-none"/>
        </w:rPr>
        <w:t xml:space="preserve"> </w:t>
      </w:r>
      <w:r w:rsidR="00CE612B" w:rsidRPr="0056274A">
        <w:rPr>
          <w:rFonts w:cstheme="minorHAnsi"/>
          <w:sz w:val="24"/>
          <w:szCs w:val="24"/>
          <w:lang w:eastAsia="hr-HR"/>
        </w:rPr>
        <w:t xml:space="preserve">temeljem prijedloga  građana u sklopu projekta „I tebe se pita!", odnosno participativnom budžetiranju - projektu koji podrazumijeva davanje građanima na raspolaganje jednog dijela proračuna, tako da sami predlažu i sami glasuju o projektima koje </w:t>
      </w:r>
      <w:r w:rsidR="00CE612B" w:rsidRPr="0056274A">
        <w:rPr>
          <w:rFonts w:cstheme="minorHAnsi"/>
          <w:sz w:val="24"/>
          <w:szCs w:val="24"/>
          <w:lang w:eastAsia="hr-HR"/>
        </w:rPr>
        <w:lastRenderedPageBreak/>
        <w:t>žele realizirati u svojim kvartovima</w:t>
      </w:r>
      <w:r w:rsidR="00CE612B">
        <w:rPr>
          <w:rFonts w:cstheme="minorHAnsi"/>
          <w:sz w:val="24"/>
          <w:szCs w:val="24"/>
          <w:lang w:eastAsia="hr-HR"/>
        </w:rPr>
        <w:t xml:space="preserve">, ovdje se realizacija odnosi na </w:t>
      </w:r>
      <w:r w:rsidR="00CE612B">
        <w:rPr>
          <w:rFonts w:eastAsia="Calibri" w:cstheme="minorHAnsi"/>
          <w:sz w:val="24"/>
          <w:szCs w:val="24"/>
          <w:lang w:eastAsia="x-none"/>
        </w:rPr>
        <w:t xml:space="preserve">ugradnju stupića sa lancima oko zelene zone </w:t>
      </w:r>
      <w:proofErr w:type="spellStart"/>
      <w:r w:rsidR="00CE612B">
        <w:rPr>
          <w:rFonts w:eastAsia="Calibri" w:cstheme="minorHAnsi"/>
          <w:sz w:val="24"/>
          <w:szCs w:val="24"/>
          <w:lang w:eastAsia="x-none"/>
        </w:rPr>
        <w:t>Karanušići</w:t>
      </w:r>
      <w:proofErr w:type="spellEnd"/>
      <w:r w:rsidR="00CE612B">
        <w:rPr>
          <w:rFonts w:eastAsia="Calibri" w:cstheme="minorHAnsi"/>
          <w:sz w:val="24"/>
          <w:szCs w:val="24"/>
          <w:lang w:eastAsia="x-none"/>
        </w:rPr>
        <w:t xml:space="preserve"> </w:t>
      </w:r>
      <w:proofErr w:type="spellStart"/>
      <w:r w:rsidR="00CE612B">
        <w:rPr>
          <w:rFonts w:eastAsia="Calibri" w:cstheme="minorHAnsi"/>
          <w:sz w:val="24"/>
          <w:szCs w:val="24"/>
          <w:lang w:eastAsia="x-none"/>
        </w:rPr>
        <w:t>Plano</w:t>
      </w:r>
      <w:proofErr w:type="spellEnd"/>
      <w:r w:rsidR="00CE612B">
        <w:rPr>
          <w:rFonts w:eastAsia="Calibri" w:cstheme="minorHAnsi"/>
          <w:sz w:val="24"/>
          <w:szCs w:val="24"/>
          <w:lang w:eastAsia="x-none"/>
        </w:rPr>
        <w:t xml:space="preserve"> te nabava i montaža ograde uz prometnicu Put sv. Križa.</w:t>
      </w:r>
    </w:p>
    <w:p w14:paraId="79B0088B" w14:textId="182E86CD" w:rsidR="00D964AB" w:rsidRPr="0056274A" w:rsidRDefault="00D964AB" w:rsidP="00D964AB">
      <w:pPr>
        <w:spacing w:after="0" w:line="280" w:lineRule="exact"/>
        <w:jc w:val="both"/>
        <w:rPr>
          <w:rFonts w:cstheme="minorHAnsi"/>
          <w:sz w:val="24"/>
          <w:szCs w:val="24"/>
          <w:lang w:eastAsia="hr-HR"/>
        </w:rPr>
      </w:pPr>
      <w:r w:rsidRPr="0056274A">
        <w:rPr>
          <w:rFonts w:eastAsia="Calibri" w:cstheme="minorHAnsi"/>
          <w:sz w:val="24"/>
          <w:szCs w:val="24"/>
        </w:rPr>
        <w:t xml:space="preserve">Kroz </w:t>
      </w:r>
      <w:r>
        <w:rPr>
          <w:rFonts w:eastAsia="Calibri" w:cstheme="minorHAnsi"/>
          <w:sz w:val="24"/>
          <w:szCs w:val="24"/>
        </w:rPr>
        <w:t>ovu aktivnost u 202</w:t>
      </w:r>
      <w:r w:rsidR="00CE612B">
        <w:rPr>
          <w:rFonts w:eastAsia="Calibri" w:cstheme="minorHAnsi"/>
          <w:sz w:val="24"/>
          <w:szCs w:val="24"/>
        </w:rPr>
        <w:t>5</w:t>
      </w:r>
      <w:r>
        <w:rPr>
          <w:rFonts w:eastAsia="Calibri" w:cstheme="minorHAnsi"/>
          <w:sz w:val="24"/>
          <w:szCs w:val="24"/>
        </w:rPr>
        <w:t xml:space="preserve">.godini planirana su sredstva u iznosu od </w:t>
      </w:r>
      <w:r w:rsidR="00CE612B">
        <w:rPr>
          <w:rFonts w:eastAsia="Calibri" w:cstheme="minorHAnsi"/>
          <w:sz w:val="24"/>
          <w:szCs w:val="24"/>
        </w:rPr>
        <w:t>13.625,00</w:t>
      </w:r>
      <w:r>
        <w:rPr>
          <w:rFonts w:eastAsia="Calibri" w:cstheme="minorHAnsi"/>
          <w:sz w:val="24"/>
          <w:szCs w:val="24"/>
        </w:rPr>
        <w:t xml:space="preserve"> eura, a realizirano je </w:t>
      </w:r>
      <w:r w:rsidR="00CE612B">
        <w:rPr>
          <w:rFonts w:eastAsia="Calibri" w:cstheme="minorHAnsi"/>
          <w:sz w:val="24"/>
          <w:szCs w:val="24"/>
        </w:rPr>
        <w:t>8.340,00</w:t>
      </w:r>
      <w:r>
        <w:rPr>
          <w:rFonts w:eastAsia="Calibri" w:cstheme="minorHAnsi"/>
          <w:sz w:val="24"/>
          <w:szCs w:val="24"/>
        </w:rPr>
        <w:t xml:space="preserve"> eura ili </w:t>
      </w:r>
      <w:r w:rsidR="00CE612B">
        <w:rPr>
          <w:rFonts w:eastAsia="Calibri" w:cstheme="minorHAnsi"/>
          <w:sz w:val="24"/>
          <w:szCs w:val="24"/>
        </w:rPr>
        <w:t>61,21</w:t>
      </w:r>
      <w:r>
        <w:rPr>
          <w:rFonts w:eastAsia="Calibri" w:cstheme="minorHAnsi"/>
          <w:sz w:val="24"/>
          <w:szCs w:val="24"/>
        </w:rPr>
        <w:t xml:space="preserve"> % godišnjeg plana.</w:t>
      </w:r>
    </w:p>
    <w:p w14:paraId="7144BF9F" w14:textId="77777777" w:rsidR="00D964AB" w:rsidRDefault="00D964AB" w:rsidP="00D964AB">
      <w:pPr>
        <w:overflowPunct w:val="0"/>
        <w:autoSpaceDE w:val="0"/>
        <w:autoSpaceDN w:val="0"/>
        <w:adjustRightInd w:val="0"/>
        <w:spacing w:after="0" w:line="280" w:lineRule="exact"/>
        <w:jc w:val="both"/>
        <w:textAlignment w:val="baseline"/>
        <w:rPr>
          <w:rFonts w:eastAsia="Calibri" w:cstheme="minorHAnsi"/>
          <w:color w:val="000000" w:themeColor="text1"/>
          <w:sz w:val="24"/>
          <w:szCs w:val="24"/>
        </w:rPr>
      </w:pPr>
    </w:p>
    <w:p w14:paraId="757822BB" w14:textId="6D61245A" w:rsidR="00D964AB" w:rsidRPr="00E56640" w:rsidRDefault="00D964AB" w:rsidP="00D964AB">
      <w:pPr>
        <w:overflowPunct w:val="0"/>
        <w:autoSpaceDE w:val="0"/>
        <w:autoSpaceDN w:val="0"/>
        <w:adjustRightInd w:val="0"/>
        <w:spacing w:after="0" w:line="280" w:lineRule="exact"/>
        <w:jc w:val="both"/>
        <w:textAlignment w:val="baseline"/>
        <w:rPr>
          <w:rFonts w:cstheme="minorHAnsi"/>
          <w:sz w:val="24"/>
          <w:szCs w:val="24"/>
        </w:rPr>
      </w:pPr>
      <w:r w:rsidRPr="00E56640">
        <w:rPr>
          <w:rFonts w:eastAsia="Calibri" w:cstheme="minorHAnsi"/>
          <w:color w:val="000000" w:themeColor="text1"/>
          <w:sz w:val="24"/>
          <w:szCs w:val="24"/>
          <w:u w:val="single"/>
        </w:rPr>
        <w:t>Aktivnost Sanacija nerazvrstanih cesta i puteva-I tebe se pita</w:t>
      </w:r>
      <w:r w:rsidRPr="00E56640">
        <w:rPr>
          <w:rFonts w:eastAsia="Calibri" w:cstheme="minorHAnsi"/>
          <w:color w:val="000000" w:themeColor="text1"/>
          <w:sz w:val="24"/>
          <w:szCs w:val="24"/>
        </w:rPr>
        <w:t xml:space="preserve"> </w:t>
      </w:r>
      <w:r w:rsidRPr="00E56640">
        <w:rPr>
          <w:rFonts w:eastAsia="Calibri" w:cstheme="minorHAnsi"/>
          <w:sz w:val="24"/>
          <w:szCs w:val="24"/>
          <w:lang w:eastAsia="x-none"/>
        </w:rPr>
        <w:t xml:space="preserve">sadrži sanaciju nerazvrstanih cesta i puteva </w:t>
      </w:r>
      <w:r w:rsidRPr="00E56640">
        <w:rPr>
          <w:rFonts w:cstheme="minorHAnsi"/>
          <w:sz w:val="24"/>
          <w:szCs w:val="24"/>
          <w:lang w:eastAsia="hr-HR"/>
        </w:rPr>
        <w:t xml:space="preserve">temeljem prijedloga  građana u sklopu projekta „I tebe se pita!", odnosno participativnom budžetiranju - projektu koji podrazumijeva davanje građanima na raspolaganje jednog dijela proračuna, tako da sami predlažu i sami glasuju o projektima koje žele realizirati u svojim kvartovima. </w:t>
      </w:r>
    </w:p>
    <w:p w14:paraId="1CD95666" w14:textId="563D6A16" w:rsidR="00D964AB" w:rsidRPr="00E56640" w:rsidRDefault="00D964AB" w:rsidP="00D964AB">
      <w:pPr>
        <w:spacing w:after="0" w:line="280" w:lineRule="exact"/>
        <w:jc w:val="both"/>
        <w:rPr>
          <w:rFonts w:cstheme="minorHAnsi"/>
          <w:sz w:val="24"/>
          <w:szCs w:val="24"/>
          <w:lang w:eastAsia="hr-HR"/>
        </w:rPr>
      </w:pPr>
      <w:r w:rsidRPr="0056274A">
        <w:rPr>
          <w:rFonts w:eastAsia="Calibri" w:cstheme="minorHAnsi"/>
          <w:sz w:val="24"/>
          <w:szCs w:val="24"/>
        </w:rPr>
        <w:t xml:space="preserve">Kroz </w:t>
      </w:r>
      <w:r>
        <w:rPr>
          <w:rFonts w:eastAsia="Calibri" w:cstheme="minorHAnsi"/>
          <w:sz w:val="24"/>
          <w:szCs w:val="24"/>
        </w:rPr>
        <w:t>ovu aktivnost u 202</w:t>
      </w:r>
      <w:r w:rsidR="009639E9">
        <w:rPr>
          <w:rFonts w:eastAsia="Calibri" w:cstheme="minorHAnsi"/>
          <w:sz w:val="24"/>
          <w:szCs w:val="24"/>
        </w:rPr>
        <w:t>5</w:t>
      </w:r>
      <w:r>
        <w:rPr>
          <w:rFonts w:eastAsia="Calibri" w:cstheme="minorHAnsi"/>
          <w:sz w:val="24"/>
          <w:szCs w:val="24"/>
        </w:rPr>
        <w:t xml:space="preserve">.godini planirana su sredstva u iznosu od </w:t>
      </w:r>
      <w:r w:rsidR="009639E9">
        <w:rPr>
          <w:rFonts w:eastAsia="Calibri" w:cstheme="minorHAnsi"/>
          <w:sz w:val="24"/>
          <w:szCs w:val="24"/>
        </w:rPr>
        <w:t>58.460,00</w:t>
      </w:r>
      <w:r>
        <w:rPr>
          <w:rFonts w:eastAsia="Calibri" w:cstheme="minorHAnsi"/>
          <w:sz w:val="24"/>
          <w:szCs w:val="24"/>
        </w:rPr>
        <w:t xml:space="preserve"> eura, a realizirano je </w:t>
      </w:r>
      <w:r w:rsidR="009639E9">
        <w:rPr>
          <w:rFonts w:eastAsia="Calibri" w:cstheme="minorHAnsi"/>
          <w:sz w:val="24"/>
          <w:szCs w:val="24"/>
        </w:rPr>
        <w:t>58.457,90</w:t>
      </w:r>
      <w:r>
        <w:rPr>
          <w:rFonts w:eastAsia="Calibri" w:cstheme="minorHAnsi"/>
          <w:sz w:val="24"/>
          <w:szCs w:val="24"/>
        </w:rPr>
        <w:t xml:space="preserve"> eura ili </w:t>
      </w:r>
      <w:r w:rsidR="009639E9">
        <w:rPr>
          <w:rFonts w:eastAsia="Calibri" w:cstheme="minorHAnsi"/>
          <w:sz w:val="24"/>
          <w:szCs w:val="24"/>
        </w:rPr>
        <w:t>100</w:t>
      </w:r>
      <w:r>
        <w:rPr>
          <w:rFonts w:eastAsia="Calibri" w:cstheme="minorHAnsi"/>
          <w:sz w:val="24"/>
          <w:szCs w:val="24"/>
        </w:rPr>
        <w:t xml:space="preserve"> % godišnj</w:t>
      </w:r>
      <w:r w:rsidR="009639E9">
        <w:rPr>
          <w:rFonts w:eastAsia="Calibri" w:cstheme="minorHAnsi"/>
          <w:sz w:val="24"/>
          <w:szCs w:val="24"/>
        </w:rPr>
        <w:t>eg plana.</w:t>
      </w:r>
    </w:p>
    <w:p w14:paraId="58D44146" w14:textId="77777777" w:rsidR="00D964AB" w:rsidRDefault="00D964AB" w:rsidP="00D964AB">
      <w:pPr>
        <w:overflowPunct w:val="0"/>
        <w:autoSpaceDE w:val="0"/>
        <w:autoSpaceDN w:val="0"/>
        <w:adjustRightInd w:val="0"/>
        <w:spacing w:after="0" w:line="280" w:lineRule="exact"/>
        <w:jc w:val="both"/>
        <w:textAlignment w:val="baseline"/>
        <w:rPr>
          <w:rFonts w:ascii="Times New Roman" w:eastAsia="Times New Roman" w:hAnsi="Times New Roman" w:cs="Times New Roman"/>
          <w:lang w:eastAsia="hr-HR"/>
        </w:rPr>
      </w:pPr>
    </w:p>
    <w:p w14:paraId="2EEA1E85" w14:textId="77777777" w:rsidR="00015DE2" w:rsidRDefault="00D964AB" w:rsidP="00015DE2">
      <w:pPr>
        <w:spacing w:after="0" w:line="280" w:lineRule="exact"/>
        <w:jc w:val="both"/>
        <w:rPr>
          <w:rFonts w:eastAsia="Calibri" w:cstheme="minorHAnsi"/>
          <w:sz w:val="24"/>
          <w:szCs w:val="24"/>
          <w:lang w:eastAsia="hr-HR"/>
        </w:rPr>
      </w:pPr>
      <w:r w:rsidRPr="00E56640">
        <w:rPr>
          <w:rFonts w:eastAsia="Calibri" w:cstheme="minorHAnsi"/>
          <w:bCs/>
          <w:color w:val="000000" w:themeColor="text1"/>
          <w:sz w:val="24"/>
          <w:szCs w:val="24"/>
          <w:u w:val="single"/>
        </w:rPr>
        <w:t>Tekući projekt Izrada projekata regulacije prometa na području Grada</w:t>
      </w:r>
      <w:r>
        <w:rPr>
          <w:rFonts w:ascii="Times New Roman" w:eastAsia="Calibri" w:hAnsi="Times New Roman" w:cs="Times New Roman"/>
          <w:bCs/>
          <w:color w:val="000000" w:themeColor="text1"/>
        </w:rPr>
        <w:t xml:space="preserve"> </w:t>
      </w:r>
      <w:r w:rsidRPr="00361094">
        <w:rPr>
          <w:rFonts w:eastAsia="Calibri" w:cstheme="minorHAnsi"/>
          <w:sz w:val="24"/>
          <w:szCs w:val="24"/>
        </w:rPr>
        <w:t>obuhvaća radove tekućeg investicijskog održavanja opreme za regulaciju prometa, izradu projekata regulacije prometa na prometnicama na kojima se ukaže potreba za izmjenom regulacije prometa radi sig</w:t>
      </w:r>
      <w:r>
        <w:rPr>
          <w:rFonts w:eastAsia="Calibri" w:cstheme="minorHAnsi"/>
          <w:sz w:val="24"/>
          <w:szCs w:val="24"/>
        </w:rPr>
        <w:t xml:space="preserve">urnosti odvijanja prometa. Ovom </w:t>
      </w:r>
      <w:r w:rsidRPr="00361094">
        <w:rPr>
          <w:rFonts w:eastAsia="Calibri" w:cstheme="minorHAnsi"/>
          <w:sz w:val="24"/>
          <w:szCs w:val="24"/>
        </w:rPr>
        <w:t>aktivnošću obuhvaćeno je i uvođenje prometne signalizacije na nerazvrstanim i županijskim cestama, za koje se očekuje sufinanciranje iz sredstava Ministarstva unutarnjih poslova te ŽUC-a</w:t>
      </w:r>
      <w:r w:rsidRPr="00361094">
        <w:rPr>
          <w:rFonts w:eastAsia="Calibri" w:cstheme="minorHAnsi"/>
          <w:sz w:val="24"/>
          <w:szCs w:val="24"/>
          <w:lang w:eastAsia="hr-HR"/>
        </w:rPr>
        <w:t xml:space="preserve">. </w:t>
      </w:r>
      <w:r w:rsidRPr="00015DE2">
        <w:rPr>
          <w:rFonts w:eastAsia="Calibri" w:cstheme="minorHAnsi"/>
          <w:sz w:val="24"/>
          <w:szCs w:val="24"/>
          <w:lang w:eastAsia="hr-HR"/>
        </w:rPr>
        <w:t xml:space="preserve">Obuhvaćeno je i postavljanje prometnih znakova </w:t>
      </w:r>
      <w:r w:rsidR="00015DE2" w:rsidRPr="00015DE2">
        <w:rPr>
          <w:rFonts w:eastAsia="Calibri" w:cstheme="minorHAnsi"/>
          <w:color w:val="000000"/>
          <w:sz w:val="24"/>
          <w:szCs w:val="24"/>
          <w:lang w:eastAsia="ar-SA"/>
        </w:rPr>
        <w:t xml:space="preserve">i opreme ceste te svjetlosne prometne signalizacije ceste, </w:t>
      </w:r>
      <w:r w:rsidR="00015DE2" w:rsidRPr="00015DE2">
        <w:rPr>
          <w:rFonts w:eastAsia="Times New Roman" w:cstheme="minorHAnsi"/>
          <w:color w:val="000000"/>
          <w:sz w:val="24"/>
          <w:szCs w:val="24"/>
          <w:lang w:eastAsia="ar-SA"/>
        </w:rPr>
        <w:t>a sve temeljem prijedloga  građana u sklopu projekta „I tebe se pita!", odnosno participativnom budžetiranju - projektu koji podrazumijeva davanje građanima na raspolaganje jednog dijela proračuna, tako da sami predlažu i sami glasuju o projektima koje žele realizirati u svojim kvartovima.</w:t>
      </w:r>
    </w:p>
    <w:p w14:paraId="73BC0C7F" w14:textId="2D70E206" w:rsidR="0058541C" w:rsidRPr="00015DE2" w:rsidRDefault="00D964AB" w:rsidP="00DA25F7">
      <w:pPr>
        <w:spacing w:after="0" w:line="240" w:lineRule="auto"/>
        <w:jc w:val="both"/>
        <w:rPr>
          <w:rFonts w:eastAsia="Calibri" w:cstheme="minorHAnsi"/>
          <w:sz w:val="24"/>
          <w:szCs w:val="24"/>
          <w:lang w:eastAsia="hr-HR"/>
        </w:rPr>
      </w:pPr>
      <w:r>
        <w:rPr>
          <w:rFonts w:eastAsia="Times New Roman" w:cstheme="minorHAnsi"/>
          <w:sz w:val="24"/>
          <w:szCs w:val="24"/>
          <w:lang w:eastAsia="hr-HR"/>
        </w:rPr>
        <w:t>U izvještajnom razdoblju</w:t>
      </w:r>
      <w:r w:rsidR="00C66754">
        <w:rPr>
          <w:rFonts w:eastAsia="Times New Roman" w:cstheme="minorHAnsi"/>
          <w:sz w:val="24"/>
          <w:szCs w:val="24"/>
          <w:lang w:eastAsia="hr-HR"/>
        </w:rPr>
        <w:t xml:space="preserve"> </w:t>
      </w:r>
      <w:r>
        <w:rPr>
          <w:rFonts w:eastAsia="Times New Roman" w:cstheme="minorHAnsi"/>
          <w:sz w:val="24"/>
          <w:szCs w:val="24"/>
          <w:lang w:eastAsia="hr-HR"/>
        </w:rPr>
        <w:t xml:space="preserve">po ovom projektu realizirano je </w:t>
      </w:r>
      <w:r w:rsidR="00015DE2">
        <w:rPr>
          <w:rFonts w:eastAsia="Times New Roman" w:cstheme="minorHAnsi"/>
          <w:sz w:val="24"/>
          <w:szCs w:val="24"/>
          <w:lang w:eastAsia="hr-HR"/>
        </w:rPr>
        <w:t>43.123,49</w:t>
      </w:r>
      <w:r>
        <w:rPr>
          <w:rFonts w:eastAsia="Times New Roman" w:cstheme="minorHAnsi"/>
          <w:sz w:val="24"/>
          <w:szCs w:val="24"/>
          <w:lang w:eastAsia="hr-HR"/>
        </w:rPr>
        <w:t xml:space="preserve"> eura ili </w:t>
      </w:r>
      <w:r w:rsidR="00015DE2">
        <w:rPr>
          <w:rFonts w:eastAsia="Times New Roman" w:cstheme="minorHAnsi"/>
          <w:sz w:val="24"/>
          <w:szCs w:val="24"/>
          <w:lang w:eastAsia="hr-HR"/>
        </w:rPr>
        <w:t>57,94</w:t>
      </w:r>
      <w:r>
        <w:rPr>
          <w:rFonts w:eastAsia="Times New Roman" w:cstheme="minorHAnsi"/>
          <w:sz w:val="24"/>
          <w:szCs w:val="24"/>
          <w:lang w:eastAsia="hr-HR"/>
        </w:rPr>
        <w:t xml:space="preserve">% plana i to na nabavu i postavljanje </w:t>
      </w:r>
      <w:r w:rsidR="00015DE2">
        <w:rPr>
          <w:rFonts w:eastAsia="Times New Roman" w:cstheme="minorHAnsi"/>
          <w:sz w:val="24"/>
          <w:szCs w:val="24"/>
          <w:lang w:eastAsia="hr-HR"/>
        </w:rPr>
        <w:t xml:space="preserve">uspornika visine 3cm u MO Travarica, </w:t>
      </w:r>
      <w:proofErr w:type="spellStart"/>
      <w:r w:rsidR="00015DE2">
        <w:rPr>
          <w:rFonts w:eastAsia="Times New Roman" w:cstheme="minorHAnsi"/>
          <w:sz w:val="24"/>
          <w:szCs w:val="24"/>
          <w:lang w:eastAsia="hr-HR"/>
        </w:rPr>
        <w:t>Plano</w:t>
      </w:r>
      <w:proofErr w:type="spellEnd"/>
      <w:r w:rsidR="00015DE2">
        <w:rPr>
          <w:rFonts w:eastAsia="Times New Roman" w:cstheme="minorHAnsi"/>
          <w:sz w:val="24"/>
          <w:szCs w:val="24"/>
          <w:lang w:eastAsia="hr-HR"/>
        </w:rPr>
        <w:t xml:space="preserve"> i Čiovo, postavljanje parking barijere na parkingu trogirskog groblja, izrada prometnih elaborata za MO Travarica, </w:t>
      </w:r>
      <w:proofErr w:type="spellStart"/>
      <w:r w:rsidR="00015DE2">
        <w:rPr>
          <w:rFonts w:eastAsia="Times New Roman" w:cstheme="minorHAnsi"/>
          <w:sz w:val="24"/>
          <w:szCs w:val="24"/>
          <w:lang w:eastAsia="hr-HR"/>
        </w:rPr>
        <w:t>Mastrinka</w:t>
      </w:r>
      <w:proofErr w:type="spellEnd"/>
      <w:r w:rsidR="00015DE2">
        <w:rPr>
          <w:rFonts w:eastAsia="Times New Roman" w:cstheme="minorHAnsi"/>
          <w:sz w:val="24"/>
          <w:szCs w:val="24"/>
          <w:lang w:eastAsia="hr-HR"/>
        </w:rPr>
        <w:t xml:space="preserve"> i Žedno</w:t>
      </w:r>
      <w:r>
        <w:rPr>
          <w:rFonts w:eastAsia="Times New Roman" w:cstheme="minorHAnsi"/>
          <w:sz w:val="24"/>
          <w:szCs w:val="24"/>
          <w:lang w:eastAsia="hr-HR"/>
        </w:rPr>
        <w:t xml:space="preserve">, dobava i ugradnja prometne signalizacije, usluga nabave i postavljanje prometnih znakova na </w:t>
      </w:r>
      <w:r w:rsidR="00015DE2">
        <w:rPr>
          <w:rFonts w:eastAsia="Times New Roman" w:cstheme="minorHAnsi"/>
          <w:sz w:val="24"/>
          <w:szCs w:val="24"/>
          <w:lang w:eastAsia="hr-HR"/>
        </w:rPr>
        <w:t xml:space="preserve">Drveniku Velikom, iscrtavanje horizontalne signalizacije s ulice kardinala A. Stepinca na parking T1 te svjetlosna signalizacija na pješačkom prijelazu u ulici kneza Trpimira kraj nove crkve. </w:t>
      </w:r>
      <w:r>
        <w:rPr>
          <w:rFonts w:eastAsia="Times New Roman" w:cstheme="minorHAnsi"/>
          <w:sz w:val="24"/>
          <w:szCs w:val="24"/>
          <w:lang w:eastAsia="hr-HR"/>
        </w:rPr>
        <w:t xml:space="preserve"> </w:t>
      </w:r>
    </w:p>
    <w:p w14:paraId="40B448DC" w14:textId="77777777" w:rsidR="00015DE2" w:rsidRDefault="00015DE2" w:rsidP="0058541C">
      <w:pPr>
        <w:spacing w:line="280" w:lineRule="exact"/>
        <w:jc w:val="both"/>
        <w:rPr>
          <w:rFonts w:cstheme="minorHAnsi"/>
          <w:sz w:val="24"/>
          <w:szCs w:val="24"/>
          <w:u w:val="single"/>
        </w:rPr>
      </w:pPr>
    </w:p>
    <w:p w14:paraId="6EB2BFB4" w14:textId="755030FD" w:rsidR="002C36F3" w:rsidRPr="00015DE2" w:rsidRDefault="002C36F3" w:rsidP="002C36F3">
      <w:pPr>
        <w:spacing w:after="0" w:line="240" w:lineRule="auto"/>
        <w:jc w:val="both"/>
        <w:rPr>
          <w:rFonts w:eastAsia="Calibri" w:cstheme="minorHAnsi"/>
          <w:sz w:val="24"/>
          <w:szCs w:val="24"/>
          <w:lang w:eastAsia="hr-HR"/>
        </w:rPr>
      </w:pPr>
      <w:r w:rsidRPr="002C36F3">
        <w:rPr>
          <w:rFonts w:cstheme="minorHAnsi"/>
          <w:sz w:val="24"/>
          <w:szCs w:val="24"/>
          <w:u w:val="single"/>
        </w:rPr>
        <w:t xml:space="preserve">Tekući projekt Održavanje puteva na Drveniku Velom i Malom </w:t>
      </w:r>
      <w:r w:rsidRPr="002C36F3">
        <w:rPr>
          <w:rFonts w:eastAsia="Calibri" w:cstheme="minorHAnsi"/>
          <w:color w:val="000000"/>
          <w:sz w:val="24"/>
          <w:szCs w:val="24"/>
          <w:lang w:eastAsia="x-none"/>
        </w:rPr>
        <w:t xml:space="preserve">sadrži radove sanacije </w:t>
      </w:r>
      <w:r w:rsidRPr="002C36F3">
        <w:rPr>
          <w:rFonts w:eastAsia="Times New Roman" w:cstheme="minorHAnsi"/>
          <w:color w:val="000000"/>
          <w:sz w:val="24"/>
          <w:szCs w:val="24"/>
          <w:lang w:eastAsia="hr-HR"/>
        </w:rPr>
        <w:t>puteva na Drveniku Velikom i Malom, uređenje poljskih i šumskih puteva te uređenje puteva na Drveniku Velikom i Malom pri čemu se za dio uređenja poljskih i šumskih puteva očekuje sufinanciranje od strane SDŽ.</w:t>
      </w:r>
      <w:r>
        <w:rPr>
          <w:rFonts w:eastAsia="Times New Roman" w:cstheme="minorHAnsi"/>
          <w:color w:val="000000"/>
          <w:sz w:val="24"/>
          <w:szCs w:val="24"/>
          <w:lang w:eastAsia="hr-HR"/>
        </w:rPr>
        <w:t xml:space="preserve"> </w:t>
      </w:r>
      <w:r>
        <w:rPr>
          <w:rFonts w:eastAsia="Times New Roman" w:cstheme="minorHAnsi"/>
          <w:sz w:val="24"/>
          <w:szCs w:val="24"/>
          <w:lang w:eastAsia="hr-HR"/>
        </w:rPr>
        <w:t>U izvještajnom razdoblju po ovom projektu realizirano je 3.487,50 eura ili 29,06% plana i to na 1. privremenu situaciju izrade glavnog projekta uređenja parkirališta na Drveniku Velikom.</w:t>
      </w:r>
    </w:p>
    <w:p w14:paraId="28E3112E" w14:textId="77777777" w:rsidR="002C36F3" w:rsidRDefault="002C36F3" w:rsidP="0058541C">
      <w:pPr>
        <w:spacing w:line="280" w:lineRule="exact"/>
        <w:jc w:val="both"/>
        <w:rPr>
          <w:rFonts w:cstheme="minorHAnsi"/>
          <w:sz w:val="24"/>
          <w:szCs w:val="24"/>
          <w:u w:val="single"/>
        </w:rPr>
      </w:pPr>
    </w:p>
    <w:p w14:paraId="3EA96BA1" w14:textId="20744E0D" w:rsidR="00DA26AB" w:rsidRPr="0058541C" w:rsidRDefault="00DA26AB" w:rsidP="0058541C">
      <w:pPr>
        <w:spacing w:line="280" w:lineRule="exact"/>
        <w:jc w:val="both"/>
        <w:rPr>
          <w:rFonts w:eastAsia="Times New Roman" w:cstheme="minorHAnsi"/>
          <w:sz w:val="24"/>
          <w:szCs w:val="24"/>
          <w:lang w:eastAsia="hr-HR"/>
        </w:rPr>
      </w:pPr>
      <w:r w:rsidRPr="00C76997">
        <w:rPr>
          <w:rFonts w:cstheme="minorHAnsi"/>
          <w:sz w:val="24"/>
          <w:szCs w:val="24"/>
          <w:u w:val="single"/>
        </w:rPr>
        <w:t xml:space="preserve">Program 1403 Održavanje javne rasvjete </w:t>
      </w:r>
    </w:p>
    <w:p w14:paraId="0492CA58" w14:textId="77777777" w:rsidR="007D7C8C" w:rsidRPr="00006DCA" w:rsidRDefault="007D7C8C" w:rsidP="007D7C8C">
      <w:pPr>
        <w:overflowPunct w:val="0"/>
        <w:autoSpaceDE w:val="0"/>
        <w:autoSpaceDN w:val="0"/>
        <w:adjustRightInd w:val="0"/>
        <w:spacing w:after="0" w:line="280" w:lineRule="exact"/>
        <w:jc w:val="both"/>
        <w:textAlignment w:val="baseline"/>
        <w:rPr>
          <w:rFonts w:eastAsia="Calibri" w:cstheme="minorHAnsi"/>
          <w:color w:val="000000" w:themeColor="text1"/>
          <w:sz w:val="24"/>
          <w:szCs w:val="24"/>
        </w:rPr>
      </w:pPr>
      <w:r w:rsidRPr="00006DCA">
        <w:rPr>
          <w:rFonts w:eastAsia="Calibri" w:cstheme="minorHAnsi"/>
          <w:color w:val="000000" w:themeColor="text1"/>
          <w:sz w:val="24"/>
          <w:szCs w:val="24"/>
        </w:rPr>
        <w:t>U okviru ovog programa planirana su sredstva za financiranje troškova električne energije za javnu rasvjetu, usluga tekućeg i investicijskog održavanja javne rasvjete, intelektualnih usluga za ESCO model i naknade za energetsku uslugu.</w:t>
      </w:r>
    </w:p>
    <w:p w14:paraId="4ED94BE4" w14:textId="2A16DDFD" w:rsidR="00437363" w:rsidRDefault="007D7C8C" w:rsidP="002C36F3">
      <w:pPr>
        <w:overflowPunct w:val="0"/>
        <w:autoSpaceDE w:val="0"/>
        <w:autoSpaceDN w:val="0"/>
        <w:adjustRightInd w:val="0"/>
        <w:spacing w:after="0" w:line="280" w:lineRule="exact"/>
        <w:textAlignment w:val="baseline"/>
        <w:rPr>
          <w:rFonts w:eastAsia="Calibri" w:cstheme="minorHAnsi"/>
          <w:color w:val="000000" w:themeColor="text1"/>
          <w:sz w:val="24"/>
          <w:szCs w:val="24"/>
        </w:rPr>
      </w:pPr>
      <w:r w:rsidRPr="00006DCA">
        <w:rPr>
          <w:rFonts w:eastAsia="Calibri" w:cstheme="minorHAnsi"/>
          <w:color w:val="000000" w:themeColor="text1"/>
          <w:sz w:val="24"/>
          <w:szCs w:val="24"/>
        </w:rPr>
        <w:t xml:space="preserve">Poslovi i zadatci planirani su kroz 1 aktivnost: </w:t>
      </w:r>
    </w:p>
    <w:p w14:paraId="7A3D79B1" w14:textId="1BF63198" w:rsidR="007D7C8C" w:rsidRDefault="007D7C8C" w:rsidP="007D7C8C">
      <w:pPr>
        <w:overflowPunct w:val="0"/>
        <w:autoSpaceDE w:val="0"/>
        <w:autoSpaceDN w:val="0"/>
        <w:adjustRightInd w:val="0"/>
        <w:spacing w:after="0" w:line="280" w:lineRule="exact"/>
        <w:ind w:left="357"/>
        <w:jc w:val="both"/>
        <w:textAlignment w:val="baseline"/>
        <w:rPr>
          <w:rFonts w:eastAsia="Calibri" w:cstheme="minorHAnsi"/>
          <w:color w:val="000000" w:themeColor="text1"/>
          <w:sz w:val="24"/>
          <w:szCs w:val="24"/>
        </w:rPr>
      </w:pPr>
      <w:r w:rsidRPr="00006DCA">
        <w:rPr>
          <w:rFonts w:eastAsia="Calibri" w:cstheme="minorHAnsi"/>
          <w:color w:val="000000" w:themeColor="text1"/>
          <w:sz w:val="24"/>
          <w:szCs w:val="24"/>
        </w:rPr>
        <w:t>(1) A100007 Održavanje javne rasvjete</w:t>
      </w:r>
    </w:p>
    <w:p w14:paraId="5E34A00C" w14:textId="77777777" w:rsidR="002C36F3" w:rsidRDefault="007D7C8C" w:rsidP="002C36F3">
      <w:pPr>
        <w:overflowPunct w:val="0"/>
        <w:autoSpaceDE w:val="0"/>
        <w:autoSpaceDN w:val="0"/>
        <w:adjustRightInd w:val="0"/>
        <w:spacing w:after="0" w:line="280" w:lineRule="exact"/>
        <w:jc w:val="both"/>
        <w:textAlignment w:val="baseline"/>
        <w:rPr>
          <w:rFonts w:eastAsia="Calibri" w:cstheme="minorHAnsi"/>
          <w:color w:val="000000" w:themeColor="text1"/>
          <w:sz w:val="24"/>
          <w:szCs w:val="24"/>
        </w:rPr>
      </w:pPr>
      <w:r w:rsidRPr="00006DCA">
        <w:rPr>
          <w:rFonts w:eastAsia="Calibri" w:cstheme="minorHAnsi"/>
          <w:color w:val="000000" w:themeColor="text1"/>
          <w:sz w:val="24"/>
          <w:szCs w:val="24"/>
        </w:rPr>
        <w:t xml:space="preserve">U programu Održavanje javne rasvjete planirana su sredstva za 1 aktivnost u iznosu od </w:t>
      </w:r>
      <w:r w:rsidR="002C36F3">
        <w:rPr>
          <w:rFonts w:eastAsia="Calibri" w:cstheme="minorHAnsi"/>
          <w:color w:val="000000" w:themeColor="text1"/>
          <w:sz w:val="24"/>
          <w:szCs w:val="24"/>
        </w:rPr>
        <w:t>512.500,00</w:t>
      </w:r>
      <w:r w:rsidRPr="00006DCA">
        <w:rPr>
          <w:rFonts w:eastAsia="Calibri" w:cstheme="minorHAnsi"/>
          <w:color w:val="000000" w:themeColor="text1"/>
          <w:sz w:val="24"/>
          <w:szCs w:val="24"/>
        </w:rPr>
        <w:t xml:space="preserve"> eura.</w:t>
      </w:r>
    </w:p>
    <w:p w14:paraId="5889F6FB" w14:textId="0418280E" w:rsidR="002C36F3" w:rsidRDefault="002C36F3" w:rsidP="002C36F3">
      <w:pPr>
        <w:overflowPunct w:val="0"/>
        <w:autoSpaceDE w:val="0"/>
        <w:autoSpaceDN w:val="0"/>
        <w:adjustRightInd w:val="0"/>
        <w:spacing w:after="0" w:line="280" w:lineRule="exact"/>
        <w:jc w:val="both"/>
        <w:textAlignment w:val="baseline"/>
        <w:rPr>
          <w:rFonts w:eastAsia="Calibri" w:cstheme="minorHAnsi"/>
          <w:color w:val="000000"/>
          <w:sz w:val="24"/>
          <w:szCs w:val="24"/>
          <w:lang w:eastAsia="ar-SA"/>
        </w:rPr>
      </w:pPr>
      <w:r w:rsidRPr="002C36F3">
        <w:rPr>
          <w:rFonts w:eastAsia="Calibri" w:cstheme="minorHAnsi"/>
          <w:bCs/>
          <w:color w:val="000000"/>
          <w:sz w:val="24"/>
          <w:szCs w:val="24"/>
          <w:lang w:eastAsia="ar-SA"/>
        </w:rPr>
        <w:lastRenderedPageBreak/>
        <w:t>Javna rasvjeta kao</w:t>
      </w:r>
      <w:r w:rsidRPr="002C36F3">
        <w:rPr>
          <w:rFonts w:eastAsia="Times New Roman" w:cstheme="minorHAnsi"/>
          <w:color w:val="000000"/>
          <w:sz w:val="24"/>
          <w:szCs w:val="24"/>
          <w:lang w:eastAsia="ar-SA"/>
        </w:rPr>
        <w:t xml:space="preserve"> jedan od najbitnijih čimbenika naseljenih područja, ima veliki utjecaj na razvoj naselja i gradova kako bi se osiguralo sigurno kretanje ljudi i vozila noću u javnim urbanim i ruralnim područjima, a kao drugo da istakne ambijentalnost prostora tako da poštuje </w:t>
      </w:r>
      <w:r w:rsidRPr="002C36F3">
        <w:rPr>
          <w:rFonts w:eastAsia="Times New Roman" w:cstheme="minorHAnsi"/>
          <w:color w:val="000000"/>
          <w:sz w:val="24"/>
          <w:szCs w:val="24"/>
          <w:lang w:val="la-Latn" w:eastAsia="ar-SA"/>
        </w:rPr>
        <w:t>svjetlotehničke zahtjeve</w:t>
      </w:r>
      <w:r w:rsidRPr="002C36F3">
        <w:rPr>
          <w:rFonts w:eastAsia="Times New Roman" w:cstheme="minorHAnsi"/>
          <w:color w:val="000000"/>
          <w:sz w:val="24"/>
          <w:szCs w:val="24"/>
          <w:lang w:eastAsia="ar-SA"/>
        </w:rPr>
        <w:t xml:space="preserve"> i da ne uzrokuje svjetlosno zagađenje. U ovoj Aktivnosti </w:t>
      </w:r>
      <w:r w:rsidRPr="002C36F3">
        <w:rPr>
          <w:rFonts w:eastAsia="Calibri" w:cstheme="minorHAnsi"/>
          <w:color w:val="000000"/>
          <w:sz w:val="24"/>
          <w:szCs w:val="24"/>
          <w:lang w:eastAsia="ar-SA"/>
        </w:rPr>
        <w:t>financiraju se materijalni rashodi u vezi utroška električne energije za javnu rasvjetu</w:t>
      </w:r>
      <w:r w:rsidR="00916271">
        <w:rPr>
          <w:rFonts w:eastAsia="Calibri" w:cstheme="minorHAnsi"/>
          <w:color w:val="000000"/>
          <w:sz w:val="24"/>
          <w:szCs w:val="24"/>
          <w:lang w:eastAsia="ar-SA"/>
        </w:rPr>
        <w:t>,</w:t>
      </w:r>
      <w:r w:rsidRPr="002C36F3">
        <w:rPr>
          <w:rFonts w:eastAsia="Calibri" w:cstheme="minorHAnsi"/>
          <w:color w:val="000000"/>
          <w:sz w:val="24"/>
          <w:szCs w:val="24"/>
          <w:lang w:eastAsia="ar-SA"/>
        </w:rPr>
        <w:t xml:space="preserve"> usluge tekućeg i investicijskog održavanja javne rasvjete na području grada Trogira (radovi na mreži), održavanje čeličnih, brončanih i drvenih stupova kao i zamjena drvenih sa čeličnim stupovima, te zračnih odnosno podzemnih vodiča – kabela putem gradske komunalne tvrtke Trogir holding d.o.o.) te naknadu za energetsku uslugu u uštedi električne energije u javnoj rasvjeti. Planira</w:t>
      </w:r>
      <w:r w:rsidR="000638CD">
        <w:rPr>
          <w:rFonts w:eastAsia="Calibri" w:cstheme="minorHAnsi"/>
          <w:color w:val="000000"/>
          <w:sz w:val="24"/>
          <w:szCs w:val="24"/>
          <w:lang w:eastAsia="ar-SA"/>
        </w:rPr>
        <w:t>la</w:t>
      </w:r>
      <w:r w:rsidRPr="002C36F3">
        <w:rPr>
          <w:rFonts w:eastAsia="Calibri" w:cstheme="minorHAnsi"/>
          <w:color w:val="000000"/>
          <w:sz w:val="24"/>
          <w:szCs w:val="24"/>
          <w:lang w:eastAsia="ar-SA"/>
        </w:rPr>
        <w:t xml:space="preserve"> se izrada projekta </w:t>
      </w:r>
      <w:proofErr w:type="spellStart"/>
      <w:r w:rsidRPr="002C36F3">
        <w:rPr>
          <w:rFonts w:eastAsia="Calibri" w:cstheme="minorHAnsi"/>
          <w:color w:val="000000"/>
          <w:sz w:val="24"/>
          <w:szCs w:val="24"/>
          <w:lang w:eastAsia="ar-SA"/>
        </w:rPr>
        <w:t>novelacije</w:t>
      </w:r>
      <w:proofErr w:type="spellEnd"/>
      <w:r w:rsidRPr="002C36F3">
        <w:rPr>
          <w:rFonts w:eastAsia="Calibri" w:cstheme="minorHAnsi"/>
          <w:color w:val="000000"/>
          <w:sz w:val="24"/>
          <w:szCs w:val="24"/>
          <w:lang w:eastAsia="ar-SA"/>
        </w:rPr>
        <w:t xml:space="preserve"> javne rasvjete</w:t>
      </w:r>
      <w:r w:rsidR="000638CD">
        <w:rPr>
          <w:rFonts w:eastAsia="Calibri" w:cstheme="minorHAnsi"/>
          <w:color w:val="000000"/>
          <w:sz w:val="24"/>
          <w:szCs w:val="24"/>
          <w:lang w:eastAsia="ar-SA"/>
        </w:rPr>
        <w:t>.</w:t>
      </w:r>
    </w:p>
    <w:p w14:paraId="040B03DA" w14:textId="77777777" w:rsidR="000638CD" w:rsidRPr="002C36F3" w:rsidRDefault="000638CD" w:rsidP="002C36F3">
      <w:pPr>
        <w:overflowPunct w:val="0"/>
        <w:autoSpaceDE w:val="0"/>
        <w:autoSpaceDN w:val="0"/>
        <w:adjustRightInd w:val="0"/>
        <w:spacing w:after="0" w:line="280" w:lineRule="exact"/>
        <w:jc w:val="both"/>
        <w:textAlignment w:val="baseline"/>
        <w:rPr>
          <w:rFonts w:eastAsia="Calibri" w:cstheme="minorHAnsi"/>
          <w:color w:val="000000" w:themeColor="text1"/>
          <w:sz w:val="24"/>
          <w:szCs w:val="24"/>
        </w:rPr>
      </w:pPr>
    </w:p>
    <w:p w14:paraId="6441EA3C" w14:textId="09470894" w:rsidR="002C36F3" w:rsidRPr="002C36F3" w:rsidRDefault="002C36F3" w:rsidP="002C36F3">
      <w:pPr>
        <w:suppressAutoHyphens/>
        <w:spacing w:after="0" w:line="280" w:lineRule="exact"/>
        <w:jc w:val="both"/>
        <w:rPr>
          <w:rFonts w:eastAsia="Times New Roman" w:cstheme="minorHAnsi"/>
          <w:color w:val="000000"/>
          <w:sz w:val="24"/>
          <w:szCs w:val="24"/>
          <w:lang w:eastAsia="ar-SA"/>
        </w:rPr>
      </w:pPr>
      <w:r w:rsidRPr="002C36F3">
        <w:rPr>
          <w:rFonts w:eastAsia="Times New Roman" w:cstheme="minorHAnsi"/>
          <w:color w:val="000000"/>
          <w:sz w:val="24"/>
          <w:szCs w:val="24"/>
          <w:lang w:eastAsia="ar-SA"/>
        </w:rPr>
        <w:t>Modernizacija postojeće javne rasvjete odnosi se na investiranje u štedljivija rasvjetna tijela, odnosno zamjenu postojećih živinih rasvjetnih tijela i drugih rasvjetnih tijela visoke potrošnje sa štedljivim LED rasvjetnim tijelima niske potrošnje. Modernizacija rasvjete u prvom redu donosi koristi u vidu proračunskih ušteda zbog smanjenja potrošnje električne energije, a posljedično uzrokuje zaštitu okoliša zbog uklanjanja štetnih izvora svjetlosti, smanjenja emisija stakleničkih plinova i smanjenja svjetlosnog onečišćenja. U 2023. godini završena je prva faza Ugovora o energetskom učinku – pružanje energetske usluge u svrhu poboljšanja energetske učinkovitosti javne rasvjete grada Trogira (razdoblje rekonstrukcije) te započelo razdoblje zajamčenih ušteda. Grad Trogir se obvezao plaćati naknadu mjesečno temeljeno na ostvarenim i verificiranim uštedama. Mjesečna naknada iznosi 1/12 godišnje naknade.</w:t>
      </w:r>
    </w:p>
    <w:p w14:paraId="7CF86570" w14:textId="19E6E349" w:rsidR="00515E60" w:rsidRDefault="00515E60" w:rsidP="00515E60">
      <w:pPr>
        <w:spacing w:before="120" w:line="283" w:lineRule="exact"/>
        <w:jc w:val="both"/>
        <w:rPr>
          <w:rFonts w:cstheme="minorHAnsi"/>
          <w:sz w:val="24"/>
          <w:szCs w:val="24"/>
        </w:rPr>
      </w:pPr>
      <w:r w:rsidRPr="00C76997">
        <w:rPr>
          <w:rFonts w:cstheme="minorHAnsi"/>
          <w:sz w:val="24"/>
          <w:szCs w:val="24"/>
        </w:rPr>
        <w:t>Planirana sredstva za realizaciju</w:t>
      </w:r>
      <w:r>
        <w:rPr>
          <w:rFonts w:cstheme="minorHAnsi"/>
          <w:sz w:val="24"/>
          <w:szCs w:val="24"/>
        </w:rPr>
        <w:t xml:space="preserve"> ovog</w:t>
      </w:r>
      <w:r w:rsidRPr="00C76997">
        <w:rPr>
          <w:rFonts w:cstheme="minorHAnsi"/>
          <w:sz w:val="24"/>
          <w:szCs w:val="24"/>
        </w:rPr>
        <w:t xml:space="preserve"> progr</w:t>
      </w:r>
      <w:r>
        <w:rPr>
          <w:rFonts w:cstheme="minorHAnsi"/>
          <w:sz w:val="24"/>
          <w:szCs w:val="24"/>
        </w:rPr>
        <w:t>ama u 202</w:t>
      </w:r>
      <w:r w:rsidR="002C36F3">
        <w:rPr>
          <w:rFonts w:cstheme="minorHAnsi"/>
          <w:sz w:val="24"/>
          <w:szCs w:val="24"/>
        </w:rPr>
        <w:t>5</w:t>
      </w:r>
      <w:r>
        <w:rPr>
          <w:rFonts w:cstheme="minorHAnsi"/>
          <w:sz w:val="24"/>
          <w:szCs w:val="24"/>
        </w:rPr>
        <w:t>. godini su</w:t>
      </w:r>
      <w:r w:rsidRPr="00C76997">
        <w:rPr>
          <w:rFonts w:cstheme="minorHAnsi"/>
          <w:sz w:val="24"/>
          <w:szCs w:val="24"/>
        </w:rPr>
        <w:t xml:space="preserve"> iznosila </w:t>
      </w:r>
      <w:r w:rsidR="002C36F3">
        <w:rPr>
          <w:rFonts w:cstheme="minorHAnsi"/>
          <w:sz w:val="24"/>
          <w:szCs w:val="24"/>
        </w:rPr>
        <w:t>512.500,00</w:t>
      </w:r>
      <w:r>
        <w:rPr>
          <w:rFonts w:cstheme="minorHAnsi"/>
          <w:sz w:val="24"/>
          <w:szCs w:val="24"/>
        </w:rPr>
        <w:t xml:space="preserve"> eura,</w:t>
      </w:r>
      <w:r w:rsidRPr="00C76997">
        <w:rPr>
          <w:rFonts w:cstheme="minorHAnsi"/>
          <w:sz w:val="24"/>
          <w:szCs w:val="24"/>
        </w:rPr>
        <w:t xml:space="preserve"> a </w:t>
      </w:r>
      <w:r>
        <w:rPr>
          <w:rFonts w:cstheme="minorHAnsi"/>
          <w:sz w:val="24"/>
          <w:szCs w:val="24"/>
        </w:rPr>
        <w:t>u izvještajnom razdoblju ostvareno je</w:t>
      </w:r>
      <w:r w:rsidRPr="00C76997">
        <w:rPr>
          <w:rFonts w:cstheme="minorHAnsi"/>
          <w:sz w:val="24"/>
          <w:szCs w:val="24"/>
        </w:rPr>
        <w:t xml:space="preserve"> </w:t>
      </w:r>
      <w:r w:rsidR="002C36F3">
        <w:rPr>
          <w:rFonts w:cstheme="minorHAnsi"/>
          <w:sz w:val="24"/>
          <w:szCs w:val="24"/>
        </w:rPr>
        <w:t>492.743,35</w:t>
      </w:r>
      <w:r>
        <w:rPr>
          <w:rFonts w:cstheme="minorHAnsi"/>
          <w:sz w:val="24"/>
          <w:szCs w:val="24"/>
        </w:rPr>
        <w:t xml:space="preserve"> eura ili </w:t>
      </w:r>
      <w:r w:rsidR="002C36F3">
        <w:rPr>
          <w:rFonts w:cstheme="minorHAnsi"/>
          <w:sz w:val="24"/>
          <w:szCs w:val="24"/>
        </w:rPr>
        <w:t>96,15</w:t>
      </w:r>
      <w:r>
        <w:rPr>
          <w:rFonts w:cstheme="minorHAnsi"/>
          <w:sz w:val="24"/>
          <w:szCs w:val="24"/>
        </w:rPr>
        <w:t xml:space="preserve">% plana. </w:t>
      </w:r>
      <w:r w:rsidRPr="00C76997">
        <w:rPr>
          <w:rFonts w:cstheme="minorHAnsi"/>
          <w:sz w:val="24"/>
          <w:szCs w:val="24"/>
        </w:rPr>
        <w:t xml:space="preserve">Sredstva su utrošena za troškove energije odnosno javnu rasvjetu </w:t>
      </w:r>
      <w:r w:rsidR="002C36F3">
        <w:rPr>
          <w:rFonts w:cstheme="minorHAnsi"/>
          <w:sz w:val="24"/>
          <w:szCs w:val="24"/>
        </w:rPr>
        <w:t>64.329,74</w:t>
      </w:r>
      <w:r>
        <w:rPr>
          <w:rFonts w:cstheme="minorHAnsi"/>
          <w:sz w:val="24"/>
          <w:szCs w:val="24"/>
        </w:rPr>
        <w:t xml:space="preserve"> eura</w:t>
      </w:r>
      <w:r w:rsidR="00C43F9B">
        <w:rPr>
          <w:rFonts w:cstheme="minorHAnsi"/>
          <w:sz w:val="24"/>
          <w:szCs w:val="24"/>
        </w:rPr>
        <w:t xml:space="preserve">, </w:t>
      </w:r>
      <w:r>
        <w:rPr>
          <w:rFonts w:cstheme="minorHAnsi"/>
          <w:sz w:val="24"/>
          <w:szCs w:val="24"/>
        </w:rPr>
        <w:t>za</w:t>
      </w:r>
      <w:r w:rsidRPr="00C76997">
        <w:rPr>
          <w:rFonts w:cstheme="minorHAnsi"/>
          <w:sz w:val="24"/>
          <w:szCs w:val="24"/>
        </w:rPr>
        <w:t xml:space="preserve"> usluge tekućeg i investicijskog održa</w:t>
      </w:r>
      <w:r>
        <w:rPr>
          <w:rFonts w:cstheme="minorHAnsi"/>
          <w:sz w:val="24"/>
          <w:szCs w:val="24"/>
        </w:rPr>
        <w:t xml:space="preserve">vanja javne rasvjete utrošeno je </w:t>
      </w:r>
      <w:r w:rsidR="002C36F3">
        <w:rPr>
          <w:rFonts w:cstheme="minorHAnsi"/>
          <w:sz w:val="24"/>
          <w:szCs w:val="24"/>
        </w:rPr>
        <w:t>148.870,13</w:t>
      </w:r>
      <w:r>
        <w:rPr>
          <w:rFonts w:cstheme="minorHAnsi"/>
          <w:sz w:val="24"/>
          <w:szCs w:val="24"/>
        </w:rPr>
        <w:t xml:space="preserve"> eura</w:t>
      </w:r>
      <w:r w:rsidR="00C43F9B">
        <w:rPr>
          <w:rFonts w:cstheme="minorHAnsi"/>
          <w:sz w:val="24"/>
          <w:szCs w:val="24"/>
        </w:rPr>
        <w:t xml:space="preserve"> i za izradu projekta </w:t>
      </w:r>
      <w:proofErr w:type="spellStart"/>
      <w:r w:rsidR="00C43F9B">
        <w:rPr>
          <w:rFonts w:cstheme="minorHAnsi"/>
          <w:sz w:val="24"/>
          <w:szCs w:val="24"/>
        </w:rPr>
        <w:t>novelacije</w:t>
      </w:r>
      <w:proofErr w:type="spellEnd"/>
      <w:r w:rsidR="00C43F9B">
        <w:rPr>
          <w:rFonts w:cstheme="minorHAnsi"/>
          <w:sz w:val="24"/>
          <w:szCs w:val="24"/>
        </w:rPr>
        <w:t xml:space="preserve"> javne rasvjete iznos od 17.250,00 eura </w:t>
      </w:r>
      <w:r>
        <w:rPr>
          <w:rFonts w:cstheme="minorHAnsi"/>
          <w:sz w:val="24"/>
          <w:szCs w:val="24"/>
        </w:rPr>
        <w:t xml:space="preserve">te naknada za energetsku uslugu u iznosu od </w:t>
      </w:r>
      <w:r w:rsidR="002C36F3">
        <w:rPr>
          <w:rFonts w:cstheme="minorHAnsi"/>
          <w:sz w:val="24"/>
          <w:szCs w:val="24"/>
        </w:rPr>
        <w:t>262.293,48</w:t>
      </w:r>
      <w:r>
        <w:rPr>
          <w:rFonts w:cstheme="minorHAnsi"/>
          <w:sz w:val="24"/>
          <w:szCs w:val="24"/>
        </w:rPr>
        <w:t xml:space="preserve"> eura trgovačkom društvu Petrol sukladno ugovoru, a u sklopu provedenog ESCO projekta kojim se izvršila zamjena rasvjete na javnoj rasvjeti u energetski učinkovitu rasvjetu u 2023.godini.</w:t>
      </w:r>
    </w:p>
    <w:p w14:paraId="6B08AA4D" w14:textId="77777777" w:rsidR="009378B2" w:rsidRPr="00D02D9D" w:rsidRDefault="009378B2" w:rsidP="009378B2">
      <w:pPr>
        <w:spacing w:after="0"/>
        <w:jc w:val="both"/>
        <w:rPr>
          <w:rFonts w:cstheme="minorHAnsi"/>
          <w:sz w:val="24"/>
          <w:szCs w:val="24"/>
          <w:u w:val="single"/>
        </w:rPr>
      </w:pPr>
      <w:r w:rsidRPr="00C76997">
        <w:rPr>
          <w:rFonts w:cstheme="minorHAnsi"/>
          <w:sz w:val="24"/>
          <w:szCs w:val="24"/>
          <w:u w:val="single"/>
        </w:rPr>
        <w:t>P</w:t>
      </w:r>
      <w:r>
        <w:rPr>
          <w:rFonts w:cstheme="minorHAnsi"/>
          <w:sz w:val="24"/>
          <w:szCs w:val="24"/>
          <w:u w:val="single"/>
        </w:rPr>
        <w:t xml:space="preserve">rogram 1404 Održavanje groblja </w:t>
      </w:r>
    </w:p>
    <w:p w14:paraId="467A3ACB" w14:textId="77777777" w:rsidR="009378B2" w:rsidRPr="00D02D9D" w:rsidRDefault="009378B2" w:rsidP="009378B2">
      <w:pPr>
        <w:overflowPunct w:val="0"/>
        <w:autoSpaceDE w:val="0"/>
        <w:autoSpaceDN w:val="0"/>
        <w:adjustRightInd w:val="0"/>
        <w:spacing w:after="0" w:line="280" w:lineRule="exact"/>
        <w:jc w:val="both"/>
        <w:textAlignment w:val="baseline"/>
        <w:rPr>
          <w:rFonts w:eastAsia="Calibri" w:cstheme="minorHAnsi"/>
          <w:color w:val="000000" w:themeColor="text1"/>
          <w:sz w:val="24"/>
          <w:szCs w:val="24"/>
        </w:rPr>
      </w:pPr>
      <w:r w:rsidRPr="00D02D9D">
        <w:rPr>
          <w:rFonts w:eastAsia="Calibri" w:cstheme="minorHAnsi"/>
          <w:color w:val="000000" w:themeColor="text1"/>
          <w:sz w:val="24"/>
          <w:szCs w:val="24"/>
        </w:rPr>
        <w:t>U okviru ovog programa planirana su sredstva za financiranje održavanja groblja u Trogiru.</w:t>
      </w:r>
    </w:p>
    <w:p w14:paraId="5A2E4A19" w14:textId="77777777" w:rsidR="009378B2" w:rsidRPr="00D02D9D" w:rsidRDefault="009378B2" w:rsidP="009378B2">
      <w:pPr>
        <w:overflowPunct w:val="0"/>
        <w:autoSpaceDE w:val="0"/>
        <w:autoSpaceDN w:val="0"/>
        <w:adjustRightInd w:val="0"/>
        <w:spacing w:after="0" w:line="280" w:lineRule="exact"/>
        <w:textAlignment w:val="baseline"/>
        <w:rPr>
          <w:rFonts w:eastAsia="Calibri" w:cstheme="minorHAnsi"/>
          <w:color w:val="000000" w:themeColor="text1"/>
          <w:sz w:val="24"/>
          <w:szCs w:val="24"/>
        </w:rPr>
      </w:pPr>
      <w:r w:rsidRPr="00D02D9D">
        <w:rPr>
          <w:rFonts w:eastAsia="Calibri" w:cstheme="minorHAnsi"/>
          <w:color w:val="000000" w:themeColor="text1"/>
          <w:sz w:val="24"/>
          <w:szCs w:val="24"/>
        </w:rPr>
        <w:t xml:space="preserve">Poslovi i zadatci planirani su kroz 1 aktivnost: </w:t>
      </w:r>
    </w:p>
    <w:p w14:paraId="547DF96A" w14:textId="3D33DDB9" w:rsidR="009378B2" w:rsidRDefault="009378B2">
      <w:pPr>
        <w:pStyle w:val="Odlomakpopisa"/>
        <w:numPr>
          <w:ilvl w:val="3"/>
          <w:numId w:val="29"/>
        </w:numPr>
        <w:overflowPunct w:val="0"/>
        <w:autoSpaceDE w:val="0"/>
        <w:autoSpaceDN w:val="0"/>
        <w:adjustRightInd w:val="0"/>
        <w:spacing w:after="0" w:line="280" w:lineRule="exact"/>
        <w:jc w:val="both"/>
        <w:textAlignment w:val="baseline"/>
        <w:rPr>
          <w:rFonts w:cstheme="minorHAnsi"/>
          <w:color w:val="000000" w:themeColor="text1"/>
          <w:sz w:val="24"/>
          <w:szCs w:val="24"/>
        </w:rPr>
      </w:pPr>
      <w:r w:rsidRPr="009378B2">
        <w:rPr>
          <w:rFonts w:cstheme="minorHAnsi"/>
          <w:color w:val="000000" w:themeColor="text1"/>
          <w:sz w:val="24"/>
          <w:szCs w:val="24"/>
        </w:rPr>
        <w:t>A100008 Održavanje groblja.</w:t>
      </w:r>
    </w:p>
    <w:p w14:paraId="3AE3F9FF" w14:textId="77777777" w:rsidR="009378B2" w:rsidRPr="009378B2" w:rsidRDefault="009378B2" w:rsidP="009378B2">
      <w:pPr>
        <w:pStyle w:val="Odlomakpopisa"/>
        <w:overflowPunct w:val="0"/>
        <w:autoSpaceDE w:val="0"/>
        <w:autoSpaceDN w:val="0"/>
        <w:adjustRightInd w:val="0"/>
        <w:spacing w:after="0" w:line="280" w:lineRule="exact"/>
        <w:ind w:left="1440"/>
        <w:jc w:val="both"/>
        <w:textAlignment w:val="baseline"/>
        <w:rPr>
          <w:rFonts w:cstheme="minorHAnsi"/>
          <w:color w:val="000000" w:themeColor="text1"/>
          <w:sz w:val="24"/>
          <w:szCs w:val="24"/>
        </w:rPr>
      </w:pPr>
    </w:p>
    <w:p w14:paraId="51B59625" w14:textId="7C49390C" w:rsidR="00437363" w:rsidRDefault="009378B2" w:rsidP="00212D5E">
      <w:pPr>
        <w:overflowPunct w:val="0"/>
        <w:autoSpaceDE w:val="0"/>
        <w:autoSpaceDN w:val="0"/>
        <w:adjustRightInd w:val="0"/>
        <w:spacing w:after="0" w:line="280" w:lineRule="exact"/>
        <w:jc w:val="both"/>
        <w:textAlignment w:val="baseline"/>
        <w:rPr>
          <w:rFonts w:eastAsia="Calibri" w:cstheme="minorHAnsi"/>
          <w:color w:val="000000" w:themeColor="text1"/>
          <w:sz w:val="24"/>
          <w:szCs w:val="24"/>
        </w:rPr>
      </w:pPr>
      <w:r w:rsidRPr="00D02D9D">
        <w:rPr>
          <w:rFonts w:eastAsia="Calibri" w:cstheme="minorHAnsi"/>
          <w:color w:val="000000" w:themeColor="text1"/>
          <w:sz w:val="24"/>
          <w:szCs w:val="24"/>
        </w:rPr>
        <w:t xml:space="preserve">U programu Održavanje groblja planirana su sredstva za 1 aktivnost u iznosu od </w:t>
      </w:r>
      <w:r w:rsidR="005A01B0">
        <w:rPr>
          <w:rFonts w:eastAsia="Calibri" w:cstheme="minorHAnsi"/>
          <w:color w:val="000000" w:themeColor="text1"/>
          <w:sz w:val="24"/>
          <w:szCs w:val="24"/>
        </w:rPr>
        <w:t>96.840,00</w:t>
      </w:r>
      <w:r w:rsidRPr="00D02D9D">
        <w:rPr>
          <w:rFonts w:eastAsia="Calibri" w:cstheme="minorHAnsi"/>
          <w:color w:val="000000" w:themeColor="text1"/>
          <w:sz w:val="24"/>
          <w:szCs w:val="24"/>
        </w:rPr>
        <w:t xml:space="preserve"> eura.</w:t>
      </w:r>
      <w:r>
        <w:rPr>
          <w:rFonts w:eastAsia="Calibri" w:cstheme="minorHAnsi"/>
          <w:color w:val="000000" w:themeColor="text1"/>
          <w:sz w:val="24"/>
          <w:szCs w:val="24"/>
        </w:rPr>
        <w:t xml:space="preserve"> Navedena aktivnost obuhvaća poslove održavanja staza, zelenih površina i biljnog materijala te infrastrukture u službi pogrebnih obreda, putem gradske tvrtke registrirane za obavljanje ovih poslova na području Grada Trogira. U izvještajnom razdoblju realizirano je </w:t>
      </w:r>
      <w:r w:rsidR="005A01B0">
        <w:rPr>
          <w:rFonts w:eastAsia="Calibri" w:cstheme="minorHAnsi"/>
          <w:color w:val="000000" w:themeColor="text1"/>
          <w:sz w:val="24"/>
          <w:szCs w:val="24"/>
        </w:rPr>
        <w:t>88.343,00</w:t>
      </w:r>
      <w:r>
        <w:rPr>
          <w:rFonts w:eastAsia="Calibri" w:cstheme="minorHAnsi"/>
          <w:color w:val="000000" w:themeColor="text1"/>
          <w:sz w:val="24"/>
          <w:szCs w:val="24"/>
        </w:rPr>
        <w:t xml:space="preserve"> ili </w:t>
      </w:r>
      <w:r w:rsidR="005A01B0">
        <w:rPr>
          <w:rFonts w:eastAsia="Calibri" w:cstheme="minorHAnsi"/>
          <w:color w:val="000000" w:themeColor="text1"/>
          <w:sz w:val="24"/>
          <w:szCs w:val="24"/>
        </w:rPr>
        <w:t>91,23</w:t>
      </w:r>
      <w:r>
        <w:rPr>
          <w:rFonts w:eastAsia="Calibri" w:cstheme="minorHAnsi"/>
          <w:color w:val="000000" w:themeColor="text1"/>
          <w:sz w:val="24"/>
          <w:szCs w:val="24"/>
        </w:rPr>
        <w:t>% plana.</w:t>
      </w:r>
    </w:p>
    <w:p w14:paraId="4213EB62" w14:textId="77777777" w:rsidR="00212D5E" w:rsidRDefault="00212D5E" w:rsidP="00212D5E">
      <w:pPr>
        <w:overflowPunct w:val="0"/>
        <w:autoSpaceDE w:val="0"/>
        <w:autoSpaceDN w:val="0"/>
        <w:adjustRightInd w:val="0"/>
        <w:spacing w:after="0" w:line="280" w:lineRule="exact"/>
        <w:jc w:val="both"/>
        <w:textAlignment w:val="baseline"/>
        <w:rPr>
          <w:rFonts w:eastAsia="Calibri" w:cstheme="minorHAnsi"/>
          <w:color w:val="000000" w:themeColor="text1"/>
          <w:sz w:val="24"/>
          <w:szCs w:val="24"/>
        </w:rPr>
      </w:pPr>
    </w:p>
    <w:p w14:paraId="14083C15" w14:textId="77777777" w:rsidR="00212D5E" w:rsidRDefault="00212D5E" w:rsidP="00212D5E">
      <w:pPr>
        <w:jc w:val="both"/>
        <w:rPr>
          <w:rFonts w:cstheme="minorHAnsi"/>
          <w:sz w:val="24"/>
          <w:szCs w:val="24"/>
          <w:u w:val="single"/>
          <w:lang w:eastAsia="hr-HR"/>
        </w:rPr>
      </w:pPr>
      <w:r w:rsidRPr="00442D48">
        <w:rPr>
          <w:rFonts w:cstheme="minorHAnsi"/>
          <w:sz w:val="24"/>
          <w:szCs w:val="24"/>
          <w:u w:val="single"/>
          <w:lang w:eastAsia="hr-HR"/>
        </w:rPr>
        <w:t xml:space="preserve">Program 1408 Održavanje javnih površina na kojima nije dopušten promet motornim vozilima </w:t>
      </w:r>
      <w:r w:rsidRPr="00442D48">
        <w:rPr>
          <w:rFonts w:cstheme="minorHAnsi"/>
          <w:sz w:val="24"/>
          <w:szCs w:val="24"/>
          <w:lang w:eastAsia="hr-HR"/>
        </w:rPr>
        <w:t>Osim što je zakonska obveza (sukladno Zakonu o komunalnom gospodarstvu), provedba ovog programa jedna je od osnovnih zadaća jedinice lokalne samouprave iz razloga jer izravno utječe na sveukupnu populaciju - korisnike javnih površina. Sukladno raspoloživim sredstvima nastoji se održati što viši stupanj uređenosti javnih površina u funkcionalnom, oblikovnom i estetskom smislu. Ovaj Program je stalni proces koji podrazumijeva praćenje stanja, određivanje prioriteta i djelovanje na terenu.</w:t>
      </w:r>
    </w:p>
    <w:p w14:paraId="1AF59FF0" w14:textId="77777777" w:rsidR="00212D5E" w:rsidRPr="00D05C1C" w:rsidRDefault="00212D5E" w:rsidP="00212D5E">
      <w:pPr>
        <w:jc w:val="both"/>
        <w:rPr>
          <w:rFonts w:cstheme="minorHAnsi"/>
          <w:sz w:val="24"/>
          <w:szCs w:val="24"/>
          <w:u w:val="single"/>
          <w:lang w:eastAsia="hr-HR"/>
        </w:rPr>
      </w:pPr>
      <w:r w:rsidRPr="00D05C1C">
        <w:rPr>
          <w:rFonts w:eastAsia="Calibri" w:cstheme="minorHAnsi"/>
          <w:color w:val="000000" w:themeColor="text1"/>
          <w:sz w:val="24"/>
          <w:szCs w:val="24"/>
        </w:rPr>
        <w:lastRenderedPageBreak/>
        <w:t>U okviru ovog programa planirana su sredstva za financiranje održavanja javnih površina i kamenih pločnika.</w:t>
      </w:r>
    </w:p>
    <w:p w14:paraId="5C057767" w14:textId="12E02CAB" w:rsidR="00212D5E" w:rsidRPr="00D05C1C" w:rsidRDefault="00212D5E" w:rsidP="00212D5E">
      <w:pPr>
        <w:jc w:val="both"/>
        <w:rPr>
          <w:rFonts w:cstheme="minorHAnsi"/>
          <w:sz w:val="24"/>
          <w:szCs w:val="24"/>
          <w:u w:val="single"/>
          <w:lang w:eastAsia="hr-HR"/>
        </w:rPr>
      </w:pPr>
      <w:r w:rsidRPr="00D05C1C">
        <w:rPr>
          <w:rFonts w:eastAsia="Calibri" w:cstheme="minorHAnsi"/>
          <w:color w:val="000000" w:themeColor="text1"/>
          <w:sz w:val="24"/>
          <w:szCs w:val="24"/>
        </w:rPr>
        <w:t xml:space="preserve">Poslovi i zadatci planirani su kroz </w:t>
      </w:r>
      <w:r>
        <w:rPr>
          <w:rFonts w:eastAsia="Calibri" w:cstheme="minorHAnsi"/>
          <w:color w:val="000000" w:themeColor="text1"/>
          <w:sz w:val="24"/>
          <w:szCs w:val="24"/>
        </w:rPr>
        <w:t>3</w:t>
      </w:r>
      <w:r w:rsidRPr="00D05C1C">
        <w:rPr>
          <w:rFonts w:eastAsia="Calibri" w:cstheme="minorHAnsi"/>
          <w:color w:val="000000" w:themeColor="text1"/>
          <w:sz w:val="24"/>
          <w:szCs w:val="24"/>
        </w:rPr>
        <w:t xml:space="preserve"> aktivnosti: </w:t>
      </w:r>
    </w:p>
    <w:p w14:paraId="58C2939E" w14:textId="77777777" w:rsidR="00212D5E" w:rsidRPr="00D05C1C" w:rsidRDefault="00212D5E" w:rsidP="00212D5E">
      <w:pPr>
        <w:numPr>
          <w:ilvl w:val="0"/>
          <w:numId w:val="5"/>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sidRPr="00D05C1C">
        <w:rPr>
          <w:rFonts w:eastAsia="Calibri" w:cstheme="minorHAnsi"/>
          <w:color w:val="000000" w:themeColor="text1"/>
          <w:sz w:val="24"/>
          <w:szCs w:val="24"/>
        </w:rPr>
        <w:t>A100037 Održavanje javnih površina,</w:t>
      </w:r>
    </w:p>
    <w:p w14:paraId="3BA5EF23" w14:textId="77777777" w:rsidR="00212D5E" w:rsidRDefault="00212D5E" w:rsidP="00212D5E">
      <w:pPr>
        <w:numPr>
          <w:ilvl w:val="0"/>
          <w:numId w:val="5"/>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sidRPr="00D05C1C">
        <w:rPr>
          <w:rFonts w:eastAsia="Calibri" w:cstheme="minorHAnsi"/>
          <w:color w:val="000000" w:themeColor="text1"/>
          <w:sz w:val="24"/>
          <w:szCs w:val="24"/>
        </w:rPr>
        <w:t>A100038 Održavanje kamenih pločnika.</w:t>
      </w:r>
    </w:p>
    <w:p w14:paraId="67D3EA47" w14:textId="77777777" w:rsidR="00212D5E" w:rsidRDefault="00212D5E" w:rsidP="00212D5E">
      <w:pPr>
        <w:numPr>
          <w:ilvl w:val="0"/>
          <w:numId w:val="5"/>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Pr>
          <w:rFonts w:eastAsia="Calibri" w:cstheme="minorHAnsi"/>
          <w:color w:val="000000" w:themeColor="text1"/>
          <w:sz w:val="24"/>
          <w:szCs w:val="24"/>
        </w:rPr>
        <w:t>A100040 Održavanje javnih površina- I tebe se pita,</w:t>
      </w:r>
    </w:p>
    <w:p w14:paraId="02654D3B" w14:textId="77777777" w:rsidR="00212D5E" w:rsidRDefault="00212D5E" w:rsidP="00212D5E">
      <w:pPr>
        <w:overflowPunct w:val="0"/>
        <w:autoSpaceDE w:val="0"/>
        <w:autoSpaceDN w:val="0"/>
        <w:adjustRightInd w:val="0"/>
        <w:spacing w:after="0" w:line="280" w:lineRule="exact"/>
        <w:jc w:val="both"/>
        <w:textAlignment w:val="baseline"/>
        <w:rPr>
          <w:rFonts w:eastAsia="Calibri" w:cstheme="minorHAnsi"/>
          <w:color w:val="000000" w:themeColor="text1"/>
          <w:sz w:val="24"/>
          <w:szCs w:val="24"/>
        </w:rPr>
      </w:pPr>
    </w:p>
    <w:p w14:paraId="035071EE" w14:textId="33FD7586" w:rsidR="00212D5E" w:rsidRDefault="00212D5E" w:rsidP="00212D5E">
      <w:pPr>
        <w:jc w:val="both"/>
        <w:rPr>
          <w:rFonts w:cstheme="minorHAnsi"/>
          <w:sz w:val="24"/>
          <w:szCs w:val="24"/>
          <w:lang w:eastAsia="hr-HR"/>
        </w:rPr>
      </w:pPr>
      <w:r w:rsidRPr="00B3799E">
        <w:rPr>
          <w:rFonts w:cstheme="minorHAnsi"/>
          <w:sz w:val="24"/>
          <w:szCs w:val="24"/>
          <w:u w:val="single"/>
          <w:lang w:eastAsia="hr-HR"/>
        </w:rPr>
        <w:t>Aktivnost – održavanje javnih površina</w:t>
      </w:r>
      <w:r w:rsidRPr="00442D48">
        <w:rPr>
          <w:rFonts w:cstheme="minorHAnsi"/>
          <w:sz w:val="24"/>
          <w:szCs w:val="24"/>
          <w:lang w:eastAsia="hr-HR"/>
        </w:rPr>
        <w:t xml:space="preserve"> podrazumijeva održavanje samih javnih površina, kao što su pješačke staze, pješačke zone, trgovi, dječja igrališta sa napravama za igru, pješčane plaže, parkovi i sl., ali i postrojenja i opreme, kao i ostalih komunalnih usluga povezanih s ovim radovima</w:t>
      </w:r>
      <w:r>
        <w:rPr>
          <w:rFonts w:cstheme="minorHAnsi"/>
          <w:sz w:val="24"/>
          <w:szCs w:val="24"/>
          <w:lang w:eastAsia="hr-HR"/>
        </w:rPr>
        <w:t xml:space="preserve">. </w:t>
      </w:r>
      <w:r w:rsidRPr="00442D48">
        <w:rPr>
          <w:rFonts w:cstheme="minorHAnsi"/>
          <w:sz w:val="24"/>
          <w:szCs w:val="24"/>
          <w:lang w:eastAsia="hr-HR"/>
        </w:rPr>
        <w:t xml:space="preserve">Aktivnost obuhvaća i uslugu održavanja </w:t>
      </w:r>
      <w:r w:rsidR="003B0050">
        <w:rPr>
          <w:rFonts w:cstheme="minorHAnsi"/>
          <w:sz w:val="24"/>
          <w:szCs w:val="24"/>
          <w:lang w:eastAsia="hr-HR"/>
        </w:rPr>
        <w:t>pješačkog mosta</w:t>
      </w:r>
      <w:r w:rsidRPr="00442D48">
        <w:rPr>
          <w:rFonts w:cstheme="minorHAnsi"/>
          <w:sz w:val="24"/>
          <w:szCs w:val="24"/>
          <w:lang w:eastAsia="hr-HR"/>
        </w:rPr>
        <w:t xml:space="preserve"> u </w:t>
      </w:r>
      <w:proofErr w:type="spellStart"/>
      <w:r w:rsidRPr="00442D48">
        <w:rPr>
          <w:rFonts w:cstheme="minorHAnsi"/>
          <w:sz w:val="24"/>
          <w:szCs w:val="24"/>
          <w:lang w:eastAsia="hr-HR"/>
        </w:rPr>
        <w:t>Foši</w:t>
      </w:r>
      <w:proofErr w:type="spellEnd"/>
      <w:r w:rsidRPr="00442D48">
        <w:rPr>
          <w:rFonts w:cstheme="minorHAnsi"/>
          <w:sz w:val="24"/>
          <w:szCs w:val="24"/>
          <w:lang w:eastAsia="hr-HR"/>
        </w:rPr>
        <w:t xml:space="preserve">, održavanje ostalih objekata od javnog značaja, </w:t>
      </w:r>
      <w:r w:rsidR="00B15F2E">
        <w:rPr>
          <w:rFonts w:cstheme="minorHAnsi"/>
          <w:sz w:val="24"/>
          <w:szCs w:val="24"/>
          <w:lang w:eastAsia="hr-HR"/>
        </w:rPr>
        <w:t>kao i uređenje javnih površina na Drveniku Velom i Malom.</w:t>
      </w:r>
      <w:r w:rsidR="003B0050">
        <w:rPr>
          <w:rFonts w:cstheme="minorHAnsi"/>
          <w:sz w:val="24"/>
          <w:szCs w:val="24"/>
          <w:lang w:eastAsia="hr-HR"/>
        </w:rPr>
        <w:t xml:space="preserve"> </w:t>
      </w:r>
      <w:r w:rsidRPr="00442D48">
        <w:rPr>
          <w:rFonts w:cstheme="minorHAnsi"/>
          <w:sz w:val="24"/>
          <w:szCs w:val="24"/>
          <w:lang w:eastAsia="hr-HR"/>
        </w:rPr>
        <w:t xml:space="preserve">Održavanje javnih površina obuhvaća održavanje, nabavku i postavu klupa i koševa za smeće, održavanje javno prometnih površina te dijelova javnih cesta koje prolaze kroz naselje kad se ti dijelovi ne održavaju kao javne ceste prema posebnom zakonu, a sve prema Programu rada </w:t>
      </w:r>
      <w:r>
        <w:rPr>
          <w:rFonts w:cstheme="minorHAnsi"/>
          <w:sz w:val="24"/>
          <w:szCs w:val="24"/>
          <w:lang w:eastAsia="hr-HR"/>
        </w:rPr>
        <w:t xml:space="preserve">Trogir Holdinga </w:t>
      </w:r>
      <w:r w:rsidRPr="00442D48">
        <w:rPr>
          <w:rFonts w:cstheme="minorHAnsi"/>
          <w:sz w:val="24"/>
          <w:szCs w:val="24"/>
          <w:lang w:eastAsia="hr-HR"/>
        </w:rPr>
        <w:t>d.o.o.</w:t>
      </w:r>
      <w:r>
        <w:rPr>
          <w:rFonts w:cstheme="minorHAnsi"/>
          <w:sz w:val="24"/>
          <w:szCs w:val="24"/>
          <w:lang w:eastAsia="hr-HR"/>
        </w:rPr>
        <w:t xml:space="preserve"> Planirana sredstva za ovu aktivnost za 202</w:t>
      </w:r>
      <w:r w:rsidR="00B15F2E">
        <w:rPr>
          <w:rFonts w:cstheme="minorHAnsi"/>
          <w:sz w:val="24"/>
          <w:szCs w:val="24"/>
          <w:lang w:eastAsia="hr-HR"/>
        </w:rPr>
        <w:t>5</w:t>
      </w:r>
      <w:r>
        <w:rPr>
          <w:rFonts w:cstheme="minorHAnsi"/>
          <w:sz w:val="24"/>
          <w:szCs w:val="24"/>
          <w:lang w:eastAsia="hr-HR"/>
        </w:rPr>
        <w:t xml:space="preserve">.godinu iznose </w:t>
      </w:r>
      <w:r w:rsidR="00B15F2E">
        <w:rPr>
          <w:rFonts w:cstheme="minorHAnsi"/>
          <w:sz w:val="24"/>
          <w:szCs w:val="24"/>
          <w:lang w:eastAsia="hr-HR"/>
        </w:rPr>
        <w:t>235.000,00</w:t>
      </w:r>
      <w:r>
        <w:rPr>
          <w:rFonts w:cstheme="minorHAnsi"/>
          <w:sz w:val="24"/>
          <w:szCs w:val="24"/>
          <w:lang w:eastAsia="hr-HR"/>
        </w:rPr>
        <w:t xml:space="preserve"> eura, a realizirano je </w:t>
      </w:r>
      <w:r w:rsidR="00B15F2E">
        <w:rPr>
          <w:rFonts w:cstheme="minorHAnsi"/>
          <w:sz w:val="24"/>
          <w:szCs w:val="24"/>
          <w:lang w:eastAsia="hr-HR"/>
        </w:rPr>
        <w:t>219.332,60</w:t>
      </w:r>
      <w:r>
        <w:rPr>
          <w:rFonts w:cstheme="minorHAnsi"/>
          <w:sz w:val="24"/>
          <w:szCs w:val="24"/>
          <w:lang w:eastAsia="hr-HR"/>
        </w:rPr>
        <w:t xml:space="preserve"> eura ili </w:t>
      </w:r>
      <w:r w:rsidR="00B15F2E">
        <w:rPr>
          <w:rFonts w:cstheme="minorHAnsi"/>
          <w:sz w:val="24"/>
          <w:szCs w:val="24"/>
          <w:lang w:eastAsia="hr-HR"/>
        </w:rPr>
        <w:t>93,33</w:t>
      </w:r>
      <w:r>
        <w:rPr>
          <w:rFonts w:cstheme="minorHAnsi"/>
          <w:sz w:val="24"/>
          <w:szCs w:val="24"/>
          <w:lang w:eastAsia="hr-HR"/>
        </w:rPr>
        <w:t>% plana.</w:t>
      </w:r>
      <w:r w:rsidRPr="00442D48">
        <w:rPr>
          <w:rFonts w:cstheme="minorHAnsi"/>
          <w:sz w:val="24"/>
          <w:szCs w:val="24"/>
          <w:lang w:eastAsia="hr-HR"/>
        </w:rPr>
        <w:t xml:space="preserve"> </w:t>
      </w:r>
    </w:p>
    <w:p w14:paraId="402F725B" w14:textId="4E4D6C71" w:rsidR="00212D5E" w:rsidRDefault="00212D5E" w:rsidP="00212D5E">
      <w:pPr>
        <w:jc w:val="both"/>
        <w:rPr>
          <w:rFonts w:cstheme="minorHAnsi"/>
          <w:sz w:val="24"/>
          <w:szCs w:val="24"/>
          <w:lang w:eastAsia="hr-HR"/>
        </w:rPr>
      </w:pPr>
      <w:r w:rsidRPr="00B3799E">
        <w:rPr>
          <w:rFonts w:cstheme="minorHAnsi"/>
          <w:sz w:val="24"/>
          <w:szCs w:val="24"/>
          <w:u w:val="single"/>
          <w:lang w:eastAsia="hr-HR"/>
        </w:rPr>
        <w:t>Aktivnost – održavanje kamenih pločnika</w:t>
      </w:r>
      <w:r w:rsidRPr="009A2EBC">
        <w:rPr>
          <w:rFonts w:cstheme="minorHAnsi"/>
          <w:sz w:val="24"/>
          <w:szCs w:val="24"/>
          <w:lang w:eastAsia="hr-HR"/>
        </w:rPr>
        <w:t xml:space="preserve"> odnosi se na održavanje kamenih pločnika, popravak i zamjenu novih kamenih ploča na pločnicima i trgovima prema posebnom ugovoru nakon provedenog postupka nabave.</w:t>
      </w:r>
      <w:r>
        <w:rPr>
          <w:rFonts w:cstheme="minorHAnsi"/>
          <w:sz w:val="24"/>
          <w:szCs w:val="24"/>
          <w:lang w:eastAsia="hr-HR"/>
        </w:rPr>
        <w:t xml:space="preserve"> </w:t>
      </w:r>
      <w:r w:rsidR="00B15F2E">
        <w:rPr>
          <w:rFonts w:cstheme="minorHAnsi"/>
          <w:sz w:val="24"/>
          <w:szCs w:val="24"/>
          <w:lang w:eastAsia="hr-HR"/>
        </w:rPr>
        <w:t>Nije bilo realizacije u</w:t>
      </w:r>
      <w:r w:rsidR="003B0050">
        <w:rPr>
          <w:rFonts w:cstheme="minorHAnsi"/>
          <w:sz w:val="24"/>
          <w:szCs w:val="24"/>
          <w:lang w:eastAsia="hr-HR"/>
        </w:rPr>
        <w:t xml:space="preserve"> izvještajnom razdoblju 202</w:t>
      </w:r>
      <w:r w:rsidR="00B15F2E">
        <w:rPr>
          <w:rFonts w:cstheme="minorHAnsi"/>
          <w:sz w:val="24"/>
          <w:szCs w:val="24"/>
          <w:lang w:eastAsia="hr-HR"/>
        </w:rPr>
        <w:t>5</w:t>
      </w:r>
      <w:r w:rsidR="003B0050">
        <w:rPr>
          <w:rFonts w:cstheme="minorHAnsi"/>
          <w:sz w:val="24"/>
          <w:szCs w:val="24"/>
          <w:lang w:eastAsia="hr-HR"/>
        </w:rPr>
        <w:t>.godine</w:t>
      </w:r>
      <w:r w:rsidR="00B15F2E">
        <w:rPr>
          <w:rFonts w:cstheme="minorHAnsi"/>
          <w:sz w:val="24"/>
          <w:szCs w:val="24"/>
          <w:lang w:eastAsia="hr-HR"/>
        </w:rPr>
        <w:t>.</w:t>
      </w:r>
    </w:p>
    <w:p w14:paraId="7742F50D" w14:textId="43DF15D3" w:rsidR="00212D5E" w:rsidRPr="00C145E4" w:rsidRDefault="00212D5E" w:rsidP="00C145E4">
      <w:pPr>
        <w:jc w:val="both"/>
        <w:rPr>
          <w:rFonts w:cstheme="minorHAnsi"/>
          <w:sz w:val="24"/>
          <w:szCs w:val="24"/>
          <w:lang w:eastAsia="hr-HR"/>
        </w:rPr>
      </w:pPr>
      <w:r w:rsidRPr="00B3799E">
        <w:rPr>
          <w:rFonts w:cstheme="minorHAnsi"/>
          <w:sz w:val="24"/>
          <w:szCs w:val="24"/>
          <w:u w:val="single"/>
          <w:lang w:eastAsia="hr-HR"/>
        </w:rPr>
        <w:t>Aktivnost – Održavanje javnih površina- I tebe se pita</w:t>
      </w:r>
      <w:r>
        <w:rPr>
          <w:rFonts w:cstheme="minorHAnsi"/>
          <w:sz w:val="24"/>
          <w:szCs w:val="24"/>
          <w:lang w:eastAsia="hr-HR"/>
        </w:rPr>
        <w:t xml:space="preserve"> </w:t>
      </w:r>
      <w:r w:rsidRPr="00B3799E">
        <w:rPr>
          <w:rFonts w:cstheme="minorHAnsi"/>
          <w:sz w:val="24"/>
          <w:szCs w:val="24"/>
        </w:rPr>
        <w:t xml:space="preserve">obuhvaća tekuće i investicijsko </w:t>
      </w:r>
      <w:r w:rsidRPr="00B3799E">
        <w:rPr>
          <w:rFonts w:cstheme="minorHAnsi"/>
          <w:sz w:val="24"/>
          <w:szCs w:val="24"/>
          <w:lang w:eastAsia="hr-HR"/>
        </w:rPr>
        <w:t>održavanje javnih površina te usluge stručnog nadzora, a sve temeljem prijedloga  građana u sklopu projekta „I tebe se pita!", odnosno participativnom budžetiranju - projektu koji podrazumijeva davanje građanima na raspolaganje jednog dijela proračuna, tako da sami predlažu i sami glasuju o projektima koje žele realizirati u svojim kvartovima.</w:t>
      </w:r>
      <w:r w:rsidR="00C145E4">
        <w:rPr>
          <w:rFonts w:cstheme="minorHAnsi"/>
          <w:sz w:val="24"/>
          <w:szCs w:val="24"/>
          <w:lang w:eastAsia="hr-HR"/>
        </w:rPr>
        <w:t xml:space="preserve"> Planirana sredstva za ovu aktivnost za 202</w:t>
      </w:r>
      <w:r w:rsidR="00CF4AD2">
        <w:rPr>
          <w:rFonts w:cstheme="minorHAnsi"/>
          <w:sz w:val="24"/>
          <w:szCs w:val="24"/>
          <w:lang w:eastAsia="hr-HR"/>
        </w:rPr>
        <w:t>5</w:t>
      </w:r>
      <w:r w:rsidR="00C145E4">
        <w:rPr>
          <w:rFonts w:cstheme="minorHAnsi"/>
          <w:sz w:val="24"/>
          <w:szCs w:val="24"/>
          <w:lang w:eastAsia="hr-HR"/>
        </w:rPr>
        <w:t xml:space="preserve">.godinu iznose </w:t>
      </w:r>
      <w:r w:rsidR="00CF4AD2">
        <w:rPr>
          <w:rFonts w:cstheme="minorHAnsi"/>
          <w:sz w:val="24"/>
          <w:szCs w:val="24"/>
          <w:lang w:eastAsia="hr-HR"/>
        </w:rPr>
        <w:t>51.450,00</w:t>
      </w:r>
      <w:r w:rsidR="00C145E4">
        <w:rPr>
          <w:rFonts w:cstheme="minorHAnsi"/>
          <w:sz w:val="24"/>
          <w:szCs w:val="24"/>
          <w:lang w:eastAsia="hr-HR"/>
        </w:rPr>
        <w:t xml:space="preserve"> eura, a realizirano je </w:t>
      </w:r>
      <w:r w:rsidR="00CF4AD2">
        <w:rPr>
          <w:rFonts w:cstheme="minorHAnsi"/>
          <w:sz w:val="24"/>
          <w:szCs w:val="24"/>
          <w:lang w:eastAsia="hr-HR"/>
        </w:rPr>
        <w:t>51.445,99</w:t>
      </w:r>
      <w:r w:rsidR="00C145E4">
        <w:rPr>
          <w:rFonts w:cstheme="minorHAnsi"/>
          <w:sz w:val="24"/>
          <w:szCs w:val="24"/>
          <w:lang w:eastAsia="hr-HR"/>
        </w:rPr>
        <w:t xml:space="preserve">  eura ili </w:t>
      </w:r>
      <w:r w:rsidR="00CF4AD2">
        <w:rPr>
          <w:rFonts w:cstheme="minorHAnsi"/>
          <w:sz w:val="24"/>
          <w:szCs w:val="24"/>
          <w:lang w:eastAsia="hr-HR"/>
        </w:rPr>
        <w:t>99,99</w:t>
      </w:r>
      <w:r w:rsidR="00C145E4">
        <w:rPr>
          <w:rFonts w:cstheme="minorHAnsi"/>
          <w:sz w:val="24"/>
          <w:szCs w:val="24"/>
          <w:lang w:eastAsia="hr-HR"/>
        </w:rPr>
        <w:t>% plana</w:t>
      </w:r>
      <w:r w:rsidR="00C145E4" w:rsidRPr="00CF4AD2">
        <w:rPr>
          <w:rFonts w:cstheme="minorHAnsi"/>
          <w:sz w:val="24"/>
          <w:szCs w:val="24"/>
          <w:lang w:eastAsia="hr-HR"/>
        </w:rPr>
        <w:t>, a odnose se na usluge tekućeg i investicijskog održavanja</w:t>
      </w:r>
      <w:r w:rsidR="00C145E4" w:rsidRPr="00CF4AD2">
        <w:rPr>
          <w:sz w:val="24"/>
          <w:szCs w:val="24"/>
        </w:rPr>
        <w:t xml:space="preserve"> u sklopu participativnog budžetiranja i usluge stručnog nadzora nad radovima.</w:t>
      </w:r>
    </w:p>
    <w:p w14:paraId="5EBFF0C7" w14:textId="14751899" w:rsidR="00212D5E" w:rsidRDefault="00212D5E" w:rsidP="00212D5E">
      <w:pPr>
        <w:spacing w:after="0"/>
        <w:jc w:val="both"/>
        <w:rPr>
          <w:rFonts w:cstheme="minorHAnsi"/>
          <w:sz w:val="24"/>
          <w:szCs w:val="24"/>
        </w:rPr>
      </w:pPr>
      <w:r>
        <w:rPr>
          <w:rFonts w:cstheme="minorHAnsi"/>
          <w:sz w:val="24"/>
          <w:szCs w:val="24"/>
        </w:rPr>
        <w:t>Planirana sredstva za 202</w:t>
      </w:r>
      <w:r w:rsidR="00CF4AD2">
        <w:rPr>
          <w:rFonts w:cstheme="minorHAnsi"/>
          <w:sz w:val="24"/>
          <w:szCs w:val="24"/>
        </w:rPr>
        <w:t>5</w:t>
      </w:r>
      <w:r>
        <w:rPr>
          <w:rFonts w:cstheme="minorHAnsi"/>
          <w:sz w:val="24"/>
          <w:szCs w:val="24"/>
        </w:rPr>
        <w:t xml:space="preserve">. godinu </w:t>
      </w:r>
      <w:r w:rsidRPr="00BF10EA">
        <w:rPr>
          <w:rFonts w:cstheme="minorHAnsi"/>
          <w:sz w:val="24"/>
          <w:szCs w:val="24"/>
        </w:rPr>
        <w:t>za realizaciju ovog programa</w:t>
      </w:r>
      <w:r>
        <w:rPr>
          <w:rFonts w:cstheme="minorHAnsi"/>
          <w:sz w:val="24"/>
          <w:szCs w:val="24"/>
        </w:rPr>
        <w:t xml:space="preserve"> iznose </w:t>
      </w:r>
      <w:r w:rsidR="00CF4AD2">
        <w:rPr>
          <w:rFonts w:cstheme="minorHAnsi"/>
          <w:sz w:val="24"/>
          <w:szCs w:val="24"/>
        </w:rPr>
        <w:t>306.450,00</w:t>
      </w:r>
      <w:r>
        <w:rPr>
          <w:rFonts w:cstheme="minorHAnsi"/>
          <w:sz w:val="24"/>
          <w:szCs w:val="24"/>
        </w:rPr>
        <w:t xml:space="preserve"> eura, a realizirano je </w:t>
      </w:r>
      <w:r w:rsidR="00CF4AD2">
        <w:rPr>
          <w:rFonts w:cstheme="minorHAnsi"/>
          <w:sz w:val="24"/>
          <w:szCs w:val="24"/>
        </w:rPr>
        <w:t>270.778,59</w:t>
      </w:r>
      <w:r>
        <w:rPr>
          <w:rFonts w:cstheme="minorHAnsi"/>
          <w:sz w:val="24"/>
          <w:szCs w:val="24"/>
        </w:rPr>
        <w:t xml:space="preserve"> eura ili </w:t>
      </w:r>
      <w:r w:rsidR="00CF4AD2">
        <w:rPr>
          <w:rFonts w:cstheme="minorHAnsi"/>
          <w:sz w:val="24"/>
          <w:szCs w:val="24"/>
        </w:rPr>
        <w:t>88,36</w:t>
      </w:r>
      <w:r>
        <w:rPr>
          <w:rFonts w:cstheme="minorHAnsi"/>
          <w:sz w:val="24"/>
          <w:szCs w:val="24"/>
        </w:rPr>
        <w:t>% plana i odnosi se  većim dijelom na održavanje javnih površina</w:t>
      </w:r>
      <w:r w:rsidR="006276AA">
        <w:rPr>
          <w:rFonts w:cstheme="minorHAnsi"/>
          <w:sz w:val="24"/>
          <w:szCs w:val="24"/>
        </w:rPr>
        <w:t xml:space="preserve"> </w:t>
      </w:r>
      <w:r>
        <w:rPr>
          <w:rFonts w:cstheme="minorHAnsi"/>
          <w:sz w:val="24"/>
          <w:szCs w:val="24"/>
        </w:rPr>
        <w:t>i usluge tekućeg i investicijskog održavanja u sklopu participativnog budžetiranja –ITSP.</w:t>
      </w:r>
    </w:p>
    <w:p w14:paraId="2E19C438" w14:textId="7E5ED670" w:rsidR="00AE5BD2" w:rsidRPr="00A23ED4" w:rsidRDefault="00AE5BD2" w:rsidP="00AE5BD2">
      <w:pPr>
        <w:spacing w:after="0"/>
        <w:jc w:val="both"/>
        <w:rPr>
          <w:rFonts w:cstheme="minorHAnsi"/>
          <w:sz w:val="24"/>
          <w:szCs w:val="24"/>
          <w:u w:val="single"/>
        </w:rPr>
      </w:pPr>
      <w:r w:rsidRPr="00A23ED4">
        <w:rPr>
          <w:rFonts w:cstheme="minorHAnsi"/>
          <w:sz w:val="24"/>
          <w:szCs w:val="24"/>
          <w:u w:val="single"/>
        </w:rPr>
        <w:t xml:space="preserve">Program 1409 Održavanje građevina javne odvodnje oborinskih voda </w:t>
      </w:r>
    </w:p>
    <w:p w14:paraId="23CE72A6" w14:textId="77777777" w:rsidR="00E97E80" w:rsidRPr="00AE5BD2" w:rsidRDefault="00E97E80" w:rsidP="00E97E80">
      <w:pPr>
        <w:spacing w:after="0"/>
        <w:jc w:val="both"/>
        <w:rPr>
          <w:rFonts w:cstheme="minorHAnsi"/>
          <w:b/>
          <w:sz w:val="24"/>
          <w:szCs w:val="24"/>
          <w:lang w:eastAsia="hr-HR"/>
        </w:rPr>
      </w:pPr>
      <w:r w:rsidRPr="00AE5BD2">
        <w:rPr>
          <w:rFonts w:eastAsia="Calibri" w:cstheme="minorHAnsi"/>
          <w:color w:val="000000" w:themeColor="text1"/>
          <w:sz w:val="24"/>
          <w:szCs w:val="24"/>
        </w:rPr>
        <w:t>U okviru ovog programa planirana su sredstva za financiranje održavanja građevina javne odvodnje oborinskih voda.</w:t>
      </w:r>
      <w:r w:rsidRPr="009B028B">
        <w:rPr>
          <w:rFonts w:ascii="Times New Roman" w:eastAsia="Calibri" w:hAnsi="Times New Roman" w:cs="Times New Roman"/>
          <w:color w:val="000000" w:themeColor="text1"/>
        </w:rPr>
        <w:t xml:space="preserve"> </w:t>
      </w:r>
      <w:r w:rsidRPr="00A23ED4">
        <w:rPr>
          <w:rFonts w:cstheme="minorHAnsi"/>
          <w:sz w:val="24"/>
          <w:szCs w:val="24"/>
          <w:lang w:eastAsia="hr-HR"/>
        </w:rPr>
        <w:t>Program posebno ima za cilj održati funkcionalnim postojeći sustav oborinske odvodnje čišćenjem i popravljanjem pripadajućih oštećenih dijelova objekata i uređaja.</w:t>
      </w:r>
      <w:r>
        <w:rPr>
          <w:rFonts w:cstheme="minorHAnsi"/>
          <w:b/>
          <w:sz w:val="24"/>
          <w:szCs w:val="24"/>
          <w:lang w:eastAsia="hr-HR"/>
        </w:rPr>
        <w:t xml:space="preserve"> </w:t>
      </w:r>
      <w:r w:rsidRPr="00A23ED4">
        <w:rPr>
          <w:rFonts w:cstheme="minorHAnsi"/>
          <w:sz w:val="24"/>
          <w:szCs w:val="24"/>
          <w:lang w:eastAsia="hr-HR"/>
        </w:rPr>
        <w:t>Održavanje građevina javne odvodnje oborinskih voda</w:t>
      </w:r>
      <w:r w:rsidRPr="00A23ED4">
        <w:rPr>
          <w:rFonts w:cstheme="minorHAnsi"/>
          <w:b/>
          <w:sz w:val="24"/>
          <w:szCs w:val="24"/>
          <w:lang w:eastAsia="hr-HR"/>
        </w:rPr>
        <w:t xml:space="preserve"> </w:t>
      </w:r>
      <w:r w:rsidRPr="00A23ED4">
        <w:rPr>
          <w:rFonts w:cstheme="minorHAnsi"/>
          <w:sz w:val="24"/>
          <w:szCs w:val="24"/>
          <w:lang w:eastAsia="hr-HR"/>
        </w:rPr>
        <w:t>o</w:t>
      </w:r>
      <w:r w:rsidRPr="00A23ED4">
        <w:rPr>
          <w:rFonts w:cstheme="minorHAnsi"/>
          <w:sz w:val="24"/>
          <w:szCs w:val="24"/>
        </w:rPr>
        <w:t xml:space="preserve">buhvaća upravljanje i održavanje građevina koje služe prihvatu, odvodnji i ispuštanju oborinskih voda iz građevina i površina javne namjene u građevinskom području, uključujući i građevine koje služe zajedničkom prihvatu, odvodnji i ispuštanju oborinskih i drugih otpadnih voda, osim građevina u vlasništvu javnih isporučitelja vodnih usluga koje, prema posebnim propisima o vodama, služe zajedničkom prihvatu, odvodnji i ispuštanju oborinskih i drugih otpadnih voda. Obuhvaća </w:t>
      </w:r>
      <w:r w:rsidRPr="00A23ED4">
        <w:rPr>
          <w:rFonts w:cstheme="minorHAnsi"/>
          <w:sz w:val="24"/>
          <w:szCs w:val="24"/>
        </w:rPr>
        <w:lastRenderedPageBreak/>
        <w:t xml:space="preserve">i </w:t>
      </w:r>
      <w:r w:rsidRPr="00A23ED4">
        <w:rPr>
          <w:rFonts w:cstheme="minorHAnsi"/>
          <w:sz w:val="24"/>
          <w:szCs w:val="24"/>
          <w:lang w:eastAsia="hr-HR"/>
        </w:rPr>
        <w:t>redovito čišćenje izgrađenog oborinskog  sustava (slivnici, reviziona okna, cijevi ) za odvodnju oborinskih voda na području grada Trogira, održavanje otvorenih oborinskih kanala duž prometnica te zamjena oštećenih, slomljenih dijelova slivnika i oborinskih rešetaka.</w:t>
      </w:r>
    </w:p>
    <w:p w14:paraId="545D21E5" w14:textId="3715EF7F" w:rsidR="00D14B61" w:rsidRPr="00AE5BD2" w:rsidRDefault="00E97E80" w:rsidP="00E97E80">
      <w:pPr>
        <w:overflowPunct w:val="0"/>
        <w:autoSpaceDE w:val="0"/>
        <w:autoSpaceDN w:val="0"/>
        <w:adjustRightInd w:val="0"/>
        <w:spacing w:after="0" w:line="280" w:lineRule="exact"/>
        <w:textAlignment w:val="baseline"/>
        <w:rPr>
          <w:rFonts w:eastAsia="Calibri" w:cstheme="minorHAnsi"/>
          <w:color w:val="000000" w:themeColor="text1"/>
          <w:sz w:val="24"/>
          <w:szCs w:val="24"/>
        </w:rPr>
      </w:pPr>
      <w:r w:rsidRPr="00AE5BD2">
        <w:rPr>
          <w:rFonts w:eastAsia="Calibri" w:cstheme="minorHAnsi"/>
          <w:color w:val="000000" w:themeColor="text1"/>
          <w:sz w:val="24"/>
          <w:szCs w:val="24"/>
        </w:rPr>
        <w:t xml:space="preserve">Poslovi i zadatci planirani su kroz 1 aktivnost: </w:t>
      </w:r>
    </w:p>
    <w:p w14:paraId="21632DA4" w14:textId="77777777" w:rsidR="00E97E80" w:rsidRPr="00AE5BD2" w:rsidRDefault="00E97E80" w:rsidP="00E97E80">
      <w:pPr>
        <w:overflowPunct w:val="0"/>
        <w:autoSpaceDE w:val="0"/>
        <w:autoSpaceDN w:val="0"/>
        <w:adjustRightInd w:val="0"/>
        <w:spacing w:after="0" w:line="280" w:lineRule="exact"/>
        <w:ind w:left="357"/>
        <w:jc w:val="both"/>
        <w:textAlignment w:val="baseline"/>
        <w:rPr>
          <w:rFonts w:eastAsia="Calibri" w:cstheme="minorHAnsi"/>
          <w:color w:val="000000" w:themeColor="text1"/>
          <w:sz w:val="24"/>
          <w:szCs w:val="24"/>
        </w:rPr>
      </w:pPr>
      <w:r w:rsidRPr="00AE5BD2">
        <w:rPr>
          <w:rFonts w:eastAsia="Calibri" w:cstheme="minorHAnsi"/>
          <w:color w:val="000000" w:themeColor="text1"/>
          <w:sz w:val="24"/>
          <w:szCs w:val="24"/>
        </w:rPr>
        <w:t>(1) A100039 Održavanje građevina javne odvodnje oborinskih voda.</w:t>
      </w:r>
    </w:p>
    <w:p w14:paraId="43A42CEC" w14:textId="77777777" w:rsidR="003E15B9" w:rsidRDefault="003E15B9" w:rsidP="003E15B9">
      <w:pPr>
        <w:overflowPunct w:val="0"/>
        <w:autoSpaceDE w:val="0"/>
        <w:autoSpaceDN w:val="0"/>
        <w:adjustRightInd w:val="0"/>
        <w:spacing w:after="0" w:line="280" w:lineRule="exact"/>
        <w:jc w:val="both"/>
        <w:textAlignment w:val="baseline"/>
        <w:rPr>
          <w:rFonts w:eastAsia="Calibri" w:cstheme="minorHAnsi"/>
          <w:color w:val="000000" w:themeColor="text1"/>
          <w:sz w:val="24"/>
          <w:szCs w:val="24"/>
        </w:rPr>
      </w:pPr>
    </w:p>
    <w:p w14:paraId="0C1B80A8" w14:textId="2B1E475B" w:rsidR="00E97E80" w:rsidRDefault="00E97E80" w:rsidP="003E15B9">
      <w:pPr>
        <w:overflowPunct w:val="0"/>
        <w:autoSpaceDE w:val="0"/>
        <w:autoSpaceDN w:val="0"/>
        <w:adjustRightInd w:val="0"/>
        <w:spacing w:after="0" w:line="280" w:lineRule="exact"/>
        <w:jc w:val="both"/>
        <w:textAlignment w:val="baseline"/>
        <w:rPr>
          <w:rFonts w:eastAsia="Calibri" w:cstheme="minorHAnsi"/>
          <w:sz w:val="24"/>
          <w:szCs w:val="24"/>
        </w:rPr>
      </w:pPr>
      <w:r w:rsidRPr="00AE5BD2">
        <w:rPr>
          <w:rFonts w:eastAsia="Calibri" w:cstheme="minorHAnsi"/>
          <w:color w:val="000000" w:themeColor="text1"/>
          <w:sz w:val="24"/>
          <w:szCs w:val="24"/>
        </w:rPr>
        <w:t xml:space="preserve">U programu Održavanje građevina javne odvodnje oborinskih voda planirana su sredstva za 1 aktivnost u iznosu od </w:t>
      </w:r>
      <w:r w:rsidR="00D14B61">
        <w:rPr>
          <w:rFonts w:eastAsia="Calibri" w:cstheme="minorHAnsi"/>
          <w:color w:val="000000" w:themeColor="text1"/>
          <w:sz w:val="24"/>
          <w:szCs w:val="24"/>
        </w:rPr>
        <w:t>40.697,50</w:t>
      </w:r>
      <w:r w:rsidRPr="00AE5BD2">
        <w:rPr>
          <w:rFonts w:eastAsia="Calibri" w:cstheme="minorHAnsi"/>
          <w:color w:val="000000" w:themeColor="text1"/>
          <w:sz w:val="24"/>
          <w:szCs w:val="24"/>
        </w:rPr>
        <w:t xml:space="preserve"> eura.</w:t>
      </w:r>
      <w:r>
        <w:rPr>
          <w:rFonts w:eastAsia="Calibri" w:cstheme="minorHAnsi"/>
          <w:color w:val="000000" w:themeColor="text1"/>
          <w:sz w:val="24"/>
          <w:szCs w:val="24"/>
        </w:rPr>
        <w:t xml:space="preserve"> </w:t>
      </w:r>
      <w:r>
        <w:rPr>
          <w:rFonts w:cstheme="minorHAnsi"/>
          <w:sz w:val="24"/>
          <w:szCs w:val="24"/>
        </w:rPr>
        <w:t xml:space="preserve">U izvještajnom razdoblju je po ovom programu realizirano </w:t>
      </w:r>
      <w:r w:rsidR="00D14B61">
        <w:rPr>
          <w:rFonts w:cstheme="minorHAnsi"/>
          <w:sz w:val="24"/>
          <w:szCs w:val="24"/>
        </w:rPr>
        <w:t>40.101,50</w:t>
      </w:r>
      <w:r>
        <w:rPr>
          <w:rFonts w:cstheme="minorHAnsi"/>
          <w:sz w:val="24"/>
          <w:szCs w:val="24"/>
        </w:rPr>
        <w:t xml:space="preserve"> eura ili </w:t>
      </w:r>
      <w:r w:rsidR="00D14B61">
        <w:rPr>
          <w:rFonts w:cstheme="minorHAnsi"/>
          <w:sz w:val="24"/>
          <w:szCs w:val="24"/>
        </w:rPr>
        <w:t>98,54</w:t>
      </w:r>
      <w:r>
        <w:rPr>
          <w:rFonts w:cstheme="minorHAnsi"/>
          <w:sz w:val="24"/>
          <w:szCs w:val="24"/>
        </w:rPr>
        <w:t xml:space="preserve"> % plana</w:t>
      </w:r>
      <w:r w:rsidR="003E15B9">
        <w:rPr>
          <w:rFonts w:cstheme="minorHAnsi"/>
          <w:sz w:val="24"/>
          <w:szCs w:val="24"/>
        </w:rPr>
        <w:t xml:space="preserve"> i </w:t>
      </w:r>
      <w:r w:rsidR="003E15B9" w:rsidRPr="003E15B9">
        <w:rPr>
          <w:rFonts w:cstheme="minorHAnsi"/>
          <w:sz w:val="24"/>
          <w:szCs w:val="24"/>
        </w:rPr>
        <w:t xml:space="preserve">to većim dijelom za redovno održavanje i </w:t>
      </w:r>
      <w:r w:rsidR="00D14B61" w:rsidRPr="003E15B9">
        <w:rPr>
          <w:rFonts w:eastAsia="Calibri" w:cstheme="minorHAnsi"/>
          <w:sz w:val="24"/>
          <w:szCs w:val="24"/>
        </w:rPr>
        <w:t xml:space="preserve">investicijsko održavanje na sanaciji oborinske rešetke u ulici </w:t>
      </w:r>
      <w:proofErr w:type="spellStart"/>
      <w:r w:rsidR="00D14B61" w:rsidRPr="003E15B9">
        <w:rPr>
          <w:rFonts w:eastAsia="Calibri" w:cstheme="minorHAnsi"/>
          <w:sz w:val="24"/>
          <w:szCs w:val="24"/>
        </w:rPr>
        <w:t>Betanija</w:t>
      </w:r>
      <w:proofErr w:type="spellEnd"/>
      <w:r w:rsidR="00D14B61" w:rsidRPr="003E15B9">
        <w:rPr>
          <w:rFonts w:eastAsia="Calibri" w:cstheme="minorHAnsi"/>
          <w:sz w:val="24"/>
          <w:szCs w:val="24"/>
        </w:rPr>
        <w:t xml:space="preserve"> te sanaciji oborinskog kanala u </w:t>
      </w:r>
      <w:proofErr w:type="spellStart"/>
      <w:r w:rsidR="00D14B61" w:rsidRPr="003E15B9">
        <w:rPr>
          <w:rFonts w:eastAsia="Calibri" w:cstheme="minorHAnsi"/>
          <w:sz w:val="24"/>
          <w:szCs w:val="24"/>
        </w:rPr>
        <w:t>Divuljama</w:t>
      </w:r>
      <w:proofErr w:type="spellEnd"/>
      <w:r w:rsidR="00D14B61" w:rsidRPr="003E15B9">
        <w:rPr>
          <w:rFonts w:eastAsia="Calibri" w:cstheme="minorHAnsi"/>
          <w:sz w:val="24"/>
          <w:szCs w:val="24"/>
        </w:rPr>
        <w:t>.</w:t>
      </w:r>
    </w:p>
    <w:p w14:paraId="7F1D8903" w14:textId="77777777" w:rsidR="003E15B9" w:rsidRPr="003E15B9" w:rsidRDefault="003E15B9" w:rsidP="003E15B9">
      <w:pPr>
        <w:overflowPunct w:val="0"/>
        <w:autoSpaceDE w:val="0"/>
        <w:autoSpaceDN w:val="0"/>
        <w:adjustRightInd w:val="0"/>
        <w:spacing w:after="0" w:line="280" w:lineRule="exact"/>
        <w:jc w:val="both"/>
        <w:textAlignment w:val="baseline"/>
        <w:rPr>
          <w:rFonts w:cstheme="minorHAnsi"/>
          <w:sz w:val="24"/>
          <w:szCs w:val="24"/>
        </w:rPr>
      </w:pPr>
    </w:p>
    <w:p w14:paraId="38254581" w14:textId="6DC6AEA0" w:rsidR="00225E71" w:rsidRPr="00B607CD" w:rsidRDefault="00225E71" w:rsidP="004619BD">
      <w:pPr>
        <w:spacing w:after="0"/>
        <w:jc w:val="both"/>
        <w:rPr>
          <w:rFonts w:cstheme="minorHAnsi"/>
          <w:sz w:val="24"/>
          <w:szCs w:val="24"/>
          <w:u w:val="single"/>
        </w:rPr>
      </w:pPr>
      <w:r w:rsidRPr="00B607CD">
        <w:rPr>
          <w:rFonts w:cstheme="minorHAnsi"/>
          <w:sz w:val="24"/>
          <w:szCs w:val="24"/>
          <w:u w:val="single"/>
        </w:rPr>
        <w:t xml:space="preserve">Program 1410 Održavanje javnih zelenih površina </w:t>
      </w:r>
    </w:p>
    <w:p w14:paraId="02EDD6B0" w14:textId="77777777" w:rsidR="00B607CD" w:rsidRDefault="00B607CD" w:rsidP="00B607CD">
      <w:pPr>
        <w:spacing w:after="0"/>
        <w:jc w:val="both"/>
        <w:rPr>
          <w:rFonts w:cstheme="minorHAnsi"/>
          <w:sz w:val="24"/>
          <w:szCs w:val="24"/>
        </w:rPr>
      </w:pPr>
      <w:r w:rsidRPr="00B607CD">
        <w:rPr>
          <w:rFonts w:cstheme="minorHAnsi"/>
          <w:sz w:val="24"/>
          <w:szCs w:val="24"/>
          <w:lang w:eastAsia="hr-HR"/>
        </w:rPr>
        <w:t>Program posebno ima za cilj održati površine ured</w:t>
      </w:r>
      <w:r w:rsidRPr="00225E71">
        <w:rPr>
          <w:rFonts w:cstheme="minorHAnsi"/>
          <w:sz w:val="24"/>
          <w:szCs w:val="24"/>
          <w:lang w:eastAsia="hr-HR"/>
        </w:rPr>
        <w:t xml:space="preserve">nim, zdravim i estetski prihvatljivim. </w:t>
      </w:r>
      <w:r w:rsidRPr="00225E71">
        <w:rPr>
          <w:rFonts w:cstheme="minorHAnsi"/>
          <w:bCs/>
          <w:sz w:val="24"/>
          <w:szCs w:val="24"/>
        </w:rPr>
        <w:t xml:space="preserve">Održavanje javnih zelenih površina podrazumijeva održavanje svih zelenih površina - parkova, travnjaka, cvijetnjaka, betonskih vaza i sl. na području grada. </w:t>
      </w:r>
      <w:r w:rsidRPr="00225E71">
        <w:rPr>
          <w:rFonts w:cstheme="minorHAnsi"/>
          <w:sz w:val="24"/>
          <w:szCs w:val="24"/>
        </w:rPr>
        <w:t>Površine čišćenja, način čišćenja i učestalost čišćenja odnosno zone čišćenja u pojedinim naseljima na području grada Trogira utvrđuje Gradonačelnik kroz Program rada koji predlaže '</w:t>
      </w:r>
      <w:r>
        <w:rPr>
          <w:rFonts w:cstheme="minorHAnsi"/>
          <w:sz w:val="24"/>
          <w:szCs w:val="24"/>
        </w:rPr>
        <w:t>'TROGIR HOLDING'' d.o.o.</w:t>
      </w:r>
    </w:p>
    <w:p w14:paraId="67CF8A18" w14:textId="15C5569E" w:rsidR="003E15B9" w:rsidRPr="003E15B9" w:rsidRDefault="00B607CD" w:rsidP="00B607CD">
      <w:pPr>
        <w:overflowPunct w:val="0"/>
        <w:autoSpaceDE w:val="0"/>
        <w:autoSpaceDN w:val="0"/>
        <w:adjustRightInd w:val="0"/>
        <w:spacing w:after="0" w:line="280" w:lineRule="exact"/>
        <w:jc w:val="both"/>
        <w:textAlignment w:val="baseline"/>
        <w:rPr>
          <w:rFonts w:eastAsia="Calibri" w:cstheme="minorHAnsi"/>
          <w:color w:val="000000" w:themeColor="text1"/>
          <w:sz w:val="24"/>
          <w:szCs w:val="24"/>
        </w:rPr>
      </w:pPr>
      <w:r w:rsidRPr="00AE5BD2">
        <w:rPr>
          <w:rFonts w:eastAsia="Calibri" w:cstheme="minorHAnsi"/>
          <w:color w:val="000000" w:themeColor="text1"/>
          <w:sz w:val="24"/>
          <w:szCs w:val="24"/>
        </w:rPr>
        <w:t>Poslovi i zadatci planirani su kroz 1 aktivnost:</w:t>
      </w:r>
    </w:p>
    <w:p w14:paraId="3EDF5AC8" w14:textId="4F88E7EA" w:rsidR="00B607CD" w:rsidRPr="003E15B9" w:rsidRDefault="00B607CD" w:rsidP="003E15B9">
      <w:pPr>
        <w:pStyle w:val="Odlomakpopisa"/>
        <w:numPr>
          <w:ilvl w:val="0"/>
          <w:numId w:val="41"/>
        </w:numPr>
        <w:overflowPunct w:val="0"/>
        <w:autoSpaceDE w:val="0"/>
        <w:autoSpaceDN w:val="0"/>
        <w:adjustRightInd w:val="0"/>
        <w:spacing w:after="0" w:line="280" w:lineRule="exact"/>
        <w:jc w:val="both"/>
        <w:textAlignment w:val="baseline"/>
        <w:rPr>
          <w:rFonts w:cstheme="minorHAnsi"/>
          <w:color w:val="000000" w:themeColor="text1"/>
          <w:sz w:val="24"/>
          <w:szCs w:val="24"/>
        </w:rPr>
      </w:pPr>
      <w:r w:rsidRPr="003E15B9">
        <w:rPr>
          <w:rFonts w:cstheme="minorHAnsi"/>
          <w:color w:val="000000" w:themeColor="text1"/>
          <w:sz w:val="24"/>
          <w:szCs w:val="24"/>
        </w:rPr>
        <w:t>A100040 Održavanje zelenih površina.</w:t>
      </w:r>
    </w:p>
    <w:p w14:paraId="45A9662F" w14:textId="77777777" w:rsidR="00B607CD" w:rsidRPr="00B607CD" w:rsidRDefault="00B607CD" w:rsidP="00B607CD">
      <w:pPr>
        <w:pStyle w:val="Odlomakpopisa"/>
        <w:overflowPunct w:val="0"/>
        <w:autoSpaceDE w:val="0"/>
        <w:autoSpaceDN w:val="0"/>
        <w:adjustRightInd w:val="0"/>
        <w:spacing w:after="0" w:line="280" w:lineRule="exact"/>
        <w:ind w:left="1440"/>
        <w:jc w:val="both"/>
        <w:textAlignment w:val="baseline"/>
        <w:rPr>
          <w:rFonts w:cstheme="minorHAnsi"/>
          <w:color w:val="000000" w:themeColor="text1"/>
          <w:sz w:val="24"/>
          <w:szCs w:val="24"/>
        </w:rPr>
      </w:pPr>
    </w:p>
    <w:p w14:paraId="4134DB85" w14:textId="230506DE" w:rsidR="00B607CD" w:rsidRPr="00AE5BD2" w:rsidRDefault="00B607CD" w:rsidP="00B607CD">
      <w:pPr>
        <w:overflowPunct w:val="0"/>
        <w:autoSpaceDE w:val="0"/>
        <w:autoSpaceDN w:val="0"/>
        <w:adjustRightInd w:val="0"/>
        <w:spacing w:after="0" w:line="280" w:lineRule="exact"/>
        <w:jc w:val="both"/>
        <w:textAlignment w:val="baseline"/>
        <w:rPr>
          <w:rFonts w:eastAsia="Calibri" w:cstheme="minorHAnsi"/>
          <w:color w:val="000000" w:themeColor="text1"/>
          <w:sz w:val="24"/>
          <w:szCs w:val="24"/>
        </w:rPr>
      </w:pPr>
      <w:r w:rsidRPr="00AE5BD2">
        <w:rPr>
          <w:rFonts w:eastAsia="Calibri" w:cstheme="minorHAnsi"/>
          <w:color w:val="000000" w:themeColor="text1"/>
          <w:sz w:val="24"/>
          <w:szCs w:val="24"/>
        </w:rPr>
        <w:t xml:space="preserve">U programu Održavanje javnih zelenih površina planirana su sredstva za 1 aktivnost u </w:t>
      </w:r>
      <w:r>
        <w:rPr>
          <w:rFonts w:eastAsia="Calibri" w:cstheme="minorHAnsi"/>
          <w:color w:val="000000" w:themeColor="text1"/>
          <w:sz w:val="24"/>
          <w:szCs w:val="24"/>
        </w:rPr>
        <w:t xml:space="preserve">iznosu od </w:t>
      </w:r>
      <w:r w:rsidR="003E15B9">
        <w:rPr>
          <w:rFonts w:eastAsia="Calibri" w:cstheme="minorHAnsi"/>
          <w:color w:val="000000" w:themeColor="text1"/>
          <w:sz w:val="24"/>
          <w:szCs w:val="24"/>
        </w:rPr>
        <w:t>762.115,00</w:t>
      </w:r>
      <w:r>
        <w:rPr>
          <w:rFonts w:eastAsia="Calibri" w:cstheme="minorHAnsi"/>
          <w:color w:val="000000" w:themeColor="text1"/>
          <w:sz w:val="24"/>
          <w:szCs w:val="24"/>
        </w:rPr>
        <w:t xml:space="preserve"> </w:t>
      </w:r>
      <w:r w:rsidRPr="00AE5BD2">
        <w:rPr>
          <w:rFonts w:eastAsia="Calibri" w:cstheme="minorHAnsi"/>
          <w:color w:val="000000" w:themeColor="text1"/>
          <w:sz w:val="24"/>
          <w:szCs w:val="24"/>
        </w:rPr>
        <w:t>eura.</w:t>
      </w:r>
    </w:p>
    <w:p w14:paraId="2F0F2731" w14:textId="2363C6E7" w:rsidR="00AE5BD2" w:rsidRDefault="00B607CD" w:rsidP="00AE5BD2">
      <w:pPr>
        <w:spacing w:after="0"/>
        <w:jc w:val="both"/>
        <w:rPr>
          <w:rFonts w:cstheme="minorHAnsi"/>
          <w:sz w:val="24"/>
          <w:szCs w:val="24"/>
          <w:lang w:eastAsia="hr-HR"/>
        </w:rPr>
      </w:pPr>
      <w:r w:rsidRPr="00225E71">
        <w:rPr>
          <w:rFonts w:cstheme="minorHAnsi"/>
          <w:sz w:val="24"/>
          <w:szCs w:val="24"/>
          <w:lang w:eastAsia="hr-HR"/>
        </w:rPr>
        <w:t>U okviru ove aktivnosti prove</w:t>
      </w:r>
      <w:r>
        <w:rPr>
          <w:rFonts w:cstheme="minorHAnsi"/>
          <w:sz w:val="24"/>
          <w:szCs w:val="24"/>
          <w:lang w:eastAsia="hr-HR"/>
        </w:rPr>
        <w:t>lo se</w:t>
      </w:r>
      <w:r w:rsidRPr="00225E71">
        <w:rPr>
          <w:rFonts w:cstheme="minorHAnsi"/>
          <w:sz w:val="24"/>
          <w:szCs w:val="24"/>
          <w:lang w:eastAsia="hr-HR"/>
        </w:rPr>
        <w:t xml:space="preserve"> i uređenje </w:t>
      </w:r>
      <w:r>
        <w:rPr>
          <w:rFonts w:cstheme="minorHAnsi"/>
          <w:sz w:val="24"/>
          <w:szCs w:val="24"/>
          <w:lang w:eastAsia="hr-HR"/>
        </w:rPr>
        <w:t>zelenih površina</w:t>
      </w:r>
      <w:r w:rsidRPr="00225E71">
        <w:rPr>
          <w:rFonts w:cstheme="minorHAnsi"/>
          <w:sz w:val="24"/>
          <w:szCs w:val="24"/>
          <w:lang w:eastAsia="hr-HR"/>
        </w:rPr>
        <w:t xml:space="preserve"> kao projekata koji </w:t>
      </w:r>
      <w:r>
        <w:rPr>
          <w:rFonts w:cstheme="minorHAnsi"/>
          <w:sz w:val="24"/>
          <w:szCs w:val="24"/>
          <w:lang w:eastAsia="hr-HR"/>
        </w:rPr>
        <w:t>su se</w:t>
      </w:r>
      <w:r w:rsidRPr="00225E71">
        <w:rPr>
          <w:rFonts w:cstheme="minorHAnsi"/>
          <w:sz w:val="24"/>
          <w:szCs w:val="24"/>
          <w:lang w:eastAsia="hr-HR"/>
        </w:rPr>
        <w:t xml:space="preserve"> realizira</w:t>
      </w:r>
      <w:r>
        <w:rPr>
          <w:rFonts w:cstheme="minorHAnsi"/>
          <w:sz w:val="24"/>
          <w:szCs w:val="24"/>
          <w:lang w:eastAsia="hr-HR"/>
        </w:rPr>
        <w:t>li</w:t>
      </w:r>
      <w:r w:rsidRPr="00225E71">
        <w:rPr>
          <w:rFonts w:cstheme="minorHAnsi"/>
          <w:sz w:val="24"/>
          <w:szCs w:val="24"/>
          <w:lang w:eastAsia="hr-HR"/>
        </w:rPr>
        <w:t xml:space="preserve"> temeljem prijedloga  građana pristiglih u Grad Trogir u sklopu akcije „I tebe se pita!", odnosno participativnom budžetiranju</w:t>
      </w:r>
      <w:r>
        <w:rPr>
          <w:rFonts w:cstheme="minorHAnsi"/>
          <w:sz w:val="24"/>
          <w:szCs w:val="24"/>
          <w:lang w:eastAsia="hr-HR"/>
        </w:rPr>
        <w:t xml:space="preserve"> - </w:t>
      </w:r>
      <w:r w:rsidRPr="00225E71">
        <w:rPr>
          <w:rFonts w:cstheme="minorHAnsi"/>
          <w:sz w:val="24"/>
          <w:szCs w:val="24"/>
          <w:lang w:eastAsia="hr-HR"/>
        </w:rPr>
        <w:t>projektu koji podrazumijeva davanje građanima na raspolaganje jednog dijela proračuna, tako da sami predlažu i sami glasuju o projektima koje žele realizirati u svojim kvartovima.</w:t>
      </w:r>
      <w:r>
        <w:rPr>
          <w:rFonts w:cstheme="minorHAnsi"/>
          <w:sz w:val="24"/>
          <w:szCs w:val="24"/>
        </w:rPr>
        <w:t xml:space="preserve"> </w:t>
      </w:r>
      <w:r>
        <w:rPr>
          <w:rFonts w:cstheme="minorHAnsi"/>
          <w:sz w:val="24"/>
          <w:szCs w:val="24"/>
          <w:lang w:eastAsia="hr-HR"/>
        </w:rPr>
        <w:t>U izvještajnom razdoblju 202</w:t>
      </w:r>
      <w:r w:rsidR="003E15B9">
        <w:rPr>
          <w:rFonts w:cstheme="minorHAnsi"/>
          <w:sz w:val="24"/>
          <w:szCs w:val="24"/>
          <w:lang w:eastAsia="hr-HR"/>
        </w:rPr>
        <w:t>5</w:t>
      </w:r>
      <w:r>
        <w:rPr>
          <w:rFonts w:cstheme="minorHAnsi"/>
          <w:sz w:val="24"/>
          <w:szCs w:val="24"/>
          <w:lang w:eastAsia="hr-HR"/>
        </w:rPr>
        <w:t xml:space="preserve">.godine po ovom programu je realizirano </w:t>
      </w:r>
      <w:r w:rsidR="003E15B9">
        <w:rPr>
          <w:rFonts w:cstheme="minorHAnsi"/>
          <w:sz w:val="24"/>
          <w:szCs w:val="24"/>
          <w:lang w:eastAsia="hr-HR"/>
        </w:rPr>
        <w:t>729.659,07</w:t>
      </w:r>
      <w:r>
        <w:rPr>
          <w:rFonts w:cstheme="minorHAnsi"/>
          <w:sz w:val="24"/>
          <w:szCs w:val="24"/>
          <w:lang w:eastAsia="hr-HR"/>
        </w:rPr>
        <w:t xml:space="preserve"> eura ili </w:t>
      </w:r>
      <w:r w:rsidR="003E15B9">
        <w:rPr>
          <w:rFonts w:cstheme="minorHAnsi"/>
          <w:sz w:val="24"/>
          <w:szCs w:val="24"/>
          <w:lang w:eastAsia="hr-HR"/>
        </w:rPr>
        <w:t>95,74</w:t>
      </w:r>
      <w:r>
        <w:rPr>
          <w:rFonts w:cstheme="minorHAnsi"/>
          <w:sz w:val="24"/>
          <w:szCs w:val="24"/>
          <w:lang w:eastAsia="hr-HR"/>
        </w:rPr>
        <w:t>% plana.</w:t>
      </w:r>
    </w:p>
    <w:p w14:paraId="3F974BE4" w14:textId="77777777" w:rsidR="00814752" w:rsidRPr="00225E71" w:rsidRDefault="00814752" w:rsidP="00AE5BD2">
      <w:pPr>
        <w:spacing w:after="0"/>
        <w:jc w:val="both"/>
        <w:rPr>
          <w:rFonts w:cstheme="minorHAnsi"/>
          <w:sz w:val="24"/>
          <w:szCs w:val="24"/>
          <w:lang w:eastAsia="hr-HR"/>
        </w:rPr>
      </w:pPr>
    </w:p>
    <w:p w14:paraId="735F4B7A" w14:textId="77777777" w:rsidR="00225E71" w:rsidRDefault="00225E71" w:rsidP="00225E71">
      <w:pPr>
        <w:spacing w:after="0"/>
        <w:rPr>
          <w:rFonts w:cstheme="minorHAnsi"/>
          <w:sz w:val="24"/>
          <w:szCs w:val="24"/>
          <w:u w:val="single"/>
          <w:lang w:eastAsia="hr-HR"/>
        </w:rPr>
      </w:pPr>
      <w:r w:rsidRPr="00225E71">
        <w:rPr>
          <w:rFonts w:cstheme="minorHAnsi"/>
          <w:sz w:val="24"/>
          <w:szCs w:val="24"/>
          <w:u w:val="single"/>
          <w:lang w:eastAsia="hr-HR"/>
        </w:rPr>
        <w:t xml:space="preserve">Program 1411 Održavanje građevina, uređaja i predmeta javne namjene </w:t>
      </w:r>
    </w:p>
    <w:p w14:paraId="67C6D1BA" w14:textId="5168CB46" w:rsidR="00437363" w:rsidRPr="00437363" w:rsidRDefault="00225E71" w:rsidP="00437363">
      <w:pPr>
        <w:spacing w:after="0"/>
        <w:jc w:val="both"/>
        <w:rPr>
          <w:rFonts w:eastAsia="Calibri" w:cstheme="minorHAnsi"/>
          <w:color w:val="000000" w:themeColor="text1"/>
          <w:sz w:val="24"/>
          <w:szCs w:val="24"/>
        </w:rPr>
      </w:pPr>
      <w:r w:rsidRPr="00225E71">
        <w:rPr>
          <w:rFonts w:cstheme="minorHAnsi"/>
          <w:sz w:val="24"/>
          <w:szCs w:val="24"/>
          <w:lang w:eastAsia="hr-HR"/>
        </w:rPr>
        <w:t>Program posebno ima za cilj održati građevine, uređaje i predmete javne namjene  urednim i estetski prihvatljivim.</w:t>
      </w:r>
      <w:r>
        <w:rPr>
          <w:rFonts w:cstheme="minorHAnsi"/>
          <w:sz w:val="24"/>
          <w:szCs w:val="24"/>
          <w:lang w:eastAsia="hr-HR"/>
        </w:rPr>
        <w:t xml:space="preserve"> </w:t>
      </w:r>
      <w:r w:rsidR="00437363">
        <w:rPr>
          <w:rFonts w:cstheme="minorHAnsi"/>
          <w:sz w:val="24"/>
          <w:szCs w:val="24"/>
          <w:lang w:eastAsia="hr-HR"/>
        </w:rPr>
        <w:t xml:space="preserve"> </w:t>
      </w:r>
      <w:r w:rsidR="0010055F" w:rsidRPr="0010055F">
        <w:rPr>
          <w:rFonts w:eastAsia="Calibri" w:cstheme="minorHAnsi"/>
          <w:color w:val="000000" w:themeColor="text1"/>
          <w:sz w:val="24"/>
          <w:szCs w:val="24"/>
        </w:rPr>
        <w:t xml:space="preserve">Poslovi i zadatci planirani su kroz 1 aktivnost: </w:t>
      </w:r>
    </w:p>
    <w:p w14:paraId="2F554C3E" w14:textId="71AF6B7F" w:rsidR="0010055F" w:rsidRPr="000D019A" w:rsidRDefault="0010055F">
      <w:pPr>
        <w:pStyle w:val="Odlomakpopisa"/>
        <w:numPr>
          <w:ilvl w:val="0"/>
          <w:numId w:val="20"/>
        </w:numPr>
        <w:overflowPunct w:val="0"/>
        <w:autoSpaceDE w:val="0"/>
        <w:autoSpaceDN w:val="0"/>
        <w:adjustRightInd w:val="0"/>
        <w:spacing w:after="0" w:line="280" w:lineRule="exact"/>
        <w:jc w:val="both"/>
        <w:textAlignment w:val="baseline"/>
        <w:rPr>
          <w:rFonts w:cstheme="minorHAnsi"/>
          <w:color w:val="000000" w:themeColor="text1"/>
          <w:sz w:val="24"/>
          <w:szCs w:val="24"/>
        </w:rPr>
      </w:pPr>
      <w:r w:rsidRPr="000D019A">
        <w:rPr>
          <w:rFonts w:cstheme="minorHAnsi"/>
          <w:color w:val="000000" w:themeColor="text1"/>
          <w:sz w:val="24"/>
          <w:szCs w:val="24"/>
        </w:rPr>
        <w:t xml:space="preserve">A100041 Održavanje </w:t>
      </w:r>
      <w:bookmarkStart w:id="2" w:name="_Hlk120900491"/>
      <w:r w:rsidRPr="000D019A">
        <w:rPr>
          <w:rFonts w:cstheme="minorHAnsi"/>
          <w:color w:val="000000" w:themeColor="text1"/>
          <w:sz w:val="24"/>
          <w:szCs w:val="24"/>
        </w:rPr>
        <w:t>građevina, uređaja i predmeta javne namjene</w:t>
      </w:r>
      <w:bookmarkEnd w:id="2"/>
    </w:p>
    <w:p w14:paraId="41CF4396" w14:textId="77777777" w:rsidR="00B0377A" w:rsidRDefault="00B0377A" w:rsidP="00E10A3E">
      <w:pPr>
        <w:spacing w:after="0"/>
        <w:jc w:val="both"/>
        <w:rPr>
          <w:rFonts w:cstheme="minorHAnsi"/>
          <w:sz w:val="24"/>
          <w:szCs w:val="24"/>
          <w:lang w:eastAsia="hr-HR"/>
        </w:rPr>
      </w:pPr>
    </w:p>
    <w:p w14:paraId="6C56165A" w14:textId="7B38818F" w:rsidR="00E10A3E" w:rsidRDefault="00E10A3E" w:rsidP="00E10A3E">
      <w:pPr>
        <w:spacing w:after="0"/>
        <w:jc w:val="both"/>
        <w:rPr>
          <w:rFonts w:cstheme="minorHAnsi"/>
          <w:sz w:val="24"/>
          <w:szCs w:val="24"/>
          <w:lang w:eastAsia="hr-HR"/>
        </w:rPr>
      </w:pPr>
      <w:r w:rsidRPr="0010055F">
        <w:rPr>
          <w:rFonts w:cstheme="minorHAnsi"/>
          <w:sz w:val="24"/>
          <w:szCs w:val="24"/>
          <w:lang w:eastAsia="hr-HR"/>
        </w:rPr>
        <w:t>Planirana potrebna sredstva za realizaciju navedenog programa</w:t>
      </w:r>
      <w:r>
        <w:rPr>
          <w:rFonts w:cstheme="minorHAnsi"/>
          <w:sz w:val="24"/>
          <w:szCs w:val="24"/>
          <w:lang w:eastAsia="hr-HR"/>
        </w:rPr>
        <w:t xml:space="preserve"> za</w:t>
      </w:r>
      <w:r w:rsidRPr="0010055F">
        <w:rPr>
          <w:rFonts w:cstheme="minorHAnsi"/>
          <w:sz w:val="24"/>
          <w:szCs w:val="24"/>
          <w:lang w:eastAsia="hr-HR"/>
        </w:rPr>
        <w:t xml:space="preserve"> 202</w:t>
      </w:r>
      <w:r w:rsidR="005239DD">
        <w:rPr>
          <w:rFonts w:cstheme="minorHAnsi"/>
          <w:sz w:val="24"/>
          <w:szCs w:val="24"/>
          <w:lang w:eastAsia="hr-HR"/>
        </w:rPr>
        <w:t>5</w:t>
      </w:r>
      <w:r>
        <w:rPr>
          <w:rFonts w:cstheme="minorHAnsi"/>
          <w:sz w:val="24"/>
          <w:szCs w:val="24"/>
          <w:lang w:eastAsia="hr-HR"/>
        </w:rPr>
        <w:t xml:space="preserve">.godinu iznose  </w:t>
      </w:r>
      <w:r w:rsidR="005239DD">
        <w:rPr>
          <w:rFonts w:cstheme="minorHAnsi"/>
          <w:sz w:val="24"/>
          <w:szCs w:val="24"/>
          <w:lang w:eastAsia="hr-HR"/>
        </w:rPr>
        <w:t>10.200,00</w:t>
      </w:r>
      <w:r>
        <w:rPr>
          <w:rFonts w:cstheme="minorHAnsi"/>
          <w:sz w:val="24"/>
          <w:szCs w:val="24"/>
          <w:lang w:eastAsia="hr-HR"/>
        </w:rPr>
        <w:t xml:space="preserve"> eura</w:t>
      </w:r>
      <w:r w:rsidRPr="00225E71">
        <w:rPr>
          <w:rFonts w:cstheme="minorHAnsi"/>
          <w:sz w:val="24"/>
          <w:szCs w:val="24"/>
          <w:lang w:eastAsia="hr-HR"/>
        </w:rPr>
        <w:t>,</w:t>
      </w:r>
      <w:r>
        <w:rPr>
          <w:rFonts w:cstheme="minorHAnsi"/>
          <w:sz w:val="24"/>
          <w:szCs w:val="24"/>
          <w:lang w:eastAsia="hr-HR"/>
        </w:rPr>
        <w:t xml:space="preserve"> </w:t>
      </w:r>
      <w:r w:rsidRPr="00225E71">
        <w:rPr>
          <w:rFonts w:cstheme="minorHAnsi"/>
          <w:sz w:val="24"/>
          <w:szCs w:val="24"/>
          <w:lang w:eastAsia="hr-HR"/>
        </w:rPr>
        <w:t xml:space="preserve">a </w:t>
      </w:r>
      <w:r>
        <w:rPr>
          <w:rFonts w:cstheme="minorHAnsi"/>
          <w:sz w:val="24"/>
          <w:szCs w:val="24"/>
          <w:lang w:eastAsia="hr-HR"/>
        </w:rPr>
        <w:t xml:space="preserve">u izvještajnom razdoblju je realizirano </w:t>
      </w:r>
      <w:r w:rsidR="005239DD">
        <w:rPr>
          <w:rFonts w:cstheme="minorHAnsi"/>
          <w:sz w:val="24"/>
          <w:szCs w:val="24"/>
          <w:lang w:eastAsia="hr-HR"/>
        </w:rPr>
        <w:t>6.575,00</w:t>
      </w:r>
      <w:r>
        <w:rPr>
          <w:rFonts w:cstheme="minorHAnsi"/>
          <w:sz w:val="24"/>
          <w:szCs w:val="24"/>
          <w:lang w:eastAsia="hr-HR"/>
        </w:rPr>
        <w:t xml:space="preserve"> eura ili </w:t>
      </w:r>
      <w:r w:rsidR="005239DD">
        <w:rPr>
          <w:rFonts w:cstheme="minorHAnsi"/>
          <w:sz w:val="24"/>
          <w:szCs w:val="24"/>
          <w:lang w:eastAsia="hr-HR"/>
        </w:rPr>
        <w:t>64,46</w:t>
      </w:r>
      <w:r>
        <w:rPr>
          <w:rFonts w:cstheme="minorHAnsi"/>
          <w:sz w:val="24"/>
          <w:szCs w:val="24"/>
          <w:lang w:eastAsia="hr-HR"/>
        </w:rPr>
        <w:t xml:space="preserve">% plana. </w:t>
      </w:r>
    </w:p>
    <w:p w14:paraId="6DA95ED6" w14:textId="77777777" w:rsidR="0058541C" w:rsidRDefault="0058541C" w:rsidP="007700AC">
      <w:pPr>
        <w:spacing w:after="0" w:line="276" w:lineRule="auto"/>
        <w:rPr>
          <w:rFonts w:cstheme="minorHAnsi"/>
          <w:sz w:val="24"/>
          <w:szCs w:val="24"/>
          <w:u w:val="single"/>
          <w:lang w:eastAsia="hr-HR"/>
        </w:rPr>
      </w:pPr>
    </w:p>
    <w:p w14:paraId="2B668472" w14:textId="59F02ADE" w:rsidR="00225E71" w:rsidRPr="00225E71" w:rsidRDefault="00225E71" w:rsidP="007700AC">
      <w:pPr>
        <w:spacing w:after="0" w:line="276" w:lineRule="auto"/>
        <w:rPr>
          <w:rFonts w:cstheme="minorHAnsi"/>
          <w:sz w:val="24"/>
          <w:szCs w:val="24"/>
          <w:u w:val="single"/>
          <w:lang w:eastAsia="hr-HR"/>
        </w:rPr>
      </w:pPr>
      <w:r w:rsidRPr="00225E71">
        <w:rPr>
          <w:rFonts w:cstheme="minorHAnsi"/>
          <w:sz w:val="24"/>
          <w:szCs w:val="24"/>
          <w:u w:val="single"/>
          <w:lang w:eastAsia="hr-HR"/>
        </w:rPr>
        <w:t xml:space="preserve">Program 1412 Održavanje čistoće javnih površina </w:t>
      </w:r>
    </w:p>
    <w:p w14:paraId="7EDDDE7F" w14:textId="77777777" w:rsidR="00660C1D" w:rsidRDefault="00660C1D" w:rsidP="00660C1D">
      <w:pPr>
        <w:spacing w:after="0"/>
        <w:jc w:val="both"/>
        <w:rPr>
          <w:rFonts w:cstheme="minorHAnsi"/>
          <w:sz w:val="24"/>
          <w:szCs w:val="24"/>
          <w:lang w:eastAsia="hr-HR"/>
        </w:rPr>
      </w:pPr>
      <w:r w:rsidRPr="00225E71">
        <w:rPr>
          <w:rFonts w:cstheme="minorHAnsi"/>
          <w:sz w:val="24"/>
          <w:szCs w:val="24"/>
          <w:lang w:eastAsia="hr-HR"/>
        </w:rPr>
        <w:t xml:space="preserve">Program posebno ima za cilj održati čistoću javnih površina, odnosno </w:t>
      </w:r>
      <w:r w:rsidRPr="00225E71">
        <w:rPr>
          <w:rFonts w:cstheme="minorHAnsi"/>
          <w:sz w:val="24"/>
          <w:szCs w:val="24"/>
        </w:rPr>
        <w:t>trgova, pješačkih zona, dječjih igrališta, javnih prometnih površina, te javnih cesta koje prolaze kroz naselja</w:t>
      </w:r>
      <w:r w:rsidRPr="00225E71">
        <w:rPr>
          <w:rFonts w:cstheme="minorHAnsi"/>
          <w:sz w:val="24"/>
          <w:szCs w:val="24"/>
          <w:lang w:eastAsia="hr-HR"/>
        </w:rPr>
        <w:t>. Program će se realizirati putem gradskog komunalnog poduzeća TROGIR HOLDING d.o.o., i posebnog Programa rada koji donosi Gradonačelnik na prijedlog TROGIR HOLDING d.o.o.</w:t>
      </w:r>
    </w:p>
    <w:p w14:paraId="20ADB409" w14:textId="77777777" w:rsidR="00660C1D" w:rsidRDefault="00660C1D" w:rsidP="00660C1D">
      <w:pPr>
        <w:spacing w:after="0"/>
        <w:jc w:val="both"/>
        <w:rPr>
          <w:rFonts w:cstheme="minorHAnsi"/>
          <w:sz w:val="24"/>
          <w:szCs w:val="24"/>
        </w:rPr>
      </w:pPr>
      <w:r w:rsidRPr="00225E71">
        <w:rPr>
          <w:rFonts w:cstheme="minorHAnsi"/>
          <w:sz w:val="24"/>
          <w:szCs w:val="24"/>
        </w:rPr>
        <w:lastRenderedPageBreak/>
        <w:t xml:space="preserve">Redovno čišćenje obuhvaća pored strojnog ili ručnog pometanja i skidanje korova sa </w:t>
      </w:r>
      <w:proofErr w:type="spellStart"/>
      <w:r w:rsidRPr="00225E71">
        <w:rPr>
          <w:rFonts w:cstheme="minorHAnsi"/>
          <w:sz w:val="24"/>
          <w:szCs w:val="24"/>
        </w:rPr>
        <w:t>j.p.p</w:t>
      </w:r>
      <w:proofErr w:type="spellEnd"/>
      <w:r w:rsidRPr="00225E71">
        <w:rPr>
          <w:rFonts w:cstheme="minorHAnsi"/>
          <w:sz w:val="24"/>
          <w:szCs w:val="24"/>
        </w:rPr>
        <w:t>. uz ulične ogradne, zidove i rubnjake, pranj</w:t>
      </w:r>
      <w:r>
        <w:rPr>
          <w:rFonts w:cstheme="minorHAnsi"/>
          <w:sz w:val="24"/>
          <w:szCs w:val="24"/>
        </w:rPr>
        <w:t>e JPP u staroj gradskoj jezgri</w:t>
      </w:r>
      <w:r w:rsidRPr="00225E71">
        <w:rPr>
          <w:rFonts w:cstheme="minorHAnsi"/>
          <w:sz w:val="24"/>
          <w:szCs w:val="24"/>
        </w:rPr>
        <w:t>, pranje grada te čišćenje plaža.</w:t>
      </w:r>
      <w:r>
        <w:rPr>
          <w:rFonts w:cstheme="minorHAnsi"/>
          <w:sz w:val="24"/>
          <w:szCs w:val="24"/>
        </w:rPr>
        <w:t xml:space="preserve"> </w:t>
      </w:r>
    </w:p>
    <w:p w14:paraId="42E08786" w14:textId="77777777" w:rsidR="00660C1D" w:rsidRPr="00FF4A06" w:rsidRDefault="00660C1D" w:rsidP="00660C1D">
      <w:pPr>
        <w:overflowPunct w:val="0"/>
        <w:autoSpaceDE w:val="0"/>
        <w:autoSpaceDN w:val="0"/>
        <w:adjustRightInd w:val="0"/>
        <w:spacing w:after="0" w:line="280" w:lineRule="exact"/>
        <w:jc w:val="both"/>
        <w:textAlignment w:val="baseline"/>
        <w:rPr>
          <w:rFonts w:eastAsia="Calibri" w:cstheme="minorHAnsi"/>
          <w:color w:val="000000" w:themeColor="text1"/>
          <w:sz w:val="24"/>
          <w:szCs w:val="24"/>
        </w:rPr>
      </w:pPr>
      <w:r w:rsidRPr="00FF4A06">
        <w:rPr>
          <w:rFonts w:eastAsia="Calibri" w:cstheme="minorHAnsi"/>
          <w:color w:val="000000" w:themeColor="text1"/>
          <w:sz w:val="24"/>
          <w:szCs w:val="24"/>
        </w:rPr>
        <w:t xml:space="preserve">Poslovi i zadatci planirani su kroz </w:t>
      </w:r>
      <w:r>
        <w:rPr>
          <w:rFonts w:eastAsia="Calibri" w:cstheme="minorHAnsi"/>
          <w:color w:val="000000" w:themeColor="text1"/>
          <w:sz w:val="24"/>
          <w:szCs w:val="24"/>
        </w:rPr>
        <w:t>3</w:t>
      </w:r>
      <w:r w:rsidRPr="00FF4A06">
        <w:rPr>
          <w:rFonts w:eastAsia="Calibri" w:cstheme="minorHAnsi"/>
          <w:color w:val="000000" w:themeColor="text1"/>
          <w:sz w:val="24"/>
          <w:szCs w:val="24"/>
        </w:rPr>
        <w:t xml:space="preserve"> aktivnosti: </w:t>
      </w:r>
    </w:p>
    <w:p w14:paraId="3ABBF9BF" w14:textId="77777777" w:rsidR="00660C1D" w:rsidRPr="00FF4A06" w:rsidRDefault="00660C1D" w:rsidP="00660C1D">
      <w:pPr>
        <w:numPr>
          <w:ilvl w:val="0"/>
          <w:numId w:val="6"/>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sidRPr="00FF4A06">
        <w:rPr>
          <w:rFonts w:eastAsia="Calibri" w:cstheme="minorHAnsi"/>
          <w:color w:val="000000" w:themeColor="text1"/>
          <w:sz w:val="24"/>
          <w:szCs w:val="24"/>
        </w:rPr>
        <w:t>A100042 Održavanje čistoće javnih površina,</w:t>
      </w:r>
    </w:p>
    <w:p w14:paraId="5868D499" w14:textId="77777777" w:rsidR="00660C1D" w:rsidRDefault="00660C1D" w:rsidP="00660C1D">
      <w:pPr>
        <w:numPr>
          <w:ilvl w:val="0"/>
          <w:numId w:val="6"/>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sidRPr="00FF4A06">
        <w:rPr>
          <w:rFonts w:eastAsia="Calibri" w:cstheme="minorHAnsi"/>
          <w:color w:val="000000" w:themeColor="text1"/>
          <w:sz w:val="24"/>
          <w:szCs w:val="24"/>
        </w:rPr>
        <w:t>A100043 Uklanjanje otpada odbačenog na JPP</w:t>
      </w:r>
    </w:p>
    <w:p w14:paraId="48B0E4F9" w14:textId="77777777" w:rsidR="00660C1D" w:rsidRPr="00FF4A06" w:rsidRDefault="00660C1D" w:rsidP="00660C1D">
      <w:pPr>
        <w:numPr>
          <w:ilvl w:val="0"/>
          <w:numId w:val="6"/>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Pr>
          <w:rFonts w:eastAsia="Calibri" w:cstheme="minorHAnsi"/>
          <w:color w:val="000000" w:themeColor="text1"/>
          <w:sz w:val="24"/>
          <w:szCs w:val="24"/>
        </w:rPr>
        <w:t>A100048 Uklanjanje otpada odbačenog u okoliš</w:t>
      </w:r>
    </w:p>
    <w:p w14:paraId="454CF3CE" w14:textId="77777777" w:rsidR="00660C1D" w:rsidRDefault="00660C1D" w:rsidP="00660C1D">
      <w:pPr>
        <w:spacing w:after="0"/>
        <w:jc w:val="both"/>
        <w:rPr>
          <w:rFonts w:cstheme="minorHAnsi"/>
          <w:sz w:val="24"/>
          <w:szCs w:val="24"/>
          <w:lang w:eastAsia="hr-HR"/>
        </w:rPr>
      </w:pPr>
    </w:p>
    <w:p w14:paraId="049D5C96" w14:textId="7B12A4A5" w:rsidR="00DA7A60" w:rsidRDefault="00660C1D" w:rsidP="00DA7A60">
      <w:pPr>
        <w:spacing w:after="0"/>
        <w:jc w:val="both"/>
        <w:rPr>
          <w:rFonts w:cstheme="minorHAnsi"/>
          <w:sz w:val="24"/>
          <w:szCs w:val="24"/>
          <w:lang w:eastAsia="hr-HR"/>
        </w:rPr>
      </w:pPr>
      <w:r w:rsidRPr="00225E71">
        <w:rPr>
          <w:rFonts w:cstheme="minorHAnsi"/>
          <w:sz w:val="24"/>
          <w:szCs w:val="24"/>
          <w:lang w:eastAsia="hr-HR"/>
        </w:rPr>
        <w:t>Planirana potrebna sredstva za realizaciju navedenog programa</w:t>
      </w:r>
      <w:r>
        <w:rPr>
          <w:rFonts w:cstheme="minorHAnsi"/>
          <w:sz w:val="24"/>
          <w:szCs w:val="24"/>
          <w:lang w:eastAsia="hr-HR"/>
        </w:rPr>
        <w:t xml:space="preserve"> za 202</w:t>
      </w:r>
      <w:r w:rsidR="00262283">
        <w:rPr>
          <w:rFonts w:cstheme="minorHAnsi"/>
          <w:sz w:val="24"/>
          <w:szCs w:val="24"/>
          <w:lang w:eastAsia="hr-HR"/>
        </w:rPr>
        <w:t>5</w:t>
      </w:r>
      <w:r>
        <w:rPr>
          <w:rFonts w:cstheme="minorHAnsi"/>
          <w:sz w:val="24"/>
          <w:szCs w:val="24"/>
          <w:lang w:eastAsia="hr-HR"/>
        </w:rPr>
        <w:t xml:space="preserve">.godinu iznose </w:t>
      </w:r>
      <w:r w:rsidR="00262283">
        <w:rPr>
          <w:rFonts w:cstheme="minorHAnsi"/>
          <w:sz w:val="24"/>
          <w:szCs w:val="24"/>
          <w:lang w:eastAsia="hr-HR"/>
        </w:rPr>
        <w:t>603.406,00</w:t>
      </w:r>
      <w:r>
        <w:rPr>
          <w:rFonts w:cstheme="minorHAnsi"/>
          <w:sz w:val="24"/>
          <w:szCs w:val="24"/>
          <w:lang w:eastAsia="hr-HR"/>
        </w:rPr>
        <w:t xml:space="preserve"> eura, </w:t>
      </w:r>
      <w:r w:rsidRPr="00225E71">
        <w:rPr>
          <w:rFonts w:cstheme="minorHAnsi"/>
          <w:sz w:val="24"/>
          <w:szCs w:val="24"/>
          <w:lang w:eastAsia="hr-HR"/>
        </w:rPr>
        <w:t xml:space="preserve"> a</w:t>
      </w:r>
      <w:r>
        <w:rPr>
          <w:rFonts w:cstheme="minorHAnsi"/>
          <w:sz w:val="24"/>
          <w:szCs w:val="24"/>
          <w:lang w:eastAsia="hr-HR"/>
        </w:rPr>
        <w:t xml:space="preserve"> u izvještajnom razdoblju</w:t>
      </w:r>
      <w:r w:rsidRPr="00225E71">
        <w:rPr>
          <w:rFonts w:cstheme="minorHAnsi"/>
          <w:sz w:val="24"/>
          <w:szCs w:val="24"/>
          <w:lang w:eastAsia="hr-HR"/>
        </w:rPr>
        <w:t xml:space="preserve"> </w:t>
      </w:r>
      <w:r>
        <w:rPr>
          <w:rFonts w:cstheme="minorHAnsi"/>
          <w:sz w:val="24"/>
          <w:szCs w:val="24"/>
          <w:lang w:eastAsia="hr-HR"/>
        </w:rPr>
        <w:t>realizirana su u</w:t>
      </w:r>
      <w:r w:rsidRPr="00225E71">
        <w:rPr>
          <w:rFonts w:cstheme="minorHAnsi"/>
          <w:sz w:val="24"/>
          <w:szCs w:val="24"/>
          <w:lang w:eastAsia="hr-HR"/>
        </w:rPr>
        <w:t xml:space="preserve"> iznosu od </w:t>
      </w:r>
      <w:r w:rsidR="00262283">
        <w:rPr>
          <w:rFonts w:cstheme="minorHAnsi"/>
          <w:sz w:val="24"/>
          <w:szCs w:val="24"/>
          <w:lang w:eastAsia="hr-HR"/>
        </w:rPr>
        <w:t>603.297,85</w:t>
      </w:r>
      <w:r>
        <w:rPr>
          <w:rFonts w:cstheme="minorHAnsi"/>
          <w:sz w:val="24"/>
          <w:szCs w:val="24"/>
          <w:lang w:eastAsia="hr-HR"/>
        </w:rPr>
        <w:t xml:space="preserve"> eura </w:t>
      </w:r>
      <w:r w:rsidRPr="00225E71">
        <w:rPr>
          <w:rFonts w:cstheme="minorHAnsi"/>
          <w:sz w:val="24"/>
          <w:szCs w:val="24"/>
          <w:lang w:eastAsia="hr-HR"/>
        </w:rPr>
        <w:t xml:space="preserve"> ili </w:t>
      </w:r>
      <w:r w:rsidR="00262283">
        <w:rPr>
          <w:rFonts w:cstheme="minorHAnsi"/>
          <w:sz w:val="24"/>
          <w:szCs w:val="24"/>
          <w:lang w:eastAsia="hr-HR"/>
        </w:rPr>
        <w:t>99,98</w:t>
      </w:r>
      <w:r w:rsidRPr="00225E71">
        <w:rPr>
          <w:rFonts w:cstheme="minorHAnsi"/>
          <w:sz w:val="24"/>
          <w:szCs w:val="24"/>
          <w:lang w:eastAsia="hr-HR"/>
        </w:rPr>
        <w:t>% plana</w:t>
      </w:r>
      <w:r>
        <w:rPr>
          <w:rFonts w:cstheme="minorHAnsi"/>
          <w:sz w:val="24"/>
          <w:szCs w:val="24"/>
          <w:lang w:eastAsia="hr-HR"/>
        </w:rPr>
        <w:t xml:space="preserve"> i to kod aktivnosti -održavanja čistoće javnih površina (strojno, ručno i pranje) imamo realizaciju od </w:t>
      </w:r>
      <w:r w:rsidR="00262283">
        <w:rPr>
          <w:rFonts w:cstheme="minorHAnsi"/>
          <w:sz w:val="24"/>
          <w:szCs w:val="24"/>
          <w:lang w:eastAsia="hr-HR"/>
        </w:rPr>
        <w:t>433.405,35</w:t>
      </w:r>
      <w:r>
        <w:rPr>
          <w:rFonts w:cstheme="minorHAnsi"/>
          <w:sz w:val="24"/>
          <w:szCs w:val="24"/>
          <w:lang w:eastAsia="hr-HR"/>
        </w:rPr>
        <w:t xml:space="preserve"> eura i kod aktivnosti -uklanjanje otpada odbačenog na JPP imamo realizaciju od </w:t>
      </w:r>
      <w:r w:rsidR="00262283">
        <w:rPr>
          <w:rFonts w:cstheme="minorHAnsi"/>
          <w:sz w:val="24"/>
          <w:szCs w:val="24"/>
          <w:lang w:eastAsia="hr-HR"/>
        </w:rPr>
        <w:t>134.993,75</w:t>
      </w:r>
      <w:r>
        <w:rPr>
          <w:rFonts w:cstheme="minorHAnsi"/>
          <w:sz w:val="24"/>
          <w:szCs w:val="24"/>
          <w:lang w:eastAsia="hr-HR"/>
        </w:rPr>
        <w:t xml:space="preserve"> eura</w:t>
      </w:r>
      <w:r w:rsidR="00262283">
        <w:rPr>
          <w:rFonts w:cstheme="minorHAnsi"/>
          <w:sz w:val="24"/>
          <w:szCs w:val="24"/>
          <w:lang w:eastAsia="hr-HR"/>
        </w:rPr>
        <w:t xml:space="preserve"> te kod aktivnosti -uklanjanje otpada odbačenog u okoliš imamo realizaciju od 34.898,75 eura. </w:t>
      </w:r>
    </w:p>
    <w:p w14:paraId="32C5D06C" w14:textId="77777777" w:rsidR="00304268" w:rsidRDefault="00304268" w:rsidP="007700AC">
      <w:pPr>
        <w:spacing w:after="0"/>
        <w:rPr>
          <w:rFonts w:cstheme="minorHAnsi"/>
          <w:sz w:val="24"/>
          <w:szCs w:val="24"/>
          <w:lang w:eastAsia="hr-HR"/>
        </w:rPr>
      </w:pPr>
    </w:p>
    <w:p w14:paraId="23F58A9C" w14:textId="16220927" w:rsidR="007700AC" w:rsidRDefault="00225E71" w:rsidP="007700AC">
      <w:pPr>
        <w:spacing w:after="0"/>
        <w:rPr>
          <w:rFonts w:cstheme="minorHAnsi"/>
          <w:sz w:val="24"/>
          <w:szCs w:val="24"/>
          <w:u w:val="single"/>
          <w:lang w:eastAsia="hr-HR"/>
        </w:rPr>
      </w:pPr>
      <w:r w:rsidRPr="00225E71">
        <w:rPr>
          <w:rFonts w:cstheme="minorHAnsi"/>
          <w:sz w:val="24"/>
          <w:szCs w:val="24"/>
          <w:u w:val="single"/>
          <w:lang w:eastAsia="hr-HR"/>
        </w:rPr>
        <w:t xml:space="preserve">Program 1413 Deratizacija, dezinsekcija i dezinfekcija </w:t>
      </w:r>
    </w:p>
    <w:p w14:paraId="595EA188" w14:textId="77777777" w:rsidR="00660C1D" w:rsidRDefault="00660C1D" w:rsidP="00660C1D">
      <w:pPr>
        <w:spacing w:after="0"/>
        <w:jc w:val="both"/>
        <w:rPr>
          <w:rFonts w:cstheme="minorHAnsi"/>
          <w:sz w:val="24"/>
          <w:szCs w:val="24"/>
          <w:lang w:eastAsia="hr-HR"/>
        </w:rPr>
      </w:pPr>
      <w:r w:rsidRPr="007700AC">
        <w:rPr>
          <w:rFonts w:cstheme="minorHAnsi"/>
          <w:sz w:val="24"/>
          <w:szCs w:val="24"/>
          <w:lang w:eastAsia="hr-HR"/>
        </w:rPr>
        <w:t xml:space="preserve">Program posebno ima za cilj održati provesti sve nužne mjere deratizacije, dezinsekcije i dezinfekcije na području grada u cilju zaštite ljudskog zdravlja. </w:t>
      </w:r>
    </w:p>
    <w:p w14:paraId="1E67D193" w14:textId="77777777" w:rsidR="00660C1D" w:rsidRPr="00DA7A60" w:rsidRDefault="00660C1D" w:rsidP="00660C1D">
      <w:pPr>
        <w:overflowPunct w:val="0"/>
        <w:autoSpaceDE w:val="0"/>
        <w:autoSpaceDN w:val="0"/>
        <w:adjustRightInd w:val="0"/>
        <w:spacing w:after="0" w:line="280" w:lineRule="exact"/>
        <w:jc w:val="both"/>
        <w:textAlignment w:val="baseline"/>
        <w:rPr>
          <w:rFonts w:eastAsia="Calibri" w:cstheme="minorHAnsi"/>
          <w:color w:val="000000" w:themeColor="text1"/>
          <w:sz w:val="24"/>
          <w:szCs w:val="24"/>
        </w:rPr>
      </w:pPr>
      <w:r w:rsidRPr="00DA7A60">
        <w:rPr>
          <w:rFonts w:eastAsia="Calibri" w:cstheme="minorHAnsi"/>
          <w:color w:val="000000" w:themeColor="text1"/>
          <w:sz w:val="24"/>
          <w:szCs w:val="24"/>
        </w:rPr>
        <w:t xml:space="preserve">Poslovi i zadatci planirani su kroz 1 aktivnost: </w:t>
      </w:r>
    </w:p>
    <w:p w14:paraId="0A66CAA4" w14:textId="0FF0E825" w:rsidR="00660C1D" w:rsidRPr="00660C1D" w:rsidRDefault="00660C1D" w:rsidP="00660C1D">
      <w:pPr>
        <w:numPr>
          <w:ilvl w:val="0"/>
          <w:numId w:val="7"/>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sidRPr="00DA7A60">
        <w:rPr>
          <w:rFonts w:eastAsia="Calibri" w:cstheme="minorHAnsi"/>
          <w:color w:val="000000" w:themeColor="text1"/>
          <w:sz w:val="24"/>
          <w:szCs w:val="24"/>
        </w:rPr>
        <w:t>A100044 Deratizacija, dezinsekcija i dezinfekcija.</w:t>
      </w:r>
    </w:p>
    <w:p w14:paraId="297A0BC8" w14:textId="3ADA2D5F" w:rsidR="00DA7A60" w:rsidRDefault="00660C1D" w:rsidP="00B23246">
      <w:pPr>
        <w:spacing w:after="0" w:line="240" w:lineRule="auto"/>
        <w:jc w:val="both"/>
        <w:rPr>
          <w:rFonts w:cstheme="minorHAnsi"/>
          <w:sz w:val="24"/>
          <w:szCs w:val="24"/>
          <w:lang w:eastAsia="hr-HR"/>
        </w:rPr>
      </w:pPr>
      <w:r w:rsidRPr="00DA7A60">
        <w:rPr>
          <w:rFonts w:cstheme="minorHAnsi"/>
          <w:sz w:val="24"/>
          <w:szCs w:val="24"/>
          <w:lang w:eastAsia="hr-HR"/>
        </w:rPr>
        <w:t>Planirana potrebna sredstva za realizaciju navedenog programa za 202</w:t>
      </w:r>
      <w:r w:rsidR="00304268">
        <w:rPr>
          <w:rFonts w:cstheme="minorHAnsi"/>
          <w:sz w:val="24"/>
          <w:szCs w:val="24"/>
          <w:lang w:eastAsia="hr-HR"/>
        </w:rPr>
        <w:t>5</w:t>
      </w:r>
      <w:r w:rsidRPr="00DA7A60">
        <w:rPr>
          <w:rFonts w:cstheme="minorHAnsi"/>
          <w:sz w:val="24"/>
          <w:szCs w:val="24"/>
          <w:lang w:eastAsia="hr-HR"/>
        </w:rPr>
        <w:t xml:space="preserve">.godinu iznose </w:t>
      </w:r>
      <w:r w:rsidR="00304268">
        <w:rPr>
          <w:rFonts w:cstheme="minorHAnsi"/>
          <w:sz w:val="24"/>
          <w:szCs w:val="24"/>
          <w:lang w:eastAsia="hr-HR"/>
        </w:rPr>
        <w:t>47.594,00</w:t>
      </w:r>
      <w:r w:rsidRPr="00DA7A60">
        <w:rPr>
          <w:rFonts w:cstheme="minorHAnsi"/>
          <w:sz w:val="24"/>
          <w:szCs w:val="24"/>
          <w:lang w:eastAsia="hr-HR"/>
        </w:rPr>
        <w:t xml:space="preserve"> eura, </w:t>
      </w:r>
      <w:r>
        <w:rPr>
          <w:rFonts w:cstheme="minorHAnsi"/>
          <w:sz w:val="24"/>
          <w:szCs w:val="24"/>
          <w:lang w:eastAsia="hr-HR"/>
        </w:rPr>
        <w:t xml:space="preserve">a realizirano je </w:t>
      </w:r>
      <w:r w:rsidR="00304268">
        <w:rPr>
          <w:rFonts w:cstheme="minorHAnsi"/>
          <w:sz w:val="24"/>
          <w:szCs w:val="24"/>
          <w:lang w:eastAsia="hr-HR"/>
        </w:rPr>
        <w:t>33.375,00</w:t>
      </w:r>
      <w:r>
        <w:rPr>
          <w:rFonts w:cstheme="minorHAnsi"/>
          <w:sz w:val="24"/>
          <w:szCs w:val="24"/>
          <w:lang w:eastAsia="hr-HR"/>
        </w:rPr>
        <w:t xml:space="preserve"> eura i odnosi se na </w:t>
      </w:r>
      <w:proofErr w:type="spellStart"/>
      <w:r>
        <w:rPr>
          <w:rFonts w:cstheme="minorHAnsi"/>
          <w:sz w:val="24"/>
          <w:szCs w:val="24"/>
          <w:lang w:eastAsia="hr-HR"/>
        </w:rPr>
        <w:t>lavricidnu</w:t>
      </w:r>
      <w:proofErr w:type="spellEnd"/>
      <w:r w:rsidR="009341AF">
        <w:rPr>
          <w:rFonts w:cstheme="minorHAnsi"/>
          <w:sz w:val="24"/>
          <w:szCs w:val="24"/>
          <w:lang w:eastAsia="hr-HR"/>
        </w:rPr>
        <w:t xml:space="preserve"> i </w:t>
      </w:r>
      <w:proofErr w:type="spellStart"/>
      <w:r w:rsidR="009341AF">
        <w:rPr>
          <w:rFonts w:cstheme="minorHAnsi"/>
          <w:sz w:val="24"/>
          <w:szCs w:val="24"/>
          <w:lang w:eastAsia="hr-HR"/>
        </w:rPr>
        <w:t>adulticidnu</w:t>
      </w:r>
      <w:proofErr w:type="spellEnd"/>
      <w:r>
        <w:rPr>
          <w:rFonts w:cstheme="minorHAnsi"/>
          <w:sz w:val="24"/>
          <w:szCs w:val="24"/>
          <w:lang w:eastAsia="hr-HR"/>
        </w:rPr>
        <w:t xml:space="preserve"> </w:t>
      </w:r>
      <w:proofErr w:type="spellStart"/>
      <w:r>
        <w:rPr>
          <w:rFonts w:cstheme="minorHAnsi"/>
          <w:sz w:val="24"/>
          <w:szCs w:val="24"/>
          <w:lang w:eastAsia="hr-HR"/>
        </w:rPr>
        <w:t>dezisekciju</w:t>
      </w:r>
      <w:proofErr w:type="spellEnd"/>
      <w:r>
        <w:rPr>
          <w:rFonts w:cstheme="minorHAnsi"/>
          <w:sz w:val="24"/>
          <w:szCs w:val="24"/>
          <w:lang w:eastAsia="hr-HR"/>
        </w:rPr>
        <w:t xml:space="preserve"> komaraca i sustavnu deratizaciju po ugovoru. </w:t>
      </w:r>
    </w:p>
    <w:p w14:paraId="3A49A91E" w14:textId="77777777" w:rsidR="00660C1D" w:rsidRPr="003E5C53" w:rsidRDefault="00660C1D" w:rsidP="007700AC">
      <w:pPr>
        <w:spacing w:after="0"/>
        <w:jc w:val="both"/>
        <w:rPr>
          <w:rFonts w:cstheme="minorHAnsi"/>
          <w:sz w:val="24"/>
          <w:szCs w:val="24"/>
          <w:lang w:eastAsia="hr-HR"/>
        </w:rPr>
      </w:pPr>
    </w:p>
    <w:p w14:paraId="4A22B1E0" w14:textId="77777777" w:rsidR="001058CB" w:rsidRPr="001058CB" w:rsidRDefault="001058CB" w:rsidP="007700AC">
      <w:pPr>
        <w:spacing w:after="0"/>
        <w:jc w:val="both"/>
        <w:rPr>
          <w:rFonts w:cstheme="minorHAnsi"/>
          <w:sz w:val="24"/>
          <w:szCs w:val="24"/>
          <w:u w:val="single"/>
          <w:lang w:eastAsia="hr-HR"/>
        </w:rPr>
      </w:pPr>
      <w:r w:rsidRPr="001058CB">
        <w:rPr>
          <w:rFonts w:cstheme="minorHAnsi"/>
          <w:sz w:val="24"/>
          <w:szCs w:val="24"/>
          <w:u w:val="single"/>
          <w:lang w:eastAsia="hr-HR"/>
        </w:rPr>
        <w:t>Program 1414 Veterinarsko-higijeničarski poslovi</w:t>
      </w:r>
    </w:p>
    <w:p w14:paraId="5FC7B8E2" w14:textId="7658F43A" w:rsidR="00AE1A80" w:rsidRPr="00944FB4" w:rsidRDefault="00225E71" w:rsidP="00AE1A80">
      <w:pPr>
        <w:spacing w:after="0"/>
        <w:jc w:val="both"/>
        <w:rPr>
          <w:rFonts w:eastAsia="Calibri" w:cstheme="minorHAnsi"/>
          <w:color w:val="000000" w:themeColor="text1"/>
          <w:sz w:val="24"/>
          <w:szCs w:val="24"/>
        </w:rPr>
      </w:pPr>
      <w:r w:rsidRPr="001058CB">
        <w:rPr>
          <w:rFonts w:cstheme="minorHAnsi"/>
          <w:sz w:val="24"/>
          <w:szCs w:val="24"/>
          <w:lang w:eastAsia="hr-HR"/>
        </w:rPr>
        <w:t xml:space="preserve">Program posebno ima za cilj održati provesti sve nužne mjere na području grada iz okvira veterinarsko-higijeničarskih poslova, a u cilju zaštite ljudskog zdravlja. </w:t>
      </w:r>
      <w:bookmarkStart w:id="3" w:name="_Hlk164683153"/>
      <w:r w:rsidR="00190B01" w:rsidRPr="00190B01">
        <w:rPr>
          <w:rFonts w:eastAsia="Calibri" w:cstheme="minorHAnsi"/>
          <w:color w:val="000000" w:themeColor="text1"/>
          <w:sz w:val="24"/>
          <w:szCs w:val="24"/>
        </w:rPr>
        <w:t xml:space="preserve">Poslovi i zadatci planirani su kroz 1 aktivnost: </w:t>
      </w:r>
      <w:bookmarkEnd w:id="3"/>
    </w:p>
    <w:p w14:paraId="2C675584" w14:textId="592EA6E0" w:rsidR="00190B01" w:rsidRDefault="00190B01">
      <w:pPr>
        <w:numPr>
          <w:ilvl w:val="0"/>
          <w:numId w:val="8"/>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sidRPr="00190B01">
        <w:rPr>
          <w:rFonts w:eastAsia="Calibri" w:cstheme="minorHAnsi"/>
          <w:color w:val="000000" w:themeColor="text1"/>
          <w:sz w:val="24"/>
          <w:szCs w:val="24"/>
        </w:rPr>
        <w:t>A100045 Veterinarsko – higijeničarski poslovi</w:t>
      </w:r>
    </w:p>
    <w:p w14:paraId="4ECC5752" w14:textId="3E2C94B5" w:rsidR="0032429D" w:rsidRPr="0032429D" w:rsidRDefault="0032429D" w:rsidP="0032429D">
      <w:pPr>
        <w:spacing w:after="0" w:line="280" w:lineRule="exact"/>
        <w:jc w:val="both"/>
        <w:rPr>
          <w:rFonts w:cstheme="minorHAnsi"/>
          <w:sz w:val="24"/>
          <w:szCs w:val="24"/>
          <w:lang w:eastAsia="hr-HR"/>
        </w:rPr>
      </w:pPr>
      <w:r w:rsidRPr="0032429D">
        <w:rPr>
          <w:rFonts w:cstheme="minorHAnsi"/>
          <w:sz w:val="24"/>
          <w:szCs w:val="24"/>
        </w:rPr>
        <w:t xml:space="preserve">Aktivnost </w:t>
      </w:r>
      <w:r w:rsidRPr="0032429D">
        <w:rPr>
          <w:rFonts w:cstheme="minorHAnsi"/>
          <w:bCs/>
          <w:sz w:val="24"/>
          <w:szCs w:val="24"/>
        </w:rPr>
        <w:t>o</w:t>
      </w:r>
      <w:r w:rsidRPr="0032429D">
        <w:rPr>
          <w:rFonts w:cstheme="minorHAnsi"/>
          <w:sz w:val="24"/>
          <w:szCs w:val="24"/>
        </w:rPr>
        <w:t>buhvaća</w:t>
      </w:r>
      <w:r w:rsidRPr="0032429D">
        <w:rPr>
          <w:rFonts w:cstheme="minorHAnsi"/>
          <w:sz w:val="24"/>
          <w:szCs w:val="24"/>
          <w:lang w:eastAsia="hr-HR"/>
        </w:rPr>
        <w:t xml:space="preserve"> </w:t>
      </w:r>
      <w:r w:rsidRPr="0032429D">
        <w:rPr>
          <w:rFonts w:cstheme="minorHAnsi"/>
          <w:sz w:val="24"/>
          <w:szCs w:val="24"/>
        </w:rPr>
        <w:t>sakupljanja lešina uginulih životinja s javnih površina, hvatanje, smještaj, sterilizaciju, označavanje i veterinarsku zaštitu napuštenih i izgubljenih životinja.</w:t>
      </w:r>
    </w:p>
    <w:p w14:paraId="13486AAB" w14:textId="2C26A7AB" w:rsidR="001058CB" w:rsidRDefault="001058CB" w:rsidP="001058CB">
      <w:pPr>
        <w:spacing w:after="0"/>
        <w:jc w:val="both"/>
        <w:rPr>
          <w:rFonts w:cstheme="minorHAnsi"/>
          <w:sz w:val="24"/>
          <w:szCs w:val="24"/>
          <w:lang w:eastAsia="hr-HR"/>
        </w:rPr>
      </w:pPr>
      <w:r w:rsidRPr="00225E71">
        <w:rPr>
          <w:rFonts w:cstheme="minorHAnsi"/>
          <w:sz w:val="24"/>
          <w:szCs w:val="24"/>
          <w:lang w:eastAsia="hr-HR"/>
        </w:rPr>
        <w:t xml:space="preserve">Planirana potrebna sredstva za realizaciju navedenog programa iznosila su </w:t>
      </w:r>
      <w:r w:rsidR="00705F20">
        <w:rPr>
          <w:rFonts w:cstheme="minorHAnsi"/>
          <w:sz w:val="24"/>
          <w:szCs w:val="24"/>
          <w:lang w:eastAsia="hr-HR"/>
        </w:rPr>
        <w:t>33</w:t>
      </w:r>
      <w:r w:rsidR="00944FB4">
        <w:rPr>
          <w:rFonts w:cstheme="minorHAnsi"/>
          <w:sz w:val="24"/>
          <w:szCs w:val="24"/>
          <w:lang w:eastAsia="hr-HR"/>
        </w:rPr>
        <w:t xml:space="preserve">.000,00 </w:t>
      </w:r>
      <w:r w:rsidR="00190B01">
        <w:rPr>
          <w:rFonts w:cstheme="minorHAnsi"/>
          <w:sz w:val="24"/>
          <w:szCs w:val="24"/>
          <w:lang w:eastAsia="hr-HR"/>
        </w:rPr>
        <w:t>eura</w:t>
      </w:r>
      <w:r>
        <w:rPr>
          <w:rFonts w:cstheme="minorHAnsi"/>
          <w:sz w:val="24"/>
          <w:szCs w:val="24"/>
          <w:lang w:eastAsia="hr-HR"/>
        </w:rPr>
        <w:t xml:space="preserve">, </w:t>
      </w:r>
      <w:r w:rsidR="003E5C53">
        <w:rPr>
          <w:rFonts w:cstheme="minorHAnsi"/>
          <w:sz w:val="24"/>
          <w:szCs w:val="24"/>
          <w:lang w:eastAsia="hr-HR"/>
        </w:rPr>
        <w:t xml:space="preserve">a </w:t>
      </w:r>
      <w:r w:rsidR="00190B01">
        <w:rPr>
          <w:rFonts w:cstheme="minorHAnsi"/>
          <w:sz w:val="24"/>
          <w:szCs w:val="24"/>
          <w:lang w:eastAsia="hr-HR"/>
        </w:rPr>
        <w:t>u izvještajnom razdoblju 202</w:t>
      </w:r>
      <w:r w:rsidR="00705F20">
        <w:rPr>
          <w:rFonts w:cstheme="minorHAnsi"/>
          <w:sz w:val="24"/>
          <w:szCs w:val="24"/>
          <w:lang w:eastAsia="hr-HR"/>
        </w:rPr>
        <w:t>5</w:t>
      </w:r>
      <w:r w:rsidR="00190B01">
        <w:rPr>
          <w:rFonts w:cstheme="minorHAnsi"/>
          <w:sz w:val="24"/>
          <w:szCs w:val="24"/>
          <w:lang w:eastAsia="hr-HR"/>
        </w:rPr>
        <w:t xml:space="preserve">.godine </w:t>
      </w:r>
      <w:r w:rsidR="003E5C53">
        <w:rPr>
          <w:rFonts w:cstheme="minorHAnsi"/>
          <w:sz w:val="24"/>
          <w:szCs w:val="24"/>
          <w:lang w:eastAsia="hr-HR"/>
        </w:rPr>
        <w:t xml:space="preserve">realizirana su u iznosu od </w:t>
      </w:r>
      <w:r w:rsidR="00705F20">
        <w:rPr>
          <w:rFonts w:cstheme="minorHAnsi"/>
          <w:sz w:val="24"/>
          <w:szCs w:val="24"/>
          <w:lang w:eastAsia="hr-HR"/>
        </w:rPr>
        <w:t>18.654,50</w:t>
      </w:r>
      <w:r w:rsidR="00190B01">
        <w:rPr>
          <w:rFonts w:cstheme="minorHAnsi"/>
          <w:sz w:val="24"/>
          <w:szCs w:val="24"/>
          <w:lang w:eastAsia="hr-HR"/>
        </w:rPr>
        <w:t xml:space="preserve"> eura</w:t>
      </w:r>
      <w:r w:rsidR="003E5C53">
        <w:rPr>
          <w:rFonts w:cstheme="minorHAnsi"/>
          <w:sz w:val="24"/>
          <w:szCs w:val="24"/>
          <w:lang w:eastAsia="hr-HR"/>
        </w:rPr>
        <w:t xml:space="preserve"> ili </w:t>
      </w:r>
      <w:r w:rsidR="00705F20">
        <w:rPr>
          <w:rFonts w:cstheme="minorHAnsi"/>
          <w:sz w:val="24"/>
          <w:szCs w:val="24"/>
          <w:lang w:eastAsia="hr-HR"/>
        </w:rPr>
        <w:t>56,53</w:t>
      </w:r>
      <w:r w:rsidR="003E5C53">
        <w:rPr>
          <w:rFonts w:cstheme="minorHAnsi"/>
          <w:sz w:val="24"/>
          <w:szCs w:val="24"/>
          <w:lang w:eastAsia="hr-HR"/>
        </w:rPr>
        <w:t>% plana i odnose se na sakupljanje i zbrinjavanje životinja s javnih površina.</w:t>
      </w:r>
    </w:p>
    <w:p w14:paraId="0399E9AA" w14:textId="77777777" w:rsidR="00D85E6C" w:rsidRDefault="00D85E6C" w:rsidP="001058CB">
      <w:pPr>
        <w:spacing w:after="0"/>
        <w:rPr>
          <w:rFonts w:cstheme="minorHAnsi"/>
          <w:sz w:val="24"/>
          <w:szCs w:val="24"/>
          <w:lang w:eastAsia="hr-HR"/>
        </w:rPr>
      </w:pPr>
    </w:p>
    <w:p w14:paraId="5A36EC77" w14:textId="18049A23" w:rsidR="001058CB" w:rsidRPr="001058CB" w:rsidRDefault="001058CB" w:rsidP="001058CB">
      <w:pPr>
        <w:spacing w:after="0"/>
        <w:rPr>
          <w:rFonts w:cstheme="minorHAnsi"/>
          <w:sz w:val="24"/>
          <w:szCs w:val="24"/>
          <w:u w:val="single"/>
        </w:rPr>
      </w:pPr>
      <w:r w:rsidRPr="001058CB">
        <w:rPr>
          <w:rFonts w:cstheme="minorHAnsi"/>
          <w:sz w:val="24"/>
          <w:szCs w:val="24"/>
          <w:u w:val="single"/>
        </w:rPr>
        <w:t xml:space="preserve">Program 1415 Prigodno ukrašavanje </w:t>
      </w:r>
    </w:p>
    <w:p w14:paraId="7BB7DE9C" w14:textId="78BED929" w:rsidR="00190B01" w:rsidRPr="00AE1A80" w:rsidRDefault="00225E71" w:rsidP="00AE1A80">
      <w:pPr>
        <w:spacing w:after="0"/>
        <w:jc w:val="both"/>
        <w:rPr>
          <w:rFonts w:cstheme="minorHAnsi"/>
          <w:sz w:val="24"/>
          <w:szCs w:val="24"/>
          <w:lang w:eastAsia="hr-HR"/>
        </w:rPr>
      </w:pPr>
      <w:r w:rsidRPr="001058CB">
        <w:rPr>
          <w:rFonts w:cstheme="minorHAnsi"/>
          <w:sz w:val="24"/>
          <w:szCs w:val="24"/>
          <w:lang w:eastAsia="hr-HR"/>
        </w:rPr>
        <w:t>Program ima za cilj prigodno ukrasiti grad povodom određenih državnih i vjerskih praznika, kao i obilježavanja Dana grada Trogira, u cilju stvaranja sveča</w:t>
      </w:r>
      <w:r w:rsidR="003E5C53">
        <w:rPr>
          <w:rFonts w:cstheme="minorHAnsi"/>
          <w:sz w:val="24"/>
          <w:szCs w:val="24"/>
          <w:lang w:eastAsia="hr-HR"/>
        </w:rPr>
        <w:t xml:space="preserve">ne </w:t>
      </w:r>
      <w:r w:rsidRPr="001058CB">
        <w:rPr>
          <w:rFonts w:cstheme="minorHAnsi"/>
          <w:sz w:val="24"/>
          <w:szCs w:val="24"/>
          <w:lang w:eastAsia="hr-HR"/>
        </w:rPr>
        <w:t>atmosfere te kao doprinos obilježavanju određenih praznika.</w:t>
      </w:r>
      <w:r w:rsidR="0000741B">
        <w:rPr>
          <w:rFonts w:cstheme="minorHAnsi"/>
          <w:sz w:val="24"/>
          <w:szCs w:val="24"/>
          <w:lang w:eastAsia="hr-HR"/>
        </w:rPr>
        <w:t xml:space="preserve"> </w:t>
      </w:r>
      <w:r w:rsidR="00190B01" w:rsidRPr="00190B01">
        <w:rPr>
          <w:rFonts w:eastAsia="Calibri" w:cstheme="minorHAnsi"/>
          <w:color w:val="000000" w:themeColor="text1"/>
          <w:sz w:val="24"/>
          <w:szCs w:val="24"/>
        </w:rPr>
        <w:t xml:space="preserve">U okviru ovog programa planirana su sredstva za financiranje </w:t>
      </w:r>
      <w:r w:rsidR="00190B01" w:rsidRPr="00190B01">
        <w:rPr>
          <w:rFonts w:eastAsia="Times New Roman" w:cstheme="minorHAnsi"/>
          <w:sz w:val="24"/>
          <w:szCs w:val="24"/>
        </w:rPr>
        <w:t>prigodna ukrašavanja i osvjetljenje grada za božićne, novogodišnje i državne blagdane kao i druge manifestacije u organizaciji Grada.</w:t>
      </w:r>
    </w:p>
    <w:p w14:paraId="6A80C26D" w14:textId="77777777" w:rsidR="00072205" w:rsidRDefault="00072205" w:rsidP="00190B01">
      <w:pPr>
        <w:overflowPunct w:val="0"/>
        <w:autoSpaceDE w:val="0"/>
        <w:autoSpaceDN w:val="0"/>
        <w:adjustRightInd w:val="0"/>
        <w:spacing w:after="0" w:line="280" w:lineRule="exact"/>
        <w:jc w:val="both"/>
        <w:textAlignment w:val="baseline"/>
        <w:rPr>
          <w:rFonts w:eastAsia="Calibri" w:cstheme="minorHAnsi"/>
          <w:color w:val="000000" w:themeColor="text1"/>
          <w:sz w:val="24"/>
          <w:szCs w:val="24"/>
        </w:rPr>
      </w:pPr>
    </w:p>
    <w:p w14:paraId="3996163C" w14:textId="77777777" w:rsidR="00072205" w:rsidRDefault="00072205" w:rsidP="00190B01">
      <w:pPr>
        <w:overflowPunct w:val="0"/>
        <w:autoSpaceDE w:val="0"/>
        <w:autoSpaceDN w:val="0"/>
        <w:adjustRightInd w:val="0"/>
        <w:spacing w:after="0" w:line="280" w:lineRule="exact"/>
        <w:jc w:val="both"/>
        <w:textAlignment w:val="baseline"/>
        <w:rPr>
          <w:rFonts w:eastAsia="Calibri" w:cstheme="minorHAnsi"/>
          <w:color w:val="000000" w:themeColor="text1"/>
          <w:sz w:val="24"/>
          <w:szCs w:val="24"/>
        </w:rPr>
      </w:pPr>
    </w:p>
    <w:p w14:paraId="1E16AB45" w14:textId="77777777" w:rsidR="00072205" w:rsidRDefault="00072205" w:rsidP="00190B01">
      <w:pPr>
        <w:overflowPunct w:val="0"/>
        <w:autoSpaceDE w:val="0"/>
        <w:autoSpaceDN w:val="0"/>
        <w:adjustRightInd w:val="0"/>
        <w:spacing w:after="0" w:line="280" w:lineRule="exact"/>
        <w:jc w:val="both"/>
        <w:textAlignment w:val="baseline"/>
        <w:rPr>
          <w:rFonts w:eastAsia="Calibri" w:cstheme="minorHAnsi"/>
          <w:color w:val="000000" w:themeColor="text1"/>
          <w:sz w:val="24"/>
          <w:szCs w:val="24"/>
        </w:rPr>
      </w:pPr>
    </w:p>
    <w:p w14:paraId="51912DF1" w14:textId="77777777" w:rsidR="00072205" w:rsidRDefault="00072205" w:rsidP="00190B01">
      <w:pPr>
        <w:overflowPunct w:val="0"/>
        <w:autoSpaceDE w:val="0"/>
        <w:autoSpaceDN w:val="0"/>
        <w:adjustRightInd w:val="0"/>
        <w:spacing w:after="0" w:line="280" w:lineRule="exact"/>
        <w:jc w:val="both"/>
        <w:textAlignment w:val="baseline"/>
        <w:rPr>
          <w:rFonts w:eastAsia="Calibri" w:cstheme="minorHAnsi"/>
          <w:color w:val="000000" w:themeColor="text1"/>
          <w:sz w:val="24"/>
          <w:szCs w:val="24"/>
        </w:rPr>
      </w:pPr>
    </w:p>
    <w:p w14:paraId="0B1B7125" w14:textId="77777777" w:rsidR="00072205" w:rsidRDefault="00072205" w:rsidP="00190B01">
      <w:pPr>
        <w:overflowPunct w:val="0"/>
        <w:autoSpaceDE w:val="0"/>
        <w:autoSpaceDN w:val="0"/>
        <w:adjustRightInd w:val="0"/>
        <w:spacing w:after="0" w:line="280" w:lineRule="exact"/>
        <w:jc w:val="both"/>
        <w:textAlignment w:val="baseline"/>
        <w:rPr>
          <w:rFonts w:eastAsia="Calibri" w:cstheme="minorHAnsi"/>
          <w:color w:val="000000" w:themeColor="text1"/>
          <w:sz w:val="24"/>
          <w:szCs w:val="24"/>
        </w:rPr>
      </w:pPr>
    </w:p>
    <w:p w14:paraId="57E3F710" w14:textId="499C454D" w:rsidR="00190B01" w:rsidRPr="00190B01" w:rsidRDefault="00190B01" w:rsidP="00190B01">
      <w:pPr>
        <w:overflowPunct w:val="0"/>
        <w:autoSpaceDE w:val="0"/>
        <w:autoSpaceDN w:val="0"/>
        <w:adjustRightInd w:val="0"/>
        <w:spacing w:after="0" w:line="280" w:lineRule="exact"/>
        <w:jc w:val="both"/>
        <w:textAlignment w:val="baseline"/>
        <w:rPr>
          <w:rFonts w:eastAsia="Calibri" w:cstheme="minorHAnsi"/>
          <w:color w:val="000000" w:themeColor="text1"/>
          <w:sz w:val="24"/>
          <w:szCs w:val="24"/>
        </w:rPr>
      </w:pPr>
      <w:r w:rsidRPr="00190B01">
        <w:rPr>
          <w:rFonts w:eastAsia="Calibri" w:cstheme="minorHAnsi"/>
          <w:color w:val="000000" w:themeColor="text1"/>
          <w:sz w:val="24"/>
          <w:szCs w:val="24"/>
        </w:rPr>
        <w:lastRenderedPageBreak/>
        <w:t xml:space="preserve">Poslovi i zadatci planirani su kroz 1 aktivnost: </w:t>
      </w:r>
    </w:p>
    <w:p w14:paraId="374F321D" w14:textId="37A27336" w:rsidR="00AE1A80" w:rsidRDefault="00190B01">
      <w:pPr>
        <w:numPr>
          <w:ilvl w:val="0"/>
          <w:numId w:val="9"/>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sidRPr="00190B01">
        <w:rPr>
          <w:rFonts w:eastAsia="Calibri" w:cstheme="minorHAnsi"/>
          <w:color w:val="000000" w:themeColor="text1"/>
          <w:sz w:val="24"/>
          <w:szCs w:val="24"/>
        </w:rPr>
        <w:t>A100046 Prigodno ukrašavanje</w:t>
      </w:r>
    </w:p>
    <w:p w14:paraId="66CDA9BA" w14:textId="77777777" w:rsidR="00072205" w:rsidRDefault="00072205" w:rsidP="00072205">
      <w:p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p>
    <w:p w14:paraId="5FC81307" w14:textId="77777777" w:rsidR="00072205" w:rsidRPr="00072205" w:rsidRDefault="00072205" w:rsidP="00072205">
      <w:pPr>
        <w:spacing w:after="0" w:line="280" w:lineRule="exact"/>
        <w:jc w:val="both"/>
        <w:rPr>
          <w:rFonts w:cstheme="minorHAnsi"/>
          <w:sz w:val="24"/>
          <w:szCs w:val="24"/>
        </w:rPr>
      </w:pPr>
      <w:r w:rsidRPr="00072205">
        <w:rPr>
          <w:rFonts w:cstheme="minorHAnsi"/>
          <w:sz w:val="24"/>
          <w:szCs w:val="24"/>
        </w:rPr>
        <w:t xml:space="preserve">Aktivnost </w:t>
      </w:r>
      <w:r w:rsidRPr="00072205">
        <w:rPr>
          <w:rFonts w:cstheme="minorHAnsi"/>
          <w:bCs/>
          <w:sz w:val="24"/>
          <w:szCs w:val="24"/>
        </w:rPr>
        <w:t>o</w:t>
      </w:r>
      <w:r w:rsidRPr="00072205">
        <w:rPr>
          <w:rFonts w:cstheme="minorHAnsi"/>
          <w:sz w:val="24"/>
          <w:szCs w:val="24"/>
        </w:rPr>
        <w:t>buhvaća</w:t>
      </w:r>
      <w:r w:rsidRPr="00072205">
        <w:rPr>
          <w:rFonts w:cstheme="minorHAnsi"/>
          <w:sz w:val="24"/>
          <w:szCs w:val="24"/>
          <w:lang w:eastAsia="hr-HR"/>
        </w:rPr>
        <w:t xml:space="preserve"> </w:t>
      </w:r>
      <w:r w:rsidRPr="00072205">
        <w:rPr>
          <w:rFonts w:cstheme="minorHAnsi"/>
          <w:bCs/>
          <w:sz w:val="24"/>
          <w:szCs w:val="24"/>
        </w:rPr>
        <w:t xml:space="preserve">blagdansko ukrašavanje grada koje se provodi u suradnji s Turističkom zajednicom grada Trogira i gradskom komunalnom tvrtkom Trogir Holding d.o.o. </w:t>
      </w:r>
    </w:p>
    <w:p w14:paraId="4E080BD2" w14:textId="6896B1C1" w:rsidR="001058CB" w:rsidRDefault="001058CB" w:rsidP="001058CB">
      <w:pPr>
        <w:spacing w:after="0"/>
        <w:jc w:val="both"/>
        <w:rPr>
          <w:rFonts w:cstheme="minorHAnsi"/>
          <w:sz w:val="24"/>
          <w:szCs w:val="24"/>
          <w:lang w:eastAsia="hr-HR"/>
        </w:rPr>
      </w:pPr>
      <w:r w:rsidRPr="00225E71">
        <w:rPr>
          <w:rFonts w:cstheme="minorHAnsi"/>
          <w:sz w:val="24"/>
          <w:szCs w:val="24"/>
          <w:lang w:eastAsia="hr-HR"/>
        </w:rPr>
        <w:t xml:space="preserve">Planirana potrebna sredstva za realizaciju navedenog programa iznosila su </w:t>
      </w:r>
      <w:r w:rsidR="00FB5A34">
        <w:rPr>
          <w:rFonts w:cstheme="minorHAnsi"/>
          <w:sz w:val="24"/>
          <w:szCs w:val="24"/>
          <w:lang w:eastAsia="hr-HR"/>
        </w:rPr>
        <w:t>9</w:t>
      </w:r>
      <w:r w:rsidR="0000741B">
        <w:rPr>
          <w:rFonts w:cstheme="minorHAnsi"/>
          <w:sz w:val="24"/>
          <w:szCs w:val="24"/>
          <w:lang w:eastAsia="hr-HR"/>
        </w:rPr>
        <w:t>0</w:t>
      </w:r>
      <w:r w:rsidR="00F71992">
        <w:rPr>
          <w:rFonts w:cstheme="minorHAnsi"/>
          <w:sz w:val="24"/>
          <w:szCs w:val="24"/>
          <w:lang w:eastAsia="hr-HR"/>
        </w:rPr>
        <w:t>.000,00</w:t>
      </w:r>
      <w:r w:rsidR="00190B01">
        <w:rPr>
          <w:rFonts w:cstheme="minorHAnsi"/>
          <w:sz w:val="24"/>
          <w:szCs w:val="24"/>
          <w:lang w:eastAsia="hr-HR"/>
        </w:rPr>
        <w:t xml:space="preserve"> eura</w:t>
      </w:r>
      <w:r>
        <w:rPr>
          <w:rFonts w:cstheme="minorHAnsi"/>
          <w:sz w:val="24"/>
          <w:szCs w:val="24"/>
          <w:lang w:eastAsia="hr-HR"/>
        </w:rPr>
        <w:t xml:space="preserve">, </w:t>
      </w:r>
      <w:r w:rsidR="00190B01">
        <w:rPr>
          <w:rFonts w:cstheme="minorHAnsi"/>
          <w:sz w:val="24"/>
          <w:szCs w:val="24"/>
          <w:lang w:eastAsia="hr-HR"/>
        </w:rPr>
        <w:t>a u izvještajnom razdoblju 202</w:t>
      </w:r>
      <w:r w:rsidR="00FB5A34">
        <w:rPr>
          <w:rFonts w:cstheme="minorHAnsi"/>
          <w:sz w:val="24"/>
          <w:szCs w:val="24"/>
          <w:lang w:eastAsia="hr-HR"/>
        </w:rPr>
        <w:t>5</w:t>
      </w:r>
      <w:r w:rsidR="00190B01">
        <w:rPr>
          <w:rFonts w:cstheme="minorHAnsi"/>
          <w:sz w:val="24"/>
          <w:szCs w:val="24"/>
          <w:lang w:eastAsia="hr-HR"/>
        </w:rPr>
        <w:t xml:space="preserve">.godine </w:t>
      </w:r>
      <w:r w:rsidR="003E5C53">
        <w:rPr>
          <w:rFonts w:cstheme="minorHAnsi"/>
          <w:sz w:val="24"/>
          <w:szCs w:val="24"/>
          <w:lang w:eastAsia="hr-HR"/>
        </w:rPr>
        <w:t xml:space="preserve">realizirano je </w:t>
      </w:r>
      <w:r w:rsidR="00FB5A34">
        <w:rPr>
          <w:rFonts w:cstheme="minorHAnsi"/>
          <w:sz w:val="24"/>
          <w:szCs w:val="24"/>
          <w:lang w:eastAsia="hr-HR"/>
        </w:rPr>
        <w:t>82.577,63</w:t>
      </w:r>
      <w:r w:rsidR="00190B01">
        <w:rPr>
          <w:rFonts w:cstheme="minorHAnsi"/>
          <w:sz w:val="24"/>
          <w:szCs w:val="24"/>
          <w:lang w:eastAsia="hr-HR"/>
        </w:rPr>
        <w:t xml:space="preserve"> eura</w:t>
      </w:r>
      <w:r w:rsidR="003E5C53">
        <w:rPr>
          <w:rFonts w:cstheme="minorHAnsi"/>
          <w:sz w:val="24"/>
          <w:szCs w:val="24"/>
          <w:lang w:eastAsia="hr-HR"/>
        </w:rPr>
        <w:t xml:space="preserve"> ili </w:t>
      </w:r>
      <w:r w:rsidR="00FB5A34">
        <w:rPr>
          <w:rFonts w:cstheme="minorHAnsi"/>
          <w:sz w:val="24"/>
          <w:szCs w:val="24"/>
          <w:lang w:eastAsia="hr-HR"/>
        </w:rPr>
        <w:t>91,75</w:t>
      </w:r>
      <w:r w:rsidR="003E5C53">
        <w:rPr>
          <w:rFonts w:cstheme="minorHAnsi"/>
          <w:sz w:val="24"/>
          <w:szCs w:val="24"/>
          <w:lang w:eastAsia="hr-HR"/>
        </w:rPr>
        <w:t>% plana i odnose se na blagdansko ukrašavanje Grada</w:t>
      </w:r>
      <w:r w:rsidR="00072205">
        <w:rPr>
          <w:rFonts w:cstheme="minorHAnsi"/>
          <w:sz w:val="24"/>
          <w:szCs w:val="24"/>
          <w:lang w:eastAsia="hr-HR"/>
        </w:rPr>
        <w:t>.</w:t>
      </w:r>
    </w:p>
    <w:p w14:paraId="25BA4331" w14:textId="77777777" w:rsidR="00225E71" w:rsidRDefault="00225E71" w:rsidP="001058CB">
      <w:pPr>
        <w:spacing w:after="0"/>
        <w:rPr>
          <w:rFonts w:cstheme="minorHAnsi"/>
          <w:sz w:val="24"/>
          <w:szCs w:val="24"/>
        </w:rPr>
      </w:pPr>
    </w:p>
    <w:p w14:paraId="75B088B6" w14:textId="77777777" w:rsidR="001058CB" w:rsidRDefault="00A24B8A" w:rsidP="000428DA">
      <w:pPr>
        <w:spacing w:after="0"/>
        <w:rPr>
          <w:rFonts w:cstheme="minorHAnsi"/>
          <w:sz w:val="24"/>
          <w:szCs w:val="24"/>
          <w:u w:val="single"/>
          <w:lang w:eastAsia="hr-HR"/>
        </w:rPr>
      </w:pPr>
      <w:r>
        <w:rPr>
          <w:rFonts w:cstheme="minorHAnsi"/>
          <w:sz w:val="24"/>
          <w:szCs w:val="24"/>
          <w:u w:val="single"/>
          <w:lang w:eastAsia="hr-HR"/>
        </w:rPr>
        <w:t>Program 15</w:t>
      </w:r>
      <w:r w:rsidR="00F32E6C">
        <w:rPr>
          <w:rFonts w:cstheme="minorHAnsi"/>
          <w:sz w:val="24"/>
          <w:szCs w:val="24"/>
          <w:u w:val="single"/>
          <w:lang w:eastAsia="hr-HR"/>
        </w:rPr>
        <w:t>14</w:t>
      </w:r>
      <w:r w:rsidR="001058CB" w:rsidRPr="001058CB">
        <w:rPr>
          <w:rFonts w:cstheme="minorHAnsi"/>
          <w:sz w:val="24"/>
          <w:szCs w:val="24"/>
          <w:u w:val="single"/>
          <w:lang w:eastAsia="hr-HR"/>
        </w:rPr>
        <w:t xml:space="preserve"> Građevine komunalne infrastrukture koje će se graditi radi uređenja </w:t>
      </w:r>
      <w:r w:rsidR="00F32E6C">
        <w:rPr>
          <w:rFonts w:cstheme="minorHAnsi"/>
          <w:sz w:val="24"/>
          <w:szCs w:val="24"/>
          <w:u w:val="single"/>
          <w:lang w:eastAsia="hr-HR"/>
        </w:rPr>
        <w:t>neuređenih dijelova građevinskog područja</w:t>
      </w:r>
    </w:p>
    <w:p w14:paraId="68B2C11A" w14:textId="18F0A8CF" w:rsidR="000517E7" w:rsidRDefault="000517E7" w:rsidP="000517E7">
      <w:pPr>
        <w:spacing w:after="0"/>
        <w:jc w:val="both"/>
        <w:rPr>
          <w:rFonts w:cstheme="minorHAnsi"/>
          <w:sz w:val="24"/>
          <w:szCs w:val="24"/>
          <w:lang w:eastAsia="hr-HR"/>
        </w:rPr>
      </w:pPr>
      <w:r w:rsidRPr="001058CB">
        <w:rPr>
          <w:rFonts w:cstheme="minorHAnsi"/>
          <w:sz w:val="24"/>
          <w:szCs w:val="24"/>
          <w:lang w:eastAsia="hr-HR"/>
        </w:rPr>
        <w:t>Provedba ovog programa jedna je od osnovnih zadaća jedinice lokalne samouprave iz razloga jer izravno utječe na sveukupnu populaciju - korisnike javnih površina, te povećava vrijednost imovine grada. Sukladno raspoloživim sredstvima nastoji se održati što viši stupanj uređenosti komunalne infrastrukture funkcionalnom, oblikovnom i estetskom smislu. Ovaj Program je stalni proces koji podrazumijeva praćenje stanja, određivanje prioriteta i djelovanje na terenu.</w:t>
      </w:r>
    </w:p>
    <w:p w14:paraId="2CA6E43A" w14:textId="5F78E87C" w:rsidR="000517E7" w:rsidRPr="00190B01" w:rsidRDefault="000517E7" w:rsidP="000517E7">
      <w:pPr>
        <w:overflowPunct w:val="0"/>
        <w:autoSpaceDE w:val="0"/>
        <w:autoSpaceDN w:val="0"/>
        <w:adjustRightInd w:val="0"/>
        <w:spacing w:after="0" w:line="280" w:lineRule="exact"/>
        <w:jc w:val="both"/>
        <w:textAlignment w:val="baseline"/>
        <w:rPr>
          <w:rFonts w:eastAsia="Calibri" w:cstheme="minorHAnsi"/>
          <w:color w:val="000000" w:themeColor="text1"/>
          <w:sz w:val="24"/>
          <w:szCs w:val="24"/>
        </w:rPr>
      </w:pPr>
      <w:r w:rsidRPr="00190B01">
        <w:rPr>
          <w:rFonts w:eastAsia="Calibri" w:cstheme="minorHAnsi"/>
          <w:color w:val="000000" w:themeColor="text1"/>
          <w:sz w:val="24"/>
          <w:szCs w:val="24"/>
        </w:rPr>
        <w:t>Poslovi i zadatci planirani su kroz 2 aktivnosti i 1</w:t>
      </w:r>
      <w:r>
        <w:rPr>
          <w:rFonts w:eastAsia="Calibri" w:cstheme="minorHAnsi"/>
          <w:color w:val="000000" w:themeColor="text1"/>
          <w:sz w:val="24"/>
          <w:szCs w:val="24"/>
        </w:rPr>
        <w:t>3</w:t>
      </w:r>
      <w:r w:rsidRPr="00190B01">
        <w:rPr>
          <w:rFonts w:eastAsia="Calibri" w:cstheme="minorHAnsi"/>
          <w:color w:val="000000" w:themeColor="text1"/>
          <w:sz w:val="24"/>
          <w:szCs w:val="24"/>
        </w:rPr>
        <w:t xml:space="preserve"> kapitalnih projekata: </w:t>
      </w:r>
    </w:p>
    <w:p w14:paraId="198E607C" w14:textId="77777777" w:rsidR="000517E7" w:rsidRPr="00190B01" w:rsidRDefault="000517E7" w:rsidP="000517E7">
      <w:pPr>
        <w:numPr>
          <w:ilvl w:val="0"/>
          <w:numId w:val="10"/>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sidRPr="00190B01">
        <w:rPr>
          <w:rFonts w:eastAsia="Calibri" w:cstheme="minorHAnsi"/>
          <w:color w:val="000000" w:themeColor="text1"/>
          <w:sz w:val="24"/>
          <w:szCs w:val="24"/>
        </w:rPr>
        <w:t>A100200 Uređenje javnih površina,</w:t>
      </w:r>
    </w:p>
    <w:p w14:paraId="06183F9B" w14:textId="77777777" w:rsidR="000517E7" w:rsidRPr="00190B01" w:rsidRDefault="000517E7" w:rsidP="000517E7">
      <w:pPr>
        <w:numPr>
          <w:ilvl w:val="0"/>
          <w:numId w:val="10"/>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sidRPr="00190B01">
        <w:rPr>
          <w:rFonts w:eastAsia="Calibri" w:cstheme="minorHAnsi"/>
          <w:color w:val="000000" w:themeColor="text1"/>
          <w:sz w:val="24"/>
          <w:szCs w:val="24"/>
        </w:rPr>
        <w:t>A100201 Uređenje gradskih plaža,</w:t>
      </w:r>
    </w:p>
    <w:p w14:paraId="6B4CC684" w14:textId="77777777" w:rsidR="000517E7" w:rsidRPr="00190B01" w:rsidRDefault="000517E7" w:rsidP="000517E7">
      <w:pPr>
        <w:numPr>
          <w:ilvl w:val="0"/>
          <w:numId w:val="10"/>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sidRPr="00190B01">
        <w:rPr>
          <w:rFonts w:eastAsia="Calibri" w:cstheme="minorHAnsi"/>
          <w:color w:val="000000" w:themeColor="text1"/>
          <w:sz w:val="24"/>
          <w:szCs w:val="24"/>
        </w:rPr>
        <w:t>K100100 Izgradnja pristupne ceste za POS stanove, OS 12,</w:t>
      </w:r>
    </w:p>
    <w:p w14:paraId="7B68B268" w14:textId="77777777" w:rsidR="000517E7" w:rsidRPr="00190B01" w:rsidRDefault="000517E7" w:rsidP="000517E7">
      <w:pPr>
        <w:numPr>
          <w:ilvl w:val="0"/>
          <w:numId w:val="10"/>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sidRPr="00190B01">
        <w:rPr>
          <w:rFonts w:eastAsia="Calibri" w:cstheme="minorHAnsi"/>
          <w:color w:val="000000" w:themeColor="text1"/>
          <w:sz w:val="24"/>
          <w:szCs w:val="24"/>
        </w:rPr>
        <w:t>K100101 Geodetski snimak nerazvrstanih cesta,</w:t>
      </w:r>
    </w:p>
    <w:p w14:paraId="7A9134BE" w14:textId="77777777" w:rsidR="000517E7" w:rsidRPr="00190B01" w:rsidRDefault="000517E7" w:rsidP="000517E7">
      <w:pPr>
        <w:numPr>
          <w:ilvl w:val="0"/>
          <w:numId w:val="10"/>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sidRPr="00190B01">
        <w:rPr>
          <w:rFonts w:eastAsia="Calibri" w:cstheme="minorHAnsi"/>
          <w:color w:val="000000" w:themeColor="text1"/>
          <w:sz w:val="24"/>
          <w:szCs w:val="24"/>
        </w:rPr>
        <w:t xml:space="preserve">K100202 Izgradnja obalnog pojasa </w:t>
      </w:r>
      <w:proofErr w:type="spellStart"/>
      <w:r w:rsidRPr="00190B01">
        <w:rPr>
          <w:rFonts w:eastAsia="Calibri" w:cstheme="minorHAnsi"/>
          <w:color w:val="000000" w:themeColor="text1"/>
          <w:sz w:val="24"/>
          <w:szCs w:val="24"/>
        </w:rPr>
        <w:t>Brigi</w:t>
      </w:r>
      <w:proofErr w:type="spellEnd"/>
      <w:r w:rsidRPr="00190B01">
        <w:rPr>
          <w:rFonts w:eastAsia="Calibri" w:cstheme="minorHAnsi"/>
          <w:color w:val="000000" w:themeColor="text1"/>
          <w:sz w:val="24"/>
          <w:szCs w:val="24"/>
        </w:rPr>
        <w:t xml:space="preserve"> – Lokvice,</w:t>
      </w:r>
    </w:p>
    <w:p w14:paraId="2FA14BB2" w14:textId="77777777" w:rsidR="000517E7" w:rsidRPr="00190B01" w:rsidRDefault="000517E7" w:rsidP="000517E7">
      <w:pPr>
        <w:numPr>
          <w:ilvl w:val="0"/>
          <w:numId w:val="10"/>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sidRPr="00190B01">
        <w:rPr>
          <w:rFonts w:eastAsia="Calibri" w:cstheme="minorHAnsi"/>
          <w:color w:val="000000" w:themeColor="text1"/>
          <w:sz w:val="24"/>
          <w:szCs w:val="24"/>
        </w:rPr>
        <w:t>K100203 Uređenje šetnice i parking prostora na Čiovu,</w:t>
      </w:r>
    </w:p>
    <w:p w14:paraId="59E1AA14" w14:textId="77777777" w:rsidR="000517E7" w:rsidRPr="00190B01" w:rsidRDefault="000517E7" w:rsidP="000517E7">
      <w:pPr>
        <w:numPr>
          <w:ilvl w:val="0"/>
          <w:numId w:val="10"/>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sidRPr="00190B01">
        <w:rPr>
          <w:rFonts w:eastAsia="Calibri" w:cstheme="minorHAnsi"/>
          <w:color w:val="000000" w:themeColor="text1"/>
          <w:sz w:val="24"/>
          <w:szCs w:val="24"/>
        </w:rPr>
        <w:t>K100204 Uređenje pojasa od trajektnog pristaništa do autobusnog kolodvora,</w:t>
      </w:r>
    </w:p>
    <w:p w14:paraId="4146A6DE" w14:textId="77777777" w:rsidR="000517E7" w:rsidRPr="00190B01" w:rsidRDefault="000517E7" w:rsidP="000517E7">
      <w:pPr>
        <w:numPr>
          <w:ilvl w:val="0"/>
          <w:numId w:val="10"/>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sidRPr="00190B01">
        <w:rPr>
          <w:rFonts w:eastAsia="Calibri" w:cstheme="minorHAnsi"/>
          <w:color w:val="000000" w:themeColor="text1"/>
          <w:sz w:val="24"/>
          <w:szCs w:val="24"/>
        </w:rPr>
        <w:t>K100205 Sustav biciklističkih staza Urbane aglomeracije Split,</w:t>
      </w:r>
    </w:p>
    <w:p w14:paraId="4E7C782D" w14:textId="77777777" w:rsidR="000517E7" w:rsidRDefault="000517E7" w:rsidP="000517E7">
      <w:pPr>
        <w:numPr>
          <w:ilvl w:val="0"/>
          <w:numId w:val="10"/>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sidRPr="00190B01">
        <w:rPr>
          <w:rFonts w:eastAsia="Calibri" w:cstheme="minorHAnsi"/>
          <w:color w:val="000000" w:themeColor="text1"/>
          <w:sz w:val="24"/>
          <w:szCs w:val="24"/>
        </w:rPr>
        <w:t xml:space="preserve">K100206 Izgradnja obalnog pojasa u </w:t>
      </w:r>
      <w:proofErr w:type="spellStart"/>
      <w:r w:rsidRPr="00190B01">
        <w:rPr>
          <w:rFonts w:eastAsia="Calibri" w:cstheme="minorHAnsi"/>
          <w:color w:val="000000" w:themeColor="text1"/>
          <w:sz w:val="24"/>
          <w:szCs w:val="24"/>
        </w:rPr>
        <w:t>Saldunu</w:t>
      </w:r>
      <w:proofErr w:type="spellEnd"/>
      <w:r w:rsidRPr="00190B01">
        <w:rPr>
          <w:rFonts w:eastAsia="Calibri" w:cstheme="minorHAnsi"/>
          <w:color w:val="000000" w:themeColor="text1"/>
          <w:sz w:val="24"/>
          <w:szCs w:val="24"/>
        </w:rPr>
        <w:t>,</w:t>
      </w:r>
    </w:p>
    <w:p w14:paraId="5CE4E1AC" w14:textId="479937DB" w:rsidR="000517E7" w:rsidRDefault="000517E7" w:rsidP="000517E7">
      <w:pPr>
        <w:overflowPunct w:val="0"/>
        <w:autoSpaceDE w:val="0"/>
        <w:autoSpaceDN w:val="0"/>
        <w:adjustRightInd w:val="0"/>
        <w:spacing w:after="0" w:line="280" w:lineRule="exact"/>
        <w:ind w:left="360"/>
        <w:contextualSpacing/>
        <w:jc w:val="both"/>
        <w:textAlignment w:val="baseline"/>
        <w:rPr>
          <w:rFonts w:eastAsia="Calibri" w:cstheme="minorHAnsi"/>
          <w:color w:val="000000" w:themeColor="text1"/>
          <w:sz w:val="24"/>
          <w:szCs w:val="24"/>
        </w:rPr>
      </w:pPr>
      <w:r>
        <w:rPr>
          <w:rFonts w:eastAsia="Calibri" w:cstheme="minorHAnsi"/>
          <w:color w:val="000000" w:themeColor="text1"/>
          <w:sz w:val="24"/>
          <w:szCs w:val="24"/>
        </w:rPr>
        <w:t>(1</w:t>
      </w:r>
      <w:r w:rsidR="00A01674">
        <w:rPr>
          <w:rFonts w:eastAsia="Calibri" w:cstheme="minorHAnsi"/>
          <w:color w:val="000000" w:themeColor="text1"/>
          <w:sz w:val="24"/>
          <w:szCs w:val="24"/>
        </w:rPr>
        <w:t>0</w:t>
      </w:r>
      <w:r>
        <w:rPr>
          <w:rFonts w:eastAsia="Calibri" w:cstheme="minorHAnsi"/>
          <w:color w:val="000000" w:themeColor="text1"/>
          <w:sz w:val="24"/>
          <w:szCs w:val="24"/>
        </w:rPr>
        <w:t xml:space="preserve">) </w:t>
      </w:r>
      <w:r w:rsidRPr="00190B01">
        <w:rPr>
          <w:rFonts w:eastAsia="Calibri" w:cstheme="minorHAnsi"/>
          <w:color w:val="000000" w:themeColor="text1"/>
          <w:sz w:val="24"/>
          <w:szCs w:val="24"/>
        </w:rPr>
        <w:t>K100209 Geodetski snimak javnih površina,</w:t>
      </w:r>
    </w:p>
    <w:p w14:paraId="53B26950" w14:textId="217D9766" w:rsidR="000517E7" w:rsidRDefault="000517E7" w:rsidP="000517E7">
      <w:pPr>
        <w:overflowPunct w:val="0"/>
        <w:autoSpaceDE w:val="0"/>
        <w:autoSpaceDN w:val="0"/>
        <w:adjustRightInd w:val="0"/>
        <w:spacing w:after="0" w:line="280" w:lineRule="exact"/>
        <w:ind w:left="360"/>
        <w:contextualSpacing/>
        <w:jc w:val="both"/>
        <w:textAlignment w:val="baseline"/>
        <w:rPr>
          <w:rFonts w:eastAsia="Calibri" w:cstheme="minorHAnsi"/>
          <w:color w:val="000000" w:themeColor="text1"/>
          <w:sz w:val="24"/>
          <w:szCs w:val="24"/>
        </w:rPr>
      </w:pPr>
      <w:r>
        <w:rPr>
          <w:rFonts w:eastAsia="Calibri" w:cstheme="minorHAnsi"/>
          <w:color w:val="000000" w:themeColor="text1"/>
          <w:sz w:val="24"/>
          <w:szCs w:val="24"/>
        </w:rPr>
        <w:t>(1</w:t>
      </w:r>
      <w:r w:rsidR="00A01674">
        <w:rPr>
          <w:rFonts w:eastAsia="Calibri" w:cstheme="minorHAnsi"/>
          <w:color w:val="000000" w:themeColor="text1"/>
          <w:sz w:val="24"/>
          <w:szCs w:val="24"/>
        </w:rPr>
        <w:t>1</w:t>
      </w:r>
      <w:r>
        <w:rPr>
          <w:rFonts w:eastAsia="Calibri" w:cstheme="minorHAnsi"/>
          <w:color w:val="000000" w:themeColor="text1"/>
          <w:sz w:val="24"/>
          <w:szCs w:val="24"/>
        </w:rPr>
        <w:t>) K100211 Provedba mjera prilagodbe klimatskim promjenama,</w:t>
      </w:r>
    </w:p>
    <w:p w14:paraId="7E7EF621" w14:textId="09C0C9DC" w:rsidR="000517E7" w:rsidRPr="00190B01" w:rsidRDefault="00725DB6" w:rsidP="00725DB6">
      <w:p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Pr>
          <w:rFonts w:eastAsia="Calibri" w:cstheme="minorHAnsi"/>
          <w:color w:val="000000" w:themeColor="text1"/>
          <w:sz w:val="24"/>
          <w:szCs w:val="24"/>
        </w:rPr>
        <w:t xml:space="preserve">       </w:t>
      </w:r>
      <w:r w:rsidR="000517E7">
        <w:rPr>
          <w:rFonts w:eastAsia="Calibri" w:cstheme="minorHAnsi"/>
          <w:color w:val="000000" w:themeColor="text1"/>
          <w:sz w:val="24"/>
          <w:szCs w:val="24"/>
        </w:rPr>
        <w:t>(1</w:t>
      </w:r>
      <w:r w:rsidR="00A01674">
        <w:rPr>
          <w:rFonts w:eastAsia="Calibri" w:cstheme="minorHAnsi"/>
          <w:color w:val="000000" w:themeColor="text1"/>
          <w:sz w:val="24"/>
          <w:szCs w:val="24"/>
        </w:rPr>
        <w:t>2</w:t>
      </w:r>
      <w:r w:rsidR="000517E7">
        <w:rPr>
          <w:rFonts w:eastAsia="Calibri" w:cstheme="minorHAnsi"/>
          <w:color w:val="000000" w:themeColor="text1"/>
          <w:sz w:val="24"/>
          <w:szCs w:val="24"/>
        </w:rPr>
        <w:t xml:space="preserve">) K100212 </w:t>
      </w:r>
      <w:proofErr w:type="spellStart"/>
      <w:r w:rsidR="000517E7">
        <w:rPr>
          <w:rFonts w:eastAsia="Calibri" w:cstheme="minorHAnsi"/>
          <w:color w:val="000000" w:themeColor="text1"/>
          <w:sz w:val="24"/>
          <w:szCs w:val="24"/>
        </w:rPr>
        <w:t>Dužobalna</w:t>
      </w:r>
      <w:proofErr w:type="spellEnd"/>
      <w:r w:rsidR="000517E7">
        <w:rPr>
          <w:rFonts w:eastAsia="Calibri" w:cstheme="minorHAnsi"/>
          <w:color w:val="000000" w:themeColor="text1"/>
          <w:sz w:val="24"/>
          <w:szCs w:val="24"/>
        </w:rPr>
        <w:t xml:space="preserve"> biciklistička staza i šetnica na području </w:t>
      </w:r>
      <w:proofErr w:type="spellStart"/>
      <w:r w:rsidR="000517E7">
        <w:rPr>
          <w:rFonts w:eastAsia="Calibri" w:cstheme="minorHAnsi"/>
          <w:color w:val="000000" w:themeColor="text1"/>
          <w:sz w:val="24"/>
          <w:szCs w:val="24"/>
        </w:rPr>
        <w:t>Brigi</w:t>
      </w:r>
      <w:proofErr w:type="spellEnd"/>
      <w:r w:rsidR="000517E7">
        <w:rPr>
          <w:rFonts w:eastAsia="Calibri" w:cstheme="minorHAnsi"/>
          <w:color w:val="000000" w:themeColor="text1"/>
          <w:sz w:val="24"/>
          <w:szCs w:val="24"/>
        </w:rPr>
        <w:t xml:space="preserve">-Lokvice </w:t>
      </w:r>
    </w:p>
    <w:p w14:paraId="67B5488C" w14:textId="4D1BACFA" w:rsidR="000517E7" w:rsidRDefault="000517E7" w:rsidP="000517E7">
      <w:p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Pr>
          <w:rFonts w:eastAsia="Calibri" w:cstheme="minorHAnsi"/>
          <w:color w:val="000000" w:themeColor="text1"/>
          <w:sz w:val="24"/>
          <w:szCs w:val="24"/>
        </w:rPr>
        <w:t xml:space="preserve">      (1</w:t>
      </w:r>
      <w:r w:rsidR="00A01674">
        <w:rPr>
          <w:rFonts w:eastAsia="Calibri" w:cstheme="minorHAnsi"/>
          <w:color w:val="000000" w:themeColor="text1"/>
          <w:sz w:val="24"/>
          <w:szCs w:val="24"/>
        </w:rPr>
        <w:t>3</w:t>
      </w:r>
      <w:r>
        <w:rPr>
          <w:rFonts w:eastAsia="Calibri" w:cstheme="minorHAnsi"/>
          <w:color w:val="000000" w:themeColor="text1"/>
          <w:sz w:val="24"/>
          <w:szCs w:val="24"/>
        </w:rPr>
        <w:t xml:space="preserve">) </w:t>
      </w:r>
      <w:r w:rsidRPr="00190B01">
        <w:rPr>
          <w:rFonts w:eastAsia="Calibri" w:cstheme="minorHAnsi"/>
          <w:color w:val="000000" w:themeColor="text1"/>
          <w:sz w:val="24"/>
          <w:szCs w:val="24"/>
        </w:rPr>
        <w:t>K100300 Izgradnja javne rasvjete,</w:t>
      </w:r>
    </w:p>
    <w:p w14:paraId="30AD06BD" w14:textId="39C7CD7C" w:rsidR="000517E7" w:rsidRDefault="000517E7" w:rsidP="000517E7">
      <w:p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Pr>
          <w:rFonts w:eastAsia="Calibri" w:cstheme="minorHAnsi"/>
          <w:color w:val="000000" w:themeColor="text1"/>
          <w:sz w:val="24"/>
          <w:szCs w:val="24"/>
        </w:rPr>
        <w:t xml:space="preserve">      (1</w:t>
      </w:r>
      <w:r w:rsidR="00A01674">
        <w:rPr>
          <w:rFonts w:eastAsia="Calibri" w:cstheme="minorHAnsi"/>
          <w:color w:val="000000" w:themeColor="text1"/>
          <w:sz w:val="24"/>
          <w:szCs w:val="24"/>
        </w:rPr>
        <w:t>4</w:t>
      </w:r>
      <w:r>
        <w:rPr>
          <w:rFonts w:eastAsia="Calibri" w:cstheme="minorHAnsi"/>
          <w:color w:val="000000" w:themeColor="text1"/>
          <w:sz w:val="24"/>
          <w:szCs w:val="24"/>
        </w:rPr>
        <w:t>) K100400 Izgradnja i rekonstrukcija oborinske mreže u svim MO</w:t>
      </w:r>
    </w:p>
    <w:p w14:paraId="6B2B2C42" w14:textId="4122DFA5" w:rsidR="00A01674" w:rsidRDefault="00A01674" w:rsidP="000517E7">
      <w:p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Pr>
          <w:rFonts w:eastAsia="Calibri" w:cstheme="minorHAnsi"/>
          <w:color w:val="000000" w:themeColor="text1"/>
          <w:sz w:val="24"/>
          <w:szCs w:val="24"/>
        </w:rPr>
        <w:t xml:space="preserve">      (15) K100501 Izgradnja dječjeg igrališta u </w:t>
      </w:r>
      <w:proofErr w:type="spellStart"/>
      <w:r>
        <w:rPr>
          <w:rFonts w:eastAsia="Calibri" w:cstheme="minorHAnsi"/>
          <w:color w:val="000000" w:themeColor="text1"/>
          <w:sz w:val="24"/>
          <w:szCs w:val="24"/>
        </w:rPr>
        <w:t>Arbaniji</w:t>
      </w:r>
      <w:proofErr w:type="spellEnd"/>
      <w:r>
        <w:rPr>
          <w:rFonts w:eastAsia="Calibri" w:cstheme="minorHAnsi"/>
          <w:color w:val="000000" w:themeColor="text1"/>
          <w:sz w:val="24"/>
          <w:szCs w:val="24"/>
        </w:rPr>
        <w:t xml:space="preserve"> </w:t>
      </w:r>
    </w:p>
    <w:p w14:paraId="78E85F5E" w14:textId="77777777" w:rsidR="000517E7" w:rsidRDefault="000517E7" w:rsidP="000517E7">
      <w:p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p>
    <w:p w14:paraId="059F89C5" w14:textId="10B1CA0C" w:rsidR="000517E7" w:rsidRDefault="000517E7" w:rsidP="000517E7">
      <w:pPr>
        <w:overflowPunct w:val="0"/>
        <w:autoSpaceDE w:val="0"/>
        <w:autoSpaceDN w:val="0"/>
        <w:adjustRightInd w:val="0"/>
        <w:spacing w:after="0" w:line="280" w:lineRule="exact"/>
        <w:jc w:val="both"/>
        <w:textAlignment w:val="baseline"/>
        <w:rPr>
          <w:rFonts w:eastAsia="Calibri" w:cstheme="minorHAnsi"/>
          <w:color w:val="000000" w:themeColor="text1"/>
          <w:sz w:val="24"/>
          <w:szCs w:val="24"/>
        </w:rPr>
      </w:pPr>
      <w:r w:rsidRPr="00190B01">
        <w:rPr>
          <w:rFonts w:eastAsia="Calibri" w:cstheme="minorHAnsi"/>
          <w:color w:val="000000" w:themeColor="text1"/>
          <w:sz w:val="24"/>
          <w:szCs w:val="24"/>
        </w:rPr>
        <w:t>U programu Građevine komunalne infrastrukture koje će se graditi radi uređenja neuređenih dijelova građevinskog područja planirana su sredstva za 2 aktivnosti i 1</w:t>
      </w:r>
      <w:r>
        <w:rPr>
          <w:rFonts w:eastAsia="Calibri" w:cstheme="minorHAnsi"/>
          <w:color w:val="000000" w:themeColor="text1"/>
          <w:sz w:val="24"/>
          <w:szCs w:val="24"/>
        </w:rPr>
        <w:t>3</w:t>
      </w:r>
      <w:r w:rsidRPr="00190B01">
        <w:rPr>
          <w:rFonts w:eastAsia="Calibri" w:cstheme="minorHAnsi"/>
          <w:color w:val="000000" w:themeColor="text1"/>
          <w:sz w:val="24"/>
          <w:szCs w:val="24"/>
        </w:rPr>
        <w:t xml:space="preserve"> kapitalnih pr</w:t>
      </w:r>
      <w:r>
        <w:rPr>
          <w:rFonts w:eastAsia="Calibri" w:cstheme="minorHAnsi"/>
          <w:color w:val="000000" w:themeColor="text1"/>
          <w:sz w:val="24"/>
          <w:szCs w:val="24"/>
        </w:rPr>
        <w:t xml:space="preserve">ojekata u iznosu od </w:t>
      </w:r>
      <w:r w:rsidR="00725DB6">
        <w:rPr>
          <w:rFonts w:eastAsia="Calibri" w:cstheme="minorHAnsi"/>
          <w:color w:val="000000" w:themeColor="text1"/>
          <w:sz w:val="24"/>
          <w:szCs w:val="24"/>
        </w:rPr>
        <w:t>1.988.010,00</w:t>
      </w:r>
      <w:r w:rsidRPr="00190B01">
        <w:rPr>
          <w:rFonts w:eastAsia="Calibri" w:cstheme="minorHAnsi"/>
          <w:color w:val="000000" w:themeColor="text1"/>
          <w:sz w:val="24"/>
          <w:szCs w:val="24"/>
        </w:rPr>
        <w:t xml:space="preserve"> eura.</w:t>
      </w:r>
    </w:p>
    <w:p w14:paraId="0EDBB1EA" w14:textId="77777777" w:rsidR="000517E7" w:rsidRDefault="000517E7" w:rsidP="000517E7">
      <w:pPr>
        <w:overflowPunct w:val="0"/>
        <w:autoSpaceDE w:val="0"/>
        <w:autoSpaceDN w:val="0"/>
        <w:adjustRightInd w:val="0"/>
        <w:spacing w:after="0" w:line="280" w:lineRule="exact"/>
        <w:jc w:val="both"/>
        <w:textAlignment w:val="baseline"/>
        <w:rPr>
          <w:rFonts w:eastAsia="Calibri" w:cstheme="minorHAnsi"/>
          <w:color w:val="000000" w:themeColor="text1"/>
          <w:sz w:val="24"/>
          <w:szCs w:val="24"/>
        </w:rPr>
      </w:pPr>
    </w:p>
    <w:p w14:paraId="266AD413" w14:textId="6B3DB993" w:rsidR="000517E7" w:rsidRPr="000517E7" w:rsidRDefault="000517E7" w:rsidP="000517E7">
      <w:pPr>
        <w:overflowPunct w:val="0"/>
        <w:autoSpaceDE w:val="0"/>
        <w:autoSpaceDN w:val="0"/>
        <w:adjustRightInd w:val="0"/>
        <w:spacing w:after="0" w:line="280" w:lineRule="exact"/>
        <w:jc w:val="both"/>
        <w:textAlignment w:val="baseline"/>
        <w:rPr>
          <w:rFonts w:eastAsia="Calibri" w:cstheme="minorHAnsi"/>
          <w:color w:val="000000" w:themeColor="text1"/>
          <w:sz w:val="24"/>
          <w:szCs w:val="24"/>
        </w:rPr>
      </w:pPr>
      <w:r w:rsidRPr="000517E7">
        <w:rPr>
          <w:rFonts w:eastAsia="Calibri" w:cstheme="minorHAnsi"/>
          <w:color w:val="000000" w:themeColor="text1"/>
          <w:sz w:val="24"/>
          <w:szCs w:val="24"/>
          <w:u w:val="single"/>
        </w:rPr>
        <w:t>Aktivnost -Uređenje javnih površina</w:t>
      </w:r>
      <w:r w:rsidRPr="000517E7">
        <w:rPr>
          <w:rFonts w:eastAsia="Calibri" w:cstheme="minorHAnsi"/>
          <w:color w:val="000000" w:themeColor="text1"/>
          <w:sz w:val="24"/>
          <w:szCs w:val="24"/>
        </w:rPr>
        <w:t xml:space="preserve"> bilježi realizaciju u iznosu od </w:t>
      </w:r>
      <w:r w:rsidR="00725DB6">
        <w:rPr>
          <w:rFonts w:eastAsia="Calibri" w:cstheme="minorHAnsi"/>
          <w:color w:val="000000" w:themeColor="text1"/>
          <w:sz w:val="24"/>
          <w:szCs w:val="24"/>
        </w:rPr>
        <w:t>16.057,88</w:t>
      </w:r>
      <w:r w:rsidRPr="000517E7">
        <w:rPr>
          <w:rFonts w:eastAsia="Calibri" w:cstheme="minorHAnsi"/>
          <w:color w:val="000000" w:themeColor="text1"/>
          <w:sz w:val="24"/>
          <w:szCs w:val="24"/>
        </w:rPr>
        <w:t xml:space="preserve"> eura ili </w:t>
      </w:r>
      <w:r w:rsidR="00725DB6">
        <w:rPr>
          <w:rFonts w:eastAsia="Calibri" w:cstheme="minorHAnsi"/>
          <w:color w:val="000000" w:themeColor="text1"/>
          <w:sz w:val="24"/>
          <w:szCs w:val="24"/>
        </w:rPr>
        <w:t>53,53</w:t>
      </w:r>
      <w:r w:rsidRPr="000517E7">
        <w:rPr>
          <w:rFonts w:eastAsia="Calibri" w:cstheme="minorHAnsi"/>
          <w:color w:val="000000" w:themeColor="text1"/>
          <w:sz w:val="24"/>
          <w:szCs w:val="24"/>
        </w:rPr>
        <w:t xml:space="preserve">% i to na </w:t>
      </w:r>
      <w:r w:rsidRPr="000517E7">
        <w:rPr>
          <w:sz w:val="24"/>
          <w:szCs w:val="24"/>
        </w:rPr>
        <w:t xml:space="preserve">uređenje </w:t>
      </w:r>
      <w:r w:rsidR="00725DB6">
        <w:rPr>
          <w:sz w:val="24"/>
          <w:szCs w:val="24"/>
        </w:rPr>
        <w:t xml:space="preserve">pješačkog puta od spoja s županijskom cestom do parkirališta Put kapelice te uređenja pristupne pješačke staze WC za invalide u parku </w:t>
      </w:r>
      <w:proofErr w:type="spellStart"/>
      <w:r w:rsidR="008A35EC">
        <w:rPr>
          <w:sz w:val="24"/>
          <w:szCs w:val="24"/>
        </w:rPr>
        <w:t>F</w:t>
      </w:r>
      <w:r w:rsidR="00725DB6">
        <w:rPr>
          <w:sz w:val="24"/>
          <w:szCs w:val="24"/>
        </w:rPr>
        <w:t>ortin</w:t>
      </w:r>
      <w:proofErr w:type="spellEnd"/>
      <w:r w:rsidR="00725DB6">
        <w:rPr>
          <w:sz w:val="24"/>
          <w:szCs w:val="24"/>
        </w:rPr>
        <w:t>.</w:t>
      </w:r>
    </w:p>
    <w:p w14:paraId="25F4723B" w14:textId="77777777" w:rsidR="000517E7" w:rsidRPr="00190B01" w:rsidRDefault="000517E7" w:rsidP="000517E7">
      <w:pPr>
        <w:overflowPunct w:val="0"/>
        <w:autoSpaceDE w:val="0"/>
        <w:autoSpaceDN w:val="0"/>
        <w:adjustRightInd w:val="0"/>
        <w:spacing w:after="0" w:line="280" w:lineRule="exact"/>
        <w:jc w:val="both"/>
        <w:textAlignment w:val="baseline"/>
        <w:rPr>
          <w:rFonts w:eastAsia="Calibri" w:cstheme="minorHAnsi"/>
          <w:color w:val="000000" w:themeColor="text1"/>
          <w:sz w:val="24"/>
          <w:szCs w:val="24"/>
        </w:rPr>
      </w:pPr>
    </w:p>
    <w:p w14:paraId="018191AA" w14:textId="79AA6A1E" w:rsidR="000517E7" w:rsidRDefault="000517E7" w:rsidP="000517E7">
      <w:pPr>
        <w:pStyle w:val="Bezproreda"/>
        <w:jc w:val="both"/>
        <w:rPr>
          <w:rFonts w:cstheme="minorHAnsi"/>
          <w:sz w:val="24"/>
          <w:szCs w:val="24"/>
          <w:lang w:eastAsia="hr-HR"/>
        </w:rPr>
      </w:pPr>
      <w:r w:rsidRPr="00D94492">
        <w:rPr>
          <w:rFonts w:cstheme="minorHAnsi"/>
          <w:sz w:val="24"/>
          <w:szCs w:val="24"/>
          <w:u w:val="single"/>
          <w:lang w:eastAsia="hr-HR"/>
        </w:rPr>
        <w:t>Aktivnost -Uređenje gradskih plaža</w:t>
      </w:r>
      <w:r w:rsidRPr="001058CB">
        <w:rPr>
          <w:rFonts w:cstheme="minorHAnsi"/>
          <w:sz w:val="24"/>
          <w:szCs w:val="24"/>
          <w:lang w:eastAsia="hr-HR"/>
        </w:rPr>
        <w:t xml:space="preserve"> bilježi realizaciju u iznosu od </w:t>
      </w:r>
      <w:r w:rsidR="00640E39">
        <w:rPr>
          <w:rFonts w:cstheme="minorHAnsi"/>
          <w:sz w:val="24"/>
          <w:szCs w:val="24"/>
          <w:lang w:eastAsia="hr-HR"/>
        </w:rPr>
        <w:t>141.095,00</w:t>
      </w:r>
      <w:r>
        <w:rPr>
          <w:rFonts w:cstheme="minorHAnsi"/>
          <w:sz w:val="24"/>
          <w:szCs w:val="24"/>
          <w:lang w:eastAsia="hr-HR"/>
        </w:rPr>
        <w:t xml:space="preserve">  eura ili </w:t>
      </w:r>
      <w:r w:rsidR="00640E39">
        <w:rPr>
          <w:rFonts w:cstheme="minorHAnsi"/>
          <w:sz w:val="24"/>
          <w:szCs w:val="24"/>
          <w:lang w:eastAsia="hr-HR"/>
        </w:rPr>
        <w:t>80,93</w:t>
      </w:r>
      <w:r>
        <w:rPr>
          <w:rFonts w:cstheme="minorHAnsi"/>
          <w:sz w:val="24"/>
          <w:szCs w:val="24"/>
          <w:lang w:eastAsia="hr-HR"/>
        </w:rPr>
        <w:t xml:space="preserve">% plana </w:t>
      </w:r>
      <w:r w:rsidRPr="001058CB">
        <w:rPr>
          <w:rFonts w:cstheme="minorHAnsi"/>
          <w:sz w:val="24"/>
          <w:szCs w:val="24"/>
          <w:lang w:eastAsia="hr-HR"/>
        </w:rPr>
        <w:t xml:space="preserve"> i to </w:t>
      </w:r>
      <w:r>
        <w:rPr>
          <w:rFonts w:cstheme="minorHAnsi"/>
          <w:sz w:val="24"/>
          <w:szCs w:val="24"/>
          <w:lang w:eastAsia="hr-HR"/>
        </w:rPr>
        <w:t xml:space="preserve">na </w:t>
      </w:r>
      <w:r w:rsidRPr="001058CB">
        <w:rPr>
          <w:rFonts w:cstheme="minorHAnsi"/>
          <w:sz w:val="24"/>
          <w:szCs w:val="24"/>
          <w:lang w:eastAsia="hr-HR"/>
        </w:rPr>
        <w:t>uređenje plaža i privezišta</w:t>
      </w:r>
      <w:r>
        <w:rPr>
          <w:rFonts w:cstheme="minorHAnsi"/>
          <w:sz w:val="24"/>
          <w:szCs w:val="24"/>
          <w:lang w:eastAsia="hr-HR"/>
        </w:rPr>
        <w:t xml:space="preserve">, </w:t>
      </w:r>
      <w:r w:rsidR="00A03797">
        <w:rPr>
          <w:rFonts w:cstheme="minorHAnsi"/>
          <w:sz w:val="24"/>
          <w:szCs w:val="24"/>
          <w:lang w:eastAsia="hr-HR"/>
        </w:rPr>
        <w:t xml:space="preserve">usluge tekućeg i investicijskog održavanja pomorskog dobra ( izrada rampe za ulazak u more na lokaciji </w:t>
      </w:r>
      <w:proofErr w:type="spellStart"/>
      <w:r w:rsidR="00A03797">
        <w:rPr>
          <w:rFonts w:cstheme="minorHAnsi"/>
          <w:sz w:val="24"/>
          <w:szCs w:val="24"/>
          <w:lang w:eastAsia="hr-HR"/>
        </w:rPr>
        <w:t>Crljenka</w:t>
      </w:r>
      <w:proofErr w:type="spellEnd"/>
      <w:r w:rsidR="00A03797">
        <w:rPr>
          <w:rFonts w:cstheme="minorHAnsi"/>
          <w:sz w:val="24"/>
          <w:szCs w:val="24"/>
          <w:lang w:eastAsia="hr-HR"/>
        </w:rPr>
        <w:t xml:space="preserve"> i </w:t>
      </w:r>
      <w:proofErr w:type="spellStart"/>
      <w:r w:rsidR="00A03797">
        <w:rPr>
          <w:rFonts w:cstheme="minorHAnsi"/>
          <w:sz w:val="24"/>
          <w:szCs w:val="24"/>
          <w:lang w:eastAsia="hr-HR"/>
        </w:rPr>
        <w:t>Artić</w:t>
      </w:r>
      <w:proofErr w:type="spellEnd"/>
      <w:r w:rsidR="00A03797">
        <w:rPr>
          <w:rFonts w:cstheme="minorHAnsi"/>
          <w:sz w:val="24"/>
          <w:szCs w:val="24"/>
          <w:lang w:eastAsia="hr-HR"/>
        </w:rPr>
        <w:t xml:space="preserve">, izrada i montaža rampi za ulazak u morena plaži </w:t>
      </w:r>
      <w:proofErr w:type="spellStart"/>
      <w:r w:rsidR="00A03797">
        <w:rPr>
          <w:rFonts w:cstheme="minorHAnsi"/>
          <w:sz w:val="24"/>
          <w:szCs w:val="24"/>
          <w:lang w:eastAsia="hr-HR"/>
        </w:rPr>
        <w:t>Saldun</w:t>
      </w:r>
      <w:proofErr w:type="spellEnd"/>
      <w:r w:rsidR="00A03797">
        <w:rPr>
          <w:rFonts w:cstheme="minorHAnsi"/>
          <w:sz w:val="24"/>
          <w:szCs w:val="24"/>
          <w:lang w:eastAsia="hr-HR"/>
        </w:rPr>
        <w:t xml:space="preserve"> i </w:t>
      </w:r>
      <w:proofErr w:type="spellStart"/>
      <w:r w:rsidR="00A03797">
        <w:rPr>
          <w:rFonts w:cstheme="minorHAnsi"/>
          <w:sz w:val="24"/>
          <w:szCs w:val="24"/>
          <w:lang w:eastAsia="hr-HR"/>
        </w:rPr>
        <w:t>sv.Križ</w:t>
      </w:r>
      <w:proofErr w:type="spellEnd"/>
      <w:r w:rsidR="00A03797">
        <w:rPr>
          <w:rFonts w:cstheme="minorHAnsi"/>
          <w:sz w:val="24"/>
          <w:szCs w:val="24"/>
          <w:lang w:eastAsia="hr-HR"/>
        </w:rPr>
        <w:t>)</w:t>
      </w:r>
      <w:r>
        <w:rPr>
          <w:rFonts w:cstheme="minorHAnsi"/>
          <w:sz w:val="24"/>
          <w:szCs w:val="24"/>
          <w:lang w:eastAsia="hr-HR"/>
        </w:rPr>
        <w:t xml:space="preserve">, nadzor nad radovima na održavanju gradskih plaža, privezišta, montaža konstrukcije svlačionice </w:t>
      </w:r>
      <w:r w:rsidR="00A03797">
        <w:rPr>
          <w:rFonts w:cstheme="minorHAnsi"/>
          <w:sz w:val="24"/>
          <w:szCs w:val="24"/>
          <w:lang w:eastAsia="hr-HR"/>
        </w:rPr>
        <w:t xml:space="preserve">na plaži </w:t>
      </w:r>
      <w:proofErr w:type="spellStart"/>
      <w:r w:rsidR="00A03797">
        <w:rPr>
          <w:rFonts w:cstheme="minorHAnsi"/>
          <w:sz w:val="24"/>
          <w:szCs w:val="24"/>
          <w:lang w:eastAsia="hr-HR"/>
        </w:rPr>
        <w:t>Mastrinka</w:t>
      </w:r>
      <w:proofErr w:type="spellEnd"/>
      <w:r w:rsidR="00A03797">
        <w:rPr>
          <w:rFonts w:cstheme="minorHAnsi"/>
          <w:sz w:val="24"/>
          <w:szCs w:val="24"/>
          <w:lang w:eastAsia="hr-HR"/>
        </w:rPr>
        <w:t xml:space="preserve">, postavljanje novih tuševa na plaži </w:t>
      </w:r>
      <w:proofErr w:type="spellStart"/>
      <w:r w:rsidR="00A03797">
        <w:rPr>
          <w:rFonts w:cstheme="minorHAnsi"/>
          <w:sz w:val="24"/>
          <w:szCs w:val="24"/>
          <w:lang w:eastAsia="hr-HR"/>
        </w:rPr>
        <w:t>Arbanija</w:t>
      </w:r>
      <w:proofErr w:type="spellEnd"/>
      <w:r w:rsidR="00A03797">
        <w:rPr>
          <w:rFonts w:cstheme="minorHAnsi"/>
          <w:sz w:val="24"/>
          <w:szCs w:val="24"/>
          <w:lang w:eastAsia="hr-HR"/>
        </w:rPr>
        <w:t xml:space="preserve"> i dr.</w:t>
      </w:r>
    </w:p>
    <w:p w14:paraId="0EBE282E" w14:textId="77777777" w:rsidR="000517E7" w:rsidRDefault="000517E7" w:rsidP="000517E7">
      <w:pPr>
        <w:pStyle w:val="Bezproreda"/>
        <w:jc w:val="both"/>
        <w:rPr>
          <w:rFonts w:cstheme="minorHAnsi"/>
          <w:sz w:val="24"/>
          <w:szCs w:val="24"/>
          <w:lang w:eastAsia="hr-HR"/>
        </w:rPr>
      </w:pPr>
    </w:p>
    <w:p w14:paraId="62BDD031" w14:textId="5F6B2865" w:rsidR="000517E7" w:rsidRDefault="000517E7" w:rsidP="000517E7">
      <w:pPr>
        <w:spacing w:line="280" w:lineRule="exact"/>
        <w:jc w:val="both"/>
        <w:rPr>
          <w:rFonts w:cstheme="minorHAnsi"/>
          <w:sz w:val="24"/>
          <w:szCs w:val="24"/>
        </w:rPr>
      </w:pPr>
      <w:r w:rsidRPr="00F92D5B">
        <w:rPr>
          <w:rFonts w:cstheme="minorHAnsi"/>
          <w:sz w:val="24"/>
          <w:szCs w:val="24"/>
          <w:u w:val="single"/>
          <w:lang w:eastAsia="hr-HR"/>
        </w:rPr>
        <w:lastRenderedPageBreak/>
        <w:t>Kapitalni projekt Izgradnja pristupne ceste za POS stanove OS12</w:t>
      </w:r>
      <w:r w:rsidRPr="00F92D5B">
        <w:rPr>
          <w:rFonts w:cstheme="minorHAnsi"/>
          <w:sz w:val="24"/>
          <w:szCs w:val="24"/>
          <w:lang w:eastAsia="hr-HR"/>
        </w:rPr>
        <w:t xml:space="preserve">, </w:t>
      </w:r>
      <w:bookmarkStart w:id="4" w:name="_Hlk121141420"/>
      <w:r w:rsidRPr="00F92D5B">
        <w:rPr>
          <w:rFonts w:cstheme="minorHAnsi"/>
          <w:sz w:val="24"/>
          <w:szCs w:val="24"/>
        </w:rPr>
        <w:t>obuhvaća realizaciju imovinsko pravne pripreme zemljišta, projektne pripreme te gradnju nerazvrstane ceste i javne prometne površina s pratećim nužnim komunalnim instalacijama duljine 180 m.</w:t>
      </w:r>
      <w:r w:rsidRPr="00F92D5B">
        <w:rPr>
          <w:rFonts w:eastAsia="Calibri" w:cstheme="minorHAnsi"/>
          <w:sz w:val="24"/>
          <w:szCs w:val="24"/>
          <w:lang w:eastAsia="hr-HR"/>
        </w:rPr>
        <w:t xml:space="preserve"> Tijekom 2021. i 2022. godine je  izrađena projektna dokumentacija, ishođena građevinska dozvola i izvršen otkup zemljišta. </w:t>
      </w:r>
      <w:r w:rsidRPr="00F92D5B">
        <w:rPr>
          <w:rFonts w:cstheme="minorHAnsi"/>
          <w:sz w:val="24"/>
          <w:szCs w:val="24"/>
        </w:rPr>
        <w:t xml:space="preserve">Prometnica OS12, prema UPU naselja </w:t>
      </w:r>
      <w:proofErr w:type="spellStart"/>
      <w:r w:rsidRPr="00F92D5B">
        <w:rPr>
          <w:rFonts w:cstheme="minorHAnsi"/>
          <w:sz w:val="24"/>
          <w:szCs w:val="24"/>
        </w:rPr>
        <w:t>Plano</w:t>
      </w:r>
      <w:proofErr w:type="spellEnd"/>
      <w:r w:rsidRPr="00F92D5B">
        <w:rPr>
          <w:rFonts w:cstheme="minorHAnsi"/>
          <w:sz w:val="24"/>
          <w:szCs w:val="24"/>
        </w:rPr>
        <w:t>, je neizgrađena lokalna cesta koja će se na jugozapadnom kraju spajati s županijskom cestom Ž6091 (OS1), a na sjeveroistočnom s OS3 koja također nije izgrađena te čini pristupnu cestu za POS stanove. Sama daljnja realizacija kapitalnog projekta ovisit će o dinamici ishođenja građevinske dozvole i izgradnje POS stanova</w:t>
      </w:r>
      <w:r>
        <w:rPr>
          <w:rFonts w:cstheme="minorHAnsi"/>
          <w:sz w:val="24"/>
          <w:szCs w:val="24"/>
        </w:rPr>
        <w:t xml:space="preserve">, navedeni projekt bilježi realizaciju u iznosu od </w:t>
      </w:r>
      <w:r w:rsidR="00E00623">
        <w:rPr>
          <w:rFonts w:cstheme="minorHAnsi"/>
          <w:sz w:val="24"/>
          <w:szCs w:val="24"/>
        </w:rPr>
        <w:t>496,23</w:t>
      </w:r>
      <w:r>
        <w:rPr>
          <w:rFonts w:cstheme="minorHAnsi"/>
          <w:sz w:val="24"/>
          <w:szCs w:val="24"/>
        </w:rPr>
        <w:t xml:space="preserve"> eura</w:t>
      </w:r>
      <w:r w:rsidR="00E00623">
        <w:rPr>
          <w:rFonts w:cstheme="minorHAnsi"/>
          <w:sz w:val="24"/>
          <w:szCs w:val="24"/>
        </w:rPr>
        <w:t>.</w:t>
      </w:r>
    </w:p>
    <w:bookmarkEnd w:id="4"/>
    <w:p w14:paraId="33C3D8B3" w14:textId="77777777" w:rsidR="0021119B" w:rsidRDefault="000517E7" w:rsidP="00485C8F">
      <w:pPr>
        <w:pStyle w:val="Bezproreda"/>
        <w:jc w:val="both"/>
        <w:rPr>
          <w:rFonts w:cstheme="minorHAnsi"/>
          <w:sz w:val="24"/>
          <w:szCs w:val="24"/>
        </w:rPr>
      </w:pPr>
      <w:r w:rsidRPr="00F92D5B">
        <w:rPr>
          <w:rFonts w:cstheme="minorHAnsi"/>
          <w:sz w:val="24"/>
          <w:szCs w:val="24"/>
          <w:u w:val="single"/>
          <w:lang w:eastAsia="hr-HR"/>
        </w:rPr>
        <w:t xml:space="preserve">Kapitalni projekt Izgradnja obalnog pojasa </w:t>
      </w:r>
      <w:proofErr w:type="spellStart"/>
      <w:r w:rsidRPr="00F92D5B">
        <w:rPr>
          <w:rFonts w:cstheme="minorHAnsi"/>
          <w:sz w:val="24"/>
          <w:szCs w:val="24"/>
          <w:u w:val="single"/>
          <w:lang w:eastAsia="hr-HR"/>
        </w:rPr>
        <w:t>Brigi</w:t>
      </w:r>
      <w:proofErr w:type="spellEnd"/>
      <w:r w:rsidRPr="00F92D5B">
        <w:rPr>
          <w:rFonts w:cstheme="minorHAnsi"/>
          <w:sz w:val="24"/>
          <w:szCs w:val="24"/>
          <w:u w:val="single"/>
          <w:lang w:eastAsia="hr-HR"/>
        </w:rPr>
        <w:t xml:space="preserve"> Lokvice</w:t>
      </w:r>
      <w:r w:rsidRPr="00F92D5B">
        <w:rPr>
          <w:rFonts w:cstheme="minorHAnsi"/>
          <w:sz w:val="24"/>
          <w:szCs w:val="24"/>
        </w:rPr>
        <w:t xml:space="preserve"> obuhvaća izgradnju odnosno uređenje obalnog pojasa od malog mosta do Pantana u više zona korištenja.  Glavna karakteristika područja je njen položaj uz more i pogled na povijesnu jezgru grada Trogira koji se pruža u čitavoj njenoj dužini. Rezultat je naglasak na obalnoj šetnici uz koju se protežu parkovi (uređeno i zaštitno zelenilo) ispresijecano pješačkim i zelenim prodorima u smjeru sjever – jug. Za to područje donesena je uredba o određivanju granice pomorskog dobra na dijelu k.o. Trogir, predio </w:t>
      </w:r>
      <w:proofErr w:type="spellStart"/>
      <w:r w:rsidRPr="00F92D5B">
        <w:rPr>
          <w:rFonts w:cstheme="minorHAnsi"/>
          <w:sz w:val="24"/>
          <w:szCs w:val="24"/>
        </w:rPr>
        <w:t>Brigi</w:t>
      </w:r>
      <w:proofErr w:type="spellEnd"/>
      <w:r w:rsidRPr="00F92D5B">
        <w:rPr>
          <w:rFonts w:cstheme="minorHAnsi"/>
          <w:sz w:val="24"/>
          <w:szCs w:val="24"/>
        </w:rPr>
        <w:t xml:space="preserve"> (</w:t>
      </w:r>
      <w:r w:rsidRPr="00F92D5B">
        <w:rPr>
          <w:rFonts w:cstheme="minorHAnsi"/>
          <w:color w:val="231F20"/>
          <w:sz w:val="24"/>
          <w:szCs w:val="24"/>
        </w:rPr>
        <w:t>»</w:t>
      </w:r>
      <w:r w:rsidRPr="00F92D5B">
        <w:rPr>
          <w:rFonts w:cstheme="minorHAnsi"/>
          <w:sz w:val="24"/>
          <w:szCs w:val="24"/>
        </w:rPr>
        <w:t>Narodne novine</w:t>
      </w:r>
      <w:r w:rsidRPr="00F92D5B">
        <w:rPr>
          <w:rFonts w:cstheme="minorHAnsi"/>
          <w:color w:val="231F20"/>
          <w:sz w:val="24"/>
          <w:szCs w:val="24"/>
        </w:rPr>
        <w:t>«</w:t>
      </w:r>
      <w:r w:rsidRPr="00F92D5B">
        <w:rPr>
          <w:rFonts w:cstheme="minorHAnsi"/>
          <w:sz w:val="24"/>
          <w:szCs w:val="24"/>
        </w:rPr>
        <w:t xml:space="preserve"> broj 77/01) te je planirani zahvat predviđen u Planu upravljanja pomorskim dobrom Grada Trogira za 202</w:t>
      </w:r>
      <w:r>
        <w:rPr>
          <w:rFonts w:cstheme="minorHAnsi"/>
          <w:sz w:val="24"/>
          <w:szCs w:val="24"/>
        </w:rPr>
        <w:t>4</w:t>
      </w:r>
      <w:r w:rsidRPr="00F92D5B">
        <w:rPr>
          <w:rFonts w:cstheme="minorHAnsi"/>
          <w:sz w:val="24"/>
          <w:szCs w:val="24"/>
        </w:rPr>
        <w:t>. godinu</w:t>
      </w:r>
      <w:r w:rsidR="0021119B">
        <w:rPr>
          <w:rFonts w:cstheme="minorHAnsi"/>
          <w:sz w:val="24"/>
          <w:szCs w:val="24"/>
        </w:rPr>
        <w:t>.</w:t>
      </w:r>
    </w:p>
    <w:p w14:paraId="4B8B5DA4" w14:textId="77777777" w:rsidR="0021119B" w:rsidRDefault="0021119B" w:rsidP="0021119B">
      <w:pPr>
        <w:suppressAutoHyphens/>
        <w:spacing w:after="0" w:line="283" w:lineRule="exact"/>
        <w:jc w:val="both"/>
        <w:rPr>
          <w:rFonts w:eastAsia="Times New Roman" w:cstheme="minorHAnsi"/>
          <w:color w:val="000000"/>
          <w:sz w:val="24"/>
          <w:szCs w:val="24"/>
          <w:lang w:eastAsia="ar-SA"/>
        </w:rPr>
      </w:pPr>
      <w:r w:rsidRPr="0021119B">
        <w:rPr>
          <w:rFonts w:eastAsia="Times New Roman" w:cstheme="minorHAnsi"/>
          <w:color w:val="000000"/>
          <w:sz w:val="24"/>
          <w:szCs w:val="24"/>
          <w:lang w:eastAsia="ar-SA"/>
        </w:rPr>
        <w:t>Kako se ovdje radi o izrazito dugom obalnom pojasu čitav projekt podijelio se na više zona korištenja koje su obrađene zasebnim projektnim dokumentacijama i to:</w:t>
      </w:r>
    </w:p>
    <w:p w14:paraId="2BCC62D6" w14:textId="6A49223B" w:rsidR="0021119B" w:rsidRDefault="00CC6207" w:rsidP="0021119B">
      <w:pPr>
        <w:suppressAutoHyphens/>
        <w:spacing w:after="0" w:line="283" w:lineRule="exact"/>
        <w:jc w:val="both"/>
        <w:rPr>
          <w:rFonts w:eastAsia="Times New Roman" w:cstheme="minorHAnsi"/>
          <w:i/>
          <w:iCs/>
          <w:color w:val="000000"/>
          <w:lang w:eastAsia="ar-SA"/>
        </w:rPr>
      </w:pPr>
      <w:r>
        <w:rPr>
          <w:rFonts w:eastAsia="Times New Roman" w:cstheme="minorHAnsi"/>
          <w:i/>
          <w:iCs/>
          <w:color w:val="000000"/>
          <w:lang w:eastAsia="ar-SA"/>
        </w:rPr>
        <w:t>-</w:t>
      </w:r>
      <w:r w:rsidR="0021119B" w:rsidRPr="00DB0336">
        <w:rPr>
          <w:rFonts w:eastAsia="Times New Roman" w:cstheme="minorHAnsi"/>
          <w:i/>
          <w:iCs/>
          <w:color w:val="000000"/>
          <w:lang w:eastAsia="ar-SA"/>
        </w:rPr>
        <w:t xml:space="preserve">Uređenje obalnog pojasa </w:t>
      </w:r>
      <w:proofErr w:type="spellStart"/>
      <w:r w:rsidR="0021119B" w:rsidRPr="00DB0336">
        <w:rPr>
          <w:rFonts w:eastAsia="Times New Roman" w:cstheme="minorHAnsi"/>
          <w:i/>
          <w:iCs/>
          <w:color w:val="000000"/>
          <w:lang w:eastAsia="ar-SA"/>
        </w:rPr>
        <w:t>Brigi</w:t>
      </w:r>
      <w:proofErr w:type="spellEnd"/>
      <w:r w:rsidR="0021119B" w:rsidRPr="00DB0336">
        <w:rPr>
          <w:rFonts w:eastAsia="Times New Roman" w:cstheme="minorHAnsi"/>
          <w:i/>
          <w:iCs/>
          <w:color w:val="000000"/>
          <w:lang w:eastAsia="ar-SA"/>
        </w:rPr>
        <w:t xml:space="preserve"> – Lokvice - dionica od istočne granice športske luke do predjela Pantan</w:t>
      </w:r>
    </w:p>
    <w:p w14:paraId="1A31956C" w14:textId="12B3305D" w:rsidR="0021119B" w:rsidRDefault="00CC6207" w:rsidP="0021119B">
      <w:pPr>
        <w:suppressAutoHyphens/>
        <w:spacing w:after="0" w:line="283" w:lineRule="exact"/>
        <w:jc w:val="both"/>
        <w:rPr>
          <w:rFonts w:eastAsia="Times New Roman" w:cstheme="minorHAnsi"/>
          <w:i/>
          <w:iCs/>
          <w:color w:val="000000"/>
          <w:lang w:eastAsia="ar-SA"/>
        </w:rPr>
      </w:pPr>
      <w:r>
        <w:rPr>
          <w:rFonts w:eastAsia="Times New Roman" w:cstheme="minorHAnsi"/>
          <w:i/>
          <w:iCs/>
          <w:color w:val="000000"/>
          <w:lang w:eastAsia="ar-SA"/>
        </w:rPr>
        <w:t>-</w:t>
      </w:r>
      <w:r w:rsidR="0021119B" w:rsidRPr="00DB0336">
        <w:rPr>
          <w:rFonts w:eastAsia="Times New Roman" w:cstheme="minorHAnsi"/>
          <w:i/>
          <w:iCs/>
          <w:color w:val="000000"/>
          <w:lang w:eastAsia="ar-SA"/>
        </w:rPr>
        <w:t xml:space="preserve">Uređenje šetnice i biciklističke staze na lokaciji </w:t>
      </w:r>
      <w:proofErr w:type="spellStart"/>
      <w:r w:rsidR="0021119B" w:rsidRPr="00DB0336">
        <w:rPr>
          <w:rFonts w:eastAsia="Times New Roman" w:cstheme="minorHAnsi"/>
          <w:i/>
          <w:iCs/>
          <w:color w:val="000000"/>
          <w:lang w:eastAsia="ar-SA"/>
        </w:rPr>
        <w:t>Brigi</w:t>
      </w:r>
      <w:proofErr w:type="spellEnd"/>
      <w:r w:rsidR="0021119B" w:rsidRPr="00DB0336">
        <w:rPr>
          <w:rFonts w:eastAsia="Times New Roman" w:cstheme="minorHAnsi"/>
          <w:i/>
          <w:iCs/>
          <w:color w:val="000000"/>
          <w:lang w:eastAsia="ar-SA"/>
        </w:rPr>
        <w:t xml:space="preserve"> – Lokvice – dionica od istočnog ruba parkirališta do malog mosta</w:t>
      </w:r>
    </w:p>
    <w:p w14:paraId="4D0022EC" w14:textId="7F532E15" w:rsidR="0021119B" w:rsidRDefault="00CC6207" w:rsidP="0021119B">
      <w:pPr>
        <w:suppressAutoHyphens/>
        <w:spacing w:after="0" w:line="283" w:lineRule="exact"/>
        <w:jc w:val="both"/>
        <w:rPr>
          <w:rFonts w:eastAsia="Times New Roman" w:cstheme="minorHAnsi"/>
          <w:color w:val="000000"/>
          <w:lang w:eastAsia="ar-SA"/>
        </w:rPr>
      </w:pPr>
      <w:r>
        <w:rPr>
          <w:rFonts w:eastAsia="Times New Roman" w:cstheme="minorHAnsi"/>
          <w:i/>
          <w:iCs/>
          <w:color w:val="000000"/>
          <w:lang w:eastAsia="ar-SA"/>
        </w:rPr>
        <w:t>-</w:t>
      </w:r>
      <w:r w:rsidR="0021119B" w:rsidRPr="00DB0336">
        <w:rPr>
          <w:rFonts w:eastAsia="Times New Roman" w:cstheme="minorHAnsi"/>
          <w:i/>
          <w:iCs/>
          <w:color w:val="000000"/>
          <w:lang w:eastAsia="ar-SA"/>
        </w:rPr>
        <w:t xml:space="preserve">Uređenje zelene površine s dva džepna parka – Radovi na hortikulturi na obalnom pojasu </w:t>
      </w:r>
      <w:proofErr w:type="spellStart"/>
      <w:r w:rsidR="0021119B" w:rsidRPr="00DB0336">
        <w:rPr>
          <w:rFonts w:eastAsia="Times New Roman" w:cstheme="minorHAnsi"/>
          <w:i/>
          <w:iCs/>
          <w:color w:val="000000"/>
          <w:lang w:eastAsia="ar-SA"/>
        </w:rPr>
        <w:t>Brigi</w:t>
      </w:r>
      <w:proofErr w:type="spellEnd"/>
      <w:r w:rsidR="0021119B" w:rsidRPr="00DB0336">
        <w:rPr>
          <w:rFonts w:eastAsia="Times New Roman" w:cstheme="minorHAnsi"/>
          <w:i/>
          <w:iCs/>
          <w:color w:val="000000"/>
          <w:lang w:eastAsia="ar-SA"/>
        </w:rPr>
        <w:t>-Lokvice</w:t>
      </w:r>
    </w:p>
    <w:p w14:paraId="651042FD" w14:textId="351BD4B7" w:rsidR="0021119B" w:rsidRPr="0021119B" w:rsidRDefault="00CC6207" w:rsidP="0021119B">
      <w:pPr>
        <w:suppressAutoHyphens/>
        <w:spacing w:after="0" w:line="283" w:lineRule="exact"/>
        <w:jc w:val="both"/>
        <w:rPr>
          <w:rFonts w:eastAsia="Times New Roman" w:cstheme="minorHAnsi"/>
          <w:color w:val="000000"/>
          <w:lang w:eastAsia="ar-SA"/>
        </w:rPr>
      </w:pPr>
      <w:r>
        <w:rPr>
          <w:rFonts w:eastAsia="Times New Roman" w:cstheme="minorHAnsi"/>
          <w:i/>
          <w:iCs/>
          <w:color w:val="000000"/>
          <w:lang w:eastAsia="ar-SA"/>
        </w:rPr>
        <w:t>-</w:t>
      </w:r>
      <w:r w:rsidR="0021119B" w:rsidRPr="00DB0336">
        <w:rPr>
          <w:rFonts w:eastAsia="Times New Roman" w:cstheme="minorHAnsi"/>
          <w:i/>
          <w:iCs/>
          <w:color w:val="000000"/>
          <w:lang w:eastAsia="ar-SA"/>
        </w:rPr>
        <w:t xml:space="preserve">Izgradnja športske luke </w:t>
      </w:r>
      <w:proofErr w:type="spellStart"/>
      <w:r w:rsidR="0021119B" w:rsidRPr="00DB0336">
        <w:rPr>
          <w:rFonts w:eastAsia="Times New Roman" w:cstheme="minorHAnsi"/>
          <w:i/>
          <w:iCs/>
          <w:color w:val="000000"/>
          <w:lang w:eastAsia="ar-SA"/>
        </w:rPr>
        <w:t>Brigi</w:t>
      </w:r>
      <w:proofErr w:type="spellEnd"/>
      <w:r w:rsidR="0021119B" w:rsidRPr="00DB0336">
        <w:rPr>
          <w:rFonts w:eastAsia="Times New Roman" w:cstheme="minorHAnsi"/>
          <w:i/>
          <w:iCs/>
          <w:color w:val="000000"/>
          <w:lang w:eastAsia="ar-SA"/>
        </w:rPr>
        <w:t xml:space="preserve"> – Lokvice</w:t>
      </w:r>
    </w:p>
    <w:p w14:paraId="252DCCFF" w14:textId="0E71DC1B" w:rsidR="00A96314" w:rsidRDefault="0021119B" w:rsidP="00485C8F">
      <w:pPr>
        <w:pStyle w:val="Bezproreda"/>
        <w:jc w:val="both"/>
        <w:rPr>
          <w:sz w:val="24"/>
          <w:szCs w:val="24"/>
        </w:rPr>
      </w:pPr>
      <w:r>
        <w:rPr>
          <w:rFonts w:cstheme="minorHAnsi"/>
          <w:sz w:val="24"/>
          <w:szCs w:val="24"/>
        </w:rPr>
        <w:t xml:space="preserve">U </w:t>
      </w:r>
      <w:r w:rsidR="000517E7">
        <w:rPr>
          <w:rFonts w:cstheme="minorHAnsi"/>
          <w:sz w:val="24"/>
          <w:szCs w:val="24"/>
        </w:rPr>
        <w:t xml:space="preserve"> izvještajnom razdoblju 202</w:t>
      </w:r>
      <w:r>
        <w:rPr>
          <w:rFonts w:cstheme="minorHAnsi"/>
          <w:sz w:val="24"/>
          <w:szCs w:val="24"/>
        </w:rPr>
        <w:t>5</w:t>
      </w:r>
      <w:r w:rsidR="000517E7">
        <w:rPr>
          <w:rFonts w:cstheme="minorHAnsi"/>
          <w:sz w:val="24"/>
          <w:szCs w:val="24"/>
        </w:rPr>
        <w:t xml:space="preserve">.godine </w:t>
      </w:r>
      <w:r>
        <w:rPr>
          <w:rFonts w:cstheme="minorHAnsi"/>
          <w:sz w:val="24"/>
          <w:szCs w:val="24"/>
        </w:rPr>
        <w:t xml:space="preserve"> navedeni projekt </w:t>
      </w:r>
      <w:r w:rsidR="000517E7">
        <w:rPr>
          <w:rFonts w:cstheme="minorHAnsi"/>
          <w:sz w:val="24"/>
          <w:szCs w:val="24"/>
        </w:rPr>
        <w:t xml:space="preserve">realiziran je u iznosu od </w:t>
      </w:r>
      <w:r>
        <w:rPr>
          <w:rFonts w:cstheme="minorHAnsi"/>
          <w:sz w:val="24"/>
          <w:szCs w:val="24"/>
        </w:rPr>
        <w:t>953.420,48</w:t>
      </w:r>
      <w:r w:rsidR="000517E7">
        <w:rPr>
          <w:rFonts w:cstheme="minorHAnsi"/>
          <w:sz w:val="24"/>
          <w:szCs w:val="24"/>
        </w:rPr>
        <w:t xml:space="preserve"> eura ili </w:t>
      </w:r>
      <w:r>
        <w:rPr>
          <w:rFonts w:cstheme="minorHAnsi"/>
          <w:sz w:val="24"/>
          <w:szCs w:val="24"/>
        </w:rPr>
        <w:t>88,28</w:t>
      </w:r>
      <w:r w:rsidR="000517E7">
        <w:rPr>
          <w:rFonts w:cstheme="minorHAnsi"/>
          <w:sz w:val="24"/>
          <w:szCs w:val="24"/>
        </w:rPr>
        <w:t xml:space="preserve">% </w:t>
      </w:r>
      <w:r w:rsidR="000517E7" w:rsidRPr="00485C8F">
        <w:rPr>
          <w:rFonts w:cstheme="minorHAnsi"/>
          <w:sz w:val="24"/>
          <w:szCs w:val="24"/>
        </w:rPr>
        <w:t>plana i to za</w:t>
      </w:r>
      <w:r w:rsidR="000517E7" w:rsidRPr="00485C8F">
        <w:rPr>
          <w:sz w:val="24"/>
          <w:szCs w:val="24"/>
        </w:rPr>
        <w:t xml:space="preserve"> </w:t>
      </w:r>
      <w:r>
        <w:rPr>
          <w:sz w:val="24"/>
          <w:szCs w:val="24"/>
        </w:rPr>
        <w:t>radove, nadzor i koordinatora II</w:t>
      </w:r>
      <w:r w:rsidR="000517E7" w:rsidRPr="00485C8F">
        <w:rPr>
          <w:sz w:val="24"/>
          <w:szCs w:val="24"/>
        </w:rPr>
        <w:t xml:space="preserve"> </w:t>
      </w:r>
      <w:proofErr w:type="spellStart"/>
      <w:r w:rsidR="000517E7" w:rsidRPr="00485C8F">
        <w:rPr>
          <w:sz w:val="24"/>
          <w:szCs w:val="24"/>
        </w:rPr>
        <w:t>Brigi</w:t>
      </w:r>
      <w:proofErr w:type="spellEnd"/>
      <w:r w:rsidR="000517E7" w:rsidRPr="00485C8F">
        <w:rPr>
          <w:sz w:val="24"/>
          <w:szCs w:val="24"/>
        </w:rPr>
        <w:t>- Lokvice (dionica od parkirališta do malog mosta)</w:t>
      </w:r>
      <w:r w:rsidR="00485C8F" w:rsidRPr="00485C8F">
        <w:rPr>
          <w:sz w:val="24"/>
          <w:szCs w:val="24"/>
        </w:rPr>
        <w:t xml:space="preserve"> iznos od </w:t>
      </w:r>
      <w:r>
        <w:rPr>
          <w:sz w:val="24"/>
          <w:szCs w:val="24"/>
        </w:rPr>
        <w:t>745.305,91</w:t>
      </w:r>
      <w:r w:rsidR="00485C8F" w:rsidRPr="00485C8F">
        <w:rPr>
          <w:sz w:val="24"/>
          <w:szCs w:val="24"/>
        </w:rPr>
        <w:t xml:space="preserve"> eura </w:t>
      </w:r>
      <w:r w:rsidR="000517E7" w:rsidRPr="00485C8F">
        <w:rPr>
          <w:sz w:val="24"/>
          <w:szCs w:val="24"/>
        </w:rPr>
        <w:t xml:space="preserve"> </w:t>
      </w:r>
      <w:r w:rsidR="00485C8F" w:rsidRPr="00485C8F">
        <w:rPr>
          <w:sz w:val="24"/>
          <w:szCs w:val="24"/>
        </w:rPr>
        <w:t xml:space="preserve">i </w:t>
      </w:r>
      <w:r>
        <w:rPr>
          <w:sz w:val="24"/>
          <w:szCs w:val="24"/>
        </w:rPr>
        <w:t>208.114,57</w:t>
      </w:r>
      <w:r w:rsidR="00485C8F">
        <w:rPr>
          <w:sz w:val="24"/>
          <w:szCs w:val="24"/>
        </w:rPr>
        <w:t xml:space="preserve"> </w:t>
      </w:r>
      <w:r w:rsidR="000517E7" w:rsidRPr="00485C8F">
        <w:rPr>
          <w:sz w:val="24"/>
          <w:szCs w:val="24"/>
        </w:rPr>
        <w:t>eura za radove, stručni nadzor</w:t>
      </w:r>
      <w:r>
        <w:rPr>
          <w:sz w:val="24"/>
          <w:szCs w:val="24"/>
        </w:rPr>
        <w:t xml:space="preserve"> i zaštita na radu (dionica od športske luke do Pantana).</w:t>
      </w:r>
    </w:p>
    <w:p w14:paraId="79024E0C" w14:textId="77777777" w:rsidR="0021119B" w:rsidRPr="00485C8F" w:rsidRDefault="0021119B" w:rsidP="00485C8F">
      <w:pPr>
        <w:pStyle w:val="Bezproreda"/>
        <w:jc w:val="both"/>
        <w:rPr>
          <w:sz w:val="24"/>
          <w:szCs w:val="24"/>
        </w:rPr>
      </w:pPr>
    </w:p>
    <w:p w14:paraId="6E852E17" w14:textId="5FFA9146" w:rsidR="008113E4" w:rsidRPr="008113E4" w:rsidRDefault="00A96314" w:rsidP="008113E4">
      <w:pPr>
        <w:suppressAutoHyphens/>
        <w:spacing w:after="0" w:line="280" w:lineRule="exact"/>
        <w:jc w:val="both"/>
        <w:rPr>
          <w:rFonts w:eastAsia="Times New Roman" w:cstheme="minorHAnsi"/>
          <w:color w:val="000000"/>
          <w:sz w:val="24"/>
          <w:szCs w:val="24"/>
          <w:lang w:eastAsia="ar-SA"/>
        </w:rPr>
      </w:pPr>
      <w:r w:rsidRPr="00F92D5B">
        <w:rPr>
          <w:rFonts w:cstheme="minorHAnsi"/>
          <w:sz w:val="24"/>
          <w:szCs w:val="24"/>
          <w:u w:val="single"/>
        </w:rPr>
        <w:t>Kapitalni projekt Uređenje pojasa od trajektnog pristaništa do autobusnog kolodvora</w:t>
      </w:r>
      <w:r w:rsidR="008113E4">
        <w:rPr>
          <w:rFonts w:cstheme="minorHAnsi"/>
          <w:sz w:val="24"/>
          <w:szCs w:val="24"/>
          <w:u w:val="single"/>
        </w:rPr>
        <w:t>,</w:t>
      </w:r>
      <w:r w:rsidR="008113E4" w:rsidRPr="008113E4">
        <w:rPr>
          <w:rFonts w:eastAsia="Times New Roman" w:cstheme="minorHAnsi"/>
          <w:color w:val="000000"/>
          <w:lang w:eastAsia="ar-SA"/>
        </w:rPr>
        <w:t xml:space="preserve"> </w:t>
      </w:r>
      <w:r w:rsidR="008113E4">
        <w:rPr>
          <w:rFonts w:eastAsia="Times New Roman" w:cstheme="minorHAnsi"/>
          <w:color w:val="000000"/>
          <w:lang w:eastAsia="ar-SA"/>
        </w:rPr>
        <w:t>t</w:t>
      </w:r>
      <w:r w:rsidR="008113E4" w:rsidRPr="00DB0336">
        <w:rPr>
          <w:rFonts w:eastAsia="Times New Roman" w:cstheme="minorHAnsi"/>
          <w:color w:val="000000"/>
          <w:lang w:eastAsia="ar-SA"/>
        </w:rPr>
        <w:t xml:space="preserve">ijekom </w:t>
      </w:r>
      <w:r w:rsidR="008113E4" w:rsidRPr="008113E4">
        <w:rPr>
          <w:rFonts w:eastAsia="Times New Roman" w:cstheme="minorHAnsi"/>
          <w:color w:val="000000"/>
          <w:sz w:val="24"/>
          <w:szCs w:val="24"/>
          <w:lang w:eastAsia="ar-SA"/>
        </w:rPr>
        <w:t>2024. godine proveden je urbanističko-arhitektonski natječaj za uređenje kulturno-povijesne cjeline Solina i Travarice u Trogiru.</w:t>
      </w:r>
      <w:r w:rsidR="008113E4">
        <w:rPr>
          <w:rFonts w:eastAsia="Times New Roman" w:cstheme="minorHAnsi"/>
          <w:color w:val="000000"/>
          <w:sz w:val="24"/>
          <w:szCs w:val="24"/>
          <w:lang w:eastAsia="ar-SA"/>
        </w:rPr>
        <w:t xml:space="preserve"> </w:t>
      </w:r>
      <w:r w:rsidR="008113E4" w:rsidRPr="008113E4">
        <w:rPr>
          <w:rFonts w:eastAsia="Times New Roman" w:cstheme="minorHAnsi"/>
          <w:color w:val="000000"/>
          <w:sz w:val="24"/>
          <w:szCs w:val="24"/>
          <w:lang w:eastAsia="ar-SA"/>
        </w:rPr>
        <w:t>Kapitalni projekt u 2025. godini obuhvaća izradu projektno-tehničke dokumentacije koja se odnosi na izradu idejnog projekta za lokacijsku dozvolu (idejni arhitektonski projekt obuhvata, idejni projekt konstrukcije, idejni projekt termotehničkih instalacija, idejni projekt elektroinstalacija, idejni projekt vodovoda, odvodnje i hidrantske mreže), izradu glavnog projekta za ishođenje građevinske dozvole (glavni projekt arhitekture, glavni projekt konstrukcije, projekt racionalne uporabe energije i toplinske zaštite, projekt zaštite od buke, glavni projekt termotehničkih instalacija, glavni projekt elektroinstalacija, glavni projekt vodovoda, odvodnje i hidrantske mreže, glavni projekt dizala / podiznih platformi, elaborat zaštite od požara, elaborat zaštite na radu, projekt krajobrazne arhitekture, projekt navodnjavanja, projekt kuhinje), izvedbenog projekta (izvedbeni projekt arhitekture - sheme, detalji, urbana oprema, izvedbeni nacrti, izvedbeni projekt konstrukcije - planovi oplate i armature, detalji čeličnih / drvenih konstrukcija, dizajn signalizacijskog sustava i grafike u prostoru, izvedbeni projekt termotehničkih instalacija, izvedbeni projekt elektroinstalacija, izvedbeni projekt vodovoda, odvodnje), te troškovnike svih projektiranih radova i projektantskog nadzora.</w:t>
      </w:r>
      <w:r w:rsidR="00D70FD3">
        <w:rPr>
          <w:rFonts w:eastAsia="Times New Roman" w:cstheme="minorHAnsi"/>
          <w:color w:val="000000"/>
          <w:sz w:val="24"/>
          <w:szCs w:val="24"/>
          <w:lang w:eastAsia="ar-SA"/>
        </w:rPr>
        <w:t xml:space="preserve"> </w:t>
      </w:r>
      <w:r w:rsidR="008113E4" w:rsidRPr="008113E4">
        <w:rPr>
          <w:rFonts w:eastAsia="Times New Roman" w:cstheme="minorHAnsi"/>
          <w:color w:val="000000"/>
          <w:sz w:val="24"/>
          <w:szCs w:val="24"/>
          <w:lang w:eastAsia="ar-SA"/>
        </w:rPr>
        <w:t>Planirani zahvat je predviđen u Planu upravljanja pomorskim dobrom Grada Trogira za razdoblje 2024. - 2028. godine.</w:t>
      </w:r>
    </w:p>
    <w:p w14:paraId="0373A79E" w14:textId="06461262" w:rsidR="008113E4" w:rsidRDefault="00A96314" w:rsidP="006010B4">
      <w:pPr>
        <w:pStyle w:val="Bezproreda"/>
        <w:jc w:val="both"/>
        <w:rPr>
          <w:rFonts w:cstheme="minorHAnsi"/>
          <w:sz w:val="24"/>
          <w:szCs w:val="24"/>
          <w:u w:val="single"/>
        </w:rPr>
      </w:pPr>
      <w:r w:rsidRPr="00F92D5B">
        <w:rPr>
          <w:rFonts w:cstheme="minorHAnsi"/>
          <w:sz w:val="24"/>
          <w:szCs w:val="24"/>
          <w:u w:val="single"/>
        </w:rPr>
        <w:t xml:space="preserve"> </w:t>
      </w:r>
    </w:p>
    <w:p w14:paraId="1FE39FE7" w14:textId="71B4B7B1" w:rsidR="008113E4" w:rsidRDefault="00D70FD3" w:rsidP="006010B4">
      <w:pPr>
        <w:pStyle w:val="Bezproreda"/>
        <w:jc w:val="both"/>
        <w:rPr>
          <w:sz w:val="24"/>
          <w:szCs w:val="24"/>
        </w:rPr>
      </w:pPr>
      <w:r>
        <w:rPr>
          <w:sz w:val="24"/>
          <w:szCs w:val="24"/>
        </w:rPr>
        <w:lastRenderedPageBreak/>
        <w:t>K</w:t>
      </w:r>
      <w:r w:rsidR="00A96314" w:rsidRPr="00A96314">
        <w:rPr>
          <w:sz w:val="24"/>
          <w:szCs w:val="24"/>
        </w:rPr>
        <w:t xml:space="preserve">od ovog projekta imamo ostvarenje rashoda za </w:t>
      </w:r>
      <w:r w:rsidR="008113E4">
        <w:rPr>
          <w:sz w:val="24"/>
          <w:szCs w:val="24"/>
        </w:rPr>
        <w:t>izradu geodetskog elaborata evidentiranja kat. čestica za uređenje Solina i Travarice u iznosu od 3.562,50 eura  te za projektnu i studijsku dokumentaciju u iznosu od 54.112,50 eura.</w:t>
      </w:r>
    </w:p>
    <w:p w14:paraId="6B156650" w14:textId="32D759EA" w:rsidR="00A96314" w:rsidRDefault="00DD15FA" w:rsidP="006010B4">
      <w:pPr>
        <w:pStyle w:val="Bezproreda"/>
        <w:jc w:val="both"/>
        <w:rPr>
          <w:sz w:val="24"/>
          <w:szCs w:val="24"/>
        </w:rPr>
      </w:pPr>
      <w:r>
        <w:rPr>
          <w:sz w:val="24"/>
          <w:szCs w:val="24"/>
        </w:rPr>
        <w:t>Navedeni projekt bilježi u 202</w:t>
      </w:r>
      <w:r w:rsidR="008113E4">
        <w:rPr>
          <w:sz w:val="24"/>
          <w:szCs w:val="24"/>
        </w:rPr>
        <w:t>5</w:t>
      </w:r>
      <w:r>
        <w:rPr>
          <w:sz w:val="24"/>
          <w:szCs w:val="24"/>
        </w:rPr>
        <w:t xml:space="preserve">.godini realizaciju u ukupnom iznosu od </w:t>
      </w:r>
      <w:r w:rsidR="008113E4">
        <w:rPr>
          <w:sz w:val="24"/>
          <w:szCs w:val="24"/>
        </w:rPr>
        <w:t>57.925,00</w:t>
      </w:r>
      <w:r>
        <w:rPr>
          <w:sz w:val="24"/>
          <w:szCs w:val="24"/>
        </w:rPr>
        <w:t xml:space="preserve"> eura ili </w:t>
      </w:r>
      <w:r w:rsidR="008113E4">
        <w:rPr>
          <w:sz w:val="24"/>
          <w:szCs w:val="24"/>
        </w:rPr>
        <w:t>91,22</w:t>
      </w:r>
      <w:r>
        <w:rPr>
          <w:sz w:val="24"/>
          <w:szCs w:val="24"/>
        </w:rPr>
        <w:t>% plana.</w:t>
      </w:r>
    </w:p>
    <w:p w14:paraId="103670DC" w14:textId="77777777" w:rsidR="00D70FD3" w:rsidRDefault="00D70FD3" w:rsidP="00DD15FA">
      <w:pPr>
        <w:pStyle w:val="Bezproreda"/>
        <w:jc w:val="both"/>
        <w:rPr>
          <w:sz w:val="24"/>
          <w:szCs w:val="24"/>
        </w:rPr>
      </w:pPr>
    </w:p>
    <w:p w14:paraId="488F60F8" w14:textId="51E41761" w:rsidR="00DD15FA" w:rsidRDefault="00DD15FA" w:rsidP="0091349E">
      <w:pPr>
        <w:pStyle w:val="Bezproreda"/>
        <w:jc w:val="both"/>
        <w:rPr>
          <w:sz w:val="24"/>
          <w:szCs w:val="24"/>
        </w:rPr>
      </w:pPr>
      <w:r w:rsidRPr="009814A5">
        <w:rPr>
          <w:rFonts w:cstheme="minorHAnsi"/>
          <w:sz w:val="24"/>
          <w:szCs w:val="24"/>
          <w:u w:val="single"/>
          <w:lang w:eastAsia="hr-HR"/>
        </w:rPr>
        <w:t xml:space="preserve">Kapitalni projekt Izgradnja obalnog pojasa u </w:t>
      </w:r>
      <w:proofErr w:type="spellStart"/>
      <w:r w:rsidRPr="009814A5">
        <w:rPr>
          <w:rFonts w:cstheme="minorHAnsi"/>
          <w:sz w:val="24"/>
          <w:szCs w:val="24"/>
          <w:u w:val="single"/>
          <w:lang w:eastAsia="hr-HR"/>
        </w:rPr>
        <w:t>Saldunu</w:t>
      </w:r>
      <w:proofErr w:type="spellEnd"/>
      <w:r>
        <w:rPr>
          <w:rFonts w:cstheme="minorHAnsi"/>
          <w:sz w:val="24"/>
          <w:szCs w:val="24"/>
          <w:lang w:eastAsia="hr-HR"/>
        </w:rPr>
        <w:t xml:space="preserve"> koji je realiziran u iznosu od 31.875,00 eura ili </w:t>
      </w:r>
      <w:r w:rsidR="00D70FD3">
        <w:rPr>
          <w:rFonts w:cstheme="minorHAnsi"/>
          <w:sz w:val="24"/>
          <w:szCs w:val="24"/>
          <w:lang w:eastAsia="hr-HR"/>
        </w:rPr>
        <w:t>90,55</w:t>
      </w:r>
      <w:r>
        <w:rPr>
          <w:rFonts w:cstheme="minorHAnsi"/>
          <w:sz w:val="24"/>
          <w:szCs w:val="24"/>
          <w:lang w:eastAsia="hr-HR"/>
        </w:rPr>
        <w:t xml:space="preserve">% plana, a  </w:t>
      </w:r>
      <w:r w:rsidRPr="00435574">
        <w:rPr>
          <w:sz w:val="24"/>
          <w:szCs w:val="24"/>
        </w:rPr>
        <w:t xml:space="preserve">koji se odnosi na </w:t>
      </w:r>
      <w:r w:rsidR="00D70FD3">
        <w:rPr>
          <w:sz w:val="24"/>
          <w:szCs w:val="24"/>
        </w:rPr>
        <w:t>projektnu dokumentaciju uređenja nastavka obalnog pojasa i izgradnju</w:t>
      </w:r>
      <w:r>
        <w:rPr>
          <w:sz w:val="24"/>
          <w:szCs w:val="24"/>
        </w:rPr>
        <w:t>.</w:t>
      </w:r>
    </w:p>
    <w:p w14:paraId="34A315FA" w14:textId="77777777" w:rsidR="0091349E" w:rsidRDefault="0091349E" w:rsidP="0091349E">
      <w:pPr>
        <w:spacing w:line="240" w:lineRule="auto"/>
        <w:jc w:val="both"/>
        <w:rPr>
          <w:rFonts w:cstheme="minorHAnsi"/>
          <w:sz w:val="24"/>
          <w:szCs w:val="24"/>
          <w:u w:val="single"/>
        </w:rPr>
      </w:pPr>
    </w:p>
    <w:p w14:paraId="7D23CEEB" w14:textId="20B6B3FB" w:rsidR="000031FE" w:rsidRPr="0091349E" w:rsidRDefault="000031FE" w:rsidP="0091349E">
      <w:pPr>
        <w:suppressAutoHyphens/>
        <w:spacing w:after="0" w:line="280" w:lineRule="exact"/>
        <w:jc w:val="both"/>
        <w:rPr>
          <w:rFonts w:eastAsia="Times New Roman" w:cstheme="minorHAnsi"/>
          <w:color w:val="000000"/>
          <w:sz w:val="24"/>
          <w:szCs w:val="24"/>
          <w:lang w:eastAsia="ar-SA"/>
        </w:rPr>
      </w:pPr>
      <w:r w:rsidRPr="000031FE">
        <w:rPr>
          <w:rFonts w:cstheme="minorHAnsi"/>
          <w:sz w:val="24"/>
          <w:szCs w:val="24"/>
          <w:u w:val="single"/>
        </w:rPr>
        <w:t>Kapitalni projekt Provedba mjera prilagodbe klimatskim promjenama</w:t>
      </w:r>
      <w:r w:rsidRPr="000031FE">
        <w:rPr>
          <w:rFonts w:cstheme="minorHAnsi"/>
          <w:sz w:val="24"/>
          <w:szCs w:val="24"/>
        </w:rPr>
        <w:t xml:space="preserve"> ima cilj jačanja otpornosti urbanih područja  na antropogene pritiske uvjetovane klimatskim promjenama i to formiranjem novih zelenih površina, povećanjem površina pod krošnjama sadnjom pojedinačnih i grupe stabala te izgradnjom javnih slavina s zdravstveno ispravnom pitkom vodom. </w:t>
      </w:r>
      <w:r w:rsidR="0091349E" w:rsidRPr="0091349E">
        <w:rPr>
          <w:rFonts w:eastAsia="Times New Roman" w:cstheme="minorHAnsi"/>
          <w:color w:val="000000"/>
          <w:sz w:val="24"/>
          <w:szCs w:val="24"/>
          <w:lang w:eastAsia="ar-SA"/>
        </w:rPr>
        <w:t xml:space="preserve">Kroz ovaj projekt predviđena </w:t>
      </w:r>
      <w:r w:rsidR="0091349E">
        <w:rPr>
          <w:rFonts w:eastAsia="Times New Roman" w:cstheme="minorHAnsi"/>
          <w:color w:val="000000"/>
          <w:sz w:val="24"/>
          <w:szCs w:val="24"/>
          <w:lang w:eastAsia="ar-SA"/>
        </w:rPr>
        <w:t xml:space="preserve">je </w:t>
      </w:r>
      <w:r w:rsidR="0091349E" w:rsidRPr="0091349E">
        <w:rPr>
          <w:rFonts w:eastAsia="Times New Roman" w:cstheme="minorHAnsi"/>
          <w:color w:val="000000"/>
          <w:sz w:val="24"/>
          <w:szCs w:val="24"/>
          <w:lang w:eastAsia="ar-SA"/>
        </w:rPr>
        <w:t xml:space="preserve">sadnja stabala u mjesnom odboru </w:t>
      </w:r>
      <w:proofErr w:type="spellStart"/>
      <w:r w:rsidR="0091349E" w:rsidRPr="0091349E">
        <w:rPr>
          <w:rFonts w:eastAsia="Times New Roman" w:cstheme="minorHAnsi"/>
          <w:color w:val="000000"/>
          <w:sz w:val="24"/>
          <w:szCs w:val="24"/>
          <w:lang w:eastAsia="ar-SA"/>
        </w:rPr>
        <w:t>Plano</w:t>
      </w:r>
      <w:proofErr w:type="spellEnd"/>
      <w:r w:rsidR="0091349E" w:rsidRPr="0091349E">
        <w:rPr>
          <w:rFonts w:eastAsia="Times New Roman" w:cstheme="minorHAnsi"/>
          <w:color w:val="000000"/>
          <w:sz w:val="24"/>
          <w:szCs w:val="24"/>
          <w:lang w:eastAsia="ar-SA"/>
        </w:rPr>
        <w:t xml:space="preserve"> te izgradnja javne slavine u Parku prijateljstv</w:t>
      </w:r>
      <w:r w:rsidR="0091349E">
        <w:rPr>
          <w:rFonts w:eastAsia="Times New Roman" w:cstheme="minorHAnsi"/>
          <w:color w:val="000000"/>
          <w:sz w:val="24"/>
          <w:szCs w:val="24"/>
          <w:lang w:eastAsia="ar-SA"/>
        </w:rPr>
        <w:t xml:space="preserve">a. </w:t>
      </w:r>
      <w:r w:rsidRPr="000031FE">
        <w:rPr>
          <w:rFonts w:cstheme="minorHAnsi"/>
          <w:sz w:val="24"/>
          <w:szCs w:val="24"/>
        </w:rPr>
        <w:t>Za projekt ugovoreno sufinanciranje od strane Fonda za zaštitu okoliša i energetsku učinkovitost.</w:t>
      </w:r>
      <w:r w:rsidR="0091349E">
        <w:rPr>
          <w:rFonts w:cstheme="minorHAnsi"/>
          <w:sz w:val="24"/>
          <w:szCs w:val="24"/>
        </w:rPr>
        <w:t xml:space="preserve"> Tijekom 2025. godine planiralo se završiti radove temeljem potpisanog Ugovora o sufinanciranju s FZOEU te prijaviti nove aktivnosti </w:t>
      </w:r>
      <w:r w:rsidR="0091349E" w:rsidRPr="0091349E">
        <w:rPr>
          <w:rFonts w:eastAsia="Times New Roman" w:cstheme="minorHAnsi"/>
          <w:color w:val="000000"/>
          <w:sz w:val="24"/>
          <w:szCs w:val="24"/>
          <w:lang w:eastAsia="ar-SA"/>
        </w:rPr>
        <w:t>na Javni poziv FZOEU za 2025. godinu.</w:t>
      </w:r>
      <w:r w:rsidR="0091349E">
        <w:rPr>
          <w:rFonts w:eastAsia="Times New Roman" w:cstheme="minorHAnsi"/>
          <w:color w:val="000000"/>
          <w:sz w:val="24"/>
          <w:szCs w:val="24"/>
          <w:lang w:eastAsia="ar-SA"/>
        </w:rPr>
        <w:t xml:space="preserve"> </w:t>
      </w:r>
      <w:r w:rsidRPr="000031FE">
        <w:rPr>
          <w:rFonts w:cstheme="minorHAnsi"/>
          <w:sz w:val="24"/>
          <w:szCs w:val="24"/>
        </w:rPr>
        <w:t>Planirana sredstva kroz navedeni projekt za 202</w:t>
      </w:r>
      <w:r w:rsidR="0091349E">
        <w:rPr>
          <w:rFonts w:cstheme="minorHAnsi"/>
          <w:sz w:val="24"/>
          <w:szCs w:val="24"/>
        </w:rPr>
        <w:t>5</w:t>
      </w:r>
      <w:r w:rsidRPr="000031FE">
        <w:rPr>
          <w:rFonts w:cstheme="minorHAnsi"/>
          <w:sz w:val="24"/>
          <w:szCs w:val="24"/>
        </w:rPr>
        <w:t xml:space="preserve">.godinu iznosila su </w:t>
      </w:r>
      <w:r w:rsidR="0091349E">
        <w:rPr>
          <w:rFonts w:cstheme="minorHAnsi"/>
          <w:sz w:val="24"/>
          <w:szCs w:val="24"/>
        </w:rPr>
        <w:t>30.350,00</w:t>
      </w:r>
      <w:r w:rsidRPr="000031FE">
        <w:rPr>
          <w:rFonts w:cstheme="minorHAnsi"/>
          <w:sz w:val="24"/>
          <w:szCs w:val="24"/>
        </w:rPr>
        <w:t xml:space="preserve"> eura, a realizirano je </w:t>
      </w:r>
      <w:r w:rsidR="0091349E">
        <w:rPr>
          <w:rFonts w:cstheme="minorHAnsi"/>
          <w:sz w:val="24"/>
          <w:szCs w:val="24"/>
        </w:rPr>
        <w:t>30.338,88</w:t>
      </w:r>
      <w:r w:rsidRPr="000031FE">
        <w:rPr>
          <w:rFonts w:cstheme="minorHAnsi"/>
          <w:sz w:val="24"/>
          <w:szCs w:val="24"/>
        </w:rPr>
        <w:t xml:space="preserve"> eura ili </w:t>
      </w:r>
      <w:r w:rsidR="0091349E">
        <w:rPr>
          <w:rFonts w:cstheme="minorHAnsi"/>
          <w:sz w:val="24"/>
          <w:szCs w:val="24"/>
        </w:rPr>
        <w:t>99,96</w:t>
      </w:r>
      <w:r w:rsidRPr="000031FE">
        <w:rPr>
          <w:rFonts w:cstheme="minorHAnsi"/>
          <w:sz w:val="24"/>
          <w:szCs w:val="24"/>
        </w:rPr>
        <w:t xml:space="preserve"> % plana i odnosi se na sadnju </w:t>
      </w:r>
      <w:r w:rsidRPr="000031FE">
        <w:rPr>
          <w:color w:val="000000"/>
          <w:sz w:val="24"/>
          <w:szCs w:val="24"/>
        </w:rPr>
        <w:t>stabala radi prilagodbe klimatskim promjenama</w:t>
      </w:r>
      <w:r w:rsidR="0091349E">
        <w:rPr>
          <w:color w:val="000000"/>
          <w:sz w:val="24"/>
          <w:szCs w:val="24"/>
        </w:rPr>
        <w:t xml:space="preserve"> i izgradnju javnih slavina</w:t>
      </w:r>
      <w:r w:rsidRPr="000031FE">
        <w:rPr>
          <w:color w:val="000000"/>
          <w:sz w:val="24"/>
          <w:szCs w:val="24"/>
        </w:rPr>
        <w:t>.</w:t>
      </w:r>
    </w:p>
    <w:p w14:paraId="177B8B4E" w14:textId="77777777" w:rsidR="0091349E" w:rsidRDefault="0091349E" w:rsidP="009D567E">
      <w:pPr>
        <w:pStyle w:val="Bezproreda"/>
        <w:jc w:val="both"/>
        <w:rPr>
          <w:sz w:val="24"/>
          <w:szCs w:val="24"/>
          <w:u w:val="single"/>
        </w:rPr>
      </w:pPr>
    </w:p>
    <w:p w14:paraId="5199DA5D" w14:textId="5118E340" w:rsidR="009D567E" w:rsidRPr="008805DF" w:rsidRDefault="009D567E" w:rsidP="0091349E">
      <w:pPr>
        <w:suppressAutoHyphens/>
        <w:spacing w:after="0" w:line="280" w:lineRule="exact"/>
        <w:jc w:val="both"/>
        <w:rPr>
          <w:rFonts w:eastAsia="Times New Roman" w:cstheme="minorHAnsi"/>
          <w:color w:val="000000"/>
          <w:sz w:val="24"/>
          <w:szCs w:val="24"/>
          <w:lang w:eastAsia="ar-SA"/>
        </w:rPr>
      </w:pPr>
      <w:r w:rsidRPr="009814A5">
        <w:rPr>
          <w:sz w:val="24"/>
          <w:szCs w:val="24"/>
          <w:u w:val="single"/>
        </w:rPr>
        <w:t xml:space="preserve">Kapitalni projekt </w:t>
      </w:r>
      <w:proofErr w:type="spellStart"/>
      <w:r w:rsidRPr="009814A5">
        <w:rPr>
          <w:sz w:val="24"/>
          <w:szCs w:val="24"/>
          <w:u w:val="single"/>
        </w:rPr>
        <w:t>Dužobalna</w:t>
      </w:r>
      <w:proofErr w:type="spellEnd"/>
      <w:r w:rsidRPr="009814A5">
        <w:rPr>
          <w:sz w:val="24"/>
          <w:szCs w:val="24"/>
          <w:u w:val="single"/>
        </w:rPr>
        <w:t xml:space="preserve"> biciklistička staza i šetnica na području </w:t>
      </w:r>
      <w:proofErr w:type="spellStart"/>
      <w:r w:rsidRPr="009814A5">
        <w:rPr>
          <w:sz w:val="24"/>
          <w:szCs w:val="24"/>
          <w:u w:val="single"/>
        </w:rPr>
        <w:t>Brigi</w:t>
      </w:r>
      <w:proofErr w:type="spellEnd"/>
      <w:r w:rsidRPr="009814A5">
        <w:rPr>
          <w:sz w:val="24"/>
          <w:szCs w:val="24"/>
          <w:u w:val="single"/>
        </w:rPr>
        <w:t xml:space="preserve">-Lokvice </w:t>
      </w:r>
      <w:r>
        <w:rPr>
          <w:sz w:val="24"/>
          <w:szCs w:val="24"/>
          <w:u w:val="single"/>
        </w:rPr>
        <w:t>,</w:t>
      </w:r>
      <w:r w:rsidRPr="009814A5">
        <w:rPr>
          <w:rFonts w:ascii="Arial Narrow" w:hAnsi="Arial Narrow" w:cs="Arial"/>
        </w:rPr>
        <w:t xml:space="preserve"> </w:t>
      </w:r>
      <w:r w:rsidRPr="009814A5">
        <w:rPr>
          <w:rFonts w:cs="Calibri"/>
          <w:sz w:val="24"/>
          <w:szCs w:val="24"/>
        </w:rPr>
        <w:t xml:space="preserve">odnosi se na projekt uređenje dijela obalnog pojasa </w:t>
      </w:r>
      <w:proofErr w:type="spellStart"/>
      <w:r w:rsidRPr="009814A5">
        <w:rPr>
          <w:rFonts w:cs="Calibri"/>
          <w:sz w:val="24"/>
          <w:szCs w:val="24"/>
        </w:rPr>
        <w:t>Brigi</w:t>
      </w:r>
      <w:proofErr w:type="spellEnd"/>
      <w:r w:rsidRPr="009814A5">
        <w:rPr>
          <w:rFonts w:cs="Calibri"/>
          <w:sz w:val="24"/>
          <w:szCs w:val="24"/>
        </w:rPr>
        <w:t xml:space="preserve">-Lokvice u Trogiru i to uporabna cjelina 1 u duljini od 310 m (glavnim projektom ostavljena mogućnost ishođenja uporabne dozvole za dijelove predmetne građevine odnosno sam glavni projekt je  </w:t>
      </w:r>
      <w:proofErr w:type="spellStart"/>
      <w:r w:rsidRPr="009814A5">
        <w:rPr>
          <w:rFonts w:cs="Calibri"/>
          <w:sz w:val="24"/>
          <w:szCs w:val="24"/>
        </w:rPr>
        <w:t>podjeljen</w:t>
      </w:r>
      <w:proofErr w:type="spellEnd"/>
      <w:r w:rsidRPr="009814A5">
        <w:rPr>
          <w:rFonts w:cs="Calibri"/>
          <w:sz w:val="24"/>
          <w:szCs w:val="24"/>
        </w:rPr>
        <w:t xml:space="preserve"> u više uporabnih cjelina). Glavni projekt obuhvaća </w:t>
      </w:r>
      <w:proofErr w:type="spellStart"/>
      <w:r w:rsidRPr="009814A5">
        <w:rPr>
          <w:rFonts w:cs="Calibri"/>
          <w:sz w:val="24"/>
          <w:szCs w:val="24"/>
        </w:rPr>
        <w:t>dužobalni</w:t>
      </w:r>
      <w:proofErr w:type="spellEnd"/>
      <w:r w:rsidRPr="009814A5">
        <w:rPr>
          <w:rFonts w:cs="Calibri"/>
          <w:sz w:val="24"/>
          <w:szCs w:val="24"/>
        </w:rPr>
        <w:t xml:space="preserve"> dio od lukobrana športske lučice </w:t>
      </w:r>
      <w:proofErr w:type="spellStart"/>
      <w:r w:rsidRPr="009814A5">
        <w:rPr>
          <w:rFonts w:cs="Calibri"/>
          <w:sz w:val="24"/>
          <w:szCs w:val="24"/>
        </w:rPr>
        <w:t>Brigi</w:t>
      </w:r>
      <w:proofErr w:type="spellEnd"/>
      <w:r w:rsidRPr="009814A5">
        <w:rPr>
          <w:rFonts w:cs="Calibri"/>
          <w:sz w:val="24"/>
          <w:szCs w:val="24"/>
        </w:rPr>
        <w:t xml:space="preserve">-Lokvice do područja Pantane.  Arhitektonskim projektom definiran je koncept uređenja </w:t>
      </w:r>
      <w:proofErr w:type="spellStart"/>
      <w:r w:rsidRPr="009814A5">
        <w:rPr>
          <w:rFonts w:cs="Calibri"/>
          <w:sz w:val="24"/>
          <w:szCs w:val="24"/>
        </w:rPr>
        <w:t>dužobalnog</w:t>
      </w:r>
      <w:proofErr w:type="spellEnd"/>
      <w:r w:rsidRPr="009814A5">
        <w:rPr>
          <w:rFonts w:cs="Calibri"/>
          <w:sz w:val="24"/>
          <w:szCs w:val="24"/>
        </w:rPr>
        <w:t xml:space="preserve"> pojasa koji obuhvaća poploč</w:t>
      </w:r>
      <w:r>
        <w:rPr>
          <w:rFonts w:cs="Calibri"/>
          <w:sz w:val="24"/>
          <w:szCs w:val="24"/>
        </w:rPr>
        <w:t>av</w:t>
      </w:r>
      <w:r w:rsidRPr="009814A5">
        <w:rPr>
          <w:rFonts w:cs="Calibri"/>
          <w:sz w:val="24"/>
          <w:szCs w:val="24"/>
        </w:rPr>
        <w:t>anje šetnice i biciklističke staze, zelene zone i opremu (klupe, tuševi i sl.). Zbog nepravilne linije obale i granice prema susjednim parcelama širina šetnice varira pa su tako nastala četiri veća proširenja</w:t>
      </w:r>
      <w:r>
        <w:rPr>
          <w:rFonts w:cs="Calibri"/>
          <w:sz w:val="24"/>
          <w:szCs w:val="24"/>
        </w:rPr>
        <w:t xml:space="preserve">. </w:t>
      </w:r>
      <w:r w:rsidRPr="009814A5">
        <w:rPr>
          <w:rFonts w:cstheme="minorHAnsi"/>
          <w:sz w:val="24"/>
          <w:szCs w:val="24"/>
        </w:rPr>
        <w:t xml:space="preserve">Projekt se nalazi na listi strateških projekata urbane </w:t>
      </w:r>
      <w:r w:rsidRPr="0014452B">
        <w:rPr>
          <w:rFonts w:cstheme="minorHAnsi"/>
          <w:sz w:val="24"/>
          <w:szCs w:val="24"/>
        </w:rPr>
        <w:t>aglomeracije Split za financiranje putem ITU mehanizma</w:t>
      </w:r>
      <w:r w:rsidR="0091349E">
        <w:rPr>
          <w:rFonts w:cstheme="minorHAnsi"/>
          <w:sz w:val="24"/>
          <w:szCs w:val="24"/>
        </w:rPr>
        <w:t>.</w:t>
      </w:r>
      <w:r w:rsidR="0091349E" w:rsidRPr="0091349E">
        <w:rPr>
          <w:rFonts w:eastAsia="Times New Roman" w:cstheme="minorHAnsi"/>
          <w:lang w:eastAsia="ar-SA"/>
        </w:rPr>
        <w:t xml:space="preserve"> </w:t>
      </w:r>
      <w:r w:rsidR="0091349E" w:rsidRPr="0091349E">
        <w:rPr>
          <w:rFonts w:eastAsia="Times New Roman" w:cstheme="minorHAnsi"/>
          <w:sz w:val="24"/>
          <w:szCs w:val="24"/>
          <w:lang w:eastAsia="ar-SA"/>
        </w:rPr>
        <w:t>Za predmetni projekt je potpisan Ugovor o dodjeli bespovratnih sredstava za projekte koji se financiraju iz „Integriranog teritorijalnog programa“ u financijskom razdoblju 2021.-2027. kojom se Gradu Trogiru dodjeljuju bespovratna sredstva u iznosu od 1.400.000,00 EUR-a (56 % prihvatljivih troškova) te se financira iz Europskog fonda za regionalni razvoj</w:t>
      </w:r>
      <w:r w:rsidR="0091349E">
        <w:rPr>
          <w:rFonts w:eastAsia="Times New Roman" w:cstheme="minorHAnsi"/>
          <w:sz w:val="24"/>
          <w:szCs w:val="24"/>
          <w:lang w:eastAsia="ar-SA"/>
        </w:rPr>
        <w:t xml:space="preserve">. </w:t>
      </w:r>
      <w:r w:rsidR="0091349E" w:rsidRPr="0091349E">
        <w:rPr>
          <w:rFonts w:eastAsia="Times New Roman" w:cstheme="minorHAnsi"/>
          <w:sz w:val="24"/>
          <w:szCs w:val="24"/>
          <w:lang w:eastAsia="ar-SA"/>
        </w:rPr>
        <w:t xml:space="preserve">Isto tako je potpisan Ugovor o sufinanciranju provedbe EU projekta s Ministarstvom regionalnog razvoja i fondova Europske unije kojim se korisniku dodjeljuju bespovratna sredstva u najvišem iznosu </w:t>
      </w:r>
      <w:r w:rsidR="0091349E">
        <w:rPr>
          <w:rFonts w:eastAsia="Times New Roman" w:cstheme="minorHAnsi"/>
          <w:sz w:val="24"/>
          <w:szCs w:val="24"/>
          <w:lang w:eastAsia="ar-SA"/>
        </w:rPr>
        <w:t>do</w:t>
      </w:r>
      <w:r w:rsidR="0091349E" w:rsidRPr="0091349E">
        <w:rPr>
          <w:rFonts w:eastAsia="Times New Roman" w:cstheme="minorHAnsi"/>
          <w:sz w:val="24"/>
          <w:szCs w:val="24"/>
          <w:lang w:eastAsia="ar-SA"/>
        </w:rPr>
        <w:t xml:space="preserve"> 550.000,00 EUR kao i </w:t>
      </w:r>
      <w:r w:rsidR="0091349E" w:rsidRPr="0091349E">
        <w:rPr>
          <w:rFonts w:eastAsia="Times New Roman" w:cstheme="minorHAnsi"/>
          <w:color w:val="000000"/>
          <w:sz w:val="24"/>
          <w:szCs w:val="24"/>
          <w:lang w:eastAsia="ar-SA"/>
        </w:rPr>
        <w:t>Ugovor o sufinanciranje kapitalnih projekata na pomorskom dobru sa SDŽ-om.</w:t>
      </w:r>
      <w:r w:rsidR="0091349E" w:rsidRPr="0091349E">
        <w:rPr>
          <w:rFonts w:eastAsia="Times New Roman" w:cstheme="minorHAnsi"/>
          <w:color w:val="000000"/>
          <w:lang w:eastAsia="ar-SA"/>
        </w:rPr>
        <w:t xml:space="preserve"> </w:t>
      </w:r>
      <w:r w:rsidR="0091349E" w:rsidRPr="0091349E">
        <w:rPr>
          <w:rFonts w:eastAsia="Times New Roman" w:cstheme="minorHAnsi"/>
          <w:color w:val="000000"/>
          <w:sz w:val="24"/>
          <w:szCs w:val="24"/>
          <w:lang w:eastAsia="ar-SA"/>
        </w:rPr>
        <w:t>Planirani zahvat je predviđen u Planu upravljanja pomorskim dobrom Grada Trogira za razdoblje 2024. - 2028. godine.</w:t>
      </w:r>
      <w:r w:rsidR="0091349E">
        <w:rPr>
          <w:rFonts w:eastAsia="Times New Roman" w:cstheme="minorHAnsi"/>
          <w:color w:val="000000"/>
          <w:sz w:val="24"/>
          <w:szCs w:val="24"/>
          <w:lang w:eastAsia="ar-SA"/>
        </w:rPr>
        <w:t xml:space="preserve"> Po</w:t>
      </w:r>
      <w:r w:rsidRPr="0014452B">
        <w:rPr>
          <w:rFonts w:cstheme="minorHAnsi"/>
          <w:sz w:val="24"/>
          <w:szCs w:val="24"/>
        </w:rPr>
        <w:t xml:space="preserve"> ovom projektu imamo realizaciju u iznosu od </w:t>
      </w:r>
      <w:r w:rsidR="0091349E">
        <w:rPr>
          <w:rFonts w:cstheme="minorHAnsi"/>
          <w:sz w:val="24"/>
          <w:szCs w:val="24"/>
        </w:rPr>
        <w:t>201.554,50</w:t>
      </w:r>
      <w:r w:rsidRPr="0014452B">
        <w:rPr>
          <w:rFonts w:cstheme="minorHAnsi"/>
          <w:sz w:val="24"/>
          <w:szCs w:val="24"/>
        </w:rPr>
        <w:t xml:space="preserve"> eura ili </w:t>
      </w:r>
      <w:r w:rsidR="0091349E">
        <w:rPr>
          <w:rFonts w:cstheme="minorHAnsi"/>
          <w:sz w:val="24"/>
          <w:szCs w:val="24"/>
        </w:rPr>
        <w:t>73,29</w:t>
      </w:r>
      <w:r w:rsidRPr="0014452B">
        <w:rPr>
          <w:rFonts w:cstheme="minorHAnsi"/>
          <w:sz w:val="24"/>
          <w:szCs w:val="24"/>
        </w:rPr>
        <w:t xml:space="preserve">% plana i to </w:t>
      </w:r>
      <w:r w:rsidRPr="008805DF">
        <w:rPr>
          <w:rFonts w:cstheme="minorHAnsi"/>
          <w:sz w:val="24"/>
          <w:szCs w:val="24"/>
        </w:rPr>
        <w:t>za iz</w:t>
      </w:r>
      <w:r w:rsidR="0091349E" w:rsidRPr="008805DF">
        <w:rPr>
          <w:rFonts w:cstheme="minorHAnsi"/>
          <w:sz w:val="24"/>
          <w:szCs w:val="24"/>
        </w:rPr>
        <w:t xml:space="preserve">gradnju obalnog pojasa biciklističke staze i šetnice od </w:t>
      </w:r>
      <w:r w:rsidR="008805DF" w:rsidRPr="008805DF">
        <w:rPr>
          <w:rFonts w:eastAsia="Times New Roman" w:cstheme="minorHAnsi"/>
          <w:color w:val="000000"/>
          <w:sz w:val="24"/>
          <w:szCs w:val="24"/>
          <w:lang w:eastAsia="ar-SA"/>
        </w:rPr>
        <w:t xml:space="preserve">lukobrana športske luke </w:t>
      </w:r>
      <w:proofErr w:type="spellStart"/>
      <w:r w:rsidR="008805DF" w:rsidRPr="008805DF">
        <w:rPr>
          <w:rFonts w:eastAsia="Times New Roman" w:cstheme="minorHAnsi"/>
          <w:color w:val="000000"/>
          <w:sz w:val="24"/>
          <w:szCs w:val="24"/>
          <w:lang w:eastAsia="ar-SA"/>
        </w:rPr>
        <w:t>Brigi</w:t>
      </w:r>
      <w:proofErr w:type="spellEnd"/>
      <w:r w:rsidR="008805DF" w:rsidRPr="008805DF">
        <w:rPr>
          <w:rFonts w:eastAsia="Times New Roman" w:cstheme="minorHAnsi"/>
          <w:color w:val="000000"/>
          <w:sz w:val="24"/>
          <w:szCs w:val="24"/>
          <w:lang w:eastAsia="ar-SA"/>
        </w:rPr>
        <w:t xml:space="preserve"> Lokvice do zapadnog ruba Pastoralnog centra.</w:t>
      </w:r>
    </w:p>
    <w:p w14:paraId="026206A5" w14:textId="77777777" w:rsidR="0091349E" w:rsidRDefault="0091349E" w:rsidP="009D567E">
      <w:pPr>
        <w:pStyle w:val="Bezproreda"/>
        <w:jc w:val="both"/>
      </w:pPr>
    </w:p>
    <w:p w14:paraId="22D72156" w14:textId="79C76F19" w:rsidR="005D1B8F" w:rsidRPr="005D1B8F" w:rsidRDefault="008B09AB" w:rsidP="005D1B8F">
      <w:pPr>
        <w:spacing w:after="0" w:line="240" w:lineRule="auto"/>
        <w:jc w:val="both"/>
        <w:rPr>
          <w:sz w:val="24"/>
          <w:szCs w:val="24"/>
        </w:rPr>
      </w:pPr>
      <w:r w:rsidRPr="0014452B">
        <w:rPr>
          <w:rFonts w:cstheme="minorHAnsi"/>
          <w:sz w:val="24"/>
          <w:szCs w:val="24"/>
          <w:u w:val="single"/>
        </w:rPr>
        <w:t>Kapitalni projekt Izgradnja javne rasvjete</w:t>
      </w:r>
      <w:r>
        <w:rPr>
          <w:rFonts w:cstheme="minorHAnsi"/>
          <w:sz w:val="24"/>
          <w:szCs w:val="24"/>
        </w:rPr>
        <w:t xml:space="preserve">, odnosi se </w:t>
      </w:r>
      <w:r w:rsidRPr="0014452B">
        <w:rPr>
          <w:rFonts w:cstheme="minorHAnsi"/>
          <w:sz w:val="24"/>
          <w:szCs w:val="24"/>
          <w:lang w:eastAsia="zh-CN"/>
        </w:rPr>
        <w:t xml:space="preserve">na izgradnju nove energetski učinkovite javne rasvjete na području grada. </w:t>
      </w:r>
      <w:r w:rsidRPr="0014452B">
        <w:rPr>
          <w:rFonts w:cstheme="minorHAnsi"/>
          <w:sz w:val="24"/>
          <w:szCs w:val="24"/>
          <w:lang w:eastAsia="hr-HR"/>
        </w:rPr>
        <w:t xml:space="preserve">U okviru ove projekta provesti će se i izgradnja javne rasvjete </w:t>
      </w:r>
      <w:r w:rsidR="008805DF">
        <w:rPr>
          <w:rFonts w:cstheme="minorHAnsi"/>
          <w:sz w:val="24"/>
          <w:szCs w:val="24"/>
          <w:lang w:eastAsia="hr-HR"/>
        </w:rPr>
        <w:t>na području cijelog grada (sukladno potrebama) te u mjesnom odboru Drvenik Mali, a</w:t>
      </w:r>
      <w:r w:rsidRPr="0014452B">
        <w:rPr>
          <w:rFonts w:cstheme="minorHAnsi"/>
          <w:sz w:val="24"/>
          <w:szCs w:val="24"/>
          <w:lang w:eastAsia="hr-HR"/>
        </w:rPr>
        <w:t xml:space="preserve"> u sklopu projekta „I tebe se pita!", odnosno participativnog budžetiranja - projekta koji podrazumijeva </w:t>
      </w:r>
      <w:r w:rsidRPr="0014452B">
        <w:rPr>
          <w:rFonts w:cstheme="minorHAnsi"/>
          <w:sz w:val="24"/>
          <w:szCs w:val="24"/>
          <w:lang w:eastAsia="hr-HR"/>
        </w:rPr>
        <w:lastRenderedPageBreak/>
        <w:t>davanje građanima na raspolaganje jednog dijela proračuna, tako da sami predlažu i sami glasuju o projektima koje žele realizirati u svojim kvartovima.</w:t>
      </w:r>
      <w:r>
        <w:rPr>
          <w:rFonts w:cstheme="minorHAnsi"/>
          <w:sz w:val="24"/>
          <w:szCs w:val="24"/>
          <w:lang w:eastAsia="hr-HR"/>
        </w:rPr>
        <w:t xml:space="preserve"> Po ovom projektu realizirano je </w:t>
      </w:r>
      <w:r w:rsidR="008805DF">
        <w:rPr>
          <w:rFonts w:cstheme="minorHAnsi"/>
          <w:sz w:val="24"/>
          <w:szCs w:val="24"/>
          <w:lang w:eastAsia="hr-HR"/>
        </w:rPr>
        <w:t>127.821,38</w:t>
      </w:r>
      <w:r>
        <w:rPr>
          <w:rFonts w:cstheme="minorHAnsi"/>
          <w:sz w:val="24"/>
          <w:szCs w:val="24"/>
          <w:lang w:eastAsia="hr-HR"/>
        </w:rPr>
        <w:t xml:space="preserve"> eura</w:t>
      </w:r>
      <w:r w:rsidR="008805DF">
        <w:rPr>
          <w:rFonts w:cstheme="minorHAnsi"/>
          <w:sz w:val="24"/>
          <w:szCs w:val="24"/>
          <w:lang w:eastAsia="hr-HR"/>
        </w:rPr>
        <w:t xml:space="preserve"> ili 94,76% plana</w:t>
      </w:r>
      <w:r w:rsidR="005D1B8F">
        <w:rPr>
          <w:rFonts w:cstheme="minorHAnsi"/>
          <w:sz w:val="24"/>
          <w:szCs w:val="24"/>
          <w:lang w:eastAsia="hr-HR"/>
        </w:rPr>
        <w:t xml:space="preserve"> i to za izgradnju javne rasvjete </w:t>
      </w:r>
      <w:r w:rsidR="005D1B8F" w:rsidRPr="005D1B8F">
        <w:rPr>
          <w:rFonts w:cstheme="minorHAnsi"/>
          <w:sz w:val="24"/>
          <w:szCs w:val="24"/>
          <w:lang w:eastAsia="hr-HR"/>
        </w:rPr>
        <w:t>(</w:t>
      </w:r>
      <w:r w:rsidR="005D1B8F" w:rsidRPr="005D1B8F">
        <w:rPr>
          <w:sz w:val="24"/>
          <w:szCs w:val="24"/>
        </w:rPr>
        <w:t xml:space="preserve"> u ulici Cesta </w:t>
      </w:r>
      <w:proofErr w:type="spellStart"/>
      <w:r w:rsidR="005D1B8F" w:rsidRPr="005D1B8F">
        <w:rPr>
          <w:sz w:val="24"/>
          <w:szCs w:val="24"/>
        </w:rPr>
        <w:t>Plano</w:t>
      </w:r>
      <w:proofErr w:type="spellEnd"/>
      <w:r w:rsidR="005D1B8F" w:rsidRPr="005D1B8F">
        <w:rPr>
          <w:sz w:val="24"/>
          <w:szCs w:val="24"/>
        </w:rPr>
        <w:t>, u ulici Ante Starčevića, put sv.</w:t>
      </w:r>
      <w:r w:rsidR="00D642B6">
        <w:rPr>
          <w:sz w:val="24"/>
          <w:szCs w:val="24"/>
        </w:rPr>
        <w:t xml:space="preserve"> </w:t>
      </w:r>
      <w:r w:rsidR="005D1B8F" w:rsidRPr="005D1B8F">
        <w:rPr>
          <w:sz w:val="24"/>
          <w:szCs w:val="24"/>
        </w:rPr>
        <w:t>Marte, Put Mulina, u ulici Rimski put,</w:t>
      </w:r>
      <w:r w:rsidR="00D642B6">
        <w:rPr>
          <w:sz w:val="24"/>
          <w:szCs w:val="24"/>
        </w:rPr>
        <w:t xml:space="preserve"> </w:t>
      </w:r>
      <w:r w:rsidR="005D1B8F" w:rsidRPr="005D1B8F">
        <w:rPr>
          <w:sz w:val="24"/>
          <w:szCs w:val="24"/>
        </w:rPr>
        <w:t xml:space="preserve">cesta </w:t>
      </w:r>
      <w:proofErr w:type="spellStart"/>
      <w:r w:rsidR="005D1B8F" w:rsidRPr="005D1B8F">
        <w:rPr>
          <w:sz w:val="24"/>
          <w:szCs w:val="24"/>
        </w:rPr>
        <w:t>Divulje</w:t>
      </w:r>
      <w:proofErr w:type="spellEnd"/>
      <w:r w:rsidR="005D1B8F" w:rsidRPr="005D1B8F">
        <w:rPr>
          <w:sz w:val="24"/>
          <w:szCs w:val="24"/>
        </w:rPr>
        <w:t xml:space="preserve">, u Žednome, u naselju </w:t>
      </w:r>
      <w:proofErr w:type="spellStart"/>
      <w:r w:rsidR="005D1B8F" w:rsidRPr="005D1B8F">
        <w:rPr>
          <w:sz w:val="24"/>
          <w:szCs w:val="24"/>
        </w:rPr>
        <w:t>Plano</w:t>
      </w:r>
      <w:proofErr w:type="spellEnd"/>
      <w:r w:rsidR="005D1B8F" w:rsidRPr="005D1B8F">
        <w:rPr>
          <w:sz w:val="24"/>
          <w:szCs w:val="24"/>
        </w:rPr>
        <w:t xml:space="preserve">, u ulici Blaža Jurjeva Trogiranina, u naselju </w:t>
      </w:r>
      <w:proofErr w:type="spellStart"/>
      <w:r w:rsidR="005D1B8F" w:rsidRPr="005D1B8F">
        <w:rPr>
          <w:sz w:val="24"/>
          <w:szCs w:val="24"/>
        </w:rPr>
        <w:t>Miševac</w:t>
      </w:r>
      <w:proofErr w:type="spellEnd"/>
      <w:r w:rsidR="005D1B8F" w:rsidRPr="005D1B8F">
        <w:rPr>
          <w:sz w:val="24"/>
          <w:szCs w:val="24"/>
        </w:rPr>
        <w:t xml:space="preserve">, u ulici Gospe kraj mora, naselju </w:t>
      </w:r>
      <w:proofErr w:type="spellStart"/>
      <w:r w:rsidR="005D1B8F" w:rsidRPr="005D1B8F">
        <w:rPr>
          <w:sz w:val="24"/>
          <w:szCs w:val="24"/>
        </w:rPr>
        <w:t>Bilin</w:t>
      </w:r>
      <w:proofErr w:type="spellEnd"/>
      <w:r w:rsidR="005D1B8F" w:rsidRPr="005D1B8F">
        <w:rPr>
          <w:sz w:val="24"/>
          <w:szCs w:val="24"/>
        </w:rPr>
        <w:t xml:space="preserve"> dolac, u ulici Put </w:t>
      </w:r>
      <w:proofErr w:type="spellStart"/>
      <w:r w:rsidR="005D1B8F" w:rsidRPr="005D1B8F">
        <w:rPr>
          <w:sz w:val="24"/>
          <w:szCs w:val="24"/>
        </w:rPr>
        <w:t>Krbana</w:t>
      </w:r>
      <w:proofErr w:type="spellEnd"/>
      <w:r w:rsidR="005D1B8F" w:rsidRPr="005D1B8F">
        <w:rPr>
          <w:sz w:val="24"/>
          <w:szCs w:val="24"/>
        </w:rPr>
        <w:t xml:space="preserve">, put </w:t>
      </w:r>
      <w:proofErr w:type="spellStart"/>
      <w:r w:rsidR="005D1B8F" w:rsidRPr="005D1B8F">
        <w:rPr>
          <w:sz w:val="24"/>
          <w:szCs w:val="24"/>
        </w:rPr>
        <w:t>Salduna</w:t>
      </w:r>
      <w:proofErr w:type="spellEnd"/>
      <w:r w:rsidR="005D1B8F" w:rsidRPr="005D1B8F">
        <w:rPr>
          <w:sz w:val="24"/>
          <w:szCs w:val="24"/>
        </w:rPr>
        <w:t xml:space="preserve">, Žedno put </w:t>
      </w:r>
      <w:proofErr w:type="spellStart"/>
      <w:r w:rsidR="005D1B8F" w:rsidRPr="005D1B8F">
        <w:rPr>
          <w:sz w:val="24"/>
          <w:szCs w:val="24"/>
        </w:rPr>
        <w:t>sv.Ivana</w:t>
      </w:r>
      <w:proofErr w:type="spellEnd"/>
      <w:r w:rsidR="005D1B8F" w:rsidRPr="005D1B8F">
        <w:rPr>
          <w:sz w:val="24"/>
          <w:szCs w:val="24"/>
        </w:rPr>
        <w:t xml:space="preserve">, ulici B. Augustina Kažotića, put sv. Ante do put </w:t>
      </w:r>
      <w:proofErr w:type="spellStart"/>
      <w:r w:rsidR="005D1B8F" w:rsidRPr="005D1B8F">
        <w:rPr>
          <w:sz w:val="24"/>
          <w:szCs w:val="24"/>
        </w:rPr>
        <w:t>Salduna</w:t>
      </w:r>
      <w:proofErr w:type="spellEnd"/>
      <w:r w:rsidR="005D1B8F" w:rsidRPr="005D1B8F">
        <w:rPr>
          <w:sz w:val="24"/>
          <w:szCs w:val="24"/>
        </w:rPr>
        <w:t>, ulici kneza Trpimira, te na otoku Drvenik Mali (</w:t>
      </w:r>
      <w:proofErr w:type="spellStart"/>
      <w:r w:rsidR="005D1B8F" w:rsidRPr="005D1B8F">
        <w:rPr>
          <w:sz w:val="24"/>
          <w:szCs w:val="24"/>
        </w:rPr>
        <w:t>Petomavar</w:t>
      </w:r>
      <w:proofErr w:type="spellEnd"/>
      <w:r w:rsidR="005D1B8F" w:rsidRPr="005D1B8F">
        <w:rPr>
          <w:sz w:val="24"/>
          <w:szCs w:val="24"/>
        </w:rPr>
        <w:t>).</w:t>
      </w:r>
    </w:p>
    <w:p w14:paraId="37C9E845" w14:textId="77777777" w:rsidR="005D1B8F" w:rsidRDefault="005D1B8F" w:rsidP="008B09AB">
      <w:pPr>
        <w:spacing w:after="0"/>
        <w:jc w:val="both"/>
        <w:rPr>
          <w:rFonts w:cstheme="minorHAnsi"/>
          <w:sz w:val="24"/>
          <w:szCs w:val="24"/>
          <w:lang w:eastAsia="hr-HR"/>
        </w:rPr>
      </w:pPr>
    </w:p>
    <w:p w14:paraId="2B67CBD9" w14:textId="6D5A2EFF" w:rsidR="008B09AB" w:rsidRPr="00641D82" w:rsidRDefault="008B09AB" w:rsidP="008B09AB">
      <w:pPr>
        <w:spacing w:after="0"/>
        <w:jc w:val="both"/>
        <w:rPr>
          <w:rFonts w:cstheme="minorHAnsi"/>
          <w:sz w:val="24"/>
          <w:szCs w:val="24"/>
          <w:u w:val="single"/>
        </w:rPr>
      </w:pPr>
      <w:r w:rsidRPr="00641D82">
        <w:rPr>
          <w:rFonts w:cstheme="minorHAnsi"/>
          <w:sz w:val="24"/>
          <w:szCs w:val="24"/>
          <w:u w:val="single"/>
        </w:rPr>
        <w:t>Kapitalni projekt Izgradnja i rekonstrukcija oborinske mre</w:t>
      </w:r>
      <w:r>
        <w:rPr>
          <w:rFonts w:cstheme="minorHAnsi"/>
          <w:sz w:val="24"/>
          <w:szCs w:val="24"/>
          <w:u w:val="single"/>
        </w:rPr>
        <w:t>ž</w:t>
      </w:r>
      <w:r w:rsidRPr="00641D82">
        <w:rPr>
          <w:rFonts w:cstheme="minorHAnsi"/>
          <w:sz w:val="24"/>
          <w:szCs w:val="24"/>
          <w:u w:val="single"/>
        </w:rPr>
        <w:t>e u svim MO</w:t>
      </w:r>
      <w:r>
        <w:rPr>
          <w:rFonts w:cstheme="minorHAnsi"/>
          <w:sz w:val="24"/>
          <w:szCs w:val="24"/>
          <w:u w:val="single"/>
        </w:rPr>
        <w:t xml:space="preserve">, </w:t>
      </w:r>
      <w:r w:rsidRPr="00641D82">
        <w:rPr>
          <w:rFonts w:cstheme="minorHAnsi"/>
          <w:sz w:val="24"/>
          <w:szCs w:val="24"/>
        </w:rPr>
        <w:t>obuhvaća sanaciju postojećih oborinskih kanala uz nerazvrstane ceste te izradu projektne dokumentacije oborinske odvodn</w:t>
      </w:r>
      <w:r>
        <w:rPr>
          <w:rFonts w:cstheme="minorHAnsi"/>
          <w:sz w:val="24"/>
          <w:szCs w:val="24"/>
        </w:rPr>
        <w:t>je</w:t>
      </w:r>
      <w:r w:rsidRPr="00641D82">
        <w:rPr>
          <w:rFonts w:cstheme="minorHAnsi"/>
          <w:sz w:val="24"/>
          <w:szCs w:val="24"/>
        </w:rPr>
        <w:t xml:space="preserve"> u ulici dr. Franje Tuđmana</w:t>
      </w:r>
      <w:r>
        <w:rPr>
          <w:rFonts w:cstheme="minorHAnsi"/>
          <w:sz w:val="24"/>
          <w:szCs w:val="24"/>
        </w:rPr>
        <w:t xml:space="preserve">, realizirano je po ovom projektu </w:t>
      </w:r>
      <w:r w:rsidR="008805DF">
        <w:rPr>
          <w:rFonts w:cstheme="minorHAnsi"/>
          <w:sz w:val="24"/>
          <w:szCs w:val="24"/>
        </w:rPr>
        <w:t>11.250,00</w:t>
      </w:r>
      <w:r>
        <w:rPr>
          <w:rFonts w:cstheme="minorHAnsi"/>
          <w:sz w:val="24"/>
          <w:szCs w:val="24"/>
        </w:rPr>
        <w:t xml:space="preserve"> eura</w:t>
      </w:r>
      <w:r w:rsidR="00CC436A">
        <w:rPr>
          <w:rFonts w:cstheme="minorHAnsi"/>
          <w:sz w:val="24"/>
          <w:szCs w:val="24"/>
        </w:rPr>
        <w:t xml:space="preserve"> i to za </w:t>
      </w:r>
      <w:r w:rsidR="008805DF">
        <w:rPr>
          <w:rFonts w:cstheme="minorHAnsi"/>
          <w:sz w:val="24"/>
          <w:szCs w:val="24"/>
        </w:rPr>
        <w:t>izradu geodetskog snimka odvodne infrastrukture.</w:t>
      </w:r>
    </w:p>
    <w:p w14:paraId="348E0A91" w14:textId="77777777" w:rsidR="00CC436A" w:rsidRDefault="00CC436A" w:rsidP="00CC436A">
      <w:pPr>
        <w:pStyle w:val="Bezproreda"/>
        <w:jc w:val="both"/>
        <w:rPr>
          <w:rFonts w:cstheme="minorHAnsi"/>
          <w:sz w:val="24"/>
          <w:szCs w:val="24"/>
        </w:rPr>
      </w:pPr>
    </w:p>
    <w:p w14:paraId="71981AB3" w14:textId="60C3CF14" w:rsidR="008805DF" w:rsidRPr="008805DF" w:rsidRDefault="008805DF" w:rsidP="008805DF">
      <w:pPr>
        <w:pStyle w:val="Bezproreda"/>
        <w:jc w:val="both"/>
        <w:rPr>
          <w:rFonts w:cstheme="minorHAnsi"/>
          <w:sz w:val="24"/>
          <w:szCs w:val="24"/>
        </w:rPr>
      </w:pPr>
      <w:r w:rsidRPr="00641D82">
        <w:rPr>
          <w:rFonts w:cstheme="minorHAnsi"/>
          <w:sz w:val="24"/>
          <w:szCs w:val="24"/>
          <w:u w:val="single"/>
        </w:rPr>
        <w:t xml:space="preserve">Kapitalni projekt </w:t>
      </w:r>
      <w:r>
        <w:rPr>
          <w:rFonts w:cstheme="minorHAnsi"/>
          <w:sz w:val="24"/>
          <w:szCs w:val="24"/>
          <w:u w:val="single"/>
        </w:rPr>
        <w:t xml:space="preserve">Izgradnja dječjeg igrališta u </w:t>
      </w:r>
      <w:proofErr w:type="spellStart"/>
      <w:r>
        <w:rPr>
          <w:rFonts w:cstheme="minorHAnsi"/>
          <w:sz w:val="24"/>
          <w:szCs w:val="24"/>
          <w:u w:val="single"/>
        </w:rPr>
        <w:t>Arbaniji</w:t>
      </w:r>
      <w:proofErr w:type="spellEnd"/>
      <w:r>
        <w:rPr>
          <w:rFonts w:cstheme="minorHAnsi"/>
          <w:sz w:val="24"/>
          <w:szCs w:val="24"/>
          <w:u w:val="single"/>
        </w:rPr>
        <w:t>,</w:t>
      </w:r>
      <w:r w:rsidRPr="008805DF">
        <w:rPr>
          <w:rFonts w:cstheme="minorHAnsi"/>
          <w:sz w:val="24"/>
          <w:szCs w:val="24"/>
        </w:rPr>
        <w:t xml:space="preserve"> </w:t>
      </w:r>
      <w:r w:rsidRPr="008805DF">
        <w:rPr>
          <w:rFonts w:eastAsia="Times New Roman" w:cstheme="minorHAnsi"/>
          <w:sz w:val="24"/>
          <w:szCs w:val="24"/>
          <w:shd w:val="clear" w:color="auto" w:fill="FFFFFF"/>
          <w:lang w:eastAsia="ar-SA"/>
        </w:rPr>
        <w:t xml:space="preserve">Ovaj projekt je usmjeren na građenje i opremanje dječjeg igrališta u naselju </w:t>
      </w:r>
      <w:proofErr w:type="spellStart"/>
      <w:r w:rsidRPr="008805DF">
        <w:rPr>
          <w:rFonts w:eastAsia="Times New Roman" w:cstheme="minorHAnsi"/>
          <w:sz w:val="24"/>
          <w:szCs w:val="24"/>
          <w:shd w:val="clear" w:color="auto" w:fill="FFFFFF"/>
          <w:lang w:eastAsia="ar-SA"/>
        </w:rPr>
        <w:t>Arbanija</w:t>
      </w:r>
      <w:proofErr w:type="spellEnd"/>
      <w:r w:rsidRPr="008805DF">
        <w:rPr>
          <w:rFonts w:eastAsia="Times New Roman" w:cstheme="minorHAnsi"/>
          <w:sz w:val="24"/>
          <w:szCs w:val="24"/>
          <w:shd w:val="clear" w:color="auto" w:fill="FFFFFF"/>
          <w:lang w:eastAsia="ar-SA"/>
        </w:rPr>
        <w:t xml:space="preserve"> čime će se osigurati uvjeti za sigurnu igru i druženje, osigurati bolji uvjeti za rast i razvoj djece te doprinijeti povećanju socijalizacije, međusobnog povezivanja i interakcije djece i mladih. Izgradnjom igrališta stvorit će se adekvatan, kvalitetan i siguran prostor te omogućiti veća kvaliteta provođenja slobodnog vremena djece na otvorenom. Provedbom ovog projekta poboljšat će se kvaliteta života lokalnog stanovništva, a posebice djece budući da će uređeno igralište predstavljati novi, kvalitetan prostor na kojem će se djeca moći svakodnevno igrati i provoditi vrijeme na otvorenom. Igranjem na rekreacijskim spravama igrališta djeca razvijaju fizičku koordinaciju kroz rekreaciju i zabavu.</w:t>
      </w:r>
      <w:r>
        <w:rPr>
          <w:rFonts w:eastAsia="Times New Roman" w:cstheme="minorHAnsi"/>
          <w:sz w:val="24"/>
          <w:szCs w:val="24"/>
          <w:shd w:val="clear" w:color="auto" w:fill="FFFFFF"/>
          <w:lang w:eastAsia="ar-SA"/>
        </w:rPr>
        <w:t xml:space="preserve"> </w:t>
      </w:r>
      <w:r w:rsidRPr="008805DF">
        <w:rPr>
          <w:rFonts w:eastAsia="Times New Roman" w:cstheme="minorHAnsi"/>
          <w:sz w:val="24"/>
          <w:szCs w:val="24"/>
          <w:shd w:val="clear" w:color="auto" w:fill="FFFFFF"/>
          <w:lang w:eastAsia="ar-SA"/>
        </w:rPr>
        <w:t>U</w:t>
      </w:r>
      <w:r w:rsidRPr="008805DF">
        <w:rPr>
          <w:rFonts w:eastAsia="Times New Roman" w:cstheme="minorHAnsi"/>
          <w:sz w:val="24"/>
          <w:szCs w:val="24"/>
          <w:lang w:eastAsia="ar-SA"/>
        </w:rPr>
        <w:t xml:space="preserve"> 2025. godini planiran otkup zemljišta za realizaciju predmetnog projekta.</w:t>
      </w:r>
      <w:r>
        <w:rPr>
          <w:rFonts w:eastAsia="Times New Roman" w:cstheme="minorHAnsi"/>
          <w:sz w:val="24"/>
          <w:szCs w:val="24"/>
          <w:lang w:eastAsia="ar-SA"/>
        </w:rPr>
        <w:t xml:space="preserve"> Po ovom projektu je realizirano ukupno 81.255,00 eura ili 92,73% plana i to za troškove otkupa zemljišta.</w:t>
      </w:r>
    </w:p>
    <w:p w14:paraId="497021BE" w14:textId="77777777" w:rsidR="008805DF" w:rsidRDefault="008805DF" w:rsidP="00CC436A">
      <w:pPr>
        <w:pStyle w:val="Bezproreda"/>
        <w:jc w:val="both"/>
        <w:rPr>
          <w:rFonts w:cstheme="minorHAnsi"/>
          <w:sz w:val="24"/>
          <w:szCs w:val="24"/>
        </w:rPr>
      </w:pPr>
    </w:p>
    <w:p w14:paraId="3B45A155" w14:textId="52EC2C66" w:rsidR="00AE1808" w:rsidRDefault="006B6A86" w:rsidP="00CC436A">
      <w:pPr>
        <w:pStyle w:val="Bezproreda"/>
        <w:jc w:val="both"/>
        <w:rPr>
          <w:rFonts w:cstheme="minorHAnsi"/>
          <w:sz w:val="24"/>
          <w:szCs w:val="24"/>
        </w:rPr>
      </w:pPr>
      <w:r>
        <w:rPr>
          <w:rFonts w:cstheme="minorHAnsi"/>
          <w:sz w:val="24"/>
          <w:szCs w:val="24"/>
        </w:rPr>
        <w:t>Ostali projekti planirani u sklopu navedenog programa su bez realizacije u izvještajnom razdoblju.</w:t>
      </w:r>
    </w:p>
    <w:p w14:paraId="1AAF1E81" w14:textId="77777777" w:rsidR="008805DF" w:rsidRDefault="008805DF" w:rsidP="00CC436A">
      <w:pPr>
        <w:pStyle w:val="Bezproreda"/>
        <w:jc w:val="both"/>
        <w:rPr>
          <w:rFonts w:cstheme="minorHAnsi"/>
          <w:sz w:val="24"/>
          <w:szCs w:val="24"/>
        </w:rPr>
      </w:pPr>
    </w:p>
    <w:p w14:paraId="794B1716" w14:textId="77777777" w:rsidR="000C0B91" w:rsidRDefault="000C0B91" w:rsidP="006B6A86">
      <w:pPr>
        <w:spacing w:after="0"/>
        <w:jc w:val="both"/>
        <w:rPr>
          <w:rFonts w:cstheme="minorHAnsi"/>
          <w:sz w:val="24"/>
          <w:szCs w:val="24"/>
          <w:u w:val="single"/>
        </w:rPr>
      </w:pPr>
      <w:r w:rsidRPr="000C0B91">
        <w:rPr>
          <w:rFonts w:cstheme="minorHAnsi"/>
          <w:sz w:val="24"/>
          <w:szCs w:val="24"/>
          <w:u w:val="single"/>
        </w:rPr>
        <w:t xml:space="preserve">Program 1515 Građevine komunalne infrastrukture koje će se graditi u uređenim dijelovima građevinskih područja </w:t>
      </w:r>
    </w:p>
    <w:p w14:paraId="1077408C" w14:textId="77777777" w:rsidR="00FD0954" w:rsidRPr="00FD0954" w:rsidRDefault="00FD0954" w:rsidP="00FD0954">
      <w:pPr>
        <w:suppressAutoHyphens/>
        <w:spacing w:after="0" w:line="283" w:lineRule="exact"/>
        <w:jc w:val="both"/>
        <w:rPr>
          <w:rFonts w:eastAsia="Calibri" w:cstheme="minorHAnsi"/>
          <w:bCs/>
          <w:color w:val="000000"/>
          <w:sz w:val="24"/>
          <w:szCs w:val="24"/>
          <w:lang w:eastAsia="ar-SA"/>
        </w:rPr>
      </w:pPr>
      <w:r w:rsidRPr="00FD0954">
        <w:rPr>
          <w:rFonts w:eastAsia="Calibri" w:cstheme="minorHAnsi"/>
          <w:bCs/>
          <w:color w:val="000000"/>
          <w:sz w:val="24"/>
          <w:szCs w:val="24"/>
          <w:lang w:eastAsia="ar-SA"/>
        </w:rPr>
        <w:t xml:space="preserve">U okviru ovog programa planirana su sredstva za financiranje </w:t>
      </w:r>
      <w:r w:rsidRPr="00FD0954">
        <w:rPr>
          <w:rFonts w:eastAsia="Times New Roman" w:cstheme="minorHAnsi"/>
          <w:bCs/>
          <w:color w:val="000000"/>
          <w:sz w:val="24"/>
          <w:szCs w:val="24"/>
          <w:lang w:eastAsia="ar-SA"/>
        </w:rPr>
        <w:t xml:space="preserve">uređenja javnih površina, izgradnje cesta i autobusnih stajališta, nabave opreme za autobusna stajališta, uređenje parkova i trgova te rekonstrukcije mosta u </w:t>
      </w:r>
      <w:proofErr w:type="spellStart"/>
      <w:r w:rsidRPr="00FD0954">
        <w:rPr>
          <w:rFonts w:eastAsia="Times New Roman" w:cstheme="minorHAnsi"/>
          <w:bCs/>
          <w:color w:val="000000"/>
          <w:sz w:val="24"/>
          <w:szCs w:val="24"/>
          <w:lang w:eastAsia="ar-SA"/>
        </w:rPr>
        <w:t>Foši</w:t>
      </w:r>
      <w:proofErr w:type="spellEnd"/>
      <w:r w:rsidRPr="00FD0954">
        <w:rPr>
          <w:rFonts w:eastAsia="Times New Roman" w:cstheme="minorHAnsi"/>
          <w:bCs/>
          <w:color w:val="000000"/>
          <w:sz w:val="24"/>
          <w:szCs w:val="24"/>
          <w:lang w:eastAsia="ar-SA"/>
        </w:rPr>
        <w:t>, državne ceste D126 i gradskog groblja. Provedba ovog programa jedna je od osnovnih zadaća jedinice lokalne samouprave iz razloga jer izravno utječe na sveukupnu populaciju - korisnike javnih površina, te povećava vrijednost imovine grada. Sukladno raspoloživim sredstvima nastoji se održati što viši stupanj uređenosti komunalne infrastrukture¸ u funkcionalnom, oblikovnom i estetskom smislu. Ovaj Program je stalni proces koji podrazumijeva praćenje stanja, određivanje prioriteta i djelovanje na terenu.</w:t>
      </w:r>
    </w:p>
    <w:p w14:paraId="49F40018" w14:textId="4D179933" w:rsidR="00FD0954" w:rsidRPr="00DB0336" w:rsidRDefault="00FD0954" w:rsidP="00FD0954">
      <w:pPr>
        <w:suppressAutoHyphens/>
        <w:spacing w:before="120" w:after="0" w:line="283" w:lineRule="exact"/>
        <w:jc w:val="both"/>
        <w:rPr>
          <w:rFonts w:eastAsia="Calibri" w:cstheme="minorHAnsi"/>
          <w:bCs/>
          <w:color w:val="000000"/>
          <w:lang w:eastAsia="ar-SA"/>
        </w:rPr>
      </w:pPr>
      <w:r w:rsidRPr="00FD0954">
        <w:rPr>
          <w:rFonts w:eastAsia="Calibri" w:cstheme="minorHAnsi"/>
          <w:bCs/>
          <w:color w:val="000000"/>
          <w:sz w:val="24"/>
          <w:szCs w:val="24"/>
          <w:lang w:eastAsia="ar-SA"/>
        </w:rPr>
        <w:t>Poslovi i zadatci planirani su kroz 1 aktivnost i 1</w:t>
      </w:r>
      <w:r w:rsidR="0096033B">
        <w:rPr>
          <w:rFonts w:eastAsia="Calibri" w:cstheme="minorHAnsi"/>
          <w:bCs/>
          <w:color w:val="000000"/>
          <w:sz w:val="24"/>
          <w:szCs w:val="24"/>
          <w:lang w:eastAsia="ar-SA"/>
        </w:rPr>
        <w:t>5</w:t>
      </w:r>
      <w:r w:rsidRPr="00FD0954">
        <w:rPr>
          <w:rFonts w:eastAsia="Calibri" w:cstheme="minorHAnsi"/>
          <w:bCs/>
          <w:color w:val="000000"/>
          <w:sz w:val="24"/>
          <w:szCs w:val="24"/>
          <w:lang w:eastAsia="ar-SA"/>
        </w:rPr>
        <w:t xml:space="preserve"> kapitalnih projekata:</w:t>
      </w:r>
      <w:r w:rsidRPr="00DB0336">
        <w:rPr>
          <w:rFonts w:eastAsia="Calibri" w:cstheme="minorHAnsi"/>
          <w:bCs/>
          <w:color w:val="000000"/>
          <w:lang w:eastAsia="ar-SA"/>
        </w:rPr>
        <w:t xml:space="preserve"> </w:t>
      </w:r>
    </w:p>
    <w:p w14:paraId="70D1BC3C" w14:textId="77777777" w:rsidR="005E1FBE" w:rsidRPr="008C3F5A" w:rsidRDefault="005E1FBE" w:rsidP="005E1FBE">
      <w:pPr>
        <w:numPr>
          <w:ilvl w:val="0"/>
          <w:numId w:val="11"/>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sidRPr="008C3F5A">
        <w:rPr>
          <w:rFonts w:eastAsia="Calibri" w:cstheme="minorHAnsi"/>
          <w:color w:val="000000" w:themeColor="text1"/>
          <w:sz w:val="24"/>
          <w:szCs w:val="24"/>
        </w:rPr>
        <w:t>A100200 Uređenje javnih površina,</w:t>
      </w:r>
    </w:p>
    <w:p w14:paraId="671CA966" w14:textId="77777777" w:rsidR="005E1FBE" w:rsidRPr="008D1886" w:rsidRDefault="005E1FBE" w:rsidP="008D1886">
      <w:pPr>
        <w:numPr>
          <w:ilvl w:val="0"/>
          <w:numId w:val="11"/>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sidRPr="008D1886">
        <w:rPr>
          <w:rFonts w:eastAsia="Calibri" w:cstheme="minorHAnsi"/>
          <w:color w:val="000000" w:themeColor="text1"/>
          <w:sz w:val="24"/>
          <w:szCs w:val="24"/>
        </w:rPr>
        <w:t>K100101 Geodetski snimak nerazvrstanih cesta,</w:t>
      </w:r>
    </w:p>
    <w:p w14:paraId="519B9DFF" w14:textId="77777777" w:rsidR="005E1FBE" w:rsidRDefault="005E1FBE" w:rsidP="005E1FBE">
      <w:pPr>
        <w:numPr>
          <w:ilvl w:val="0"/>
          <w:numId w:val="11"/>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sidRPr="008C3F5A">
        <w:rPr>
          <w:rFonts w:eastAsia="Calibri" w:cstheme="minorHAnsi"/>
          <w:color w:val="000000" w:themeColor="text1"/>
          <w:sz w:val="24"/>
          <w:szCs w:val="24"/>
        </w:rPr>
        <w:t>K100</w:t>
      </w:r>
      <w:r>
        <w:rPr>
          <w:rFonts w:eastAsia="Calibri" w:cstheme="minorHAnsi"/>
          <w:color w:val="000000" w:themeColor="text1"/>
          <w:sz w:val="24"/>
          <w:szCs w:val="24"/>
        </w:rPr>
        <w:t>1</w:t>
      </w:r>
      <w:r w:rsidRPr="008C3F5A">
        <w:rPr>
          <w:rFonts w:eastAsia="Calibri" w:cstheme="minorHAnsi"/>
          <w:color w:val="000000" w:themeColor="text1"/>
          <w:sz w:val="24"/>
          <w:szCs w:val="24"/>
        </w:rPr>
        <w:t>03 Uređenje park</w:t>
      </w:r>
      <w:r>
        <w:rPr>
          <w:rFonts w:eastAsia="Calibri" w:cstheme="minorHAnsi"/>
          <w:color w:val="000000" w:themeColor="text1"/>
          <w:sz w:val="24"/>
          <w:szCs w:val="24"/>
        </w:rPr>
        <w:t xml:space="preserve">a </w:t>
      </w:r>
      <w:proofErr w:type="spellStart"/>
      <w:r>
        <w:rPr>
          <w:rFonts w:eastAsia="Calibri" w:cstheme="minorHAnsi"/>
          <w:color w:val="000000" w:themeColor="text1"/>
          <w:sz w:val="24"/>
          <w:szCs w:val="24"/>
        </w:rPr>
        <w:t>Fortin</w:t>
      </w:r>
      <w:proofErr w:type="spellEnd"/>
      <w:r w:rsidRPr="008C3F5A">
        <w:rPr>
          <w:rFonts w:eastAsia="Calibri" w:cstheme="minorHAnsi"/>
          <w:color w:val="000000" w:themeColor="text1"/>
          <w:sz w:val="24"/>
          <w:szCs w:val="24"/>
        </w:rPr>
        <w:t>,</w:t>
      </w:r>
    </w:p>
    <w:p w14:paraId="5A0927B6" w14:textId="77777777" w:rsidR="005E1FBE" w:rsidRDefault="005E1FBE" w:rsidP="005E1FBE">
      <w:pPr>
        <w:numPr>
          <w:ilvl w:val="0"/>
          <w:numId w:val="11"/>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Pr>
          <w:rFonts w:eastAsia="Calibri" w:cstheme="minorHAnsi"/>
          <w:color w:val="000000" w:themeColor="text1"/>
          <w:sz w:val="24"/>
          <w:szCs w:val="24"/>
        </w:rPr>
        <w:t xml:space="preserve">K100104 Uređenje parka </w:t>
      </w:r>
      <w:proofErr w:type="spellStart"/>
      <w:r>
        <w:rPr>
          <w:rFonts w:eastAsia="Calibri" w:cstheme="minorHAnsi"/>
          <w:color w:val="000000" w:themeColor="text1"/>
          <w:sz w:val="24"/>
          <w:szCs w:val="24"/>
        </w:rPr>
        <w:t>Žudika</w:t>
      </w:r>
      <w:proofErr w:type="spellEnd"/>
      <w:r>
        <w:rPr>
          <w:rFonts w:eastAsia="Calibri" w:cstheme="minorHAnsi"/>
          <w:color w:val="000000" w:themeColor="text1"/>
          <w:sz w:val="24"/>
          <w:szCs w:val="24"/>
        </w:rPr>
        <w:t>,</w:t>
      </w:r>
    </w:p>
    <w:p w14:paraId="7B1136E3" w14:textId="77777777" w:rsidR="005E1FBE" w:rsidRDefault="005E1FBE" w:rsidP="005E1FBE">
      <w:pPr>
        <w:numPr>
          <w:ilvl w:val="0"/>
          <w:numId w:val="11"/>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Pr>
          <w:rFonts w:eastAsia="Calibri" w:cstheme="minorHAnsi"/>
          <w:color w:val="000000" w:themeColor="text1"/>
          <w:sz w:val="24"/>
          <w:szCs w:val="24"/>
        </w:rPr>
        <w:t xml:space="preserve">K100106 Rekonstrukcija obalnog zida u parku </w:t>
      </w:r>
      <w:proofErr w:type="spellStart"/>
      <w:r>
        <w:rPr>
          <w:rFonts w:eastAsia="Calibri" w:cstheme="minorHAnsi"/>
          <w:color w:val="000000" w:themeColor="text1"/>
          <w:sz w:val="24"/>
          <w:szCs w:val="24"/>
        </w:rPr>
        <w:t>Žudika</w:t>
      </w:r>
      <w:proofErr w:type="spellEnd"/>
      <w:r>
        <w:rPr>
          <w:rFonts w:eastAsia="Calibri" w:cstheme="minorHAnsi"/>
          <w:color w:val="000000" w:themeColor="text1"/>
          <w:sz w:val="24"/>
          <w:szCs w:val="24"/>
        </w:rPr>
        <w:t>,</w:t>
      </w:r>
    </w:p>
    <w:p w14:paraId="12A20990" w14:textId="155C70DF" w:rsidR="005E1FBE" w:rsidRPr="008C3F5A" w:rsidRDefault="005E1FBE" w:rsidP="005E1FBE">
      <w:pPr>
        <w:numPr>
          <w:ilvl w:val="0"/>
          <w:numId w:val="11"/>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sidRPr="008C3F5A">
        <w:rPr>
          <w:rFonts w:eastAsia="Calibri" w:cstheme="minorHAnsi"/>
          <w:color w:val="000000" w:themeColor="text1"/>
          <w:sz w:val="24"/>
          <w:szCs w:val="24"/>
        </w:rPr>
        <w:t xml:space="preserve">K100204 Uređenje </w:t>
      </w:r>
      <w:r>
        <w:rPr>
          <w:rFonts w:eastAsia="Calibri" w:cstheme="minorHAnsi"/>
          <w:color w:val="000000" w:themeColor="text1"/>
          <w:sz w:val="24"/>
          <w:szCs w:val="24"/>
        </w:rPr>
        <w:t>trga</w:t>
      </w:r>
      <w:r w:rsidRPr="008C3F5A">
        <w:rPr>
          <w:rFonts w:eastAsia="Calibri" w:cstheme="minorHAnsi"/>
          <w:color w:val="000000" w:themeColor="text1"/>
          <w:sz w:val="24"/>
          <w:szCs w:val="24"/>
        </w:rPr>
        <w:t xml:space="preserve"> ispred Sv.</w:t>
      </w:r>
      <w:r>
        <w:rPr>
          <w:rFonts w:eastAsia="Calibri" w:cstheme="minorHAnsi"/>
          <w:color w:val="000000" w:themeColor="text1"/>
          <w:sz w:val="24"/>
          <w:szCs w:val="24"/>
        </w:rPr>
        <w:t xml:space="preserve"> </w:t>
      </w:r>
      <w:r w:rsidRPr="008C3F5A">
        <w:rPr>
          <w:rFonts w:eastAsia="Calibri" w:cstheme="minorHAnsi"/>
          <w:color w:val="000000" w:themeColor="text1"/>
          <w:sz w:val="24"/>
          <w:szCs w:val="24"/>
        </w:rPr>
        <w:t>Dominika,</w:t>
      </w:r>
    </w:p>
    <w:p w14:paraId="05BF164B" w14:textId="4922F0BC" w:rsidR="005E1FBE" w:rsidRPr="008C3F5A" w:rsidRDefault="005E1FBE" w:rsidP="0096033B">
      <w:pPr>
        <w:overflowPunct w:val="0"/>
        <w:autoSpaceDE w:val="0"/>
        <w:autoSpaceDN w:val="0"/>
        <w:adjustRightInd w:val="0"/>
        <w:spacing w:after="0" w:line="280" w:lineRule="exact"/>
        <w:ind w:left="360"/>
        <w:contextualSpacing/>
        <w:jc w:val="both"/>
        <w:textAlignment w:val="baseline"/>
        <w:rPr>
          <w:rFonts w:eastAsia="Calibri" w:cstheme="minorHAnsi"/>
          <w:color w:val="000000" w:themeColor="text1"/>
          <w:sz w:val="24"/>
          <w:szCs w:val="24"/>
        </w:rPr>
      </w:pPr>
      <w:r>
        <w:rPr>
          <w:rFonts w:eastAsia="Calibri" w:cstheme="minorHAnsi"/>
          <w:color w:val="000000" w:themeColor="text1"/>
          <w:sz w:val="24"/>
          <w:szCs w:val="24"/>
        </w:rPr>
        <w:lastRenderedPageBreak/>
        <w:t>(</w:t>
      </w:r>
      <w:r w:rsidR="0096033B">
        <w:rPr>
          <w:rFonts w:eastAsia="Calibri" w:cstheme="minorHAnsi"/>
          <w:color w:val="000000" w:themeColor="text1"/>
          <w:sz w:val="24"/>
          <w:szCs w:val="24"/>
        </w:rPr>
        <w:t xml:space="preserve">7)  </w:t>
      </w:r>
      <w:r w:rsidRPr="008C3F5A">
        <w:rPr>
          <w:rFonts w:eastAsia="Calibri" w:cstheme="minorHAnsi"/>
          <w:color w:val="000000" w:themeColor="text1"/>
          <w:sz w:val="24"/>
          <w:szCs w:val="24"/>
        </w:rPr>
        <w:t>K100206 Geodetski snimak javnih površina,</w:t>
      </w:r>
    </w:p>
    <w:p w14:paraId="0EC6E249" w14:textId="55EF09F3" w:rsidR="005E1FBE" w:rsidRPr="008C3F5A" w:rsidRDefault="005E1FBE" w:rsidP="005E1FBE">
      <w:p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Pr>
          <w:rFonts w:eastAsia="Calibri" w:cstheme="minorHAnsi"/>
          <w:color w:val="000000" w:themeColor="text1"/>
          <w:sz w:val="24"/>
          <w:szCs w:val="24"/>
        </w:rPr>
        <w:t xml:space="preserve">       (</w:t>
      </w:r>
      <w:r w:rsidR="0096033B">
        <w:rPr>
          <w:rFonts w:eastAsia="Calibri" w:cstheme="minorHAnsi"/>
          <w:color w:val="000000" w:themeColor="text1"/>
          <w:sz w:val="24"/>
          <w:szCs w:val="24"/>
        </w:rPr>
        <w:t>8</w:t>
      </w:r>
      <w:r>
        <w:rPr>
          <w:rFonts w:eastAsia="Calibri" w:cstheme="minorHAnsi"/>
          <w:color w:val="000000" w:themeColor="text1"/>
          <w:sz w:val="24"/>
          <w:szCs w:val="24"/>
        </w:rPr>
        <w:t>)</w:t>
      </w:r>
      <w:r w:rsidR="0096033B">
        <w:rPr>
          <w:rFonts w:eastAsia="Calibri" w:cstheme="minorHAnsi"/>
          <w:color w:val="000000" w:themeColor="text1"/>
          <w:sz w:val="24"/>
          <w:szCs w:val="24"/>
        </w:rPr>
        <w:t xml:space="preserve"> </w:t>
      </w:r>
      <w:r w:rsidRPr="008C3F5A">
        <w:rPr>
          <w:rFonts w:eastAsia="Calibri" w:cstheme="minorHAnsi"/>
          <w:color w:val="000000" w:themeColor="text1"/>
          <w:sz w:val="24"/>
          <w:szCs w:val="24"/>
        </w:rPr>
        <w:t xml:space="preserve">K100207 Rekonstrukcija postojećeg mosta u </w:t>
      </w:r>
      <w:proofErr w:type="spellStart"/>
      <w:r w:rsidRPr="008C3F5A">
        <w:rPr>
          <w:rFonts w:eastAsia="Calibri" w:cstheme="minorHAnsi"/>
          <w:color w:val="000000" w:themeColor="text1"/>
          <w:sz w:val="24"/>
          <w:szCs w:val="24"/>
        </w:rPr>
        <w:t>Foši</w:t>
      </w:r>
      <w:proofErr w:type="spellEnd"/>
      <w:r w:rsidRPr="008C3F5A">
        <w:rPr>
          <w:rFonts w:eastAsia="Calibri" w:cstheme="minorHAnsi"/>
          <w:color w:val="000000" w:themeColor="text1"/>
          <w:sz w:val="24"/>
          <w:szCs w:val="24"/>
        </w:rPr>
        <w:t>,</w:t>
      </w:r>
    </w:p>
    <w:p w14:paraId="7EE3D658" w14:textId="5233AF21" w:rsidR="005E1FBE" w:rsidRDefault="005E1FBE" w:rsidP="005E1FBE">
      <w:p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Pr>
          <w:rFonts w:eastAsia="Calibri" w:cstheme="minorHAnsi"/>
          <w:color w:val="000000" w:themeColor="text1"/>
          <w:sz w:val="24"/>
          <w:szCs w:val="24"/>
        </w:rPr>
        <w:t xml:space="preserve">       (</w:t>
      </w:r>
      <w:r w:rsidR="0096033B">
        <w:rPr>
          <w:rFonts w:eastAsia="Calibri" w:cstheme="minorHAnsi"/>
          <w:color w:val="000000" w:themeColor="text1"/>
          <w:sz w:val="24"/>
          <w:szCs w:val="24"/>
        </w:rPr>
        <w:t>9</w:t>
      </w:r>
      <w:r>
        <w:rPr>
          <w:rFonts w:eastAsia="Calibri" w:cstheme="minorHAnsi"/>
          <w:color w:val="000000" w:themeColor="text1"/>
          <w:sz w:val="24"/>
          <w:szCs w:val="24"/>
        </w:rPr>
        <w:t xml:space="preserve">) </w:t>
      </w:r>
      <w:r w:rsidRPr="008C3F5A">
        <w:rPr>
          <w:rFonts w:eastAsia="Calibri" w:cstheme="minorHAnsi"/>
          <w:color w:val="000000" w:themeColor="text1"/>
          <w:sz w:val="24"/>
          <w:szCs w:val="24"/>
        </w:rPr>
        <w:t>K100208 Rekonstrukcija državne ceste D126 i izgradnja šetnice i biciklističke staze,</w:t>
      </w:r>
    </w:p>
    <w:p w14:paraId="05A2E748" w14:textId="19294FA9" w:rsidR="005E1FBE" w:rsidRDefault="005E1FBE" w:rsidP="005E1FBE">
      <w:p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Pr>
          <w:rFonts w:eastAsia="Calibri" w:cstheme="minorHAnsi"/>
          <w:color w:val="000000" w:themeColor="text1"/>
          <w:sz w:val="24"/>
          <w:szCs w:val="24"/>
        </w:rPr>
        <w:t xml:space="preserve">       (</w:t>
      </w:r>
      <w:r w:rsidR="0096033B">
        <w:rPr>
          <w:rFonts w:eastAsia="Calibri" w:cstheme="minorHAnsi"/>
          <w:color w:val="000000" w:themeColor="text1"/>
          <w:sz w:val="24"/>
          <w:szCs w:val="24"/>
        </w:rPr>
        <w:t>10</w:t>
      </w:r>
      <w:r>
        <w:rPr>
          <w:rFonts w:eastAsia="Calibri" w:cstheme="minorHAnsi"/>
          <w:color w:val="000000" w:themeColor="text1"/>
          <w:sz w:val="24"/>
          <w:szCs w:val="24"/>
        </w:rPr>
        <w:t xml:space="preserve">) K100209 Provedba mjera prilagodbe klimatskim promjenama </w:t>
      </w:r>
    </w:p>
    <w:p w14:paraId="558F6BA1" w14:textId="50DD9814" w:rsidR="005E1FBE" w:rsidRDefault="005E1FBE" w:rsidP="005E1FBE">
      <w:p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Pr>
          <w:rFonts w:eastAsia="Calibri" w:cstheme="minorHAnsi"/>
          <w:color w:val="000000" w:themeColor="text1"/>
          <w:sz w:val="24"/>
          <w:szCs w:val="24"/>
        </w:rPr>
        <w:t xml:space="preserve">       (1</w:t>
      </w:r>
      <w:r w:rsidR="0096033B">
        <w:rPr>
          <w:rFonts w:eastAsia="Calibri" w:cstheme="minorHAnsi"/>
          <w:color w:val="000000" w:themeColor="text1"/>
          <w:sz w:val="24"/>
          <w:szCs w:val="24"/>
        </w:rPr>
        <w:t>1</w:t>
      </w:r>
      <w:r>
        <w:rPr>
          <w:rFonts w:eastAsia="Calibri" w:cstheme="minorHAnsi"/>
          <w:color w:val="000000" w:themeColor="text1"/>
          <w:sz w:val="24"/>
          <w:szCs w:val="24"/>
        </w:rPr>
        <w:t xml:space="preserve">)K100210 Izgradnja spoja ulice Špira </w:t>
      </w:r>
      <w:proofErr w:type="spellStart"/>
      <w:r>
        <w:rPr>
          <w:rFonts w:eastAsia="Calibri" w:cstheme="minorHAnsi"/>
          <w:color w:val="000000" w:themeColor="text1"/>
          <w:sz w:val="24"/>
          <w:szCs w:val="24"/>
        </w:rPr>
        <w:t>Puovića</w:t>
      </w:r>
      <w:proofErr w:type="spellEnd"/>
      <w:r>
        <w:rPr>
          <w:rFonts w:eastAsia="Calibri" w:cstheme="minorHAnsi"/>
          <w:color w:val="000000" w:themeColor="text1"/>
          <w:sz w:val="24"/>
          <w:szCs w:val="24"/>
        </w:rPr>
        <w:t xml:space="preserve"> na ulicu kralja Tomislava (Ž6134) u TG</w:t>
      </w:r>
    </w:p>
    <w:p w14:paraId="479F1D1A" w14:textId="73C20D0D" w:rsidR="0096033B" w:rsidRDefault="0096033B" w:rsidP="005E1FBE">
      <w:p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Pr>
          <w:rFonts w:eastAsia="Calibri" w:cstheme="minorHAnsi"/>
          <w:color w:val="000000" w:themeColor="text1"/>
          <w:sz w:val="24"/>
          <w:szCs w:val="24"/>
        </w:rPr>
        <w:t xml:space="preserve">       (12) K100211 Uređenje parka kod edukacijsko kulturnog centra „</w:t>
      </w:r>
      <w:proofErr w:type="spellStart"/>
      <w:r>
        <w:rPr>
          <w:rFonts w:eastAsia="Calibri" w:cstheme="minorHAnsi"/>
          <w:color w:val="000000" w:themeColor="text1"/>
          <w:sz w:val="24"/>
          <w:szCs w:val="24"/>
        </w:rPr>
        <w:t>Kantun</w:t>
      </w:r>
      <w:proofErr w:type="spellEnd"/>
      <w:r>
        <w:rPr>
          <w:rFonts w:eastAsia="Calibri" w:cstheme="minorHAnsi"/>
          <w:color w:val="000000" w:themeColor="text1"/>
          <w:sz w:val="24"/>
          <w:szCs w:val="24"/>
        </w:rPr>
        <w:t xml:space="preserve"> kulture“</w:t>
      </w:r>
    </w:p>
    <w:p w14:paraId="00F85ADA" w14:textId="3E1B3BED" w:rsidR="0096033B" w:rsidRDefault="0096033B" w:rsidP="005E1FBE">
      <w:p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Pr>
          <w:rFonts w:eastAsia="Calibri" w:cstheme="minorHAnsi"/>
          <w:color w:val="000000" w:themeColor="text1"/>
          <w:sz w:val="24"/>
          <w:szCs w:val="24"/>
        </w:rPr>
        <w:t xml:space="preserve">       (13) K100212 Uređenje javnih površina na </w:t>
      </w:r>
      <w:proofErr w:type="spellStart"/>
      <w:r>
        <w:rPr>
          <w:rFonts w:eastAsia="Calibri" w:cstheme="minorHAnsi"/>
          <w:color w:val="000000" w:themeColor="text1"/>
          <w:sz w:val="24"/>
          <w:szCs w:val="24"/>
        </w:rPr>
        <w:t>Balančanama</w:t>
      </w:r>
      <w:proofErr w:type="spellEnd"/>
    </w:p>
    <w:p w14:paraId="604CCF64" w14:textId="3960B77B" w:rsidR="0096033B" w:rsidRDefault="005E1FBE" w:rsidP="0096033B">
      <w:p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Pr>
          <w:rFonts w:eastAsia="Calibri" w:cstheme="minorHAnsi"/>
          <w:color w:val="000000" w:themeColor="text1"/>
          <w:sz w:val="24"/>
          <w:szCs w:val="24"/>
        </w:rPr>
        <w:t xml:space="preserve">       (1</w:t>
      </w:r>
      <w:r w:rsidR="0096033B">
        <w:rPr>
          <w:rFonts w:eastAsia="Calibri" w:cstheme="minorHAnsi"/>
          <w:color w:val="000000" w:themeColor="text1"/>
          <w:sz w:val="24"/>
          <w:szCs w:val="24"/>
        </w:rPr>
        <w:t>4</w:t>
      </w:r>
      <w:r>
        <w:rPr>
          <w:rFonts w:eastAsia="Calibri" w:cstheme="minorHAnsi"/>
          <w:color w:val="000000" w:themeColor="text1"/>
          <w:sz w:val="24"/>
          <w:szCs w:val="24"/>
        </w:rPr>
        <w:t>)</w:t>
      </w:r>
      <w:r w:rsidR="0096033B">
        <w:rPr>
          <w:rFonts w:eastAsia="Calibri" w:cstheme="minorHAnsi"/>
          <w:color w:val="000000" w:themeColor="text1"/>
          <w:sz w:val="24"/>
          <w:szCs w:val="24"/>
        </w:rPr>
        <w:t xml:space="preserve"> </w:t>
      </w:r>
      <w:r>
        <w:rPr>
          <w:rFonts w:eastAsia="Calibri" w:cstheme="minorHAnsi"/>
          <w:color w:val="000000" w:themeColor="text1"/>
          <w:sz w:val="24"/>
          <w:szCs w:val="24"/>
        </w:rPr>
        <w:t>K100301 Izgradnja javne rasvjete -I tebe se pita</w:t>
      </w:r>
    </w:p>
    <w:p w14:paraId="3E846A3F" w14:textId="12721A6B" w:rsidR="0096033B" w:rsidRPr="0096033B" w:rsidRDefault="0096033B" w:rsidP="0096033B">
      <w:p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Pr>
          <w:rFonts w:eastAsia="Calibri" w:cstheme="minorHAnsi"/>
          <w:color w:val="000000" w:themeColor="text1"/>
          <w:sz w:val="24"/>
          <w:szCs w:val="24"/>
        </w:rPr>
        <w:t xml:space="preserve">       (15) </w:t>
      </w:r>
      <w:r w:rsidRPr="0096033B">
        <w:rPr>
          <w:rFonts w:eastAsia="Calibri" w:cstheme="minorHAnsi"/>
          <w:bCs/>
          <w:color w:val="000000"/>
          <w:sz w:val="24"/>
          <w:szCs w:val="24"/>
          <w:lang w:eastAsia="ar-SA"/>
        </w:rPr>
        <w:t>K100501 Opremanje dječjeg igrališta te osiguranje pristupačnosti plaže i mora osobama s invaliditetom,</w:t>
      </w:r>
    </w:p>
    <w:p w14:paraId="78ECD68A" w14:textId="5AD0E0AD" w:rsidR="0096033B" w:rsidRPr="0096033B" w:rsidRDefault="0096033B" w:rsidP="0096033B">
      <w:pPr>
        <w:suppressAutoHyphens/>
        <w:spacing w:after="0" w:line="283" w:lineRule="exact"/>
        <w:jc w:val="both"/>
        <w:rPr>
          <w:rFonts w:eastAsia="Times New Roman" w:cstheme="minorHAnsi"/>
          <w:bCs/>
          <w:color w:val="000000"/>
          <w:sz w:val="24"/>
          <w:szCs w:val="24"/>
          <w:lang w:eastAsia="ar-SA"/>
        </w:rPr>
      </w:pPr>
      <w:r>
        <w:rPr>
          <w:rFonts w:eastAsia="Calibri" w:cstheme="minorHAnsi"/>
          <w:bCs/>
          <w:color w:val="000000"/>
          <w:lang w:eastAsia="ar-SA"/>
        </w:rPr>
        <w:t xml:space="preserve">        (16) </w:t>
      </w:r>
      <w:r w:rsidRPr="0096033B">
        <w:rPr>
          <w:rFonts w:eastAsia="Calibri" w:cstheme="minorHAnsi"/>
          <w:bCs/>
          <w:color w:val="000000"/>
          <w:sz w:val="24"/>
          <w:szCs w:val="24"/>
          <w:lang w:eastAsia="ar-SA"/>
        </w:rPr>
        <w:t>K100601 Izgradnja javne garaže „Travarica-istok“.</w:t>
      </w:r>
    </w:p>
    <w:p w14:paraId="061EEE8A" w14:textId="30EF5C4D" w:rsidR="0096033B" w:rsidRDefault="0096033B" w:rsidP="005E1FBE">
      <w:p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p>
    <w:p w14:paraId="4BE66F96" w14:textId="051361DE" w:rsidR="005E1FBE" w:rsidRDefault="005E1FBE" w:rsidP="005E1FBE">
      <w:p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Pr>
          <w:rFonts w:eastAsia="Calibri" w:cstheme="minorHAnsi"/>
          <w:color w:val="000000" w:themeColor="text1"/>
          <w:sz w:val="24"/>
          <w:szCs w:val="24"/>
        </w:rPr>
        <w:t xml:space="preserve">       </w:t>
      </w:r>
      <w:r w:rsidRPr="008435DB">
        <w:rPr>
          <w:rFonts w:eastAsia="Calibri" w:cstheme="minorHAnsi"/>
          <w:color w:val="000000" w:themeColor="text1"/>
          <w:sz w:val="24"/>
          <w:szCs w:val="24"/>
        </w:rPr>
        <w:t>U programu Građevine komunalne infrastrukture koje će se graditi u uređenim dijelovima građevinskog područja planirana su sredstva za 1 aktivnost i 1</w:t>
      </w:r>
      <w:r w:rsidR="0096033B">
        <w:rPr>
          <w:rFonts w:eastAsia="Calibri" w:cstheme="minorHAnsi"/>
          <w:color w:val="000000" w:themeColor="text1"/>
          <w:sz w:val="24"/>
          <w:szCs w:val="24"/>
        </w:rPr>
        <w:t>5</w:t>
      </w:r>
      <w:r w:rsidRPr="008435DB">
        <w:rPr>
          <w:rFonts w:eastAsia="Calibri" w:cstheme="minorHAnsi"/>
          <w:color w:val="000000" w:themeColor="text1"/>
          <w:sz w:val="24"/>
          <w:szCs w:val="24"/>
        </w:rPr>
        <w:t xml:space="preserve"> kapitalnih projekata u iznosu od </w:t>
      </w:r>
      <w:r w:rsidR="0096033B">
        <w:rPr>
          <w:rFonts w:eastAsia="Calibri" w:cstheme="minorHAnsi"/>
          <w:color w:val="000000" w:themeColor="text1"/>
          <w:sz w:val="24"/>
          <w:szCs w:val="24"/>
        </w:rPr>
        <w:t>1.237.168,00</w:t>
      </w:r>
      <w:r w:rsidRPr="008435DB">
        <w:rPr>
          <w:rFonts w:eastAsia="Calibri" w:cstheme="minorHAnsi"/>
          <w:color w:val="000000" w:themeColor="text1"/>
          <w:sz w:val="24"/>
          <w:szCs w:val="24"/>
        </w:rPr>
        <w:t xml:space="preserve"> eura.</w:t>
      </w:r>
    </w:p>
    <w:p w14:paraId="308AA795" w14:textId="77777777" w:rsidR="005E1FBE" w:rsidRDefault="005E1FBE" w:rsidP="006B6A86">
      <w:pPr>
        <w:spacing w:after="0"/>
        <w:jc w:val="both"/>
        <w:rPr>
          <w:rFonts w:cstheme="minorHAnsi"/>
          <w:sz w:val="24"/>
          <w:szCs w:val="24"/>
          <w:u w:val="single"/>
        </w:rPr>
      </w:pPr>
    </w:p>
    <w:p w14:paraId="24E4A886" w14:textId="58DF665C" w:rsidR="005E1FBE" w:rsidRDefault="005E1FBE" w:rsidP="005E1FBE">
      <w:pPr>
        <w:spacing w:after="0"/>
        <w:jc w:val="both"/>
        <w:rPr>
          <w:rFonts w:cstheme="minorHAnsi"/>
          <w:sz w:val="24"/>
          <w:szCs w:val="24"/>
          <w:lang w:eastAsia="hr-HR"/>
        </w:rPr>
      </w:pPr>
      <w:r w:rsidRPr="0016642C">
        <w:rPr>
          <w:rFonts w:cstheme="minorHAnsi"/>
          <w:sz w:val="24"/>
          <w:szCs w:val="24"/>
          <w:u w:val="single"/>
          <w:lang w:eastAsia="hr-HR"/>
        </w:rPr>
        <w:t>Kapitalni projekt Geodetski snimak nerazvrstanih cesta</w:t>
      </w:r>
      <w:r>
        <w:rPr>
          <w:rFonts w:cstheme="minorHAnsi"/>
          <w:sz w:val="24"/>
          <w:szCs w:val="24"/>
          <w:lang w:eastAsia="hr-HR"/>
        </w:rPr>
        <w:t xml:space="preserve"> </w:t>
      </w:r>
      <w:r w:rsidRPr="000C0B91">
        <w:rPr>
          <w:rFonts w:cstheme="minorHAnsi"/>
          <w:sz w:val="24"/>
          <w:szCs w:val="24"/>
          <w:lang w:eastAsia="hr-HR"/>
        </w:rPr>
        <w:t>odnosi se na uslugu izrade geodetskih snimaka</w:t>
      </w:r>
      <w:r>
        <w:rPr>
          <w:rFonts w:cstheme="minorHAnsi"/>
          <w:sz w:val="24"/>
          <w:szCs w:val="24"/>
          <w:lang w:eastAsia="hr-HR"/>
        </w:rPr>
        <w:t xml:space="preserve"> i </w:t>
      </w:r>
      <w:r w:rsidRPr="000C0B91">
        <w:rPr>
          <w:rFonts w:cstheme="minorHAnsi"/>
          <w:sz w:val="24"/>
          <w:szCs w:val="24"/>
          <w:lang w:eastAsia="hr-HR"/>
        </w:rPr>
        <w:t>izrade geodetskih elaborata nerazvrstanih cesta, kao preduvjet za uređenje nerazvrstanih cesta</w:t>
      </w:r>
      <w:r>
        <w:rPr>
          <w:rFonts w:cstheme="minorHAnsi"/>
          <w:sz w:val="24"/>
          <w:szCs w:val="24"/>
          <w:lang w:eastAsia="hr-HR"/>
        </w:rPr>
        <w:t xml:space="preserve">, planirana sredstva za navedeni projekt iznose </w:t>
      </w:r>
      <w:r w:rsidR="0096033B">
        <w:rPr>
          <w:rFonts w:cstheme="minorHAnsi"/>
          <w:sz w:val="24"/>
          <w:szCs w:val="24"/>
          <w:lang w:eastAsia="hr-HR"/>
        </w:rPr>
        <w:t>3.500,00</w:t>
      </w:r>
      <w:r>
        <w:rPr>
          <w:rFonts w:cstheme="minorHAnsi"/>
          <w:sz w:val="24"/>
          <w:szCs w:val="24"/>
          <w:lang w:eastAsia="hr-HR"/>
        </w:rPr>
        <w:t xml:space="preserve"> eura, a realizirano je </w:t>
      </w:r>
      <w:r w:rsidR="0096033B">
        <w:rPr>
          <w:rFonts w:cstheme="minorHAnsi"/>
          <w:sz w:val="24"/>
          <w:szCs w:val="24"/>
          <w:lang w:eastAsia="hr-HR"/>
        </w:rPr>
        <w:t>2.625</w:t>
      </w:r>
      <w:r>
        <w:rPr>
          <w:rFonts w:cstheme="minorHAnsi"/>
          <w:sz w:val="24"/>
          <w:szCs w:val="24"/>
          <w:lang w:eastAsia="hr-HR"/>
        </w:rPr>
        <w:t xml:space="preserve"> eura i odnose se na izradu geodetskog snimka nerazvrstanih cesta na području Grada.</w:t>
      </w:r>
    </w:p>
    <w:p w14:paraId="3B42FFA1" w14:textId="77777777" w:rsidR="0096033B" w:rsidRDefault="0096033B" w:rsidP="005E1FBE">
      <w:pPr>
        <w:spacing w:after="0"/>
        <w:jc w:val="both"/>
        <w:rPr>
          <w:rFonts w:cstheme="minorHAnsi"/>
          <w:sz w:val="24"/>
          <w:szCs w:val="24"/>
          <w:lang w:eastAsia="hr-HR"/>
        </w:rPr>
      </w:pPr>
    </w:p>
    <w:p w14:paraId="3B45200D" w14:textId="77777777" w:rsidR="0096033B" w:rsidRPr="0096033B" w:rsidRDefault="005E1FBE" w:rsidP="0096033B">
      <w:pPr>
        <w:suppressAutoHyphens/>
        <w:spacing w:after="0" w:line="280" w:lineRule="exact"/>
        <w:jc w:val="both"/>
        <w:rPr>
          <w:rFonts w:eastAsia="Times New Roman" w:cstheme="minorHAnsi"/>
          <w:sz w:val="24"/>
          <w:szCs w:val="24"/>
          <w:lang w:eastAsia="ar-SA"/>
        </w:rPr>
      </w:pPr>
      <w:r w:rsidRPr="00143CF4">
        <w:rPr>
          <w:rFonts w:eastAsia="Calibri" w:cstheme="minorHAnsi"/>
          <w:color w:val="000000" w:themeColor="text1"/>
          <w:sz w:val="24"/>
          <w:szCs w:val="24"/>
          <w:u w:val="single"/>
        </w:rPr>
        <w:t xml:space="preserve">Kapitalni projekt Uređenje parka </w:t>
      </w:r>
      <w:proofErr w:type="spellStart"/>
      <w:r w:rsidRPr="00143CF4">
        <w:rPr>
          <w:rFonts w:eastAsia="Calibri" w:cstheme="minorHAnsi"/>
          <w:color w:val="000000" w:themeColor="text1"/>
          <w:sz w:val="24"/>
          <w:szCs w:val="24"/>
          <w:u w:val="single"/>
        </w:rPr>
        <w:t>Fortin</w:t>
      </w:r>
      <w:proofErr w:type="spellEnd"/>
      <w:r>
        <w:rPr>
          <w:rFonts w:ascii="Arial Narrow" w:hAnsi="Arial Narrow" w:cs="Arial"/>
        </w:rPr>
        <w:t xml:space="preserve"> </w:t>
      </w:r>
      <w:r w:rsidRPr="00143CF4">
        <w:rPr>
          <w:rFonts w:cstheme="minorHAnsi"/>
          <w:sz w:val="24"/>
          <w:szCs w:val="24"/>
        </w:rPr>
        <w:t xml:space="preserve">obuhvaća izradu projektne dokumentacije uređenja parka </w:t>
      </w:r>
      <w:proofErr w:type="spellStart"/>
      <w:r w:rsidRPr="00143CF4">
        <w:rPr>
          <w:rFonts w:cstheme="minorHAnsi"/>
          <w:sz w:val="24"/>
          <w:szCs w:val="24"/>
        </w:rPr>
        <w:t>Fortin</w:t>
      </w:r>
      <w:proofErr w:type="spellEnd"/>
      <w:r w:rsidRPr="00143CF4">
        <w:rPr>
          <w:rFonts w:cstheme="minorHAnsi"/>
          <w:sz w:val="24"/>
          <w:szCs w:val="24"/>
        </w:rPr>
        <w:t xml:space="preserve"> te uređenja samog. Projektna dokumentacija uređenja parka </w:t>
      </w:r>
      <w:proofErr w:type="spellStart"/>
      <w:r w:rsidRPr="00143CF4">
        <w:rPr>
          <w:rFonts w:cstheme="minorHAnsi"/>
          <w:sz w:val="24"/>
          <w:szCs w:val="24"/>
        </w:rPr>
        <w:t>Fortin</w:t>
      </w:r>
      <w:proofErr w:type="spellEnd"/>
      <w:r w:rsidRPr="00143CF4">
        <w:rPr>
          <w:rFonts w:cstheme="minorHAnsi"/>
          <w:sz w:val="24"/>
          <w:szCs w:val="24"/>
        </w:rPr>
        <w:t xml:space="preserve"> obuhvaća izradu konzervatorskog elaborata, idejnog rješenja i glavnog projekta (arhitekture, elektroinstalacija, vodovoda i kanalizacije, krajobrazni elaborat). Projektom će se revalorizirati postojeće stanje, proučiti zaključke i smjernice iz konzervatorskog elaborata, rekonstruirati postojeće staze, definirati nove, odrediti njihovu podlogu sukladno kontekstu lokacije, kao i rubne zidiće itd. </w:t>
      </w:r>
      <w:r w:rsidR="0096033B" w:rsidRPr="0096033B">
        <w:rPr>
          <w:rFonts w:eastAsia="Times New Roman" w:cstheme="minorHAnsi"/>
          <w:sz w:val="24"/>
          <w:szCs w:val="24"/>
          <w:lang w:eastAsia="ar-SA"/>
        </w:rPr>
        <w:t xml:space="preserve">U smislu hortikulture, valorizirati postojeći fond zelenila i definirati novi kroz krajobrazni elaborat, kao i navodnjavanje istog. Kroz projekt će se definirati kvalitetna urbana oprema, rasvjeta te cjelokupni kontekst kroz projektiranje urbanog krajobraza, s mogućnošću dodatne vrijednosti prostora kroz kreiranje socijalnih gravitacijskih točaka i aplikaciji šireg dijapazona elemenata urbane opreme (npr. vodenih itd.). </w:t>
      </w:r>
    </w:p>
    <w:p w14:paraId="39E5DBE1" w14:textId="2C3CBA7A" w:rsidR="0096033B" w:rsidRPr="0096033B" w:rsidRDefault="0096033B" w:rsidP="0096033B">
      <w:pPr>
        <w:suppressAutoHyphens/>
        <w:spacing w:after="0" w:line="280" w:lineRule="exact"/>
        <w:jc w:val="both"/>
        <w:rPr>
          <w:rFonts w:eastAsia="Times New Roman" w:cstheme="minorHAnsi"/>
          <w:sz w:val="24"/>
          <w:szCs w:val="24"/>
          <w:lang w:eastAsia="ar-SA"/>
        </w:rPr>
      </w:pPr>
      <w:r w:rsidRPr="0096033B">
        <w:rPr>
          <w:rFonts w:eastAsia="Times New Roman" w:cstheme="minorHAnsi"/>
          <w:sz w:val="24"/>
          <w:szCs w:val="24"/>
          <w:lang w:eastAsia="ar-SA"/>
        </w:rPr>
        <w:t>Predmet ovog projekta je i sanacija postojećeg obalnog zida koji je zbog protoka vremena i vanjskih utjecaja doživio određenja oštećenja i to kako u svom nadmorskom, tako i u podmorskom dijelu konstrukcije prilikom čega može doći do stvaranja novih kopnenih površina minimalnih širina (isto će se utvrditi nakon izrade projektne dokumentacije) u moru bez mijenjanja namjene istih.</w:t>
      </w:r>
      <w:r w:rsidRPr="0096033B">
        <w:rPr>
          <w:rFonts w:eastAsia="Times New Roman" w:cstheme="minorHAnsi"/>
          <w:lang w:eastAsia="ar-SA"/>
        </w:rPr>
        <w:t xml:space="preserve"> </w:t>
      </w:r>
      <w:r w:rsidRPr="0096033B">
        <w:rPr>
          <w:rFonts w:eastAsia="Times New Roman" w:cstheme="minorHAnsi"/>
          <w:sz w:val="24"/>
          <w:szCs w:val="24"/>
          <w:lang w:eastAsia="ar-SA"/>
        </w:rPr>
        <w:t>Za realizaciju predmetnog projekat sklopit će se Ugovor o sufinanciranju s Lučkom upravom SDŽ-e.</w:t>
      </w:r>
      <w:r>
        <w:rPr>
          <w:rFonts w:eastAsia="Times New Roman" w:cstheme="minorHAnsi"/>
          <w:sz w:val="24"/>
          <w:szCs w:val="24"/>
          <w:lang w:eastAsia="ar-SA"/>
        </w:rPr>
        <w:t xml:space="preserve"> </w:t>
      </w:r>
      <w:r w:rsidRPr="0096033B">
        <w:rPr>
          <w:rFonts w:eastAsia="Times New Roman" w:cstheme="minorHAnsi"/>
          <w:sz w:val="24"/>
          <w:szCs w:val="24"/>
          <w:lang w:eastAsia="ar-SA"/>
        </w:rPr>
        <w:t>U 2025. godini planira se izrada Idejnog projekta za ishođenje lokacijske dozvole, te priprema ostale projektne dokumentacije.</w:t>
      </w:r>
    </w:p>
    <w:p w14:paraId="2F87F678" w14:textId="2A520744" w:rsidR="005E1FBE" w:rsidRDefault="005E1FBE" w:rsidP="005E1FBE">
      <w:pPr>
        <w:spacing w:line="283" w:lineRule="exact"/>
        <w:jc w:val="both"/>
        <w:rPr>
          <w:rFonts w:cstheme="minorHAnsi"/>
          <w:sz w:val="24"/>
          <w:szCs w:val="24"/>
        </w:rPr>
      </w:pPr>
      <w:r>
        <w:rPr>
          <w:rFonts w:cstheme="minorHAnsi"/>
          <w:sz w:val="24"/>
          <w:szCs w:val="24"/>
        </w:rPr>
        <w:t xml:space="preserve">Planirana sredstva za navedeni projekt iznose </w:t>
      </w:r>
      <w:r w:rsidR="0096033B">
        <w:rPr>
          <w:rFonts w:cstheme="minorHAnsi"/>
          <w:sz w:val="24"/>
          <w:szCs w:val="24"/>
        </w:rPr>
        <w:t>16.000,00</w:t>
      </w:r>
      <w:r>
        <w:rPr>
          <w:rFonts w:cstheme="minorHAnsi"/>
          <w:sz w:val="24"/>
          <w:szCs w:val="24"/>
        </w:rPr>
        <w:t xml:space="preserve"> eura, a realizirano je </w:t>
      </w:r>
      <w:r w:rsidR="0096033B">
        <w:rPr>
          <w:rFonts w:cstheme="minorHAnsi"/>
          <w:sz w:val="24"/>
          <w:szCs w:val="24"/>
        </w:rPr>
        <w:t>15.948,75</w:t>
      </w:r>
      <w:r>
        <w:rPr>
          <w:rFonts w:cstheme="minorHAnsi"/>
          <w:sz w:val="24"/>
          <w:szCs w:val="24"/>
        </w:rPr>
        <w:t xml:space="preserve"> eura i to za</w:t>
      </w:r>
      <w:r w:rsidR="005C6BF0">
        <w:rPr>
          <w:rFonts w:cstheme="minorHAnsi"/>
          <w:sz w:val="24"/>
          <w:szCs w:val="24"/>
        </w:rPr>
        <w:t xml:space="preserve"> </w:t>
      </w:r>
      <w:r>
        <w:rPr>
          <w:rFonts w:cstheme="minorHAnsi"/>
          <w:sz w:val="24"/>
          <w:szCs w:val="24"/>
        </w:rPr>
        <w:t>uređenj</w:t>
      </w:r>
      <w:r w:rsidR="005C6BF0">
        <w:rPr>
          <w:rFonts w:cstheme="minorHAnsi"/>
          <w:sz w:val="24"/>
          <w:szCs w:val="24"/>
        </w:rPr>
        <w:t>e</w:t>
      </w:r>
      <w:r>
        <w:rPr>
          <w:rFonts w:cstheme="minorHAnsi"/>
          <w:sz w:val="24"/>
          <w:szCs w:val="24"/>
        </w:rPr>
        <w:t xml:space="preserve"> parka </w:t>
      </w:r>
      <w:proofErr w:type="spellStart"/>
      <w:r>
        <w:rPr>
          <w:rFonts w:cstheme="minorHAnsi"/>
          <w:sz w:val="24"/>
          <w:szCs w:val="24"/>
        </w:rPr>
        <w:t>Fortin</w:t>
      </w:r>
      <w:proofErr w:type="spellEnd"/>
      <w:r>
        <w:rPr>
          <w:rFonts w:cstheme="minorHAnsi"/>
          <w:sz w:val="24"/>
          <w:szCs w:val="24"/>
        </w:rPr>
        <w:t>.</w:t>
      </w:r>
    </w:p>
    <w:p w14:paraId="7FC36999" w14:textId="79EA3738" w:rsidR="007E30D6" w:rsidRPr="007E30D6" w:rsidRDefault="007E30D6" w:rsidP="007E30D6">
      <w:pPr>
        <w:spacing w:after="0" w:line="240" w:lineRule="auto"/>
        <w:jc w:val="both"/>
        <w:rPr>
          <w:rFonts w:cstheme="minorHAnsi"/>
          <w:sz w:val="24"/>
          <w:szCs w:val="24"/>
        </w:rPr>
      </w:pPr>
      <w:r w:rsidRPr="007E30D6">
        <w:rPr>
          <w:rFonts w:cstheme="minorHAnsi"/>
          <w:color w:val="000000" w:themeColor="text1"/>
          <w:sz w:val="24"/>
          <w:szCs w:val="24"/>
          <w:u w:val="single"/>
        </w:rPr>
        <w:t xml:space="preserve">Kapitalni projekt Uređenje parka </w:t>
      </w:r>
      <w:proofErr w:type="spellStart"/>
      <w:r w:rsidRPr="007E30D6">
        <w:rPr>
          <w:rFonts w:cstheme="minorHAnsi"/>
          <w:color w:val="000000" w:themeColor="text1"/>
          <w:sz w:val="24"/>
          <w:szCs w:val="24"/>
          <w:u w:val="single"/>
        </w:rPr>
        <w:t>Žudika</w:t>
      </w:r>
      <w:proofErr w:type="spellEnd"/>
      <w:r w:rsidRPr="007E30D6">
        <w:rPr>
          <w:rFonts w:cstheme="minorHAnsi"/>
          <w:color w:val="000000" w:themeColor="text1"/>
          <w:sz w:val="24"/>
          <w:szCs w:val="24"/>
          <w:u w:val="single"/>
        </w:rPr>
        <w:t>,</w:t>
      </w:r>
      <w:r w:rsidRPr="007E30D6">
        <w:rPr>
          <w:rFonts w:eastAsia="Times New Roman" w:cstheme="minorHAnsi"/>
          <w:color w:val="000000"/>
          <w:sz w:val="24"/>
          <w:szCs w:val="24"/>
          <w:lang w:eastAsia="ar-SA"/>
        </w:rPr>
        <w:t xml:space="preserve"> obuhvaća izradu p</w:t>
      </w:r>
      <w:r w:rsidRPr="007E30D6">
        <w:rPr>
          <w:rFonts w:cstheme="minorHAnsi"/>
          <w:color w:val="000000"/>
          <w:sz w:val="24"/>
          <w:szCs w:val="24"/>
          <w:lang w:eastAsia="hr-HR"/>
        </w:rPr>
        <w:t xml:space="preserve">rojektna dokumentacije uređenja parka </w:t>
      </w:r>
      <w:proofErr w:type="spellStart"/>
      <w:r w:rsidRPr="007E30D6">
        <w:rPr>
          <w:rFonts w:cstheme="minorHAnsi"/>
          <w:color w:val="000000"/>
          <w:sz w:val="24"/>
          <w:szCs w:val="24"/>
          <w:lang w:eastAsia="hr-HR"/>
        </w:rPr>
        <w:t>Žudika</w:t>
      </w:r>
      <w:proofErr w:type="spellEnd"/>
      <w:r w:rsidRPr="007E30D6">
        <w:rPr>
          <w:rFonts w:cstheme="minorHAnsi"/>
          <w:color w:val="000000"/>
          <w:sz w:val="24"/>
          <w:szCs w:val="24"/>
          <w:lang w:eastAsia="hr-HR"/>
        </w:rPr>
        <w:t xml:space="preserve">, izradu konzervatorskog elaborata, idejnog rješenja i glavnog projekta (arhitekture, elektroinstalacija, vodovoda i kanalizacije, krajobrazni elaborat). Projektom će se revalorizirati postojeće stanje, proučiti zaključke i smjernice iz konzervatorskog elaborata, sagledati mogućnost proširenja istočnog ruba parka i suženja šetnice po obodu, rekonstruirati postojeće staze, definirati nove, odrediti njihovu podlogu sukladno kontekstu lokacije, kao i rubne zidiće itd. Predvidjeti će se uklanjanje svjetlećih reklamnih elemenata, rekonstruirati </w:t>
      </w:r>
      <w:r w:rsidRPr="007E30D6">
        <w:rPr>
          <w:rFonts w:cstheme="minorHAnsi"/>
          <w:color w:val="000000"/>
          <w:sz w:val="24"/>
          <w:szCs w:val="24"/>
          <w:lang w:eastAsia="hr-HR"/>
        </w:rPr>
        <w:lastRenderedPageBreak/>
        <w:t xml:space="preserve">postojeći bunker. U smislu hortikulture, valorizirati postojeći fond zelenila i definirati novi kroz krajobrazni elaborat, kao i navodnjavanje istog. Kroz projekt će se definirati kvalitetna urbana oprema, rasvjeta te cjelokupni kontekst kroz projektiranje urbanog krajobraza, s mogućnošću dodatne vrijednosti prostora kroz kreiranje socijalnih gravitacijskih točaka i aplikaciji šireg dijapazona elemenata urbane opreme (npr. vodenih itd.). Uređenjem parka će se predvidjeti skulptura kao buduća akcentna točka koja će svoje oblikovanje </w:t>
      </w:r>
      <w:proofErr w:type="spellStart"/>
      <w:r w:rsidRPr="007E30D6">
        <w:rPr>
          <w:rFonts w:cstheme="minorHAnsi"/>
          <w:color w:val="000000"/>
          <w:sz w:val="24"/>
          <w:szCs w:val="24"/>
          <w:lang w:eastAsia="hr-HR"/>
        </w:rPr>
        <w:t>konceptualizirati</w:t>
      </w:r>
      <w:proofErr w:type="spellEnd"/>
      <w:r w:rsidRPr="007E30D6">
        <w:rPr>
          <w:rFonts w:cstheme="minorHAnsi"/>
          <w:color w:val="000000"/>
          <w:sz w:val="24"/>
          <w:szCs w:val="24"/>
          <w:lang w:eastAsia="hr-HR"/>
        </w:rPr>
        <w:t xml:space="preserve"> iz konteksta zadanog uređenja. Nakon izrade projektne dokumentacije planira se početak izvođenja radova. Planirana sredstva za navedeni projekt iznose 98.154,00 eura, a realizirano je 35.828,44 eura ili 36,50% plana i to za  </w:t>
      </w:r>
      <w:r w:rsidRPr="007E30D6">
        <w:rPr>
          <w:sz w:val="24"/>
          <w:szCs w:val="24"/>
        </w:rPr>
        <w:t>izradu mišljenja te idejnog i glavno</w:t>
      </w:r>
      <w:r>
        <w:rPr>
          <w:sz w:val="24"/>
          <w:szCs w:val="24"/>
        </w:rPr>
        <w:t>g</w:t>
      </w:r>
      <w:r w:rsidRPr="007E30D6">
        <w:rPr>
          <w:sz w:val="24"/>
          <w:szCs w:val="24"/>
        </w:rPr>
        <w:t xml:space="preserve"> projekta rekonstrukcije parka </w:t>
      </w:r>
      <w:proofErr w:type="spellStart"/>
      <w:r w:rsidRPr="007E30D6">
        <w:rPr>
          <w:sz w:val="24"/>
          <w:szCs w:val="24"/>
        </w:rPr>
        <w:t>Žudika</w:t>
      </w:r>
      <w:proofErr w:type="spellEnd"/>
      <w:r w:rsidRPr="007E30D6">
        <w:rPr>
          <w:sz w:val="24"/>
          <w:szCs w:val="24"/>
        </w:rPr>
        <w:t>.</w:t>
      </w:r>
    </w:p>
    <w:p w14:paraId="5FE4A7AD" w14:textId="77777777" w:rsidR="00091E22" w:rsidRDefault="00091E22" w:rsidP="001160A1">
      <w:pPr>
        <w:spacing w:line="283" w:lineRule="exact"/>
        <w:jc w:val="both"/>
        <w:rPr>
          <w:rFonts w:cstheme="minorHAnsi"/>
          <w:sz w:val="24"/>
          <w:szCs w:val="24"/>
        </w:rPr>
      </w:pPr>
    </w:p>
    <w:p w14:paraId="25624D3A" w14:textId="158883AD" w:rsidR="001160A1" w:rsidRPr="001160A1" w:rsidRDefault="00C10EFE" w:rsidP="001160A1">
      <w:pPr>
        <w:spacing w:line="283" w:lineRule="exact"/>
        <w:jc w:val="both"/>
        <w:rPr>
          <w:rStyle w:val="fontstyle01"/>
          <w:rFonts w:asciiTheme="minorHAnsi" w:hAnsiTheme="minorHAnsi" w:cstheme="minorHAnsi"/>
          <w:color w:val="auto"/>
          <w:sz w:val="24"/>
          <w:szCs w:val="24"/>
        </w:rPr>
      </w:pPr>
      <w:r w:rsidRPr="007E30D6">
        <w:rPr>
          <w:rFonts w:cstheme="minorHAnsi"/>
          <w:sz w:val="24"/>
          <w:szCs w:val="24"/>
          <w:u w:val="single"/>
        </w:rPr>
        <w:t xml:space="preserve">Kapitalni projekt Rekonstrukcija obalnog zida u parku </w:t>
      </w:r>
      <w:proofErr w:type="spellStart"/>
      <w:r w:rsidRPr="007E30D6">
        <w:rPr>
          <w:rFonts w:cstheme="minorHAnsi"/>
          <w:sz w:val="24"/>
          <w:szCs w:val="24"/>
          <w:u w:val="single"/>
        </w:rPr>
        <w:t>Žudika</w:t>
      </w:r>
      <w:proofErr w:type="spellEnd"/>
      <w:r w:rsidRPr="00C10EFE">
        <w:rPr>
          <w:rFonts w:cstheme="minorHAnsi"/>
          <w:sz w:val="24"/>
          <w:szCs w:val="24"/>
        </w:rPr>
        <w:t xml:space="preserve">, </w:t>
      </w:r>
      <w:r w:rsidRPr="00C10EFE">
        <w:rPr>
          <w:rStyle w:val="fontstyle01"/>
          <w:rFonts w:cstheme="minorHAnsi"/>
          <w:sz w:val="24"/>
          <w:szCs w:val="24"/>
        </w:rPr>
        <w:t xml:space="preserve">predmetni zahvat prostorno je smješten na lokaciji obale unutar stare gradske jezgre zapadno od mosta preko,, </w:t>
      </w:r>
      <w:proofErr w:type="spellStart"/>
      <w:r w:rsidRPr="00C10EFE">
        <w:rPr>
          <w:rStyle w:val="fontstyle01"/>
          <w:rFonts w:cstheme="minorHAnsi"/>
          <w:sz w:val="24"/>
          <w:szCs w:val="24"/>
        </w:rPr>
        <w:t>Foše</w:t>
      </w:r>
      <w:proofErr w:type="spellEnd"/>
      <w:r w:rsidRPr="00C10EFE">
        <w:rPr>
          <w:rStyle w:val="fontstyle01"/>
          <w:rFonts w:cstheme="minorHAnsi"/>
          <w:sz w:val="24"/>
          <w:szCs w:val="24"/>
        </w:rPr>
        <w:t xml:space="preserve"> ,, na dijelu </w:t>
      </w:r>
      <w:proofErr w:type="spellStart"/>
      <w:r w:rsidRPr="00C10EFE">
        <w:rPr>
          <w:rStyle w:val="fontstyle01"/>
          <w:rFonts w:cstheme="minorHAnsi"/>
          <w:sz w:val="24"/>
          <w:szCs w:val="24"/>
        </w:rPr>
        <w:t>k.č.z</w:t>
      </w:r>
      <w:proofErr w:type="spellEnd"/>
      <w:r w:rsidRPr="00C10EFE">
        <w:rPr>
          <w:rStyle w:val="fontstyle01"/>
          <w:rFonts w:cstheme="minorHAnsi"/>
          <w:sz w:val="24"/>
          <w:szCs w:val="24"/>
        </w:rPr>
        <w:t>. 3772 k.o. Trogir, a sama građevina je u cijelosti na vanjskom otvorenom prostoru te u sklopu</w:t>
      </w:r>
      <w:r w:rsidRPr="00C10EFE">
        <w:rPr>
          <w:rFonts w:cstheme="minorHAnsi"/>
          <w:sz w:val="24"/>
          <w:szCs w:val="24"/>
        </w:rPr>
        <w:t xml:space="preserve"> </w:t>
      </w:r>
      <w:r w:rsidRPr="00C10EFE">
        <w:rPr>
          <w:rStyle w:val="fontstyle01"/>
          <w:rFonts w:cstheme="minorHAnsi"/>
          <w:sz w:val="24"/>
          <w:szCs w:val="24"/>
        </w:rPr>
        <w:t>građevine nisu predviđeni nikakvi drugi prateći sadržaji odnosno objekti / zgrade u kojima</w:t>
      </w:r>
      <w:r w:rsidRPr="00C10EFE">
        <w:rPr>
          <w:rFonts w:cstheme="minorHAnsi"/>
          <w:sz w:val="24"/>
          <w:szCs w:val="24"/>
        </w:rPr>
        <w:t xml:space="preserve"> </w:t>
      </w:r>
      <w:r w:rsidRPr="00C10EFE">
        <w:rPr>
          <w:rStyle w:val="fontstyle01"/>
          <w:rFonts w:cstheme="minorHAnsi"/>
          <w:sz w:val="24"/>
          <w:szCs w:val="24"/>
        </w:rPr>
        <w:t>je predviđen boravak ljudi. Postojeći obalni zid prvog segmenta šetnice sastoji se od niza „L“ elemenata koji su</w:t>
      </w:r>
      <w:r w:rsidRPr="00C10EFE">
        <w:rPr>
          <w:rFonts w:cstheme="minorHAnsi"/>
          <w:sz w:val="24"/>
          <w:szCs w:val="24"/>
        </w:rPr>
        <w:t xml:space="preserve"> </w:t>
      </w:r>
      <w:r w:rsidRPr="00C10EFE">
        <w:rPr>
          <w:rStyle w:val="fontstyle01"/>
          <w:rFonts w:cstheme="minorHAnsi"/>
          <w:sz w:val="24"/>
          <w:szCs w:val="24"/>
        </w:rPr>
        <w:t>međusobno spojeni nadmorskim zidom. Predmetni obalni zid je u nadležnosti Lučke Uprave Splitsko Dalmatinske županije.</w:t>
      </w:r>
      <w:r w:rsidR="001160A1">
        <w:rPr>
          <w:rStyle w:val="fontstyle01"/>
          <w:rFonts w:asciiTheme="minorHAnsi" w:hAnsiTheme="minorHAnsi" w:cstheme="minorHAnsi"/>
          <w:color w:val="auto"/>
          <w:sz w:val="24"/>
          <w:szCs w:val="24"/>
        </w:rPr>
        <w:t xml:space="preserve"> </w:t>
      </w:r>
      <w:r w:rsidRPr="00C10EFE">
        <w:rPr>
          <w:rStyle w:val="fontstyle01"/>
          <w:rFonts w:cstheme="minorHAnsi"/>
          <w:sz w:val="24"/>
          <w:szCs w:val="24"/>
        </w:rPr>
        <w:t xml:space="preserve">Samim radovima se planira postavljanje kamenih poklopnica i </w:t>
      </w:r>
      <w:proofErr w:type="spellStart"/>
      <w:r w:rsidRPr="00C10EFE">
        <w:rPr>
          <w:rStyle w:val="fontstyle01"/>
          <w:rFonts w:cstheme="minorHAnsi"/>
          <w:sz w:val="24"/>
          <w:szCs w:val="24"/>
        </w:rPr>
        <w:t>obložnica</w:t>
      </w:r>
      <w:proofErr w:type="spellEnd"/>
      <w:r w:rsidRPr="00C10EFE">
        <w:rPr>
          <w:rStyle w:val="fontstyle01"/>
          <w:rFonts w:cstheme="minorHAnsi"/>
          <w:sz w:val="24"/>
          <w:szCs w:val="24"/>
        </w:rPr>
        <w:t xml:space="preserve"> na rekonstruirani obalni zid i to bez mijenjanja njegovih tlocrtnih gabarita, ali s novom planiranom visinom i podizanje visine šetnice. Projektnom dokumentacijom je potrebno donijeti </w:t>
      </w:r>
      <w:r w:rsidRPr="00C10EFE">
        <w:rPr>
          <w:rFonts w:cstheme="minorHAnsi"/>
          <w:sz w:val="24"/>
          <w:szCs w:val="24"/>
        </w:rPr>
        <w:t>rješenje pomorsko - građevinskih objekata, rješenje uređenja zaobalnih površina (</w:t>
      </w:r>
      <w:proofErr w:type="spellStart"/>
      <w:r w:rsidRPr="00C10EFE">
        <w:rPr>
          <w:rFonts w:cstheme="minorHAnsi"/>
          <w:sz w:val="24"/>
          <w:szCs w:val="24"/>
        </w:rPr>
        <w:t>dužobalna</w:t>
      </w:r>
      <w:proofErr w:type="spellEnd"/>
      <w:r w:rsidRPr="00C10EFE">
        <w:rPr>
          <w:rFonts w:cstheme="minorHAnsi"/>
          <w:sz w:val="24"/>
          <w:szCs w:val="24"/>
        </w:rPr>
        <w:t xml:space="preserve"> šetnica). </w:t>
      </w:r>
      <w:r w:rsidRPr="00C10EFE">
        <w:rPr>
          <w:rStyle w:val="fontstyle01"/>
          <w:rFonts w:cstheme="minorHAnsi"/>
          <w:sz w:val="24"/>
          <w:szCs w:val="24"/>
        </w:rPr>
        <w:t>Glavni razlog uređenja šetnice i obalnog zida su klimatske promjene zbog kojih dolazi do plavljenja predmetne šetnice. U 202</w:t>
      </w:r>
      <w:r w:rsidR="00091E22">
        <w:rPr>
          <w:rStyle w:val="fontstyle01"/>
          <w:rFonts w:cstheme="minorHAnsi"/>
          <w:sz w:val="24"/>
          <w:szCs w:val="24"/>
        </w:rPr>
        <w:t>5</w:t>
      </w:r>
      <w:r w:rsidRPr="00C10EFE">
        <w:rPr>
          <w:rStyle w:val="fontstyle01"/>
          <w:rFonts w:cstheme="minorHAnsi"/>
          <w:sz w:val="24"/>
          <w:szCs w:val="24"/>
        </w:rPr>
        <w:t xml:space="preserve">. godini </w:t>
      </w:r>
      <w:r>
        <w:rPr>
          <w:rStyle w:val="fontstyle01"/>
          <w:rFonts w:cstheme="minorHAnsi"/>
          <w:sz w:val="24"/>
          <w:szCs w:val="24"/>
        </w:rPr>
        <w:t xml:space="preserve">realizirano je </w:t>
      </w:r>
      <w:r w:rsidR="00091E22">
        <w:rPr>
          <w:rStyle w:val="fontstyle01"/>
          <w:rFonts w:cstheme="minorHAnsi"/>
          <w:sz w:val="24"/>
          <w:szCs w:val="24"/>
        </w:rPr>
        <w:t xml:space="preserve">9.037,50 </w:t>
      </w:r>
      <w:r>
        <w:rPr>
          <w:rStyle w:val="fontstyle01"/>
          <w:rFonts w:cstheme="minorHAnsi"/>
          <w:sz w:val="24"/>
          <w:szCs w:val="24"/>
        </w:rPr>
        <w:t xml:space="preserve">eura za </w:t>
      </w:r>
      <w:r w:rsidR="00091E22">
        <w:rPr>
          <w:rStyle w:val="fontstyle01"/>
          <w:rFonts w:cstheme="minorHAnsi"/>
          <w:sz w:val="24"/>
          <w:szCs w:val="24"/>
        </w:rPr>
        <w:t>izradu glavnog projekta rekonstrukcije.</w:t>
      </w:r>
    </w:p>
    <w:p w14:paraId="1F3FDF3F" w14:textId="08341E9D" w:rsidR="00774DB3" w:rsidRPr="00774DB3" w:rsidRDefault="00774DB3" w:rsidP="00774DB3">
      <w:pPr>
        <w:spacing w:after="0" w:line="240" w:lineRule="auto"/>
        <w:jc w:val="both"/>
        <w:rPr>
          <w:sz w:val="24"/>
          <w:szCs w:val="24"/>
        </w:rPr>
      </w:pPr>
      <w:r w:rsidRPr="00774DB3">
        <w:rPr>
          <w:sz w:val="24"/>
          <w:szCs w:val="24"/>
          <w:u w:val="single"/>
        </w:rPr>
        <w:t>Kapitalni projekt Uređenje trga ispred sv.</w:t>
      </w:r>
      <w:r>
        <w:rPr>
          <w:sz w:val="24"/>
          <w:szCs w:val="24"/>
          <w:u w:val="single"/>
        </w:rPr>
        <w:t xml:space="preserve"> </w:t>
      </w:r>
      <w:r w:rsidRPr="00774DB3">
        <w:rPr>
          <w:sz w:val="24"/>
          <w:szCs w:val="24"/>
          <w:u w:val="single"/>
        </w:rPr>
        <w:t>Dominika,</w:t>
      </w:r>
      <w:r w:rsidRPr="00774DB3">
        <w:rPr>
          <w:sz w:val="24"/>
          <w:szCs w:val="24"/>
        </w:rPr>
        <w:t xml:space="preserve"> planirana sredstva za navedeni projekt iznose 463.296,00 eura, a realizirano je 11.250,00 eura i to za dokumentaciju za uređenje trga sv. Dominika.</w:t>
      </w:r>
    </w:p>
    <w:p w14:paraId="22C97ABB" w14:textId="77777777" w:rsidR="00774DB3" w:rsidRDefault="00774DB3" w:rsidP="001E105F">
      <w:pPr>
        <w:spacing w:after="0" w:line="240" w:lineRule="auto"/>
        <w:jc w:val="both"/>
        <w:rPr>
          <w:rFonts w:cstheme="minorHAnsi"/>
          <w:sz w:val="24"/>
          <w:szCs w:val="24"/>
          <w:lang w:eastAsia="hr-HR"/>
        </w:rPr>
      </w:pPr>
    </w:p>
    <w:p w14:paraId="321B7388" w14:textId="2C04F13B" w:rsidR="001E105F" w:rsidRDefault="001E105F" w:rsidP="001E105F">
      <w:pPr>
        <w:spacing w:after="0" w:line="240" w:lineRule="auto"/>
        <w:jc w:val="both"/>
        <w:rPr>
          <w:rFonts w:eastAsia="Times New Roman" w:cstheme="minorHAnsi"/>
          <w:sz w:val="24"/>
          <w:szCs w:val="24"/>
        </w:rPr>
      </w:pPr>
      <w:r w:rsidRPr="00380232">
        <w:rPr>
          <w:sz w:val="24"/>
          <w:szCs w:val="24"/>
          <w:u w:val="single"/>
        </w:rPr>
        <w:t>Kapitalni projekt Geodetski snimak javnih površina</w:t>
      </w:r>
      <w:r w:rsidRPr="00AF2334">
        <w:rPr>
          <w:sz w:val="24"/>
          <w:szCs w:val="24"/>
        </w:rPr>
        <w:t xml:space="preserve"> </w:t>
      </w:r>
      <w:r w:rsidRPr="00AF2334">
        <w:rPr>
          <w:rFonts w:eastAsia="Times New Roman" w:cstheme="minorHAnsi"/>
          <w:sz w:val="24"/>
          <w:szCs w:val="24"/>
        </w:rPr>
        <w:t xml:space="preserve">obuhvaća </w:t>
      </w:r>
      <w:r w:rsidRPr="00AF2334">
        <w:rPr>
          <w:rFonts w:eastAsia="Times New Roman" w:cstheme="minorHAnsi"/>
          <w:sz w:val="24"/>
          <w:szCs w:val="24"/>
          <w:lang w:eastAsia="hr-HR"/>
        </w:rPr>
        <w:t xml:space="preserve">uslugu </w:t>
      </w:r>
      <w:r w:rsidRPr="00AF2334">
        <w:rPr>
          <w:rFonts w:eastAsia="Times New Roman" w:cstheme="minorHAnsi"/>
          <w:sz w:val="24"/>
          <w:szCs w:val="24"/>
        </w:rPr>
        <w:t>izrade Geodetskog snimka, Prijedloga za utvrđivanje pomorskog dobra i Geodetskog elaborata evidentiranja pomorskog dobra</w:t>
      </w:r>
      <w:r w:rsidRPr="00AF2334">
        <w:rPr>
          <w:rFonts w:eastAsia="Times New Roman" w:cstheme="minorHAnsi"/>
          <w:sz w:val="24"/>
          <w:szCs w:val="24"/>
          <w:lang w:eastAsia="hr-HR"/>
        </w:rPr>
        <w:t xml:space="preserve"> </w:t>
      </w:r>
      <w:r w:rsidRPr="00AF2334">
        <w:rPr>
          <w:rFonts w:eastAsia="Times New Roman" w:cstheme="minorHAnsi"/>
          <w:sz w:val="24"/>
          <w:szCs w:val="24"/>
        </w:rPr>
        <w:t>za javne površine</w:t>
      </w:r>
      <w:r>
        <w:rPr>
          <w:rFonts w:eastAsia="Times New Roman" w:cstheme="minorHAnsi"/>
          <w:sz w:val="24"/>
          <w:szCs w:val="24"/>
        </w:rPr>
        <w:t xml:space="preserve">. Planirano je ovim projektom </w:t>
      </w:r>
      <w:r w:rsidR="00774DB3">
        <w:rPr>
          <w:rFonts w:eastAsia="Times New Roman" w:cstheme="minorHAnsi"/>
          <w:sz w:val="24"/>
          <w:szCs w:val="24"/>
        </w:rPr>
        <w:t>20</w:t>
      </w:r>
      <w:r>
        <w:rPr>
          <w:rFonts w:eastAsia="Times New Roman" w:cstheme="minorHAnsi"/>
          <w:sz w:val="24"/>
          <w:szCs w:val="24"/>
        </w:rPr>
        <w:t xml:space="preserve">.000,00 eura, a realizirano je </w:t>
      </w:r>
      <w:r w:rsidR="00774DB3">
        <w:rPr>
          <w:rFonts w:eastAsia="Times New Roman" w:cstheme="minorHAnsi"/>
          <w:sz w:val="24"/>
          <w:szCs w:val="24"/>
        </w:rPr>
        <w:t>1.500,00</w:t>
      </w:r>
      <w:r>
        <w:rPr>
          <w:rFonts w:eastAsia="Times New Roman" w:cstheme="minorHAnsi"/>
          <w:sz w:val="24"/>
          <w:szCs w:val="24"/>
        </w:rPr>
        <w:t xml:space="preserve"> eura ili </w:t>
      </w:r>
      <w:r w:rsidR="00774DB3">
        <w:rPr>
          <w:rFonts w:eastAsia="Times New Roman" w:cstheme="minorHAnsi"/>
          <w:sz w:val="24"/>
          <w:szCs w:val="24"/>
        </w:rPr>
        <w:t>7,50</w:t>
      </w:r>
      <w:r>
        <w:rPr>
          <w:rFonts w:eastAsia="Times New Roman" w:cstheme="minorHAnsi"/>
          <w:sz w:val="24"/>
          <w:szCs w:val="24"/>
        </w:rPr>
        <w:t xml:space="preserve"> % plana i odnosi se na geodetski snimak javnih površina.</w:t>
      </w:r>
    </w:p>
    <w:p w14:paraId="13B91C0C" w14:textId="77777777" w:rsidR="00C10EFE" w:rsidRDefault="00C10EFE" w:rsidP="006B6A86">
      <w:pPr>
        <w:spacing w:after="0"/>
        <w:jc w:val="both"/>
        <w:rPr>
          <w:rFonts w:cstheme="minorHAnsi"/>
          <w:sz w:val="24"/>
          <w:szCs w:val="24"/>
          <w:u w:val="single"/>
        </w:rPr>
      </w:pPr>
    </w:p>
    <w:p w14:paraId="42449EA9" w14:textId="73645094" w:rsidR="00774DB3" w:rsidRDefault="00776A80" w:rsidP="001919C4">
      <w:pPr>
        <w:suppressAutoHyphens/>
        <w:autoSpaceDE w:val="0"/>
        <w:autoSpaceDN w:val="0"/>
        <w:adjustRightInd w:val="0"/>
        <w:spacing w:after="0" w:line="280" w:lineRule="exact"/>
        <w:jc w:val="both"/>
        <w:rPr>
          <w:rFonts w:cstheme="minorHAnsi"/>
          <w:color w:val="000000"/>
          <w:sz w:val="24"/>
          <w:szCs w:val="24"/>
          <w:lang w:eastAsia="ar-SA"/>
        </w:rPr>
      </w:pPr>
      <w:r w:rsidRPr="00ED0020">
        <w:rPr>
          <w:rFonts w:cstheme="minorHAnsi"/>
          <w:sz w:val="24"/>
          <w:szCs w:val="24"/>
          <w:u w:val="single"/>
          <w:lang w:eastAsia="hr-HR"/>
        </w:rPr>
        <w:t xml:space="preserve">Kapitalni projekt Rekonstrukcija postojećeg mosta u </w:t>
      </w:r>
      <w:proofErr w:type="spellStart"/>
      <w:r w:rsidRPr="00ED0020">
        <w:rPr>
          <w:rFonts w:cstheme="minorHAnsi"/>
          <w:sz w:val="24"/>
          <w:szCs w:val="24"/>
          <w:u w:val="single"/>
          <w:lang w:eastAsia="hr-HR"/>
        </w:rPr>
        <w:t>Foši</w:t>
      </w:r>
      <w:proofErr w:type="spellEnd"/>
      <w:r w:rsidR="00774DB3">
        <w:rPr>
          <w:rFonts w:cstheme="minorHAnsi"/>
          <w:sz w:val="24"/>
          <w:szCs w:val="24"/>
          <w:u w:val="single"/>
          <w:lang w:eastAsia="hr-HR"/>
        </w:rPr>
        <w:t>,</w:t>
      </w:r>
      <w:r w:rsidRPr="00F61FCF">
        <w:rPr>
          <w:rFonts w:cstheme="minorHAnsi"/>
          <w:b/>
          <w:sz w:val="24"/>
          <w:szCs w:val="24"/>
          <w:lang w:eastAsia="hr-HR"/>
        </w:rPr>
        <w:t xml:space="preserve"> </w:t>
      </w:r>
      <w:r w:rsidR="00A776AB">
        <w:rPr>
          <w:rFonts w:eastAsia="Times New Roman" w:cstheme="minorHAnsi"/>
          <w:color w:val="000000"/>
          <w:sz w:val="24"/>
          <w:szCs w:val="24"/>
          <w:lang w:eastAsia="ar-SA"/>
        </w:rPr>
        <w:t>u</w:t>
      </w:r>
      <w:r w:rsidR="00774DB3" w:rsidRPr="00774DB3">
        <w:rPr>
          <w:rFonts w:eastAsia="Times New Roman" w:cstheme="minorHAnsi"/>
          <w:color w:val="000000"/>
          <w:sz w:val="24"/>
          <w:szCs w:val="24"/>
          <w:lang w:eastAsia="ar-SA"/>
        </w:rPr>
        <w:t xml:space="preserve"> 2025. godini planirana su sredstva za eventualne dodatne radove nakon tehničkog pregleda</w:t>
      </w:r>
      <w:r w:rsidR="00774DB3">
        <w:rPr>
          <w:rFonts w:eastAsia="Times New Roman" w:cstheme="minorHAnsi"/>
          <w:color w:val="000000"/>
          <w:sz w:val="24"/>
          <w:szCs w:val="24"/>
          <w:lang w:eastAsia="ar-SA"/>
        </w:rPr>
        <w:t xml:space="preserve">, uređenje pristupne staze unutar parka  </w:t>
      </w:r>
      <w:proofErr w:type="spellStart"/>
      <w:r w:rsidR="00774DB3">
        <w:rPr>
          <w:rFonts w:eastAsia="Times New Roman" w:cstheme="minorHAnsi"/>
          <w:color w:val="000000"/>
          <w:sz w:val="24"/>
          <w:szCs w:val="24"/>
          <w:lang w:eastAsia="ar-SA"/>
        </w:rPr>
        <w:t>Fortin</w:t>
      </w:r>
      <w:proofErr w:type="spellEnd"/>
      <w:r w:rsidR="00774DB3">
        <w:rPr>
          <w:rFonts w:eastAsia="Times New Roman" w:cstheme="minorHAnsi"/>
          <w:color w:val="000000"/>
          <w:sz w:val="24"/>
          <w:szCs w:val="24"/>
          <w:lang w:eastAsia="ar-SA"/>
        </w:rPr>
        <w:t>.</w:t>
      </w:r>
      <w:r w:rsidR="00774DB3">
        <w:rPr>
          <w:rFonts w:cstheme="minorHAnsi"/>
          <w:color w:val="000000"/>
          <w:sz w:val="24"/>
          <w:szCs w:val="24"/>
          <w:lang w:eastAsia="ar-SA"/>
        </w:rPr>
        <w:t xml:space="preserve"> </w:t>
      </w:r>
      <w:r w:rsidR="001919C4">
        <w:rPr>
          <w:rFonts w:cstheme="minorHAnsi"/>
          <w:color w:val="000000"/>
          <w:sz w:val="24"/>
          <w:szCs w:val="24"/>
          <w:lang w:eastAsia="ar-SA"/>
        </w:rPr>
        <w:t xml:space="preserve">Po ovom projektu realizirano je 9.450,38 eura i to za okončanu situaciju uređenja pristupne pješačke staze prema mostu u </w:t>
      </w:r>
      <w:proofErr w:type="spellStart"/>
      <w:r w:rsidR="001919C4">
        <w:rPr>
          <w:rFonts w:cstheme="minorHAnsi"/>
          <w:color w:val="000000"/>
          <w:sz w:val="24"/>
          <w:szCs w:val="24"/>
          <w:lang w:eastAsia="ar-SA"/>
        </w:rPr>
        <w:t>Foši</w:t>
      </w:r>
      <w:proofErr w:type="spellEnd"/>
      <w:r w:rsidR="001919C4">
        <w:rPr>
          <w:rFonts w:cstheme="minorHAnsi"/>
          <w:color w:val="000000"/>
          <w:sz w:val="24"/>
          <w:szCs w:val="24"/>
          <w:lang w:eastAsia="ar-SA"/>
        </w:rPr>
        <w:t>.</w:t>
      </w:r>
    </w:p>
    <w:p w14:paraId="0871676A" w14:textId="77777777" w:rsidR="00A776AB" w:rsidRDefault="00A776AB" w:rsidP="001919C4">
      <w:pPr>
        <w:suppressAutoHyphens/>
        <w:autoSpaceDE w:val="0"/>
        <w:autoSpaceDN w:val="0"/>
        <w:adjustRightInd w:val="0"/>
        <w:spacing w:after="0" w:line="280" w:lineRule="exact"/>
        <w:jc w:val="both"/>
        <w:rPr>
          <w:sz w:val="24"/>
          <w:szCs w:val="24"/>
        </w:rPr>
      </w:pPr>
    </w:p>
    <w:p w14:paraId="75227677" w14:textId="03EB9EE3" w:rsidR="001919C4" w:rsidRPr="00A776AB" w:rsidRDefault="00A776AB" w:rsidP="002A52F2">
      <w:pPr>
        <w:spacing w:line="283" w:lineRule="exact"/>
        <w:jc w:val="both"/>
        <w:rPr>
          <w:sz w:val="24"/>
          <w:szCs w:val="24"/>
        </w:rPr>
      </w:pPr>
      <w:r w:rsidRPr="00ED0020">
        <w:rPr>
          <w:rFonts w:cstheme="minorHAnsi"/>
          <w:sz w:val="24"/>
          <w:szCs w:val="24"/>
          <w:u w:val="single"/>
          <w:lang w:eastAsia="hr-HR"/>
        </w:rPr>
        <w:t xml:space="preserve">Kapitalni projekt Rekonstrukcija </w:t>
      </w:r>
      <w:r>
        <w:rPr>
          <w:rFonts w:cstheme="minorHAnsi"/>
          <w:sz w:val="24"/>
          <w:szCs w:val="24"/>
          <w:u w:val="single"/>
          <w:lang w:eastAsia="hr-HR"/>
        </w:rPr>
        <w:t xml:space="preserve">državne ceste D126 i Izgradnja šetnice i biciklističke staze, </w:t>
      </w:r>
      <w:r w:rsidRPr="00DB0336">
        <w:rPr>
          <w:rFonts w:eastAsia="Times New Roman" w:cstheme="minorHAnsi"/>
          <w:color w:val="000000"/>
          <w:lang w:eastAsia="ar-SA"/>
        </w:rPr>
        <w:t xml:space="preserve"> </w:t>
      </w:r>
      <w:r w:rsidRPr="00A776AB">
        <w:rPr>
          <w:rFonts w:eastAsia="Times New Roman" w:cstheme="minorHAnsi"/>
          <w:color w:val="000000"/>
          <w:sz w:val="24"/>
          <w:szCs w:val="24"/>
          <w:lang w:eastAsia="hr-HR"/>
        </w:rPr>
        <w:t xml:space="preserve">obuhvaća izradu projektne dokumentacije kao preduvjeta za realizaciju projekta same rekonstrukcije državne ceste D126 i izgradnje šetnice i biciklističke staze. Predmetni projekt odnosi se na dionicu od </w:t>
      </w:r>
      <w:r w:rsidRPr="00A776AB">
        <w:rPr>
          <w:rFonts w:cstheme="minorHAnsi"/>
          <w:color w:val="000000"/>
          <w:sz w:val="24"/>
          <w:szCs w:val="24"/>
          <w:lang w:eastAsia="ar-SA"/>
        </w:rPr>
        <w:t xml:space="preserve">Mosta hrvatskih branitelja do Slatina (Ulica Put Dionica)  dužina cca 3,8 km </w:t>
      </w:r>
      <w:r w:rsidRPr="00A776AB">
        <w:rPr>
          <w:rFonts w:eastAsia="Times New Roman" w:cstheme="minorHAnsi"/>
          <w:color w:val="000000"/>
          <w:sz w:val="24"/>
          <w:szCs w:val="24"/>
          <w:lang w:eastAsia="hr-HR"/>
        </w:rPr>
        <w:t>i planira se realizirati u suradnji s Hrvatskim cestama u čijoj je nadležnosti D126, te se sukladno tome u realizaciji ovog projekta planira sufinanciranje od strane Hrvatskih cesta. Gradsko vijeće Grada Trogira dana 10. prosinca 2021.g. donijelo je Odluku o davanju suglasnosti za sklapanje načelnog sporazuma o sufinanciranju između Grada Trogira i Hrvatskih cesta, KLASA: 402-01/21-01/8, URBROJ: 2184/01-31/05-21-4</w:t>
      </w:r>
      <w:r>
        <w:rPr>
          <w:rFonts w:eastAsia="Times New Roman" w:cstheme="minorHAnsi"/>
          <w:color w:val="000000"/>
          <w:sz w:val="24"/>
          <w:szCs w:val="24"/>
          <w:lang w:eastAsia="hr-HR"/>
        </w:rPr>
        <w:t xml:space="preserve">, po ovom projektu </w:t>
      </w:r>
      <w:r>
        <w:rPr>
          <w:rFonts w:eastAsia="Times New Roman" w:cstheme="minorHAnsi"/>
          <w:color w:val="000000"/>
          <w:sz w:val="24"/>
          <w:szCs w:val="24"/>
          <w:lang w:eastAsia="hr-HR"/>
        </w:rPr>
        <w:lastRenderedPageBreak/>
        <w:t xml:space="preserve">realizirano je 14.707,34 eura i to za izradu idejnog projekta za rekonstrukciju državne ceste D126 </w:t>
      </w:r>
      <w:proofErr w:type="spellStart"/>
      <w:r>
        <w:rPr>
          <w:rFonts w:eastAsia="Times New Roman" w:cstheme="minorHAnsi"/>
          <w:color w:val="000000"/>
          <w:sz w:val="24"/>
          <w:szCs w:val="24"/>
          <w:lang w:eastAsia="hr-HR"/>
        </w:rPr>
        <w:t>Mastrinka</w:t>
      </w:r>
      <w:proofErr w:type="spellEnd"/>
      <w:r>
        <w:rPr>
          <w:rFonts w:eastAsia="Times New Roman" w:cstheme="minorHAnsi"/>
          <w:color w:val="000000"/>
          <w:sz w:val="24"/>
          <w:szCs w:val="24"/>
          <w:lang w:eastAsia="hr-HR"/>
        </w:rPr>
        <w:t>-Slatine.</w:t>
      </w:r>
    </w:p>
    <w:p w14:paraId="70CE0F98" w14:textId="2006F12D" w:rsidR="002A52F2" w:rsidRPr="002A52F2" w:rsidRDefault="002A52F2" w:rsidP="002A52F2">
      <w:pPr>
        <w:spacing w:line="283" w:lineRule="exact"/>
        <w:jc w:val="both"/>
        <w:rPr>
          <w:sz w:val="24"/>
          <w:szCs w:val="24"/>
        </w:rPr>
      </w:pPr>
      <w:r w:rsidRPr="002A52F2">
        <w:rPr>
          <w:sz w:val="24"/>
          <w:szCs w:val="24"/>
          <w:u w:val="single"/>
        </w:rPr>
        <w:t>Kapitalni projekt Provedba mjera prilagodbe klimatskim promjenama</w:t>
      </w:r>
      <w:r w:rsidRPr="002A52F2">
        <w:rPr>
          <w:sz w:val="24"/>
          <w:szCs w:val="24"/>
        </w:rPr>
        <w:t xml:space="preserve"> </w:t>
      </w:r>
      <w:r w:rsidRPr="002A52F2">
        <w:rPr>
          <w:rFonts w:cstheme="minorHAnsi"/>
          <w:sz w:val="24"/>
          <w:szCs w:val="24"/>
        </w:rPr>
        <w:t>ima cilj jačanja otpornosti urbanih područja  na antropogene pritiske uvjetovane klimatskim promjenama i to formiranjem novih zelenih površina, povećanjem površina pod krošnjama sadnjom pojedinačnih i grupe stabala te izgradnjom javnih slavina s zdravstveno ispravnom pitkom vodom. Za projekt ugovoreno sufinanciranje od strane Fonda za zaštitu okoliša i energetsku učinkovitost. U 202</w:t>
      </w:r>
      <w:r w:rsidR="00A776AB">
        <w:rPr>
          <w:rFonts w:cstheme="minorHAnsi"/>
          <w:sz w:val="24"/>
          <w:szCs w:val="24"/>
        </w:rPr>
        <w:t>5</w:t>
      </w:r>
      <w:r w:rsidRPr="002A52F2">
        <w:rPr>
          <w:rFonts w:cstheme="minorHAnsi"/>
          <w:sz w:val="24"/>
          <w:szCs w:val="24"/>
        </w:rPr>
        <w:t xml:space="preserve">.godini realizirano je po ovom projektu </w:t>
      </w:r>
      <w:r w:rsidR="00A776AB">
        <w:rPr>
          <w:rFonts w:cstheme="minorHAnsi"/>
          <w:sz w:val="24"/>
          <w:szCs w:val="24"/>
        </w:rPr>
        <w:t>21.088,12</w:t>
      </w:r>
      <w:r w:rsidRPr="002A52F2">
        <w:rPr>
          <w:rFonts w:cstheme="minorHAnsi"/>
          <w:sz w:val="24"/>
          <w:szCs w:val="24"/>
        </w:rPr>
        <w:t xml:space="preserve"> eura i to za </w:t>
      </w:r>
      <w:r w:rsidR="00A776AB">
        <w:rPr>
          <w:rFonts w:cstheme="minorHAnsi"/>
          <w:sz w:val="24"/>
          <w:szCs w:val="24"/>
        </w:rPr>
        <w:t>sadnju</w:t>
      </w:r>
      <w:r w:rsidRPr="002A52F2">
        <w:rPr>
          <w:rFonts w:cstheme="minorHAnsi"/>
          <w:sz w:val="24"/>
          <w:szCs w:val="24"/>
        </w:rPr>
        <w:t xml:space="preserve"> stabala  </w:t>
      </w:r>
      <w:r w:rsidRPr="002A52F2">
        <w:rPr>
          <w:color w:val="000000"/>
          <w:sz w:val="24"/>
          <w:szCs w:val="24"/>
        </w:rPr>
        <w:t xml:space="preserve">radi prilagodbe klimatskim promjenama </w:t>
      </w:r>
      <w:r w:rsidR="00A776AB">
        <w:rPr>
          <w:color w:val="000000"/>
          <w:sz w:val="24"/>
          <w:szCs w:val="24"/>
        </w:rPr>
        <w:t>i izgradnju javnih slavina.</w:t>
      </w:r>
    </w:p>
    <w:p w14:paraId="7E6A8E7F" w14:textId="7EEB01EF" w:rsidR="006D1E67" w:rsidRPr="006D1E67" w:rsidRDefault="002A52F2" w:rsidP="006D1E67">
      <w:pPr>
        <w:spacing w:after="0"/>
        <w:jc w:val="both"/>
        <w:rPr>
          <w:rFonts w:cstheme="minorHAnsi"/>
          <w:sz w:val="24"/>
          <w:szCs w:val="24"/>
        </w:rPr>
      </w:pPr>
      <w:r>
        <w:rPr>
          <w:rFonts w:cstheme="minorHAnsi"/>
          <w:sz w:val="24"/>
          <w:szCs w:val="24"/>
          <w:u w:val="single"/>
        </w:rPr>
        <w:t xml:space="preserve">Kapitalni projekt Izgradnja spoja ulice Špira </w:t>
      </w:r>
      <w:proofErr w:type="spellStart"/>
      <w:r>
        <w:rPr>
          <w:rFonts w:cstheme="minorHAnsi"/>
          <w:sz w:val="24"/>
          <w:szCs w:val="24"/>
          <w:u w:val="single"/>
        </w:rPr>
        <w:t>Puovića</w:t>
      </w:r>
      <w:proofErr w:type="spellEnd"/>
      <w:r>
        <w:rPr>
          <w:rFonts w:cstheme="minorHAnsi"/>
          <w:sz w:val="24"/>
          <w:szCs w:val="24"/>
          <w:u w:val="single"/>
        </w:rPr>
        <w:t xml:space="preserve"> na ulicu Kralja Tomislava (Ž6134) u Trogiru </w:t>
      </w:r>
      <w:r w:rsidR="006D1E67" w:rsidRPr="006D1E67">
        <w:rPr>
          <w:rFonts w:cstheme="minorHAnsi"/>
          <w:sz w:val="24"/>
          <w:szCs w:val="24"/>
        </w:rPr>
        <w:t xml:space="preserve">obuhvaća izradu potrebne projektne dokumentacije ( idejni projekt, parcelacijski elaborat, glavni projekt…) s potrebnim izvlaštenjima na </w:t>
      </w:r>
      <w:proofErr w:type="spellStart"/>
      <w:r w:rsidR="006D1E67" w:rsidRPr="006D1E67">
        <w:rPr>
          <w:rFonts w:cstheme="minorHAnsi"/>
          <w:sz w:val="24"/>
          <w:szCs w:val="24"/>
        </w:rPr>
        <w:t>k.č.z</w:t>
      </w:r>
      <w:proofErr w:type="spellEnd"/>
      <w:r w:rsidR="006D1E67" w:rsidRPr="006D1E67">
        <w:rPr>
          <w:rFonts w:cstheme="minorHAnsi"/>
          <w:sz w:val="24"/>
          <w:szCs w:val="24"/>
        </w:rPr>
        <w:t xml:space="preserve">. 6021/19 k.o. Trogir. </w:t>
      </w:r>
    </w:p>
    <w:p w14:paraId="58E9A59B" w14:textId="1402A3EB" w:rsidR="006D1E67" w:rsidRDefault="006D1E67" w:rsidP="00786661">
      <w:pPr>
        <w:spacing w:after="0"/>
        <w:jc w:val="both"/>
        <w:rPr>
          <w:rFonts w:cstheme="minorHAnsi"/>
          <w:sz w:val="24"/>
          <w:szCs w:val="24"/>
        </w:rPr>
      </w:pPr>
      <w:r w:rsidRPr="006D1E67">
        <w:rPr>
          <w:rFonts w:cstheme="minorHAnsi"/>
          <w:sz w:val="24"/>
          <w:szCs w:val="24"/>
        </w:rPr>
        <w:t xml:space="preserve">Potreba za izgradnju novog predmetnog spoja je nastala kao rezultat stanja na terenu,  iz razloga što postojeći spoj ulice Špira </w:t>
      </w:r>
      <w:proofErr w:type="spellStart"/>
      <w:r w:rsidRPr="006D1E67">
        <w:rPr>
          <w:rFonts w:cstheme="minorHAnsi"/>
          <w:sz w:val="24"/>
          <w:szCs w:val="24"/>
        </w:rPr>
        <w:t>Puoviča</w:t>
      </w:r>
      <w:proofErr w:type="spellEnd"/>
      <w:r w:rsidRPr="006D1E67">
        <w:rPr>
          <w:rFonts w:cstheme="minorHAnsi"/>
          <w:sz w:val="24"/>
          <w:szCs w:val="24"/>
        </w:rPr>
        <w:t xml:space="preserve"> na ulicu K. Tomislava ( Ž6134) u Trogiru ne zadovoljava ni minimalne uvjete sigurnog odvijanja prometnog toka vozila i pješaka i nema uređenog nogostupa za kretanje pješaka dok se očekuje se povećanje broja vozila i pješaka. </w:t>
      </w:r>
      <w:r>
        <w:rPr>
          <w:rFonts w:cstheme="minorHAnsi"/>
          <w:sz w:val="24"/>
          <w:szCs w:val="24"/>
        </w:rPr>
        <w:t xml:space="preserve">Planirana sredstva za navedeni projekt iznosila su </w:t>
      </w:r>
      <w:r w:rsidR="00786661">
        <w:rPr>
          <w:rFonts w:cstheme="minorHAnsi"/>
          <w:sz w:val="24"/>
          <w:szCs w:val="24"/>
        </w:rPr>
        <w:t>1.200,00</w:t>
      </w:r>
      <w:r>
        <w:rPr>
          <w:rFonts w:cstheme="minorHAnsi"/>
          <w:sz w:val="24"/>
          <w:szCs w:val="24"/>
        </w:rPr>
        <w:t xml:space="preserve"> eura, a realizirano je </w:t>
      </w:r>
      <w:r w:rsidR="00786661">
        <w:rPr>
          <w:rFonts w:cstheme="minorHAnsi"/>
          <w:sz w:val="24"/>
          <w:szCs w:val="24"/>
        </w:rPr>
        <w:t>1.112,50</w:t>
      </w:r>
      <w:r>
        <w:rPr>
          <w:rFonts w:cstheme="minorHAnsi"/>
          <w:sz w:val="24"/>
          <w:szCs w:val="24"/>
        </w:rPr>
        <w:t xml:space="preserve"> eura ili </w:t>
      </w:r>
      <w:r w:rsidR="00786661">
        <w:rPr>
          <w:rFonts w:cstheme="minorHAnsi"/>
          <w:sz w:val="24"/>
          <w:szCs w:val="24"/>
        </w:rPr>
        <w:t>92,71</w:t>
      </w:r>
      <w:r>
        <w:rPr>
          <w:rFonts w:cstheme="minorHAnsi"/>
          <w:sz w:val="24"/>
          <w:szCs w:val="24"/>
        </w:rPr>
        <w:t>% plana i to za izradu idejnog projekta.</w:t>
      </w:r>
    </w:p>
    <w:p w14:paraId="2BE28C3E" w14:textId="3F30541B" w:rsidR="00786661" w:rsidRPr="00786661" w:rsidRDefault="00786661" w:rsidP="00126665">
      <w:pPr>
        <w:suppressAutoHyphens/>
        <w:spacing w:before="120" w:after="0" w:line="280" w:lineRule="exact"/>
        <w:jc w:val="both"/>
        <w:rPr>
          <w:rFonts w:eastAsia="Calibri" w:cstheme="minorHAnsi"/>
          <w:sz w:val="24"/>
          <w:szCs w:val="24"/>
        </w:rPr>
      </w:pPr>
      <w:r w:rsidRPr="00786661">
        <w:rPr>
          <w:sz w:val="24"/>
          <w:szCs w:val="24"/>
          <w:u w:val="single"/>
        </w:rPr>
        <w:t xml:space="preserve">Kapitalni projekt Uređenje javnih površina na </w:t>
      </w:r>
      <w:proofErr w:type="spellStart"/>
      <w:r w:rsidRPr="00786661">
        <w:rPr>
          <w:sz w:val="24"/>
          <w:szCs w:val="24"/>
          <w:u w:val="single"/>
        </w:rPr>
        <w:t>Balančanama</w:t>
      </w:r>
      <w:proofErr w:type="spellEnd"/>
      <w:r w:rsidRPr="00786661">
        <w:rPr>
          <w:sz w:val="24"/>
          <w:szCs w:val="24"/>
          <w:u w:val="single"/>
        </w:rPr>
        <w:t>,</w:t>
      </w:r>
      <w:r w:rsidRPr="00786661">
        <w:rPr>
          <w:sz w:val="24"/>
          <w:szCs w:val="24"/>
        </w:rPr>
        <w:t xml:space="preserve"> </w:t>
      </w:r>
      <w:r w:rsidRPr="00786661">
        <w:rPr>
          <w:rFonts w:eastAsia="Calibri" w:cstheme="minorHAnsi"/>
          <w:sz w:val="24"/>
          <w:szCs w:val="24"/>
        </w:rPr>
        <w:t xml:space="preserve">odnosi se na sanaciju postojećeg dječjeg igrališta na Balancanama, uređenje parkirališta te kolnih i pješačkih površina oko igrališta. </w:t>
      </w:r>
      <w:r w:rsidR="00126665">
        <w:rPr>
          <w:rFonts w:eastAsia="Calibri" w:cstheme="minorHAnsi"/>
          <w:sz w:val="24"/>
          <w:szCs w:val="24"/>
        </w:rPr>
        <w:t>Planirano je 379.118,00 eura, a realizirano je 225.519,14 eura ili 59,49% plana i to za</w:t>
      </w:r>
      <w:r w:rsidRPr="00786661">
        <w:rPr>
          <w:rFonts w:eastAsia="Calibri" w:cstheme="minorHAnsi"/>
          <w:sz w:val="24"/>
          <w:szCs w:val="24"/>
        </w:rPr>
        <w:t xml:space="preserve"> </w:t>
      </w:r>
    </w:p>
    <w:p w14:paraId="2091315D" w14:textId="2499D4C5" w:rsidR="00126665" w:rsidRDefault="00126665" w:rsidP="00126665">
      <w:pPr>
        <w:spacing w:after="0" w:line="240" w:lineRule="auto"/>
        <w:jc w:val="both"/>
        <w:rPr>
          <w:sz w:val="24"/>
          <w:szCs w:val="24"/>
        </w:rPr>
      </w:pPr>
      <w:r w:rsidRPr="00126665">
        <w:rPr>
          <w:sz w:val="24"/>
          <w:szCs w:val="24"/>
        </w:rPr>
        <w:t xml:space="preserve">radove na sanaciji dječjeg igrališta </w:t>
      </w:r>
      <w:proofErr w:type="spellStart"/>
      <w:r w:rsidRPr="00126665">
        <w:rPr>
          <w:sz w:val="24"/>
          <w:szCs w:val="24"/>
        </w:rPr>
        <w:t>Balančane</w:t>
      </w:r>
      <w:proofErr w:type="spellEnd"/>
      <w:r w:rsidRPr="00126665">
        <w:rPr>
          <w:sz w:val="24"/>
          <w:szCs w:val="24"/>
        </w:rPr>
        <w:t xml:space="preserve"> u iznosu ostvarenja od 69.237,89 eura</w:t>
      </w:r>
      <w:r>
        <w:rPr>
          <w:sz w:val="24"/>
          <w:szCs w:val="24"/>
        </w:rPr>
        <w:t xml:space="preserve">, </w:t>
      </w:r>
      <w:r w:rsidRPr="00126665">
        <w:rPr>
          <w:sz w:val="24"/>
          <w:szCs w:val="24"/>
        </w:rPr>
        <w:t xml:space="preserve">uređenje parkirališta pored dječjeg igrališta na </w:t>
      </w:r>
      <w:proofErr w:type="spellStart"/>
      <w:r w:rsidRPr="00126665">
        <w:rPr>
          <w:sz w:val="24"/>
          <w:szCs w:val="24"/>
        </w:rPr>
        <w:t>Balančanama</w:t>
      </w:r>
      <w:proofErr w:type="spellEnd"/>
      <w:r w:rsidRPr="00126665">
        <w:rPr>
          <w:sz w:val="24"/>
          <w:szCs w:val="24"/>
        </w:rPr>
        <w:t xml:space="preserve"> za projektnu dokumentaciju u iznosu ostvarenja od 3.250,00 eura i nabavu opreme za uređenje dječjeg igrališta na </w:t>
      </w:r>
      <w:proofErr w:type="spellStart"/>
      <w:r w:rsidRPr="00126665">
        <w:rPr>
          <w:sz w:val="24"/>
          <w:szCs w:val="24"/>
        </w:rPr>
        <w:t>Balančanama</w:t>
      </w:r>
      <w:proofErr w:type="spellEnd"/>
      <w:r w:rsidRPr="00126665">
        <w:rPr>
          <w:sz w:val="24"/>
          <w:szCs w:val="24"/>
        </w:rPr>
        <w:t xml:space="preserve"> u iznosu od 153.031,25 eura</w:t>
      </w:r>
      <w:r>
        <w:rPr>
          <w:sz w:val="24"/>
          <w:szCs w:val="24"/>
        </w:rPr>
        <w:t>.</w:t>
      </w:r>
    </w:p>
    <w:p w14:paraId="39AAAF36" w14:textId="77777777" w:rsidR="00126665" w:rsidRPr="00126665" w:rsidRDefault="00126665" w:rsidP="00126665">
      <w:pPr>
        <w:spacing w:after="0" w:line="240" w:lineRule="auto"/>
        <w:jc w:val="both"/>
        <w:rPr>
          <w:sz w:val="24"/>
          <w:szCs w:val="24"/>
        </w:rPr>
      </w:pPr>
    </w:p>
    <w:p w14:paraId="4076A17C" w14:textId="0534603E" w:rsidR="00DC57A3" w:rsidRPr="00DC57A3" w:rsidRDefault="00DC57A3" w:rsidP="00DC57A3">
      <w:pPr>
        <w:spacing w:line="280" w:lineRule="exact"/>
        <w:jc w:val="both"/>
        <w:rPr>
          <w:rFonts w:cstheme="minorHAnsi"/>
          <w:sz w:val="24"/>
          <w:szCs w:val="24"/>
          <w:lang w:eastAsia="hr-HR"/>
        </w:rPr>
      </w:pPr>
      <w:r w:rsidRPr="00AA6D9E">
        <w:rPr>
          <w:rFonts w:cstheme="minorHAnsi"/>
          <w:sz w:val="24"/>
          <w:szCs w:val="24"/>
          <w:u w:val="single"/>
        </w:rPr>
        <w:t>Kapitalni projekt Izgradnja javne rasvjete -I TEBE SE PITA</w:t>
      </w:r>
      <w:r>
        <w:rPr>
          <w:rFonts w:cstheme="minorHAnsi"/>
          <w:sz w:val="24"/>
          <w:szCs w:val="24"/>
        </w:rPr>
        <w:t xml:space="preserve">, </w:t>
      </w:r>
      <w:r w:rsidRPr="00DC57A3">
        <w:rPr>
          <w:rFonts w:cstheme="minorHAnsi"/>
          <w:sz w:val="24"/>
          <w:szCs w:val="24"/>
          <w:lang w:eastAsia="zh-CN"/>
        </w:rPr>
        <w:t xml:space="preserve">odnosi se na izradu projektne dokumentacije javne rasvjete unutar stare gradske jezgre, izgradnju nove energetski učinkovite javne rasvjete na području mjesnih odbora </w:t>
      </w:r>
      <w:r w:rsidRPr="00DC57A3">
        <w:rPr>
          <w:rFonts w:cstheme="minorHAnsi"/>
          <w:sz w:val="24"/>
          <w:szCs w:val="24"/>
          <w:lang w:eastAsia="hr-HR"/>
        </w:rPr>
        <w:t>u sklopu projekta „I tebe se pita!", odnosno participativnog budžetiranja - projekta koji podrazumijeva davanje građanima na raspolaganje jednog dijela proračuna, tako da sami predlažu i sami glasuju o projektima koje žele realizirati u svojim kvartovima.</w:t>
      </w:r>
      <w:r>
        <w:rPr>
          <w:rFonts w:cstheme="minorHAnsi"/>
          <w:sz w:val="24"/>
          <w:szCs w:val="24"/>
          <w:lang w:eastAsia="hr-HR"/>
        </w:rPr>
        <w:t xml:space="preserve"> Planirana sredstva za navedeni projekt u 202</w:t>
      </w:r>
      <w:r w:rsidR="00126665">
        <w:rPr>
          <w:rFonts w:cstheme="minorHAnsi"/>
          <w:sz w:val="24"/>
          <w:szCs w:val="24"/>
          <w:lang w:eastAsia="hr-HR"/>
        </w:rPr>
        <w:t>5</w:t>
      </w:r>
      <w:r>
        <w:rPr>
          <w:rFonts w:cstheme="minorHAnsi"/>
          <w:sz w:val="24"/>
          <w:szCs w:val="24"/>
          <w:lang w:eastAsia="hr-HR"/>
        </w:rPr>
        <w:t xml:space="preserve">.godini su iznosila </w:t>
      </w:r>
      <w:r w:rsidR="00126665">
        <w:rPr>
          <w:rFonts w:cstheme="minorHAnsi"/>
          <w:sz w:val="24"/>
          <w:szCs w:val="24"/>
          <w:lang w:eastAsia="hr-HR"/>
        </w:rPr>
        <w:t>12.800,00</w:t>
      </w:r>
      <w:r>
        <w:rPr>
          <w:rFonts w:cstheme="minorHAnsi"/>
          <w:sz w:val="24"/>
          <w:szCs w:val="24"/>
          <w:lang w:eastAsia="hr-HR"/>
        </w:rPr>
        <w:t>eura</w:t>
      </w:r>
      <w:r w:rsidRPr="00DC57A3">
        <w:rPr>
          <w:rFonts w:cstheme="minorHAnsi"/>
          <w:sz w:val="24"/>
          <w:szCs w:val="24"/>
          <w:lang w:eastAsia="hr-HR"/>
        </w:rPr>
        <w:t xml:space="preserve">, a realizirano je </w:t>
      </w:r>
      <w:r w:rsidR="00126665">
        <w:rPr>
          <w:rFonts w:cstheme="minorHAnsi"/>
          <w:sz w:val="24"/>
          <w:szCs w:val="24"/>
          <w:lang w:eastAsia="hr-HR"/>
        </w:rPr>
        <w:t>12.785,00</w:t>
      </w:r>
      <w:r w:rsidRPr="00DC57A3">
        <w:rPr>
          <w:rFonts w:cstheme="minorHAnsi"/>
          <w:sz w:val="24"/>
          <w:szCs w:val="24"/>
          <w:lang w:eastAsia="hr-HR"/>
        </w:rPr>
        <w:t xml:space="preserve"> eura ili </w:t>
      </w:r>
      <w:r w:rsidR="00126665">
        <w:rPr>
          <w:rFonts w:cstheme="minorHAnsi"/>
          <w:sz w:val="24"/>
          <w:szCs w:val="24"/>
          <w:lang w:eastAsia="hr-HR"/>
        </w:rPr>
        <w:t>99,88</w:t>
      </w:r>
      <w:r w:rsidRPr="00DC57A3">
        <w:rPr>
          <w:rFonts w:cstheme="minorHAnsi"/>
          <w:sz w:val="24"/>
          <w:szCs w:val="24"/>
          <w:lang w:eastAsia="hr-HR"/>
        </w:rPr>
        <w:t xml:space="preserve"> % plana i to za izgradnju javne rasvjete </w:t>
      </w:r>
      <w:r w:rsidRPr="00DC57A3">
        <w:rPr>
          <w:sz w:val="24"/>
          <w:szCs w:val="24"/>
        </w:rPr>
        <w:t xml:space="preserve">u </w:t>
      </w:r>
      <w:r w:rsidR="0094171D">
        <w:rPr>
          <w:sz w:val="24"/>
          <w:szCs w:val="24"/>
        </w:rPr>
        <w:t xml:space="preserve">Žedno Put sv. Ivana </w:t>
      </w:r>
      <w:r w:rsidRPr="00DC57A3">
        <w:rPr>
          <w:sz w:val="24"/>
          <w:szCs w:val="24"/>
        </w:rPr>
        <w:t xml:space="preserve"> u iznosu od </w:t>
      </w:r>
      <w:r w:rsidR="0094171D">
        <w:rPr>
          <w:sz w:val="24"/>
          <w:szCs w:val="24"/>
        </w:rPr>
        <w:t>5.625,00</w:t>
      </w:r>
      <w:r w:rsidRPr="00DC57A3">
        <w:rPr>
          <w:sz w:val="24"/>
          <w:szCs w:val="24"/>
        </w:rPr>
        <w:t xml:space="preserve"> eura</w:t>
      </w:r>
      <w:r w:rsidR="0094171D">
        <w:rPr>
          <w:sz w:val="24"/>
          <w:szCs w:val="24"/>
        </w:rPr>
        <w:t xml:space="preserve"> i </w:t>
      </w:r>
      <w:r w:rsidRPr="00DC57A3">
        <w:rPr>
          <w:sz w:val="24"/>
          <w:szCs w:val="24"/>
        </w:rPr>
        <w:t xml:space="preserve">naselju </w:t>
      </w:r>
      <w:proofErr w:type="spellStart"/>
      <w:r w:rsidRPr="00DC57A3">
        <w:rPr>
          <w:sz w:val="24"/>
          <w:szCs w:val="24"/>
        </w:rPr>
        <w:t>M</w:t>
      </w:r>
      <w:r w:rsidR="0094171D">
        <w:rPr>
          <w:sz w:val="24"/>
          <w:szCs w:val="24"/>
        </w:rPr>
        <w:t>iševac</w:t>
      </w:r>
      <w:proofErr w:type="spellEnd"/>
      <w:r w:rsidR="0094171D">
        <w:rPr>
          <w:sz w:val="24"/>
          <w:szCs w:val="24"/>
        </w:rPr>
        <w:t xml:space="preserve"> </w:t>
      </w:r>
      <w:r w:rsidRPr="00DC57A3">
        <w:rPr>
          <w:sz w:val="24"/>
          <w:szCs w:val="24"/>
        </w:rPr>
        <w:t xml:space="preserve"> u iznosu od </w:t>
      </w:r>
      <w:r w:rsidR="0094171D">
        <w:rPr>
          <w:sz w:val="24"/>
          <w:szCs w:val="24"/>
        </w:rPr>
        <w:t>7.160,00</w:t>
      </w:r>
      <w:r w:rsidRPr="00DC57A3">
        <w:rPr>
          <w:sz w:val="24"/>
          <w:szCs w:val="24"/>
        </w:rPr>
        <w:t xml:space="preserve"> eura</w:t>
      </w:r>
      <w:r w:rsidR="0094171D">
        <w:rPr>
          <w:sz w:val="24"/>
          <w:szCs w:val="24"/>
        </w:rPr>
        <w:t>.</w:t>
      </w:r>
    </w:p>
    <w:p w14:paraId="172698DC" w14:textId="55610165" w:rsidR="00606D0E" w:rsidRPr="00606D0E" w:rsidRDefault="00DC57A3" w:rsidP="00606D0E">
      <w:pPr>
        <w:suppressAutoHyphens/>
        <w:spacing w:before="120" w:after="0" w:line="280" w:lineRule="exact"/>
        <w:jc w:val="both"/>
        <w:rPr>
          <w:rFonts w:eastAsia="Calibri" w:cstheme="minorHAnsi"/>
          <w:sz w:val="24"/>
          <w:szCs w:val="24"/>
        </w:rPr>
      </w:pPr>
      <w:r w:rsidRPr="00ED0020">
        <w:rPr>
          <w:rFonts w:eastAsia="Times New Roman" w:cstheme="minorHAnsi"/>
          <w:sz w:val="24"/>
          <w:szCs w:val="24"/>
          <w:u w:val="single"/>
        </w:rPr>
        <w:t xml:space="preserve">Kapitalni projekt </w:t>
      </w:r>
      <w:r w:rsidR="00606D0E">
        <w:rPr>
          <w:rFonts w:eastAsia="Times New Roman" w:cstheme="minorHAnsi"/>
          <w:sz w:val="24"/>
          <w:szCs w:val="24"/>
          <w:u w:val="single"/>
        </w:rPr>
        <w:t>Opremanje dječjeg igrališta te osiguranje pristupačnosti plaže i mora osobama s invaliditetom</w:t>
      </w:r>
      <w:r w:rsidR="00606D0E" w:rsidRPr="00606D0E">
        <w:rPr>
          <w:rFonts w:eastAsia="Times New Roman" w:cstheme="minorHAnsi"/>
          <w:sz w:val="24"/>
          <w:szCs w:val="24"/>
          <w:u w:val="single"/>
        </w:rPr>
        <w:t xml:space="preserve">, </w:t>
      </w:r>
      <w:r w:rsidR="00606D0E" w:rsidRPr="00606D0E">
        <w:rPr>
          <w:rFonts w:eastAsia="Calibri" w:cstheme="minorHAnsi"/>
          <w:sz w:val="24"/>
          <w:szCs w:val="24"/>
        </w:rPr>
        <w:t>odnosi se na opremanje dječjeg igrališta te osiguranje pristupačnosti plaže i mora osobama s invaliditetom.</w:t>
      </w:r>
      <w:r w:rsidR="00606D0E">
        <w:rPr>
          <w:rFonts w:eastAsia="Calibri" w:cstheme="minorHAnsi"/>
          <w:sz w:val="24"/>
          <w:szCs w:val="24"/>
        </w:rPr>
        <w:t xml:space="preserve"> </w:t>
      </w:r>
      <w:r w:rsidR="00606D0E" w:rsidRPr="00606D0E">
        <w:rPr>
          <w:rFonts w:eastAsia="Times New Roman" w:cstheme="minorHAnsi"/>
          <w:iCs/>
          <w:color w:val="000000"/>
          <w:sz w:val="24"/>
          <w:szCs w:val="24"/>
          <w:lang w:eastAsia="ar-SA"/>
        </w:rPr>
        <w:t xml:space="preserve">Trogirska plaža </w:t>
      </w:r>
      <w:proofErr w:type="spellStart"/>
      <w:r w:rsidR="00606D0E" w:rsidRPr="00606D0E">
        <w:rPr>
          <w:rFonts w:eastAsia="Times New Roman" w:cstheme="minorHAnsi"/>
          <w:iCs/>
          <w:color w:val="000000"/>
          <w:sz w:val="24"/>
          <w:szCs w:val="24"/>
          <w:lang w:eastAsia="ar-SA"/>
        </w:rPr>
        <w:t>Saldun</w:t>
      </w:r>
      <w:proofErr w:type="spellEnd"/>
      <w:r w:rsidR="00606D0E" w:rsidRPr="00606D0E">
        <w:rPr>
          <w:rFonts w:eastAsia="Times New Roman" w:cstheme="minorHAnsi"/>
          <w:iCs/>
          <w:color w:val="000000"/>
          <w:sz w:val="24"/>
          <w:szCs w:val="24"/>
          <w:lang w:eastAsia="ar-SA"/>
        </w:rPr>
        <w:t xml:space="preserve">, smještena u malom zaljevu na sjeveroistočnoj strani Čiova, kultno je mjesto na kojemu se u ljetnim mjesecima okuplja stotine turista i domaćih koji uživaju u plavetnilu čistog mora te hladovini zelenih borova. Ona je podsjetnik odakle je početkom sedamdesetih godina prošlog stoljeća vrlo ozbiljno započeo trogirski turizam najprije u individualnom  privatnom smještaju, pa organiziran u onom odmarališnom i obližnjem  kampu </w:t>
      </w:r>
      <w:proofErr w:type="spellStart"/>
      <w:r w:rsidR="00606D0E" w:rsidRPr="00606D0E">
        <w:rPr>
          <w:rFonts w:eastAsia="Times New Roman" w:cstheme="minorHAnsi"/>
          <w:iCs/>
          <w:color w:val="000000"/>
          <w:sz w:val="24"/>
          <w:szCs w:val="24"/>
          <w:lang w:eastAsia="ar-SA"/>
        </w:rPr>
        <w:t>Rožac</w:t>
      </w:r>
      <w:proofErr w:type="spellEnd"/>
      <w:r w:rsidR="00606D0E" w:rsidRPr="00606D0E">
        <w:rPr>
          <w:rFonts w:eastAsia="Times New Roman" w:cstheme="minorHAnsi"/>
          <w:iCs/>
          <w:color w:val="000000"/>
          <w:sz w:val="24"/>
          <w:szCs w:val="24"/>
          <w:lang w:eastAsia="ar-SA"/>
        </w:rPr>
        <w:t xml:space="preserve">. Tada su malobrojni turisti ljetovali u malim obiteljskim  prizemnicama ili jednokatnicama obližnjeg istoimenog naselja da bi s godinama ono raslo i preraslo u atraktivnu turističku zonu u kojoj dominiraju goleme moderne vile s bazenima. 2023. godine završeni su radovi na uređenju novog dijela plaže sufinanciranom od </w:t>
      </w:r>
      <w:r w:rsidR="00606D0E" w:rsidRPr="00606D0E">
        <w:rPr>
          <w:rFonts w:eastAsia="Times New Roman" w:cstheme="minorHAnsi"/>
          <w:iCs/>
          <w:color w:val="000000"/>
          <w:sz w:val="24"/>
          <w:szCs w:val="24"/>
          <w:lang w:eastAsia="ar-SA"/>
        </w:rPr>
        <w:lastRenderedPageBreak/>
        <w:t>Ministarstva regionalnog razvoja i fondova EU - Program razvoja otoka u 2023. Na plažu trenutno nije moguć pristup osobama s invaliditetom i smanjene pokretljivosti te postoji par igrala za djecu.  Projektom bi se do kraja uredio prostor za djecu nabavom i ugradnjom dodatnih igrala te ograđivanjem prostora za djecu, uredio pristup plaži i moru osobama s invaliditetom i smanjene pokretljivosti, nabavila dodatna urbana oprema (klupe, koševi, dva sunčališta za osobe s invaliditetom, obavijesne table) te posadila stabla i postavila javna slavina kao mjere prilagodbe klimatskim promjenama u svrhu jačanja otpornosti na iste.</w:t>
      </w:r>
      <w:r w:rsidR="003B7636">
        <w:rPr>
          <w:rFonts w:eastAsia="Times New Roman" w:cstheme="minorHAnsi"/>
          <w:iCs/>
          <w:color w:val="000000"/>
          <w:sz w:val="24"/>
          <w:szCs w:val="24"/>
          <w:lang w:eastAsia="ar-SA"/>
        </w:rPr>
        <w:t xml:space="preserve"> </w:t>
      </w:r>
      <w:r w:rsidR="00606D0E" w:rsidRPr="00606D0E">
        <w:rPr>
          <w:rFonts w:eastAsia="Times New Roman" w:cstheme="minorHAnsi"/>
          <w:iCs/>
          <w:color w:val="000000"/>
          <w:sz w:val="24"/>
          <w:szCs w:val="24"/>
          <w:lang w:eastAsia="ar-SA"/>
        </w:rPr>
        <w:t>Projekt prijavljen na Javni poziv MRRFEU „Program razvoja otoka u 2025. godini“ te je donesena Odluka o odabiru i potpisan Ugovor o sufinanciranju.</w:t>
      </w:r>
      <w:r w:rsidR="00606D0E">
        <w:rPr>
          <w:rFonts w:eastAsia="Times New Roman" w:cstheme="minorHAnsi"/>
          <w:iCs/>
          <w:color w:val="000000"/>
          <w:sz w:val="24"/>
          <w:szCs w:val="24"/>
          <w:lang w:eastAsia="ar-SA"/>
        </w:rPr>
        <w:t xml:space="preserve"> Planirana sredstva za 2025.godinu su iznosila 78.700,00 eura, a realizirano je 78.676,29 eura ili 99,97% plana i to za  </w:t>
      </w:r>
    </w:p>
    <w:p w14:paraId="2F85E1EF" w14:textId="02061E37" w:rsidR="00DC57A3" w:rsidRDefault="00606D0E" w:rsidP="00DC57A3">
      <w:pPr>
        <w:spacing w:after="0" w:line="240" w:lineRule="auto"/>
        <w:jc w:val="both"/>
        <w:rPr>
          <w:sz w:val="24"/>
          <w:szCs w:val="24"/>
        </w:rPr>
      </w:pPr>
      <w:r w:rsidRPr="00606D0E">
        <w:rPr>
          <w:sz w:val="24"/>
          <w:szCs w:val="24"/>
        </w:rPr>
        <w:t xml:space="preserve">izgradnju dječjeg igrališta na plaži </w:t>
      </w:r>
      <w:proofErr w:type="spellStart"/>
      <w:r w:rsidRPr="00606D0E">
        <w:rPr>
          <w:sz w:val="24"/>
          <w:szCs w:val="24"/>
        </w:rPr>
        <w:t>Saldun</w:t>
      </w:r>
      <w:proofErr w:type="spellEnd"/>
      <w:r w:rsidRPr="00606D0E">
        <w:rPr>
          <w:sz w:val="24"/>
          <w:szCs w:val="24"/>
        </w:rPr>
        <w:t xml:space="preserve"> u iznosu od 21.856,88 </w:t>
      </w:r>
      <w:r w:rsidRPr="00322F67">
        <w:rPr>
          <w:sz w:val="24"/>
          <w:szCs w:val="24"/>
        </w:rPr>
        <w:t>eura</w:t>
      </w:r>
      <w:r w:rsidR="00322F67" w:rsidRPr="00322F67">
        <w:rPr>
          <w:sz w:val="24"/>
          <w:szCs w:val="24"/>
        </w:rPr>
        <w:t xml:space="preserve"> i opremanje igrališta </w:t>
      </w:r>
      <w:proofErr w:type="spellStart"/>
      <w:r w:rsidR="00322F67" w:rsidRPr="00322F67">
        <w:rPr>
          <w:sz w:val="24"/>
          <w:szCs w:val="24"/>
        </w:rPr>
        <w:t>Saldun</w:t>
      </w:r>
      <w:proofErr w:type="spellEnd"/>
      <w:r w:rsidR="00322F67" w:rsidRPr="00322F67">
        <w:rPr>
          <w:sz w:val="24"/>
          <w:szCs w:val="24"/>
        </w:rPr>
        <w:t xml:space="preserve"> u iznosu od 23.000,00 eura</w:t>
      </w:r>
      <w:r w:rsidR="00322F67">
        <w:rPr>
          <w:sz w:val="24"/>
          <w:szCs w:val="24"/>
        </w:rPr>
        <w:t>.</w:t>
      </w:r>
    </w:p>
    <w:p w14:paraId="09C6FCF1" w14:textId="77777777" w:rsidR="00322F67" w:rsidRDefault="00322F67" w:rsidP="00DC57A3">
      <w:pPr>
        <w:spacing w:after="0" w:line="240" w:lineRule="auto"/>
        <w:jc w:val="both"/>
        <w:rPr>
          <w:sz w:val="24"/>
          <w:szCs w:val="24"/>
        </w:rPr>
      </w:pPr>
    </w:p>
    <w:p w14:paraId="54488504" w14:textId="075D1D17" w:rsidR="00322F67" w:rsidRPr="00322F67" w:rsidRDefault="00322F67" w:rsidP="00DC57A3">
      <w:pPr>
        <w:spacing w:after="0" w:line="240" w:lineRule="auto"/>
        <w:jc w:val="both"/>
        <w:rPr>
          <w:rFonts w:eastAsia="Times New Roman" w:cstheme="minorHAnsi"/>
          <w:sz w:val="24"/>
          <w:szCs w:val="24"/>
          <w:lang w:eastAsia="hr-HR"/>
        </w:rPr>
      </w:pPr>
      <w:r w:rsidRPr="00ED0020">
        <w:rPr>
          <w:rFonts w:eastAsia="Times New Roman" w:cstheme="minorHAnsi"/>
          <w:sz w:val="24"/>
          <w:szCs w:val="24"/>
          <w:u w:val="single"/>
        </w:rPr>
        <w:t xml:space="preserve">Kapitalni projekt </w:t>
      </w:r>
      <w:r>
        <w:rPr>
          <w:rFonts w:eastAsia="Times New Roman" w:cstheme="minorHAnsi"/>
          <w:sz w:val="24"/>
          <w:szCs w:val="24"/>
          <w:u w:val="single"/>
        </w:rPr>
        <w:t xml:space="preserve">Izgradnja javne garaže „Travarica-Istok“, </w:t>
      </w:r>
      <w:r w:rsidRPr="00322F67">
        <w:rPr>
          <w:rFonts w:eastAsia="Times New Roman" w:cstheme="minorHAnsi"/>
          <w:sz w:val="24"/>
          <w:szCs w:val="24"/>
          <w:u w:val="single"/>
        </w:rPr>
        <w:t xml:space="preserve">odnosi se na </w:t>
      </w:r>
      <w:r w:rsidRPr="00322F67">
        <w:rPr>
          <w:sz w:val="24"/>
          <w:szCs w:val="24"/>
        </w:rPr>
        <w:t>izradu geodetske situacije stvarnog stanja za potrebe projekta izgradnja javne garaže Travarica istok u iznosu ostvarenja od 37.287,50 eura</w:t>
      </w:r>
      <w:r>
        <w:rPr>
          <w:sz w:val="24"/>
          <w:szCs w:val="24"/>
        </w:rPr>
        <w:t xml:space="preserve"> ili 93,22% plana.</w:t>
      </w:r>
    </w:p>
    <w:p w14:paraId="131AF924" w14:textId="77777777" w:rsidR="00F35A07" w:rsidRDefault="00F35A07" w:rsidP="00997ABD">
      <w:pPr>
        <w:spacing w:after="0" w:line="240" w:lineRule="auto"/>
        <w:jc w:val="both"/>
        <w:rPr>
          <w:rFonts w:cstheme="minorHAnsi"/>
          <w:sz w:val="24"/>
          <w:szCs w:val="24"/>
          <w:u w:val="single"/>
        </w:rPr>
      </w:pPr>
    </w:p>
    <w:p w14:paraId="65EE6795" w14:textId="054715C6" w:rsidR="00997ABD" w:rsidRDefault="005F75F7" w:rsidP="00997ABD">
      <w:pPr>
        <w:spacing w:after="0" w:line="240" w:lineRule="auto"/>
        <w:jc w:val="both"/>
        <w:rPr>
          <w:rFonts w:cstheme="minorHAnsi"/>
          <w:sz w:val="24"/>
          <w:szCs w:val="24"/>
          <w:u w:val="single"/>
          <w:lang w:eastAsia="hr-HR"/>
        </w:rPr>
      </w:pPr>
      <w:r w:rsidRPr="005F75F7">
        <w:rPr>
          <w:rFonts w:cstheme="minorHAnsi"/>
          <w:sz w:val="24"/>
          <w:szCs w:val="24"/>
          <w:u w:val="single"/>
          <w:lang w:eastAsia="hr-HR"/>
        </w:rPr>
        <w:t>Program 1516 Građevine komunalne infrastrukture koje će se graditi izvan građevinskih područja</w:t>
      </w:r>
    </w:p>
    <w:p w14:paraId="306D0451" w14:textId="77777777" w:rsidR="003B7636" w:rsidRPr="003B7636" w:rsidRDefault="003B7636" w:rsidP="003B7636">
      <w:pPr>
        <w:suppressAutoHyphens/>
        <w:spacing w:after="0" w:line="283" w:lineRule="exact"/>
        <w:jc w:val="both"/>
        <w:rPr>
          <w:rFonts w:eastAsia="Calibri" w:cstheme="minorHAnsi"/>
          <w:color w:val="000000"/>
          <w:sz w:val="24"/>
          <w:szCs w:val="24"/>
          <w:lang w:eastAsia="ar-SA"/>
        </w:rPr>
      </w:pPr>
      <w:r w:rsidRPr="003B7636">
        <w:rPr>
          <w:rFonts w:eastAsia="Calibri" w:cstheme="minorHAnsi"/>
          <w:color w:val="000000"/>
          <w:sz w:val="24"/>
          <w:szCs w:val="24"/>
          <w:lang w:eastAsia="ar-SA"/>
        </w:rPr>
        <w:t xml:space="preserve">U okviru ovog programa planirana su sredstva za financiranje geodetski snimak nerazvrstanih cesta, </w:t>
      </w:r>
      <w:r w:rsidRPr="003B7636">
        <w:rPr>
          <w:rFonts w:eastAsia="Times New Roman" w:cstheme="minorHAnsi"/>
          <w:color w:val="000000"/>
          <w:sz w:val="24"/>
          <w:szCs w:val="24"/>
          <w:lang w:eastAsia="ar-SA"/>
        </w:rPr>
        <w:t>sanacije nerazvrstanih cesta na Drveniku Velikom i Malom, geodetski snimak javnih površina, izgradnja šetnica  te uređenje trgova. Provedba ovog programa jedna je od osnovnih zadaća jedinice lokalne samouprave iz razloga jer izravno utječe na sveukupnu populaciju - korisnike javnih površina, te povećava vrijednost imovine grada. Sukladno raspoloživim sredstvima nastoji se održati što viši stupanj uređenosti komunalne infrastrukture¸ u funkcionalnom, oblikovnom i estetskom smislu. Ovaj Program je stalni proces koji podrazumijeva praćenje stanja, određivanje prioriteta i djelovanje na terenu.</w:t>
      </w:r>
    </w:p>
    <w:p w14:paraId="3B3F8C4F" w14:textId="4ECECB81" w:rsidR="00F35A07" w:rsidRPr="00997ABD" w:rsidRDefault="00F35A07" w:rsidP="00F35A07">
      <w:pPr>
        <w:overflowPunct w:val="0"/>
        <w:autoSpaceDE w:val="0"/>
        <w:autoSpaceDN w:val="0"/>
        <w:adjustRightInd w:val="0"/>
        <w:spacing w:after="0" w:line="280" w:lineRule="exact"/>
        <w:jc w:val="both"/>
        <w:textAlignment w:val="baseline"/>
        <w:rPr>
          <w:rFonts w:eastAsia="Calibri" w:cstheme="minorHAnsi"/>
          <w:color w:val="000000" w:themeColor="text1"/>
          <w:sz w:val="24"/>
          <w:szCs w:val="24"/>
        </w:rPr>
      </w:pPr>
      <w:r w:rsidRPr="00997ABD">
        <w:rPr>
          <w:rFonts w:eastAsia="Calibri" w:cstheme="minorHAnsi"/>
          <w:color w:val="000000" w:themeColor="text1"/>
          <w:sz w:val="24"/>
          <w:szCs w:val="24"/>
        </w:rPr>
        <w:t xml:space="preserve">Poslovi i zadatci planirani su kroz </w:t>
      </w:r>
      <w:r w:rsidR="003B7636">
        <w:rPr>
          <w:rFonts w:eastAsia="Calibri" w:cstheme="minorHAnsi"/>
          <w:color w:val="000000" w:themeColor="text1"/>
          <w:sz w:val="24"/>
          <w:szCs w:val="24"/>
        </w:rPr>
        <w:t>5</w:t>
      </w:r>
      <w:r w:rsidRPr="00997ABD">
        <w:rPr>
          <w:rFonts w:eastAsia="Calibri" w:cstheme="minorHAnsi"/>
          <w:color w:val="000000" w:themeColor="text1"/>
          <w:sz w:val="24"/>
          <w:szCs w:val="24"/>
        </w:rPr>
        <w:t xml:space="preserve"> kapitaln</w:t>
      </w:r>
      <w:r w:rsidR="003B7636">
        <w:rPr>
          <w:rFonts w:eastAsia="Calibri" w:cstheme="minorHAnsi"/>
          <w:color w:val="000000" w:themeColor="text1"/>
          <w:sz w:val="24"/>
          <w:szCs w:val="24"/>
        </w:rPr>
        <w:t>ih</w:t>
      </w:r>
      <w:r w:rsidRPr="00997ABD">
        <w:rPr>
          <w:rFonts w:eastAsia="Calibri" w:cstheme="minorHAnsi"/>
          <w:color w:val="000000" w:themeColor="text1"/>
          <w:sz w:val="24"/>
          <w:szCs w:val="24"/>
        </w:rPr>
        <w:t xml:space="preserve"> projekata: </w:t>
      </w:r>
    </w:p>
    <w:p w14:paraId="53A08169" w14:textId="5421F4AF" w:rsidR="00F35A07" w:rsidRDefault="00F35A07" w:rsidP="00F35A07">
      <w:pPr>
        <w:numPr>
          <w:ilvl w:val="0"/>
          <w:numId w:val="12"/>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sidRPr="00997ABD">
        <w:rPr>
          <w:rFonts w:eastAsia="Calibri" w:cstheme="minorHAnsi"/>
          <w:color w:val="000000" w:themeColor="text1"/>
          <w:sz w:val="24"/>
          <w:szCs w:val="24"/>
        </w:rPr>
        <w:t>K100</w:t>
      </w:r>
      <w:r w:rsidR="003B7636">
        <w:rPr>
          <w:rFonts w:eastAsia="Calibri" w:cstheme="minorHAnsi"/>
          <w:color w:val="000000" w:themeColor="text1"/>
          <w:sz w:val="24"/>
          <w:szCs w:val="24"/>
        </w:rPr>
        <w:t>100</w:t>
      </w:r>
      <w:r w:rsidRPr="00997ABD">
        <w:rPr>
          <w:rFonts w:eastAsia="Calibri" w:cstheme="minorHAnsi"/>
          <w:color w:val="000000" w:themeColor="text1"/>
          <w:sz w:val="24"/>
          <w:szCs w:val="24"/>
        </w:rPr>
        <w:t xml:space="preserve"> Geodetski snimak </w:t>
      </w:r>
      <w:r w:rsidR="003B7636">
        <w:rPr>
          <w:rFonts w:eastAsia="Calibri" w:cstheme="minorHAnsi"/>
          <w:color w:val="000000" w:themeColor="text1"/>
          <w:sz w:val="24"/>
          <w:szCs w:val="24"/>
        </w:rPr>
        <w:t>nerazvrstanih cest</w:t>
      </w:r>
      <w:r w:rsidRPr="00997ABD">
        <w:rPr>
          <w:rFonts w:eastAsia="Calibri" w:cstheme="minorHAnsi"/>
          <w:color w:val="000000" w:themeColor="text1"/>
          <w:sz w:val="24"/>
          <w:szCs w:val="24"/>
        </w:rPr>
        <w:t>a,</w:t>
      </w:r>
    </w:p>
    <w:p w14:paraId="722960F3" w14:textId="36015BE7" w:rsidR="003B7636" w:rsidRPr="003B7636" w:rsidRDefault="003B7636" w:rsidP="00F35A07">
      <w:pPr>
        <w:numPr>
          <w:ilvl w:val="0"/>
          <w:numId w:val="12"/>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sidRPr="003B7636">
        <w:rPr>
          <w:rFonts w:eastAsia="Calibri" w:cstheme="minorHAnsi"/>
          <w:color w:val="000000"/>
          <w:sz w:val="24"/>
          <w:szCs w:val="24"/>
          <w:lang w:eastAsia="ar-SA"/>
        </w:rPr>
        <w:t xml:space="preserve">K100104 Izgradnja izlaza iz </w:t>
      </w:r>
      <w:proofErr w:type="spellStart"/>
      <w:r w:rsidRPr="003B7636">
        <w:rPr>
          <w:rFonts w:eastAsia="Calibri" w:cstheme="minorHAnsi"/>
          <w:color w:val="000000"/>
          <w:sz w:val="24"/>
          <w:szCs w:val="24"/>
          <w:lang w:eastAsia="ar-SA"/>
        </w:rPr>
        <w:t>Cocine</w:t>
      </w:r>
      <w:proofErr w:type="spellEnd"/>
      <w:r w:rsidRPr="003B7636">
        <w:rPr>
          <w:rFonts w:eastAsia="Calibri" w:cstheme="minorHAnsi"/>
          <w:color w:val="000000"/>
          <w:sz w:val="24"/>
          <w:szCs w:val="24"/>
          <w:lang w:eastAsia="ar-SA"/>
        </w:rPr>
        <w:t xml:space="preserve"> Drage na spojnu cestu D126-Ž6136</w:t>
      </w:r>
      <w:r>
        <w:rPr>
          <w:rFonts w:eastAsia="Calibri" w:cstheme="minorHAnsi"/>
          <w:color w:val="000000"/>
          <w:sz w:val="24"/>
          <w:szCs w:val="24"/>
          <w:lang w:eastAsia="ar-SA"/>
        </w:rPr>
        <w:t>,</w:t>
      </w:r>
    </w:p>
    <w:p w14:paraId="5185A6D7" w14:textId="595610F0" w:rsidR="003B7636" w:rsidRPr="003B7636" w:rsidRDefault="003B7636" w:rsidP="00F35A07">
      <w:pPr>
        <w:numPr>
          <w:ilvl w:val="0"/>
          <w:numId w:val="12"/>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sidRPr="003B7636">
        <w:rPr>
          <w:rFonts w:eastAsia="Calibri" w:cstheme="minorHAnsi"/>
          <w:color w:val="000000"/>
          <w:sz w:val="24"/>
          <w:szCs w:val="24"/>
          <w:lang w:eastAsia="ar-SA"/>
        </w:rPr>
        <w:t>K100201 Geodetski snimak javnih površina</w:t>
      </w:r>
      <w:r>
        <w:rPr>
          <w:rFonts w:eastAsia="Calibri" w:cstheme="minorHAnsi"/>
          <w:color w:val="000000"/>
          <w:sz w:val="24"/>
          <w:szCs w:val="24"/>
          <w:lang w:eastAsia="ar-SA"/>
        </w:rPr>
        <w:t>,</w:t>
      </w:r>
    </w:p>
    <w:p w14:paraId="7029182F" w14:textId="4F7D75FA" w:rsidR="00F35A07" w:rsidRPr="00997ABD" w:rsidRDefault="00F35A07" w:rsidP="00F35A07">
      <w:pPr>
        <w:numPr>
          <w:ilvl w:val="0"/>
          <w:numId w:val="12"/>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Pr>
          <w:rFonts w:eastAsia="Calibri" w:cstheme="minorHAnsi"/>
          <w:color w:val="000000" w:themeColor="text1"/>
          <w:sz w:val="24"/>
          <w:szCs w:val="24"/>
        </w:rPr>
        <w:t xml:space="preserve">K100202 Izgradnja šetnice selo </w:t>
      </w:r>
      <w:proofErr w:type="spellStart"/>
      <w:r>
        <w:rPr>
          <w:rFonts w:eastAsia="Calibri" w:cstheme="minorHAnsi"/>
          <w:color w:val="000000" w:themeColor="text1"/>
          <w:sz w:val="24"/>
          <w:szCs w:val="24"/>
        </w:rPr>
        <w:t>Grabule</w:t>
      </w:r>
      <w:proofErr w:type="spellEnd"/>
      <w:r>
        <w:rPr>
          <w:rFonts w:eastAsia="Calibri" w:cstheme="minorHAnsi"/>
          <w:color w:val="000000" w:themeColor="text1"/>
          <w:sz w:val="24"/>
          <w:szCs w:val="24"/>
        </w:rPr>
        <w:t xml:space="preserve"> preko rta </w:t>
      </w:r>
      <w:proofErr w:type="spellStart"/>
      <w:r>
        <w:rPr>
          <w:rFonts w:eastAsia="Calibri" w:cstheme="minorHAnsi"/>
          <w:color w:val="000000" w:themeColor="text1"/>
          <w:sz w:val="24"/>
          <w:szCs w:val="24"/>
        </w:rPr>
        <w:t>Artića</w:t>
      </w:r>
      <w:proofErr w:type="spellEnd"/>
      <w:r>
        <w:rPr>
          <w:rFonts w:eastAsia="Calibri" w:cstheme="minorHAnsi"/>
          <w:color w:val="000000" w:themeColor="text1"/>
          <w:sz w:val="24"/>
          <w:szCs w:val="24"/>
        </w:rPr>
        <w:t xml:space="preserve"> na Drveniku Velikom,</w:t>
      </w:r>
    </w:p>
    <w:p w14:paraId="4F91863E" w14:textId="77777777" w:rsidR="00F35A07" w:rsidRPr="00997ABD" w:rsidRDefault="00F35A07" w:rsidP="00F35A07">
      <w:pPr>
        <w:numPr>
          <w:ilvl w:val="0"/>
          <w:numId w:val="12"/>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sidRPr="00997ABD">
        <w:rPr>
          <w:rFonts w:eastAsia="Calibri" w:cstheme="minorHAnsi"/>
          <w:color w:val="000000" w:themeColor="text1"/>
          <w:sz w:val="24"/>
          <w:szCs w:val="24"/>
        </w:rPr>
        <w:t>K100203 Uređenje trga Rudine na Drveniku Malom</w:t>
      </w:r>
    </w:p>
    <w:p w14:paraId="6D70C34C" w14:textId="77777777" w:rsidR="00D12F06" w:rsidRDefault="00D12F06" w:rsidP="00F35A07">
      <w:p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p>
    <w:p w14:paraId="1DC815CE" w14:textId="4455BE4E" w:rsidR="00F35A07" w:rsidRDefault="00F35A07" w:rsidP="00F35A07">
      <w:p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sidRPr="00F17AEB">
        <w:rPr>
          <w:rFonts w:eastAsia="Calibri" w:cstheme="minorHAnsi"/>
          <w:color w:val="000000" w:themeColor="text1"/>
          <w:sz w:val="24"/>
          <w:szCs w:val="24"/>
        </w:rPr>
        <w:t xml:space="preserve">U programu Građevine komunalne infrastrukture koje će se graditi izvan građevinskog područja planirana su sredstva za </w:t>
      </w:r>
      <w:r w:rsidR="00D12F06">
        <w:rPr>
          <w:rFonts w:eastAsia="Calibri" w:cstheme="minorHAnsi"/>
          <w:color w:val="000000" w:themeColor="text1"/>
          <w:sz w:val="24"/>
          <w:szCs w:val="24"/>
        </w:rPr>
        <w:t>5</w:t>
      </w:r>
      <w:r w:rsidRPr="00F17AEB">
        <w:rPr>
          <w:rFonts w:eastAsia="Calibri" w:cstheme="minorHAnsi"/>
          <w:color w:val="000000" w:themeColor="text1"/>
          <w:sz w:val="24"/>
          <w:szCs w:val="24"/>
        </w:rPr>
        <w:t xml:space="preserve"> kapital</w:t>
      </w:r>
      <w:r w:rsidR="00D12F06">
        <w:rPr>
          <w:rFonts w:eastAsia="Calibri" w:cstheme="minorHAnsi"/>
          <w:color w:val="000000" w:themeColor="text1"/>
          <w:sz w:val="24"/>
          <w:szCs w:val="24"/>
        </w:rPr>
        <w:t>nih</w:t>
      </w:r>
      <w:r w:rsidRPr="00F17AEB">
        <w:rPr>
          <w:rFonts w:eastAsia="Calibri" w:cstheme="minorHAnsi"/>
          <w:color w:val="000000" w:themeColor="text1"/>
          <w:sz w:val="24"/>
          <w:szCs w:val="24"/>
        </w:rPr>
        <w:t xml:space="preserve"> projek</w:t>
      </w:r>
      <w:r w:rsidR="00D12F06">
        <w:rPr>
          <w:rFonts w:eastAsia="Calibri" w:cstheme="minorHAnsi"/>
          <w:color w:val="000000" w:themeColor="text1"/>
          <w:sz w:val="24"/>
          <w:szCs w:val="24"/>
        </w:rPr>
        <w:t>ata</w:t>
      </w:r>
      <w:r w:rsidRPr="00F17AEB">
        <w:rPr>
          <w:rFonts w:eastAsia="Calibri" w:cstheme="minorHAnsi"/>
          <w:color w:val="000000" w:themeColor="text1"/>
          <w:sz w:val="24"/>
          <w:szCs w:val="24"/>
        </w:rPr>
        <w:t xml:space="preserve"> u iznosu od </w:t>
      </w:r>
      <w:r w:rsidR="00D12F06">
        <w:rPr>
          <w:rFonts w:eastAsia="Calibri" w:cstheme="minorHAnsi"/>
          <w:color w:val="000000" w:themeColor="text1"/>
          <w:sz w:val="24"/>
          <w:szCs w:val="24"/>
        </w:rPr>
        <w:t>247.500,00</w:t>
      </w:r>
      <w:r w:rsidRPr="00F17AEB">
        <w:rPr>
          <w:rFonts w:eastAsia="Calibri" w:cstheme="minorHAnsi"/>
          <w:color w:val="000000" w:themeColor="text1"/>
          <w:sz w:val="24"/>
          <w:szCs w:val="24"/>
        </w:rPr>
        <w:t xml:space="preserve"> eura.</w:t>
      </w:r>
    </w:p>
    <w:p w14:paraId="7BD681FA" w14:textId="77777777" w:rsidR="00F35A07" w:rsidRDefault="00F35A07" w:rsidP="00F35A07">
      <w:pPr>
        <w:pStyle w:val="Bezproreda"/>
        <w:jc w:val="both"/>
        <w:rPr>
          <w:rFonts w:cstheme="minorHAnsi"/>
          <w:sz w:val="24"/>
          <w:szCs w:val="24"/>
          <w:u w:val="single"/>
          <w:lang w:eastAsia="hr-HR"/>
        </w:rPr>
      </w:pPr>
    </w:p>
    <w:p w14:paraId="533330EE" w14:textId="0C5766C5" w:rsidR="00B22842" w:rsidRPr="00B22842" w:rsidRDefault="00D12F06" w:rsidP="00B22842">
      <w:pPr>
        <w:pStyle w:val="Bezproreda"/>
        <w:jc w:val="both"/>
        <w:rPr>
          <w:rFonts w:eastAsia="Times New Roman" w:cstheme="minorHAnsi"/>
          <w:color w:val="000000"/>
          <w:sz w:val="24"/>
          <w:szCs w:val="24"/>
          <w:lang w:eastAsia="ar-SA"/>
        </w:rPr>
      </w:pPr>
      <w:r w:rsidRPr="00D12F06">
        <w:rPr>
          <w:rFonts w:cstheme="minorHAnsi"/>
          <w:sz w:val="24"/>
          <w:szCs w:val="24"/>
          <w:u w:val="single"/>
          <w:lang w:eastAsia="hr-HR"/>
        </w:rPr>
        <w:t>Kapitalni projekt Uređenje trga Rudine na Drveniku Malom,</w:t>
      </w:r>
      <w:r w:rsidR="00B22842">
        <w:rPr>
          <w:rFonts w:cstheme="minorHAnsi"/>
          <w:sz w:val="24"/>
          <w:szCs w:val="24"/>
          <w:u w:val="single"/>
          <w:lang w:eastAsia="hr-HR"/>
        </w:rPr>
        <w:t xml:space="preserve"> </w:t>
      </w:r>
      <w:r w:rsidRPr="00D12F06">
        <w:rPr>
          <w:rFonts w:eastAsia="Times New Roman" w:cstheme="minorHAnsi"/>
          <w:color w:val="000000"/>
          <w:sz w:val="24"/>
          <w:szCs w:val="24"/>
          <w:lang w:eastAsia="ar-SA"/>
        </w:rPr>
        <w:t>obuhvaća realizaciju imovinsko pravne pripreme zemljišta, projektne pripreme te izgradnju trga Rudine na Drveniku Malom. Građevinska čestica je neuređena - zemljana, a omogućeni su joj neposredni pješački, odnosno kolni pristupi sa sjeverne, južne i jugoistočne strane. Na predmetnoj lokaciji se planira izvesti trg s pripadajućim sadržajima u vidu boćališta i dječjeg igrališta. Centralni dio trga je zamišljen kao slobodan prostor namijenjen okupljanju lokalnog stanovništva za eventualna kulturna događanja. Trg će biti omeđen drvoredom sa zapadne strane, a između trga i boćališta se planiraju izdignuti zeleni otoci s betonskim klupama. Zbog vrlo velikih troškova izgradnje projekt će se podijeliti u dvije faze te realizirati kroz dvije godine. Projekt se planira prijaviti na Javni poziv MRRFEU za dostavu prijedloga projekata za Program razvoja otoka u 2025. godini.</w:t>
      </w:r>
      <w:r w:rsidR="00B22842">
        <w:rPr>
          <w:rFonts w:eastAsia="Times New Roman" w:cstheme="minorHAnsi"/>
          <w:color w:val="000000"/>
          <w:sz w:val="24"/>
          <w:szCs w:val="24"/>
          <w:lang w:eastAsia="ar-SA"/>
        </w:rPr>
        <w:t xml:space="preserve"> </w:t>
      </w:r>
      <w:r w:rsidR="00B22842" w:rsidRPr="00B22842">
        <w:rPr>
          <w:rFonts w:cstheme="minorHAnsi"/>
          <w:sz w:val="24"/>
          <w:szCs w:val="24"/>
          <w:lang w:eastAsia="hr-HR"/>
        </w:rPr>
        <w:lastRenderedPageBreak/>
        <w:t xml:space="preserve">Navedeni projekt bilježi realizaciju u iznosu od 95.470,47 eura, a odnosi se na </w:t>
      </w:r>
      <w:r w:rsidR="00B22842" w:rsidRPr="00B22842">
        <w:rPr>
          <w:sz w:val="24"/>
          <w:szCs w:val="24"/>
        </w:rPr>
        <w:t>uređenje trga Rudine na Drveniku Malom.</w:t>
      </w:r>
    </w:p>
    <w:p w14:paraId="692DC961" w14:textId="77777777" w:rsidR="00B22842" w:rsidRDefault="00B22842" w:rsidP="003F60A0">
      <w:pPr>
        <w:spacing w:after="0"/>
        <w:rPr>
          <w:rFonts w:cstheme="minorHAnsi"/>
          <w:sz w:val="24"/>
          <w:szCs w:val="24"/>
          <w:lang w:eastAsia="hr-HR"/>
        </w:rPr>
      </w:pPr>
    </w:p>
    <w:p w14:paraId="312DE9F4" w14:textId="1AAFE696" w:rsidR="003F60A0" w:rsidRDefault="003F60A0" w:rsidP="003F60A0">
      <w:pPr>
        <w:spacing w:after="0"/>
        <w:rPr>
          <w:rFonts w:cstheme="minorHAnsi"/>
          <w:sz w:val="24"/>
          <w:szCs w:val="24"/>
          <w:u w:val="single"/>
          <w:lang w:eastAsia="hr-HR"/>
        </w:rPr>
      </w:pPr>
      <w:r w:rsidRPr="003F60A0">
        <w:rPr>
          <w:rFonts w:cstheme="minorHAnsi"/>
          <w:sz w:val="24"/>
          <w:szCs w:val="24"/>
          <w:u w:val="single"/>
          <w:lang w:eastAsia="hr-HR"/>
        </w:rPr>
        <w:t xml:space="preserve">Program 1517 Postojeće građevine komunalne infrastrukture koje će se rekonstruirati i način rekonstrukcije </w:t>
      </w:r>
    </w:p>
    <w:p w14:paraId="425EAA6D" w14:textId="7487A13D" w:rsidR="00E44F59" w:rsidRPr="00674217" w:rsidRDefault="00E44F59" w:rsidP="00E44F59">
      <w:pPr>
        <w:spacing w:after="0"/>
        <w:jc w:val="both"/>
        <w:rPr>
          <w:rFonts w:cstheme="minorHAnsi"/>
          <w:sz w:val="24"/>
          <w:szCs w:val="24"/>
          <w:u w:val="single"/>
          <w:lang w:eastAsia="hr-HR"/>
        </w:rPr>
      </w:pPr>
      <w:r w:rsidRPr="00674217">
        <w:rPr>
          <w:rFonts w:eastAsia="Calibri" w:cstheme="minorHAnsi"/>
          <w:color w:val="000000" w:themeColor="text1"/>
          <w:sz w:val="24"/>
          <w:szCs w:val="24"/>
        </w:rPr>
        <w:t xml:space="preserve">U okviru ovog programa planirana su sredstva za financiranje </w:t>
      </w:r>
      <w:r w:rsidRPr="00674217">
        <w:rPr>
          <w:rFonts w:eastAsia="Times New Roman" w:cstheme="minorHAnsi"/>
          <w:sz w:val="24"/>
          <w:szCs w:val="24"/>
          <w:lang w:eastAsia="hr-HR"/>
        </w:rPr>
        <w:t>rekonstrukcije ulica, trgova i zapadne Čiovske obale</w:t>
      </w:r>
      <w:r>
        <w:rPr>
          <w:rFonts w:eastAsia="Times New Roman" w:cstheme="minorHAnsi"/>
          <w:sz w:val="24"/>
          <w:szCs w:val="24"/>
          <w:lang w:eastAsia="hr-HR"/>
        </w:rPr>
        <w:t xml:space="preserve">. </w:t>
      </w:r>
      <w:r w:rsidRPr="003F60A0">
        <w:rPr>
          <w:rFonts w:cstheme="minorHAnsi"/>
          <w:sz w:val="24"/>
          <w:szCs w:val="24"/>
          <w:lang w:eastAsia="hr-HR"/>
        </w:rPr>
        <w:t>Provedba ovog programa jedna je od osnovnih zadaća jedinice lokalne samouprave iz razloga jer izravno utječe na sveukupnu populaciju - korisnike javnih površina, te povećava vrijednost imovine grada. Sukladno raspoloživim sredstvima nastoji se održati što viši stupanj uređenosti komunalne infrastrukture u funkcionalnom, oblikovnom i estetskom smislu. Ovaj Program je stalni proces koji podrazumijeva praćenje stanja, određivanje prioriteta i djelovanje na terenu, no u prvom redu se odnosi na rekonstrukcije važnih prometnica na području grada, jednog od osnovnih preduvjeta razvoja grada i olakšavanja kretanja i života građana.</w:t>
      </w:r>
    </w:p>
    <w:p w14:paraId="44BCFE19" w14:textId="2BCE541C" w:rsidR="00E44F59" w:rsidRPr="00674217" w:rsidRDefault="00E44F59" w:rsidP="00E44F59">
      <w:pPr>
        <w:overflowPunct w:val="0"/>
        <w:autoSpaceDE w:val="0"/>
        <w:autoSpaceDN w:val="0"/>
        <w:adjustRightInd w:val="0"/>
        <w:spacing w:after="0" w:line="280" w:lineRule="exact"/>
        <w:jc w:val="both"/>
        <w:textAlignment w:val="baseline"/>
        <w:rPr>
          <w:rFonts w:eastAsia="Calibri" w:cstheme="minorHAnsi"/>
          <w:color w:val="000000" w:themeColor="text1"/>
          <w:sz w:val="24"/>
          <w:szCs w:val="24"/>
        </w:rPr>
      </w:pPr>
      <w:r w:rsidRPr="00674217">
        <w:rPr>
          <w:rFonts w:eastAsia="Calibri" w:cstheme="minorHAnsi"/>
          <w:color w:val="000000" w:themeColor="text1"/>
          <w:sz w:val="24"/>
          <w:szCs w:val="24"/>
        </w:rPr>
        <w:t xml:space="preserve">Poslovi i zadatci planirani su kroz </w:t>
      </w:r>
      <w:r w:rsidR="000133E1">
        <w:rPr>
          <w:rFonts w:eastAsia="Calibri" w:cstheme="minorHAnsi"/>
          <w:color w:val="000000" w:themeColor="text1"/>
          <w:sz w:val="24"/>
          <w:szCs w:val="24"/>
        </w:rPr>
        <w:t>11</w:t>
      </w:r>
      <w:r w:rsidRPr="00674217">
        <w:rPr>
          <w:rFonts w:eastAsia="Calibri" w:cstheme="minorHAnsi"/>
          <w:color w:val="000000" w:themeColor="text1"/>
          <w:sz w:val="24"/>
          <w:szCs w:val="24"/>
        </w:rPr>
        <w:t xml:space="preserve"> kapitalnih projekata: </w:t>
      </w:r>
    </w:p>
    <w:p w14:paraId="6B79B555" w14:textId="7941C208" w:rsidR="00E44F59" w:rsidRPr="000133E1" w:rsidRDefault="00E44F59" w:rsidP="000133E1">
      <w:pPr>
        <w:numPr>
          <w:ilvl w:val="0"/>
          <w:numId w:val="13"/>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sidRPr="000133E1">
        <w:rPr>
          <w:rFonts w:eastAsia="Calibri" w:cstheme="minorHAnsi"/>
          <w:color w:val="000000" w:themeColor="text1"/>
          <w:sz w:val="24"/>
          <w:szCs w:val="24"/>
        </w:rPr>
        <w:t>K100101 Rekonstrukcija ulice Rimski put,</w:t>
      </w:r>
    </w:p>
    <w:p w14:paraId="372E650E" w14:textId="77777777" w:rsidR="00E44F59" w:rsidRPr="00674217" w:rsidRDefault="00E44F59" w:rsidP="00E44F59">
      <w:pPr>
        <w:numPr>
          <w:ilvl w:val="0"/>
          <w:numId w:val="13"/>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sidRPr="00674217">
        <w:rPr>
          <w:rFonts w:eastAsia="Calibri" w:cstheme="minorHAnsi"/>
          <w:color w:val="000000" w:themeColor="text1"/>
          <w:sz w:val="24"/>
          <w:szCs w:val="24"/>
        </w:rPr>
        <w:t>K100102 Rekonstrukcija Zagorske ulice,</w:t>
      </w:r>
    </w:p>
    <w:p w14:paraId="09E7A893" w14:textId="77777777" w:rsidR="00E44F59" w:rsidRPr="00674217" w:rsidRDefault="00E44F59" w:rsidP="00E44F59">
      <w:pPr>
        <w:numPr>
          <w:ilvl w:val="0"/>
          <w:numId w:val="13"/>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sidRPr="00674217">
        <w:rPr>
          <w:rFonts w:eastAsia="Calibri" w:cstheme="minorHAnsi"/>
          <w:color w:val="000000" w:themeColor="text1"/>
          <w:sz w:val="24"/>
          <w:szCs w:val="24"/>
        </w:rPr>
        <w:t>K100103 Rekonstrukcija ulice Tina Ujevića,</w:t>
      </w:r>
    </w:p>
    <w:p w14:paraId="173AC4C1" w14:textId="77777777" w:rsidR="00E44F59" w:rsidRPr="00674217" w:rsidRDefault="00E44F59" w:rsidP="00E44F59">
      <w:pPr>
        <w:numPr>
          <w:ilvl w:val="0"/>
          <w:numId w:val="13"/>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sidRPr="00674217">
        <w:rPr>
          <w:rFonts w:eastAsia="Calibri" w:cstheme="minorHAnsi"/>
          <w:color w:val="000000" w:themeColor="text1"/>
          <w:sz w:val="24"/>
          <w:szCs w:val="24"/>
        </w:rPr>
        <w:t>K100106 Rekonstrukcija ulice Kneza Trpimira do dječjeg vrtića Maslačak,</w:t>
      </w:r>
    </w:p>
    <w:p w14:paraId="449AE02D" w14:textId="77777777" w:rsidR="00E44F59" w:rsidRPr="00674217" w:rsidRDefault="00E44F59" w:rsidP="00E44F59">
      <w:pPr>
        <w:numPr>
          <w:ilvl w:val="0"/>
          <w:numId w:val="13"/>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sidRPr="00674217">
        <w:rPr>
          <w:rFonts w:eastAsia="Calibri" w:cstheme="minorHAnsi"/>
          <w:color w:val="000000" w:themeColor="text1"/>
          <w:sz w:val="24"/>
          <w:szCs w:val="24"/>
        </w:rPr>
        <w:t>K100107 Rekonstrukcija ulice Ante Starčevića,</w:t>
      </w:r>
    </w:p>
    <w:p w14:paraId="049703CE" w14:textId="77777777" w:rsidR="00E44F59" w:rsidRDefault="00E44F59" w:rsidP="00E44F59">
      <w:pPr>
        <w:numPr>
          <w:ilvl w:val="0"/>
          <w:numId w:val="13"/>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sidRPr="00674217">
        <w:rPr>
          <w:rFonts w:eastAsia="Calibri" w:cstheme="minorHAnsi"/>
          <w:color w:val="000000" w:themeColor="text1"/>
          <w:sz w:val="24"/>
          <w:szCs w:val="24"/>
        </w:rPr>
        <w:t>K100108 Rekonstrukcija ulice Balancane</w:t>
      </w:r>
      <w:r>
        <w:rPr>
          <w:rFonts w:eastAsia="Calibri" w:cstheme="minorHAnsi"/>
          <w:color w:val="000000" w:themeColor="text1"/>
          <w:sz w:val="24"/>
          <w:szCs w:val="24"/>
        </w:rPr>
        <w:t>,</w:t>
      </w:r>
    </w:p>
    <w:p w14:paraId="068AA0D2" w14:textId="3CF9E595" w:rsidR="000133E1" w:rsidRDefault="000133E1" w:rsidP="00E44F59">
      <w:pPr>
        <w:numPr>
          <w:ilvl w:val="0"/>
          <w:numId w:val="13"/>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Pr>
          <w:rFonts w:eastAsia="Calibri" w:cstheme="minorHAnsi"/>
          <w:color w:val="000000" w:themeColor="text1"/>
          <w:sz w:val="24"/>
          <w:szCs w:val="24"/>
        </w:rPr>
        <w:t xml:space="preserve">K100110 Rekonstrukcija ulice put </w:t>
      </w:r>
      <w:proofErr w:type="spellStart"/>
      <w:r>
        <w:rPr>
          <w:rFonts w:eastAsia="Calibri" w:cstheme="minorHAnsi"/>
          <w:color w:val="000000" w:themeColor="text1"/>
          <w:sz w:val="24"/>
          <w:szCs w:val="24"/>
        </w:rPr>
        <w:t>Balana</w:t>
      </w:r>
      <w:proofErr w:type="spellEnd"/>
      <w:r>
        <w:rPr>
          <w:rFonts w:eastAsia="Calibri" w:cstheme="minorHAnsi"/>
          <w:color w:val="000000" w:themeColor="text1"/>
          <w:sz w:val="24"/>
          <w:szCs w:val="24"/>
        </w:rPr>
        <w:t>,</w:t>
      </w:r>
    </w:p>
    <w:p w14:paraId="685D683B" w14:textId="58AE6779" w:rsidR="000133E1" w:rsidRDefault="000133E1" w:rsidP="00E44F59">
      <w:pPr>
        <w:numPr>
          <w:ilvl w:val="0"/>
          <w:numId w:val="13"/>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Pr>
          <w:rFonts w:eastAsia="Calibri" w:cstheme="minorHAnsi"/>
          <w:color w:val="000000" w:themeColor="text1"/>
          <w:sz w:val="24"/>
          <w:szCs w:val="24"/>
        </w:rPr>
        <w:t xml:space="preserve">K100111 Rekonstrukcija ulice dr. Franje Tuđmana, </w:t>
      </w:r>
    </w:p>
    <w:p w14:paraId="57C8C03A" w14:textId="77777777" w:rsidR="000133E1" w:rsidRDefault="000133E1" w:rsidP="000133E1">
      <w:pPr>
        <w:pStyle w:val="Odlomakpopisa"/>
        <w:numPr>
          <w:ilvl w:val="0"/>
          <w:numId w:val="13"/>
        </w:numPr>
        <w:suppressAutoHyphens/>
        <w:spacing w:after="0" w:line="283" w:lineRule="exact"/>
        <w:jc w:val="both"/>
        <w:rPr>
          <w:rFonts w:cstheme="minorHAnsi"/>
          <w:color w:val="000000"/>
          <w:lang w:eastAsia="ar-SA"/>
        </w:rPr>
      </w:pPr>
      <w:r w:rsidRPr="000133E1">
        <w:rPr>
          <w:rFonts w:cstheme="minorHAnsi"/>
          <w:color w:val="000000"/>
          <w:sz w:val="24"/>
          <w:szCs w:val="24"/>
          <w:lang w:eastAsia="ar-SA"/>
        </w:rPr>
        <w:t xml:space="preserve">K100113 Rekonstrukcija ulice sv. Ivana Trogirskog sa spojem na Put </w:t>
      </w:r>
      <w:proofErr w:type="spellStart"/>
      <w:r w:rsidRPr="000133E1">
        <w:rPr>
          <w:rFonts w:cstheme="minorHAnsi"/>
          <w:color w:val="000000"/>
          <w:sz w:val="24"/>
          <w:szCs w:val="24"/>
          <w:lang w:eastAsia="ar-SA"/>
        </w:rPr>
        <w:t>Dragulina</w:t>
      </w:r>
      <w:proofErr w:type="spellEnd"/>
      <w:r w:rsidRPr="000133E1">
        <w:rPr>
          <w:rFonts w:cstheme="minorHAnsi"/>
          <w:color w:val="000000"/>
          <w:lang w:eastAsia="ar-SA"/>
        </w:rPr>
        <w:t>,</w:t>
      </w:r>
    </w:p>
    <w:p w14:paraId="4B835673" w14:textId="773B336D" w:rsidR="000133E1" w:rsidRPr="000133E1" w:rsidRDefault="000133E1" w:rsidP="000133E1">
      <w:pPr>
        <w:pStyle w:val="Odlomakpopisa"/>
        <w:numPr>
          <w:ilvl w:val="0"/>
          <w:numId w:val="13"/>
        </w:numPr>
        <w:suppressAutoHyphens/>
        <w:spacing w:after="0" w:line="283" w:lineRule="exact"/>
        <w:jc w:val="both"/>
        <w:rPr>
          <w:rFonts w:cstheme="minorHAnsi"/>
          <w:color w:val="000000"/>
          <w:lang w:eastAsia="ar-SA"/>
        </w:rPr>
      </w:pPr>
      <w:r>
        <w:rPr>
          <w:rFonts w:cstheme="minorHAnsi"/>
          <w:color w:val="000000"/>
          <w:sz w:val="24"/>
          <w:szCs w:val="24"/>
          <w:lang w:eastAsia="ar-SA"/>
        </w:rPr>
        <w:t xml:space="preserve"> </w:t>
      </w:r>
      <w:r w:rsidRPr="000133E1">
        <w:rPr>
          <w:rFonts w:cstheme="minorHAnsi"/>
          <w:color w:val="000000"/>
          <w:sz w:val="24"/>
          <w:szCs w:val="24"/>
          <w:lang w:eastAsia="ar-SA"/>
        </w:rPr>
        <w:t>K100202 Rekonstrukcija zapadne Čiovske obale s trgom Lučica,</w:t>
      </w:r>
    </w:p>
    <w:p w14:paraId="6763A450" w14:textId="24D98D97" w:rsidR="00E44F59" w:rsidRPr="000133E1" w:rsidRDefault="000133E1" w:rsidP="000133E1">
      <w:pPr>
        <w:pStyle w:val="Odlomakpopisa"/>
        <w:numPr>
          <w:ilvl w:val="0"/>
          <w:numId w:val="13"/>
        </w:numPr>
        <w:suppressAutoHyphens/>
        <w:spacing w:after="0" w:line="283" w:lineRule="exact"/>
        <w:jc w:val="both"/>
        <w:rPr>
          <w:rFonts w:eastAsia="Times New Roman" w:cstheme="minorHAnsi"/>
          <w:color w:val="000000"/>
          <w:lang w:eastAsia="ar-SA"/>
        </w:rPr>
      </w:pPr>
      <w:r w:rsidRPr="000133E1">
        <w:rPr>
          <w:rFonts w:cstheme="minorHAnsi"/>
          <w:color w:val="000000"/>
          <w:sz w:val="24"/>
          <w:szCs w:val="24"/>
          <w:lang w:eastAsia="ar-SA"/>
        </w:rPr>
        <w:t xml:space="preserve">K100203 Rekonstrukcija ulice Put </w:t>
      </w:r>
      <w:proofErr w:type="spellStart"/>
      <w:r w:rsidRPr="000133E1">
        <w:rPr>
          <w:rFonts w:cstheme="minorHAnsi"/>
          <w:color w:val="000000"/>
          <w:sz w:val="24"/>
          <w:szCs w:val="24"/>
          <w:lang w:eastAsia="ar-SA"/>
        </w:rPr>
        <w:t>Krbana</w:t>
      </w:r>
      <w:proofErr w:type="spellEnd"/>
      <w:r w:rsidRPr="000133E1">
        <w:rPr>
          <w:rFonts w:cstheme="minorHAnsi"/>
          <w:color w:val="000000"/>
          <w:lang w:eastAsia="ar-SA"/>
        </w:rPr>
        <w:t>.</w:t>
      </w:r>
    </w:p>
    <w:p w14:paraId="460AF79D" w14:textId="77777777" w:rsidR="00E44F59" w:rsidRDefault="00E44F59" w:rsidP="00E44F59">
      <w:pPr>
        <w:overflowPunct w:val="0"/>
        <w:autoSpaceDE w:val="0"/>
        <w:autoSpaceDN w:val="0"/>
        <w:adjustRightInd w:val="0"/>
        <w:spacing w:after="0" w:line="280" w:lineRule="exact"/>
        <w:jc w:val="both"/>
        <w:textAlignment w:val="baseline"/>
        <w:rPr>
          <w:rFonts w:eastAsia="Calibri" w:cstheme="minorHAnsi"/>
          <w:color w:val="000000" w:themeColor="text1"/>
          <w:sz w:val="24"/>
          <w:szCs w:val="24"/>
        </w:rPr>
      </w:pPr>
    </w:p>
    <w:p w14:paraId="2DCA23F8" w14:textId="71C02FED" w:rsidR="00E44F59" w:rsidRDefault="00E44F59" w:rsidP="00E44F59">
      <w:pPr>
        <w:overflowPunct w:val="0"/>
        <w:autoSpaceDE w:val="0"/>
        <w:autoSpaceDN w:val="0"/>
        <w:adjustRightInd w:val="0"/>
        <w:spacing w:after="0" w:line="280" w:lineRule="exact"/>
        <w:jc w:val="both"/>
        <w:textAlignment w:val="baseline"/>
        <w:rPr>
          <w:rFonts w:eastAsia="Calibri" w:cstheme="minorHAnsi"/>
          <w:color w:val="000000" w:themeColor="text1"/>
          <w:sz w:val="24"/>
          <w:szCs w:val="24"/>
        </w:rPr>
      </w:pPr>
      <w:r w:rsidRPr="00674217">
        <w:rPr>
          <w:rFonts w:eastAsia="Calibri" w:cstheme="minorHAnsi"/>
          <w:color w:val="000000" w:themeColor="text1"/>
          <w:sz w:val="24"/>
          <w:szCs w:val="24"/>
        </w:rPr>
        <w:t xml:space="preserve">U programu Postojeće građevine komunalne infrastrukture koje će se rekonstruirati i način rekonstrukcije planirana su sredstva za </w:t>
      </w:r>
      <w:r w:rsidR="000133E1">
        <w:rPr>
          <w:rFonts w:eastAsia="Calibri" w:cstheme="minorHAnsi"/>
          <w:color w:val="000000" w:themeColor="text1"/>
          <w:sz w:val="24"/>
          <w:szCs w:val="24"/>
        </w:rPr>
        <w:t>11</w:t>
      </w:r>
      <w:r w:rsidRPr="00674217">
        <w:rPr>
          <w:rFonts w:eastAsia="Calibri" w:cstheme="minorHAnsi"/>
          <w:color w:val="000000" w:themeColor="text1"/>
          <w:sz w:val="24"/>
          <w:szCs w:val="24"/>
        </w:rPr>
        <w:t xml:space="preserve"> kapitalnih pro</w:t>
      </w:r>
      <w:r>
        <w:rPr>
          <w:rFonts w:eastAsia="Calibri" w:cstheme="minorHAnsi"/>
          <w:color w:val="000000" w:themeColor="text1"/>
          <w:sz w:val="24"/>
          <w:szCs w:val="24"/>
        </w:rPr>
        <w:t xml:space="preserve">jekata u iznosu od </w:t>
      </w:r>
      <w:r w:rsidR="000133E1">
        <w:rPr>
          <w:rFonts w:eastAsia="Calibri" w:cstheme="minorHAnsi"/>
          <w:color w:val="000000" w:themeColor="text1"/>
          <w:sz w:val="24"/>
          <w:szCs w:val="24"/>
        </w:rPr>
        <w:t xml:space="preserve">1.987.590,00 </w:t>
      </w:r>
      <w:r w:rsidRPr="00674217">
        <w:rPr>
          <w:rFonts w:eastAsia="Calibri" w:cstheme="minorHAnsi"/>
          <w:color w:val="000000" w:themeColor="text1"/>
          <w:sz w:val="24"/>
          <w:szCs w:val="24"/>
        </w:rPr>
        <w:t>eura.</w:t>
      </w:r>
    </w:p>
    <w:p w14:paraId="289A32DB" w14:textId="77777777" w:rsidR="00E44F59" w:rsidRDefault="00E44F59" w:rsidP="003F60A0">
      <w:pPr>
        <w:spacing w:after="0"/>
        <w:rPr>
          <w:rFonts w:cstheme="minorHAnsi"/>
          <w:sz w:val="24"/>
          <w:szCs w:val="24"/>
          <w:u w:val="single"/>
          <w:lang w:eastAsia="hr-HR"/>
        </w:rPr>
      </w:pPr>
    </w:p>
    <w:p w14:paraId="2F6373A4" w14:textId="7A135CEF" w:rsidR="008121CB" w:rsidRDefault="008121CB" w:rsidP="008121CB">
      <w:pPr>
        <w:jc w:val="both"/>
        <w:rPr>
          <w:rFonts w:cstheme="minorHAnsi"/>
          <w:sz w:val="24"/>
          <w:szCs w:val="24"/>
          <w:lang w:eastAsia="hr-HR"/>
        </w:rPr>
      </w:pPr>
      <w:r w:rsidRPr="00F10BEC">
        <w:rPr>
          <w:rFonts w:cstheme="minorHAnsi"/>
          <w:sz w:val="24"/>
          <w:szCs w:val="24"/>
          <w:u w:val="single"/>
          <w:lang w:eastAsia="hr-HR"/>
        </w:rPr>
        <w:t>Kapitalni projekt Rekonstrukcija Ulice Rimski put</w:t>
      </w:r>
      <w:r>
        <w:rPr>
          <w:rFonts w:cstheme="minorHAnsi"/>
          <w:sz w:val="24"/>
          <w:szCs w:val="24"/>
          <w:lang w:eastAsia="hr-HR"/>
        </w:rPr>
        <w:t xml:space="preserve"> obuhvaća realizaciju imovinsko pravne pripreme zemljišta, projektne pripreme s ishođenjem akta za gradnju te rekonstrukciju same ulice</w:t>
      </w:r>
      <w:r w:rsidRPr="00674217">
        <w:rPr>
          <w:rFonts w:cstheme="minorHAnsi"/>
          <w:sz w:val="24"/>
          <w:szCs w:val="24"/>
          <w:lang w:eastAsia="hr-HR"/>
        </w:rPr>
        <w:t>.</w:t>
      </w:r>
      <w:r w:rsidRPr="00674217">
        <w:rPr>
          <w:rFonts w:eastAsia="Times New Roman" w:cstheme="minorHAnsi"/>
          <w:sz w:val="24"/>
          <w:szCs w:val="24"/>
        </w:rPr>
        <w:t xml:space="preserve"> Za dio ulice </w:t>
      </w:r>
      <w:r w:rsidRPr="00674217">
        <w:rPr>
          <w:rFonts w:eastAsia="Times New Roman" w:cstheme="minorHAnsi"/>
          <w:sz w:val="24"/>
          <w:szCs w:val="24"/>
          <w:lang w:eastAsia="hr-HR"/>
        </w:rPr>
        <w:t>od križanja s državnom cestom D126 na istoku do križanja s ulicom Put Ribole na zapadu duljine cca 1,15 km</w:t>
      </w:r>
      <w:r>
        <w:rPr>
          <w:rFonts w:eastAsia="Times New Roman" w:cstheme="minorHAnsi"/>
          <w:sz w:val="24"/>
          <w:szCs w:val="24"/>
          <w:lang w:eastAsia="hr-HR"/>
        </w:rPr>
        <w:t xml:space="preserve"> </w:t>
      </w:r>
      <w:r w:rsidRPr="00674217">
        <w:rPr>
          <w:rFonts w:eastAsia="Times New Roman" w:cstheme="minorHAnsi"/>
          <w:sz w:val="24"/>
          <w:szCs w:val="24"/>
          <w:lang w:eastAsia="hr-HR"/>
        </w:rPr>
        <w:t>ishođena je lokacijska i građevinska dozvola te započeto izvlaštenje i otkup zemljišta. Planirano je potpisivanje sporazuma s VIK-om , HEP-om i HT-om za zajedničku investiciju i  proširenje obuhvata po građevinskoj dozvoli na dva dijela nerazvrstane ceste Rimski Put koja se spajaju  preko državne spojne ceste  D126</w:t>
      </w:r>
      <w:r>
        <w:rPr>
          <w:rFonts w:eastAsia="Times New Roman" w:cstheme="minorHAnsi"/>
          <w:sz w:val="24"/>
          <w:szCs w:val="24"/>
          <w:lang w:eastAsia="hr-HR"/>
        </w:rPr>
        <w:t>.</w:t>
      </w:r>
      <w:r>
        <w:rPr>
          <w:rFonts w:cstheme="minorHAnsi"/>
          <w:sz w:val="24"/>
          <w:szCs w:val="24"/>
          <w:lang w:eastAsia="hr-HR"/>
        </w:rPr>
        <w:t xml:space="preserve"> Navedeni projekt bilježi realizaciju u iznosu od </w:t>
      </w:r>
      <w:r w:rsidR="000133E1">
        <w:rPr>
          <w:rFonts w:cstheme="minorHAnsi"/>
          <w:sz w:val="24"/>
          <w:szCs w:val="24"/>
          <w:lang w:eastAsia="hr-HR"/>
        </w:rPr>
        <w:t>19.075,99</w:t>
      </w:r>
      <w:r>
        <w:rPr>
          <w:rFonts w:cstheme="minorHAnsi"/>
          <w:sz w:val="24"/>
          <w:szCs w:val="24"/>
          <w:lang w:eastAsia="hr-HR"/>
        </w:rPr>
        <w:t xml:space="preserve"> eura, a odnosi se na troškove otkupa zemljišta za potrebe proširenja ulice Rimski put</w:t>
      </w:r>
      <w:r w:rsidR="000133E1">
        <w:rPr>
          <w:rFonts w:cstheme="minorHAnsi"/>
          <w:sz w:val="24"/>
          <w:szCs w:val="24"/>
          <w:lang w:eastAsia="hr-HR"/>
        </w:rPr>
        <w:t>.</w:t>
      </w:r>
    </w:p>
    <w:p w14:paraId="434D4CC5" w14:textId="718815C4" w:rsidR="00ED3AD1" w:rsidRPr="00ED3AD1" w:rsidRDefault="00456557" w:rsidP="00ED3AD1">
      <w:pPr>
        <w:spacing w:after="0" w:line="240" w:lineRule="auto"/>
        <w:jc w:val="both"/>
        <w:rPr>
          <w:sz w:val="24"/>
          <w:szCs w:val="24"/>
        </w:rPr>
      </w:pPr>
      <w:r w:rsidRPr="00ED3AD1">
        <w:rPr>
          <w:sz w:val="24"/>
          <w:szCs w:val="24"/>
          <w:u w:val="single"/>
        </w:rPr>
        <w:t>Kapitalni projekt Rekonstrukcija ulice Tina Ujevića</w:t>
      </w:r>
      <w:r w:rsidRPr="00ED3AD1">
        <w:rPr>
          <w:sz w:val="24"/>
          <w:szCs w:val="24"/>
        </w:rPr>
        <w:t xml:space="preserve">, obuhvaća radove na izvanrednom održavanju prometnice i izgradnji oborinske odvodnje Ulice Tina Ujevića i Ulice Put sv. Ante, dužine cca 450 mm, realizirano je </w:t>
      </w:r>
      <w:r w:rsidR="00ED3AD1" w:rsidRPr="00ED3AD1">
        <w:rPr>
          <w:sz w:val="24"/>
          <w:szCs w:val="24"/>
        </w:rPr>
        <w:t>171.632,91</w:t>
      </w:r>
      <w:r w:rsidRPr="00ED3AD1">
        <w:rPr>
          <w:sz w:val="24"/>
          <w:szCs w:val="24"/>
        </w:rPr>
        <w:t xml:space="preserve"> eura ili </w:t>
      </w:r>
      <w:r w:rsidR="00ED3AD1" w:rsidRPr="00ED3AD1">
        <w:rPr>
          <w:sz w:val="24"/>
          <w:szCs w:val="24"/>
        </w:rPr>
        <w:t>99,79</w:t>
      </w:r>
      <w:r w:rsidRPr="00ED3AD1">
        <w:rPr>
          <w:sz w:val="24"/>
          <w:szCs w:val="24"/>
        </w:rPr>
        <w:t xml:space="preserve">% plana i to </w:t>
      </w:r>
      <w:r w:rsidR="00ED3AD1" w:rsidRPr="00ED3AD1">
        <w:rPr>
          <w:sz w:val="24"/>
          <w:szCs w:val="24"/>
        </w:rPr>
        <w:t>izvođenje radova i nadzor na rekonstrukciji ulice Tina Ujevića.</w:t>
      </w:r>
    </w:p>
    <w:p w14:paraId="27220239" w14:textId="0786FB09" w:rsidR="00456557" w:rsidRPr="00456557" w:rsidRDefault="00456557" w:rsidP="00456557">
      <w:pPr>
        <w:spacing w:after="0" w:line="280" w:lineRule="exact"/>
        <w:jc w:val="both"/>
        <w:rPr>
          <w:sz w:val="24"/>
          <w:szCs w:val="24"/>
        </w:rPr>
      </w:pPr>
    </w:p>
    <w:p w14:paraId="40EFCD8F" w14:textId="77777777" w:rsidR="00456557" w:rsidRDefault="00456557" w:rsidP="00456557">
      <w:pPr>
        <w:jc w:val="both"/>
        <w:rPr>
          <w:sz w:val="24"/>
          <w:szCs w:val="24"/>
        </w:rPr>
      </w:pPr>
    </w:p>
    <w:p w14:paraId="7D17E6A2" w14:textId="36977062" w:rsidR="00ED3AD1" w:rsidRPr="00ED3AD1" w:rsidRDefault="00456557" w:rsidP="00ED3AD1">
      <w:pPr>
        <w:spacing w:after="0" w:line="240" w:lineRule="auto"/>
        <w:jc w:val="both"/>
        <w:rPr>
          <w:sz w:val="24"/>
          <w:szCs w:val="24"/>
        </w:rPr>
      </w:pPr>
      <w:r w:rsidRPr="00ED3AD1">
        <w:rPr>
          <w:rFonts w:cstheme="minorHAnsi"/>
          <w:sz w:val="24"/>
          <w:szCs w:val="24"/>
          <w:u w:val="single"/>
          <w:lang w:eastAsia="hr-HR"/>
        </w:rPr>
        <w:lastRenderedPageBreak/>
        <w:t>Kapitalni projekt Rekonstrukcija ulice Ante Starčevića</w:t>
      </w:r>
      <w:r w:rsidRPr="00ED3AD1">
        <w:rPr>
          <w:rFonts w:cstheme="minorHAnsi"/>
          <w:sz w:val="24"/>
          <w:szCs w:val="24"/>
          <w:lang w:eastAsia="hr-HR"/>
        </w:rPr>
        <w:t xml:space="preserve"> obuhvaća troškove otkupa zemljišta kao i </w:t>
      </w:r>
      <w:r w:rsidRPr="00ED3AD1">
        <w:rPr>
          <w:rFonts w:eastAsia="Times New Roman" w:cstheme="minorHAnsi"/>
          <w:sz w:val="24"/>
          <w:szCs w:val="24"/>
        </w:rPr>
        <w:t xml:space="preserve">projektne pripreme s ishođenjem akta za gradnju te rekonstrukciju </w:t>
      </w:r>
      <w:r w:rsidRPr="00ED3AD1">
        <w:rPr>
          <w:rFonts w:eastAsia="Times New Roman" w:cstheme="minorHAnsi"/>
          <w:sz w:val="24"/>
          <w:szCs w:val="24"/>
          <w:lang w:eastAsia="hr-HR"/>
        </w:rPr>
        <w:t>dijela ulice Dr. Ante Starčevića. Za predmetni projekt ishođena je lokacijska dozvola, izrađen glavni projekt te pokrenut postupaka ishođenja građevinske dozvole. Predmet zahvata je rekonstrukcija postojeće prometnice u duljini cca 995 m.</w:t>
      </w:r>
      <w:r w:rsidRPr="00ED3AD1">
        <w:rPr>
          <w:rFonts w:cstheme="minorHAnsi"/>
          <w:sz w:val="24"/>
          <w:szCs w:val="24"/>
          <w:lang w:eastAsia="hr-HR"/>
        </w:rPr>
        <w:t xml:space="preserve"> Planirana sredstva za navedeni projekt u 202</w:t>
      </w:r>
      <w:r w:rsidR="00ED3AD1" w:rsidRPr="00ED3AD1">
        <w:rPr>
          <w:rFonts w:cstheme="minorHAnsi"/>
          <w:sz w:val="24"/>
          <w:szCs w:val="24"/>
          <w:lang w:eastAsia="hr-HR"/>
        </w:rPr>
        <w:t>5</w:t>
      </w:r>
      <w:r w:rsidRPr="00ED3AD1">
        <w:rPr>
          <w:rFonts w:cstheme="minorHAnsi"/>
          <w:sz w:val="24"/>
          <w:szCs w:val="24"/>
          <w:lang w:eastAsia="hr-HR"/>
        </w:rPr>
        <w:t xml:space="preserve">.godini iznose </w:t>
      </w:r>
      <w:r w:rsidR="00ED3AD1" w:rsidRPr="00ED3AD1">
        <w:rPr>
          <w:rFonts w:cstheme="minorHAnsi"/>
          <w:sz w:val="24"/>
          <w:szCs w:val="24"/>
          <w:lang w:eastAsia="hr-HR"/>
        </w:rPr>
        <w:t>1.605.975,00</w:t>
      </w:r>
      <w:r w:rsidRPr="00ED3AD1">
        <w:rPr>
          <w:rFonts w:cstheme="minorHAnsi"/>
          <w:sz w:val="24"/>
          <w:szCs w:val="24"/>
          <w:lang w:eastAsia="hr-HR"/>
        </w:rPr>
        <w:t xml:space="preserve">, a realizirano je </w:t>
      </w:r>
      <w:r w:rsidR="00ED3AD1" w:rsidRPr="00ED3AD1">
        <w:rPr>
          <w:rFonts w:cstheme="minorHAnsi"/>
          <w:sz w:val="24"/>
          <w:szCs w:val="24"/>
          <w:lang w:eastAsia="hr-HR"/>
        </w:rPr>
        <w:t>1.217.105,44</w:t>
      </w:r>
      <w:r w:rsidRPr="00ED3AD1">
        <w:rPr>
          <w:rFonts w:cstheme="minorHAnsi"/>
          <w:sz w:val="24"/>
          <w:szCs w:val="24"/>
          <w:lang w:eastAsia="hr-HR"/>
        </w:rPr>
        <w:t xml:space="preserve"> eura, a odnose se na otkup zemljišta temeljem Rješenja o izvlaštenju za potrebe proširenja Ulice Ante Starčevića</w:t>
      </w:r>
      <w:r w:rsidR="00446A9E" w:rsidRPr="00ED3AD1">
        <w:rPr>
          <w:rFonts w:cstheme="minorHAnsi"/>
          <w:sz w:val="24"/>
          <w:szCs w:val="24"/>
          <w:lang w:eastAsia="hr-HR"/>
        </w:rPr>
        <w:t xml:space="preserve"> u iznosu od </w:t>
      </w:r>
      <w:r w:rsidR="00ED3AD1" w:rsidRPr="00ED3AD1">
        <w:rPr>
          <w:rFonts w:cstheme="minorHAnsi"/>
          <w:sz w:val="24"/>
          <w:szCs w:val="24"/>
          <w:lang w:eastAsia="hr-HR"/>
        </w:rPr>
        <w:t>192.372,10</w:t>
      </w:r>
      <w:r w:rsidR="00446A9E" w:rsidRPr="00ED3AD1">
        <w:rPr>
          <w:rFonts w:cstheme="minorHAnsi"/>
          <w:sz w:val="24"/>
          <w:szCs w:val="24"/>
          <w:lang w:eastAsia="hr-HR"/>
        </w:rPr>
        <w:t xml:space="preserve"> eura i na </w:t>
      </w:r>
      <w:r w:rsidR="00ED3AD1" w:rsidRPr="00ED3AD1">
        <w:rPr>
          <w:sz w:val="24"/>
          <w:szCs w:val="24"/>
        </w:rPr>
        <w:t>izradu plana izvođenja radova te radovi rekonstrukcije s uključenim nadzorom i koordinatorom na dijelu ulice Ante Starčevića u iznosu ostvarenja od značajnih 1.024.733,34 eura</w:t>
      </w:r>
      <w:r w:rsidR="00ED3AD1">
        <w:rPr>
          <w:sz w:val="24"/>
          <w:szCs w:val="24"/>
        </w:rPr>
        <w:t>.</w:t>
      </w:r>
    </w:p>
    <w:p w14:paraId="4AD800BE" w14:textId="77777777" w:rsidR="00ED3AD1" w:rsidRDefault="00ED3AD1" w:rsidP="003045A1">
      <w:pPr>
        <w:spacing w:after="0"/>
        <w:jc w:val="both"/>
        <w:rPr>
          <w:rFonts w:cstheme="minorHAnsi"/>
          <w:sz w:val="24"/>
          <w:szCs w:val="24"/>
          <w:lang w:eastAsia="hr-HR"/>
        </w:rPr>
      </w:pPr>
    </w:p>
    <w:p w14:paraId="726EC5AA" w14:textId="5DAC3E85" w:rsidR="00D407BE" w:rsidRDefault="003045A1" w:rsidP="00D407BE">
      <w:pPr>
        <w:spacing w:after="0"/>
        <w:jc w:val="both"/>
      </w:pPr>
      <w:r>
        <w:rPr>
          <w:rFonts w:cstheme="minorHAnsi"/>
          <w:sz w:val="24"/>
          <w:szCs w:val="24"/>
          <w:u w:val="single"/>
          <w:lang w:eastAsia="hr-HR"/>
        </w:rPr>
        <w:t xml:space="preserve">Kapitalni projekt Rekonstrukcija ulice Balancane, </w:t>
      </w:r>
      <w:r w:rsidRPr="003045A1">
        <w:rPr>
          <w:rFonts w:cstheme="minorHAnsi"/>
          <w:sz w:val="24"/>
          <w:szCs w:val="24"/>
          <w:lang w:eastAsia="hr-HR"/>
        </w:rPr>
        <w:t xml:space="preserve">planirana sredstva za realizaciju navedenog projekta su iznosila </w:t>
      </w:r>
      <w:r w:rsidR="00ED3AD1">
        <w:rPr>
          <w:rFonts w:cstheme="minorHAnsi"/>
          <w:sz w:val="24"/>
          <w:szCs w:val="24"/>
          <w:lang w:eastAsia="hr-HR"/>
        </w:rPr>
        <w:t>40.000,00</w:t>
      </w:r>
      <w:r w:rsidRPr="003045A1">
        <w:rPr>
          <w:rFonts w:cstheme="minorHAnsi"/>
          <w:sz w:val="24"/>
          <w:szCs w:val="24"/>
          <w:lang w:eastAsia="hr-HR"/>
        </w:rPr>
        <w:t xml:space="preserve"> eura, a u izvještajnom razdoblju 202</w:t>
      </w:r>
      <w:r w:rsidR="00ED3AD1">
        <w:rPr>
          <w:rFonts w:cstheme="minorHAnsi"/>
          <w:sz w:val="24"/>
          <w:szCs w:val="24"/>
          <w:lang w:eastAsia="hr-HR"/>
        </w:rPr>
        <w:t>5</w:t>
      </w:r>
      <w:r w:rsidRPr="003045A1">
        <w:rPr>
          <w:rFonts w:cstheme="minorHAnsi"/>
          <w:sz w:val="24"/>
          <w:szCs w:val="24"/>
          <w:lang w:eastAsia="hr-HR"/>
        </w:rPr>
        <w:t xml:space="preserve">.godine realizirano je </w:t>
      </w:r>
      <w:r w:rsidR="00D407BE">
        <w:rPr>
          <w:rFonts w:cstheme="minorHAnsi"/>
          <w:sz w:val="24"/>
          <w:szCs w:val="24"/>
          <w:lang w:eastAsia="hr-HR"/>
        </w:rPr>
        <w:t>21.662,50</w:t>
      </w:r>
      <w:r>
        <w:rPr>
          <w:rFonts w:cstheme="minorHAnsi"/>
          <w:sz w:val="24"/>
          <w:szCs w:val="24"/>
          <w:lang w:eastAsia="hr-HR"/>
        </w:rPr>
        <w:t xml:space="preserve"> eura ili </w:t>
      </w:r>
      <w:r w:rsidR="00D407BE">
        <w:rPr>
          <w:rFonts w:cstheme="minorHAnsi"/>
          <w:sz w:val="24"/>
          <w:szCs w:val="24"/>
          <w:lang w:eastAsia="hr-HR"/>
        </w:rPr>
        <w:t>54,16</w:t>
      </w:r>
      <w:r>
        <w:rPr>
          <w:rFonts w:cstheme="minorHAnsi"/>
          <w:sz w:val="24"/>
          <w:szCs w:val="24"/>
          <w:lang w:eastAsia="hr-HR"/>
        </w:rPr>
        <w:t xml:space="preserve">% plana </w:t>
      </w:r>
      <w:r w:rsidRPr="003045A1">
        <w:rPr>
          <w:rFonts w:cstheme="minorHAnsi"/>
          <w:sz w:val="24"/>
          <w:szCs w:val="24"/>
          <w:lang w:eastAsia="hr-HR"/>
        </w:rPr>
        <w:t xml:space="preserve">i to za </w:t>
      </w:r>
      <w:r w:rsidRPr="003045A1">
        <w:rPr>
          <w:sz w:val="24"/>
          <w:szCs w:val="24"/>
        </w:rPr>
        <w:t>rekonstrukciju ulice Balancane za idejni</w:t>
      </w:r>
      <w:r w:rsidR="00D407BE">
        <w:rPr>
          <w:sz w:val="24"/>
          <w:szCs w:val="24"/>
        </w:rPr>
        <w:t xml:space="preserve"> i glavni projekt.</w:t>
      </w:r>
    </w:p>
    <w:p w14:paraId="70E74E24" w14:textId="77777777" w:rsidR="00B71710" w:rsidRDefault="00B71710" w:rsidP="003045A1">
      <w:pPr>
        <w:jc w:val="both"/>
        <w:rPr>
          <w:rFonts w:cstheme="minorHAnsi"/>
          <w:sz w:val="24"/>
          <w:szCs w:val="24"/>
          <w:u w:val="single"/>
          <w:lang w:eastAsia="hr-HR"/>
        </w:rPr>
      </w:pPr>
    </w:p>
    <w:p w14:paraId="6B680D5D" w14:textId="1EF32FF0" w:rsidR="00E265CE" w:rsidRPr="00E265CE" w:rsidRDefault="00E265CE" w:rsidP="00E265CE">
      <w:pPr>
        <w:jc w:val="both"/>
        <w:rPr>
          <w:rFonts w:cstheme="minorHAnsi"/>
          <w:sz w:val="24"/>
          <w:szCs w:val="24"/>
          <w:lang w:eastAsia="hr-HR"/>
        </w:rPr>
      </w:pPr>
      <w:r>
        <w:rPr>
          <w:rFonts w:cstheme="minorHAnsi"/>
          <w:sz w:val="24"/>
          <w:szCs w:val="24"/>
          <w:u w:val="single"/>
          <w:lang w:eastAsia="hr-HR"/>
        </w:rPr>
        <w:t xml:space="preserve">Kapitalni projekt Rekonstrukcija ulice </w:t>
      </w:r>
      <w:proofErr w:type="spellStart"/>
      <w:r>
        <w:rPr>
          <w:rFonts w:cstheme="minorHAnsi"/>
          <w:sz w:val="24"/>
          <w:szCs w:val="24"/>
          <w:u w:val="single"/>
          <w:lang w:eastAsia="hr-HR"/>
        </w:rPr>
        <w:t>sv.Ivana</w:t>
      </w:r>
      <w:proofErr w:type="spellEnd"/>
      <w:r>
        <w:rPr>
          <w:rFonts w:cstheme="minorHAnsi"/>
          <w:sz w:val="24"/>
          <w:szCs w:val="24"/>
          <w:u w:val="single"/>
          <w:lang w:eastAsia="hr-HR"/>
        </w:rPr>
        <w:t xml:space="preserve"> Trogirskog sa spojem na Put </w:t>
      </w:r>
      <w:proofErr w:type="spellStart"/>
      <w:r>
        <w:rPr>
          <w:rFonts w:cstheme="minorHAnsi"/>
          <w:sz w:val="24"/>
          <w:szCs w:val="24"/>
          <w:u w:val="single"/>
          <w:lang w:eastAsia="hr-HR"/>
        </w:rPr>
        <w:t>Dragulina</w:t>
      </w:r>
      <w:proofErr w:type="spellEnd"/>
      <w:r>
        <w:rPr>
          <w:rFonts w:cstheme="minorHAnsi"/>
          <w:sz w:val="24"/>
          <w:szCs w:val="24"/>
          <w:u w:val="single"/>
          <w:lang w:eastAsia="hr-HR"/>
        </w:rPr>
        <w:t xml:space="preserve">, </w:t>
      </w:r>
      <w:r w:rsidRPr="00E265CE">
        <w:rPr>
          <w:rFonts w:eastAsia="Times New Roman" w:cstheme="minorHAnsi"/>
          <w:color w:val="000000"/>
          <w:sz w:val="24"/>
          <w:szCs w:val="24"/>
          <w:lang w:eastAsia="ar-SA"/>
        </w:rPr>
        <w:t xml:space="preserve">obuhvaća realizaciju imovinsko pravne pripreme zemljišta, projektne pripreme s ishođenjem akta za gradnju te rekonstrukciju dijela ulice SV. Ivana Trogirskog sa spojem na ulicu Put </w:t>
      </w:r>
      <w:proofErr w:type="spellStart"/>
      <w:r w:rsidRPr="00E265CE">
        <w:rPr>
          <w:rFonts w:eastAsia="Times New Roman" w:cstheme="minorHAnsi"/>
          <w:color w:val="000000"/>
          <w:sz w:val="24"/>
          <w:szCs w:val="24"/>
          <w:lang w:eastAsia="ar-SA"/>
        </w:rPr>
        <w:t>Dragulina</w:t>
      </w:r>
      <w:proofErr w:type="spellEnd"/>
      <w:r w:rsidRPr="00E265CE">
        <w:rPr>
          <w:rFonts w:eastAsia="Times New Roman" w:cstheme="minorHAnsi"/>
          <w:color w:val="000000"/>
          <w:sz w:val="24"/>
          <w:szCs w:val="24"/>
          <w:lang w:eastAsia="ar-SA"/>
        </w:rPr>
        <w:t>.</w:t>
      </w:r>
      <w:r>
        <w:rPr>
          <w:rFonts w:eastAsia="Times New Roman" w:cstheme="minorHAnsi"/>
          <w:color w:val="000000"/>
          <w:sz w:val="24"/>
          <w:szCs w:val="24"/>
          <w:lang w:eastAsia="ar-SA"/>
        </w:rPr>
        <w:t xml:space="preserve"> </w:t>
      </w:r>
      <w:r w:rsidRPr="00E265CE">
        <w:rPr>
          <w:rFonts w:eastAsia="Times New Roman" w:cstheme="minorHAnsi"/>
          <w:color w:val="000000"/>
          <w:sz w:val="24"/>
          <w:szCs w:val="24"/>
          <w:lang w:eastAsia="ar-SA"/>
        </w:rPr>
        <w:t xml:space="preserve">Postojeće stanje kolnika ne zadovoljava minimalne uvjete sigurnog odvijanja prometnog toka vozila. Planiranim zahvatom povećat će se kapacitet i razina prometne usluge, osigurati uvjeti za sigurno odvijanje prometa, te unaprijediti komunalni standard grada te će se prometnica koristiti kao koridor za polaganje komunalnih instalacija. Planirani zahvatima predviđa se rekonstrukcija i dogradnja komunalne infrastrukture. </w:t>
      </w:r>
      <w:r>
        <w:rPr>
          <w:rFonts w:eastAsia="Times New Roman" w:cstheme="minorHAnsi"/>
          <w:color w:val="000000"/>
          <w:sz w:val="24"/>
          <w:szCs w:val="24"/>
          <w:lang w:eastAsia="ar-SA"/>
        </w:rPr>
        <w:t>Realizirano je po ovom projektu 7.250,00 eura i to za izradu idejnog rješenja.</w:t>
      </w:r>
    </w:p>
    <w:p w14:paraId="313E11FC" w14:textId="270A3832" w:rsidR="00E265CE" w:rsidRDefault="003045A1" w:rsidP="00E265CE">
      <w:pPr>
        <w:spacing w:after="0" w:line="240" w:lineRule="auto"/>
        <w:jc w:val="both"/>
        <w:rPr>
          <w:sz w:val="24"/>
          <w:szCs w:val="24"/>
        </w:rPr>
      </w:pPr>
      <w:r w:rsidRPr="00E265CE">
        <w:rPr>
          <w:rFonts w:cstheme="minorHAnsi"/>
          <w:sz w:val="24"/>
          <w:szCs w:val="24"/>
          <w:u w:val="single"/>
          <w:lang w:eastAsia="hr-HR"/>
        </w:rPr>
        <w:t>Kapitalni projekt Rekonstrukcija zapadne čiovske obale s trgom Lučica</w:t>
      </w:r>
      <w:r w:rsidRPr="00E265CE">
        <w:rPr>
          <w:rFonts w:cstheme="minorHAnsi"/>
          <w:sz w:val="24"/>
          <w:szCs w:val="24"/>
          <w:lang w:eastAsia="hr-HR"/>
        </w:rPr>
        <w:t xml:space="preserve">, </w:t>
      </w:r>
      <w:r w:rsidRPr="00E265CE">
        <w:rPr>
          <w:rStyle w:val="fontstyle01"/>
          <w:rFonts w:cstheme="minorHAnsi"/>
          <w:sz w:val="24"/>
          <w:szCs w:val="24"/>
        </w:rPr>
        <w:t>glavni razlog uređenja šetnice i obalnog zida su klimatske promjene zbog kojih dolazi do plavljenja predmetne šetnice i županijske ceste, na</w:t>
      </w:r>
      <w:r w:rsidRPr="00E265CE">
        <w:rPr>
          <w:rFonts w:cstheme="minorHAnsi"/>
          <w:sz w:val="24"/>
          <w:szCs w:val="24"/>
        </w:rPr>
        <w:t xml:space="preserve"> Trgu Lučica predviđeno je uređenje obuhvata na način da se prostor u projektiranom obuhvatu koristi kao javna pješačka površina, Planirana sredstva za navedeni projekt u 202</w:t>
      </w:r>
      <w:r w:rsidR="00E265CE" w:rsidRPr="00E265CE">
        <w:rPr>
          <w:rFonts w:cstheme="minorHAnsi"/>
          <w:sz w:val="24"/>
          <w:szCs w:val="24"/>
        </w:rPr>
        <w:t>5</w:t>
      </w:r>
      <w:r w:rsidRPr="00E265CE">
        <w:rPr>
          <w:rFonts w:cstheme="minorHAnsi"/>
          <w:sz w:val="24"/>
          <w:szCs w:val="24"/>
        </w:rPr>
        <w:t xml:space="preserve">.godini iznose </w:t>
      </w:r>
      <w:r w:rsidR="00E265CE" w:rsidRPr="00E265CE">
        <w:rPr>
          <w:rFonts w:cstheme="minorHAnsi"/>
          <w:sz w:val="24"/>
          <w:szCs w:val="24"/>
        </w:rPr>
        <w:t>20.000,00</w:t>
      </w:r>
      <w:r w:rsidRPr="00E265CE">
        <w:rPr>
          <w:rFonts w:cstheme="minorHAnsi"/>
          <w:sz w:val="24"/>
          <w:szCs w:val="24"/>
        </w:rPr>
        <w:t xml:space="preserve"> eura, a realizirano je </w:t>
      </w:r>
      <w:r w:rsidR="00E265CE" w:rsidRPr="00E265CE">
        <w:rPr>
          <w:rFonts w:cstheme="minorHAnsi"/>
          <w:sz w:val="24"/>
          <w:szCs w:val="24"/>
        </w:rPr>
        <w:t>18.868,75</w:t>
      </w:r>
      <w:r w:rsidRPr="00E265CE">
        <w:rPr>
          <w:rFonts w:cstheme="minorHAnsi"/>
          <w:sz w:val="24"/>
          <w:szCs w:val="24"/>
        </w:rPr>
        <w:t xml:space="preserve"> eura ili </w:t>
      </w:r>
      <w:r w:rsidR="00E265CE" w:rsidRPr="00E265CE">
        <w:rPr>
          <w:rFonts w:cstheme="minorHAnsi"/>
          <w:sz w:val="24"/>
          <w:szCs w:val="24"/>
        </w:rPr>
        <w:t>94,34</w:t>
      </w:r>
      <w:r w:rsidRPr="00E265CE">
        <w:rPr>
          <w:rFonts w:cstheme="minorHAnsi"/>
          <w:sz w:val="24"/>
          <w:szCs w:val="24"/>
        </w:rPr>
        <w:t xml:space="preserve">% plana i to za izradu </w:t>
      </w:r>
      <w:r w:rsidR="00E265CE" w:rsidRPr="00E265CE">
        <w:rPr>
          <w:sz w:val="24"/>
          <w:szCs w:val="24"/>
        </w:rPr>
        <w:t>dokumentacije za rekonstrukciju zapadne Čiovske obale s trgom Lučica.</w:t>
      </w:r>
    </w:p>
    <w:p w14:paraId="2E6BD0F8" w14:textId="77777777" w:rsidR="00E265CE" w:rsidRDefault="00E265CE" w:rsidP="00E265CE">
      <w:pPr>
        <w:spacing w:after="0" w:line="240" w:lineRule="auto"/>
        <w:jc w:val="both"/>
        <w:rPr>
          <w:sz w:val="24"/>
          <w:szCs w:val="24"/>
        </w:rPr>
      </w:pPr>
    </w:p>
    <w:p w14:paraId="68FA0B31" w14:textId="47166917" w:rsidR="00E265CE" w:rsidRDefault="00E265CE" w:rsidP="00E265CE">
      <w:pPr>
        <w:spacing w:after="0" w:line="240" w:lineRule="auto"/>
        <w:jc w:val="both"/>
        <w:rPr>
          <w:sz w:val="24"/>
          <w:szCs w:val="24"/>
        </w:rPr>
      </w:pPr>
      <w:r w:rsidRPr="00E265CE">
        <w:rPr>
          <w:sz w:val="24"/>
          <w:szCs w:val="24"/>
          <w:u w:val="single"/>
        </w:rPr>
        <w:t xml:space="preserve">Kapitalni projekt Rekonstrukcija ulice Put </w:t>
      </w:r>
      <w:proofErr w:type="spellStart"/>
      <w:r w:rsidRPr="00E265CE">
        <w:rPr>
          <w:sz w:val="24"/>
          <w:szCs w:val="24"/>
          <w:u w:val="single"/>
        </w:rPr>
        <w:t>Krbana</w:t>
      </w:r>
      <w:proofErr w:type="spellEnd"/>
      <w:r>
        <w:rPr>
          <w:sz w:val="24"/>
          <w:szCs w:val="24"/>
        </w:rPr>
        <w:t xml:space="preserve">, </w:t>
      </w:r>
      <w:r w:rsidRPr="00E265CE">
        <w:rPr>
          <w:rFonts w:cstheme="minorHAnsi"/>
          <w:sz w:val="24"/>
          <w:szCs w:val="24"/>
          <w:lang w:eastAsia="hr-HR"/>
        </w:rPr>
        <w:t xml:space="preserve">obuhvaća realizaciju imovinsko pravne pripreme zemljišta, projektne pripreme s ishođenjem akta za gradnju te rekonstrukciju dijela ulice Put </w:t>
      </w:r>
      <w:proofErr w:type="spellStart"/>
      <w:r w:rsidRPr="00E265CE">
        <w:rPr>
          <w:rFonts w:cstheme="minorHAnsi"/>
          <w:sz w:val="24"/>
          <w:szCs w:val="24"/>
          <w:lang w:eastAsia="hr-HR"/>
        </w:rPr>
        <w:t>Krbana</w:t>
      </w:r>
      <w:proofErr w:type="spellEnd"/>
      <w:r w:rsidRPr="00E265CE">
        <w:rPr>
          <w:rFonts w:cstheme="minorHAnsi"/>
          <w:sz w:val="24"/>
          <w:szCs w:val="24"/>
          <w:lang w:eastAsia="hr-HR"/>
        </w:rPr>
        <w:t>. Predmetnom ulicom će se osigurati i dodatni kolni ulaz/izlaz za novu sportsku dvoranu. Projektnom dokumentacijom će biti predviđene dvije faze. Prva faza je u duljini cca 210 m, od čega je 140 m od križanja s ulicom Rimski put prema jugu te potom cca 70 m prema istoku, a druga faza je u duljini cca 100 m prema zapadu. Planirana je izgradnja nove kolničke konstrukcije, obostranog pločnika, infrastrukture (vodoopskrba, fekalna i oborinska odvodnja) i javne rasvjete, uz izgradnju ogradnih i potpornih zidova.</w:t>
      </w:r>
      <w:r w:rsidRPr="00E265CE">
        <w:rPr>
          <w:rFonts w:cstheme="minorHAnsi"/>
          <w:sz w:val="24"/>
          <w:szCs w:val="24"/>
        </w:rPr>
        <w:t xml:space="preserve"> </w:t>
      </w:r>
      <w:r w:rsidRPr="00E265CE">
        <w:rPr>
          <w:rFonts w:cstheme="minorHAnsi"/>
          <w:sz w:val="24"/>
          <w:szCs w:val="24"/>
          <w:lang w:eastAsia="hr-HR"/>
        </w:rPr>
        <w:t xml:space="preserve">Rekonstruirana prometnica će biti priključena na postojeću prometnu mrežu visinskim i tlocrtnim </w:t>
      </w:r>
      <w:proofErr w:type="spellStart"/>
      <w:r w:rsidRPr="00E265CE">
        <w:rPr>
          <w:rFonts w:cstheme="minorHAnsi"/>
          <w:sz w:val="24"/>
          <w:szCs w:val="24"/>
          <w:lang w:eastAsia="hr-HR"/>
        </w:rPr>
        <w:t>uklopom</w:t>
      </w:r>
      <w:proofErr w:type="spellEnd"/>
      <w:r w:rsidRPr="00E265CE">
        <w:rPr>
          <w:rFonts w:cstheme="minorHAnsi"/>
          <w:sz w:val="24"/>
          <w:szCs w:val="24"/>
          <w:lang w:eastAsia="hr-HR"/>
        </w:rPr>
        <w:t xml:space="preserve"> u postojeće stanje na početku i kraju zahvata. Planirana građevina se svrstava u zahvate u prostoru za koje se određuje obuhvat zahvata u prostoru, unutar kojeg se naknadnim parcelacijskim elaboratom formiraju građevne čestice. Budući da se radi o linijskoj infrastrukturi, obuhvat zahvata definiran je kao koridor unutar kojeg je smještena građevina. Rekonstrukcijom ulice Put </w:t>
      </w:r>
      <w:proofErr w:type="spellStart"/>
      <w:r w:rsidRPr="00E265CE">
        <w:rPr>
          <w:rFonts w:cstheme="minorHAnsi"/>
          <w:sz w:val="24"/>
          <w:szCs w:val="24"/>
          <w:lang w:eastAsia="hr-HR"/>
        </w:rPr>
        <w:t>Krbana</w:t>
      </w:r>
      <w:proofErr w:type="spellEnd"/>
      <w:r w:rsidRPr="00E265CE">
        <w:rPr>
          <w:rFonts w:cstheme="minorHAnsi"/>
          <w:sz w:val="24"/>
          <w:szCs w:val="24"/>
          <w:lang w:eastAsia="hr-HR"/>
        </w:rPr>
        <w:t xml:space="preserve"> osigurat će se adekvatan motorni i pješački promet te će se samim tim povećati razina </w:t>
      </w:r>
      <w:r w:rsidRPr="00E265CE">
        <w:rPr>
          <w:rFonts w:cstheme="minorHAnsi"/>
          <w:sz w:val="24"/>
          <w:szCs w:val="24"/>
          <w:lang w:eastAsia="hr-HR"/>
        </w:rPr>
        <w:lastRenderedPageBreak/>
        <w:t>sigurnosti prometa. Projektom je predviđena izvedba nogostupa kojima je potrebno ostvariti uvjete za nesmetani pristup, kretanje, boravak i rad osoba smanjene pokretljivost.</w:t>
      </w:r>
      <w:r w:rsidRPr="00CD024E">
        <w:rPr>
          <w:rFonts w:cstheme="minorHAnsi"/>
          <w:lang w:eastAsia="hr-HR"/>
        </w:rPr>
        <w:t xml:space="preserve"> </w:t>
      </w:r>
      <w:r w:rsidRPr="00E265CE">
        <w:rPr>
          <w:rFonts w:cstheme="minorHAnsi"/>
          <w:sz w:val="24"/>
          <w:szCs w:val="24"/>
        </w:rPr>
        <w:t xml:space="preserve">Planirana sredstva za navedeni projekt u 2025.godini iznose </w:t>
      </w:r>
      <w:r>
        <w:rPr>
          <w:rFonts w:cstheme="minorHAnsi"/>
          <w:sz w:val="24"/>
          <w:szCs w:val="24"/>
        </w:rPr>
        <w:t>40.000,00</w:t>
      </w:r>
      <w:r w:rsidRPr="00E265CE">
        <w:rPr>
          <w:rFonts w:cstheme="minorHAnsi"/>
          <w:sz w:val="24"/>
          <w:szCs w:val="24"/>
        </w:rPr>
        <w:t xml:space="preserve"> eura, a realizirano je </w:t>
      </w:r>
      <w:r>
        <w:rPr>
          <w:rFonts w:cstheme="minorHAnsi"/>
          <w:sz w:val="24"/>
          <w:szCs w:val="24"/>
        </w:rPr>
        <w:t>6.750,00</w:t>
      </w:r>
      <w:r w:rsidRPr="00E265CE">
        <w:rPr>
          <w:rFonts w:cstheme="minorHAnsi"/>
          <w:sz w:val="24"/>
          <w:szCs w:val="24"/>
        </w:rPr>
        <w:t xml:space="preserve"> eura ili </w:t>
      </w:r>
      <w:r>
        <w:rPr>
          <w:rFonts w:cstheme="minorHAnsi"/>
          <w:sz w:val="24"/>
          <w:szCs w:val="24"/>
        </w:rPr>
        <w:t>16,88</w:t>
      </w:r>
      <w:r w:rsidRPr="00E265CE">
        <w:rPr>
          <w:rFonts w:cstheme="minorHAnsi"/>
          <w:sz w:val="24"/>
          <w:szCs w:val="24"/>
        </w:rPr>
        <w:t xml:space="preserve">% plana i to </w:t>
      </w:r>
      <w:r>
        <w:rPr>
          <w:rFonts w:cstheme="minorHAnsi"/>
          <w:sz w:val="24"/>
          <w:szCs w:val="24"/>
        </w:rPr>
        <w:t>za izradu idejnog projekta.</w:t>
      </w:r>
    </w:p>
    <w:p w14:paraId="6303BDB5" w14:textId="77777777" w:rsidR="00AF2FE4" w:rsidRDefault="00AF2FE4" w:rsidP="005E3642">
      <w:pPr>
        <w:spacing w:after="0" w:line="240" w:lineRule="auto"/>
        <w:jc w:val="both"/>
        <w:rPr>
          <w:sz w:val="24"/>
          <w:szCs w:val="24"/>
        </w:rPr>
      </w:pPr>
    </w:p>
    <w:p w14:paraId="6A4E1A25" w14:textId="7E38C5A8" w:rsidR="003045A1" w:rsidRDefault="003045A1" w:rsidP="005E3642">
      <w:pPr>
        <w:spacing w:after="0" w:line="240" w:lineRule="auto"/>
        <w:jc w:val="both"/>
        <w:rPr>
          <w:rFonts w:cstheme="minorHAnsi"/>
          <w:sz w:val="24"/>
          <w:szCs w:val="24"/>
        </w:rPr>
      </w:pPr>
      <w:r>
        <w:rPr>
          <w:rFonts w:cstheme="minorHAnsi"/>
          <w:sz w:val="24"/>
          <w:szCs w:val="24"/>
        </w:rPr>
        <w:t>Ostali projekti planirani u sklopu navedenog programa su bez realizacije u izvještajnom razdoblju.</w:t>
      </w:r>
    </w:p>
    <w:p w14:paraId="4766D15F" w14:textId="77777777" w:rsidR="00B71710" w:rsidRDefault="00B71710" w:rsidP="00BF0F98">
      <w:pPr>
        <w:spacing w:after="0"/>
        <w:jc w:val="both"/>
        <w:rPr>
          <w:rFonts w:cstheme="minorHAnsi"/>
          <w:sz w:val="24"/>
          <w:szCs w:val="24"/>
          <w:u w:val="single"/>
          <w:lang w:eastAsia="hr-HR"/>
        </w:rPr>
      </w:pPr>
    </w:p>
    <w:p w14:paraId="3AAFCCD8" w14:textId="74ADB788" w:rsidR="00BF0F98" w:rsidRDefault="00BF0F98" w:rsidP="00BF0F98">
      <w:pPr>
        <w:spacing w:after="0"/>
        <w:jc w:val="both"/>
        <w:rPr>
          <w:rFonts w:cstheme="minorHAnsi"/>
          <w:sz w:val="24"/>
          <w:szCs w:val="24"/>
          <w:u w:val="single"/>
        </w:rPr>
      </w:pPr>
      <w:r w:rsidRPr="00DA5721">
        <w:rPr>
          <w:rFonts w:cstheme="minorHAnsi"/>
          <w:sz w:val="24"/>
          <w:szCs w:val="24"/>
          <w:u w:val="single"/>
        </w:rPr>
        <w:t>Pr</w:t>
      </w:r>
      <w:r>
        <w:rPr>
          <w:rFonts w:cstheme="minorHAnsi"/>
          <w:sz w:val="24"/>
          <w:szCs w:val="24"/>
          <w:u w:val="single"/>
        </w:rPr>
        <w:t xml:space="preserve">ogram 1601 Održavanje prostora u vlasništvu i suvlasništvu Grada </w:t>
      </w:r>
    </w:p>
    <w:p w14:paraId="05525D01" w14:textId="77777777" w:rsidR="00BF0F98" w:rsidRPr="003A7677" w:rsidRDefault="00BF0F98" w:rsidP="00BF0F98">
      <w:pPr>
        <w:overflowPunct w:val="0"/>
        <w:autoSpaceDE w:val="0"/>
        <w:autoSpaceDN w:val="0"/>
        <w:adjustRightInd w:val="0"/>
        <w:spacing w:after="0" w:line="280" w:lineRule="exact"/>
        <w:jc w:val="both"/>
        <w:textAlignment w:val="baseline"/>
        <w:rPr>
          <w:rFonts w:eastAsia="Times New Roman" w:cstheme="minorHAnsi"/>
          <w:sz w:val="24"/>
          <w:szCs w:val="24"/>
          <w:lang w:eastAsia="hr-HR"/>
        </w:rPr>
      </w:pPr>
      <w:r w:rsidRPr="003A7677">
        <w:rPr>
          <w:rFonts w:eastAsia="Calibri" w:cstheme="minorHAnsi"/>
          <w:color w:val="000000" w:themeColor="text1"/>
          <w:sz w:val="24"/>
          <w:szCs w:val="24"/>
        </w:rPr>
        <w:t xml:space="preserve">U okviru ovog programa planirana su sredstva za </w:t>
      </w:r>
      <w:r w:rsidRPr="003A7677">
        <w:rPr>
          <w:rFonts w:eastAsia="Times New Roman" w:cstheme="minorHAnsi"/>
          <w:sz w:val="24"/>
          <w:szCs w:val="24"/>
          <w:lang w:eastAsia="hr-HR"/>
        </w:rPr>
        <w:t>organiziranje i nadzor nad provođenjem jednostavnijeg tekućeg i investicijskog održavanja, te sanacije objekata i prostora u vlasništvu i suvlasništvu Grada.</w:t>
      </w:r>
    </w:p>
    <w:p w14:paraId="43C69D5F" w14:textId="77777777" w:rsidR="00BF0F98" w:rsidRPr="003A7677" w:rsidRDefault="00BF0F98" w:rsidP="00BF0F98">
      <w:pPr>
        <w:overflowPunct w:val="0"/>
        <w:autoSpaceDE w:val="0"/>
        <w:autoSpaceDN w:val="0"/>
        <w:adjustRightInd w:val="0"/>
        <w:spacing w:after="0" w:line="280" w:lineRule="exact"/>
        <w:jc w:val="both"/>
        <w:textAlignment w:val="baseline"/>
        <w:rPr>
          <w:rFonts w:eastAsia="Calibri" w:cstheme="minorHAnsi"/>
          <w:color w:val="000000" w:themeColor="text1"/>
          <w:sz w:val="24"/>
          <w:szCs w:val="24"/>
        </w:rPr>
      </w:pPr>
      <w:r w:rsidRPr="003A7677">
        <w:rPr>
          <w:rFonts w:eastAsia="Calibri" w:cstheme="minorHAnsi"/>
          <w:color w:val="000000" w:themeColor="text1"/>
          <w:sz w:val="24"/>
          <w:szCs w:val="24"/>
        </w:rPr>
        <w:t xml:space="preserve"> Poslovi i zadatci planirani su kroz 1 aktivnost: </w:t>
      </w:r>
    </w:p>
    <w:p w14:paraId="35900D38" w14:textId="77777777" w:rsidR="00BF0F98" w:rsidRPr="003A7677" w:rsidRDefault="00BF0F98" w:rsidP="00BF0F98">
      <w:pPr>
        <w:numPr>
          <w:ilvl w:val="0"/>
          <w:numId w:val="14"/>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sidRPr="003A7677">
        <w:rPr>
          <w:rFonts w:eastAsia="Calibri" w:cstheme="minorHAnsi"/>
          <w:color w:val="000000" w:themeColor="text1"/>
          <w:sz w:val="24"/>
          <w:szCs w:val="24"/>
        </w:rPr>
        <w:t>A100003 Održavanje prostora u vlasništvu i suvlasništvu grada,</w:t>
      </w:r>
    </w:p>
    <w:p w14:paraId="7257F0A9" w14:textId="0A5DF269" w:rsidR="00BF0F98" w:rsidRPr="009A7BE7" w:rsidRDefault="00BF0F98" w:rsidP="00BF0F98">
      <w:pPr>
        <w:overflowPunct w:val="0"/>
        <w:autoSpaceDE w:val="0"/>
        <w:autoSpaceDN w:val="0"/>
        <w:adjustRightInd w:val="0"/>
        <w:spacing w:after="0" w:line="280" w:lineRule="exact"/>
        <w:jc w:val="both"/>
        <w:textAlignment w:val="baseline"/>
        <w:rPr>
          <w:rFonts w:eastAsia="Calibri" w:cstheme="minorHAnsi"/>
          <w:color w:val="000000" w:themeColor="text1"/>
          <w:sz w:val="24"/>
          <w:szCs w:val="24"/>
        </w:rPr>
      </w:pPr>
      <w:r w:rsidRPr="003A7677">
        <w:rPr>
          <w:rFonts w:eastAsia="Calibri" w:cstheme="minorHAnsi"/>
          <w:color w:val="000000" w:themeColor="text1"/>
          <w:sz w:val="24"/>
          <w:szCs w:val="24"/>
        </w:rPr>
        <w:t xml:space="preserve">U programu Održavanje prostora u vlasništvu i suvlasništvu grada planirana su sredstva za 1 aktivnost u iznosu od </w:t>
      </w:r>
      <w:r w:rsidR="00714644">
        <w:rPr>
          <w:rFonts w:eastAsia="Calibri" w:cstheme="minorHAnsi"/>
          <w:color w:val="000000" w:themeColor="text1"/>
          <w:sz w:val="24"/>
          <w:szCs w:val="24"/>
        </w:rPr>
        <w:t>129.000,0</w:t>
      </w:r>
      <w:r>
        <w:rPr>
          <w:rFonts w:eastAsia="Calibri" w:cstheme="minorHAnsi"/>
          <w:color w:val="000000" w:themeColor="text1"/>
          <w:sz w:val="24"/>
          <w:szCs w:val="24"/>
        </w:rPr>
        <w:t>0</w:t>
      </w:r>
      <w:r w:rsidRPr="003A7677">
        <w:rPr>
          <w:rFonts w:eastAsia="Calibri" w:cstheme="minorHAnsi"/>
          <w:color w:val="000000" w:themeColor="text1"/>
          <w:sz w:val="24"/>
          <w:szCs w:val="24"/>
        </w:rPr>
        <w:t xml:space="preserve"> eura.</w:t>
      </w:r>
    </w:p>
    <w:p w14:paraId="32B88300" w14:textId="77777777" w:rsidR="00BF0F98" w:rsidRPr="003A7677" w:rsidRDefault="00BF0F98" w:rsidP="00BF0F98">
      <w:pPr>
        <w:overflowPunct w:val="0"/>
        <w:autoSpaceDE w:val="0"/>
        <w:autoSpaceDN w:val="0"/>
        <w:adjustRightInd w:val="0"/>
        <w:spacing w:after="0" w:line="280" w:lineRule="exact"/>
        <w:jc w:val="both"/>
        <w:textAlignment w:val="baseline"/>
        <w:rPr>
          <w:rFonts w:eastAsia="Calibri" w:cstheme="minorHAnsi"/>
          <w:color w:val="000000" w:themeColor="text1"/>
          <w:sz w:val="24"/>
          <w:szCs w:val="24"/>
        </w:rPr>
      </w:pPr>
      <w:r w:rsidRPr="009A7BE7">
        <w:rPr>
          <w:rFonts w:eastAsia="Times New Roman" w:cstheme="minorHAnsi"/>
          <w:sz w:val="24"/>
          <w:szCs w:val="24"/>
        </w:rPr>
        <w:t xml:space="preserve">Aktivnost se </w:t>
      </w:r>
      <w:r w:rsidRPr="009A7BE7">
        <w:rPr>
          <w:rFonts w:eastAsia="Times New Roman" w:cstheme="minorHAnsi"/>
          <w:sz w:val="24"/>
          <w:szCs w:val="24"/>
          <w:lang w:eastAsia="hr-HR"/>
        </w:rPr>
        <w:t>odnosi na provođenje nužnih radova jednostavnijeg tekućeg i investicijskog održavanja stambenih prostora u vlasništvu i suvlasništvu grada, radove uređenja unajmljenih prostora, radove uređenja unajmljenih prostora za potrebe dječjeg vrtića, radove održavanja i uređenja gradskih prostora te troškove zakupnine i najamnine</w:t>
      </w:r>
      <w:r>
        <w:rPr>
          <w:rFonts w:eastAsia="Times New Roman" w:cstheme="minorHAnsi"/>
          <w:sz w:val="24"/>
          <w:szCs w:val="24"/>
          <w:lang w:eastAsia="hr-HR"/>
        </w:rPr>
        <w:t>.</w:t>
      </w:r>
    </w:p>
    <w:p w14:paraId="6B86575C" w14:textId="64B13F22" w:rsidR="00BF0F98" w:rsidRDefault="00BF0F98" w:rsidP="00BF0F98">
      <w:pPr>
        <w:spacing w:after="0"/>
        <w:jc w:val="both"/>
        <w:rPr>
          <w:rFonts w:cstheme="minorHAnsi"/>
          <w:sz w:val="24"/>
          <w:szCs w:val="24"/>
        </w:rPr>
      </w:pPr>
      <w:r w:rsidRPr="00DA5721">
        <w:rPr>
          <w:rFonts w:cstheme="minorHAnsi"/>
          <w:sz w:val="24"/>
          <w:szCs w:val="24"/>
        </w:rPr>
        <w:t xml:space="preserve">Planirana sredstva za </w:t>
      </w:r>
      <w:r>
        <w:rPr>
          <w:rFonts w:cstheme="minorHAnsi"/>
          <w:sz w:val="24"/>
          <w:szCs w:val="24"/>
        </w:rPr>
        <w:t>realizaciju ovog programa u 202</w:t>
      </w:r>
      <w:r w:rsidR="008B2D32">
        <w:rPr>
          <w:rFonts w:cstheme="minorHAnsi"/>
          <w:sz w:val="24"/>
          <w:szCs w:val="24"/>
        </w:rPr>
        <w:t>5</w:t>
      </w:r>
      <w:r w:rsidRPr="00DA5721">
        <w:rPr>
          <w:rFonts w:cstheme="minorHAnsi"/>
          <w:sz w:val="24"/>
          <w:szCs w:val="24"/>
        </w:rPr>
        <w:t xml:space="preserve">. godini iznose </w:t>
      </w:r>
      <w:r w:rsidR="008B2D32">
        <w:rPr>
          <w:rFonts w:cstheme="minorHAnsi"/>
          <w:sz w:val="24"/>
          <w:szCs w:val="24"/>
        </w:rPr>
        <w:t>129.000,00</w:t>
      </w:r>
      <w:r>
        <w:rPr>
          <w:rFonts w:cstheme="minorHAnsi"/>
          <w:sz w:val="24"/>
          <w:szCs w:val="24"/>
        </w:rPr>
        <w:t xml:space="preserve"> eura, a realizirana su u iznosu od </w:t>
      </w:r>
      <w:r w:rsidR="008B2D32">
        <w:rPr>
          <w:rFonts w:cstheme="minorHAnsi"/>
          <w:sz w:val="24"/>
          <w:szCs w:val="24"/>
        </w:rPr>
        <w:t>72.882,84</w:t>
      </w:r>
      <w:r>
        <w:rPr>
          <w:rFonts w:cstheme="minorHAnsi"/>
          <w:sz w:val="24"/>
          <w:szCs w:val="24"/>
        </w:rPr>
        <w:t xml:space="preserve"> eura ili </w:t>
      </w:r>
      <w:r w:rsidR="008B2D32">
        <w:rPr>
          <w:rFonts w:cstheme="minorHAnsi"/>
          <w:sz w:val="24"/>
          <w:szCs w:val="24"/>
        </w:rPr>
        <w:t>56,50</w:t>
      </w:r>
      <w:r>
        <w:rPr>
          <w:rFonts w:cstheme="minorHAnsi"/>
          <w:sz w:val="24"/>
          <w:szCs w:val="24"/>
        </w:rPr>
        <w:t>% plana i odnose se na najvećim dijelom na održavanje i uređenje gradskih prostora (</w:t>
      </w:r>
      <w:r w:rsidR="008B2D32">
        <w:rPr>
          <w:rFonts w:cstheme="minorHAnsi"/>
          <w:sz w:val="24"/>
          <w:szCs w:val="24"/>
        </w:rPr>
        <w:t xml:space="preserve">radovi sanacije kanalizacijskog odvoda javnog WC-a u parku </w:t>
      </w:r>
      <w:proofErr w:type="spellStart"/>
      <w:r w:rsidR="008B2D32">
        <w:rPr>
          <w:rFonts w:cstheme="minorHAnsi"/>
          <w:sz w:val="24"/>
          <w:szCs w:val="24"/>
        </w:rPr>
        <w:t>Fortin</w:t>
      </w:r>
      <w:proofErr w:type="spellEnd"/>
      <w:r w:rsidR="008B2D32">
        <w:rPr>
          <w:rFonts w:cstheme="minorHAnsi"/>
          <w:sz w:val="24"/>
          <w:szCs w:val="24"/>
        </w:rPr>
        <w:t xml:space="preserve">, sanacija dijela krova i fasade palače </w:t>
      </w:r>
      <w:proofErr w:type="spellStart"/>
      <w:r w:rsidR="008B2D32">
        <w:rPr>
          <w:rFonts w:cstheme="minorHAnsi"/>
          <w:sz w:val="24"/>
          <w:szCs w:val="24"/>
        </w:rPr>
        <w:t>Čipiko</w:t>
      </w:r>
      <w:proofErr w:type="spellEnd"/>
      <w:r w:rsidR="008B2D32">
        <w:rPr>
          <w:rFonts w:cstheme="minorHAnsi"/>
          <w:sz w:val="24"/>
          <w:szCs w:val="24"/>
        </w:rPr>
        <w:t xml:space="preserve">, </w:t>
      </w:r>
      <w:r w:rsidR="00F76DC9">
        <w:rPr>
          <w:rFonts w:cstheme="minorHAnsi"/>
          <w:sz w:val="24"/>
          <w:szCs w:val="24"/>
        </w:rPr>
        <w:t xml:space="preserve">adaptacija </w:t>
      </w:r>
      <w:r w:rsidR="00871685">
        <w:rPr>
          <w:rFonts w:cstheme="minorHAnsi"/>
          <w:sz w:val="24"/>
          <w:szCs w:val="24"/>
        </w:rPr>
        <w:t xml:space="preserve">gradskog </w:t>
      </w:r>
      <w:r w:rsidR="00F76DC9">
        <w:rPr>
          <w:rFonts w:cstheme="minorHAnsi"/>
          <w:sz w:val="24"/>
          <w:szCs w:val="24"/>
        </w:rPr>
        <w:t>prostora</w:t>
      </w:r>
      <w:r w:rsidR="00871685">
        <w:rPr>
          <w:rFonts w:cstheme="minorHAnsi"/>
          <w:sz w:val="24"/>
          <w:szCs w:val="24"/>
        </w:rPr>
        <w:t xml:space="preserve"> za potrebe</w:t>
      </w:r>
      <w:r w:rsidR="00F76DC9">
        <w:rPr>
          <w:rFonts w:cstheme="minorHAnsi"/>
          <w:sz w:val="24"/>
          <w:szCs w:val="24"/>
        </w:rPr>
        <w:t xml:space="preserve"> Narodne glazbe</w:t>
      </w:r>
      <w:r>
        <w:rPr>
          <w:rFonts w:cstheme="minorHAnsi"/>
          <w:sz w:val="24"/>
          <w:szCs w:val="24"/>
        </w:rPr>
        <w:t>)</w:t>
      </w:r>
      <w:r w:rsidR="00F76DC9">
        <w:rPr>
          <w:rFonts w:cstheme="minorHAnsi"/>
          <w:sz w:val="24"/>
          <w:szCs w:val="24"/>
        </w:rPr>
        <w:t xml:space="preserve"> i </w:t>
      </w:r>
      <w:r>
        <w:rPr>
          <w:rFonts w:cstheme="minorHAnsi"/>
          <w:sz w:val="24"/>
          <w:szCs w:val="24"/>
        </w:rPr>
        <w:t>održavanje edukacijskog kulturnog centra Trogir.</w:t>
      </w:r>
    </w:p>
    <w:p w14:paraId="4C253182" w14:textId="77777777" w:rsidR="008B2D32" w:rsidRDefault="008B2D32" w:rsidP="006C7BFD">
      <w:pPr>
        <w:spacing w:after="0"/>
        <w:jc w:val="both"/>
        <w:rPr>
          <w:rFonts w:cstheme="minorHAnsi"/>
          <w:sz w:val="24"/>
          <w:szCs w:val="24"/>
          <w:u w:val="single"/>
          <w:lang w:eastAsia="hr-HR"/>
        </w:rPr>
      </w:pPr>
    </w:p>
    <w:p w14:paraId="6B51DF62" w14:textId="4596FAED" w:rsidR="006C7BFD" w:rsidRPr="003F397D" w:rsidRDefault="006C7BFD" w:rsidP="006C7BFD">
      <w:pPr>
        <w:spacing w:after="0"/>
        <w:jc w:val="both"/>
        <w:rPr>
          <w:rFonts w:cstheme="minorHAnsi"/>
          <w:sz w:val="24"/>
          <w:szCs w:val="24"/>
          <w:u w:val="single"/>
        </w:rPr>
      </w:pPr>
      <w:r w:rsidRPr="003F397D">
        <w:rPr>
          <w:rFonts w:cstheme="minorHAnsi"/>
          <w:sz w:val="24"/>
          <w:szCs w:val="24"/>
          <w:u w:val="single"/>
        </w:rPr>
        <w:t xml:space="preserve">Program 1602 Očuvanje kulturne baštine </w:t>
      </w:r>
    </w:p>
    <w:p w14:paraId="3EF39116" w14:textId="77777777" w:rsidR="006C7BFD" w:rsidRPr="003F397D" w:rsidRDefault="006C7BFD" w:rsidP="006C7BFD">
      <w:pPr>
        <w:shd w:val="clear" w:color="auto" w:fill="FFFFFF"/>
        <w:spacing w:line="280" w:lineRule="exact"/>
        <w:jc w:val="both"/>
        <w:rPr>
          <w:rFonts w:eastAsia="Calibri" w:cstheme="minorHAnsi"/>
          <w:sz w:val="24"/>
          <w:szCs w:val="24"/>
        </w:rPr>
      </w:pPr>
      <w:r w:rsidRPr="003F397D">
        <w:rPr>
          <w:rFonts w:eastAsia="Calibri" w:cstheme="minorHAnsi"/>
          <w:sz w:val="24"/>
          <w:szCs w:val="24"/>
        </w:rPr>
        <w:t xml:space="preserve">U okviru ovog programa planirana su sredstva nužnu sanaciju kulturnih dobara. </w:t>
      </w:r>
      <w:r w:rsidRPr="003F397D">
        <w:rPr>
          <w:rFonts w:cstheme="minorHAnsi"/>
          <w:sz w:val="24"/>
          <w:szCs w:val="24"/>
        </w:rPr>
        <w:t>Kulturna dobra predstavljaju važan dio povijesnog i kulturnog identiteta Grada, te i iz tih osnova imaju poseban značaj. Radi toga se očuvanju, sanaciji i revitalizaciji spomeničke kulturne baštine-kulturnih dobara (od kojih mnoga imaju međunarodni značaj) treba posvetiti dužna pažnja, te onemogućiti njezino neprimjereno korištenje i upravljanje te eventualno oštećenje, posebno na zaštićenim pojedinačnim građevinama i arheološkim lokalitetima, što se prvenstveno osigurava primjenom ovog Programa.</w:t>
      </w:r>
    </w:p>
    <w:p w14:paraId="2111D4C8" w14:textId="54E5F829" w:rsidR="006C7BFD" w:rsidRPr="003F397D" w:rsidRDefault="006C7BFD" w:rsidP="006C7BFD">
      <w:pPr>
        <w:spacing w:before="120" w:line="280" w:lineRule="exact"/>
        <w:jc w:val="both"/>
        <w:rPr>
          <w:rFonts w:eastAsia="Calibri" w:cstheme="minorHAnsi"/>
          <w:sz w:val="24"/>
          <w:szCs w:val="24"/>
        </w:rPr>
      </w:pPr>
      <w:r w:rsidRPr="003F397D">
        <w:rPr>
          <w:rFonts w:eastAsia="Calibri" w:cstheme="minorHAnsi"/>
          <w:sz w:val="24"/>
          <w:szCs w:val="24"/>
        </w:rPr>
        <w:t xml:space="preserve">Poslovi i zadatci planirani su kroz 1 aktivnost i </w:t>
      </w:r>
      <w:r w:rsidR="004115C4">
        <w:rPr>
          <w:rFonts w:eastAsia="Calibri" w:cstheme="minorHAnsi"/>
          <w:sz w:val="24"/>
          <w:szCs w:val="24"/>
        </w:rPr>
        <w:t>3</w:t>
      </w:r>
      <w:r w:rsidRPr="003F397D">
        <w:rPr>
          <w:rFonts w:eastAsia="Calibri" w:cstheme="minorHAnsi"/>
          <w:sz w:val="24"/>
          <w:szCs w:val="24"/>
        </w:rPr>
        <w:t xml:space="preserve"> kapitalna projekta: </w:t>
      </w:r>
    </w:p>
    <w:p w14:paraId="441CC3B0" w14:textId="77777777" w:rsidR="006C7BFD" w:rsidRPr="003F397D" w:rsidRDefault="006C7BFD" w:rsidP="006C7BFD">
      <w:pPr>
        <w:pStyle w:val="Odlomakpopisa2"/>
        <w:spacing w:line="280" w:lineRule="exact"/>
        <w:ind w:left="708"/>
        <w:jc w:val="both"/>
        <w:rPr>
          <w:rFonts w:asciiTheme="minorHAnsi" w:eastAsia="Calibri" w:hAnsiTheme="minorHAnsi" w:cstheme="minorHAnsi"/>
          <w:sz w:val="24"/>
          <w:szCs w:val="24"/>
        </w:rPr>
      </w:pPr>
      <w:r>
        <w:rPr>
          <w:rFonts w:asciiTheme="minorHAnsi" w:eastAsia="Calibri" w:hAnsiTheme="minorHAnsi" w:cstheme="minorHAnsi"/>
          <w:sz w:val="24"/>
          <w:szCs w:val="24"/>
        </w:rPr>
        <w:t xml:space="preserve">(1) </w:t>
      </w:r>
      <w:r w:rsidRPr="003F397D">
        <w:rPr>
          <w:rFonts w:asciiTheme="minorHAnsi" w:eastAsia="Calibri" w:hAnsiTheme="minorHAnsi" w:cstheme="minorHAnsi"/>
          <w:sz w:val="24"/>
          <w:szCs w:val="24"/>
        </w:rPr>
        <w:t>A100004 Sufinanciranje zahvata na očuvanju kulturne baštine,</w:t>
      </w:r>
    </w:p>
    <w:p w14:paraId="1E8C1846" w14:textId="77777777" w:rsidR="006C7BFD" w:rsidRPr="003F397D" w:rsidRDefault="006C7BFD" w:rsidP="006C7BFD">
      <w:pPr>
        <w:pStyle w:val="Odlomakpopisa2"/>
        <w:spacing w:line="280" w:lineRule="exact"/>
        <w:ind w:left="708"/>
        <w:jc w:val="both"/>
        <w:rPr>
          <w:rFonts w:asciiTheme="minorHAnsi" w:eastAsia="Calibri" w:hAnsiTheme="minorHAnsi" w:cstheme="minorHAnsi"/>
          <w:sz w:val="24"/>
          <w:szCs w:val="24"/>
        </w:rPr>
      </w:pPr>
      <w:r>
        <w:rPr>
          <w:rFonts w:asciiTheme="minorHAnsi" w:eastAsia="Calibri" w:hAnsiTheme="minorHAnsi" w:cstheme="minorHAnsi"/>
          <w:sz w:val="24"/>
          <w:szCs w:val="24"/>
        </w:rPr>
        <w:t xml:space="preserve">(2) </w:t>
      </w:r>
      <w:r w:rsidRPr="003F397D">
        <w:rPr>
          <w:rFonts w:asciiTheme="minorHAnsi" w:eastAsia="Calibri" w:hAnsiTheme="minorHAnsi" w:cstheme="minorHAnsi"/>
          <w:sz w:val="24"/>
          <w:szCs w:val="24"/>
        </w:rPr>
        <w:t>K100005 Rekonstrukcija i uređenje kulturnih objekata,</w:t>
      </w:r>
    </w:p>
    <w:p w14:paraId="7F8BE707" w14:textId="77777777" w:rsidR="006C7BFD" w:rsidRPr="003F397D" w:rsidRDefault="006C7BFD" w:rsidP="006C7BFD">
      <w:pPr>
        <w:pStyle w:val="Odlomakpopisa2"/>
        <w:spacing w:line="280" w:lineRule="exact"/>
        <w:ind w:left="708"/>
        <w:jc w:val="both"/>
        <w:rPr>
          <w:rFonts w:asciiTheme="minorHAnsi" w:eastAsia="Calibri" w:hAnsiTheme="minorHAnsi" w:cstheme="minorHAnsi"/>
          <w:sz w:val="24"/>
          <w:szCs w:val="24"/>
        </w:rPr>
      </w:pPr>
      <w:r>
        <w:rPr>
          <w:rFonts w:asciiTheme="minorHAnsi" w:eastAsia="Calibri" w:hAnsiTheme="minorHAnsi" w:cstheme="minorHAnsi"/>
          <w:sz w:val="24"/>
          <w:szCs w:val="24"/>
        </w:rPr>
        <w:t xml:space="preserve">(3) </w:t>
      </w:r>
      <w:r w:rsidRPr="003F397D">
        <w:rPr>
          <w:rFonts w:asciiTheme="minorHAnsi" w:eastAsia="Calibri" w:hAnsiTheme="minorHAnsi" w:cstheme="minorHAnsi"/>
          <w:sz w:val="24"/>
          <w:szCs w:val="24"/>
        </w:rPr>
        <w:t xml:space="preserve">K100086 Obnova parka </w:t>
      </w:r>
      <w:proofErr w:type="spellStart"/>
      <w:r w:rsidRPr="003F397D">
        <w:rPr>
          <w:rFonts w:asciiTheme="minorHAnsi" w:eastAsia="Calibri" w:hAnsiTheme="minorHAnsi" w:cstheme="minorHAnsi"/>
          <w:sz w:val="24"/>
          <w:szCs w:val="24"/>
        </w:rPr>
        <w:t>Garagnin</w:t>
      </w:r>
      <w:proofErr w:type="spellEnd"/>
      <w:r w:rsidRPr="003F397D">
        <w:rPr>
          <w:rFonts w:asciiTheme="minorHAnsi" w:eastAsia="Calibri" w:hAnsiTheme="minorHAnsi" w:cstheme="minorHAnsi"/>
          <w:sz w:val="24"/>
          <w:szCs w:val="24"/>
        </w:rPr>
        <w:t>,</w:t>
      </w:r>
    </w:p>
    <w:p w14:paraId="4DD95BD7" w14:textId="00613772" w:rsidR="006C7BFD" w:rsidRPr="004115C4" w:rsidRDefault="006C7BFD" w:rsidP="004115C4">
      <w:pPr>
        <w:pStyle w:val="Odlomakpopisa2"/>
        <w:spacing w:line="280" w:lineRule="exact"/>
        <w:ind w:left="708"/>
        <w:jc w:val="both"/>
        <w:rPr>
          <w:rFonts w:asciiTheme="minorHAnsi" w:eastAsia="Calibri" w:hAnsiTheme="minorHAnsi" w:cstheme="minorHAnsi"/>
          <w:sz w:val="24"/>
          <w:szCs w:val="24"/>
        </w:rPr>
      </w:pPr>
      <w:r>
        <w:rPr>
          <w:rFonts w:asciiTheme="minorHAnsi" w:eastAsia="Calibri" w:hAnsiTheme="minorHAnsi" w:cstheme="minorHAnsi"/>
          <w:sz w:val="24"/>
          <w:szCs w:val="24"/>
        </w:rPr>
        <w:t>(4)</w:t>
      </w:r>
      <w:r w:rsidR="004115C4">
        <w:rPr>
          <w:rFonts w:asciiTheme="minorHAnsi" w:eastAsia="Calibri" w:hAnsiTheme="minorHAnsi" w:cstheme="minorHAnsi"/>
          <w:sz w:val="24"/>
          <w:szCs w:val="24"/>
        </w:rPr>
        <w:t xml:space="preserve"> </w:t>
      </w:r>
      <w:r w:rsidRPr="003F397D">
        <w:rPr>
          <w:rFonts w:asciiTheme="minorHAnsi" w:eastAsia="Calibri" w:hAnsiTheme="minorHAnsi" w:cstheme="minorHAnsi"/>
          <w:sz w:val="24"/>
          <w:szCs w:val="24"/>
        </w:rPr>
        <w:t xml:space="preserve">K100121 Obnova parka </w:t>
      </w:r>
      <w:proofErr w:type="spellStart"/>
      <w:r w:rsidRPr="003F397D">
        <w:rPr>
          <w:rFonts w:asciiTheme="minorHAnsi" w:eastAsia="Calibri" w:hAnsiTheme="minorHAnsi" w:cstheme="minorHAnsi"/>
          <w:sz w:val="24"/>
          <w:szCs w:val="24"/>
        </w:rPr>
        <w:t>Garagnin</w:t>
      </w:r>
      <w:proofErr w:type="spellEnd"/>
      <w:r w:rsidRPr="003F397D">
        <w:rPr>
          <w:rFonts w:asciiTheme="minorHAnsi" w:eastAsia="Calibri" w:hAnsiTheme="minorHAnsi" w:cstheme="minorHAnsi"/>
          <w:sz w:val="24"/>
          <w:szCs w:val="24"/>
        </w:rPr>
        <w:t xml:space="preserve"> (Cjelina u sklopu projekta Kulturno društveni tokovi UAS-a)</w:t>
      </w:r>
    </w:p>
    <w:p w14:paraId="25D42DC6" w14:textId="7A62B160" w:rsidR="006C7BFD" w:rsidRDefault="006C7BFD" w:rsidP="006C7BFD">
      <w:pPr>
        <w:spacing w:after="0"/>
        <w:jc w:val="both"/>
        <w:rPr>
          <w:rFonts w:cstheme="minorHAnsi"/>
          <w:sz w:val="24"/>
          <w:szCs w:val="24"/>
        </w:rPr>
      </w:pPr>
      <w:r w:rsidRPr="009B6679">
        <w:rPr>
          <w:rFonts w:cstheme="minorHAnsi"/>
          <w:sz w:val="24"/>
          <w:szCs w:val="24"/>
          <w:u w:val="single"/>
        </w:rPr>
        <w:t>Aktivnost Sufinanciranje zahvata na očuvanju kulturne baštine</w:t>
      </w:r>
      <w:r>
        <w:rPr>
          <w:rFonts w:cstheme="minorHAnsi"/>
          <w:sz w:val="24"/>
          <w:szCs w:val="24"/>
        </w:rPr>
        <w:t xml:space="preserve">, </w:t>
      </w:r>
      <w:r w:rsidR="004840AD" w:rsidRPr="004840AD">
        <w:rPr>
          <w:rFonts w:eastAsia="Times New Roman" w:cstheme="minorHAnsi"/>
          <w:color w:val="000000"/>
          <w:sz w:val="24"/>
          <w:szCs w:val="24"/>
          <w:lang w:eastAsia="hr-HR"/>
        </w:rPr>
        <w:t>odnosi se na nužnu sanaciju objekata kulturne baštine grada, pri čemu se za financiranje predmetne aktivnosti očekuje sufinanciranje od strane Ministarstva kulture. Na javni poziv Ministarstva kulture i medija za predlaganje javnih potreba u kulturi RH za 2024. godinu – program zaštita i očuvanje nepokretnih kulturnih dobara za sufinanciranje prijavljena sanacija južnih gradskih vrata.</w:t>
      </w:r>
      <w:r w:rsidR="004840AD">
        <w:rPr>
          <w:rFonts w:cstheme="minorHAnsi"/>
          <w:sz w:val="24"/>
          <w:szCs w:val="24"/>
        </w:rPr>
        <w:t xml:space="preserve"> </w:t>
      </w:r>
      <w:r w:rsidR="004840AD">
        <w:rPr>
          <w:rFonts w:cstheme="minorHAnsi"/>
          <w:sz w:val="24"/>
          <w:szCs w:val="24"/>
        </w:rPr>
        <w:lastRenderedPageBreak/>
        <w:t>P</w:t>
      </w:r>
      <w:r>
        <w:rPr>
          <w:rFonts w:cstheme="minorHAnsi"/>
          <w:sz w:val="24"/>
          <w:szCs w:val="24"/>
        </w:rPr>
        <w:t>lanirana sredstva u 202</w:t>
      </w:r>
      <w:r w:rsidR="004840AD">
        <w:rPr>
          <w:rFonts w:cstheme="minorHAnsi"/>
          <w:sz w:val="24"/>
          <w:szCs w:val="24"/>
        </w:rPr>
        <w:t>5</w:t>
      </w:r>
      <w:r>
        <w:rPr>
          <w:rFonts w:cstheme="minorHAnsi"/>
          <w:sz w:val="24"/>
          <w:szCs w:val="24"/>
        </w:rPr>
        <w:t xml:space="preserve">.godini iznose </w:t>
      </w:r>
      <w:r w:rsidR="004840AD">
        <w:rPr>
          <w:rFonts w:cstheme="minorHAnsi"/>
          <w:sz w:val="24"/>
          <w:szCs w:val="24"/>
        </w:rPr>
        <w:t>122.500,00</w:t>
      </w:r>
      <w:r>
        <w:rPr>
          <w:rFonts w:cstheme="minorHAnsi"/>
          <w:sz w:val="24"/>
          <w:szCs w:val="24"/>
        </w:rPr>
        <w:t xml:space="preserve"> eura, a realizirano je </w:t>
      </w:r>
      <w:r w:rsidR="004840AD">
        <w:rPr>
          <w:rFonts w:cstheme="minorHAnsi"/>
          <w:sz w:val="24"/>
          <w:szCs w:val="24"/>
        </w:rPr>
        <w:t>96.144,51</w:t>
      </w:r>
      <w:r>
        <w:rPr>
          <w:rFonts w:cstheme="minorHAnsi"/>
          <w:sz w:val="24"/>
          <w:szCs w:val="24"/>
        </w:rPr>
        <w:t xml:space="preserve"> eura i to za sanaciju Kule </w:t>
      </w:r>
      <w:proofErr w:type="spellStart"/>
      <w:r>
        <w:rPr>
          <w:rFonts w:cstheme="minorHAnsi"/>
          <w:sz w:val="24"/>
          <w:szCs w:val="24"/>
        </w:rPr>
        <w:t>Kamerlengo</w:t>
      </w:r>
      <w:proofErr w:type="spellEnd"/>
      <w:r>
        <w:rPr>
          <w:rFonts w:cstheme="minorHAnsi"/>
          <w:sz w:val="24"/>
          <w:szCs w:val="24"/>
        </w:rPr>
        <w:t xml:space="preserve"> </w:t>
      </w:r>
      <w:r w:rsidR="004840AD">
        <w:rPr>
          <w:rFonts w:cstheme="minorHAnsi"/>
          <w:sz w:val="24"/>
          <w:szCs w:val="24"/>
        </w:rPr>
        <w:t>27.038,75</w:t>
      </w:r>
      <w:r>
        <w:rPr>
          <w:rFonts w:cstheme="minorHAnsi"/>
          <w:sz w:val="24"/>
          <w:szCs w:val="24"/>
        </w:rPr>
        <w:t xml:space="preserve"> eura, </w:t>
      </w:r>
      <w:r w:rsidR="004840AD">
        <w:rPr>
          <w:rFonts w:cstheme="minorHAnsi"/>
          <w:sz w:val="24"/>
          <w:szCs w:val="24"/>
        </w:rPr>
        <w:t xml:space="preserve">sanaciju balkona na Gradskoj vijećnici </w:t>
      </w:r>
      <w:r>
        <w:rPr>
          <w:rFonts w:cstheme="minorHAnsi"/>
          <w:sz w:val="24"/>
          <w:szCs w:val="24"/>
        </w:rPr>
        <w:t xml:space="preserve"> </w:t>
      </w:r>
      <w:r w:rsidR="004840AD">
        <w:rPr>
          <w:rFonts w:cstheme="minorHAnsi"/>
          <w:sz w:val="24"/>
          <w:szCs w:val="24"/>
        </w:rPr>
        <w:t>30.000,00</w:t>
      </w:r>
      <w:r>
        <w:rPr>
          <w:rFonts w:cstheme="minorHAnsi"/>
          <w:sz w:val="24"/>
          <w:szCs w:val="24"/>
        </w:rPr>
        <w:t xml:space="preserve"> eura i </w:t>
      </w:r>
      <w:r w:rsidR="004840AD">
        <w:rPr>
          <w:rFonts w:cstheme="minorHAnsi"/>
          <w:sz w:val="24"/>
          <w:szCs w:val="24"/>
        </w:rPr>
        <w:t>izrada projektne dokumentacije sanacije dijela zgrade Lucić u iznosu od 10.000,00 eura</w:t>
      </w:r>
      <w:r>
        <w:rPr>
          <w:rFonts w:cstheme="minorHAnsi"/>
          <w:sz w:val="24"/>
          <w:szCs w:val="24"/>
        </w:rPr>
        <w:t>.</w:t>
      </w:r>
    </w:p>
    <w:p w14:paraId="5DB235E1" w14:textId="77777777" w:rsidR="00E44F59" w:rsidRDefault="00E44F59" w:rsidP="003F60A0">
      <w:pPr>
        <w:spacing w:after="0"/>
        <w:rPr>
          <w:rFonts w:cstheme="minorHAnsi"/>
          <w:sz w:val="24"/>
          <w:szCs w:val="24"/>
          <w:u w:val="single"/>
          <w:lang w:eastAsia="hr-HR"/>
        </w:rPr>
      </w:pPr>
    </w:p>
    <w:p w14:paraId="1D5FCDD6" w14:textId="72E0629A" w:rsidR="00834014" w:rsidRPr="00834014" w:rsidRDefault="002B5760" w:rsidP="00834014">
      <w:pPr>
        <w:spacing w:after="0" w:line="240" w:lineRule="auto"/>
        <w:jc w:val="both"/>
        <w:rPr>
          <w:sz w:val="24"/>
          <w:szCs w:val="24"/>
        </w:rPr>
      </w:pPr>
      <w:r w:rsidRPr="00834014">
        <w:rPr>
          <w:rFonts w:cstheme="minorHAnsi"/>
          <w:sz w:val="24"/>
          <w:szCs w:val="24"/>
          <w:u w:val="single"/>
        </w:rPr>
        <w:t>Kapitalni projekt Rekonstrukcija i uređenje kulturnih objekata</w:t>
      </w:r>
      <w:r w:rsidRPr="00834014">
        <w:rPr>
          <w:rFonts w:cstheme="minorHAnsi"/>
          <w:sz w:val="24"/>
          <w:szCs w:val="24"/>
        </w:rPr>
        <w:t xml:space="preserve">, </w:t>
      </w:r>
      <w:r w:rsidRPr="00834014">
        <w:rPr>
          <w:rFonts w:cstheme="minorHAnsi"/>
          <w:sz w:val="24"/>
          <w:szCs w:val="24"/>
          <w:lang w:eastAsia="hr-HR"/>
        </w:rPr>
        <w:t>obuhvaća</w:t>
      </w:r>
      <w:r w:rsidRPr="00834014">
        <w:rPr>
          <w:rFonts w:cstheme="minorHAnsi"/>
          <w:b/>
          <w:bCs/>
          <w:sz w:val="24"/>
          <w:szCs w:val="24"/>
          <w:lang w:eastAsia="hr-HR"/>
        </w:rPr>
        <w:t xml:space="preserve"> </w:t>
      </w:r>
      <w:r w:rsidRPr="00834014">
        <w:rPr>
          <w:rFonts w:cstheme="minorHAnsi"/>
          <w:bCs/>
          <w:sz w:val="24"/>
          <w:szCs w:val="24"/>
          <w:lang w:eastAsia="hr-HR"/>
        </w:rPr>
        <w:t>radove</w:t>
      </w:r>
      <w:r w:rsidRPr="00834014">
        <w:rPr>
          <w:rFonts w:cstheme="minorHAnsi"/>
          <w:b/>
          <w:bCs/>
          <w:sz w:val="24"/>
          <w:szCs w:val="24"/>
          <w:lang w:eastAsia="hr-HR"/>
        </w:rPr>
        <w:t xml:space="preserve"> </w:t>
      </w:r>
      <w:r w:rsidRPr="00834014">
        <w:rPr>
          <w:rFonts w:cstheme="minorHAnsi"/>
          <w:sz w:val="24"/>
          <w:szCs w:val="24"/>
          <w:lang w:eastAsia="hr-HR"/>
        </w:rPr>
        <w:t xml:space="preserve">sanacije krovišta na objektima pod zaštitom Ministarstva kulture, radove nužne sanacije Kaštela </w:t>
      </w:r>
      <w:proofErr w:type="spellStart"/>
      <w:r w:rsidRPr="00834014">
        <w:rPr>
          <w:rFonts w:cstheme="minorHAnsi"/>
          <w:sz w:val="24"/>
          <w:szCs w:val="24"/>
          <w:lang w:eastAsia="hr-HR"/>
        </w:rPr>
        <w:t>Kamerlengo</w:t>
      </w:r>
      <w:proofErr w:type="spellEnd"/>
      <w:r w:rsidRPr="00834014">
        <w:rPr>
          <w:rFonts w:cstheme="minorHAnsi"/>
          <w:sz w:val="24"/>
          <w:szCs w:val="24"/>
          <w:lang w:eastAsia="hr-HR"/>
        </w:rPr>
        <w:t xml:space="preserve"> te hitne sanacije kuće </w:t>
      </w:r>
      <w:proofErr w:type="spellStart"/>
      <w:r w:rsidRPr="00834014">
        <w:rPr>
          <w:rFonts w:cstheme="minorHAnsi"/>
          <w:sz w:val="24"/>
          <w:szCs w:val="24"/>
          <w:lang w:eastAsia="hr-HR"/>
        </w:rPr>
        <w:t>Puović</w:t>
      </w:r>
      <w:proofErr w:type="spellEnd"/>
      <w:r w:rsidRPr="00834014">
        <w:rPr>
          <w:rFonts w:cstheme="minorHAnsi"/>
          <w:sz w:val="24"/>
          <w:szCs w:val="24"/>
          <w:lang w:eastAsia="hr-HR"/>
        </w:rPr>
        <w:t xml:space="preserve"> (Malarija) za koju je Ministarstvo kulture i medija imenovalo Grad Trogir kao privremenog skrbnika. Realizirano je </w:t>
      </w:r>
      <w:r w:rsidR="00834014" w:rsidRPr="00834014">
        <w:rPr>
          <w:rFonts w:cstheme="minorHAnsi"/>
          <w:sz w:val="24"/>
          <w:szCs w:val="24"/>
          <w:lang w:eastAsia="hr-HR"/>
        </w:rPr>
        <w:t>182.248,67</w:t>
      </w:r>
      <w:r w:rsidRPr="00834014">
        <w:rPr>
          <w:rFonts w:cstheme="minorHAnsi"/>
          <w:sz w:val="24"/>
          <w:szCs w:val="24"/>
          <w:lang w:eastAsia="hr-HR"/>
        </w:rPr>
        <w:t xml:space="preserve"> eura ili</w:t>
      </w:r>
      <w:r w:rsidR="00834014" w:rsidRPr="00834014">
        <w:rPr>
          <w:rFonts w:cstheme="minorHAnsi"/>
          <w:sz w:val="24"/>
          <w:szCs w:val="24"/>
          <w:lang w:eastAsia="hr-HR"/>
        </w:rPr>
        <w:t xml:space="preserve"> 82,09</w:t>
      </w:r>
      <w:r w:rsidRPr="00834014">
        <w:rPr>
          <w:rFonts w:cstheme="minorHAnsi"/>
          <w:sz w:val="24"/>
          <w:szCs w:val="24"/>
          <w:lang w:eastAsia="hr-HR"/>
        </w:rPr>
        <w:t xml:space="preserve">% plana i to za hitnu sanaciju kuće </w:t>
      </w:r>
      <w:proofErr w:type="spellStart"/>
      <w:r w:rsidRPr="00834014">
        <w:rPr>
          <w:rFonts w:cstheme="minorHAnsi"/>
          <w:sz w:val="24"/>
          <w:szCs w:val="24"/>
          <w:lang w:eastAsia="hr-HR"/>
        </w:rPr>
        <w:t>Puović</w:t>
      </w:r>
      <w:proofErr w:type="spellEnd"/>
      <w:r w:rsidRPr="00834014">
        <w:rPr>
          <w:rFonts w:cstheme="minorHAnsi"/>
          <w:sz w:val="24"/>
          <w:szCs w:val="24"/>
          <w:lang w:eastAsia="hr-HR"/>
        </w:rPr>
        <w:t xml:space="preserve"> na Malar</w:t>
      </w:r>
      <w:r w:rsidR="00834014" w:rsidRPr="00834014">
        <w:rPr>
          <w:rFonts w:cstheme="minorHAnsi"/>
          <w:sz w:val="24"/>
          <w:szCs w:val="24"/>
          <w:lang w:eastAsia="hr-HR"/>
        </w:rPr>
        <w:t xml:space="preserve">iji </w:t>
      </w:r>
      <w:r w:rsidR="00834014" w:rsidRPr="00834014">
        <w:rPr>
          <w:sz w:val="24"/>
          <w:szCs w:val="24"/>
        </w:rPr>
        <w:t xml:space="preserve">uključujući i usluge koordinatora II. </w:t>
      </w:r>
    </w:p>
    <w:p w14:paraId="1677BB4E" w14:textId="7F68428F" w:rsidR="002B5760" w:rsidRPr="002B5760" w:rsidRDefault="002B5760" w:rsidP="002B5760">
      <w:pPr>
        <w:spacing w:after="0"/>
        <w:jc w:val="both"/>
        <w:rPr>
          <w:rFonts w:cstheme="minorHAnsi"/>
          <w:sz w:val="24"/>
          <w:szCs w:val="24"/>
          <w:lang w:eastAsia="hr-HR"/>
        </w:rPr>
      </w:pPr>
    </w:p>
    <w:p w14:paraId="2F9AB874" w14:textId="4E0CCA83" w:rsidR="00834014" w:rsidRPr="00834014" w:rsidRDefault="00834014" w:rsidP="00834014">
      <w:pPr>
        <w:spacing w:after="0"/>
        <w:jc w:val="both"/>
        <w:rPr>
          <w:rFonts w:cstheme="minorHAnsi"/>
          <w:bCs/>
          <w:sz w:val="24"/>
          <w:szCs w:val="24"/>
          <w:u w:val="single"/>
          <w:lang w:eastAsia="hr-HR"/>
        </w:rPr>
      </w:pPr>
      <w:r w:rsidRPr="00834014">
        <w:rPr>
          <w:rFonts w:cstheme="minorHAnsi"/>
          <w:bCs/>
          <w:sz w:val="24"/>
          <w:szCs w:val="24"/>
          <w:u w:val="single"/>
          <w:lang w:eastAsia="hr-HR"/>
        </w:rPr>
        <w:t xml:space="preserve">Kapitalni projekt Obnova parka </w:t>
      </w:r>
      <w:proofErr w:type="spellStart"/>
      <w:r w:rsidRPr="00834014">
        <w:rPr>
          <w:rFonts w:cstheme="minorHAnsi"/>
          <w:bCs/>
          <w:sz w:val="24"/>
          <w:szCs w:val="24"/>
          <w:u w:val="single"/>
          <w:lang w:eastAsia="hr-HR"/>
        </w:rPr>
        <w:t>Garagnin</w:t>
      </w:r>
      <w:proofErr w:type="spellEnd"/>
      <w:r w:rsidRPr="00834014">
        <w:rPr>
          <w:rFonts w:cstheme="minorHAnsi"/>
          <w:bCs/>
          <w:sz w:val="24"/>
          <w:szCs w:val="24"/>
          <w:u w:val="single"/>
          <w:lang w:eastAsia="hr-HR"/>
        </w:rPr>
        <w:t xml:space="preserve"> (cjelina u sklopu projekta kulturno društvenih tokova UAS)</w:t>
      </w:r>
      <w:r>
        <w:rPr>
          <w:rFonts w:cstheme="minorHAnsi"/>
          <w:bCs/>
          <w:sz w:val="24"/>
          <w:szCs w:val="24"/>
          <w:u w:val="single"/>
          <w:lang w:eastAsia="hr-HR"/>
        </w:rPr>
        <w:t xml:space="preserve">, </w:t>
      </w:r>
      <w:r w:rsidRPr="00DB0336">
        <w:rPr>
          <w:rFonts w:eastAsia="Times New Roman" w:cstheme="minorHAnsi"/>
          <w:color w:val="000000"/>
          <w:lang w:eastAsia="ar-SA"/>
        </w:rPr>
        <w:t xml:space="preserve"> </w:t>
      </w:r>
      <w:r w:rsidRPr="00834014">
        <w:rPr>
          <w:rFonts w:eastAsia="Times New Roman" w:cstheme="minorHAnsi"/>
          <w:color w:val="000000"/>
          <w:sz w:val="24"/>
          <w:szCs w:val="24"/>
          <w:lang w:eastAsia="hr-HR"/>
        </w:rPr>
        <w:t xml:space="preserve">obuhvaća pripremu studijske i projektne  dokumentacije (studija izvodljivosti, </w:t>
      </w:r>
      <w:r w:rsidRPr="00834014">
        <w:rPr>
          <w:rFonts w:eastAsia="Times New Roman" w:cstheme="minorHAnsi"/>
          <w:color w:val="000000"/>
          <w:sz w:val="24"/>
          <w:szCs w:val="24"/>
          <w:lang w:eastAsia="ar-SA"/>
        </w:rPr>
        <w:t>izrada dokumenta – Procjena otpornosti na klimatske promjene …)</w:t>
      </w:r>
      <w:r w:rsidRPr="00834014">
        <w:rPr>
          <w:rFonts w:eastAsia="Times New Roman" w:cstheme="minorHAnsi"/>
          <w:b/>
          <w:bCs/>
          <w:color w:val="000000"/>
          <w:sz w:val="24"/>
          <w:szCs w:val="24"/>
          <w:lang w:eastAsia="hr-HR"/>
        </w:rPr>
        <w:t xml:space="preserve"> </w:t>
      </w:r>
      <w:r w:rsidRPr="00834014">
        <w:rPr>
          <w:rFonts w:eastAsia="Times New Roman" w:cstheme="minorHAnsi"/>
          <w:bCs/>
          <w:color w:val="000000"/>
          <w:sz w:val="24"/>
          <w:szCs w:val="24"/>
          <w:lang w:eastAsia="hr-HR"/>
        </w:rPr>
        <w:t>te radove</w:t>
      </w:r>
      <w:r w:rsidRPr="00834014">
        <w:rPr>
          <w:rFonts w:eastAsia="Times New Roman" w:cstheme="minorHAnsi"/>
          <w:b/>
          <w:bCs/>
          <w:color w:val="000000"/>
          <w:sz w:val="24"/>
          <w:szCs w:val="24"/>
          <w:lang w:eastAsia="hr-HR"/>
        </w:rPr>
        <w:t xml:space="preserve"> </w:t>
      </w:r>
      <w:r w:rsidRPr="00834014">
        <w:rPr>
          <w:rFonts w:eastAsia="Times New Roman" w:cstheme="minorHAnsi"/>
          <w:color w:val="000000"/>
          <w:sz w:val="24"/>
          <w:szCs w:val="24"/>
          <w:lang w:eastAsia="hr-HR"/>
        </w:rPr>
        <w:t xml:space="preserve">uređenja dijela parka </w:t>
      </w:r>
      <w:proofErr w:type="spellStart"/>
      <w:r w:rsidRPr="00834014">
        <w:rPr>
          <w:rFonts w:eastAsia="Times New Roman" w:cstheme="minorHAnsi"/>
          <w:color w:val="000000"/>
          <w:sz w:val="24"/>
          <w:szCs w:val="24"/>
          <w:lang w:eastAsia="hr-HR"/>
        </w:rPr>
        <w:t>Garagnin</w:t>
      </w:r>
      <w:proofErr w:type="spellEnd"/>
      <w:r w:rsidRPr="00834014">
        <w:rPr>
          <w:rFonts w:eastAsia="Times New Roman" w:cstheme="minorHAnsi"/>
          <w:color w:val="000000"/>
          <w:sz w:val="24"/>
          <w:szCs w:val="24"/>
          <w:lang w:eastAsia="hr-HR"/>
        </w:rPr>
        <w:t xml:space="preserve"> </w:t>
      </w:r>
      <w:proofErr w:type="spellStart"/>
      <w:r w:rsidRPr="00834014">
        <w:rPr>
          <w:rFonts w:eastAsia="Times New Roman" w:cstheme="minorHAnsi"/>
          <w:color w:val="000000"/>
          <w:sz w:val="24"/>
          <w:szCs w:val="24"/>
          <w:lang w:eastAsia="hr-HR"/>
        </w:rPr>
        <w:t>Fanfogna</w:t>
      </w:r>
      <w:proofErr w:type="spellEnd"/>
      <w:r w:rsidRPr="00834014">
        <w:rPr>
          <w:rFonts w:eastAsia="Times New Roman" w:cstheme="minorHAnsi"/>
          <w:color w:val="000000"/>
          <w:sz w:val="24"/>
          <w:szCs w:val="24"/>
          <w:lang w:eastAsia="hr-HR"/>
        </w:rPr>
        <w:t xml:space="preserve">. Dio je projekta Kulturno – društveni tokovi Urbane aglomeracije Split kroz koji se planira realizacija različitih aktivnosti u vidu uređenja prostora kulturne namjene te koji grad Trogir provodi kao partner s četiri druge jedinice lokalne samouprave članice Urbane aglomeracije Split (grad Solin – korisnik i partneri grad Kaštela, grad Trogir, općina </w:t>
      </w:r>
      <w:proofErr w:type="spellStart"/>
      <w:r w:rsidRPr="00834014">
        <w:rPr>
          <w:rFonts w:eastAsia="Times New Roman" w:cstheme="minorHAnsi"/>
          <w:color w:val="000000"/>
          <w:sz w:val="24"/>
          <w:szCs w:val="24"/>
          <w:lang w:eastAsia="hr-HR"/>
        </w:rPr>
        <w:t>Dicmo</w:t>
      </w:r>
      <w:proofErr w:type="spellEnd"/>
      <w:r w:rsidRPr="00834014">
        <w:rPr>
          <w:rFonts w:eastAsia="Times New Roman" w:cstheme="minorHAnsi"/>
          <w:color w:val="000000"/>
          <w:sz w:val="24"/>
          <w:szCs w:val="24"/>
          <w:lang w:eastAsia="hr-HR"/>
        </w:rPr>
        <w:t xml:space="preserve"> i općina Klis).</w:t>
      </w:r>
      <w:r w:rsidRPr="00834014">
        <w:rPr>
          <w:rFonts w:eastAsia="Times New Roman" w:cstheme="minorHAnsi"/>
          <w:color w:val="000000"/>
          <w:sz w:val="24"/>
          <w:szCs w:val="24"/>
          <w:lang w:eastAsia="ar-SA"/>
        </w:rPr>
        <w:t xml:space="preserve">Projekt se nalazi na listi strateških projekata urbane aglomeracije Split </w:t>
      </w:r>
      <w:r w:rsidRPr="00834014">
        <w:rPr>
          <w:rFonts w:eastAsia="Times New Roman" w:cstheme="minorHAnsi"/>
          <w:color w:val="000000"/>
          <w:sz w:val="24"/>
          <w:szCs w:val="24"/>
        </w:rPr>
        <w:t>za financiranje putem ITU mehanizma i za isti ide izravna dodjela</w:t>
      </w:r>
      <w:r w:rsidRPr="00834014">
        <w:rPr>
          <w:rFonts w:eastAsia="Times New Roman" w:cstheme="minorHAnsi"/>
          <w:color w:val="000000"/>
          <w:sz w:val="24"/>
          <w:szCs w:val="24"/>
          <w:lang w:eastAsia="ar-SA"/>
        </w:rPr>
        <w:t xml:space="preserve">. </w:t>
      </w:r>
      <w:r w:rsidRPr="00834014">
        <w:rPr>
          <w:rFonts w:eastAsia="Times New Roman" w:cstheme="minorHAnsi"/>
          <w:sz w:val="24"/>
          <w:szCs w:val="24"/>
          <w:shd w:val="clear" w:color="auto" w:fill="FFFFFF"/>
          <w:lang w:eastAsia="ar-SA"/>
        </w:rPr>
        <w:t>Integrirana teritorijalna ulaganja (ITU mehanizam)</w:t>
      </w:r>
      <w:r w:rsidRPr="00834014">
        <w:rPr>
          <w:rFonts w:eastAsia="Times New Roman" w:cstheme="minorHAnsi"/>
          <w:b/>
          <w:bCs/>
          <w:sz w:val="24"/>
          <w:szCs w:val="24"/>
          <w:shd w:val="clear" w:color="auto" w:fill="FFFFFF"/>
          <w:lang w:eastAsia="ar-SA"/>
        </w:rPr>
        <w:t> </w:t>
      </w:r>
      <w:r w:rsidRPr="00834014">
        <w:rPr>
          <w:rFonts w:eastAsia="Times New Roman" w:cstheme="minorHAnsi"/>
          <w:sz w:val="24"/>
          <w:szCs w:val="24"/>
          <w:shd w:val="clear" w:color="auto" w:fill="FFFFFF"/>
          <w:lang w:eastAsia="ar-SA"/>
        </w:rPr>
        <w:t>predstavljaju mehanizam Europske unije koja imaju za cilj promicanje održivog urbanog razvoja, jačanje uloge gradova kao pokretača gospodarskog razvoja i suradnje između jedinica lokalne i regionalne samouprave, te razvoj administrativnih kapaciteta gradova</w:t>
      </w:r>
      <w:r w:rsidRPr="00834014">
        <w:rPr>
          <w:rFonts w:eastAsia="Times New Roman" w:cstheme="minorHAnsi"/>
          <w:b/>
          <w:bCs/>
          <w:sz w:val="24"/>
          <w:szCs w:val="24"/>
          <w:shd w:val="clear" w:color="auto" w:fill="FFFFFF"/>
          <w:lang w:eastAsia="ar-SA"/>
        </w:rPr>
        <w:t>.</w:t>
      </w:r>
      <w:r>
        <w:rPr>
          <w:rFonts w:cstheme="minorHAnsi"/>
          <w:bCs/>
          <w:sz w:val="24"/>
          <w:szCs w:val="24"/>
          <w:u w:val="single"/>
          <w:lang w:eastAsia="hr-HR"/>
        </w:rPr>
        <w:t xml:space="preserve"> </w:t>
      </w:r>
      <w:r w:rsidRPr="00834014">
        <w:rPr>
          <w:rFonts w:eastAsia="Times New Roman" w:cstheme="minorHAnsi"/>
          <w:sz w:val="24"/>
          <w:szCs w:val="24"/>
          <w:shd w:val="clear" w:color="auto" w:fill="FFFFFF"/>
          <w:lang w:eastAsia="ar-SA"/>
        </w:rPr>
        <w:t>Projekt je prijavljen na javni poziv</w:t>
      </w:r>
      <w:r w:rsidRPr="00834014">
        <w:rPr>
          <w:rFonts w:eastAsia="Times New Roman" w:cstheme="minorHAnsi"/>
          <w:b/>
          <w:bCs/>
          <w:sz w:val="24"/>
          <w:szCs w:val="24"/>
          <w:shd w:val="clear" w:color="auto" w:fill="FFFFFF"/>
          <w:lang w:eastAsia="ar-SA"/>
        </w:rPr>
        <w:t xml:space="preserve"> </w:t>
      </w:r>
      <w:r w:rsidRPr="00834014">
        <w:rPr>
          <w:rFonts w:eastAsia="Times New Roman" w:cstheme="minorHAnsi"/>
          <w:color w:val="000000"/>
          <w:sz w:val="24"/>
          <w:szCs w:val="24"/>
          <w:lang w:eastAsia="hr-HR"/>
        </w:rPr>
        <w:t>Ministarstva kulture i medija za predlaganje javnih potreba u kulturi RH za 2025. godinu - program zaštita i očuvanje nepokretnih kulturnih dobara.</w:t>
      </w:r>
      <w:r>
        <w:rPr>
          <w:rFonts w:eastAsia="Times New Roman" w:cstheme="minorHAnsi"/>
          <w:color w:val="000000"/>
          <w:sz w:val="24"/>
          <w:szCs w:val="24"/>
          <w:lang w:eastAsia="hr-HR"/>
        </w:rPr>
        <w:t xml:space="preserve"> Realizirano je 404.244,15 eura ili 76,02% plana i to za </w:t>
      </w:r>
      <w:r w:rsidRPr="00834014">
        <w:rPr>
          <w:sz w:val="24"/>
          <w:szCs w:val="24"/>
        </w:rPr>
        <w:t xml:space="preserve">izradu projektne dokumentacije te vršenje radova u iznosu ostvarenja od 441.670,98 eura za obnovu Parka </w:t>
      </w:r>
      <w:proofErr w:type="spellStart"/>
      <w:r w:rsidRPr="00834014">
        <w:rPr>
          <w:sz w:val="24"/>
          <w:szCs w:val="24"/>
        </w:rPr>
        <w:t>Garagnin</w:t>
      </w:r>
      <w:proofErr w:type="spellEnd"/>
      <w:r w:rsidRPr="00834014">
        <w:rPr>
          <w:sz w:val="24"/>
          <w:szCs w:val="24"/>
        </w:rPr>
        <w:t xml:space="preserve"> </w:t>
      </w:r>
      <w:proofErr w:type="spellStart"/>
      <w:r w:rsidRPr="00834014">
        <w:rPr>
          <w:sz w:val="24"/>
          <w:szCs w:val="24"/>
        </w:rPr>
        <w:t>Fanfogna</w:t>
      </w:r>
      <w:proofErr w:type="spellEnd"/>
      <w:r w:rsidR="00576DB0">
        <w:rPr>
          <w:sz w:val="24"/>
          <w:szCs w:val="24"/>
        </w:rPr>
        <w:t>.</w:t>
      </w:r>
    </w:p>
    <w:p w14:paraId="3F7722F1" w14:textId="77777777" w:rsidR="000F4ADC" w:rsidRDefault="000F4ADC" w:rsidP="00743814">
      <w:pPr>
        <w:spacing w:after="0"/>
        <w:jc w:val="both"/>
        <w:rPr>
          <w:rFonts w:cstheme="minorHAnsi"/>
          <w:bCs/>
          <w:sz w:val="24"/>
          <w:szCs w:val="24"/>
          <w:lang w:eastAsia="hr-HR"/>
        </w:rPr>
      </w:pPr>
    </w:p>
    <w:p w14:paraId="134ED892" w14:textId="11FD5A1F" w:rsidR="00743814" w:rsidRDefault="00743814" w:rsidP="00743814">
      <w:pPr>
        <w:spacing w:after="0"/>
        <w:jc w:val="both"/>
        <w:rPr>
          <w:rFonts w:cstheme="minorHAnsi"/>
          <w:sz w:val="24"/>
          <w:szCs w:val="24"/>
          <w:lang w:eastAsia="hr-HR"/>
        </w:rPr>
      </w:pPr>
      <w:r>
        <w:rPr>
          <w:rFonts w:cstheme="minorHAnsi"/>
          <w:sz w:val="24"/>
          <w:szCs w:val="24"/>
        </w:rPr>
        <w:t>Ostali projekti planirani u sklopu navedenog programa su bez realizacije u izvještajnom razdoblju.</w:t>
      </w:r>
    </w:p>
    <w:p w14:paraId="64141EF3" w14:textId="77777777" w:rsidR="000F4ADC" w:rsidRDefault="000F4ADC" w:rsidP="00871685">
      <w:pPr>
        <w:spacing w:after="0"/>
        <w:jc w:val="both"/>
        <w:rPr>
          <w:rFonts w:cstheme="minorHAnsi"/>
          <w:sz w:val="24"/>
          <w:szCs w:val="24"/>
          <w:u w:val="single"/>
          <w:lang w:eastAsia="hr-HR"/>
        </w:rPr>
      </w:pPr>
    </w:p>
    <w:p w14:paraId="23F5500C" w14:textId="58843C8F" w:rsidR="00871685" w:rsidRPr="0016061C" w:rsidRDefault="00871685" w:rsidP="00871685">
      <w:pPr>
        <w:spacing w:after="0"/>
        <w:jc w:val="both"/>
        <w:rPr>
          <w:rFonts w:cstheme="minorHAnsi"/>
          <w:sz w:val="24"/>
          <w:szCs w:val="24"/>
          <w:u w:val="single"/>
        </w:rPr>
      </w:pPr>
      <w:r w:rsidRPr="0016061C">
        <w:rPr>
          <w:rFonts w:cstheme="minorHAnsi"/>
          <w:sz w:val="24"/>
          <w:szCs w:val="24"/>
          <w:u w:val="single"/>
        </w:rPr>
        <w:t xml:space="preserve">Program 1604 Investicije u graditeljstvu   </w:t>
      </w:r>
    </w:p>
    <w:p w14:paraId="150CB0A8" w14:textId="20E5DA30" w:rsidR="00871685" w:rsidRPr="009A7BE7" w:rsidRDefault="00871685" w:rsidP="00871685">
      <w:pPr>
        <w:shd w:val="clear" w:color="auto" w:fill="FFFFFF"/>
        <w:spacing w:after="0" w:line="280" w:lineRule="exact"/>
        <w:jc w:val="both"/>
        <w:rPr>
          <w:rFonts w:eastAsia="Calibri" w:cstheme="minorHAnsi"/>
          <w:color w:val="000000" w:themeColor="text1"/>
          <w:sz w:val="24"/>
          <w:szCs w:val="24"/>
        </w:rPr>
      </w:pPr>
      <w:r w:rsidRPr="009A7BE7">
        <w:rPr>
          <w:rFonts w:eastAsia="Calibri" w:cstheme="minorHAnsi"/>
          <w:color w:val="000000" w:themeColor="text1"/>
          <w:sz w:val="24"/>
          <w:szCs w:val="24"/>
        </w:rPr>
        <w:t xml:space="preserve">U okviru ovog programa planirana su sredstva nužna za </w:t>
      </w:r>
      <w:r w:rsidRPr="009A7BE7">
        <w:rPr>
          <w:rFonts w:eastAsia="Times New Roman" w:cstheme="minorHAnsi"/>
          <w:sz w:val="24"/>
          <w:szCs w:val="24"/>
          <w:lang w:eastAsia="hr-HR"/>
        </w:rPr>
        <w:t xml:space="preserve">dovođenje u funkciju objekte od javnog značaja, a sve kako bi isti zadovoljili javne potrebe. Posebno se kroz Program planira izgradnja nove sportske dvorane. </w:t>
      </w:r>
      <w:r w:rsidRPr="009A7BE7">
        <w:rPr>
          <w:rFonts w:eastAsia="Calibri" w:cstheme="minorHAnsi"/>
          <w:color w:val="000000" w:themeColor="text1"/>
          <w:sz w:val="24"/>
          <w:szCs w:val="24"/>
        </w:rPr>
        <w:t xml:space="preserve">Poslovi i zadatci planirani su kroz </w:t>
      </w:r>
      <w:r w:rsidR="000F4ADC">
        <w:rPr>
          <w:rFonts w:eastAsia="Calibri" w:cstheme="minorHAnsi"/>
          <w:color w:val="000000" w:themeColor="text1"/>
          <w:sz w:val="24"/>
          <w:szCs w:val="24"/>
        </w:rPr>
        <w:t>5</w:t>
      </w:r>
      <w:r w:rsidRPr="009A7BE7">
        <w:rPr>
          <w:rFonts w:eastAsia="Calibri" w:cstheme="minorHAnsi"/>
          <w:color w:val="000000" w:themeColor="text1"/>
          <w:sz w:val="24"/>
          <w:szCs w:val="24"/>
        </w:rPr>
        <w:t xml:space="preserve"> kapitalnih projekta: </w:t>
      </w:r>
    </w:p>
    <w:p w14:paraId="22E1DDC5" w14:textId="77777777" w:rsidR="00871685" w:rsidRPr="009A7BE7" w:rsidRDefault="00871685" w:rsidP="00871685">
      <w:pPr>
        <w:numPr>
          <w:ilvl w:val="0"/>
          <w:numId w:val="15"/>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sidRPr="009A7BE7">
        <w:rPr>
          <w:rFonts w:eastAsia="Calibri" w:cstheme="minorHAnsi"/>
          <w:color w:val="000000" w:themeColor="text1"/>
          <w:sz w:val="24"/>
          <w:szCs w:val="24"/>
        </w:rPr>
        <w:t>K100009 Rekonstrukcija i dogradnja dječjih vrtića,</w:t>
      </w:r>
    </w:p>
    <w:p w14:paraId="4E05A602" w14:textId="77777777" w:rsidR="00871685" w:rsidRPr="009A7BE7" w:rsidRDefault="00871685" w:rsidP="00871685">
      <w:pPr>
        <w:numPr>
          <w:ilvl w:val="0"/>
          <w:numId w:val="15"/>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sidRPr="009A7BE7">
        <w:rPr>
          <w:rFonts w:eastAsia="Calibri" w:cstheme="minorHAnsi"/>
          <w:color w:val="000000" w:themeColor="text1"/>
          <w:sz w:val="24"/>
          <w:szCs w:val="24"/>
        </w:rPr>
        <w:t>K100010 Izgradnja dječjih i sličnih igrališta,</w:t>
      </w:r>
    </w:p>
    <w:p w14:paraId="49BE7397" w14:textId="77777777" w:rsidR="00871685" w:rsidRPr="009A7BE7" w:rsidRDefault="00871685" w:rsidP="00871685">
      <w:pPr>
        <w:numPr>
          <w:ilvl w:val="0"/>
          <w:numId w:val="15"/>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sidRPr="009A7BE7">
        <w:rPr>
          <w:rFonts w:eastAsia="Calibri" w:cstheme="minorHAnsi"/>
          <w:color w:val="000000" w:themeColor="text1"/>
          <w:sz w:val="24"/>
          <w:szCs w:val="24"/>
        </w:rPr>
        <w:t>K100051 Izgradnja nove sportske dvorane,</w:t>
      </w:r>
    </w:p>
    <w:p w14:paraId="2A655208" w14:textId="6A283F3C" w:rsidR="00871685" w:rsidRPr="009A7BE7" w:rsidRDefault="00871685" w:rsidP="00871685">
      <w:pPr>
        <w:numPr>
          <w:ilvl w:val="0"/>
          <w:numId w:val="15"/>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sidRPr="009A7BE7">
        <w:rPr>
          <w:rFonts w:eastAsia="Calibri" w:cstheme="minorHAnsi"/>
          <w:color w:val="000000" w:themeColor="text1"/>
          <w:sz w:val="24"/>
          <w:szCs w:val="24"/>
        </w:rPr>
        <w:t>K100</w:t>
      </w:r>
      <w:r w:rsidR="000F4ADC">
        <w:rPr>
          <w:rFonts w:eastAsia="Calibri" w:cstheme="minorHAnsi"/>
          <w:color w:val="000000" w:themeColor="text1"/>
          <w:sz w:val="24"/>
          <w:szCs w:val="24"/>
        </w:rPr>
        <w:t>106 Nadogradnja i rekonstrukcija dječjeg vrtića Maslačak,</w:t>
      </w:r>
    </w:p>
    <w:p w14:paraId="0C08BF25" w14:textId="75EE4532" w:rsidR="00871685" w:rsidRDefault="00871685" w:rsidP="00871685">
      <w:pPr>
        <w:numPr>
          <w:ilvl w:val="0"/>
          <w:numId w:val="15"/>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sidRPr="009A7BE7">
        <w:rPr>
          <w:rFonts w:eastAsia="Calibri" w:cstheme="minorHAnsi"/>
          <w:color w:val="000000" w:themeColor="text1"/>
          <w:sz w:val="24"/>
          <w:szCs w:val="24"/>
        </w:rPr>
        <w:t>K100</w:t>
      </w:r>
      <w:r w:rsidR="000F4ADC">
        <w:rPr>
          <w:rFonts w:eastAsia="Calibri" w:cstheme="minorHAnsi"/>
          <w:color w:val="000000" w:themeColor="text1"/>
          <w:sz w:val="24"/>
          <w:szCs w:val="24"/>
        </w:rPr>
        <w:t>116 Uređenje i opremanje dvorišta i objekta dječjeg vrtića „More“</w:t>
      </w:r>
    </w:p>
    <w:p w14:paraId="073317B9" w14:textId="77777777" w:rsidR="000362F6" w:rsidRDefault="000362F6" w:rsidP="00871685">
      <w:pPr>
        <w:overflowPunct w:val="0"/>
        <w:autoSpaceDE w:val="0"/>
        <w:autoSpaceDN w:val="0"/>
        <w:adjustRightInd w:val="0"/>
        <w:spacing w:after="0" w:line="280" w:lineRule="exact"/>
        <w:jc w:val="both"/>
        <w:textAlignment w:val="baseline"/>
        <w:rPr>
          <w:rFonts w:eastAsia="Calibri" w:cstheme="minorHAnsi"/>
          <w:color w:val="000000" w:themeColor="text1"/>
          <w:sz w:val="24"/>
          <w:szCs w:val="24"/>
        </w:rPr>
      </w:pPr>
    </w:p>
    <w:p w14:paraId="5EA4F575" w14:textId="09972A01" w:rsidR="00871685" w:rsidRDefault="00871685" w:rsidP="00871685">
      <w:pPr>
        <w:overflowPunct w:val="0"/>
        <w:autoSpaceDE w:val="0"/>
        <w:autoSpaceDN w:val="0"/>
        <w:adjustRightInd w:val="0"/>
        <w:spacing w:after="0" w:line="280" w:lineRule="exact"/>
        <w:jc w:val="both"/>
        <w:textAlignment w:val="baseline"/>
        <w:rPr>
          <w:rFonts w:eastAsia="Calibri" w:cstheme="minorHAnsi"/>
          <w:color w:val="000000" w:themeColor="text1"/>
          <w:sz w:val="24"/>
          <w:szCs w:val="24"/>
        </w:rPr>
      </w:pPr>
      <w:r w:rsidRPr="009A7BE7">
        <w:rPr>
          <w:rFonts w:eastAsia="Calibri" w:cstheme="minorHAnsi"/>
          <w:color w:val="000000" w:themeColor="text1"/>
          <w:sz w:val="24"/>
          <w:szCs w:val="24"/>
        </w:rPr>
        <w:t xml:space="preserve">U programu Investicije u graditeljstvu planirana su sredstva za  kapitalnih projekta u iznosu od </w:t>
      </w:r>
      <w:r w:rsidR="000F4ADC">
        <w:rPr>
          <w:rFonts w:eastAsia="Calibri" w:cstheme="minorHAnsi"/>
          <w:color w:val="000000" w:themeColor="text1"/>
          <w:sz w:val="24"/>
          <w:szCs w:val="24"/>
        </w:rPr>
        <w:t>423.586,00</w:t>
      </w:r>
      <w:r w:rsidRPr="009A7BE7">
        <w:rPr>
          <w:rFonts w:eastAsia="Calibri" w:cstheme="minorHAnsi"/>
          <w:color w:val="000000" w:themeColor="text1"/>
          <w:sz w:val="24"/>
          <w:szCs w:val="24"/>
        </w:rPr>
        <w:t xml:space="preserve"> eura.</w:t>
      </w:r>
    </w:p>
    <w:p w14:paraId="7FCB63B1" w14:textId="77777777" w:rsidR="000362F6" w:rsidRDefault="000362F6" w:rsidP="00871685">
      <w:pPr>
        <w:spacing w:line="280" w:lineRule="exact"/>
        <w:jc w:val="both"/>
        <w:rPr>
          <w:rFonts w:eastAsia="Calibri" w:cstheme="minorHAnsi"/>
          <w:color w:val="000000" w:themeColor="text1"/>
          <w:sz w:val="24"/>
          <w:szCs w:val="24"/>
        </w:rPr>
      </w:pPr>
    </w:p>
    <w:p w14:paraId="3DF1B4B9" w14:textId="046B252B" w:rsidR="000362F6" w:rsidRPr="000362F6" w:rsidRDefault="00871685" w:rsidP="000362F6">
      <w:pPr>
        <w:spacing w:after="0" w:line="240" w:lineRule="auto"/>
        <w:jc w:val="both"/>
        <w:rPr>
          <w:sz w:val="24"/>
          <w:szCs w:val="24"/>
        </w:rPr>
      </w:pPr>
      <w:r w:rsidRPr="000362F6">
        <w:rPr>
          <w:rFonts w:cstheme="minorHAnsi"/>
          <w:sz w:val="24"/>
          <w:szCs w:val="24"/>
          <w:u w:val="single"/>
        </w:rPr>
        <w:lastRenderedPageBreak/>
        <w:t>Kapitalni projekt  Izgradnja dječjih i sličnih igrališta</w:t>
      </w:r>
      <w:r w:rsidRPr="000362F6">
        <w:rPr>
          <w:rFonts w:cstheme="minorHAnsi"/>
          <w:sz w:val="24"/>
          <w:szCs w:val="24"/>
        </w:rPr>
        <w:t xml:space="preserve"> </w:t>
      </w:r>
      <w:r w:rsidRPr="000362F6">
        <w:rPr>
          <w:rFonts w:eastAsia="Times New Roman" w:cstheme="minorHAnsi"/>
          <w:sz w:val="24"/>
          <w:szCs w:val="24"/>
          <w:lang w:eastAsia="hr-HR"/>
        </w:rPr>
        <w:t>obuhvaća izgradnju i opremanje novih dječjih i ostalih igrališta po svim mjesnim odborima kao i sanaciju starih i njihovo opremanje i održavanje.</w:t>
      </w:r>
      <w:r w:rsidRPr="000362F6">
        <w:rPr>
          <w:rFonts w:cstheme="minorHAnsi"/>
          <w:sz w:val="24"/>
          <w:szCs w:val="24"/>
          <w:lang w:eastAsia="hr-HR"/>
        </w:rPr>
        <w:t xml:space="preserve"> </w:t>
      </w:r>
      <w:r w:rsidRPr="000362F6">
        <w:rPr>
          <w:rFonts w:cstheme="minorHAnsi"/>
          <w:sz w:val="24"/>
          <w:szCs w:val="24"/>
        </w:rPr>
        <w:t>Planirana sredstva u 202</w:t>
      </w:r>
      <w:r w:rsidR="000362F6" w:rsidRPr="000362F6">
        <w:rPr>
          <w:rFonts w:cstheme="minorHAnsi"/>
          <w:sz w:val="24"/>
          <w:szCs w:val="24"/>
        </w:rPr>
        <w:t>5</w:t>
      </w:r>
      <w:r w:rsidRPr="000362F6">
        <w:rPr>
          <w:rFonts w:cstheme="minorHAnsi"/>
          <w:sz w:val="24"/>
          <w:szCs w:val="24"/>
        </w:rPr>
        <w:t xml:space="preserve">.godini za navedeni projekt iznose </w:t>
      </w:r>
      <w:r w:rsidR="000362F6" w:rsidRPr="000362F6">
        <w:rPr>
          <w:rFonts w:cstheme="minorHAnsi"/>
          <w:sz w:val="24"/>
          <w:szCs w:val="24"/>
        </w:rPr>
        <w:t>43.000,00</w:t>
      </w:r>
      <w:r w:rsidRPr="000362F6">
        <w:rPr>
          <w:rFonts w:cstheme="minorHAnsi"/>
          <w:sz w:val="24"/>
          <w:szCs w:val="24"/>
        </w:rPr>
        <w:t xml:space="preserve"> eura, a realizirano je </w:t>
      </w:r>
      <w:r w:rsidR="000362F6" w:rsidRPr="000362F6">
        <w:rPr>
          <w:rFonts w:cstheme="minorHAnsi"/>
          <w:sz w:val="24"/>
          <w:szCs w:val="24"/>
        </w:rPr>
        <w:t>21.524,58</w:t>
      </w:r>
      <w:r w:rsidRPr="000362F6">
        <w:rPr>
          <w:rFonts w:cstheme="minorHAnsi"/>
          <w:sz w:val="24"/>
          <w:szCs w:val="24"/>
        </w:rPr>
        <w:t xml:space="preserve"> eura ili </w:t>
      </w:r>
      <w:r w:rsidR="000362F6" w:rsidRPr="000362F6">
        <w:rPr>
          <w:rFonts w:cstheme="minorHAnsi"/>
          <w:sz w:val="24"/>
          <w:szCs w:val="24"/>
        </w:rPr>
        <w:t>50,06</w:t>
      </w:r>
      <w:r w:rsidRPr="000362F6">
        <w:rPr>
          <w:rFonts w:cstheme="minorHAnsi"/>
          <w:sz w:val="24"/>
          <w:szCs w:val="24"/>
        </w:rPr>
        <w:t xml:space="preserve">% plana i odnose se na </w:t>
      </w:r>
      <w:r w:rsidR="000362F6" w:rsidRPr="000362F6">
        <w:rPr>
          <w:sz w:val="24"/>
          <w:szCs w:val="24"/>
        </w:rPr>
        <w:t xml:space="preserve">radove na izgradnji dječjeg igrališta </w:t>
      </w:r>
      <w:proofErr w:type="spellStart"/>
      <w:r w:rsidR="000362F6" w:rsidRPr="000362F6">
        <w:rPr>
          <w:sz w:val="24"/>
          <w:szCs w:val="24"/>
        </w:rPr>
        <w:t>Karanušići</w:t>
      </w:r>
      <w:proofErr w:type="spellEnd"/>
      <w:r w:rsidR="000362F6" w:rsidRPr="000362F6">
        <w:rPr>
          <w:sz w:val="24"/>
          <w:szCs w:val="24"/>
        </w:rPr>
        <w:t xml:space="preserve"> u </w:t>
      </w:r>
      <w:proofErr w:type="spellStart"/>
      <w:r w:rsidR="000362F6" w:rsidRPr="000362F6">
        <w:rPr>
          <w:sz w:val="24"/>
          <w:szCs w:val="24"/>
        </w:rPr>
        <w:t>Planome</w:t>
      </w:r>
      <w:proofErr w:type="spellEnd"/>
      <w:r w:rsidR="000362F6" w:rsidRPr="000362F6">
        <w:rPr>
          <w:sz w:val="24"/>
          <w:szCs w:val="24"/>
        </w:rPr>
        <w:t xml:space="preserve"> u iznosu ostvarenja od 11.800,00 eura, radove na izgradnji dječjeg igrališta Krtine u iznosu ostvarenja od 2.586,35 eura</w:t>
      </w:r>
      <w:r w:rsidR="000362F6">
        <w:rPr>
          <w:sz w:val="24"/>
          <w:szCs w:val="24"/>
        </w:rPr>
        <w:t xml:space="preserve">, nabavu opreme za dječje igralište na </w:t>
      </w:r>
      <w:proofErr w:type="spellStart"/>
      <w:r w:rsidR="000362F6">
        <w:rPr>
          <w:sz w:val="24"/>
          <w:szCs w:val="24"/>
        </w:rPr>
        <w:t>Pantani</w:t>
      </w:r>
      <w:proofErr w:type="spellEnd"/>
      <w:r w:rsidR="000362F6">
        <w:rPr>
          <w:sz w:val="24"/>
          <w:szCs w:val="24"/>
        </w:rPr>
        <w:t xml:space="preserve">, opremanje igrališta na plaži </w:t>
      </w:r>
      <w:proofErr w:type="spellStart"/>
      <w:r w:rsidR="000362F6">
        <w:rPr>
          <w:sz w:val="24"/>
          <w:szCs w:val="24"/>
        </w:rPr>
        <w:t>Saldun</w:t>
      </w:r>
      <w:proofErr w:type="spellEnd"/>
      <w:r w:rsidR="000362F6">
        <w:rPr>
          <w:sz w:val="24"/>
          <w:szCs w:val="24"/>
        </w:rPr>
        <w:t xml:space="preserve">. </w:t>
      </w:r>
    </w:p>
    <w:p w14:paraId="73A9A922" w14:textId="77777777" w:rsidR="000362F6" w:rsidRDefault="000362F6" w:rsidP="005A42D4">
      <w:pPr>
        <w:pStyle w:val="Bezproreda"/>
        <w:jc w:val="both"/>
        <w:rPr>
          <w:rFonts w:asciiTheme="minorHAnsi" w:hAnsiTheme="minorHAnsi" w:cstheme="minorHAnsi"/>
          <w:sz w:val="24"/>
          <w:szCs w:val="24"/>
          <w:u w:val="single"/>
        </w:rPr>
      </w:pPr>
    </w:p>
    <w:p w14:paraId="680D5BEE" w14:textId="3BD4567C" w:rsidR="00C31957" w:rsidRPr="00F14CC0" w:rsidRDefault="005A42D4" w:rsidP="00C31957">
      <w:pPr>
        <w:pStyle w:val="Bezproreda"/>
        <w:jc w:val="both"/>
        <w:rPr>
          <w:sz w:val="24"/>
          <w:szCs w:val="24"/>
        </w:rPr>
      </w:pPr>
      <w:r w:rsidRPr="005A42D4">
        <w:rPr>
          <w:rFonts w:asciiTheme="minorHAnsi" w:hAnsiTheme="minorHAnsi" w:cstheme="minorHAnsi"/>
          <w:sz w:val="24"/>
          <w:szCs w:val="24"/>
          <w:u w:val="single"/>
        </w:rPr>
        <w:t xml:space="preserve">Kapitalni projekt Izgradnja nove sportske dvorane, </w:t>
      </w:r>
      <w:r w:rsidRPr="005A42D4">
        <w:rPr>
          <w:rFonts w:cstheme="minorHAnsi"/>
          <w:sz w:val="24"/>
          <w:szCs w:val="24"/>
          <w:lang w:eastAsia="hr-HR"/>
        </w:rPr>
        <w:t>obuhvaća projektni natječaj za izradu idejnog arhitektonskog rješenja, izradu projektne dokumentacije te radove izgradnju nove sportske dvorane u Trogiru, na području sjeverno od rimskog puta, zapadno od spojne ceste na novi most, pri čemu je</w:t>
      </w:r>
      <w:r>
        <w:rPr>
          <w:rFonts w:cstheme="minorHAnsi"/>
          <w:sz w:val="24"/>
          <w:szCs w:val="24"/>
          <w:lang w:eastAsia="hr-HR"/>
        </w:rPr>
        <w:t xml:space="preserve"> bilo</w:t>
      </w:r>
      <w:r w:rsidRPr="005A42D4">
        <w:rPr>
          <w:rFonts w:cstheme="minorHAnsi"/>
          <w:sz w:val="24"/>
          <w:szCs w:val="24"/>
          <w:lang w:eastAsia="hr-HR"/>
        </w:rPr>
        <w:t xml:space="preserve"> planirano sufinanciranje SDŽ ili Ministarstva turizma i sporta. </w:t>
      </w:r>
      <w:r>
        <w:rPr>
          <w:rFonts w:cstheme="minorHAnsi"/>
          <w:sz w:val="24"/>
          <w:szCs w:val="24"/>
          <w:lang w:eastAsia="hr-HR"/>
        </w:rPr>
        <w:t xml:space="preserve">U izvještajnom razdoblju ovaj projekt bilježi realizaciju u iznosu od </w:t>
      </w:r>
      <w:r w:rsidR="00C31957">
        <w:rPr>
          <w:rFonts w:cstheme="minorHAnsi"/>
          <w:sz w:val="24"/>
          <w:szCs w:val="24"/>
          <w:lang w:eastAsia="hr-HR"/>
        </w:rPr>
        <w:t>117.940,36</w:t>
      </w:r>
      <w:r>
        <w:rPr>
          <w:rFonts w:cstheme="minorHAnsi"/>
          <w:sz w:val="24"/>
          <w:szCs w:val="24"/>
          <w:lang w:eastAsia="hr-HR"/>
        </w:rPr>
        <w:t xml:space="preserve"> eura ili </w:t>
      </w:r>
      <w:r w:rsidR="00C31957">
        <w:rPr>
          <w:rFonts w:cstheme="minorHAnsi"/>
          <w:sz w:val="24"/>
          <w:szCs w:val="24"/>
          <w:lang w:eastAsia="hr-HR"/>
        </w:rPr>
        <w:t>40,04</w:t>
      </w:r>
      <w:r>
        <w:rPr>
          <w:rFonts w:cstheme="minorHAnsi"/>
          <w:sz w:val="24"/>
          <w:szCs w:val="24"/>
          <w:lang w:eastAsia="hr-HR"/>
        </w:rPr>
        <w:t xml:space="preserve"> % plana </w:t>
      </w:r>
      <w:r w:rsidRPr="005A42D4">
        <w:rPr>
          <w:rFonts w:cstheme="minorHAnsi"/>
          <w:sz w:val="24"/>
          <w:szCs w:val="24"/>
          <w:lang w:eastAsia="hr-HR"/>
        </w:rPr>
        <w:t xml:space="preserve">i to za </w:t>
      </w:r>
      <w:r w:rsidRPr="005A42D4">
        <w:rPr>
          <w:sz w:val="24"/>
          <w:szCs w:val="24"/>
        </w:rPr>
        <w:t xml:space="preserve">izradu natječajnog zadatka za projekt izgradnje nove sportske dvorane u iznosu od </w:t>
      </w:r>
      <w:r w:rsidR="00C31957">
        <w:rPr>
          <w:sz w:val="24"/>
          <w:szCs w:val="24"/>
        </w:rPr>
        <w:t>13.125,00</w:t>
      </w:r>
      <w:r w:rsidRPr="005A42D4">
        <w:rPr>
          <w:sz w:val="24"/>
          <w:szCs w:val="24"/>
        </w:rPr>
        <w:t xml:space="preserve"> eura</w:t>
      </w:r>
      <w:r w:rsidR="00C31957">
        <w:rPr>
          <w:sz w:val="24"/>
          <w:szCs w:val="24"/>
        </w:rPr>
        <w:t xml:space="preserve">, autorske honorare u ukupnom </w:t>
      </w:r>
      <w:r w:rsidR="00C31957" w:rsidRPr="00F14CC0">
        <w:rPr>
          <w:sz w:val="24"/>
          <w:szCs w:val="24"/>
        </w:rPr>
        <w:t>iznosu od 60.065,64 eura i izradu projektne dokumentacije za projekt izgradnje nove sportske dvorane ( program natječajnog zadatka, projektni natječaj i sl.) u iznosu od 33.246,72 eura.</w:t>
      </w:r>
    </w:p>
    <w:p w14:paraId="07F3EDC3" w14:textId="77777777" w:rsidR="00F14CC0" w:rsidRDefault="00F14CC0" w:rsidP="00871685">
      <w:pPr>
        <w:pStyle w:val="Bezproreda"/>
        <w:jc w:val="both"/>
        <w:rPr>
          <w:sz w:val="24"/>
          <w:szCs w:val="24"/>
        </w:rPr>
      </w:pPr>
    </w:p>
    <w:p w14:paraId="77994F1B" w14:textId="4F3E69E5" w:rsidR="00F14CC0" w:rsidRPr="00F14CC0" w:rsidRDefault="00871685" w:rsidP="00F14CC0">
      <w:pPr>
        <w:spacing w:after="0" w:line="240" w:lineRule="auto"/>
        <w:rPr>
          <w:sz w:val="24"/>
          <w:szCs w:val="24"/>
        </w:rPr>
      </w:pPr>
      <w:r w:rsidRPr="00F14CC0">
        <w:rPr>
          <w:rFonts w:cstheme="minorHAnsi"/>
          <w:sz w:val="24"/>
          <w:szCs w:val="24"/>
          <w:u w:val="single"/>
        </w:rPr>
        <w:t xml:space="preserve">Kapitalni projekt  </w:t>
      </w:r>
      <w:r w:rsidR="00F14CC0" w:rsidRPr="00F14CC0">
        <w:rPr>
          <w:rFonts w:cstheme="minorHAnsi"/>
          <w:sz w:val="24"/>
          <w:szCs w:val="24"/>
          <w:u w:val="single"/>
        </w:rPr>
        <w:t xml:space="preserve">Nadogradnja i rekonstrukcija dječjeg vrtića Maslačak, </w:t>
      </w:r>
      <w:r w:rsidR="00F14CC0" w:rsidRPr="00F14CC0">
        <w:rPr>
          <w:rFonts w:cstheme="minorHAnsi"/>
          <w:sz w:val="24"/>
          <w:szCs w:val="24"/>
        </w:rPr>
        <w:t xml:space="preserve">bilježi realizaciju u iznosu od 31.875,00 eura i to za </w:t>
      </w:r>
      <w:r w:rsidR="00F14CC0" w:rsidRPr="00F14CC0">
        <w:rPr>
          <w:sz w:val="24"/>
          <w:szCs w:val="24"/>
        </w:rPr>
        <w:t>izradu projektne dokumentacije za izgradnju Dječjeg vrtića Maslačak u iznosu od 31.875,00 eura</w:t>
      </w:r>
      <w:r w:rsidR="00F14CC0">
        <w:rPr>
          <w:sz w:val="24"/>
          <w:szCs w:val="24"/>
        </w:rPr>
        <w:t>.</w:t>
      </w:r>
    </w:p>
    <w:p w14:paraId="023D4E64" w14:textId="4F7CC5FB" w:rsidR="00871685" w:rsidRPr="00F14CC0" w:rsidRDefault="00871685" w:rsidP="00871685">
      <w:pPr>
        <w:pStyle w:val="Bezproreda"/>
        <w:jc w:val="both"/>
        <w:rPr>
          <w:rFonts w:asciiTheme="minorHAnsi" w:hAnsiTheme="minorHAnsi" w:cstheme="minorHAnsi"/>
          <w:sz w:val="24"/>
          <w:szCs w:val="24"/>
        </w:rPr>
      </w:pPr>
    </w:p>
    <w:p w14:paraId="75FF3561" w14:textId="77085D25" w:rsidR="004D7287" w:rsidRPr="004D7287" w:rsidRDefault="00F14CC0" w:rsidP="004D7287">
      <w:pPr>
        <w:suppressAutoHyphens/>
        <w:spacing w:after="0" w:line="280" w:lineRule="exact"/>
        <w:jc w:val="both"/>
        <w:rPr>
          <w:rFonts w:eastAsia="Times New Roman" w:cstheme="minorHAnsi"/>
          <w:color w:val="000000"/>
          <w:sz w:val="24"/>
          <w:szCs w:val="24"/>
          <w:lang w:eastAsia="ar-SA"/>
        </w:rPr>
      </w:pPr>
      <w:r w:rsidRPr="00F14CC0">
        <w:rPr>
          <w:rFonts w:cstheme="minorHAnsi"/>
          <w:sz w:val="24"/>
          <w:szCs w:val="24"/>
          <w:u w:val="single"/>
        </w:rPr>
        <w:t>Kapitalni projekt Uređenje i opremanje dvorišta i objekta dječjeg vrtića More</w:t>
      </w:r>
      <w:r w:rsidRPr="004D7287">
        <w:rPr>
          <w:rFonts w:cstheme="minorHAnsi"/>
          <w:sz w:val="24"/>
          <w:szCs w:val="24"/>
          <w:u w:val="single"/>
        </w:rPr>
        <w:t xml:space="preserve">, </w:t>
      </w:r>
      <w:r w:rsidR="004D7287" w:rsidRPr="004D7287">
        <w:rPr>
          <w:rFonts w:eastAsia="Times New Roman" w:cstheme="minorHAnsi"/>
          <w:color w:val="000000"/>
          <w:sz w:val="24"/>
          <w:szCs w:val="24"/>
          <w:lang w:eastAsia="ar-SA"/>
        </w:rPr>
        <w:t xml:space="preserve"> </w:t>
      </w:r>
      <w:r w:rsidR="004D7287" w:rsidRPr="004D7287">
        <w:rPr>
          <w:rFonts w:eastAsia="Times New Roman" w:cstheme="minorHAnsi"/>
          <w:color w:val="000000"/>
          <w:sz w:val="24"/>
          <w:szCs w:val="24"/>
          <w:lang w:eastAsia="hr-HR"/>
        </w:rPr>
        <w:t xml:space="preserve">obuhvaća </w:t>
      </w:r>
      <w:r w:rsidR="004D7287" w:rsidRPr="004D7287">
        <w:rPr>
          <w:rFonts w:eastAsia="Times New Roman" w:cstheme="minorHAnsi"/>
          <w:color w:val="000000"/>
          <w:sz w:val="24"/>
          <w:szCs w:val="24"/>
          <w:lang w:eastAsia="ar-SA"/>
        </w:rPr>
        <w:t>uređenja terena te nabava opreme za dječje igralište ispred DV More na Balancanama,  na području mjesnog odbora Travarica, a sve u sklopu projekta „I tebe se pita!", odnosno participativnog budžetiranja - projekta koji su izglasali sami građani. Isto tako projektom će se nabaviti oprema (tepih i sl.), igračke i sportski rekviziti te literatura za odgajatelje i djecu.</w:t>
      </w:r>
    </w:p>
    <w:p w14:paraId="4752D8F3" w14:textId="270102F2" w:rsidR="004D7287" w:rsidRPr="004D7287" w:rsidRDefault="004D7287" w:rsidP="004D7287">
      <w:pPr>
        <w:suppressAutoHyphens/>
        <w:spacing w:after="0" w:line="280" w:lineRule="exact"/>
        <w:jc w:val="both"/>
        <w:rPr>
          <w:rFonts w:eastAsia="Times New Roman" w:cstheme="minorHAnsi"/>
          <w:color w:val="000000"/>
          <w:sz w:val="24"/>
          <w:szCs w:val="24"/>
          <w:lang w:eastAsia="hr-HR"/>
        </w:rPr>
      </w:pPr>
      <w:r w:rsidRPr="004D7287">
        <w:rPr>
          <w:rFonts w:eastAsia="Times New Roman" w:cstheme="minorHAnsi"/>
          <w:color w:val="000000"/>
          <w:sz w:val="24"/>
          <w:szCs w:val="24"/>
          <w:lang w:eastAsia="ar-SA"/>
        </w:rPr>
        <w:t>Projekt je prijavljen na Poziv Ministarstva demografije i useljeništva, za dodjelu bespovratnih sredstava pod nazivom „Dostupnost kvalitetne skrbi za djecu u lokalnim zajednicama kroz poboljšanje materijalnih uvjeta u dječjim vrtićima“ te je donesena Odluka o odabiru i potpisan Ugovor o dodjeli bespovratnih sredstava. U izvještajnom razdoblju ovaj projekt bilježi realizaciju u iznosu od 45.962,26 eura i to</w:t>
      </w:r>
      <w:r w:rsidRPr="004D7287">
        <w:rPr>
          <w:rFonts w:eastAsia="Times New Roman" w:cstheme="minorHAnsi"/>
          <w:color w:val="000000"/>
          <w:sz w:val="24"/>
          <w:szCs w:val="24"/>
          <w:lang w:eastAsia="hr-HR"/>
        </w:rPr>
        <w:t xml:space="preserve"> za </w:t>
      </w:r>
      <w:r w:rsidRPr="004D7287">
        <w:rPr>
          <w:sz w:val="24"/>
          <w:szCs w:val="24"/>
        </w:rPr>
        <w:t>uređenje dječjeg igrališta za potrebe Dječjeg vrtića More u iznosu od 24.967,85 eura, nabavu opreme u ukupnom iznosu od</w:t>
      </w:r>
      <w:r>
        <w:t xml:space="preserve"> 7.425,00 eura i dr.</w:t>
      </w:r>
    </w:p>
    <w:p w14:paraId="45D88DED" w14:textId="2E2A853A" w:rsidR="00871685" w:rsidRPr="007C42C4" w:rsidRDefault="00871685" w:rsidP="00871685">
      <w:pPr>
        <w:pStyle w:val="Bezproreda"/>
        <w:jc w:val="both"/>
        <w:rPr>
          <w:rFonts w:asciiTheme="minorHAnsi" w:hAnsiTheme="minorHAnsi" w:cstheme="minorHAnsi"/>
          <w:sz w:val="24"/>
          <w:szCs w:val="24"/>
        </w:rPr>
      </w:pPr>
      <w:r>
        <w:rPr>
          <w:rFonts w:cstheme="minorHAnsi"/>
          <w:sz w:val="24"/>
          <w:szCs w:val="24"/>
        </w:rPr>
        <w:t>Ostali projekti planirani u sklopu navedenog programa su bez realizacije u izvještajnom razdoblju.</w:t>
      </w:r>
    </w:p>
    <w:p w14:paraId="38E43463" w14:textId="77777777" w:rsidR="00E44F59" w:rsidRDefault="00E44F59" w:rsidP="003F60A0">
      <w:pPr>
        <w:spacing w:after="0"/>
        <w:rPr>
          <w:rFonts w:cstheme="minorHAnsi"/>
          <w:sz w:val="24"/>
          <w:szCs w:val="24"/>
          <w:u w:val="single"/>
          <w:lang w:eastAsia="hr-HR"/>
        </w:rPr>
      </w:pPr>
    </w:p>
    <w:p w14:paraId="754C3D98" w14:textId="77777777" w:rsidR="00AE42E5" w:rsidRDefault="00AE42E5" w:rsidP="00AE42E5">
      <w:pPr>
        <w:pStyle w:val="Bezproreda"/>
        <w:jc w:val="both"/>
        <w:rPr>
          <w:sz w:val="24"/>
          <w:szCs w:val="24"/>
          <w:u w:val="single"/>
        </w:rPr>
      </w:pPr>
      <w:r w:rsidRPr="007B047C">
        <w:rPr>
          <w:sz w:val="24"/>
          <w:szCs w:val="24"/>
          <w:u w:val="single"/>
        </w:rPr>
        <w:t>Program 1605 Investicije na objektima od javnog interesa</w:t>
      </w:r>
    </w:p>
    <w:p w14:paraId="08E3E20A" w14:textId="77777777" w:rsidR="00AE42E5" w:rsidRPr="00C12E81" w:rsidRDefault="00AE42E5" w:rsidP="00AE42E5">
      <w:pPr>
        <w:shd w:val="clear" w:color="auto" w:fill="FFFFFF"/>
        <w:spacing w:after="0" w:line="280" w:lineRule="exact"/>
        <w:jc w:val="both"/>
        <w:rPr>
          <w:rFonts w:eastAsia="Times New Roman" w:cstheme="minorHAnsi"/>
          <w:sz w:val="24"/>
          <w:szCs w:val="24"/>
          <w:lang w:eastAsia="hr-HR"/>
        </w:rPr>
      </w:pPr>
      <w:r w:rsidRPr="00C12E81">
        <w:rPr>
          <w:rFonts w:eastAsia="Calibri" w:cstheme="minorHAnsi"/>
          <w:color w:val="000000" w:themeColor="text1"/>
          <w:sz w:val="24"/>
          <w:szCs w:val="24"/>
        </w:rPr>
        <w:t xml:space="preserve">U okviru ovog programa planirana se sredstva nužna za </w:t>
      </w:r>
      <w:r w:rsidRPr="00C12E81">
        <w:rPr>
          <w:rFonts w:eastAsia="Times New Roman" w:cstheme="minorHAnsi"/>
          <w:sz w:val="24"/>
          <w:szCs w:val="24"/>
          <w:lang w:eastAsia="hr-HR"/>
        </w:rPr>
        <w:t>utvrđenje ciljeva i interesa koji se na području obuhvata trebaju ostvariti, vodeći računa da se korištenjem prostora osigura i neophodna sanacija, zaštita i unapređenje stanja u prostoru.</w:t>
      </w:r>
    </w:p>
    <w:p w14:paraId="296349D0" w14:textId="4E3C0EB6" w:rsidR="00AE42E5" w:rsidRPr="00C12E81" w:rsidRDefault="00AE42E5" w:rsidP="00AE42E5">
      <w:pPr>
        <w:shd w:val="clear" w:color="auto" w:fill="FFFFFF"/>
        <w:spacing w:after="0" w:line="280" w:lineRule="exact"/>
        <w:jc w:val="both"/>
        <w:rPr>
          <w:rFonts w:eastAsia="Calibri" w:cstheme="minorHAnsi"/>
          <w:color w:val="000000" w:themeColor="text1"/>
          <w:sz w:val="24"/>
          <w:szCs w:val="24"/>
        </w:rPr>
      </w:pPr>
      <w:r w:rsidRPr="00C12E81">
        <w:rPr>
          <w:rFonts w:eastAsia="Times New Roman" w:cstheme="minorHAnsi"/>
          <w:sz w:val="24"/>
          <w:szCs w:val="24"/>
          <w:lang w:eastAsia="hr-HR"/>
        </w:rPr>
        <w:t xml:space="preserve"> </w:t>
      </w:r>
      <w:r w:rsidRPr="00C12E81">
        <w:rPr>
          <w:rFonts w:eastAsia="Calibri" w:cstheme="minorHAnsi"/>
          <w:color w:val="000000" w:themeColor="text1"/>
          <w:sz w:val="24"/>
          <w:szCs w:val="24"/>
        </w:rPr>
        <w:t xml:space="preserve">Poslovi i zadatci planirani su kroz 1 aktivnost </w:t>
      </w:r>
      <w:r w:rsidR="00376C8B">
        <w:rPr>
          <w:rFonts w:eastAsia="Calibri" w:cstheme="minorHAnsi"/>
          <w:color w:val="000000" w:themeColor="text1"/>
          <w:sz w:val="24"/>
          <w:szCs w:val="24"/>
        </w:rPr>
        <w:t xml:space="preserve">i </w:t>
      </w:r>
      <w:r w:rsidR="005D4191">
        <w:rPr>
          <w:rFonts w:eastAsia="Calibri" w:cstheme="minorHAnsi"/>
          <w:color w:val="000000" w:themeColor="text1"/>
          <w:sz w:val="24"/>
          <w:szCs w:val="24"/>
        </w:rPr>
        <w:t>6</w:t>
      </w:r>
      <w:r w:rsidRPr="00C12E81">
        <w:rPr>
          <w:rFonts w:eastAsia="Calibri" w:cstheme="minorHAnsi"/>
          <w:color w:val="000000" w:themeColor="text1"/>
          <w:sz w:val="24"/>
          <w:szCs w:val="24"/>
        </w:rPr>
        <w:t xml:space="preserve"> kapitalnih projekta: </w:t>
      </w:r>
    </w:p>
    <w:p w14:paraId="61138288" w14:textId="77777777" w:rsidR="00AE42E5" w:rsidRDefault="00AE42E5" w:rsidP="00AE42E5">
      <w:pPr>
        <w:numPr>
          <w:ilvl w:val="0"/>
          <w:numId w:val="16"/>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sidRPr="00C12E81">
        <w:rPr>
          <w:rFonts w:eastAsia="Calibri" w:cstheme="minorHAnsi"/>
          <w:color w:val="000000" w:themeColor="text1"/>
          <w:sz w:val="24"/>
          <w:szCs w:val="24"/>
        </w:rPr>
        <w:t>A100075 Tekući rashodi za pripremu projekata,</w:t>
      </w:r>
    </w:p>
    <w:p w14:paraId="448390AB" w14:textId="77777777" w:rsidR="00AE42E5" w:rsidRPr="00C12E81" w:rsidRDefault="00AE42E5" w:rsidP="00AE42E5">
      <w:pPr>
        <w:numPr>
          <w:ilvl w:val="0"/>
          <w:numId w:val="16"/>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Pr>
          <w:rFonts w:eastAsia="Calibri" w:cstheme="minorHAnsi"/>
          <w:color w:val="000000" w:themeColor="text1"/>
          <w:sz w:val="24"/>
          <w:szCs w:val="24"/>
        </w:rPr>
        <w:t>K100046 Energetska obnova zgrada u vlasništvu Grada,</w:t>
      </w:r>
    </w:p>
    <w:p w14:paraId="0C478253" w14:textId="77777777" w:rsidR="00AE42E5" w:rsidRDefault="00AE42E5" w:rsidP="00AE42E5">
      <w:pPr>
        <w:numPr>
          <w:ilvl w:val="0"/>
          <w:numId w:val="16"/>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sidRPr="00C12E81">
        <w:rPr>
          <w:rFonts w:eastAsia="Calibri" w:cstheme="minorHAnsi"/>
          <w:color w:val="000000" w:themeColor="text1"/>
          <w:sz w:val="24"/>
          <w:szCs w:val="24"/>
        </w:rPr>
        <w:t>K100060 Priprema infrastrukture za izgradnju POS stanova,</w:t>
      </w:r>
    </w:p>
    <w:p w14:paraId="2C81D385" w14:textId="3B17B14C" w:rsidR="00376C8B" w:rsidRDefault="00376C8B" w:rsidP="00AE42E5">
      <w:pPr>
        <w:numPr>
          <w:ilvl w:val="0"/>
          <w:numId w:val="16"/>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Pr>
          <w:rFonts w:eastAsia="Calibri" w:cstheme="minorHAnsi"/>
          <w:color w:val="000000" w:themeColor="text1"/>
          <w:sz w:val="24"/>
          <w:szCs w:val="24"/>
        </w:rPr>
        <w:t>K100081 Izgradnja poligona za autoškolu u Planom,</w:t>
      </w:r>
    </w:p>
    <w:p w14:paraId="7E01F24A" w14:textId="7868D293" w:rsidR="00376C8B" w:rsidRDefault="00376C8B" w:rsidP="00AE42E5">
      <w:pPr>
        <w:numPr>
          <w:ilvl w:val="0"/>
          <w:numId w:val="16"/>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Pr>
          <w:rFonts w:eastAsia="Calibri" w:cstheme="minorHAnsi"/>
          <w:color w:val="000000" w:themeColor="text1"/>
          <w:sz w:val="24"/>
          <w:szCs w:val="24"/>
        </w:rPr>
        <w:t>K100088 Rekonstrukcija zgrade „</w:t>
      </w:r>
      <w:proofErr w:type="spellStart"/>
      <w:r>
        <w:rPr>
          <w:rFonts w:eastAsia="Calibri" w:cstheme="minorHAnsi"/>
          <w:color w:val="000000" w:themeColor="text1"/>
          <w:sz w:val="24"/>
          <w:szCs w:val="24"/>
        </w:rPr>
        <w:t>Timun“u</w:t>
      </w:r>
      <w:proofErr w:type="spellEnd"/>
      <w:r>
        <w:rPr>
          <w:rFonts w:eastAsia="Calibri" w:cstheme="minorHAnsi"/>
          <w:color w:val="000000" w:themeColor="text1"/>
          <w:sz w:val="24"/>
          <w:szCs w:val="24"/>
        </w:rPr>
        <w:t xml:space="preserve">  </w:t>
      </w:r>
      <w:proofErr w:type="spellStart"/>
      <w:r>
        <w:rPr>
          <w:rFonts w:eastAsia="Calibri" w:cstheme="minorHAnsi"/>
          <w:color w:val="000000" w:themeColor="text1"/>
          <w:sz w:val="24"/>
          <w:szCs w:val="24"/>
        </w:rPr>
        <w:t>Arbaniji</w:t>
      </w:r>
      <w:proofErr w:type="spellEnd"/>
      <w:r>
        <w:rPr>
          <w:rFonts w:eastAsia="Calibri" w:cstheme="minorHAnsi"/>
          <w:color w:val="000000" w:themeColor="text1"/>
          <w:sz w:val="24"/>
          <w:szCs w:val="24"/>
        </w:rPr>
        <w:t xml:space="preserve"> u društveni dom,</w:t>
      </w:r>
    </w:p>
    <w:p w14:paraId="741F526F" w14:textId="130FCE0F" w:rsidR="00AE42E5" w:rsidRPr="005D4191" w:rsidRDefault="00376C8B" w:rsidP="00AE42E5">
      <w:pPr>
        <w:numPr>
          <w:ilvl w:val="0"/>
          <w:numId w:val="16"/>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Pr>
          <w:rFonts w:eastAsia="Calibri" w:cstheme="minorHAnsi"/>
          <w:color w:val="000000" w:themeColor="text1"/>
          <w:sz w:val="24"/>
          <w:szCs w:val="24"/>
        </w:rPr>
        <w:t>K100097 Izgradnja zgrade gradskog arhiva</w:t>
      </w:r>
      <w:r w:rsidR="005D4191">
        <w:rPr>
          <w:rFonts w:eastAsia="Calibri" w:cstheme="minorHAnsi"/>
          <w:color w:val="000000" w:themeColor="text1"/>
          <w:sz w:val="24"/>
          <w:szCs w:val="24"/>
        </w:rPr>
        <w:t>,</w:t>
      </w:r>
    </w:p>
    <w:p w14:paraId="70AA6EEC" w14:textId="7DDD88B0" w:rsidR="00AE42E5" w:rsidRDefault="00AE42E5" w:rsidP="00AE42E5">
      <w:p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Pr>
          <w:rFonts w:eastAsia="Calibri" w:cstheme="minorHAnsi"/>
          <w:color w:val="000000" w:themeColor="text1"/>
          <w:sz w:val="24"/>
          <w:szCs w:val="24"/>
        </w:rPr>
        <w:lastRenderedPageBreak/>
        <w:t xml:space="preserve">     (</w:t>
      </w:r>
      <w:r w:rsidR="005D4191">
        <w:rPr>
          <w:rFonts w:eastAsia="Calibri" w:cstheme="minorHAnsi"/>
          <w:color w:val="000000" w:themeColor="text1"/>
          <w:sz w:val="24"/>
          <w:szCs w:val="24"/>
        </w:rPr>
        <w:t>7</w:t>
      </w:r>
      <w:r>
        <w:rPr>
          <w:rFonts w:eastAsia="Calibri" w:cstheme="minorHAnsi"/>
          <w:color w:val="000000" w:themeColor="text1"/>
          <w:sz w:val="24"/>
          <w:szCs w:val="24"/>
        </w:rPr>
        <w:t xml:space="preserve">) K100101 Energetska obnova sportske dvorane, </w:t>
      </w:r>
    </w:p>
    <w:p w14:paraId="4D63227C" w14:textId="3C8936AD" w:rsidR="00AE42E5" w:rsidRDefault="00AE42E5" w:rsidP="00376C8B">
      <w:p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Pr>
          <w:rFonts w:eastAsia="Calibri" w:cstheme="minorHAnsi"/>
          <w:color w:val="000000" w:themeColor="text1"/>
          <w:sz w:val="24"/>
          <w:szCs w:val="24"/>
        </w:rPr>
        <w:t xml:space="preserve">     </w:t>
      </w:r>
    </w:p>
    <w:p w14:paraId="5586A6B5" w14:textId="311ED152" w:rsidR="00D36A93" w:rsidRDefault="00AE42E5" w:rsidP="00163CA1">
      <w:pPr>
        <w:overflowPunct w:val="0"/>
        <w:autoSpaceDE w:val="0"/>
        <w:autoSpaceDN w:val="0"/>
        <w:adjustRightInd w:val="0"/>
        <w:spacing w:after="0" w:line="280" w:lineRule="exact"/>
        <w:jc w:val="both"/>
        <w:textAlignment w:val="baseline"/>
        <w:rPr>
          <w:rFonts w:eastAsia="Calibri" w:cstheme="minorHAnsi"/>
          <w:color w:val="000000" w:themeColor="text1"/>
          <w:sz w:val="24"/>
          <w:szCs w:val="24"/>
        </w:rPr>
      </w:pPr>
      <w:r w:rsidRPr="00C12E81">
        <w:rPr>
          <w:rFonts w:eastAsia="Calibri" w:cstheme="minorHAnsi"/>
          <w:color w:val="000000" w:themeColor="text1"/>
          <w:sz w:val="24"/>
          <w:szCs w:val="24"/>
        </w:rPr>
        <w:t xml:space="preserve">U programu Investicije na objektima od javnog interesa planirana su sredstva za </w:t>
      </w:r>
      <w:r w:rsidR="005D4191">
        <w:rPr>
          <w:rFonts w:eastAsia="Calibri" w:cstheme="minorHAnsi"/>
          <w:color w:val="000000" w:themeColor="text1"/>
          <w:sz w:val="24"/>
          <w:szCs w:val="24"/>
        </w:rPr>
        <w:t>1 aktivnost i 6</w:t>
      </w:r>
      <w:r w:rsidRPr="00C12E81">
        <w:rPr>
          <w:rFonts w:eastAsia="Calibri" w:cstheme="minorHAnsi"/>
          <w:color w:val="000000" w:themeColor="text1"/>
          <w:sz w:val="24"/>
          <w:szCs w:val="24"/>
        </w:rPr>
        <w:t xml:space="preserve"> kapitalnih projekta u iznosu od </w:t>
      </w:r>
      <w:r w:rsidR="00163CA1">
        <w:rPr>
          <w:rFonts w:eastAsia="Calibri" w:cstheme="minorHAnsi"/>
          <w:color w:val="000000" w:themeColor="text1"/>
          <w:sz w:val="24"/>
          <w:szCs w:val="24"/>
        </w:rPr>
        <w:t>456.875,00</w:t>
      </w:r>
      <w:r>
        <w:rPr>
          <w:rFonts w:eastAsia="Calibri" w:cstheme="minorHAnsi"/>
          <w:color w:val="000000" w:themeColor="text1"/>
          <w:sz w:val="24"/>
          <w:szCs w:val="24"/>
        </w:rPr>
        <w:t xml:space="preserve"> </w:t>
      </w:r>
      <w:r w:rsidRPr="00C12E81">
        <w:rPr>
          <w:rFonts w:eastAsia="Calibri" w:cstheme="minorHAnsi"/>
          <w:color w:val="000000" w:themeColor="text1"/>
          <w:sz w:val="24"/>
          <w:szCs w:val="24"/>
        </w:rPr>
        <w:t>eura.</w:t>
      </w:r>
    </w:p>
    <w:p w14:paraId="6E6808A0" w14:textId="77777777" w:rsidR="00163CA1" w:rsidRPr="00163CA1" w:rsidRDefault="00163CA1" w:rsidP="00163CA1">
      <w:pPr>
        <w:overflowPunct w:val="0"/>
        <w:autoSpaceDE w:val="0"/>
        <w:autoSpaceDN w:val="0"/>
        <w:adjustRightInd w:val="0"/>
        <w:spacing w:after="0" w:line="280" w:lineRule="exact"/>
        <w:jc w:val="both"/>
        <w:textAlignment w:val="baseline"/>
        <w:rPr>
          <w:rFonts w:eastAsia="Calibri" w:cstheme="minorHAnsi"/>
          <w:color w:val="000000" w:themeColor="text1"/>
          <w:sz w:val="24"/>
          <w:szCs w:val="24"/>
        </w:rPr>
      </w:pPr>
    </w:p>
    <w:p w14:paraId="29B65169" w14:textId="6E7DFBD2" w:rsidR="00D36A93" w:rsidRPr="00470D0E" w:rsidRDefault="00D36A93" w:rsidP="00D36A93">
      <w:pPr>
        <w:pStyle w:val="Bezproreda"/>
        <w:jc w:val="both"/>
        <w:rPr>
          <w:rFonts w:asciiTheme="minorHAnsi" w:hAnsiTheme="minorHAnsi" w:cstheme="minorHAnsi"/>
          <w:color w:val="000000"/>
          <w:sz w:val="24"/>
          <w:szCs w:val="24"/>
        </w:rPr>
      </w:pPr>
      <w:r w:rsidRPr="00470D0E">
        <w:rPr>
          <w:rFonts w:asciiTheme="minorHAnsi" w:hAnsiTheme="minorHAnsi" w:cstheme="minorHAnsi"/>
          <w:color w:val="000000"/>
          <w:sz w:val="24"/>
          <w:szCs w:val="24"/>
          <w:u w:val="single"/>
        </w:rPr>
        <w:t>Kapitalni projekt Izgradnja poligona za autoškolu u Planom</w:t>
      </w:r>
      <w:r>
        <w:rPr>
          <w:rFonts w:asciiTheme="minorHAnsi" w:hAnsiTheme="minorHAnsi" w:cstheme="minorHAnsi"/>
          <w:color w:val="000000"/>
          <w:sz w:val="24"/>
          <w:szCs w:val="24"/>
        </w:rPr>
        <w:t xml:space="preserve">, </w:t>
      </w:r>
      <w:r w:rsidRPr="00470D0E">
        <w:rPr>
          <w:rFonts w:asciiTheme="minorHAnsi" w:hAnsiTheme="minorHAnsi" w:cstheme="minorHAnsi"/>
          <w:sz w:val="24"/>
          <w:szCs w:val="24"/>
          <w:lang w:eastAsia="hr-HR"/>
        </w:rPr>
        <w:t>odnosi se na potrebu Pučkog otvorenog učilišta Trogira za izgradnjom poligona za potrebe autoškole te je donesena Odluka da se isti izgradi u Planom</w:t>
      </w:r>
      <w:r>
        <w:rPr>
          <w:rFonts w:asciiTheme="minorHAnsi" w:hAnsiTheme="minorHAnsi" w:cstheme="minorHAnsi"/>
          <w:sz w:val="24"/>
          <w:szCs w:val="24"/>
          <w:lang w:eastAsia="hr-HR"/>
        </w:rPr>
        <w:t xml:space="preserve">, </w:t>
      </w:r>
      <w:r>
        <w:rPr>
          <w:rFonts w:eastAsia="Times New Roman" w:cstheme="minorHAnsi"/>
          <w:sz w:val="24"/>
          <w:szCs w:val="24"/>
        </w:rPr>
        <w:t>planirana sredstva za 202</w:t>
      </w:r>
      <w:r w:rsidR="00163CA1">
        <w:rPr>
          <w:rFonts w:eastAsia="Times New Roman" w:cstheme="minorHAnsi"/>
          <w:sz w:val="24"/>
          <w:szCs w:val="24"/>
        </w:rPr>
        <w:t>5</w:t>
      </w:r>
      <w:r>
        <w:rPr>
          <w:rFonts w:eastAsia="Times New Roman" w:cstheme="minorHAnsi"/>
          <w:sz w:val="24"/>
          <w:szCs w:val="24"/>
        </w:rPr>
        <w:t xml:space="preserve">.godinu iznose </w:t>
      </w:r>
      <w:r w:rsidR="00163CA1">
        <w:rPr>
          <w:rFonts w:eastAsia="Times New Roman" w:cstheme="minorHAnsi"/>
          <w:sz w:val="24"/>
          <w:szCs w:val="24"/>
        </w:rPr>
        <w:t>47.375,00</w:t>
      </w:r>
      <w:r>
        <w:rPr>
          <w:rFonts w:eastAsia="Times New Roman" w:cstheme="minorHAnsi"/>
          <w:sz w:val="24"/>
          <w:szCs w:val="24"/>
        </w:rPr>
        <w:t xml:space="preserve"> eura, a realizirano je </w:t>
      </w:r>
      <w:r w:rsidR="00163CA1">
        <w:rPr>
          <w:rFonts w:eastAsia="Times New Roman" w:cstheme="minorHAnsi"/>
          <w:sz w:val="24"/>
          <w:szCs w:val="24"/>
        </w:rPr>
        <w:t>43.550,00</w:t>
      </w:r>
      <w:r>
        <w:rPr>
          <w:rFonts w:eastAsia="Times New Roman" w:cstheme="minorHAnsi"/>
          <w:sz w:val="24"/>
          <w:szCs w:val="24"/>
        </w:rPr>
        <w:t xml:space="preserve"> eura ili </w:t>
      </w:r>
      <w:r w:rsidR="00163CA1">
        <w:rPr>
          <w:rFonts w:eastAsia="Times New Roman" w:cstheme="minorHAnsi"/>
          <w:sz w:val="24"/>
          <w:szCs w:val="24"/>
        </w:rPr>
        <w:t>91,93</w:t>
      </w:r>
      <w:r>
        <w:rPr>
          <w:rFonts w:eastAsia="Times New Roman" w:cstheme="minorHAnsi"/>
          <w:sz w:val="24"/>
          <w:szCs w:val="24"/>
        </w:rPr>
        <w:t>% plana.</w:t>
      </w:r>
    </w:p>
    <w:p w14:paraId="392BE482" w14:textId="77777777" w:rsidR="00163CA1" w:rsidRDefault="00163CA1" w:rsidP="00D36A93">
      <w:pPr>
        <w:spacing w:after="0"/>
        <w:jc w:val="both"/>
        <w:rPr>
          <w:rFonts w:cstheme="minorHAnsi"/>
          <w:sz w:val="24"/>
          <w:szCs w:val="24"/>
        </w:rPr>
      </w:pPr>
    </w:p>
    <w:p w14:paraId="1B0E039E" w14:textId="6C769E66" w:rsidR="00163CA1" w:rsidRPr="00163CA1" w:rsidRDefault="00163CA1" w:rsidP="00163CA1">
      <w:pPr>
        <w:spacing w:after="0"/>
        <w:jc w:val="both"/>
        <w:rPr>
          <w:rFonts w:cstheme="minorHAnsi"/>
          <w:sz w:val="24"/>
          <w:szCs w:val="24"/>
        </w:rPr>
      </w:pPr>
      <w:r w:rsidRPr="00163CA1">
        <w:rPr>
          <w:rFonts w:cstheme="minorHAnsi"/>
          <w:sz w:val="24"/>
          <w:szCs w:val="24"/>
          <w:u w:val="single"/>
        </w:rPr>
        <w:t xml:space="preserve">Kapitalni projekt Rekonstrukcija zgrade Timun u </w:t>
      </w:r>
      <w:proofErr w:type="spellStart"/>
      <w:r w:rsidRPr="00163CA1">
        <w:rPr>
          <w:rFonts w:cstheme="minorHAnsi"/>
          <w:sz w:val="24"/>
          <w:szCs w:val="24"/>
          <w:u w:val="single"/>
        </w:rPr>
        <w:t>Arbaniji</w:t>
      </w:r>
      <w:proofErr w:type="spellEnd"/>
      <w:r w:rsidRPr="00163CA1">
        <w:rPr>
          <w:rFonts w:cstheme="minorHAnsi"/>
          <w:sz w:val="24"/>
          <w:szCs w:val="24"/>
          <w:u w:val="single"/>
        </w:rPr>
        <w:t xml:space="preserve"> u društveni dom</w:t>
      </w:r>
      <w:r w:rsidRPr="00163CA1">
        <w:rPr>
          <w:rFonts w:cstheme="minorHAnsi"/>
          <w:sz w:val="24"/>
          <w:szCs w:val="24"/>
        </w:rPr>
        <w:t>,</w:t>
      </w:r>
      <w:r w:rsidRPr="00163CA1">
        <w:rPr>
          <w:rFonts w:eastAsia="Times New Roman" w:cstheme="minorHAnsi"/>
          <w:color w:val="000000"/>
          <w:kern w:val="3"/>
          <w:sz w:val="24"/>
          <w:szCs w:val="24"/>
          <w:lang w:eastAsia="ar-SA"/>
        </w:rPr>
        <w:t xml:space="preserve"> </w:t>
      </w:r>
      <w:r w:rsidRPr="00163CA1">
        <w:rPr>
          <w:rFonts w:eastAsia="Times New Roman" w:cstheme="minorHAnsi"/>
          <w:color w:val="000000"/>
          <w:kern w:val="3"/>
          <w:sz w:val="24"/>
          <w:szCs w:val="24"/>
          <w:lang w:eastAsia="hr-HR"/>
        </w:rPr>
        <w:t xml:space="preserve">obuhvaća rekonstrukciju postojeće zgrade bivše škole u Žednom u prenamijenjeni prostor Turističko interpretacijskog centra u Žednom. Za isti je izrađen glavni projekt rekonstrukcije te su sada u okviru predmetnog kapitalnog projekta planirani radovi rekonstrukcije. </w:t>
      </w:r>
      <w:r w:rsidRPr="00163CA1">
        <w:rPr>
          <w:rFonts w:eastAsia="Times New Roman" w:cstheme="minorHAnsi"/>
          <w:color w:val="000000"/>
          <w:kern w:val="3"/>
          <w:sz w:val="24"/>
          <w:szCs w:val="24"/>
          <w:lang w:eastAsia="ar-SA"/>
        </w:rPr>
        <w:t xml:space="preserve">Predmetni projekt je na listi  integriranih projektnih prijedloga u svrhu provedbe Teritorijalne strategije razvoja otoka Splitsko-dalmatinske županije odnosno nalazi se na listi 25 kapitalnih projekat u Splitsko-dalmatinskoj županiji </w:t>
      </w:r>
      <w:r w:rsidRPr="00163CA1">
        <w:rPr>
          <w:rFonts w:eastAsia="Times New Roman" w:cstheme="minorHAnsi"/>
          <w:i/>
          <w:iCs/>
          <w:color w:val="000000"/>
          <w:kern w:val="3"/>
          <w:sz w:val="24"/>
          <w:szCs w:val="24"/>
          <w:lang w:eastAsia="ar-SA"/>
        </w:rPr>
        <w:t>koji će se financirati iz ITP-a</w:t>
      </w:r>
      <w:r>
        <w:rPr>
          <w:rFonts w:eastAsia="Times New Roman" w:cstheme="minorHAnsi"/>
          <w:i/>
          <w:iCs/>
          <w:color w:val="000000"/>
          <w:kern w:val="3"/>
          <w:lang w:eastAsia="ar-SA"/>
        </w:rPr>
        <w:t xml:space="preserve">, </w:t>
      </w:r>
      <w:r>
        <w:rPr>
          <w:rFonts w:eastAsia="Times New Roman" w:cstheme="minorHAnsi"/>
          <w:color w:val="000000"/>
          <w:kern w:val="3"/>
          <w:sz w:val="24"/>
          <w:szCs w:val="24"/>
          <w:lang w:eastAsia="ar-SA"/>
        </w:rPr>
        <w:t>realizirano je 16.925,00 eura i to za pripremu studijske i projektne dokumentacije.</w:t>
      </w:r>
    </w:p>
    <w:p w14:paraId="455F23B0" w14:textId="77777777" w:rsidR="00163CA1" w:rsidRDefault="00163CA1" w:rsidP="00D36A93">
      <w:pPr>
        <w:spacing w:after="0"/>
        <w:jc w:val="both"/>
        <w:rPr>
          <w:rFonts w:cstheme="minorHAnsi"/>
          <w:sz w:val="24"/>
          <w:szCs w:val="24"/>
        </w:rPr>
      </w:pPr>
    </w:p>
    <w:p w14:paraId="0A7783BF" w14:textId="713F6C7E" w:rsidR="00163CA1" w:rsidRPr="00163CA1" w:rsidRDefault="00163CA1" w:rsidP="00163CA1">
      <w:pPr>
        <w:spacing w:after="0"/>
        <w:jc w:val="both"/>
        <w:rPr>
          <w:rFonts w:cstheme="minorHAnsi"/>
          <w:sz w:val="24"/>
          <w:szCs w:val="24"/>
        </w:rPr>
      </w:pPr>
      <w:r w:rsidRPr="00163CA1">
        <w:rPr>
          <w:rFonts w:cstheme="minorHAnsi"/>
          <w:sz w:val="24"/>
          <w:szCs w:val="24"/>
          <w:u w:val="single"/>
        </w:rPr>
        <w:t>Kapitalni projekt Energetska obnova sportske dvorane</w:t>
      </w:r>
      <w:r w:rsidRPr="00163CA1">
        <w:rPr>
          <w:rFonts w:cstheme="minorHAnsi"/>
          <w:sz w:val="24"/>
          <w:szCs w:val="24"/>
        </w:rPr>
        <w:t xml:space="preserve">, </w:t>
      </w:r>
      <w:r w:rsidRPr="00163CA1">
        <w:rPr>
          <w:rFonts w:eastAsia="Times New Roman" w:cstheme="minorHAnsi"/>
          <w:bCs/>
          <w:color w:val="000000"/>
          <w:sz w:val="24"/>
          <w:szCs w:val="24"/>
          <w:lang w:eastAsia="ar-SA"/>
        </w:rPr>
        <w:t>obuhvaća</w:t>
      </w:r>
      <w:r w:rsidRPr="00163CA1">
        <w:rPr>
          <w:rFonts w:eastAsia="Times New Roman" w:cstheme="minorHAnsi"/>
          <w:b/>
          <w:bCs/>
          <w:color w:val="000000"/>
          <w:sz w:val="24"/>
          <w:szCs w:val="24"/>
          <w:lang w:eastAsia="ar-SA"/>
        </w:rPr>
        <w:t xml:space="preserve"> </w:t>
      </w:r>
      <w:r>
        <w:rPr>
          <w:rFonts w:eastAsia="Times New Roman" w:cstheme="minorHAnsi"/>
          <w:color w:val="000000"/>
          <w:sz w:val="24"/>
          <w:szCs w:val="24"/>
          <w:lang w:eastAsia="ar-SA"/>
        </w:rPr>
        <w:t>e</w:t>
      </w:r>
      <w:r w:rsidRPr="00163CA1">
        <w:rPr>
          <w:rFonts w:eastAsia="Times New Roman" w:cstheme="minorHAnsi"/>
          <w:sz w:val="24"/>
          <w:szCs w:val="24"/>
          <w:lang w:eastAsia="x-none"/>
        </w:rPr>
        <w:t xml:space="preserve">nergetska obnovu sportske dvorane ''Vinko </w:t>
      </w:r>
      <w:proofErr w:type="spellStart"/>
      <w:r w:rsidRPr="00163CA1">
        <w:rPr>
          <w:rFonts w:eastAsia="Times New Roman" w:cstheme="minorHAnsi"/>
          <w:sz w:val="24"/>
          <w:szCs w:val="24"/>
          <w:lang w:eastAsia="x-none"/>
        </w:rPr>
        <w:t>Kandija</w:t>
      </w:r>
      <w:proofErr w:type="spellEnd"/>
      <w:r w:rsidRPr="00163CA1">
        <w:rPr>
          <w:rFonts w:eastAsia="Times New Roman" w:cstheme="minorHAnsi"/>
          <w:sz w:val="24"/>
          <w:szCs w:val="24"/>
          <w:lang w:eastAsia="x-none"/>
        </w:rPr>
        <w:t xml:space="preserve">''. </w:t>
      </w:r>
      <w:r w:rsidRPr="00163CA1">
        <w:rPr>
          <w:rFonts w:eastAsia="Times New Roman" w:cstheme="minorHAnsi"/>
          <w:sz w:val="24"/>
          <w:szCs w:val="24"/>
          <w:lang w:eastAsia="zh-CN"/>
        </w:rPr>
        <w:t xml:space="preserve">Od mjera </w:t>
      </w:r>
      <w:proofErr w:type="spellStart"/>
      <w:r w:rsidRPr="00163CA1">
        <w:rPr>
          <w:rFonts w:eastAsia="Times New Roman" w:cstheme="minorHAnsi"/>
          <w:sz w:val="24"/>
          <w:szCs w:val="24"/>
          <w:lang w:eastAsia="zh-CN"/>
        </w:rPr>
        <w:t>EnObn</w:t>
      </w:r>
      <w:proofErr w:type="spellEnd"/>
      <w:r w:rsidRPr="00163CA1">
        <w:rPr>
          <w:rFonts w:eastAsia="Times New Roman" w:cstheme="minorHAnsi"/>
          <w:sz w:val="24"/>
          <w:szCs w:val="24"/>
          <w:lang w:eastAsia="zh-CN"/>
        </w:rPr>
        <w:t xml:space="preserve"> planirana zamjena vanjske stolarije, izolacija vanjskih zidova i krova, zamjena rasvjete s novom baziranom na LED tehnologiji, modernizacija sustava grijanja,  ugradnja sustava za solarnu pripremu potrošne vode, izgradnja FNE za vlastite potrebe, ugradnja sustava daljinskog očitavanja potrošnje energije i vode s mogućnošću spajanja na ISGE, ugradnju podizne platforme, električne punionice, terminala za bicikle te uređenja okoliša. Projekt prijavljen za sufinanciranje na otvoreni poziv Ministarstva prostornog uređenja, graditeljstva i državne imovine u sklopu operativnog programa NPOO – Energetska obnova zgrada javnog sektora</w:t>
      </w:r>
      <w:r w:rsidRPr="00163CA1">
        <w:rPr>
          <w:rFonts w:eastAsia="Times New Roman" w:cstheme="minorHAnsi"/>
          <w:b/>
          <w:sz w:val="24"/>
          <w:szCs w:val="24"/>
          <w:lang w:eastAsia="zh-CN"/>
        </w:rPr>
        <w:t xml:space="preserve"> </w:t>
      </w:r>
      <w:r w:rsidRPr="00163CA1">
        <w:rPr>
          <w:rFonts w:eastAsia="Times New Roman" w:cstheme="minorHAnsi"/>
          <w:bCs/>
          <w:sz w:val="24"/>
          <w:szCs w:val="24"/>
          <w:lang w:eastAsia="ar-SA"/>
        </w:rPr>
        <w:t xml:space="preserve">te je potpisan Ugovor o dodjeli bespovratnih sredstava za projekte koji se financiraju iz Mehanizma za oporavak i otpornost. Realizirano je 149.747,21 eura ili 60,14% plana i to za  </w:t>
      </w:r>
      <w:r w:rsidRPr="00163CA1">
        <w:rPr>
          <w:sz w:val="24"/>
          <w:szCs w:val="24"/>
        </w:rPr>
        <w:t xml:space="preserve">energetsku obnovu sportske dvorane Vinko </w:t>
      </w:r>
      <w:proofErr w:type="spellStart"/>
      <w:r w:rsidRPr="00163CA1">
        <w:rPr>
          <w:sz w:val="24"/>
          <w:szCs w:val="24"/>
        </w:rPr>
        <w:t>Kandija</w:t>
      </w:r>
      <w:proofErr w:type="spellEnd"/>
      <w:r w:rsidRPr="00163CA1">
        <w:rPr>
          <w:sz w:val="24"/>
          <w:szCs w:val="24"/>
        </w:rPr>
        <w:t xml:space="preserve"> u iznosu od 59.867,26 eura i</w:t>
      </w:r>
      <w:r w:rsidRPr="00163CA1">
        <w:rPr>
          <w:rFonts w:cstheme="minorHAnsi"/>
          <w:sz w:val="24"/>
          <w:szCs w:val="24"/>
        </w:rPr>
        <w:t xml:space="preserve"> </w:t>
      </w:r>
      <w:r w:rsidRPr="00163CA1">
        <w:rPr>
          <w:sz w:val="24"/>
          <w:szCs w:val="24"/>
        </w:rPr>
        <w:t xml:space="preserve">dodatna ulaganja na sportskoj dvorani Vinko </w:t>
      </w:r>
      <w:proofErr w:type="spellStart"/>
      <w:r w:rsidRPr="00163CA1">
        <w:rPr>
          <w:sz w:val="24"/>
          <w:szCs w:val="24"/>
        </w:rPr>
        <w:t>Kandija</w:t>
      </w:r>
      <w:proofErr w:type="spellEnd"/>
      <w:r w:rsidRPr="00163CA1">
        <w:rPr>
          <w:sz w:val="24"/>
          <w:szCs w:val="24"/>
        </w:rPr>
        <w:t xml:space="preserve"> za nabavu, montažu E-punionice u iznosu od 89.879,95 eura.</w:t>
      </w:r>
    </w:p>
    <w:p w14:paraId="3EC68977" w14:textId="77777777" w:rsidR="00163CA1" w:rsidRDefault="00163CA1" w:rsidP="00D36A93">
      <w:pPr>
        <w:spacing w:after="0"/>
        <w:jc w:val="both"/>
        <w:rPr>
          <w:rFonts w:cstheme="minorHAnsi"/>
          <w:sz w:val="24"/>
          <w:szCs w:val="24"/>
        </w:rPr>
      </w:pPr>
    </w:p>
    <w:p w14:paraId="793E2AE4" w14:textId="4599F7DC" w:rsidR="00D36A93" w:rsidRDefault="00D36A93" w:rsidP="00D36A93">
      <w:pPr>
        <w:spacing w:after="0"/>
        <w:jc w:val="both"/>
        <w:rPr>
          <w:rFonts w:cstheme="minorHAnsi"/>
          <w:sz w:val="24"/>
          <w:szCs w:val="24"/>
        </w:rPr>
      </w:pPr>
      <w:r>
        <w:rPr>
          <w:rFonts w:cstheme="minorHAnsi"/>
          <w:sz w:val="24"/>
          <w:szCs w:val="24"/>
        </w:rPr>
        <w:t>Ostali projekti planirani u sklopu navedenog programa su bez realizacije u izvještajnom razdoblju.</w:t>
      </w:r>
    </w:p>
    <w:p w14:paraId="53734C31" w14:textId="77777777" w:rsidR="00C85D37" w:rsidRDefault="00C85D37" w:rsidP="00C85D37">
      <w:pPr>
        <w:shd w:val="clear" w:color="auto" w:fill="FFFFFF"/>
        <w:spacing w:after="0" w:line="280" w:lineRule="exact"/>
        <w:jc w:val="both"/>
        <w:rPr>
          <w:rFonts w:eastAsia="Calibri" w:cstheme="minorHAnsi"/>
          <w:color w:val="000000" w:themeColor="text1"/>
          <w:sz w:val="24"/>
          <w:szCs w:val="24"/>
          <w:u w:val="single"/>
        </w:rPr>
      </w:pPr>
      <w:r w:rsidRPr="00470D0E">
        <w:rPr>
          <w:rFonts w:eastAsia="Calibri" w:cstheme="minorHAnsi"/>
          <w:color w:val="000000" w:themeColor="text1"/>
          <w:sz w:val="24"/>
          <w:szCs w:val="24"/>
          <w:u w:val="single"/>
        </w:rPr>
        <w:t xml:space="preserve">Program 1608 Integrirani razvojni programi temeljeni na obnovi kulturne baštine </w:t>
      </w:r>
    </w:p>
    <w:p w14:paraId="093EDE6D" w14:textId="77777777" w:rsidR="00C85D37" w:rsidRPr="00470D0E" w:rsidRDefault="00C85D37" w:rsidP="00C85D37">
      <w:pPr>
        <w:shd w:val="clear" w:color="auto" w:fill="FFFFFF"/>
        <w:spacing w:after="0" w:line="280" w:lineRule="exact"/>
        <w:jc w:val="both"/>
        <w:rPr>
          <w:rFonts w:cstheme="minorHAnsi"/>
          <w:sz w:val="24"/>
          <w:szCs w:val="24"/>
          <w:lang w:eastAsia="hr-HR"/>
        </w:rPr>
      </w:pPr>
      <w:r w:rsidRPr="00470D0E">
        <w:rPr>
          <w:rFonts w:eastAsia="Calibri" w:cstheme="minorHAnsi"/>
          <w:color w:val="000000" w:themeColor="text1"/>
          <w:sz w:val="24"/>
          <w:szCs w:val="24"/>
        </w:rPr>
        <w:t xml:space="preserve">U okviru ovog programa planirana su sredstva nužna za </w:t>
      </w:r>
      <w:r w:rsidRPr="00470D0E">
        <w:rPr>
          <w:rFonts w:cstheme="minorHAnsi"/>
          <w:sz w:val="24"/>
          <w:szCs w:val="24"/>
          <w:lang w:eastAsia="hr-HR"/>
        </w:rPr>
        <w:t>očuvanje, sanaciju i revitalizaciju kulturne baštine. Kulturna baština predstavljaju važan dio povijesnog i kulturnog identiteta Grada, te i iz tih osnova imaju poseban značaj. Radi toga se očuvanju, sanaciji i revitalizaciji  spomeničke kulturne baštine-kulturnih dobara (od kojih mnoga imaju međunarodni značaj) treba posvetiti dužna pažnja, te onemogućiti njezino neprimjereno korištenje i upravljanje te eventualno oštećenje, posebno na zaštićenim pojedinačnim građevinama i arheološkim lokalitetima, što se prvenstveno osigurava primjenom ovog Programa. </w:t>
      </w:r>
    </w:p>
    <w:p w14:paraId="4BE7C148" w14:textId="62821E4B" w:rsidR="00C85D37" w:rsidRPr="00470D0E" w:rsidRDefault="00C85D37" w:rsidP="00C85D37">
      <w:pPr>
        <w:shd w:val="clear" w:color="auto" w:fill="FFFFFF"/>
        <w:spacing w:line="280" w:lineRule="exact"/>
        <w:jc w:val="both"/>
        <w:rPr>
          <w:rFonts w:eastAsia="Calibri" w:cstheme="minorHAnsi"/>
          <w:color w:val="000000" w:themeColor="text1"/>
          <w:sz w:val="24"/>
          <w:szCs w:val="24"/>
        </w:rPr>
      </w:pPr>
      <w:r w:rsidRPr="00470D0E">
        <w:rPr>
          <w:rFonts w:ascii="Arial Narrow" w:hAnsi="Arial Narrow" w:cs="Arial"/>
          <w:lang w:eastAsia="hr-HR"/>
        </w:rPr>
        <w:t xml:space="preserve"> </w:t>
      </w:r>
      <w:r w:rsidRPr="00470D0E">
        <w:rPr>
          <w:rFonts w:eastAsia="Calibri" w:cstheme="minorHAnsi"/>
          <w:color w:val="000000" w:themeColor="text1"/>
          <w:sz w:val="24"/>
          <w:szCs w:val="24"/>
        </w:rPr>
        <w:t xml:space="preserve">Poslovi i zadatci planirani su kroz </w:t>
      </w:r>
      <w:r w:rsidR="00AC3103">
        <w:rPr>
          <w:rFonts w:eastAsia="Calibri" w:cstheme="minorHAnsi"/>
          <w:color w:val="000000" w:themeColor="text1"/>
          <w:sz w:val="24"/>
          <w:szCs w:val="24"/>
        </w:rPr>
        <w:t>3</w:t>
      </w:r>
      <w:r w:rsidRPr="00470D0E">
        <w:rPr>
          <w:rFonts w:eastAsia="Calibri" w:cstheme="minorHAnsi"/>
          <w:color w:val="000000" w:themeColor="text1"/>
          <w:sz w:val="24"/>
          <w:szCs w:val="24"/>
        </w:rPr>
        <w:t xml:space="preserve"> kapitalna projekta: </w:t>
      </w:r>
    </w:p>
    <w:p w14:paraId="14EEBE27" w14:textId="77777777" w:rsidR="00C85D37" w:rsidRPr="00470D0E" w:rsidRDefault="00C85D37" w:rsidP="00C85D37">
      <w:pPr>
        <w:overflowPunct w:val="0"/>
        <w:autoSpaceDE w:val="0"/>
        <w:autoSpaceDN w:val="0"/>
        <w:adjustRightInd w:val="0"/>
        <w:spacing w:after="0" w:line="280" w:lineRule="exact"/>
        <w:ind w:left="720"/>
        <w:contextualSpacing/>
        <w:jc w:val="both"/>
        <w:textAlignment w:val="baseline"/>
        <w:rPr>
          <w:rFonts w:eastAsia="Calibri" w:cstheme="minorHAnsi"/>
          <w:color w:val="000000" w:themeColor="text1"/>
          <w:sz w:val="24"/>
          <w:szCs w:val="24"/>
        </w:rPr>
      </w:pPr>
      <w:r>
        <w:rPr>
          <w:rFonts w:eastAsia="Calibri" w:cstheme="minorHAnsi"/>
          <w:color w:val="000000" w:themeColor="text1"/>
          <w:sz w:val="24"/>
          <w:szCs w:val="24"/>
        </w:rPr>
        <w:lastRenderedPageBreak/>
        <w:t xml:space="preserve">(1) </w:t>
      </w:r>
      <w:r w:rsidRPr="00470D0E">
        <w:rPr>
          <w:rFonts w:eastAsia="Calibri" w:cstheme="minorHAnsi"/>
          <w:color w:val="000000" w:themeColor="text1"/>
          <w:sz w:val="24"/>
          <w:szCs w:val="24"/>
        </w:rPr>
        <w:t xml:space="preserve">K100047 Uređenje zapadnog dijela stare gradske jezgre od Kule </w:t>
      </w:r>
      <w:proofErr w:type="spellStart"/>
      <w:r w:rsidRPr="00470D0E">
        <w:rPr>
          <w:rFonts w:eastAsia="Calibri" w:cstheme="minorHAnsi"/>
          <w:color w:val="000000" w:themeColor="text1"/>
          <w:sz w:val="24"/>
          <w:szCs w:val="24"/>
        </w:rPr>
        <w:t>Kamerlengo</w:t>
      </w:r>
      <w:proofErr w:type="spellEnd"/>
      <w:r w:rsidRPr="00470D0E">
        <w:rPr>
          <w:rFonts w:eastAsia="Calibri" w:cstheme="minorHAnsi"/>
          <w:color w:val="000000" w:themeColor="text1"/>
          <w:sz w:val="24"/>
          <w:szCs w:val="24"/>
        </w:rPr>
        <w:t xml:space="preserve"> do Kule Sv. Marka</w:t>
      </w:r>
    </w:p>
    <w:p w14:paraId="26018D3A" w14:textId="51CBF82E" w:rsidR="00C85D37" w:rsidRDefault="00C85D37" w:rsidP="00C85D37">
      <w:pPr>
        <w:overflowPunct w:val="0"/>
        <w:autoSpaceDE w:val="0"/>
        <w:autoSpaceDN w:val="0"/>
        <w:adjustRightInd w:val="0"/>
        <w:spacing w:after="0" w:line="280" w:lineRule="exact"/>
        <w:ind w:left="720"/>
        <w:contextualSpacing/>
        <w:jc w:val="both"/>
        <w:textAlignment w:val="baseline"/>
        <w:rPr>
          <w:rFonts w:eastAsia="Calibri" w:cstheme="minorHAnsi"/>
          <w:color w:val="000000" w:themeColor="text1"/>
          <w:sz w:val="24"/>
          <w:szCs w:val="24"/>
        </w:rPr>
      </w:pPr>
      <w:r>
        <w:rPr>
          <w:rFonts w:eastAsia="Calibri" w:cstheme="minorHAnsi"/>
          <w:color w:val="000000" w:themeColor="text1"/>
          <w:sz w:val="24"/>
          <w:szCs w:val="24"/>
        </w:rPr>
        <w:t xml:space="preserve">(2) </w:t>
      </w:r>
      <w:r w:rsidRPr="00470D0E">
        <w:rPr>
          <w:rFonts w:eastAsia="Calibri" w:cstheme="minorHAnsi"/>
          <w:color w:val="000000" w:themeColor="text1"/>
          <w:sz w:val="24"/>
          <w:szCs w:val="24"/>
        </w:rPr>
        <w:t>K100067 Otvorena ljetna pozornica</w:t>
      </w:r>
      <w:r w:rsidR="00AC3103">
        <w:rPr>
          <w:rFonts w:eastAsia="Calibri" w:cstheme="minorHAnsi"/>
          <w:color w:val="000000" w:themeColor="text1"/>
          <w:sz w:val="24"/>
          <w:szCs w:val="24"/>
        </w:rPr>
        <w:t>,</w:t>
      </w:r>
    </w:p>
    <w:p w14:paraId="368073BE" w14:textId="4BBD7F99" w:rsidR="00AC3103" w:rsidRDefault="00AC3103" w:rsidP="00C85D37">
      <w:pPr>
        <w:overflowPunct w:val="0"/>
        <w:autoSpaceDE w:val="0"/>
        <w:autoSpaceDN w:val="0"/>
        <w:adjustRightInd w:val="0"/>
        <w:spacing w:after="0" w:line="280" w:lineRule="exact"/>
        <w:ind w:left="720"/>
        <w:contextualSpacing/>
        <w:jc w:val="both"/>
        <w:textAlignment w:val="baseline"/>
        <w:rPr>
          <w:rFonts w:eastAsia="Calibri" w:cstheme="minorHAnsi"/>
          <w:color w:val="000000" w:themeColor="text1"/>
          <w:sz w:val="24"/>
          <w:szCs w:val="24"/>
        </w:rPr>
      </w:pPr>
      <w:r>
        <w:rPr>
          <w:rFonts w:eastAsia="Calibri" w:cstheme="minorHAnsi"/>
          <w:color w:val="000000" w:themeColor="text1"/>
          <w:sz w:val="24"/>
          <w:szCs w:val="24"/>
        </w:rPr>
        <w:t xml:space="preserve">(3) K100113 Rekonstrukcija i opremanje kule </w:t>
      </w:r>
      <w:proofErr w:type="spellStart"/>
      <w:r>
        <w:rPr>
          <w:rFonts w:eastAsia="Calibri" w:cstheme="minorHAnsi"/>
          <w:color w:val="000000" w:themeColor="text1"/>
          <w:sz w:val="24"/>
          <w:szCs w:val="24"/>
        </w:rPr>
        <w:t>sv.Marka</w:t>
      </w:r>
      <w:proofErr w:type="spellEnd"/>
      <w:r>
        <w:rPr>
          <w:rFonts w:eastAsia="Calibri" w:cstheme="minorHAnsi"/>
          <w:color w:val="000000" w:themeColor="text1"/>
          <w:sz w:val="24"/>
          <w:szCs w:val="24"/>
        </w:rPr>
        <w:t xml:space="preserve"> </w:t>
      </w:r>
    </w:p>
    <w:p w14:paraId="4C00099C" w14:textId="77777777" w:rsidR="00AC3103" w:rsidRPr="00470D0E" w:rsidRDefault="00AC3103" w:rsidP="00AC3103">
      <w:p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p>
    <w:p w14:paraId="57121BA5" w14:textId="2E6325CD" w:rsidR="00AC3103" w:rsidRDefault="00AC3103" w:rsidP="00AC3103">
      <w:pPr>
        <w:spacing w:after="0"/>
        <w:jc w:val="both"/>
        <w:rPr>
          <w:rFonts w:cstheme="minorHAnsi"/>
          <w:sz w:val="24"/>
          <w:szCs w:val="24"/>
        </w:rPr>
      </w:pPr>
      <w:r>
        <w:rPr>
          <w:rFonts w:cstheme="minorHAnsi"/>
          <w:sz w:val="24"/>
          <w:szCs w:val="24"/>
        </w:rPr>
        <w:t>Svi projekti planirani u sklopu navedenog programa su bez realizacije u izvještajnom razdoblju.</w:t>
      </w:r>
    </w:p>
    <w:p w14:paraId="27D6875C" w14:textId="77777777" w:rsidR="00AC3103" w:rsidRDefault="00AC3103" w:rsidP="00C85D37">
      <w:pPr>
        <w:shd w:val="clear" w:color="auto" w:fill="FFFFFF"/>
        <w:spacing w:after="0"/>
        <w:jc w:val="both"/>
        <w:rPr>
          <w:rFonts w:cstheme="minorHAnsi"/>
          <w:color w:val="212121"/>
          <w:sz w:val="24"/>
          <w:szCs w:val="24"/>
          <w:u w:val="single"/>
          <w:lang w:eastAsia="hr-HR"/>
        </w:rPr>
      </w:pPr>
    </w:p>
    <w:p w14:paraId="281F3D78" w14:textId="2CADEFD5" w:rsidR="00C85D37" w:rsidRDefault="00C85D37" w:rsidP="00C85D37">
      <w:pPr>
        <w:shd w:val="clear" w:color="auto" w:fill="FFFFFF"/>
        <w:spacing w:after="0"/>
        <w:jc w:val="both"/>
        <w:rPr>
          <w:rFonts w:cstheme="minorHAnsi"/>
          <w:color w:val="212121"/>
          <w:sz w:val="24"/>
          <w:szCs w:val="24"/>
          <w:u w:val="single"/>
          <w:lang w:eastAsia="hr-HR"/>
        </w:rPr>
      </w:pPr>
      <w:r w:rsidRPr="00F8614D">
        <w:rPr>
          <w:rFonts w:cstheme="minorHAnsi"/>
          <w:color w:val="212121"/>
          <w:sz w:val="24"/>
          <w:szCs w:val="24"/>
          <w:u w:val="single"/>
          <w:lang w:eastAsia="hr-HR"/>
        </w:rPr>
        <w:t>Program 1609 Upravljanje im</w:t>
      </w:r>
      <w:r>
        <w:rPr>
          <w:rFonts w:cstheme="minorHAnsi"/>
          <w:color w:val="212121"/>
          <w:sz w:val="24"/>
          <w:szCs w:val="24"/>
          <w:u w:val="single"/>
          <w:lang w:eastAsia="hr-HR"/>
        </w:rPr>
        <w:t>ovinom</w:t>
      </w:r>
    </w:p>
    <w:p w14:paraId="5185E2B5" w14:textId="77777777" w:rsidR="00C85D37" w:rsidRPr="00F8614D" w:rsidRDefault="00C85D37" w:rsidP="00C85D37">
      <w:pPr>
        <w:shd w:val="clear" w:color="auto" w:fill="FFFFFF"/>
        <w:spacing w:after="0"/>
        <w:jc w:val="both"/>
        <w:rPr>
          <w:rFonts w:cstheme="minorHAnsi"/>
          <w:color w:val="212121"/>
          <w:sz w:val="24"/>
          <w:szCs w:val="24"/>
          <w:u w:val="single"/>
          <w:lang w:eastAsia="hr-HR"/>
        </w:rPr>
      </w:pPr>
      <w:r w:rsidRPr="00F8614D">
        <w:rPr>
          <w:rFonts w:cstheme="minorHAnsi"/>
          <w:sz w:val="24"/>
          <w:szCs w:val="24"/>
          <w:lang w:eastAsia="hr-HR"/>
        </w:rPr>
        <w:t>Program se uglavnom odnosi na upravljanje imovinom u vlasništvu Grada Trogiru u smislu njene zaštite, očuvanja i povećanja vrijednosti.</w:t>
      </w:r>
    </w:p>
    <w:p w14:paraId="185729D9" w14:textId="65E71201" w:rsidR="00C85D37" w:rsidRPr="001269BE" w:rsidRDefault="00C85D37" w:rsidP="00C85D37">
      <w:pPr>
        <w:shd w:val="clear" w:color="auto" w:fill="FFFFFF"/>
        <w:spacing w:after="0" w:line="280" w:lineRule="exact"/>
        <w:jc w:val="both"/>
        <w:rPr>
          <w:rFonts w:eastAsia="Calibri" w:cstheme="minorHAnsi"/>
          <w:color w:val="000000" w:themeColor="text1"/>
          <w:sz w:val="24"/>
          <w:szCs w:val="24"/>
        </w:rPr>
      </w:pPr>
      <w:r w:rsidRPr="001269BE">
        <w:rPr>
          <w:rFonts w:eastAsia="Calibri" w:cstheme="minorHAnsi"/>
          <w:color w:val="000000" w:themeColor="text1"/>
          <w:sz w:val="24"/>
          <w:szCs w:val="24"/>
        </w:rPr>
        <w:t xml:space="preserve">Poslovi i zadatci planirani su kroz </w:t>
      </w:r>
      <w:r>
        <w:rPr>
          <w:rFonts w:eastAsia="Calibri" w:cstheme="minorHAnsi"/>
          <w:color w:val="000000" w:themeColor="text1"/>
          <w:sz w:val="24"/>
          <w:szCs w:val="24"/>
        </w:rPr>
        <w:t>3</w:t>
      </w:r>
      <w:r w:rsidRPr="001269BE">
        <w:rPr>
          <w:rFonts w:eastAsia="Calibri" w:cstheme="minorHAnsi"/>
          <w:color w:val="000000" w:themeColor="text1"/>
          <w:sz w:val="24"/>
          <w:szCs w:val="24"/>
        </w:rPr>
        <w:t xml:space="preserve"> aktivnosti i </w:t>
      </w:r>
      <w:r w:rsidR="00B1561D">
        <w:rPr>
          <w:rFonts w:eastAsia="Calibri" w:cstheme="minorHAnsi"/>
          <w:color w:val="000000" w:themeColor="text1"/>
          <w:sz w:val="24"/>
          <w:szCs w:val="24"/>
        </w:rPr>
        <w:t>4</w:t>
      </w:r>
      <w:r w:rsidRPr="001269BE">
        <w:rPr>
          <w:rFonts w:eastAsia="Calibri" w:cstheme="minorHAnsi"/>
          <w:color w:val="000000" w:themeColor="text1"/>
          <w:sz w:val="24"/>
          <w:szCs w:val="24"/>
        </w:rPr>
        <w:t xml:space="preserve"> kapitalna projekta: </w:t>
      </w:r>
    </w:p>
    <w:p w14:paraId="62ED397B" w14:textId="77777777" w:rsidR="00C85D37" w:rsidRPr="001269BE" w:rsidRDefault="00C85D37" w:rsidP="00C85D37">
      <w:pPr>
        <w:numPr>
          <w:ilvl w:val="0"/>
          <w:numId w:val="17"/>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sidRPr="001269BE">
        <w:rPr>
          <w:rFonts w:eastAsia="Calibri" w:cstheme="minorHAnsi"/>
          <w:color w:val="000000" w:themeColor="text1"/>
          <w:sz w:val="24"/>
          <w:szCs w:val="24"/>
        </w:rPr>
        <w:t>A100084 Održavanje imovine</w:t>
      </w:r>
    </w:p>
    <w:p w14:paraId="41C300BF" w14:textId="77777777" w:rsidR="00C85D37" w:rsidRDefault="00C85D37" w:rsidP="00C85D37">
      <w:pPr>
        <w:numPr>
          <w:ilvl w:val="0"/>
          <w:numId w:val="17"/>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sidRPr="001269BE">
        <w:rPr>
          <w:rFonts w:eastAsia="Calibri" w:cstheme="minorHAnsi"/>
          <w:color w:val="000000" w:themeColor="text1"/>
          <w:sz w:val="24"/>
          <w:szCs w:val="24"/>
        </w:rPr>
        <w:t>A100098 Participativno budžetiranje</w:t>
      </w:r>
    </w:p>
    <w:p w14:paraId="710069CA" w14:textId="77777777" w:rsidR="00C85D37" w:rsidRPr="001269BE" w:rsidRDefault="00C85D37" w:rsidP="00C85D37">
      <w:pPr>
        <w:numPr>
          <w:ilvl w:val="0"/>
          <w:numId w:val="17"/>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Pr>
          <w:rFonts w:eastAsia="Calibri" w:cstheme="minorHAnsi"/>
          <w:color w:val="000000" w:themeColor="text1"/>
          <w:sz w:val="24"/>
          <w:szCs w:val="24"/>
        </w:rPr>
        <w:t>A1000102 Upravljanje i održavanje sustava javnih bicikli,</w:t>
      </w:r>
    </w:p>
    <w:p w14:paraId="405057F0" w14:textId="77777777" w:rsidR="00C85D37" w:rsidRDefault="00C85D37" w:rsidP="00C85D37">
      <w:pPr>
        <w:numPr>
          <w:ilvl w:val="0"/>
          <w:numId w:val="17"/>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sidRPr="001269BE">
        <w:rPr>
          <w:rFonts w:eastAsia="Calibri" w:cstheme="minorHAnsi"/>
          <w:color w:val="000000" w:themeColor="text1"/>
          <w:sz w:val="24"/>
          <w:szCs w:val="24"/>
        </w:rPr>
        <w:t>K100091 Sustav  videonadzora grada,</w:t>
      </w:r>
    </w:p>
    <w:p w14:paraId="654A5FF6" w14:textId="77777777" w:rsidR="00C85D37" w:rsidRDefault="00C85D37" w:rsidP="00C85D37">
      <w:pPr>
        <w:numPr>
          <w:ilvl w:val="0"/>
          <w:numId w:val="17"/>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Pr>
          <w:rFonts w:eastAsia="Calibri" w:cstheme="minorHAnsi"/>
          <w:color w:val="000000" w:themeColor="text1"/>
          <w:sz w:val="24"/>
          <w:szCs w:val="24"/>
        </w:rPr>
        <w:t xml:space="preserve">K100108 Terenska izmjera objekata za potrebe evidencije komunalne naknade na području naselja </w:t>
      </w:r>
      <w:proofErr w:type="spellStart"/>
      <w:r>
        <w:rPr>
          <w:rFonts w:eastAsia="Calibri" w:cstheme="minorHAnsi"/>
          <w:color w:val="000000" w:themeColor="text1"/>
          <w:sz w:val="24"/>
          <w:szCs w:val="24"/>
        </w:rPr>
        <w:t>Mastrinka</w:t>
      </w:r>
      <w:proofErr w:type="spellEnd"/>
    </w:p>
    <w:p w14:paraId="05C227E7" w14:textId="77777777" w:rsidR="00B1561D" w:rsidRPr="00B1561D" w:rsidRDefault="00B1561D" w:rsidP="00B1561D">
      <w:pPr>
        <w:pStyle w:val="Odlomakpopisa"/>
        <w:numPr>
          <w:ilvl w:val="0"/>
          <w:numId w:val="17"/>
        </w:numPr>
        <w:suppressAutoHyphens/>
        <w:spacing w:after="0" w:line="280" w:lineRule="exact"/>
        <w:jc w:val="both"/>
        <w:rPr>
          <w:rFonts w:cstheme="minorHAnsi"/>
          <w:color w:val="000000"/>
          <w:sz w:val="24"/>
          <w:szCs w:val="24"/>
          <w:lang w:eastAsia="ar-SA"/>
        </w:rPr>
      </w:pPr>
      <w:r w:rsidRPr="00B1561D">
        <w:rPr>
          <w:rFonts w:cstheme="minorHAnsi"/>
          <w:color w:val="000000"/>
          <w:sz w:val="24"/>
          <w:szCs w:val="24"/>
          <w:lang w:eastAsia="ar-SA"/>
        </w:rPr>
        <w:t>K100109 Terenska izmjera objekata za potrebe evidencije komunalne naknade na području naselja Drvenik Veliki i Mali,</w:t>
      </w:r>
    </w:p>
    <w:p w14:paraId="0481786D" w14:textId="77777777" w:rsidR="00B1561D" w:rsidRPr="00B1561D" w:rsidRDefault="00B1561D" w:rsidP="00B1561D">
      <w:pPr>
        <w:pStyle w:val="Odlomakpopisa"/>
        <w:numPr>
          <w:ilvl w:val="0"/>
          <w:numId w:val="17"/>
        </w:numPr>
        <w:suppressAutoHyphens/>
        <w:spacing w:after="0" w:line="280" w:lineRule="exact"/>
        <w:jc w:val="both"/>
        <w:rPr>
          <w:rFonts w:cstheme="minorHAnsi"/>
          <w:color w:val="000000"/>
          <w:sz w:val="24"/>
          <w:szCs w:val="24"/>
          <w:lang w:eastAsia="ar-SA"/>
        </w:rPr>
      </w:pPr>
      <w:r w:rsidRPr="00B1561D">
        <w:rPr>
          <w:rFonts w:cstheme="minorHAnsi"/>
          <w:color w:val="000000"/>
          <w:sz w:val="24"/>
          <w:szCs w:val="24"/>
          <w:lang w:eastAsia="ar-SA"/>
        </w:rPr>
        <w:t>K100110 Pametna i održiva rješenja u prometnom sustavu.</w:t>
      </w:r>
    </w:p>
    <w:p w14:paraId="44C5DF01" w14:textId="77777777" w:rsidR="00C85D37" w:rsidRDefault="00C85D37" w:rsidP="00C85D37">
      <w:pPr>
        <w:overflowPunct w:val="0"/>
        <w:autoSpaceDE w:val="0"/>
        <w:autoSpaceDN w:val="0"/>
        <w:adjustRightInd w:val="0"/>
        <w:spacing w:after="0" w:line="280" w:lineRule="exact"/>
        <w:jc w:val="both"/>
        <w:textAlignment w:val="baseline"/>
        <w:rPr>
          <w:rFonts w:eastAsia="Calibri" w:cstheme="minorHAnsi"/>
          <w:color w:val="000000" w:themeColor="text1"/>
          <w:sz w:val="24"/>
          <w:szCs w:val="24"/>
        </w:rPr>
      </w:pPr>
    </w:p>
    <w:p w14:paraId="7609078C" w14:textId="1AEFC421" w:rsidR="00C85D37" w:rsidRDefault="00C85D37" w:rsidP="00C85D37">
      <w:pPr>
        <w:overflowPunct w:val="0"/>
        <w:autoSpaceDE w:val="0"/>
        <w:autoSpaceDN w:val="0"/>
        <w:adjustRightInd w:val="0"/>
        <w:spacing w:after="0" w:line="280" w:lineRule="exact"/>
        <w:jc w:val="both"/>
        <w:textAlignment w:val="baseline"/>
        <w:rPr>
          <w:rFonts w:ascii="Times New Roman" w:eastAsia="Calibri" w:hAnsi="Times New Roman" w:cs="Times New Roman"/>
          <w:color w:val="000000" w:themeColor="text1"/>
        </w:rPr>
      </w:pPr>
      <w:r w:rsidRPr="001269BE">
        <w:rPr>
          <w:rFonts w:eastAsia="Calibri" w:cstheme="minorHAnsi"/>
          <w:color w:val="000000" w:themeColor="text1"/>
          <w:sz w:val="24"/>
          <w:szCs w:val="24"/>
        </w:rPr>
        <w:t xml:space="preserve">U programu Upravljanje imovinom planirana su sredstva za </w:t>
      </w:r>
      <w:r>
        <w:rPr>
          <w:rFonts w:eastAsia="Calibri" w:cstheme="minorHAnsi"/>
          <w:color w:val="000000" w:themeColor="text1"/>
          <w:sz w:val="24"/>
          <w:szCs w:val="24"/>
        </w:rPr>
        <w:t>3</w:t>
      </w:r>
      <w:r w:rsidRPr="001269BE">
        <w:rPr>
          <w:rFonts w:eastAsia="Calibri" w:cstheme="minorHAnsi"/>
          <w:color w:val="000000" w:themeColor="text1"/>
          <w:sz w:val="24"/>
          <w:szCs w:val="24"/>
        </w:rPr>
        <w:t xml:space="preserve"> aktivnosti i  kapitaln</w:t>
      </w:r>
      <w:r w:rsidR="00B1561D">
        <w:rPr>
          <w:rFonts w:eastAsia="Calibri" w:cstheme="minorHAnsi"/>
          <w:color w:val="000000" w:themeColor="text1"/>
          <w:sz w:val="24"/>
          <w:szCs w:val="24"/>
        </w:rPr>
        <w:t>a</w:t>
      </w:r>
      <w:r w:rsidRPr="001269BE">
        <w:rPr>
          <w:rFonts w:eastAsia="Calibri" w:cstheme="minorHAnsi"/>
          <w:color w:val="000000" w:themeColor="text1"/>
          <w:sz w:val="24"/>
          <w:szCs w:val="24"/>
        </w:rPr>
        <w:t xml:space="preserve"> projekta u iznosu </w:t>
      </w:r>
      <w:r w:rsidR="00B1561D">
        <w:rPr>
          <w:rFonts w:eastAsia="Calibri" w:cstheme="minorHAnsi"/>
          <w:color w:val="000000" w:themeColor="text1"/>
          <w:sz w:val="24"/>
          <w:szCs w:val="24"/>
        </w:rPr>
        <w:t>329.305,00</w:t>
      </w:r>
      <w:r w:rsidRPr="001269BE">
        <w:rPr>
          <w:rFonts w:eastAsia="Calibri" w:cstheme="minorHAnsi"/>
          <w:color w:val="000000" w:themeColor="text1"/>
          <w:sz w:val="24"/>
          <w:szCs w:val="24"/>
        </w:rPr>
        <w:t xml:space="preserve"> eura</w:t>
      </w:r>
      <w:r w:rsidRPr="001269BE">
        <w:rPr>
          <w:rFonts w:ascii="Times New Roman" w:eastAsia="Calibri" w:hAnsi="Times New Roman" w:cs="Times New Roman"/>
          <w:color w:val="000000" w:themeColor="text1"/>
        </w:rPr>
        <w:t>.</w:t>
      </w:r>
    </w:p>
    <w:p w14:paraId="33CC2BA9" w14:textId="77777777" w:rsidR="00C85D37" w:rsidRDefault="00C85D37" w:rsidP="00C85D37">
      <w:pPr>
        <w:overflowPunct w:val="0"/>
        <w:autoSpaceDE w:val="0"/>
        <w:autoSpaceDN w:val="0"/>
        <w:adjustRightInd w:val="0"/>
        <w:spacing w:after="0" w:line="280" w:lineRule="exact"/>
        <w:jc w:val="both"/>
        <w:textAlignment w:val="baseline"/>
        <w:rPr>
          <w:rFonts w:ascii="Times New Roman" w:eastAsia="Calibri" w:hAnsi="Times New Roman" w:cs="Times New Roman"/>
          <w:color w:val="000000" w:themeColor="text1"/>
        </w:rPr>
      </w:pPr>
    </w:p>
    <w:p w14:paraId="23AD7F99" w14:textId="4F9360CE" w:rsidR="00C85D37" w:rsidRPr="00C21CB4" w:rsidRDefault="00C85D37" w:rsidP="00C85D37">
      <w:pPr>
        <w:overflowPunct w:val="0"/>
        <w:autoSpaceDE w:val="0"/>
        <w:autoSpaceDN w:val="0"/>
        <w:adjustRightInd w:val="0"/>
        <w:spacing w:after="0" w:line="280" w:lineRule="exact"/>
        <w:jc w:val="both"/>
        <w:textAlignment w:val="baseline"/>
        <w:rPr>
          <w:rFonts w:eastAsia="Calibri" w:cstheme="minorHAnsi"/>
          <w:color w:val="000000" w:themeColor="text1"/>
          <w:sz w:val="24"/>
          <w:szCs w:val="24"/>
        </w:rPr>
      </w:pPr>
      <w:r w:rsidRPr="00C85D37">
        <w:rPr>
          <w:rFonts w:eastAsia="Calibri" w:cstheme="minorHAnsi"/>
          <w:color w:val="000000" w:themeColor="text1"/>
          <w:sz w:val="24"/>
          <w:szCs w:val="24"/>
          <w:u w:val="single"/>
        </w:rPr>
        <w:t>Aktivnost „ Održavanje imovine“</w:t>
      </w:r>
      <w:r>
        <w:rPr>
          <w:rFonts w:eastAsia="Calibri" w:cstheme="minorHAnsi"/>
          <w:color w:val="000000" w:themeColor="text1"/>
          <w:sz w:val="24"/>
          <w:szCs w:val="24"/>
        </w:rPr>
        <w:t xml:space="preserve"> se odnosi na </w:t>
      </w:r>
      <w:r w:rsidRPr="00C21CB4">
        <w:rPr>
          <w:rFonts w:ascii="Calibri" w:eastAsia="Times New Roman" w:hAnsi="Calibri" w:cs="Calibri"/>
          <w:sz w:val="24"/>
          <w:szCs w:val="24"/>
          <w:lang w:eastAsia="hr-HR"/>
        </w:rPr>
        <w:t>održavanje opreme videonadzora i opreme za uređenje javnih površina kao i na ostale nespomenute troškove poslovanja koje se mogu pojaviti u tijeku godine kao nužnost u cilju održavanja vrijednosti gradske imovine</w:t>
      </w:r>
      <w:r>
        <w:rPr>
          <w:rFonts w:ascii="Calibri" w:eastAsia="Times New Roman" w:hAnsi="Calibri" w:cs="Calibri"/>
          <w:sz w:val="24"/>
          <w:szCs w:val="24"/>
          <w:lang w:eastAsia="hr-HR"/>
        </w:rPr>
        <w:t xml:space="preserve">, u izvještajnom razdoblju bilježi realizaciju u iznosu od </w:t>
      </w:r>
      <w:r w:rsidR="00B1561D">
        <w:rPr>
          <w:rFonts w:ascii="Calibri" w:eastAsia="Times New Roman" w:hAnsi="Calibri" w:cs="Calibri"/>
          <w:sz w:val="24"/>
          <w:szCs w:val="24"/>
          <w:lang w:eastAsia="hr-HR"/>
        </w:rPr>
        <w:t>22.895,02</w:t>
      </w:r>
      <w:r>
        <w:rPr>
          <w:rFonts w:ascii="Calibri" w:eastAsia="Times New Roman" w:hAnsi="Calibri" w:cs="Calibri"/>
          <w:sz w:val="24"/>
          <w:szCs w:val="24"/>
          <w:lang w:eastAsia="hr-HR"/>
        </w:rPr>
        <w:t xml:space="preserve"> eura ili </w:t>
      </w:r>
      <w:r w:rsidR="00B1561D">
        <w:rPr>
          <w:rFonts w:ascii="Calibri" w:eastAsia="Times New Roman" w:hAnsi="Calibri" w:cs="Calibri"/>
          <w:sz w:val="24"/>
          <w:szCs w:val="24"/>
          <w:lang w:eastAsia="hr-HR"/>
        </w:rPr>
        <w:t>81,77</w:t>
      </w:r>
      <w:r>
        <w:rPr>
          <w:rFonts w:ascii="Calibri" w:eastAsia="Times New Roman" w:hAnsi="Calibri" w:cs="Calibri"/>
          <w:sz w:val="24"/>
          <w:szCs w:val="24"/>
          <w:lang w:eastAsia="hr-HR"/>
        </w:rPr>
        <w:t>% plana koji rashodi se odnose na održavanje opreme za videonadzor i uređenje javnih površina.</w:t>
      </w:r>
    </w:p>
    <w:p w14:paraId="1FBFFF2F" w14:textId="77777777" w:rsidR="00C85D37" w:rsidRDefault="00C85D37" w:rsidP="00C85D37">
      <w:pPr>
        <w:overflowPunct w:val="0"/>
        <w:autoSpaceDE w:val="0"/>
        <w:autoSpaceDN w:val="0"/>
        <w:adjustRightInd w:val="0"/>
        <w:spacing w:after="0" w:line="280" w:lineRule="exact"/>
        <w:jc w:val="both"/>
        <w:textAlignment w:val="baseline"/>
        <w:rPr>
          <w:rFonts w:ascii="Times New Roman" w:eastAsia="Calibri" w:hAnsi="Times New Roman" w:cs="Times New Roman"/>
          <w:color w:val="000000" w:themeColor="text1"/>
        </w:rPr>
      </w:pPr>
    </w:p>
    <w:p w14:paraId="0E05725D" w14:textId="6BF5174D" w:rsidR="00C85D37" w:rsidRDefault="00C85D37" w:rsidP="00C85D37">
      <w:pPr>
        <w:spacing w:after="0" w:line="280" w:lineRule="exact"/>
        <w:jc w:val="both"/>
        <w:rPr>
          <w:rFonts w:eastAsia="Times New Roman" w:cstheme="minorHAnsi"/>
          <w:sz w:val="24"/>
          <w:szCs w:val="24"/>
          <w:lang w:eastAsia="hr-HR"/>
        </w:rPr>
      </w:pPr>
      <w:r w:rsidRPr="009456FD">
        <w:rPr>
          <w:rFonts w:cstheme="minorHAnsi"/>
          <w:sz w:val="24"/>
          <w:szCs w:val="24"/>
          <w:u w:val="single"/>
          <w:lang w:eastAsia="hr-HR"/>
        </w:rPr>
        <w:t>Aktivnost Participativno budžetiranje</w:t>
      </w:r>
      <w:r w:rsidRPr="001269BE">
        <w:rPr>
          <w:rFonts w:cstheme="minorHAnsi"/>
          <w:sz w:val="24"/>
          <w:szCs w:val="24"/>
          <w:lang w:eastAsia="hr-HR"/>
        </w:rPr>
        <w:t xml:space="preserve"> </w:t>
      </w:r>
      <w:r w:rsidRPr="001269BE">
        <w:rPr>
          <w:rFonts w:eastAsia="Times New Roman" w:cstheme="minorHAnsi"/>
          <w:sz w:val="24"/>
          <w:szCs w:val="24"/>
        </w:rPr>
        <w:t xml:space="preserve">se </w:t>
      </w:r>
      <w:r w:rsidRPr="001269BE">
        <w:rPr>
          <w:rFonts w:eastAsia="Times New Roman" w:cstheme="minorHAnsi"/>
          <w:sz w:val="24"/>
          <w:szCs w:val="24"/>
          <w:lang w:eastAsia="hr-HR"/>
        </w:rPr>
        <w:t xml:space="preserve">odnosi </w:t>
      </w:r>
      <w:r>
        <w:rPr>
          <w:rFonts w:eastAsia="Times New Roman" w:cstheme="minorHAnsi"/>
          <w:sz w:val="24"/>
          <w:szCs w:val="24"/>
          <w:lang w:eastAsia="hr-HR"/>
        </w:rPr>
        <w:t xml:space="preserve">na </w:t>
      </w:r>
      <w:r w:rsidR="00F83FB0" w:rsidRPr="00F83FB0">
        <w:rPr>
          <w:rFonts w:eastAsia="Times New Roman" w:cstheme="minorHAnsi"/>
          <w:color w:val="000000"/>
          <w:sz w:val="24"/>
          <w:szCs w:val="24"/>
          <w:lang w:eastAsia="hr-HR"/>
        </w:rPr>
        <w:t>izradu projektne dokumentacije za izgradnju šetnice Crljenica na Drveniku velikom u sklopu projekta „I tebe se pita!", odnosno participativnom budžetiranju - projektu koji podrazumijeva davanje građanima na raspolaganje jednog dijela proračuna, tako da sami predlažu i sami glasuju o projektima koje žele realizirati u svojim kvartovima</w:t>
      </w:r>
      <w:r w:rsidR="00F83FB0">
        <w:rPr>
          <w:rFonts w:eastAsia="Times New Roman" w:cstheme="minorHAnsi"/>
          <w:color w:val="000000"/>
          <w:sz w:val="24"/>
          <w:szCs w:val="24"/>
          <w:lang w:eastAsia="hr-HR"/>
        </w:rPr>
        <w:t xml:space="preserve">, </w:t>
      </w:r>
      <w:r w:rsidRPr="001269BE">
        <w:rPr>
          <w:rFonts w:eastAsia="Times New Roman" w:cstheme="minorHAnsi"/>
          <w:sz w:val="24"/>
          <w:szCs w:val="24"/>
          <w:lang w:eastAsia="hr-HR"/>
        </w:rPr>
        <w:t>u izvještajnom razdoblju realizirano je</w:t>
      </w:r>
      <w:r>
        <w:rPr>
          <w:rFonts w:eastAsia="Times New Roman" w:cstheme="minorHAnsi"/>
          <w:sz w:val="24"/>
          <w:szCs w:val="24"/>
          <w:lang w:eastAsia="hr-HR"/>
        </w:rPr>
        <w:t xml:space="preserve"> ukupno</w:t>
      </w:r>
      <w:r w:rsidRPr="001269BE">
        <w:rPr>
          <w:rFonts w:eastAsia="Times New Roman" w:cstheme="minorHAnsi"/>
          <w:sz w:val="24"/>
          <w:szCs w:val="24"/>
          <w:lang w:eastAsia="hr-HR"/>
        </w:rPr>
        <w:t xml:space="preserve"> </w:t>
      </w:r>
      <w:r w:rsidR="00F83FB0">
        <w:rPr>
          <w:rFonts w:eastAsia="Times New Roman" w:cstheme="minorHAnsi"/>
          <w:sz w:val="24"/>
          <w:szCs w:val="24"/>
          <w:lang w:eastAsia="hr-HR"/>
        </w:rPr>
        <w:t>12.000,00</w:t>
      </w:r>
      <w:r w:rsidRPr="001269BE">
        <w:rPr>
          <w:rFonts w:eastAsia="Times New Roman" w:cstheme="minorHAnsi"/>
          <w:sz w:val="24"/>
          <w:szCs w:val="24"/>
          <w:lang w:eastAsia="hr-HR"/>
        </w:rPr>
        <w:t xml:space="preserve"> eura ili </w:t>
      </w:r>
      <w:r w:rsidR="00F83FB0">
        <w:rPr>
          <w:rFonts w:eastAsia="Times New Roman" w:cstheme="minorHAnsi"/>
          <w:sz w:val="24"/>
          <w:szCs w:val="24"/>
          <w:lang w:eastAsia="hr-HR"/>
        </w:rPr>
        <w:t>100,00</w:t>
      </w:r>
      <w:r w:rsidRPr="001269BE">
        <w:rPr>
          <w:rFonts w:eastAsia="Times New Roman" w:cstheme="minorHAnsi"/>
          <w:sz w:val="24"/>
          <w:szCs w:val="24"/>
          <w:lang w:eastAsia="hr-HR"/>
        </w:rPr>
        <w:t>% plana</w:t>
      </w:r>
      <w:r w:rsidR="00F83FB0">
        <w:rPr>
          <w:rFonts w:eastAsia="Times New Roman" w:cstheme="minorHAnsi"/>
          <w:sz w:val="24"/>
          <w:szCs w:val="24"/>
          <w:lang w:eastAsia="hr-HR"/>
        </w:rPr>
        <w:t xml:space="preserve"> i to na izgradnju šetnice Crljenica na otoku Drvenik Veliki.</w:t>
      </w:r>
    </w:p>
    <w:p w14:paraId="72E163C0" w14:textId="77777777" w:rsidR="00F83FB0" w:rsidRDefault="00F83FB0" w:rsidP="00C85D37">
      <w:pPr>
        <w:spacing w:after="0" w:line="280" w:lineRule="exact"/>
        <w:jc w:val="both"/>
        <w:rPr>
          <w:rFonts w:eastAsia="Times New Roman" w:cstheme="minorHAnsi"/>
          <w:sz w:val="24"/>
          <w:szCs w:val="24"/>
          <w:u w:val="single"/>
          <w:lang w:eastAsia="hr-HR"/>
        </w:rPr>
      </w:pPr>
    </w:p>
    <w:p w14:paraId="7EEAA38D" w14:textId="6C206FE6" w:rsidR="00C85D37" w:rsidRPr="00805AE6" w:rsidRDefault="00C85D37" w:rsidP="00C85D37">
      <w:pPr>
        <w:spacing w:after="0" w:line="280" w:lineRule="exact"/>
        <w:jc w:val="both"/>
        <w:rPr>
          <w:rFonts w:eastAsia="Times New Roman" w:cstheme="minorHAnsi"/>
          <w:sz w:val="24"/>
          <w:szCs w:val="24"/>
          <w:lang w:eastAsia="hr-HR"/>
        </w:rPr>
      </w:pPr>
      <w:r w:rsidRPr="00805AE6">
        <w:rPr>
          <w:rFonts w:eastAsia="Times New Roman" w:cstheme="minorHAnsi"/>
          <w:sz w:val="24"/>
          <w:szCs w:val="24"/>
          <w:u w:val="single"/>
          <w:lang w:eastAsia="hr-HR"/>
        </w:rPr>
        <w:t>Aktivnost Upravljanje i održavanje sustava javnih bicikli</w:t>
      </w:r>
      <w:r w:rsidRPr="00805AE6">
        <w:rPr>
          <w:rFonts w:eastAsia="Times New Roman" w:cstheme="minorHAnsi"/>
          <w:sz w:val="24"/>
          <w:szCs w:val="24"/>
          <w:lang w:eastAsia="hr-HR"/>
        </w:rPr>
        <w:t xml:space="preserve"> </w:t>
      </w:r>
      <w:r w:rsidRPr="00805AE6">
        <w:rPr>
          <w:rFonts w:cstheme="minorHAnsi"/>
          <w:sz w:val="24"/>
          <w:szCs w:val="24"/>
          <w:lang w:eastAsia="hr-HR"/>
        </w:rPr>
        <w:t xml:space="preserve">nabavljenih kroz projekt ''Biraj Biciklu!' </w:t>
      </w:r>
      <w:r w:rsidRPr="00805AE6">
        <w:rPr>
          <w:rFonts w:cstheme="minorHAnsi"/>
          <w:sz w:val="24"/>
          <w:szCs w:val="24"/>
          <w:shd w:val="clear" w:color="auto" w:fill="FFFFFF"/>
        </w:rPr>
        <w:t>sufinanciran bespovratnim sredstvima Europske unije u sklopu ITU Poziva „URBANA MOBILNOST – Razvoj sustava javnih bicikala na području Urbane aglomeracije Split“, u okviru Operativnog programa „Konkurentnost i kohezija 2014. – 2020.</w:t>
      </w:r>
      <w:r w:rsidRPr="00805AE6">
        <w:rPr>
          <w:rFonts w:cstheme="minorHAnsi"/>
          <w:sz w:val="24"/>
          <w:szCs w:val="24"/>
          <w:lang w:eastAsia="hr-HR"/>
        </w:rPr>
        <w:t xml:space="preserve">'. Obuhvaća troškove licence za sustav, korisničku podršku i pozivni centar, pružanje usluge za SMS informacije, pružanje usluge za kartično plaćanje, usluge Internet prometa, servis opreme , intervencije, </w:t>
      </w:r>
      <w:proofErr w:type="spellStart"/>
      <w:r w:rsidRPr="00805AE6">
        <w:rPr>
          <w:rFonts w:cstheme="minorHAnsi"/>
          <w:sz w:val="24"/>
          <w:szCs w:val="24"/>
          <w:lang w:eastAsia="hr-HR"/>
        </w:rPr>
        <w:t>prikup</w:t>
      </w:r>
      <w:proofErr w:type="spellEnd"/>
      <w:r w:rsidRPr="00805AE6">
        <w:rPr>
          <w:rFonts w:cstheme="minorHAnsi"/>
          <w:sz w:val="24"/>
          <w:szCs w:val="24"/>
          <w:lang w:eastAsia="hr-HR"/>
        </w:rPr>
        <w:t xml:space="preserve"> i vraćanje te redistribuciju bicikala, u izvještajnom razdoblju je realizirano </w:t>
      </w:r>
      <w:r w:rsidR="00F83FB0">
        <w:rPr>
          <w:rFonts w:cstheme="minorHAnsi"/>
          <w:sz w:val="24"/>
          <w:szCs w:val="24"/>
          <w:lang w:eastAsia="hr-HR"/>
        </w:rPr>
        <w:t>13.800,00</w:t>
      </w:r>
      <w:r w:rsidRPr="00805AE6">
        <w:rPr>
          <w:rFonts w:cstheme="minorHAnsi"/>
          <w:sz w:val="24"/>
          <w:szCs w:val="24"/>
          <w:lang w:eastAsia="hr-HR"/>
        </w:rPr>
        <w:t xml:space="preserve"> eura</w:t>
      </w:r>
      <w:r w:rsidR="009D3F08">
        <w:rPr>
          <w:rFonts w:cstheme="minorHAnsi"/>
          <w:sz w:val="24"/>
          <w:szCs w:val="24"/>
          <w:lang w:eastAsia="hr-HR"/>
        </w:rPr>
        <w:t xml:space="preserve"> ili </w:t>
      </w:r>
      <w:r w:rsidR="00F83FB0">
        <w:rPr>
          <w:rFonts w:cstheme="minorHAnsi"/>
          <w:sz w:val="24"/>
          <w:szCs w:val="24"/>
          <w:lang w:eastAsia="hr-HR"/>
        </w:rPr>
        <w:t>90,20</w:t>
      </w:r>
      <w:r w:rsidR="009D3F08">
        <w:rPr>
          <w:rFonts w:cstheme="minorHAnsi"/>
          <w:sz w:val="24"/>
          <w:szCs w:val="24"/>
          <w:lang w:eastAsia="hr-HR"/>
        </w:rPr>
        <w:t>% plana</w:t>
      </w:r>
      <w:r w:rsidRPr="00805AE6">
        <w:rPr>
          <w:rFonts w:cstheme="minorHAnsi"/>
          <w:sz w:val="24"/>
          <w:szCs w:val="24"/>
          <w:lang w:eastAsia="hr-HR"/>
        </w:rPr>
        <w:t>.</w:t>
      </w:r>
    </w:p>
    <w:p w14:paraId="0A9144BA" w14:textId="77777777" w:rsidR="00C85D37" w:rsidRDefault="00C85D37" w:rsidP="00C85D37">
      <w:pPr>
        <w:spacing w:after="0" w:line="280" w:lineRule="exact"/>
        <w:jc w:val="both"/>
        <w:rPr>
          <w:rFonts w:eastAsia="Times New Roman" w:cstheme="minorHAnsi"/>
          <w:sz w:val="24"/>
          <w:szCs w:val="24"/>
          <w:lang w:eastAsia="hr-HR"/>
        </w:rPr>
      </w:pPr>
    </w:p>
    <w:p w14:paraId="718DAB46" w14:textId="1DA6F79D" w:rsidR="00F83FB0" w:rsidRDefault="00C85D37" w:rsidP="00F83FB0">
      <w:pPr>
        <w:spacing w:after="0" w:line="280" w:lineRule="exact"/>
        <w:jc w:val="both"/>
        <w:rPr>
          <w:rFonts w:cstheme="minorHAnsi"/>
          <w:sz w:val="24"/>
          <w:szCs w:val="24"/>
          <w:lang w:eastAsia="hr-HR"/>
        </w:rPr>
      </w:pPr>
      <w:r w:rsidRPr="00805AE6">
        <w:rPr>
          <w:rFonts w:ascii="Calibri" w:hAnsi="Calibri" w:cs="Calibri"/>
          <w:sz w:val="24"/>
          <w:szCs w:val="24"/>
          <w:u w:val="single"/>
          <w:shd w:val="clear" w:color="auto" w:fill="FFFFFF" w:themeFill="background1"/>
        </w:rPr>
        <w:t>Kapitalni projekt Sustav videonadzora Grada</w:t>
      </w:r>
      <w:r>
        <w:rPr>
          <w:rFonts w:ascii="Calibri" w:hAnsi="Calibri" w:cs="Calibri"/>
          <w:sz w:val="24"/>
          <w:szCs w:val="24"/>
          <w:shd w:val="clear" w:color="auto" w:fill="FFFFFF" w:themeFill="background1"/>
        </w:rPr>
        <w:t xml:space="preserve"> </w:t>
      </w:r>
      <w:r w:rsidRPr="00073DCB">
        <w:rPr>
          <w:rFonts w:cstheme="minorHAnsi"/>
          <w:sz w:val="24"/>
          <w:szCs w:val="24"/>
          <w:lang w:eastAsia="hr-HR"/>
        </w:rPr>
        <w:t xml:space="preserve">obuhvaća troškove intelektualnih i osobnih usluga kao i radove postavljanja video nadzora na javnim površinama Grada. Plan štićenja javnih površina Grada Trogira za cilj ima podizanje opće sigurnosti grada Trogira, to osoba, </w:t>
      </w:r>
      <w:r w:rsidRPr="00073DCB">
        <w:rPr>
          <w:rFonts w:cstheme="minorHAnsi"/>
          <w:sz w:val="24"/>
          <w:szCs w:val="24"/>
          <w:lang w:eastAsia="hr-HR"/>
        </w:rPr>
        <w:lastRenderedPageBreak/>
        <w:t xml:space="preserve">gradske imovine, infrastrukture, okoliša i informacija, a vezano uz veliki broj različitih potencijalnih ugroza kao što su: terorizam, vandalizam, narušavanje javnog reda i mira, kaznena djela protiv ljudi i imovine, onečišćenje okoliša, požar </w:t>
      </w:r>
      <w:proofErr w:type="spellStart"/>
      <w:r w:rsidRPr="00073DCB">
        <w:rPr>
          <w:rFonts w:cstheme="minorHAnsi"/>
          <w:sz w:val="24"/>
          <w:szCs w:val="24"/>
          <w:lang w:eastAsia="hr-HR"/>
        </w:rPr>
        <w:t>itd</w:t>
      </w:r>
      <w:proofErr w:type="spellEnd"/>
      <w:r>
        <w:rPr>
          <w:rFonts w:cstheme="minorHAnsi"/>
          <w:sz w:val="24"/>
          <w:szCs w:val="24"/>
          <w:lang w:eastAsia="hr-HR"/>
        </w:rPr>
        <w:t>, bilježi realizaciju u 202</w:t>
      </w:r>
      <w:r w:rsidR="00F83FB0">
        <w:rPr>
          <w:rFonts w:cstheme="minorHAnsi"/>
          <w:sz w:val="24"/>
          <w:szCs w:val="24"/>
          <w:lang w:eastAsia="hr-HR"/>
        </w:rPr>
        <w:t>5</w:t>
      </w:r>
      <w:r>
        <w:rPr>
          <w:rFonts w:cstheme="minorHAnsi"/>
          <w:sz w:val="24"/>
          <w:szCs w:val="24"/>
          <w:lang w:eastAsia="hr-HR"/>
        </w:rPr>
        <w:t xml:space="preserve">.godini u iznosu od </w:t>
      </w:r>
      <w:r w:rsidR="00F83FB0">
        <w:rPr>
          <w:rFonts w:cstheme="minorHAnsi"/>
          <w:sz w:val="24"/>
          <w:szCs w:val="24"/>
          <w:lang w:eastAsia="hr-HR"/>
        </w:rPr>
        <w:t>79.173,13</w:t>
      </w:r>
      <w:r>
        <w:rPr>
          <w:rFonts w:cstheme="minorHAnsi"/>
          <w:sz w:val="24"/>
          <w:szCs w:val="24"/>
          <w:lang w:eastAsia="hr-HR"/>
        </w:rPr>
        <w:t xml:space="preserve"> eura ili </w:t>
      </w:r>
      <w:r w:rsidR="00F83FB0">
        <w:rPr>
          <w:rFonts w:cstheme="minorHAnsi"/>
          <w:sz w:val="24"/>
          <w:szCs w:val="24"/>
          <w:lang w:eastAsia="hr-HR"/>
        </w:rPr>
        <w:t>7</w:t>
      </w:r>
      <w:r w:rsidR="009D3F08">
        <w:rPr>
          <w:rFonts w:cstheme="minorHAnsi"/>
          <w:sz w:val="24"/>
          <w:szCs w:val="24"/>
          <w:lang w:eastAsia="hr-HR"/>
        </w:rPr>
        <w:t>0,63</w:t>
      </w:r>
      <w:r>
        <w:rPr>
          <w:rFonts w:cstheme="minorHAnsi"/>
          <w:sz w:val="24"/>
          <w:szCs w:val="24"/>
          <w:lang w:eastAsia="hr-HR"/>
        </w:rPr>
        <w:t xml:space="preserve">% plana, a odnosi se na </w:t>
      </w:r>
      <w:r w:rsidR="00F83FB0">
        <w:rPr>
          <w:rFonts w:cstheme="minorHAnsi"/>
          <w:sz w:val="24"/>
          <w:szCs w:val="24"/>
          <w:lang w:eastAsia="hr-HR"/>
        </w:rPr>
        <w:t>postavljanje video nadzora na javnim površinama i proširenje svjetlovodne komunikacijske mreže.</w:t>
      </w:r>
      <w:r>
        <w:rPr>
          <w:rFonts w:cstheme="minorHAnsi"/>
          <w:sz w:val="24"/>
          <w:szCs w:val="24"/>
          <w:lang w:eastAsia="hr-HR"/>
        </w:rPr>
        <w:t xml:space="preserve"> </w:t>
      </w:r>
    </w:p>
    <w:p w14:paraId="417F7E27" w14:textId="77777777" w:rsidR="00F83FB0" w:rsidRDefault="00F83FB0" w:rsidP="00F83FB0">
      <w:pPr>
        <w:spacing w:after="0" w:line="280" w:lineRule="exact"/>
        <w:jc w:val="both"/>
        <w:rPr>
          <w:rFonts w:cstheme="minorHAnsi"/>
          <w:sz w:val="24"/>
          <w:szCs w:val="24"/>
          <w:lang w:eastAsia="hr-HR"/>
        </w:rPr>
      </w:pPr>
    </w:p>
    <w:p w14:paraId="479FD819" w14:textId="77777777" w:rsidR="00525C79" w:rsidRDefault="00525C79" w:rsidP="00525C79">
      <w:pPr>
        <w:spacing w:after="0" w:line="280" w:lineRule="exact"/>
        <w:jc w:val="both"/>
        <w:rPr>
          <w:sz w:val="24"/>
          <w:szCs w:val="24"/>
        </w:rPr>
      </w:pPr>
      <w:r>
        <w:rPr>
          <w:rFonts w:cstheme="minorHAnsi"/>
          <w:sz w:val="24"/>
          <w:szCs w:val="24"/>
          <w:u w:val="single"/>
          <w:lang w:eastAsia="hr-HR"/>
        </w:rPr>
        <w:t>Ka</w:t>
      </w:r>
      <w:r w:rsidR="00A668E5" w:rsidRPr="00A668E5">
        <w:rPr>
          <w:rFonts w:cstheme="minorHAnsi"/>
          <w:sz w:val="24"/>
          <w:szCs w:val="24"/>
          <w:u w:val="single"/>
          <w:lang w:eastAsia="hr-HR"/>
        </w:rPr>
        <w:t xml:space="preserve">pitalni projekt </w:t>
      </w:r>
      <w:r w:rsidR="00A668E5">
        <w:rPr>
          <w:rFonts w:cstheme="minorHAnsi"/>
          <w:sz w:val="24"/>
          <w:szCs w:val="24"/>
          <w:u w:val="single"/>
          <w:lang w:eastAsia="hr-HR"/>
        </w:rPr>
        <w:t xml:space="preserve">Terenska izmjera objekata za potrebe evidencije komunalne naknade na području naselja </w:t>
      </w:r>
      <w:proofErr w:type="spellStart"/>
      <w:r w:rsidR="00A668E5">
        <w:rPr>
          <w:rFonts w:cstheme="minorHAnsi"/>
          <w:sz w:val="24"/>
          <w:szCs w:val="24"/>
          <w:u w:val="single"/>
          <w:lang w:eastAsia="hr-HR"/>
        </w:rPr>
        <w:t>Mastrinka</w:t>
      </w:r>
      <w:proofErr w:type="spellEnd"/>
      <w:r w:rsidR="00A668E5" w:rsidRPr="00B90361">
        <w:rPr>
          <w:rFonts w:cstheme="minorHAnsi"/>
          <w:sz w:val="24"/>
          <w:szCs w:val="24"/>
          <w:lang w:eastAsia="hr-HR"/>
        </w:rPr>
        <w:t xml:space="preserve">, </w:t>
      </w:r>
      <w:r w:rsidR="00A668E5" w:rsidRPr="00B90361">
        <w:rPr>
          <w:rFonts w:eastAsia="Times New Roman" w:cstheme="minorHAnsi"/>
          <w:sz w:val="24"/>
          <w:szCs w:val="24"/>
          <w:lang w:eastAsia="hr-HR"/>
        </w:rPr>
        <w:t xml:space="preserve">odnosi se terensku izmjeru kuća na području naselja </w:t>
      </w:r>
      <w:proofErr w:type="spellStart"/>
      <w:r w:rsidR="00A668E5" w:rsidRPr="00B90361">
        <w:rPr>
          <w:rFonts w:eastAsia="Times New Roman" w:cstheme="minorHAnsi"/>
          <w:sz w:val="24"/>
          <w:szCs w:val="24"/>
          <w:lang w:eastAsia="hr-HR"/>
        </w:rPr>
        <w:t>Mastrinka</w:t>
      </w:r>
      <w:proofErr w:type="spellEnd"/>
      <w:r w:rsidR="00A668E5" w:rsidRPr="00B90361">
        <w:rPr>
          <w:rFonts w:eastAsia="Times New Roman" w:cstheme="minorHAnsi"/>
          <w:sz w:val="24"/>
          <w:szCs w:val="24"/>
          <w:lang w:eastAsia="hr-HR"/>
        </w:rPr>
        <w:t>, kako bi se omogućilo što točnije stanje za digitalnu obradu podataka komunalne infrastrukture i investicij</w:t>
      </w:r>
      <w:r w:rsidR="00A668E5">
        <w:rPr>
          <w:rFonts w:eastAsia="Times New Roman" w:cstheme="minorHAnsi"/>
          <w:sz w:val="24"/>
          <w:szCs w:val="24"/>
          <w:lang w:eastAsia="hr-HR"/>
        </w:rPr>
        <w:t>a</w:t>
      </w:r>
      <w:r w:rsidR="00A668E5" w:rsidRPr="00B90361">
        <w:rPr>
          <w:rFonts w:eastAsia="Times New Roman" w:cstheme="minorHAnsi"/>
          <w:sz w:val="24"/>
          <w:szCs w:val="24"/>
          <w:lang w:eastAsia="hr-HR"/>
        </w:rPr>
        <w:t>. Po ovom projektu u 202</w:t>
      </w:r>
      <w:r>
        <w:rPr>
          <w:rFonts w:eastAsia="Times New Roman" w:cstheme="minorHAnsi"/>
          <w:sz w:val="24"/>
          <w:szCs w:val="24"/>
          <w:lang w:eastAsia="hr-HR"/>
        </w:rPr>
        <w:t>5</w:t>
      </w:r>
      <w:r w:rsidR="00A668E5" w:rsidRPr="00B90361">
        <w:rPr>
          <w:rFonts w:eastAsia="Times New Roman" w:cstheme="minorHAnsi"/>
          <w:sz w:val="24"/>
          <w:szCs w:val="24"/>
          <w:lang w:eastAsia="hr-HR"/>
        </w:rPr>
        <w:t xml:space="preserve">.godini realizirano je </w:t>
      </w:r>
      <w:r>
        <w:rPr>
          <w:rFonts w:eastAsia="Times New Roman" w:cstheme="minorHAnsi"/>
          <w:sz w:val="24"/>
          <w:szCs w:val="24"/>
          <w:lang w:eastAsia="hr-HR"/>
        </w:rPr>
        <w:t>9.937,50</w:t>
      </w:r>
      <w:r w:rsidR="00A668E5" w:rsidRPr="00B90361">
        <w:rPr>
          <w:rFonts w:eastAsia="Times New Roman" w:cstheme="minorHAnsi"/>
          <w:sz w:val="24"/>
          <w:szCs w:val="24"/>
          <w:lang w:eastAsia="hr-HR"/>
        </w:rPr>
        <w:t xml:space="preserve"> eura i to </w:t>
      </w:r>
      <w:r>
        <w:rPr>
          <w:rFonts w:eastAsia="Times New Roman" w:cstheme="minorHAnsi"/>
          <w:sz w:val="24"/>
          <w:szCs w:val="24"/>
          <w:lang w:eastAsia="hr-HR"/>
        </w:rPr>
        <w:t xml:space="preserve">za </w:t>
      </w:r>
      <w:r w:rsidRPr="00525C79">
        <w:rPr>
          <w:sz w:val="24"/>
          <w:szCs w:val="24"/>
        </w:rPr>
        <w:t xml:space="preserve">usluge terenske izmjere objekata za evidenciju komunalne naknade u naselju </w:t>
      </w:r>
      <w:proofErr w:type="spellStart"/>
      <w:r w:rsidRPr="00525C79">
        <w:rPr>
          <w:sz w:val="24"/>
          <w:szCs w:val="24"/>
        </w:rPr>
        <w:t>Mastrinka</w:t>
      </w:r>
      <w:proofErr w:type="spellEnd"/>
      <w:r>
        <w:rPr>
          <w:sz w:val="24"/>
          <w:szCs w:val="24"/>
        </w:rPr>
        <w:t>.</w:t>
      </w:r>
    </w:p>
    <w:p w14:paraId="4CD729E2" w14:textId="77777777" w:rsidR="00525C79" w:rsidRDefault="00525C79" w:rsidP="00525C79">
      <w:pPr>
        <w:spacing w:after="0" w:line="280" w:lineRule="exact"/>
        <w:jc w:val="both"/>
        <w:rPr>
          <w:sz w:val="24"/>
          <w:szCs w:val="24"/>
        </w:rPr>
      </w:pPr>
    </w:p>
    <w:p w14:paraId="1BA14DBB" w14:textId="683A5266" w:rsidR="00525C79" w:rsidRDefault="00525C79" w:rsidP="00525C79">
      <w:pPr>
        <w:spacing w:after="0" w:line="280" w:lineRule="exact"/>
        <w:jc w:val="both"/>
        <w:rPr>
          <w:sz w:val="24"/>
          <w:szCs w:val="24"/>
        </w:rPr>
      </w:pPr>
      <w:r w:rsidRPr="00F47EEB">
        <w:rPr>
          <w:rFonts w:cstheme="minorHAnsi"/>
          <w:sz w:val="24"/>
          <w:szCs w:val="24"/>
          <w:u w:val="single"/>
          <w:lang w:eastAsia="hr-HR"/>
        </w:rPr>
        <w:t xml:space="preserve">Kapitalni projekt Terenska izmjera objekata za potrebe evidencije komunalne naknade na području naselja Drvenik </w:t>
      </w:r>
      <w:proofErr w:type="spellStart"/>
      <w:r w:rsidRPr="00F47EEB">
        <w:rPr>
          <w:rFonts w:cstheme="minorHAnsi"/>
          <w:sz w:val="24"/>
          <w:szCs w:val="24"/>
          <w:u w:val="single"/>
          <w:lang w:eastAsia="hr-HR"/>
        </w:rPr>
        <w:t>V.i</w:t>
      </w:r>
      <w:proofErr w:type="spellEnd"/>
      <w:r w:rsidRPr="00F47EEB">
        <w:rPr>
          <w:rFonts w:cstheme="minorHAnsi"/>
          <w:sz w:val="24"/>
          <w:szCs w:val="24"/>
          <w:u w:val="single"/>
          <w:lang w:eastAsia="hr-HR"/>
        </w:rPr>
        <w:t xml:space="preserve"> M.</w:t>
      </w:r>
      <w:r w:rsidRPr="00F47EEB">
        <w:rPr>
          <w:rFonts w:cstheme="minorHAnsi"/>
          <w:sz w:val="24"/>
          <w:szCs w:val="24"/>
          <w:lang w:eastAsia="hr-HR"/>
        </w:rPr>
        <w:t xml:space="preserve">, </w:t>
      </w:r>
      <w:r w:rsidRPr="00F47EEB">
        <w:rPr>
          <w:rFonts w:eastAsia="Times New Roman" w:cstheme="minorHAnsi"/>
          <w:sz w:val="24"/>
          <w:szCs w:val="24"/>
          <w:lang w:eastAsia="hr-HR"/>
        </w:rPr>
        <w:t xml:space="preserve">odnosi se terensku izmjeru kuća na području naselja Drvenik Veliki i Mali. Po ovom projektu u 2025.godini realizirano je </w:t>
      </w:r>
      <w:r w:rsidR="00F47EEB" w:rsidRPr="00F47EEB">
        <w:rPr>
          <w:rFonts w:eastAsia="Times New Roman" w:cstheme="minorHAnsi"/>
          <w:sz w:val="24"/>
          <w:szCs w:val="24"/>
          <w:lang w:eastAsia="hr-HR"/>
        </w:rPr>
        <w:t>10.931,25</w:t>
      </w:r>
      <w:r w:rsidRPr="00F47EEB">
        <w:rPr>
          <w:rFonts w:eastAsia="Times New Roman" w:cstheme="minorHAnsi"/>
          <w:sz w:val="24"/>
          <w:szCs w:val="24"/>
          <w:lang w:eastAsia="hr-HR"/>
        </w:rPr>
        <w:t xml:space="preserve"> eura i to </w:t>
      </w:r>
      <w:r w:rsidR="00F47EEB" w:rsidRPr="00F47EEB">
        <w:rPr>
          <w:sz w:val="24"/>
          <w:szCs w:val="24"/>
        </w:rPr>
        <w:t xml:space="preserve">za </w:t>
      </w:r>
      <w:r w:rsidRPr="00F47EEB">
        <w:rPr>
          <w:sz w:val="24"/>
          <w:szCs w:val="24"/>
        </w:rPr>
        <w:t>usluge terenske izmjere objekata za evidenciju komunalne naknade u naselju Drvenik Veliki i Drvenik Mali u iznosu ostvarenja od 10.931,25 eura</w:t>
      </w:r>
      <w:r w:rsidR="00F47EEB">
        <w:rPr>
          <w:sz w:val="24"/>
          <w:szCs w:val="24"/>
        </w:rPr>
        <w:t>.</w:t>
      </w:r>
    </w:p>
    <w:p w14:paraId="7BF38360" w14:textId="77777777" w:rsidR="00FF52E7" w:rsidRDefault="00FF52E7" w:rsidP="00525C79">
      <w:pPr>
        <w:spacing w:after="0" w:line="280" w:lineRule="exact"/>
        <w:jc w:val="both"/>
        <w:rPr>
          <w:sz w:val="24"/>
          <w:szCs w:val="24"/>
        </w:rPr>
      </w:pPr>
    </w:p>
    <w:p w14:paraId="02D71F7E" w14:textId="77777777" w:rsidR="00FF52E7" w:rsidRDefault="00FF52E7" w:rsidP="00FF52E7">
      <w:pPr>
        <w:jc w:val="both"/>
        <w:rPr>
          <w:sz w:val="24"/>
          <w:szCs w:val="24"/>
        </w:rPr>
      </w:pPr>
      <w:r w:rsidRPr="00FF52E7">
        <w:rPr>
          <w:sz w:val="24"/>
          <w:szCs w:val="24"/>
          <w:u w:val="single"/>
        </w:rPr>
        <w:t>Kapitalni projekt Pametna i održiva rješenja u prometnom sustavu</w:t>
      </w:r>
      <w:r w:rsidRPr="00FF52E7">
        <w:rPr>
          <w:sz w:val="24"/>
          <w:szCs w:val="24"/>
        </w:rPr>
        <w:t>, po ovom projektu realizirano je 130.068,50 eura i to značajniji iznos ostvarenja od 75.327,50 eura za nabavu opreme za unapređenje sustava javnih bicikli (stalci i terminali za bicikle)</w:t>
      </w:r>
      <w:r>
        <w:rPr>
          <w:sz w:val="24"/>
          <w:szCs w:val="24"/>
        </w:rPr>
        <w:t xml:space="preserve"> i javne bicikle u iznosu ostvarenja od 54.741,00 eura.</w:t>
      </w:r>
    </w:p>
    <w:p w14:paraId="6C2FDB6D" w14:textId="480D1F61" w:rsidR="008B210C" w:rsidRPr="00BA280A" w:rsidRDefault="00C85D37" w:rsidP="00BA280A">
      <w:pPr>
        <w:jc w:val="both"/>
        <w:rPr>
          <w:sz w:val="24"/>
          <w:szCs w:val="24"/>
        </w:rPr>
      </w:pPr>
      <w:r w:rsidRPr="00F8614D">
        <w:rPr>
          <w:rFonts w:cstheme="minorHAnsi"/>
          <w:sz w:val="24"/>
          <w:szCs w:val="24"/>
          <w:lang w:eastAsia="hr-HR"/>
        </w:rPr>
        <w:t>Planirana potrebna sredstva za realizacij</w:t>
      </w:r>
      <w:r>
        <w:rPr>
          <w:rFonts w:cstheme="minorHAnsi"/>
          <w:sz w:val="24"/>
          <w:szCs w:val="24"/>
          <w:lang w:eastAsia="hr-HR"/>
        </w:rPr>
        <w:t>u ovog dijela programa u 202</w:t>
      </w:r>
      <w:r w:rsidR="00F47EEB">
        <w:rPr>
          <w:rFonts w:cstheme="minorHAnsi"/>
          <w:sz w:val="24"/>
          <w:szCs w:val="24"/>
          <w:lang w:eastAsia="hr-HR"/>
        </w:rPr>
        <w:t>5</w:t>
      </w:r>
      <w:r>
        <w:rPr>
          <w:rFonts w:cstheme="minorHAnsi"/>
          <w:sz w:val="24"/>
          <w:szCs w:val="24"/>
          <w:lang w:eastAsia="hr-HR"/>
        </w:rPr>
        <w:t xml:space="preserve">.godini </w:t>
      </w:r>
      <w:r w:rsidRPr="00F8614D">
        <w:rPr>
          <w:rFonts w:cstheme="minorHAnsi"/>
          <w:sz w:val="24"/>
          <w:szCs w:val="24"/>
          <w:lang w:eastAsia="hr-HR"/>
        </w:rPr>
        <w:t xml:space="preserve">iznose  </w:t>
      </w:r>
      <w:r w:rsidR="00F47EEB">
        <w:rPr>
          <w:rFonts w:cstheme="minorHAnsi"/>
          <w:sz w:val="24"/>
          <w:szCs w:val="24"/>
          <w:lang w:eastAsia="hr-HR"/>
        </w:rPr>
        <w:t>329.305</w:t>
      </w:r>
      <w:r>
        <w:rPr>
          <w:rFonts w:cstheme="minorHAnsi"/>
          <w:sz w:val="24"/>
          <w:szCs w:val="24"/>
          <w:lang w:eastAsia="hr-HR"/>
        </w:rPr>
        <w:t xml:space="preserve"> eura</w:t>
      </w:r>
      <w:r w:rsidRPr="00F8614D">
        <w:rPr>
          <w:rFonts w:cstheme="minorHAnsi"/>
          <w:sz w:val="24"/>
          <w:szCs w:val="24"/>
          <w:lang w:eastAsia="hr-HR"/>
        </w:rPr>
        <w:t xml:space="preserve">, a u izvještajnom razdoblju su realizirana u iznosu od </w:t>
      </w:r>
      <w:r w:rsidR="00F47EEB">
        <w:rPr>
          <w:rFonts w:cstheme="minorHAnsi"/>
          <w:sz w:val="24"/>
          <w:szCs w:val="24"/>
          <w:lang w:eastAsia="hr-HR"/>
        </w:rPr>
        <w:t>278.805,40</w:t>
      </w:r>
      <w:r>
        <w:rPr>
          <w:rFonts w:cstheme="minorHAnsi"/>
          <w:sz w:val="24"/>
          <w:szCs w:val="24"/>
          <w:lang w:eastAsia="hr-HR"/>
        </w:rPr>
        <w:t xml:space="preserve"> eura ili </w:t>
      </w:r>
      <w:r w:rsidR="00F47EEB">
        <w:rPr>
          <w:rFonts w:cstheme="minorHAnsi"/>
          <w:sz w:val="24"/>
          <w:szCs w:val="24"/>
          <w:lang w:eastAsia="hr-HR"/>
        </w:rPr>
        <w:t>84,66</w:t>
      </w:r>
      <w:r>
        <w:rPr>
          <w:rFonts w:cstheme="minorHAnsi"/>
          <w:sz w:val="24"/>
          <w:szCs w:val="24"/>
          <w:lang w:eastAsia="hr-HR"/>
        </w:rPr>
        <w:t xml:space="preserve"> % plana.</w:t>
      </w:r>
      <w:r w:rsidRPr="00F8614D">
        <w:rPr>
          <w:rFonts w:cstheme="minorHAnsi"/>
          <w:sz w:val="24"/>
          <w:szCs w:val="24"/>
          <w:lang w:eastAsia="hr-HR"/>
        </w:rPr>
        <w:t xml:space="preserve">  </w:t>
      </w:r>
    </w:p>
    <w:p w14:paraId="1EB5A1C8" w14:textId="06E07687" w:rsidR="00F22232" w:rsidRDefault="00F22232" w:rsidP="00F22232">
      <w:pPr>
        <w:spacing w:after="0"/>
        <w:jc w:val="both"/>
        <w:rPr>
          <w:rFonts w:cstheme="minorHAnsi"/>
          <w:sz w:val="24"/>
          <w:szCs w:val="24"/>
          <w:u w:val="single"/>
        </w:rPr>
      </w:pPr>
      <w:r>
        <w:rPr>
          <w:rFonts w:cstheme="minorHAnsi"/>
          <w:sz w:val="24"/>
          <w:szCs w:val="24"/>
          <w:u w:val="single"/>
        </w:rPr>
        <w:t>Program 1701</w:t>
      </w:r>
      <w:r w:rsidRPr="0072519D">
        <w:rPr>
          <w:rFonts w:cstheme="minorHAnsi"/>
          <w:sz w:val="24"/>
          <w:szCs w:val="24"/>
          <w:u w:val="single"/>
        </w:rPr>
        <w:t xml:space="preserve"> Zbrinjavanje komunalnog otpada </w:t>
      </w:r>
    </w:p>
    <w:p w14:paraId="390C3FB0" w14:textId="77777777" w:rsidR="00F22232" w:rsidRPr="00F22232" w:rsidRDefault="00F22232" w:rsidP="00F22232">
      <w:pPr>
        <w:shd w:val="clear" w:color="auto" w:fill="FFFFFF"/>
        <w:spacing w:after="0" w:line="280" w:lineRule="exact"/>
        <w:jc w:val="both"/>
        <w:rPr>
          <w:rFonts w:eastAsia="Times New Roman" w:cstheme="minorHAnsi"/>
          <w:sz w:val="24"/>
          <w:szCs w:val="24"/>
          <w:lang w:eastAsia="hr-HR"/>
        </w:rPr>
      </w:pPr>
      <w:r w:rsidRPr="00F22232">
        <w:rPr>
          <w:rFonts w:eastAsia="Calibri" w:cstheme="minorHAnsi"/>
          <w:color w:val="000000" w:themeColor="text1"/>
          <w:sz w:val="24"/>
          <w:szCs w:val="24"/>
        </w:rPr>
        <w:t xml:space="preserve">U okviru ovog programa planirana se sredstva za </w:t>
      </w:r>
      <w:r w:rsidRPr="00F22232">
        <w:rPr>
          <w:rFonts w:eastAsia="Times New Roman" w:cstheme="minorHAnsi"/>
          <w:sz w:val="24"/>
          <w:szCs w:val="24"/>
          <w:lang w:eastAsia="hr-HR"/>
        </w:rPr>
        <w:t>razne mjere zaštite okoliša i zdravlja građana, održavanja čistoće te sanacije deponija komunalnog otpada ''Vučje brdo'' u Planom. Ovim programom doprinosi se rješavanju desetljećima prisutnog problema odlaganja otpada na ekološki prihvatljiv način u skladu sa zakonskom regulativom.</w:t>
      </w:r>
    </w:p>
    <w:p w14:paraId="25F40819" w14:textId="04D1039A" w:rsidR="00F22232" w:rsidRPr="00F22232" w:rsidRDefault="00F22232" w:rsidP="00F22232">
      <w:pPr>
        <w:shd w:val="clear" w:color="auto" w:fill="FFFFFF"/>
        <w:spacing w:after="0" w:line="280" w:lineRule="exact"/>
        <w:jc w:val="both"/>
        <w:rPr>
          <w:rFonts w:eastAsia="Calibri" w:cstheme="minorHAnsi"/>
          <w:color w:val="000000" w:themeColor="text1"/>
          <w:sz w:val="24"/>
          <w:szCs w:val="24"/>
        </w:rPr>
      </w:pPr>
      <w:r w:rsidRPr="00F22232">
        <w:rPr>
          <w:rFonts w:eastAsia="Calibri" w:cstheme="minorHAnsi"/>
          <w:color w:val="000000" w:themeColor="text1"/>
          <w:sz w:val="24"/>
          <w:szCs w:val="24"/>
        </w:rPr>
        <w:t xml:space="preserve">Poslovi i zadatci planirani su kroz </w:t>
      </w:r>
      <w:r w:rsidR="00BA280A">
        <w:rPr>
          <w:rFonts w:eastAsia="Calibri" w:cstheme="minorHAnsi"/>
          <w:color w:val="000000" w:themeColor="text1"/>
          <w:sz w:val="24"/>
          <w:szCs w:val="24"/>
        </w:rPr>
        <w:t>1</w:t>
      </w:r>
      <w:r w:rsidRPr="00F22232">
        <w:rPr>
          <w:rFonts w:eastAsia="Calibri" w:cstheme="minorHAnsi"/>
          <w:color w:val="000000" w:themeColor="text1"/>
          <w:sz w:val="24"/>
          <w:szCs w:val="24"/>
        </w:rPr>
        <w:t xml:space="preserve"> kapital</w:t>
      </w:r>
      <w:r w:rsidR="00BA280A">
        <w:rPr>
          <w:rFonts w:eastAsia="Calibri" w:cstheme="minorHAnsi"/>
          <w:color w:val="000000" w:themeColor="text1"/>
          <w:sz w:val="24"/>
          <w:szCs w:val="24"/>
        </w:rPr>
        <w:t>ni</w:t>
      </w:r>
      <w:r w:rsidRPr="00F22232">
        <w:rPr>
          <w:rFonts w:eastAsia="Calibri" w:cstheme="minorHAnsi"/>
          <w:color w:val="000000" w:themeColor="text1"/>
          <w:sz w:val="24"/>
          <w:szCs w:val="24"/>
        </w:rPr>
        <w:t xml:space="preserve"> projekt: </w:t>
      </w:r>
    </w:p>
    <w:p w14:paraId="1DE773A9" w14:textId="199CD68F" w:rsidR="00F22232" w:rsidRPr="00F22232" w:rsidRDefault="00F22232" w:rsidP="00F22232">
      <w:pPr>
        <w:numPr>
          <w:ilvl w:val="0"/>
          <w:numId w:val="18"/>
        </w:numPr>
        <w:overflowPunct w:val="0"/>
        <w:autoSpaceDE w:val="0"/>
        <w:autoSpaceDN w:val="0"/>
        <w:adjustRightInd w:val="0"/>
        <w:spacing w:after="0" w:line="280" w:lineRule="exact"/>
        <w:contextualSpacing/>
        <w:jc w:val="both"/>
        <w:textAlignment w:val="baseline"/>
        <w:rPr>
          <w:rFonts w:eastAsia="Calibri" w:cstheme="minorHAnsi"/>
          <w:color w:val="000000" w:themeColor="text1"/>
          <w:sz w:val="24"/>
          <w:szCs w:val="24"/>
        </w:rPr>
      </w:pPr>
      <w:r w:rsidRPr="00F22232">
        <w:rPr>
          <w:rFonts w:eastAsia="Calibri" w:cstheme="minorHAnsi"/>
          <w:color w:val="000000" w:themeColor="text1"/>
          <w:sz w:val="24"/>
          <w:szCs w:val="24"/>
        </w:rPr>
        <w:t>K100001 Sanacija deponija u Planom</w:t>
      </w:r>
      <w:r w:rsidR="00BA280A">
        <w:rPr>
          <w:rFonts w:eastAsia="Calibri" w:cstheme="minorHAnsi"/>
          <w:color w:val="000000" w:themeColor="text1"/>
          <w:sz w:val="24"/>
          <w:szCs w:val="24"/>
        </w:rPr>
        <w:t>.</w:t>
      </w:r>
    </w:p>
    <w:p w14:paraId="12FC0493" w14:textId="19E24365" w:rsidR="00BA280A" w:rsidRPr="00BA280A" w:rsidRDefault="00F22232" w:rsidP="004067BD">
      <w:pPr>
        <w:spacing w:after="0" w:line="240" w:lineRule="auto"/>
        <w:jc w:val="both"/>
        <w:rPr>
          <w:rFonts w:eastAsia="SimSun" w:cstheme="minorHAnsi"/>
          <w:color w:val="000000"/>
          <w:kern w:val="2"/>
          <w:sz w:val="24"/>
          <w:szCs w:val="24"/>
          <w:lang w:eastAsia="hi-IN" w:bidi="hi-IN"/>
        </w:rPr>
      </w:pPr>
      <w:r w:rsidRPr="00BA280A">
        <w:rPr>
          <w:rFonts w:cstheme="minorHAnsi"/>
          <w:sz w:val="24"/>
          <w:szCs w:val="24"/>
          <w:u w:val="single"/>
        </w:rPr>
        <w:t xml:space="preserve">Kapitalni projekt Sanacija deponija u </w:t>
      </w:r>
      <w:proofErr w:type="spellStart"/>
      <w:r w:rsidRPr="00BA280A">
        <w:rPr>
          <w:rFonts w:cstheme="minorHAnsi"/>
          <w:sz w:val="24"/>
          <w:szCs w:val="24"/>
          <w:u w:val="single"/>
        </w:rPr>
        <w:t>Planom</w:t>
      </w:r>
      <w:r w:rsidRPr="00BA280A">
        <w:rPr>
          <w:rFonts w:cstheme="minorHAnsi"/>
          <w:sz w:val="24"/>
          <w:szCs w:val="24"/>
        </w:rPr>
        <w:t>,</w:t>
      </w:r>
      <w:r w:rsidR="00BA280A" w:rsidRPr="00BA280A">
        <w:rPr>
          <w:rFonts w:eastAsia="Times New Roman" w:cstheme="minorHAnsi"/>
          <w:color w:val="000000"/>
          <w:sz w:val="24"/>
          <w:szCs w:val="24"/>
          <w:lang w:eastAsia="hr-HR"/>
        </w:rPr>
        <w:t>odnosi</w:t>
      </w:r>
      <w:proofErr w:type="spellEnd"/>
      <w:r w:rsidR="00BA280A" w:rsidRPr="00BA280A">
        <w:rPr>
          <w:rFonts w:eastAsia="Times New Roman" w:cstheme="minorHAnsi"/>
          <w:color w:val="000000"/>
          <w:sz w:val="24"/>
          <w:szCs w:val="24"/>
          <w:lang w:eastAsia="hr-HR"/>
        </w:rPr>
        <w:t xml:space="preserve"> se na II. fazu sanacije deponija komunalnog otpada ''Vučje brdo'' u Planom. </w:t>
      </w:r>
      <w:r w:rsidR="00BA280A" w:rsidRPr="00BA280A">
        <w:rPr>
          <w:rFonts w:eastAsia="SimSun" w:cstheme="minorHAnsi"/>
          <w:bCs/>
          <w:color w:val="000000"/>
          <w:kern w:val="2"/>
          <w:sz w:val="24"/>
          <w:szCs w:val="24"/>
          <w:lang w:eastAsia="hi-IN" w:bidi="hi-IN"/>
        </w:rPr>
        <w:t xml:space="preserve">Prva faza sanacije je završena kao i 1.A tehnološka cjelina druge faze te je za iste dobivena uporabna dozvola. Druga faza /sanacija, formiranje tijela te </w:t>
      </w:r>
      <w:proofErr w:type="spellStart"/>
      <w:r w:rsidR="00BA280A" w:rsidRPr="00BA280A">
        <w:rPr>
          <w:rFonts w:eastAsia="SimSun" w:cstheme="minorHAnsi"/>
          <w:bCs/>
          <w:color w:val="000000"/>
          <w:kern w:val="2"/>
          <w:sz w:val="24"/>
          <w:szCs w:val="24"/>
          <w:lang w:eastAsia="hi-IN" w:bidi="hi-IN"/>
        </w:rPr>
        <w:t>rekultivacija</w:t>
      </w:r>
      <w:proofErr w:type="spellEnd"/>
      <w:r w:rsidR="00BA280A" w:rsidRPr="00BA280A">
        <w:rPr>
          <w:rFonts w:eastAsia="SimSun" w:cstheme="minorHAnsi"/>
          <w:bCs/>
          <w:color w:val="000000"/>
          <w:kern w:val="2"/>
          <w:sz w:val="24"/>
          <w:szCs w:val="24"/>
          <w:lang w:eastAsia="hi-IN" w:bidi="hi-IN"/>
        </w:rPr>
        <w:t xml:space="preserve"> ostalog dijela odlagališta i izrada dodanih kazeta (IV,V,VI) sa projektiranim temeljnim brtvljenjem i sustavom sakupljanja </w:t>
      </w:r>
      <w:proofErr w:type="spellStart"/>
      <w:r w:rsidR="00BA280A" w:rsidRPr="00BA280A">
        <w:rPr>
          <w:rFonts w:eastAsia="SimSun" w:cstheme="minorHAnsi"/>
          <w:bCs/>
          <w:color w:val="000000"/>
          <w:kern w:val="2"/>
          <w:sz w:val="24"/>
          <w:szCs w:val="24"/>
          <w:lang w:eastAsia="hi-IN" w:bidi="hi-IN"/>
        </w:rPr>
        <w:t>procjednih</w:t>
      </w:r>
      <w:proofErr w:type="spellEnd"/>
      <w:r w:rsidR="00BA280A" w:rsidRPr="00BA280A">
        <w:rPr>
          <w:rFonts w:eastAsia="SimSun" w:cstheme="minorHAnsi"/>
          <w:bCs/>
          <w:color w:val="000000"/>
          <w:kern w:val="2"/>
          <w:sz w:val="24"/>
          <w:szCs w:val="24"/>
          <w:lang w:eastAsia="hi-IN" w:bidi="hi-IN"/>
        </w:rPr>
        <w:t xml:space="preserve"> voda za prihvat novog otpada sastoji se od dvije tehnološke cjeline</w:t>
      </w:r>
      <w:r w:rsidR="00BA280A" w:rsidRPr="00BA280A">
        <w:rPr>
          <w:rFonts w:eastAsia="SimSun" w:cstheme="minorHAnsi"/>
          <w:b/>
          <w:bCs/>
          <w:color w:val="000000"/>
          <w:kern w:val="2"/>
          <w:sz w:val="24"/>
          <w:szCs w:val="24"/>
          <w:lang w:eastAsia="hi-IN" w:bidi="hi-IN"/>
        </w:rPr>
        <w:t xml:space="preserve">. </w:t>
      </w:r>
      <w:r w:rsidR="00BA280A" w:rsidRPr="00BA280A">
        <w:rPr>
          <w:rFonts w:eastAsia="SimSun" w:cstheme="minorHAnsi"/>
          <w:color w:val="000000"/>
          <w:kern w:val="2"/>
          <w:sz w:val="24"/>
          <w:szCs w:val="24"/>
          <w:lang w:eastAsia="hi-IN" w:bidi="hi-IN"/>
        </w:rPr>
        <w:t xml:space="preserve">U 2023. ugovorena je izrada izmjena i dopuna idejnog projekta i ishođenja izmjena i dopuna lokacijske dozvole sanacije odlagališta komunalnog otpada Vučje brdo, </w:t>
      </w:r>
      <w:proofErr w:type="spellStart"/>
      <w:r w:rsidR="00BA280A" w:rsidRPr="00BA280A">
        <w:rPr>
          <w:rFonts w:eastAsia="SimSun" w:cstheme="minorHAnsi"/>
          <w:color w:val="000000"/>
          <w:kern w:val="2"/>
          <w:sz w:val="24"/>
          <w:szCs w:val="24"/>
          <w:lang w:eastAsia="hi-IN" w:bidi="hi-IN"/>
        </w:rPr>
        <w:t>Plano</w:t>
      </w:r>
      <w:proofErr w:type="spellEnd"/>
      <w:r w:rsidR="00BA280A" w:rsidRPr="00BA280A">
        <w:rPr>
          <w:rFonts w:eastAsia="SimSun" w:cstheme="minorHAnsi"/>
          <w:color w:val="000000"/>
          <w:kern w:val="2"/>
          <w:sz w:val="24"/>
          <w:szCs w:val="24"/>
          <w:lang w:eastAsia="hi-IN" w:bidi="hi-IN"/>
        </w:rPr>
        <w:t xml:space="preserve"> u svrhu osiguranja dodatne mogućnosti odlaganja otpada i formiranja tijela odlagališta (nije moguće formirati u postojećim gabaritima) do realizacije regionalnog centra te izrada elaborata zaštite okoliša</w:t>
      </w:r>
      <w:r w:rsidR="00BA280A" w:rsidRPr="00BA280A">
        <w:rPr>
          <w:rFonts w:eastAsia="Cambria" w:cstheme="minorHAnsi"/>
          <w:color w:val="000000"/>
          <w:sz w:val="24"/>
          <w:szCs w:val="24"/>
          <w:lang w:eastAsia="ar-SA"/>
        </w:rPr>
        <w:t xml:space="preserve">. Predmetni projekt se sufinancira sredstvima Fonda za zaštitu okoliša i energetsku učinkovitost. Realizirano je 23.903,13 eura ili 50,86% plana i to za </w:t>
      </w:r>
      <w:r w:rsidR="00BA280A" w:rsidRPr="00BA280A">
        <w:rPr>
          <w:sz w:val="24"/>
          <w:szCs w:val="24"/>
        </w:rPr>
        <w:t>izradu elaborata i dokumentacije za nastavak sanacije deponija Vučje brdo.</w:t>
      </w:r>
    </w:p>
    <w:p w14:paraId="0DF4CEAF" w14:textId="77777777" w:rsidR="004067BD" w:rsidRDefault="004067BD" w:rsidP="004067BD">
      <w:pPr>
        <w:spacing w:after="0" w:line="240" w:lineRule="auto"/>
        <w:jc w:val="both"/>
        <w:rPr>
          <w:rFonts w:cstheme="minorHAnsi"/>
          <w:sz w:val="24"/>
          <w:szCs w:val="24"/>
        </w:rPr>
      </w:pPr>
    </w:p>
    <w:p w14:paraId="29FD258D" w14:textId="5B6A0954" w:rsidR="00F22232" w:rsidRDefault="00F22232" w:rsidP="004067BD">
      <w:pPr>
        <w:spacing w:after="0" w:line="240" w:lineRule="auto"/>
        <w:jc w:val="both"/>
        <w:rPr>
          <w:rFonts w:cstheme="minorHAnsi"/>
          <w:sz w:val="24"/>
          <w:szCs w:val="24"/>
          <w:u w:val="single"/>
        </w:rPr>
      </w:pPr>
      <w:r>
        <w:rPr>
          <w:rFonts w:cstheme="minorHAnsi"/>
          <w:sz w:val="24"/>
          <w:szCs w:val="24"/>
        </w:rPr>
        <w:t>Za realizaciju programa za 202</w:t>
      </w:r>
      <w:r w:rsidR="00BA280A">
        <w:rPr>
          <w:rFonts w:cstheme="minorHAnsi"/>
          <w:sz w:val="24"/>
          <w:szCs w:val="24"/>
        </w:rPr>
        <w:t>5</w:t>
      </w:r>
      <w:r>
        <w:rPr>
          <w:rFonts w:cstheme="minorHAnsi"/>
          <w:sz w:val="24"/>
          <w:szCs w:val="24"/>
        </w:rPr>
        <w:t xml:space="preserve">. </w:t>
      </w:r>
      <w:r w:rsidRPr="0072519D">
        <w:rPr>
          <w:rFonts w:cstheme="minorHAnsi"/>
          <w:sz w:val="24"/>
          <w:szCs w:val="24"/>
        </w:rPr>
        <w:t xml:space="preserve">godinu planirano je </w:t>
      </w:r>
      <w:r w:rsidR="00BA280A">
        <w:rPr>
          <w:rFonts w:cstheme="minorHAnsi"/>
          <w:sz w:val="24"/>
          <w:szCs w:val="24"/>
        </w:rPr>
        <w:t>47.000,00</w:t>
      </w:r>
      <w:r>
        <w:rPr>
          <w:rFonts w:cstheme="minorHAnsi"/>
          <w:sz w:val="24"/>
          <w:szCs w:val="24"/>
        </w:rPr>
        <w:t xml:space="preserve"> eura</w:t>
      </w:r>
      <w:r w:rsidRPr="0072519D">
        <w:rPr>
          <w:rFonts w:cstheme="minorHAnsi"/>
          <w:sz w:val="24"/>
          <w:szCs w:val="24"/>
        </w:rPr>
        <w:t>, a os</w:t>
      </w:r>
      <w:r>
        <w:rPr>
          <w:rFonts w:cstheme="minorHAnsi"/>
          <w:sz w:val="24"/>
          <w:szCs w:val="24"/>
        </w:rPr>
        <w:t xml:space="preserve">tvareno </w:t>
      </w:r>
      <w:r w:rsidR="00BA280A">
        <w:rPr>
          <w:rFonts w:cstheme="minorHAnsi"/>
          <w:sz w:val="24"/>
          <w:szCs w:val="24"/>
        </w:rPr>
        <w:t>23.903,13</w:t>
      </w:r>
      <w:r>
        <w:rPr>
          <w:rFonts w:cstheme="minorHAnsi"/>
          <w:sz w:val="24"/>
          <w:szCs w:val="24"/>
        </w:rPr>
        <w:t xml:space="preserve"> eura ili </w:t>
      </w:r>
      <w:r w:rsidR="00BA280A">
        <w:rPr>
          <w:rFonts w:cstheme="minorHAnsi"/>
          <w:sz w:val="24"/>
          <w:szCs w:val="24"/>
        </w:rPr>
        <w:t>50,86</w:t>
      </w:r>
      <w:r w:rsidRPr="0072519D">
        <w:rPr>
          <w:rFonts w:cstheme="minorHAnsi"/>
          <w:sz w:val="24"/>
          <w:szCs w:val="24"/>
        </w:rPr>
        <w:t>% plana</w:t>
      </w:r>
      <w:r>
        <w:rPr>
          <w:rFonts w:cstheme="minorHAnsi"/>
          <w:sz w:val="24"/>
          <w:szCs w:val="24"/>
        </w:rPr>
        <w:t>.</w:t>
      </w:r>
    </w:p>
    <w:p w14:paraId="028DDBE0" w14:textId="77777777" w:rsidR="00376406" w:rsidRDefault="00376406" w:rsidP="00D11D30">
      <w:pPr>
        <w:spacing w:after="0"/>
        <w:rPr>
          <w:rFonts w:ascii="Times New Roman" w:hAnsi="Times New Roman" w:cs="Times New Roman"/>
          <w:b/>
          <w:sz w:val="24"/>
          <w:szCs w:val="24"/>
        </w:rPr>
      </w:pPr>
    </w:p>
    <w:p w14:paraId="1B89BDFB" w14:textId="1025507F" w:rsidR="00382E9A" w:rsidRDefault="00F01515" w:rsidP="00D11D30">
      <w:pPr>
        <w:spacing w:after="0"/>
        <w:rPr>
          <w:rFonts w:ascii="Times New Roman" w:hAnsi="Times New Roman" w:cs="Times New Roman"/>
          <w:b/>
          <w:sz w:val="24"/>
          <w:szCs w:val="24"/>
        </w:rPr>
      </w:pPr>
      <w:r w:rsidRPr="00A63D93">
        <w:rPr>
          <w:rFonts w:ascii="Times New Roman" w:hAnsi="Times New Roman" w:cs="Times New Roman"/>
          <w:b/>
          <w:sz w:val="24"/>
          <w:szCs w:val="24"/>
        </w:rPr>
        <w:lastRenderedPageBreak/>
        <w:t>RAZDJEL</w:t>
      </w:r>
      <w:r w:rsidR="00382E9A" w:rsidRPr="00A63D93">
        <w:rPr>
          <w:rFonts w:ascii="Times New Roman" w:hAnsi="Times New Roman" w:cs="Times New Roman"/>
          <w:b/>
          <w:sz w:val="24"/>
          <w:szCs w:val="24"/>
        </w:rPr>
        <w:t xml:space="preserve"> 024 UPRAVNI ODJEL ZA URBANIZAM I PROSTORNO UREĐENJE </w:t>
      </w:r>
    </w:p>
    <w:p w14:paraId="0E49F65E" w14:textId="77777777" w:rsidR="004E1634" w:rsidRDefault="004E1634" w:rsidP="00D11D30">
      <w:pPr>
        <w:spacing w:after="0"/>
        <w:rPr>
          <w:rFonts w:ascii="Times New Roman" w:hAnsi="Times New Roman" w:cs="Times New Roman"/>
          <w:b/>
          <w:sz w:val="24"/>
          <w:szCs w:val="24"/>
        </w:rPr>
      </w:pPr>
    </w:p>
    <w:p w14:paraId="10FEEA80" w14:textId="77777777" w:rsidR="002B5C43" w:rsidRPr="00162757" w:rsidRDefault="002B5C43" w:rsidP="002B5C43">
      <w:pPr>
        <w:spacing w:after="0" w:line="240" w:lineRule="auto"/>
        <w:jc w:val="both"/>
        <w:rPr>
          <w:rFonts w:eastAsia="Times New Roman" w:cstheme="minorHAnsi"/>
          <w:sz w:val="24"/>
          <w:szCs w:val="24"/>
          <w:lang w:eastAsia="hr-HR"/>
        </w:rPr>
      </w:pPr>
      <w:r w:rsidRPr="004E1634">
        <w:rPr>
          <w:rFonts w:cstheme="minorHAnsi"/>
          <w:sz w:val="24"/>
          <w:szCs w:val="24"/>
        </w:rPr>
        <w:t>Odlukom o ustrojstvu i djelokrugu upravnih tijela Grada Trogira („Službeni glasnik Grada Trogira“ broj 26/21) osnovan je  Upravni odjel za urbanizam i prostorno uređenje. Sukladno navedenoj Odluci</w:t>
      </w:r>
      <w:r>
        <w:rPr>
          <w:rFonts w:cstheme="minorHAnsi"/>
          <w:sz w:val="24"/>
          <w:szCs w:val="24"/>
        </w:rPr>
        <w:t>,</w:t>
      </w:r>
      <w:r w:rsidRPr="004E1634">
        <w:rPr>
          <w:rFonts w:cstheme="minorHAnsi"/>
          <w:sz w:val="24"/>
          <w:szCs w:val="24"/>
        </w:rPr>
        <w:t xml:space="preserve"> </w:t>
      </w:r>
      <w:r w:rsidRPr="00162757">
        <w:rPr>
          <w:rFonts w:cstheme="minorHAnsi"/>
          <w:sz w:val="24"/>
          <w:szCs w:val="24"/>
          <w:lang w:eastAsia="hr-HR"/>
        </w:rPr>
        <w:t xml:space="preserve"> zakonima i drugim propisima, u Upravnom odjelu za urbanizam i prostorno uređenje </w:t>
      </w:r>
      <w:r w:rsidRPr="00162757">
        <w:rPr>
          <w:rFonts w:eastAsia="Times New Roman" w:cstheme="minorHAnsi"/>
          <w:sz w:val="24"/>
          <w:szCs w:val="24"/>
          <w:lang w:eastAsia="hr-HR"/>
        </w:rPr>
        <w:t xml:space="preserve">obavljaju se poslovi prostornog planiranja koji obuhvaćaju poslove praćenja i analize provođenja dokumenata prostornog uređenja, ocjene provedenih mjera i njihove učinkovitosti na svrhovito gospodarenje prostorom i zaštitu vrijednosti prostora i okoliša, poslove izrade izvješća o stanju u prostoru, te pripreme i provedbe mjera za unapređenje stanja u prostoru, poslove u svezi izrade prostornih planova, poslove informacijskog sustava prostornog uređenja, i sličnih akata. </w:t>
      </w:r>
    </w:p>
    <w:p w14:paraId="1E76FB81" w14:textId="77777777" w:rsidR="002B5C43" w:rsidRDefault="002B5C43" w:rsidP="002B5C43">
      <w:pPr>
        <w:spacing w:after="0" w:line="240" w:lineRule="auto"/>
        <w:jc w:val="both"/>
        <w:rPr>
          <w:rFonts w:eastAsia="Times New Roman" w:cstheme="minorHAnsi"/>
          <w:sz w:val="24"/>
          <w:szCs w:val="24"/>
          <w:lang w:eastAsia="hr-HR"/>
        </w:rPr>
      </w:pPr>
      <w:r w:rsidRPr="00162757">
        <w:rPr>
          <w:rFonts w:eastAsia="Times New Roman" w:cstheme="minorHAnsi"/>
          <w:sz w:val="24"/>
          <w:szCs w:val="24"/>
          <w:lang w:eastAsia="hr-HR"/>
        </w:rPr>
        <w:t>Obavlja i upravne i stručne poslove iz samoupravnog djelokruga Grada kojima se osiguravaju uvjeti za gospodarenje prostorom Grada kroz prostorno i urbanističko planiranje, provedbu dokumenata prostornog uređenja, a koji su zakonom stavljeni u nadležnost Grada, te poslove zaštite okoliša koji obuhvaćaju poslove praćenja stanja zaštite okoliša, izradu studija, planova i drugih akata u svezi unapređenja zaštite okoliša.</w:t>
      </w:r>
    </w:p>
    <w:p w14:paraId="2528E9AB" w14:textId="77777777" w:rsidR="00F02569" w:rsidRDefault="00F02569" w:rsidP="00A362AC">
      <w:pPr>
        <w:spacing w:after="0" w:line="288" w:lineRule="auto"/>
        <w:jc w:val="both"/>
        <w:rPr>
          <w:rFonts w:cstheme="minorHAnsi"/>
          <w:sz w:val="24"/>
          <w:szCs w:val="24"/>
        </w:rPr>
      </w:pPr>
    </w:p>
    <w:p w14:paraId="09D85AFC" w14:textId="5DBFE108" w:rsidR="00A362AC" w:rsidRDefault="00A362AC" w:rsidP="00F02569">
      <w:pPr>
        <w:spacing w:after="0" w:line="240" w:lineRule="auto"/>
        <w:jc w:val="both"/>
        <w:rPr>
          <w:rFonts w:cstheme="minorHAnsi"/>
          <w:sz w:val="24"/>
          <w:szCs w:val="24"/>
        </w:rPr>
      </w:pPr>
      <w:r w:rsidRPr="00A362AC">
        <w:rPr>
          <w:rFonts w:cstheme="minorHAnsi"/>
          <w:sz w:val="24"/>
          <w:szCs w:val="24"/>
        </w:rPr>
        <w:t xml:space="preserve">Unutar proračunske glave 02401 Upravni odjel za urbanizam i prostorno uređenje, prema programskoj klasifikaciji, rashodi su svrstani na slijedeći način: </w:t>
      </w:r>
    </w:p>
    <w:p w14:paraId="68914976" w14:textId="412874B2" w:rsidR="00EF53D0" w:rsidRPr="00A362AC" w:rsidRDefault="00EF53D0" w:rsidP="00F02569">
      <w:pPr>
        <w:spacing w:after="0" w:line="240" w:lineRule="auto"/>
        <w:jc w:val="both"/>
        <w:rPr>
          <w:rFonts w:cstheme="minorHAnsi"/>
          <w:sz w:val="24"/>
          <w:szCs w:val="24"/>
        </w:rPr>
      </w:pPr>
      <w:r>
        <w:rPr>
          <w:rFonts w:cstheme="minorHAnsi"/>
          <w:sz w:val="24"/>
          <w:szCs w:val="24"/>
        </w:rPr>
        <w:t xml:space="preserve">-Program 1101 Javna uprava i administracija </w:t>
      </w:r>
    </w:p>
    <w:p w14:paraId="4C271C6F" w14:textId="77777777" w:rsidR="00A362AC" w:rsidRPr="00A362AC" w:rsidRDefault="00A362AC" w:rsidP="00F02569">
      <w:pPr>
        <w:spacing w:after="0" w:line="240" w:lineRule="auto"/>
        <w:jc w:val="both"/>
        <w:rPr>
          <w:rFonts w:cstheme="minorHAnsi"/>
          <w:sz w:val="24"/>
          <w:szCs w:val="24"/>
        </w:rPr>
      </w:pPr>
      <w:r w:rsidRPr="00A362AC">
        <w:rPr>
          <w:rFonts w:cstheme="minorHAnsi"/>
          <w:sz w:val="24"/>
          <w:szCs w:val="24"/>
        </w:rPr>
        <w:t>- Program 1606 Prostorno planiranje</w:t>
      </w:r>
    </w:p>
    <w:p w14:paraId="137AB295" w14:textId="77777777" w:rsidR="00A362AC" w:rsidRPr="00A362AC" w:rsidRDefault="00A362AC" w:rsidP="00F02569">
      <w:pPr>
        <w:spacing w:after="0" w:line="240" w:lineRule="auto"/>
        <w:jc w:val="both"/>
        <w:rPr>
          <w:rFonts w:cstheme="minorHAnsi"/>
          <w:sz w:val="24"/>
          <w:szCs w:val="24"/>
        </w:rPr>
      </w:pPr>
      <w:r w:rsidRPr="00A362AC">
        <w:rPr>
          <w:rFonts w:cstheme="minorHAnsi"/>
          <w:sz w:val="24"/>
          <w:szCs w:val="24"/>
        </w:rPr>
        <w:t>- Program 1607 Zaštita okoliša i ekologija</w:t>
      </w:r>
    </w:p>
    <w:p w14:paraId="2845A099" w14:textId="77777777" w:rsidR="00C609A4" w:rsidRDefault="00C609A4" w:rsidP="00A362AC">
      <w:pPr>
        <w:spacing w:after="0" w:line="240" w:lineRule="auto"/>
        <w:jc w:val="both"/>
        <w:rPr>
          <w:rFonts w:eastAsia="Times New Roman" w:cstheme="minorHAnsi"/>
          <w:sz w:val="24"/>
          <w:szCs w:val="24"/>
          <w:lang w:eastAsia="hr-HR"/>
        </w:rPr>
      </w:pPr>
    </w:p>
    <w:p w14:paraId="03D0922B" w14:textId="31318EF8" w:rsidR="002B5C43" w:rsidRDefault="002B5C43" w:rsidP="002B5C43">
      <w:pPr>
        <w:spacing w:after="0" w:line="240" w:lineRule="auto"/>
        <w:jc w:val="both"/>
        <w:rPr>
          <w:rFonts w:cstheme="minorHAnsi"/>
          <w:sz w:val="24"/>
          <w:szCs w:val="24"/>
          <w:lang w:eastAsia="hr-HR"/>
        </w:rPr>
      </w:pPr>
      <w:r>
        <w:rPr>
          <w:rFonts w:eastAsia="Times New Roman" w:cstheme="minorHAnsi"/>
          <w:sz w:val="24"/>
          <w:szCs w:val="24"/>
          <w:lang w:eastAsia="hr-HR"/>
        </w:rPr>
        <w:t>Izvršenje u izvještajnom razdoblju 202</w:t>
      </w:r>
      <w:r w:rsidR="008D6672">
        <w:rPr>
          <w:rFonts w:eastAsia="Times New Roman" w:cstheme="minorHAnsi"/>
          <w:sz w:val="24"/>
          <w:szCs w:val="24"/>
          <w:lang w:eastAsia="hr-HR"/>
        </w:rPr>
        <w:t>5</w:t>
      </w:r>
      <w:r>
        <w:rPr>
          <w:rFonts w:eastAsia="Times New Roman" w:cstheme="minorHAnsi"/>
          <w:sz w:val="24"/>
          <w:szCs w:val="24"/>
          <w:lang w:eastAsia="hr-HR"/>
        </w:rPr>
        <w:t xml:space="preserve">.godine unutar navedenog UO je na razini od </w:t>
      </w:r>
      <w:r w:rsidR="003B0C47">
        <w:rPr>
          <w:rFonts w:eastAsia="Times New Roman" w:cstheme="minorHAnsi"/>
          <w:sz w:val="24"/>
          <w:szCs w:val="24"/>
          <w:lang w:eastAsia="hr-HR"/>
        </w:rPr>
        <w:t>30,63</w:t>
      </w:r>
      <w:r>
        <w:rPr>
          <w:rFonts w:cstheme="minorHAnsi"/>
          <w:sz w:val="24"/>
          <w:szCs w:val="24"/>
        </w:rPr>
        <w:t xml:space="preserve">% plana i iznosi </w:t>
      </w:r>
      <w:r w:rsidR="003B0C47">
        <w:rPr>
          <w:rFonts w:cstheme="minorHAnsi"/>
          <w:sz w:val="24"/>
          <w:szCs w:val="24"/>
        </w:rPr>
        <w:t>83.433,82</w:t>
      </w:r>
      <w:r>
        <w:rPr>
          <w:rFonts w:cstheme="minorHAnsi"/>
          <w:sz w:val="24"/>
          <w:szCs w:val="24"/>
        </w:rPr>
        <w:t xml:space="preserve"> eura,</w:t>
      </w:r>
      <w:r w:rsidRPr="00162757">
        <w:rPr>
          <w:rFonts w:cstheme="minorHAnsi"/>
          <w:sz w:val="24"/>
          <w:szCs w:val="24"/>
        </w:rPr>
        <w:t xml:space="preserve"> dok su sredstva planirana u iznosu od </w:t>
      </w:r>
      <w:r w:rsidR="003B0C47">
        <w:rPr>
          <w:rFonts w:cstheme="minorHAnsi"/>
          <w:sz w:val="24"/>
          <w:szCs w:val="24"/>
        </w:rPr>
        <w:t>272.395,00</w:t>
      </w:r>
      <w:r>
        <w:rPr>
          <w:rFonts w:cstheme="minorHAnsi"/>
          <w:sz w:val="24"/>
          <w:szCs w:val="24"/>
        </w:rPr>
        <w:t xml:space="preserve"> eura za 202</w:t>
      </w:r>
      <w:r w:rsidR="003B0C47">
        <w:rPr>
          <w:rFonts w:cstheme="minorHAnsi"/>
          <w:sz w:val="24"/>
          <w:szCs w:val="24"/>
        </w:rPr>
        <w:t>5</w:t>
      </w:r>
      <w:r w:rsidRPr="00162757">
        <w:rPr>
          <w:rFonts w:cstheme="minorHAnsi"/>
          <w:sz w:val="24"/>
          <w:szCs w:val="24"/>
        </w:rPr>
        <w:t>.</w:t>
      </w:r>
      <w:r>
        <w:rPr>
          <w:rFonts w:cstheme="minorHAnsi"/>
          <w:sz w:val="24"/>
          <w:szCs w:val="24"/>
        </w:rPr>
        <w:t xml:space="preserve"> </w:t>
      </w:r>
      <w:r w:rsidRPr="00162757">
        <w:rPr>
          <w:rFonts w:cstheme="minorHAnsi"/>
          <w:sz w:val="24"/>
          <w:szCs w:val="24"/>
        </w:rPr>
        <w:t xml:space="preserve">godinu. </w:t>
      </w:r>
      <w:r w:rsidRPr="00162757">
        <w:rPr>
          <w:rFonts w:cstheme="minorHAnsi"/>
          <w:sz w:val="24"/>
          <w:szCs w:val="24"/>
          <w:lang w:eastAsia="hr-HR"/>
        </w:rPr>
        <w:t>Sredstva su utrošena za provedbu sljedećih programa:</w:t>
      </w:r>
    </w:p>
    <w:p w14:paraId="3F7ACFE2" w14:textId="77777777" w:rsidR="00A362AC" w:rsidRDefault="00A362AC" w:rsidP="00A362AC">
      <w:pPr>
        <w:spacing w:after="0" w:line="288" w:lineRule="auto"/>
        <w:jc w:val="both"/>
        <w:rPr>
          <w:rFonts w:cstheme="minorHAnsi"/>
          <w:sz w:val="24"/>
          <w:szCs w:val="24"/>
        </w:rPr>
      </w:pPr>
    </w:p>
    <w:tbl>
      <w:tblPr>
        <w:tblW w:w="11459" w:type="dxa"/>
        <w:jc w:val="center"/>
        <w:tblBorders>
          <w:top w:val="single" w:sz="4" w:space="0" w:color="7F7F7F"/>
          <w:bottom w:val="single" w:sz="4" w:space="0" w:color="7F7F7F"/>
          <w:insideH w:val="single" w:sz="4" w:space="0" w:color="7F7F7F"/>
        </w:tblBorders>
        <w:tblLook w:val="00A0" w:firstRow="1" w:lastRow="0" w:firstColumn="1" w:lastColumn="0" w:noHBand="0" w:noVBand="0"/>
      </w:tblPr>
      <w:tblGrid>
        <w:gridCol w:w="969"/>
        <w:gridCol w:w="721"/>
        <w:gridCol w:w="4401"/>
        <w:gridCol w:w="1757"/>
        <w:gridCol w:w="1339"/>
        <w:gridCol w:w="1347"/>
        <w:gridCol w:w="925"/>
      </w:tblGrid>
      <w:tr w:rsidR="002110F7" w:rsidRPr="00875B08" w14:paraId="6F6375FD" w14:textId="77777777" w:rsidTr="002110F7">
        <w:trPr>
          <w:trHeight w:val="300"/>
          <w:jc w:val="center"/>
        </w:trPr>
        <w:tc>
          <w:tcPr>
            <w:tcW w:w="6091" w:type="dxa"/>
            <w:gridSpan w:val="3"/>
            <w:shd w:val="clear" w:color="auto" w:fill="C6D9F1"/>
            <w:vAlign w:val="center"/>
          </w:tcPr>
          <w:p w14:paraId="6585E9D1" w14:textId="77777777" w:rsidR="002110F7" w:rsidRPr="00580385" w:rsidRDefault="002110F7" w:rsidP="0010055F">
            <w:pPr>
              <w:autoSpaceDE w:val="0"/>
              <w:autoSpaceDN w:val="0"/>
              <w:adjustRightInd w:val="0"/>
              <w:jc w:val="center"/>
              <w:rPr>
                <w:rFonts w:ascii="Arial" w:hAnsi="Arial" w:cs="Arial"/>
                <w:b/>
                <w:sz w:val="18"/>
                <w:szCs w:val="18"/>
              </w:rPr>
            </w:pPr>
            <w:r>
              <w:rPr>
                <w:rFonts w:ascii="Arial" w:hAnsi="Arial" w:cs="Arial"/>
                <w:b/>
                <w:sz w:val="18"/>
                <w:szCs w:val="18"/>
              </w:rPr>
              <w:t>PROGRAM</w:t>
            </w:r>
          </w:p>
        </w:tc>
        <w:tc>
          <w:tcPr>
            <w:tcW w:w="1757" w:type="dxa"/>
            <w:shd w:val="clear" w:color="auto" w:fill="C6D9F1"/>
            <w:vAlign w:val="center"/>
          </w:tcPr>
          <w:p w14:paraId="5D67D329" w14:textId="6258CE60" w:rsidR="002110F7" w:rsidRPr="00580385" w:rsidRDefault="002110F7" w:rsidP="0010055F">
            <w:pPr>
              <w:autoSpaceDE w:val="0"/>
              <w:autoSpaceDN w:val="0"/>
              <w:adjustRightInd w:val="0"/>
              <w:jc w:val="center"/>
              <w:rPr>
                <w:rFonts w:ascii="Arial" w:hAnsi="Arial" w:cs="Arial"/>
                <w:b/>
                <w:sz w:val="18"/>
                <w:szCs w:val="18"/>
              </w:rPr>
            </w:pPr>
            <w:r>
              <w:rPr>
                <w:rFonts w:ascii="Arial" w:hAnsi="Arial" w:cs="Arial"/>
                <w:b/>
                <w:sz w:val="18"/>
                <w:szCs w:val="18"/>
              </w:rPr>
              <w:t xml:space="preserve">IZVORNI </w:t>
            </w:r>
            <w:r w:rsidRPr="00580385">
              <w:rPr>
                <w:rFonts w:ascii="Arial" w:hAnsi="Arial" w:cs="Arial"/>
                <w:b/>
                <w:sz w:val="18"/>
                <w:szCs w:val="18"/>
              </w:rPr>
              <w:t>PLAN</w:t>
            </w:r>
            <w:r>
              <w:rPr>
                <w:rFonts w:ascii="Arial" w:hAnsi="Arial" w:cs="Arial"/>
                <w:b/>
                <w:sz w:val="18"/>
                <w:szCs w:val="18"/>
              </w:rPr>
              <w:t>/REBALANS   202</w:t>
            </w:r>
            <w:r w:rsidR="002B5C43">
              <w:rPr>
                <w:rFonts w:ascii="Arial" w:hAnsi="Arial" w:cs="Arial"/>
                <w:b/>
                <w:sz w:val="18"/>
                <w:szCs w:val="18"/>
              </w:rPr>
              <w:t>4</w:t>
            </w:r>
            <w:r>
              <w:rPr>
                <w:rFonts w:ascii="Arial" w:hAnsi="Arial" w:cs="Arial"/>
                <w:b/>
                <w:sz w:val="18"/>
                <w:szCs w:val="18"/>
              </w:rPr>
              <w:t>.</w:t>
            </w:r>
          </w:p>
        </w:tc>
        <w:tc>
          <w:tcPr>
            <w:tcW w:w="1339" w:type="dxa"/>
            <w:shd w:val="clear" w:color="auto" w:fill="C6D9F1"/>
          </w:tcPr>
          <w:p w14:paraId="358D584E" w14:textId="029DD6A0" w:rsidR="002110F7" w:rsidRDefault="002110F7" w:rsidP="0010055F">
            <w:pPr>
              <w:autoSpaceDE w:val="0"/>
              <w:autoSpaceDN w:val="0"/>
              <w:adjustRightInd w:val="0"/>
              <w:jc w:val="center"/>
              <w:rPr>
                <w:rFonts w:ascii="Arial" w:hAnsi="Arial" w:cs="Arial"/>
                <w:b/>
                <w:sz w:val="18"/>
                <w:szCs w:val="18"/>
              </w:rPr>
            </w:pPr>
            <w:r>
              <w:rPr>
                <w:rFonts w:ascii="Arial" w:hAnsi="Arial" w:cs="Arial"/>
                <w:b/>
                <w:sz w:val="18"/>
                <w:szCs w:val="18"/>
              </w:rPr>
              <w:t>TEKUĆI PLAN 202</w:t>
            </w:r>
            <w:r w:rsidR="008D6672">
              <w:rPr>
                <w:rFonts w:ascii="Arial" w:hAnsi="Arial" w:cs="Arial"/>
                <w:b/>
                <w:sz w:val="18"/>
                <w:szCs w:val="18"/>
              </w:rPr>
              <w:t>5</w:t>
            </w:r>
            <w:r>
              <w:rPr>
                <w:rFonts w:ascii="Arial" w:hAnsi="Arial" w:cs="Arial"/>
                <w:b/>
                <w:sz w:val="18"/>
                <w:szCs w:val="18"/>
              </w:rPr>
              <w:t xml:space="preserve">. </w:t>
            </w:r>
          </w:p>
        </w:tc>
        <w:tc>
          <w:tcPr>
            <w:tcW w:w="1347" w:type="dxa"/>
            <w:shd w:val="clear" w:color="auto" w:fill="C6D9F1"/>
            <w:vAlign w:val="center"/>
          </w:tcPr>
          <w:p w14:paraId="731CBCBC" w14:textId="1B8385CD" w:rsidR="002110F7" w:rsidRPr="00580385" w:rsidRDefault="002110F7" w:rsidP="0010055F">
            <w:pPr>
              <w:autoSpaceDE w:val="0"/>
              <w:autoSpaceDN w:val="0"/>
              <w:adjustRightInd w:val="0"/>
              <w:jc w:val="center"/>
              <w:rPr>
                <w:rFonts w:ascii="Arial" w:hAnsi="Arial" w:cs="Arial"/>
                <w:b/>
                <w:sz w:val="18"/>
                <w:szCs w:val="18"/>
              </w:rPr>
            </w:pPr>
            <w:r>
              <w:rPr>
                <w:rFonts w:ascii="Arial" w:hAnsi="Arial" w:cs="Arial"/>
                <w:b/>
                <w:sz w:val="18"/>
                <w:szCs w:val="18"/>
              </w:rPr>
              <w:t>IZVRŠENJE  202</w:t>
            </w:r>
            <w:r w:rsidR="008D6672">
              <w:rPr>
                <w:rFonts w:ascii="Arial" w:hAnsi="Arial" w:cs="Arial"/>
                <w:b/>
                <w:sz w:val="18"/>
                <w:szCs w:val="18"/>
              </w:rPr>
              <w:t>5</w:t>
            </w:r>
            <w:r w:rsidRPr="00580385">
              <w:rPr>
                <w:rFonts w:ascii="Arial" w:hAnsi="Arial" w:cs="Arial"/>
                <w:b/>
                <w:sz w:val="18"/>
                <w:szCs w:val="18"/>
              </w:rPr>
              <w:t>.</w:t>
            </w:r>
          </w:p>
        </w:tc>
        <w:tc>
          <w:tcPr>
            <w:tcW w:w="925" w:type="dxa"/>
            <w:shd w:val="clear" w:color="auto" w:fill="C6D9F1"/>
            <w:vAlign w:val="center"/>
          </w:tcPr>
          <w:p w14:paraId="30816744" w14:textId="35A6AF52" w:rsidR="002110F7" w:rsidRPr="00580385" w:rsidRDefault="002110F7" w:rsidP="0010055F">
            <w:pPr>
              <w:autoSpaceDE w:val="0"/>
              <w:autoSpaceDN w:val="0"/>
              <w:adjustRightInd w:val="0"/>
              <w:jc w:val="center"/>
              <w:rPr>
                <w:rFonts w:ascii="Arial" w:hAnsi="Arial" w:cs="Arial"/>
                <w:b/>
                <w:sz w:val="18"/>
                <w:szCs w:val="18"/>
              </w:rPr>
            </w:pPr>
            <w:r w:rsidRPr="00580385">
              <w:rPr>
                <w:rFonts w:ascii="Arial" w:hAnsi="Arial" w:cs="Arial"/>
                <w:b/>
                <w:sz w:val="18"/>
                <w:szCs w:val="18"/>
              </w:rPr>
              <w:t>INDEKS</w:t>
            </w:r>
            <w:r>
              <w:rPr>
                <w:rFonts w:ascii="Arial" w:hAnsi="Arial" w:cs="Arial"/>
                <w:b/>
                <w:sz w:val="18"/>
                <w:szCs w:val="18"/>
              </w:rPr>
              <w:t xml:space="preserve"> (3/1)</w:t>
            </w:r>
          </w:p>
        </w:tc>
      </w:tr>
      <w:tr w:rsidR="002110F7" w:rsidRPr="00875B08" w14:paraId="68A16C20" w14:textId="77777777" w:rsidTr="002110F7">
        <w:trPr>
          <w:trHeight w:val="300"/>
          <w:jc w:val="center"/>
        </w:trPr>
        <w:tc>
          <w:tcPr>
            <w:tcW w:w="6091" w:type="dxa"/>
            <w:gridSpan w:val="3"/>
            <w:shd w:val="clear" w:color="auto" w:fill="C6D9F1"/>
            <w:vAlign w:val="center"/>
          </w:tcPr>
          <w:p w14:paraId="55B26664" w14:textId="77777777" w:rsidR="002110F7" w:rsidRDefault="002110F7" w:rsidP="0010055F">
            <w:pPr>
              <w:autoSpaceDE w:val="0"/>
              <w:autoSpaceDN w:val="0"/>
              <w:adjustRightInd w:val="0"/>
              <w:jc w:val="center"/>
              <w:rPr>
                <w:rFonts w:ascii="Arial" w:hAnsi="Arial" w:cs="Arial"/>
                <w:b/>
                <w:sz w:val="18"/>
                <w:szCs w:val="18"/>
              </w:rPr>
            </w:pPr>
          </w:p>
        </w:tc>
        <w:tc>
          <w:tcPr>
            <w:tcW w:w="1757" w:type="dxa"/>
            <w:shd w:val="clear" w:color="auto" w:fill="C6D9F1"/>
            <w:vAlign w:val="center"/>
          </w:tcPr>
          <w:p w14:paraId="380EF15B" w14:textId="77777777" w:rsidR="002110F7" w:rsidRDefault="002110F7" w:rsidP="0010055F">
            <w:pPr>
              <w:autoSpaceDE w:val="0"/>
              <w:autoSpaceDN w:val="0"/>
              <w:adjustRightInd w:val="0"/>
              <w:jc w:val="center"/>
              <w:rPr>
                <w:rFonts w:ascii="Arial" w:hAnsi="Arial" w:cs="Arial"/>
                <w:b/>
                <w:sz w:val="18"/>
                <w:szCs w:val="18"/>
              </w:rPr>
            </w:pPr>
            <w:r>
              <w:rPr>
                <w:rFonts w:ascii="Arial" w:hAnsi="Arial" w:cs="Arial"/>
                <w:b/>
                <w:sz w:val="18"/>
                <w:szCs w:val="18"/>
              </w:rPr>
              <w:t>(1)</w:t>
            </w:r>
          </w:p>
        </w:tc>
        <w:tc>
          <w:tcPr>
            <w:tcW w:w="1339" w:type="dxa"/>
            <w:shd w:val="clear" w:color="auto" w:fill="C6D9F1"/>
          </w:tcPr>
          <w:p w14:paraId="21BCF471" w14:textId="54893307" w:rsidR="002110F7" w:rsidRDefault="002110F7" w:rsidP="0010055F">
            <w:pPr>
              <w:autoSpaceDE w:val="0"/>
              <w:autoSpaceDN w:val="0"/>
              <w:adjustRightInd w:val="0"/>
              <w:jc w:val="center"/>
              <w:rPr>
                <w:rFonts w:ascii="Arial" w:hAnsi="Arial" w:cs="Arial"/>
                <w:b/>
                <w:sz w:val="18"/>
                <w:szCs w:val="18"/>
              </w:rPr>
            </w:pPr>
            <w:r>
              <w:rPr>
                <w:rFonts w:ascii="Arial" w:hAnsi="Arial" w:cs="Arial"/>
                <w:b/>
                <w:sz w:val="18"/>
                <w:szCs w:val="18"/>
              </w:rPr>
              <w:t>(2)</w:t>
            </w:r>
          </w:p>
        </w:tc>
        <w:tc>
          <w:tcPr>
            <w:tcW w:w="1347" w:type="dxa"/>
            <w:shd w:val="clear" w:color="auto" w:fill="C6D9F1"/>
            <w:vAlign w:val="center"/>
          </w:tcPr>
          <w:p w14:paraId="304E0088" w14:textId="39D3D5EF" w:rsidR="002110F7" w:rsidRPr="00580385" w:rsidRDefault="002110F7" w:rsidP="0010055F">
            <w:pPr>
              <w:autoSpaceDE w:val="0"/>
              <w:autoSpaceDN w:val="0"/>
              <w:adjustRightInd w:val="0"/>
              <w:jc w:val="center"/>
              <w:rPr>
                <w:rFonts w:ascii="Arial" w:hAnsi="Arial" w:cs="Arial"/>
                <w:b/>
                <w:sz w:val="18"/>
                <w:szCs w:val="18"/>
              </w:rPr>
            </w:pPr>
            <w:r>
              <w:rPr>
                <w:rFonts w:ascii="Arial" w:hAnsi="Arial" w:cs="Arial"/>
                <w:b/>
                <w:sz w:val="18"/>
                <w:szCs w:val="18"/>
              </w:rPr>
              <w:t>(3)</w:t>
            </w:r>
          </w:p>
        </w:tc>
        <w:tc>
          <w:tcPr>
            <w:tcW w:w="925" w:type="dxa"/>
            <w:shd w:val="clear" w:color="auto" w:fill="C6D9F1"/>
            <w:vAlign w:val="center"/>
          </w:tcPr>
          <w:p w14:paraId="3B773E65" w14:textId="6EC48D92" w:rsidR="002110F7" w:rsidRPr="00580385" w:rsidRDefault="002110F7" w:rsidP="0010055F">
            <w:pPr>
              <w:autoSpaceDE w:val="0"/>
              <w:autoSpaceDN w:val="0"/>
              <w:adjustRightInd w:val="0"/>
              <w:jc w:val="center"/>
              <w:rPr>
                <w:rFonts w:ascii="Arial" w:hAnsi="Arial" w:cs="Arial"/>
                <w:b/>
                <w:sz w:val="18"/>
                <w:szCs w:val="18"/>
              </w:rPr>
            </w:pPr>
            <w:r>
              <w:rPr>
                <w:rFonts w:ascii="Arial" w:hAnsi="Arial" w:cs="Arial"/>
                <w:b/>
                <w:sz w:val="18"/>
                <w:szCs w:val="18"/>
              </w:rPr>
              <w:t>(4)</w:t>
            </w:r>
          </w:p>
        </w:tc>
      </w:tr>
      <w:tr w:rsidR="002110F7" w:rsidRPr="00797055" w14:paraId="2A7532C2" w14:textId="77777777" w:rsidTr="002110F7">
        <w:trPr>
          <w:trHeight w:val="300"/>
          <w:jc w:val="center"/>
        </w:trPr>
        <w:tc>
          <w:tcPr>
            <w:tcW w:w="969" w:type="dxa"/>
            <w:shd w:val="clear" w:color="000080" w:fill="FFFFFF"/>
            <w:vAlign w:val="center"/>
          </w:tcPr>
          <w:p w14:paraId="13BDF3C0" w14:textId="77777777" w:rsidR="002110F7" w:rsidRPr="00797055" w:rsidRDefault="002110F7" w:rsidP="0010055F">
            <w:pPr>
              <w:rPr>
                <w:rFonts w:ascii="Arial" w:hAnsi="Arial" w:cs="Arial"/>
                <w:b/>
                <w:bCs/>
                <w:sz w:val="18"/>
                <w:szCs w:val="18"/>
                <w:lang w:eastAsia="hr-HR"/>
              </w:rPr>
            </w:pPr>
            <w:r w:rsidRPr="00797055">
              <w:rPr>
                <w:rFonts w:ascii="Arial" w:hAnsi="Arial" w:cs="Arial"/>
                <w:b/>
                <w:bCs/>
                <w:sz w:val="18"/>
                <w:szCs w:val="18"/>
                <w:lang w:eastAsia="hr-HR"/>
              </w:rPr>
              <w:t>Razdjel</w:t>
            </w:r>
          </w:p>
        </w:tc>
        <w:tc>
          <w:tcPr>
            <w:tcW w:w="721" w:type="dxa"/>
            <w:shd w:val="clear" w:color="000080" w:fill="FFFFFF"/>
            <w:vAlign w:val="center"/>
          </w:tcPr>
          <w:p w14:paraId="793CC458" w14:textId="77777777" w:rsidR="002110F7" w:rsidRPr="00797055" w:rsidRDefault="002110F7" w:rsidP="0010055F">
            <w:pPr>
              <w:rPr>
                <w:rFonts w:ascii="Arial" w:hAnsi="Arial" w:cs="Arial"/>
                <w:b/>
                <w:bCs/>
                <w:sz w:val="18"/>
                <w:szCs w:val="18"/>
                <w:lang w:eastAsia="hr-HR"/>
              </w:rPr>
            </w:pPr>
            <w:r>
              <w:rPr>
                <w:rFonts w:ascii="Arial" w:hAnsi="Arial" w:cs="Arial"/>
                <w:b/>
                <w:bCs/>
                <w:sz w:val="18"/>
                <w:szCs w:val="18"/>
                <w:lang w:eastAsia="hr-HR"/>
              </w:rPr>
              <w:t>024</w:t>
            </w:r>
          </w:p>
        </w:tc>
        <w:tc>
          <w:tcPr>
            <w:tcW w:w="4401" w:type="dxa"/>
            <w:shd w:val="clear" w:color="000080" w:fill="FFFFFF"/>
            <w:vAlign w:val="center"/>
          </w:tcPr>
          <w:p w14:paraId="2B455BA1" w14:textId="77777777" w:rsidR="002110F7" w:rsidRPr="00797055" w:rsidRDefault="002110F7" w:rsidP="0010055F">
            <w:pPr>
              <w:rPr>
                <w:rFonts w:ascii="Arial" w:hAnsi="Arial" w:cs="Arial"/>
                <w:b/>
                <w:bCs/>
                <w:sz w:val="18"/>
                <w:szCs w:val="18"/>
                <w:lang w:eastAsia="hr-HR"/>
              </w:rPr>
            </w:pPr>
            <w:r w:rsidRPr="00797055">
              <w:rPr>
                <w:rFonts w:ascii="Arial" w:hAnsi="Arial" w:cs="Arial"/>
                <w:b/>
                <w:bCs/>
                <w:sz w:val="18"/>
                <w:szCs w:val="18"/>
                <w:lang w:eastAsia="hr-HR"/>
              </w:rPr>
              <w:t>UPRAV</w:t>
            </w:r>
            <w:r>
              <w:rPr>
                <w:rFonts w:ascii="Arial" w:hAnsi="Arial" w:cs="Arial"/>
                <w:b/>
                <w:bCs/>
                <w:sz w:val="18"/>
                <w:szCs w:val="18"/>
                <w:lang w:eastAsia="hr-HR"/>
              </w:rPr>
              <w:t xml:space="preserve">NI ODJEL ZA URBANIZAM I PROSTORNO UREĐENJE </w:t>
            </w:r>
          </w:p>
        </w:tc>
        <w:tc>
          <w:tcPr>
            <w:tcW w:w="1757" w:type="dxa"/>
            <w:shd w:val="clear" w:color="000080" w:fill="FFFFFF"/>
            <w:vAlign w:val="center"/>
          </w:tcPr>
          <w:p w14:paraId="1ED90C7A" w14:textId="78676FF9" w:rsidR="002110F7" w:rsidRPr="00863168" w:rsidRDefault="006D1734" w:rsidP="002110F7">
            <w:pPr>
              <w:jc w:val="center"/>
              <w:rPr>
                <w:rFonts w:ascii="Arial" w:hAnsi="Arial" w:cs="Arial"/>
                <w:b/>
                <w:bCs/>
                <w:sz w:val="18"/>
                <w:szCs w:val="18"/>
              </w:rPr>
            </w:pPr>
            <w:r>
              <w:rPr>
                <w:rFonts w:ascii="Arial" w:hAnsi="Arial" w:cs="Arial"/>
                <w:b/>
                <w:bCs/>
                <w:sz w:val="18"/>
                <w:szCs w:val="18"/>
              </w:rPr>
              <w:t>278.300,00</w:t>
            </w:r>
          </w:p>
        </w:tc>
        <w:tc>
          <w:tcPr>
            <w:tcW w:w="1339" w:type="dxa"/>
            <w:shd w:val="clear" w:color="000080" w:fill="FFFFFF"/>
            <w:vAlign w:val="center"/>
          </w:tcPr>
          <w:p w14:paraId="65B82BF8" w14:textId="07708D46" w:rsidR="002110F7" w:rsidRDefault="006D1734" w:rsidP="002110F7">
            <w:pPr>
              <w:jc w:val="center"/>
              <w:rPr>
                <w:rFonts w:ascii="Arial" w:hAnsi="Arial" w:cs="Arial"/>
                <w:b/>
                <w:bCs/>
                <w:sz w:val="18"/>
                <w:szCs w:val="18"/>
              </w:rPr>
            </w:pPr>
            <w:r>
              <w:rPr>
                <w:rFonts w:ascii="Arial" w:hAnsi="Arial" w:cs="Arial"/>
                <w:b/>
                <w:bCs/>
                <w:sz w:val="18"/>
                <w:szCs w:val="18"/>
              </w:rPr>
              <w:t>272.395,00</w:t>
            </w:r>
          </w:p>
        </w:tc>
        <w:tc>
          <w:tcPr>
            <w:tcW w:w="1347" w:type="dxa"/>
            <w:shd w:val="clear" w:color="000080" w:fill="FFFFFF"/>
            <w:vAlign w:val="center"/>
          </w:tcPr>
          <w:p w14:paraId="07C067C2" w14:textId="7AAD6796" w:rsidR="002110F7" w:rsidRPr="00863168" w:rsidRDefault="006D1734" w:rsidP="002110F7">
            <w:pPr>
              <w:jc w:val="center"/>
              <w:rPr>
                <w:rFonts w:ascii="Arial" w:hAnsi="Arial" w:cs="Arial"/>
                <w:b/>
                <w:bCs/>
                <w:sz w:val="18"/>
                <w:szCs w:val="18"/>
              </w:rPr>
            </w:pPr>
            <w:r>
              <w:rPr>
                <w:rFonts w:ascii="Arial" w:hAnsi="Arial" w:cs="Arial"/>
                <w:b/>
                <w:bCs/>
                <w:sz w:val="18"/>
                <w:szCs w:val="18"/>
              </w:rPr>
              <w:t>83.433,82</w:t>
            </w:r>
          </w:p>
        </w:tc>
        <w:tc>
          <w:tcPr>
            <w:tcW w:w="925" w:type="dxa"/>
            <w:shd w:val="clear" w:color="000080" w:fill="FFFFFF"/>
            <w:vAlign w:val="center"/>
          </w:tcPr>
          <w:p w14:paraId="7B59433B" w14:textId="06D56F11" w:rsidR="002110F7" w:rsidRPr="00863168" w:rsidRDefault="006D1734" w:rsidP="002110F7">
            <w:pPr>
              <w:jc w:val="center"/>
              <w:rPr>
                <w:rFonts w:ascii="Arial" w:hAnsi="Arial" w:cs="Arial"/>
                <w:b/>
                <w:bCs/>
                <w:sz w:val="18"/>
                <w:szCs w:val="18"/>
              </w:rPr>
            </w:pPr>
            <w:r>
              <w:rPr>
                <w:rFonts w:ascii="Arial" w:hAnsi="Arial" w:cs="Arial"/>
                <w:b/>
                <w:bCs/>
                <w:sz w:val="18"/>
                <w:szCs w:val="18"/>
              </w:rPr>
              <w:t>30,63%</w:t>
            </w:r>
          </w:p>
        </w:tc>
      </w:tr>
      <w:tr w:rsidR="002110F7" w:rsidRPr="00A30577" w14:paraId="0F3AA399" w14:textId="77777777" w:rsidTr="002110F7">
        <w:trPr>
          <w:trHeight w:val="300"/>
          <w:jc w:val="center"/>
        </w:trPr>
        <w:tc>
          <w:tcPr>
            <w:tcW w:w="969" w:type="dxa"/>
            <w:shd w:val="clear" w:color="000080" w:fill="FFFFFF"/>
            <w:vAlign w:val="center"/>
          </w:tcPr>
          <w:p w14:paraId="6D290DEC" w14:textId="77777777" w:rsidR="002110F7" w:rsidRPr="00A30577" w:rsidRDefault="002110F7" w:rsidP="0010055F">
            <w:pPr>
              <w:rPr>
                <w:rFonts w:ascii="Arial" w:hAnsi="Arial" w:cs="Arial"/>
                <w:bCs/>
                <w:sz w:val="18"/>
                <w:szCs w:val="18"/>
                <w:lang w:eastAsia="hr-HR"/>
              </w:rPr>
            </w:pPr>
            <w:r w:rsidRPr="00A30577">
              <w:rPr>
                <w:rFonts w:ascii="Arial" w:hAnsi="Arial" w:cs="Arial"/>
                <w:bCs/>
                <w:sz w:val="18"/>
                <w:szCs w:val="18"/>
                <w:lang w:eastAsia="hr-HR"/>
              </w:rPr>
              <w:t xml:space="preserve">Glava </w:t>
            </w:r>
          </w:p>
        </w:tc>
        <w:tc>
          <w:tcPr>
            <w:tcW w:w="721" w:type="dxa"/>
            <w:shd w:val="clear" w:color="000080" w:fill="FFFFFF"/>
            <w:vAlign w:val="center"/>
          </w:tcPr>
          <w:p w14:paraId="5B080195" w14:textId="77777777" w:rsidR="002110F7" w:rsidRPr="00A30577" w:rsidRDefault="002110F7" w:rsidP="0010055F">
            <w:pPr>
              <w:rPr>
                <w:rFonts w:ascii="Arial" w:hAnsi="Arial" w:cs="Arial"/>
                <w:bCs/>
                <w:sz w:val="18"/>
                <w:szCs w:val="18"/>
                <w:lang w:eastAsia="hr-HR"/>
              </w:rPr>
            </w:pPr>
            <w:r w:rsidRPr="00A30577">
              <w:rPr>
                <w:rFonts w:ascii="Arial" w:hAnsi="Arial" w:cs="Arial"/>
                <w:bCs/>
                <w:sz w:val="18"/>
                <w:szCs w:val="18"/>
                <w:lang w:eastAsia="hr-HR"/>
              </w:rPr>
              <w:t>02401</w:t>
            </w:r>
          </w:p>
        </w:tc>
        <w:tc>
          <w:tcPr>
            <w:tcW w:w="4401" w:type="dxa"/>
            <w:shd w:val="clear" w:color="000080" w:fill="FFFFFF"/>
            <w:vAlign w:val="center"/>
          </w:tcPr>
          <w:p w14:paraId="5D318BDE" w14:textId="77777777" w:rsidR="002110F7" w:rsidRPr="00A30577" w:rsidRDefault="002110F7" w:rsidP="0010055F">
            <w:pPr>
              <w:rPr>
                <w:rFonts w:ascii="Arial" w:hAnsi="Arial" w:cs="Arial"/>
                <w:bCs/>
                <w:sz w:val="18"/>
                <w:szCs w:val="18"/>
                <w:lang w:eastAsia="hr-HR"/>
              </w:rPr>
            </w:pPr>
            <w:r w:rsidRPr="00A30577">
              <w:rPr>
                <w:rFonts w:ascii="Arial" w:hAnsi="Arial" w:cs="Arial"/>
                <w:bCs/>
                <w:sz w:val="18"/>
                <w:szCs w:val="18"/>
                <w:lang w:eastAsia="hr-HR"/>
              </w:rPr>
              <w:t xml:space="preserve">UPRAVNI ODJEL ZA URBANIZAM I PROSTORNO UREĐENJE </w:t>
            </w:r>
          </w:p>
        </w:tc>
        <w:tc>
          <w:tcPr>
            <w:tcW w:w="1757" w:type="dxa"/>
            <w:shd w:val="clear" w:color="000080" w:fill="FFFFFF"/>
            <w:vAlign w:val="center"/>
          </w:tcPr>
          <w:p w14:paraId="50CF9C37" w14:textId="3D1048AE" w:rsidR="002110F7" w:rsidRPr="00A30577" w:rsidRDefault="006D1734" w:rsidP="002110F7">
            <w:pPr>
              <w:jc w:val="center"/>
              <w:rPr>
                <w:rFonts w:ascii="Arial" w:hAnsi="Arial" w:cs="Arial"/>
                <w:bCs/>
                <w:sz w:val="18"/>
                <w:szCs w:val="18"/>
              </w:rPr>
            </w:pPr>
            <w:r>
              <w:rPr>
                <w:rFonts w:ascii="Arial" w:hAnsi="Arial" w:cs="Arial"/>
                <w:bCs/>
                <w:sz w:val="18"/>
                <w:szCs w:val="18"/>
              </w:rPr>
              <w:t>278.300,00</w:t>
            </w:r>
          </w:p>
        </w:tc>
        <w:tc>
          <w:tcPr>
            <w:tcW w:w="1339" w:type="dxa"/>
            <w:shd w:val="clear" w:color="000080" w:fill="FFFFFF"/>
            <w:vAlign w:val="center"/>
          </w:tcPr>
          <w:p w14:paraId="576ACB5A" w14:textId="130FFA5F" w:rsidR="002110F7" w:rsidRDefault="006D1734" w:rsidP="002110F7">
            <w:pPr>
              <w:jc w:val="center"/>
              <w:rPr>
                <w:rFonts w:ascii="Arial" w:hAnsi="Arial" w:cs="Arial"/>
                <w:bCs/>
                <w:sz w:val="18"/>
                <w:szCs w:val="18"/>
              </w:rPr>
            </w:pPr>
            <w:r>
              <w:rPr>
                <w:rFonts w:ascii="Arial" w:hAnsi="Arial" w:cs="Arial"/>
                <w:bCs/>
                <w:sz w:val="18"/>
                <w:szCs w:val="18"/>
              </w:rPr>
              <w:t>272.395,00</w:t>
            </w:r>
          </w:p>
        </w:tc>
        <w:tc>
          <w:tcPr>
            <w:tcW w:w="1347" w:type="dxa"/>
            <w:shd w:val="clear" w:color="000080" w:fill="FFFFFF"/>
            <w:vAlign w:val="center"/>
          </w:tcPr>
          <w:p w14:paraId="47A8B848" w14:textId="492D39DD" w:rsidR="002110F7" w:rsidRPr="00A30577" w:rsidRDefault="006D1734" w:rsidP="002110F7">
            <w:pPr>
              <w:jc w:val="center"/>
              <w:rPr>
                <w:rFonts w:ascii="Arial" w:hAnsi="Arial" w:cs="Arial"/>
                <w:bCs/>
                <w:sz w:val="18"/>
                <w:szCs w:val="18"/>
              </w:rPr>
            </w:pPr>
            <w:r>
              <w:rPr>
                <w:rFonts w:ascii="Arial" w:hAnsi="Arial" w:cs="Arial"/>
                <w:bCs/>
                <w:sz w:val="18"/>
                <w:szCs w:val="18"/>
              </w:rPr>
              <w:t>83.433,82</w:t>
            </w:r>
          </w:p>
        </w:tc>
        <w:tc>
          <w:tcPr>
            <w:tcW w:w="925" w:type="dxa"/>
            <w:shd w:val="clear" w:color="000080" w:fill="FFFFFF"/>
            <w:vAlign w:val="center"/>
          </w:tcPr>
          <w:p w14:paraId="2EB274E1" w14:textId="18D51018" w:rsidR="002110F7" w:rsidRPr="00A30577" w:rsidRDefault="006D1734" w:rsidP="002110F7">
            <w:pPr>
              <w:jc w:val="center"/>
              <w:rPr>
                <w:rFonts w:ascii="Arial" w:hAnsi="Arial" w:cs="Arial"/>
                <w:bCs/>
                <w:sz w:val="18"/>
                <w:szCs w:val="18"/>
              </w:rPr>
            </w:pPr>
            <w:r>
              <w:rPr>
                <w:rFonts w:ascii="Arial" w:hAnsi="Arial" w:cs="Arial"/>
                <w:bCs/>
                <w:sz w:val="18"/>
                <w:szCs w:val="18"/>
              </w:rPr>
              <w:t>30,63%</w:t>
            </w:r>
          </w:p>
        </w:tc>
      </w:tr>
      <w:tr w:rsidR="002110F7" w:rsidRPr="00797055" w14:paraId="58CF6D37" w14:textId="77777777" w:rsidTr="002110F7">
        <w:trPr>
          <w:trHeight w:val="300"/>
          <w:jc w:val="center"/>
        </w:trPr>
        <w:tc>
          <w:tcPr>
            <w:tcW w:w="969" w:type="dxa"/>
            <w:shd w:val="clear" w:color="C6CEF4" w:fill="FFFFFF"/>
            <w:vAlign w:val="center"/>
          </w:tcPr>
          <w:p w14:paraId="57A2DF79" w14:textId="77777777" w:rsidR="002110F7" w:rsidRPr="00797055" w:rsidRDefault="002110F7" w:rsidP="0010055F">
            <w:pPr>
              <w:rPr>
                <w:rFonts w:ascii="Arial" w:hAnsi="Arial" w:cs="Arial"/>
                <w:sz w:val="18"/>
                <w:szCs w:val="18"/>
                <w:lang w:eastAsia="hr-HR"/>
              </w:rPr>
            </w:pPr>
            <w:r w:rsidRPr="00797055">
              <w:rPr>
                <w:rFonts w:ascii="Arial" w:hAnsi="Arial" w:cs="Arial"/>
                <w:sz w:val="18"/>
                <w:szCs w:val="18"/>
                <w:lang w:eastAsia="hr-HR"/>
              </w:rPr>
              <w:t>Program</w:t>
            </w:r>
          </w:p>
        </w:tc>
        <w:tc>
          <w:tcPr>
            <w:tcW w:w="721" w:type="dxa"/>
            <w:shd w:val="clear" w:color="C6CEF4" w:fill="FFFFFF"/>
            <w:vAlign w:val="center"/>
          </w:tcPr>
          <w:p w14:paraId="1E641C52" w14:textId="77777777" w:rsidR="002110F7" w:rsidRPr="00797055" w:rsidRDefault="002110F7" w:rsidP="0010055F">
            <w:pPr>
              <w:rPr>
                <w:rFonts w:ascii="Arial" w:hAnsi="Arial" w:cs="Arial"/>
                <w:sz w:val="18"/>
                <w:szCs w:val="18"/>
                <w:lang w:eastAsia="hr-HR"/>
              </w:rPr>
            </w:pPr>
            <w:r>
              <w:rPr>
                <w:rFonts w:ascii="Arial" w:hAnsi="Arial" w:cs="Arial"/>
                <w:sz w:val="18"/>
                <w:szCs w:val="18"/>
                <w:lang w:eastAsia="hr-HR"/>
              </w:rPr>
              <w:t>1101</w:t>
            </w:r>
          </w:p>
        </w:tc>
        <w:tc>
          <w:tcPr>
            <w:tcW w:w="4401" w:type="dxa"/>
            <w:shd w:val="clear" w:color="C6CEF4" w:fill="FFFFFF"/>
            <w:vAlign w:val="center"/>
          </w:tcPr>
          <w:p w14:paraId="019F36D5" w14:textId="77777777" w:rsidR="002110F7" w:rsidRPr="00797055" w:rsidRDefault="002110F7" w:rsidP="0010055F">
            <w:pPr>
              <w:rPr>
                <w:rFonts w:ascii="Arial" w:hAnsi="Arial" w:cs="Arial"/>
                <w:sz w:val="18"/>
                <w:szCs w:val="18"/>
                <w:lang w:eastAsia="hr-HR"/>
              </w:rPr>
            </w:pPr>
            <w:r>
              <w:rPr>
                <w:rFonts w:ascii="Arial" w:hAnsi="Arial" w:cs="Arial"/>
                <w:sz w:val="18"/>
                <w:szCs w:val="18"/>
                <w:lang w:eastAsia="hr-HR"/>
              </w:rPr>
              <w:t xml:space="preserve">JAVNA UPRAVA I ADMINISTRACIJA </w:t>
            </w:r>
          </w:p>
        </w:tc>
        <w:tc>
          <w:tcPr>
            <w:tcW w:w="1757" w:type="dxa"/>
            <w:shd w:val="clear" w:color="C6CEF4" w:fill="FFFFFF"/>
            <w:vAlign w:val="center"/>
          </w:tcPr>
          <w:p w14:paraId="54072FF7" w14:textId="5CCF58BD" w:rsidR="002110F7" w:rsidRPr="00863168" w:rsidRDefault="006D1734" w:rsidP="002110F7">
            <w:pPr>
              <w:jc w:val="center"/>
              <w:rPr>
                <w:rFonts w:ascii="Arial" w:hAnsi="Arial" w:cs="Arial"/>
                <w:bCs/>
                <w:sz w:val="18"/>
                <w:szCs w:val="18"/>
              </w:rPr>
            </w:pPr>
            <w:r>
              <w:rPr>
                <w:rFonts w:ascii="Arial" w:hAnsi="Arial" w:cs="Arial"/>
                <w:bCs/>
                <w:sz w:val="18"/>
                <w:szCs w:val="18"/>
              </w:rPr>
              <w:t>78.800,00</w:t>
            </w:r>
          </w:p>
        </w:tc>
        <w:tc>
          <w:tcPr>
            <w:tcW w:w="1339" w:type="dxa"/>
            <w:shd w:val="clear" w:color="C6CEF4" w:fill="FFFFFF"/>
            <w:vAlign w:val="center"/>
          </w:tcPr>
          <w:p w14:paraId="4D262F52" w14:textId="30C179A4" w:rsidR="002110F7" w:rsidRDefault="006D1734" w:rsidP="002110F7">
            <w:pPr>
              <w:jc w:val="center"/>
              <w:rPr>
                <w:rFonts w:ascii="Arial" w:hAnsi="Arial" w:cs="Arial"/>
                <w:bCs/>
                <w:sz w:val="18"/>
                <w:szCs w:val="18"/>
              </w:rPr>
            </w:pPr>
            <w:r>
              <w:rPr>
                <w:rFonts w:ascii="Arial" w:hAnsi="Arial" w:cs="Arial"/>
                <w:bCs/>
                <w:sz w:val="18"/>
                <w:szCs w:val="18"/>
              </w:rPr>
              <w:t>75.050,00</w:t>
            </w:r>
          </w:p>
        </w:tc>
        <w:tc>
          <w:tcPr>
            <w:tcW w:w="1347" w:type="dxa"/>
            <w:shd w:val="clear" w:color="C6CEF4" w:fill="FFFFFF"/>
            <w:vAlign w:val="center"/>
          </w:tcPr>
          <w:p w14:paraId="32C8057A" w14:textId="69FA98FF" w:rsidR="002110F7" w:rsidRPr="00863168" w:rsidRDefault="006D1734" w:rsidP="002110F7">
            <w:pPr>
              <w:jc w:val="center"/>
              <w:rPr>
                <w:rFonts w:ascii="Arial" w:hAnsi="Arial" w:cs="Arial"/>
                <w:bCs/>
                <w:sz w:val="18"/>
                <w:szCs w:val="18"/>
              </w:rPr>
            </w:pPr>
            <w:r>
              <w:rPr>
                <w:rFonts w:ascii="Arial" w:hAnsi="Arial" w:cs="Arial"/>
                <w:bCs/>
                <w:sz w:val="18"/>
                <w:szCs w:val="18"/>
              </w:rPr>
              <w:t>51.051,32</w:t>
            </w:r>
          </w:p>
        </w:tc>
        <w:tc>
          <w:tcPr>
            <w:tcW w:w="925" w:type="dxa"/>
            <w:shd w:val="clear" w:color="C6CEF4" w:fill="FFFFFF"/>
            <w:vAlign w:val="center"/>
          </w:tcPr>
          <w:p w14:paraId="3E86EA18" w14:textId="3B00D938" w:rsidR="002110F7" w:rsidRPr="00863168" w:rsidRDefault="006D1734" w:rsidP="002110F7">
            <w:pPr>
              <w:jc w:val="center"/>
              <w:rPr>
                <w:rFonts w:ascii="Arial" w:hAnsi="Arial" w:cs="Arial"/>
                <w:bCs/>
                <w:sz w:val="18"/>
                <w:szCs w:val="18"/>
              </w:rPr>
            </w:pPr>
            <w:r>
              <w:rPr>
                <w:rFonts w:ascii="Arial" w:hAnsi="Arial" w:cs="Arial"/>
                <w:bCs/>
                <w:sz w:val="18"/>
                <w:szCs w:val="18"/>
              </w:rPr>
              <w:t>68,02%</w:t>
            </w:r>
          </w:p>
        </w:tc>
      </w:tr>
      <w:tr w:rsidR="002110F7" w:rsidRPr="00797055" w14:paraId="1A6CABAD" w14:textId="77777777" w:rsidTr="002110F7">
        <w:trPr>
          <w:trHeight w:val="300"/>
          <w:jc w:val="center"/>
        </w:trPr>
        <w:tc>
          <w:tcPr>
            <w:tcW w:w="969" w:type="dxa"/>
            <w:shd w:val="clear" w:color="C6CEF4" w:fill="FFFFFF"/>
            <w:vAlign w:val="center"/>
          </w:tcPr>
          <w:p w14:paraId="289DB04C" w14:textId="77777777" w:rsidR="002110F7" w:rsidRPr="00797055" w:rsidRDefault="002110F7" w:rsidP="0010055F">
            <w:pPr>
              <w:rPr>
                <w:rFonts w:ascii="Arial" w:hAnsi="Arial" w:cs="Arial"/>
                <w:sz w:val="18"/>
                <w:szCs w:val="18"/>
                <w:lang w:eastAsia="hr-HR"/>
              </w:rPr>
            </w:pPr>
            <w:r w:rsidRPr="00797055">
              <w:rPr>
                <w:rFonts w:ascii="Arial" w:hAnsi="Arial" w:cs="Arial"/>
                <w:sz w:val="18"/>
                <w:szCs w:val="18"/>
                <w:lang w:eastAsia="hr-HR"/>
              </w:rPr>
              <w:t>Program</w:t>
            </w:r>
          </w:p>
        </w:tc>
        <w:tc>
          <w:tcPr>
            <w:tcW w:w="721" w:type="dxa"/>
            <w:shd w:val="clear" w:color="C6CEF4" w:fill="FFFFFF"/>
            <w:vAlign w:val="center"/>
          </w:tcPr>
          <w:p w14:paraId="44811ADE" w14:textId="77777777" w:rsidR="002110F7" w:rsidRPr="00797055" w:rsidRDefault="002110F7" w:rsidP="0010055F">
            <w:pPr>
              <w:rPr>
                <w:rFonts w:ascii="Arial" w:hAnsi="Arial" w:cs="Arial"/>
                <w:sz w:val="18"/>
                <w:szCs w:val="18"/>
                <w:lang w:eastAsia="hr-HR"/>
              </w:rPr>
            </w:pPr>
            <w:r>
              <w:rPr>
                <w:rFonts w:ascii="Arial" w:hAnsi="Arial" w:cs="Arial"/>
                <w:sz w:val="18"/>
                <w:szCs w:val="18"/>
                <w:lang w:eastAsia="hr-HR"/>
              </w:rPr>
              <w:t>1606</w:t>
            </w:r>
          </w:p>
        </w:tc>
        <w:tc>
          <w:tcPr>
            <w:tcW w:w="4401" w:type="dxa"/>
            <w:shd w:val="clear" w:color="C6CEF4" w:fill="FFFFFF"/>
            <w:vAlign w:val="center"/>
          </w:tcPr>
          <w:p w14:paraId="27F08686" w14:textId="77777777" w:rsidR="002110F7" w:rsidRPr="00797055" w:rsidRDefault="002110F7" w:rsidP="0010055F">
            <w:pPr>
              <w:rPr>
                <w:rFonts w:ascii="Arial" w:hAnsi="Arial" w:cs="Arial"/>
                <w:sz w:val="18"/>
                <w:szCs w:val="18"/>
                <w:lang w:eastAsia="hr-HR"/>
              </w:rPr>
            </w:pPr>
            <w:r>
              <w:rPr>
                <w:rFonts w:ascii="Arial" w:hAnsi="Arial" w:cs="Arial"/>
                <w:sz w:val="18"/>
                <w:szCs w:val="18"/>
                <w:lang w:eastAsia="hr-HR"/>
              </w:rPr>
              <w:t>PROSTORNO PLANIRANJE</w:t>
            </w:r>
          </w:p>
        </w:tc>
        <w:tc>
          <w:tcPr>
            <w:tcW w:w="1757" w:type="dxa"/>
            <w:shd w:val="clear" w:color="C6CEF4" w:fill="FFFFFF"/>
            <w:vAlign w:val="center"/>
          </w:tcPr>
          <w:p w14:paraId="51658E48" w14:textId="7AA5585A" w:rsidR="002110F7" w:rsidRPr="00863168" w:rsidRDefault="006D1734" w:rsidP="002110F7">
            <w:pPr>
              <w:jc w:val="center"/>
              <w:rPr>
                <w:rFonts w:ascii="Arial" w:hAnsi="Arial" w:cs="Arial"/>
                <w:bCs/>
                <w:sz w:val="18"/>
                <w:szCs w:val="18"/>
              </w:rPr>
            </w:pPr>
            <w:r>
              <w:rPr>
                <w:rFonts w:ascii="Arial" w:hAnsi="Arial" w:cs="Arial"/>
                <w:bCs/>
                <w:sz w:val="18"/>
                <w:szCs w:val="18"/>
              </w:rPr>
              <w:t>144.500,00</w:t>
            </w:r>
          </w:p>
        </w:tc>
        <w:tc>
          <w:tcPr>
            <w:tcW w:w="1339" w:type="dxa"/>
            <w:shd w:val="clear" w:color="C6CEF4" w:fill="FFFFFF"/>
            <w:vAlign w:val="center"/>
          </w:tcPr>
          <w:p w14:paraId="01B6A0B8" w14:textId="2E7E91DF" w:rsidR="002110F7" w:rsidRDefault="006D1734" w:rsidP="002110F7">
            <w:pPr>
              <w:jc w:val="center"/>
              <w:rPr>
                <w:rFonts w:ascii="Arial" w:hAnsi="Arial" w:cs="Arial"/>
                <w:bCs/>
                <w:sz w:val="18"/>
                <w:szCs w:val="18"/>
              </w:rPr>
            </w:pPr>
            <w:r>
              <w:rPr>
                <w:rFonts w:ascii="Arial" w:hAnsi="Arial" w:cs="Arial"/>
                <w:bCs/>
                <w:sz w:val="18"/>
                <w:szCs w:val="18"/>
              </w:rPr>
              <w:t>142.345,00</w:t>
            </w:r>
          </w:p>
        </w:tc>
        <w:tc>
          <w:tcPr>
            <w:tcW w:w="1347" w:type="dxa"/>
            <w:shd w:val="clear" w:color="C6CEF4" w:fill="FFFFFF"/>
            <w:vAlign w:val="center"/>
          </w:tcPr>
          <w:p w14:paraId="4010448F" w14:textId="005F35FC" w:rsidR="002110F7" w:rsidRPr="00863168" w:rsidRDefault="006D1734" w:rsidP="002110F7">
            <w:pPr>
              <w:jc w:val="center"/>
              <w:rPr>
                <w:rFonts w:ascii="Arial" w:hAnsi="Arial" w:cs="Arial"/>
                <w:bCs/>
                <w:sz w:val="18"/>
                <w:szCs w:val="18"/>
              </w:rPr>
            </w:pPr>
            <w:r>
              <w:rPr>
                <w:rFonts w:ascii="Arial" w:hAnsi="Arial" w:cs="Arial"/>
                <w:bCs/>
                <w:sz w:val="18"/>
                <w:szCs w:val="18"/>
              </w:rPr>
              <w:t>9.145,00</w:t>
            </w:r>
          </w:p>
        </w:tc>
        <w:tc>
          <w:tcPr>
            <w:tcW w:w="925" w:type="dxa"/>
            <w:shd w:val="clear" w:color="C6CEF4" w:fill="FFFFFF"/>
            <w:vAlign w:val="center"/>
          </w:tcPr>
          <w:p w14:paraId="4B230B13" w14:textId="68254C69" w:rsidR="002110F7" w:rsidRPr="00863168" w:rsidRDefault="006D1734" w:rsidP="002110F7">
            <w:pPr>
              <w:jc w:val="center"/>
              <w:rPr>
                <w:rFonts w:ascii="Arial" w:hAnsi="Arial" w:cs="Arial"/>
                <w:bCs/>
                <w:sz w:val="18"/>
                <w:szCs w:val="18"/>
              </w:rPr>
            </w:pPr>
            <w:r>
              <w:rPr>
                <w:rFonts w:ascii="Arial" w:hAnsi="Arial" w:cs="Arial"/>
                <w:bCs/>
                <w:sz w:val="18"/>
                <w:szCs w:val="18"/>
              </w:rPr>
              <w:t>6,42%</w:t>
            </w:r>
          </w:p>
        </w:tc>
      </w:tr>
      <w:tr w:rsidR="002110F7" w:rsidRPr="00797055" w14:paraId="1CBEAD39" w14:textId="77777777" w:rsidTr="002110F7">
        <w:trPr>
          <w:trHeight w:val="300"/>
          <w:jc w:val="center"/>
        </w:trPr>
        <w:tc>
          <w:tcPr>
            <w:tcW w:w="969" w:type="dxa"/>
            <w:shd w:val="clear" w:color="C6CEF4" w:fill="FFFFFF"/>
            <w:vAlign w:val="center"/>
          </w:tcPr>
          <w:p w14:paraId="5602C22B" w14:textId="77777777" w:rsidR="002110F7" w:rsidRPr="00797055" w:rsidRDefault="002110F7" w:rsidP="0010055F">
            <w:pPr>
              <w:rPr>
                <w:rFonts w:ascii="Arial" w:hAnsi="Arial" w:cs="Arial"/>
                <w:sz w:val="18"/>
                <w:szCs w:val="18"/>
                <w:lang w:eastAsia="hr-HR"/>
              </w:rPr>
            </w:pPr>
            <w:r w:rsidRPr="00797055">
              <w:rPr>
                <w:rFonts w:ascii="Arial" w:hAnsi="Arial" w:cs="Arial"/>
                <w:sz w:val="18"/>
                <w:szCs w:val="18"/>
                <w:lang w:eastAsia="hr-HR"/>
              </w:rPr>
              <w:t>Program</w:t>
            </w:r>
          </w:p>
        </w:tc>
        <w:tc>
          <w:tcPr>
            <w:tcW w:w="721" w:type="dxa"/>
            <w:shd w:val="clear" w:color="C6CEF4" w:fill="FFFFFF"/>
            <w:vAlign w:val="center"/>
          </w:tcPr>
          <w:p w14:paraId="42DFDFE9" w14:textId="77777777" w:rsidR="002110F7" w:rsidRPr="00797055" w:rsidRDefault="002110F7" w:rsidP="0010055F">
            <w:pPr>
              <w:rPr>
                <w:rFonts w:ascii="Arial" w:hAnsi="Arial" w:cs="Arial"/>
                <w:sz w:val="18"/>
                <w:szCs w:val="18"/>
                <w:lang w:eastAsia="hr-HR"/>
              </w:rPr>
            </w:pPr>
            <w:r>
              <w:rPr>
                <w:rFonts w:ascii="Arial" w:hAnsi="Arial" w:cs="Arial"/>
                <w:sz w:val="18"/>
                <w:szCs w:val="18"/>
                <w:lang w:eastAsia="hr-HR"/>
              </w:rPr>
              <w:t>1607</w:t>
            </w:r>
          </w:p>
        </w:tc>
        <w:tc>
          <w:tcPr>
            <w:tcW w:w="4401" w:type="dxa"/>
            <w:shd w:val="clear" w:color="C6CEF4" w:fill="FFFFFF"/>
            <w:vAlign w:val="center"/>
          </w:tcPr>
          <w:p w14:paraId="219DC3E4" w14:textId="77777777" w:rsidR="002110F7" w:rsidRPr="00797055" w:rsidRDefault="002110F7" w:rsidP="0010055F">
            <w:pPr>
              <w:rPr>
                <w:rFonts w:ascii="Arial" w:hAnsi="Arial" w:cs="Arial"/>
                <w:sz w:val="18"/>
                <w:szCs w:val="18"/>
                <w:lang w:eastAsia="hr-HR"/>
              </w:rPr>
            </w:pPr>
            <w:r>
              <w:rPr>
                <w:rFonts w:ascii="Arial" w:hAnsi="Arial" w:cs="Arial"/>
                <w:sz w:val="18"/>
                <w:szCs w:val="18"/>
                <w:lang w:eastAsia="hr-HR"/>
              </w:rPr>
              <w:t xml:space="preserve">ZAŠTITA OKOLIŠA I EKOLOGIJA </w:t>
            </w:r>
          </w:p>
        </w:tc>
        <w:tc>
          <w:tcPr>
            <w:tcW w:w="1757" w:type="dxa"/>
            <w:shd w:val="clear" w:color="C6CEF4" w:fill="FFFFFF"/>
            <w:vAlign w:val="center"/>
          </w:tcPr>
          <w:p w14:paraId="3C70B7ED" w14:textId="65327C4C" w:rsidR="002110F7" w:rsidRPr="00863168" w:rsidRDefault="006D1734" w:rsidP="002110F7">
            <w:pPr>
              <w:jc w:val="center"/>
              <w:rPr>
                <w:rFonts w:ascii="Arial" w:hAnsi="Arial" w:cs="Arial"/>
                <w:bCs/>
                <w:sz w:val="18"/>
                <w:szCs w:val="18"/>
              </w:rPr>
            </w:pPr>
            <w:r>
              <w:rPr>
                <w:rFonts w:ascii="Arial" w:hAnsi="Arial" w:cs="Arial"/>
                <w:bCs/>
                <w:sz w:val="18"/>
                <w:szCs w:val="18"/>
              </w:rPr>
              <w:t>55.000,00</w:t>
            </w:r>
          </w:p>
        </w:tc>
        <w:tc>
          <w:tcPr>
            <w:tcW w:w="1339" w:type="dxa"/>
            <w:shd w:val="clear" w:color="C6CEF4" w:fill="FFFFFF"/>
            <w:vAlign w:val="center"/>
          </w:tcPr>
          <w:p w14:paraId="7E20FACA" w14:textId="21C25FB8" w:rsidR="002110F7" w:rsidRDefault="006D1734" w:rsidP="002110F7">
            <w:pPr>
              <w:jc w:val="center"/>
              <w:rPr>
                <w:rFonts w:ascii="Arial" w:hAnsi="Arial" w:cs="Arial"/>
                <w:bCs/>
                <w:sz w:val="18"/>
                <w:szCs w:val="18"/>
              </w:rPr>
            </w:pPr>
            <w:r>
              <w:rPr>
                <w:rFonts w:ascii="Arial" w:hAnsi="Arial" w:cs="Arial"/>
                <w:bCs/>
                <w:sz w:val="18"/>
                <w:szCs w:val="18"/>
              </w:rPr>
              <w:t>55.000,00</w:t>
            </w:r>
          </w:p>
        </w:tc>
        <w:tc>
          <w:tcPr>
            <w:tcW w:w="1347" w:type="dxa"/>
            <w:shd w:val="clear" w:color="C6CEF4" w:fill="FFFFFF"/>
            <w:vAlign w:val="center"/>
          </w:tcPr>
          <w:p w14:paraId="4B4CDE7B" w14:textId="73AA10E5" w:rsidR="002110F7" w:rsidRPr="00863168" w:rsidRDefault="006D1734" w:rsidP="002110F7">
            <w:pPr>
              <w:jc w:val="center"/>
              <w:rPr>
                <w:rFonts w:ascii="Arial" w:hAnsi="Arial" w:cs="Arial"/>
                <w:bCs/>
                <w:sz w:val="18"/>
                <w:szCs w:val="18"/>
              </w:rPr>
            </w:pPr>
            <w:r>
              <w:rPr>
                <w:rFonts w:ascii="Arial" w:hAnsi="Arial" w:cs="Arial"/>
                <w:bCs/>
                <w:sz w:val="18"/>
                <w:szCs w:val="18"/>
              </w:rPr>
              <w:t>23.237,50</w:t>
            </w:r>
          </w:p>
        </w:tc>
        <w:tc>
          <w:tcPr>
            <w:tcW w:w="925" w:type="dxa"/>
            <w:shd w:val="clear" w:color="C6CEF4" w:fill="FFFFFF"/>
            <w:vAlign w:val="center"/>
          </w:tcPr>
          <w:p w14:paraId="5EFFF74A" w14:textId="187F579B" w:rsidR="002110F7" w:rsidRPr="00863168" w:rsidRDefault="006D1734" w:rsidP="002110F7">
            <w:pPr>
              <w:jc w:val="center"/>
              <w:rPr>
                <w:rFonts w:ascii="Arial" w:hAnsi="Arial" w:cs="Arial"/>
                <w:bCs/>
                <w:sz w:val="18"/>
                <w:szCs w:val="18"/>
              </w:rPr>
            </w:pPr>
            <w:r>
              <w:rPr>
                <w:rFonts w:ascii="Arial" w:hAnsi="Arial" w:cs="Arial"/>
                <w:bCs/>
                <w:sz w:val="18"/>
                <w:szCs w:val="18"/>
              </w:rPr>
              <w:t>42,25%</w:t>
            </w:r>
          </w:p>
        </w:tc>
      </w:tr>
    </w:tbl>
    <w:p w14:paraId="20D1BEFC" w14:textId="77777777" w:rsidR="0058541C" w:rsidRDefault="0058541C" w:rsidP="00A467E1">
      <w:pPr>
        <w:spacing w:after="0"/>
        <w:jc w:val="both"/>
        <w:rPr>
          <w:rFonts w:cstheme="minorHAnsi"/>
          <w:sz w:val="24"/>
          <w:szCs w:val="24"/>
          <w:u w:val="single"/>
        </w:rPr>
      </w:pPr>
    </w:p>
    <w:p w14:paraId="1209BE05" w14:textId="791B2119" w:rsidR="00A467E1" w:rsidRDefault="004E1634" w:rsidP="00A467E1">
      <w:pPr>
        <w:spacing w:after="0"/>
        <w:jc w:val="both"/>
        <w:rPr>
          <w:rFonts w:cstheme="minorHAnsi"/>
          <w:sz w:val="24"/>
          <w:szCs w:val="24"/>
          <w:u w:val="single"/>
        </w:rPr>
      </w:pPr>
      <w:r w:rsidRPr="003963E9">
        <w:rPr>
          <w:rFonts w:cstheme="minorHAnsi"/>
          <w:sz w:val="24"/>
          <w:szCs w:val="24"/>
          <w:u w:val="single"/>
        </w:rPr>
        <w:t>Program 1101</w:t>
      </w:r>
      <w:r w:rsidR="003963E9" w:rsidRPr="003963E9">
        <w:rPr>
          <w:rFonts w:cstheme="minorHAnsi"/>
          <w:sz w:val="24"/>
          <w:szCs w:val="24"/>
          <w:u w:val="single"/>
        </w:rPr>
        <w:t xml:space="preserve"> Javna uprava i administracija </w:t>
      </w:r>
      <w:r w:rsidR="009C4C69">
        <w:rPr>
          <w:rFonts w:cstheme="minorHAnsi"/>
          <w:sz w:val="24"/>
          <w:szCs w:val="24"/>
          <w:u w:val="single"/>
        </w:rPr>
        <w:t xml:space="preserve"> </w:t>
      </w:r>
    </w:p>
    <w:p w14:paraId="77F4C8F5" w14:textId="77777777" w:rsidR="00B15DFC" w:rsidRPr="004D1916" w:rsidRDefault="00B15DFC" w:rsidP="00B15DFC">
      <w:pPr>
        <w:spacing w:after="0"/>
        <w:jc w:val="both"/>
        <w:rPr>
          <w:rFonts w:cstheme="minorHAnsi"/>
          <w:sz w:val="24"/>
          <w:szCs w:val="24"/>
          <w:u w:val="single"/>
        </w:rPr>
      </w:pPr>
      <w:r w:rsidRPr="003963E9">
        <w:rPr>
          <w:rFonts w:cstheme="minorHAnsi"/>
          <w:sz w:val="24"/>
          <w:szCs w:val="24"/>
        </w:rPr>
        <w:t xml:space="preserve">Opći poslovi iz područja administracije, prvenstveno osiguranja sredstava za redovan rad (stručno usavršavanje, službena putovanja i ostalih tekućih troškova) odnosno za plaćanje pristojbi i naknade što se odnosi na plaćanje naknada javnopravnim tijelima koja sudjeluju u tehničkim pregledima građevina i zahvata u prostoru sukladno važećem Zakonu o gradnji te </w:t>
      </w:r>
      <w:r w:rsidRPr="003963E9">
        <w:rPr>
          <w:rFonts w:cstheme="minorHAnsi"/>
          <w:sz w:val="24"/>
          <w:szCs w:val="24"/>
        </w:rPr>
        <w:lastRenderedPageBreak/>
        <w:t>godišnje plaćanje naknada jedinica lokalne samouprave u cilju smanjenja količine miješanog komunalnog otpada koja je za jedinicu lokalne samou</w:t>
      </w:r>
      <w:r>
        <w:rPr>
          <w:rFonts w:cstheme="minorHAnsi"/>
          <w:sz w:val="24"/>
          <w:szCs w:val="24"/>
        </w:rPr>
        <w:t>prave iznad propisane količine.</w:t>
      </w:r>
    </w:p>
    <w:p w14:paraId="75227050" w14:textId="336C3416" w:rsidR="00366BA4" w:rsidRPr="00366BA4" w:rsidRDefault="00B15DFC" w:rsidP="00366BA4">
      <w:pPr>
        <w:jc w:val="both"/>
        <w:rPr>
          <w:rFonts w:cstheme="minorHAnsi"/>
          <w:sz w:val="24"/>
          <w:szCs w:val="24"/>
        </w:rPr>
      </w:pPr>
      <w:r w:rsidRPr="003963E9">
        <w:rPr>
          <w:rFonts w:cstheme="minorHAnsi"/>
          <w:sz w:val="24"/>
          <w:szCs w:val="24"/>
        </w:rPr>
        <w:t>U planu proračuna za 202</w:t>
      </w:r>
      <w:r w:rsidR="00C901D7">
        <w:rPr>
          <w:rFonts w:cstheme="minorHAnsi"/>
          <w:sz w:val="24"/>
          <w:szCs w:val="24"/>
        </w:rPr>
        <w:t>5</w:t>
      </w:r>
      <w:r w:rsidRPr="003963E9">
        <w:rPr>
          <w:rFonts w:cstheme="minorHAnsi"/>
          <w:sz w:val="24"/>
          <w:szCs w:val="24"/>
        </w:rPr>
        <w:t>. godinu planira se</w:t>
      </w:r>
      <w:r w:rsidRPr="003963E9">
        <w:rPr>
          <w:rFonts w:cstheme="minorHAnsi"/>
          <w:b/>
          <w:sz w:val="24"/>
          <w:szCs w:val="24"/>
        </w:rPr>
        <w:t xml:space="preserve"> </w:t>
      </w:r>
      <w:r w:rsidR="00C901D7">
        <w:rPr>
          <w:rFonts w:eastAsia="Times New Roman" w:cstheme="minorHAnsi"/>
          <w:bCs/>
          <w:sz w:val="24"/>
          <w:szCs w:val="24"/>
          <w:lang w:eastAsia="hr-HR"/>
        </w:rPr>
        <w:t>75.050,00</w:t>
      </w:r>
      <w:r w:rsidRPr="003963E9">
        <w:rPr>
          <w:rFonts w:eastAsia="Times New Roman" w:cstheme="minorHAnsi"/>
          <w:bCs/>
          <w:sz w:val="24"/>
          <w:szCs w:val="24"/>
          <w:lang w:eastAsia="hr-HR"/>
        </w:rPr>
        <w:t xml:space="preserve"> eura, u izvještajnom razdoblju isti su realizirani sa </w:t>
      </w:r>
      <w:r w:rsidR="00C901D7">
        <w:rPr>
          <w:rFonts w:eastAsia="Times New Roman" w:cstheme="minorHAnsi"/>
          <w:bCs/>
          <w:sz w:val="24"/>
          <w:szCs w:val="24"/>
          <w:lang w:eastAsia="hr-HR"/>
        </w:rPr>
        <w:t>68,02</w:t>
      </w:r>
      <w:r w:rsidRPr="003963E9">
        <w:rPr>
          <w:rFonts w:eastAsia="Times New Roman" w:cstheme="minorHAnsi"/>
          <w:bCs/>
          <w:sz w:val="24"/>
          <w:szCs w:val="24"/>
          <w:lang w:eastAsia="hr-HR"/>
        </w:rPr>
        <w:t xml:space="preserve">% ili </w:t>
      </w:r>
      <w:r w:rsidR="00C901D7">
        <w:rPr>
          <w:rFonts w:eastAsia="Times New Roman" w:cstheme="minorHAnsi"/>
          <w:bCs/>
          <w:sz w:val="24"/>
          <w:szCs w:val="24"/>
          <w:lang w:eastAsia="hr-HR"/>
        </w:rPr>
        <w:t>51.051,32</w:t>
      </w:r>
      <w:r w:rsidRPr="003963E9">
        <w:rPr>
          <w:rFonts w:eastAsia="Times New Roman" w:cstheme="minorHAnsi"/>
          <w:bCs/>
          <w:sz w:val="24"/>
          <w:szCs w:val="24"/>
          <w:lang w:eastAsia="hr-HR"/>
        </w:rPr>
        <w:t xml:space="preserve"> eura</w:t>
      </w:r>
      <w:r>
        <w:rPr>
          <w:rFonts w:eastAsia="Times New Roman" w:cstheme="minorHAnsi"/>
          <w:bCs/>
          <w:sz w:val="24"/>
          <w:szCs w:val="24"/>
          <w:lang w:eastAsia="hr-HR"/>
        </w:rPr>
        <w:t>.</w:t>
      </w:r>
      <w:r>
        <w:rPr>
          <w:rFonts w:cstheme="minorHAnsi"/>
          <w:sz w:val="24"/>
          <w:szCs w:val="24"/>
        </w:rPr>
        <w:t xml:space="preserve"> </w:t>
      </w:r>
      <w:r w:rsidR="00211134" w:rsidRPr="0046053E">
        <w:rPr>
          <w:rFonts w:cstheme="minorHAnsi"/>
          <w:sz w:val="24"/>
          <w:szCs w:val="24"/>
        </w:rPr>
        <w:t>Rashodi ovog programa</w:t>
      </w:r>
      <w:r w:rsidR="00211134">
        <w:rPr>
          <w:rFonts w:cstheme="minorHAnsi"/>
          <w:sz w:val="24"/>
          <w:szCs w:val="24"/>
        </w:rPr>
        <w:t xml:space="preserve"> najvećim se dijelom odnose </w:t>
      </w:r>
      <w:r w:rsidR="00211134" w:rsidRPr="0046053E">
        <w:rPr>
          <w:rFonts w:cstheme="minorHAnsi"/>
          <w:sz w:val="24"/>
          <w:szCs w:val="24"/>
        </w:rPr>
        <w:t xml:space="preserve">na </w:t>
      </w:r>
      <w:r w:rsidR="00211134">
        <w:rPr>
          <w:rFonts w:cstheme="minorHAnsi"/>
          <w:sz w:val="24"/>
          <w:szCs w:val="24"/>
        </w:rPr>
        <w:t>plaćanje poticajne naknade za smanjenje količine miješanog komunalnog otpada po obračunu Fonda za zaštitu okoliša</w:t>
      </w:r>
      <w:r>
        <w:rPr>
          <w:rFonts w:cstheme="minorHAnsi"/>
          <w:sz w:val="24"/>
          <w:szCs w:val="24"/>
        </w:rPr>
        <w:t xml:space="preserve"> za 202</w:t>
      </w:r>
      <w:r w:rsidR="00C901D7">
        <w:rPr>
          <w:rFonts w:cstheme="minorHAnsi"/>
          <w:sz w:val="24"/>
          <w:szCs w:val="24"/>
        </w:rPr>
        <w:t>4</w:t>
      </w:r>
      <w:r>
        <w:rPr>
          <w:rFonts w:cstheme="minorHAnsi"/>
          <w:sz w:val="24"/>
          <w:szCs w:val="24"/>
        </w:rPr>
        <w:t>. godinu</w:t>
      </w:r>
      <w:r w:rsidR="00211134">
        <w:rPr>
          <w:rFonts w:cstheme="minorHAnsi"/>
          <w:sz w:val="24"/>
          <w:szCs w:val="24"/>
        </w:rPr>
        <w:t xml:space="preserve"> i manji dio na troškove službenih putovanja.</w:t>
      </w:r>
    </w:p>
    <w:p w14:paraId="6EFB3019" w14:textId="4B9355D1" w:rsidR="009C4C69" w:rsidRDefault="00B80F81" w:rsidP="00B80F81">
      <w:pPr>
        <w:spacing w:after="0"/>
        <w:jc w:val="both"/>
        <w:rPr>
          <w:rFonts w:cstheme="minorHAnsi"/>
          <w:sz w:val="24"/>
          <w:szCs w:val="24"/>
          <w:u w:val="single"/>
        </w:rPr>
      </w:pPr>
      <w:r w:rsidRPr="00162757">
        <w:rPr>
          <w:rFonts w:cstheme="minorHAnsi"/>
          <w:sz w:val="24"/>
          <w:szCs w:val="24"/>
          <w:u w:val="single"/>
        </w:rPr>
        <w:t>Program 1606 Prostorno planiranje</w:t>
      </w:r>
    </w:p>
    <w:p w14:paraId="517ED2E5" w14:textId="77777777" w:rsidR="00366BA4" w:rsidRDefault="00366BA4" w:rsidP="00366BA4">
      <w:pPr>
        <w:spacing w:after="0"/>
        <w:jc w:val="both"/>
        <w:rPr>
          <w:rFonts w:cstheme="minorHAnsi"/>
          <w:color w:val="1E1E1E"/>
          <w:sz w:val="24"/>
          <w:szCs w:val="24"/>
        </w:rPr>
      </w:pPr>
      <w:r w:rsidRPr="003963E9">
        <w:rPr>
          <w:rFonts w:cstheme="minorHAnsi"/>
          <w:color w:val="1E1E1E"/>
          <w:sz w:val="24"/>
          <w:szCs w:val="24"/>
        </w:rPr>
        <w:t>Potrebno je osigurati uvjete za korištenje, zaštitu i upravljanje prostorom kao osobito vrijednim i ograničenim nacionalnim dobrom. Na takav se način ostvaruju pretpostavke za društveni i gospodarski razvoj, zaštitu okoliša i prirode, vrsnoću gradnje i racionalno korištenje prirodnih i kulturnih dobara. Planiraju se rashodi za usluge održavanja javnih rasprava te naknada troškova osobama izvan radnog odnosa te ostali nespomenuti rashodi poslovanja za postupak provedbe strateških procjena utjecaja na okoliš (PUO, OPUO, SPUO), kao i rashodi za izradu urbanističkih planova uređenja te za izradu izmjena i dopuna Prostornog plana uređenja Grada Trogira, urbanističkih planova uređenja i detaljnih planova uređenja te svih prethodno potrebnih podloga, studija, elaborata, izvješća i ostale potrebne dokumentacije. Također, planiraju se rashodi za geodetsko-katastarske usluge, usluge vještačenja, kao i usluge ovlaštenih inženjera geodezije u postupcima utvrđivanja međa i drugih granica te novih razgraničenja, koja su sastavni dio geodetskih elaborata, parcelacijskih elaborata te geodetskih projekata na području Grada Trogira (koje obuhvaća katastarske općine Trogir, Žedno i Drvenik) u kojima se utvrđuje ispravnost međa za koje se traži ovjera Grada Trogira temeljem priloženih skica izmjere i prikaza izmjerenog stanja sa uklopljenim ili preklopljenim katastarskim planom od strane zainteresirane stranke</w:t>
      </w:r>
      <w:r>
        <w:rPr>
          <w:rFonts w:cstheme="minorHAnsi"/>
          <w:color w:val="1E1E1E"/>
          <w:sz w:val="24"/>
          <w:szCs w:val="24"/>
        </w:rPr>
        <w:t>.</w:t>
      </w:r>
    </w:p>
    <w:p w14:paraId="096D7EA0" w14:textId="77777777" w:rsidR="00366BA4" w:rsidRDefault="00366BA4" w:rsidP="00366BA4">
      <w:pPr>
        <w:spacing w:after="0"/>
        <w:jc w:val="both"/>
        <w:rPr>
          <w:rFonts w:cstheme="minorHAnsi"/>
          <w:color w:val="1E1E1E"/>
          <w:sz w:val="24"/>
          <w:szCs w:val="24"/>
        </w:rPr>
      </w:pPr>
      <w:r>
        <w:rPr>
          <w:rFonts w:cstheme="minorHAnsi"/>
          <w:color w:val="1E1E1E"/>
          <w:sz w:val="24"/>
          <w:szCs w:val="24"/>
        </w:rPr>
        <w:t>Poslovi i zadaci planirani su kroz 1 kapitalni projekt i 1 tekući projekt:</w:t>
      </w:r>
    </w:p>
    <w:p w14:paraId="489F7506" w14:textId="11B7937B" w:rsidR="00366BA4" w:rsidRPr="00B861F1" w:rsidRDefault="00366BA4" w:rsidP="00B861F1">
      <w:pPr>
        <w:pStyle w:val="Odlomakpopisa"/>
        <w:numPr>
          <w:ilvl w:val="0"/>
          <w:numId w:val="43"/>
        </w:numPr>
        <w:spacing w:after="0"/>
        <w:jc w:val="both"/>
        <w:rPr>
          <w:rFonts w:cstheme="minorHAnsi"/>
          <w:color w:val="1E1E1E"/>
          <w:sz w:val="24"/>
          <w:szCs w:val="24"/>
        </w:rPr>
      </w:pPr>
      <w:r w:rsidRPr="00B861F1">
        <w:rPr>
          <w:rFonts w:cstheme="minorHAnsi"/>
          <w:color w:val="1E1E1E"/>
          <w:sz w:val="24"/>
          <w:szCs w:val="24"/>
        </w:rPr>
        <w:t xml:space="preserve">K100019 Izrada dokumenata prostornog uređenja </w:t>
      </w:r>
    </w:p>
    <w:p w14:paraId="28594A29" w14:textId="5AC00E30" w:rsidR="00366BA4" w:rsidRPr="00B861F1" w:rsidRDefault="00366BA4" w:rsidP="00B861F1">
      <w:pPr>
        <w:pStyle w:val="Odlomakpopisa"/>
        <w:numPr>
          <w:ilvl w:val="0"/>
          <w:numId w:val="43"/>
        </w:numPr>
        <w:spacing w:after="0"/>
        <w:jc w:val="both"/>
        <w:rPr>
          <w:rFonts w:cstheme="minorHAnsi"/>
          <w:color w:val="1E1E1E"/>
          <w:sz w:val="24"/>
          <w:szCs w:val="24"/>
        </w:rPr>
      </w:pPr>
      <w:r w:rsidRPr="00B861F1">
        <w:rPr>
          <w:rFonts w:cstheme="minorHAnsi"/>
          <w:color w:val="1E1E1E"/>
          <w:sz w:val="24"/>
          <w:szCs w:val="24"/>
        </w:rPr>
        <w:t xml:space="preserve">T100017 Geodetski poslovi parcelacijski elaborati i drugo </w:t>
      </w:r>
    </w:p>
    <w:p w14:paraId="518485E3" w14:textId="75500C53" w:rsidR="00AF5D37" w:rsidRPr="00AF5D37" w:rsidRDefault="00366BA4" w:rsidP="00AF5D37">
      <w:pPr>
        <w:spacing w:after="0" w:line="240" w:lineRule="auto"/>
        <w:jc w:val="both"/>
        <w:rPr>
          <w:sz w:val="24"/>
          <w:szCs w:val="24"/>
        </w:rPr>
      </w:pPr>
      <w:r w:rsidRPr="00AF5D37">
        <w:rPr>
          <w:rFonts w:cstheme="minorHAnsi"/>
          <w:sz w:val="24"/>
          <w:szCs w:val="24"/>
        </w:rPr>
        <w:t>Sredstva za 202</w:t>
      </w:r>
      <w:r w:rsidR="00F6640F" w:rsidRPr="00AF5D37">
        <w:rPr>
          <w:rFonts w:cstheme="minorHAnsi"/>
          <w:sz w:val="24"/>
          <w:szCs w:val="24"/>
        </w:rPr>
        <w:t>5</w:t>
      </w:r>
      <w:r w:rsidRPr="00AF5D37">
        <w:rPr>
          <w:rFonts w:cstheme="minorHAnsi"/>
          <w:sz w:val="24"/>
          <w:szCs w:val="24"/>
        </w:rPr>
        <w:t xml:space="preserve">. godinu planirana su u iznosu od </w:t>
      </w:r>
      <w:r w:rsidR="00F6640F" w:rsidRPr="00AF5D37">
        <w:rPr>
          <w:rFonts w:cstheme="minorHAnsi"/>
          <w:sz w:val="24"/>
          <w:szCs w:val="24"/>
        </w:rPr>
        <w:t>142.345,00</w:t>
      </w:r>
      <w:r w:rsidRPr="00AF5D37">
        <w:rPr>
          <w:rFonts w:cstheme="minorHAnsi"/>
          <w:sz w:val="24"/>
          <w:szCs w:val="24"/>
        </w:rPr>
        <w:t xml:space="preserve"> eura, a u izvještajnom razdoblju ista su realizirana u iznosu od </w:t>
      </w:r>
      <w:r w:rsidR="00F6640F" w:rsidRPr="00AF5D37">
        <w:rPr>
          <w:rFonts w:cstheme="minorHAnsi"/>
          <w:sz w:val="24"/>
          <w:szCs w:val="24"/>
        </w:rPr>
        <w:t>9.145,00</w:t>
      </w:r>
      <w:r w:rsidRPr="00AF5D37">
        <w:rPr>
          <w:rFonts w:cstheme="minorHAnsi"/>
          <w:sz w:val="24"/>
          <w:szCs w:val="24"/>
        </w:rPr>
        <w:t xml:space="preserve"> eura ili </w:t>
      </w:r>
      <w:r w:rsidR="00F6640F" w:rsidRPr="00AF5D37">
        <w:rPr>
          <w:rFonts w:cstheme="minorHAnsi"/>
          <w:sz w:val="24"/>
          <w:szCs w:val="24"/>
        </w:rPr>
        <w:t>6,42</w:t>
      </w:r>
      <w:r w:rsidRPr="00AF5D37">
        <w:rPr>
          <w:rFonts w:cstheme="minorHAnsi"/>
          <w:sz w:val="24"/>
          <w:szCs w:val="24"/>
        </w:rPr>
        <w:t xml:space="preserve">% plana i odnosi se </w:t>
      </w:r>
      <w:r w:rsidR="00AF5D37" w:rsidRPr="00AF5D37">
        <w:rPr>
          <w:sz w:val="24"/>
          <w:szCs w:val="24"/>
        </w:rPr>
        <w:t xml:space="preserve">izradu UPU a </w:t>
      </w:r>
      <w:proofErr w:type="spellStart"/>
      <w:r w:rsidR="00AF5D37" w:rsidRPr="00AF5D37">
        <w:rPr>
          <w:sz w:val="24"/>
          <w:szCs w:val="24"/>
        </w:rPr>
        <w:t>Cocina</w:t>
      </w:r>
      <w:proofErr w:type="spellEnd"/>
      <w:r w:rsidR="00AF5D37" w:rsidRPr="00AF5D37">
        <w:rPr>
          <w:sz w:val="24"/>
          <w:szCs w:val="24"/>
        </w:rPr>
        <w:t xml:space="preserve"> draga u iznosu od 4.500,00 eura</w:t>
      </w:r>
      <w:r w:rsidR="00AF5D37">
        <w:rPr>
          <w:sz w:val="24"/>
          <w:szCs w:val="24"/>
        </w:rPr>
        <w:t xml:space="preserve"> te na geodetsko katastarske usluge u iznosu od 4.645,00 eura.</w:t>
      </w:r>
    </w:p>
    <w:p w14:paraId="1FCC2D9B" w14:textId="77777777" w:rsidR="00B861F1" w:rsidRDefault="00B861F1" w:rsidP="009C4C69">
      <w:pPr>
        <w:spacing w:after="0"/>
        <w:jc w:val="both"/>
        <w:rPr>
          <w:rFonts w:cstheme="minorHAnsi"/>
          <w:sz w:val="24"/>
          <w:szCs w:val="24"/>
          <w:u w:val="single"/>
        </w:rPr>
      </w:pPr>
    </w:p>
    <w:p w14:paraId="397C033F" w14:textId="4F84415B" w:rsidR="009C4C69" w:rsidRDefault="009C4C69" w:rsidP="009C4C69">
      <w:pPr>
        <w:spacing w:after="0"/>
        <w:jc w:val="both"/>
        <w:rPr>
          <w:rFonts w:cstheme="minorHAnsi"/>
          <w:sz w:val="24"/>
          <w:szCs w:val="24"/>
          <w:u w:val="single"/>
        </w:rPr>
      </w:pPr>
      <w:r w:rsidRPr="00162757">
        <w:rPr>
          <w:rFonts w:cstheme="minorHAnsi"/>
          <w:sz w:val="24"/>
          <w:szCs w:val="24"/>
          <w:u w:val="single"/>
        </w:rPr>
        <w:t>Program 1607 Zaštita okoliša i ekologija</w:t>
      </w:r>
    </w:p>
    <w:p w14:paraId="2B7D34A7" w14:textId="77777777" w:rsidR="009C4C69" w:rsidRPr="009C4C69" w:rsidRDefault="009C4C69" w:rsidP="009C4C69">
      <w:pPr>
        <w:spacing w:after="0"/>
        <w:jc w:val="both"/>
        <w:rPr>
          <w:rFonts w:cstheme="minorHAnsi"/>
          <w:b/>
          <w:sz w:val="24"/>
          <w:szCs w:val="24"/>
        </w:rPr>
      </w:pPr>
      <w:r w:rsidRPr="009C4C69">
        <w:rPr>
          <w:rFonts w:cstheme="minorHAnsi"/>
          <w:sz w:val="24"/>
          <w:szCs w:val="24"/>
        </w:rPr>
        <w:t xml:space="preserve">Program proizlazi iz nužnosti očuvanja kakvoće okoliša, očuvanje biološke i krajobrazne raznolikosti, racionalno korištenje prirodnih dobara i energije na najpovoljniji način za okoliš, kao osnovni uvjet zdravog života i temelj održivog razvitka. </w:t>
      </w:r>
    </w:p>
    <w:p w14:paraId="7D59C062" w14:textId="77777777" w:rsidR="009C4C69" w:rsidRPr="009C4C69" w:rsidRDefault="009C4C69" w:rsidP="009C4C69">
      <w:pPr>
        <w:spacing w:after="0"/>
        <w:jc w:val="both"/>
        <w:rPr>
          <w:rFonts w:cstheme="minorHAnsi"/>
          <w:sz w:val="24"/>
          <w:szCs w:val="24"/>
        </w:rPr>
      </w:pPr>
      <w:r w:rsidRPr="009C4C69">
        <w:rPr>
          <w:rFonts w:cstheme="minorHAnsi"/>
          <w:sz w:val="24"/>
          <w:szCs w:val="24"/>
        </w:rPr>
        <w:t>Cjelovito upravljanje zaštitom okoliša je skup povezanih i usklađenih odluka i mjera kojima je svrha ostvarivanje jedinstvene zaštite okoliša, izbjegavanje i smanjivanje rizika po okoliš te poboljšavanje i ostvarivanje učinkovite zaštite okoliša, a provodi se na način da se ostvari održivi razvitak sukladno važećim zakonima i posebnim propisima.</w:t>
      </w:r>
    </w:p>
    <w:p w14:paraId="418E5092" w14:textId="77777777" w:rsidR="00770C4E" w:rsidRDefault="009C4C69" w:rsidP="00770C4E">
      <w:pPr>
        <w:spacing w:after="0"/>
        <w:jc w:val="both"/>
        <w:rPr>
          <w:rFonts w:cstheme="minorHAnsi"/>
          <w:sz w:val="24"/>
          <w:szCs w:val="24"/>
        </w:rPr>
      </w:pPr>
      <w:r w:rsidRPr="009C4C69">
        <w:rPr>
          <w:rFonts w:cstheme="minorHAnsi"/>
          <w:sz w:val="24"/>
          <w:szCs w:val="24"/>
        </w:rPr>
        <w:t>S jasno definiranim principima i ciljevima te energičnim djelovanjem, okoliš je moguće dugoročno očuvati. Od osobite je važnosti zaštita okoliša i održivo korištenje prirodnih resursa, unapređivanje upravljanja okolišem, sprečavanje onečišćenja okoliša, jačanje svijesti i uključivanje javnosti u proces donošenja odluka i provedbe mjera.</w:t>
      </w:r>
    </w:p>
    <w:p w14:paraId="4805397B" w14:textId="77777777" w:rsidR="00770C4E" w:rsidRDefault="00770C4E" w:rsidP="00770C4E">
      <w:pPr>
        <w:spacing w:after="0"/>
        <w:jc w:val="both"/>
        <w:rPr>
          <w:rFonts w:cstheme="minorHAnsi"/>
          <w:sz w:val="24"/>
          <w:szCs w:val="24"/>
        </w:rPr>
      </w:pPr>
      <w:r>
        <w:rPr>
          <w:rFonts w:cstheme="minorHAnsi"/>
          <w:sz w:val="24"/>
          <w:szCs w:val="24"/>
        </w:rPr>
        <w:t xml:space="preserve">Poslovi i zadaci planirani su kroz  1 aktivnost i 1 kapitalni projekt: </w:t>
      </w:r>
    </w:p>
    <w:p w14:paraId="15AC8428" w14:textId="77777777" w:rsidR="00491A1B" w:rsidRDefault="00491A1B" w:rsidP="00770C4E">
      <w:pPr>
        <w:spacing w:after="0"/>
        <w:jc w:val="both"/>
        <w:rPr>
          <w:rFonts w:cstheme="minorHAnsi"/>
          <w:sz w:val="24"/>
          <w:szCs w:val="24"/>
        </w:rPr>
      </w:pPr>
    </w:p>
    <w:p w14:paraId="0B7B0E03" w14:textId="5F3E42D3" w:rsidR="00770C4E" w:rsidRDefault="00491A1B" w:rsidP="00770C4E">
      <w:pPr>
        <w:spacing w:after="0"/>
        <w:jc w:val="both"/>
        <w:rPr>
          <w:rFonts w:cstheme="minorHAnsi"/>
          <w:sz w:val="24"/>
          <w:szCs w:val="24"/>
        </w:rPr>
      </w:pPr>
      <w:r>
        <w:rPr>
          <w:rFonts w:cstheme="minorHAnsi"/>
          <w:sz w:val="24"/>
          <w:szCs w:val="24"/>
        </w:rPr>
        <w:lastRenderedPageBreak/>
        <w:t>(1)</w:t>
      </w:r>
      <w:r w:rsidR="00770C4E">
        <w:rPr>
          <w:rFonts w:cstheme="minorHAnsi"/>
          <w:sz w:val="24"/>
          <w:szCs w:val="24"/>
        </w:rPr>
        <w:t>A100025 Ekološke aktivnosti</w:t>
      </w:r>
    </w:p>
    <w:p w14:paraId="0AD532E7" w14:textId="0A9E936A" w:rsidR="00770C4E" w:rsidRDefault="00491A1B" w:rsidP="00770C4E">
      <w:pPr>
        <w:spacing w:after="0"/>
        <w:jc w:val="both"/>
        <w:rPr>
          <w:rFonts w:cstheme="minorHAnsi"/>
          <w:sz w:val="24"/>
          <w:szCs w:val="24"/>
        </w:rPr>
      </w:pPr>
      <w:r>
        <w:rPr>
          <w:rFonts w:cstheme="minorHAnsi"/>
          <w:sz w:val="24"/>
          <w:szCs w:val="24"/>
        </w:rPr>
        <w:t xml:space="preserve">(2) </w:t>
      </w:r>
      <w:r w:rsidR="00770C4E">
        <w:rPr>
          <w:rFonts w:cstheme="minorHAnsi"/>
          <w:sz w:val="24"/>
          <w:szCs w:val="24"/>
        </w:rPr>
        <w:t xml:space="preserve">K100059 Izrada dokumentacije za zaštitu okoliša </w:t>
      </w:r>
    </w:p>
    <w:p w14:paraId="38ABCBD4" w14:textId="77777777" w:rsidR="00770C4E" w:rsidRDefault="00770C4E" w:rsidP="00770C4E">
      <w:pPr>
        <w:spacing w:after="0"/>
        <w:jc w:val="both"/>
        <w:rPr>
          <w:rFonts w:cstheme="minorHAnsi"/>
          <w:sz w:val="24"/>
          <w:szCs w:val="24"/>
        </w:rPr>
      </w:pPr>
    </w:p>
    <w:p w14:paraId="3EB8E0E2" w14:textId="56877E65" w:rsidR="00CE5CC5" w:rsidRPr="00446740" w:rsidRDefault="009C4C69" w:rsidP="00770C4E">
      <w:pPr>
        <w:spacing w:after="0"/>
        <w:jc w:val="both"/>
        <w:rPr>
          <w:rFonts w:cstheme="minorHAnsi"/>
          <w:sz w:val="24"/>
          <w:szCs w:val="24"/>
        </w:rPr>
      </w:pPr>
      <w:r>
        <w:rPr>
          <w:rFonts w:cstheme="minorHAnsi"/>
          <w:sz w:val="24"/>
          <w:szCs w:val="24"/>
        </w:rPr>
        <w:t xml:space="preserve">Sredstva za ovaj program </w:t>
      </w:r>
      <w:r w:rsidRPr="00162757">
        <w:rPr>
          <w:rFonts w:cstheme="minorHAnsi"/>
          <w:sz w:val="24"/>
          <w:szCs w:val="24"/>
        </w:rPr>
        <w:t>planirana</w:t>
      </w:r>
      <w:r>
        <w:rPr>
          <w:rFonts w:cstheme="minorHAnsi"/>
          <w:sz w:val="24"/>
          <w:szCs w:val="24"/>
        </w:rPr>
        <w:t xml:space="preserve"> su</w:t>
      </w:r>
      <w:r w:rsidRPr="00162757">
        <w:rPr>
          <w:rFonts w:cstheme="minorHAnsi"/>
          <w:sz w:val="24"/>
          <w:szCs w:val="24"/>
        </w:rPr>
        <w:t xml:space="preserve"> u iznosu od </w:t>
      </w:r>
      <w:r w:rsidR="00491A1B">
        <w:rPr>
          <w:rFonts w:cstheme="minorHAnsi"/>
          <w:sz w:val="24"/>
          <w:szCs w:val="24"/>
        </w:rPr>
        <w:t>55.000,00</w:t>
      </w:r>
      <w:r>
        <w:rPr>
          <w:rFonts w:cstheme="minorHAnsi"/>
          <w:sz w:val="24"/>
          <w:szCs w:val="24"/>
        </w:rPr>
        <w:t xml:space="preserve"> eura</w:t>
      </w:r>
      <w:r w:rsidRPr="00162757">
        <w:rPr>
          <w:rFonts w:cstheme="minorHAnsi"/>
          <w:sz w:val="24"/>
          <w:szCs w:val="24"/>
        </w:rPr>
        <w:t>,</w:t>
      </w:r>
      <w:r>
        <w:rPr>
          <w:rFonts w:cstheme="minorHAnsi"/>
          <w:sz w:val="24"/>
          <w:szCs w:val="24"/>
        </w:rPr>
        <w:t xml:space="preserve"> a realizirano je </w:t>
      </w:r>
      <w:r w:rsidR="00491A1B">
        <w:rPr>
          <w:rFonts w:cstheme="minorHAnsi"/>
          <w:sz w:val="24"/>
          <w:szCs w:val="24"/>
        </w:rPr>
        <w:t>23.237,50</w:t>
      </w:r>
      <w:r>
        <w:rPr>
          <w:rFonts w:cstheme="minorHAnsi"/>
          <w:sz w:val="24"/>
          <w:szCs w:val="24"/>
        </w:rPr>
        <w:t xml:space="preserve"> eura ili</w:t>
      </w:r>
      <w:r w:rsidR="00366BA4">
        <w:rPr>
          <w:rFonts w:cstheme="minorHAnsi"/>
          <w:sz w:val="24"/>
          <w:szCs w:val="24"/>
        </w:rPr>
        <w:t xml:space="preserve"> </w:t>
      </w:r>
      <w:r w:rsidR="00491A1B">
        <w:rPr>
          <w:rFonts w:cstheme="minorHAnsi"/>
          <w:sz w:val="24"/>
          <w:szCs w:val="24"/>
        </w:rPr>
        <w:t>42,25</w:t>
      </w:r>
      <w:r>
        <w:rPr>
          <w:rFonts w:cstheme="minorHAnsi"/>
          <w:sz w:val="24"/>
          <w:szCs w:val="24"/>
        </w:rPr>
        <w:t xml:space="preserve">% plana. Realizacija se odnosi najvećim dijelom na ekološke aktivnosti i to na entomološku </w:t>
      </w:r>
      <w:r w:rsidRPr="00A9252E">
        <w:rPr>
          <w:rFonts w:cstheme="minorHAnsi"/>
          <w:sz w:val="24"/>
          <w:szCs w:val="24"/>
        </w:rPr>
        <w:t xml:space="preserve">zaštitu palmi te na </w:t>
      </w:r>
      <w:r w:rsidR="00A9252E" w:rsidRPr="00A9252E">
        <w:rPr>
          <w:rFonts w:cstheme="minorHAnsi"/>
          <w:sz w:val="24"/>
          <w:szCs w:val="24"/>
        </w:rPr>
        <w:t>poticanje svijesti javnosti o važnosti zaštite okoliša i prirode kroz provedbu edukacije zaštite okoliša i gospodarenja otpadom i promidžbenog materijala</w:t>
      </w:r>
      <w:r w:rsidR="00446740">
        <w:rPr>
          <w:rFonts w:cstheme="minorHAnsi"/>
          <w:sz w:val="24"/>
          <w:szCs w:val="24"/>
        </w:rPr>
        <w:t>.</w:t>
      </w:r>
      <w:r w:rsidR="00CE5CC5">
        <w:rPr>
          <w:rFonts w:cstheme="minorHAnsi"/>
          <w:sz w:val="24"/>
          <w:szCs w:val="24"/>
        </w:rPr>
        <w:t xml:space="preserve"> </w:t>
      </w:r>
    </w:p>
    <w:p w14:paraId="5C24D687" w14:textId="48851618" w:rsidR="006827B9" w:rsidRDefault="00192973" w:rsidP="00192973">
      <w:pPr>
        <w:spacing w:after="0"/>
        <w:rPr>
          <w:rFonts w:cstheme="minorHAnsi"/>
          <w:sz w:val="24"/>
          <w:szCs w:val="24"/>
        </w:rPr>
      </w:pPr>
      <w:r>
        <w:rPr>
          <w:rFonts w:cstheme="minorHAnsi"/>
          <w:sz w:val="24"/>
          <w:szCs w:val="24"/>
        </w:rPr>
        <w:t xml:space="preserve">  </w:t>
      </w:r>
    </w:p>
    <w:p w14:paraId="76039F0B" w14:textId="77777777" w:rsidR="00366BA4" w:rsidRDefault="00366BA4" w:rsidP="00192973">
      <w:pPr>
        <w:spacing w:after="0"/>
        <w:rPr>
          <w:rFonts w:cstheme="minorHAnsi"/>
          <w:sz w:val="24"/>
          <w:szCs w:val="24"/>
        </w:rPr>
      </w:pPr>
    </w:p>
    <w:p w14:paraId="5E8803D7" w14:textId="77777777" w:rsidR="0058541C" w:rsidRDefault="0058541C" w:rsidP="00192973">
      <w:pPr>
        <w:spacing w:after="0"/>
        <w:rPr>
          <w:rFonts w:cstheme="minorHAnsi"/>
          <w:sz w:val="24"/>
          <w:szCs w:val="24"/>
        </w:rPr>
      </w:pPr>
    </w:p>
    <w:p w14:paraId="6761D321" w14:textId="77777777" w:rsidR="00446740" w:rsidRDefault="00446740" w:rsidP="00192973">
      <w:pPr>
        <w:spacing w:after="0"/>
        <w:rPr>
          <w:rFonts w:cstheme="minorHAnsi"/>
          <w:sz w:val="24"/>
          <w:szCs w:val="24"/>
        </w:rPr>
      </w:pPr>
    </w:p>
    <w:p w14:paraId="49FA70F8" w14:textId="77777777" w:rsidR="003E66C6" w:rsidRDefault="00292E9C" w:rsidP="00192973">
      <w:pPr>
        <w:spacing w:after="0"/>
        <w:rPr>
          <w:rFonts w:cstheme="minorHAnsi"/>
          <w:sz w:val="24"/>
          <w:szCs w:val="24"/>
        </w:rPr>
      </w:pPr>
      <w:r>
        <w:rPr>
          <w:rFonts w:cstheme="minorHAnsi"/>
          <w:sz w:val="24"/>
          <w:szCs w:val="24"/>
        </w:rPr>
        <w:t>Pripremila:</w:t>
      </w:r>
    </w:p>
    <w:p w14:paraId="4D16FE94" w14:textId="5342EFE8" w:rsidR="00590BF1" w:rsidRDefault="00495CD0" w:rsidP="00192973">
      <w:pPr>
        <w:spacing w:after="0"/>
        <w:rPr>
          <w:rFonts w:cstheme="minorHAnsi"/>
          <w:sz w:val="24"/>
          <w:szCs w:val="24"/>
        </w:rPr>
      </w:pPr>
      <w:r>
        <w:rPr>
          <w:rFonts w:cstheme="minorHAnsi"/>
          <w:sz w:val="24"/>
          <w:szCs w:val="24"/>
        </w:rPr>
        <w:t>Marina Geić</w:t>
      </w:r>
      <w:r w:rsidR="00CA65F1">
        <w:rPr>
          <w:rFonts w:cstheme="minorHAnsi"/>
          <w:sz w:val="24"/>
          <w:szCs w:val="24"/>
        </w:rPr>
        <w:t xml:space="preserve">                                                     </w:t>
      </w:r>
      <w:r w:rsidR="00D00F8E">
        <w:rPr>
          <w:rFonts w:cstheme="minorHAnsi"/>
          <w:sz w:val="24"/>
          <w:szCs w:val="24"/>
        </w:rPr>
        <w:t xml:space="preserve">                                                          </w:t>
      </w:r>
    </w:p>
    <w:p w14:paraId="06315D32" w14:textId="7DF5FED5" w:rsidR="00495CD0" w:rsidRDefault="00590BF1" w:rsidP="00192973">
      <w:pPr>
        <w:spacing w:after="0"/>
        <w:rPr>
          <w:rFonts w:cstheme="minorHAnsi"/>
          <w:sz w:val="24"/>
          <w:szCs w:val="24"/>
        </w:rPr>
      </w:pPr>
      <w:r>
        <w:rPr>
          <w:rFonts w:cstheme="minorHAnsi"/>
          <w:sz w:val="24"/>
          <w:szCs w:val="24"/>
        </w:rPr>
        <w:t xml:space="preserve">                                                                                                                </w:t>
      </w:r>
      <w:r w:rsidR="00CA0F64">
        <w:rPr>
          <w:rFonts w:cstheme="minorHAnsi"/>
          <w:sz w:val="24"/>
          <w:szCs w:val="24"/>
        </w:rPr>
        <w:t xml:space="preserve">           </w:t>
      </w:r>
      <w:r>
        <w:rPr>
          <w:rFonts w:cstheme="minorHAnsi"/>
          <w:sz w:val="24"/>
          <w:szCs w:val="24"/>
        </w:rPr>
        <w:t xml:space="preserve"> </w:t>
      </w:r>
      <w:r w:rsidR="000E02C8">
        <w:rPr>
          <w:rFonts w:cstheme="minorHAnsi"/>
          <w:sz w:val="24"/>
          <w:szCs w:val="24"/>
        </w:rPr>
        <w:t>Pročelnica</w:t>
      </w:r>
      <w:r w:rsidR="00192973">
        <w:rPr>
          <w:rFonts w:cstheme="minorHAnsi"/>
          <w:sz w:val="24"/>
          <w:szCs w:val="24"/>
        </w:rPr>
        <w:t>:</w:t>
      </w:r>
    </w:p>
    <w:p w14:paraId="2ED0EA15" w14:textId="77777777" w:rsidR="001A7B80" w:rsidRPr="00885431" w:rsidRDefault="00495CD0" w:rsidP="00885431">
      <w:pPr>
        <w:spacing w:after="0"/>
        <w:rPr>
          <w:rFonts w:cstheme="minorHAnsi"/>
          <w:sz w:val="24"/>
          <w:szCs w:val="24"/>
        </w:rPr>
      </w:pPr>
      <w:r>
        <w:rPr>
          <w:rFonts w:cstheme="minorHAnsi"/>
          <w:sz w:val="24"/>
          <w:szCs w:val="24"/>
        </w:rPr>
        <w:t xml:space="preserve">                                                                                                             </w:t>
      </w:r>
      <w:r w:rsidR="00885431">
        <w:rPr>
          <w:rFonts w:cstheme="minorHAnsi"/>
          <w:sz w:val="24"/>
          <w:szCs w:val="24"/>
        </w:rPr>
        <w:t xml:space="preserve">      Lidija Musinov, </w:t>
      </w:r>
      <w:proofErr w:type="spellStart"/>
      <w:r w:rsidR="00885431">
        <w:rPr>
          <w:rFonts w:cstheme="minorHAnsi"/>
          <w:sz w:val="24"/>
          <w:szCs w:val="24"/>
        </w:rPr>
        <w:t>dipl.oec</w:t>
      </w:r>
      <w:proofErr w:type="spellEnd"/>
      <w:r w:rsidR="00C113A6">
        <w:rPr>
          <w:rFonts w:ascii="Times New Roman" w:hAnsi="Times New Roman" w:cs="Times New Roman"/>
        </w:rPr>
        <w:tab/>
      </w:r>
    </w:p>
    <w:sectPr w:rsidR="001A7B80" w:rsidRPr="00885431" w:rsidSect="00C87CB9">
      <w:footerReference w:type="default" r:id="rId2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2045B" w14:textId="77777777" w:rsidR="00E97CC6" w:rsidRDefault="00E97CC6" w:rsidP="001D689B">
      <w:pPr>
        <w:spacing w:after="0" w:line="240" w:lineRule="auto"/>
      </w:pPr>
      <w:r>
        <w:separator/>
      </w:r>
    </w:p>
  </w:endnote>
  <w:endnote w:type="continuationSeparator" w:id="0">
    <w:p w14:paraId="6079689D" w14:textId="77777777" w:rsidR="00E97CC6" w:rsidRDefault="00E97CC6" w:rsidP="001D6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mo">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Narrow-Bold">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424709"/>
      <w:docPartObj>
        <w:docPartGallery w:val="Page Numbers (Bottom of Page)"/>
        <w:docPartUnique/>
      </w:docPartObj>
    </w:sdtPr>
    <w:sdtContent>
      <w:p w14:paraId="0D243B8B" w14:textId="77777777" w:rsidR="00D00F8E" w:rsidRDefault="00D00F8E">
        <w:pPr>
          <w:pStyle w:val="Podnoje"/>
          <w:jc w:val="right"/>
        </w:pPr>
        <w:r>
          <w:fldChar w:fldCharType="begin"/>
        </w:r>
        <w:r>
          <w:instrText>PAGE   \* MERGEFORMAT</w:instrText>
        </w:r>
        <w:r>
          <w:fldChar w:fldCharType="separate"/>
        </w:r>
        <w:r w:rsidR="00352AE9">
          <w:rPr>
            <w:noProof/>
          </w:rPr>
          <w:t>113</w:t>
        </w:r>
        <w:r>
          <w:fldChar w:fldCharType="end"/>
        </w:r>
      </w:p>
    </w:sdtContent>
  </w:sdt>
  <w:p w14:paraId="420CF7B9" w14:textId="77777777" w:rsidR="00D00F8E" w:rsidRDefault="00D00F8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539BD" w14:textId="77777777" w:rsidR="00E97CC6" w:rsidRDefault="00E97CC6" w:rsidP="001D689B">
      <w:pPr>
        <w:spacing w:after="0" w:line="240" w:lineRule="auto"/>
      </w:pPr>
      <w:r>
        <w:separator/>
      </w:r>
    </w:p>
  </w:footnote>
  <w:footnote w:type="continuationSeparator" w:id="0">
    <w:p w14:paraId="6C06D0D4" w14:textId="77777777" w:rsidR="00E97CC6" w:rsidRDefault="00E97CC6" w:rsidP="001D68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7F2B"/>
    <w:multiLevelType w:val="hybridMultilevel"/>
    <w:tmpl w:val="0472F07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2A6439"/>
    <w:multiLevelType w:val="multilevel"/>
    <w:tmpl w:val="665C78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CD762C"/>
    <w:multiLevelType w:val="hybridMultilevel"/>
    <w:tmpl w:val="0714D4BA"/>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A95E10"/>
    <w:multiLevelType w:val="hybridMultilevel"/>
    <w:tmpl w:val="CEFE998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10EE1B21"/>
    <w:multiLevelType w:val="hybridMultilevel"/>
    <w:tmpl w:val="7172C1E0"/>
    <w:lvl w:ilvl="0" w:tplc="41B050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2643C8E"/>
    <w:multiLevelType w:val="hybridMultilevel"/>
    <w:tmpl w:val="EFC6FE22"/>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291755C"/>
    <w:multiLevelType w:val="hybridMultilevel"/>
    <w:tmpl w:val="DCF41FE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12C53494"/>
    <w:multiLevelType w:val="hybridMultilevel"/>
    <w:tmpl w:val="71BA72C0"/>
    <w:lvl w:ilvl="0" w:tplc="625AA92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9300A15"/>
    <w:multiLevelType w:val="hybridMultilevel"/>
    <w:tmpl w:val="8D3CE0AA"/>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A5264C8"/>
    <w:multiLevelType w:val="hybridMultilevel"/>
    <w:tmpl w:val="04D471FE"/>
    <w:lvl w:ilvl="0" w:tplc="1FE84F46">
      <w:start w:val="4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C4A72CE"/>
    <w:multiLevelType w:val="hybridMultilevel"/>
    <w:tmpl w:val="A50C6EEA"/>
    <w:lvl w:ilvl="0" w:tplc="847C2C02">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11" w15:restartNumberingAfterBreak="0">
    <w:nsid w:val="1CDB3CAD"/>
    <w:multiLevelType w:val="hybridMultilevel"/>
    <w:tmpl w:val="F432EA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47730C6"/>
    <w:multiLevelType w:val="hybridMultilevel"/>
    <w:tmpl w:val="863E836C"/>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61068DE"/>
    <w:multiLevelType w:val="hybridMultilevel"/>
    <w:tmpl w:val="40E277E0"/>
    <w:lvl w:ilvl="0" w:tplc="273475BC">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14" w15:restartNumberingAfterBreak="0">
    <w:nsid w:val="27372D9E"/>
    <w:multiLevelType w:val="hybridMultilevel"/>
    <w:tmpl w:val="7584CDD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A3D2CFA"/>
    <w:multiLevelType w:val="hybridMultilevel"/>
    <w:tmpl w:val="2E32A46A"/>
    <w:lvl w:ilvl="0" w:tplc="DE4A7B64">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16" w15:restartNumberingAfterBreak="0">
    <w:nsid w:val="2ED8444E"/>
    <w:multiLevelType w:val="hybridMultilevel"/>
    <w:tmpl w:val="0A362CFC"/>
    <w:lvl w:ilvl="0" w:tplc="2A9855AE">
      <w:start w:val="1"/>
      <w:numFmt w:val="decimal"/>
      <w:lvlText w:val="(%1)"/>
      <w:lvlJc w:val="left"/>
      <w:pPr>
        <w:ind w:left="717" w:hanging="360"/>
      </w:pPr>
      <w:rPr>
        <w:rFonts w:ascii="Arial" w:eastAsia="Calibri" w:hAnsi="Arial" w:cs="Arial"/>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17" w15:restartNumberingAfterBreak="0">
    <w:nsid w:val="331B4BD3"/>
    <w:multiLevelType w:val="hybridMultilevel"/>
    <w:tmpl w:val="2F320EE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4F73209"/>
    <w:multiLevelType w:val="hybridMultilevel"/>
    <w:tmpl w:val="264CBC36"/>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EF7461F"/>
    <w:multiLevelType w:val="hybridMultilevel"/>
    <w:tmpl w:val="C2BE8E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48B56EB"/>
    <w:multiLevelType w:val="hybridMultilevel"/>
    <w:tmpl w:val="7A8848AC"/>
    <w:lvl w:ilvl="0" w:tplc="3A04FA7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53410F7"/>
    <w:multiLevelType w:val="multilevel"/>
    <w:tmpl w:val="2116CC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A57C0B"/>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67D5DC3"/>
    <w:multiLevelType w:val="multilevel"/>
    <w:tmpl w:val="B156D1DE"/>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93F28A2"/>
    <w:multiLevelType w:val="hybridMultilevel"/>
    <w:tmpl w:val="51FEE06C"/>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1CE0E3B"/>
    <w:multiLevelType w:val="hybridMultilevel"/>
    <w:tmpl w:val="C766467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24C7438"/>
    <w:multiLevelType w:val="hybridMultilevel"/>
    <w:tmpl w:val="E0C2357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2776AB6"/>
    <w:multiLevelType w:val="hybridMultilevel"/>
    <w:tmpl w:val="08866B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6497534"/>
    <w:multiLevelType w:val="hybridMultilevel"/>
    <w:tmpl w:val="A678F932"/>
    <w:lvl w:ilvl="0" w:tplc="30E2A7C4">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6E7315F"/>
    <w:multiLevelType w:val="hybridMultilevel"/>
    <w:tmpl w:val="72582C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9F37B49"/>
    <w:multiLevelType w:val="hybridMultilevel"/>
    <w:tmpl w:val="D98EC40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4DC282B"/>
    <w:multiLevelType w:val="hybridMultilevel"/>
    <w:tmpl w:val="FE0239FE"/>
    <w:lvl w:ilvl="0" w:tplc="041A0001">
      <w:start w:val="1"/>
      <w:numFmt w:val="bullet"/>
      <w:lvlText w:val=""/>
      <w:lvlJc w:val="left"/>
      <w:pPr>
        <w:ind w:left="1005" w:hanging="360"/>
      </w:pPr>
      <w:rPr>
        <w:rFonts w:ascii="Symbol" w:hAnsi="Symbol" w:hint="default"/>
      </w:rPr>
    </w:lvl>
    <w:lvl w:ilvl="1" w:tplc="041A0003" w:tentative="1">
      <w:start w:val="1"/>
      <w:numFmt w:val="bullet"/>
      <w:lvlText w:val="o"/>
      <w:lvlJc w:val="left"/>
      <w:pPr>
        <w:ind w:left="1725" w:hanging="360"/>
      </w:pPr>
      <w:rPr>
        <w:rFonts w:ascii="Courier New" w:hAnsi="Courier New" w:cs="Courier New" w:hint="default"/>
      </w:rPr>
    </w:lvl>
    <w:lvl w:ilvl="2" w:tplc="041A0005" w:tentative="1">
      <w:start w:val="1"/>
      <w:numFmt w:val="bullet"/>
      <w:lvlText w:val=""/>
      <w:lvlJc w:val="left"/>
      <w:pPr>
        <w:ind w:left="2445" w:hanging="360"/>
      </w:pPr>
      <w:rPr>
        <w:rFonts w:ascii="Wingdings" w:hAnsi="Wingdings" w:hint="default"/>
      </w:rPr>
    </w:lvl>
    <w:lvl w:ilvl="3" w:tplc="041A0001" w:tentative="1">
      <w:start w:val="1"/>
      <w:numFmt w:val="bullet"/>
      <w:lvlText w:val=""/>
      <w:lvlJc w:val="left"/>
      <w:pPr>
        <w:ind w:left="3165" w:hanging="360"/>
      </w:pPr>
      <w:rPr>
        <w:rFonts w:ascii="Symbol" w:hAnsi="Symbol" w:hint="default"/>
      </w:rPr>
    </w:lvl>
    <w:lvl w:ilvl="4" w:tplc="041A0003" w:tentative="1">
      <w:start w:val="1"/>
      <w:numFmt w:val="bullet"/>
      <w:lvlText w:val="o"/>
      <w:lvlJc w:val="left"/>
      <w:pPr>
        <w:ind w:left="3885" w:hanging="360"/>
      </w:pPr>
      <w:rPr>
        <w:rFonts w:ascii="Courier New" w:hAnsi="Courier New" w:cs="Courier New" w:hint="default"/>
      </w:rPr>
    </w:lvl>
    <w:lvl w:ilvl="5" w:tplc="041A0005" w:tentative="1">
      <w:start w:val="1"/>
      <w:numFmt w:val="bullet"/>
      <w:lvlText w:val=""/>
      <w:lvlJc w:val="left"/>
      <w:pPr>
        <w:ind w:left="4605" w:hanging="360"/>
      </w:pPr>
      <w:rPr>
        <w:rFonts w:ascii="Wingdings" w:hAnsi="Wingdings" w:hint="default"/>
      </w:rPr>
    </w:lvl>
    <w:lvl w:ilvl="6" w:tplc="041A0001" w:tentative="1">
      <w:start w:val="1"/>
      <w:numFmt w:val="bullet"/>
      <w:lvlText w:val=""/>
      <w:lvlJc w:val="left"/>
      <w:pPr>
        <w:ind w:left="5325" w:hanging="360"/>
      </w:pPr>
      <w:rPr>
        <w:rFonts w:ascii="Symbol" w:hAnsi="Symbol" w:hint="default"/>
      </w:rPr>
    </w:lvl>
    <w:lvl w:ilvl="7" w:tplc="041A0003" w:tentative="1">
      <w:start w:val="1"/>
      <w:numFmt w:val="bullet"/>
      <w:lvlText w:val="o"/>
      <w:lvlJc w:val="left"/>
      <w:pPr>
        <w:ind w:left="6045" w:hanging="360"/>
      </w:pPr>
      <w:rPr>
        <w:rFonts w:ascii="Courier New" w:hAnsi="Courier New" w:cs="Courier New" w:hint="default"/>
      </w:rPr>
    </w:lvl>
    <w:lvl w:ilvl="8" w:tplc="041A0005" w:tentative="1">
      <w:start w:val="1"/>
      <w:numFmt w:val="bullet"/>
      <w:lvlText w:val=""/>
      <w:lvlJc w:val="left"/>
      <w:pPr>
        <w:ind w:left="6765" w:hanging="360"/>
      </w:pPr>
      <w:rPr>
        <w:rFonts w:ascii="Wingdings" w:hAnsi="Wingdings" w:hint="default"/>
      </w:rPr>
    </w:lvl>
  </w:abstractNum>
  <w:abstractNum w:abstractNumId="32" w15:restartNumberingAfterBreak="0">
    <w:nsid w:val="686F2B15"/>
    <w:multiLevelType w:val="multilevel"/>
    <w:tmpl w:val="DD06E4D4"/>
    <w:lvl w:ilvl="0">
      <w:start w:val="1"/>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ED3672D"/>
    <w:multiLevelType w:val="hybridMultilevel"/>
    <w:tmpl w:val="E5442692"/>
    <w:lvl w:ilvl="0" w:tplc="5046DE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FB54D07"/>
    <w:multiLevelType w:val="hybridMultilevel"/>
    <w:tmpl w:val="B72C80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0460A5E"/>
    <w:multiLevelType w:val="hybridMultilevel"/>
    <w:tmpl w:val="CC8A6032"/>
    <w:lvl w:ilvl="0" w:tplc="34C029A0">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2602B5B"/>
    <w:multiLevelType w:val="hybridMultilevel"/>
    <w:tmpl w:val="EFE0EA6E"/>
    <w:lvl w:ilvl="0" w:tplc="7736ED9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3722C59"/>
    <w:multiLevelType w:val="hybridMultilevel"/>
    <w:tmpl w:val="D64CC1B8"/>
    <w:name w:val="disc"/>
    <w:lvl w:ilvl="0" w:tplc="5A4CB280">
      <w:start w:val="1"/>
      <w:numFmt w:val="bullet"/>
      <w:lvlText w:val="•"/>
      <w:lvlJc w:val="left"/>
      <w:pPr>
        <w:ind w:left="720" w:hanging="360"/>
      </w:pPr>
    </w:lvl>
    <w:lvl w:ilvl="1" w:tplc="85AEF1AA">
      <w:start w:val="1"/>
      <w:numFmt w:val="bullet"/>
      <w:lvlText w:val="•"/>
      <w:lvlJc w:val="left"/>
      <w:pPr>
        <w:ind w:left="1440" w:hanging="360"/>
      </w:pPr>
    </w:lvl>
    <w:lvl w:ilvl="2" w:tplc="9ED6F532">
      <w:start w:val="1"/>
      <w:numFmt w:val="bullet"/>
      <w:lvlText w:val="•"/>
      <w:lvlJc w:val="left"/>
      <w:pPr>
        <w:ind w:left="2160" w:hanging="360"/>
      </w:pPr>
    </w:lvl>
    <w:lvl w:ilvl="3" w:tplc="190E7F40">
      <w:start w:val="1"/>
      <w:numFmt w:val="bullet"/>
      <w:lvlText w:val="•"/>
      <w:lvlJc w:val="left"/>
      <w:pPr>
        <w:ind w:left="2880" w:hanging="360"/>
      </w:pPr>
    </w:lvl>
    <w:lvl w:ilvl="4" w:tplc="3C68E8BE">
      <w:start w:val="1"/>
      <w:numFmt w:val="bullet"/>
      <w:lvlText w:val="•"/>
      <w:lvlJc w:val="left"/>
      <w:pPr>
        <w:ind w:left="3600" w:hanging="360"/>
      </w:pPr>
    </w:lvl>
    <w:lvl w:ilvl="5" w:tplc="85628BF0">
      <w:start w:val="1"/>
      <w:numFmt w:val="bullet"/>
      <w:lvlText w:val="•"/>
      <w:lvlJc w:val="left"/>
      <w:pPr>
        <w:ind w:left="4320" w:hanging="360"/>
      </w:pPr>
    </w:lvl>
    <w:lvl w:ilvl="6" w:tplc="195A1862">
      <w:start w:val="1"/>
      <w:numFmt w:val="bullet"/>
      <w:lvlText w:val="•"/>
      <w:lvlJc w:val="left"/>
      <w:pPr>
        <w:ind w:left="5040" w:hanging="360"/>
      </w:pPr>
    </w:lvl>
    <w:lvl w:ilvl="7" w:tplc="ECBED9D4">
      <w:start w:val="1"/>
      <w:numFmt w:val="bullet"/>
      <w:lvlText w:val="•"/>
      <w:lvlJc w:val="left"/>
      <w:pPr>
        <w:ind w:left="5760" w:hanging="360"/>
      </w:pPr>
    </w:lvl>
    <w:lvl w:ilvl="8" w:tplc="24BA44FE">
      <w:start w:val="1"/>
      <w:numFmt w:val="bullet"/>
      <w:lvlText w:val="•"/>
      <w:lvlJc w:val="left"/>
      <w:pPr>
        <w:ind w:left="6480" w:hanging="360"/>
      </w:pPr>
    </w:lvl>
  </w:abstractNum>
  <w:abstractNum w:abstractNumId="38" w15:restartNumberingAfterBreak="0">
    <w:nsid w:val="73A0162D"/>
    <w:multiLevelType w:val="hybridMultilevel"/>
    <w:tmpl w:val="DB10AA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3B11488"/>
    <w:multiLevelType w:val="hybridMultilevel"/>
    <w:tmpl w:val="E1BEDDA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6531425"/>
    <w:multiLevelType w:val="hybridMultilevel"/>
    <w:tmpl w:val="1734A9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A8B0A16"/>
    <w:multiLevelType w:val="hybridMultilevel"/>
    <w:tmpl w:val="D0D06440"/>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BBF2371"/>
    <w:multiLevelType w:val="hybridMultilevel"/>
    <w:tmpl w:val="90988A44"/>
    <w:lvl w:ilvl="0" w:tplc="4EE6562E">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C7B3EDC"/>
    <w:multiLevelType w:val="multilevel"/>
    <w:tmpl w:val="2A1CC6E2"/>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81209951">
    <w:abstractNumId w:val="11"/>
  </w:num>
  <w:num w:numId="2" w16cid:durableId="2063014685">
    <w:abstractNumId w:val="27"/>
  </w:num>
  <w:num w:numId="3" w16cid:durableId="156112730">
    <w:abstractNumId w:val="19"/>
  </w:num>
  <w:num w:numId="4" w16cid:durableId="76219851">
    <w:abstractNumId w:val="36"/>
  </w:num>
  <w:num w:numId="5" w16cid:durableId="20278890">
    <w:abstractNumId w:val="15"/>
  </w:num>
  <w:num w:numId="6" w16cid:durableId="397824969">
    <w:abstractNumId w:val="16"/>
  </w:num>
  <w:num w:numId="7" w16cid:durableId="1056927545">
    <w:abstractNumId w:val="4"/>
  </w:num>
  <w:num w:numId="8" w16cid:durableId="798649565">
    <w:abstractNumId w:val="17"/>
  </w:num>
  <w:num w:numId="9" w16cid:durableId="1704281403">
    <w:abstractNumId w:val="2"/>
  </w:num>
  <w:num w:numId="10" w16cid:durableId="654721521">
    <w:abstractNumId w:val="39"/>
  </w:num>
  <w:num w:numId="11" w16cid:durableId="157964588">
    <w:abstractNumId w:val="12"/>
  </w:num>
  <w:num w:numId="12" w16cid:durableId="1336885017">
    <w:abstractNumId w:val="14"/>
  </w:num>
  <w:num w:numId="13" w16cid:durableId="1813937541">
    <w:abstractNumId w:val="8"/>
  </w:num>
  <w:num w:numId="14" w16cid:durableId="716199687">
    <w:abstractNumId w:val="25"/>
  </w:num>
  <w:num w:numId="15" w16cid:durableId="342439898">
    <w:abstractNumId w:val="18"/>
  </w:num>
  <w:num w:numId="16" w16cid:durableId="302465627">
    <w:abstractNumId w:val="26"/>
  </w:num>
  <w:num w:numId="17" w16cid:durableId="2066485262">
    <w:abstractNumId w:val="41"/>
  </w:num>
  <w:num w:numId="18" w16cid:durableId="1675886800">
    <w:abstractNumId w:val="30"/>
  </w:num>
  <w:num w:numId="19" w16cid:durableId="564491397">
    <w:abstractNumId w:val="32"/>
  </w:num>
  <w:num w:numId="20" w16cid:durableId="2015377182">
    <w:abstractNumId w:val="10"/>
  </w:num>
  <w:num w:numId="21" w16cid:durableId="2110005030">
    <w:abstractNumId w:val="24"/>
  </w:num>
  <w:num w:numId="22" w16cid:durableId="1181697618">
    <w:abstractNumId w:val="34"/>
  </w:num>
  <w:num w:numId="23" w16cid:durableId="405809666">
    <w:abstractNumId w:val="29"/>
  </w:num>
  <w:num w:numId="24" w16cid:durableId="179708419">
    <w:abstractNumId w:val="38"/>
  </w:num>
  <w:num w:numId="25" w16cid:durableId="380591862">
    <w:abstractNumId w:val="35"/>
  </w:num>
  <w:num w:numId="26" w16cid:durableId="2084373991">
    <w:abstractNumId w:val="9"/>
  </w:num>
  <w:num w:numId="27" w16cid:durableId="1653171826">
    <w:abstractNumId w:val="6"/>
  </w:num>
  <w:num w:numId="28" w16cid:durableId="8308309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0538025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31021117">
    <w:abstractNumId w:val="1"/>
  </w:num>
  <w:num w:numId="31" w16cid:durableId="906526536">
    <w:abstractNumId w:val="42"/>
  </w:num>
  <w:num w:numId="32" w16cid:durableId="1076971424">
    <w:abstractNumId w:val="5"/>
  </w:num>
  <w:num w:numId="33" w16cid:durableId="1190533150">
    <w:abstractNumId w:val="21"/>
  </w:num>
  <w:num w:numId="34" w16cid:durableId="1289162021">
    <w:abstractNumId w:val="40"/>
  </w:num>
  <w:num w:numId="35" w16cid:durableId="1546872325">
    <w:abstractNumId w:val="3"/>
  </w:num>
  <w:num w:numId="36" w16cid:durableId="1173376527">
    <w:abstractNumId w:val="31"/>
  </w:num>
  <w:num w:numId="37" w16cid:durableId="184177017">
    <w:abstractNumId w:val="7"/>
  </w:num>
  <w:num w:numId="38" w16cid:durableId="1848641365">
    <w:abstractNumId w:val="0"/>
  </w:num>
  <w:num w:numId="39" w16cid:durableId="1940289255">
    <w:abstractNumId w:val="23"/>
  </w:num>
  <w:num w:numId="40" w16cid:durableId="127476391">
    <w:abstractNumId w:val="13"/>
  </w:num>
  <w:num w:numId="41" w16cid:durableId="866676316">
    <w:abstractNumId w:val="20"/>
  </w:num>
  <w:num w:numId="42" w16cid:durableId="553660266">
    <w:abstractNumId w:val="37"/>
    <w:lvlOverride w:ilvl="0">
      <w:startOverride w:val="1"/>
    </w:lvlOverride>
  </w:num>
  <w:num w:numId="43" w16cid:durableId="1152259310">
    <w:abstractNumId w:val="33"/>
  </w:num>
  <w:num w:numId="44" w16cid:durableId="478378737">
    <w:abstractNumId w:val="2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076"/>
    <w:rsid w:val="00000271"/>
    <w:rsid w:val="00002C27"/>
    <w:rsid w:val="000031F8"/>
    <w:rsid w:val="000031FE"/>
    <w:rsid w:val="000035FC"/>
    <w:rsid w:val="00003F28"/>
    <w:rsid w:val="00004B98"/>
    <w:rsid w:val="000057A4"/>
    <w:rsid w:val="00006357"/>
    <w:rsid w:val="00006841"/>
    <w:rsid w:val="00006DCA"/>
    <w:rsid w:val="0000741B"/>
    <w:rsid w:val="000075A2"/>
    <w:rsid w:val="00007E0E"/>
    <w:rsid w:val="000107BB"/>
    <w:rsid w:val="00011849"/>
    <w:rsid w:val="00011E4C"/>
    <w:rsid w:val="00011F95"/>
    <w:rsid w:val="00011FE0"/>
    <w:rsid w:val="00012AF2"/>
    <w:rsid w:val="000133C8"/>
    <w:rsid w:val="000133E1"/>
    <w:rsid w:val="0001355D"/>
    <w:rsid w:val="000143AD"/>
    <w:rsid w:val="000149A1"/>
    <w:rsid w:val="00014B61"/>
    <w:rsid w:val="00015048"/>
    <w:rsid w:val="00015A13"/>
    <w:rsid w:val="00015DE2"/>
    <w:rsid w:val="00015EC8"/>
    <w:rsid w:val="00016FB3"/>
    <w:rsid w:val="00020F44"/>
    <w:rsid w:val="0002181E"/>
    <w:rsid w:val="00022ECB"/>
    <w:rsid w:val="00024974"/>
    <w:rsid w:val="000259A8"/>
    <w:rsid w:val="00025C46"/>
    <w:rsid w:val="000263DA"/>
    <w:rsid w:val="00027034"/>
    <w:rsid w:val="0003144B"/>
    <w:rsid w:val="00031E9C"/>
    <w:rsid w:val="00032045"/>
    <w:rsid w:val="000320D5"/>
    <w:rsid w:val="000322F8"/>
    <w:rsid w:val="00032D67"/>
    <w:rsid w:val="0003410F"/>
    <w:rsid w:val="00034582"/>
    <w:rsid w:val="000346F9"/>
    <w:rsid w:val="00035C44"/>
    <w:rsid w:val="00035CB4"/>
    <w:rsid w:val="000362F6"/>
    <w:rsid w:val="0003637A"/>
    <w:rsid w:val="00037174"/>
    <w:rsid w:val="0003795D"/>
    <w:rsid w:val="0004029E"/>
    <w:rsid w:val="0004037E"/>
    <w:rsid w:val="0004107F"/>
    <w:rsid w:val="00042522"/>
    <w:rsid w:val="000428DA"/>
    <w:rsid w:val="00042D2E"/>
    <w:rsid w:val="00043347"/>
    <w:rsid w:val="000435CF"/>
    <w:rsid w:val="00043B56"/>
    <w:rsid w:val="000445B8"/>
    <w:rsid w:val="00044607"/>
    <w:rsid w:val="00044E0B"/>
    <w:rsid w:val="000453C5"/>
    <w:rsid w:val="00045620"/>
    <w:rsid w:val="00045C14"/>
    <w:rsid w:val="00045C4E"/>
    <w:rsid w:val="00047E43"/>
    <w:rsid w:val="00050032"/>
    <w:rsid w:val="000504F1"/>
    <w:rsid w:val="000514B5"/>
    <w:rsid w:val="00051680"/>
    <w:rsid w:val="000517E7"/>
    <w:rsid w:val="00052329"/>
    <w:rsid w:val="00053C3B"/>
    <w:rsid w:val="0005406E"/>
    <w:rsid w:val="00054922"/>
    <w:rsid w:val="00054F7E"/>
    <w:rsid w:val="000554EF"/>
    <w:rsid w:val="0005560C"/>
    <w:rsid w:val="00057F7E"/>
    <w:rsid w:val="000600E4"/>
    <w:rsid w:val="00060387"/>
    <w:rsid w:val="000603C9"/>
    <w:rsid w:val="00060CB2"/>
    <w:rsid w:val="000622F6"/>
    <w:rsid w:val="00062924"/>
    <w:rsid w:val="00062C50"/>
    <w:rsid w:val="000638CD"/>
    <w:rsid w:val="00063925"/>
    <w:rsid w:val="00065D6C"/>
    <w:rsid w:val="00066B4B"/>
    <w:rsid w:val="00066D87"/>
    <w:rsid w:val="00067B49"/>
    <w:rsid w:val="0007014E"/>
    <w:rsid w:val="00070413"/>
    <w:rsid w:val="00070E15"/>
    <w:rsid w:val="00070F74"/>
    <w:rsid w:val="0007136B"/>
    <w:rsid w:val="00071F8F"/>
    <w:rsid w:val="00072195"/>
    <w:rsid w:val="00072205"/>
    <w:rsid w:val="00072650"/>
    <w:rsid w:val="000733FA"/>
    <w:rsid w:val="00073C16"/>
    <w:rsid w:val="00073DCB"/>
    <w:rsid w:val="00073F51"/>
    <w:rsid w:val="000770B7"/>
    <w:rsid w:val="0007756C"/>
    <w:rsid w:val="00080657"/>
    <w:rsid w:val="0008243A"/>
    <w:rsid w:val="0008256C"/>
    <w:rsid w:val="00082588"/>
    <w:rsid w:val="00082CB5"/>
    <w:rsid w:val="00083163"/>
    <w:rsid w:val="0008316C"/>
    <w:rsid w:val="00084633"/>
    <w:rsid w:val="00084B9C"/>
    <w:rsid w:val="000853D3"/>
    <w:rsid w:val="00085638"/>
    <w:rsid w:val="00086215"/>
    <w:rsid w:val="00086875"/>
    <w:rsid w:val="000869BA"/>
    <w:rsid w:val="0008726A"/>
    <w:rsid w:val="0008743E"/>
    <w:rsid w:val="0008762F"/>
    <w:rsid w:val="000878B2"/>
    <w:rsid w:val="000905C6"/>
    <w:rsid w:val="00091E11"/>
    <w:rsid w:val="00091E22"/>
    <w:rsid w:val="0009226B"/>
    <w:rsid w:val="00092A67"/>
    <w:rsid w:val="00092F7F"/>
    <w:rsid w:val="00093082"/>
    <w:rsid w:val="000935D2"/>
    <w:rsid w:val="000938C2"/>
    <w:rsid w:val="00093B11"/>
    <w:rsid w:val="000968A9"/>
    <w:rsid w:val="000970CE"/>
    <w:rsid w:val="000975F3"/>
    <w:rsid w:val="000A01AB"/>
    <w:rsid w:val="000A02A3"/>
    <w:rsid w:val="000A02C7"/>
    <w:rsid w:val="000A0558"/>
    <w:rsid w:val="000A078D"/>
    <w:rsid w:val="000A0B23"/>
    <w:rsid w:val="000A202A"/>
    <w:rsid w:val="000A273D"/>
    <w:rsid w:val="000A27BC"/>
    <w:rsid w:val="000A2AB3"/>
    <w:rsid w:val="000A368F"/>
    <w:rsid w:val="000A45A5"/>
    <w:rsid w:val="000A4B5D"/>
    <w:rsid w:val="000A4EE0"/>
    <w:rsid w:val="000A4FAA"/>
    <w:rsid w:val="000A5724"/>
    <w:rsid w:val="000A59EF"/>
    <w:rsid w:val="000A6B09"/>
    <w:rsid w:val="000A7043"/>
    <w:rsid w:val="000A7335"/>
    <w:rsid w:val="000A7CEA"/>
    <w:rsid w:val="000A7D9C"/>
    <w:rsid w:val="000B07CC"/>
    <w:rsid w:val="000B12EF"/>
    <w:rsid w:val="000B149C"/>
    <w:rsid w:val="000B1737"/>
    <w:rsid w:val="000B250D"/>
    <w:rsid w:val="000B262C"/>
    <w:rsid w:val="000B3DE0"/>
    <w:rsid w:val="000B4A10"/>
    <w:rsid w:val="000B54A0"/>
    <w:rsid w:val="000B5997"/>
    <w:rsid w:val="000B5A05"/>
    <w:rsid w:val="000B6A32"/>
    <w:rsid w:val="000B74E8"/>
    <w:rsid w:val="000C03D8"/>
    <w:rsid w:val="000C07EB"/>
    <w:rsid w:val="000C0894"/>
    <w:rsid w:val="000C0B91"/>
    <w:rsid w:val="000C0E10"/>
    <w:rsid w:val="000C1AC2"/>
    <w:rsid w:val="000C1E4F"/>
    <w:rsid w:val="000C2480"/>
    <w:rsid w:val="000C2A7F"/>
    <w:rsid w:val="000C325A"/>
    <w:rsid w:val="000C33B0"/>
    <w:rsid w:val="000C352D"/>
    <w:rsid w:val="000C3CE5"/>
    <w:rsid w:val="000C3D69"/>
    <w:rsid w:val="000C462B"/>
    <w:rsid w:val="000C48FB"/>
    <w:rsid w:val="000C51D1"/>
    <w:rsid w:val="000C6000"/>
    <w:rsid w:val="000C6228"/>
    <w:rsid w:val="000C6C76"/>
    <w:rsid w:val="000C6EE0"/>
    <w:rsid w:val="000C6F4B"/>
    <w:rsid w:val="000C7054"/>
    <w:rsid w:val="000C7581"/>
    <w:rsid w:val="000C7CCA"/>
    <w:rsid w:val="000D019A"/>
    <w:rsid w:val="000D10B0"/>
    <w:rsid w:val="000D151B"/>
    <w:rsid w:val="000D1727"/>
    <w:rsid w:val="000D1CE0"/>
    <w:rsid w:val="000D3698"/>
    <w:rsid w:val="000D3CA7"/>
    <w:rsid w:val="000D48B4"/>
    <w:rsid w:val="000D551C"/>
    <w:rsid w:val="000D6282"/>
    <w:rsid w:val="000D6F6D"/>
    <w:rsid w:val="000D7419"/>
    <w:rsid w:val="000D7E05"/>
    <w:rsid w:val="000E02C8"/>
    <w:rsid w:val="000E0649"/>
    <w:rsid w:val="000E0DDA"/>
    <w:rsid w:val="000E1674"/>
    <w:rsid w:val="000E171E"/>
    <w:rsid w:val="000E203D"/>
    <w:rsid w:val="000E2B52"/>
    <w:rsid w:val="000E3428"/>
    <w:rsid w:val="000E373F"/>
    <w:rsid w:val="000E5A9B"/>
    <w:rsid w:val="000E5D09"/>
    <w:rsid w:val="000E628D"/>
    <w:rsid w:val="000E6D60"/>
    <w:rsid w:val="000E6E82"/>
    <w:rsid w:val="000E70A3"/>
    <w:rsid w:val="000E7478"/>
    <w:rsid w:val="000F08F4"/>
    <w:rsid w:val="000F091B"/>
    <w:rsid w:val="000F4ADC"/>
    <w:rsid w:val="000F4F0A"/>
    <w:rsid w:val="000F58FD"/>
    <w:rsid w:val="000F6EDE"/>
    <w:rsid w:val="000F7B40"/>
    <w:rsid w:val="00100041"/>
    <w:rsid w:val="0010055F"/>
    <w:rsid w:val="0010115B"/>
    <w:rsid w:val="00101594"/>
    <w:rsid w:val="00101E48"/>
    <w:rsid w:val="00102A86"/>
    <w:rsid w:val="001047F7"/>
    <w:rsid w:val="001058CB"/>
    <w:rsid w:val="00106060"/>
    <w:rsid w:val="001061CA"/>
    <w:rsid w:val="0010667C"/>
    <w:rsid w:val="00107E9C"/>
    <w:rsid w:val="00107F1A"/>
    <w:rsid w:val="00110DCE"/>
    <w:rsid w:val="001119EE"/>
    <w:rsid w:val="00112160"/>
    <w:rsid w:val="001126A7"/>
    <w:rsid w:val="00113ECA"/>
    <w:rsid w:val="001141CC"/>
    <w:rsid w:val="00115655"/>
    <w:rsid w:val="00115883"/>
    <w:rsid w:val="00115E3C"/>
    <w:rsid w:val="00115FF1"/>
    <w:rsid w:val="001160A1"/>
    <w:rsid w:val="001161F6"/>
    <w:rsid w:val="001169B0"/>
    <w:rsid w:val="0011739A"/>
    <w:rsid w:val="001176CC"/>
    <w:rsid w:val="00117D0A"/>
    <w:rsid w:val="00120713"/>
    <w:rsid w:val="001207C2"/>
    <w:rsid w:val="001226B8"/>
    <w:rsid w:val="001227D5"/>
    <w:rsid w:val="00124F2F"/>
    <w:rsid w:val="0012570A"/>
    <w:rsid w:val="00126665"/>
    <w:rsid w:val="00126892"/>
    <w:rsid w:val="001269BE"/>
    <w:rsid w:val="001274BB"/>
    <w:rsid w:val="00130530"/>
    <w:rsid w:val="00130BAE"/>
    <w:rsid w:val="0013203B"/>
    <w:rsid w:val="00134079"/>
    <w:rsid w:val="00134DD6"/>
    <w:rsid w:val="00135C26"/>
    <w:rsid w:val="00135D69"/>
    <w:rsid w:val="001363C8"/>
    <w:rsid w:val="00136A2C"/>
    <w:rsid w:val="00137983"/>
    <w:rsid w:val="00137CA0"/>
    <w:rsid w:val="00137EE5"/>
    <w:rsid w:val="001403C3"/>
    <w:rsid w:val="0014196D"/>
    <w:rsid w:val="00141B4A"/>
    <w:rsid w:val="00141DC9"/>
    <w:rsid w:val="001425A7"/>
    <w:rsid w:val="00142B9B"/>
    <w:rsid w:val="00143039"/>
    <w:rsid w:val="00143E01"/>
    <w:rsid w:val="00144688"/>
    <w:rsid w:val="00145060"/>
    <w:rsid w:val="0014573F"/>
    <w:rsid w:val="001469EE"/>
    <w:rsid w:val="00146CF7"/>
    <w:rsid w:val="00146EBE"/>
    <w:rsid w:val="00146EE2"/>
    <w:rsid w:val="001504D4"/>
    <w:rsid w:val="0015059F"/>
    <w:rsid w:val="001512B1"/>
    <w:rsid w:val="001514A1"/>
    <w:rsid w:val="00151B5B"/>
    <w:rsid w:val="00151C5B"/>
    <w:rsid w:val="00152D00"/>
    <w:rsid w:val="00153498"/>
    <w:rsid w:val="00153A8F"/>
    <w:rsid w:val="00154333"/>
    <w:rsid w:val="00155783"/>
    <w:rsid w:val="00155BC2"/>
    <w:rsid w:val="00156988"/>
    <w:rsid w:val="00156B48"/>
    <w:rsid w:val="0016061C"/>
    <w:rsid w:val="00160A0C"/>
    <w:rsid w:val="00161265"/>
    <w:rsid w:val="001614DB"/>
    <w:rsid w:val="00161583"/>
    <w:rsid w:val="00161D9A"/>
    <w:rsid w:val="00162757"/>
    <w:rsid w:val="00162AEC"/>
    <w:rsid w:val="00163C6E"/>
    <w:rsid w:val="00163CA1"/>
    <w:rsid w:val="00164DD6"/>
    <w:rsid w:val="001654B5"/>
    <w:rsid w:val="00166831"/>
    <w:rsid w:val="001668C1"/>
    <w:rsid w:val="00166AAE"/>
    <w:rsid w:val="00166AEF"/>
    <w:rsid w:val="00166D06"/>
    <w:rsid w:val="001673D6"/>
    <w:rsid w:val="0016759D"/>
    <w:rsid w:val="00167782"/>
    <w:rsid w:val="001700D9"/>
    <w:rsid w:val="0017051E"/>
    <w:rsid w:val="001705AD"/>
    <w:rsid w:val="00171619"/>
    <w:rsid w:val="00171781"/>
    <w:rsid w:val="00171A33"/>
    <w:rsid w:val="00172630"/>
    <w:rsid w:val="00172704"/>
    <w:rsid w:val="00172F04"/>
    <w:rsid w:val="00172FDB"/>
    <w:rsid w:val="0017323A"/>
    <w:rsid w:val="001735AE"/>
    <w:rsid w:val="001736AE"/>
    <w:rsid w:val="00174078"/>
    <w:rsid w:val="00174307"/>
    <w:rsid w:val="00174A34"/>
    <w:rsid w:val="00174B26"/>
    <w:rsid w:val="0017551E"/>
    <w:rsid w:val="00175997"/>
    <w:rsid w:val="00177DFD"/>
    <w:rsid w:val="00180E26"/>
    <w:rsid w:val="0018131A"/>
    <w:rsid w:val="00181499"/>
    <w:rsid w:val="00181954"/>
    <w:rsid w:val="00181D8C"/>
    <w:rsid w:val="00182300"/>
    <w:rsid w:val="0018261C"/>
    <w:rsid w:val="00183FD6"/>
    <w:rsid w:val="0018413F"/>
    <w:rsid w:val="00184A9D"/>
    <w:rsid w:val="00185F4A"/>
    <w:rsid w:val="00186066"/>
    <w:rsid w:val="00186181"/>
    <w:rsid w:val="00186829"/>
    <w:rsid w:val="0018687A"/>
    <w:rsid w:val="00187BDF"/>
    <w:rsid w:val="00187FF5"/>
    <w:rsid w:val="00190B01"/>
    <w:rsid w:val="00191281"/>
    <w:rsid w:val="001916C1"/>
    <w:rsid w:val="001918E1"/>
    <w:rsid w:val="001919C4"/>
    <w:rsid w:val="00191B21"/>
    <w:rsid w:val="001923A6"/>
    <w:rsid w:val="00192973"/>
    <w:rsid w:val="00192DAD"/>
    <w:rsid w:val="00192E22"/>
    <w:rsid w:val="00193CDD"/>
    <w:rsid w:val="0019435B"/>
    <w:rsid w:val="001979CD"/>
    <w:rsid w:val="00197C01"/>
    <w:rsid w:val="001A0416"/>
    <w:rsid w:val="001A0BA0"/>
    <w:rsid w:val="001A1421"/>
    <w:rsid w:val="001A167D"/>
    <w:rsid w:val="001A1FD8"/>
    <w:rsid w:val="001A2EC9"/>
    <w:rsid w:val="001A3648"/>
    <w:rsid w:val="001A48D0"/>
    <w:rsid w:val="001A4A63"/>
    <w:rsid w:val="001A525E"/>
    <w:rsid w:val="001A578C"/>
    <w:rsid w:val="001A60EE"/>
    <w:rsid w:val="001A72CA"/>
    <w:rsid w:val="001A7492"/>
    <w:rsid w:val="001A766D"/>
    <w:rsid w:val="001A7B80"/>
    <w:rsid w:val="001A7EA3"/>
    <w:rsid w:val="001B1FCA"/>
    <w:rsid w:val="001B2B02"/>
    <w:rsid w:val="001B2EDB"/>
    <w:rsid w:val="001B4560"/>
    <w:rsid w:val="001B4FAA"/>
    <w:rsid w:val="001B555B"/>
    <w:rsid w:val="001B557C"/>
    <w:rsid w:val="001B64FA"/>
    <w:rsid w:val="001B78DD"/>
    <w:rsid w:val="001B7FAC"/>
    <w:rsid w:val="001C018D"/>
    <w:rsid w:val="001C0402"/>
    <w:rsid w:val="001C0CC8"/>
    <w:rsid w:val="001C0CF9"/>
    <w:rsid w:val="001C123A"/>
    <w:rsid w:val="001C1661"/>
    <w:rsid w:val="001C1B24"/>
    <w:rsid w:val="001C2982"/>
    <w:rsid w:val="001C2E90"/>
    <w:rsid w:val="001C3A65"/>
    <w:rsid w:val="001C3B4D"/>
    <w:rsid w:val="001C4761"/>
    <w:rsid w:val="001C4ABF"/>
    <w:rsid w:val="001C635E"/>
    <w:rsid w:val="001D039E"/>
    <w:rsid w:val="001D0813"/>
    <w:rsid w:val="001D0E33"/>
    <w:rsid w:val="001D24A6"/>
    <w:rsid w:val="001D4076"/>
    <w:rsid w:val="001D473E"/>
    <w:rsid w:val="001D4A99"/>
    <w:rsid w:val="001D5CC4"/>
    <w:rsid w:val="001D5E4B"/>
    <w:rsid w:val="001D689B"/>
    <w:rsid w:val="001D781D"/>
    <w:rsid w:val="001E0331"/>
    <w:rsid w:val="001E0BC4"/>
    <w:rsid w:val="001E0CD5"/>
    <w:rsid w:val="001E105F"/>
    <w:rsid w:val="001E2315"/>
    <w:rsid w:val="001E28A7"/>
    <w:rsid w:val="001E2E56"/>
    <w:rsid w:val="001E2E80"/>
    <w:rsid w:val="001E49AE"/>
    <w:rsid w:val="001E4CEB"/>
    <w:rsid w:val="001E5DF1"/>
    <w:rsid w:val="001E62B5"/>
    <w:rsid w:val="001E658D"/>
    <w:rsid w:val="001F01C2"/>
    <w:rsid w:val="001F0605"/>
    <w:rsid w:val="001F09B6"/>
    <w:rsid w:val="001F0ABF"/>
    <w:rsid w:val="001F0D23"/>
    <w:rsid w:val="001F0D44"/>
    <w:rsid w:val="001F0E6E"/>
    <w:rsid w:val="001F10B9"/>
    <w:rsid w:val="001F1208"/>
    <w:rsid w:val="001F25A8"/>
    <w:rsid w:val="001F2D59"/>
    <w:rsid w:val="001F2F33"/>
    <w:rsid w:val="001F452F"/>
    <w:rsid w:val="001F4581"/>
    <w:rsid w:val="001F492D"/>
    <w:rsid w:val="001F4C8F"/>
    <w:rsid w:val="001F4C91"/>
    <w:rsid w:val="001F56DE"/>
    <w:rsid w:val="001F5A12"/>
    <w:rsid w:val="001F5D5C"/>
    <w:rsid w:val="001F7D90"/>
    <w:rsid w:val="0020042D"/>
    <w:rsid w:val="00200AD9"/>
    <w:rsid w:val="00200D4C"/>
    <w:rsid w:val="00200F1F"/>
    <w:rsid w:val="00201496"/>
    <w:rsid w:val="00203590"/>
    <w:rsid w:val="00203D92"/>
    <w:rsid w:val="002061A4"/>
    <w:rsid w:val="002068D3"/>
    <w:rsid w:val="00206AAE"/>
    <w:rsid w:val="00206F30"/>
    <w:rsid w:val="00207176"/>
    <w:rsid w:val="002074B9"/>
    <w:rsid w:val="00207602"/>
    <w:rsid w:val="002079A4"/>
    <w:rsid w:val="00207A03"/>
    <w:rsid w:val="00207E5A"/>
    <w:rsid w:val="00210094"/>
    <w:rsid w:val="0021071E"/>
    <w:rsid w:val="0021096B"/>
    <w:rsid w:val="00210F7F"/>
    <w:rsid w:val="002110F7"/>
    <w:rsid w:val="00211134"/>
    <w:rsid w:val="0021119B"/>
    <w:rsid w:val="0021163A"/>
    <w:rsid w:val="00212980"/>
    <w:rsid w:val="00212C07"/>
    <w:rsid w:val="00212D5E"/>
    <w:rsid w:val="002132DE"/>
    <w:rsid w:val="00214027"/>
    <w:rsid w:val="00214101"/>
    <w:rsid w:val="002149A6"/>
    <w:rsid w:val="00214D4D"/>
    <w:rsid w:val="00214E74"/>
    <w:rsid w:val="0021585F"/>
    <w:rsid w:val="0021628D"/>
    <w:rsid w:val="002162F6"/>
    <w:rsid w:val="00216711"/>
    <w:rsid w:val="002167C0"/>
    <w:rsid w:val="00216C40"/>
    <w:rsid w:val="002200A3"/>
    <w:rsid w:val="002212C0"/>
    <w:rsid w:val="00221864"/>
    <w:rsid w:val="002226AC"/>
    <w:rsid w:val="00222B91"/>
    <w:rsid w:val="00223722"/>
    <w:rsid w:val="002244F6"/>
    <w:rsid w:val="002249BD"/>
    <w:rsid w:val="00224EDB"/>
    <w:rsid w:val="00224EFE"/>
    <w:rsid w:val="00225E71"/>
    <w:rsid w:val="00226B9B"/>
    <w:rsid w:val="00226BB3"/>
    <w:rsid w:val="002271FE"/>
    <w:rsid w:val="0022776B"/>
    <w:rsid w:val="00230058"/>
    <w:rsid w:val="00230E06"/>
    <w:rsid w:val="00231353"/>
    <w:rsid w:val="00231B8E"/>
    <w:rsid w:val="00231C2D"/>
    <w:rsid w:val="00231EDC"/>
    <w:rsid w:val="002329C1"/>
    <w:rsid w:val="00232C7B"/>
    <w:rsid w:val="00232E69"/>
    <w:rsid w:val="00233025"/>
    <w:rsid w:val="00233078"/>
    <w:rsid w:val="00234BA1"/>
    <w:rsid w:val="00235094"/>
    <w:rsid w:val="002352A9"/>
    <w:rsid w:val="002354AD"/>
    <w:rsid w:val="002355D4"/>
    <w:rsid w:val="002358F9"/>
    <w:rsid w:val="00236ADE"/>
    <w:rsid w:val="00237399"/>
    <w:rsid w:val="002409B0"/>
    <w:rsid w:val="00240A87"/>
    <w:rsid w:val="00240AF3"/>
    <w:rsid w:val="00242598"/>
    <w:rsid w:val="00243171"/>
    <w:rsid w:val="00243CF4"/>
    <w:rsid w:val="00243F6E"/>
    <w:rsid w:val="00244304"/>
    <w:rsid w:val="0024434E"/>
    <w:rsid w:val="00244C34"/>
    <w:rsid w:val="00245350"/>
    <w:rsid w:val="002455BC"/>
    <w:rsid w:val="002458DB"/>
    <w:rsid w:val="00245C1B"/>
    <w:rsid w:val="002465E2"/>
    <w:rsid w:val="002466D4"/>
    <w:rsid w:val="00246791"/>
    <w:rsid w:val="00246884"/>
    <w:rsid w:val="002471AB"/>
    <w:rsid w:val="0024737D"/>
    <w:rsid w:val="00247B69"/>
    <w:rsid w:val="00247EB8"/>
    <w:rsid w:val="00250205"/>
    <w:rsid w:val="0025103A"/>
    <w:rsid w:val="00251213"/>
    <w:rsid w:val="002513E6"/>
    <w:rsid w:val="00251D01"/>
    <w:rsid w:val="00252D15"/>
    <w:rsid w:val="002534FA"/>
    <w:rsid w:val="00255299"/>
    <w:rsid w:val="002567DE"/>
    <w:rsid w:val="002577E4"/>
    <w:rsid w:val="00257DDA"/>
    <w:rsid w:val="00261085"/>
    <w:rsid w:val="002612AC"/>
    <w:rsid w:val="0026204F"/>
    <w:rsid w:val="00262283"/>
    <w:rsid w:val="002624CA"/>
    <w:rsid w:val="002630F2"/>
    <w:rsid w:val="00264865"/>
    <w:rsid w:val="00266309"/>
    <w:rsid w:val="002664FD"/>
    <w:rsid w:val="00267E67"/>
    <w:rsid w:val="002715FF"/>
    <w:rsid w:val="00273788"/>
    <w:rsid w:val="00274157"/>
    <w:rsid w:val="00274379"/>
    <w:rsid w:val="00274705"/>
    <w:rsid w:val="00275474"/>
    <w:rsid w:val="00275712"/>
    <w:rsid w:val="00275C23"/>
    <w:rsid w:val="00275EDE"/>
    <w:rsid w:val="002777F5"/>
    <w:rsid w:val="0028039A"/>
    <w:rsid w:val="002804B1"/>
    <w:rsid w:val="00280CEA"/>
    <w:rsid w:val="002813D0"/>
    <w:rsid w:val="002813F3"/>
    <w:rsid w:val="0028156F"/>
    <w:rsid w:val="00281AF0"/>
    <w:rsid w:val="00281D2E"/>
    <w:rsid w:val="00282B28"/>
    <w:rsid w:val="00282DA7"/>
    <w:rsid w:val="00282E35"/>
    <w:rsid w:val="00282E83"/>
    <w:rsid w:val="002831BC"/>
    <w:rsid w:val="0028324C"/>
    <w:rsid w:val="00283D12"/>
    <w:rsid w:val="002841CC"/>
    <w:rsid w:val="002846EE"/>
    <w:rsid w:val="00284717"/>
    <w:rsid w:val="002849C3"/>
    <w:rsid w:val="00284A12"/>
    <w:rsid w:val="002850D4"/>
    <w:rsid w:val="00285345"/>
    <w:rsid w:val="00285711"/>
    <w:rsid w:val="00290898"/>
    <w:rsid w:val="00290BE0"/>
    <w:rsid w:val="00290F92"/>
    <w:rsid w:val="00292738"/>
    <w:rsid w:val="00292E9C"/>
    <w:rsid w:val="002935D9"/>
    <w:rsid w:val="002939D0"/>
    <w:rsid w:val="00293E87"/>
    <w:rsid w:val="0029476B"/>
    <w:rsid w:val="00295125"/>
    <w:rsid w:val="0029516D"/>
    <w:rsid w:val="00295B39"/>
    <w:rsid w:val="00295D3D"/>
    <w:rsid w:val="002A025B"/>
    <w:rsid w:val="002A10DC"/>
    <w:rsid w:val="002A1C60"/>
    <w:rsid w:val="002A1DE2"/>
    <w:rsid w:val="002A1F95"/>
    <w:rsid w:val="002A1FA9"/>
    <w:rsid w:val="002A2C9C"/>
    <w:rsid w:val="002A2EA1"/>
    <w:rsid w:val="002A4345"/>
    <w:rsid w:val="002A52F2"/>
    <w:rsid w:val="002A535A"/>
    <w:rsid w:val="002A6928"/>
    <w:rsid w:val="002A6B99"/>
    <w:rsid w:val="002A6F64"/>
    <w:rsid w:val="002A764E"/>
    <w:rsid w:val="002A7C23"/>
    <w:rsid w:val="002A7E74"/>
    <w:rsid w:val="002B0392"/>
    <w:rsid w:val="002B0548"/>
    <w:rsid w:val="002B091C"/>
    <w:rsid w:val="002B0B75"/>
    <w:rsid w:val="002B0C60"/>
    <w:rsid w:val="002B103F"/>
    <w:rsid w:val="002B149A"/>
    <w:rsid w:val="002B18BD"/>
    <w:rsid w:val="002B1939"/>
    <w:rsid w:val="002B23D8"/>
    <w:rsid w:val="002B347C"/>
    <w:rsid w:val="002B4BCC"/>
    <w:rsid w:val="002B4E6D"/>
    <w:rsid w:val="002B55DF"/>
    <w:rsid w:val="002B5760"/>
    <w:rsid w:val="002B5773"/>
    <w:rsid w:val="002B5A0B"/>
    <w:rsid w:val="002B5C43"/>
    <w:rsid w:val="002B6050"/>
    <w:rsid w:val="002B7072"/>
    <w:rsid w:val="002B7575"/>
    <w:rsid w:val="002B75AD"/>
    <w:rsid w:val="002B785A"/>
    <w:rsid w:val="002C0FE7"/>
    <w:rsid w:val="002C1110"/>
    <w:rsid w:val="002C19BF"/>
    <w:rsid w:val="002C1FA6"/>
    <w:rsid w:val="002C36F3"/>
    <w:rsid w:val="002C3B08"/>
    <w:rsid w:val="002C3D42"/>
    <w:rsid w:val="002C40ED"/>
    <w:rsid w:val="002C4792"/>
    <w:rsid w:val="002C47BB"/>
    <w:rsid w:val="002C48C3"/>
    <w:rsid w:val="002C589E"/>
    <w:rsid w:val="002C7C4E"/>
    <w:rsid w:val="002D0292"/>
    <w:rsid w:val="002D07D9"/>
    <w:rsid w:val="002D0AD2"/>
    <w:rsid w:val="002D130F"/>
    <w:rsid w:val="002D1994"/>
    <w:rsid w:val="002D1F52"/>
    <w:rsid w:val="002D2172"/>
    <w:rsid w:val="002D37D2"/>
    <w:rsid w:val="002D391F"/>
    <w:rsid w:val="002D394B"/>
    <w:rsid w:val="002D458A"/>
    <w:rsid w:val="002D49B7"/>
    <w:rsid w:val="002D4DC0"/>
    <w:rsid w:val="002D5A5B"/>
    <w:rsid w:val="002D5C91"/>
    <w:rsid w:val="002D6DF4"/>
    <w:rsid w:val="002D7343"/>
    <w:rsid w:val="002D7495"/>
    <w:rsid w:val="002D7635"/>
    <w:rsid w:val="002D7685"/>
    <w:rsid w:val="002D775A"/>
    <w:rsid w:val="002E03CB"/>
    <w:rsid w:val="002E0C30"/>
    <w:rsid w:val="002E129C"/>
    <w:rsid w:val="002E194C"/>
    <w:rsid w:val="002E1CA6"/>
    <w:rsid w:val="002E1CDB"/>
    <w:rsid w:val="002E1FE8"/>
    <w:rsid w:val="002E214A"/>
    <w:rsid w:val="002E4319"/>
    <w:rsid w:val="002E454E"/>
    <w:rsid w:val="002E4B3D"/>
    <w:rsid w:val="002E5ACD"/>
    <w:rsid w:val="002E5FBD"/>
    <w:rsid w:val="002E6184"/>
    <w:rsid w:val="002E6435"/>
    <w:rsid w:val="002E6CDC"/>
    <w:rsid w:val="002F01B3"/>
    <w:rsid w:val="002F187D"/>
    <w:rsid w:val="002F1CDC"/>
    <w:rsid w:val="002F1F8F"/>
    <w:rsid w:val="002F2A3C"/>
    <w:rsid w:val="002F40EC"/>
    <w:rsid w:val="002F5423"/>
    <w:rsid w:val="002F584A"/>
    <w:rsid w:val="002F6084"/>
    <w:rsid w:val="002F6375"/>
    <w:rsid w:val="002F7609"/>
    <w:rsid w:val="002F7781"/>
    <w:rsid w:val="002F7B11"/>
    <w:rsid w:val="003005A2"/>
    <w:rsid w:val="00300D61"/>
    <w:rsid w:val="00301793"/>
    <w:rsid w:val="00302B3F"/>
    <w:rsid w:val="00302CA1"/>
    <w:rsid w:val="00303528"/>
    <w:rsid w:val="003036E2"/>
    <w:rsid w:val="00303FD9"/>
    <w:rsid w:val="00304268"/>
    <w:rsid w:val="003045A1"/>
    <w:rsid w:val="003066A7"/>
    <w:rsid w:val="00306EDC"/>
    <w:rsid w:val="0030730C"/>
    <w:rsid w:val="003075EF"/>
    <w:rsid w:val="00307A8F"/>
    <w:rsid w:val="00307B31"/>
    <w:rsid w:val="003102BE"/>
    <w:rsid w:val="00311030"/>
    <w:rsid w:val="00311241"/>
    <w:rsid w:val="003121C2"/>
    <w:rsid w:val="003123E0"/>
    <w:rsid w:val="00312E81"/>
    <w:rsid w:val="00312EC4"/>
    <w:rsid w:val="00313333"/>
    <w:rsid w:val="00316ECC"/>
    <w:rsid w:val="0031728E"/>
    <w:rsid w:val="00320ACF"/>
    <w:rsid w:val="00320F3C"/>
    <w:rsid w:val="003212F9"/>
    <w:rsid w:val="00321858"/>
    <w:rsid w:val="003219A5"/>
    <w:rsid w:val="00321E11"/>
    <w:rsid w:val="003220DC"/>
    <w:rsid w:val="00322F67"/>
    <w:rsid w:val="003232F3"/>
    <w:rsid w:val="003239A2"/>
    <w:rsid w:val="00323C57"/>
    <w:rsid w:val="0032429D"/>
    <w:rsid w:val="003242EE"/>
    <w:rsid w:val="0032433A"/>
    <w:rsid w:val="00324B25"/>
    <w:rsid w:val="00325137"/>
    <w:rsid w:val="0032551A"/>
    <w:rsid w:val="003256CD"/>
    <w:rsid w:val="0032661B"/>
    <w:rsid w:val="00326DE8"/>
    <w:rsid w:val="00326ECB"/>
    <w:rsid w:val="003270A1"/>
    <w:rsid w:val="003272B9"/>
    <w:rsid w:val="003277BE"/>
    <w:rsid w:val="00327A3F"/>
    <w:rsid w:val="00330741"/>
    <w:rsid w:val="003310C4"/>
    <w:rsid w:val="003325A4"/>
    <w:rsid w:val="003325EB"/>
    <w:rsid w:val="00332FE5"/>
    <w:rsid w:val="003333E2"/>
    <w:rsid w:val="003347E4"/>
    <w:rsid w:val="00335B56"/>
    <w:rsid w:val="00335EDB"/>
    <w:rsid w:val="00336124"/>
    <w:rsid w:val="003375A7"/>
    <w:rsid w:val="00337A9C"/>
    <w:rsid w:val="00337BA9"/>
    <w:rsid w:val="00340590"/>
    <w:rsid w:val="003413FD"/>
    <w:rsid w:val="003415CB"/>
    <w:rsid w:val="0034171F"/>
    <w:rsid w:val="00341C5C"/>
    <w:rsid w:val="00342037"/>
    <w:rsid w:val="003423BA"/>
    <w:rsid w:val="003428E4"/>
    <w:rsid w:val="00343424"/>
    <w:rsid w:val="003439E5"/>
    <w:rsid w:val="00343FD7"/>
    <w:rsid w:val="003440A6"/>
    <w:rsid w:val="00344227"/>
    <w:rsid w:val="0034467D"/>
    <w:rsid w:val="00344D9E"/>
    <w:rsid w:val="00346495"/>
    <w:rsid w:val="003500F0"/>
    <w:rsid w:val="0035106A"/>
    <w:rsid w:val="003515E9"/>
    <w:rsid w:val="003518FC"/>
    <w:rsid w:val="00351F74"/>
    <w:rsid w:val="003523FC"/>
    <w:rsid w:val="00352463"/>
    <w:rsid w:val="003526B8"/>
    <w:rsid w:val="003526C7"/>
    <w:rsid w:val="00352AE9"/>
    <w:rsid w:val="00352B77"/>
    <w:rsid w:val="00352DBC"/>
    <w:rsid w:val="00353033"/>
    <w:rsid w:val="00353B19"/>
    <w:rsid w:val="003569AB"/>
    <w:rsid w:val="00357173"/>
    <w:rsid w:val="003574D9"/>
    <w:rsid w:val="0036015D"/>
    <w:rsid w:val="00360841"/>
    <w:rsid w:val="00360881"/>
    <w:rsid w:val="00360B16"/>
    <w:rsid w:val="00360D6F"/>
    <w:rsid w:val="00361094"/>
    <w:rsid w:val="003635EB"/>
    <w:rsid w:val="00363A6A"/>
    <w:rsid w:val="00363D22"/>
    <w:rsid w:val="00365A82"/>
    <w:rsid w:val="0036629C"/>
    <w:rsid w:val="00366353"/>
    <w:rsid w:val="00366BA4"/>
    <w:rsid w:val="003671F1"/>
    <w:rsid w:val="003701BD"/>
    <w:rsid w:val="00370AF7"/>
    <w:rsid w:val="00372F00"/>
    <w:rsid w:val="003739D0"/>
    <w:rsid w:val="0037469C"/>
    <w:rsid w:val="00374733"/>
    <w:rsid w:val="0037538E"/>
    <w:rsid w:val="003755F6"/>
    <w:rsid w:val="00376107"/>
    <w:rsid w:val="00376406"/>
    <w:rsid w:val="0037662C"/>
    <w:rsid w:val="00376C8B"/>
    <w:rsid w:val="00376DEE"/>
    <w:rsid w:val="00377D53"/>
    <w:rsid w:val="00380462"/>
    <w:rsid w:val="0038058C"/>
    <w:rsid w:val="003810BE"/>
    <w:rsid w:val="00381F74"/>
    <w:rsid w:val="00382D1B"/>
    <w:rsid w:val="00382E9A"/>
    <w:rsid w:val="00383174"/>
    <w:rsid w:val="003834CF"/>
    <w:rsid w:val="0038370B"/>
    <w:rsid w:val="00383912"/>
    <w:rsid w:val="00383B97"/>
    <w:rsid w:val="00384C7A"/>
    <w:rsid w:val="0038554D"/>
    <w:rsid w:val="00385AEE"/>
    <w:rsid w:val="0038610E"/>
    <w:rsid w:val="003872B4"/>
    <w:rsid w:val="00387CB3"/>
    <w:rsid w:val="00390040"/>
    <w:rsid w:val="00390146"/>
    <w:rsid w:val="003905A8"/>
    <w:rsid w:val="00390621"/>
    <w:rsid w:val="00390AA8"/>
    <w:rsid w:val="003914A4"/>
    <w:rsid w:val="00391B8D"/>
    <w:rsid w:val="0039249D"/>
    <w:rsid w:val="00392D5E"/>
    <w:rsid w:val="003930B7"/>
    <w:rsid w:val="00393400"/>
    <w:rsid w:val="003939C9"/>
    <w:rsid w:val="00393EC2"/>
    <w:rsid w:val="00394509"/>
    <w:rsid w:val="0039476D"/>
    <w:rsid w:val="00394E9D"/>
    <w:rsid w:val="003963E9"/>
    <w:rsid w:val="00396BC6"/>
    <w:rsid w:val="003976CE"/>
    <w:rsid w:val="003A068B"/>
    <w:rsid w:val="003A1954"/>
    <w:rsid w:val="003A1E82"/>
    <w:rsid w:val="003A2D47"/>
    <w:rsid w:val="003A31D3"/>
    <w:rsid w:val="003A333B"/>
    <w:rsid w:val="003A38CD"/>
    <w:rsid w:val="003A38F6"/>
    <w:rsid w:val="003A3BCA"/>
    <w:rsid w:val="003A3C50"/>
    <w:rsid w:val="003A3E36"/>
    <w:rsid w:val="003A4145"/>
    <w:rsid w:val="003A4846"/>
    <w:rsid w:val="003A4A23"/>
    <w:rsid w:val="003A4BF2"/>
    <w:rsid w:val="003A4DCF"/>
    <w:rsid w:val="003A50B4"/>
    <w:rsid w:val="003A5578"/>
    <w:rsid w:val="003A6399"/>
    <w:rsid w:val="003A7677"/>
    <w:rsid w:val="003B0050"/>
    <w:rsid w:val="003B0099"/>
    <w:rsid w:val="003B0C47"/>
    <w:rsid w:val="003B0F16"/>
    <w:rsid w:val="003B1386"/>
    <w:rsid w:val="003B1C63"/>
    <w:rsid w:val="003B2992"/>
    <w:rsid w:val="003B2E58"/>
    <w:rsid w:val="003B31F1"/>
    <w:rsid w:val="003B33E7"/>
    <w:rsid w:val="003B4A7B"/>
    <w:rsid w:val="003B606F"/>
    <w:rsid w:val="003B7186"/>
    <w:rsid w:val="003B73C0"/>
    <w:rsid w:val="003B7636"/>
    <w:rsid w:val="003B799E"/>
    <w:rsid w:val="003C0431"/>
    <w:rsid w:val="003C0828"/>
    <w:rsid w:val="003C0F05"/>
    <w:rsid w:val="003C1985"/>
    <w:rsid w:val="003C1CDF"/>
    <w:rsid w:val="003C23FE"/>
    <w:rsid w:val="003C35AB"/>
    <w:rsid w:val="003C3748"/>
    <w:rsid w:val="003C3894"/>
    <w:rsid w:val="003C3A8C"/>
    <w:rsid w:val="003C3AF7"/>
    <w:rsid w:val="003C5559"/>
    <w:rsid w:val="003C6418"/>
    <w:rsid w:val="003C6E23"/>
    <w:rsid w:val="003C7443"/>
    <w:rsid w:val="003D11A4"/>
    <w:rsid w:val="003D1E42"/>
    <w:rsid w:val="003D1FF2"/>
    <w:rsid w:val="003D28B1"/>
    <w:rsid w:val="003D2D77"/>
    <w:rsid w:val="003D34C7"/>
    <w:rsid w:val="003D4803"/>
    <w:rsid w:val="003D4880"/>
    <w:rsid w:val="003D4BD3"/>
    <w:rsid w:val="003D4EE0"/>
    <w:rsid w:val="003D502F"/>
    <w:rsid w:val="003D537F"/>
    <w:rsid w:val="003D57EC"/>
    <w:rsid w:val="003D610B"/>
    <w:rsid w:val="003D64BF"/>
    <w:rsid w:val="003D7063"/>
    <w:rsid w:val="003D756F"/>
    <w:rsid w:val="003D792C"/>
    <w:rsid w:val="003D7F02"/>
    <w:rsid w:val="003E03C1"/>
    <w:rsid w:val="003E08CF"/>
    <w:rsid w:val="003E0A0C"/>
    <w:rsid w:val="003E13E2"/>
    <w:rsid w:val="003E141C"/>
    <w:rsid w:val="003E15B9"/>
    <w:rsid w:val="003E187E"/>
    <w:rsid w:val="003E2A6B"/>
    <w:rsid w:val="003E2B5D"/>
    <w:rsid w:val="003E2BAC"/>
    <w:rsid w:val="003E366E"/>
    <w:rsid w:val="003E3D31"/>
    <w:rsid w:val="003E3DB9"/>
    <w:rsid w:val="003E43B2"/>
    <w:rsid w:val="003E450D"/>
    <w:rsid w:val="003E460C"/>
    <w:rsid w:val="003E551F"/>
    <w:rsid w:val="003E5C53"/>
    <w:rsid w:val="003E65C6"/>
    <w:rsid w:val="003E66C6"/>
    <w:rsid w:val="003E6DA3"/>
    <w:rsid w:val="003E708F"/>
    <w:rsid w:val="003E76D4"/>
    <w:rsid w:val="003F11C5"/>
    <w:rsid w:val="003F194A"/>
    <w:rsid w:val="003F1FDF"/>
    <w:rsid w:val="003F2831"/>
    <w:rsid w:val="003F2BB2"/>
    <w:rsid w:val="003F321E"/>
    <w:rsid w:val="003F38BE"/>
    <w:rsid w:val="003F469E"/>
    <w:rsid w:val="003F4BB6"/>
    <w:rsid w:val="003F51D6"/>
    <w:rsid w:val="003F564A"/>
    <w:rsid w:val="003F5BBE"/>
    <w:rsid w:val="003F5C3D"/>
    <w:rsid w:val="003F5F3E"/>
    <w:rsid w:val="003F60A0"/>
    <w:rsid w:val="003F60AA"/>
    <w:rsid w:val="003F674B"/>
    <w:rsid w:val="003F6A04"/>
    <w:rsid w:val="003F6BE6"/>
    <w:rsid w:val="003F75C1"/>
    <w:rsid w:val="003F7795"/>
    <w:rsid w:val="0040023E"/>
    <w:rsid w:val="00401E9B"/>
    <w:rsid w:val="004022F8"/>
    <w:rsid w:val="0040239D"/>
    <w:rsid w:val="0040243D"/>
    <w:rsid w:val="00402BD8"/>
    <w:rsid w:val="004032F1"/>
    <w:rsid w:val="0040366D"/>
    <w:rsid w:val="00403C8E"/>
    <w:rsid w:val="00403D78"/>
    <w:rsid w:val="00404E17"/>
    <w:rsid w:val="00405054"/>
    <w:rsid w:val="004067BD"/>
    <w:rsid w:val="00407494"/>
    <w:rsid w:val="0040757B"/>
    <w:rsid w:val="004079B4"/>
    <w:rsid w:val="00407CAC"/>
    <w:rsid w:val="00407E32"/>
    <w:rsid w:val="004104D3"/>
    <w:rsid w:val="00410556"/>
    <w:rsid w:val="0041076F"/>
    <w:rsid w:val="004109C2"/>
    <w:rsid w:val="004109F4"/>
    <w:rsid w:val="00410E95"/>
    <w:rsid w:val="00410FBD"/>
    <w:rsid w:val="00411212"/>
    <w:rsid w:val="004115C4"/>
    <w:rsid w:val="004117E4"/>
    <w:rsid w:val="00411FBB"/>
    <w:rsid w:val="00412535"/>
    <w:rsid w:val="004126BD"/>
    <w:rsid w:val="004127F6"/>
    <w:rsid w:val="00412EC4"/>
    <w:rsid w:val="00413A0D"/>
    <w:rsid w:val="00413A52"/>
    <w:rsid w:val="004141A5"/>
    <w:rsid w:val="004141BA"/>
    <w:rsid w:val="00414711"/>
    <w:rsid w:val="00414C67"/>
    <w:rsid w:val="0041513E"/>
    <w:rsid w:val="00415217"/>
    <w:rsid w:val="00415A32"/>
    <w:rsid w:val="004161EA"/>
    <w:rsid w:val="004166F0"/>
    <w:rsid w:val="00416AD3"/>
    <w:rsid w:val="00416B2D"/>
    <w:rsid w:val="00420031"/>
    <w:rsid w:val="0042012D"/>
    <w:rsid w:val="0042082D"/>
    <w:rsid w:val="0042082E"/>
    <w:rsid w:val="00420901"/>
    <w:rsid w:val="00422B5A"/>
    <w:rsid w:val="00424A04"/>
    <w:rsid w:val="004257BB"/>
    <w:rsid w:val="00426A6C"/>
    <w:rsid w:val="00426BE3"/>
    <w:rsid w:val="004274B9"/>
    <w:rsid w:val="00427532"/>
    <w:rsid w:val="004303FA"/>
    <w:rsid w:val="00432431"/>
    <w:rsid w:val="00433B82"/>
    <w:rsid w:val="00434C91"/>
    <w:rsid w:val="00434C95"/>
    <w:rsid w:val="00435574"/>
    <w:rsid w:val="00436E13"/>
    <w:rsid w:val="00437363"/>
    <w:rsid w:val="004374AB"/>
    <w:rsid w:val="0043783E"/>
    <w:rsid w:val="00437C3D"/>
    <w:rsid w:val="00440562"/>
    <w:rsid w:val="00440AC9"/>
    <w:rsid w:val="00440D98"/>
    <w:rsid w:val="00440E29"/>
    <w:rsid w:val="004416D6"/>
    <w:rsid w:val="00441957"/>
    <w:rsid w:val="00442086"/>
    <w:rsid w:val="00442837"/>
    <w:rsid w:val="00442B9C"/>
    <w:rsid w:val="00442D48"/>
    <w:rsid w:val="00442EB7"/>
    <w:rsid w:val="00442FD5"/>
    <w:rsid w:val="004433D3"/>
    <w:rsid w:val="00443504"/>
    <w:rsid w:val="00443561"/>
    <w:rsid w:val="00443DEC"/>
    <w:rsid w:val="00444D1B"/>
    <w:rsid w:val="004450D4"/>
    <w:rsid w:val="0044634D"/>
    <w:rsid w:val="00446740"/>
    <w:rsid w:val="00446A9E"/>
    <w:rsid w:val="00446B8E"/>
    <w:rsid w:val="00447462"/>
    <w:rsid w:val="0044770F"/>
    <w:rsid w:val="0044786F"/>
    <w:rsid w:val="00447931"/>
    <w:rsid w:val="00450C65"/>
    <w:rsid w:val="0045122D"/>
    <w:rsid w:val="00452F45"/>
    <w:rsid w:val="00454B6D"/>
    <w:rsid w:val="0045553D"/>
    <w:rsid w:val="00456557"/>
    <w:rsid w:val="004567F7"/>
    <w:rsid w:val="00456F87"/>
    <w:rsid w:val="0045786B"/>
    <w:rsid w:val="00457951"/>
    <w:rsid w:val="00457B13"/>
    <w:rsid w:val="0046053E"/>
    <w:rsid w:val="0046127C"/>
    <w:rsid w:val="0046151C"/>
    <w:rsid w:val="004619BD"/>
    <w:rsid w:val="00461C0C"/>
    <w:rsid w:val="00461E4C"/>
    <w:rsid w:val="004629BA"/>
    <w:rsid w:val="00462EDA"/>
    <w:rsid w:val="00463150"/>
    <w:rsid w:val="00463276"/>
    <w:rsid w:val="00463543"/>
    <w:rsid w:val="004654B8"/>
    <w:rsid w:val="004670A7"/>
    <w:rsid w:val="004677F5"/>
    <w:rsid w:val="00467FF2"/>
    <w:rsid w:val="00470B11"/>
    <w:rsid w:val="00470F2D"/>
    <w:rsid w:val="0047130F"/>
    <w:rsid w:val="00471B25"/>
    <w:rsid w:val="00471C22"/>
    <w:rsid w:val="004730B4"/>
    <w:rsid w:val="004736EC"/>
    <w:rsid w:val="00473AEF"/>
    <w:rsid w:val="00473BA2"/>
    <w:rsid w:val="00473F3F"/>
    <w:rsid w:val="004748B1"/>
    <w:rsid w:val="00474CF3"/>
    <w:rsid w:val="00474E75"/>
    <w:rsid w:val="00475462"/>
    <w:rsid w:val="00475536"/>
    <w:rsid w:val="00475634"/>
    <w:rsid w:val="00476B39"/>
    <w:rsid w:val="004772D2"/>
    <w:rsid w:val="004775C6"/>
    <w:rsid w:val="00477B03"/>
    <w:rsid w:val="004806C7"/>
    <w:rsid w:val="004809FC"/>
    <w:rsid w:val="004830A0"/>
    <w:rsid w:val="004835C8"/>
    <w:rsid w:val="00483B60"/>
    <w:rsid w:val="004840AD"/>
    <w:rsid w:val="00484643"/>
    <w:rsid w:val="00484740"/>
    <w:rsid w:val="00485ADA"/>
    <w:rsid w:val="00485C31"/>
    <w:rsid w:val="00485C8F"/>
    <w:rsid w:val="00486392"/>
    <w:rsid w:val="004864F5"/>
    <w:rsid w:val="00486FC4"/>
    <w:rsid w:val="00487996"/>
    <w:rsid w:val="004915D9"/>
    <w:rsid w:val="00491A1B"/>
    <w:rsid w:val="00491DCE"/>
    <w:rsid w:val="00494A0F"/>
    <w:rsid w:val="00495CD0"/>
    <w:rsid w:val="0049610E"/>
    <w:rsid w:val="00496410"/>
    <w:rsid w:val="00496C5E"/>
    <w:rsid w:val="00497B70"/>
    <w:rsid w:val="00497D37"/>
    <w:rsid w:val="00497FC1"/>
    <w:rsid w:val="004A02DC"/>
    <w:rsid w:val="004A0408"/>
    <w:rsid w:val="004A065E"/>
    <w:rsid w:val="004A0DC9"/>
    <w:rsid w:val="004A1072"/>
    <w:rsid w:val="004A1D8C"/>
    <w:rsid w:val="004A1D8F"/>
    <w:rsid w:val="004A22F4"/>
    <w:rsid w:val="004A24D7"/>
    <w:rsid w:val="004A27E9"/>
    <w:rsid w:val="004A38B6"/>
    <w:rsid w:val="004A4180"/>
    <w:rsid w:val="004A42B7"/>
    <w:rsid w:val="004A44DB"/>
    <w:rsid w:val="004A5D3E"/>
    <w:rsid w:val="004A5EDA"/>
    <w:rsid w:val="004A659B"/>
    <w:rsid w:val="004A6F66"/>
    <w:rsid w:val="004A6F88"/>
    <w:rsid w:val="004A6FD3"/>
    <w:rsid w:val="004A757A"/>
    <w:rsid w:val="004A7A62"/>
    <w:rsid w:val="004B0EB5"/>
    <w:rsid w:val="004B1289"/>
    <w:rsid w:val="004B13EB"/>
    <w:rsid w:val="004B2084"/>
    <w:rsid w:val="004B2157"/>
    <w:rsid w:val="004B25EC"/>
    <w:rsid w:val="004B2C3A"/>
    <w:rsid w:val="004B3D42"/>
    <w:rsid w:val="004B4A45"/>
    <w:rsid w:val="004B4C6E"/>
    <w:rsid w:val="004B4CDB"/>
    <w:rsid w:val="004B53C5"/>
    <w:rsid w:val="004B583C"/>
    <w:rsid w:val="004B5862"/>
    <w:rsid w:val="004B6521"/>
    <w:rsid w:val="004B6671"/>
    <w:rsid w:val="004B6BA7"/>
    <w:rsid w:val="004B7958"/>
    <w:rsid w:val="004C03B0"/>
    <w:rsid w:val="004C07EE"/>
    <w:rsid w:val="004C0F93"/>
    <w:rsid w:val="004C362C"/>
    <w:rsid w:val="004C5403"/>
    <w:rsid w:val="004C5B30"/>
    <w:rsid w:val="004C634E"/>
    <w:rsid w:val="004C6A38"/>
    <w:rsid w:val="004C6F69"/>
    <w:rsid w:val="004C71E1"/>
    <w:rsid w:val="004C7A63"/>
    <w:rsid w:val="004D05CF"/>
    <w:rsid w:val="004D1916"/>
    <w:rsid w:val="004D2676"/>
    <w:rsid w:val="004D2916"/>
    <w:rsid w:val="004D2C78"/>
    <w:rsid w:val="004D3752"/>
    <w:rsid w:val="004D3A74"/>
    <w:rsid w:val="004D4B45"/>
    <w:rsid w:val="004D4B48"/>
    <w:rsid w:val="004D4EE7"/>
    <w:rsid w:val="004D6558"/>
    <w:rsid w:val="004D675D"/>
    <w:rsid w:val="004D71AB"/>
    <w:rsid w:val="004D7287"/>
    <w:rsid w:val="004D7301"/>
    <w:rsid w:val="004E0195"/>
    <w:rsid w:val="004E067B"/>
    <w:rsid w:val="004E0ADC"/>
    <w:rsid w:val="004E1634"/>
    <w:rsid w:val="004E176B"/>
    <w:rsid w:val="004E1D7E"/>
    <w:rsid w:val="004E1DF3"/>
    <w:rsid w:val="004E3FF4"/>
    <w:rsid w:val="004E4D15"/>
    <w:rsid w:val="004E526C"/>
    <w:rsid w:val="004E5A3D"/>
    <w:rsid w:val="004E5B8F"/>
    <w:rsid w:val="004E65C8"/>
    <w:rsid w:val="004F0048"/>
    <w:rsid w:val="004F0842"/>
    <w:rsid w:val="004F0881"/>
    <w:rsid w:val="004F0CD9"/>
    <w:rsid w:val="004F1BC2"/>
    <w:rsid w:val="004F1C29"/>
    <w:rsid w:val="004F1F52"/>
    <w:rsid w:val="004F37D5"/>
    <w:rsid w:val="004F4BF1"/>
    <w:rsid w:val="004F51D6"/>
    <w:rsid w:val="004F5772"/>
    <w:rsid w:val="004F57EE"/>
    <w:rsid w:val="004F5A13"/>
    <w:rsid w:val="004F5F4D"/>
    <w:rsid w:val="004F63D6"/>
    <w:rsid w:val="004F69C2"/>
    <w:rsid w:val="004F6DCE"/>
    <w:rsid w:val="004F7837"/>
    <w:rsid w:val="00500036"/>
    <w:rsid w:val="0050013C"/>
    <w:rsid w:val="00501D10"/>
    <w:rsid w:val="005024A5"/>
    <w:rsid w:val="00502E73"/>
    <w:rsid w:val="00502F73"/>
    <w:rsid w:val="005038B7"/>
    <w:rsid w:val="00504007"/>
    <w:rsid w:val="00504514"/>
    <w:rsid w:val="00504687"/>
    <w:rsid w:val="00504995"/>
    <w:rsid w:val="005052BB"/>
    <w:rsid w:val="005061BB"/>
    <w:rsid w:val="005062D5"/>
    <w:rsid w:val="00507084"/>
    <w:rsid w:val="00510105"/>
    <w:rsid w:val="005111E6"/>
    <w:rsid w:val="0051181F"/>
    <w:rsid w:val="00512DFF"/>
    <w:rsid w:val="00513991"/>
    <w:rsid w:val="00513C8A"/>
    <w:rsid w:val="00513E6C"/>
    <w:rsid w:val="00515423"/>
    <w:rsid w:val="0051590D"/>
    <w:rsid w:val="00515958"/>
    <w:rsid w:val="00515B6F"/>
    <w:rsid w:val="00515E60"/>
    <w:rsid w:val="00516140"/>
    <w:rsid w:val="00516C88"/>
    <w:rsid w:val="00517416"/>
    <w:rsid w:val="005179DC"/>
    <w:rsid w:val="00520A62"/>
    <w:rsid w:val="00520D04"/>
    <w:rsid w:val="0052187E"/>
    <w:rsid w:val="00521D2E"/>
    <w:rsid w:val="00521DD6"/>
    <w:rsid w:val="005237DE"/>
    <w:rsid w:val="005239DD"/>
    <w:rsid w:val="00523C0E"/>
    <w:rsid w:val="0052525F"/>
    <w:rsid w:val="00525C79"/>
    <w:rsid w:val="0053068C"/>
    <w:rsid w:val="00530817"/>
    <w:rsid w:val="00531011"/>
    <w:rsid w:val="005318C3"/>
    <w:rsid w:val="00531D4A"/>
    <w:rsid w:val="00532768"/>
    <w:rsid w:val="005327DE"/>
    <w:rsid w:val="00534966"/>
    <w:rsid w:val="00534B7D"/>
    <w:rsid w:val="00535322"/>
    <w:rsid w:val="00535AE4"/>
    <w:rsid w:val="00535CF2"/>
    <w:rsid w:val="005363FD"/>
    <w:rsid w:val="00536764"/>
    <w:rsid w:val="0053681C"/>
    <w:rsid w:val="00536D10"/>
    <w:rsid w:val="0053772D"/>
    <w:rsid w:val="00540B21"/>
    <w:rsid w:val="0054149B"/>
    <w:rsid w:val="005420C7"/>
    <w:rsid w:val="0054213E"/>
    <w:rsid w:val="00543D45"/>
    <w:rsid w:val="00544483"/>
    <w:rsid w:val="00544668"/>
    <w:rsid w:val="0054517E"/>
    <w:rsid w:val="00545F75"/>
    <w:rsid w:val="0054624A"/>
    <w:rsid w:val="005462EA"/>
    <w:rsid w:val="005467AE"/>
    <w:rsid w:val="00547485"/>
    <w:rsid w:val="0054756D"/>
    <w:rsid w:val="005479C6"/>
    <w:rsid w:val="00547D17"/>
    <w:rsid w:val="00547E6E"/>
    <w:rsid w:val="00550CC2"/>
    <w:rsid w:val="0055182E"/>
    <w:rsid w:val="00551D7B"/>
    <w:rsid w:val="005520E6"/>
    <w:rsid w:val="005526A9"/>
    <w:rsid w:val="005528C4"/>
    <w:rsid w:val="00552D4D"/>
    <w:rsid w:val="005530F5"/>
    <w:rsid w:val="0055352C"/>
    <w:rsid w:val="00553FFE"/>
    <w:rsid w:val="0055416F"/>
    <w:rsid w:val="005546B4"/>
    <w:rsid w:val="00555BE4"/>
    <w:rsid w:val="00555D84"/>
    <w:rsid w:val="00555FA9"/>
    <w:rsid w:val="00556E47"/>
    <w:rsid w:val="005579B3"/>
    <w:rsid w:val="005608C6"/>
    <w:rsid w:val="005613C1"/>
    <w:rsid w:val="005618C4"/>
    <w:rsid w:val="005619A7"/>
    <w:rsid w:val="005621BB"/>
    <w:rsid w:val="00562D44"/>
    <w:rsid w:val="00562F26"/>
    <w:rsid w:val="00563912"/>
    <w:rsid w:val="00563BD3"/>
    <w:rsid w:val="00563FA6"/>
    <w:rsid w:val="005641A5"/>
    <w:rsid w:val="005653B7"/>
    <w:rsid w:val="0056544D"/>
    <w:rsid w:val="00565D2B"/>
    <w:rsid w:val="005663D5"/>
    <w:rsid w:val="005672C4"/>
    <w:rsid w:val="00567469"/>
    <w:rsid w:val="00570417"/>
    <w:rsid w:val="00571761"/>
    <w:rsid w:val="005724D6"/>
    <w:rsid w:val="0057272E"/>
    <w:rsid w:val="00572DD6"/>
    <w:rsid w:val="005755DC"/>
    <w:rsid w:val="005758FC"/>
    <w:rsid w:val="00575925"/>
    <w:rsid w:val="005760C2"/>
    <w:rsid w:val="0057653E"/>
    <w:rsid w:val="00576C32"/>
    <w:rsid w:val="00576DB0"/>
    <w:rsid w:val="00580940"/>
    <w:rsid w:val="00580AFF"/>
    <w:rsid w:val="00580D34"/>
    <w:rsid w:val="00580F82"/>
    <w:rsid w:val="00582A08"/>
    <w:rsid w:val="00582AFB"/>
    <w:rsid w:val="00582C78"/>
    <w:rsid w:val="00583B4E"/>
    <w:rsid w:val="00583CC4"/>
    <w:rsid w:val="00584E5F"/>
    <w:rsid w:val="0058541C"/>
    <w:rsid w:val="0058576A"/>
    <w:rsid w:val="00585FEC"/>
    <w:rsid w:val="005865B6"/>
    <w:rsid w:val="00586828"/>
    <w:rsid w:val="00590BF1"/>
    <w:rsid w:val="005913AA"/>
    <w:rsid w:val="00591955"/>
    <w:rsid w:val="00591E73"/>
    <w:rsid w:val="005924CE"/>
    <w:rsid w:val="00592D5D"/>
    <w:rsid w:val="00592D6B"/>
    <w:rsid w:val="00592E03"/>
    <w:rsid w:val="00593C65"/>
    <w:rsid w:val="005940AE"/>
    <w:rsid w:val="00594DF1"/>
    <w:rsid w:val="005962A0"/>
    <w:rsid w:val="005965AD"/>
    <w:rsid w:val="00596A04"/>
    <w:rsid w:val="00597C9C"/>
    <w:rsid w:val="005A01B0"/>
    <w:rsid w:val="005A0E37"/>
    <w:rsid w:val="005A0E68"/>
    <w:rsid w:val="005A2313"/>
    <w:rsid w:val="005A2469"/>
    <w:rsid w:val="005A2690"/>
    <w:rsid w:val="005A2B53"/>
    <w:rsid w:val="005A2BB6"/>
    <w:rsid w:val="005A302C"/>
    <w:rsid w:val="005A3152"/>
    <w:rsid w:val="005A320E"/>
    <w:rsid w:val="005A34FF"/>
    <w:rsid w:val="005A3653"/>
    <w:rsid w:val="005A42D4"/>
    <w:rsid w:val="005A4717"/>
    <w:rsid w:val="005A4947"/>
    <w:rsid w:val="005A4FCE"/>
    <w:rsid w:val="005A545A"/>
    <w:rsid w:val="005A71FB"/>
    <w:rsid w:val="005A79F3"/>
    <w:rsid w:val="005B015E"/>
    <w:rsid w:val="005B0595"/>
    <w:rsid w:val="005B131C"/>
    <w:rsid w:val="005B1350"/>
    <w:rsid w:val="005B1B2D"/>
    <w:rsid w:val="005B1BD9"/>
    <w:rsid w:val="005B27E8"/>
    <w:rsid w:val="005B2886"/>
    <w:rsid w:val="005B2B32"/>
    <w:rsid w:val="005B2CF2"/>
    <w:rsid w:val="005B2D59"/>
    <w:rsid w:val="005B2E1F"/>
    <w:rsid w:val="005B2F06"/>
    <w:rsid w:val="005B345D"/>
    <w:rsid w:val="005B347A"/>
    <w:rsid w:val="005B4420"/>
    <w:rsid w:val="005B469A"/>
    <w:rsid w:val="005B529A"/>
    <w:rsid w:val="005B5420"/>
    <w:rsid w:val="005B5553"/>
    <w:rsid w:val="005B59DC"/>
    <w:rsid w:val="005B59E4"/>
    <w:rsid w:val="005B6FD8"/>
    <w:rsid w:val="005B76E6"/>
    <w:rsid w:val="005C0E35"/>
    <w:rsid w:val="005C174C"/>
    <w:rsid w:val="005C18DF"/>
    <w:rsid w:val="005C19E2"/>
    <w:rsid w:val="005C1CE8"/>
    <w:rsid w:val="005C1E36"/>
    <w:rsid w:val="005C2C07"/>
    <w:rsid w:val="005C34BC"/>
    <w:rsid w:val="005C3CA5"/>
    <w:rsid w:val="005C40C6"/>
    <w:rsid w:val="005C47E6"/>
    <w:rsid w:val="005C48D1"/>
    <w:rsid w:val="005C4AC9"/>
    <w:rsid w:val="005C582E"/>
    <w:rsid w:val="005C656F"/>
    <w:rsid w:val="005C683B"/>
    <w:rsid w:val="005C6AA4"/>
    <w:rsid w:val="005C6BF0"/>
    <w:rsid w:val="005C7E20"/>
    <w:rsid w:val="005D1B8F"/>
    <w:rsid w:val="005D2DFB"/>
    <w:rsid w:val="005D3619"/>
    <w:rsid w:val="005D3A8C"/>
    <w:rsid w:val="005D4191"/>
    <w:rsid w:val="005D49AD"/>
    <w:rsid w:val="005D4BD4"/>
    <w:rsid w:val="005D54F4"/>
    <w:rsid w:val="005D5AFF"/>
    <w:rsid w:val="005D5FBC"/>
    <w:rsid w:val="005D641F"/>
    <w:rsid w:val="005D6D4C"/>
    <w:rsid w:val="005D7D03"/>
    <w:rsid w:val="005D7E08"/>
    <w:rsid w:val="005E1426"/>
    <w:rsid w:val="005E14F5"/>
    <w:rsid w:val="005E1FBE"/>
    <w:rsid w:val="005E21C7"/>
    <w:rsid w:val="005E25BB"/>
    <w:rsid w:val="005E277E"/>
    <w:rsid w:val="005E3520"/>
    <w:rsid w:val="005E3642"/>
    <w:rsid w:val="005E3779"/>
    <w:rsid w:val="005E3DDC"/>
    <w:rsid w:val="005E46BB"/>
    <w:rsid w:val="005E4B57"/>
    <w:rsid w:val="005E4F5D"/>
    <w:rsid w:val="005E4FE3"/>
    <w:rsid w:val="005E53F4"/>
    <w:rsid w:val="005E571E"/>
    <w:rsid w:val="005E5CEC"/>
    <w:rsid w:val="005E5FA3"/>
    <w:rsid w:val="005E66E2"/>
    <w:rsid w:val="005E69C3"/>
    <w:rsid w:val="005E72D1"/>
    <w:rsid w:val="005E7CC6"/>
    <w:rsid w:val="005F0AFF"/>
    <w:rsid w:val="005F130B"/>
    <w:rsid w:val="005F3083"/>
    <w:rsid w:val="005F408C"/>
    <w:rsid w:val="005F440C"/>
    <w:rsid w:val="005F47FD"/>
    <w:rsid w:val="005F4FCC"/>
    <w:rsid w:val="005F5623"/>
    <w:rsid w:val="005F5D64"/>
    <w:rsid w:val="005F672B"/>
    <w:rsid w:val="005F755E"/>
    <w:rsid w:val="005F75F7"/>
    <w:rsid w:val="005F7EA4"/>
    <w:rsid w:val="00600214"/>
    <w:rsid w:val="00600773"/>
    <w:rsid w:val="006010B4"/>
    <w:rsid w:val="00601E4C"/>
    <w:rsid w:val="0060265C"/>
    <w:rsid w:val="00602C15"/>
    <w:rsid w:val="00603860"/>
    <w:rsid w:val="00603CF8"/>
    <w:rsid w:val="00604348"/>
    <w:rsid w:val="00604437"/>
    <w:rsid w:val="006054EB"/>
    <w:rsid w:val="00605B48"/>
    <w:rsid w:val="00605D0C"/>
    <w:rsid w:val="00606D0E"/>
    <w:rsid w:val="00607B0D"/>
    <w:rsid w:val="00607BF1"/>
    <w:rsid w:val="00607E04"/>
    <w:rsid w:val="00612AB7"/>
    <w:rsid w:val="0061353B"/>
    <w:rsid w:val="00613993"/>
    <w:rsid w:val="006141AF"/>
    <w:rsid w:val="0061456D"/>
    <w:rsid w:val="006148C1"/>
    <w:rsid w:val="00614B7E"/>
    <w:rsid w:val="00615725"/>
    <w:rsid w:val="0061609D"/>
    <w:rsid w:val="006161CD"/>
    <w:rsid w:val="0061669C"/>
    <w:rsid w:val="00617123"/>
    <w:rsid w:val="00617DE8"/>
    <w:rsid w:val="0062059A"/>
    <w:rsid w:val="00620A42"/>
    <w:rsid w:val="006211A5"/>
    <w:rsid w:val="006211D5"/>
    <w:rsid w:val="006211F3"/>
    <w:rsid w:val="006214C1"/>
    <w:rsid w:val="0062210C"/>
    <w:rsid w:val="0062258B"/>
    <w:rsid w:val="00622B27"/>
    <w:rsid w:val="00623CE1"/>
    <w:rsid w:val="00623E30"/>
    <w:rsid w:val="00624888"/>
    <w:rsid w:val="0062498C"/>
    <w:rsid w:val="00624DA1"/>
    <w:rsid w:val="006252C7"/>
    <w:rsid w:val="006258C4"/>
    <w:rsid w:val="00625E02"/>
    <w:rsid w:val="00626379"/>
    <w:rsid w:val="00626A51"/>
    <w:rsid w:val="00627399"/>
    <w:rsid w:val="006276AA"/>
    <w:rsid w:val="006305BA"/>
    <w:rsid w:val="006310FF"/>
    <w:rsid w:val="00631E40"/>
    <w:rsid w:val="00631F45"/>
    <w:rsid w:val="006331AD"/>
    <w:rsid w:val="006331C9"/>
    <w:rsid w:val="0063343D"/>
    <w:rsid w:val="0063474D"/>
    <w:rsid w:val="00635B01"/>
    <w:rsid w:val="00636787"/>
    <w:rsid w:val="006377C0"/>
    <w:rsid w:val="00637D6D"/>
    <w:rsid w:val="00640BDE"/>
    <w:rsid w:val="00640E39"/>
    <w:rsid w:val="006415DA"/>
    <w:rsid w:val="00641E4B"/>
    <w:rsid w:val="00642024"/>
    <w:rsid w:val="006430C4"/>
    <w:rsid w:val="006430CD"/>
    <w:rsid w:val="00643227"/>
    <w:rsid w:val="0064627B"/>
    <w:rsid w:val="006467A8"/>
    <w:rsid w:val="00646F97"/>
    <w:rsid w:val="006505EC"/>
    <w:rsid w:val="006517FE"/>
    <w:rsid w:val="00651E64"/>
    <w:rsid w:val="00651F33"/>
    <w:rsid w:val="006523AA"/>
    <w:rsid w:val="0065255C"/>
    <w:rsid w:val="00654285"/>
    <w:rsid w:val="00654FB8"/>
    <w:rsid w:val="00655222"/>
    <w:rsid w:val="00655A5C"/>
    <w:rsid w:val="006560E8"/>
    <w:rsid w:val="0065610D"/>
    <w:rsid w:val="00656292"/>
    <w:rsid w:val="00656EE2"/>
    <w:rsid w:val="00660C1D"/>
    <w:rsid w:val="0066121D"/>
    <w:rsid w:val="006613A4"/>
    <w:rsid w:val="00662134"/>
    <w:rsid w:val="0066234A"/>
    <w:rsid w:val="00662D66"/>
    <w:rsid w:val="00663DE6"/>
    <w:rsid w:val="00664BF2"/>
    <w:rsid w:val="00664F7C"/>
    <w:rsid w:val="00667EA0"/>
    <w:rsid w:val="00667F32"/>
    <w:rsid w:val="00667F5F"/>
    <w:rsid w:val="00670729"/>
    <w:rsid w:val="00670C1A"/>
    <w:rsid w:val="006711EA"/>
    <w:rsid w:val="0067232C"/>
    <w:rsid w:val="00672FFE"/>
    <w:rsid w:val="00673645"/>
    <w:rsid w:val="00673927"/>
    <w:rsid w:val="006741E7"/>
    <w:rsid w:val="00674217"/>
    <w:rsid w:val="00674495"/>
    <w:rsid w:val="006744D4"/>
    <w:rsid w:val="0067774B"/>
    <w:rsid w:val="006801C9"/>
    <w:rsid w:val="006812E8"/>
    <w:rsid w:val="00681380"/>
    <w:rsid w:val="00681A09"/>
    <w:rsid w:val="006826ED"/>
    <w:rsid w:val="006827B9"/>
    <w:rsid w:val="006831C5"/>
    <w:rsid w:val="006840CD"/>
    <w:rsid w:val="0068532F"/>
    <w:rsid w:val="00685A39"/>
    <w:rsid w:val="00685B63"/>
    <w:rsid w:val="00685C55"/>
    <w:rsid w:val="006862C4"/>
    <w:rsid w:val="00686429"/>
    <w:rsid w:val="00686A85"/>
    <w:rsid w:val="00686A8C"/>
    <w:rsid w:val="0068745B"/>
    <w:rsid w:val="00690FA5"/>
    <w:rsid w:val="0069106C"/>
    <w:rsid w:val="0069209E"/>
    <w:rsid w:val="006921F0"/>
    <w:rsid w:val="00692D20"/>
    <w:rsid w:val="00692DDE"/>
    <w:rsid w:val="00694077"/>
    <w:rsid w:val="00694BD4"/>
    <w:rsid w:val="0069594B"/>
    <w:rsid w:val="006961D9"/>
    <w:rsid w:val="00696403"/>
    <w:rsid w:val="006967F8"/>
    <w:rsid w:val="0069680B"/>
    <w:rsid w:val="00696AE3"/>
    <w:rsid w:val="006974DE"/>
    <w:rsid w:val="00697EF7"/>
    <w:rsid w:val="006A10D1"/>
    <w:rsid w:val="006A10E4"/>
    <w:rsid w:val="006A1AA9"/>
    <w:rsid w:val="006A1B2C"/>
    <w:rsid w:val="006A21E5"/>
    <w:rsid w:val="006A21F1"/>
    <w:rsid w:val="006A229D"/>
    <w:rsid w:val="006A3197"/>
    <w:rsid w:val="006A31CA"/>
    <w:rsid w:val="006A3968"/>
    <w:rsid w:val="006A3A97"/>
    <w:rsid w:val="006A5421"/>
    <w:rsid w:val="006A62BC"/>
    <w:rsid w:val="006A6F8F"/>
    <w:rsid w:val="006A76DD"/>
    <w:rsid w:val="006A7754"/>
    <w:rsid w:val="006A7BB6"/>
    <w:rsid w:val="006A7BF4"/>
    <w:rsid w:val="006A7C87"/>
    <w:rsid w:val="006B0202"/>
    <w:rsid w:val="006B06B9"/>
    <w:rsid w:val="006B08A5"/>
    <w:rsid w:val="006B0A83"/>
    <w:rsid w:val="006B1E4D"/>
    <w:rsid w:val="006B3CDE"/>
    <w:rsid w:val="006B404B"/>
    <w:rsid w:val="006B6121"/>
    <w:rsid w:val="006B6A86"/>
    <w:rsid w:val="006B7E4C"/>
    <w:rsid w:val="006C02D5"/>
    <w:rsid w:val="006C13D4"/>
    <w:rsid w:val="006C29C5"/>
    <w:rsid w:val="006C2D19"/>
    <w:rsid w:val="006C3559"/>
    <w:rsid w:val="006C386D"/>
    <w:rsid w:val="006C3A36"/>
    <w:rsid w:val="006C451B"/>
    <w:rsid w:val="006C50BA"/>
    <w:rsid w:val="006C535E"/>
    <w:rsid w:val="006C5747"/>
    <w:rsid w:val="006C58AA"/>
    <w:rsid w:val="006C5FE1"/>
    <w:rsid w:val="006C6201"/>
    <w:rsid w:val="006C671D"/>
    <w:rsid w:val="006C7856"/>
    <w:rsid w:val="006C79B7"/>
    <w:rsid w:val="006C7BFD"/>
    <w:rsid w:val="006C7EE0"/>
    <w:rsid w:val="006C7F78"/>
    <w:rsid w:val="006D056C"/>
    <w:rsid w:val="006D07D3"/>
    <w:rsid w:val="006D1211"/>
    <w:rsid w:val="006D1734"/>
    <w:rsid w:val="006D17CC"/>
    <w:rsid w:val="006D1E67"/>
    <w:rsid w:val="006D2664"/>
    <w:rsid w:val="006D3400"/>
    <w:rsid w:val="006D35C8"/>
    <w:rsid w:val="006D4913"/>
    <w:rsid w:val="006D6221"/>
    <w:rsid w:val="006D7111"/>
    <w:rsid w:val="006D7486"/>
    <w:rsid w:val="006D7BBA"/>
    <w:rsid w:val="006E09C4"/>
    <w:rsid w:val="006E12C5"/>
    <w:rsid w:val="006E1F37"/>
    <w:rsid w:val="006E3BE6"/>
    <w:rsid w:val="006E3C78"/>
    <w:rsid w:val="006E3F35"/>
    <w:rsid w:val="006E486A"/>
    <w:rsid w:val="006E4D2E"/>
    <w:rsid w:val="006E4E46"/>
    <w:rsid w:val="006E6980"/>
    <w:rsid w:val="006E74AB"/>
    <w:rsid w:val="006F015C"/>
    <w:rsid w:val="006F06DA"/>
    <w:rsid w:val="006F1408"/>
    <w:rsid w:val="006F14A4"/>
    <w:rsid w:val="006F1A4D"/>
    <w:rsid w:val="006F3841"/>
    <w:rsid w:val="006F3A47"/>
    <w:rsid w:val="006F3AC8"/>
    <w:rsid w:val="006F3BC0"/>
    <w:rsid w:val="006F4123"/>
    <w:rsid w:val="006F4E62"/>
    <w:rsid w:val="006F4FF0"/>
    <w:rsid w:val="006F5C61"/>
    <w:rsid w:val="006F5F84"/>
    <w:rsid w:val="006F635E"/>
    <w:rsid w:val="006F7510"/>
    <w:rsid w:val="006F781F"/>
    <w:rsid w:val="006F7947"/>
    <w:rsid w:val="007003BD"/>
    <w:rsid w:val="0070076A"/>
    <w:rsid w:val="00700910"/>
    <w:rsid w:val="00700DAC"/>
    <w:rsid w:val="007015B4"/>
    <w:rsid w:val="00701D3E"/>
    <w:rsid w:val="007023A8"/>
    <w:rsid w:val="00702A05"/>
    <w:rsid w:val="0070419F"/>
    <w:rsid w:val="00705059"/>
    <w:rsid w:val="00705229"/>
    <w:rsid w:val="00705246"/>
    <w:rsid w:val="00705252"/>
    <w:rsid w:val="007052AF"/>
    <w:rsid w:val="00705B49"/>
    <w:rsid w:val="00705F20"/>
    <w:rsid w:val="00706583"/>
    <w:rsid w:val="007075E3"/>
    <w:rsid w:val="00707CE5"/>
    <w:rsid w:val="00710725"/>
    <w:rsid w:val="007107F0"/>
    <w:rsid w:val="00711A07"/>
    <w:rsid w:val="00711AFA"/>
    <w:rsid w:val="00711BF8"/>
    <w:rsid w:val="00713959"/>
    <w:rsid w:val="00714644"/>
    <w:rsid w:val="00714FE4"/>
    <w:rsid w:val="00715E44"/>
    <w:rsid w:val="0071619B"/>
    <w:rsid w:val="00720826"/>
    <w:rsid w:val="00720AC2"/>
    <w:rsid w:val="007212AD"/>
    <w:rsid w:val="00721358"/>
    <w:rsid w:val="0072248B"/>
    <w:rsid w:val="00723091"/>
    <w:rsid w:val="00723563"/>
    <w:rsid w:val="0072372E"/>
    <w:rsid w:val="00723A6B"/>
    <w:rsid w:val="007242BD"/>
    <w:rsid w:val="0072519D"/>
    <w:rsid w:val="00725922"/>
    <w:rsid w:val="00725DB6"/>
    <w:rsid w:val="007260BC"/>
    <w:rsid w:val="00726CA1"/>
    <w:rsid w:val="0073109F"/>
    <w:rsid w:val="007318BB"/>
    <w:rsid w:val="00731A73"/>
    <w:rsid w:val="00733A40"/>
    <w:rsid w:val="00733CA2"/>
    <w:rsid w:val="007348BC"/>
    <w:rsid w:val="00735528"/>
    <w:rsid w:val="00736D77"/>
    <w:rsid w:val="007379A4"/>
    <w:rsid w:val="00737E26"/>
    <w:rsid w:val="00741111"/>
    <w:rsid w:val="007412E0"/>
    <w:rsid w:val="007415CC"/>
    <w:rsid w:val="007418BE"/>
    <w:rsid w:val="00741F91"/>
    <w:rsid w:val="00742857"/>
    <w:rsid w:val="007432AD"/>
    <w:rsid w:val="007434D7"/>
    <w:rsid w:val="00743814"/>
    <w:rsid w:val="007438AC"/>
    <w:rsid w:val="00744E30"/>
    <w:rsid w:val="007458BA"/>
    <w:rsid w:val="00746687"/>
    <w:rsid w:val="00746D27"/>
    <w:rsid w:val="007473F4"/>
    <w:rsid w:val="00750306"/>
    <w:rsid w:val="00750541"/>
    <w:rsid w:val="00750A3F"/>
    <w:rsid w:val="00751C35"/>
    <w:rsid w:val="007533B5"/>
    <w:rsid w:val="00754E44"/>
    <w:rsid w:val="00754F7D"/>
    <w:rsid w:val="00755DCE"/>
    <w:rsid w:val="00757787"/>
    <w:rsid w:val="00757D72"/>
    <w:rsid w:val="00757E1A"/>
    <w:rsid w:val="0076164B"/>
    <w:rsid w:val="00761CF4"/>
    <w:rsid w:val="00764927"/>
    <w:rsid w:val="00764B08"/>
    <w:rsid w:val="00765B0D"/>
    <w:rsid w:val="00766CAD"/>
    <w:rsid w:val="007700AC"/>
    <w:rsid w:val="007705A9"/>
    <w:rsid w:val="00770C4E"/>
    <w:rsid w:val="0077105D"/>
    <w:rsid w:val="00771AB9"/>
    <w:rsid w:val="00771F16"/>
    <w:rsid w:val="00772FB1"/>
    <w:rsid w:val="00773015"/>
    <w:rsid w:val="00773071"/>
    <w:rsid w:val="00773543"/>
    <w:rsid w:val="00773C71"/>
    <w:rsid w:val="007741D0"/>
    <w:rsid w:val="00774DB3"/>
    <w:rsid w:val="00775DF9"/>
    <w:rsid w:val="0077614C"/>
    <w:rsid w:val="007762AE"/>
    <w:rsid w:val="007762FD"/>
    <w:rsid w:val="00776A80"/>
    <w:rsid w:val="00777B89"/>
    <w:rsid w:val="00777E59"/>
    <w:rsid w:val="007806F1"/>
    <w:rsid w:val="00781D26"/>
    <w:rsid w:val="007822B8"/>
    <w:rsid w:val="00782A4D"/>
    <w:rsid w:val="00782A60"/>
    <w:rsid w:val="00782B5B"/>
    <w:rsid w:val="0078496E"/>
    <w:rsid w:val="007849B2"/>
    <w:rsid w:val="00784FCE"/>
    <w:rsid w:val="00785C9D"/>
    <w:rsid w:val="00786661"/>
    <w:rsid w:val="00786B05"/>
    <w:rsid w:val="00786CDA"/>
    <w:rsid w:val="00787F1D"/>
    <w:rsid w:val="00790AA8"/>
    <w:rsid w:val="00790B24"/>
    <w:rsid w:val="00791284"/>
    <w:rsid w:val="00791D13"/>
    <w:rsid w:val="00791D20"/>
    <w:rsid w:val="00791D4B"/>
    <w:rsid w:val="00791E20"/>
    <w:rsid w:val="0079478E"/>
    <w:rsid w:val="00795629"/>
    <w:rsid w:val="00795D84"/>
    <w:rsid w:val="007961BD"/>
    <w:rsid w:val="0079692F"/>
    <w:rsid w:val="00796EDE"/>
    <w:rsid w:val="007A1C07"/>
    <w:rsid w:val="007A20A8"/>
    <w:rsid w:val="007A257F"/>
    <w:rsid w:val="007A2ADE"/>
    <w:rsid w:val="007A2FBE"/>
    <w:rsid w:val="007A38B7"/>
    <w:rsid w:val="007A3B0A"/>
    <w:rsid w:val="007A3BB2"/>
    <w:rsid w:val="007A3F3A"/>
    <w:rsid w:val="007A4AB5"/>
    <w:rsid w:val="007A4D0C"/>
    <w:rsid w:val="007A5EDC"/>
    <w:rsid w:val="007A73C7"/>
    <w:rsid w:val="007A7BA6"/>
    <w:rsid w:val="007A7E55"/>
    <w:rsid w:val="007B0065"/>
    <w:rsid w:val="007B0931"/>
    <w:rsid w:val="007B0CD0"/>
    <w:rsid w:val="007B0D92"/>
    <w:rsid w:val="007B0F93"/>
    <w:rsid w:val="007B0FD4"/>
    <w:rsid w:val="007B1740"/>
    <w:rsid w:val="007B17CF"/>
    <w:rsid w:val="007B1CAB"/>
    <w:rsid w:val="007B26FB"/>
    <w:rsid w:val="007B297B"/>
    <w:rsid w:val="007B2DB5"/>
    <w:rsid w:val="007B33D4"/>
    <w:rsid w:val="007B3D1F"/>
    <w:rsid w:val="007B43D5"/>
    <w:rsid w:val="007B50FC"/>
    <w:rsid w:val="007B58F0"/>
    <w:rsid w:val="007B5FA4"/>
    <w:rsid w:val="007B5FF7"/>
    <w:rsid w:val="007B6264"/>
    <w:rsid w:val="007B6591"/>
    <w:rsid w:val="007B782D"/>
    <w:rsid w:val="007C0355"/>
    <w:rsid w:val="007C07FB"/>
    <w:rsid w:val="007C0ABF"/>
    <w:rsid w:val="007C10CE"/>
    <w:rsid w:val="007C2A4B"/>
    <w:rsid w:val="007C31B9"/>
    <w:rsid w:val="007C3277"/>
    <w:rsid w:val="007C3329"/>
    <w:rsid w:val="007C3519"/>
    <w:rsid w:val="007C3A7E"/>
    <w:rsid w:val="007C41DF"/>
    <w:rsid w:val="007C5AA3"/>
    <w:rsid w:val="007C5E63"/>
    <w:rsid w:val="007C6049"/>
    <w:rsid w:val="007C61B0"/>
    <w:rsid w:val="007C6C6F"/>
    <w:rsid w:val="007C71A3"/>
    <w:rsid w:val="007C75A5"/>
    <w:rsid w:val="007C7946"/>
    <w:rsid w:val="007C7970"/>
    <w:rsid w:val="007C7C5A"/>
    <w:rsid w:val="007D012D"/>
    <w:rsid w:val="007D0806"/>
    <w:rsid w:val="007D0EBC"/>
    <w:rsid w:val="007D17B3"/>
    <w:rsid w:val="007D1E33"/>
    <w:rsid w:val="007D1F39"/>
    <w:rsid w:val="007D1F9F"/>
    <w:rsid w:val="007D26C6"/>
    <w:rsid w:val="007D2799"/>
    <w:rsid w:val="007D2874"/>
    <w:rsid w:val="007D3164"/>
    <w:rsid w:val="007D38C1"/>
    <w:rsid w:val="007D3AA6"/>
    <w:rsid w:val="007D4309"/>
    <w:rsid w:val="007D4EE1"/>
    <w:rsid w:val="007D5921"/>
    <w:rsid w:val="007D5EC7"/>
    <w:rsid w:val="007D61D2"/>
    <w:rsid w:val="007D6E3A"/>
    <w:rsid w:val="007D7265"/>
    <w:rsid w:val="007D7C8C"/>
    <w:rsid w:val="007E0687"/>
    <w:rsid w:val="007E0AFC"/>
    <w:rsid w:val="007E0FA8"/>
    <w:rsid w:val="007E1E2A"/>
    <w:rsid w:val="007E30D6"/>
    <w:rsid w:val="007E31AD"/>
    <w:rsid w:val="007E3776"/>
    <w:rsid w:val="007E3D19"/>
    <w:rsid w:val="007E460E"/>
    <w:rsid w:val="007E6C58"/>
    <w:rsid w:val="007E709A"/>
    <w:rsid w:val="007E7939"/>
    <w:rsid w:val="007F0A99"/>
    <w:rsid w:val="007F1598"/>
    <w:rsid w:val="007F1987"/>
    <w:rsid w:val="007F21F2"/>
    <w:rsid w:val="007F24D7"/>
    <w:rsid w:val="007F2FEA"/>
    <w:rsid w:val="007F50E8"/>
    <w:rsid w:val="007F6407"/>
    <w:rsid w:val="007F72C1"/>
    <w:rsid w:val="007F7B46"/>
    <w:rsid w:val="00800228"/>
    <w:rsid w:val="00800767"/>
    <w:rsid w:val="008015CA"/>
    <w:rsid w:val="008030CF"/>
    <w:rsid w:val="00803FF7"/>
    <w:rsid w:val="00804039"/>
    <w:rsid w:val="00804081"/>
    <w:rsid w:val="008043CD"/>
    <w:rsid w:val="00805157"/>
    <w:rsid w:val="00805585"/>
    <w:rsid w:val="00805B91"/>
    <w:rsid w:val="00805D64"/>
    <w:rsid w:val="008062A6"/>
    <w:rsid w:val="008064E5"/>
    <w:rsid w:val="0080670E"/>
    <w:rsid w:val="0080674D"/>
    <w:rsid w:val="008113E4"/>
    <w:rsid w:val="008121CB"/>
    <w:rsid w:val="008125ED"/>
    <w:rsid w:val="00812BB7"/>
    <w:rsid w:val="00812E27"/>
    <w:rsid w:val="008135F9"/>
    <w:rsid w:val="00813841"/>
    <w:rsid w:val="00813A4E"/>
    <w:rsid w:val="0081414A"/>
    <w:rsid w:val="00814271"/>
    <w:rsid w:val="00814752"/>
    <w:rsid w:val="0081651E"/>
    <w:rsid w:val="00816631"/>
    <w:rsid w:val="00816648"/>
    <w:rsid w:val="00816AC5"/>
    <w:rsid w:val="00817DD4"/>
    <w:rsid w:val="0082000E"/>
    <w:rsid w:val="00820F2B"/>
    <w:rsid w:val="008212A0"/>
    <w:rsid w:val="00821B90"/>
    <w:rsid w:val="008241DD"/>
    <w:rsid w:val="0082436F"/>
    <w:rsid w:val="008264B1"/>
    <w:rsid w:val="00827604"/>
    <w:rsid w:val="008278BF"/>
    <w:rsid w:val="00827904"/>
    <w:rsid w:val="0083008B"/>
    <w:rsid w:val="00830409"/>
    <w:rsid w:val="00830960"/>
    <w:rsid w:val="00830EEA"/>
    <w:rsid w:val="00831175"/>
    <w:rsid w:val="00832085"/>
    <w:rsid w:val="00832142"/>
    <w:rsid w:val="0083280D"/>
    <w:rsid w:val="00832C9A"/>
    <w:rsid w:val="00833345"/>
    <w:rsid w:val="00833668"/>
    <w:rsid w:val="00834014"/>
    <w:rsid w:val="008351AE"/>
    <w:rsid w:val="00835504"/>
    <w:rsid w:val="00835E68"/>
    <w:rsid w:val="00835FB6"/>
    <w:rsid w:val="00836C00"/>
    <w:rsid w:val="00837F9B"/>
    <w:rsid w:val="008400FE"/>
    <w:rsid w:val="0084070F"/>
    <w:rsid w:val="008411CE"/>
    <w:rsid w:val="008412F3"/>
    <w:rsid w:val="0084140B"/>
    <w:rsid w:val="008421B1"/>
    <w:rsid w:val="0084240E"/>
    <w:rsid w:val="00842835"/>
    <w:rsid w:val="00842FF1"/>
    <w:rsid w:val="00843236"/>
    <w:rsid w:val="008432F8"/>
    <w:rsid w:val="008435DB"/>
    <w:rsid w:val="0084521C"/>
    <w:rsid w:val="00845C1C"/>
    <w:rsid w:val="008470CC"/>
    <w:rsid w:val="00847484"/>
    <w:rsid w:val="00847F00"/>
    <w:rsid w:val="00850E0F"/>
    <w:rsid w:val="00851417"/>
    <w:rsid w:val="00851701"/>
    <w:rsid w:val="00851A08"/>
    <w:rsid w:val="00852B09"/>
    <w:rsid w:val="00852EBE"/>
    <w:rsid w:val="00855110"/>
    <w:rsid w:val="00855D39"/>
    <w:rsid w:val="008563B9"/>
    <w:rsid w:val="0086047E"/>
    <w:rsid w:val="008611AC"/>
    <w:rsid w:val="008615CD"/>
    <w:rsid w:val="0086193B"/>
    <w:rsid w:val="00861A96"/>
    <w:rsid w:val="00861CD4"/>
    <w:rsid w:val="00862004"/>
    <w:rsid w:val="00862D79"/>
    <w:rsid w:val="008632F2"/>
    <w:rsid w:val="00863800"/>
    <w:rsid w:val="008639E0"/>
    <w:rsid w:val="00863A89"/>
    <w:rsid w:val="0086419E"/>
    <w:rsid w:val="0086594B"/>
    <w:rsid w:val="00865C14"/>
    <w:rsid w:val="0086619D"/>
    <w:rsid w:val="00866A2E"/>
    <w:rsid w:val="00866A59"/>
    <w:rsid w:val="00867141"/>
    <w:rsid w:val="008674A7"/>
    <w:rsid w:val="00867500"/>
    <w:rsid w:val="0086784D"/>
    <w:rsid w:val="008679E1"/>
    <w:rsid w:val="0087064B"/>
    <w:rsid w:val="00871685"/>
    <w:rsid w:val="00871F4D"/>
    <w:rsid w:val="00872285"/>
    <w:rsid w:val="008730E2"/>
    <w:rsid w:val="00873633"/>
    <w:rsid w:val="00874B3F"/>
    <w:rsid w:val="00874E30"/>
    <w:rsid w:val="008752BB"/>
    <w:rsid w:val="008757E8"/>
    <w:rsid w:val="008759C7"/>
    <w:rsid w:val="00875CD9"/>
    <w:rsid w:val="008764B0"/>
    <w:rsid w:val="008768FF"/>
    <w:rsid w:val="00877393"/>
    <w:rsid w:val="00877A14"/>
    <w:rsid w:val="00877CBD"/>
    <w:rsid w:val="008805DF"/>
    <w:rsid w:val="00880BE1"/>
    <w:rsid w:val="00881D43"/>
    <w:rsid w:val="00881EE6"/>
    <w:rsid w:val="00881FFF"/>
    <w:rsid w:val="0088322C"/>
    <w:rsid w:val="00883311"/>
    <w:rsid w:val="00883C6E"/>
    <w:rsid w:val="008843C4"/>
    <w:rsid w:val="008844A3"/>
    <w:rsid w:val="00885431"/>
    <w:rsid w:val="00885872"/>
    <w:rsid w:val="008858B0"/>
    <w:rsid w:val="008858B9"/>
    <w:rsid w:val="00886C0D"/>
    <w:rsid w:val="00886C12"/>
    <w:rsid w:val="0088796A"/>
    <w:rsid w:val="00887CA9"/>
    <w:rsid w:val="00887D0F"/>
    <w:rsid w:val="00890312"/>
    <w:rsid w:val="00890E06"/>
    <w:rsid w:val="00891191"/>
    <w:rsid w:val="008925CE"/>
    <w:rsid w:val="008933A5"/>
    <w:rsid w:val="00893470"/>
    <w:rsid w:val="00894235"/>
    <w:rsid w:val="0089449F"/>
    <w:rsid w:val="00894967"/>
    <w:rsid w:val="008963A9"/>
    <w:rsid w:val="008970B9"/>
    <w:rsid w:val="00897F14"/>
    <w:rsid w:val="008A061E"/>
    <w:rsid w:val="008A0A5E"/>
    <w:rsid w:val="008A2108"/>
    <w:rsid w:val="008A2673"/>
    <w:rsid w:val="008A2F39"/>
    <w:rsid w:val="008A35EC"/>
    <w:rsid w:val="008A3B07"/>
    <w:rsid w:val="008A3D11"/>
    <w:rsid w:val="008A4855"/>
    <w:rsid w:val="008A57B4"/>
    <w:rsid w:val="008A5B0C"/>
    <w:rsid w:val="008A6033"/>
    <w:rsid w:val="008A61B1"/>
    <w:rsid w:val="008A6242"/>
    <w:rsid w:val="008A6312"/>
    <w:rsid w:val="008A74A3"/>
    <w:rsid w:val="008A7C3C"/>
    <w:rsid w:val="008B0017"/>
    <w:rsid w:val="008B09AB"/>
    <w:rsid w:val="008B1661"/>
    <w:rsid w:val="008B210C"/>
    <w:rsid w:val="008B22EA"/>
    <w:rsid w:val="008B2917"/>
    <w:rsid w:val="008B29C5"/>
    <w:rsid w:val="008B2D32"/>
    <w:rsid w:val="008B315A"/>
    <w:rsid w:val="008B3D4C"/>
    <w:rsid w:val="008B4837"/>
    <w:rsid w:val="008B4949"/>
    <w:rsid w:val="008B5E32"/>
    <w:rsid w:val="008B6A20"/>
    <w:rsid w:val="008B766D"/>
    <w:rsid w:val="008B7A0C"/>
    <w:rsid w:val="008B7B1B"/>
    <w:rsid w:val="008B7E62"/>
    <w:rsid w:val="008C0228"/>
    <w:rsid w:val="008C0DBF"/>
    <w:rsid w:val="008C1561"/>
    <w:rsid w:val="008C34E7"/>
    <w:rsid w:val="008C366D"/>
    <w:rsid w:val="008C3F5A"/>
    <w:rsid w:val="008C4C85"/>
    <w:rsid w:val="008C4CC8"/>
    <w:rsid w:val="008C6AE2"/>
    <w:rsid w:val="008D1168"/>
    <w:rsid w:val="008D1886"/>
    <w:rsid w:val="008D2255"/>
    <w:rsid w:val="008D2569"/>
    <w:rsid w:val="008D2EB7"/>
    <w:rsid w:val="008D4B8D"/>
    <w:rsid w:val="008D4F98"/>
    <w:rsid w:val="008D6328"/>
    <w:rsid w:val="008D63AC"/>
    <w:rsid w:val="008D6672"/>
    <w:rsid w:val="008D6F33"/>
    <w:rsid w:val="008D7090"/>
    <w:rsid w:val="008E08D4"/>
    <w:rsid w:val="008E2C8A"/>
    <w:rsid w:val="008E37D0"/>
    <w:rsid w:val="008E4701"/>
    <w:rsid w:val="008E4862"/>
    <w:rsid w:val="008E4F95"/>
    <w:rsid w:val="008E5018"/>
    <w:rsid w:val="008E5238"/>
    <w:rsid w:val="008E55FA"/>
    <w:rsid w:val="008E586F"/>
    <w:rsid w:val="008E64BC"/>
    <w:rsid w:val="008E6754"/>
    <w:rsid w:val="008E74C5"/>
    <w:rsid w:val="008E75EC"/>
    <w:rsid w:val="008E7A9E"/>
    <w:rsid w:val="008E7F96"/>
    <w:rsid w:val="008F0AB8"/>
    <w:rsid w:val="008F15B9"/>
    <w:rsid w:val="008F190C"/>
    <w:rsid w:val="008F19F7"/>
    <w:rsid w:val="008F1D62"/>
    <w:rsid w:val="008F38CF"/>
    <w:rsid w:val="008F399D"/>
    <w:rsid w:val="008F3A1B"/>
    <w:rsid w:val="008F3A47"/>
    <w:rsid w:val="008F3CD6"/>
    <w:rsid w:val="008F3E65"/>
    <w:rsid w:val="008F4B25"/>
    <w:rsid w:val="008F4CB5"/>
    <w:rsid w:val="008F4D97"/>
    <w:rsid w:val="008F53A2"/>
    <w:rsid w:val="008F5AF7"/>
    <w:rsid w:val="008F5B0F"/>
    <w:rsid w:val="008F624B"/>
    <w:rsid w:val="008F6D71"/>
    <w:rsid w:val="008F7033"/>
    <w:rsid w:val="008F7317"/>
    <w:rsid w:val="008F774D"/>
    <w:rsid w:val="00900155"/>
    <w:rsid w:val="00900718"/>
    <w:rsid w:val="00900885"/>
    <w:rsid w:val="009009EC"/>
    <w:rsid w:val="00901240"/>
    <w:rsid w:val="009026F4"/>
    <w:rsid w:val="00902A16"/>
    <w:rsid w:val="00902E92"/>
    <w:rsid w:val="00902EC0"/>
    <w:rsid w:val="0090375D"/>
    <w:rsid w:val="00904608"/>
    <w:rsid w:val="00904EDA"/>
    <w:rsid w:val="0090572F"/>
    <w:rsid w:val="0090649A"/>
    <w:rsid w:val="0090654A"/>
    <w:rsid w:val="009079FC"/>
    <w:rsid w:val="00907B00"/>
    <w:rsid w:val="009111BC"/>
    <w:rsid w:val="00911BC6"/>
    <w:rsid w:val="00913104"/>
    <w:rsid w:val="0091349E"/>
    <w:rsid w:val="009138BC"/>
    <w:rsid w:val="00913C50"/>
    <w:rsid w:val="00913FB4"/>
    <w:rsid w:val="009147FF"/>
    <w:rsid w:val="00915205"/>
    <w:rsid w:val="009152A8"/>
    <w:rsid w:val="00916271"/>
    <w:rsid w:val="00917137"/>
    <w:rsid w:val="009172EB"/>
    <w:rsid w:val="00917743"/>
    <w:rsid w:val="00917C79"/>
    <w:rsid w:val="00917E04"/>
    <w:rsid w:val="009202B5"/>
    <w:rsid w:val="00920439"/>
    <w:rsid w:val="009204D4"/>
    <w:rsid w:val="009208D0"/>
    <w:rsid w:val="00920C91"/>
    <w:rsid w:val="00920D08"/>
    <w:rsid w:val="009218E5"/>
    <w:rsid w:val="00921F68"/>
    <w:rsid w:val="009224B4"/>
    <w:rsid w:val="0092262C"/>
    <w:rsid w:val="009226A8"/>
    <w:rsid w:val="009234E9"/>
    <w:rsid w:val="00923AD9"/>
    <w:rsid w:val="00924A38"/>
    <w:rsid w:val="0092551D"/>
    <w:rsid w:val="00925B73"/>
    <w:rsid w:val="009269AB"/>
    <w:rsid w:val="00926E33"/>
    <w:rsid w:val="00927745"/>
    <w:rsid w:val="009278E9"/>
    <w:rsid w:val="009307A2"/>
    <w:rsid w:val="00930947"/>
    <w:rsid w:val="00931115"/>
    <w:rsid w:val="00931619"/>
    <w:rsid w:val="00931789"/>
    <w:rsid w:val="0093333E"/>
    <w:rsid w:val="00933630"/>
    <w:rsid w:val="00933BA2"/>
    <w:rsid w:val="009341AF"/>
    <w:rsid w:val="0093437B"/>
    <w:rsid w:val="00934553"/>
    <w:rsid w:val="00934563"/>
    <w:rsid w:val="00935820"/>
    <w:rsid w:val="00935A1C"/>
    <w:rsid w:val="00935E42"/>
    <w:rsid w:val="009368FD"/>
    <w:rsid w:val="00937193"/>
    <w:rsid w:val="009378B2"/>
    <w:rsid w:val="00937BB9"/>
    <w:rsid w:val="0094092B"/>
    <w:rsid w:val="00940C7C"/>
    <w:rsid w:val="0094171D"/>
    <w:rsid w:val="00942074"/>
    <w:rsid w:val="009430DC"/>
    <w:rsid w:val="00943207"/>
    <w:rsid w:val="009435B6"/>
    <w:rsid w:val="00943AB2"/>
    <w:rsid w:val="0094406F"/>
    <w:rsid w:val="00944FB4"/>
    <w:rsid w:val="009457C9"/>
    <w:rsid w:val="00945883"/>
    <w:rsid w:val="0094632E"/>
    <w:rsid w:val="009464FB"/>
    <w:rsid w:val="0094727D"/>
    <w:rsid w:val="00947398"/>
    <w:rsid w:val="009510C0"/>
    <w:rsid w:val="009513FC"/>
    <w:rsid w:val="0095171A"/>
    <w:rsid w:val="0095172E"/>
    <w:rsid w:val="00951A4D"/>
    <w:rsid w:val="009523EE"/>
    <w:rsid w:val="00952B0E"/>
    <w:rsid w:val="00952CFF"/>
    <w:rsid w:val="00953032"/>
    <w:rsid w:val="0095364D"/>
    <w:rsid w:val="00954032"/>
    <w:rsid w:val="009540AB"/>
    <w:rsid w:val="00954EB8"/>
    <w:rsid w:val="00955A25"/>
    <w:rsid w:val="00955B0D"/>
    <w:rsid w:val="00956333"/>
    <w:rsid w:val="009574E3"/>
    <w:rsid w:val="0096033B"/>
    <w:rsid w:val="009610F7"/>
    <w:rsid w:val="00962139"/>
    <w:rsid w:val="00962790"/>
    <w:rsid w:val="00963392"/>
    <w:rsid w:val="009639E9"/>
    <w:rsid w:val="00963CA2"/>
    <w:rsid w:val="00963D7D"/>
    <w:rsid w:val="009646F6"/>
    <w:rsid w:val="0096551C"/>
    <w:rsid w:val="00965775"/>
    <w:rsid w:val="009658D3"/>
    <w:rsid w:val="00965B7B"/>
    <w:rsid w:val="00966A7E"/>
    <w:rsid w:val="00967935"/>
    <w:rsid w:val="00970ABE"/>
    <w:rsid w:val="009724CF"/>
    <w:rsid w:val="00972A7E"/>
    <w:rsid w:val="00973095"/>
    <w:rsid w:val="009736F8"/>
    <w:rsid w:val="00974181"/>
    <w:rsid w:val="00974AAE"/>
    <w:rsid w:val="00975359"/>
    <w:rsid w:val="009759F8"/>
    <w:rsid w:val="00975CB0"/>
    <w:rsid w:val="00976FD7"/>
    <w:rsid w:val="00980342"/>
    <w:rsid w:val="009803DD"/>
    <w:rsid w:val="00980EA3"/>
    <w:rsid w:val="00981643"/>
    <w:rsid w:val="00981CF6"/>
    <w:rsid w:val="00981F0B"/>
    <w:rsid w:val="00983F56"/>
    <w:rsid w:val="0098423B"/>
    <w:rsid w:val="0098441E"/>
    <w:rsid w:val="009851F0"/>
    <w:rsid w:val="00985744"/>
    <w:rsid w:val="00985FF3"/>
    <w:rsid w:val="0098606D"/>
    <w:rsid w:val="00986696"/>
    <w:rsid w:val="009868CF"/>
    <w:rsid w:val="0098702D"/>
    <w:rsid w:val="00987059"/>
    <w:rsid w:val="00987083"/>
    <w:rsid w:val="0098734E"/>
    <w:rsid w:val="00987D2E"/>
    <w:rsid w:val="009904A0"/>
    <w:rsid w:val="00990825"/>
    <w:rsid w:val="00990863"/>
    <w:rsid w:val="00990B96"/>
    <w:rsid w:val="00990F65"/>
    <w:rsid w:val="00991F8C"/>
    <w:rsid w:val="0099326E"/>
    <w:rsid w:val="00993694"/>
    <w:rsid w:val="00996498"/>
    <w:rsid w:val="0099663B"/>
    <w:rsid w:val="00996718"/>
    <w:rsid w:val="00997636"/>
    <w:rsid w:val="00997ABD"/>
    <w:rsid w:val="009A04A5"/>
    <w:rsid w:val="009A04B6"/>
    <w:rsid w:val="009A083C"/>
    <w:rsid w:val="009A1768"/>
    <w:rsid w:val="009A206F"/>
    <w:rsid w:val="009A20B5"/>
    <w:rsid w:val="009A2AD6"/>
    <w:rsid w:val="009A2EBC"/>
    <w:rsid w:val="009A2FF5"/>
    <w:rsid w:val="009A37CA"/>
    <w:rsid w:val="009A44B1"/>
    <w:rsid w:val="009A45ED"/>
    <w:rsid w:val="009A5723"/>
    <w:rsid w:val="009A5E92"/>
    <w:rsid w:val="009A6409"/>
    <w:rsid w:val="009A7707"/>
    <w:rsid w:val="009A77BF"/>
    <w:rsid w:val="009A7AF1"/>
    <w:rsid w:val="009A7BE7"/>
    <w:rsid w:val="009A7C0B"/>
    <w:rsid w:val="009B0C92"/>
    <w:rsid w:val="009B1217"/>
    <w:rsid w:val="009B1553"/>
    <w:rsid w:val="009B1573"/>
    <w:rsid w:val="009B1F1E"/>
    <w:rsid w:val="009B3524"/>
    <w:rsid w:val="009B3EDB"/>
    <w:rsid w:val="009B476B"/>
    <w:rsid w:val="009B47E0"/>
    <w:rsid w:val="009B6853"/>
    <w:rsid w:val="009B739A"/>
    <w:rsid w:val="009C01B0"/>
    <w:rsid w:val="009C02E8"/>
    <w:rsid w:val="009C0ED8"/>
    <w:rsid w:val="009C0FCE"/>
    <w:rsid w:val="009C10F9"/>
    <w:rsid w:val="009C113B"/>
    <w:rsid w:val="009C127E"/>
    <w:rsid w:val="009C1E0B"/>
    <w:rsid w:val="009C2906"/>
    <w:rsid w:val="009C2BB5"/>
    <w:rsid w:val="009C39C9"/>
    <w:rsid w:val="009C4192"/>
    <w:rsid w:val="009C4C69"/>
    <w:rsid w:val="009C511D"/>
    <w:rsid w:val="009C5BC9"/>
    <w:rsid w:val="009C6CEE"/>
    <w:rsid w:val="009D080A"/>
    <w:rsid w:val="009D0E29"/>
    <w:rsid w:val="009D1698"/>
    <w:rsid w:val="009D1729"/>
    <w:rsid w:val="009D2821"/>
    <w:rsid w:val="009D29B6"/>
    <w:rsid w:val="009D2EF1"/>
    <w:rsid w:val="009D3401"/>
    <w:rsid w:val="009D3549"/>
    <w:rsid w:val="009D3AAA"/>
    <w:rsid w:val="009D3ED8"/>
    <w:rsid w:val="009D3F08"/>
    <w:rsid w:val="009D4262"/>
    <w:rsid w:val="009D44DE"/>
    <w:rsid w:val="009D4769"/>
    <w:rsid w:val="009D4A12"/>
    <w:rsid w:val="009D567E"/>
    <w:rsid w:val="009D659C"/>
    <w:rsid w:val="009D6B30"/>
    <w:rsid w:val="009D7175"/>
    <w:rsid w:val="009E0564"/>
    <w:rsid w:val="009E0BB5"/>
    <w:rsid w:val="009E0FE6"/>
    <w:rsid w:val="009E13CE"/>
    <w:rsid w:val="009E173C"/>
    <w:rsid w:val="009E1798"/>
    <w:rsid w:val="009E17C7"/>
    <w:rsid w:val="009E18DB"/>
    <w:rsid w:val="009E1FC0"/>
    <w:rsid w:val="009E201B"/>
    <w:rsid w:val="009E2501"/>
    <w:rsid w:val="009E2E59"/>
    <w:rsid w:val="009E3015"/>
    <w:rsid w:val="009E4799"/>
    <w:rsid w:val="009E50C8"/>
    <w:rsid w:val="009E54A8"/>
    <w:rsid w:val="009E7C06"/>
    <w:rsid w:val="009F0C43"/>
    <w:rsid w:val="009F119C"/>
    <w:rsid w:val="009F2574"/>
    <w:rsid w:val="009F28B9"/>
    <w:rsid w:val="009F291E"/>
    <w:rsid w:val="009F35A3"/>
    <w:rsid w:val="009F3F7B"/>
    <w:rsid w:val="009F4281"/>
    <w:rsid w:val="009F61AD"/>
    <w:rsid w:val="009F6300"/>
    <w:rsid w:val="009F6611"/>
    <w:rsid w:val="009F7A4D"/>
    <w:rsid w:val="00A00EC4"/>
    <w:rsid w:val="00A013B8"/>
    <w:rsid w:val="00A01647"/>
    <w:rsid w:val="00A01674"/>
    <w:rsid w:val="00A01E7B"/>
    <w:rsid w:val="00A033E3"/>
    <w:rsid w:val="00A03598"/>
    <w:rsid w:val="00A036B3"/>
    <w:rsid w:val="00A03797"/>
    <w:rsid w:val="00A038FA"/>
    <w:rsid w:val="00A03A31"/>
    <w:rsid w:val="00A04229"/>
    <w:rsid w:val="00A0440E"/>
    <w:rsid w:val="00A04F6E"/>
    <w:rsid w:val="00A0526B"/>
    <w:rsid w:val="00A05409"/>
    <w:rsid w:val="00A05856"/>
    <w:rsid w:val="00A05E16"/>
    <w:rsid w:val="00A05E59"/>
    <w:rsid w:val="00A065AB"/>
    <w:rsid w:val="00A068B6"/>
    <w:rsid w:val="00A06F26"/>
    <w:rsid w:val="00A06F80"/>
    <w:rsid w:val="00A07467"/>
    <w:rsid w:val="00A11600"/>
    <w:rsid w:val="00A127D9"/>
    <w:rsid w:val="00A1315B"/>
    <w:rsid w:val="00A1479C"/>
    <w:rsid w:val="00A14A61"/>
    <w:rsid w:val="00A1589D"/>
    <w:rsid w:val="00A15A01"/>
    <w:rsid w:val="00A15AB0"/>
    <w:rsid w:val="00A15CD9"/>
    <w:rsid w:val="00A20291"/>
    <w:rsid w:val="00A20342"/>
    <w:rsid w:val="00A20A92"/>
    <w:rsid w:val="00A214C1"/>
    <w:rsid w:val="00A21AD0"/>
    <w:rsid w:val="00A21CAD"/>
    <w:rsid w:val="00A2208A"/>
    <w:rsid w:val="00A22FEB"/>
    <w:rsid w:val="00A23ED4"/>
    <w:rsid w:val="00A2427F"/>
    <w:rsid w:val="00A24399"/>
    <w:rsid w:val="00A24980"/>
    <w:rsid w:val="00A24B8A"/>
    <w:rsid w:val="00A25782"/>
    <w:rsid w:val="00A26606"/>
    <w:rsid w:val="00A2661E"/>
    <w:rsid w:val="00A26D51"/>
    <w:rsid w:val="00A26EBB"/>
    <w:rsid w:val="00A2704B"/>
    <w:rsid w:val="00A2714B"/>
    <w:rsid w:val="00A27543"/>
    <w:rsid w:val="00A27719"/>
    <w:rsid w:val="00A27752"/>
    <w:rsid w:val="00A30334"/>
    <w:rsid w:val="00A30577"/>
    <w:rsid w:val="00A31623"/>
    <w:rsid w:val="00A32857"/>
    <w:rsid w:val="00A328F2"/>
    <w:rsid w:val="00A3442A"/>
    <w:rsid w:val="00A34BCE"/>
    <w:rsid w:val="00A34CED"/>
    <w:rsid w:val="00A35494"/>
    <w:rsid w:val="00A35598"/>
    <w:rsid w:val="00A35698"/>
    <w:rsid w:val="00A362AC"/>
    <w:rsid w:val="00A365C4"/>
    <w:rsid w:val="00A37F57"/>
    <w:rsid w:val="00A404AC"/>
    <w:rsid w:val="00A4091E"/>
    <w:rsid w:val="00A40F2D"/>
    <w:rsid w:val="00A417E5"/>
    <w:rsid w:val="00A41B32"/>
    <w:rsid w:val="00A426BB"/>
    <w:rsid w:val="00A42C94"/>
    <w:rsid w:val="00A42D79"/>
    <w:rsid w:val="00A43610"/>
    <w:rsid w:val="00A43E12"/>
    <w:rsid w:val="00A467E1"/>
    <w:rsid w:val="00A46910"/>
    <w:rsid w:val="00A4753C"/>
    <w:rsid w:val="00A475B6"/>
    <w:rsid w:val="00A510D6"/>
    <w:rsid w:val="00A51735"/>
    <w:rsid w:val="00A52BC9"/>
    <w:rsid w:val="00A52DFA"/>
    <w:rsid w:val="00A53785"/>
    <w:rsid w:val="00A53900"/>
    <w:rsid w:val="00A549ED"/>
    <w:rsid w:val="00A550E9"/>
    <w:rsid w:val="00A561FE"/>
    <w:rsid w:val="00A564D9"/>
    <w:rsid w:val="00A569E4"/>
    <w:rsid w:val="00A56F02"/>
    <w:rsid w:val="00A5794B"/>
    <w:rsid w:val="00A57A42"/>
    <w:rsid w:val="00A57CD5"/>
    <w:rsid w:val="00A62D3E"/>
    <w:rsid w:val="00A62F7D"/>
    <w:rsid w:val="00A63D0D"/>
    <w:rsid w:val="00A63D12"/>
    <w:rsid w:val="00A63D93"/>
    <w:rsid w:val="00A6413C"/>
    <w:rsid w:val="00A64313"/>
    <w:rsid w:val="00A645F9"/>
    <w:rsid w:val="00A64B03"/>
    <w:rsid w:val="00A660AE"/>
    <w:rsid w:val="00A66865"/>
    <w:rsid w:val="00A668E5"/>
    <w:rsid w:val="00A66B58"/>
    <w:rsid w:val="00A66CB6"/>
    <w:rsid w:val="00A67266"/>
    <w:rsid w:val="00A67945"/>
    <w:rsid w:val="00A70E93"/>
    <w:rsid w:val="00A70FAF"/>
    <w:rsid w:val="00A711ED"/>
    <w:rsid w:val="00A71BA8"/>
    <w:rsid w:val="00A72520"/>
    <w:rsid w:val="00A73AB8"/>
    <w:rsid w:val="00A73C61"/>
    <w:rsid w:val="00A74A30"/>
    <w:rsid w:val="00A74ABC"/>
    <w:rsid w:val="00A759F3"/>
    <w:rsid w:val="00A762DA"/>
    <w:rsid w:val="00A769EF"/>
    <w:rsid w:val="00A76FF6"/>
    <w:rsid w:val="00A77518"/>
    <w:rsid w:val="00A776AB"/>
    <w:rsid w:val="00A77949"/>
    <w:rsid w:val="00A7798E"/>
    <w:rsid w:val="00A8308D"/>
    <w:rsid w:val="00A84555"/>
    <w:rsid w:val="00A848A3"/>
    <w:rsid w:val="00A85A85"/>
    <w:rsid w:val="00A86951"/>
    <w:rsid w:val="00A86D03"/>
    <w:rsid w:val="00A871A0"/>
    <w:rsid w:val="00A87B6D"/>
    <w:rsid w:val="00A903CC"/>
    <w:rsid w:val="00A90FD6"/>
    <w:rsid w:val="00A9252E"/>
    <w:rsid w:val="00A936E0"/>
    <w:rsid w:val="00A94C60"/>
    <w:rsid w:val="00A94D1E"/>
    <w:rsid w:val="00A94E70"/>
    <w:rsid w:val="00A94EE2"/>
    <w:rsid w:val="00A96314"/>
    <w:rsid w:val="00A964ED"/>
    <w:rsid w:val="00A96892"/>
    <w:rsid w:val="00A96936"/>
    <w:rsid w:val="00A971A3"/>
    <w:rsid w:val="00A97CF5"/>
    <w:rsid w:val="00AA06C2"/>
    <w:rsid w:val="00AA0D31"/>
    <w:rsid w:val="00AA1AD6"/>
    <w:rsid w:val="00AA1D52"/>
    <w:rsid w:val="00AA2323"/>
    <w:rsid w:val="00AA28FB"/>
    <w:rsid w:val="00AA2DC5"/>
    <w:rsid w:val="00AA3A1B"/>
    <w:rsid w:val="00AA475A"/>
    <w:rsid w:val="00AA4863"/>
    <w:rsid w:val="00AA597C"/>
    <w:rsid w:val="00AA5BE2"/>
    <w:rsid w:val="00AA5C2F"/>
    <w:rsid w:val="00AA6B37"/>
    <w:rsid w:val="00AA6D9E"/>
    <w:rsid w:val="00AA7BC9"/>
    <w:rsid w:val="00AA7C9D"/>
    <w:rsid w:val="00AB0F4A"/>
    <w:rsid w:val="00AB1020"/>
    <w:rsid w:val="00AB1135"/>
    <w:rsid w:val="00AB1422"/>
    <w:rsid w:val="00AB16CB"/>
    <w:rsid w:val="00AB17D6"/>
    <w:rsid w:val="00AB1A56"/>
    <w:rsid w:val="00AB1C07"/>
    <w:rsid w:val="00AB2530"/>
    <w:rsid w:val="00AB28AC"/>
    <w:rsid w:val="00AB2AA6"/>
    <w:rsid w:val="00AB2C54"/>
    <w:rsid w:val="00AB35AB"/>
    <w:rsid w:val="00AB3B9F"/>
    <w:rsid w:val="00AB3C5E"/>
    <w:rsid w:val="00AB4534"/>
    <w:rsid w:val="00AB4A09"/>
    <w:rsid w:val="00AB5EED"/>
    <w:rsid w:val="00AB7695"/>
    <w:rsid w:val="00AB7CDE"/>
    <w:rsid w:val="00AC036A"/>
    <w:rsid w:val="00AC075C"/>
    <w:rsid w:val="00AC0B41"/>
    <w:rsid w:val="00AC1B48"/>
    <w:rsid w:val="00AC1E2F"/>
    <w:rsid w:val="00AC228F"/>
    <w:rsid w:val="00AC2B09"/>
    <w:rsid w:val="00AC2FF0"/>
    <w:rsid w:val="00AC3103"/>
    <w:rsid w:val="00AC365D"/>
    <w:rsid w:val="00AC373D"/>
    <w:rsid w:val="00AC37AA"/>
    <w:rsid w:val="00AC3D32"/>
    <w:rsid w:val="00AC4B3B"/>
    <w:rsid w:val="00AC7AB5"/>
    <w:rsid w:val="00AC7CA3"/>
    <w:rsid w:val="00AC7F7E"/>
    <w:rsid w:val="00AD03F5"/>
    <w:rsid w:val="00AD05FF"/>
    <w:rsid w:val="00AD09E9"/>
    <w:rsid w:val="00AD0AD6"/>
    <w:rsid w:val="00AD0ED8"/>
    <w:rsid w:val="00AD117D"/>
    <w:rsid w:val="00AD1546"/>
    <w:rsid w:val="00AD1A1D"/>
    <w:rsid w:val="00AD1E6A"/>
    <w:rsid w:val="00AD2047"/>
    <w:rsid w:val="00AD23BB"/>
    <w:rsid w:val="00AD2C03"/>
    <w:rsid w:val="00AD3015"/>
    <w:rsid w:val="00AD3258"/>
    <w:rsid w:val="00AD3959"/>
    <w:rsid w:val="00AD40C3"/>
    <w:rsid w:val="00AD5F9D"/>
    <w:rsid w:val="00AD60AE"/>
    <w:rsid w:val="00AD62EA"/>
    <w:rsid w:val="00AD695F"/>
    <w:rsid w:val="00AD6D7D"/>
    <w:rsid w:val="00AE1808"/>
    <w:rsid w:val="00AE1A80"/>
    <w:rsid w:val="00AE1D3A"/>
    <w:rsid w:val="00AE26D6"/>
    <w:rsid w:val="00AE2A28"/>
    <w:rsid w:val="00AE34AD"/>
    <w:rsid w:val="00AE3BF7"/>
    <w:rsid w:val="00AE3CB7"/>
    <w:rsid w:val="00AE41D3"/>
    <w:rsid w:val="00AE42E5"/>
    <w:rsid w:val="00AE4C89"/>
    <w:rsid w:val="00AE4CC9"/>
    <w:rsid w:val="00AE5BD2"/>
    <w:rsid w:val="00AE6067"/>
    <w:rsid w:val="00AE66F0"/>
    <w:rsid w:val="00AE7C54"/>
    <w:rsid w:val="00AE7E7A"/>
    <w:rsid w:val="00AF002B"/>
    <w:rsid w:val="00AF05BD"/>
    <w:rsid w:val="00AF0DB6"/>
    <w:rsid w:val="00AF1B96"/>
    <w:rsid w:val="00AF2334"/>
    <w:rsid w:val="00AF24E6"/>
    <w:rsid w:val="00AF2FE4"/>
    <w:rsid w:val="00AF5D37"/>
    <w:rsid w:val="00AF7668"/>
    <w:rsid w:val="00AF77CF"/>
    <w:rsid w:val="00B00217"/>
    <w:rsid w:val="00B01AC5"/>
    <w:rsid w:val="00B01C3B"/>
    <w:rsid w:val="00B01CEE"/>
    <w:rsid w:val="00B01EE2"/>
    <w:rsid w:val="00B0377A"/>
    <w:rsid w:val="00B05517"/>
    <w:rsid w:val="00B055EC"/>
    <w:rsid w:val="00B06730"/>
    <w:rsid w:val="00B071A1"/>
    <w:rsid w:val="00B072EF"/>
    <w:rsid w:val="00B07386"/>
    <w:rsid w:val="00B07983"/>
    <w:rsid w:val="00B10056"/>
    <w:rsid w:val="00B103BA"/>
    <w:rsid w:val="00B110DA"/>
    <w:rsid w:val="00B1166E"/>
    <w:rsid w:val="00B1185D"/>
    <w:rsid w:val="00B11907"/>
    <w:rsid w:val="00B11C66"/>
    <w:rsid w:val="00B128AF"/>
    <w:rsid w:val="00B12C06"/>
    <w:rsid w:val="00B12DB5"/>
    <w:rsid w:val="00B130DA"/>
    <w:rsid w:val="00B13B63"/>
    <w:rsid w:val="00B14BF3"/>
    <w:rsid w:val="00B1511D"/>
    <w:rsid w:val="00B1561D"/>
    <w:rsid w:val="00B15A3E"/>
    <w:rsid w:val="00B15DFC"/>
    <w:rsid w:val="00B15F2E"/>
    <w:rsid w:val="00B16B79"/>
    <w:rsid w:val="00B17ED0"/>
    <w:rsid w:val="00B20BC3"/>
    <w:rsid w:val="00B20BD2"/>
    <w:rsid w:val="00B21027"/>
    <w:rsid w:val="00B2152C"/>
    <w:rsid w:val="00B2155F"/>
    <w:rsid w:val="00B21F4E"/>
    <w:rsid w:val="00B22586"/>
    <w:rsid w:val="00B22842"/>
    <w:rsid w:val="00B22AC2"/>
    <w:rsid w:val="00B22B5D"/>
    <w:rsid w:val="00B2322D"/>
    <w:rsid w:val="00B23246"/>
    <w:rsid w:val="00B23E4E"/>
    <w:rsid w:val="00B241FA"/>
    <w:rsid w:val="00B249F1"/>
    <w:rsid w:val="00B25418"/>
    <w:rsid w:val="00B25750"/>
    <w:rsid w:val="00B25994"/>
    <w:rsid w:val="00B26144"/>
    <w:rsid w:val="00B26E9A"/>
    <w:rsid w:val="00B2758A"/>
    <w:rsid w:val="00B2787B"/>
    <w:rsid w:val="00B30378"/>
    <w:rsid w:val="00B30758"/>
    <w:rsid w:val="00B30BF1"/>
    <w:rsid w:val="00B30D47"/>
    <w:rsid w:val="00B31AA6"/>
    <w:rsid w:val="00B3201C"/>
    <w:rsid w:val="00B333DB"/>
    <w:rsid w:val="00B335B9"/>
    <w:rsid w:val="00B33FF6"/>
    <w:rsid w:val="00B349B6"/>
    <w:rsid w:val="00B34FF7"/>
    <w:rsid w:val="00B35081"/>
    <w:rsid w:val="00B35155"/>
    <w:rsid w:val="00B35A21"/>
    <w:rsid w:val="00B35BDC"/>
    <w:rsid w:val="00B35D79"/>
    <w:rsid w:val="00B36779"/>
    <w:rsid w:val="00B36965"/>
    <w:rsid w:val="00B369AB"/>
    <w:rsid w:val="00B369F9"/>
    <w:rsid w:val="00B37009"/>
    <w:rsid w:val="00B3709C"/>
    <w:rsid w:val="00B40C08"/>
    <w:rsid w:val="00B40D7D"/>
    <w:rsid w:val="00B40FC2"/>
    <w:rsid w:val="00B41498"/>
    <w:rsid w:val="00B416BE"/>
    <w:rsid w:val="00B41DE4"/>
    <w:rsid w:val="00B43A90"/>
    <w:rsid w:val="00B441F8"/>
    <w:rsid w:val="00B44ECF"/>
    <w:rsid w:val="00B450F4"/>
    <w:rsid w:val="00B455E1"/>
    <w:rsid w:val="00B46157"/>
    <w:rsid w:val="00B46183"/>
    <w:rsid w:val="00B46617"/>
    <w:rsid w:val="00B467C5"/>
    <w:rsid w:val="00B476DB"/>
    <w:rsid w:val="00B51147"/>
    <w:rsid w:val="00B51761"/>
    <w:rsid w:val="00B5244B"/>
    <w:rsid w:val="00B532F9"/>
    <w:rsid w:val="00B5389C"/>
    <w:rsid w:val="00B53D7E"/>
    <w:rsid w:val="00B540A4"/>
    <w:rsid w:val="00B54A7A"/>
    <w:rsid w:val="00B555BA"/>
    <w:rsid w:val="00B55C00"/>
    <w:rsid w:val="00B55EF7"/>
    <w:rsid w:val="00B56BCC"/>
    <w:rsid w:val="00B56CE3"/>
    <w:rsid w:val="00B56F88"/>
    <w:rsid w:val="00B5767D"/>
    <w:rsid w:val="00B579E3"/>
    <w:rsid w:val="00B57D03"/>
    <w:rsid w:val="00B607CD"/>
    <w:rsid w:val="00B608F3"/>
    <w:rsid w:val="00B60D32"/>
    <w:rsid w:val="00B60F6E"/>
    <w:rsid w:val="00B61B0F"/>
    <w:rsid w:val="00B642EC"/>
    <w:rsid w:val="00B645D6"/>
    <w:rsid w:val="00B64861"/>
    <w:rsid w:val="00B64E31"/>
    <w:rsid w:val="00B661E1"/>
    <w:rsid w:val="00B667FD"/>
    <w:rsid w:val="00B67851"/>
    <w:rsid w:val="00B678A8"/>
    <w:rsid w:val="00B67CF8"/>
    <w:rsid w:val="00B7034B"/>
    <w:rsid w:val="00B70AA9"/>
    <w:rsid w:val="00B70BCC"/>
    <w:rsid w:val="00B70EBE"/>
    <w:rsid w:val="00B71117"/>
    <w:rsid w:val="00B7126C"/>
    <w:rsid w:val="00B71710"/>
    <w:rsid w:val="00B71D64"/>
    <w:rsid w:val="00B721F7"/>
    <w:rsid w:val="00B72C46"/>
    <w:rsid w:val="00B733F6"/>
    <w:rsid w:val="00B7386F"/>
    <w:rsid w:val="00B74A38"/>
    <w:rsid w:val="00B75582"/>
    <w:rsid w:val="00B75A5B"/>
    <w:rsid w:val="00B75B13"/>
    <w:rsid w:val="00B7677F"/>
    <w:rsid w:val="00B76BEE"/>
    <w:rsid w:val="00B76E9A"/>
    <w:rsid w:val="00B77AE4"/>
    <w:rsid w:val="00B77DE4"/>
    <w:rsid w:val="00B77F45"/>
    <w:rsid w:val="00B77F51"/>
    <w:rsid w:val="00B8008C"/>
    <w:rsid w:val="00B8075E"/>
    <w:rsid w:val="00B80F81"/>
    <w:rsid w:val="00B81235"/>
    <w:rsid w:val="00B81790"/>
    <w:rsid w:val="00B83133"/>
    <w:rsid w:val="00B83C7A"/>
    <w:rsid w:val="00B85CAB"/>
    <w:rsid w:val="00B861F1"/>
    <w:rsid w:val="00B875BC"/>
    <w:rsid w:val="00B90361"/>
    <w:rsid w:val="00B911E0"/>
    <w:rsid w:val="00B91295"/>
    <w:rsid w:val="00B91434"/>
    <w:rsid w:val="00B9188C"/>
    <w:rsid w:val="00B9197E"/>
    <w:rsid w:val="00B91EEB"/>
    <w:rsid w:val="00B92424"/>
    <w:rsid w:val="00B9298E"/>
    <w:rsid w:val="00B94B26"/>
    <w:rsid w:val="00B9524E"/>
    <w:rsid w:val="00B95304"/>
    <w:rsid w:val="00B95C10"/>
    <w:rsid w:val="00B97739"/>
    <w:rsid w:val="00B9773E"/>
    <w:rsid w:val="00B9773F"/>
    <w:rsid w:val="00B97C6A"/>
    <w:rsid w:val="00BA1195"/>
    <w:rsid w:val="00BA1276"/>
    <w:rsid w:val="00BA20E4"/>
    <w:rsid w:val="00BA280A"/>
    <w:rsid w:val="00BA28E8"/>
    <w:rsid w:val="00BA29DF"/>
    <w:rsid w:val="00BA2B8B"/>
    <w:rsid w:val="00BA3DDB"/>
    <w:rsid w:val="00BA3F7A"/>
    <w:rsid w:val="00BA4AA3"/>
    <w:rsid w:val="00BA4EC2"/>
    <w:rsid w:val="00BA64B8"/>
    <w:rsid w:val="00BA6650"/>
    <w:rsid w:val="00BA68D9"/>
    <w:rsid w:val="00BA6F0E"/>
    <w:rsid w:val="00BA7EF1"/>
    <w:rsid w:val="00BA7FAF"/>
    <w:rsid w:val="00BB0507"/>
    <w:rsid w:val="00BB0D3B"/>
    <w:rsid w:val="00BB0D75"/>
    <w:rsid w:val="00BB12ED"/>
    <w:rsid w:val="00BB1466"/>
    <w:rsid w:val="00BB1ABB"/>
    <w:rsid w:val="00BB1EBB"/>
    <w:rsid w:val="00BB2178"/>
    <w:rsid w:val="00BB2676"/>
    <w:rsid w:val="00BB3128"/>
    <w:rsid w:val="00BB32A3"/>
    <w:rsid w:val="00BB33B8"/>
    <w:rsid w:val="00BB3F84"/>
    <w:rsid w:val="00BB409D"/>
    <w:rsid w:val="00BB4142"/>
    <w:rsid w:val="00BB52F0"/>
    <w:rsid w:val="00BB554C"/>
    <w:rsid w:val="00BB5D2D"/>
    <w:rsid w:val="00BB5D74"/>
    <w:rsid w:val="00BB608A"/>
    <w:rsid w:val="00BB67C7"/>
    <w:rsid w:val="00BB7558"/>
    <w:rsid w:val="00BB768C"/>
    <w:rsid w:val="00BC0A1B"/>
    <w:rsid w:val="00BC16DF"/>
    <w:rsid w:val="00BC18AE"/>
    <w:rsid w:val="00BC1A45"/>
    <w:rsid w:val="00BC2C3C"/>
    <w:rsid w:val="00BC4AED"/>
    <w:rsid w:val="00BC562A"/>
    <w:rsid w:val="00BC5967"/>
    <w:rsid w:val="00BC5BA3"/>
    <w:rsid w:val="00BC5EA2"/>
    <w:rsid w:val="00BC6D35"/>
    <w:rsid w:val="00BC7126"/>
    <w:rsid w:val="00BC79BF"/>
    <w:rsid w:val="00BC7DCD"/>
    <w:rsid w:val="00BD0DF2"/>
    <w:rsid w:val="00BD133F"/>
    <w:rsid w:val="00BD1E7E"/>
    <w:rsid w:val="00BD223F"/>
    <w:rsid w:val="00BD29C9"/>
    <w:rsid w:val="00BD29D3"/>
    <w:rsid w:val="00BD2C8B"/>
    <w:rsid w:val="00BD379E"/>
    <w:rsid w:val="00BD3E7C"/>
    <w:rsid w:val="00BD45C5"/>
    <w:rsid w:val="00BD47C8"/>
    <w:rsid w:val="00BD558C"/>
    <w:rsid w:val="00BD592B"/>
    <w:rsid w:val="00BD6152"/>
    <w:rsid w:val="00BD6263"/>
    <w:rsid w:val="00BD630E"/>
    <w:rsid w:val="00BD678B"/>
    <w:rsid w:val="00BD7934"/>
    <w:rsid w:val="00BE14FF"/>
    <w:rsid w:val="00BE29C1"/>
    <w:rsid w:val="00BE39C5"/>
    <w:rsid w:val="00BE4162"/>
    <w:rsid w:val="00BE4B9B"/>
    <w:rsid w:val="00BE5B36"/>
    <w:rsid w:val="00BE63F0"/>
    <w:rsid w:val="00BE7F05"/>
    <w:rsid w:val="00BF01DA"/>
    <w:rsid w:val="00BF08D5"/>
    <w:rsid w:val="00BF0ECB"/>
    <w:rsid w:val="00BF0F98"/>
    <w:rsid w:val="00BF10EA"/>
    <w:rsid w:val="00BF1B32"/>
    <w:rsid w:val="00BF205A"/>
    <w:rsid w:val="00BF2521"/>
    <w:rsid w:val="00BF27F3"/>
    <w:rsid w:val="00BF29C9"/>
    <w:rsid w:val="00BF2C1C"/>
    <w:rsid w:val="00BF36A9"/>
    <w:rsid w:val="00BF3A3B"/>
    <w:rsid w:val="00BF4271"/>
    <w:rsid w:val="00BF42F9"/>
    <w:rsid w:val="00BF435B"/>
    <w:rsid w:val="00BF4A95"/>
    <w:rsid w:val="00BF4AC9"/>
    <w:rsid w:val="00BF4B89"/>
    <w:rsid w:val="00BF4F0B"/>
    <w:rsid w:val="00BF5360"/>
    <w:rsid w:val="00BF5521"/>
    <w:rsid w:val="00BF6335"/>
    <w:rsid w:val="00BF67F1"/>
    <w:rsid w:val="00BF7417"/>
    <w:rsid w:val="00BF774C"/>
    <w:rsid w:val="00BF7AF6"/>
    <w:rsid w:val="00C002CF"/>
    <w:rsid w:val="00C009F2"/>
    <w:rsid w:val="00C012CC"/>
    <w:rsid w:val="00C0183C"/>
    <w:rsid w:val="00C02132"/>
    <w:rsid w:val="00C02446"/>
    <w:rsid w:val="00C032FE"/>
    <w:rsid w:val="00C046DB"/>
    <w:rsid w:val="00C05C5A"/>
    <w:rsid w:val="00C07DCA"/>
    <w:rsid w:val="00C10EFE"/>
    <w:rsid w:val="00C10FD6"/>
    <w:rsid w:val="00C11181"/>
    <w:rsid w:val="00C113A6"/>
    <w:rsid w:val="00C1252F"/>
    <w:rsid w:val="00C12E81"/>
    <w:rsid w:val="00C13800"/>
    <w:rsid w:val="00C13BC5"/>
    <w:rsid w:val="00C13F30"/>
    <w:rsid w:val="00C145E4"/>
    <w:rsid w:val="00C14972"/>
    <w:rsid w:val="00C14C91"/>
    <w:rsid w:val="00C14E04"/>
    <w:rsid w:val="00C153BB"/>
    <w:rsid w:val="00C1591B"/>
    <w:rsid w:val="00C167AA"/>
    <w:rsid w:val="00C1680B"/>
    <w:rsid w:val="00C16C30"/>
    <w:rsid w:val="00C175BC"/>
    <w:rsid w:val="00C17910"/>
    <w:rsid w:val="00C17A28"/>
    <w:rsid w:val="00C17E7C"/>
    <w:rsid w:val="00C20556"/>
    <w:rsid w:val="00C20B2F"/>
    <w:rsid w:val="00C20B36"/>
    <w:rsid w:val="00C21AC1"/>
    <w:rsid w:val="00C21CB4"/>
    <w:rsid w:val="00C2251F"/>
    <w:rsid w:val="00C22DEE"/>
    <w:rsid w:val="00C22F57"/>
    <w:rsid w:val="00C22FB5"/>
    <w:rsid w:val="00C23012"/>
    <w:rsid w:val="00C23D0D"/>
    <w:rsid w:val="00C24099"/>
    <w:rsid w:val="00C24291"/>
    <w:rsid w:val="00C2459E"/>
    <w:rsid w:val="00C2487B"/>
    <w:rsid w:val="00C248A7"/>
    <w:rsid w:val="00C24A4A"/>
    <w:rsid w:val="00C26016"/>
    <w:rsid w:val="00C261E7"/>
    <w:rsid w:val="00C26C7C"/>
    <w:rsid w:val="00C26D2F"/>
    <w:rsid w:val="00C271A9"/>
    <w:rsid w:val="00C2790F"/>
    <w:rsid w:val="00C3039B"/>
    <w:rsid w:val="00C31128"/>
    <w:rsid w:val="00C3127D"/>
    <w:rsid w:val="00C31957"/>
    <w:rsid w:val="00C3213D"/>
    <w:rsid w:val="00C32DB0"/>
    <w:rsid w:val="00C335AE"/>
    <w:rsid w:val="00C3449B"/>
    <w:rsid w:val="00C34EC3"/>
    <w:rsid w:val="00C34F54"/>
    <w:rsid w:val="00C35123"/>
    <w:rsid w:val="00C35B19"/>
    <w:rsid w:val="00C364F9"/>
    <w:rsid w:val="00C36522"/>
    <w:rsid w:val="00C36D38"/>
    <w:rsid w:val="00C371F4"/>
    <w:rsid w:val="00C378A7"/>
    <w:rsid w:val="00C37D71"/>
    <w:rsid w:val="00C37D77"/>
    <w:rsid w:val="00C4068F"/>
    <w:rsid w:val="00C412F6"/>
    <w:rsid w:val="00C41431"/>
    <w:rsid w:val="00C4165F"/>
    <w:rsid w:val="00C41F19"/>
    <w:rsid w:val="00C437CE"/>
    <w:rsid w:val="00C43BC7"/>
    <w:rsid w:val="00C43F9B"/>
    <w:rsid w:val="00C45075"/>
    <w:rsid w:val="00C45991"/>
    <w:rsid w:val="00C459D1"/>
    <w:rsid w:val="00C465C4"/>
    <w:rsid w:val="00C468D9"/>
    <w:rsid w:val="00C47CCC"/>
    <w:rsid w:val="00C5001A"/>
    <w:rsid w:val="00C50119"/>
    <w:rsid w:val="00C50358"/>
    <w:rsid w:val="00C503F2"/>
    <w:rsid w:val="00C51067"/>
    <w:rsid w:val="00C51218"/>
    <w:rsid w:val="00C52A98"/>
    <w:rsid w:val="00C5308B"/>
    <w:rsid w:val="00C53867"/>
    <w:rsid w:val="00C5496C"/>
    <w:rsid w:val="00C54C59"/>
    <w:rsid w:val="00C5565B"/>
    <w:rsid w:val="00C56A05"/>
    <w:rsid w:val="00C56FE3"/>
    <w:rsid w:val="00C57505"/>
    <w:rsid w:val="00C578D8"/>
    <w:rsid w:val="00C57ADB"/>
    <w:rsid w:val="00C57CB3"/>
    <w:rsid w:val="00C57D1A"/>
    <w:rsid w:val="00C57F66"/>
    <w:rsid w:val="00C601C0"/>
    <w:rsid w:val="00C60469"/>
    <w:rsid w:val="00C60591"/>
    <w:rsid w:val="00C609A4"/>
    <w:rsid w:val="00C60B2E"/>
    <w:rsid w:val="00C6142A"/>
    <w:rsid w:val="00C61D2A"/>
    <w:rsid w:val="00C6305A"/>
    <w:rsid w:val="00C633F7"/>
    <w:rsid w:val="00C63680"/>
    <w:rsid w:val="00C64026"/>
    <w:rsid w:val="00C64F7C"/>
    <w:rsid w:val="00C65C37"/>
    <w:rsid w:val="00C65CBD"/>
    <w:rsid w:val="00C664CA"/>
    <w:rsid w:val="00C66754"/>
    <w:rsid w:val="00C67B1E"/>
    <w:rsid w:val="00C67F8C"/>
    <w:rsid w:val="00C7039A"/>
    <w:rsid w:val="00C70660"/>
    <w:rsid w:val="00C7074F"/>
    <w:rsid w:val="00C70D03"/>
    <w:rsid w:val="00C70D1A"/>
    <w:rsid w:val="00C720BB"/>
    <w:rsid w:val="00C72227"/>
    <w:rsid w:val="00C722BF"/>
    <w:rsid w:val="00C73513"/>
    <w:rsid w:val="00C73CFB"/>
    <w:rsid w:val="00C7423F"/>
    <w:rsid w:val="00C74FA6"/>
    <w:rsid w:val="00C75A25"/>
    <w:rsid w:val="00C76945"/>
    <w:rsid w:val="00C76997"/>
    <w:rsid w:val="00C76E23"/>
    <w:rsid w:val="00C76F7F"/>
    <w:rsid w:val="00C77194"/>
    <w:rsid w:val="00C808D7"/>
    <w:rsid w:val="00C80CFE"/>
    <w:rsid w:val="00C815AB"/>
    <w:rsid w:val="00C82409"/>
    <w:rsid w:val="00C82612"/>
    <w:rsid w:val="00C8441D"/>
    <w:rsid w:val="00C852FA"/>
    <w:rsid w:val="00C85D37"/>
    <w:rsid w:val="00C871A2"/>
    <w:rsid w:val="00C877A5"/>
    <w:rsid w:val="00C87CB9"/>
    <w:rsid w:val="00C901D7"/>
    <w:rsid w:val="00C90F65"/>
    <w:rsid w:val="00C9191B"/>
    <w:rsid w:val="00C92B3C"/>
    <w:rsid w:val="00C92BAE"/>
    <w:rsid w:val="00C93A19"/>
    <w:rsid w:val="00C940BE"/>
    <w:rsid w:val="00C95101"/>
    <w:rsid w:val="00C957BC"/>
    <w:rsid w:val="00C96D1C"/>
    <w:rsid w:val="00C97BEE"/>
    <w:rsid w:val="00C97C46"/>
    <w:rsid w:val="00C97CBD"/>
    <w:rsid w:val="00CA03B1"/>
    <w:rsid w:val="00CA09C7"/>
    <w:rsid w:val="00CA0F64"/>
    <w:rsid w:val="00CA112A"/>
    <w:rsid w:val="00CA1427"/>
    <w:rsid w:val="00CA147A"/>
    <w:rsid w:val="00CA16F0"/>
    <w:rsid w:val="00CA1AB2"/>
    <w:rsid w:val="00CA261D"/>
    <w:rsid w:val="00CA2BCE"/>
    <w:rsid w:val="00CA4224"/>
    <w:rsid w:val="00CA4312"/>
    <w:rsid w:val="00CA4408"/>
    <w:rsid w:val="00CA4A8C"/>
    <w:rsid w:val="00CA65F1"/>
    <w:rsid w:val="00CA66B5"/>
    <w:rsid w:val="00CA67AC"/>
    <w:rsid w:val="00CA6F37"/>
    <w:rsid w:val="00CB0669"/>
    <w:rsid w:val="00CB2135"/>
    <w:rsid w:val="00CB3053"/>
    <w:rsid w:val="00CB345F"/>
    <w:rsid w:val="00CB3D44"/>
    <w:rsid w:val="00CB45CE"/>
    <w:rsid w:val="00CB5FE3"/>
    <w:rsid w:val="00CB76C0"/>
    <w:rsid w:val="00CB7858"/>
    <w:rsid w:val="00CC079F"/>
    <w:rsid w:val="00CC0BDB"/>
    <w:rsid w:val="00CC146B"/>
    <w:rsid w:val="00CC2C7A"/>
    <w:rsid w:val="00CC2C7E"/>
    <w:rsid w:val="00CC2CB2"/>
    <w:rsid w:val="00CC2CD9"/>
    <w:rsid w:val="00CC2DD0"/>
    <w:rsid w:val="00CC302A"/>
    <w:rsid w:val="00CC318D"/>
    <w:rsid w:val="00CC3707"/>
    <w:rsid w:val="00CC436A"/>
    <w:rsid w:val="00CC6207"/>
    <w:rsid w:val="00CC64E4"/>
    <w:rsid w:val="00CC7006"/>
    <w:rsid w:val="00CD0E43"/>
    <w:rsid w:val="00CD1191"/>
    <w:rsid w:val="00CD1345"/>
    <w:rsid w:val="00CD2BFB"/>
    <w:rsid w:val="00CD2E5C"/>
    <w:rsid w:val="00CD3558"/>
    <w:rsid w:val="00CD3969"/>
    <w:rsid w:val="00CD416E"/>
    <w:rsid w:val="00CD49B8"/>
    <w:rsid w:val="00CD4BD4"/>
    <w:rsid w:val="00CD50A5"/>
    <w:rsid w:val="00CD57F8"/>
    <w:rsid w:val="00CD61EA"/>
    <w:rsid w:val="00CD62C5"/>
    <w:rsid w:val="00CD6A05"/>
    <w:rsid w:val="00CD6A25"/>
    <w:rsid w:val="00CD7588"/>
    <w:rsid w:val="00CD774C"/>
    <w:rsid w:val="00CD786A"/>
    <w:rsid w:val="00CD790B"/>
    <w:rsid w:val="00CD798F"/>
    <w:rsid w:val="00CE0508"/>
    <w:rsid w:val="00CE1A1E"/>
    <w:rsid w:val="00CE333B"/>
    <w:rsid w:val="00CE3390"/>
    <w:rsid w:val="00CE39E5"/>
    <w:rsid w:val="00CE4134"/>
    <w:rsid w:val="00CE4F23"/>
    <w:rsid w:val="00CE5CC5"/>
    <w:rsid w:val="00CE612B"/>
    <w:rsid w:val="00CE652E"/>
    <w:rsid w:val="00CE7B85"/>
    <w:rsid w:val="00CE7F1C"/>
    <w:rsid w:val="00CF0D78"/>
    <w:rsid w:val="00CF17C5"/>
    <w:rsid w:val="00CF17C9"/>
    <w:rsid w:val="00CF211D"/>
    <w:rsid w:val="00CF244B"/>
    <w:rsid w:val="00CF29D7"/>
    <w:rsid w:val="00CF3092"/>
    <w:rsid w:val="00CF3AC1"/>
    <w:rsid w:val="00CF4005"/>
    <w:rsid w:val="00CF4663"/>
    <w:rsid w:val="00CF4AD2"/>
    <w:rsid w:val="00CF5A61"/>
    <w:rsid w:val="00CF5EC2"/>
    <w:rsid w:val="00CF60C9"/>
    <w:rsid w:val="00CF6142"/>
    <w:rsid w:val="00CF7375"/>
    <w:rsid w:val="00CF78E1"/>
    <w:rsid w:val="00CF7925"/>
    <w:rsid w:val="00CF7A3A"/>
    <w:rsid w:val="00CF7DD9"/>
    <w:rsid w:val="00D00F8E"/>
    <w:rsid w:val="00D016D1"/>
    <w:rsid w:val="00D01B33"/>
    <w:rsid w:val="00D02A34"/>
    <w:rsid w:val="00D02D9D"/>
    <w:rsid w:val="00D02F8F"/>
    <w:rsid w:val="00D033FB"/>
    <w:rsid w:val="00D0405F"/>
    <w:rsid w:val="00D05350"/>
    <w:rsid w:val="00D05522"/>
    <w:rsid w:val="00D055A1"/>
    <w:rsid w:val="00D05C1C"/>
    <w:rsid w:val="00D05CEB"/>
    <w:rsid w:val="00D060ED"/>
    <w:rsid w:val="00D06317"/>
    <w:rsid w:val="00D0638D"/>
    <w:rsid w:val="00D066BD"/>
    <w:rsid w:val="00D073BA"/>
    <w:rsid w:val="00D07F8A"/>
    <w:rsid w:val="00D100F5"/>
    <w:rsid w:val="00D10816"/>
    <w:rsid w:val="00D11403"/>
    <w:rsid w:val="00D11417"/>
    <w:rsid w:val="00D11B86"/>
    <w:rsid w:val="00D11D30"/>
    <w:rsid w:val="00D12F06"/>
    <w:rsid w:val="00D1480E"/>
    <w:rsid w:val="00D14B61"/>
    <w:rsid w:val="00D14B6D"/>
    <w:rsid w:val="00D14EB8"/>
    <w:rsid w:val="00D15772"/>
    <w:rsid w:val="00D15FE5"/>
    <w:rsid w:val="00D163D4"/>
    <w:rsid w:val="00D167F4"/>
    <w:rsid w:val="00D16C50"/>
    <w:rsid w:val="00D16E31"/>
    <w:rsid w:val="00D16E86"/>
    <w:rsid w:val="00D1789D"/>
    <w:rsid w:val="00D20071"/>
    <w:rsid w:val="00D20649"/>
    <w:rsid w:val="00D20802"/>
    <w:rsid w:val="00D20B1C"/>
    <w:rsid w:val="00D20C81"/>
    <w:rsid w:val="00D2171C"/>
    <w:rsid w:val="00D22127"/>
    <w:rsid w:val="00D22471"/>
    <w:rsid w:val="00D227BE"/>
    <w:rsid w:val="00D22C32"/>
    <w:rsid w:val="00D23321"/>
    <w:rsid w:val="00D238D1"/>
    <w:rsid w:val="00D23AAF"/>
    <w:rsid w:val="00D23F77"/>
    <w:rsid w:val="00D2511E"/>
    <w:rsid w:val="00D25D9F"/>
    <w:rsid w:val="00D2713E"/>
    <w:rsid w:val="00D271D3"/>
    <w:rsid w:val="00D27F67"/>
    <w:rsid w:val="00D31B00"/>
    <w:rsid w:val="00D32555"/>
    <w:rsid w:val="00D32B60"/>
    <w:rsid w:val="00D35231"/>
    <w:rsid w:val="00D35386"/>
    <w:rsid w:val="00D354FF"/>
    <w:rsid w:val="00D36352"/>
    <w:rsid w:val="00D36941"/>
    <w:rsid w:val="00D36A93"/>
    <w:rsid w:val="00D36D4A"/>
    <w:rsid w:val="00D37DE9"/>
    <w:rsid w:val="00D407BE"/>
    <w:rsid w:val="00D41376"/>
    <w:rsid w:val="00D4157A"/>
    <w:rsid w:val="00D424CE"/>
    <w:rsid w:val="00D4313E"/>
    <w:rsid w:val="00D43A6F"/>
    <w:rsid w:val="00D43AAC"/>
    <w:rsid w:val="00D45CC5"/>
    <w:rsid w:val="00D462C0"/>
    <w:rsid w:val="00D468B1"/>
    <w:rsid w:val="00D46E25"/>
    <w:rsid w:val="00D46F7E"/>
    <w:rsid w:val="00D476DA"/>
    <w:rsid w:val="00D5037E"/>
    <w:rsid w:val="00D50641"/>
    <w:rsid w:val="00D509CE"/>
    <w:rsid w:val="00D51886"/>
    <w:rsid w:val="00D52675"/>
    <w:rsid w:val="00D53702"/>
    <w:rsid w:val="00D541F0"/>
    <w:rsid w:val="00D54BC3"/>
    <w:rsid w:val="00D5573B"/>
    <w:rsid w:val="00D55E51"/>
    <w:rsid w:val="00D56E2E"/>
    <w:rsid w:val="00D56EA7"/>
    <w:rsid w:val="00D57903"/>
    <w:rsid w:val="00D6095D"/>
    <w:rsid w:val="00D60FCD"/>
    <w:rsid w:val="00D618AB"/>
    <w:rsid w:val="00D6316A"/>
    <w:rsid w:val="00D639F1"/>
    <w:rsid w:val="00D63A02"/>
    <w:rsid w:val="00D63E16"/>
    <w:rsid w:val="00D63E9D"/>
    <w:rsid w:val="00D63F66"/>
    <w:rsid w:val="00D642B6"/>
    <w:rsid w:val="00D64D50"/>
    <w:rsid w:val="00D6524B"/>
    <w:rsid w:val="00D65454"/>
    <w:rsid w:val="00D66163"/>
    <w:rsid w:val="00D664E6"/>
    <w:rsid w:val="00D66E79"/>
    <w:rsid w:val="00D6753E"/>
    <w:rsid w:val="00D676EC"/>
    <w:rsid w:val="00D6788F"/>
    <w:rsid w:val="00D679B5"/>
    <w:rsid w:val="00D67BB4"/>
    <w:rsid w:val="00D67BBF"/>
    <w:rsid w:val="00D706BA"/>
    <w:rsid w:val="00D70A27"/>
    <w:rsid w:val="00D70E3B"/>
    <w:rsid w:val="00D70FD3"/>
    <w:rsid w:val="00D7208E"/>
    <w:rsid w:val="00D72DDD"/>
    <w:rsid w:val="00D73301"/>
    <w:rsid w:val="00D74987"/>
    <w:rsid w:val="00D749E5"/>
    <w:rsid w:val="00D74FAF"/>
    <w:rsid w:val="00D75DFF"/>
    <w:rsid w:val="00D76C73"/>
    <w:rsid w:val="00D77233"/>
    <w:rsid w:val="00D774C0"/>
    <w:rsid w:val="00D77578"/>
    <w:rsid w:val="00D7799F"/>
    <w:rsid w:val="00D81CC8"/>
    <w:rsid w:val="00D81DED"/>
    <w:rsid w:val="00D82102"/>
    <w:rsid w:val="00D82DD9"/>
    <w:rsid w:val="00D83A9D"/>
    <w:rsid w:val="00D84542"/>
    <w:rsid w:val="00D846D2"/>
    <w:rsid w:val="00D853A2"/>
    <w:rsid w:val="00D8572C"/>
    <w:rsid w:val="00D857F6"/>
    <w:rsid w:val="00D85AEE"/>
    <w:rsid w:val="00D85E6C"/>
    <w:rsid w:val="00D86259"/>
    <w:rsid w:val="00D86851"/>
    <w:rsid w:val="00D86B71"/>
    <w:rsid w:val="00D87F9C"/>
    <w:rsid w:val="00D90A2C"/>
    <w:rsid w:val="00D90EFC"/>
    <w:rsid w:val="00D914AD"/>
    <w:rsid w:val="00D9163E"/>
    <w:rsid w:val="00D923AD"/>
    <w:rsid w:val="00D92892"/>
    <w:rsid w:val="00D928DB"/>
    <w:rsid w:val="00D935F0"/>
    <w:rsid w:val="00D93951"/>
    <w:rsid w:val="00D9413D"/>
    <w:rsid w:val="00D94CFA"/>
    <w:rsid w:val="00D9562A"/>
    <w:rsid w:val="00D964AB"/>
    <w:rsid w:val="00D96CA0"/>
    <w:rsid w:val="00D96F8A"/>
    <w:rsid w:val="00D97550"/>
    <w:rsid w:val="00D9776A"/>
    <w:rsid w:val="00DA1C1D"/>
    <w:rsid w:val="00DA1C93"/>
    <w:rsid w:val="00DA243C"/>
    <w:rsid w:val="00DA25F7"/>
    <w:rsid w:val="00DA26AB"/>
    <w:rsid w:val="00DA2F78"/>
    <w:rsid w:val="00DA34B6"/>
    <w:rsid w:val="00DA3A65"/>
    <w:rsid w:val="00DA3FA3"/>
    <w:rsid w:val="00DA4917"/>
    <w:rsid w:val="00DA5177"/>
    <w:rsid w:val="00DA5721"/>
    <w:rsid w:val="00DA5757"/>
    <w:rsid w:val="00DA5B4A"/>
    <w:rsid w:val="00DA5C5B"/>
    <w:rsid w:val="00DA5CCC"/>
    <w:rsid w:val="00DA5EFA"/>
    <w:rsid w:val="00DA5F04"/>
    <w:rsid w:val="00DA6374"/>
    <w:rsid w:val="00DA66D2"/>
    <w:rsid w:val="00DA6AFD"/>
    <w:rsid w:val="00DA7A60"/>
    <w:rsid w:val="00DA7BE3"/>
    <w:rsid w:val="00DA7D36"/>
    <w:rsid w:val="00DA7D7E"/>
    <w:rsid w:val="00DB0746"/>
    <w:rsid w:val="00DB1CD1"/>
    <w:rsid w:val="00DB21AE"/>
    <w:rsid w:val="00DB3C6E"/>
    <w:rsid w:val="00DB4D97"/>
    <w:rsid w:val="00DB6FE8"/>
    <w:rsid w:val="00DB7347"/>
    <w:rsid w:val="00DB7357"/>
    <w:rsid w:val="00DB76C6"/>
    <w:rsid w:val="00DB7D34"/>
    <w:rsid w:val="00DC0B4B"/>
    <w:rsid w:val="00DC1396"/>
    <w:rsid w:val="00DC14E9"/>
    <w:rsid w:val="00DC17D9"/>
    <w:rsid w:val="00DC27E0"/>
    <w:rsid w:val="00DC27FB"/>
    <w:rsid w:val="00DC3142"/>
    <w:rsid w:val="00DC39B1"/>
    <w:rsid w:val="00DC3D68"/>
    <w:rsid w:val="00DC4C33"/>
    <w:rsid w:val="00DC4E6E"/>
    <w:rsid w:val="00DC57A3"/>
    <w:rsid w:val="00DC5ABB"/>
    <w:rsid w:val="00DC6080"/>
    <w:rsid w:val="00DC60B2"/>
    <w:rsid w:val="00DC61D3"/>
    <w:rsid w:val="00DC6681"/>
    <w:rsid w:val="00DC6AC5"/>
    <w:rsid w:val="00DC78F2"/>
    <w:rsid w:val="00DD0855"/>
    <w:rsid w:val="00DD0D74"/>
    <w:rsid w:val="00DD15FA"/>
    <w:rsid w:val="00DD20C6"/>
    <w:rsid w:val="00DD2151"/>
    <w:rsid w:val="00DD25DE"/>
    <w:rsid w:val="00DD361D"/>
    <w:rsid w:val="00DD3BA2"/>
    <w:rsid w:val="00DD43CE"/>
    <w:rsid w:val="00DD4B89"/>
    <w:rsid w:val="00DD538C"/>
    <w:rsid w:val="00DD5562"/>
    <w:rsid w:val="00DD5608"/>
    <w:rsid w:val="00DD5B23"/>
    <w:rsid w:val="00DD63A1"/>
    <w:rsid w:val="00DD6C5A"/>
    <w:rsid w:val="00DD79CA"/>
    <w:rsid w:val="00DD7CA7"/>
    <w:rsid w:val="00DD7E37"/>
    <w:rsid w:val="00DE0B96"/>
    <w:rsid w:val="00DE1571"/>
    <w:rsid w:val="00DE2008"/>
    <w:rsid w:val="00DE246A"/>
    <w:rsid w:val="00DE2B78"/>
    <w:rsid w:val="00DE2DE4"/>
    <w:rsid w:val="00DE411D"/>
    <w:rsid w:val="00DE43EC"/>
    <w:rsid w:val="00DE4E2B"/>
    <w:rsid w:val="00DE5481"/>
    <w:rsid w:val="00DE5633"/>
    <w:rsid w:val="00DE56B7"/>
    <w:rsid w:val="00DE580C"/>
    <w:rsid w:val="00DE6321"/>
    <w:rsid w:val="00DE6797"/>
    <w:rsid w:val="00DE6AA7"/>
    <w:rsid w:val="00DE6E09"/>
    <w:rsid w:val="00DE786E"/>
    <w:rsid w:val="00DF02C2"/>
    <w:rsid w:val="00DF0D06"/>
    <w:rsid w:val="00DF145A"/>
    <w:rsid w:val="00DF156C"/>
    <w:rsid w:val="00DF17A7"/>
    <w:rsid w:val="00DF1CB1"/>
    <w:rsid w:val="00DF27EF"/>
    <w:rsid w:val="00DF293A"/>
    <w:rsid w:val="00DF2C96"/>
    <w:rsid w:val="00DF404D"/>
    <w:rsid w:val="00DF41E8"/>
    <w:rsid w:val="00DF4C68"/>
    <w:rsid w:val="00DF4ED9"/>
    <w:rsid w:val="00DF6BDA"/>
    <w:rsid w:val="00DF6F2F"/>
    <w:rsid w:val="00DF6FE0"/>
    <w:rsid w:val="00DF7807"/>
    <w:rsid w:val="00E00050"/>
    <w:rsid w:val="00E00623"/>
    <w:rsid w:val="00E0089E"/>
    <w:rsid w:val="00E00B8B"/>
    <w:rsid w:val="00E01213"/>
    <w:rsid w:val="00E01309"/>
    <w:rsid w:val="00E0268A"/>
    <w:rsid w:val="00E02DE4"/>
    <w:rsid w:val="00E03FDF"/>
    <w:rsid w:val="00E04017"/>
    <w:rsid w:val="00E040DE"/>
    <w:rsid w:val="00E05185"/>
    <w:rsid w:val="00E05D94"/>
    <w:rsid w:val="00E06E8D"/>
    <w:rsid w:val="00E07F94"/>
    <w:rsid w:val="00E10A3E"/>
    <w:rsid w:val="00E11268"/>
    <w:rsid w:val="00E115A1"/>
    <w:rsid w:val="00E11DD4"/>
    <w:rsid w:val="00E13E6A"/>
    <w:rsid w:val="00E14142"/>
    <w:rsid w:val="00E1496C"/>
    <w:rsid w:val="00E15030"/>
    <w:rsid w:val="00E16C62"/>
    <w:rsid w:val="00E1717F"/>
    <w:rsid w:val="00E17586"/>
    <w:rsid w:val="00E17BC5"/>
    <w:rsid w:val="00E20421"/>
    <w:rsid w:val="00E2063F"/>
    <w:rsid w:val="00E20666"/>
    <w:rsid w:val="00E20F28"/>
    <w:rsid w:val="00E21010"/>
    <w:rsid w:val="00E21101"/>
    <w:rsid w:val="00E21490"/>
    <w:rsid w:val="00E226BF"/>
    <w:rsid w:val="00E257BC"/>
    <w:rsid w:val="00E25B23"/>
    <w:rsid w:val="00E25C2A"/>
    <w:rsid w:val="00E26233"/>
    <w:rsid w:val="00E263C1"/>
    <w:rsid w:val="00E265CE"/>
    <w:rsid w:val="00E269DB"/>
    <w:rsid w:val="00E26FD9"/>
    <w:rsid w:val="00E26FF2"/>
    <w:rsid w:val="00E27DB0"/>
    <w:rsid w:val="00E3041A"/>
    <w:rsid w:val="00E30775"/>
    <w:rsid w:val="00E30ACB"/>
    <w:rsid w:val="00E319A3"/>
    <w:rsid w:val="00E31ED5"/>
    <w:rsid w:val="00E32025"/>
    <w:rsid w:val="00E326D6"/>
    <w:rsid w:val="00E32735"/>
    <w:rsid w:val="00E33116"/>
    <w:rsid w:val="00E33636"/>
    <w:rsid w:val="00E33E20"/>
    <w:rsid w:val="00E33F78"/>
    <w:rsid w:val="00E341CE"/>
    <w:rsid w:val="00E34634"/>
    <w:rsid w:val="00E34A9F"/>
    <w:rsid w:val="00E354CB"/>
    <w:rsid w:val="00E356E1"/>
    <w:rsid w:val="00E35AE2"/>
    <w:rsid w:val="00E35C83"/>
    <w:rsid w:val="00E35CE9"/>
    <w:rsid w:val="00E36684"/>
    <w:rsid w:val="00E37078"/>
    <w:rsid w:val="00E37847"/>
    <w:rsid w:val="00E37882"/>
    <w:rsid w:val="00E418E7"/>
    <w:rsid w:val="00E424F4"/>
    <w:rsid w:val="00E425A1"/>
    <w:rsid w:val="00E428D3"/>
    <w:rsid w:val="00E429A3"/>
    <w:rsid w:val="00E436AC"/>
    <w:rsid w:val="00E43AD7"/>
    <w:rsid w:val="00E44F59"/>
    <w:rsid w:val="00E45948"/>
    <w:rsid w:val="00E45C3C"/>
    <w:rsid w:val="00E46458"/>
    <w:rsid w:val="00E47CE9"/>
    <w:rsid w:val="00E502D3"/>
    <w:rsid w:val="00E51300"/>
    <w:rsid w:val="00E516AD"/>
    <w:rsid w:val="00E516FF"/>
    <w:rsid w:val="00E526E5"/>
    <w:rsid w:val="00E5330D"/>
    <w:rsid w:val="00E53592"/>
    <w:rsid w:val="00E53C3F"/>
    <w:rsid w:val="00E5429A"/>
    <w:rsid w:val="00E54D2E"/>
    <w:rsid w:val="00E55C20"/>
    <w:rsid w:val="00E55DB7"/>
    <w:rsid w:val="00E600F7"/>
    <w:rsid w:val="00E61207"/>
    <w:rsid w:val="00E616F2"/>
    <w:rsid w:val="00E61E5E"/>
    <w:rsid w:val="00E62826"/>
    <w:rsid w:val="00E62AE0"/>
    <w:rsid w:val="00E62F4F"/>
    <w:rsid w:val="00E65C21"/>
    <w:rsid w:val="00E6615F"/>
    <w:rsid w:val="00E676C4"/>
    <w:rsid w:val="00E67B64"/>
    <w:rsid w:val="00E67CCE"/>
    <w:rsid w:val="00E703E4"/>
    <w:rsid w:val="00E71D2F"/>
    <w:rsid w:val="00E7211C"/>
    <w:rsid w:val="00E721B2"/>
    <w:rsid w:val="00E725E7"/>
    <w:rsid w:val="00E72A45"/>
    <w:rsid w:val="00E72FB4"/>
    <w:rsid w:val="00E7326A"/>
    <w:rsid w:val="00E73EE6"/>
    <w:rsid w:val="00E73F83"/>
    <w:rsid w:val="00E7508F"/>
    <w:rsid w:val="00E75D9C"/>
    <w:rsid w:val="00E75DAC"/>
    <w:rsid w:val="00E75E6D"/>
    <w:rsid w:val="00E75EBE"/>
    <w:rsid w:val="00E767B5"/>
    <w:rsid w:val="00E774AD"/>
    <w:rsid w:val="00E80188"/>
    <w:rsid w:val="00E803D7"/>
    <w:rsid w:val="00E80F06"/>
    <w:rsid w:val="00E81400"/>
    <w:rsid w:val="00E8167E"/>
    <w:rsid w:val="00E81FFB"/>
    <w:rsid w:val="00E8495A"/>
    <w:rsid w:val="00E849F4"/>
    <w:rsid w:val="00E85706"/>
    <w:rsid w:val="00E86358"/>
    <w:rsid w:val="00E8668A"/>
    <w:rsid w:val="00E87196"/>
    <w:rsid w:val="00E87BAE"/>
    <w:rsid w:val="00E904AC"/>
    <w:rsid w:val="00E90ED0"/>
    <w:rsid w:val="00E90F7B"/>
    <w:rsid w:val="00E91096"/>
    <w:rsid w:val="00E91509"/>
    <w:rsid w:val="00E94915"/>
    <w:rsid w:val="00E953A0"/>
    <w:rsid w:val="00E9605F"/>
    <w:rsid w:val="00E96300"/>
    <w:rsid w:val="00E96A71"/>
    <w:rsid w:val="00E96DB7"/>
    <w:rsid w:val="00E97213"/>
    <w:rsid w:val="00E97B8D"/>
    <w:rsid w:val="00E97CC6"/>
    <w:rsid w:val="00E97E80"/>
    <w:rsid w:val="00EA0102"/>
    <w:rsid w:val="00EA0FF5"/>
    <w:rsid w:val="00EA258E"/>
    <w:rsid w:val="00EA26DA"/>
    <w:rsid w:val="00EA2DD1"/>
    <w:rsid w:val="00EA3118"/>
    <w:rsid w:val="00EA4029"/>
    <w:rsid w:val="00EA44B4"/>
    <w:rsid w:val="00EA45B5"/>
    <w:rsid w:val="00EA460C"/>
    <w:rsid w:val="00EA4670"/>
    <w:rsid w:val="00EA4C62"/>
    <w:rsid w:val="00EA501D"/>
    <w:rsid w:val="00EA5413"/>
    <w:rsid w:val="00EA5697"/>
    <w:rsid w:val="00EA577C"/>
    <w:rsid w:val="00EA6560"/>
    <w:rsid w:val="00EA6711"/>
    <w:rsid w:val="00EA70AB"/>
    <w:rsid w:val="00EA7307"/>
    <w:rsid w:val="00EB0B23"/>
    <w:rsid w:val="00EB0B39"/>
    <w:rsid w:val="00EB0DE7"/>
    <w:rsid w:val="00EB0ECB"/>
    <w:rsid w:val="00EB10DA"/>
    <w:rsid w:val="00EB2726"/>
    <w:rsid w:val="00EB2CEE"/>
    <w:rsid w:val="00EB31C8"/>
    <w:rsid w:val="00EB3FAD"/>
    <w:rsid w:val="00EB4E50"/>
    <w:rsid w:val="00EB4F8D"/>
    <w:rsid w:val="00EB63B3"/>
    <w:rsid w:val="00EB70D8"/>
    <w:rsid w:val="00EB7386"/>
    <w:rsid w:val="00EB73ED"/>
    <w:rsid w:val="00EC0890"/>
    <w:rsid w:val="00EC0C84"/>
    <w:rsid w:val="00EC1270"/>
    <w:rsid w:val="00EC1342"/>
    <w:rsid w:val="00EC3484"/>
    <w:rsid w:val="00EC34EA"/>
    <w:rsid w:val="00EC3AD5"/>
    <w:rsid w:val="00EC3BED"/>
    <w:rsid w:val="00EC3EB2"/>
    <w:rsid w:val="00EC4190"/>
    <w:rsid w:val="00EC6777"/>
    <w:rsid w:val="00EC67BB"/>
    <w:rsid w:val="00EC7632"/>
    <w:rsid w:val="00EC7857"/>
    <w:rsid w:val="00ED0171"/>
    <w:rsid w:val="00ED0384"/>
    <w:rsid w:val="00ED0D5E"/>
    <w:rsid w:val="00ED1239"/>
    <w:rsid w:val="00ED2607"/>
    <w:rsid w:val="00ED274F"/>
    <w:rsid w:val="00ED2935"/>
    <w:rsid w:val="00ED2AD5"/>
    <w:rsid w:val="00ED2B60"/>
    <w:rsid w:val="00ED3AD1"/>
    <w:rsid w:val="00ED3D07"/>
    <w:rsid w:val="00ED5218"/>
    <w:rsid w:val="00ED5560"/>
    <w:rsid w:val="00ED55C3"/>
    <w:rsid w:val="00ED6393"/>
    <w:rsid w:val="00ED662B"/>
    <w:rsid w:val="00EE1180"/>
    <w:rsid w:val="00EE11FA"/>
    <w:rsid w:val="00EE1845"/>
    <w:rsid w:val="00EE1A24"/>
    <w:rsid w:val="00EE1F1D"/>
    <w:rsid w:val="00EE3046"/>
    <w:rsid w:val="00EE3B38"/>
    <w:rsid w:val="00EE43FC"/>
    <w:rsid w:val="00EE4976"/>
    <w:rsid w:val="00EE4AB9"/>
    <w:rsid w:val="00EE4D10"/>
    <w:rsid w:val="00EE4E50"/>
    <w:rsid w:val="00EE4EBE"/>
    <w:rsid w:val="00EE59F1"/>
    <w:rsid w:val="00EE643E"/>
    <w:rsid w:val="00EE6607"/>
    <w:rsid w:val="00EE7255"/>
    <w:rsid w:val="00EE7451"/>
    <w:rsid w:val="00EE7742"/>
    <w:rsid w:val="00EF0018"/>
    <w:rsid w:val="00EF028B"/>
    <w:rsid w:val="00EF05A3"/>
    <w:rsid w:val="00EF17CC"/>
    <w:rsid w:val="00EF2EDC"/>
    <w:rsid w:val="00EF3536"/>
    <w:rsid w:val="00EF37B1"/>
    <w:rsid w:val="00EF3D41"/>
    <w:rsid w:val="00EF4749"/>
    <w:rsid w:val="00EF50E4"/>
    <w:rsid w:val="00EF5224"/>
    <w:rsid w:val="00EF53D0"/>
    <w:rsid w:val="00EF5E68"/>
    <w:rsid w:val="00EF6BE6"/>
    <w:rsid w:val="00EF79D0"/>
    <w:rsid w:val="00F00C50"/>
    <w:rsid w:val="00F01515"/>
    <w:rsid w:val="00F015F4"/>
    <w:rsid w:val="00F01FF0"/>
    <w:rsid w:val="00F02569"/>
    <w:rsid w:val="00F02F66"/>
    <w:rsid w:val="00F0399E"/>
    <w:rsid w:val="00F03B56"/>
    <w:rsid w:val="00F04C7E"/>
    <w:rsid w:val="00F04F07"/>
    <w:rsid w:val="00F0628F"/>
    <w:rsid w:val="00F062A9"/>
    <w:rsid w:val="00F06736"/>
    <w:rsid w:val="00F07A29"/>
    <w:rsid w:val="00F100A2"/>
    <w:rsid w:val="00F10721"/>
    <w:rsid w:val="00F11332"/>
    <w:rsid w:val="00F11431"/>
    <w:rsid w:val="00F11873"/>
    <w:rsid w:val="00F11E4C"/>
    <w:rsid w:val="00F13952"/>
    <w:rsid w:val="00F13ACE"/>
    <w:rsid w:val="00F145DF"/>
    <w:rsid w:val="00F14CC0"/>
    <w:rsid w:val="00F14D0B"/>
    <w:rsid w:val="00F15E83"/>
    <w:rsid w:val="00F15EAC"/>
    <w:rsid w:val="00F16780"/>
    <w:rsid w:val="00F1685A"/>
    <w:rsid w:val="00F17421"/>
    <w:rsid w:val="00F176B4"/>
    <w:rsid w:val="00F17AEB"/>
    <w:rsid w:val="00F2002B"/>
    <w:rsid w:val="00F202EC"/>
    <w:rsid w:val="00F22232"/>
    <w:rsid w:val="00F22A4E"/>
    <w:rsid w:val="00F22CB0"/>
    <w:rsid w:val="00F237C3"/>
    <w:rsid w:val="00F23AB1"/>
    <w:rsid w:val="00F23F69"/>
    <w:rsid w:val="00F251AC"/>
    <w:rsid w:val="00F259B4"/>
    <w:rsid w:val="00F26F65"/>
    <w:rsid w:val="00F27AD6"/>
    <w:rsid w:val="00F30182"/>
    <w:rsid w:val="00F30E2A"/>
    <w:rsid w:val="00F310B2"/>
    <w:rsid w:val="00F31C6F"/>
    <w:rsid w:val="00F31CA6"/>
    <w:rsid w:val="00F32E6C"/>
    <w:rsid w:val="00F3306D"/>
    <w:rsid w:val="00F33A48"/>
    <w:rsid w:val="00F34007"/>
    <w:rsid w:val="00F35414"/>
    <w:rsid w:val="00F358E6"/>
    <w:rsid w:val="00F35A07"/>
    <w:rsid w:val="00F36A37"/>
    <w:rsid w:val="00F3711F"/>
    <w:rsid w:val="00F37D34"/>
    <w:rsid w:val="00F40F58"/>
    <w:rsid w:val="00F429D7"/>
    <w:rsid w:val="00F42D96"/>
    <w:rsid w:val="00F430A2"/>
    <w:rsid w:val="00F435FF"/>
    <w:rsid w:val="00F43E10"/>
    <w:rsid w:val="00F43E7E"/>
    <w:rsid w:val="00F45A14"/>
    <w:rsid w:val="00F46FDD"/>
    <w:rsid w:val="00F4725D"/>
    <w:rsid w:val="00F47DB0"/>
    <w:rsid w:val="00F47EEB"/>
    <w:rsid w:val="00F50515"/>
    <w:rsid w:val="00F50592"/>
    <w:rsid w:val="00F50F15"/>
    <w:rsid w:val="00F512F4"/>
    <w:rsid w:val="00F5189A"/>
    <w:rsid w:val="00F52353"/>
    <w:rsid w:val="00F53C79"/>
    <w:rsid w:val="00F54A3A"/>
    <w:rsid w:val="00F556BE"/>
    <w:rsid w:val="00F5600A"/>
    <w:rsid w:val="00F561C5"/>
    <w:rsid w:val="00F56AC4"/>
    <w:rsid w:val="00F57368"/>
    <w:rsid w:val="00F5749B"/>
    <w:rsid w:val="00F57A38"/>
    <w:rsid w:val="00F61206"/>
    <w:rsid w:val="00F6145C"/>
    <w:rsid w:val="00F61806"/>
    <w:rsid w:val="00F61A37"/>
    <w:rsid w:val="00F61DC5"/>
    <w:rsid w:val="00F61FCF"/>
    <w:rsid w:val="00F620FC"/>
    <w:rsid w:val="00F62775"/>
    <w:rsid w:val="00F62A82"/>
    <w:rsid w:val="00F62D53"/>
    <w:rsid w:val="00F62D93"/>
    <w:rsid w:val="00F62DF9"/>
    <w:rsid w:val="00F63707"/>
    <w:rsid w:val="00F63EB5"/>
    <w:rsid w:val="00F6407B"/>
    <w:rsid w:val="00F643E0"/>
    <w:rsid w:val="00F64B17"/>
    <w:rsid w:val="00F64B35"/>
    <w:rsid w:val="00F65614"/>
    <w:rsid w:val="00F657B2"/>
    <w:rsid w:val="00F6640F"/>
    <w:rsid w:val="00F664D4"/>
    <w:rsid w:val="00F66601"/>
    <w:rsid w:val="00F66A62"/>
    <w:rsid w:val="00F66E53"/>
    <w:rsid w:val="00F675DE"/>
    <w:rsid w:val="00F67C8F"/>
    <w:rsid w:val="00F71831"/>
    <w:rsid w:val="00F71935"/>
    <w:rsid w:val="00F71981"/>
    <w:rsid w:val="00F71992"/>
    <w:rsid w:val="00F71F1F"/>
    <w:rsid w:val="00F72701"/>
    <w:rsid w:val="00F72990"/>
    <w:rsid w:val="00F73565"/>
    <w:rsid w:val="00F741DF"/>
    <w:rsid w:val="00F745BB"/>
    <w:rsid w:val="00F7477B"/>
    <w:rsid w:val="00F749DF"/>
    <w:rsid w:val="00F7627C"/>
    <w:rsid w:val="00F7636F"/>
    <w:rsid w:val="00F7643F"/>
    <w:rsid w:val="00F76DC9"/>
    <w:rsid w:val="00F77208"/>
    <w:rsid w:val="00F777B3"/>
    <w:rsid w:val="00F80338"/>
    <w:rsid w:val="00F80611"/>
    <w:rsid w:val="00F81D56"/>
    <w:rsid w:val="00F82584"/>
    <w:rsid w:val="00F828CF"/>
    <w:rsid w:val="00F83FB0"/>
    <w:rsid w:val="00F83FBE"/>
    <w:rsid w:val="00F84BA7"/>
    <w:rsid w:val="00F84BED"/>
    <w:rsid w:val="00F85553"/>
    <w:rsid w:val="00F855CE"/>
    <w:rsid w:val="00F8587A"/>
    <w:rsid w:val="00F85A8B"/>
    <w:rsid w:val="00F8614D"/>
    <w:rsid w:val="00F868AB"/>
    <w:rsid w:val="00F87B4A"/>
    <w:rsid w:val="00F90BAD"/>
    <w:rsid w:val="00F915B8"/>
    <w:rsid w:val="00F91DA5"/>
    <w:rsid w:val="00F92330"/>
    <w:rsid w:val="00F93B79"/>
    <w:rsid w:val="00F9417E"/>
    <w:rsid w:val="00F943E0"/>
    <w:rsid w:val="00F95D61"/>
    <w:rsid w:val="00F9618D"/>
    <w:rsid w:val="00F96A29"/>
    <w:rsid w:val="00F96E26"/>
    <w:rsid w:val="00F9798E"/>
    <w:rsid w:val="00F97BA3"/>
    <w:rsid w:val="00FA0146"/>
    <w:rsid w:val="00FA099F"/>
    <w:rsid w:val="00FA0D23"/>
    <w:rsid w:val="00FA103A"/>
    <w:rsid w:val="00FA1FAB"/>
    <w:rsid w:val="00FA2434"/>
    <w:rsid w:val="00FA24E1"/>
    <w:rsid w:val="00FA449A"/>
    <w:rsid w:val="00FA553A"/>
    <w:rsid w:val="00FA5636"/>
    <w:rsid w:val="00FA745E"/>
    <w:rsid w:val="00FB1243"/>
    <w:rsid w:val="00FB26C8"/>
    <w:rsid w:val="00FB2BE9"/>
    <w:rsid w:val="00FB37B9"/>
    <w:rsid w:val="00FB48B8"/>
    <w:rsid w:val="00FB4E40"/>
    <w:rsid w:val="00FB4FA4"/>
    <w:rsid w:val="00FB5886"/>
    <w:rsid w:val="00FB5A34"/>
    <w:rsid w:val="00FB62BF"/>
    <w:rsid w:val="00FB6E25"/>
    <w:rsid w:val="00FB6F19"/>
    <w:rsid w:val="00FB7DEE"/>
    <w:rsid w:val="00FC08A2"/>
    <w:rsid w:val="00FC0D01"/>
    <w:rsid w:val="00FC110C"/>
    <w:rsid w:val="00FC11BB"/>
    <w:rsid w:val="00FC1DEE"/>
    <w:rsid w:val="00FC2500"/>
    <w:rsid w:val="00FC3585"/>
    <w:rsid w:val="00FC3DD1"/>
    <w:rsid w:val="00FC505D"/>
    <w:rsid w:val="00FC5CAA"/>
    <w:rsid w:val="00FC74EE"/>
    <w:rsid w:val="00FD00F0"/>
    <w:rsid w:val="00FD0954"/>
    <w:rsid w:val="00FD36CE"/>
    <w:rsid w:val="00FD414D"/>
    <w:rsid w:val="00FD4CF4"/>
    <w:rsid w:val="00FD5259"/>
    <w:rsid w:val="00FD5EF3"/>
    <w:rsid w:val="00FD7F88"/>
    <w:rsid w:val="00FE090D"/>
    <w:rsid w:val="00FE0B90"/>
    <w:rsid w:val="00FE0C6F"/>
    <w:rsid w:val="00FE12D9"/>
    <w:rsid w:val="00FE220A"/>
    <w:rsid w:val="00FE2B0D"/>
    <w:rsid w:val="00FE35F9"/>
    <w:rsid w:val="00FE49C1"/>
    <w:rsid w:val="00FE4A7D"/>
    <w:rsid w:val="00FE62D5"/>
    <w:rsid w:val="00FE63F3"/>
    <w:rsid w:val="00FE67C9"/>
    <w:rsid w:val="00FE6F5E"/>
    <w:rsid w:val="00FE7819"/>
    <w:rsid w:val="00FE7D01"/>
    <w:rsid w:val="00FF10A3"/>
    <w:rsid w:val="00FF13DF"/>
    <w:rsid w:val="00FF1946"/>
    <w:rsid w:val="00FF1D90"/>
    <w:rsid w:val="00FF20ED"/>
    <w:rsid w:val="00FF284E"/>
    <w:rsid w:val="00FF2C1F"/>
    <w:rsid w:val="00FF2C32"/>
    <w:rsid w:val="00FF4485"/>
    <w:rsid w:val="00FF4822"/>
    <w:rsid w:val="00FF49A9"/>
    <w:rsid w:val="00FF4A06"/>
    <w:rsid w:val="00FF52E7"/>
    <w:rsid w:val="00FF6DBA"/>
    <w:rsid w:val="00FF6F81"/>
    <w:rsid w:val="00FF76B2"/>
    <w:rsid w:val="00FF78B8"/>
    <w:rsid w:val="00FF7D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40824"/>
  <w15:chartTrackingRefBased/>
  <w15:docId w15:val="{00890CC4-CD45-4C5D-82BE-C7D15029E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Normal"/>
    <w:next w:val="Normal"/>
    <w:link w:val="Naslov2Char"/>
    <w:qFormat/>
    <w:rsid w:val="000B12EF"/>
    <w:pPr>
      <w:keepNext/>
      <w:spacing w:after="0" w:line="240" w:lineRule="auto"/>
      <w:outlineLvl w:val="1"/>
    </w:pPr>
    <w:rPr>
      <w:rFonts w:ascii="Times New Roman" w:eastAsia="Times New Roman" w:hAnsi="Times New Roman" w:cs="Times New Roman"/>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0B12EF"/>
    <w:rPr>
      <w:rFonts w:ascii="Times New Roman" w:eastAsia="Times New Roman" w:hAnsi="Times New Roman" w:cs="Times New Roman"/>
      <w:b/>
      <w:bCs/>
      <w:sz w:val="24"/>
      <w:szCs w:val="24"/>
    </w:rPr>
  </w:style>
  <w:style w:type="paragraph" w:styleId="Tekstbalonia">
    <w:name w:val="Balloon Text"/>
    <w:basedOn w:val="Normal"/>
    <w:link w:val="TekstbaloniaChar"/>
    <w:uiPriority w:val="99"/>
    <w:semiHidden/>
    <w:unhideWhenUsed/>
    <w:rsid w:val="008A2F3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2F39"/>
    <w:rPr>
      <w:rFonts w:ascii="Segoe UI" w:hAnsi="Segoe UI" w:cs="Segoe UI"/>
      <w:sz w:val="18"/>
      <w:szCs w:val="18"/>
    </w:rPr>
  </w:style>
  <w:style w:type="character" w:styleId="Hiperveza">
    <w:name w:val="Hyperlink"/>
    <w:basedOn w:val="Zadanifontodlomka"/>
    <w:uiPriority w:val="99"/>
    <w:semiHidden/>
    <w:unhideWhenUsed/>
    <w:rsid w:val="003375A7"/>
    <w:rPr>
      <w:color w:val="0563C1"/>
      <w:u w:val="single"/>
    </w:rPr>
  </w:style>
  <w:style w:type="character" w:styleId="SlijeenaHiperveza">
    <w:name w:val="FollowedHyperlink"/>
    <w:basedOn w:val="Zadanifontodlomka"/>
    <w:uiPriority w:val="99"/>
    <w:semiHidden/>
    <w:unhideWhenUsed/>
    <w:rsid w:val="003375A7"/>
    <w:rPr>
      <w:color w:val="954F72"/>
      <w:u w:val="single"/>
    </w:rPr>
  </w:style>
  <w:style w:type="paragraph" w:customStyle="1" w:styleId="xl65">
    <w:name w:val="xl65"/>
    <w:basedOn w:val="Normal"/>
    <w:rsid w:val="003375A7"/>
    <w:pPr>
      <w:shd w:val="clear" w:color="000000" w:fill="FFFFFF"/>
      <w:spacing w:before="100" w:beforeAutospacing="1" w:after="100" w:afterAutospacing="1" w:line="240" w:lineRule="auto"/>
    </w:pPr>
    <w:rPr>
      <w:rFonts w:ascii="Arial" w:eastAsia="Times New Roman" w:hAnsi="Arial" w:cs="Arial"/>
      <w:sz w:val="24"/>
      <w:szCs w:val="24"/>
      <w:lang w:eastAsia="hr-HR"/>
    </w:rPr>
  </w:style>
  <w:style w:type="paragraph" w:customStyle="1" w:styleId="xl66">
    <w:name w:val="xl66"/>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mo" w:eastAsia="Times New Roman" w:hAnsi="Arimo" w:cs="Times New Roman"/>
      <w:b/>
      <w:bCs/>
      <w:sz w:val="16"/>
      <w:szCs w:val="16"/>
      <w:lang w:eastAsia="hr-HR"/>
    </w:rPr>
  </w:style>
  <w:style w:type="paragraph" w:customStyle="1" w:styleId="xl67">
    <w:name w:val="xl67"/>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mo" w:eastAsia="Times New Roman" w:hAnsi="Arimo" w:cs="Times New Roman"/>
      <w:sz w:val="16"/>
      <w:szCs w:val="16"/>
      <w:lang w:eastAsia="hr-HR"/>
    </w:rPr>
  </w:style>
  <w:style w:type="paragraph" w:customStyle="1" w:styleId="xl68">
    <w:name w:val="xl68"/>
    <w:basedOn w:val="Normal"/>
    <w:rsid w:val="003375A7"/>
    <w:pPr>
      <w:shd w:val="clear" w:color="000000" w:fill="FFFFFF"/>
      <w:spacing w:before="100" w:beforeAutospacing="1" w:after="100" w:afterAutospacing="1" w:line="240" w:lineRule="auto"/>
    </w:pPr>
    <w:rPr>
      <w:rFonts w:ascii="Arial" w:eastAsia="Times New Roman" w:hAnsi="Arial" w:cs="Arial"/>
      <w:sz w:val="24"/>
      <w:szCs w:val="24"/>
      <w:lang w:eastAsia="hr-HR"/>
    </w:rPr>
  </w:style>
  <w:style w:type="paragraph" w:customStyle="1" w:styleId="xl69">
    <w:name w:val="xl69"/>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sz w:val="16"/>
      <w:szCs w:val="16"/>
      <w:lang w:eastAsia="hr-HR"/>
    </w:rPr>
  </w:style>
  <w:style w:type="paragraph" w:customStyle="1" w:styleId="xl70">
    <w:name w:val="xl70"/>
    <w:basedOn w:val="Normal"/>
    <w:rsid w:val="003375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71">
    <w:name w:val="xl71"/>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sz w:val="24"/>
      <w:szCs w:val="24"/>
      <w:lang w:eastAsia="hr-HR"/>
    </w:rPr>
  </w:style>
  <w:style w:type="paragraph" w:customStyle="1" w:styleId="xl72">
    <w:name w:val="xl72"/>
    <w:basedOn w:val="Normal"/>
    <w:rsid w:val="003375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b/>
      <w:bCs/>
      <w:sz w:val="16"/>
      <w:szCs w:val="16"/>
      <w:lang w:eastAsia="hr-HR"/>
    </w:rPr>
  </w:style>
  <w:style w:type="paragraph" w:customStyle="1" w:styleId="xl73">
    <w:name w:val="xl73"/>
    <w:basedOn w:val="Normal"/>
    <w:rsid w:val="003375A7"/>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74">
    <w:name w:val="xl74"/>
    <w:basedOn w:val="Normal"/>
    <w:rsid w:val="003375A7"/>
    <w:pPr>
      <w:shd w:val="clear" w:color="000000" w:fill="FFFFFF"/>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75">
    <w:name w:val="xl75"/>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76">
    <w:name w:val="xl76"/>
    <w:basedOn w:val="Normal"/>
    <w:rsid w:val="003375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sz w:val="16"/>
      <w:szCs w:val="16"/>
      <w:lang w:eastAsia="hr-HR"/>
    </w:rPr>
  </w:style>
  <w:style w:type="paragraph" w:customStyle="1" w:styleId="xl77">
    <w:name w:val="xl77"/>
    <w:basedOn w:val="Normal"/>
    <w:rsid w:val="003375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sz w:val="16"/>
      <w:szCs w:val="16"/>
      <w:lang w:eastAsia="hr-HR"/>
    </w:rPr>
  </w:style>
  <w:style w:type="paragraph" w:customStyle="1" w:styleId="xl78">
    <w:name w:val="xl78"/>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b/>
      <w:bCs/>
      <w:sz w:val="16"/>
      <w:szCs w:val="16"/>
      <w:lang w:eastAsia="hr-HR"/>
    </w:rPr>
  </w:style>
  <w:style w:type="paragraph" w:customStyle="1" w:styleId="xl79">
    <w:name w:val="xl79"/>
    <w:basedOn w:val="Normal"/>
    <w:rsid w:val="003375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80">
    <w:name w:val="xl80"/>
    <w:basedOn w:val="Normal"/>
    <w:rsid w:val="003375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sz w:val="16"/>
      <w:szCs w:val="16"/>
      <w:lang w:eastAsia="hr-HR"/>
    </w:rPr>
  </w:style>
  <w:style w:type="paragraph" w:customStyle="1" w:styleId="xl81">
    <w:name w:val="xl81"/>
    <w:basedOn w:val="Normal"/>
    <w:rsid w:val="003375A7"/>
    <w:pPr>
      <w:shd w:val="clear" w:color="000000" w:fill="FFFFFF"/>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82">
    <w:name w:val="xl82"/>
    <w:basedOn w:val="Normal"/>
    <w:rsid w:val="003375A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83">
    <w:name w:val="xl83"/>
    <w:basedOn w:val="Normal"/>
    <w:rsid w:val="003375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84">
    <w:name w:val="xl84"/>
    <w:basedOn w:val="Normal"/>
    <w:rsid w:val="003375A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mo" w:eastAsia="Times New Roman" w:hAnsi="Arimo" w:cs="Times New Roman"/>
      <w:b/>
      <w:bCs/>
      <w:sz w:val="16"/>
      <w:szCs w:val="16"/>
      <w:lang w:eastAsia="hr-HR"/>
    </w:rPr>
  </w:style>
  <w:style w:type="paragraph" w:customStyle="1" w:styleId="xl85">
    <w:name w:val="xl85"/>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sz w:val="16"/>
      <w:szCs w:val="16"/>
      <w:lang w:eastAsia="hr-HR"/>
    </w:rPr>
  </w:style>
  <w:style w:type="paragraph" w:customStyle="1" w:styleId="xl86">
    <w:name w:val="xl86"/>
    <w:basedOn w:val="Normal"/>
    <w:rsid w:val="003375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sz w:val="16"/>
      <w:szCs w:val="16"/>
      <w:lang w:eastAsia="hr-HR"/>
    </w:rPr>
  </w:style>
  <w:style w:type="paragraph" w:customStyle="1" w:styleId="xl87">
    <w:name w:val="xl87"/>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b/>
      <w:bCs/>
      <w:sz w:val="16"/>
      <w:szCs w:val="16"/>
      <w:lang w:eastAsia="hr-HR"/>
    </w:rPr>
  </w:style>
  <w:style w:type="paragraph" w:customStyle="1" w:styleId="xl88">
    <w:name w:val="xl88"/>
    <w:basedOn w:val="Normal"/>
    <w:rsid w:val="003375A7"/>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89">
    <w:name w:val="xl89"/>
    <w:basedOn w:val="Normal"/>
    <w:rsid w:val="003375A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mo" w:eastAsia="Times New Roman" w:hAnsi="Arimo" w:cs="Times New Roman"/>
      <w:sz w:val="24"/>
      <w:szCs w:val="24"/>
      <w:lang w:eastAsia="hr-HR"/>
    </w:rPr>
  </w:style>
  <w:style w:type="paragraph" w:customStyle="1" w:styleId="xl90">
    <w:name w:val="xl90"/>
    <w:basedOn w:val="Normal"/>
    <w:rsid w:val="003375A7"/>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mo" w:eastAsia="Times New Roman" w:hAnsi="Arimo" w:cs="Times New Roman"/>
      <w:sz w:val="24"/>
      <w:szCs w:val="24"/>
      <w:lang w:eastAsia="hr-HR"/>
    </w:rPr>
  </w:style>
  <w:style w:type="paragraph" w:customStyle="1" w:styleId="xl91">
    <w:name w:val="xl91"/>
    <w:basedOn w:val="Normal"/>
    <w:rsid w:val="003375A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mo" w:eastAsia="Times New Roman" w:hAnsi="Arimo" w:cs="Times New Roman"/>
      <w:sz w:val="24"/>
      <w:szCs w:val="24"/>
      <w:lang w:eastAsia="hr-HR"/>
    </w:rPr>
  </w:style>
  <w:style w:type="paragraph" w:customStyle="1" w:styleId="xl92">
    <w:name w:val="xl92"/>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mo" w:eastAsia="Times New Roman" w:hAnsi="Arimo" w:cs="Times New Roman"/>
      <w:sz w:val="24"/>
      <w:szCs w:val="24"/>
      <w:lang w:eastAsia="hr-HR"/>
    </w:rPr>
  </w:style>
  <w:style w:type="paragraph" w:customStyle="1" w:styleId="xl93">
    <w:name w:val="xl93"/>
    <w:basedOn w:val="Normal"/>
    <w:rsid w:val="003375A7"/>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94">
    <w:name w:val="xl94"/>
    <w:basedOn w:val="Normal"/>
    <w:rsid w:val="003375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hr-HR"/>
    </w:rPr>
  </w:style>
  <w:style w:type="paragraph" w:styleId="Zaglavlje">
    <w:name w:val="header"/>
    <w:basedOn w:val="Normal"/>
    <w:link w:val="ZaglavljeChar"/>
    <w:uiPriority w:val="99"/>
    <w:unhideWhenUsed/>
    <w:rsid w:val="001D689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D689B"/>
  </w:style>
  <w:style w:type="paragraph" w:styleId="Podnoje">
    <w:name w:val="footer"/>
    <w:basedOn w:val="Normal"/>
    <w:link w:val="PodnojeChar"/>
    <w:uiPriority w:val="99"/>
    <w:unhideWhenUsed/>
    <w:rsid w:val="001D689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D689B"/>
  </w:style>
  <w:style w:type="paragraph" w:customStyle="1" w:styleId="Default">
    <w:name w:val="Default"/>
    <w:rsid w:val="00C012CC"/>
    <w:pPr>
      <w:autoSpaceDE w:val="0"/>
      <w:autoSpaceDN w:val="0"/>
      <w:adjustRightInd w:val="0"/>
      <w:spacing w:after="0" w:line="240" w:lineRule="auto"/>
    </w:pPr>
    <w:rPr>
      <w:rFonts w:ascii="Arial" w:eastAsia="Calibri" w:hAnsi="Arial" w:cs="Arial"/>
      <w:color w:val="000000"/>
      <w:sz w:val="24"/>
      <w:szCs w:val="24"/>
    </w:rPr>
  </w:style>
  <w:style w:type="paragraph" w:styleId="Odlomakpopisa">
    <w:name w:val="List Paragraph"/>
    <w:basedOn w:val="Normal"/>
    <w:qFormat/>
    <w:rsid w:val="00C012CC"/>
    <w:pPr>
      <w:ind w:left="720"/>
      <w:contextualSpacing/>
    </w:pPr>
    <w:rPr>
      <w:rFonts w:ascii="Calibri" w:eastAsia="Calibri" w:hAnsi="Calibri" w:cs="Times New Roman"/>
    </w:rPr>
  </w:style>
  <w:style w:type="paragraph" w:styleId="Bezproreda">
    <w:name w:val="No Spacing"/>
    <w:link w:val="BezproredaChar"/>
    <w:uiPriority w:val="1"/>
    <w:qFormat/>
    <w:rsid w:val="000A202A"/>
    <w:pPr>
      <w:spacing w:after="0" w:line="240" w:lineRule="auto"/>
    </w:pPr>
    <w:rPr>
      <w:rFonts w:ascii="Calibri" w:eastAsia="Calibri" w:hAnsi="Calibri" w:cs="Times New Roman"/>
    </w:rPr>
  </w:style>
  <w:style w:type="character" w:customStyle="1" w:styleId="BezproredaChar">
    <w:name w:val="Bez proreda Char"/>
    <w:link w:val="Bezproreda"/>
    <w:uiPriority w:val="1"/>
    <w:locked/>
    <w:rsid w:val="0025103A"/>
    <w:rPr>
      <w:rFonts w:ascii="Calibri" w:eastAsia="Calibri" w:hAnsi="Calibri" w:cs="Times New Roman"/>
    </w:rPr>
  </w:style>
  <w:style w:type="paragraph" w:customStyle="1" w:styleId="Tekst">
    <w:name w:val="Tekst"/>
    <w:basedOn w:val="Tijeloteksta"/>
    <w:rsid w:val="00AE34AD"/>
    <w:pPr>
      <w:spacing w:after="0" w:line="300" w:lineRule="exact"/>
      <w:jc w:val="both"/>
    </w:pPr>
    <w:rPr>
      <w:rFonts w:ascii="Trebuchet MS" w:eastAsia="Times New Roman" w:hAnsi="Trebuchet MS" w:cs="Times New Roman"/>
      <w:sz w:val="20"/>
      <w:szCs w:val="20"/>
      <w:lang w:eastAsia="hr-HR"/>
    </w:rPr>
  </w:style>
  <w:style w:type="paragraph" w:styleId="Tijeloteksta">
    <w:name w:val="Body Text"/>
    <w:basedOn w:val="Normal"/>
    <w:link w:val="TijelotekstaChar"/>
    <w:uiPriority w:val="99"/>
    <w:semiHidden/>
    <w:unhideWhenUsed/>
    <w:rsid w:val="00AE34AD"/>
    <w:pPr>
      <w:spacing w:after="120"/>
    </w:pPr>
  </w:style>
  <w:style w:type="character" w:customStyle="1" w:styleId="TijelotekstaChar">
    <w:name w:val="Tijelo teksta Char"/>
    <w:basedOn w:val="Zadanifontodlomka"/>
    <w:link w:val="Tijeloteksta"/>
    <w:uiPriority w:val="99"/>
    <w:semiHidden/>
    <w:rsid w:val="00AE34AD"/>
  </w:style>
  <w:style w:type="paragraph" w:styleId="StandardWeb">
    <w:name w:val="Normal (Web)"/>
    <w:basedOn w:val="Normal"/>
    <w:uiPriority w:val="99"/>
    <w:rsid w:val="00351F7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Internetskapoveznica">
    <w:name w:val="Internetska poveznica"/>
    <w:uiPriority w:val="99"/>
    <w:rsid w:val="00351F74"/>
    <w:rPr>
      <w:rFonts w:ascii="Times New Roman" w:hAnsi="Times New Roman"/>
      <w:color w:val="0000FF"/>
      <w:u w:val="single"/>
    </w:rPr>
  </w:style>
  <w:style w:type="paragraph" w:customStyle="1" w:styleId="xl95">
    <w:name w:val="xl95"/>
    <w:basedOn w:val="Normal"/>
    <w:rsid w:val="00E904AC"/>
    <w:pPr>
      <w:shd w:val="clear" w:color="000000" w:fill="9999FF"/>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96">
    <w:name w:val="xl96"/>
    <w:basedOn w:val="Normal"/>
    <w:rsid w:val="00E904AC"/>
    <w:pPr>
      <w:shd w:val="clear" w:color="000000" w:fill="9999FF"/>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97">
    <w:name w:val="xl97"/>
    <w:basedOn w:val="Normal"/>
    <w:rsid w:val="00E904AC"/>
    <w:pPr>
      <w:shd w:val="clear" w:color="000000" w:fill="CCCCFF"/>
      <w:spacing w:before="100" w:beforeAutospacing="1" w:after="100" w:afterAutospacing="1" w:line="240" w:lineRule="auto"/>
      <w:jc w:val="center"/>
    </w:pPr>
    <w:rPr>
      <w:rFonts w:ascii="Arial" w:eastAsia="Times New Roman" w:hAnsi="Arial" w:cs="Arial"/>
      <w:b/>
      <w:bCs/>
      <w:color w:val="333333"/>
      <w:sz w:val="24"/>
      <w:szCs w:val="24"/>
      <w:lang w:eastAsia="hr-HR"/>
    </w:rPr>
  </w:style>
  <w:style w:type="paragraph" w:customStyle="1" w:styleId="xl98">
    <w:name w:val="xl98"/>
    <w:basedOn w:val="Normal"/>
    <w:rsid w:val="00E904AC"/>
    <w:pPr>
      <w:shd w:val="clear" w:color="000000" w:fill="FF9900"/>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99">
    <w:name w:val="xl99"/>
    <w:basedOn w:val="Normal"/>
    <w:rsid w:val="00E904AC"/>
    <w:pPr>
      <w:shd w:val="clear" w:color="000000" w:fill="FFFF99"/>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100">
    <w:name w:val="xl100"/>
    <w:basedOn w:val="Normal"/>
    <w:rsid w:val="00E904AC"/>
    <w:pPr>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101">
    <w:name w:val="xl101"/>
    <w:basedOn w:val="Normal"/>
    <w:rsid w:val="00E904AC"/>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102">
    <w:name w:val="xl102"/>
    <w:basedOn w:val="Normal"/>
    <w:rsid w:val="00E904AC"/>
    <w:pPr>
      <w:shd w:val="clear" w:color="000000" w:fill="CCCCFF"/>
      <w:spacing w:before="100" w:beforeAutospacing="1" w:after="100" w:afterAutospacing="1" w:line="240" w:lineRule="auto"/>
      <w:jc w:val="center"/>
    </w:pPr>
    <w:rPr>
      <w:rFonts w:ascii="Arial" w:eastAsia="Times New Roman" w:hAnsi="Arial" w:cs="Arial"/>
      <w:b/>
      <w:bCs/>
      <w:color w:val="333333"/>
      <w:sz w:val="24"/>
      <w:szCs w:val="24"/>
      <w:lang w:eastAsia="hr-HR"/>
    </w:rPr>
  </w:style>
  <w:style w:type="paragraph" w:customStyle="1" w:styleId="xl103">
    <w:name w:val="xl103"/>
    <w:basedOn w:val="Normal"/>
    <w:rsid w:val="00E904AC"/>
    <w:pPr>
      <w:shd w:val="clear" w:color="000000" w:fill="FF9900"/>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104">
    <w:name w:val="xl104"/>
    <w:basedOn w:val="Normal"/>
    <w:rsid w:val="00E904AC"/>
    <w:pPr>
      <w:shd w:val="clear" w:color="000000" w:fill="FFFF99"/>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105">
    <w:name w:val="xl105"/>
    <w:basedOn w:val="Normal"/>
    <w:rsid w:val="00E904AC"/>
    <w:pPr>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106">
    <w:name w:val="xl106"/>
    <w:basedOn w:val="Normal"/>
    <w:rsid w:val="00E904AC"/>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107">
    <w:name w:val="xl107"/>
    <w:basedOn w:val="Normal"/>
    <w:rsid w:val="00E904AC"/>
    <w:pPr>
      <w:shd w:val="clear" w:color="000000" w:fill="92D050"/>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108">
    <w:name w:val="xl108"/>
    <w:basedOn w:val="Normal"/>
    <w:rsid w:val="00E904AC"/>
    <w:pPr>
      <w:shd w:val="clear" w:color="000000" w:fill="969696"/>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109">
    <w:name w:val="xl109"/>
    <w:basedOn w:val="Normal"/>
    <w:rsid w:val="00E904AC"/>
    <w:pPr>
      <w:spacing w:before="100" w:beforeAutospacing="1" w:after="100" w:afterAutospacing="1" w:line="240" w:lineRule="auto"/>
    </w:pPr>
    <w:rPr>
      <w:rFonts w:ascii="Arial" w:eastAsia="Times New Roman" w:hAnsi="Arial" w:cs="Arial"/>
      <w:b/>
      <w:bCs/>
      <w:sz w:val="24"/>
      <w:szCs w:val="24"/>
      <w:lang w:eastAsia="hr-HR"/>
    </w:rPr>
  </w:style>
  <w:style w:type="paragraph" w:customStyle="1" w:styleId="xl110">
    <w:name w:val="xl110"/>
    <w:basedOn w:val="Normal"/>
    <w:rsid w:val="00E904AC"/>
    <w:pPr>
      <w:shd w:val="clear" w:color="000000" w:fill="BFBFB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111">
    <w:name w:val="xl111"/>
    <w:basedOn w:val="Normal"/>
    <w:rsid w:val="00E904AC"/>
    <w:pPr>
      <w:shd w:val="clear" w:color="000000" w:fill="CCCCFF"/>
      <w:spacing w:before="100" w:beforeAutospacing="1" w:after="100" w:afterAutospacing="1" w:line="240" w:lineRule="auto"/>
    </w:pPr>
    <w:rPr>
      <w:rFonts w:ascii="Arial" w:eastAsia="Times New Roman" w:hAnsi="Arial" w:cs="Arial"/>
      <w:b/>
      <w:bCs/>
      <w:color w:val="333333"/>
      <w:sz w:val="24"/>
      <w:szCs w:val="24"/>
      <w:lang w:eastAsia="hr-HR"/>
    </w:rPr>
  </w:style>
  <w:style w:type="paragraph" w:customStyle="1" w:styleId="xl112">
    <w:name w:val="xl112"/>
    <w:basedOn w:val="Normal"/>
    <w:rsid w:val="00E904AC"/>
    <w:pPr>
      <w:spacing w:before="100" w:beforeAutospacing="1" w:after="100" w:afterAutospacing="1" w:line="240" w:lineRule="auto"/>
    </w:pPr>
    <w:rPr>
      <w:rFonts w:ascii="Arial" w:eastAsia="Times New Roman" w:hAnsi="Arial" w:cs="Arial"/>
      <w:sz w:val="24"/>
      <w:szCs w:val="24"/>
      <w:lang w:eastAsia="hr-HR"/>
    </w:rPr>
  </w:style>
  <w:style w:type="character" w:styleId="Naglaeno">
    <w:name w:val="Strong"/>
    <w:basedOn w:val="Zadanifontodlomka"/>
    <w:uiPriority w:val="99"/>
    <w:qFormat/>
    <w:rsid w:val="00274705"/>
    <w:rPr>
      <w:rFonts w:cs="Times New Roman"/>
      <w:b/>
      <w:bCs/>
    </w:rPr>
  </w:style>
  <w:style w:type="paragraph" w:customStyle="1" w:styleId="xl113">
    <w:name w:val="xl113"/>
    <w:basedOn w:val="Normal"/>
    <w:rsid w:val="0051590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b/>
      <w:bCs/>
      <w:sz w:val="24"/>
      <w:szCs w:val="24"/>
      <w:lang w:eastAsia="hr-HR"/>
    </w:rPr>
  </w:style>
  <w:style w:type="paragraph" w:customStyle="1" w:styleId="xl114">
    <w:name w:val="xl114"/>
    <w:basedOn w:val="Normal"/>
    <w:rsid w:val="00515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15">
    <w:name w:val="xl115"/>
    <w:basedOn w:val="Normal"/>
    <w:rsid w:val="0051590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16">
    <w:name w:val="xl116"/>
    <w:basedOn w:val="Normal"/>
    <w:rsid w:val="0051590D"/>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117">
    <w:name w:val="xl117"/>
    <w:basedOn w:val="Normal"/>
    <w:rsid w:val="0051590D"/>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18">
    <w:name w:val="xl118"/>
    <w:basedOn w:val="Normal"/>
    <w:rsid w:val="008A267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hr-HR"/>
    </w:rPr>
  </w:style>
  <w:style w:type="paragraph" w:customStyle="1" w:styleId="xl119">
    <w:name w:val="xl119"/>
    <w:basedOn w:val="Normal"/>
    <w:rsid w:val="008A26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0">
    <w:name w:val="xl120"/>
    <w:basedOn w:val="Normal"/>
    <w:rsid w:val="008A2673"/>
    <w:pPr>
      <w:pBdr>
        <w:top w:val="single" w:sz="4" w:space="0" w:color="auto"/>
        <w:left w:val="single" w:sz="4" w:space="0" w:color="auto"/>
        <w:bottom w:val="single" w:sz="4" w:space="0" w:color="auto"/>
      </w:pBdr>
      <w:shd w:val="clear" w:color="000000" w:fill="FFFF9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21">
    <w:name w:val="xl121"/>
    <w:basedOn w:val="Normal"/>
    <w:rsid w:val="008A267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22">
    <w:name w:val="xl122"/>
    <w:basedOn w:val="Normal"/>
    <w:rsid w:val="008A267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markedcontent">
    <w:name w:val="markedcontent"/>
    <w:basedOn w:val="Zadanifontodlomka"/>
    <w:rsid w:val="00EF05A3"/>
  </w:style>
  <w:style w:type="character" w:styleId="Istaknuto">
    <w:name w:val="Emphasis"/>
    <w:uiPriority w:val="20"/>
    <w:qFormat/>
    <w:rsid w:val="00AD60AE"/>
    <w:rPr>
      <w:i/>
      <w:iCs/>
    </w:rPr>
  </w:style>
  <w:style w:type="paragraph" w:customStyle="1" w:styleId="msonormal0">
    <w:name w:val="msonormal"/>
    <w:basedOn w:val="Normal"/>
    <w:rsid w:val="006161C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3">
    <w:name w:val="xl63"/>
    <w:basedOn w:val="Normal"/>
    <w:rsid w:val="006161C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4">
    <w:name w:val="xl64"/>
    <w:basedOn w:val="Normal"/>
    <w:rsid w:val="006161CD"/>
    <w:pPr>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table" w:styleId="Reetkatablice">
    <w:name w:val="Table Grid"/>
    <w:basedOn w:val="Obinatablica"/>
    <w:uiPriority w:val="39"/>
    <w:rsid w:val="005F4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5F4FCC"/>
    <w:pPr>
      <w:spacing w:after="0" w:line="240" w:lineRule="auto"/>
    </w:pPr>
    <w:rPr>
      <w:rFonts w:asciiTheme="majorHAnsi" w:eastAsiaTheme="majorEastAsia" w:hAnsiTheme="majorHAnsi" w:cstheme="majorBid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0031FE"/>
    <w:pPr>
      <w:suppressAutoHyphens/>
      <w:spacing w:after="0" w:line="240" w:lineRule="auto"/>
    </w:pPr>
    <w:rPr>
      <w:rFonts w:ascii="Times New Roman" w:eastAsia="Lucida Sans Unicode" w:hAnsi="Times New Roman" w:cs="Mangal"/>
      <w:kern w:val="1"/>
      <w:sz w:val="24"/>
      <w:szCs w:val="24"/>
      <w:lang w:eastAsia="hi-IN" w:bidi="hi-IN"/>
    </w:rPr>
  </w:style>
  <w:style w:type="character" w:customStyle="1" w:styleId="fontstyle01">
    <w:name w:val="fontstyle01"/>
    <w:basedOn w:val="Zadanifontodlomka"/>
    <w:qFormat/>
    <w:rsid w:val="00C10EFE"/>
    <w:rPr>
      <w:rFonts w:ascii="Calibri" w:hAnsi="Calibri" w:cs="Calibri" w:hint="default"/>
      <w:b w:val="0"/>
      <w:bCs w:val="0"/>
      <w:i w:val="0"/>
      <w:iCs w:val="0"/>
      <w:color w:val="000000"/>
      <w:sz w:val="22"/>
      <w:szCs w:val="22"/>
    </w:rPr>
  </w:style>
  <w:style w:type="paragraph" w:customStyle="1" w:styleId="Odlomakpopisa2">
    <w:name w:val="Odlomak popisa2"/>
    <w:basedOn w:val="Normal"/>
    <w:rsid w:val="006C7BFD"/>
    <w:pPr>
      <w:spacing w:after="200" w:line="276" w:lineRule="auto"/>
      <w:ind w:left="720"/>
      <w:contextualSpacing/>
    </w:pPr>
    <w:rPr>
      <w:rFonts w:ascii="Calibri" w:eastAsia="Times New Roman" w:hAnsi="Calibri" w:cs="Times New Roman"/>
    </w:rPr>
  </w:style>
  <w:style w:type="paragraph" w:customStyle="1" w:styleId="xl123">
    <w:name w:val="xl123"/>
    <w:basedOn w:val="Normal"/>
    <w:rsid w:val="00DC0B4B"/>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24">
    <w:name w:val="xl124"/>
    <w:basedOn w:val="Normal"/>
    <w:rsid w:val="00DC0B4B"/>
    <w:pPr>
      <w:pBdr>
        <w:top w:val="single" w:sz="4" w:space="0" w:color="auto"/>
      </w:pBdr>
      <w:shd w:val="clear" w:color="000000" w:fill="CCCCFF"/>
      <w:spacing w:before="100" w:beforeAutospacing="1" w:after="100" w:afterAutospacing="1" w:line="240" w:lineRule="auto"/>
      <w:jc w:val="right"/>
    </w:pPr>
    <w:rPr>
      <w:rFonts w:ascii="Times New Roman" w:eastAsia="Times New Roman" w:hAnsi="Times New Roman" w:cs="Times New Roman"/>
      <w:b/>
      <w:bCs/>
      <w:color w:val="333333"/>
      <w:sz w:val="24"/>
      <w:szCs w:val="24"/>
      <w:lang w:eastAsia="hr-HR"/>
    </w:rPr>
  </w:style>
  <w:style w:type="paragraph" w:customStyle="1" w:styleId="xl125">
    <w:name w:val="xl125"/>
    <w:basedOn w:val="Normal"/>
    <w:rsid w:val="00DC0B4B"/>
    <w:pPr>
      <w:pBdr>
        <w:top w:val="single" w:sz="4" w:space="0" w:color="auto"/>
        <w:right w:val="single" w:sz="4" w:space="0" w:color="auto"/>
      </w:pBdr>
      <w:shd w:val="clear" w:color="000000" w:fill="CCCCFF"/>
      <w:spacing w:before="100" w:beforeAutospacing="1" w:after="100" w:afterAutospacing="1" w:line="240" w:lineRule="auto"/>
      <w:jc w:val="right"/>
    </w:pPr>
    <w:rPr>
      <w:rFonts w:ascii="Times New Roman" w:eastAsia="Times New Roman" w:hAnsi="Times New Roman" w:cs="Times New Roman"/>
      <w:b/>
      <w:bCs/>
      <w:color w:val="333333"/>
      <w:sz w:val="24"/>
      <w:szCs w:val="24"/>
      <w:lang w:eastAsia="hr-HR"/>
    </w:rPr>
  </w:style>
  <w:style w:type="paragraph" w:customStyle="1" w:styleId="xl126">
    <w:name w:val="xl126"/>
    <w:basedOn w:val="Normal"/>
    <w:rsid w:val="00DC0B4B"/>
    <w:pPr>
      <w:pBdr>
        <w:left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color w:val="333333"/>
      <w:sz w:val="24"/>
      <w:szCs w:val="24"/>
      <w:lang w:eastAsia="hr-HR"/>
    </w:rPr>
  </w:style>
  <w:style w:type="paragraph" w:customStyle="1" w:styleId="xl127">
    <w:name w:val="xl127"/>
    <w:basedOn w:val="Normal"/>
    <w:rsid w:val="00DC0B4B"/>
    <w:pPr>
      <w:pBdr>
        <w:right w:val="single" w:sz="4" w:space="0" w:color="auto"/>
      </w:pBdr>
      <w:shd w:val="clear" w:color="000000" w:fill="CCCCFF"/>
      <w:spacing w:before="100" w:beforeAutospacing="1" w:after="100" w:afterAutospacing="1" w:line="240" w:lineRule="auto"/>
      <w:jc w:val="right"/>
    </w:pPr>
    <w:rPr>
      <w:rFonts w:ascii="Times New Roman" w:eastAsia="Times New Roman" w:hAnsi="Times New Roman" w:cs="Times New Roman"/>
      <w:b/>
      <w:bCs/>
      <w:color w:val="333333"/>
      <w:sz w:val="24"/>
      <w:szCs w:val="24"/>
      <w:lang w:eastAsia="hr-HR"/>
    </w:rPr>
  </w:style>
  <w:style w:type="paragraph" w:customStyle="1" w:styleId="xl128">
    <w:name w:val="xl128"/>
    <w:basedOn w:val="Normal"/>
    <w:rsid w:val="00DC0B4B"/>
    <w:pPr>
      <w:pBdr>
        <w:left w:val="single" w:sz="4" w:space="0" w:color="auto"/>
      </w:pBdr>
      <w:shd w:val="clear" w:color="000000" w:fill="FF99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29">
    <w:name w:val="xl129"/>
    <w:basedOn w:val="Normal"/>
    <w:rsid w:val="00DC0B4B"/>
    <w:pPr>
      <w:pBdr>
        <w:right w:val="single" w:sz="4" w:space="0" w:color="auto"/>
      </w:pBdr>
      <w:shd w:val="clear" w:color="000000" w:fill="FF9900"/>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130">
    <w:name w:val="xl130"/>
    <w:basedOn w:val="Normal"/>
    <w:rsid w:val="00DC0B4B"/>
    <w:pPr>
      <w:pBdr>
        <w:lef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31">
    <w:name w:val="xl131"/>
    <w:basedOn w:val="Normal"/>
    <w:rsid w:val="00DC0B4B"/>
    <w:pPr>
      <w:pBdr>
        <w:right w:val="single" w:sz="4" w:space="0" w:color="auto"/>
      </w:pBdr>
      <w:shd w:val="clear" w:color="000000" w:fill="FFFF99"/>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132">
    <w:name w:val="xl132"/>
    <w:basedOn w:val="Normal"/>
    <w:rsid w:val="00DC0B4B"/>
    <w:pPr>
      <w:pBdr>
        <w:lef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33">
    <w:name w:val="xl133"/>
    <w:basedOn w:val="Normal"/>
    <w:rsid w:val="00DC0B4B"/>
    <w:pPr>
      <w:pBdr>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134">
    <w:name w:val="xl134"/>
    <w:basedOn w:val="Normal"/>
    <w:rsid w:val="00DC0B4B"/>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35">
    <w:name w:val="xl135"/>
    <w:basedOn w:val="Normal"/>
    <w:rsid w:val="00DC0B4B"/>
    <w:pPr>
      <w:pBdr>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xl136">
    <w:name w:val="xl136"/>
    <w:basedOn w:val="Normal"/>
    <w:rsid w:val="00DC0B4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37">
    <w:name w:val="xl137"/>
    <w:basedOn w:val="Normal"/>
    <w:rsid w:val="00DC0B4B"/>
    <w:pPr>
      <w:pBdr>
        <w:lef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38">
    <w:name w:val="xl138"/>
    <w:basedOn w:val="Normal"/>
    <w:rsid w:val="00DC0B4B"/>
    <w:pPr>
      <w:pBdr>
        <w:left w:val="single" w:sz="4" w:space="0" w:color="auto"/>
      </w:pBdr>
      <w:shd w:val="clear" w:color="000000" w:fill="FFFF99"/>
      <w:spacing w:before="100" w:beforeAutospacing="1" w:after="100" w:afterAutospacing="1" w:line="240" w:lineRule="auto"/>
    </w:pPr>
    <w:rPr>
      <w:rFonts w:ascii="Arial" w:eastAsia="Times New Roman" w:hAnsi="Arial" w:cs="Arial"/>
      <w:b/>
      <w:bCs/>
      <w:sz w:val="24"/>
      <w:szCs w:val="24"/>
      <w:lang w:eastAsia="hr-HR"/>
    </w:rPr>
  </w:style>
  <w:style w:type="paragraph" w:customStyle="1" w:styleId="xl139">
    <w:name w:val="xl139"/>
    <w:basedOn w:val="Normal"/>
    <w:rsid w:val="00DC0B4B"/>
    <w:pPr>
      <w:pBdr>
        <w:left w:val="single" w:sz="4" w:space="0" w:color="auto"/>
      </w:pBdr>
      <w:shd w:val="clear" w:color="000000" w:fill="FF9900"/>
      <w:spacing w:before="100" w:beforeAutospacing="1" w:after="100" w:afterAutospacing="1" w:line="240" w:lineRule="auto"/>
    </w:pPr>
    <w:rPr>
      <w:rFonts w:ascii="Arial" w:eastAsia="Times New Roman" w:hAnsi="Arial" w:cs="Arial"/>
      <w:b/>
      <w:bCs/>
      <w:sz w:val="24"/>
      <w:szCs w:val="24"/>
      <w:lang w:eastAsia="hr-HR"/>
    </w:rPr>
  </w:style>
  <w:style w:type="paragraph" w:customStyle="1" w:styleId="xl140">
    <w:name w:val="xl140"/>
    <w:basedOn w:val="Normal"/>
    <w:rsid w:val="00DC0B4B"/>
    <w:pPr>
      <w:pBdr>
        <w:left w:val="single" w:sz="4" w:space="0" w:color="auto"/>
      </w:pBdr>
      <w:shd w:val="clear" w:color="000000" w:fill="FF9900"/>
      <w:spacing w:before="100" w:beforeAutospacing="1" w:after="100" w:afterAutospacing="1" w:line="240" w:lineRule="auto"/>
    </w:pPr>
    <w:rPr>
      <w:rFonts w:ascii="Arial" w:eastAsia="Times New Roman" w:hAnsi="Arial" w:cs="Arial"/>
      <w:b/>
      <w:bCs/>
      <w:sz w:val="24"/>
      <w:szCs w:val="24"/>
      <w:lang w:eastAsia="hr-HR"/>
    </w:rPr>
  </w:style>
  <w:style w:type="paragraph" w:customStyle="1" w:styleId="xl141">
    <w:name w:val="xl141"/>
    <w:basedOn w:val="Normal"/>
    <w:rsid w:val="00DC0B4B"/>
    <w:pPr>
      <w:pBdr>
        <w:left w:val="single" w:sz="4" w:space="0" w:color="auto"/>
      </w:pBdr>
      <w:shd w:val="clear" w:color="000000" w:fill="FFFF99"/>
      <w:spacing w:before="100" w:beforeAutospacing="1" w:after="100" w:afterAutospacing="1" w:line="240" w:lineRule="auto"/>
    </w:pPr>
    <w:rPr>
      <w:rFonts w:ascii="Arial" w:eastAsia="Times New Roman" w:hAnsi="Arial" w:cs="Arial"/>
      <w:b/>
      <w:bCs/>
      <w:sz w:val="24"/>
      <w:szCs w:val="24"/>
      <w:lang w:eastAsia="hr-HR"/>
    </w:rPr>
  </w:style>
  <w:style w:type="paragraph" w:customStyle="1" w:styleId="xl142">
    <w:name w:val="xl142"/>
    <w:basedOn w:val="Normal"/>
    <w:rsid w:val="00DC0B4B"/>
    <w:pPr>
      <w:pBdr>
        <w:left w:val="single" w:sz="4" w:space="0" w:color="auto"/>
      </w:pBdr>
      <w:shd w:val="clear" w:color="000000" w:fill="9999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43">
    <w:name w:val="xl143"/>
    <w:basedOn w:val="Normal"/>
    <w:rsid w:val="00DC0B4B"/>
    <w:pPr>
      <w:pBdr>
        <w:right w:val="single" w:sz="4" w:space="0" w:color="auto"/>
      </w:pBdr>
      <w:shd w:val="clear" w:color="000000" w:fill="9999FF"/>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144">
    <w:name w:val="xl144"/>
    <w:basedOn w:val="Normal"/>
    <w:rsid w:val="00DC0B4B"/>
    <w:pPr>
      <w:pBdr>
        <w:right w:val="single" w:sz="4" w:space="0" w:color="auto"/>
      </w:pBdr>
      <w:shd w:val="clear" w:color="000000" w:fill="9999FF"/>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145">
    <w:name w:val="xl145"/>
    <w:basedOn w:val="Normal"/>
    <w:rsid w:val="00DC0B4B"/>
    <w:pPr>
      <w:pBdr>
        <w:left w:val="single" w:sz="4" w:space="0" w:color="auto"/>
      </w:pBdr>
      <w:shd w:val="clear" w:color="000000" w:fill="9999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46">
    <w:name w:val="xl146"/>
    <w:basedOn w:val="Normal"/>
    <w:rsid w:val="00DC0B4B"/>
    <w:pPr>
      <w:pBdr>
        <w:right w:val="single" w:sz="4" w:space="0" w:color="auto"/>
      </w:pBdr>
      <w:shd w:val="clear" w:color="000000" w:fill="CCCCFF"/>
      <w:spacing w:before="100" w:beforeAutospacing="1" w:after="100" w:afterAutospacing="1" w:line="240" w:lineRule="auto"/>
      <w:jc w:val="right"/>
    </w:pPr>
    <w:rPr>
      <w:rFonts w:ascii="Times New Roman" w:eastAsia="Times New Roman" w:hAnsi="Times New Roman" w:cs="Times New Roman"/>
      <w:b/>
      <w:bCs/>
      <w:color w:val="333333"/>
      <w:sz w:val="24"/>
      <w:szCs w:val="24"/>
      <w:lang w:eastAsia="hr-HR"/>
    </w:rPr>
  </w:style>
  <w:style w:type="paragraph" w:customStyle="1" w:styleId="xl147">
    <w:name w:val="xl147"/>
    <w:basedOn w:val="Normal"/>
    <w:rsid w:val="00DC0B4B"/>
    <w:pPr>
      <w:pBdr>
        <w:left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color w:val="333333"/>
      <w:sz w:val="24"/>
      <w:szCs w:val="24"/>
      <w:lang w:eastAsia="hr-HR"/>
    </w:rPr>
  </w:style>
  <w:style w:type="paragraph" w:customStyle="1" w:styleId="xl148">
    <w:name w:val="xl148"/>
    <w:basedOn w:val="Normal"/>
    <w:rsid w:val="00DC0B4B"/>
    <w:pPr>
      <w:pBdr>
        <w:right w:val="single" w:sz="4" w:space="0" w:color="auto"/>
      </w:pBdr>
      <w:shd w:val="clear" w:color="000000" w:fill="FF9900"/>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149">
    <w:name w:val="xl149"/>
    <w:basedOn w:val="Normal"/>
    <w:rsid w:val="00DC0B4B"/>
    <w:pPr>
      <w:pBdr>
        <w:right w:val="single" w:sz="4" w:space="0" w:color="auto"/>
      </w:pBdr>
      <w:shd w:val="clear" w:color="000000" w:fill="FFFF99"/>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150">
    <w:name w:val="xl150"/>
    <w:basedOn w:val="Normal"/>
    <w:rsid w:val="00DC0B4B"/>
    <w:pPr>
      <w:pBdr>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151">
    <w:name w:val="xl151"/>
    <w:basedOn w:val="Normal"/>
    <w:rsid w:val="00DC0B4B"/>
    <w:pPr>
      <w:pBdr>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xl152">
    <w:name w:val="xl152"/>
    <w:basedOn w:val="Normal"/>
    <w:rsid w:val="00DC0B4B"/>
    <w:pPr>
      <w:spacing w:before="100" w:beforeAutospacing="1" w:after="100" w:afterAutospacing="1" w:line="240" w:lineRule="auto"/>
    </w:pPr>
    <w:rPr>
      <w:rFonts w:ascii="Arial" w:eastAsia="Times New Roman" w:hAnsi="Arial" w:cs="Arial"/>
      <w:sz w:val="24"/>
      <w:szCs w:val="24"/>
      <w:lang w:eastAsia="hr-HR"/>
    </w:rPr>
  </w:style>
  <w:style w:type="paragraph" w:customStyle="1" w:styleId="xl153">
    <w:name w:val="xl153"/>
    <w:basedOn w:val="Normal"/>
    <w:rsid w:val="00DC0B4B"/>
    <w:pPr>
      <w:pBdr>
        <w:left w:val="single" w:sz="4" w:space="0" w:color="auto"/>
      </w:pBdr>
      <w:spacing w:before="100" w:beforeAutospacing="1" w:after="100" w:afterAutospacing="1" w:line="240" w:lineRule="auto"/>
    </w:pPr>
    <w:rPr>
      <w:rFonts w:ascii="Arial" w:eastAsia="Times New Roman" w:hAnsi="Arial" w:cs="Arial"/>
      <w:sz w:val="24"/>
      <w:szCs w:val="24"/>
      <w:lang w:eastAsia="hr-HR"/>
    </w:rPr>
  </w:style>
  <w:style w:type="paragraph" w:customStyle="1" w:styleId="xl154">
    <w:name w:val="xl154"/>
    <w:basedOn w:val="Normal"/>
    <w:rsid w:val="00DC0B4B"/>
    <w:pPr>
      <w:spacing w:before="100" w:beforeAutospacing="1" w:after="100" w:afterAutospacing="1" w:line="240" w:lineRule="auto"/>
    </w:pPr>
    <w:rPr>
      <w:rFonts w:ascii="Arial" w:eastAsia="Times New Roman" w:hAnsi="Arial" w:cs="Arial"/>
      <w:sz w:val="24"/>
      <w:szCs w:val="24"/>
      <w:lang w:eastAsia="hr-HR"/>
    </w:rPr>
  </w:style>
  <w:style w:type="paragraph" w:customStyle="1" w:styleId="xl155">
    <w:name w:val="xl155"/>
    <w:basedOn w:val="Normal"/>
    <w:rsid w:val="00DC0B4B"/>
    <w:pPr>
      <w:pBdr>
        <w:left w:val="single" w:sz="4" w:space="0" w:color="auto"/>
      </w:pBdr>
      <w:shd w:val="clear" w:color="000000" w:fill="FF99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56">
    <w:name w:val="xl156"/>
    <w:basedOn w:val="Normal"/>
    <w:rsid w:val="00DC0B4B"/>
    <w:pPr>
      <w:pBdr>
        <w:left w:val="single" w:sz="4" w:space="0" w:color="auto"/>
      </w:pBdr>
      <w:shd w:val="clear" w:color="000000" w:fill="FF99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57">
    <w:name w:val="xl157"/>
    <w:basedOn w:val="Normal"/>
    <w:rsid w:val="00DC0B4B"/>
    <w:pPr>
      <w:pBdr>
        <w:left w:val="single" w:sz="4" w:space="0" w:color="auto"/>
      </w:pBdr>
      <w:shd w:val="clear" w:color="000000" w:fill="FF9900"/>
      <w:spacing w:before="100" w:beforeAutospacing="1" w:after="100" w:afterAutospacing="1" w:line="240" w:lineRule="auto"/>
    </w:pPr>
    <w:rPr>
      <w:rFonts w:ascii="Arial" w:eastAsia="Times New Roman" w:hAnsi="Arial" w:cs="Arial"/>
      <w:b/>
      <w:bCs/>
      <w:sz w:val="24"/>
      <w:szCs w:val="24"/>
      <w:lang w:eastAsia="hr-HR"/>
    </w:rPr>
  </w:style>
  <w:style w:type="paragraph" w:customStyle="1" w:styleId="xl158">
    <w:name w:val="xl158"/>
    <w:basedOn w:val="Normal"/>
    <w:rsid w:val="00DC0B4B"/>
    <w:pPr>
      <w:pBdr>
        <w:left w:val="single" w:sz="4" w:space="0" w:color="auto"/>
      </w:pBdr>
      <w:shd w:val="clear" w:color="000000" w:fill="FFFF99"/>
      <w:spacing w:before="100" w:beforeAutospacing="1" w:after="100" w:afterAutospacing="1" w:line="240" w:lineRule="auto"/>
    </w:pPr>
    <w:rPr>
      <w:rFonts w:ascii="Arial" w:eastAsia="Times New Roman" w:hAnsi="Arial" w:cs="Arial"/>
      <w:b/>
      <w:bCs/>
      <w:sz w:val="24"/>
      <w:szCs w:val="24"/>
      <w:lang w:eastAsia="hr-HR"/>
    </w:rPr>
  </w:style>
  <w:style w:type="paragraph" w:customStyle="1" w:styleId="xl159">
    <w:name w:val="xl159"/>
    <w:basedOn w:val="Normal"/>
    <w:rsid w:val="00DC0B4B"/>
    <w:pPr>
      <w:pBdr>
        <w:left w:val="single" w:sz="4" w:space="0" w:color="auto"/>
      </w:pBdr>
      <w:shd w:val="clear" w:color="000000" w:fill="FF9900"/>
      <w:spacing w:before="100" w:beforeAutospacing="1" w:after="100" w:afterAutospacing="1" w:line="240" w:lineRule="auto"/>
    </w:pPr>
    <w:rPr>
      <w:rFonts w:ascii="Arial" w:eastAsia="Times New Roman" w:hAnsi="Arial" w:cs="Arial"/>
      <w:b/>
      <w:bCs/>
      <w:sz w:val="24"/>
      <w:szCs w:val="24"/>
      <w:lang w:eastAsia="hr-HR"/>
    </w:rPr>
  </w:style>
  <w:style w:type="paragraph" w:customStyle="1" w:styleId="xl160">
    <w:name w:val="xl160"/>
    <w:basedOn w:val="Normal"/>
    <w:rsid w:val="00DC0B4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61">
    <w:name w:val="xl161"/>
    <w:basedOn w:val="Normal"/>
    <w:rsid w:val="00DC0B4B"/>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62">
    <w:name w:val="xl162"/>
    <w:basedOn w:val="Normal"/>
    <w:rsid w:val="00DC0B4B"/>
    <w:pPr>
      <w:pBdr>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163">
    <w:name w:val="xl163"/>
    <w:basedOn w:val="Normal"/>
    <w:rsid w:val="00DC0B4B"/>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character" w:customStyle="1" w:styleId="fontstyle21">
    <w:name w:val="fontstyle21"/>
    <w:basedOn w:val="Zadanifontodlomka"/>
    <w:rsid w:val="0063343D"/>
    <w:rPr>
      <w:rFonts w:ascii="ArialNarrow-Bold" w:hAnsi="ArialNarrow-Bold" w:hint="default"/>
      <w:b/>
      <w:bCs/>
      <w:i w:val="0"/>
      <w:iCs w:val="0"/>
      <w:color w:val="000000"/>
      <w:sz w:val="22"/>
      <w:szCs w:val="22"/>
    </w:rPr>
  </w:style>
  <w:style w:type="paragraph" w:customStyle="1" w:styleId="box478419">
    <w:name w:val="box_478419"/>
    <w:basedOn w:val="Normal"/>
    <w:rsid w:val="002B75A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defaultparagraphfont-000003">
    <w:name w:val="defaultparagraphfont-000003"/>
    <w:basedOn w:val="Zadanifontodlomka"/>
    <w:rsid w:val="002B75AD"/>
  </w:style>
  <w:style w:type="character" w:customStyle="1" w:styleId="TekstfusnoteChar">
    <w:name w:val="Tekst fusnote Char"/>
    <w:basedOn w:val="Zadanifontodlomka"/>
    <w:rsid w:val="008805D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709">
      <w:bodyDiv w:val="1"/>
      <w:marLeft w:val="0"/>
      <w:marRight w:val="0"/>
      <w:marTop w:val="0"/>
      <w:marBottom w:val="0"/>
      <w:divBdr>
        <w:top w:val="none" w:sz="0" w:space="0" w:color="auto"/>
        <w:left w:val="none" w:sz="0" w:space="0" w:color="auto"/>
        <w:bottom w:val="none" w:sz="0" w:space="0" w:color="auto"/>
        <w:right w:val="none" w:sz="0" w:space="0" w:color="auto"/>
      </w:divBdr>
    </w:div>
    <w:div w:id="24450837">
      <w:bodyDiv w:val="1"/>
      <w:marLeft w:val="0"/>
      <w:marRight w:val="0"/>
      <w:marTop w:val="0"/>
      <w:marBottom w:val="0"/>
      <w:divBdr>
        <w:top w:val="none" w:sz="0" w:space="0" w:color="auto"/>
        <w:left w:val="none" w:sz="0" w:space="0" w:color="auto"/>
        <w:bottom w:val="none" w:sz="0" w:space="0" w:color="auto"/>
        <w:right w:val="none" w:sz="0" w:space="0" w:color="auto"/>
      </w:divBdr>
    </w:div>
    <w:div w:id="86729310">
      <w:bodyDiv w:val="1"/>
      <w:marLeft w:val="0"/>
      <w:marRight w:val="0"/>
      <w:marTop w:val="0"/>
      <w:marBottom w:val="0"/>
      <w:divBdr>
        <w:top w:val="none" w:sz="0" w:space="0" w:color="auto"/>
        <w:left w:val="none" w:sz="0" w:space="0" w:color="auto"/>
        <w:bottom w:val="none" w:sz="0" w:space="0" w:color="auto"/>
        <w:right w:val="none" w:sz="0" w:space="0" w:color="auto"/>
      </w:divBdr>
    </w:div>
    <w:div w:id="130513620">
      <w:bodyDiv w:val="1"/>
      <w:marLeft w:val="0"/>
      <w:marRight w:val="0"/>
      <w:marTop w:val="0"/>
      <w:marBottom w:val="0"/>
      <w:divBdr>
        <w:top w:val="none" w:sz="0" w:space="0" w:color="auto"/>
        <w:left w:val="none" w:sz="0" w:space="0" w:color="auto"/>
        <w:bottom w:val="none" w:sz="0" w:space="0" w:color="auto"/>
        <w:right w:val="none" w:sz="0" w:space="0" w:color="auto"/>
      </w:divBdr>
    </w:div>
    <w:div w:id="135415539">
      <w:bodyDiv w:val="1"/>
      <w:marLeft w:val="0"/>
      <w:marRight w:val="0"/>
      <w:marTop w:val="0"/>
      <w:marBottom w:val="0"/>
      <w:divBdr>
        <w:top w:val="none" w:sz="0" w:space="0" w:color="auto"/>
        <w:left w:val="none" w:sz="0" w:space="0" w:color="auto"/>
        <w:bottom w:val="none" w:sz="0" w:space="0" w:color="auto"/>
        <w:right w:val="none" w:sz="0" w:space="0" w:color="auto"/>
      </w:divBdr>
    </w:div>
    <w:div w:id="200828869">
      <w:bodyDiv w:val="1"/>
      <w:marLeft w:val="0"/>
      <w:marRight w:val="0"/>
      <w:marTop w:val="0"/>
      <w:marBottom w:val="0"/>
      <w:divBdr>
        <w:top w:val="none" w:sz="0" w:space="0" w:color="auto"/>
        <w:left w:val="none" w:sz="0" w:space="0" w:color="auto"/>
        <w:bottom w:val="none" w:sz="0" w:space="0" w:color="auto"/>
        <w:right w:val="none" w:sz="0" w:space="0" w:color="auto"/>
      </w:divBdr>
    </w:div>
    <w:div w:id="259411332">
      <w:bodyDiv w:val="1"/>
      <w:marLeft w:val="0"/>
      <w:marRight w:val="0"/>
      <w:marTop w:val="0"/>
      <w:marBottom w:val="0"/>
      <w:divBdr>
        <w:top w:val="none" w:sz="0" w:space="0" w:color="auto"/>
        <w:left w:val="none" w:sz="0" w:space="0" w:color="auto"/>
        <w:bottom w:val="none" w:sz="0" w:space="0" w:color="auto"/>
        <w:right w:val="none" w:sz="0" w:space="0" w:color="auto"/>
      </w:divBdr>
    </w:div>
    <w:div w:id="279919225">
      <w:bodyDiv w:val="1"/>
      <w:marLeft w:val="0"/>
      <w:marRight w:val="0"/>
      <w:marTop w:val="0"/>
      <w:marBottom w:val="0"/>
      <w:divBdr>
        <w:top w:val="none" w:sz="0" w:space="0" w:color="auto"/>
        <w:left w:val="none" w:sz="0" w:space="0" w:color="auto"/>
        <w:bottom w:val="none" w:sz="0" w:space="0" w:color="auto"/>
        <w:right w:val="none" w:sz="0" w:space="0" w:color="auto"/>
      </w:divBdr>
    </w:div>
    <w:div w:id="290213005">
      <w:bodyDiv w:val="1"/>
      <w:marLeft w:val="0"/>
      <w:marRight w:val="0"/>
      <w:marTop w:val="0"/>
      <w:marBottom w:val="0"/>
      <w:divBdr>
        <w:top w:val="none" w:sz="0" w:space="0" w:color="auto"/>
        <w:left w:val="none" w:sz="0" w:space="0" w:color="auto"/>
        <w:bottom w:val="none" w:sz="0" w:space="0" w:color="auto"/>
        <w:right w:val="none" w:sz="0" w:space="0" w:color="auto"/>
      </w:divBdr>
    </w:div>
    <w:div w:id="304241872">
      <w:bodyDiv w:val="1"/>
      <w:marLeft w:val="0"/>
      <w:marRight w:val="0"/>
      <w:marTop w:val="0"/>
      <w:marBottom w:val="0"/>
      <w:divBdr>
        <w:top w:val="none" w:sz="0" w:space="0" w:color="auto"/>
        <w:left w:val="none" w:sz="0" w:space="0" w:color="auto"/>
        <w:bottom w:val="none" w:sz="0" w:space="0" w:color="auto"/>
        <w:right w:val="none" w:sz="0" w:space="0" w:color="auto"/>
      </w:divBdr>
    </w:div>
    <w:div w:id="305476499">
      <w:bodyDiv w:val="1"/>
      <w:marLeft w:val="0"/>
      <w:marRight w:val="0"/>
      <w:marTop w:val="0"/>
      <w:marBottom w:val="0"/>
      <w:divBdr>
        <w:top w:val="none" w:sz="0" w:space="0" w:color="auto"/>
        <w:left w:val="none" w:sz="0" w:space="0" w:color="auto"/>
        <w:bottom w:val="none" w:sz="0" w:space="0" w:color="auto"/>
        <w:right w:val="none" w:sz="0" w:space="0" w:color="auto"/>
      </w:divBdr>
    </w:div>
    <w:div w:id="316691836">
      <w:bodyDiv w:val="1"/>
      <w:marLeft w:val="0"/>
      <w:marRight w:val="0"/>
      <w:marTop w:val="0"/>
      <w:marBottom w:val="0"/>
      <w:divBdr>
        <w:top w:val="none" w:sz="0" w:space="0" w:color="auto"/>
        <w:left w:val="none" w:sz="0" w:space="0" w:color="auto"/>
        <w:bottom w:val="none" w:sz="0" w:space="0" w:color="auto"/>
        <w:right w:val="none" w:sz="0" w:space="0" w:color="auto"/>
      </w:divBdr>
    </w:div>
    <w:div w:id="358897603">
      <w:bodyDiv w:val="1"/>
      <w:marLeft w:val="0"/>
      <w:marRight w:val="0"/>
      <w:marTop w:val="0"/>
      <w:marBottom w:val="0"/>
      <w:divBdr>
        <w:top w:val="none" w:sz="0" w:space="0" w:color="auto"/>
        <w:left w:val="none" w:sz="0" w:space="0" w:color="auto"/>
        <w:bottom w:val="none" w:sz="0" w:space="0" w:color="auto"/>
        <w:right w:val="none" w:sz="0" w:space="0" w:color="auto"/>
      </w:divBdr>
    </w:div>
    <w:div w:id="390077968">
      <w:bodyDiv w:val="1"/>
      <w:marLeft w:val="0"/>
      <w:marRight w:val="0"/>
      <w:marTop w:val="0"/>
      <w:marBottom w:val="0"/>
      <w:divBdr>
        <w:top w:val="none" w:sz="0" w:space="0" w:color="auto"/>
        <w:left w:val="none" w:sz="0" w:space="0" w:color="auto"/>
        <w:bottom w:val="none" w:sz="0" w:space="0" w:color="auto"/>
        <w:right w:val="none" w:sz="0" w:space="0" w:color="auto"/>
      </w:divBdr>
    </w:div>
    <w:div w:id="413891285">
      <w:bodyDiv w:val="1"/>
      <w:marLeft w:val="0"/>
      <w:marRight w:val="0"/>
      <w:marTop w:val="0"/>
      <w:marBottom w:val="0"/>
      <w:divBdr>
        <w:top w:val="none" w:sz="0" w:space="0" w:color="auto"/>
        <w:left w:val="none" w:sz="0" w:space="0" w:color="auto"/>
        <w:bottom w:val="none" w:sz="0" w:space="0" w:color="auto"/>
        <w:right w:val="none" w:sz="0" w:space="0" w:color="auto"/>
      </w:divBdr>
    </w:div>
    <w:div w:id="467550160">
      <w:bodyDiv w:val="1"/>
      <w:marLeft w:val="0"/>
      <w:marRight w:val="0"/>
      <w:marTop w:val="0"/>
      <w:marBottom w:val="0"/>
      <w:divBdr>
        <w:top w:val="none" w:sz="0" w:space="0" w:color="auto"/>
        <w:left w:val="none" w:sz="0" w:space="0" w:color="auto"/>
        <w:bottom w:val="none" w:sz="0" w:space="0" w:color="auto"/>
        <w:right w:val="none" w:sz="0" w:space="0" w:color="auto"/>
      </w:divBdr>
    </w:div>
    <w:div w:id="481434289">
      <w:bodyDiv w:val="1"/>
      <w:marLeft w:val="0"/>
      <w:marRight w:val="0"/>
      <w:marTop w:val="0"/>
      <w:marBottom w:val="0"/>
      <w:divBdr>
        <w:top w:val="none" w:sz="0" w:space="0" w:color="auto"/>
        <w:left w:val="none" w:sz="0" w:space="0" w:color="auto"/>
        <w:bottom w:val="none" w:sz="0" w:space="0" w:color="auto"/>
        <w:right w:val="none" w:sz="0" w:space="0" w:color="auto"/>
      </w:divBdr>
    </w:div>
    <w:div w:id="495537424">
      <w:bodyDiv w:val="1"/>
      <w:marLeft w:val="0"/>
      <w:marRight w:val="0"/>
      <w:marTop w:val="0"/>
      <w:marBottom w:val="0"/>
      <w:divBdr>
        <w:top w:val="none" w:sz="0" w:space="0" w:color="auto"/>
        <w:left w:val="none" w:sz="0" w:space="0" w:color="auto"/>
        <w:bottom w:val="none" w:sz="0" w:space="0" w:color="auto"/>
        <w:right w:val="none" w:sz="0" w:space="0" w:color="auto"/>
      </w:divBdr>
    </w:div>
    <w:div w:id="498616628">
      <w:bodyDiv w:val="1"/>
      <w:marLeft w:val="0"/>
      <w:marRight w:val="0"/>
      <w:marTop w:val="0"/>
      <w:marBottom w:val="0"/>
      <w:divBdr>
        <w:top w:val="none" w:sz="0" w:space="0" w:color="auto"/>
        <w:left w:val="none" w:sz="0" w:space="0" w:color="auto"/>
        <w:bottom w:val="none" w:sz="0" w:space="0" w:color="auto"/>
        <w:right w:val="none" w:sz="0" w:space="0" w:color="auto"/>
      </w:divBdr>
    </w:div>
    <w:div w:id="507410044">
      <w:bodyDiv w:val="1"/>
      <w:marLeft w:val="0"/>
      <w:marRight w:val="0"/>
      <w:marTop w:val="0"/>
      <w:marBottom w:val="0"/>
      <w:divBdr>
        <w:top w:val="none" w:sz="0" w:space="0" w:color="auto"/>
        <w:left w:val="none" w:sz="0" w:space="0" w:color="auto"/>
        <w:bottom w:val="none" w:sz="0" w:space="0" w:color="auto"/>
        <w:right w:val="none" w:sz="0" w:space="0" w:color="auto"/>
      </w:divBdr>
    </w:div>
    <w:div w:id="522284040">
      <w:bodyDiv w:val="1"/>
      <w:marLeft w:val="0"/>
      <w:marRight w:val="0"/>
      <w:marTop w:val="0"/>
      <w:marBottom w:val="0"/>
      <w:divBdr>
        <w:top w:val="none" w:sz="0" w:space="0" w:color="auto"/>
        <w:left w:val="none" w:sz="0" w:space="0" w:color="auto"/>
        <w:bottom w:val="none" w:sz="0" w:space="0" w:color="auto"/>
        <w:right w:val="none" w:sz="0" w:space="0" w:color="auto"/>
      </w:divBdr>
    </w:div>
    <w:div w:id="541402872">
      <w:bodyDiv w:val="1"/>
      <w:marLeft w:val="0"/>
      <w:marRight w:val="0"/>
      <w:marTop w:val="0"/>
      <w:marBottom w:val="0"/>
      <w:divBdr>
        <w:top w:val="none" w:sz="0" w:space="0" w:color="auto"/>
        <w:left w:val="none" w:sz="0" w:space="0" w:color="auto"/>
        <w:bottom w:val="none" w:sz="0" w:space="0" w:color="auto"/>
        <w:right w:val="none" w:sz="0" w:space="0" w:color="auto"/>
      </w:divBdr>
    </w:div>
    <w:div w:id="584415175">
      <w:bodyDiv w:val="1"/>
      <w:marLeft w:val="0"/>
      <w:marRight w:val="0"/>
      <w:marTop w:val="0"/>
      <w:marBottom w:val="0"/>
      <w:divBdr>
        <w:top w:val="none" w:sz="0" w:space="0" w:color="auto"/>
        <w:left w:val="none" w:sz="0" w:space="0" w:color="auto"/>
        <w:bottom w:val="none" w:sz="0" w:space="0" w:color="auto"/>
        <w:right w:val="none" w:sz="0" w:space="0" w:color="auto"/>
      </w:divBdr>
    </w:div>
    <w:div w:id="585575328">
      <w:bodyDiv w:val="1"/>
      <w:marLeft w:val="0"/>
      <w:marRight w:val="0"/>
      <w:marTop w:val="0"/>
      <w:marBottom w:val="0"/>
      <w:divBdr>
        <w:top w:val="none" w:sz="0" w:space="0" w:color="auto"/>
        <w:left w:val="none" w:sz="0" w:space="0" w:color="auto"/>
        <w:bottom w:val="none" w:sz="0" w:space="0" w:color="auto"/>
        <w:right w:val="none" w:sz="0" w:space="0" w:color="auto"/>
      </w:divBdr>
    </w:div>
    <w:div w:id="594172312">
      <w:bodyDiv w:val="1"/>
      <w:marLeft w:val="0"/>
      <w:marRight w:val="0"/>
      <w:marTop w:val="0"/>
      <w:marBottom w:val="0"/>
      <w:divBdr>
        <w:top w:val="none" w:sz="0" w:space="0" w:color="auto"/>
        <w:left w:val="none" w:sz="0" w:space="0" w:color="auto"/>
        <w:bottom w:val="none" w:sz="0" w:space="0" w:color="auto"/>
        <w:right w:val="none" w:sz="0" w:space="0" w:color="auto"/>
      </w:divBdr>
    </w:div>
    <w:div w:id="602305224">
      <w:bodyDiv w:val="1"/>
      <w:marLeft w:val="0"/>
      <w:marRight w:val="0"/>
      <w:marTop w:val="0"/>
      <w:marBottom w:val="0"/>
      <w:divBdr>
        <w:top w:val="none" w:sz="0" w:space="0" w:color="auto"/>
        <w:left w:val="none" w:sz="0" w:space="0" w:color="auto"/>
        <w:bottom w:val="none" w:sz="0" w:space="0" w:color="auto"/>
        <w:right w:val="none" w:sz="0" w:space="0" w:color="auto"/>
      </w:divBdr>
    </w:div>
    <w:div w:id="610237275">
      <w:bodyDiv w:val="1"/>
      <w:marLeft w:val="0"/>
      <w:marRight w:val="0"/>
      <w:marTop w:val="0"/>
      <w:marBottom w:val="0"/>
      <w:divBdr>
        <w:top w:val="none" w:sz="0" w:space="0" w:color="auto"/>
        <w:left w:val="none" w:sz="0" w:space="0" w:color="auto"/>
        <w:bottom w:val="none" w:sz="0" w:space="0" w:color="auto"/>
        <w:right w:val="none" w:sz="0" w:space="0" w:color="auto"/>
      </w:divBdr>
    </w:div>
    <w:div w:id="618492272">
      <w:bodyDiv w:val="1"/>
      <w:marLeft w:val="0"/>
      <w:marRight w:val="0"/>
      <w:marTop w:val="0"/>
      <w:marBottom w:val="0"/>
      <w:divBdr>
        <w:top w:val="none" w:sz="0" w:space="0" w:color="auto"/>
        <w:left w:val="none" w:sz="0" w:space="0" w:color="auto"/>
        <w:bottom w:val="none" w:sz="0" w:space="0" w:color="auto"/>
        <w:right w:val="none" w:sz="0" w:space="0" w:color="auto"/>
      </w:divBdr>
    </w:div>
    <w:div w:id="684480867">
      <w:bodyDiv w:val="1"/>
      <w:marLeft w:val="0"/>
      <w:marRight w:val="0"/>
      <w:marTop w:val="0"/>
      <w:marBottom w:val="0"/>
      <w:divBdr>
        <w:top w:val="none" w:sz="0" w:space="0" w:color="auto"/>
        <w:left w:val="none" w:sz="0" w:space="0" w:color="auto"/>
        <w:bottom w:val="none" w:sz="0" w:space="0" w:color="auto"/>
        <w:right w:val="none" w:sz="0" w:space="0" w:color="auto"/>
      </w:divBdr>
    </w:div>
    <w:div w:id="689065568">
      <w:bodyDiv w:val="1"/>
      <w:marLeft w:val="0"/>
      <w:marRight w:val="0"/>
      <w:marTop w:val="0"/>
      <w:marBottom w:val="0"/>
      <w:divBdr>
        <w:top w:val="none" w:sz="0" w:space="0" w:color="auto"/>
        <w:left w:val="none" w:sz="0" w:space="0" w:color="auto"/>
        <w:bottom w:val="none" w:sz="0" w:space="0" w:color="auto"/>
        <w:right w:val="none" w:sz="0" w:space="0" w:color="auto"/>
      </w:divBdr>
    </w:div>
    <w:div w:id="706180378">
      <w:bodyDiv w:val="1"/>
      <w:marLeft w:val="0"/>
      <w:marRight w:val="0"/>
      <w:marTop w:val="0"/>
      <w:marBottom w:val="0"/>
      <w:divBdr>
        <w:top w:val="none" w:sz="0" w:space="0" w:color="auto"/>
        <w:left w:val="none" w:sz="0" w:space="0" w:color="auto"/>
        <w:bottom w:val="none" w:sz="0" w:space="0" w:color="auto"/>
        <w:right w:val="none" w:sz="0" w:space="0" w:color="auto"/>
      </w:divBdr>
    </w:div>
    <w:div w:id="717508810">
      <w:bodyDiv w:val="1"/>
      <w:marLeft w:val="0"/>
      <w:marRight w:val="0"/>
      <w:marTop w:val="0"/>
      <w:marBottom w:val="0"/>
      <w:divBdr>
        <w:top w:val="none" w:sz="0" w:space="0" w:color="auto"/>
        <w:left w:val="none" w:sz="0" w:space="0" w:color="auto"/>
        <w:bottom w:val="none" w:sz="0" w:space="0" w:color="auto"/>
        <w:right w:val="none" w:sz="0" w:space="0" w:color="auto"/>
      </w:divBdr>
    </w:div>
    <w:div w:id="730496050">
      <w:bodyDiv w:val="1"/>
      <w:marLeft w:val="0"/>
      <w:marRight w:val="0"/>
      <w:marTop w:val="0"/>
      <w:marBottom w:val="0"/>
      <w:divBdr>
        <w:top w:val="none" w:sz="0" w:space="0" w:color="auto"/>
        <w:left w:val="none" w:sz="0" w:space="0" w:color="auto"/>
        <w:bottom w:val="none" w:sz="0" w:space="0" w:color="auto"/>
        <w:right w:val="none" w:sz="0" w:space="0" w:color="auto"/>
      </w:divBdr>
    </w:div>
    <w:div w:id="738864932">
      <w:bodyDiv w:val="1"/>
      <w:marLeft w:val="0"/>
      <w:marRight w:val="0"/>
      <w:marTop w:val="0"/>
      <w:marBottom w:val="0"/>
      <w:divBdr>
        <w:top w:val="none" w:sz="0" w:space="0" w:color="auto"/>
        <w:left w:val="none" w:sz="0" w:space="0" w:color="auto"/>
        <w:bottom w:val="none" w:sz="0" w:space="0" w:color="auto"/>
        <w:right w:val="none" w:sz="0" w:space="0" w:color="auto"/>
      </w:divBdr>
    </w:div>
    <w:div w:id="745080302">
      <w:bodyDiv w:val="1"/>
      <w:marLeft w:val="0"/>
      <w:marRight w:val="0"/>
      <w:marTop w:val="0"/>
      <w:marBottom w:val="0"/>
      <w:divBdr>
        <w:top w:val="none" w:sz="0" w:space="0" w:color="auto"/>
        <w:left w:val="none" w:sz="0" w:space="0" w:color="auto"/>
        <w:bottom w:val="none" w:sz="0" w:space="0" w:color="auto"/>
        <w:right w:val="none" w:sz="0" w:space="0" w:color="auto"/>
      </w:divBdr>
    </w:div>
    <w:div w:id="747533454">
      <w:bodyDiv w:val="1"/>
      <w:marLeft w:val="0"/>
      <w:marRight w:val="0"/>
      <w:marTop w:val="0"/>
      <w:marBottom w:val="0"/>
      <w:divBdr>
        <w:top w:val="none" w:sz="0" w:space="0" w:color="auto"/>
        <w:left w:val="none" w:sz="0" w:space="0" w:color="auto"/>
        <w:bottom w:val="none" w:sz="0" w:space="0" w:color="auto"/>
        <w:right w:val="none" w:sz="0" w:space="0" w:color="auto"/>
      </w:divBdr>
    </w:div>
    <w:div w:id="785926709">
      <w:bodyDiv w:val="1"/>
      <w:marLeft w:val="0"/>
      <w:marRight w:val="0"/>
      <w:marTop w:val="0"/>
      <w:marBottom w:val="0"/>
      <w:divBdr>
        <w:top w:val="none" w:sz="0" w:space="0" w:color="auto"/>
        <w:left w:val="none" w:sz="0" w:space="0" w:color="auto"/>
        <w:bottom w:val="none" w:sz="0" w:space="0" w:color="auto"/>
        <w:right w:val="none" w:sz="0" w:space="0" w:color="auto"/>
      </w:divBdr>
    </w:div>
    <w:div w:id="786316591">
      <w:bodyDiv w:val="1"/>
      <w:marLeft w:val="0"/>
      <w:marRight w:val="0"/>
      <w:marTop w:val="0"/>
      <w:marBottom w:val="0"/>
      <w:divBdr>
        <w:top w:val="none" w:sz="0" w:space="0" w:color="auto"/>
        <w:left w:val="none" w:sz="0" w:space="0" w:color="auto"/>
        <w:bottom w:val="none" w:sz="0" w:space="0" w:color="auto"/>
        <w:right w:val="none" w:sz="0" w:space="0" w:color="auto"/>
      </w:divBdr>
    </w:div>
    <w:div w:id="808283862">
      <w:bodyDiv w:val="1"/>
      <w:marLeft w:val="0"/>
      <w:marRight w:val="0"/>
      <w:marTop w:val="0"/>
      <w:marBottom w:val="0"/>
      <w:divBdr>
        <w:top w:val="none" w:sz="0" w:space="0" w:color="auto"/>
        <w:left w:val="none" w:sz="0" w:space="0" w:color="auto"/>
        <w:bottom w:val="none" w:sz="0" w:space="0" w:color="auto"/>
        <w:right w:val="none" w:sz="0" w:space="0" w:color="auto"/>
      </w:divBdr>
    </w:div>
    <w:div w:id="846140779">
      <w:bodyDiv w:val="1"/>
      <w:marLeft w:val="0"/>
      <w:marRight w:val="0"/>
      <w:marTop w:val="0"/>
      <w:marBottom w:val="0"/>
      <w:divBdr>
        <w:top w:val="none" w:sz="0" w:space="0" w:color="auto"/>
        <w:left w:val="none" w:sz="0" w:space="0" w:color="auto"/>
        <w:bottom w:val="none" w:sz="0" w:space="0" w:color="auto"/>
        <w:right w:val="none" w:sz="0" w:space="0" w:color="auto"/>
      </w:divBdr>
    </w:div>
    <w:div w:id="849292092">
      <w:bodyDiv w:val="1"/>
      <w:marLeft w:val="0"/>
      <w:marRight w:val="0"/>
      <w:marTop w:val="0"/>
      <w:marBottom w:val="0"/>
      <w:divBdr>
        <w:top w:val="none" w:sz="0" w:space="0" w:color="auto"/>
        <w:left w:val="none" w:sz="0" w:space="0" w:color="auto"/>
        <w:bottom w:val="none" w:sz="0" w:space="0" w:color="auto"/>
        <w:right w:val="none" w:sz="0" w:space="0" w:color="auto"/>
      </w:divBdr>
    </w:div>
    <w:div w:id="854616148">
      <w:bodyDiv w:val="1"/>
      <w:marLeft w:val="0"/>
      <w:marRight w:val="0"/>
      <w:marTop w:val="0"/>
      <w:marBottom w:val="0"/>
      <w:divBdr>
        <w:top w:val="none" w:sz="0" w:space="0" w:color="auto"/>
        <w:left w:val="none" w:sz="0" w:space="0" w:color="auto"/>
        <w:bottom w:val="none" w:sz="0" w:space="0" w:color="auto"/>
        <w:right w:val="none" w:sz="0" w:space="0" w:color="auto"/>
      </w:divBdr>
    </w:div>
    <w:div w:id="894967367">
      <w:bodyDiv w:val="1"/>
      <w:marLeft w:val="0"/>
      <w:marRight w:val="0"/>
      <w:marTop w:val="0"/>
      <w:marBottom w:val="0"/>
      <w:divBdr>
        <w:top w:val="none" w:sz="0" w:space="0" w:color="auto"/>
        <w:left w:val="none" w:sz="0" w:space="0" w:color="auto"/>
        <w:bottom w:val="none" w:sz="0" w:space="0" w:color="auto"/>
        <w:right w:val="none" w:sz="0" w:space="0" w:color="auto"/>
      </w:divBdr>
    </w:div>
    <w:div w:id="932010272">
      <w:bodyDiv w:val="1"/>
      <w:marLeft w:val="0"/>
      <w:marRight w:val="0"/>
      <w:marTop w:val="0"/>
      <w:marBottom w:val="0"/>
      <w:divBdr>
        <w:top w:val="none" w:sz="0" w:space="0" w:color="auto"/>
        <w:left w:val="none" w:sz="0" w:space="0" w:color="auto"/>
        <w:bottom w:val="none" w:sz="0" w:space="0" w:color="auto"/>
        <w:right w:val="none" w:sz="0" w:space="0" w:color="auto"/>
      </w:divBdr>
    </w:div>
    <w:div w:id="942807665">
      <w:bodyDiv w:val="1"/>
      <w:marLeft w:val="0"/>
      <w:marRight w:val="0"/>
      <w:marTop w:val="0"/>
      <w:marBottom w:val="0"/>
      <w:divBdr>
        <w:top w:val="none" w:sz="0" w:space="0" w:color="auto"/>
        <w:left w:val="none" w:sz="0" w:space="0" w:color="auto"/>
        <w:bottom w:val="none" w:sz="0" w:space="0" w:color="auto"/>
        <w:right w:val="none" w:sz="0" w:space="0" w:color="auto"/>
      </w:divBdr>
    </w:div>
    <w:div w:id="959383089">
      <w:bodyDiv w:val="1"/>
      <w:marLeft w:val="0"/>
      <w:marRight w:val="0"/>
      <w:marTop w:val="0"/>
      <w:marBottom w:val="0"/>
      <w:divBdr>
        <w:top w:val="none" w:sz="0" w:space="0" w:color="auto"/>
        <w:left w:val="none" w:sz="0" w:space="0" w:color="auto"/>
        <w:bottom w:val="none" w:sz="0" w:space="0" w:color="auto"/>
        <w:right w:val="none" w:sz="0" w:space="0" w:color="auto"/>
      </w:divBdr>
    </w:div>
    <w:div w:id="965306797">
      <w:bodyDiv w:val="1"/>
      <w:marLeft w:val="0"/>
      <w:marRight w:val="0"/>
      <w:marTop w:val="0"/>
      <w:marBottom w:val="0"/>
      <w:divBdr>
        <w:top w:val="none" w:sz="0" w:space="0" w:color="auto"/>
        <w:left w:val="none" w:sz="0" w:space="0" w:color="auto"/>
        <w:bottom w:val="none" w:sz="0" w:space="0" w:color="auto"/>
        <w:right w:val="none" w:sz="0" w:space="0" w:color="auto"/>
      </w:divBdr>
    </w:div>
    <w:div w:id="987708626">
      <w:bodyDiv w:val="1"/>
      <w:marLeft w:val="0"/>
      <w:marRight w:val="0"/>
      <w:marTop w:val="0"/>
      <w:marBottom w:val="0"/>
      <w:divBdr>
        <w:top w:val="none" w:sz="0" w:space="0" w:color="auto"/>
        <w:left w:val="none" w:sz="0" w:space="0" w:color="auto"/>
        <w:bottom w:val="none" w:sz="0" w:space="0" w:color="auto"/>
        <w:right w:val="none" w:sz="0" w:space="0" w:color="auto"/>
      </w:divBdr>
    </w:div>
    <w:div w:id="989135579">
      <w:bodyDiv w:val="1"/>
      <w:marLeft w:val="0"/>
      <w:marRight w:val="0"/>
      <w:marTop w:val="0"/>
      <w:marBottom w:val="0"/>
      <w:divBdr>
        <w:top w:val="none" w:sz="0" w:space="0" w:color="auto"/>
        <w:left w:val="none" w:sz="0" w:space="0" w:color="auto"/>
        <w:bottom w:val="none" w:sz="0" w:space="0" w:color="auto"/>
        <w:right w:val="none" w:sz="0" w:space="0" w:color="auto"/>
      </w:divBdr>
    </w:div>
    <w:div w:id="1034113509">
      <w:bodyDiv w:val="1"/>
      <w:marLeft w:val="0"/>
      <w:marRight w:val="0"/>
      <w:marTop w:val="0"/>
      <w:marBottom w:val="0"/>
      <w:divBdr>
        <w:top w:val="none" w:sz="0" w:space="0" w:color="auto"/>
        <w:left w:val="none" w:sz="0" w:space="0" w:color="auto"/>
        <w:bottom w:val="none" w:sz="0" w:space="0" w:color="auto"/>
        <w:right w:val="none" w:sz="0" w:space="0" w:color="auto"/>
      </w:divBdr>
    </w:div>
    <w:div w:id="1048844363">
      <w:bodyDiv w:val="1"/>
      <w:marLeft w:val="0"/>
      <w:marRight w:val="0"/>
      <w:marTop w:val="0"/>
      <w:marBottom w:val="0"/>
      <w:divBdr>
        <w:top w:val="none" w:sz="0" w:space="0" w:color="auto"/>
        <w:left w:val="none" w:sz="0" w:space="0" w:color="auto"/>
        <w:bottom w:val="none" w:sz="0" w:space="0" w:color="auto"/>
        <w:right w:val="none" w:sz="0" w:space="0" w:color="auto"/>
      </w:divBdr>
    </w:div>
    <w:div w:id="1052539256">
      <w:bodyDiv w:val="1"/>
      <w:marLeft w:val="0"/>
      <w:marRight w:val="0"/>
      <w:marTop w:val="0"/>
      <w:marBottom w:val="0"/>
      <w:divBdr>
        <w:top w:val="none" w:sz="0" w:space="0" w:color="auto"/>
        <w:left w:val="none" w:sz="0" w:space="0" w:color="auto"/>
        <w:bottom w:val="none" w:sz="0" w:space="0" w:color="auto"/>
        <w:right w:val="none" w:sz="0" w:space="0" w:color="auto"/>
      </w:divBdr>
    </w:div>
    <w:div w:id="1062562958">
      <w:bodyDiv w:val="1"/>
      <w:marLeft w:val="0"/>
      <w:marRight w:val="0"/>
      <w:marTop w:val="0"/>
      <w:marBottom w:val="0"/>
      <w:divBdr>
        <w:top w:val="none" w:sz="0" w:space="0" w:color="auto"/>
        <w:left w:val="none" w:sz="0" w:space="0" w:color="auto"/>
        <w:bottom w:val="none" w:sz="0" w:space="0" w:color="auto"/>
        <w:right w:val="none" w:sz="0" w:space="0" w:color="auto"/>
      </w:divBdr>
    </w:div>
    <w:div w:id="1104037441">
      <w:bodyDiv w:val="1"/>
      <w:marLeft w:val="0"/>
      <w:marRight w:val="0"/>
      <w:marTop w:val="0"/>
      <w:marBottom w:val="0"/>
      <w:divBdr>
        <w:top w:val="none" w:sz="0" w:space="0" w:color="auto"/>
        <w:left w:val="none" w:sz="0" w:space="0" w:color="auto"/>
        <w:bottom w:val="none" w:sz="0" w:space="0" w:color="auto"/>
        <w:right w:val="none" w:sz="0" w:space="0" w:color="auto"/>
      </w:divBdr>
    </w:div>
    <w:div w:id="1129399053">
      <w:bodyDiv w:val="1"/>
      <w:marLeft w:val="0"/>
      <w:marRight w:val="0"/>
      <w:marTop w:val="0"/>
      <w:marBottom w:val="0"/>
      <w:divBdr>
        <w:top w:val="none" w:sz="0" w:space="0" w:color="auto"/>
        <w:left w:val="none" w:sz="0" w:space="0" w:color="auto"/>
        <w:bottom w:val="none" w:sz="0" w:space="0" w:color="auto"/>
        <w:right w:val="none" w:sz="0" w:space="0" w:color="auto"/>
      </w:divBdr>
    </w:div>
    <w:div w:id="1141656055">
      <w:bodyDiv w:val="1"/>
      <w:marLeft w:val="0"/>
      <w:marRight w:val="0"/>
      <w:marTop w:val="0"/>
      <w:marBottom w:val="0"/>
      <w:divBdr>
        <w:top w:val="none" w:sz="0" w:space="0" w:color="auto"/>
        <w:left w:val="none" w:sz="0" w:space="0" w:color="auto"/>
        <w:bottom w:val="none" w:sz="0" w:space="0" w:color="auto"/>
        <w:right w:val="none" w:sz="0" w:space="0" w:color="auto"/>
      </w:divBdr>
    </w:div>
    <w:div w:id="1168910027">
      <w:bodyDiv w:val="1"/>
      <w:marLeft w:val="0"/>
      <w:marRight w:val="0"/>
      <w:marTop w:val="0"/>
      <w:marBottom w:val="0"/>
      <w:divBdr>
        <w:top w:val="none" w:sz="0" w:space="0" w:color="auto"/>
        <w:left w:val="none" w:sz="0" w:space="0" w:color="auto"/>
        <w:bottom w:val="none" w:sz="0" w:space="0" w:color="auto"/>
        <w:right w:val="none" w:sz="0" w:space="0" w:color="auto"/>
      </w:divBdr>
    </w:div>
    <w:div w:id="1197499723">
      <w:bodyDiv w:val="1"/>
      <w:marLeft w:val="0"/>
      <w:marRight w:val="0"/>
      <w:marTop w:val="0"/>
      <w:marBottom w:val="0"/>
      <w:divBdr>
        <w:top w:val="none" w:sz="0" w:space="0" w:color="auto"/>
        <w:left w:val="none" w:sz="0" w:space="0" w:color="auto"/>
        <w:bottom w:val="none" w:sz="0" w:space="0" w:color="auto"/>
        <w:right w:val="none" w:sz="0" w:space="0" w:color="auto"/>
      </w:divBdr>
    </w:div>
    <w:div w:id="1205487349">
      <w:bodyDiv w:val="1"/>
      <w:marLeft w:val="0"/>
      <w:marRight w:val="0"/>
      <w:marTop w:val="0"/>
      <w:marBottom w:val="0"/>
      <w:divBdr>
        <w:top w:val="none" w:sz="0" w:space="0" w:color="auto"/>
        <w:left w:val="none" w:sz="0" w:space="0" w:color="auto"/>
        <w:bottom w:val="none" w:sz="0" w:space="0" w:color="auto"/>
        <w:right w:val="none" w:sz="0" w:space="0" w:color="auto"/>
      </w:divBdr>
    </w:div>
    <w:div w:id="1218980921">
      <w:bodyDiv w:val="1"/>
      <w:marLeft w:val="0"/>
      <w:marRight w:val="0"/>
      <w:marTop w:val="0"/>
      <w:marBottom w:val="0"/>
      <w:divBdr>
        <w:top w:val="none" w:sz="0" w:space="0" w:color="auto"/>
        <w:left w:val="none" w:sz="0" w:space="0" w:color="auto"/>
        <w:bottom w:val="none" w:sz="0" w:space="0" w:color="auto"/>
        <w:right w:val="none" w:sz="0" w:space="0" w:color="auto"/>
      </w:divBdr>
    </w:div>
    <w:div w:id="1248883402">
      <w:bodyDiv w:val="1"/>
      <w:marLeft w:val="0"/>
      <w:marRight w:val="0"/>
      <w:marTop w:val="0"/>
      <w:marBottom w:val="0"/>
      <w:divBdr>
        <w:top w:val="none" w:sz="0" w:space="0" w:color="auto"/>
        <w:left w:val="none" w:sz="0" w:space="0" w:color="auto"/>
        <w:bottom w:val="none" w:sz="0" w:space="0" w:color="auto"/>
        <w:right w:val="none" w:sz="0" w:space="0" w:color="auto"/>
      </w:divBdr>
    </w:div>
    <w:div w:id="1252468657">
      <w:bodyDiv w:val="1"/>
      <w:marLeft w:val="0"/>
      <w:marRight w:val="0"/>
      <w:marTop w:val="0"/>
      <w:marBottom w:val="0"/>
      <w:divBdr>
        <w:top w:val="none" w:sz="0" w:space="0" w:color="auto"/>
        <w:left w:val="none" w:sz="0" w:space="0" w:color="auto"/>
        <w:bottom w:val="none" w:sz="0" w:space="0" w:color="auto"/>
        <w:right w:val="none" w:sz="0" w:space="0" w:color="auto"/>
      </w:divBdr>
    </w:div>
    <w:div w:id="1266689608">
      <w:bodyDiv w:val="1"/>
      <w:marLeft w:val="0"/>
      <w:marRight w:val="0"/>
      <w:marTop w:val="0"/>
      <w:marBottom w:val="0"/>
      <w:divBdr>
        <w:top w:val="none" w:sz="0" w:space="0" w:color="auto"/>
        <w:left w:val="none" w:sz="0" w:space="0" w:color="auto"/>
        <w:bottom w:val="none" w:sz="0" w:space="0" w:color="auto"/>
        <w:right w:val="none" w:sz="0" w:space="0" w:color="auto"/>
      </w:divBdr>
    </w:div>
    <w:div w:id="1284581616">
      <w:bodyDiv w:val="1"/>
      <w:marLeft w:val="0"/>
      <w:marRight w:val="0"/>
      <w:marTop w:val="0"/>
      <w:marBottom w:val="0"/>
      <w:divBdr>
        <w:top w:val="none" w:sz="0" w:space="0" w:color="auto"/>
        <w:left w:val="none" w:sz="0" w:space="0" w:color="auto"/>
        <w:bottom w:val="none" w:sz="0" w:space="0" w:color="auto"/>
        <w:right w:val="none" w:sz="0" w:space="0" w:color="auto"/>
      </w:divBdr>
    </w:div>
    <w:div w:id="1298417070">
      <w:bodyDiv w:val="1"/>
      <w:marLeft w:val="0"/>
      <w:marRight w:val="0"/>
      <w:marTop w:val="0"/>
      <w:marBottom w:val="0"/>
      <w:divBdr>
        <w:top w:val="none" w:sz="0" w:space="0" w:color="auto"/>
        <w:left w:val="none" w:sz="0" w:space="0" w:color="auto"/>
        <w:bottom w:val="none" w:sz="0" w:space="0" w:color="auto"/>
        <w:right w:val="none" w:sz="0" w:space="0" w:color="auto"/>
      </w:divBdr>
    </w:div>
    <w:div w:id="1312323603">
      <w:bodyDiv w:val="1"/>
      <w:marLeft w:val="0"/>
      <w:marRight w:val="0"/>
      <w:marTop w:val="0"/>
      <w:marBottom w:val="0"/>
      <w:divBdr>
        <w:top w:val="none" w:sz="0" w:space="0" w:color="auto"/>
        <w:left w:val="none" w:sz="0" w:space="0" w:color="auto"/>
        <w:bottom w:val="none" w:sz="0" w:space="0" w:color="auto"/>
        <w:right w:val="none" w:sz="0" w:space="0" w:color="auto"/>
      </w:divBdr>
    </w:div>
    <w:div w:id="1323394667">
      <w:bodyDiv w:val="1"/>
      <w:marLeft w:val="0"/>
      <w:marRight w:val="0"/>
      <w:marTop w:val="0"/>
      <w:marBottom w:val="0"/>
      <w:divBdr>
        <w:top w:val="none" w:sz="0" w:space="0" w:color="auto"/>
        <w:left w:val="none" w:sz="0" w:space="0" w:color="auto"/>
        <w:bottom w:val="none" w:sz="0" w:space="0" w:color="auto"/>
        <w:right w:val="none" w:sz="0" w:space="0" w:color="auto"/>
      </w:divBdr>
    </w:div>
    <w:div w:id="1353337927">
      <w:bodyDiv w:val="1"/>
      <w:marLeft w:val="0"/>
      <w:marRight w:val="0"/>
      <w:marTop w:val="0"/>
      <w:marBottom w:val="0"/>
      <w:divBdr>
        <w:top w:val="none" w:sz="0" w:space="0" w:color="auto"/>
        <w:left w:val="none" w:sz="0" w:space="0" w:color="auto"/>
        <w:bottom w:val="none" w:sz="0" w:space="0" w:color="auto"/>
        <w:right w:val="none" w:sz="0" w:space="0" w:color="auto"/>
      </w:divBdr>
    </w:div>
    <w:div w:id="1363214409">
      <w:bodyDiv w:val="1"/>
      <w:marLeft w:val="0"/>
      <w:marRight w:val="0"/>
      <w:marTop w:val="0"/>
      <w:marBottom w:val="0"/>
      <w:divBdr>
        <w:top w:val="none" w:sz="0" w:space="0" w:color="auto"/>
        <w:left w:val="none" w:sz="0" w:space="0" w:color="auto"/>
        <w:bottom w:val="none" w:sz="0" w:space="0" w:color="auto"/>
        <w:right w:val="none" w:sz="0" w:space="0" w:color="auto"/>
      </w:divBdr>
    </w:div>
    <w:div w:id="1369793356">
      <w:bodyDiv w:val="1"/>
      <w:marLeft w:val="0"/>
      <w:marRight w:val="0"/>
      <w:marTop w:val="0"/>
      <w:marBottom w:val="0"/>
      <w:divBdr>
        <w:top w:val="none" w:sz="0" w:space="0" w:color="auto"/>
        <w:left w:val="none" w:sz="0" w:space="0" w:color="auto"/>
        <w:bottom w:val="none" w:sz="0" w:space="0" w:color="auto"/>
        <w:right w:val="none" w:sz="0" w:space="0" w:color="auto"/>
      </w:divBdr>
    </w:div>
    <w:div w:id="1391492615">
      <w:bodyDiv w:val="1"/>
      <w:marLeft w:val="0"/>
      <w:marRight w:val="0"/>
      <w:marTop w:val="0"/>
      <w:marBottom w:val="0"/>
      <w:divBdr>
        <w:top w:val="none" w:sz="0" w:space="0" w:color="auto"/>
        <w:left w:val="none" w:sz="0" w:space="0" w:color="auto"/>
        <w:bottom w:val="none" w:sz="0" w:space="0" w:color="auto"/>
        <w:right w:val="none" w:sz="0" w:space="0" w:color="auto"/>
      </w:divBdr>
    </w:div>
    <w:div w:id="1408071792">
      <w:bodyDiv w:val="1"/>
      <w:marLeft w:val="0"/>
      <w:marRight w:val="0"/>
      <w:marTop w:val="0"/>
      <w:marBottom w:val="0"/>
      <w:divBdr>
        <w:top w:val="none" w:sz="0" w:space="0" w:color="auto"/>
        <w:left w:val="none" w:sz="0" w:space="0" w:color="auto"/>
        <w:bottom w:val="none" w:sz="0" w:space="0" w:color="auto"/>
        <w:right w:val="none" w:sz="0" w:space="0" w:color="auto"/>
      </w:divBdr>
    </w:div>
    <w:div w:id="1408115796">
      <w:bodyDiv w:val="1"/>
      <w:marLeft w:val="0"/>
      <w:marRight w:val="0"/>
      <w:marTop w:val="0"/>
      <w:marBottom w:val="0"/>
      <w:divBdr>
        <w:top w:val="none" w:sz="0" w:space="0" w:color="auto"/>
        <w:left w:val="none" w:sz="0" w:space="0" w:color="auto"/>
        <w:bottom w:val="none" w:sz="0" w:space="0" w:color="auto"/>
        <w:right w:val="none" w:sz="0" w:space="0" w:color="auto"/>
      </w:divBdr>
    </w:div>
    <w:div w:id="1439638091">
      <w:bodyDiv w:val="1"/>
      <w:marLeft w:val="0"/>
      <w:marRight w:val="0"/>
      <w:marTop w:val="0"/>
      <w:marBottom w:val="0"/>
      <w:divBdr>
        <w:top w:val="none" w:sz="0" w:space="0" w:color="auto"/>
        <w:left w:val="none" w:sz="0" w:space="0" w:color="auto"/>
        <w:bottom w:val="none" w:sz="0" w:space="0" w:color="auto"/>
        <w:right w:val="none" w:sz="0" w:space="0" w:color="auto"/>
      </w:divBdr>
    </w:div>
    <w:div w:id="1440569014">
      <w:bodyDiv w:val="1"/>
      <w:marLeft w:val="0"/>
      <w:marRight w:val="0"/>
      <w:marTop w:val="0"/>
      <w:marBottom w:val="0"/>
      <w:divBdr>
        <w:top w:val="none" w:sz="0" w:space="0" w:color="auto"/>
        <w:left w:val="none" w:sz="0" w:space="0" w:color="auto"/>
        <w:bottom w:val="none" w:sz="0" w:space="0" w:color="auto"/>
        <w:right w:val="none" w:sz="0" w:space="0" w:color="auto"/>
      </w:divBdr>
    </w:div>
    <w:div w:id="1444492632">
      <w:bodyDiv w:val="1"/>
      <w:marLeft w:val="0"/>
      <w:marRight w:val="0"/>
      <w:marTop w:val="0"/>
      <w:marBottom w:val="0"/>
      <w:divBdr>
        <w:top w:val="none" w:sz="0" w:space="0" w:color="auto"/>
        <w:left w:val="none" w:sz="0" w:space="0" w:color="auto"/>
        <w:bottom w:val="none" w:sz="0" w:space="0" w:color="auto"/>
        <w:right w:val="none" w:sz="0" w:space="0" w:color="auto"/>
      </w:divBdr>
    </w:div>
    <w:div w:id="1447232407">
      <w:bodyDiv w:val="1"/>
      <w:marLeft w:val="0"/>
      <w:marRight w:val="0"/>
      <w:marTop w:val="0"/>
      <w:marBottom w:val="0"/>
      <w:divBdr>
        <w:top w:val="none" w:sz="0" w:space="0" w:color="auto"/>
        <w:left w:val="none" w:sz="0" w:space="0" w:color="auto"/>
        <w:bottom w:val="none" w:sz="0" w:space="0" w:color="auto"/>
        <w:right w:val="none" w:sz="0" w:space="0" w:color="auto"/>
      </w:divBdr>
    </w:div>
    <w:div w:id="1485051092">
      <w:bodyDiv w:val="1"/>
      <w:marLeft w:val="0"/>
      <w:marRight w:val="0"/>
      <w:marTop w:val="0"/>
      <w:marBottom w:val="0"/>
      <w:divBdr>
        <w:top w:val="none" w:sz="0" w:space="0" w:color="auto"/>
        <w:left w:val="none" w:sz="0" w:space="0" w:color="auto"/>
        <w:bottom w:val="none" w:sz="0" w:space="0" w:color="auto"/>
        <w:right w:val="none" w:sz="0" w:space="0" w:color="auto"/>
      </w:divBdr>
    </w:div>
    <w:div w:id="1485119912">
      <w:bodyDiv w:val="1"/>
      <w:marLeft w:val="0"/>
      <w:marRight w:val="0"/>
      <w:marTop w:val="0"/>
      <w:marBottom w:val="0"/>
      <w:divBdr>
        <w:top w:val="none" w:sz="0" w:space="0" w:color="auto"/>
        <w:left w:val="none" w:sz="0" w:space="0" w:color="auto"/>
        <w:bottom w:val="none" w:sz="0" w:space="0" w:color="auto"/>
        <w:right w:val="none" w:sz="0" w:space="0" w:color="auto"/>
      </w:divBdr>
    </w:div>
    <w:div w:id="1485390133">
      <w:bodyDiv w:val="1"/>
      <w:marLeft w:val="0"/>
      <w:marRight w:val="0"/>
      <w:marTop w:val="0"/>
      <w:marBottom w:val="0"/>
      <w:divBdr>
        <w:top w:val="none" w:sz="0" w:space="0" w:color="auto"/>
        <w:left w:val="none" w:sz="0" w:space="0" w:color="auto"/>
        <w:bottom w:val="none" w:sz="0" w:space="0" w:color="auto"/>
        <w:right w:val="none" w:sz="0" w:space="0" w:color="auto"/>
      </w:divBdr>
    </w:div>
    <w:div w:id="1489588819">
      <w:bodyDiv w:val="1"/>
      <w:marLeft w:val="0"/>
      <w:marRight w:val="0"/>
      <w:marTop w:val="0"/>
      <w:marBottom w:val="0"/>
      <w:divBdr>
        <w:top w:val="none" w:sz="0" w:space="0" w:color="auto"/>
        <w:left w:val="none" w:sz="0" w:space="0" w:color="auto"/>
        <w:bottom w:val="none" w:sz="0" w:space="0" w:color="auto"/>
        <w:right w:val="none" w:sz="0" w:space="0" w:color="auto"/>
      </w:divBdr>
    </w:div>
    <w:div w:id="1541817363">
      <w:bodyDiv w:val="1"/>
      <w:marLeft w:val="0"/>
      <w:marRight w:val="0"/>
      <w:marTop w:val="0"/>
      <w:marBottom w:val="0"/>
      <w:divBdr>
        <w:top w:val="none" w:sz="0" w:space="0" w:color="auto"/>
        <w:left w:val="none" w:sz="0" w:space="0" w:color="auto"/>
        <w:bottom w:val="none" w:sz="0" w:space="0" w:color="auto"/>
        <w:right w:val="none" w:sz="0" w:space="0" w:color="auto"/>
      </w:divBdr>
    </w:div>
    <w:div w:id="1554273294">
      <w:bodyDiv w:val="1"/>
      <w:marLeft w:val="0"/>
      <w:marRight w:val="0"/>
      <w:marTop w:val="0"/>
      <w:marBottom w:val="0"/>
      <w:divBdr>
        <w:top w:val="none" w:sz="0" w:space="0" w:color="auto"/>
        <w:left w:val="none" w:sz="0" w:space="0" w:color="auto"/>
        <w:bottom w:val="none" w:sz="0" w:space="0" w:color="auto"/>
        <w:right w:val="none" w:sz="0" w:space="0" w:color="auto"/>
      </w:divBdr>
    </w:div>
    <w:div w:id="1560632253">
      <w:bodyDiv w:val="1"/>
      <w:marLeft w:val="0"/>
      <w:marRight w:val="0"/>
      <w:marTop w:val="0"/>
      <w:marBottom w:val="0"/>
      <w:divBdr>
        <w:top w:val="none" w:sz="0" w:space="0" w:color="auto"/>
        <w:left w:val="none" w:sz="0" w:space="0" w:color="auto"/>
        <w:bottom w:val="none" w:sz="0" w:space="0" w:color="auto"/>
        <w:right w:val="none" w:sz="0" w:space="0" w:color="auto"/>
      </w:divBdr>
    </w:div>
    <w:div w:id="1570846459">
      <w:bodyDiv w:val="1"/>
      <w:marLeft w:val="0"/>
      <w:marRight w:val="0"/>
      <w:marTop w:val="0"/>
      <w:marBottom w:val="0"/>
      <w:divBdr>
        <w:top w:val="none" w:sz="0" w:space="0" w:color="auto"/>
        <w:left w:val="none" w:sz="0" w:space="0" w:color="auto"/>
        <w:bottom w:val="none" w:sz="0" w:space="0" w:color="auto"/>
        <w:right w:val="none" w:sz="0" w:space="0" w:color="auto"/>
      </w:divBdr>
    </w:div>
    <w:div w:id="1583644671">
      <w:bodyDiv w:val="1"/>
      <w:marLeft w:val="0"/>
      <w:marRight w:val="0"/>
      <w:marTop w:val="0"/>
      <w:marBottom w:val="0"/>
      <w:divBdr>
        <w:top w:val="none" w:sz="0" w:space="0" w:color="auto"/>
        <w:left w:val="none" w:sz="0" w:space="0" w:color="auto"/>
        <w:bottom w:val="none" w:sz="0" w:space="0" w:color="auto"/>
        <w:right w:val="none" w:sz="0" w:space="0" w:color="auto"/>
      </w:divBdr>
    </w:div>
    <w:div w:id="1587152696">
      <w:bodyDiv w:val="1"/>
      <w:marLeft w:val="0"/>
      <w:marRight w:val="0"/>
      <w:marTop w:val="0"/>
      <w:marBottom w:val="0"/>
      <w:divBdr>
        <w:top w:val="none" w:sz="0" w:space="0" w:color="auto"/>
        <w:left w:val="none" w:sz="0" w:space="0" w:color="auto"/>
        <w:bottom w:val="none" w:sz="0" w:space="0" w:color="auto"/>
        <w:right w:val="none" w:sz="0" w:space="0" w:color="auto"/>
      </w:divBdr>
    </w:div>
    <w:div w:id="1750997455">
      <w:bodyDiv w:val="1"/>
      <w:marLeft w:val="0"/>
      <w:marRight w:val="0"/>
      <w:marTop w:val="0"/>
      <w:marBottom w:val="0"/>
      <w:divBdr>
        <w:top w:val="none" w:sz="0" w:space="0" w:color="auto"/>
        <w:left w:val="none" w:sz="0" w:space="0" w:color="auto"/>
        <w:bottom w:val="none" w:sz="0" w:space="0" w:color="auto"/>
        <w:right w:val="none" w:sz="0" w:space="0" w:color="auto"/>
      </w:divBdr>
    </w:div>
    <w:div w:id="1808739031">
      <w:bodyDiv w:val="1"/>
      <w:marLeft w:val="0"/>
      <w:marRight w:val="0"/>
      <w:marTop w:val="0"/>
      <w:marBottom w:val="0"/>
      <w:divBdr>
        <w:top w:val="none" w:sz="0" w:space="0" w:color="auto"/>
        <w:left w:val="none" w:sz="0" w:space="0" w:color="auto"/>
        <w:bottom w:val="none" w:sz="0" w:space="0" w:color="auto"/>
        <w:right w:val="none" w:sz="0" w:space="0" w:color="auto"/>
      </w:divBdr>
    </w:div>
    <w:div w:id="1839344962">
      <w:bodyDiv w:val="1"/>
      <w:marLeft w:val="0"/>
      <w:marRight w:val="0"/>
      <w:marTop w:val="0"/>
      <w:marBottom w:val="0"/>
      <w:divBdr>
        <w:top w:val="none" w:sz="0" w:space="0" w:color="auto"/>
        <w:left w:val="none" w:sz="0" w:space="0" w:color="auto"/>
        <w:bottom w:val="none" w:sz="0" w:space="0" w:color="auto"/>
        <w:right w:val="none" w:sz="0" w:space="0" w:color="auto"/>
      </w:divBdr>
    </w:div>
    <w:div w:id="1842965576">
      <w:bodyDiv w:val="1"/>
      <w:marLeft w:val="0"/>
      <w:marRight w:val="0"/>
      <w:marTop w:val="0"/>
      <w:marBottom w:val="0"/>
      <w:divBdr>
        <w:top w:val="none" w:sz="0" w:space="0" w:color="auto"/>
        <w:left w:val="none" w:sz="0" w:space="0" w:color="auto"/>
        <w:bottom w:val="none" w:sz="0" w:space="0" w:color="auto"/>
        <w:right w:val="none" w:sz="0" w:space="0" w:color="auto"/>
      </w:divBdr>
    </w:div>
    <w:div w:id="1866748980">
      <w:bodyDiv w:val="1"/>
      <w:marLeft w:val="0"/>
      <w:marRight w:val="0"/>
      <w:marTop w:val="0"/>
      <w:marBottom w:val="0"/>
      <w:divBdr>
        <w:top w:val="none" w:sz="0" w:space="0" w:color="auto"/>
        <w:left w:val="none" w:sz="0" w:space="0" w:color="auto"/>
        <w:bottom w:val="none" w:sz="0" w:space="0" w:color="auto"/>
        <w:right w:val="none" w:sz="0" w:space="0" w:color="auto"/>
      </w:divBdr>
    </w:div>
    <w:div w:id="1872109290">
      <w:bodyDiv w:val="1"/>
      <w:marLeft w:val="0"/>
      <w:marRight w:val="0"/>
      <w:marTop w:val="0"/>
      <w:marBottom w:val="0"/>
      <w:divBdr>
        <w:top w:val="none" w:sz="0" w:space="0" w:color="auto"/>
        <w:left w:val="none" w:sz="0" w:space="0" w:color="auto"/>
        <w:bottom w:val="none" w:sz="0" w:space="0" w:color="auto"/>
        <w:right w:val="none" w:sz="0" w:space="0" w:color="auto"/>
      </w:divBdr>
    </w:div>
    <w:div w:id="1876652717">
      <w:bodyDiv w:val="1"/>
      <w:marLeft w:val="0"/>
      <w:marRight w:val="0"/>
      <w:marTop w:val="0"/>
      <w:marBottom w:val="0"/>
      <w:divBdr>
        <w:top w:val="none" w:sz="0" w:space="0" w:color="auto"/>
        <w:left w:val="none" w:sz="0" w:space="0" w:color="auto"/>
        <w:bottom w:val="none" w:sz="0" w:space="0" w:color="auto"/>
        <w:right w:val="none" w:sz="0" w:space="0" w:color="auto"/>
      </w:divBdr>
    </w:div>
    <w:div w:id="1898785922">
      <w:bodyDiv w:val="1"/>
      <w:marLeft w:val="0"/>
      <w:marRight w:val="0"/>
      <w:marTop w:val="0"/>
      <w:marBottom w:val="0"/>
      <w:divBdr>
        <w:top w:val="none" w:sz="0" w:space="0" w:color="auto"/>
        <w:left w:val="none" w:sz="0" w:space="0" w:color="auto"/>
        <w:bottom w:val="none" w:sz="0" w:space="0" w:color="auto"/>
        <w:right w:val="none" w:sz="0" w:space="0" w:color="auto"/>
      </w:divBdr>
    </w:div>
    <w:div w:id="1917591282">
      <w:bodyDiv w:val="1"/>
      <w:marLeft w:val="0"/>
      <w:marRight w:val="0"/>
      <w:marTop w:val="0"/>
      <w:marBottom w:val="0"/>
      <w:divBdr>
        <w:top w:val="none" w:sz="0" w:space="0" w:color="auto"/>
        <w:left w:val="none" w:sz="0" w:space="0" w:color="auto"/>
        <w:bottom w:val="none" w:sz="0" w:space="0" w:color="auto"/>
        <w:right w:val="none" w:sz="0" w:space="0" w:color="auto"/>
      </w:divBdr>
    </w:div>
    <w:div w:id="1928952735">
      <w:bodyDiv w:val="1"/>
      <w:marLeft w:val="0"/>
      <w:marRight w:val="0"/>
      <w:marTop w:val="0"/>
      <w:marBottom w:val="0"/>
      <w:divBdr>
        <w:top w:val="none" w:sz="0" w:space="0" w:color="auto"/>
        <w:left w:val="none" w:sz="0" w:space="0" w:color="auto"/>
        <w:bottom w:val="none" w:sz="0" w:space="0" w:color="auto"/>
        <w:right w:val="none" w:sz="0" w:space="0" w:color="auto"/>
      </w:divBdr>
    </w:div>
    <w:div w:id="1975524036">
      <w:bodyDiv w:val="1"/>
      <w:marLeft w:val="0"/>
      <w:marRight w:val="0"/>
      <w:marTop w:val="0"/>
      <w:marBottom w:val="0"/>
      <w:divBdr>
        <w:top w:val="none" w:sz="0" w:space="0" w:color="auto"/>
        <w:left w:val="none" w:sz="0" w:space="0" w:color="auto"/>
        <w:bottom w:val="none" w:sz="0" w:space="0" w:color="auto"/>
        <w:right w:val="none" w:sz="0" w:space="0" w:color="auto"/>
      </w:divBdr>
    </w:div>
    <w:div w:id="2006735965">
      <w:bodyDiv w:val="1"/>
      <w:marLeft w:val="0"/>
      <w:marRight w:val="0"/>
      <w:marTop w:val="0"/>
      <w:marBottom w:val="0"/>
      <w:divBdr>
        <w:top w:val="none" w:sz="0" w:space="0" w:color="auto"/>
        <w:left w:val="none" w:sz="0" w:space="0" w:color="auto"/>
        <w:bottom w:val="none" w:sz="0" w:space="0" w:color="auto"/>
        <w:right w:val="none" w:sz="0" w:space="0" w:color="auto"/>
      </w:divBdr>
    </w:div>
    <w:div w:id="2011370510">
      <w:bodyDiv w:val="1"/>
      <w:marLeft w:val="0"/>
      <w:marRight w:val="0"/>
      <w:marTop w:val="0"/>
      <w:marBottom w:val="0"/>
      <w:divBdr>
        <w:top w:val="none" w:sz="0" w:space="0" w:color="auto"/>
        <w:left w:val="none" w:sz="0" w:space="0" w:color="auto"/>
        <w:bottom w:val="none" w:sz="0" w:space="0" w:color="auto"/>
        <w:right w:val="none" w:sz="0" w:space="0" w:color="auto"/>
      </w:divBdr>
    </w:div>
    <w:div w:id="2051684401">
      <w:bodyDiv w:val="1"/>
      <w:marLeft w:val="0"/>
      <w:marRight w:val="0"/>
      <w:marTop w:val="0"/>
      <w:marBottom w:val="0"/>
      <w:divBdr>
        <w:top w:val="none" w:sz="0" w:space="0" w:color="auto"/>
        <w:left w:val="none" w:sz="0" w:space="0" w:color="auto"/>
        <w:bottom w:val="none" w:sz="0" w:space="0" w:color="auto"/>
        <w:right w:val="none" w:sz="0" w:space="0" w:color="auto"/>
      </w:divBdr>
    </w:div>
    <w:div w:id="2110269707">
      <w:bodyDiv w:val="1"/>
      <w:marLeft w:val="0"/>
      <w:marRight w:val="0"/>
      <w:marTop w:val="0"/>
      <w:marBottom w:val="0"/>
      <w:divBdr>
        <w:top w:val="none" w:sz="0" w:space="0" w:color="auto"/>
        <w:left w:val="none" w:sz="0" w:space="0" w:color="auto"/>
        <w:bottom w:val="none" w:sz="0" w:space="0" w:color="auto"/>
        <w:right w:val="none" w:sz="0" w:space="0" w:color="auto"/>
      </w:divBdr>
    </w:div>
    <w:div w:id="213925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zakon.hr/cms.htm?id=261" TargetMode="External"/><Relationship Id="rId18" Type="http://schemas.openxmlformats.org/officeDocument/2006/relationships/hyperlink" Target="http://www.zakon.hr/cms.htm?id=26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zakon.hr/cms.htm?id=285" TargetMode="External"/><Relationship Id="rId7" Type="http://schemas.openxmlformats.org/officeDocument/2006/relationships/endnotes" Target="endnotes.xml"/><Relationship Id="rId12" Type="http://schemas.openxmlformats.org/officeDocument/2006/relationships/hyperlink" Target="http://www.zakon.hr/cms.htm?id=260" TargetMode="External"/><Relationship Id="rId17" Type="http://schemas.openxmlformats.org/officeDocument/2006/relationships/hyperlink" Target="http://www.zakon.hr/cms.htm?id=26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zakon.hr/cms.htm?id=264" TargetMode="External"/><Relationship Id="rId20" Type="http://schemas.openxmlformats.org/officeDocument/2006/relationships/hyperlink" Target="http://www.zakon.hr/cms.htm?id=2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zakon.hr/cms.htm?id=263" TargetMode="External"/><Relationship Id="rId23" Type="http://schemas.openxmlformats.org/officeDocument/2006/relationships/hyperlink" Target="https://www.zakon.hr/cms.htm?id=26157" TargetMode="External"/><Relationship Id="rId10" Type="http://schemas.openxmlformats.org/officeDocument/2006/relationships/image" Target="media/image1.png"/><Relationship Id="rId19" Type="http://schemas.openxmlformats.org/officeDocument/2006/relationships/hyperlink" Target="http://www.zakon.hr/cms.htm?id=267"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zakon.hr/cms.htm?id=262" TargetMode="External"/><Relationship Id="rId22" Type="http://schemas.openxmlformats.org/officeDocument/2006/relationships/hyperlink" Target="http://www.zakon.hr/cms.htm?id=1572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arina.geic\Desktop\Godi&#353;nji%20izvje&#353;taj%20o%20izvr&#353;enju%20za%202025.g\tablica%20za%20godi&#353;nji%20izvje&#353;taj.-prihod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Ostvare</a:t>
            </a:r>
            <a:r>
              <a:rPr lang="hr-HR"/>
              <a:t>nje prihoda i primitaka u razdoblju I.-XII.2025.</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List7!$B$2</c:f>
              <c:strCache>
                <c:ptCount val="1"/>
                <c:pt idx="0">
                  <c:v>TEKUĆI PLAN ZA 2025.</c:v>
                </c:pt>
              </c:strCache>
            </c:strRef>
          </c:tx>
          <c:spPr>
            <a:solidFill>
              <a:schemeClr val="accent1"/>
            </a:solidFill>
            <a:ln>
              <a:noFill/>
            </a:ln>
            <a:effectLst/>
          </c:spPr>
          <c:invertIfNegative val="0"/>
          <c:cat>
            <c:strRef>
              <c:f>List7!$A$3:$A$10</c:f>
              <c:strCache>
                <c:ptCount val="8"/>
                <c:pt idx="0">
                  <c:v>Prihodi od poreza</c:v>
                </c:pt>
                <c:pt idx="1">
                  <c:v>Pomoći iz inozemstva (darovnice) i od subjekata unutar općeg proračuna </c:v>
                </c:pt>
                <c:pt idx="2">
                  <c:v>Prihodi od imovine</c:v>
                </c:pt>
                <c:pt idx="3">
                  <c:v>Prihodi od upravnih i  administ.pristojbi, pristojbi po posebnim propisima i naknada</c:v>
                </c:pt>
                <c:pt idx="4">
                  <c:v>Prihodi od prodaje proizvoda i robe te pruženih usluga i prihodi od donacija </c:v>
                </c:pt>
                <c:pt idx="5">
                  <c:v>Kazne, upravne mjere i ostali prihodi </c:v>
                </c:pt>
                <c:pt idx="6">
                  <c:v>Prihodi od prodaje nefinancijske imovine </c:v>
                </c:pt>
                <c:pt idx="7">
                  <c:v>Primici od financijske imovine i zaduživanja </c:v>
                </c:pt>
              </c:strCache>
            </c:strRef>
          </c:cat>
          <c:val>
            <c:numRef>
              <c:f>List7!$B$3:$B$10</c:f>
              <c:numCache>
                <c:formatCode>#,##0.00</c:formatCode>
                <c:ptCount val="8"/>
                <c:pt idx="0">
                  <c:v>8785954.5999999996</c:v>
                </c:pt>
                <c:pt idx="1">
                  <c:v>3146185</c:v>
                </c:pt>
                <c:pt idx="2">
                  <c:v>4184107</c:v>
                </c:pt>
                <c:pt idx="3">
                  <c:v>4313548.71</c:v>
                </c:pt>
                <c:pt idx="4">
                  <c:v>149829</c:v>
                </c:pt>
                <c:pt idx="5">
                  <c:v>208021.85</c:v>
                </c:pt>
                <c:pt idx="6">
                  <c:v>38000</c:v>
                </c:pt>
                <c:pt idx="7">
                  <c:v>150000</c:v>
                </c:pt>
              </c:numCache>
            </c:numRef>
          </c:val>
          <c:extLst>
            <c:ext xmlns:c16="http://schemas.microsoft.com/office/drawing/2014/chart" uri="{C3380CC4-5D6E-409C-BE32-E72D297353CC}">
              <c16:uniqueId val="{00000000-51ED-40CD-B0CE-BED426B9503B}"/>
            </c:ext>
          </c:extLst>
        </c:ser>
        <c:ser>
          <c:idx val="1"/>
          <c:order val="1"/>
          <c:tx>
            <c:strRef>
              <c:f>List7!$C$2</c:f>
              <c:strCache>
                <c:ptCount val="1"/>
                <c:pt idx="0">
                  <c:v>IZVRŠENJE I.-XII.2025.</c:v>
                </c:pt>
              </c:strCache>
            </c:strRef>
          </c:tx>
          <c:spPr>
            <a:solidFill>
              <a:schemeClr val="accent2"/>
            </a:solidFill>
            <a:ln>
              <a:noFill/>
            </a:ln>
            <a:effectLst/>
          </c:spPr>
          <c:invertIfNegative val="0"/>
          <c:cat>
            <c:strRef>
              <c:f>List7!$A$3:$A$10</c:f>
              <c:strCache>
                <c:ptCount val="8"/>
                <c:pt idx="0">
                  <c:v>Prihodi od poreza</c:v>
                </c:pt>
                <c:pt idx="1">
                  <c:v>Pomoći iz inozemstva (darovnice) i od subjekata unutar općeg proračuna </c:v>
                </c:pt>
                <c:pt idx="2">
                  <c:v>Prihodi od imovine</c:v>
                </c:pt>
                <c:pt idx="3">
                  <c:v>Prihodi od upravnih i  administ.pristojbi, pristojbi po posebnim propisima i naknada</c:v>
                </c:pt>
                <c:pt idx="4">
                  <c:v>Prihodi od prodaje proizvoda i robe te pruženih usluga i prihodi od donacija </c:v>
                </c:pt>
                <c:pt idx="5">
                  <c:v>Kazne, upravne mjere i ostali prihodi </c:v>
                </c:pt>
                <c:pt idx="6">
                  <c:v>Prihodi od prodaje nefinancijske imovine </c:v>
                </c:pt>
                <c:pt idx="7">
                  <c:v>Primici od financijske imovine i zaduživanja </c:v>
                </c:pt>
              </c:strCache>
            </c:strRef>
          </c:cat>
          <c:val>
            <c:numRef>
              <c:f>List7!$C$3:$C$10</c:f>
              <c:numCache>
                <c:formatCode>#,##0.00</c:formatCode>
                <c:ptCount val="8"/>
                <c:pt idx="0">
                  <c:v>9176819.7200000007</c:v>
                </c:pt>
                <c:pt idx="1">
                  <c:v>1830966.35</c:v>
                </c:pt>
                <c:pt idx="2">
                  <c:v>4169128.75</c:v>
                </c:pt>
                <c:pt idx="3">
                  <c:v>4160400.46</c:v>
                </c:pt>
                <c:pt idx="4">
                  <c:v>121716.76</c:v>
                </c:pt>
                <c:pt idx="5">
                  <c:v>167175.01999999999</c:v>
                </c:pt>
                <c:pt idx="6">
                  <c:v>11114.76</c:v>
                </c:pt>
                <c:pt idx="7">
                  <c:v>150000</c:v>
                </c:pt>
              </c:numCache>
            </c:numRef>
          </c:val>
          <c:extLst>
            <c:ext xmlns:c16="http://schemas.microsoft.com/office/drawing/2014/chart" uri="{C3380CC4-5D6E-409C-BE32-E72D297353CC}">
              <c16:uniqueId val="{00000001-51ED-40CD-B0CE-BED426B9503B}"/>
            </c:ext>
          </c:extLst>
        </c:ser>
        <c:dLbls>
          <c:showLegendKey val="0"/>
          <c:showVal val="0"/>
          <c:showCatName val="0"/>
          <c:showSerName val="0"/>
          <c:showPercent val="0"/>
          <c:showBubbleSize val="0"/>
        </c:dLbls>
        <c:gapWidth val="219"/>
        <c:overlap val="-27"/>
        <c:axId val="1632034560"/>
        <c:axId val="1632032640"/>
      </c:barChart>
      <c:catAx>
        <c:axId val="1632034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632032640"/>
        <c:crosses val="autoZero"/>
        <c:auto val="1"/>
        <c:lblAlgn val="ctr"/>
        <c:lblOffset val="100"/>
        <c:noMultiLvlLbl val="0"/>
      </c:catAx>
      <c:valAx>
        <c:axId val="16320326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632034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378682882692344E-2"/>
          <c:y val="8.2253083347435266E-2"/>
          <c:w val="0.83242634234615309"/>
          <c:h val="0.7880864332712848"/>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F02-4CF5-B83C-71A74431C2C0}"/>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F02-4CF5-B83C-71A74431C2C0}"/>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F02-4CF5-B83C-71A74431C2C0}"/>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CF02-4CF5-B83C-71A74431C2C0}"/>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CF02-4CF5-B83C-71A74431C2C0}"/>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CF02-4CF5-B83C-71A74431C2C0}"/>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CF02-4CF5-B83C-71A74431C2C0}"/>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CF02-4CF5-B83C-71A74431C2C0}"/>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CF02-4CF5-B83C-71A74431C2C0}"/>
              </c:ext>
            </c:extLst>
          </c:dPt>
          <c:dPt>
            <c:idx val="9"/>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3-CF02-4CF5-B83C-71A74431C2C0}"/>
              </c:ext>
            </c:extLst>
          </c:dPt>
          <c:dPt>
            <c:idx val="10"/>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5-CF02-4CF5-B83C-71A74431C2C0}"/>
              </c:ext>
            </c:extLst>
          </c:dPt>
          <c:dLbls>
            <c:dLbl>
              <c:idx val="0"/>
              <c:layout>
                <c:manualLayout>
                  <c:x val="0.1"/>
                  <c:y val="1.9753083347435273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baseline="0"/>
                      <a:t>
</a:t>
                    </a:r>
                    <a:endParaRPr lang="en-US"/>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CF02-4CF5-B83C-71A74431C2C0}"/>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3-CF02-4CF5-B83C-71A74431C2C0}"/>
                </c:ext>
              </c:extLst>
            </c:dLbl>
            <c:dLbl>
              <c:idx val="2"/>
              <c:layout>
                <c:manualLayout>
                  <c:x val="8.3240561925029322E-2"/>
                  <c:y val="0.16703704994077187"/>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F02-4CF5-B83C-71A74431C2C0}"/>
                </c:ext>
              </c:extLst>
            </c:dLbl>
            <c:dLbl>
              <c:idx val="3"/>
              <c:layout>
                <c:manualLayout>
                  <c:x val="7.1407826564753737E-2"/>
                  <c:y val="6.92592873709672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F02-4CF5-B83C-71A74431C2C0}"/>
                </c:ext>
              </c:extLst>
            </c:dLbl>
            <c:dLbl>
              <c:idx val="4"/>
              <c:layout>
                <c:manualLayout>
                  <c:x val="0.17062970479035694"/>
                  <c:y val="-0.2686419335251197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F02-4CF5-B83C-71A74431C2C0}"/>
                </c:ext>
              </c:extLst>
            </c:dLbl>
            <c:dLbl>
              <c:idx val="5"/>
              <c:layout>
                <c:manualLayout>
                  <c:x val="-4.4916091270609193E-2"/>
                  <c:y val="6.726189291153590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CF02-4CF5-B83C-71A74431C2C0}"/>
                </c:ext>
              </c:extLst>
            </c:dLbl>
            <c:dLbl>
              <c:idx val="6"/>
              <c:layout>
                <c:manualLayout>
                  <c:x val="0.2304265026453946"/>
                  <c:y val="3.950616669487054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CF02-4CF5-B83C-71A74431C2C0}"/>
                </c:ext>
              </c:extLst>
            </c:dLbl>
            <c:dLbl>
              <c:idx val="7"/>
              <c:layout>
                <c:manualLayout>
                  <c:x val="-7.7592299297578479E-2"/>
                  <c:y val="7.901233338974108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CF02-4CF5-B83C-71A74431C2C0}"/>
                </c:ext>
              </c:extLst>
            </c:dLbl>
            <c:dLbl>
              <c:idx val="8"/>
              <c:layout>
                <c:manualLayout>
                  <c:x val="-5.6119972096960929E-2"/>
                  <c:y val="-0.10271603340666341"/>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CF02-4CF5-B83C-71A74431C2C0}"/>
                </c:ext>
              </c:extLst>
            </c:dLbl>
            <c:dLbl>
              <c:idx val="9"/>
              <c:layout>
                <c:manualLayout>
                  <c:x val="-2.2222222222222223E-2"/>
                  <c:y val="-8.296295005922814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CF02-4CF5-B83C-71A74431C2C0}"/>
                </c:ext>
              </c:extLst>
            </c:dLbl>
            <c:dLbl>
              <c:idx val="10"/>
              <c:layout>
                <c:manualLayout>
                  <c:x val="0.20854702756141275"/>
                  <c:y val="0"/>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5">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layout>
                    <c:manualLayout>
                      <c:w val="0.29649999999999999"/>
                      <c:h val="0.24665690729551359"/>
                    </c:manualLayout>
                  </c15:layout>
                </c:ext>
                <c:ext xmlns:c16="http://schemas.microsoft.com/office/drawing/2014/chart" uri="{C3380CC4-5D6E-409C-BE32-E72D297353CC}">
                  <c16:uniqueId val="{00000015-CF02-4CF5-B83C-71A74431C2C0}"/>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'2024'!$A$1:$A$11</c:f>
              <c:strCache>
                <c:ptCount val="11"/>
                <c:pt idx="0">
                  <c:v>RASHODI </c:v>
                </c:pt>
                <c:pt idx="2">
                  <c:v>Rashodi za zaposlene </c:v>
                </c:pt>
                <c:pt idx="3">
                  <c:v>Materijalni rashodi </c:v>
                </c:pt>
                <c:pt idx="4">
                  <c:v>Financijski rashodi </c:v>
                </c:pt>
                <c:pt idx="5">
                  <c:v>Subvencije </c:v>
                </c:pt>
                <c:pt idx="6">
                  <c:v>Pomoći dane u inozemstvo i unutar općeg proračuna </c:v>
                </c:pt>
                <c:pt idx="7">
                  <c:v>Naknade građanima i kućanstvima na temelju osiguranja i druge naknade </c:v>
                </c:pt>
                <c:pt idx="8">
                  <c:v>Ostali rashodi </c:v>
                </c:pt>
                <c:pt idx="9">
                  <c:v>Rashodi za nabavu nefinancijske imovine </c:v>
                </c:pt>
                <c:pt idx="10">
                  <c:v>Izdaci za otplatu glavnice primljenih kredita i zajmova </c:v>
                </c:pt>
              </c:strCache>
            </c:strRef>
          </c:cat>
          <c:val>
            <c:numRef>
              <c:f>'2024'!$B$1:$B$11</c:f>
              <c:numCache>
                <c:formatCode>General</c:formatCode>
                <c:ptCount val="11"/>
                <c:pt idx="0">
                  <c:v>0</c:v>
                </c:pt>
                <c:pt idx="2" formatCode="#,##0.00">
                  <c:v>5944242.4900000002</c:v>
                </c:pt>
                <c:pt idx="3" formatCode="#,##0.00">
                  <c:v>5483177.5800000001</c:v>
                </c:pt>
                <c:pt idx="4" formatCode="#,##0.00">
                  <c:v>34071.339999999997</c:v>
                </c:pt>
                <c:pt idx="5" formatCode="#,##0.00">
                  <c:v>547875.72</c:v>
                </c:pt>
                <c:pt idx="6" formatCode="#,##0.00">
                  <c:v>241432.73</c:v>
                </c:pt>
                <c:pt idx="7" formatCode="#,##0.00">
                  <c:v>786951.35</c:v>
                </c:pt>
                <c:pt idx="8" formatCode="#,##0.00">
                  <c:v>1474247.13</c:v>
                </c:pt>
                <c:pt idx="9" formatCode="#,##0.00">
                  <c:v>5067707.8499999996</c:v>
                </c:pt>
                <c:pt idx="10" formatCode="#,##0.00">
                  <c:v>352837.33</c:v>
                </c:pt>
              </c:numCache>
            </c:numRef>
          </c:val>
          <c:extLst>
            <c:ext xmlns:c16="http://schemas.microsoft.com/office/drawing/2014/chart" uri="{C3380CC4-5D6E-409C-BE32-E72D297353CC}">
              <c16:uniqueId val="{00000016-CF02-4CF5-B83C-71A74431C2C0}"/>
            </c:ext>
          </c:extLst>
        </c:ser>
        <c:ser>
          <c:idx val="1"/>
          <c:order val="1"/>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8-CF02-4CF5-B83C-71A74431C2C0}"/>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A-CF02-4CF5-B83C-71A74431C2C0}"/>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C-CF02-4CF5-B83C-71A74431C2C0}"/>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E-CF02-4CF5-B83C-71A74431C2C0}"/>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0-CF02-4CF5-B83C-71A74431C2C0}"/>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2-CF02-4CF5-B83C-71A74431C2C0}"/>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4-CF02-4CF5-B83C-71A74431C2C0}"/>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6-CF02-4CF5-B83C-71A74431C2C0}"/>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8-CF02-4CF5-B83C-71A74431C2C0}"/>
              </c:ext>
            </c:extLst>
          </c:dPt>
          <c:dPt>
            <c:idx val="9"/>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A-CF02-4CF5-B83C-71A74431C2C0}"/>
              </c:ext>
            </c:extLst>
          </c:dPt>
          <c:dPt>
            <c:idx val="10"/>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C-CF02-4CF5-B83C-71A74431C2C0}"/>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18-CF02-4CF5-B83C-71A74431C2C0}"/>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1A-CF02-4CF5-B83C-71A74431C2C0}"/>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1C-CF02-4CF5-B83C-71A74431C2C0}"/>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1E-CF02-4CF5-B83C-71A74431C2C0}"/>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20-CF02-4CF5-B83C-71A74431C2C0}"/>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22-CF02-4CF5-B83C-71A74431C2C0}"/>
                </c:ext>
              </c:extLst>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24-CF02-4CF5-B83C-71A74431C2C0}"/>
                </c:ext>
              </c:extLst>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26-CF02-4CF5-B83C-71A74431C2C0}"/>
                </c:ext>
              </c:extLst>
            </c:dLbl>
            <c:dLbl>
              <c:idx val="8"/>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28-CF02-4CF5-B83C-71A74431C2C0}"/>
                </c:ext>
              </c:extLst>
            </c:dLbl>
            <c:dLbl>
              <c:idx val="9"/>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2A-CF02-4CF5-B83C-71A74431C2C0}"/>
                </c:ext>
              </c:extLst>
            </c:dLbl>
            <c:dLbl>
              <c:idx val="1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2C-CF02-4CF5-B83C-71A74431C2C0}"/>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'2024'!$A$1:$A$11</c:f>
              <c:strCache>
                <c:ptCount val="11"/>
                <c:pt idx="0">
                  <c:v>RASHODI </c:v>
                </c:pt>
                <c:pt idx="2">
                  <c:v>Rashodi za zaposlene </c:v>
                </c:pt>
                <c:pt idx="3">
                  <c:v>Materijalni rashodi </c:v>
                </c:pt>
                <c:pt idx="4">
                  <c:v>Financijski rashodi </c:v>
                </c:pt>
                <c:pt idx="5">
                  <c:v>Subvencije </c:v>
                </c:pt>
                <c:pt idx="6">
                  <c:v>Pomoći dane u inozemstvo i unutar općeg proračuna </c:v>
                </c:pt>
                <c:pt idx="7">
                  <c:v>Naknade građanima i kućanstvima na temelju osiguranja i druge naknade </c:v>
                </c:pt>
                <c:pt idx="8">
                  <c:v>Ostali rashodi </c:v>
                </c:pt>
                <c:pt idx="9">
                  <c:v>Rashodi za nabavu nefinancijske imovine </c:v>
                </c:pt>
                <c:pt idx="10">
                  <c:v>Izdaci za otplatu glavnice primljenih kredita i zajmova </c:v>
                </c:pt>
              </c:strCache>
            </c:strRef>
          </c:cat>
          <c:val>
            <c:numRef>
              <c:f>'2024'!$C$1:$C$11</c:f>
              <c:numCache>
                <c:formatCode>General</c:formatCode>
                <c:ptCount val="11"/>
                <c:pt idx="2" formatCode="0.00%">
                  <c:v>0.29821796119675548</c:v>
                </c:pt>
                <c:pt idx="3" formatCode="0.00%">
                  <c:v>0.27508669801715302</c:v>
                </c:pt>
                <c:pt idx="4" formatCode="0.00%">
                  <c:v>1.7093322769275959E-3</c:v>
                </c:pt>
                <c:pt idx="5" formatCode="0.00%">
                  <c:v>2.748649310361571E-2</c:v>
                </c:pt>
                <c:pt idx="6" formatCode="0.00%">
                  <c:v>1.2112489796284666E-2</c:v>
                </c:pt>
                <c:pt idx="7" formatCode="0.00%">
                  <c:v>3.9480729050478953E-2</c:v>
                </c:pt>
                <c:pt idx="8" formatCode="0.00%">
                  <c:v>7.3961816690417029E-2</c:v>
                </c:pt>
                <c:pt idx="9" formatCode="0.00%">
                  <c:v>0.25424290908559372</c:v>
                </c:pt>
                <c:pt idx="10" formatCode="0.00%">
                  <c:v>1.7701570782773839E-2</c:v>
                </c:pt>
              </c:numCache>
            </c:numRef>
          </c:val>
          <c:extLst>
            <c:ext xmlns:c16="http://schemas.microsoft.com/office/drawing/2014/chart" uri="{C3380CC4-5D6E-409C-BE32-E72D297353CC}">
              <c16:uniqueId val="{0000002D-CF02-4CF5-B83C-71A74431C2C0}"/>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06C4E-6254-46B9-8C43-40A878DBC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159</Pages>
  <Words>68400</Words>
  <Characters>389884</Characters>
  <Application>Microsoft Office Word</Application>
  <DocSecurity>0</DocSecurity>
  <Lines>3249</Lines>
  <Paragraphs>914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Geić</dc:creator>
  <cp:keywords/>
  <dc:description/>
  <cp:lastModifiedBy>Marina Geić</cp:lastModifiedBy>
  <cp:revision>2</cp:revision>
  <cp:lastPrinted>2026-06-01T12:34:00Z</cp:lastPrinted>
  <dcterms:created xsi:type="dcterms:W3CDTF">2026-06-01T12:40:00Z</dcterms:created>
  <dcterms:modified xsi:type="dcterms:W3CDTF">2026-06-01T12:40:00Z</dcterms:modified>
</cp:coreProperties>
</file>